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spacing w:before="0" w:after="0"/>
        <w:ind w:firstLine="1928"/>
        <w:jc w:val="both"/>
        <w:rPr>
          <w:rFonts w:ascii="新宋体" w:hAnsi="新宋体" w:eastAsia="新宋体"/>
          <w:b/>
          <w:bCs/>
          <w:color w:val="auto"/>
          <w:sz w:val="96"/>
        </w:rPr>
      </w:pPr>
    </w:p>
    <w:p>
      <w:pPr>
        <w:pStyle w:val="80"/>
        <w:spacing w:before="0" w:after="0"/>
        <w:ind w:firstLine="1928" w:firstLineChars="200"/>
        <w:jc w:val="center"/>
        <w:rPr>
          <w:rFonts w:ascii="新宋体" w:hAnsi="新宋体" w:eastAsia="新宋体"/>
          <w:b/>
          <w:bCs/>
          <w:color w:val="auto"/>
          <w:sz w:val="96"/>
        </w:rPr>
      </w:pPr>
    </w:p>
    <w:p>
      <w:pPr>
        <w:pStyle w:val="80"/>
        <w:spacing w:before="0" w:after="0"/>
        <w:ind w:firstLine="472" w:firstLineChars="56"/>
        <w:jc w:val="center"/>
        <w:outlineLvl w:val="0"/>
        <w:rPr>
          <w:rFonts w:ascii="新宋体" w:hAnsi="新宋体" w:eastAsia="新宋体"/>
          <w:b/>
          <w:bCs/>
          <w:color w:val="auto"/>
          <w:sz w:val="96"/>
        </w:rPr>
      </w:pPr>
      <w:r>
        <w:rPr>
          <w:rFonts w:hint="eastAsia" w:ascii="新宋体" w:hAnsi="新宋体" w:eastAsia="新宋体"/>
          <w:b/>
          <w:bCs/>
          <w:color w:val="auto"/>
          <w:sz w:val="84"/>
          <w:szCs w:val="84"/>
        </w:rPr>
        <w:t>竞争性磋商文件</w:t>
      </w:r>
    </w:p>
    <w:p>
      <w:pPr>
        <w:pStyle w:val="80"/>
        <w:spacing w:before="0" w:after="0"/>
        <w:ind w:firstLine="482" w:firstLineChars="200"/>
        <w:rPr>
          <w:rFonts w:ascii="新宋体" w:hAnsi="新宋体" w:eastAsia="新宋体"/>
          <w:b/>
          <w:bCs/>
          <w:color w:val="auto"/>
        </w:rPr>
      </w:pPr>
    </w:p>
    <w:p>
      <w:pPr>
        <w:pStyle w:val="80"/>
        <w:spacing w:before="0" w:after="0"/>
        <w:ind w:firstLine="482" w:firstLineChars="200"/>
        <w:rPr>
          <w:rFonts w:ascii="新宋体" w:hAnsi="新宋体" w:eastAsia="新宋体"/>
          <w:b/>
          <w:bCs/>
          <w:color w:val="auto"/>
        </w:rPr>
      </w:pPr>
    </w:p>
    <w:p>
      <w:pPr>
        <w:pStyle w:val="80"/>
        <w:spacing w:before="0" w:after="0"/>
        <w:ind w:firstLine="482" w:firstLineChars="200"/>
        <w:rPr>
          <w:rFonts w:ascii="新宋体" w:hAnsi="新宋体" w:eastAsia="新宋体"/>
          <w:b/>
          <w:bCs/>
          <w:color w:val="auto"/>
        </w:rPr>
      </w:pPr>
    </w:p>
    <w:p>
      <w:pPr>
        <w:pStyle w:val="80"/>
        <w:spacing w:before="0" w:after="0"/>
        <w:ind w:firstLine="482" w:firstLineChars="200"/>
        <w:rPr>
          <w:rFonts w:ascii="新宋体" w:hAnsi="新宋体" w:eastAsia="新宋体"/>
          <w:b/>
          <w:bCs/>
          <w:color w:val="auto"/>
        </w:rPr>
      </w:pPr>
    </w:p>
    <w:p>
      <w:pPr>
        <w:pStyle w:val="80"/>
        <w:spacing w:before="0" w:after="0"/>
        <w:ind w:firstLine="482" w:firstLineChars="200"/>
        <w:rPr>
          <w:rFonts w:ascii="新宋体" w:hAnsi="新宋体" w:eastAsia="新宋体"/>
          <w:b/>
          <w:bCs/>
          <w:color w:val="auto"/>
        </w:rPr>
      </w:pPr>
    </w:p>
    <w:p>
      <w:pPr>
        <w:spacing w:line="360" w:lineRule="auto"/>
        <w:ind w:left="2228" w:leftChars="304" w:right="508" w:rightChars="242" w:hanging="1590" w:hangingChars="495"/>
        <w:rPr>
          <w:rFonts w:ascii="新宋体" w:hAnsi="新宋体" w:eastAsia="新宋体"/>
          <w:b/>
          <w:bCs/>
          <w:color w:val="auto"/>
          <w:sz w:val="32"/>
          <w:szCs w:val="32"/>
        </w:rPr>
      </w:pPr>
      <w:r>
        <w:rPr>
          <w:rFonts w:ascii="新宋体" w:hAnsi="新宋体" w:eastAsia="新宋体"/>
          <w:b/>
          <w:bCs/>
          <w:color w:val="auto"/>
          <w:sz w:val="32"/>
          <w:szCs w:val="32"/>
        </w:rPr>
        <w:t>项目名称：</w:t>
      </w:r>
      <w:r>
        <w:rPr>
          <w:rFonts w:hint="eastAsia" w:ascii="新宋体" w:hAnsi="新宋体" w:eastAsia="新宋体"/>
          <w:b/>
          <w:bCs/>
          <w:color w:val="auto"/>
          <w:sz w:val="32"/>
          <w:szCs w:val="32"/>
        </w:rPr>
        <w:t>泰州市交通运输综合行政执法支队食堂餐饮服务</w:t>
      </w:r>
    </w:p>
    <w:p>
      <w:pPr>
        <w:spacing w:line="360" w:lineRule="auto"/>
        <w:ind w:left="2234" w:leftChars="1064" w:right="508" w:rightChars="242" w:firstLine="19" w:firstLineChars="6"/>
        <w:rPr>
          <w:rFonts w:ascii="黑体" w:hAnsi="黑体" w:eastAsia="新宋体" w:cs="黑体"/>
          <w:color w:val="auto"/>
          <w:sz w:val="36"/>
          <w:szCs w:val="36"/>
        </w:rPr>
      </w:pPr>
      <w:r>
        <w:rPr>
          <w:rFonts w:hint="eastAsia" w:ascii="新宋体" w:hAnsi="新宋体" w:eastAsia="新宋体"/>
          <w:b/>
          <w:bCs/>
          <w:color w:val="auto"/>
          <w:sz w:val="32"/>
          <w:szCs w:val="32"/>
        </w:rPr>
        <w:t>项目</w:t>
      </w:r>
    </w:p>
    <w:p>
      <w:pPr>
        <w:pStyle w:val="80"/>
        <w:spacing w:before="0" w:after="0"/>
        <w:ind w:firstLine="626" w:firstLineChars="195"/>
        <w:jc w:val="both"/>
        <w:outlineLvl w:val="0"/>
        <w:rPr>
          <w:b/>
          <w:bCs/>
          <w:color w:val="auto"/>
          <w:sz w:val="32"/>
        </w:rPr>
      </w:pPr>
      <w:r>
        <w:rPr>
          <w:rFonts w:hint="eastAsia"/>
          <w:b/>
          <w:bCs/>
          <w:color w:val="auto"/>
          <w:sz w:val="32"/>
        </w:rPr>
        <w:t>项目编号：JSZC-321200-JXCG-C2024-0018</w:t>
      </w:r>
    </w:p>
    <w:p>
      <w:pPr>
        <w:pStyle w:val="80"/>
        <w:spacing w:before="0" w:after="0"/>
        <w:ind w:firstLine="626" w:firstLineChars="195"/>
        <w:jc w:val="both"/>
        <w:rPr>
          <w:b/>
          <w:bCs/>
          <w:color w:val="auto"/>
          <w:sz w:val="32"/>
        </w:rPr>
      </w:pPr>
    </w:p>
    <w:p>
      <w:pPr>
        <w:pStyle w:val="80"/>
        <w:spacing w:before="0" w:after="0"/>
        <w:ind w:firstLine="626" w:firstLineChars="195"/>
        <w:jc w:val="both"/>
        <w:rPr>
          <w:b/>
          <w:bCs/>
          <w:color w:val="auto"/>
          <w:sz w:val="32"/>
        </w:rPr>
      </w:pPr>
    </w:p>
    <w:p>
      <w:pPr>
        <w:pStyle w:val="80"/>
        <w:spacing w:before="0" w:after="0"/>
        <w:ind w:firstLine="482" w:firstLineChars="200"/>
        <w:jc w:val="center"/>
        <w:rPr>
          <w:rFonts w:ascii="新宋体" w:hAnsi="新宋体" w:eastAsia="新宋体"/>
          <w:b/>
          <w:color w:val="auto"/>
        </w:rPr>
      </w:pPr>
    </w:p>
    <w:p>
      <w:pPr>
        <w:pStyle w:val="80"/>
        <w:spacing w:before="0" w:after="0"/>
        <w:ind w:firstLine="482" w:firstLineChars="200"/>
        <w:jc w:val="center"/>
        <w:rPr>
          <w:rFonts w:ascii="新宋体" w:hAnsi="新宋体" w:eastAsia="新宋体"/>
          <w:b/>
          <w:bCs/>
          <w:color w:val="auto"/>
        </w:rPr>
      </w:pPr>
    </w:p>
    <w:p>
      <w:pPr>
        <w:pStyle w:val="80"/>
        <w:spacing w:before="0" w:after="0"/>
        <w:ind w:firstLine="482" w:firstLineChars="200"/>
        <w:jc w:val="center"/>
        <w:rPr>
          <w:rFonts w:ascii="新宋体" w:hAnsi="新宋体" w:eastAsia="新宋体"/>
          <w:b/>
          <w:bCs/>
          <w:color w:val="auto"/>
        </w:rPr>
      </w:pPr>
    </w:p>
    <w:p>
      <w:pPr>
        <w:pStyle w:val="80"/>
        <w:spacing w:before="0" w:after="0"/>
        <w:ind w:firstLine="643" w:firstLineChars="200"/>
        <w:jc w:val="center"/>
        <w:outlineLvl w:val="0"/>
        <w:rPr>
          <w:rFonts w:ascii="新宋体" w:hAnsi="新宋体" w:eastAsia="新宋体"/>
          <w:b/>
          <w:bCs/>
          <w:color w:val="auto"/>
          <w:sz w:val="32"/>
          <w:szCs w:val="32"/>
        </w:rPr>
      </w:pPr>
      <w:r>
        <w:rPr>
          <w:rFonts w:hint="eastAsia" w:ascii="新宋体" w:hAnsi="新宋体" w:eastAsia="新宋体"/>
          <w:b/>
          <w:bCs/>
          <w:color w:val="auto"/>
          <w:sz w:val="32"/>
          <w:szCs w:val="32"/>
        </w:rPr>
        <w:t>泰州市交通运输综合行政执法支队</w:t>
      </w:r>
    </w:p>
    <w:p>
      <w:pPr>
        <w:pStyle w:val="80"/>
        <w:spacing w:before="0" w:after="0"/>
        <w:ind w:firstLine="643" w:firstLineChars="200"/>
        <w:jc w:val="center"/>
        <w:outlineLvl w:val="0"/>
        <w:rPr>
          <w:rFonts w:ascii="新宋体" w:hAnsi="新宋体" w:eastAsia="新宋体"/>
          <w:b/>
          <w:bCs/>
          <w:color w:val="auto"/>
          <w:sz w:val="32"/>
          <w:szCs w:val="32"/>
        </w:rPr>
      </w:pPr>
      <w:r>
        <w:rPr>
          <w:rFonts w:hint="eastAsia" w:ascii="新宋体" w:hAnsi="新宋体" w:eastAsia="新宋体"/>
          <w:b/>
          <w:bCs/>
          <w:color w:val="auto"/>
          <w:sz w:val="32"/>
          <w:szCs w:val="32"/>
        </w:rPr>
        <w:t>江苏建协全过程工程咨询有限公司</w:t>
      </w:r>
    </w:p>
    <w:p>
      <w:pPr>
        <w:pStyle w:val="80"/>
        <w:spacing w:before="0" w:after="0"/>
        <w:ind w:firstLine="643" w:firstLineChars="200"/>
        <w:jc w:val="center"/>
        <w:rPr>
          <w:rFonts w:ascii="新宋体" w:hAnsi="新宋体" w:eastAsia="新宋体"/>
          <w:b/>
          <w:bCs/>
          <w:color w:val="auto"/>
          <w:sz w:val="32"/>
          <w:szCs w:val="32"/>
        </w:rPr>
      </w:pPr>
      <w:r>
        <w:rPr>
          <w:rFonts w:hint="eastAsia" w:ascii="新宋体" w:hAnsi="新宋体" w:eastAsia="新宋体"/>
          <w:b/>
          <w:bCs/>
          <w:color w:val="auto"/>
          <w:sz w:val="32"/>
          <w:szCs w:val="32"/>
        </w:rPr>
        <w:t>202</w:t>
      </w:r>
      <w:r>
        <w:rPr>
          <w:rFonts w:ascii="新宋体" w:hAnsi="新宋体" w:eastAsia="新宋体"/>
          <w:b/>
          <w:bCs/>
          <w:color w:val="auto"/>
          <w:sz w:val="32"/>
          <w:szCs w:val="32"/>
        </w:rPr>
        <w:t>4</w:t>
      </w:r>
      <w:r>
        <w:rPr>
          <w:rFonts w:hint="eastAsia" w:ascii="新宋体" w:hAnsi="新宋体" w:eastAsia="新宋体"/>
          <w:b/>
          <w:bCs/>
          <w:color w:val="auto"/>
          <w:sz w:val="32"/>
          <w:szCs w:val="32"/>
        </w:rPr>
        <w:t>年</w:t>
      </w:r>
      <w:r>
        <w:rPr>
          <w:rFonts w:ascii="新宋体" w:hAnsi="新宋体" w:eastAsia="新宋体"/>
          <w:b/>
          <w:bCs/>
          <w:color w:val="auto"/>
          <w:sz w:val="32"/>
          <w:szCs w:val="32"/>
        </w:rPr>
        <w:t>3</w:t>
      </w:r>
      <w:r>
        <w:rPr>
          <w:rFonts w:hint="eastAsia" w:ascii="新宋体" w:hAnsi="新宋体" w:eastAsia="新宋体"/>
          <w:b/>
          <w:bCs/>
          <w:color w:val="auto"/>
          <w:sz w:val="32"/>
          <w:szCs w:val="32"/>
        </w:rPr>
        <w:t>月</w:t>
      </w:r>
    </w:p>
    <w:p>
      <w:pPr>
        <w:pStyle w:val="80"/>
        <w:spacing w:before="0" w:after="0"/>
        <w:ind w:firstLine="482" w:firstLineChars="200"/>
        <w:jc w:val="center"/>
        <w:rPr>
          <w:rFonts w:ascii="新宋体" w:hAnsi="新宋体" w:eastAsia="新宋体"/>
          <w:b/>
          <w:bCs/>
          <w:color w:val="auto"/>
        </w:rPr>
      </w:pPr>
    </w:p>
    <w:p>
      <w:pPr>
        <w:pStyle w:val="80"/>
        <w:spacing w:before="0" w:after="0"/>
        <w:ind w:firstLine="482"/>
        <w:rPr>
          <w:rFonts w:ascii="新宋体" w:hAnsi="新宋体" w:eastAsia="新宋体"/>
          <w:b/>
          <w:bCs/>
          <w:color w:val="auto"/>
        </w:rPr>
      </w:pPr>
    </w:p>
    <w:p>
      <w:pPr>
        <w:pStyle w:val="80"/>
        <w:spacing w:before="0" w:after="0"/>
        <w:ind w:firstLine="482"/>
        <w:rPr>
          <w:rFonts w:ascii="新宋体" w:hAnsi="新宋体" w:eastAsia="新宋体"/>
          <w:b/>
          <w:bCs/>
          <w:color w:val="auto"/>
        </w:rPr>
      </w:pPr>
    </w:p>
    <w:p>
      <w:pPr>
        <w:pStyle w:val="66"/>
        <w:spacing w:before="0" w:line="360" w:lineRule="auto"/>
        <w:ind w:firstLine="562" w:firstLineChars="200"/>
        <w:jc w:val="center"/>
        <w:rPr>
          <w:rFonts w:ascii="宋体" w:hAnsi="宋体" w:eastAsia="宋体"/>
          <w:b/>
          <w:color w:val="auto"/>
          <w:sz w:val="28"/>
          <w:szCs w:val="28"/>
          <w:lang w:val="zh-CN"/>
        </w:rPr>
      </w:pPr>
      <w:r>
        <w:rPr>
          <w:rFonts w:ascii="宋体" w:hAnsi="宋体" w:eastAsia="宋体"/>
          <w:b/>
          <w:color w:val="auto"/>
          <w:sz w:val="28"/>
          <w:szCs w:val="28"/>
          <w:lang w:val="zh-CN"/>
        </w:rPr>
        <w:t>目录</w:t>
      </w:r>
    </w:p>
    <w:p>
      <w:pPr>
        <w:spacing w:line="360" w:lineRule="auto"/>
        <w:ind w:firstLine="420" w:firstLineChars="200"/>
        <w:rPr>
          <w:color w:val="auto"/>
          <w:lang w:val="zh-CN"/>
        </w:rPr>
      </w:pPr>
    </w:p>
    <w:p>
      <w:pPr>
        <w:pStyle w:val="27"/>
        <w:spacing w:line="360" w:lineRule="auto"/>
        <w:ind w:firstLine="422"/>
        <w:rPr>
          <w:color w:val="auto"/>
          <w:sz w:val="21"/>
          <w:szCs w:val="21"/>
        </w:rPr>
      </w:pPr>
      <w:r>
        <w:rPr>
          <w:color w:val="auto"/>
          <w:sz w:val="21"/>
          <w:szCs w:val="21"/>
        </w:rPr>
        <w:fldChar w:fldCharType="begin"/>
      </w:r>
      <w:r>
        <w:rPr>
          <w:color w:val="auto"/>
          <w:sz w:val="21"/>
          <w:szCs w:val="21"/>
        </w:rPr>
        <w:instrText xml:space="preserve"> TOC \o "1-1" \h \z \u </w:instrText>
      </w:r>
      <w:r>
        <w:rPr>
          <w:color w:val="auto"/>
          <w:sz w:val="21"/>
          <w:szCs w:val="21"/>
        </w:rPr>
        <w:fldChar w:fldCharType="separate"/>
      </w:r>
      <w:r>
        <w:rPr>
          <w:color w:val="auto"/>
        </w:rPr>
        <w:fldChar w:fldCharType="begin"/>
      </w:r>
      <w:r>
        <w:rPr>
          <w:color w:val="auto"/>
        </w:rPr>
        <w:instrText xml:space="preserve"> HYPERLINK \l "_Toc34087972" </w:instrText>
      </w:r>
      <w:r>
        <w:rPr>
          <w:color w:val="auto"/>
        </w:rPr>
        <w:fldChar w:fldCharType="separate"/>
      </w:r>
      <w:r>
        <w:rPr>
          <w:rFonts w:hint="eastAsia"/>
          <w:color w:val="auto"/>
          <w:sz w:val="21"/>
          <w:szCs w:val="21"/>
        </w:rPr>
        <w:t>第一章 竞争性磋商采购公告</w:t>
      </w:r>
      <w:r>
        <w:rPr>
          <w:rFonts w:hint="eastAsia"/>
          <w:color w:val="auto"/>
          <w:sz w:val="21"/>
          <w:szCs w:val="21"/>
        </w:rPr>
        <w:tab/>
      </w:r>
      <w:r>
        <w:rPr>
          <w:rFonts w:hint="eastAsia"/>
          <w:color w:val="auto"/>
          <w:sz w:val="21"/>
          <w:szCs w:val="21"/>
        </w:rPr>
        <w:fldChar w:fldCharType="begin"/>
      </w:r>
      <w:r>
        <w:rPr>
          <w:rFonts w:hint="eastAsia"/>
          <w:color w:val="auto"/>
          <w:sz w:val="21"/>
          <w:szCs w:val="21"/>
        </w:rPr>
        <w:instrText xml:space="preserve"> PAGEREF _Toc34087972 \h </w:instrText>
      </w:r>
      <w:r>
        <w:rPr>
          <w:rFonts w:hint="eastAsia"/>
          <w:color w:val="auto"/>
          <w:sz w:val="21"/>
          <w:szCs w:val="21"/>
        </w:rPr>
        <w:fldChar w:fldCharType="separate"/>
      </w:r>
      <w:r>
        <w:rPr>
          <w:rFonts w:hint="eastAsia"/>
          <w:color w:val="auto"/>
          <w:sz w:val="21"/>
          <w:szCs w:val="21"/>
        </w:rPr>
        <w:t>3</w:t>
      </w:r>
      <w:r>
        <w:rPr>
          <w:rFonts w:hint="eastAsia"/>
          <w:color w:val="auto"/>
          <w:sz w:val="21"/>
          <w:szCs w:val="21"/>
        </w:rPr>
        <w:fldChar w:fldCharType="end"/>
      </w:r>
      <w:r>
        <w:rPr>
          <w:rFonts w:hint="eastAsia"/>
          <w:color w:val="auto"/>
          <w:sz w:val="21"/>
          <w:szCs w:val="21"/>
        </w:rPr>
        <w:fldChar w:fldCharType="end"/>
      </w:r>
    </w:p>
    <w:p>
      <w:pPr>
        <w:pStyle w:val="27"/>
        <w:spacing w:line="360" w:lineRule="auto"/>
        <w:ind w:firstLine="361"/>
        <w:rPr>
          <w:color w:val="auto"/>
          <w:sz w:val="21"/>
          <w:szCs w:val="21"/>
        </w:rPr>
      </w:pPr>
      <w:r>
        <w:rPr>
          <w:color w:val="auto"/>
        </w:rPr>
        <w:fldChar w:fldCharType="begin"/>
      </w:r>
      <w:r>
        <w:rPr>
          <w:color w:val="auto"/>
        </w:rPr>
        <w:instrText xml:space="preserve"> HYPERLINK \l "_Toc34087973" </w:instrText>
      </w:r>
      <w:r>
        <w:rPr>
          <w:color w:val="auto"/>
        </w:rPr>
        <w:fldChar w:fldCharType="separate"/>
      </w:r>
      <w:r>
        <w:rPr>
          <w:rFonts w:hint="eastAsia"/>
          <w:color w:val="auto"/>
          <w:sz w:val="21"/>
          <w:szCs w:val="21"/>
        </w:rPr>
        <w:t>第二章 参加磋商供应商须知</w:t>
      </w:r>
      <w:r>
        <w:rPr>
          <w:rFonts w:hint="eastAsia"/>
          <w:color w:val="auto"/>
          <w:sz w:val="21"/>
          <w:szCs w:val="21"/>
        </w:rPr>
        <w:tab/>
      </w:r>
      <w:r>
        <w:rPr>
          <w:rFonts w:hint="eastAsia"/>
          <w:color w:val="auto"/>
          <w:sz w:val="21"/>
          <w:szCs w:val="21"/>
        </w:rPr>
        <w:t>5</w:t>
      </w:r>
      <w:r>
        <w:rPr>
          <w:rFonts w:hint="eastAsia"/>
          <w:color w:val="auto"/>
          <w:sz w:val="21"/>
          <w:szCs w:val="21"/>
        </w:rPr>
        <w:fldChar w:fldCharType="end"/>
      </w:r>
    </w:p>
    <w:p>
      <w:pPr>
        <w:pStyle w:val="27"/>
        <w:spacing w:line="360" w:lineRule="auto"/>
        <w:ind w:firstLine="361"/>
        <w:rPr>
          <w:color w:val="auto"/>
          <w:sz w:val="21"/>
          <w:szCs w:val="21"/>
        </w:rPr>
      </w:pPr>
      <w:r>
        <w:rPr>
          <w:color w:val="auto"/>
        </w:rPr>
        <w:fldChar w:fldCharType="begin"/>
      </w:r>
      <w:r>
        <w:rPr>
          <w:color w:val="auto"/>
        </w:rPr>
        <w:instrText xml:space="preserve"> HYPERLINK \l "_Toc34087974" </w:instrText>
      </w:r>
      <w:r>
        <w:rPr>
          <w:color w:val="auto"/>
        </w:rPr>
        <w:fldChar w:fldCharType="separate"/>
      </w:r>
      <w:r>
        <w:rPr>
          <w:rFonts w:hint="eastAsia"/>
          <w:color w:val="auto"/>
          <w:sz w:val="21"/>
          <w:szCs w:val="21"/>
        </w:rPr>
        <w:t>第三章 合同条款及格式</w:t>
      </w:r>
      <w:r>
        <w:rPr>
          <w:rFonts w:hint="eastAsia"/>
          <w:color w:val="auto"/>
          <w:sz w:val="21"/>
          <w:szCs w:val="21"/>
        </w:rPr>
        <w:tab/>
      </w:r>
      <w:r>
        <w:rPr>
          <w:rFonts w:hint="eastAsia"/>
          <w:color w:val="auto"/>
          <w:sz w:val="21"/>
          <w:szCs w:val="21"/>
        </w:rPr>
        <w:fldChar w:fldCharType="begin"/>
      </w:r>
      <w:r>
        <w:rPr>
          <w:rFonts w:hint="eastAsia"/>
          <w:color w:val="auto"/>
          <w:sz w:val="21"/>
          <w:szCs w:val="21"/>
        </w:rPr>
        <w:instrText xml:space="preserve"> PAGEREF _Toc34087974 \h </w:instrText>
      </w:r>
      <w:r>
        <w:rPr>
          <w:rFonts w:hint="eastAsia"/>
          <w:color w:val="auto"/>
          <w:sz w:val="21"/>
          <w:szCs w:val="21"/>
        </w:rPr>
        <w:fldChar w:fldCharType="separate"/>
      </w:r>
      <w:r>
        <w:rPr>
          <w:rFonts w:hint="eastAsia"/>
          <w:color w:val="auto"/>
          <w:sz w:val="21"/>
          <w:szCs w:val="21"/>
        </w:rPr>
        <w:t>13</w:t>
      </w:r>
      <w:r>
        <w:rPr>
          <w:rFonts w:hint="eastAsia"/>
          <w:color w:val="auto"/>
          <w:sz w:val="21"/>
          <w:szCs w:val="21"/>
        </w:rPr>
        <w:fldChar w:fldCharType="end"/>
      </w:r>
      <w:r>
        <w:rPr>
          <w:rFonts w:hint="eastAsia"/>
          <w:color w:val="auto"/>
          <w:sz w:val="21"/>
          <w:szCs w:val="21"/>
        </w:rPr>
        <w:fldChar w:fldCharType="end"/>
      </w:r>
    </w:p>
    <w:p>
      <w:pPr>
        <w:pStyle w:val="27"/>
        <w:spacing w:line="360" w:lineRule="auto"/>
        <w:ind w:firstLine="361"/>
        <w:rPr>
          <w:color w:val="auto"/>
          <w:sz w:val="21"/>
          <w:szCs w:val="21"/>
        </w:rPr>
      </w:pPr>
      <w:r>
        <w:rPr>
          <w:color w:val="auto"/>
        </w:rPr>
        <w:fldChar w:fldCharType="begin"/>
      </w:r>
      <w:r>
        <w:rPr>
          <w:color w:val="auto"/>
        </w:rPr>
        <w:instrText xml:space="preserve"> HYPERLINK \l "_Toc34087975" </w:instrText>
      </w:r>
      <w:r>
        <w:rPr>
          <w:color w:val="auto"/>
        </w:rPr>
        <w:fldChar w:fldCharType="separate"/>
      </w:r>
      <w:r>
        <w:rPr>
          <w:rFonts w:hint="eastAsia"/>
          <w:color w:val="auto"/>
          <w:sz w:val="21"/>
          <w:szCs w:val="21"/>
        </w:rPr>
        <w:t>第四章 项目需求</w:t>
      </w:r>
      <w:r>
        <w:rPr>
          <w:rFonts w:hint="eastAsia"/>
          <w:color w:val="auto"/>
          <w:sz w:val="21"/>
          <w:szCs w:val="21"/>
        </w:rPr>
        <w:tab/>
      </w:r>
      <w:r>
        <w:rPr>
          <w:rFonts w:hint="eastAsia"/>
          <w:color w:val="auto"/>
          <w:sz w:val="21"/>
          <w:szCs w:val="21"/>
        </w:rPr>
        <w:fldChar w:fldCharType="end"/>
      </w:r>
      <w:r>
        <w:rPr>
          <w:rFonts w:hint="eastAsia"/>
          <w:color w:val="auto"/>
          <w:sz w:val="21"/>
          <w:szCs w:val="21"/>
        </w:rPr>
        <w:t>16</w:t>
      </w:r>
    </w:p>
    <w:p>
      <w:pPr>
        <w:pStyle w:val="27"/>
        <w:spacing w:line="360" w:lineRule="auto"/>
        <w:ind w:firstLine="361"/>
        <w:rPr>
          <w:color w:val="auto"/>
          <w:sz w:val="21"/>
          <w:szCs w:val="21"/>
        </w:rPr>
      </w:pPr>
      <w:r>
        <w:rPr>
          <w:color w:val="auto"/>
        </w:rPr>
        <w:fldChar w:fldCharType="begin"/>
      </w:r>
      <w:r>
        <w:rPr>
          <w:color w:val="auto"/>
        </w:rPr>
        <w:instrText xml:space="preserve"> HYPERLINK \l "_Toc34087976" </w:instrText>
      </w:r>
      <w:r>
        <w:rPr>
          <w:color w:val="auto"/>
        </w:rPr>
        <w:fldChar w:fldCharType="separate"/>
      </w:r>
      <w:r>
        <w:rPr>
          <w:rFonts w:hint="eastAsia"/>
          <w:color w:val="auto"/>
          <w:sz w:val="21"/>
          <w:szCs w:val="21"/>
        </w:rPr>
        <w:t>第五章 评审方法和评审标准</w:t>
      </w:r>
      <w:r>
        <w:rPr>
          <w:rFonts w:hint="eastAsia"/>
          <w:color w:val="auto"/>
          <w:sz w:val="21"/>
          <w:szCs w:val="21"/>
        </w:rPr>
        <w:tab/>
      </w:r>
      <w:r>
        <w:rPr>
          <w:rFonts w:hint="eastAsia"/>
          <w:color w:val="auto"/>
          <w:sz w:val="21"/>
          <w:szCs w:val="21"/>
        </w:rPr>
        <w:fldChar w:fldCharType="end"/>
      </w:r>
      <w:r>
        <w:rPr>
          <w:rFonts w:hint="eastAsia"/>
          <w:color w:val="auto"/>
          <w:sz w:val="21"/>
          <w:szCs w:val="21"/>
        </w:rPr>
        <w:t>18</w:t>
      </w:r>
    </w:p>
    <w:p>
      <w:pPr>
        <w:pStyle w:val="27"/>
        <w:spacing w:line="360" w:lineRule="auto"/>
        <w:ind w:firstLine="361"/>
        <w:rPr>
          <w:color w:val="auto"/>
          <w:sz w:val="21"/>
          <w:szCs w:val="21"/>
        </w:rPr>
      </w:pPr>
      <w:r>
        <w:rPr>
          <w:color w:val="auto"/>
        </w:rPr>
        <w:fldChar w:fldCharType="begin"/>
      </w:r>
      <w:r>
        <w:rPr>
          <w:color w:val="auto"/>
        </w:rPr>
        <w:instrText xml:space="preserve"> HYPERLINK \l "_Toc34087977" </w:instrText>
      </w:r>
      <w:r>
        <w:rPr>
          <w:color w:val="auto"/>
        </w:rPr>
        <w:fldChar w:fldCharType="separate"/>
      </w:r>
      <w:r>
        <w:rPr>
          <w:rFonts w:hint="eastAsia"/>
          <w:color w:val="auto"/>
          <w:sz w:val="21"/>
          <w:szCs w:val="21"/>
        </w:rPr>
        <w:t>第六章 响应文件的组成和格式</w:t>
      </w:r>
      <w:r>
        <w:rPr>
          <w:rFonts w:hint="eastAsia"/>
          <w:color w:val="auto"/>
          <w:sz w:val="21"/>
          <w:szCs w:val="21"/>
        </w:rPr>
        <w:tab/>
      </w:r>
      <w:r>
        <w:rPr>
          <w:rFonts w:hint="eastAsia"/>
          <w:color w:val="auto"/>
          <w:sz w:val="21"/>
          <w:szCs w:val="21"/>
        </w:rPr>
        <w:fldChar w:fldCharType="end"/>
      </w:r>
      <w:r>
        <w:rPr>
          <w:rFonts w:hint="eastAsia"/>
          <w:color w:val="auto"/>
          <w:sz w:val="21"/>
          <w:szCs w:val="21"/>
        </w:rPr>
        <w:t>21</w:t>
      </w:r>
    </w:p>
    <w:p>
      <w:pPr>
        <w:pStyle w:val="27"/>
        <w:spacing w:line="360" w:lineRule="auto"/>
        <w:ind w:firstLine="422"/>
        <w:rPr>
          <w:color w:val="auto"/>
        </w:rPr>
      </w:pPr>
      <w:r>
        <w:rPr>
          <w:color w:val="auto"/>
          <w:sz w:val="21"/>
          <w:szCs w:val="21"/>
        </w:rPr>
        <w:fldChar w:fldCharType="end"/>
      </w:r>
    </w:p>
    <w:p>
      <w:pPr>
        <w:pStyle w:val="80"/>
        <w:spacing w:before="0" w:after="0"/>
        <w:ind w:firstLine="482" w:firstLineChars="200"/>
        <w:jc w:val="center"/>
        <w:rPr>
          <w:rFonts w:ascii="新宋体" w:hAnsi="新宋体" w:eastAsia="新宋体"/>
          <w:b/>
          <w:bCs/>
          <w:color w:val="auto"/>
        </w:rPr>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pPr>
    </w:p>
    <w:p>
      <w:pPr>
        <w:pStyle w:val="4"/>
        <w:spacing w:line="360" w:lineRule="auto"/>
        <w:ind w:firstLine="422" w:firstLineChars="200"/>
        <w:jc w:val="center"/>
        <w:rPr>
          <w:rFonts w:ascii="宋体" w:hAnsi="宋体" w:eastAsia="宋体"/>
          <w:b/>
          <w:color w:val="auto"/>
          <w:sz w:val="21"/>
          <w:szCs w:val="21"/>
        </w:rPr>
      </w:pPr>
      <w:bookmarkStart w:id="0" w:name="_Toc34087972"/>
      <w:r>
        <w:rPr>
          <w:rFonts w:hint="eastAsia" w:ascii="宋体" w:hAnsi="宋体" w:eastAsia="宋体"/>
          <w:b/>
          <w:color w:val="auto"/>
          <w:sz w:val="21"/>
          <w:szCs w:val="21"/>
        </w:rPr>
        <w:t>第一章 竞争性磋商采购公告</w:t>
      </w:r>
      <w:bookmarkEnd w:id="0"/>
    </w:p>
    <w:p>
      <w:pPr>
        <w:widowControl/>
        <w:spacing w:line="360" w:lineRule="auto"/>
        <w:ind w:firstLine="422"/>
        <w:jc w:val="left"/>
        <w:rPr>
          <w:rFonts w:ascii="宋体" w:hAnsi="宋体" w:cs="宋体"/>
          <w:color w:val="auto"/>
          <w:szCs w:val="21"/>
        </w:rPr>
      </w:pPr>
      <w:bookmarkStart w:id="1" w:name="_Toc28359089"/>
      <w:bookmarkStart w:id="2" w:name="_Toc28359012"/>
      <w:bookmarkStart w:id="3" w:name="_Toc35393629"/>
      <w:bookmarkStart w:id="4" w:name="_Toc35393798"/>
      <w:bookmarkStart w:id="5" w:name="_Toc34087973"/>
      <w:bookmarkStart w:id="6" w:name="_Toc61149549"/>
      <w:bookmarkStart w:id="7" w:name="_Toc14577347"/>
      <w:bookmarkStart w:id="8" w:name="_Toc513029209"/>
      <w:r>
        <w:rPr>
          <w:rFonts w:hint="eastAsia" w:ascii="宋体" w:hAnsi="宋体" w:cs="宋体"/>
          <w:b/>
          <w:bCs/>
          <w:color w:val="auto"/>
          <w:kern w:val="0"/>
          <w:szCs w:val="21"/>
        </w:rPr>
        <w:t>项目概况</w:t>
      </w:r>
    </w:p>
    <w:p>
      <w:pPr>
        <w:spacing w:line="360" w:lineRule="auto"/>
        <w:ind w:firstLine="420" w:firstLineChars="200"/>
        <w:rPr>
          <w:rFonts w:ascii="宋体" w:hAnsi="宋体" w:cs="宋体"/>
          <w:color w:val="auto"/>
          <w:szCs w:val="21"/>
        </w:rPr>
      </w:pPr>
      <w:r>
        <w:rPr>
          <w:rFonts w:hint="eastAsia" w:ascii="宋体" w:hAnsi="宋体" w:cs="宋体"/>
          <w:color w:val="auto"/>
          <w:szCs w:val="21"/>
          <w:u w:val="single"/>
        </w:rPr>
        <w:t>泰州市交通运输综合行政执法支队</w:t>
      </w:r>
      <w:r>
        <w:rPr>
          <w:rFonts w:hint="eastAsia" w:ascii="宋体" w:hAnsi="宋体" w:cs="宋体"/>
          <w:color w:val="auto"/>
          <w:szCs w:val="21"/>
        </w:rPr>
        <w:t>的</w:t>
      </w:r>
      <w:r>
        <w:rPr>
          <w:rFonts w:hint="eastAsia" w:ascii="宋体" w:hAnsi="宋体" w:cs="宋体"/>
          <w:color w:val="auto"/>
          <w:szCs w:val="21"/>
          <w:u w:val="single"/>
        </w:rPr>
        <w:t xml:space="preserve"> 泰州市交通运输综合行政执法支队食堂餐饮服务项目</w:t>
      </w:r>
      <w:r>
        <w:rPr>
          <w:rFonts w:hint="eastAsia" w:ascii="宋体" w:hAnsi="宋体" w:cs="宋体"/>
          <w:color w:val="auto"/>
          <w:szCs w:val="21"/>
        </w:rPr>
        <w:t>采购服务的潜在供应商应在江苏建协全过程工程咨询有限公司（或通过邮箱759459005@qq.com） 获取采购文件，并于202</w:t>
      </w:r>
      <w:r>
        <w:rPr>
          <w:rFonts w:ascii="宋体" w:hAnsi="宋体" w:cs="宋体"/>
          <w:color w:val="auto"/>
          <w:szCs w:val="21"/>
        </w:rPr>
        <w:t>4</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w:t>
      </w:r>
      <w:r>
        <w:rPr>
          <w:rFonts w:hint="eastAsia" w:ascii="宋体" w:hAnsi="宋体" w:cs="宋体"/>
          <w:color w:val="auto"/>
          <w:szCs w:val="21"/>
        </w:rPr>
        <w:t>日</w:t>
      </w:r>
      <w:r>
        <w:rPr>
          <w:rFonts w:hint="eastAsia" w:ascii="宋体" w:hAnsi="宋体" w:cs="宋体"/>
          <w:bCs/>
          <w:color w:val="auto"/>
          <w:szCs w:val="21"/>
          <w:lang w:val="en-US" w:eastAsia="zh-CN"/>
        </w:rPr>
        <w:t>9</w:t>
      </w:r>
      <w:r>
        <w:rPr>
          <w:rFonts w:hint="eastAsia" w:ascii="宋体" w:hAnsi="宋体" w:cs="宋体"/>
          <w:bCs/>
          <w:color w:val="auto"/>
          <w:szCs w:val="21"/>
        </w:rPr>
        <w:t>点30分前提交响应文件</w:t>
      </w:r>
      <w:r>
        <w:rPr>
          <w:rFonts w:hint="eastAsia" w:ascii="宋体" w:hAnsi="宋体" w:cs="宋体"/>
          <w:color w:val="auto"/>
          <w:szCs w:val="21"/>
        </w:rPr>
        <w:t>。</w:t>
      </w:r>
      <w:bookmarkEnd w:id="1"/>
      <w:bookmarkEnd w:id="2"/>
      <w:bookmarkEnd w:id="3"/>
      <w:bookmarkEnd w:id="4"/>
    </w:p>
    <w:p>
      <w:pPr>
        <w:widowControl/>
        <w:spacing w:line="360" w:lineRule="auto"/>
        <w:ind w:firstLine="422"/>
        <w:jc w:val="left"/>
        <w:outlineLvl w:val="1"/>
        <w:rPr>
          <w:rFonts w:ascii="宋体" w:hAnsi="宋体" w:cs="宋体"/>
          <w:b/>
          <w:bCs/>
          <w:color w:val="auto"/>
          <w:kern w:val="0"/>
          <w:szCs w:val="21"/>
        </w:rPr>
      </w:pPr>
      <w:r>
        <w:rPr>
          <w:rFonts w:hint="eastAsia" w:ascii="宋体" w:hAnsi="宋体" w:cs="宋体"/>
          <w:b/>
          <w:bCs/>
          <w:color w:val="auto"/>
          <w:kern w:val="0"/>
          <w:szCs w:val="21"/>
        </w:rPr>
        <w:t>一、项目基本情况</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项目编号：JSZC-321200-JXCG-C2024-0018</w:t>
      </w:r>
    </w:p>
    <w:p>
      <w:pPr>
        <w:spacing w:line="360" w:lineRule="auto"/>
        <w:ind w:firstLine="420" w:firstLineChars="200"/>
        <w:rPr>
          <w:rFonts w:ascii="宋体" w:hAnsi="宋体" w:cs="宋体"/>
          <w:color w:val="auto"/>
          <w:szCs w:val="21"/>
        </w:rPr>
      </w:pPr>
      <w:r>
        <w:rPr>
          <w:rFonts w:hint="eastAsia" w:ascii="宋体" w:hAnsi="宋体" w:cs="宋体"/>
          <w:color w:val="auto"/>
          <w:szCs w:val="21"/>
        </w:rPr>
        <w:t>项目名称：泰州市交通运输综合行政执法支队食堂餐饮服务项目</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预算金额：</w:t>
      </w:r>
      <w:r>
        <w:rPr>
          <w:rFonts w:ascii="宋体" w:hAnsi="宋体" w:cs="宋体"/>
          <w:color w:val="auto"/>
          <w:szCs w:val="21"/>
        </w:rPr>
        <w:t>141</w:t>
      </w:r>
      <w:r>
        <w:rPr>
          <w:rFonts w:hint="eastAsia" w:ascii="宋体" w:hAnsi="宋体" w:cs="宋体"/>
          <w:color w:val="auto"/>
          <w:szCs w:val="21"/>
        </w:rPr>
        <w:t>万元（</w:t>
      </w:r>
      <w:r>
        <w:rPr>
          <w:rFonts w:ascii="宋体" w:hAnsi="宋体" w:cs="宋体"/>
          <w:color w:val="auto"/>
          <w:szCs w:val="21"/>
        </w:rPr>
        <w:t>47</w:t>
      </w:r>
      <w:r>
        <w:rPr>
          <w:rFonts w:hint="eastAsia" w:ascii="宋体" w:hAnsi="宋体" w:cs="宋体"/>
          <w:color w:val="auto"/>
          <w:szCs w:val="21"/>
        </w:rPr>
        <w:t>万元/年）</w:t>
      </w:r>
    </w:p>
    <w:p>
      <w:pPr>
        <w:spacing w:line="360" w:lineRule="auto"/>
        <w:ind w:firstLine="420" w:firstLineChars="200"/>
        <w:rPr>
          <w:rFonts w:ascii="宋体" w:hAnsi="宋体" w:cs="宋体"/>
          <w:color w:val="auto"/>
          <w:szCs w:val="21"/>
        </w:rPr>
      </w:pPr>
      <w:r>
        <w:rPr>
          <w:rFonts w:hint="eastAsia" w:ascii="宋体" w:hAnsi="宋体" w:cs="宋体"/>
          <w:color w:val="auto"/>
          <w:szCs w:val="21"/>
        </w:rPr>
        <w:t>最高限价：</w:t>
      </w:r>
      <w:r>
        <w:rPr>
          <w:rFonts w:ascii="宋体" w:hAnsi="宋体" w:cs="宋体"/>
          <w:color w:val="auto"/>
          <w:szCs w:val="21"/>
        </w:rPr>
        <w:t>141</w:t>
      </w:r>
      <w:r>
        <w:rPr>
          <w:rFonts w:hint="eastAsia" w:ascii="宋体" w:hAnsi="宋体" w:cs="宋体"/>
          <w:color w:val="auto"/>
          <w:szCs w:val="21"/>
        </w:rPr>
        <w:t>万元（</w:t>
      </w:r>
      <w:r>
        <w:rPr>
          <w:rFonts w:ascii="宋体" w:hAnsi="宋体" w:cs="宋体"/>
          <w:color w:val="auto"/>
          <w:szCs w:val="21"/>
        </w:rPr>
        <w:t>47</w:t>
      </w:r>
      <w:r>
        <w:rPr>
          <w:rFonts w:hint="eastAsia" w:ascii="宋体" w:hAnsi="宋体" w:cs="宋体"/>
          <w:color w:val="auto"/>
          <w:szCs w:val="21"/>
        </w:rPr>
        <w:t>万元/年）</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采购需求：包括单位所有人员工作日的早、中两餐供应与服务；正常公务接待服务；食堂范围内所有的卫生保洁工作；设备设施日常维护及安全管理工作，具体需求详见磋商文件。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合同履行期限：三年，其中前三个月为试用期，试用期满经采购人考核合格后，合同方为有效。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本项目不接受联合体，</w:t>
      </w:r>
      <w:r>
        <w:rPr>
          <w:rFonts w:hint="eastAsia" w:ascii="宋体" w:hAnsi="宋体"/>
          <w:bCs/>
          <w:color w:val="auto"/>
          <w:szCs w:val="21"/>
        </w:rPr>
        <w:t>不允许挂靠、转包或分包。</w:t>
      </w:r>
    </w:p>
    <w:p>
      <w:pPr>
        <w:widowControl/>
        <w:spacing w:line="360" w:lineRule="auto"/>
        <w:ind w:firstLine="422"/>
        <w:jc w:val="left"/>
        <w:outlineLvl w:val="1"/>
        <w:rPr>
          <w:rFonts w:ascii="宋体" w:hAnsi="宋体" w:cs="宋体"/>
          <w:b/>
          <w:bCs/>
          <w:color w:val="auto"/>
          <w:kern w:val="0"/>
          <w:szCs w:val="21"/>
        </w:rPr>
      </w:pPr>
      <w:bookmarkStart w:id="9" w:name="_Toc28359013"/>
      <w:bookmarkStart w:id="10" w:name="_Toc35393799"/>
      <w:bookmarkStart w:id="11" w:name="_Toc35393630"/>
      <w:bookmarkStart w:id="12" w:name="_Toc28359090"/>
      <w:r>
        <w:rPr>
          <w:rFonts w:hint="eastAsia" w:ascii="宋体" w:hAnsi="宋体" w:cs="宋体"/>
          <w:b/>
          <w:bCs/>
          <w:color w:val="auto"/>
          <w:kern w:val="0"/>
          <w:szCs w:val="21"/>
        </w:rPr>
        <w:t>二、申请人的资格要求：</w:t>
      </w:r>
      <w:bookmarkEnd w:id="9"/>
      <w:bookmarkEnd w:id="10"/>
      <w:bookmarkEnd w:id="11"/>
      <w:bookmarkEnd w:id="12"/>
    </w:p>
    <w:p>
      <w:pPr>
        <w:spacing w:line="360" w:lineRule="auto"/>
        <w:ind w:firstLine="420" w:firstLineChars="200"/>
        <w:outlineLvl w:val="2"/>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360" w:lineRule="auto"/>
        <w:ind w:firstLine="420" w:firstLineChars="200"/>
        <w:outlineLvl w:val="3"/>
        <w:rPr>
          <w:rFonts w:ascii="宋体" w:hAnsi="宋体" w:cs="宋体"/>
          <w:color w:val="auto"/>
          <w:szCs w:val="21"/>
        </w:rPr>
      </w:pPr>
      <w:r>
        <w:rPr>
          <w:rFonts w:hint="eastAsia" w:ascii="宋体" w:hAnsi="宋体" w:cs="宋体"/>
          <w:color w:val="auto"/>
          <w:szCs w:val="21"/>
        </w:rPr>
        <w:t>1.1具有法人或者其他组织的营业执照；</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1.2具有良好的商业信誉和健全的财务会计制度（成立不满一年不需提供）；</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1.3依法缴纳税收和社会保障资金；</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1.4具备履行合同所必需的设备和专业技术能力；</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1.5参加政府采购活动前3年内在经营活动中没有重大违法记录。</w:t>
      </w:r>
    </w:p>
    <w:p>
      <w:pPr>
        <w:tabs>
          <w:tab w:val="left" w:pos="900"/>
        </w:tabs>
        <w:spacing w:line="360" w:lineRule="auto"/>
        <w:ind w:firstLine="420" w:firstLineChars="200"/>
        <w:rPr>
          <w:rFonts w:ascii="宋体" w:hAnsi="宋体" w:cs="宋体"/>
          <w:color w:val="auto"/>
          <w:szCs w:val="21"/>
        </w:rPr>
      </w:pPr>
      <w:bookmarkStart w:id="13" w:name="_Toc28359091"/>
      <w:bookmarkStart w:id="14" w:name="_Toc28359014"/>
      <w:r>
        <w:rPr>
          <w:rFonts w:hint="eastAsia" w:ascii="宋体" w:hAnsi="宋体" w:cs="宋体"/>
          <w:color w:val="auto"/>
          <w:szCs w:val="21"/>
        </w:rPr>
        <w:t>2.落实政府采购政策需满足的资格要求：</w:t>
      </w:r>
      <w:r>
        <w:rPr>
          <w:rFonts w:hint="eastAsia" w:ascii="宋体" w:hAnsi="宋体"/>
          <w:color w:val="auto"/>
          <w:szCs w:val="21"/>
        </w:rPr>
        <w:t>此项目专门面向中小微企业采购（须提供中小企业声明函）。</w:t>
      </w:r>
    </w:p>
    <w:p>
      <w:pPr>
        <w:spacing w:line="360" w:lineRule="auto"/>
        <w:ind w:firstLine="420" w:firstLineChars="200"/>
        <w:outlineLvl w:val="2"/>
        <w:rPr>
          <w:rFonts w:ascii="宋体" w:hAnsi="宋体" w:cs="宋体"/>
          <w:color w:val="auto"/>
          <w:szCs w:val="21"/>
        </w:rPr>
      </w:pPr>
      <w:r>
        <w:rPr>
          <w:rFonts w:hint="eastAsia" w:ascii="宋体" w:hAnsi="宋体" w:cs="宋体"/>
          <w:color w:val="auto"/>
          <w:szCs w:val="21"/>
        </w:rPr>
        <w:t>3.本项目的特定资格要求：</w:t>
      </w:r>
    </w:p>
    <w:p>
      <w:pPr>
        <w:spacing w:line="360" w:lineRule="auto"/>
        <w:ind w:firstLine="420" w:firstLineChars="200"/>
        <w:rPr>
          <w:rFonts w:ascii="宋体" w:hAnsi="宋体"/>
          <w:bCs/>
          <w:color w:val="auto"/>
          <w:szCs w:val="21"/>
        </w:rPr>
      </w:pPr>
      <w:bookmarkStart w:id="15" w:name="_Toc35393800"/>
      <w:bookmarkStart w:id="16" w:name="_Toc35393631"/>
      <w:r>
        <w:rPr>
          <w:rFonts w:hint="eastAsia" w:ascii="宋体" w:hAnsi="宋体" w:cs="宋体"/>
          <w:color w:val="auto"/>
          <w:szCs w:val="21"/>
        </w:rPr>
        <w:t>3.1</w:t>
      </w:r>
      <w:r>
        <w:rPr>
          <w:rFonts w:hint="eastAsia" w:ascii="宋体" w:hAnsi="宋体"/>
          <w:snapToGrid w:val="0"/>
          <w:color w:val="auto"/>
          <w:kern w:val="0"/>
          <w:szCs w:val="21"/>
        </w:rPr>
        <w:t>供应商营业执照经营范围必须涵盖食堂服务（餐饮服务）</w:t>
      </w:r>
      <w:r>
        <w:rPr>
          <w:rFonts w:hint="eastAsia" w:ascii="宋体" w:hAnsi="宋体"/>
          <w:bCs/>
          <w:color w:val="auto"/>
          <w:szCs w:val="21"/>
        </w:rPr>
        <w:t>；</w:t>
      </w:r>
    </w:p>
    <w:p>
      <w:pPr>
        <w:spacing w:line="360" w:lineRule="auto"/>
        <w:ind w:firstLine="420" w:firstLineChars="200"/>
        <w:outlineLvl w:val="3"/>
        <w:rPr>
          <w:rFonts w:ascii="宋体" w:hAnsi="宋体" w:cs="宋体"/>
          <w:color w:val="auto"/>
        </w:rPr>
      </w:pPr>
      <w:r>
        <w:rPr>
          <w:rFonts w:hint="eastAsia" w:ascii="宋体" w:hAnsi="宋体" w:cs="宋体"/>
          <w:color w:val="auto"/>
        </w:rPr>
        <w:t>3.2拒绝下述供应商参加本次采购活动：</w:t>
      </w:r>
    </w:p>
    <w:p>
      <w:pPr>
        <w:spacing w:line="360" w:lineRule="auto"/>
        <w:ind w:firstLine="420" w:firstLineChars="200"/>
        <w:rPr>
          <w:rFonts w:ascii="宋体" w:hAnsi="宋体" w:cs="宋体"/>
          <w:color w:val="auto"/>
        </w:rPr>
      </w:pPr>
      <w:r>
        <w:rPr>
          <w:rFonts w:hint="eastAsia" w:ascii="宋体" w:hAnsi="宋体" w:cs="宋体"/>
          <w:color w:val="auto"/>
        </w:rPr>
        <w:t>（1）供应商单位负责人为同一人或者存在直接控股、管理关系的不同供应商，不得参加同一合同项下的政府采购活动；</w:t>
      </w:r>
    </w:p>
    <w:p>
      <w:pPr>
        <w:spacing w:line="360" w:lineRule="auto"/>
        <w:ind w:firstLine="420" w:firstLineChars="200"/>
        <w:rPr>
          <w:rFonts w:ascii="宋体" w:hAnsi="宋体" w:cs="宋体"/>
          <w:color w:val="auto"/>
        </w:rPr>
      </w:pPr>
      <w:r>
        <w:rPr>
          <w:rFonts w:hint="eastAsia" w:ascii="宋体" w:hAnsi="宋体" w:cs="宋体"/>
          <w:color w:val="auto"/>
        </w:rPr>
        <w:t>（2）供应商被“信用中国”网站（www.creditchina.gov.cn）、“中国政府采购网"(www.ccgp.gov.cn)列入失信被执行人、重大税收违法案件当事人名单、政府采购严重违法失信行为记录名单。</w:t>
      </w:r>
    </w:p>
    <w:p>
      <w:pPr>
        <w:widowControl/>
        <w:spacing w:line="360" w:lineRule="auto"/>
        <w:ind w:firstLine="422"/>
        <w:jc w:val="left"/>
        <w:outlineLvl w:val="1"/>
        <w:rPr>
          <w:rFonts w:ascii="宋体" w:hAnsi="宋体" w:cs="宋体"/>
          <w:b/>
          <w:bCs/>
          <w:color w:val="auto"/>
          <w:kern w:val="0"/>
          <w:szCs w:val="21"/>
        </w:rPr>
      </w:pPr>
      <w:r>
        <w:rPr>
          <w:rFonts w:hint="eastAsia" w:ascii="宋体" w:hAnsi="宋体" w:cs="宋体"/>
          <w:b/>
          <w:bCs/>
          <w:color w:val="auto"/>
          <w:kern w:val="0"/>
          <w:szCs w:val="21"/>
        </w:rPr>
        <w:t>三、获取采购文件</w:t>
      </w:r>
      <w:bookmarkEnd w:id="13"/>
      <w:bookmarkEnd w:id="14"/>
      <w:bookmarkEnd w:id="15"/>
      <w:bookmarkEnd w:id="16"/>
    </w:p>
    <w:p>
      <w:pPr>
        <w:spacing w:line="360" w:lineRule="auto"/>
        <w:ind w:firstLine="420" w:firstLineChars="200"/>
        <w:rPr>
          <w:rFonts w:ascii="宋体" w:hAnsi="宋体" w:cs="宋体"/>
          <w:color w:val="auto"/>
          <w:szCs w:val="21"/>
        </w:rPr>
      </w:pPr>
      <w:r>
        <w:rPr>
          <w:rFonts w:hint="eastAsia" w:ascii="宋体" w:hAnsi="宋体" w:cs="宋体"/>
          <w:color w:val="auto"/>
          <w:szCs w:val="21"/>
        </w:rPr>
        <w:t>时间：202</w:t>
      </w:r>
      <w:r>
        <w:rPr>
          <w:rFonts w:ascii="宋体" w:hAnsi="宋体" w:cs="宋体"/>
          <w:color w:val="auto"/>
          <w:szCs w:val="21"/>
        </w:rPr>
        <w:t>4</w:t>
      </w:r>
      <w:r>
        <w:rPr>
          <w:rFonts w:hint="eastAsia" w:ascii="宋体" w:hAnsi="宋体" w:cs="宋体"/>
          <w:color w:val="auto"/>
          <w:szCs w:val="21"/>
        </w:rPr>
        <w:t>年3月19日至202</w:t>
      </w:r>
      <w:r>
        <w:rPr>
          <w:rFonts w:ascii="宋体" w:hAnsi="宋体" w:cs="宋体"/>
          <w:color w:val="auto"/>
          <w:szCs w:val="21"/>
        </w:rPr>
        <w:t>4</w:t>
      </w:r>
      <w:r>
        <w:rPr>
          <w:rFonts w:hint="eastAsia" w:ascii="宋体" w:hAnsi="宋体" w:cs="宋体"/>
          <w:color w:val="auto"/>
          <w:szCs w:val="21"/>
        </w:rPr>
        <w:t>年3月25日，每天上午8:30至11:30，下午2:00至5:30（北京时间，法定节假日除外 ）</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地点：泰州市海陵区春风路108号3楼（江苏建协全过程工程咨询有限公司）</w:t>
      </w:r>
    </w:p>
    <w:p>
      <w:pPr>
        <w:widowControl/>
        <w:spacing w:line="360" w:lineRule="auto"/>
        <w:ind w:firstLine="420" w:firstLineChars="200"/>
        <w:rPr>
          <w:rFonts w:ascii="宋体" w:hAnsi="宋体" w:cs="宋体"/>
          <w:color w:val="auto"/>
          <w:szCs w:val="21"/>
        </w:rPr>
      </w:pPr>
      <w:bookmarkStart w:id="17" w:name="_Toc35393801"/>
      <w:bookmarkStart w:id="18" w:name="_Toc28359092"/>
      <w:bookmarkStart w:id="19" w:name="_Toc28359015"/>
      <w:bookmarkStart w:id="20" w:name="_Toc35393632"/>
      <w:r>
        <w:rPr>
          <w:rFonts w:hint="eastAsia" w:ascii="宋体" w:hAnsi="宋体" w:cs="宋体"/>
          <w:color w:val="auto"/>
          <w:szCs w:val="21"/>
        </w:rPr>
        <w:t>方式：持有效证件（法人代表授权书或单位介绍信原件、被授权人身份证）现场获取；或者</w:t>
      </w:r>
      <w:r>
        <w:rPr>
          <w:rFonts w:hint="eastAsia" w:ascii="宋体" w:hAnsi="宋体" w:cs="宋体"/>
          <w:color w:val="auto"/>
          <w:szCs w:val="21"/>
          <w:lang w:val="zh-CN"/>
        </w:rPr>
        <w:t>将有效证件扫描以电子邮件方式发送到江苏建协全过程工程咨询有限公司邮箱</w:t>
      </w:r>
      <w:r>
        <w:rPr>
          <w:rFonts w:hint="eastAsia" w:ascii="宋体" w:hAnsi="宋体" w:cs="宋体"/>
          <w:color w:val="auto"/>
          <w:szCs w:val="21"/>
        </w:rPr>
        <w:t>，同时注明联系人姓名、电话及报名费回执。</w:t>
      </w:r>
    </w:p>
    <w:p>
      <w:pPr>
        <w:widowControl/>
        <w:spacing w:line="360" w:lineRule="auto"/>
        <w:rPr>
          <w:rFonts w:ascii="宋体" w:hAnsi="宋体" w:cs="宋体"/>
          <w:color w:val="auto"/>
          <w:szCs w:val="21"/>
        </w:rPr>
      </w:pPr>
      <w:r>
        <w:rPr>
          <w:rFonts w:hint="eastAsia" w:ascii="宋体" w:hAnsi="宋体" w:cs="宋体"/>
          <w:color w:val="auto"/>
          <w:szCs w:val="21"/>
          <w:lang w:val="zh-CN"/>
        </w:rPr>
        <w:t>电子邮件地址</w:t>
      </w:r>
      <w:r>
        <w:rPr>
          <w:rFonts w:hint="eastAsia" w:ascii="宋体" w:hAnsi="宋体" w:cs="宋体"/>
          <w:color w:val="auto"/>
          <w:szCs w:val="21"/>
        </w:rPr>
        <w:t>：759459005@qq.com。售价：</w:t>
      </w:r>
      <w:r>
        <w:rPr>
          <w:rFonts w:ascii="宋体" w:hAnsi="宋体" w:cs="宋体"/>
          <w:color w:val="auto"/>
          <w:szCs w:val="21"/>
        </w:rPr>
        <w:t>5</w:t>
      </w:r>
      <w:r>
        <w:rPr>
          <w:rFonts w:hint="eastAsia" w:ascii="宋体" w:hAnsi="宋体" w:cs="宋体"/>
          <w:color w:val="auto"/>
          <w:szCs w:val="21"/>
        </w:rPr>
        <w:t>00元整。</w:t>
      </w:r>
    </w:p>
    <w:p>
      <w:pPr>
        <w:widowControl/>
        <w:spacing w:line="360" w:lineRule="auto"/>
        <w:ind w:firstLine="422"/>
        <w:jc w:val="left"/>
        <w:outlineLvl w:val="1"/>
        <w:rPr>
          <w:rFonts w:ascii="宋体" w:hAnsi="宋体" w:cs="宋体"/>
          <w:b/>
          <w:bCs/>
          <w:color w:val="auto"/>
          <w:kern w:val="0"/>
          <w:szCs w:val="21"/>
        </w:rPr>
      </w:pPr>
      <w:r>
        <w:rPr>
          <w:rFonts w:hint="eastAsia" w:ascii="宋体" w:hAnsi="宋体" w:cs="宋体"/>
          <w:b/>
          <w:bCs/>
          <w:color w:val="auto"/>
          <w:kern w:val="0"/>
          <w:szCs w:val="21"/>
        </w:rPr>
        <w:t>四、响应文件提交</w:t>
      </w:r>
      <w:bookmarkEnd w:id="17"/>
      <w:bookmarkEnd w:id="18"/>
      <w:bookmarkEnd w:id="19"/>
      <w:bookmarkEnd w:id="20"/>
    </w:p>
    <w:p>
      <w:pPr>
        <w:spacing w:line="360" w:lineRule="auto"/>
        <w:ind w:firstLine="420" w:firstLineChars="200"/>
        <w:rPr>
          <w:rFonts w:ascii="宋体" w:hAnsi="宋体" w:cs="宋体"/>
          <w:bCs/>
          <w:color w:val="auto"/>
          <w:szCs w:val="21"/>
        </w:rPr>
      </w:pPr>
      <w:r>
        <w:rPr>
          <w:rFonts w:hint="eastAsia" w:ascii="宋体" w:hAnsi="宋体" w:cs="宋体"/>
          <w:color w:val="auto"/>
          <w:szCs w:val="21"/>
        </w:rPr>
        <w:t>文件接收时间：</w:t>
      </w:r>
      <w:r>
        <w:rPr>
          <w:rFonts w:hint="eastAsia" w:ascii="宋体" w:hAnsi="宋体" w:cs="宋体"/>
          <w:color w:val="auto"/>
          <w:szCs w:val="21"/>
          <w:u w:val="single"/>
        </w:rPr>
        <w:t>202</w:t>
      </w:r>
      <w:r>
        <w:rPr>
          <w:rFonts w:ascii="宋体" w:hAnsi="宋体" w:cs="宋体"/>
          <w:color w:val="auto"/>
          <w:szCs w:val="21"/>
          <w:u w:val="single"/>
        </w:rPr>
        <w:t>4</w:t>
      </w:r>
      <w:r>
        <w:rPr>
          <w:rFonts w:hint="eastAsia" w:ascii="宋体" w:hAnsi="宋体" w:cs="宋体"/>
          <w:color w:val="auto"/>
          <w:szCs w:val="21"/>
          <w:u w:val="single"/>
        </w:rPr>
        <w:t>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bCs/>
          <w:color w:val="auto"/>
          <w:szCs w:val="21"/>
          <w:u w:val="single"/>
          <w:lang w:val="en-US" w:eastAsia="zh-CN"/>
        </w:rPr>
        <w:t>2</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点00分-</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点30分</w:t>
      </w:r>
      <w:r>
        <w:rPr>
          <w:rFonts w:hint="eastAsia" w:ascii="宋体" w:hAnsi="宋体" w:cs="宋体"/>
          <w:bCs/>
          <w:color w:val="auto"/>
          <w:szCs w:val="21"/>
        </w:rPr>
        <w:t>（北京时间）</w:t>
      </w:r>
    </w:p>
    <w:p>
      <w:pPr>
        <w:spacing w:line="360" w:lineRule="auto"/>
        <w:ind w:firstLine="420" w:firstLineChars="200"/>
        <w:rPr>
          <w:rFonts w:ascii="宋体" w:hAnsi="宋体" w:cs="宋体"/>
          <w:bCs/>
          <w:color w:val="auto"/>
          <w:szCs w:val="21"/>
        </w:rPr>
      </w:pPr>
      <w:r>
        <w:rPr>
          <w:rFonts w:hint="eastAsia" w:ascii="宋体" w:hAnsi="宋体" w:cs="宋体"/>
          <w:color w:val="auto"/>
          <w:szCs w:val="21"/>
        </w:rPr>
        <w:t>截止时间：</w:t>
      </w:r>
      <w:r>
        <w:rPr>
          <w:rFonts w:hint="eastAsia" w:ascii="宋体" w:hAnsi="宋体" w:cs="宋体"/>
          <w:color w:val="auto"/>
          <w:szCs w:val="21"/>
          <w:u w:val="single"/>
        </w:rPr>
        <w:t>202</w:t>
      </w:r>
      <w:r>
        <w:rPr>
          <w:rFonts w:ascii="宋体" w:hAnsi="宋体" w:cs="宋体"/>
          <w:color w:val="auto"/>
          <w:szCs w:val="21"/>
          <w:u w:val="single"/>
        </w:rPr>
        <w:t>4</w:t>
      </w:r>
      <w:r>
        <w:rPr>
          <w:rFonts w:hint="eastAsia" w:ascii="宋体" w:hAnsi="宋体" w:cs="宋体"/>
          <w:color w:val="auto"/>
          <w:szCs w:val="21"/>
          <w:u w:val="single"/>
        </w:rPr>
        <w:t>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color w:val="auto"/>
          <w:szCs w:val="21"/>
          <w:u w:val="single"/>
          <w:lang w:val="en-US" w:eastAsia="zh-CN"/>
        </w:rPr>
        <w:t>2</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点30分</w:t>
      </w:r>
      <w:r>
        <w:rPr>
          <w:rFonts w:hint="eastAsia" w:ascii="宋体" w:hAnsi="宋体" w:cs="宋体"/>
          <w:bCs/>
          <w:color w:val="auto"/>
          <w:szCs w:val="21"/>
        </w:rPr>
        <w:t>（北京时间）</w:t>
      </w:r>
    </w:p>
    <w:p>
      <w:pPr>
        <w:spacing w:line="360" w:lineRule="auto"/>
        <w:ind w:firstLine="420" w:firstLineChars="200"/>
        <w:rPr>
          <w:rFonts w:ascii="宋体" w:hAnsi="宋体" w:cs="宋体"/>
          <w:bCs/>
          <w:color w:val="auto"/>
          <w:szCs w:val="21"/>
        </w:rPr>
      </w:pPr>
      <w:r>
        <w:rPr>
          <w:rFonts w:hint="eastAsia" w:ascii="宋体" w:hAnsi="宋体" w:cs="宋体"/>
          <w:color w:val="auto"/>
          <w:szCs w:val="21"/>
        </w:rPr>
        <w:t>地点： 泰州市海陵区吴州南路11号A栋3楼会议室</w:t>
      </w:r>
    </w:p>
    <w:p>
      <w:pPr>
        <w:widowControl/>
        <w:spacing w:line="360" w:lineRule="auto"/>
        <w:ind w:firstLine="422"/>
        <w:jc w:val="left"/>
        <w:outlineLvl w:val="1"/>
        <w:rPr>
          <w:rFonts w:ascii="宋体" w:hAnsi="宋体" w:cs="宋体"/>
          <w:b/>
          <w:bCs/>
          <w:color w:val="auto"/>
          <w:kern w:val="0"/>
          <w:szCs w:val="21"/>
        </w:rPr>
      </w:pPr>
      <w:bookmarkStart w:id="21" w:name="_Toc28359016"/>
      <w:bookmarkStart w:id="22" w:name="_Toc35393633"/>
      <w:bookmarkStart w:id="23" w:name="_Toc35393802"/>
      <w:bookmarkStart w:id="24" w:name="_Toc28359093"/>
      <w:r>
        <w:rPr>
          <w:rFonts w:hint="eastAsia" w:ascii="宋体" w:hAnsi="宋体" w:cs="宋体"/>
          <w:b/>
          <w:bCs/>
          <w:color w:val="auto"/>
          <w:kern w:val="0"/>
          <w:szCs w:val="21"/>
        </w:rPr>
        <w:t>五、开启</w:t>
      </w:r>
      <w:bookmarkEnd w:id="21"/>
      <w:bookmarkEnd w:id="22"/>
      <w:bookmarkEnd w:id="23"/>
      <w:bookmarkEnd w:id="24"/>
      <w:r>
        <w:rPr>
          <w:rFonts w:hint="eastAsia" w:ascii="宋体" w:hAnsi="宋体" w:cs="宋体"/>
          <w:b/>
          <w:bCs/>
          <w:color w:val="auto"/>
          <w:kern w:val="0"/>
          <w:szCs w:val="21"/>
        </w:rPr>
        <w:t>（开标时间）</w:t>
      </w:r>
    </w:p>
    <w:p>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u w:val="single"/>
        </w:rPr>
        <w:t>202</w:t>
      </w:r>
      <w:r>
        <w:rPr>
          <w:rFonts w:ascii="宋体" w:hAnsi="宋体" w:cs="宋体"/>
          <w:color w:val="auto"/>
          <w:szCs w:val="21"/>
          <w:u w:val="single"/>
        </w:rPr>
        <w:t>4</w:t>
      </w:r>
      <w:r>
        <w:rPr>
          <w:rFonts w:hint="eastAsia" w:ascii="宋体" w:hAnsi="宋体" w:cs="宋体"/>
          <w:color w:val="auto"/>
          <w:szCs w:val="21"/>
          <w:u w:val="single"/>
        </w:rPr>
        <w:t>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color w:val="auto"/>
          <w:szCs w:val="21"/>
          <w:u w:val="single"/>
          <w:lang w:val="en-US" w:eastAsia="zh-CN"/>
        </w:rPr>
        <w:t>2</w:t>
      </w:r>
      <w:r>
        <w:rPr>
          <w:rFonts w:hint="eastAsia" w:ascii="宋体" w:hAnsi="宋体" w:cs="宋体"/>
          <w:color w:val="auto"/>
          <w:szCs w:val="21"/>
          <w:u w:val="single"/>
        </w:rPr>
        <w:t>日</w:t>
      </w:r>
      <w:r>
        <w:rPr>
          <w:rFonts w:hint="eastAsia" w:ascii="宋体" w:hAnsi="宋体" w:cs="宋体"/>
          <w:color w:val="auto"/>
          <w:szCs w:val="21"/>
          <w:u w:val="single"/>
          <w:lang w:val="en-US" w:eastAsia="zh-CN"/>
        </w:rPr>
        <w:t>9</w:t>
      </w:r>
      <w:r>
        <w:rPr>
          <w:rFonts w:hint="eastAsia" w:ascii="宋体" w:hAnsi="宋体" w:cs="宋体"/>
          <w:bCs/>
          <w:color w:val="auto"/>
          <w:szCs w:val="21"/>
          <w:u w:val="single"/>
        </w:rPr>
        <w:t>点30 分</w:t>
      </w:r>
      <w:r>
        <w:rPr>
          <w:rFonts w:hint="eastAsia" w:ascii="宋体" w:hAnsi="宋体" w:cs="宋体"/>
          <w:bCs/>
          <w:color w:val="auto"/>
          <w:szCs w:val="21"/>
        </w:rPr>
        <w:t>（北京时间）</w:t>
      </w:r>
    </w:p>
    <w:p>
      <w:pPr>
        <w:spacing w:line="360" w:lineRule="auto"/>
        <w:ind w:firstLine="420" w:firstLineChars="200"/>
        <w:rPr>
          <w:rFonts w:ascii="宋体" w:hAnsi="宋体" w:cs="宋体"/>
          <w:bCs/>
          <w:color w:val="auto"/>
          <w:szCs w:val="21"/>
        </w:rPr>
      </w:pPr>
      <w:r>
        <w:rPr>
          <w:rFonts w:hint="eastAsia" w:ascii="宋体" w:hAnsi="宋体" w:cs="宋体"/>
          <w:color w:val="auto"/>
          <w:szCs w:val="21"/>
        </w:rPr>
        <w:t>地点：泰州市海陵区吴州南路11号A栋3楼会议室</w:t>
      </w:r>
    </w:p>
    <w:p>
      <w:pPr>
        <w:widowControl/>
        <w:spacing w:line="360" w:lineRule="auto"/>
        <w:ind w:firstLine="422"/>
        <w:jc w:val="left"/>
        <w:outlineLvl w:val="1"/>
        <w:rPr>
          <w:rFonts w:ascii="宋体" w:hAnsi="宋体" w:cs="宋体"/>
          <w:b/>
          <w:bCs/>
          <w:color w:val="auto"/>
          <w:kern w:val="0"/>
          <w:szCs w:val="21"/>
        </w:rPr>
      </w:pPr>
      <w:bookmarkStart w:id="25" w:name="_Toc28359017"/>
      <w:bookmarkStart w:id="26" w:name="_Toc35393634"/>
      <w:bookmarkStart w:id="27" w:name="_Toc35393803"/>
      <w:bookmarkStart w:id="28" w:name="_Toc28359094"/>
      <w:r>
        <w:rPr>
          <w:rFonts w:hint="eastAsia" w:ascii="宋体" w:hAnsi="宋体" w:cs="宋体"/>
          <w:b/>
          <w:bCs/>
          <w:color w:val="auto"/>
          <w:kern w:val="0"/>
          <w:szCs w:val="21"/>
        </w:rPr>
        <w:t>六、公告期限</w:t>
      </w:r>
      <w:bookmarkEnd w:id="25"/>
      <w:bookmarkEnd w:id="26"/>
      <w:bookmarkEnd w:id="27"/>
      <w:bookmarkEnd w:id="28"/>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widowControl/>
        <w:numPr>
          <w:ilvl w:val="0"/>
          <w:numId w:val="3"/>
        </w:numPr>
        <w:spacing w:line="360" w:lineRule="auto"/>
        <w:ind w:firstLine="422"/>
        <w:jc w:val="left"/>
        <w:outlineLvl w:val="1"/>
        <w:rPr>
          <w:rFonts w:ascii="宋体" w:hAnsi="宋体" w:cs="宋体"/>
          <w:b/>
          <w:bCs/>
          <w:color w:val="auto"/>
          <w:kern w:val="0"/>
          <w:szCs w:val="21"/>
        </w:rPr>
      </w:pPr>
      <w:bookmarkStart w:id="29" w:name="_Toc35393804"/>
      <w:bookmarkStart w:id="30" w:name="_Toc35393635"/>
      <w:r>
        <w:rPr>
          <w:rFonts w:hint="eastAsia" w:ascii="宋体" w:hAnsi="宋体" w:cs="宋体"/>
          <w:b/>
          <w:bCs/>
          <w:color w:val="auto"/>
          <w:kern w:val="0"/>
          <w:szCs w:val="21"/>
        </w:rPr>
        <w:t>其他补充事宜</w:t>
      </w:r>
      <w:bookmarkEnd w:id="29"/>
      <w:bookmarkEnd w:id="30"/>
    </w:p>
    <w:p>
      <w:pPr>
        <w:spacing w:line="360" w:lineRule="auto"/>
        <w:ind w:firstLine="420" w:firstLineChars="200"/>
        <w:rPr>
          <w:rFonts w:ascii="宋体" w:hAnsi="宋体"/>
          <w:bCs/>
          <w:color w:val="auto"/>
          <w:szCs w:val="21"/>
        </w:rPr>
      </w:pPr>
      <w:r>
        <w:rPr>
          <w:rFonts w:hint="eastAsia" w:ascii="宋体" w:hAnsi="宋体" w:cs="宋体"/>
          <w:color w:val="auto"/>
          <w:kern w:val="0"/>
          <w:szCs w:val="21"/>
        </w:rPr>
        <w:t xml:space="preserve"> 1. </w:t>
      </w:r>
      <w:r>
        <w:rPr>
          <w:rFonts w:hint="eastAsia" w:ascii="宋体" w:hAnsi="宋体"/>
          <w:b/>
          <w:color w:val="auto"/>
          <w:szCs w:val="21"/>
        </w:rPr>
        <w:t>发布招标公告的媒介：</w:t>
      </w:r>
      <w:r>
        <w:rPr>
          <w:rFonts w:hint="eastAsia" w:ascii="宋体" w:hAnsi="宋体"/>
          <w:bCs/>
          <w:color w:val="auto"/>
          <w:szCs w:val="21"/>
        </w:rPr>
        <w:t>“江苏政府采购网”；</w:t>
      </w:r>
    </w:p>
    <w:p>
      <w:pPr>
        <w:adjustRightInd w:val="0"/>
        <w:snapToGrid w:val="0"/>
        <w:spacing w:line="360" w:lineRule="auto"/>
        <w:ind w:firstLine="422" w:firstLineChars="200"/>
        <w:rPr>
          <w:rFonts w:ascii="宋体" w:hAnsi="宋体" w:cs="宋体"/>
          <w:color w:val="auto"/>
          <w:kern w:val="0"/>
          <w:szCs w:val="21"/>
        </w:rPr>
      </w:pPr>
      <w:r>
        <w:rPr>
          <w:rFonts w:hint="eastAsia" w:ascii="宋体" w:hAnsi="宋体"/>
          <w:b/>
          <w:color w:val="auto"/>
          <w:szCs w:val="21"/>
        </w:rPr>
        <w:t>注意事项：</w:t>
      </w:r>
      <w:r>
        <w:rPr>
          <w:rFonts w:hint="eastAsia" w:ascii="宋体" w:hAnsi="宋体"/>
          <w:color w:val="auto"/>
          <w:szCs w:val="21"/>
        </w:rPr>
        <w:t>有关本项目的更正、补充等内容将通过上述网站公布，请投标人关注。投标人有义务在采购活动期间浏览上述网页，采购人（或招标代理机构）在上述网站公布的与本次项目有关的信息视为已送达各投标人。</w:t>
      </w:r>
    </w:p>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2.本次磋商响应文件制作份数要求：正本1份，副本2份。</w:t>
      </w:r>
    </w:p>
    <w:p>
      <w:pPr>
        <w:pStyle w:val="17"/>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3.本项目不接受响应人以邮递、电子邮件等方式递交的响应文件，响应文件应由其法人代表（负责人）或持法人代表（负责人）委托书的授权代表于开标前当面提交。</w:t>
      </w:r>
    </w:p>
    <w:p>
      <w:pPr>
        <w:widowControl/>
        <w:spacing w:line="360" w:lineRule="auto"/>
        <w:ind w:firstLine="422"/>
        <w:jc w:val="left"/>
        <w:outlineLvl w:val="1"/>
        <w:rPr>
          <w:rFonts w:ascii="宋体" w:hAnsi="宋体" w:cs="宋体"/>
          <w:b/>
          <w:bCs/>
          <w:color w:val="auto"/>
          <w:kern w:val="0"/>
          <w:szCs w:val="21"/>
        </w:rPr>
      </w:pPr>
      <w:bookmarkStart w:id="31" w:name="_Toc28359095"/>
      <w:bookmarkStart w:id="32" w:name="_Toc28359018"/>
      <w:bookmarkStart w:id="33" w:name="_Toc35393636"/>
      <w:bookmarkStart w:id="34" w:name="_Toc35393805"/>
      <w:r>
        <w:rPr>
          <w:rFonts w:hint="eastAsia" w:ascii="宋体" w:hAnsi="宋体" w:cs="宋体"/>
          <w:b/>
          <w:bCs/>
          <w:color w:val="auto"/>
          <w:kern w:val="0"/>
          <w:szCs w:val="21"/>
        </w:rPr>
        <w:t>八、凡对本次采购提出询问，请按以下方式联系。</w:t>
      </w:r>
      <w:bookmarkEnd w:id="31"/>
      <w:bookmarkEnd w:id="32"/>
      <w:bookmarkEnd w:id="33"/>
      <w:bookmarkEnd w:id="34"/>
    </w:p>
    <w:p>
      <w:pPr>
        <w:spacing w:line="360" w:lineRule="auto"/>
        <w:rPr>
          <w:rFonts w:ascii="宋体" w:hAnsi="宋体"/>
          <w:color w:val="auto"/>
          <w:szCs w:val="21"/>
        </w:rPr>
      </w:pPr>
      <w:r>
        <w:rPr>
          <w:rFonts w:hint="eastAsia" w:ascii="宋体" w:hAnsi="宋体"/>
          <w:color w:val="auto"/>
          <w:szCs w:val="21"/>
        </w:rPr>
        <w:t>1.采购人信息</w:t>
      </w:r>
    </w:p>
    <w:p>
      <w:pPr>
        <w:spacing w:line="360" w:lineRule="auto"/>
        <w:rPr>
          <w:rFonts w:ascii="宋体" w:hAnsi="宋体"/>
          <w:color w:val="auto"/>
          <w:szCs w:val="21"/>
        </w:rPr>
      </w:pPr>
      <w:r>
        <w:rPr>
          <w:rFonts w:hint="eastAsia" w:ascii="宋体" w:hAnsi="宋体"/>
          <w:color w:val="auto"/>
          <w:szCs w:val="21"/>
        </w:rPr>
        <w:t>名 称：泰州市交通运输综合行政执法支队</w:t>
      </w:r>
    </w:p>
    <w:p>
      <w:pPr>
        <w:spacing w:line="360" w:lineRule="auto"/>
        <w:rPr>
          <w:rFonts w:ascii="宋体" w:hAnsi="宋体"/>
          <w:color w:val="auto"/>
          <w:szCs w:val="21"/>
        </w:rPr>
      </w:pPr>
      <w:r>
        <w:rPr>
          <w:rFonts w:hint="eastAsia" w:ascii="宋体" w:hAnsi="宋体"/>
          <w:color w:val="auto"/>
          <w:szCs w:val="21"/>
        </w:rPr>
        <w:t>地址：泰州市海陵区吴州南路11号</w:t>
      </w:r>
    </w:p>
    <w:p>
      <w:pPr>
        <w:spacing w:line="360" w:lineRule="auto"/>
        <w:rPr>
          <w:rFonts w:ascii="宋体" w:hAnsi="宋体"/>
          <w:color w:val="auto"/>
          <w:szCs w:val="21"/>
        </w:rPr>
      </w:pPr>
      <w:r>
        <w:rPr>
          <w:rFonts w:hint="eastAsia" w:ascii="宋体" w:hAnsi="宋体"/>
          <w:color w:val="auto"/>
          <w:szCs w:val="21"/>
        </w:rPr>
        <w:t xml:space="preserve">联系人：赵先生 </w:t>
      </w:r>
      <w:r>
        <w:rPr>
          <w:rFonts w:ascii="宋体" w:hAnsi="宋体"/>
          <w:color w:val="auto"/>
          <w:szCs w:val="21"/>
        </w:rPr>
        <w:t xml:space="preserve"> </w:t>
      </w:r>
      <w:r>
        <w:rPr>
          <w:rFonts w:hint="eastAsia" w:ascii="宋体" w:hAnsi="宋体"/>
          <w:color w:val="auto"/>
          <w:szCs w:val="21"/>
        </w:rPr>
        <w:t xml:space="preserve">    电话：18115988958</w:t>
      </w:r>
      <w:r>
        <w:rPr>
          <w:rFonts w:ascii="宋体" w:hAnsi="宋体"/>
          <w:color w:val="auto"/>
          <w:szCs w:val="21"/>
        </w:rPr>
        <w:t xml:space="preserve"> </w:t>
      </w:r>
    </w:p>
    <w:p>
      <w:pPr>
        <w:spacing w:line="360" w:lineRule="auto"/>
        <w:rPr>
          <w:rFonts w:ascii="宋体" w:hAnsi="宋体"/>
          <w:color w:val="auto"/>
          <w:szCs w:val="21"/>
        </w:rPr>
      </w:pPr>
      <w:r>
        <w:rPr>
          <w:rFonts w:hint="eastAsia" w:ascii="宋体" w:hAnsi="宋体"/>
          <w:color w:val="auto"/>
          <w:szCs w:val="21"/>
        </w:rPr>
        <w:t>2.采购代理机构信息</w:t>
      </w:r>
    </w:p>
    <w:p>
      <w:pPr>
        <w:spacing w:line="360" w:lineRule="auto"/>
        <w:rPr>
          <w:rFonts w:ascii="宋体" w:hAnsi="宋体"/>
          <w:color w:val="auto"/>
          <w:szCs w:val="21"/>
        </w:rPr>
      </w:pPr>
      <w:r>
        <w:rPr>
          <w:rFonts w:hint="eastAsia" w:ascii="宋体" w:hAnsi="宋体"/>
          <w:color w:val="auto"/>
          <w:szCs w:val="21"/>
        </w:rPr>
        <w:t>名称：江苏建协全过程工程咨询有限公司</w:t>
      </w:r>
    </w:p>
    <w:p>
      <w:pPr>
        <w:spacing w:line="360" w:lineRule="auto"/>
        <w:rPr>
          <w:rFonts w:ascii="宋体" w:hAnsi="宋体"/>
          <w:color w:val="auto"/>
          <w:szCs w:val="21"/>
        </w:rPr>
      </w:pPr>
      <w:r>
        <w:rPr>
          <w:rFonts w:hint="eastAsia" w:ascii="宋体" w:hAnsi="宋体"/>
          <w:color w:val="auto"/>
          <w:szCs w:val="21"/>
        </w:rPr>
        <w:t>地址：泰州市海陵区春风路108号3楼</w:t>
      </w:r>
    </w:p>
    <w:p>
      <w:pPr>
        <w:spacing w:line="360" w:lineRule="auto"/>
        <w:rPr>
          <w:rFonts w:ascii="宋体" w:hAnsi="宋体"/>
          <w:color w:val="auto"/>
          <w:szCs w:val="21"/>
        </w:rPr>
      </w:pPr>
      <w:r>
        <w:rPr>
          <w:rFonts w:hint="eastAsia" w:ascii="宋体" w:hAnsi="宋体"/>
          <w:color w:val="auto"/>
          <w:szCs w:val="21"/>
        </w:rPr>
        <w:t>联系方式：宿先生   联系方式：18361811891　</w:t>
      </w:r>
    </w:p>
    <w:p>
      <w:pPr>
        <w:spacing w:line="360" w:lineRule="auto"/>
        <w:ind w:firstLine="422"/>
        <w:jc w:val="center"/>
        <w:rPr>
          <w:rFonts w:ascii="宋体" w:hAnsi="宋体"/>
          <w:b/>
          <w:color w:val="auto"/>
          <w:szCs w:val="21"/>
        </w:rPr>
      </w:pPr>
    </w:p>
    <w:p>
      <w:pPr>
        <w:pStyle w:val="16"/>
        <w:spacing w:line="360" w:lineRule="auto"/>
        <w:ind w:firstLine="560"/>
        <w:rPr>
          <w:color w:val="auto"/>
        </w:rPr>
      </w:pPr>
    </w:p>
    <w:p>
      <w:pPr>
        <w:pStyle w:val="16"/>
        <w:spacing w:line="360" w:lineRule="auto"/>
        <w:ind w:firstLine="560"/>
        <w:rPr>
          <w:color w:val="auto"/>
        </w:rPr>
        <w:sectPr>
          <w:footerReference r:id="rId5" w:type="default"/>
          <w:footerReference r:id="rId6" w:type="even"/>
          <w:pgSz w:w="11907" w:h="16840"/>
          <w:pgMar w:top="1247" w:right="1080" w:bottom="1247" w:left="1080" w:header="851" w:footer="851" w:gutter="0"/>
          <w:cols w:space="720" w:num="1"/>
          <w:docGrid w:linePitch="312" w:charSpace="0"/>
        </w:sectPr>
      </w:pPr>
    </w:p>
    <w:p>
      <w:pPr>
        <w:spacing w:line="360" w:lineRule="auto"/>
        <w:ind w:firstLine="422"/>
        <w:jc w:val="center"/>
        <w:outlineLvl w:val="0"/>
        <w:rPr>
          <w:rFonts w:ascii="宋体" w:hAnsi="宋体"/>
          <w:b/>
          <w:color w:val="auto"/>
          <w:szCs w:val="21"/>
        </w:rPr>
      </w:pPr>
      <w:r>
        <w:rPr>
          <w:rFonts w:hint="eastAsia" w:ascii="宋体" w:hAnsi="宋体"/>
          <w:b/>
          <w:color w:val="auto"/>
          <w:szCs w:val="21"/>
        </w:rPr>
        <w:t>第二章 参加磋商供应商须知</w:t>
      </w:r>
      <w:bookmarkEnd w:id="5"/>
    </w:p>
    <w:p>
      <w:pPr>
        <w:spacing w:line="360" w:lineRule="auto"/>
        <w:ind w:firstLine="420" w:firstLineChars="200"/>
        <w:jc w:val="center"/>
        <w:rPr>
          <w:rFonts w:ascii="宋体" w:hAnsi="宋体"/>
          <w:b/>
          <w:bCs/>
          <w:color w:val="auto"/>
          <w:szCs w:val="21"/>
        </w:rPr>
      </w:pPr>
      <w:r>
        <w:rPr>
          <w:rFonts w:hint="eastAsia" w:ascii="宋体" w:hAnsi="宋体"/>
          <w:bCs/>
          <w:color w:val="auto"/>
          <w:szCs w:val="21"/>
        </w:rPr>
        <w:t>（参加竞争性磋商的供应商以下简称“磋商供应商”）</w:t>
      </w:r>
    </w:p>
    <w:bookmarkEnd w:id="6"/>
    <w:bookmarkEnd w:id="7"/>
    <w:bookmarkEnd w:id="8"/>
    <w:p>
      <w:pPr>
        <w:tabs>
          <w:tab w:val="left" w:pos="900"/>
        </w:tabs>
        <w:spacing w:line="360" w:lineRule="auto"/>
        <w:ind w:firstLine="422" w:firstLineChars="200"/>
        <w:outlineLvl w:val="1"/>
        <w:rPr>
          <w:rFonts w:ascii="宋体" w:hAnsi="宋体"/>
          <w:b/>
          <w:color w:val="auto"/>
          <w:szCs w:val="21"/>
        </w:rPr>
      </w:pPr>
      <w:r>
        <w:rPr>
          <w:rFonts w:hint="eastAsia" w:ascii="宋体" w:hAnsi="宋体"/>
          <w:b/>
          <w:color w:val="auto"/>
          <w:szCs w:val="21"/>
        </w:rPr>
        <w:t>一、总则</w:t>
      </w:r>
    </w:p>
    <w:p>
      <w:pPr>
        <w:tabs>
          <w:tab w:val="left" w:pos="900"/>
          <w:tab w:val="center" w:pos="4873"/>
        </w:tabs>
        <w:spacing w:line="360" w:lineRule="auto"/>
        <w:ind w:firstLine="420" w:firstLineChars="200"/>
        <w:outlineLvl w:val="2"/>
        <w:rPr>
          <w:rFonts w:ascii="宋体" w:hAnsi="宋体"/>
          <w:color w:val="auto"/>
          <w:szCs w:val="21"/>
        </w:rPr>
      </w:pPr>
      <w:r>
        <w:rPr>
          <w:rFonts w:hint="eastAsia" w:ascii="宋体" w:hAnsi="宋体"/>
          <w:color w:val="auto"/>
          <w:szCs w:val="21"/>
        </w:rPr>
        <w:t>1、适用范围</w:t>
      </w:r>
      <w:r>
        <w:rPr>
          <w:rFonts w:hint="eastAsia" w:ascii="宋体" w:hAnsi="宋体"/>
          <w:color w:val="auto"/>
          <w:szCs w:val="21"/>
        </w:rPr>
        <w:tab/>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本磋商文件仅适用于</w:t>
      </w:r>
      <w:r>
        <w:rPr>
          <w:rFonts w:hint="eastAsia" w:ascii="宋体" w:hAnsi="宋体" w:cs="宋体"/>
          <w:color w:val="auto"/>
          <w:kern w:val="0"/>
          <w:szCs w:val="21"/>
          <w:lang w:val="zh-CN"/>
        </w:rPr>
        <w:t>泰州市交通运输综合行政执法支队食堂餐饮服务项目</w:t>
      </w:r>
      <w:r>
        <w:rPr>
          <w:rFonts w:hint="eastAsia" w:ascii="宋体" w:hAnsi="宋体"/>
          <w:color w:val="auto"/>
          <w:szCs w:val="21"/>
        </w:rPr>
        <w:t>。</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2、项目采购方式</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本次采购采取竞争性磋商的方式。</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3、合格的磋商供应商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3.1满足本磋商文件“竞争性磋商采购公告”中合格磋商供应商资格要求的规定。</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3.2 满足本磋商文件实质性要求和条件的规定。</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4、参加磋商费用</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4.1参加磋商供应商应自行承担所有与参加磋商有关的费用。不论最终的成交结果如何，江苏建协全过程工程咨询有限公司（以下简称代理机构）在任何情况下均无义务和责任承担这些费用。</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4.2招标代理服务费参照计价格〔2002〕1980号文和发改价格〔2011〕534号计取。上述费用由供应商支付，请各供应商在报价时考虑，确定成交供应商后领取中标通知书前一次性缴纳给招标代理服务机构。</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5、磋商文件的约束力</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供应商一旦领取了本磋商文件并决定参加磋商，即被认为接受了本磋商文件的规定和约束，并且视为自竞争性磋商公告期限届满之日起已经知道或应当知道自身权益是否受到了损害。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6、</w:t>
      </w:r>
      <w:bookmarkStart w:id="35" w:name="_Toc16938527"/>
      <w:bookmarkStart w:id="36" w:name="_Toc513029211"/>
      <w:bookmarkStart w:id="37" w:name="_Toc20823283"/>
      <w:bookmarkStart w:id="38" w:name="_Toc462564070"/>
      <w:r>
        <w:rPr>
          <w:rFonts w:hint="eastAsia" w:ascii="宋体" w:hAnsi="宋体"/>
          <w:color w:val="auto"/>
          <w:szCs w:val="21"/>
        </w:rPr>
        <w:t>磋商文件的澄清</w:t>
      </w:r>
      <w:bookmarkEnd w:id="35"/>
      <w:bookmarkEnd w:id="36"/>
      <w:bookmarkEnd w:id="37"/>
      <w:bookmarkEnd w:id="38"/>
      <w:r>
        <w:rPr>
          <w:rFonts w:hint="eastAsia" w:ascii="宋体" w:hAnsi="宋体"/>
          <w:color w:val="auto"/>
          <w:szCs w:val="21"/>
        </w:rPr>
        <w:t>及修改</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6.1任何要求对磋商文件进行澄清的供应商，均应在法律法规规定的质疑时效内按竞争性磋商采购邀请中的通讯地址，以书面形式通知代理机构，（以代理机构实际收到供应商相关文件为准）。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以书面形式通知所有获取磋商文件的供应商。不足5日的，代理机构顺延提交首次响应文件截止时间。</w:t>
      </w:r>
    </w:p>
    <w:p>
      <w:pPr>
        <w:tabs>
          <w:tab w:val="left" w:pos="900"/>
        </w:tabs>
        <w:spacing w:line="360" w:lineRule="auto"/>
        <w:ind w:firstLine="420" w:firstLineChars="200"/>
        <w:rPr>
          <w:rFonts w:ascii="宋体" w:hAnsi="宋体"/>
          <w:bCs/>
          <w:snapToGrid w:val="0"/>
          <w:color w:val="auto"/>
          <w:kern w:val="0"/>
          <w:szCs w:val="21"/>
        </w:rPr>
      </w:pPr>
      <w:r>
        <w:rPr>
          <w:rFonts w:hint="eastAsia" w:ascii="宋体" w:hAnsi="宋体"/>
          <w:bCs/>
          <w:snapToGrid w:val="0"/>
          <w:color w:val="auto"/>
          <w:kern w:val="0"/>
          <w:szCs w:val="21"/>
        </w:rPr>
        <w:t>6.2代理机构可以视采购项目的具体情况，组织供应商进行现场考察或召开磋商前答疑会，但不单独或分别组织只有一个供应商参加的现场考察和答疑会。</w:t>
      </w:r>
    </w:p>
    <w:p>
      <w:pPr>
        <w:numPr>
          <w:ilvl w:val="0"/>
          <w:numId w:val="4"/>
        </w:numPr>
        <w:tabs>
          <w:tab w:val="left" w:pos="900"/>
        </w:tabs>
        <w:spacing w:line="360" w:lineRule="auto"/>
        <w:ind w:firstLine="422" w:firstLineChars="200"/>
        <w:outlineLvl w:val="2"/>
        <w:rPr>
          <w:rFonts w:ascii="宋体" w:hAnsi="宋体"/>
          <w:b/>
          <w:snapToGrid w:val="0"/>
          <w:color w:val="auto"/>
          <w:kern w:val="0"/>
          <w:szCs w:val="21"/>
        </w:rPr>
      </w:pPr>
      <w:r>
        <w:rPr>
          <w:rFonts w:hint="eastAsia" w:ascii="宋体" w:hAnsi="宋体"/>
          <w:b/>
          <w:snapToGrid w:val="0"/>
          <w:color w:val="auto"/>
          <w:kern w:val="0"/>
          <w:szCs w:val="21"/>
        </w:rPr>
        <w:t>付款方式：</w:t>
      </w:r>
    </w:p>
    <w:p>
      <w:pPr>
        <w:spacing w:line="360" w:lineRule="auto"/>
        <w:ind w:firstLine="420" w:firstLineChars="200"/>
        <w:rPr>
          <w:rFonts w:ascii="宋体" w:hAnsi="宋体"/>
          <w:bCs/>
          <w:snapToGrid w:val="0"/>
          <w:color w:val="auto"/>
          <w:kern w:val="0"/>
          <w:szCs w:val="21"/>
        </w:rPr>
      </w:pPr>
      <w:bookmarkStart w:id="39" w:name="_Hlt26668969"/>
      <w:bookmarkEnd w:id="39"/>
      <w:bookmarkStart w:id="40" w:name="_Hlt26954832"/>
      <w:bookmarkEnd w:id="40"/>
      <w:bookmarkStart w:id="41" w:name="_Hlt26670348"/>
      <w:bookmarkEnd w:id="41"/>
      <w:bookmarkStart w:id="42" w:name="_Hlt26670354"/>
      <w:bookmarkEnd w:id="42"/>
      <w:bookmarkStart w:id="43" w:name="_Hlt26670345"/>
      <w:bookmarkEnd w:id="43"/>
      <w:bookmarkStart w:id="44" w:name="_Hlt26954828"/>
      <w:bookmarkEnd w:id="44"/>
      <w:bookmarkStart w:id="45" w:name="_Hlt26954830"/>
      <w:bookmarkEnd w:id="45"/>
      <w:bookmarkStart w:id="46" w:name="_Toc61149553"/>
      <w:bookmarkStart w:id="47" w:name="_Toc513029213"/>
      <w:bookmarkStart w:id="48" w:name="_Toc462564072"/>
      <w:bookmarkStart w:id="49" w:name="_Toc14577351"/>
      <w:r>
        <w:rPr>
          <w:rFonts w:hint="eastAsia" w:ascii="宋体" w:hAnsi="宋体"/>
          <w:bCs/>
          <w:snapToGrid w:val="0"/>
          <w:color w:val="auto"/>
          <w:kern w:val="0"/>
          <w:szCs w:val="21"/>
        </w:rPr>
        <w:t>合同签订后，乙方按照合同约定时间进场提供服务。服务费按月支付一次。乙方每月5号向甲方提交服务费正式发票。甲方在10个工作日内向乙方支付当月的服务费。</w:t>
      </w:r>
    </w:p>
    <w:p>
      <w:pPr>
        <w:tabs>
          <w:tab w:val="left" w:pos="900"/>
        </w:tabs>
        <w:spacing w:line="360" w:lineRule="auto"/>
        <w:ind w:firstLine="422" w:firstLineChars="200"/>
        <w:outlineLvl w:val="1"/>
        <w:rPr>
          <w:rFonts w:ascii="宋体" w:hAnsi="宋体"/>
          <w:b/>
          <w:color w:val="auto"/>
          <w:szCs w:val="21"/>
        </w:rPr>
      </w:pPr>
      <w:r>
        <w:rPr>
          <w:rFonts w:hint="eastAsia" w:ascii="宋体" w:hAnsi="宋体"/>
          <w:b/>
          <w:color w:val="auto"/>
          <w:szCs w:val="21"/>
        </w:rPr>
        <w:t>二、磋商响应文件的编制</w:t>
      </w:r>
      <w:bookmarkEnd w:id="46"/>
      <w:bookmarkEnd w:id="47"/>
      <w:bookmarkEnd w:id="48"/>
      <w:bookmarkEnd w:id="49"/>
    </w:p>
    <w:p>
      <w:pPr>
        <w:tabs>
          <w:tab w:val="left" w:pos="900"/>
        </w:tabs>
        <w:spacing w:line="360" w:lineRule="auto"/>
        <w:ind w:firstLine="420" w:firstLineChars="200"/>
        <w:outlineLvl w:val="2"/>
        <w:rPr>
          <w:rFonts w:ascii="宋体" w:hAnsi="宋体"/>
          <w:color w:val="auto"/>
          <w:szCs w:val="21"/>
        </w:rPr>
      </w:pPr>
      <w:bookmarkStart w:id="50" w:name="_Toc61149561"/>
      <w:bookmarkStart w:id="51" w:name="_Toc14577361"/>
      <w:bookmarkStart w:id="52" w:name="_Toc513029223"/>
      <w:r>
        <w:rPr>
          <w:rFonts w:hint="eastAsia" w:ascii="宋体" w:hAnsi="宋体"/>
          <w:color w:val="auto"/>
          <w:szCs w:val="21"/>
        </w:rPr>
        <w:t>1、磋商响应文件份数和签署</w:t>
      </w:r>
      <w:bookmarkEnd w:id="50"/>
      <w:bookmarkEnd w:id="51"/>
      <w:bookmarkEnd w:id="52"/>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1.1磋商供应商应严格按照竞争性磋商采购邀请要求准备磋商响应文件（以下简称响应文件），每份响应文件须清楚地标明“正本”或“副本”字样。</w:t>
      </w:r>
    </w:p>
    <w:p>
      <w:pPr>
        <w:snapToGrid w:val="0"/>
        <w:spacing w:line="360" w:lineRule="auto"/>
        <w:ind w:firstLine="420" w:firstLineChars="200"/>
        <w:rPr>
          <w:rFonts w:ascii="宋体" w:hAnsi="宋体"/>
          <w:color w:val="auto"/>
          <w:szCs w:val="21"/>
        </w:rPr>
      </w:pPr>
      <w:r>
        <w:rPr>
          <w:rFonts w:hint="eastAsia" w:ascii="宋体" w:hAnsi="宋体"/>
          <w:color w:val="auto"/>
          <w:szCs w:val="21"/>
        </w:rPr>
        <w:t>本次磋商文件份数：1份正本，2份副本。响应文件的正本和所有的副本均需打印或复印。响应文件正本中，磋商文件规定必须以原件形式提交的文件，供应商应当按要求提交，其他文件可以提供复印件，文字材料需打印或用不褪色墨水书写，响应文件须经法定代表人或授权代表签字和加盖磋商供应商公章。本磋商文件所表述（指定）的公章是指刻有供应商法定名称的印章，不包括投标、合同、财务、税务、发票等形式的业务专用章。供应商的任何违反本条款行为将会直接导致其响应文件有效性的判定或者使其在评审中处于不利地位。</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1.2 除磋商供应商对错处做必要修改外，响应文件不得行间插字、涂改或增删。如有修改错漏处，必须由响应文件签署人签字或盖章。</w:t>
      </w:r>
    </w:p>
    <w:p>
      <w:pPr>
        <w:tabs>
          <w:tab w:val="left" w:pos="900"/>
        </w:tabs>
        <w:spacing w:line="360" w:lineRule="auto"/>
        <w:ind w:firstLine="420" w:firstLineChars="200"/>
        <w:outlineLvl w:val="2"/>
        <w:rPr>
          <w:rFonts w:ascii="宋体" w:hAnsi="宋体"/>
          <w:color w:val="auto"/>
          <w:szCs w:val="21"/>
        </w:rPr>
      </w:pPr>
      <w:bookmarkStart w:id="53" w:name="_Hlt26954834"/>
      <w:bookmarkEnd w:id="53"/>
      <w:bookmarkStart w:id="54" w:name="_Toc513029215"/>
      <w:bookmarkStart w:id="55" w:name="_Toc14577353"/>
      <w:bookmarkStart w:id="56" w:name="_Toc61149555"/>
      <w:bookmarkStart w:id="57" w:name="_Toc462564074"/>
      <w:bookmarkStart w:id="58" w:name="_Toc513029214"/>
      <w:bookmarkStart w:id="59" w:name="_Toc14577352"/>
      <w:bookmarkStart w:id="60" w:name="_Toc462564073"/>
      <w:bookmarkStart w:id="61" w:name="_Toc61149554"/>
      <w:r>
        <w:rPr>
          <w:rFonts w:hint="eastAsia" w:ascii="宋体" w:hAnsi="宋体"/>
          <w:color w:val="auto"/>
          <w:szCs w:val="21"/>
        </w:rPr>
        <w:t>2、响应文件</w:t>
      </w:r>
      <w:bookmarkEnd w:id="54"/>
      <w:bookmarkEnd w:id="55"/>
      <w:bookmarkEnd w:id="56"/>
      <w:bookmarkEnd w:id="57"/>
      <w:r>
        <w:rPr>
          <w:rFonts w:hint="eastAsia" w:ascii="宋体" w:hAnsi="宋体"/>
          <w:color w:val="auto"/>
          <w:szCs w:val="21"/>
        </w:rPr>
        <w:t>编制要求</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2.1磋商供应商提交的响应文件以及其与代理机构及采购人就有关磋商的所有来往函电均应使用简体中文。磋商文件中既有中文也有外文的，以中文意义为准。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2.2 除技术性能另有规定外，响应文件所使用的度量衡单位，均须采用国家法定计量单位。</w:t>
      </w:r>
    </w:p>
    <w:bookmarkEnd w:id="58"/>
    <w:bookmarkEnd w:id="59"/>
    <w:bookmarkEnd w:id="60"/>
    <w:bookmarkEnd w:id="61"/>
    <w:p>
      <w:pPr>
        <w:tabs>
          <w:tab w:val="left" w:pos="900"/>
        </w:tabs>
        <w:spacing w:line="360" w:lineRule="auto"/>
        <w:ind w:firstLine="420" w:firstLineChars="200"/>
        <w:outlineLvl w:val="3"/>
        <w:rPr>
          <w:rFonts w:ascii="宋体" w:hAnsi="宋体"/>
          <w:color w:val="auto"/>
          <w:szCs w:val="21"/>
        </w:rPr>
      </w:pPr>
      <w:bookmarkStart w:id="62" w:name="_Hlt26954836"/>
      <w:bookmarkEnd w:id="62"/>
      <w:bookmarkStart w:id="63" w:name="_Hlt26670357"/>
      <w:bookmarkEnd w:id="63"/>
      <w:bookmarkStart w:id="64" w:name="_Toc513029219"/>
      <w:bookmarkStart w:id="65" w:name="_Toc14577357"/>
      <w:bookmarkStart w:id="66" w:name="_Toc61149558"/>
      <w:bookmarkStart w:id="67" w:name="_Toc14577355"/>
      <w:bookmarkStart w:id="68" w:name="_Toc513029217"/>
      <w:bookmarkStart w:id="69" w:name="_Toc61149557"/>
      <w:r>
        <w:rPr>
          <w:rFonts w:hint="eastAsia" w:ascii="宋体" w:hAnsi="宋体"/>
          <w:color w:val="auto"/>
          <w:szCs w:val="21"/>
        </w:rPr>
        <w:t>2.3 响应文件构成</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供应商应认真阅读和理解磋商文件，并按磋商文件的要求编制响应文件；响应文件应对磋商文件作实质性响应，并保证所提供资料的真实性。磋商供应商编写的响应文件应包括下列部分：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加★项目若有缺失或无效，将导致该响应文件作无效响应文件评定，且不允许在磋商截止时间后补正。</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2.3.1 资格证明文件（复印件须加盖磋商供应商公章，否则视同未提供。本采购文件所表述（指定）的公章是指刻有供应商法定名称的印章，不包括合同、财务、税务、发票等形式的业务专用章。）</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（1）★具有独立承担民事责任能力的企事业法人营业执照（复印件，原件磋商期间携带备查）；</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（2）★磋商供应商法定代表人授权委托书（格式见附件，法定代表人亲自参加磋商的除外）；</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（3）★磋商供应商法定代表人身份证复印件；</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（4）★磋商供应商法定代表人授权代表身份证复印件（法定代表人亲自参加磋商的除外）；</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（5）★按照本文件第一章第2条“合格的磋商供应商必须具备的条件及资格”应当提供的证书、承诺、材料（复印件，原件磋商期间携带备查）；</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 xml:space="preserve">（6）★供应商近三个月中任意一个月份(不含投标当月)的财务状况报告（资产负债表和利润表）或由会计师事务所出具的近两年中任意一个年度的审计报告和所附已审财务报告复印件； </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 xml:space="preserve">（7）★供应商近三个月中任意一个月份(不含投标当月)的依法缴纳税收的相关材料（提供相关主管部门证明或银行代扣证明）复印件； </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 xml:space="preserve">（8）★供应商近三个月中任意一个月份(不含投标当月)的依法缴纳社会保障资金的相关材料（提供相关主管部门证明或银行代扣证明）复印件； </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 xml:space="preserve">（9）★参加政府采购活动前 3 年内在经营活动中没有重大违法记录的书面声明原件； </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（10）★“信用中国”网站信用记录。</w:t>
      </w:r>
    </w:p>
    <w:p>
      <w:pPr>
        <w:tabs>
          <w:tab w:val="left" w:pos="900"/>
        </w:tabs>
        <w:spacing w:line="360" w:lineRule="auto"/>
        <w:ind w:firstLine="420" w:firstLineChars="200"/>
        <w:rPr>
          <w:rFonts w:ascii="宋体" w:hAnsi="宋体"/>
          <w:color w:val="auto"/>
          <w:szCs w:val="21"/>
        </w:rPr>
      </w:pPr>
      <w:r>
        <w:rPr>
          <w:rFonts w:hint="eastAsia" w:ascii="宋体" w:hAnsi="宋体" w:cs="宋体"/>
          <w:color w:val="auto"/>
          <w:szCs w:val="21"/>
        </w:rPr>
        <w:t>如上述资格证明文件第（6）（7）（8）三项遇有国家相关政策规定可不具备的，必须提供相关政策规定或相关单位出具的有效证明复印件。</w:t>
      </w:r>
    </w:p>
    <w:p>
      <w:pPr>
        <w:tabs>
          <w:tab w:val="left" w:pos="900"/>
        </w:tabs>
        <w:spacing w:line="360" w:lineRule="auto"/>
        <w:ind w:firstLine="420" w:firstLineChars="200"/>
        <w:rPr>
          <w:rFonts w:ascii="宋体" w:hAnsi="宋体"/>
          <w:color w:val="auto"/>
          <w:szCs w:val="21"/>
        </w:rPr>
      </w:pPr>
      <w:r>
        <w:rPr>
          <w:rFonts w:ascii="宋体" w:hAnsi="宋体"/>
          <w:color w:val="auto"/>
          <w:szCs w:val="21"/>
        </w:rPr>
        <w:t>2.3.2</w:t>
      </w:r>
      <w:r>
        <w:rPr>
          <w:rFonts w:hint="eastAsia" w:ascii="宋体" w:hAnsi="宋体"/>
          <w:color w:val="auto"/>
          <w:szCs w:val="21"/>
        </w:rPr>
        <w:t>商务技术文件（</w:t>
      </w:r>
      <w:r>
        <w:rPr>
          <w:rFonts w:hint="eastAsia" w:ascii="宋体" w:hAnsi="宋体"/>
          <w:bCs/>
          <w:color w:val="auto"/>
          <w:szCs w:val="21"/>
        </w:rPr>
        <w:t>按照本文件第六章统一提供的规范表式填写</w:t>
      </w:r>
      <w:r>
        <w:rPr>
          <w:rFonts w:ascii="宋体" w:hAnsi="宋体"/>
          <w:color w:val="auto"/>
          <w:szCs w:val="21"/>
        </w:rPr>
        <w:t>）</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评审索引表；</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磋商响应函；</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首次响应报价表；</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（4）服务及商务响应偏离表；</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（5）供应商基本情况表；</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（6）技术方案（</w:t>
      </w:r>
      <w:r>
        <w:rPr>
          <w:rFonts w:hint="eastAsia" w:ascii="宋体" w:hAnsi="宋体" w:cs="宋体"/>
          <w:b/>
          <w:bCs/>
          <w:color w:val="auto"/>
          <w:szCs w:val="21"/>
        </w:rPr>
        <w:t>供应商根据项目情况自行编制</w:t>
      </w:r>
      <w:r>
        <w:rPr>
          <w:rFonts w:hint="eastAsia" w:ascii="宋体" w:hAnsi="宋体" w:cs="宋体"/>
          <w:color w:val="auto"/>
          <w:szCs w:val="21"/>
        </w:rPr>
        <w:t>）</w:t>
      </w:r>
    </w:p>
    <w:p>
      <w:pPr>
        <w:tabs>
          <w:tab w:val="left" w:pos="900"/>
        </w:tabs>
        <w:spacing w:line="360" w:lineRule="auto"/>
        <w:ind w:firstLine="420" w:firstLineChars="200"/>
        <w:rPr>
          <w:rFonts w:ascii="宋体" w:hAnsi="宋体" w:cs="宋体"/>
          <w:color w:val="auto"/>
          <w:szCs w:val="21"/>
        </w:rPr>
      </w:pPr>
      <w:r>
        <w:rPr>
          <w:rFonts w:hint="eastAsia" w:ascii="宋体" w:hAnsi="宋体"/>
          <w:color w:val="auto"/>
          <w:szCs w:val="21"/>
        </w:rPr>
        <w:t>（7）拟投入本项目的主要人员表；</w:t>
      </w:r>
    </w:p>
    <w:p>
      <w:pPr>
        <w:tabs>
          <w:tab w:val="left" w:pos="900"/>
        </w:tabs>
        <w:spacing w:line="360" w:lineRule="auto"/>
        <w:ind w:firstLine="420" w:firstLineChars="200"/>
        <w:rPr>
          <w:rFonts w:ascii="宋体" w:hAnsi="宋体" w:cs="宋体"/>
          <w:color w:val="auto"/>
          <w:szCs w:val="21"/>
        </w:rPr>
      </w:pPr>
      <w:r>
        <w:rPr>
          <w:rFonts w:hint="eastAsia" w:ascii="宋体" w:hAnsi="宋体" w:cs="宋体"/>
          <w:color w:val="auto"/>
          <w:szCs w:val="21"/>
        </w:rPr>
        <w:t>（8）服务承诺</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（9</w:t>
      </w:r>
      <w:r>
        <w:rPr>
          <w:rFonts w:ascii="宋体" w:hAnsi="宋体"/>
          <w:color w:val="auto"/>
          <w:szCs w:val="21"/>
        </w:rPr>
        <w:t>）</w:t>
      </w:r>
      <w:r>
        <w:rPr>
          <w:rFonts w:hint="eastAsia" w:ascii="宋体" w:hAnsi="宋体"/>
          <w:color w:val="auto"/>
          <w:szCs w:val="21"/>
        </w:rPr>
        <w:t>根据项目需求和评审方法以及评审标准，供应商为使自身处于有利评审地位，应当提交的其他文件和证明资料（原件磋商期间携带备查）；</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（10</w:t>
      </w:r>
      <w:r>
        <w:rPr>
          <w:rFonts w:ascii="宋体" w:hAnsi="宋体"/>
          <w:color w:val="auto"/>
          <w:szCs w:val="21"/>
        </w:rPr>
        <w:t>）</w:t>
      </w:r>
      <w:r>
        <w:rPr>
          <w:rFonts w:hint="eastAsia" w:ascii="宋体" w:hAnsi="宋体"/>
          <w:color w:val="auto"/>
          <w:szCs w:val="21"/>
        </w:rPr>
        <w:t>磋商文件需要的其他资料及供应商认为需要提供的其他内容。</w:t>
      </w:r>
    </w:p>
    <w:bookmarkEnd w:id="64"/>
    <w:bookmarkEnd w:id="65"/>
    <w:bookmarkEnd w:id="66"/>
    <w:p>
      <w:pPr>
        <w:tabs>
          <w:tab w:val="left" w:pos="900"/>
        </w:tabs>
        <w:spacing w:line="360" w:lineRule="auto"/>
        <w:ind w:firstLine="420" w:firstLineChars="200"/>
        <w:outlineLvl w:val="2"/>
        <w:rPr>
          <w:rFonts w:ascii="宋体" w:hAnsi="宋体"/>
          <w:color w:val="auto"/>
          <w:szCs w:val="21"/>
        </w:rPr>
      </w:pPr>
      <w:bookmarkStart w:id="70" w:name="_Hlt26668999"/>
      <w:bookmarkEnd w:id="70"/>
      <w:r>
        <w:rPr>
          <w:rFonts w:ascii="宋体" w:hAnsi="宋体"/>
          <w:color w:val="auto"/>
          <w:szCs w:val="21"/>
        </w:rPr>
        <w:t>3</w:t>
      </w:r>
      <w:r>
        <w:rPr>
          <w:rFonts w:hint="eastAsia" w:ascii="宋体" w:hAnsi="宋体"/>
          <w:color w:val="auto"/>
          <w:szCs w:val="21"/>
        </w:rPr>
        <w:t>、磋商响应报价</w:t>
      </w:r>
      <w:bookmarkEnd w:id="67"/>
      <w:bookmarkEnd w:id="68"/>
      <w:bookmarkStart w:id="71" w:name="_Hlt26670373"/>
      <w:bookmarkEnd w:id="71"/>
      <w:r>
        <w:rPr>
          <w:rFonts w:hint="eastAsia" w:ascii="宋体" w:hAnsi="宋体"/>
          <w:color w:val="auto"/>
          <w:szCs w:val="21"/>
        </w:rPr>
        <w:t>表</w:t>
      </w:r>
      <w:bookmarkEnd w:id="69"/>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3.1磋商供应商应按照磋商文件规定格式填报磋商响应报价表。每项产品或服务只允许有一个报价，任何有选择的报价将不予接受，磋商文件中另有规定的按规定执行。</w:t>
      </w:r>
    </w:p>
    <w:p>
      <w:pPr>
        <w:tabs>
          <w:tab w:val="left" w:pos="900"/>
        </w:tabs>
        <w:spacing w:line="360" w:lineRule="auto"/>
        <w:ind w:firstLine="420" w:firstLineChars="200"/>
        <w:outlineLvl w:val="3"/>
        <w:rPr>
          <w:rFonts w:ascii="宋体" w:hAnsi="宋体"/>
          <w:color w:val="auto"/>
          <w:szCs w:val="21"/>
        </w:rPr>
      </w:pPr>
      <w:r>
        <w:rPr>
          <w:rFonts w:ascii="宋体" w:hAnsi="宋体"/>
          <w:color w:val="auto"/>
          <w:szCs w:val="21"/>
        </w:rPr>
        <w:t>3.2</w:t>
      </w:r>
      <w:r>
        <w:rPr>
          <w:rFonts w:hint="eastAsia" w:ascii="宋体" w:hAnsi="宋体"/>
          <w:color w:val="auto"/>
          <w:szCs w:val="21"/>
        </w:rPr>
        <w:t>标的物</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详见项目需求。</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3.</w:t>
      </w:r>
      <w:r>
        <w:rPr>
          <w:rFonts w:ascii="宋体" w:hAnsi="宋体"/>
          <w:color w:val="auto"/>
          <w:szCs w:val="21"/>
        </w:rPr>
        <w:t>3</w:t>
      </w:r>
      <w:r>
        <w:rPr>
          <w:rFonts w:hint="eastAsia" w:ascii="宋体" w:hAnsi="宋体"/>
          <w:color w:val="auto"/>
          <w:szCs w:val="21"/>
        </w:rPr>
        <w:t>有关费用处理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本次采购磋商供应商的总报价应包括为完成本项目发生的所有费用，本磋商文件中另有规定的除外。</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供应商须响应文件中的所有服务，且响应的服务只能有一个报价，报价应包括为实施委托项目约定范围内所需的全部费用，包含但不限于供应商人工费用、办公费用、运输装卸费、安装调试费、管理费用、利润、税费、专家咨询评审论证费以及因供应商工作不当引发的相关处理费用等。</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磋商文件未列明，而磋商供应商认为必须的费用也须列入报价。</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3.</w:t>
      </w:r>
      <w:r>
        <w:rPr>
          <w:rFonts w:ascii="宋体" w:hAnsi="宋体"/>
          <w:color w:val="auto"/>
          <w:szCs w:val="21"/>
        </w:rPr>
        <w:t xml:space="preserve">4 </w:t>
      </w:r>
      <w:r>
        <w:rPr>
          <w:rFonts w:hint="eastAsia" w:ascii="宋体" w:hAnsi="宋体"/>
          <w:color w:val="auto"/>
          <w:szCs w:val="21"/>
        </w:rPr>
        <w:t>报价采用的货币</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响应文件中的单价和总价，无特殊规定的采用人民币报价，以元为单位标注。磋商文件中另有规定的按规定执行。</w:t>
      </w:r>
    </w:p>
    <w:p>
      <w:pPr>
        <w:tabs>
          <w:tab w:val="left" w:pos="900"/>
        </w:tabs>
        <w:spacing w:line="360" w:lineRule="auto"/>
        <w:ind w:firstLine="420" w:firstLineChars="200"/>
        <w:outlineLvl w:val="3"/>
        <w:rPr>
          <w:rFonts w:ascii="宋体" w:hAnsi="宋体"/>
          <w:color w:val="auto"/>
          <w:szCs w:val="21"/>
        </w:rPr>
      </w:pPr>
      <w:r>
        <w:rPr>
          <w:rFonts w:ascii="宋体" w:hAnsi="宋体"/>
          <w:color w:val="auto"/>
          <w:szCs w:val="21"/>
        </w:rPr>
        <w:t xml:space="preserve">3.5 </w:t>
      </w:r>
      <w:r>
        <w:rPr>
          <w:rFonts w:hint="eastAsia" w:ascii="宋体" w:hAnsi="宋体"/>
          <w:color w:val="auto"/>
          <w:szCs w:val="21"/>
        </w:rPr>
        <w:t>磋商响应报价表上的价格应按磋商文件规定填写。</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3.6 最高限价：</w:t>
      </w:r>
      <w:r>
        <w:rPr>
          <w:rFonts w:hint="eastAsia" w:ascii="宋体" w:hAnsi="宋体"/>
          <w:b/>
          <w:bCs/>
          <w:color w:val="auto"/>
          <w:szCs w:val="21"/>
        </w:rPr>
        <w:t>本项目最高限价：</w:t>
      </w:r>
      <w:r>
        <w:rPr>
          <w:rFonts w:ascii="宋体" w:hAnsi="宋体"/>
          <w:b/>
          <w:bCs/>
          <w:color w:val="auto"/>
          <w:szCs w:val="21"/>
        </w:rPr>
        <w:t>141</w:t>
      </w:r>
      <w:r>
        <w:rPr>
          <w:rFonts w:hint="eastAsia" w:ascii="宋体" w:hAnsi="宋体"/>
          <w:b/>
          <w:bCs/>
          <w:color w:val="auto"/>
          <w:szCs w:val="21"/>
        </w:rPr>
        <w:t>万元（</w:t>
      </w:r>
      <w:r>
        <w:rPr>
          <w:rFonts w:ascii="宋体" w:hAnsi="宋体"/>
          <w:b/>
          <w:bCs/>
          <w:color w:val="auto"/>
          <w:szCs w:val="21"/>
        </w:rPr>
        <w:t>47</w:t>
      </w:r>
      <w:r>
        <w:rPr>
          <w:rFonts w:hint="eastAsia" w:ascii="宋体" w:hAnsi="宋体"/>
          <w:b/>
          <w:bCs/>
          <w:color w:val="auto"/>
          <w:szCs w:val="21"/>
        </w:rPr>
        <w:t>万元/年），超过最高限价的，作为无效标处理。</w:t>
      </w:r>
    </w:p>
    <w:p>
      <w:pPr>
        <w:tabs>
          <w:tab w:val="left" w:pos="900"/>
        </w:tabs>
        <w:spacing w:line="360" w:lineRule="auto"/>
        <w:ind w:firstLine="422" w:firstLineChars="200"/>
        <w:outlineLvl w:val="1"/>
        <w:rPr>
          <w:rFonts w:ascii="宋体" w:hAnsi="宋体"/>
          <w:b/>
          <w:color w:val="auto"/>
          <w:szCs w:val="21"/>
        </w:rPr>
      </w:pPr>
      <w:bookmarkStart w:id="72" w:name="_Hlt26670425"/>
      <w:bookmarkEnd w:id="72"/>
      <w:bookmarkStart w:id="73" w:name="_Hlt26670403"/>
      <w:bookmarkEnd w:id="73"/>
      <w:bookmarkStart w:id="74" w:name="_Hlt26670482"/>
      <w:bookmarkEnd w:id="74"/>
      <w:bookmarkStart w:id="75" w:name="_Hlt26954854"/>
      <w:bookmarkEnd w:id="75"/>
      <w:bookmarkStart w:id="76" w:name="_Hlt26954842"/>
      <w:bookmarkEnd w:id="76"/>
      <w:bookmarkStart w:id="77" w:name="_Hlt26954852"/>
      <w:bookmarkEnd w:id="77"/>
      <w:bookmarkStart w:id="78" w:name="_Hlt26954846"/>
      <w:bookmarkEnd w:id="78"/>
      <w:bookmarkStart w:id="79" w:name="_Hlt26954731"/>
      <w:bookmarkEnd w:id="79"/>
      <w:bookmarkStart w:id="80" w:name="_Hlt26954739"/>
      <w:bookmarkEnd w:id="80"/>
      <w:bookmarkStart w:id="81" w:name="_Hlt26670493"/>
      <w:bookmarkEnd w:id="81"/>
      <w:bookmarkStart w:id="82" w:name="_Hlt26668983"/>
      <w:bookmarkEnd w:id="82"/>
      <w:bookmarkStart w:id="83" w:name="_Hlt26954844"/>
      <w:bookmarkEnd w:id="83"/>
      <w:bookmarkStart w:id="84" w:name="_Hlt26954850"/>
      <w:bookmarkEnd w:id="84"/>
      <w:bookmarkStart w:id="85" w:name="_Hlt26670486"/>
      <w:bookmarkEnd w:id="85"/>
      <w:bookmarkStart w:id="86" w:name="_Hlt26954848"/>
      <w:bookmarkEnd w:id="86"/>
      <w:bookmarkStart w:id="87" w:name="_Hlt26670489"/>
      <w:bookmarkEnd w:id="87"/>
      <w:bookmarkStart w:id="88" w:name="_Hlt26954734"/>
      <w:bookmarkEnd w:id="88"/>
      <w:bookmarkStart w:id="89" w:name="_Hlt26954749"/>
      <w:bookmarkEnd w:id="89"/>
      <w:bookmarkStart w:id="90" w:name="_Toc513029224"/>
      <w:bookmarkStart w:id="91" w:name="_Toc14577362"/>
      <w:bookmarkStart w:id="92" w:name="_Toc61149562"/>
      <w:r>
        <w:rPr>
          <w:rFonts w:hint="eastAsia" w:ascii="宋体" w:hAnsi="宋体"/>
          <w:b/>
          <w:color w:val="auto"/>
          <w:szCs w:val="21"/>
        </w:rPr>
        <w:t>三、响应文件的递交</w:t>
      </w:r>
      <w:bookmarkEnd w:id="90"/>
      <w:bookmarkEnd w:id="91"/>
      <w:bookmarkEnd w:id="92"/>
    </w:p>
    <w:p>
      <w:pPr>
        <w:tabs>
          <w:tab w:val="left" w:pos="900"/>
        </w:tabs>
        <w:spacing w:line="360" w:lineRule="auto"/>
        <w:ind w:firstLine="420" w:firstLineChars="200"/>
        <w:outlineLvl w:val="2"/>
        <w:rPr>
          <w:rFonts w:ascii="宋体" w:hAnsi="宋体"/>
          <w:color w:val="auto"/>
          <w:szCs w:val="21"/>
        </w:rPr>
      </w:pPr>
      <w:bookmarkStart w:id="93" w:name="_Hlt26954856"/>
      <w:bookmarkEnd w:id="93"/>
      <w:bookmarkStart w:id="94" w:name="_Toc61149563"/>
      <w:bookmarkStart w:id="95" w:name="_Toc462564084"/>
      <w:bookmarkStart w:id="96" w:name="_Toc513029225"/>
      <w:bookmarkStart w:id="97" w:name="_Toc14577363"/>
      <w:r>
        <w:rPr>
          <w:rFonts w:hint="eastAsia" w:ascii="宋体" w:hAnsi="宋体"/>
          <w:color w:val="auto"/>
          <w:szCs w:val="21"/>
        </w:rPr>
        <w:t>1、首次响应文件</w:t>
      </w:r>
      <w:bookmarkStart w:id="98" w:name="_Hlt26954743"/>
      <w:bookmarkEnd w:id="98"/>
      <w:r>
        <w:rPr>
          <w:rFonts w:hint="eastAsia" w:ascii="宋体" w:hAnsi="宋体"/>
          <w:color w:val="auto"/>
          <w:szCs w:val="21"/>
        </w:rPr>
        <w:t>的密封和标记</w:t>
      </w:r>
      <w:bookmarkEnd w:id="94"/>
      <w:bookmarkEnd w:id="95"/>
      <w:bookmarkEnd w:id="96"/>
      <w:bookmarkEnd w:id="97"/>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1.1首次响应文件的正本和副本应用不易破损的信封单独加封条密封，封口加盖供应商公章并在所有响应文件封面上标明“正本”或“副本”字样及所投项目名称及包号。</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1.2密封的首次响应文件应：</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（1）按竞争性磋商采购邀请中注明的时间送达规定地点；</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（2）注明参加磋商项目名称、磋商文件编号；</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（3）密封包装上应写明磋商供应商名称和地址。</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1.3</w:t>
      </w:r>
      <w:r>
        <w:rPr>
          <w:rFonts w:ascii="宋体" w:hAnsi="宋体"/>
          <w:color w:val="auto"/>
          <w:szCs w:val="21"/>
        </w:rPr>
        <w:t>由</w:t>
      </w:r>
      <w:r>
        <w:rPr>
          <w:rFonts w:hint="eastAsia" w:ascii="宋体" w:hAnsi="宋体"/>
          <w:color w:val="auto"/>
          <w:szCs w:val="21"/>
        </w:rPr>
        <w:t>磋商供应商</w:t>
      </w:r>
      <w:r>
        <w:rPr>
          <w:rFonts w:ascii="宋体" w:hAnsi="宋体"/>
          <w:color w:val="auto"/>
          <w:szCs w:val="21"/>
        </w:rPr>
        <w:t>或其推选的代表检查</w:t>
      </w:r>
      <w:r>
        <w:rPr>
          <w:rFonts w:hint="eastAsia" w:ascii="宋体" w:hAnsi="宋体"/>
          <w:color w:val="auto"/>
          <w:szCs w:val="21"/>
        </w:rPr>
        <w:t>响应</w:t>
      </w:r>
      <w:r>
        <w:rPr>
          <w:rFonts w:ascii="宋体" w:hAnsi="宋体"/>
          <w:color w:val="auto"/>
          <w:szCs w:val="21"/>
        </w:rPr>
        <w:t>文件密封情况</w:t>
      </w:r>
      <w:r>
        <w:rPr>
          <w:rFonts w:hint="eastAsia" w:ascii="宋体" w:hAnsi="宋体"/>
          <w:color w:val="auto"/>
          <w:szCs w:val="21"/>
        </w:rPr>
        <w:t>。如果密封包装未按要求密封和加写标记，采购人或其委托的代理机构对误投或过早启封概不负责。对由此造成提前开封的响应文件，采购人或其委托的代理机构将予以拒绝，作无效响应处理。</w:t>
      </w:r>
    </w:p>
    <w:p>
      <w:pPr>
        <w:tabs>
          <w:tab w:val="left" w:pos="900"/>
        </w:tabs>
        <w:spacing w:line="360" w:lineRule="auto"/>
        <w:ind w:firstLine="420" w:firstLineChars="200"/>
        <w:outlineLvl w:val="2"/>
        <w:rPr>
          <w:rFonts w:ascii="宋体" w:hAnsi="宋体"/>
          <w:color w:val="auto"/>
          <w:szCs w:val="21"/>
        </w:rPr>
      </w:pPr>
      <w:bookmarkStart w:id="99" w:name="_Hlt26954752"/>
      <w:bookmarkEnd w:id="99"/>
      <w:bookmarkStart w:id="100" w:name="_Hlt26954858"/>
      <w:bookmarkEnd w:id="100"/>
      <w:bookmarkStart w:id="101" w:name="_Hlt26670496"/>
      <w:bookmarkEnd w:id="101"/>
      <w:bookmarkStart w:id="102" w:name="_Toc14577364"/>
      <w:bookmarkStart w:id="103" w:name="_Toc513029226"/>
      <w:bookmarkStart w:id="104" w:name="_Toc61149564"/>
      <w:r>
        <w:rPr>
          <w:rFonts w:hint="eastAsia" w:ascii="宋体" w:hAnsi="宋体"/>
          <w:color w:val="auto"/>
          <w:szCs w:val="21"/>
        </w:rPr>
        <w:t>2、</w:t>
      </w:r>
      <w:bookmarkEnd w:id="102"/>
      <w:bookmarkEnd w:id="103"/>
      <w:bookmarkEnd w:id="104"/>
      <w:r>
        <w:rPr>
          <w:rFonts w:hint="eastAsia" w:ascii="宋体" w:hAnsi="宋体"/>
          <w:color w:val="auto"/>
          <w:szCs w:val="21"/>
        </w:rPr>
        <w:t>响应文件开启时间</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2.1采购人或其委托的代理机构收到响应文件的时间不得迟于本磋商文件规定的响应文件提交截止时间。</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2.2采购人或其委托的代理机构可通过修改磋商文件自行决定酌情推迟响应文件接收截止时间，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outlineLvl w:val="2"/>
        <w:rPr>
          <w:rFonts w:ascii="宋体" w:hAnsi="宋体"/>
          <w:color w:val="auto"/>
          <w:szCs w:val="21"/>
        </w:rPr>
      </w:pPr>
      <w:bookmarkStart w:id="105" w:name="_Hlt26954860"/>
      <w:bookmarkEnd w:id="105"/>
      <w:bookmarkStart w:id="106" w:name="_Toc61149565"/>
      <w:bookmarkStart w:id="107" w:name="_Toc14577365"/>
      <w:bookmarkStart w:id="108" w:name="_Toc513029227"/>
      <w:r>
        <w:rPr>
          <w:rFonts w:hint="eastAsia" w:ascii="宋体" w:hAnsi="宋体"/>
          <w:color w:val="auto"/>
          <w:szCs w:val="21"/>
        </w:rPr>
        <w:t>3、迟交的响应文件</w:t>
      </w:r>
      <w:bookmarkEnd w:id="106"/>
      <w:bookmarkEnd w:id="107"/>
      <w:bookmarkEnd w:id="108"/>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3.1采购人或其委托的代理机构将拒绝在规定的响应文件接收截止时间后接收任何响应文件。</w:t>
      </w:r>
    </w:p>
    <w:p>
      <w:pPr>
        <w:tabs>
          <w:tab w:val="left" w:pos="900"/>
        </w:tabs>
        <w:spacing w:line="360" w:lineRule="auto"/>
        <w:ind w:firstLine="420" w:firstLineChars="200"/>
        <w:outlineLvl w:val="2"/>
        <w:rPr>
          <w:rFonts w:ascii="宋体" w:hAnsi="宋体"/>
          <w:color w:val="auto"/>
          <w:szCs w:val="21"/>
        </w:rPr>
      </w:pPr>
      <w:bookmarkStart w:id="109" w:name="_Hlt26954862"/>
      <w:bookmarkEnd w:id="109"/>
      <w:bookmarkStart w:id="110" w:name="_Hlt26954754"/>
      <w:bookmarkEnd w:id="110"/>
      <w:bookmarkStart w:id="111" w:name="_Toc14577366"/>
      <w:bookmarkStart w:id="112" w:name="_Toc61149566"/>
      <w:bookmarkStart w:id="113" w:name="_Toc513029228"/>
      <w:r>
        <w:rPr>
          <w:rFonts w:hint="eastAsia" w:ascii="宋体" w:hAnsi="宋体"/>
          <w:color w:val="auto"/>
          <w:szCs w:val="21"/>
        </w:rPr>
        <w:t>4、响应文件</w:t>
      </w:r>
      <w:bookmarkStart w:id="114" w:name="_Hlt26670588"/>
      <w:r>
        <w:rPr>
          <w:rFonts w:hint="eastAsia" w:ascii="宋体" w:hAnsi="宋体"/>
          <w:color w:val="auto"/>
          <w:szCs w:val="21"/>
        </w:rPr>
        <w:t>的修改</w:t>
      </w:r>
      <w:bookmarkEnd w:id="114"/>
      <w:r>
        <w:rPr>
          <w:rFonts w:hint="eastAsia" w:ascii="宋体" w:hAnsi="宋体"/>
          <w:color w:val="auto"/>
          <w:szCs w:val="21"/>
        </w:rPr>
        <w:t>和撤回</w:t>
      </w:r>
      <w:bookmarkEnd w:id="111"/>
      <w:bookmarkEnd w:id="112"/>
      <w:bookmarkEnd w:id="113"/>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4.1磋商供应商在递交响应文件后，可以修改或撤回其磋商响应文件，但这种修改和撤回，必须在规定的响应文件提交截止时间前，以书面形式送达指定地点。</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4.2磋商供应商的修改或撤回通知书，应按本文件规定进行编制、密封、标记和发送，并应在封套上加注“修改”和“撤回”字样。</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5、磋商响应有效期</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5.1 磋商响应有效期为磋商文件规定的响应文件提交截止时间后六十（60）天。供应商声明的磋商响应有效期比规定短的将被视为非实质性响应而予以拒绝；供应商就磋商响应有效期不做说明的视同认可本条款设定的磋商响应有效期。</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5.2 在特殊情况下，采购人或其委托的代理机构于原磋商响应有效期满之前，可向磋商供应商提出延长磋商响应有效期的要求。这种要求与答复均应采用书面形式。同意延长磋商响应有效期的磋商供应商既不能要求也不允许修改其响应文件。受磋商响应有效期约束的所有权利与义务均延长至新的有效期。</w:t>
      </w:r>
    </w:p>
    <w:p>
      <w:pPr>
        <w:tabs>
          <w:tab w:val="left" w:pos="900"/>
        </w:tabs>
        <w:spacing w:line="360" w:lineRule="auto"/>
        <w:ind w:firstLine="422" w:firstLineChars="200"/>
        <w:outlineLvl w:val="1"/>
        <w:rPr>
          <w:rFonts w:ascii="宋体" w:hAnsi="宋体"/>
          <w:b/>
          <w:color w:val="auto"/>
          <w:szCs w:val="21"/>
        </w:rPr>
      </w:pPr>
      <w:bookmarkStart w:id="115" w:name="_Hlt26954864"/>
      <w:bookmarkEnd w:id="115"/>
      <w:bookmarkStart w:id="116" w:name="_Hlt26670523"/>
      <w:bookmarkEnd w:id="116"/>
      <w:r>
        <w:rPr>
          <w:rFonts w:hint="eastAsia" w:ascii="宋体" w:hAnsi="宋体"/>
          <w:b/>
          <w:color w:val="auto"/>
          <w:szCs w:val="21"/>
        </w:rPr>
        <w:t>四、磋商与评审</w:t>
      </w:r>
    </w:p>
    <w:p>
      <w:pPr>
        <w:tabs>
          <w:tab w:val="left" w:pos="900"/>
        </w:tabs>
        <w:spacing w:line="360" w:lineRule="auto"/>
        <w:ind w:firstLine="420" w:firstLineChars="200"/>
        <w:outlineLvl w:val="2"/>
        <w:rPr>
          <w:rFonts w:ascii="宋体" w:hAnsi="宋体"/>
          <w:color w:val="auto"/>
          <w:szCs w:val="21"/>
        </w:rPr>
      </w:pPr>
      <w:bookmarkStart w:id="117" w:name="_Toc16938546"/>
      <w:bookmarkStart w:id="118" w:name="_Toc20823302"/>
      <w:bookmarkStart w:id="119" w:name="_Toc513029230"/>
      <w:r>
        <w:rPr>
          <w:rFonts w:hint="eastAsia" w:ascii="宋体" w:hAnsi="宋体"/>
          <w:color w:val="auto"/>
          <w:szCs w:val="21"/>
        </w:rPr>
        <w:t>1、</w:t>
      </w:r>
      <w:bookmarkEnd w:id="117"/>
      <w:bookmarkEnd w:id="118"/>
      <w:bookmarkEnd w:id="119"/>
      <w:r>
        <w:rPr>
          <w:rFonts w:hint="eastAsia" w:ascii="宋体" w:hAnsi="宋体"/>
          <w:color w:val="auto"/>
          <w:szCs w:val="21"/>
        </w:rPr>
        <w:t>磋商会议</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1.1</w:t>
      </w:r>
      <w:bookmarkStart w:id="120" w:name="_Toc16938547"/>
      <w:bookmarkStart w:id="121" w:name="_Toc513029231"/>
      <w:bookmarkStart w:id="122" w:name="_Toc20823303"/>
      <w:r>
        <w:rPr>
          <w:rFonts w:hint="eastAsia" w:ascii="宋体" w:hAnsi="宋体"/>
          <w:color w:val="auto"/>
          <w:szCs w:val="21"/>
        </w:rPr>
        <w:t>在响应文件递交时间截止后，采购机构组织磋商会议，并当众公布参加磋商供应商的数量和名单，宣读内容不涉及磋商价格。供应商法定代表人或其授权代表</w:t>
      </w:r>
      <w:r>
        <w:rPr>
          <w:rFonts w:hint="eastAsia" w:ascii="宋体" w:hAnsi="宋体"/>
          <w:b/>
          <w:color w:val="auto"/>
          <w:szCs w:val="21"/>
        </w:rPr>
        <w:t>须携带本人身份证原件</w:t>
      </w:r>
      <w:r>
        <w:rPr>
          <w:rFonts w:hint="eastAsia" w:ascii="宋体" w:hAnsi="宋体"/>
          <w:color w:val="auto"/>
          <w:szCs w:val="21"/>
        </w:rPr>
        <w:t>参加磋商开标会议。　　</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2、磋商小组</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2.1 磋商会议结束后，代理机构将组织磋商小组进行评审。</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2.2代理机构及采购人将根据本采购项目的特点组建磋商小组，由三人以上（含三人）单数组成，将对实质性响应报价文件要求的报价文件进行评价和比较，并采用相同的程序和标准。</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3、磋商评审过程的保密</w:t>
      </w:r>
      <w:bookmarkEnd w:id="120"/>
      <w:bookmarkEnd w:id="121"/>
      <w:bookmarkEnd w:id="122"/>
      <w:r>
        <w:rPr>
          <w:rFonts w:hint="eastAsia" w:ascii="宋体" w:hAnsi="宋体"/>
          <w:color w:val="auto"/>
          <w:szCs w:val="21"/>
        </w:rPr>
        <w:t>与公正</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3.1磋商小组</w:t>
      </w:r>
      <w:r>
        <w:rPr>
          <w:rFonts w:ascii="宋体" w:hAnsi="宋体"/>
          <w:color w:val="auto"/>
          <w:szCs w:val="21"/>
        </w:rPr>
        <w:t>、采购人和</w:t>
      </w:r>
      <w:r>
        <w:rPr>
          <w:rFonts w:hint="eastAsia" w:ascii="宋体" w:hAnsi="宋体"/>
          <w:color w:val="auto"/>
          <w:szCs w:val="21"/>
        </w:rPr>
        <w:t>代理机构</w:t>
      </w:r>
      <w:r>
        <w:rPr>
          <w:rFonts w:ascii="宋体" w:hAnsi="宋体"/>
          <w:color w:val="auto"/>
          <w:szCs w:val="21"/>
        </w:rPr>
        <w:t>工作人员、相关监督人员等与评审工作有关的人员，对评审情况以及在评审过程中获悉的国家秘密、商业秘密负有保密责任</w:t>
      </w:r>
      <w:r>
        <w:rPr>
          <w:rFonts w:hint="eastAsia" w:ascii="宋体" w:hAnsi="宋体"/>
          <w:color w:val="auto"/>
          <w:szCs w:val="21"/>
        </w:rPr>
        <w:t>。</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3.2在磋商评审过程中，磋商供应商不得以任何行为影响磋商评审过程，否则其响应文件将被作为无效响应文件。</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outlineLvl w:val="2"/>
        <w:rPr>
          <w:rFonts w:ascii="宋体" w:hAnsi="宋体"/>
          <w:color w:val="auto"/>
          <w:szCs w:val="21"/>
        </w:rPr>
      </w:pPr>
      <w:bookmarkStart w:id="123" w:name="_Toc20823304"/>
      <w:bookmarkStart w:id="124" w:name="_Toc513029232"/>
      <w:bookmarkStart w:id="125" w:name="_Toc16938548"/>
      <w:r>
        <w:rPr>
          <w:rFonts w:hint="eastAsia" w:ascii="宋体" w:hAnsi="宋体"/>
          <w:color w:val="auto"/>
          <w:szCs w:val="21"/>
        </w:rPr>
        <w:t>4、评审过程的澄清</w:t>
      </w:r>
      <w:bookmarkEnd w:id="123"/>
      <w:bookmarkEnd w:id="124"/>
      <w:bookmarkEnd w:id="125"/>
      <w:r>
        <w:rPr>
          <w:rFonts w:hint="eastAsia" w:ascii="宋体" w:hAnsi="宋体"/>
          <w:color w:val="auto"/>
          <w:szCs w:val="21"/>
        </w:rPr>
        <w:t>、说明和更正</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1</w:t>
      </w: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4.2接到磋商小组要求的供应商应派人按磋商小组通知的时间和地点做出书面澄清、说明或更正。供应商的澄清、说明或者更正应当由法定代表人或授权代表签字或者加盖公章。由授权代表签字的，应当附法定代表人授权书原件。供应商为自然人的，应当由本人签字并附身份证明，原件评审现场出示。</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4.3 接到磋商小组澄清要求的供应商如未按规定做出澄清，其风险由供应商自行承担。</w:t>
      </w:r>
    </w:p>
    <w:p>
      <w:pPr>
        <w:tabs>
          <w:tab w:val="left" w:pos="900"/>
        </w:tabs>
        <w:spacing w:line="360" w:lineRule="auto"/>
        <w:ind w:firstLine="420" w:firstLineChars="200"/>
        <w:outlineLvl w:val="2"/>
        <w:rPr>
          <w:rFonts w:ascii="宋体" w:hAnsi="宋体"/>
          <w:color w:val="auto"/>
          <w:szCs w:val="21"/>
        </w:rPr>
      </w:pPr>
      <w:bookmarkStart w:id="126" w:name="_Toc20823305"/>
      <w:bookmarkStart w:id="127" w:name="_Toc16938549"/>
      <w:bookmarkStart w:id="128" w:name="_Toc513029233"/>
      <w:r>
        <w:rPr>
          <w:rFonts w:hint="eastAsia" w:ascii="宋体" w:hAnsi="宋体"/>
          <w:color w:val="auto"/>
          <w:szCs w:val="21"/>
        </w:rPr>
        <w:t>5、对首次响应文件的初审</w:t>
      </w:r>
      <w:bookmarkEnd w:id="126"/>
      <w:bookmarkEnd w:id="127"/>
      <w:bookmarkEnd w:id="128"/>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5.1首次响应文件初审分为资格性检查和符合性检查。</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资格性检查：依据法律法规和磋商文件的规定，对首次响应文件中的资格证明文件进行审查，以确定供应商是否具备参加磋商的资格。</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5.2在正式磋商之前，磋商小组将首先审查每份响应文件是否实质性响应了磋商文件的要求。实质性响应的响应文件应该是与磋商文件要求的条款、条件和规格相符，没有重大负偏离或保留。</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所谓重大负偏离或保留是指与磋商文件规定的实质性要求存在负偏离，或者在实质上与磋商文件不一致，而且限制了合同中采购人和见证方的权利或供应商的义务，纠正这些偏离或保留将会对其他实质性响应要求的供应商的竞争地位产生不公正的影响。重大负偏离的认定需经过磋商小组的认定。磋商小组决定响应文件的响应性只根据响应文件本身的内容，而不寻求外部的证据。</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5.3 被认定为非响应性的响应文件的情形</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（1）未按照磋商文件规定要求密封、签署、盖章的；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（2）供应商在报价时采用选择性报价；</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（3）供应商不具备磋商文件中规定资格要求的；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（4）不符合法律、法规和磋商文件中规定的其他实质性要求和条件的；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（5）经磋商小组认定为非实质性响应文件的；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（6）其他法律、法规及本磋商文件规定的属非响应性的响应文件的情形。</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5.4 如果响应文件实质上没有响应磋商文件的要求，磋商小组将予以拒绝，供应商不得通过修改或撤销不合要求的偏离或保留而使其响应文件成为实质性响应的文件。</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5.5 磋商小组将允许修正响应文件中不构成重大负偏离的、微小的、非正规的、不一致的或不规则的地方，但这些修改不能影响任何供应商相应的名次排列。</w:t>
      </w:r>
    </w:p>
    <w:p>
      <w:pPr>
        <w:tabs>
          <w:tab w:val="left" w:pos="900"/>
        </w:tabs>
        <w:spacing w:line="360" w:lineRule="auto"/>
        <w:ind w:firstLine="420" w:firstLineChars="200"/>
        <w:outlineLvl w:val="2"/>
        <w:rPr>
          <w:rFonts w:ascii="宋体" w:hAnsi="宋体"/>
          <w:color w:val="auto"/>
          <w:szCs w:val="21"/>
        </w:rPr>
      </w:pPr>
      <w:bookmarkStart w:id="129" w:name="_Toc513029234"/>
      <w:bookmarkStart w:id="130" w:name="_Toc16938550"/>
      <w:bookmarkStart w:id="131" w:name="_Toc20823306"/>
      <w:r>
        <w:rPr>
          <w:rFonts w:hint="eastAsia" w:ascii="宋体" w:hAnsi="宋体"/>
          <w:color w:val="auto"/>
          <w:szCs w:val="21"/>
        </w:rPr>
        <w:t>6、</w:t>
      </w:r>
      <w:bookmarkEnd w:id="129"/>
      <w:bookmarkEnd w:id="130"/>
      <w:bookmarkEnd w:id="131"/>
      <w:r>
        <w:rPr>
          <w:rFonts w:hint="eastAsia" w:ascii="宋体" w:hAnsi="宋体"/>
          <w:color w:val="auto"/>
          <w:szCs w:val="21"/>
        </w:rPr>
        <w:t>磋商程序及评审方法和标准</w:t>
      </w:r>
    </w:p>
    <w:p>
      <w:pPr>
        <w:tabs>
          <w:tab w:val="left" w:pos="900"/>
        </w:tabs>
        <w:spacing w:line="360" w:lineRule="auto"/>
        <w:ind w:firstLine="420" w:firstLineChars="200"/>
        <w:outlineLvl w:val="3"/>
        <w:rPr>
          <w:rFonts w:ascii="宋体" w:hAnsi="宋体"/>
          <w:color w:val="auto"/>
          <w:szCs w:val="21"/>
        </w:rPr>
      </w:pPr>
      <w:bookmarkStart w:id="132" w:name="_Toc513029235"/>
      <w:bookmarkStart w:id="133" w:name="_Toc20823307"/>
      <w:bookmarkStart w:id="134" w:name="_Toc16938551"/>
      <w:r>
        <w:rPr>
          <w:rFonts w:hint="eastAsia" w:ascii="宋体" w:hAnsi="宋体"/>
          <w:color w:val="auto"/>
          <w:szCs w:val="21"/>
        </w:rPr>
        <w:t>6.1磋商程序</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6.1.1 对于通过资格性和符合性审查的供应商，磋商小组将随机确定磋商供应商的磋商顺序，然后由磋商小组所有成员集中与单一供应商分别进行磋商。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在磋商过程中，磋商小组可能根据磋商文件和磋商情况实质性变动的内容有：采购需求中的技术、服务要求以及合同草案条款。对磋商文件作出的实质性变动是磋商文件的有效组成部分，经采购人代表确认后，磋商小组将以书面形式通知所有参加磋商的供应商。供应商应当按照磋商文件的变动情况和磋商小组的要求重新提交响应文件，并由其法定代表人或授权代表签字或者加盖公章。根据需要，磋商小组可以自主决定磋商轮次，直至与三家或以上供</w:t>
      </w:r>
      <w:bookmarkStart w:id="215" w:name="_GoBack"/>
      <w:bookmarkEnd w:id="215"/>
      <w:r>
        <w:rPr>
          <w:rFonts w:hint="eastAsia" w:ascii="宋体" w:hAnsi="宋体"/>
          <w:color w:val="auto"/>
          <w:szCs w:val="21"/>
        </w:rPr>
        <w:t>应商达成采购人认可的磋商意见。</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 xml:space="preserve"> 6.1.2 </w:t>
      </w:r>
      <w:r>
        <w:rPr>
          <w:rFonts w:ascii="宋体" w:hAnsi="宋体"/>
          <w:color w:val="auto"/>
          <w:szCs w:val="21"/>
        </w:rPr>
        <w:t>磋商文件能够详细列明采购标的的技术、服务要求的，磋商结束后，磋商小组</w:t>
      </w:r>
      <w:r>
        <w:rPr>
          <w:rFonts w:hint="eastAsia" w:ascii="宋体" w:hAnsi="宋体"/>
          <w:color w:val="auto"/>
          <w:szCs w:val="21"/>
        </w:rPr>
        <w:t>将</w:t>
      </w:r>
      <w:r>
        <w:rPr>
          <w:rFonts w:ascii="宋体" w:hAnsi="宋体"/>
          <w:color w:val="auto"/>
          <w:szCs w:val="21"/>
        </w:rPr>
        <w:t>要求所有实质性响应的供应商在规定时间内提交最后报价。</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最后报价是供应商响应文件的有效组成部分。符合《政府采购竞争性磋商采购方式管理办法》第三条第四项及《财政部关于竞争性磋商采购方式管理暂行办法有关问题的补充通知》（财库[2015]124号）规定情形的，提交最后报价的供应商可以为2家。</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6.1.3 磋商供应商未在磋商小组规定的时间内完成最后报价的视为放弃磋商，其磋商响应按无效响应处理。最后报价须由磋商供应商法定代表人或授权代表签字或者加盖公章。</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6.2 评审方法和标准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6.2.1评审方法。经磋商确定最终采购需求和提交最后报价的供应商后，由磋商小组采用综合评分法对提交最后报价的供应商的响应文件和最后报价进行综合评分。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6.2.2评审标准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见本磋商文件第五章规定。</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6.3采购活动终止的情况</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出现下列情形之一的，本次竞争性磋商采购活动将被终止：</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（1）因情况变化，不再符合规定的竞争性磋商采购方式适用情形的；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（2）出现影响采购公正的违法、违规行为的；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（3）除本磋商文件第6.1.2条第三款规定的情形外，在采购过程中符合要求的供应商或者报价未超过采购预算的供应商不足3家的。</w:t>
      </w:r>
    </w:p>
    <w:p>
      <w:pPr>
        <w:spacing w:line="360" w:lineRule="auto"/>
        <w:ind w:firstLine="420" w:firstLineChars="200"/>
        <w:rPr>
          <w:rFonts w:ascii="宋体" w:hAnsi="宋体"/>
          <w:snapToGrid w:val="0"/>
          <w:color w:val="auto"/>
          <w:szCs w:val="21"/>
          <w:lang w:val="zh-CN"/>
        </w:rPr>
      </w:pPr>
      <w:r>
        <w:rPr>
          <w:rFonts w:hint="eastAsia" w:ascii="宋体" w:hAnsi="宋体"/>
          <w:snapToGrid w:val="0"/>
          <w:color w:val="auto"/>
          <w:szCs w:val="21"/>
          <w:lang w:val="zh-CN"/>
        </w:rPr>
        <w:t>（4）因重大变故，采购任务取消的。</w:t>
      </w:r>
    </w:p>
    <w:bookmarkEnd w:id="132"/>
    <w:bookmarkEnd w:id="133"/>
    <w:bookmarkEnd w:id="134"/>
    <w:p>
      <w:pPr>
        <w:tabs>
          <w:tab w:val="left" w:pos="900"/>
        </w:tabs>
        <w:spacing w:line="360" w:lineRule="auto"/>
        <w:ind w:firstLine="422" w:firstLineChars="200"/>
        <w:outlineLvl w:val="1"/>
        <w:rPr>
          <w:rFonts w:ascii="宋体" w:hAnsi="宋体"/>
          <w:b/>
          <w:color w:val="auto"/>
          <w:szCs w:val="21"/>
        </w:rPr>
      </w:pPr>
      <w:r>
        <w:rPr>
          <w:rFonts w:hint="eastAsia" w:ascii="宋体" w:hAnsi="宋体"/>
          <w:b/>
          <w:color w:val="auto"/>
          <w:szCs w:val="21"/>
        </w:rPr>
        <w:t>五、成交</w:t>
      </w:r>
    </w:p>
    <w:p>
      <w:pPr>
        <w:tabs>
          <w:tab w:val="left" w:pos="900"/>
        </w:tabs>
        <w:spacing w:line="360" w:lineRule="auto"/>
        <w:ind w:firstLine="420" w:firstLineChars="200"/>
        <w:outlineLvl w:val="2"/>
        <w:rPr>
          <w:rFonts w:ascii="宋体" w:hAnsi="宋体"/>
          <w:color w:val="auto"/>
          <w:szCs w:val="21"/>
        </w:rPr>
      </w:pPr>
      <w:bookmarkStart w:id="135" w:name="_Toc513029238"/>
      <w:bookmarkStart w:id="136" w:name="_Toc16938554"/>
      <w:bookmarkStart w:id="137" w:name="_Toc20823310"/>
      <w:r>
        <w:rPr>
          <w:rFonts w:hint="eastAsia" w:ascii="宋体" w:hAnsi="宋体"/>
          <w:color w:val="auto"/>
          <w:szCs w:val="21"/>
        </w:rPr>
        <w:t>1、</w:t>
      </w:r>
      <w:bookmarkEnd w:id="135"/>
      <w:r>
        <w:rPr>
          <w:rFonts w:hint="eastAsia" w:ascii="宋体" w:hAnsi="宋体"/>
          <w:color w:val="auto"/>
          <w:szCs w:val="21"/>
        </w:rPr>
        <w:t>确定</w:t>
      </w:r>
      <w:bookmarkEnd w:id="136"/>
      <w:bookmarkEnd w:id="137"/>
      <w:r>
        <w:rPr>
          <w:rFonts w:hint="eastAsia" w:ascii="宋体" w:hAnsi="宋体"/>
          <w:color w:val="auto"/>
          <w:szCs w:val="21"/>
        </w:rPr>
        <w:t>成交单位</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1.1 磋商小组根据综合评分情况，按照评审得分由高到低顺序推荐3名成交候选供应商，并编写评审报告。符合本文件第6.1.2条情形的，可以推荐1家成交候选供应商。评审得分相同的，按照最后报价由低到高的顺序推荐。评审得分且最后报价相同的，按照技术指标优劣顺序推荐。</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1.2采购人根据磋商小组推荐的成交候选人报告依法按照得分最高原则确定成交供应商。采购人确定成交供应商后，将向成交供应商发出成交通知书。</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1.3评审结束后，若有充分证据证明，成交供应商出现下列情况之一的，一经查实，采购人将取消其成交资格</w:t>
      </w:r>
      <w:r>
        <w:rPr>
          <w:rFonts w:hint="eastAsia" w:ascii="宋体" w:hAnsi="宋体" w:cs="宋体"/>
          <w:color w:val="auto"/>
          <w:kern w:val="0"/>
          <w:szCs w:val="21"/>
          <w:lang w:val="zh-CN"/>
        </w:rPr>
        <w:t>，代理机构（采购人）并可以确定排序紧跟该供应商的供应商为成交供应商，依此类推。或者重新组织磋商活动。除此之外，采购人保留进一步追究该供应商法律责任的权利。行政监督部门也将对该供应商的上述行为依法作出行政处理。成交供应商放弃成交资格、因不可抗力提出不能履行合同，代理机构（采购人）可以确定排序紧跟该供应商的供应商为成交供应商，依此类推。或者重新组织磋商活动。</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（1）提供虚假材料谋取成交的；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（2）与评审专家、采购人、其他供应商或者代理机构工作人员恶意串通的；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（3）向评审专家、采购人或代理机构工作人员行贿或者提供其他不正当利益的；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（4）不满足本磋商文件规定的实质性要求，但在评审过程中又未被磋商小组发现的；</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（5）成交后无正当理由拒不与采购人签订政府采购合同或者未按照磋商文件确定的事项签订政府采购合同；</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（6）法律、法规、规章规定的属于成交无效的其他情形。</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2、质疑处理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对可以质疑的磋商文件提出质疑的，为收到磋商文件之日或者磋商文件公告期限届满之日；</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对采购过程提出质疑的，为各采购程序环节结束之日；</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对成交结果提出质疑的，为成交结果公告期限届满之日。</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2.2质疑必须由磋商供应商法定代表人或授权代表（响应文件中所确定的）以原件送达的方式提交，未按上述要求提交的质疑函（含传真、电子邮件等）代理机构有权不予受理。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2.3未参加磋商采购活动的供应商或在磋商采购活动中自身权益未受到损害的供应商所提出的质疑不予受理。</w:t>
      </w:r>
    </w:p>
    <w:p>
      <w:pPr>
        <w:tabs>
          <w:tab w:val="left" w:pos="900"/>
        </w:tabs>
        <w:spacing w:line="360" w:lineRule="auto"/>
        <w:ind w:firstLine="420" w:firstLineChars="200"/>
        <w:outlineLvl w:val="3"/>
        <w:rPr>
          <w:rFonts w:ascii="宋体" w:hAnsi="宋体"/>
          <w:color w:val="auto"/>
          <w:szCs w:val="21"/>
        </w:rPr>
      </w:pPr>
      <w:r>
        <w:rPr>
          <w:rFonts w:hint="eastAsia" w:ascii="宋体" w:hAnsi="宋体"/>
          <w:color w:val="auto"/>
          <w:szCs w:val="21"/>
        </w:rPr>
        <w:t>2.4质疑函应当包括下列内容：</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（1）质疑供应商的名称、地址、邮编、联系人、联系电话；</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（2）具体的质疑事项及明确的请求；</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（3）认为自己合法权益受到损害或可能受到损害的相关证据材料；</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（4）提起质疑的日期；</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2.5代理机构收到质疑函后，将对质疑的形式和内容进行审查，如质疑函内容、格式不符合规定，代理机构将告知质疑人进行补正。</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2.6质疑人应当在法定质疑期限内进行补正并重新提交质疑函，拒不补正或者在法定期限内未重新提交质疑函的，为无效质疑，代理机构有权不予受理。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2.7对于内容、格式符合规定的质疑函，代理机构将在收到参加磋商供应商的书面质疑后七个工作日内作出答复，并以书面形式通知质疑供应商和其他相关供应商，答复的内容不涉及商业秘密。</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2.8供应商提出书面质疑必须有理、有据，不得恶意质疑或提交虚假质疑。否则，一经查实，代理机构有权依据政府采购的有关规定，报请政府采购监管部门对该供应商进行相应的行政处罚。</w:t>
      </w:r>
    </w:p>
    <w:p>
      <w:pPr>
        <w:tabs>
          <w:tab w:val="left" w:pos="900"/>
        </w:tabs>
        <w:spacing w:line="360" w:lineRule="auto"/>
        <w:ind w:firstLine="422" w:firstLineChars="200"/>
        <w:outlineLvl w:val="1"/>
        <w:rPr>
          <w:rFonts w:ascii="宋体" w:hAnsi="宋体"/>
          <w:b/>
          <w:color w:val="auto"/>
          <w:szCs w:val="21"/>
        </w:rPr>
      </w:pPr>
      <w:bookmarkStart w:id="138" w:name="_Toc16938553"/>
      <w:bookmarkStart w:id="139" w:name="_Toc20823309"/>
      <w:bookmarkStart w:id="140" w:name="_Toc513029237"/>
      <w:r>
        <w:rPr>
          <w:rFonts w:hint="eastAsia" w:ascii="宋体" w:hAnsi="宋体"/>
          <w:b/>
          <w:color w:val="auto"/>
          <w:szCs w:val="21"/>
        </w:rPr>
        <w:t>六、合同签订相关事项</w:t>
      </w:r>
    </w:p>
    <w:p>
      <w:pPr>
        <w:tabs>
          <w:tab w:val="left" w:pos="900"/>
        </w:tabs>
        <w:spacing w:line="360" w:lineRule="auto"/>
        <w:ind w:firstLine="420" w:firstLineChars="200"/>
        <w:outlineLvl w:val="2"/>
        <w:rPr>
          <w:rFonts w:ascii="宋体" w:hAnsi="宋体"/>
          <w:color w:val="auto"/>
          <w:szCs w:val="21"/>
        </w:rPr>
      </w:pPr>
      <w:r>
        <w:rPr>
          <w:rFonts w:hint="eastAsia" w:ascii="宋体" w:hAnsi="宋体"/>
          <w:color w:val="auto"/>
          <w:szCs w:val="21"/>
        </w:rPr>
        <w:t>1、签订合同</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1.l成交供应商应按成交通知书规定的时间、地点,按照磋商文件确定的事项与采购人签订政府采购合同，且不得迟于成交通知书发出之日起三十日内，由此给采购人造成损失的，成交供应商还应承担赔偿责任。</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1.2 磋商文件、成交供应商的响应文件及磋商采购过程中有关澄清、承诺文件均应作为合同附件。</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1.3 签订合同后，成交供应商不得将成交产品或服务进行转包。未经采购人同意，成交供应商也不得采用分包的形式履行合同，否则采购人有权终止合同。转包或分包造成采购人损失的，成交供应商应承担相应赔偿责任。</w:t>
      </w:r>
    </w:p>
    <w:p>
      <w:pPr>
        <w:tabs>
          <w:tab w:val="left" w:pos="900"/>
        </w:tabs>
        <w:spacing w:line="360" w:lineRule="auto"/>
        <w:ind w:firstLine="422" w:firstLineChars="200"/>
        <w:outlineLvl w:val="1"/>
        <w:rPr>
          <w:rFonts w:ascii="宋体" w:hAnsi="宋体"/>
          <w:b/>
          <w:color w:val="auto"/>
          <w:szCs w:val="21"/>
        </w:rPr>
      </w:pPr>
      <w:r>
        <w:rPr>
          <w:rFonts w:hint="eastAsia" w:ascii="宋体" w:hAnsi="宋体"/>
          <w:b/>
          <w:color w:val="auto"/>
          <w:szCs w:val="21"/>
        </w:rPr>
        <w:t>七、其他事项说明：（落实的相关政策）</w:t>
      </w:r>
    </w:p>
    <w:p>
      <w:pPr>
        <w:tabs>
          <w:tab w:val="left" w:pos="900"/>
        </w:tabs>
        <w:spacing w:line="360" w:lineRule="auto"/>
        <w:ind w:firstLine="420" w:firstLineChars="200"/>
        <w:contextualSpacing/>
        <w:rPr>
          <w:rFonts w:ascii="宋体" w:hAnsi="宋体"/>
          <w:color w:val="auto"/>
          <w:szCs w:val="21"/>
        </w:rPr>
      </w:pPr>
      <w:r>
        <w:rPr>
          <w:rFonts w:hint="eastAsia" w:ascii="宋体" w:hAnsi="宋体"/>
          <w:color w:val="auto"/>
          <w:szCs w:val="21"/>
        </w:rPr>
        <w:t xml:space="preserve">采购项目需要落实的政府采购政策：依据《中华人民共和国政府采购法》、《中华人民共和国政府采购法实施条例》和《政府采购竞争性磋商采购方式管理暂行办法》的有关规定，落实政府采购政策。 </w:t>
      </w:r>
    </w:p>
    <w:p>
      <w:pPr>
        <w:tabs>
          <w:tab w:val="left" w:pos="900"/>
        </w:tabs>
        <w:spacing w:line="360" w:lineRule="auto"/>
        <w:ind w:firstLine="420" w:firstLineChars="200"/>
        <w:contextualSpacing/>
        <w:rPr>
          <w:rFonts w:ascii="宋体" w:hAnsi="宋体"/>
          <w:color w:val="auto"/>
          <w:szCs w:val="21"/>
        </w:rPr>
      </w:pPr>
      <w:r>
        <w:rPr>
          <w:rFonts w:hint="eastAsia" w:ascii="宋体" w:hAnsi="宋体"/>
          <w:color w:val="auto"/>
          <w:szCs w:val="21"/>
        </w:rPr>
        <w:t>（1）《政府采购促进中小企业发展管理办法》</w:t>
      </w:r>
      <w:r>
        <w:rPr>
          <w:rFonts w:hint="eastAsia" w:ascii="宋体" w:hAnsi="宋体"/>
          <w:color w:val="auto"/>
          <w:szCs w:val="21"/>
        </w:rPr>
        <w:softHyphen/>
      </w:r>
      <w:r>
        <w:rPr>
          <w:rFonts w:hint="eastAsia" w:ascii="宋体" w:hAnsi="宋体"/>
          <w:color w:val="auto"/>
          <w:szCs w:val="21"/>
        </w:rPr>
        <w:t>——财库</w:t>
      </w:r>
      <w:r>
        <w:rPr>
          <w:rFonts w:ascii="宋体" w:hAnsi="宋体"/>
          <w:color w:val="auto"/>
          <w:szCs w:val="21"/>
        </w:rPr>
        <w:t>〔20</w:t>
      </w:r>
      <w:r>
        <w:rPr>
          <w:rFonts w:hint="eastAsia" w:ascii="宋体" w:hAnsi="宋体"/>
          <w:color w:val="auto"/>
          <w:szCs w:val="21"/>
        </w:rPr>
        <w:t>20</w:t>
      </w:r>
      <w:r>
        <w:rPr>
          <w:rFonts w:ascii="宋体" w:hAnsi="宋体"/>
          <w:color w:val="auto"/>
          <w:szCs w:val="21"/>
        </w:rPr>
        <w:t>〕</w:t>
      </w:r>
      <w:r>
        <w:rPr>
          <w:rFonts w:hint="eastAsia" w:ascii="宋体" w:hAnsi="宋体"/>
          <w:color w:val="auto"/>
          <w:szCs w:val="21"/>
        </w:rPr>
        <w:t>46号。</w:t>
      </w:r>
    </w:p>
    <w:p>
      <w:pPr>
        <w:tabs>
          <w:tab w:val="left" w:pos="900"/>
        </w:tabs>
        <w:spacing w:line="360" w:lineRule="auto"/>
        <w:ind w:firstLine="420" w:firstLineChars="200"/>
        <w:contextualSpacing/>
        <w:rPr>
          <w:rFonts w:ascii="宋体" w:hAnsi="宋体"/>
          <w:color w:val="auto"/>
          <w:szCs w:val="21"/>
        </w:rPr>
      </w:pPr>
      <w:r>
        <w:rPr>
          <w:rFonts w:hint="eastAsia" w:ascii="宋体" w:hAnsi="宋体"/>
          <w:color w:val="auto"/>
          <w:szCs w:val="21"/>
        </w:rPr>
        <w:t>（2）财政部司法部关于政府采购支持监狱企业发展有关问题的通知</w:t>
      </w:r>
      <w:r>
        <w:rPr>
          <w:rFonts w:ascii="宋体" w:hAnsi="宋体"/>
          <w:color w:val="auto"/>
          <w:szCs w:val="21"/>
        </w:rPr>
        <w:softHyphen/>
      </w:r>
      <w:r>
        <w:rPr>
          <w:rFonts w:hint="eastAsia" w:ascii="宋体" w:hAnsi="宋体"/>
          <w:color w:val="auto"/>
          <w:szCs w:val="21"/>
        </w:rPr>
        <w:softHyphen/>
      </w:r>
      <w:r>
        <w:rPr>
          <w:rFonts w:hint="eastAsia" w:ascii="宋体" w:hAnsi="宋体"/>
          <w:color w:val="auto"/>
          <w:szCs w:val="21"/>
        </w:rPr>
        <w:t xml:space="preserve">——财库〔2014〕68号 </w:t>
      </w:r>
    </w:p>
    <w:p>
      <w:pPr>
        <w:tabs>
          <w:tab w:val="left" w:pos="900"/>
        </w:tabs>
        <w:spacing w:line="360" w:lineRule="auto"/>
        <w:ind w:firstLine="420" w:firstLineChars="200"/>
        <w:contextualSpacing/>
        <w:rPr>
          <w:rFonts w:ascii="宋体" w:hAnsi="宋体"/>
          <w:color w:val="auto"/>
          <w:szCs w:val="21"/>
        </w:rPr>
      </w:pPr>
      <w:r>
        <w:rPr>
          <w:rFonts w:hint="eastAsia" w:ascii="宋体" w:hAnsi="宋体"/>
          <w:color w:val="auto"/>
          <w:szCs w:val="21"/>
        </w:rPr>
        <w:t>监狱、戒毒企业视同小微企业，享受政府采购相关政策；监狱和戒毒企业须提供由省级以上监狱管理局、戒毒管理局(含新疆生产建设兵团)出具的属于监狱企业的证明文件。</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 xml:space="preserve">（3）《关于促进残疾人就业政府采购政策的通知》财库〔2017〕141号 </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根据《财政部 民政部 中国残疾人联合会关于促进残疾人就业政府采购政策的通知》（财库〔2017〕141号，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tabs>
          <w:tab w:val="left" w:pos="900"/>
        </w:tabs>
        <w:spacing w:line="360" w:lineRule="auto"/>
        <w:ind w:firstLine="420" w:firstLineChars="200"/>
        <w:rPr>
          <w:rFonts w:ascii="宋体" w:hAnsi="宋体"/>
          <w:color w:val="auto"/>
          <w:szCs w:val="21"/>
        </w:rPr>
      </w:pPr>
      <w:r>
        <w:rPr>
          <w:rFonts w:hint="eastAsia" w:ascii="宋体" w:hAnsi="宋体"/>
          <w:color w:val="auto"/>
          <w:szCs w:val="21"/>
        </w:rPr>
        <w:t>（4）《江苏省财政厅关于进一步加大政府采购支持中小企业力度的通知》（苏财购〔2022〕45号）。</w:t>
      </w:r>
      <w:r>
        <w:rPr>
          <w:rFonts w:ascii="宋体" w:hAnsi="宋体"/>
          <w:color w:val="auto"/>
          <w:szCs w:val="21"/>
        </w:rPr>
        <w:br w:type="page"/>
      </w:r>
    </w:p>
    <w:bookmarkEnd w:id="138"/>
    <w:bookmarkEnd w:id="139"/>
    <w:bookmarkEnd w:id="140"/>
    <w:p>
      <w:pPr>
        <w:pStyle w:val="4"/>
        <w:numPr>
          <w:ilvl w:val="0"/>
          <w:numId w:val="5"/>
        </w:numPr>
        <w:spacing w:line="360" w:lineRule="auto"/>
        <w:ind w:firstLine="422" w:firstLineChars="200"/>
        <w:jc w:val="center"/>
        <w:rPr>
          <w:rFonts w:ascii="宋体" w:hAnsi="宋体" w:eastAsia="宋体"/>
          <w:b/>
          <w:color w:val="auto"/>
          <w:sz w:val="21"/>
          <w:szCs w:val="21"/>
        </w:rPr>
      </w:pPr>
      <w:bookmarkStart w:id="141" w:name="_Toc34087974"/>
      <w:r>
        <w:rPr>
          <w:rFonts w:hint="eastAsia" w:ascii="宋体" w:hAnsi="宋体" w:eastAsia="宋体"/>
          <w:b/>
          <w:color w:val="auto"/>
          <w:sz w:val="21"/>
          <w:szCs w:val="21"/>
        </w:rPr>
        <w:t xml:space="preserve">  合同条款及格式</w:t>
      </w:r>
      <w:bookmarkEnd w:id="141"/>
    </w:p>
    <w:p>
      <w:pPr>
        <w:pStyle w:val="6"/>
        <w:spacing w:line="360" w:lineRule="auto"/>
        <w:ind w:firstLineChars="200"/>
        <w:contextualSpacing/>
        <w:rPr>
          <w:rFonts w:ascii="宋体" w:hAnsi="宋体"/>
          <w:color w:val="auto"/>
          <w:szCs w:val="21"/>
        </w:rPr>
      </w:pPr>
      <w:r>
        <w:rPr>
          <w:rFonts w:hint="eastAsia" w:ascii="宋体" w:hAnsi="宋体"/>
          <w:color w:val="auto"/>
          <w:szCs w:val="21"/>
        </w:rPr>
        <w:t>办理《中标通知书》后，采购人根据</w:t>
      </w:r>
      <w:r>
        <w:rPr>
          <w:rFonts w:hint="eastAsia" w:ascii="宋体" w:hAnsi="宋体" w:cs="宋体"/>
          <w:color w:val="auto"/>
          <w:kern w:val="0"/>
          <w:szCs w:val="21"/>
        </w:rPr>
        <w:t>《中华人民共和国政府采购法》、</w:t>
      </w:r>
      <w:r>
        <w:rPr>
          <w:rFonts w:hint="eastAsia" w:ascii="宋体" w:hAnsi="宋体"/>
          <w:color w:val="auto"/>
          <w:szCs w:val="21"/>
        </w:rPr>
        <w:t>《中华人民共和国民法典》、竞争性磋商文件、响应文件等与成交供应商订立合同。</w:t>
      </w:r>
    </w:p>
    <w:p>
      <w:pPr>
        <w:spacing w:line="360" w:lineRule="auto"/>
        <w:ind w:firstLine="420"/>
        <w:contextualSpacing/>
        <w:rPr>
          <w:rFonts w:ascii="宋体"/>
          <w:b/>
          <w:bCs/>
          <w:color w:val="auto"/>
        </w:rPr>
      </w:pPr>
      <w:r>
        <w:rPr>
          <w:rFonts w:hint="eastAsia" w:ascii="宋体" w:hAnsi="宋体" w:cs="宋体"/>
          <w:color w:val="auto"/>
        </w:rPr>
        <w:t>以下为采购人与中标人签定本项目合同的通用条款，中标人不得提出实质性的修改，关于专用条款将由采购人与中标人结合本项目具体情况协商后签订。</w:t>
      </w:r>
    </w:p>
    <w:p>
      <w:pPr>
        <w:widowControl/>
        <w:snapToGrid w:val="0"/>
        <w:spacing w:before="19" w:line="360" w:lineRule="auto"/>
        <w:contextualSpacing/>
        <w:rPr>
          <w:rFonts w:ascii="宋体" w:hAnsi="宋体" w:cs="宋体"/>
          <w:color w:val="auto"/>
          <w:szCs w:val="21"/>
        </w:rPr>
      </w:pPr>
      <w:r>
        <w:rPr>
          <w:rFonts w:hint="eastAsia" w:ascii="宋体" w:hAnsi="宋体" w:cs="宋体"/>
          <w:color w:val="auto"/>
          <w:szCs w:val="21"/>
        </w:rPr>
        <w:t>甲方:</w:t>
      </w:r>
      <w:bookmarkStart w:id="142" w:name="purchase_end"/>
      <w:bookmarkEnd w:id="142"/>
      <w:bookmarkStart w:id="143" w:name="purchase_name"/>
      <w:bookmarkEnd w:id="143"/>
      <w:bookmarkStart w:id="144" w:name="purchase_start"/>
      <w:bookmarkEnd w:id="144"/>
    </w:p>
    <w:p>
      <w:pPr>
        <w:widowControl/>
        <w:snapToGrid w:val="0"/>
        <w:spacing w:before="19" w:line="360" w:lineRule="auto"/>
        <w:contextualSpacing/>
        <w:rPr>
          <w:rFonts w:ascii="宋体" w:hAnsi="宋体"/>
          <w:color w:val="auto"/>
          <w:szCs w:val="21"/>
          <w:u w:val="single"/>
        </w:rPr>
      </w:pPr>
      <w:r>
        <w:rPr>
          <w:rFonts w:hint="eastAsia" w:ascii="宋体" w:hAnsi="宋体"/>
          <w:color w:val="auto"/>
          <w:szCs w:val="21"/>
        </w:rPr>
        <w:t>乙方:</w:t>
      </w:r>
      <w:bookmarkStart w:id="145" w:name="suppliers_name"/>
      <w:bookmarkEnd w:id="145"/>
    </w:p>
    <w:p>
      <w:pPr>
        <w:widowControl/>
        <w:snapToGrid w:val="0"/>
        <w:spacing w:before="19" w:line="360" w:lineRule="auto"/>
        <w:ind w:firstLine="420"/>
        <w:contextualSpacing/>
        <w:rPr>
          <w:rFonts w:ascii="宋体" w:hAnsi="宋体"/>
          <w:color w:val="auto"/>
          <w:szCs w:val="21"/>
        </w:rPr>
      </w:pPr>
      <w:r>
        <w:rPr>
          <w:rFonts w:hint="eastAsia" w:ascii="宋体" w:hAnsi="宋体"/>
          <w:color w:val="auto"/>
          <w:szCs w:val="21"/>
        </w:rPr>
        <w:t>甲乙双方根据政府采购编号</w:t>
      </w:r>
      <w:r>
        <w:rPr>
          <w:rFonts w:hint="eastAsia" w:ascii="宋体" w:hAnsi="宋体"/>
          <w:color w:val="auto"/>
          <w:szCs w:val="21"/>
          <w:u w:val="single"/>
        </w:rPr>
        <w:t xml:space="preserve">               号</w:t>
      </w:r>
      <w:r>
        <w:rPr>
          <w:rFonts w:hint="eastAsia" w:ascii="宋体" w:hAnsi="宋体"/>
          <w:color w:val="auto"/>
          <w:szCs w:val="21"/>
        </w:rPr>
        <w:t>的 项目竞争性磋商采购结果及采购文件的要求,经协商一致,达成如下采购服务合同:</w:t>
      </w:r>
    </w:p>
    <w:p>
      <w:pPr>
        <w:widowControl/>
        <w:snapToGrid w:val="0"/>
        <w:spacing w:before="19" w:line="360" w:lineRule="auto"/>
        <w:ind w:firstLine="420"/>
        <w:contextualSpacing/>
        <w:outlineLvl w:val="1"/>
        <w:rPr>
          <w:rFonts w:ascii="宋体" w:hAnsi="宋体"/>
          <w:b/>
          <w:bCs/>
          <w:color w:val="auto"/>
          <w:szCs w:val="21"/>
        </w:rPr>
      </w:pPr>
      <w:r>
        <w:rPr>
          <w:rFonts w:hint="eastAsia" w:ascii="宋体" w:hAnsi="宋体"/>
          <w:color w:val="auto"/>
          <w:szCs w:val="21"/>
        </w:rPr>
        <w:t>一、</w:t>
      </w:r>
      <w:r>
        <w:rPr>
          <w:rFonts w:hint="eastAsia" w:ascii="宋体" w:hAnsi="宋体"/>
          <w:b/>
          <w:bCs/>
          <w:color w:val="auto"/>
          <w:szCs w:val="21"/>
        </w:rPr>
        <w:t>采购标的</w:t>
      </w:r>
    </w:p>
    <w:p>
      <w:pPr>
        <w:widowControl/>
        <w:snapToGrid w:val="0"/>
        <w:spacing w:before="19" w:line="360" w:lineRule="auto"/>
        <w:ind w:firstLine="420"/>
        <w:contextualSpacing/>
        <w:rPr>
          <w:rFonts w:ascii="宋体" w:hAnsi="宋体" w:cs="宋体"/>
          <w:color w:val="auto"/>
          <w:kern w:val="0"/>
          <w:szCs w:val="21"/>
          <w:lang w:val="zh-CN"/>
        </w:rPr>
      </w:pPr>
      <w:r>
        <w:rPr>
          <w:rFonts w:hint="eastAsia" w:ascii="宋体" w:hAnsi="宋体"/>
          <w:color w:val="auto"/>
          <w:szCs w:val="21"/>
        </w:rPr>
        <w:t>1、服务名称：泰州市交通运输综合行政执法支队食堂餐饮服务项目</w:t>
      </w:r>
    </w:p>
    <w:p>
      <w:pPr>
        <w:widowControl/>
        <w:snapToGrid w:val="0"/>
        <w:spacing w:before="19" w:line="360" w:lineRule="auto"/>
        <w:ind w:firstLine="420"/>
        <w:contextualSpacing/>
        <w:rPr>
          <w:rFonts w:ascii="宋体" w:hAnsi="宋体"/>
          <w:color w:val="auto"/>
          <w:szCs w:val="21"/>
        </w:rPr>
      </w:pPr>
      <w:r>
        <w:rPr>
          <w:rFonts w:hint="eastAsia" w:ascii="宋体" w:hAnsi="宋体"/>
          <w:color w:val="auto"/>
          <w:szCs w:val="21"/>
        </w:rPr>
        <w:t>2、服务内容：参照竞争性磋商文件的具体要求。</w:t>
      </w:r>
    </w:p>
    <w:p>
      <w:pPr>
        <w:widowControl/>
        <w:snapToGrid w:val="0"/>
        <w:spacing w:before="19" w:line="360" w:lineRule="auto"/>
        <w:ind w:firstLine="420"/>
        <w:contextualSpacing/>
        <w:rPr>
          <w:rFonts w:ascii="宋体" w:hAnsi="宋体"/>
          <w:color w:val="auto"/>
          <w:szCs w:val="21"/>
        </w:rPr>
      </w:pPr>
      <w:r>
        <w:rPr>
          <w:rFonts w:hint="eastAsia" w:ascii="宋体" w:hAnsi="宋体"/>
          <w:color w:val="auto"/>
          <w:szCs w:val="21"/>
        </w:rPr>
        <w:t>3、服务期限：三年。</w:t>
      </w:r>
    </w:p>
    <w:p>
      <w:pPr>
        <w:widowControl/>
        <w:snapToGrid w:val="0"/>
        <w:spacing w:before="19" w:line="360" w:lineRule="auto"/>
        <w:ind w:firstLine="420"/>
        <w:contextualSpacing/>
        <w:outlineLvl w:val="2"/>
        <w:rPr>
          <w:rFonts w:ascii="宋体" w:hAnsi="宋体"/>
          <w:color w:val="auto"/>
          <w:szCs w:val="21"/>
          <w:u w:val="single"/>
        </w:rPr>
      </w:pPr>
      <w:r>
        <w:rPr>
          <w:rFonts w:hint="eastAsia" w:ascii="宋体" w:hAnsi="宋体"/>
          <w:color w:val="auto"/>
          <w:szCs w:val="21"/>
        </w:rPr>
        <w:t>4、补充条款：</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w:t>
      </w:r>
    </w:p>
    <w:p>
      <w:pPr>
        <w:widowControl/>
        <w:snapToGrid w:val="0"/>
        <w:spacing w:before="19" w:line="360" w:lineRule="auto"/>
        <w:ind w:firstLine="422"/>
        <w:contextualSpacing/>
        <w:rPr>
          <w:rFonts w:ascii="宋体" w:hAnsi="宋体"/>
          <w:color w:val="auto"/>
          <w:szCs w:val="21"/>
        </w:rPr>
      </w:pPr>
      <w:r>
        <w:rPr>
          <w:rFonts w:hint="eastAsia" w:ascii="宋体" w:hAnsi="宋体"/>
          <w:b/>
          <w:color w:val="auto"/>
          <w:szCs w:val="21"/>
        </w:rPr>
        <w:t>二、合同价款</w:t>
      </w:r>
      <w:r>
        <w:rPr>
          <w:rFonts w:hint="eastAsia" w:ascii="宋体" w:hAnsi="宋体"/>
          <w:color w:val="auto"/>
          <w:szCs w:val="21"/>
        </w:rPr>
        <w:t>：本合同总价款人民币￥</w:t>
      </w:r>
      <w:bookmarkStart w:id="146" w:name="hetong_money"/>
      <w:bookmarkEnd w:id="146"/>
      <w:r>
        <w:rPr>
          <w:rFonts w:hint="eastAsia" w:ascii="宋体" w:hAnsi="宋体"/>
          <w:color w:val="auto"/>
          <w:szCs w:val="21"/>
          <w:u w:val="single"/>
        </w:rPr>
        <w:t xml:space="preserve">            元</w:t>
      </w:r>
      <w:r>
        <w:rPr>
          <w:rFonts w:hint="eastAsia" w:ascii="宋体" w:hAnsi="宋体"/>
          <w:color w:val="auto"/>
          <w:szCs w:val="21"/>
        </w:rPr>
        <w:t>，大写</w:t>
      </w:r>
      <w:bookmarkStart w:id="147" w:name="hetong_bigmoney"/>
      <w:bookmarkEnd w:id="147"/>
      <w:r>
        <w:rPr>
          <w:rFonts w:hint="eastAsia" w:ascii="宋体" w:hAnsi="宋体"/>
          <w:color w:val="auto"/>
          <w:szCs w:val="21"/>
        </w:rPr>
        <w:t>。</w:t>
      </w:r>
    </w:p>
    <w:p>
      <w:pPr>
        <w:widowControl/>
        <w:snapToGrid w:val="0"/>
        <w:spacing w:before="19" w:line="360" w:lineRule="auto"/>
        <w:ind w:firstLine="420"/>
        <w:contextualSpacing/>
        <w:rPr>
          <w:rFonts w:ascii="宋体" w:hAnsi="宋体"/>
          <w:color w:val="auto"/>
          <w:szCs w:val="21"/>
        </w:rPr>
      </w:pPr>
      <w:r>
        <w:rPr>
          <w:rFonts w:hint="eastAsia" w:ascii="宋体" w:hAnsi="宋体"/>
          <w:color w:val="auto"/>
          <w:szCs w:val="21"/>
        </w:rPr>
        <w:t>本合同价款包含所有乙方提供合同约定的服务内容的报酬及乙方提供该项服务所支出的必要费用，甲方在上述合同价款之外不再向乙方支付其他任何费用。</w:t>
      </w:r>
    </w:p>
    <w:p>
      <w:pPr>
        <w:widowControl/>
        <w:snapToGrid w:val="0"/>
        <w:spacing w:before="19" w:line="360" w:lineRule="auto"/>
        <w:ind w:firstLine="422"/>
        <w:contextualSpacing/>
        <w:rPr>
          <w:rFonts w:ascii="宋体" w:hAnsi="宋体"/>
          <w:color w:val="auto"/>
          <w:szCs w:val="21"/>
        </w:rPr>
      </w:pPr>
      <w:r>
        <w:rPr>
          <w:rFonts w:hint="eastAsia" w:ascii="宋体" w:hAnsi="宋体"/>
          <w:b/>
          <w:color w:val="auto"/>
          <w:szCs w:val="21"/>
        </w:rPr>
        <w:t>三、合同履行</w:t>
      </w:r>
      <w:r>
        <w:rPr>
          <w:rFonts w:hint="eastAsia" w:ascii="宋体" w:hAnsi="宋体"/>
          <w:color w:val="auto"/>
          <w:szCs w:val="21"/>
        </w:rPr>
        <w:t>：本合同项下服务的提供参照磋商文件的具体要求履行，甲乙双方通过补充条款进行特殊约定的从其约定。</w:t>
      </w:r>
    </w:p>
    <w:p>
      <w:pPr>
        <w:widowControl/>
        <w:snapToGrid w:val="0"/>
        <w:spacing w:before="19" w:line="360" w:lineRule="auto"/>
        <w:ind w:firstLine="420"/>
        <w:contextualSpacing/>
        <w:rPr>
          <w:rFonts w:ascii="宋体" w:hAnsi="宋体"/>
          <w:color w:val="auto"/>
          <w:szCs w:val="21"/>
          <w:u w:val="single"/>
        </w:rPr>
      </w:pPr>
      <w:r>
        <w:rPr>
          <w:rFonts w:hint="eastAsia" w:ascii="宋体" w:hAnsi="宋体"/>
          <w:color w:val="auto"/>
          <w:szCs w:val="21"/>
        </w:rPr>
        <w:t>补充条款：。</w:t>
      </w:r>
    </w:p>
    <w:p>
      <w:pPr>
        <w:widowControl/>
        <w:tabs>
          <w:tab w:val="left" w:pos="1980"/>
        </w:tabs>
        <w:snapToGrid w:val="0"/>
        <w:spacing w:before="19" w:line="360" w:lineRule="auto"/>
        <w:ind w:firstLine="632" w:firstLineChars="300"/>
        <w:contextualSpacing/>
        <w:rPr>
          <w:rFonts w:ascii="宋体" w:hAnsi="宋体"/>
          <w:color w:val="auto"/>
          <w:szCs w:val="21"/>
        </w:rPr>
      </w:pPr>
      <w:r>
        <w:rPr>
          <w:rFonts w:hint="eastAsia" w:ascii="宋体" w:hAnsi="宋体"/>
          <w:b/>
          <w:bCs/>
          <w:color w:val="auto"/>
          <w:szCs w:val="21"/>
        </w:rPr>
        <w:t>四、验收</w:t>
      </w:r>
      <w:r>
        <w:rPr>
          <w:rFonts w:hint="eastAsia" w:ascii="宋体" w:hAnsi="宋体"/>
          <w:color w:val="auto"/>
          <w:szCs w:val="21"/>
        </w:rPr>
        <w:t>：甲方在合同履行期间，有权依照磋商文件相关要求对乙方提供的相关服务或交付的工作成果进行阶段性验收及/或总体验收。如需委托第三方验收，验收费用由乙方承担。因乙方提供的服务不符合标准导致甲方重复支出的验收费用，由乙方承担。</w:t>
      </w:r>
    </w:p>
    <w:p>
      <w:pPr>
        <w:widowControl/>
        <w:tabs>
          <w:tab w:val="left" w:pos="1980"/>
        </w:tabs>
        <w:snapToGrid w:val="0"/>
        <w:spacing w:before="19" w:line="360" w:lineRule="auto"/>
        <w:ind w:firstLine="420" w:firstLineChars="200"/>
        <w:contextualSpacing/>
        <w:rPr>
          <w:rFonts w:ascii="宋体" w:hAnsi="宋体"/>
          <w:color w:val="auto"/>
          <w:szCs w:val="21"/>
        </w:rPr>
      </w:pPr>
      <w:r>
        <w:rPr>
          <w:rFonts w:hint="eastAsia" w:ascii="宋体" w:hAnsi="宋体"/>
          <w:color w:val="auto"/>
          <w:szCs w:val="21"/>
        </w:rPr>
        <w:t>经验收不合格的，乙方应当按照甲方要求在指定的合理期限内进行整改和完善，直至符合磋商文件要求的相关标准。逾期不予整改或经整改仍不能符合相关要求，或者导致合同目的无法实现，甲方有权依照法律程序解除合同，并追究乙方违约责任。</w:t>
      </w:r>
    </w:p>
    <w:p>
      <w:pPr>
        <w:widowControl/>
        <w:tabs>
          <w:tab w:val="left" w:pos="1980"/>
        </w:tabs>
        <w:snapToGrid w:val="0"/>
        <w:spacing w:before="19" w:line="360" w:lineRule="auto"/>
        <w:ind w:firstLine="632" w:firstLineChars="300"/>
        <w:contextualSpacing/>
        <w:outlineLvl w:val="1"/>
        <w:rPr>
          <w:rFonts w:ascii="宋体" w:hAnsi="宋体"/>
          <w:color w:val="auto"/>
          <w:szCs w:val="21"/>
        </w:rPr>
      </w:pPr>
      <w:r>
        <w:rPr>
          <w:rFonts w:hint="eastAsia" w:ascii="宋体" w:hAnsi="宋体"/>
          <w:b/>
          <w:color w:val="auto"/>
          <w:szCs w:val="21"/>
        </w:rPr>
        <w:t>五、合同责任</w:t>
      </w:r>
      <w:r>
        <w:rPr>
          <w:rFonts w:hint="eastAsia" w:ascii="宋体" w:hAnsi="宋体"/>
          <w:color w:val="auto"/>
          <w:szCs w:val="21"/>
        </w:rPr>
        <w:t>：</w:t>
      </w:r>
    </w:p>
    <w:p>
      <w:pPr>
        <w:widowControl/>
        <w:tabs>
          <w:tab w:val="left" w:pos="1980"/>
        </w:tabs>
        <w:snapToGrid w:val="0"/>
        <w:spacing w:before="19" w:line="360" w:lineRule="auto"/>
        <w:ind w:firstLine="630" w:firstLineChars="300"/>
        <w:contextualSpacing/>
        <w:outlineLvl w:val="2"/>
        <w:rPr>
          <w:rFonts w:ascii="宋体" w:hAnsi="宋体"/>
          <w:color w:val="auto"/>
          <w:szCs w:val="21"/>
        </w:rPr>
      </w:pPr>
      <w:r>
        <w:rPr>
          <w:rFonts w:hint="eastAsia" w:ascii="宋体" w:hAnsi="宋体"/>
          <w:color w:val="auto"/>
          <w:szCs w:val="21"/>
        </w:rPr>
        <w:t>1、甲方应当为乙方履行合同提供必要的支持。</w:t>
      </w:r>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2、乙方保证其对为履行本合同交付的工作成果、使用的技术手段或提供的服务内容涉及的各方面均享有完全的法律权利或获得充分的授权。乙方因自身的权利瑕疵或侵权行为使得本合同履行侵犯任何第三方合法权益的，均由乙方承担相关责任。</w:t>
      </w:r>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3、乙方在履行合同中产生的一切因自身过错导致的损失，均由乙方自行承担责任。</w:t>
      </w:r>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4、未经甲方事先书面同意，乙方不得部分转让或全部转让其应履行的合同义务。</w:t>
      </w:r>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5、甲乙双方均应指定专人作为本合同履行期间双方之间的联络人，所有一方向相对方正式知会事项的通知到达相对方指定联络人即视为到达对方。</w:t>
      </w:r>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甲方指定联络人：</w:t>
      </w:r>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姓    名：</w:t>
      </w:r>
      <w:bookmarkStart w:id="148" w:name="purchase_relation_name"/>
      <w:bookmarkEnd w:id="148"/>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联系方式：</w:t>
      </w:r>
      <w:bookmarkStart w:id="149" w:name="purchase_relation_tel"/>
      <w:bookmarkEnd w:id="149"/>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乙方指定联络人：</w:t>
      </w:r>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姓    名：</w:t>
      </w:r>
      <w:bookmarkStart w:id="150" w:name="supplier_relation_name"/>
      <w:bookmarkEnd w:id="150"/>
    </w:p>
    <w:p>
      <w:pPr>
        <w:widowControl/>
        <w:tabs>
          <w:tab w:val="left" w:pos="1980"/>
        </w:tabs>
        <w:snapToGrid w:val="0"/>
        <w:spacing w:before="19" w:line="360" w:lineRule="auto"/>
        <w:ind w:firstLine="630" w:firstLineChars="300"/>
        <w:contextualSpacing/>
        <w:rPr>
          <w:rFonts w:ascii="宋体" w:hAnsi="宋体"/>
          <w:color w:val="auto"/>
          <w:szCs w:val="21"/>
        </w:rPr>
      </w:pPr>
      <w:r>
        <w:rPr>
          <w:rFonts w:hint="eastAsia" w:ascii="宋体" w:hAnsi="宋体"/>
          <w:color w:val="auto"/>
          <w:szCs w:val="21"/>
        </w:rPr>
        <w:t>联系方式：</w:t>
      </w:r>
      <w:bookmarkStart w:id="151" w:name="supplier_relation_tel"/>
      <w:bookmarkEnd w:id="151"/>
    </w:p>
    <w:p>
      <w:pPr>
        <w:snapToGrid w:val="0"/>
        <w:spacing w:line="360" w:lineRule="auto"/>
        <w:ind w:firstLine="632" w:firstLineChars="300"/>
        <w:contextualSpacing/>
        <w:rPr>
          <w:rFonts w:ascii="宋体" w:hAnsi="宋体" w:cs="宋体"/>
          <w:color w:val="auto"/>
          <w:szCs w:val="21"/>
        </w:rPr>
      </w:pPr>
      <w:r>
        <w:rPr>
          <w:rFonts w:hint="eastAsia" w:ascii="宋体" w:hAnsi="宋体"/>
          <w:b/>
          <w:bCs/>
          <w:color w:val="auto"/>
          <w:szCs w:val="21"/>
        </w:rPr>
        <w:t>六、费用与支付</w:t>
      </w:r>
      <w:r>
        <w:rPr>
          <w:rFonts w:hint="eastAsia" w:ascii="宋体" w:hAnsi="宋体"/>
          <w:color w:val="auto"/>
          <w:szCs w:val="21"/>
        </w:rPr>
        <w:t>：</w:t>
      </w:r>
      <w:r>
        <w:rPr>
          <w:rFonts w:hint="eastAsia" w:ascii="宋体" w:hAnsi="宋体" w:cs="宋体"/>
          <w:color w:val="auto"/>
          <w:szCs w:val="21"/>
        </w:rPr>
        <w:t>合同签订后，乙方按照合同约定时间进场提供服务。服务费按月支付一次。乙方每月5号向甲方提交服务费正式发票。甲方在10个工作日内向乙方支付当月的服务费。</w:t>
      </w:r>
    </w:p>
    <w:p>
      <w:pPr>
        <w:widowControl/>
        <w:snapToGrid w:val="0"/>
        <w:spacing w:before="19" w:line="360" w:lineRule="auto"/>
        <w:ind w:firstLine="624" w:firstLineChars="296"/>
        <w:contextualSpacing/>
        <w:rPr>
          <w:rFonts w:ascii="宋体" w:hAnsi="宋体" w:cs="宋体"/>
          <w:color w:val="auto"/>
          <w:szCs w:val="21"/>
        </w:rPr>
      </w:pPr>
      <w:r>
        <w:rPr>
          <w:rFonts w:hint="eastAsia" w:ascii="宋体" w:hAnsi="宋体" w:cs="宋体"/>
          <w:b/>
          <w:color w:val="auto"/>
          <w:szCs w:val="21"/>
        </w:rPr>
        <w:t>七、保密条款</w:t>
      </w:r>
      <w:r>
        <w:rPr>
          <w:rFonts w:hint="eastAsia" w:ascii="宋体" w:hAnsi="宋体" w:cs="宋体"/>
          <w:color w:val="auto"/>
          <w:szCs w:val="21"/>
        </w:rPr>
        <w:t>：乙方不得将在履行本合同中知悉的甲方任何信息随意泄露、擅自使用。如违反本条款规定，乙方应当承担如下责任:</w:t>
      </w:r>
      <w:r>
        <w:rPr>
          <w:rFonts w:hint="eastAsia" w:ascii="宋体" w:hAnsi="宋体" w:cs="宋体"/>
          <w:color w:val="auto"/>
          <w:szCs w:val="21"/>
          <w:u w:val="single"/>
        </w:rPr>
        <w:t>乙方需承担因此给甲方造成的所有直接和间接损失</w:t>
      </w:r>
      <w:r>
        <w:rPr>
          <w:rFonts w:hint="eastAsia" w:ascii="宋体" w:hAnsi="宋体" w:cs="宋体"/>
          <w:color w:val="auto"/>
          <w:szCs w:val="21"/>
        </w:rPr>
        <w:t>。</w:t>
      </w:r>
    </w:p>
    <w:p>
      <w:pPr>
        <w:widowControl/>
        <w:tabs>
          <w:tab w:val="left" w:pos="1980"/>
        </w:tabs>
        <w:snapToGrid w:val="0"/>
        <w:spacing w:before="19" w:line="360" w:lineRule="auto"/>
        <w:ind w:firstLine="624" w:firstLineChars="296"/>
        <w:contextualSpacing/>
        <w:rPr>
          <w:rFonts w:ascii="宋体" w:hAnsi="宋体"/>
          <w:color w:val="auto"/>
          <w:szCs w:val="21"/>
        </w:rPr>
      </w:pPr>
      <w:r>
        <w:rPr>
          <w:rFonts w:hint="eastAsia" w:ascii="宋体" w:hAnsi="宋体"/>
          <w:b/>
          <w:color w:val="auto"/>
          <w:szCs w:val="21"/>
        </w:rPr>
        <w:t>八、合同纠纷处理</w:t>
      </w:r>
      <w:r>
        <w:rPr>
          <w:rFonts w:hint="eastAsia" w:ascii="宋体" w:hAnsi="宋体"/>
          <w:color w:val="auto"/>
          <w:szCs w:val="21"/>
        </w:rPr>
        <w:t>：本合同执行过程中发生纠纷，由甲乙双方协商处理，若协商不成，双方一致同意作如下</w:t>
      </w:r>
      <w:r>
        <w:rPr>
          <w:rFonts w:hint="eastAsia" w:ascii="宋体" w:hAnsi="宋体"/>
          <w:color w:val="auto"/>
          <w:szCs w:val="21"/>
          <w:u w:val="single"/>
        </w:rPr>
        <w:t xml:space="preserve"> 2 </w:t>
      </w:r>
      <w:r>
        <w:rPr>
          <w:rFonts w:hint="eastAsia" w:ascii="宋体" w:hAnsi="宋体"/>
          <w:color w:val="auto"/>
          <w:szCs w:val="21"/>
        </w:rPr>
        <w:t>处理：</w:t>
      </w:r>
    </w:p>
    <w:p>
      <w:pPr>
        <w:widowControl/>
        <w:tabs>
          <w:tab w:val="left" w:pos="1980"/>
        </w:tabs>
        <w:snapToGrid w:val="0"/>
        <w:spacing w:before="19" w:line="360" w:lineRule="auto"/>
        <w:ind w:firstLine="621" w:firstLineChars="296"/>
        <w:contextualSpacing/>
        <w:rPr>
          <w:rFonts w:ascii="宋体" w:hAnsi="宋体"/>
          <w:color w:val="auto"/>
          <w:szCs w:val="21"/>
        </w:rPr>
      </w:pPr>
      <w:r>
        <w:rPr>
          <w:rFonts w:hint="eastAsia" w:ascii="宋体" w:hAnsi="宋体"/>
          <w:color w:val="auto"/>
          <w:szCs w:val="21"/>
        </w:rPr>
        <w:t>1、申请仲裁。选定仲裁机构为泰州仲裁委员会。</w:t>
      </w:r>
    </w:p>
    <w:p>
      <w:pPr>
        <w:widowControl/>
        <w:tabs>
          <w:tab w:val="left" w:pos="1980"/>
        </w:tabs>
        <w:snapToGrid w:val="0"/>
        <w:spacing w:before="19" w:line="360" w:lineRule="auto"/>
        <w:ind w:firstLine="621" w:firstLineChars="296"/>
        <w:contextualSpacing/>
        <w:rPr>
          <w:rFonts w:ascii="宋体" w:hAnsi="宋体"/>
          <w:color w:val="auto"/>
          <w:szCs w:val="21"/>
        </w:rPr>
      </w:pPr>
      <w:r>
        <w:rPr>
          <w:rFonts w:hint="eastAsia" w:ascii="宋体" w:hAnsi="宋体"/>
          <w:color w:val="auto"/>
          <w:szCs w:val="21"/>
        </w:rPr>
        <w:t>2、提起诉讼。约定由采购人所在地法院管辖。</w:t>
      </w:r>
    </w:p>
    <w:p>
      <w:pPr>
        <w:widowControl/>
        <w:snapToGrid w:val="0"/>
        <w:spacing w:before="19" w:line="360" w:lineRule="auto"/>
        <w:ind w:firstLine="632" w:firstLineChars="300"/>
        <w:contextualSpacing/>
        <w:rPr>
          <w:rFonts w:ascii="宋体" w:hAnsi="宋体"/>
          <w:color w:val="auto"/>
          <w:szCs w:val="21"/>
        </w:rPr>
      </w:pPr>
      <w:r>
        <w:rPr>
          <w:rFonts w:hint="eastAsia" w:ascii="宋体" w:hAnsi="宋体"/>
          <w:b/>
          <w:color w:val="auto"/>
          <w:szCs w:val="21"/>
        </w:rPr>
        <w:t>十、合同生效</w:t>
      </w:r>
      <w:r>
        <w:rPr>
          <w:rFonts w:hint="eastAsia" w:ascii="宋体" w:hAnsi="宋体"/>
          <w:color w:val="auto"/>
          <w:szCs w:val="21"/>
        </w:rPr>
        <w:t>：本合同由甲乙双方签字盖章后生效。</w:t>
      </w:r>
    </w:p>
    <w:p>
      <w:pPr>
        <w:widowControl/>
        <w:snapToGrid w:val="0"/>
        <w:spacing w:before="19" w:line="360" w:lineRule="auto"/>
        <w:ind w:firstLine="632" w:firstLineChars="300"/>
        <w:contextualSpacing/>
        <w:rPr>
          <w:rFonts w:ascii="宋体" w:hAnsi="宋体"/>
          <w:color w:val="auto"/>
          <w:szCs w:val="21"/>
        </w:rPr>
      </w:pPr>
      <w:r>
        <w:rPr>
          <w:rFonts w:hint="eastAsia" w:ascii="宋体" w:hAnsi="宋体"/>
          <w:b/>
          <w:color w:val="auto"/>
          <w:szCs w:val="21"/>
        </w:rPr>
        <w:t>十一、组成本合同的文件包括</w:t>
      </w:r>
      <w:r>
        <w:rPr>
          <w:rFonts w:hint="eastAsia" w:ascii="宋体" w:hAnsi="宋体"/>
          <w:color w:val="auto"/>
          <w:szCs w:val="21"/>
        </w:rPr>
        <w:t>：</w:t>
      </w:r>
    </w:p>
    <w:p>
      <w:pPr>
        <w:widowControl/>
        <w:snapToGrid w:val="0"/>
        <w:spacing w:before="19" w:line="360" w:lineRule="auto"/>
        <w:ind w:left="555" w:firstLine="210" w:firstLineChars="100"/>
        <w:contextualSpacing/>
        <w:rPr>
          <w:rFonts w:ascii="宋体" w:hAnsi="宋体"/>
          <w:bCs/>
          <w:color w:val="auto"/>
          <w:szCs w:val="21"/>
        </w:rPr>
      </w:pPr>
      <w:r>
        <w:rPr>
          <w:rFonts w:hint="eastAsia" w:ascii="宋体" w:hAnsi="宋体"/>
          <w:bCs/>
          <w:color w:val="auto"/>
          <w:szCs w:val="21"/>
        </w:rPr>
        <w:t>（一）合同通用条款和专用条款；</w:t>
      </w:r>
    </w:p>
    <w:p>
      <w:pPr>
        <w:widowControl/>
        <w:snapToGrid w:val="0"/>
        <w:spacing w:before="19" w:line="360" w:lineRule="auto"/>
        <w:ind w:left="555" w:firstLine="210" w:firstLineChars="100"/>
        <w:contextualSpacing/>
        <w:rPr>
          <w:rFonts w:ascii="宋体" w:hAnsi="宋体"/>
          <w:bCs/>
          <w:color w:val="auto"/>
          <w:szCs w:val="21"/>
        </w:rPr>
      </w:pPr>
      <w:r>
        <w:rPr>
          <w:rFonts w:hint="eastAsia" w:ascii="宋体" w:hAnsi="宋体"/>
          <w:bCs/>
          <w:color w:val="auto"/>
          <w:szCs w:val="21"/>
        </w:rPr>
        <w:t>（二）采购文件和乙方的</w:t>
      </w:r>
      <w:r>
        <w:rPr>
          <w:rFonts w:hint="eastAsia" w:ascii="宋体" w:hAnsi="宋体" w:cs="宋体"/>
          <w:bCs/>
          <w:color w:val="auto"/>
          <w:szCs w:val="21"/>
        </w:rPr>
        <w:t>响应</w:t>
      </w:r>
      <w:r>
        <w:rPr>
          <w:rFonts w:hint="eastAsia" w:ascii="宋体" w:hAnsi="宋体"/>
          <w:bCs/>
          <w:color w:val="auto"/>
          <w:szCs w:val="21"/>
        </w:rPr>
        <w:t>文件；</w:t>
      </w:r>
    </w:p>
    <w:p>
      <w:pPr>
        <w:widowControl/>
        <w:snapToGrid w:val="0"/>
        <w:spacing w:before="19" w:line="360" w:lineRule="auto"/>
        <w:ind w:left="555" w:firstLine="210" w:firstLineChars="100"/>
        <w:contextualSpacing/>
        <w:rPr>
          <w:rFonts w:ascii="宋体" w:hAnsi="宋体"/>
          <w:bCs/>
          <w:color w:val="auto"/>
          <w:szCs w:val="21"/>
        </w:rPr>
      </w:pPr>
      <w:r>
        <w:rPr>
          <w:rFonts w:hint="eastAsia" w:ascii="宋体" w:hAnsi="宋体"/>
          <w:bCs/>
          <w:color w:val="auto"/>
          <w:szCs w:val="21"/>
        </w:rPr>
        <w:t>（三）中标通知书；</w:t>
      </w:r>
    </w:p>
    <w:p>
      <w:pPr>
        <w:widowControl/>
        <w:snapToGrid w:val="0"/>
        <w:spacing w:before="19" w:line="360" w:lineRule="auto"/>
        <w:ind w:left="555" w:firstLine="210" w:firstLineChars="100"/>
        <w:contextualSpacing/>
        <w:rPr>
          <w:rFonts w:ascii="宋体" w:hAnsi="宋体"/>
          <w:bCs/>
          <w:color w:val="auto"/>
          <w:szCs w:val="21"/>
        </w:rPr>
      </w:pPr>
      <w:r>
        <w:rPr>
          <w:rFonts w:hint="eastAsia" w:ascii="宋体" w:hAnsi="宋体"/>
          <w:bCs/>
          <w:color w:val="auto"/>
          <w:szCs w:val="21"/>
        </w:rPr>
        <w:t>（四）甲乙双方商定的其他必要文件。</w:t>
      </w:r>
    </w:p>
    <w:p>
      <w:pPr>
        <w:widowControl/>
        <w:snapToGrid w:val="0"/>
        <w:spacing w:before="19" w:line="360" w:lineRule="auto"/>
        <w:contextualSpacing/>
        <w:rPr>
          <w:rFonts w:ascii="宋体" w:hAnsi="宋体"/>
          <w:bCs/>
          <w:color w:val="auto"/>
          <w:szCs w:val="21"/>
        </w:rPr>
      </w:pPr>
      <w:r>
        <w:rPr>
          <w:rFonts w:hint="eastAsia" w:ascii="宋体" w:hAnsi="宋体"/>
          <w:bCs/>
          <w:color w:val="auto"/>
          <w:szCs w:val="21"/>
        </w:rPr>
        <w:t>上述合同文件内容互为补充，如有不明确，由甲方负责解释。</w:t>
      </w:r>
    </w:p>
    <w:p>
      <w:pPr>
        <w:widowControl/>
        <w:snapToGrid w:val="0"/>
        <w:spacing w:before="19" w:line="360" w:lineRule="auto"/>
        <w:ind w:firstLine="767" w:firstLineChars="364"/>
        <w:contextualSpacing/>
        <w:outlineLvl w:val="1"/>
        <w:rPr>
          <w:rFonts w:ascii="宋体" w:hAnsi="宋体"/>
          <w:b/>
          <w:bCs/>
          <w:color w:val="auto"/>
          <w:szCs w:val="21"/>
        </w:rPr>
      </w:pPr>
      <w:r>
        <w:rPr>
          <w:rFonts w:hint="eastAsia" w:ascii="宋体" w:hAnsi="宋体"/>
          <w:b/>
          <w:bCs/>
          <w:color w:val="auto"/>
          <w:szCs w:val="21"/>
        </w:rPr>
        <w:t>十二、</w:t>
      </w:r>
      <w:r>
        <w:rPr>
          <w:rFonts w:hint="eastAsia" w:ascii="宋体" w:hAnsi="宋体" w:cs="宋体"/>
          <w:b/>
          <w:color w:val="auto"/>
          <w:kern w:val="0"/>
          <w:szCs w:val="21"/>
        </w:rPr>
        <w:t>合同生效及其他</w:t>
      </w:r>
    </w:p>
    <w:p>
      <w:pPr>
        <w:widowControl/>
        <w:spacing w:line="360" w:lineRule="auto"/>
        <w:ind w:firstLine="630" w:firstLineChars="300"/>
        <w:contextualSpacing/>
        <w:jc w:val="left"/>
        <w:rPr>
          <w:rFonts w:ascii="宋体" w:hAnsi="宋体" w:cs="宋体"/>
          <w:color w:val="auto"/>
          <w:kern w:val="0"/>
          <w:szCs w:val="21"/>
        </w:rPr>
      </w:pPr>
      <w:r>
        <w:rPr>
          <w:rFonts w:hint="eastAsia" w:ascii="宋体" w:hAnsi="宋体" w:cs="宋体"/>
          <w:color w:val="auto"/>
          <w:kern w:val="0"/>
          <w:szCs w:val="21"/>
        </w:rPr>
        <w:t>1、本合同自签订之日起生效。</w:t>
      </w:r>
    </w:p>
    <w:p>
      <w:pPr>
        <w:widowControl/>
        <w:spacing w:line="360" w:lineRule="auto"/>
        <w:ind w:firstLine="630" w:firstLineChars="300"/>
        <w:contextualSpacing/>
        <w:jc w:val="left"/>
        <w:rPr>
          <w:rFonts w:ascii="宋体" w:hAnsi="宋体" w:cs="宋体"/>
          <w:color w:val="auto"/>
          <w:kern w:val="0"/>
          <w:szCs w:val="21"/>
        </w:rPr>
      </w:pPr>
      <w:r>
        <w:rPr>
          <w:rFonts w:hint="eastAsia" w:ascii="宋体" w:hAnsi="宋体" w:cs="宋体"/>
          <w:color w:val="auto"/>
          <w:kern w:val="0"/>
          <w:szCs w:val="21"/>
        </w:rPr>
        <w:t>2、本合同一式_____份，甲乙双方各执____份。</w:t>
      </w:r>
    </w:p>
    <w:p>
      <w:pPr>
        <w:widowControl/>
        <w:spacing w:line="360" w:lineRule="auto"/>
        <w:ind w:firstLine="630" w:firstLineChars="300"/>
        <w:contextualSpacing/>
        <w:jc w:val="left"/>
        <w:rPr>
          <w:rFonts w:ascii="宋体" w:hAnsi="宋体" w:cs="宋体"/>
          <w:color w:val="auto"/>
          <w:kern w:val="0"/>
          <w:szCs w:val="21"/>
        </w:rPr>
      </w:pPr>
      <w:r>
        <w:rPr>
          <w:rFonts w:hint="eastAsia" w:ascii="宋体" w:hAnsi="宋体" w:cs="宋体"/>
          <w:color w:val="auto"/>
          <w:kern w:val="0"/>
          <w:szCs w:val="21"/>
        </w:rPr>
        <w:t>3、本合同应按照中华人民共和国的现行法律进行解释。</w:t>
      </w:r>
    </w:p>
    <w:p>
      <w:pPr>
        <w:pStyle w:val="2"/>
        <w:spacing w:line="360" w:lineRule="auto"/>
        <w:ind w:firstLine="640"/>
        <w:contextualSpacing/>
        <w:rPr>
          <w:color w:val="auto"/>
        </w:rPr>
      </w:pPr>
    </w:p>
    <w:p>
      <w:pPr>
        <w:pStyle w:val="3"/>
        <w:spacing w:line="360" w:lineRule="auto"/>
        <w:contextualSpacing/>
        <w:rPr>
          <w:color w:val="auto"/>
        </w:rPr>
      </w:pPr>
    </w:p>
    <w:p>
      <w:pPr>
        <w:pStyle w:val="3"/>
        <w:spacing w:line="360" w:lineRule="auto"/>
        <w:contextualSpacing/>
        <w:rPr>
          <w:color w:val="auto"/>
        </w:rPr>
      </w:pPr>
    </w:p>
    <w:p>
      <w:pPr>
        <w:widowControl/>
        <w:spacing w:line="360" w:lineRule="auto"/>
        <w:contextualSpacing/>
        <w:jc w:val="left"/>
        <w:rPr>
          <w:rFonts w:ascii="宋体" w:hAnsi="宋体" w:cs="宋体"/>
          <w:color w:val="auto"/>
          <w:kern w:val="0"/>
          <w:szCs w:val="21"/>
        </w:rPr>
      </w:pPr>
      <w:r>
        <w:rPr>
          <w:rFonts w:hint="eastAsia" w:ascii="宋体" w:hAnsi="宋体" w:cs="宋体"/>
          <w:color w:val="auto"/>
          <w:kern w:val="0"/>
          <w:szCs w:val="21"/>
        </w:rPr>
        <w:t>  甲方（采购人）：   （盖章）                  乙方（供应商）：    （盖章）</w:t>
      </w:r>
    </w:p>
    <w:p>
      <w:pPr>
        <w:widowControl/>
        <w:spacing w:line="360" w:lineRule="auto"/>
        <w:contextualSpacing/>
        <w:jc w:val="left"/>
        <w:rPr>
          <w:rFonts w:ascii="宋体" w:hAnsi="宋体" w:cs="宋体"/>
          <w:color w:val="auto"/>
          <w:kern w:val="0"/>
          <w:szCs w:val="21"/>
        </w:rPr>
      </w:pPr>
      <w:r>
        <w:rPr>
          <w:rFonts w:hint="eastAsia" w:ascii="宋体" w:hAnsi="宋体" w:cs="宋体"/>
          <w:color w:val="auto"/>
          <w:kern w:val="0"/>
          <w:szCs w:val="21"/>
        </w:rPr>
        <w:t xml:space="preserve">  法定代表人：                    法定代表人：       </w:t>
      </w:r>
    </w:p>
    <w:p>
      <w:pPr>
        <w:widowControl/>
        <w:spacing w:line="360" w:lineRule="auto"/>
        <w:contextualSpacing/>
        <w:jc w:val="left"/>
        <w:rPr>
          <w:rFonts w:ascii="宋体" w:hAnsi="宋体" w:cs="宋体"/>
          <w:color w:val="auto"/>
          <w:kern w:val="0"/>
          <w:szCs w:val="21"/>
        </w:rPr>
      </w:pPr>
      <w:r>
        <w:rPr>
          <w:rFonts w:hint="eastAsia" w:ascii="宋体" w:hAnsi="宋体" w:cs="宋体"/>
          <w:color w:val="auto"/>
          <w:kern w:val="0"/>
          <w:szCs w:val="21"/>
        </w:rPr>
        <w:t>  委托代理人：                    委托代理人：</w:t>
      </w:r>
    </w:p>
    <w:p>
      <w:pPr>
        <w:widowControl/>
        <w:spacing w:line="360" w:lineRule="auto"/>
        <w:contextualSpacing/>
        <w:jc w:val="left"/>
        <w:rPr>
          <w:rFonts w:ascii="宋体" w:hAnsi="宋体" w:cs="宋体"/>
          <w:color w:val="auto"/>
          <w:kern w:val="0"/>
          <w:szCs w:val="21"/>
        </w:rPr>
      </w:pPr>
      <w:r>
        <w:rPr>
          <w:rFonts w:hint="eastAsia" w:ascii="宋体" w:hAnsi="宋体" w:cs="宋体"/>
          <w:color w:val="auto"/>
          <w:kern w:val="0"/>
          <w:szCs w:val="21"/>
        </w:rPr>
        <w:t>  电话：                       电话：</w:t>
      </w:r>
    </w:p>
    <w:p>
      <w:pPr>
        <w:widowControl/>
        <w:spacing w:line="360" w:lineRule="auto"/>
        <w:contextualSpacing/>
        <w:jc w:val="left"/>
        <w:rPr>
          <w:rFonts w:ascii="宋体" w:hAnsi="宋体" w:cs="宋体"/>
          <w:color w:val="auto"/>
          <w:kern w:val="0"/>
          <w:szCs w:val="21"/>
        </w:rPr>
      </w:pPr>
      <w:r>
        <w:rPr>
          <w:rFonts w:hint="eastAsia" w:ascii="宋体" w:hAnsi="宋体" w:cs="宋体"/>
          <w:color w:val="auto"/>
          <w:kern w:val="0"/>
          <w:szCs w:val="21"/>
        </w:rPr>
        <w:t>  开户银行：                     开户银行：</w:t>
      </w:r>
    </w:p>
    <w:p>
      <w:pPr>
        <w:widowControl/>
        <w:spacing w:line="360" w:lineRule="auto"/>
        <w:contextualSpacing/>
        <w:jc w:val="left"/>
        <w:rPr>
          <w:rFonts w:ascii="宋体" w:hAnsi="宋体" w:cs="宋体"/>
          <w:color w:val="auto"/>
          <w:kern w:val="0"/>
          <w:szCs w:val="21"/>
        </w:rPr>
      </w:pPr>
      <w:r>
        <w:rPr>
          <w:rFonts w:hint="eastAsia" w:ascii="宋体" w:hAnsi="宋体" w:cs="宋体"/>
          <w:color w:val="auto"/>
          <w:kern w:val="0"/>
          <w:szCs w:val="21"/>
        </w:rPr>
        <w:t>  账号：                       账号：</w:t>
      </w:r>
    </w:p>
    <w:p>
      <w:pPr>
        <w:widowControl/>
        <w:spacing w:line="360" w:lineRule="auto"/>
        <w:contextualSpacing/>
        <w:jc w:val="left"/>
        <w:rPr>
          <w:rFonts w:ascii="宋体" w:hAnsi="宋体" w:cs="宋体"/>
          <w:color w:val="auto"/>
          <w:kern w:val="0"/>
          <w:szCs w:val="21"/>
        </w:rPr>
      </w:pPr>
      <w:r>
        <w:rPr>
          <w:rFonts w:hint="eastAsia" w:ascii="宋体" w:hAnsi="宋体" w:cs="宋体"/>
          <w:color w:val="auto"/>
          <w:kern w:val="0"/>
          <w:szCs w:val="21"/>
        </w:rPr>
        <w:t xml:space="preserve">  单位地址：                     单位地址： </w:t>
      </w:r>
    </w:p>
    <w:p>
      <w:pPr>
        <w:widowControl/>
        <w:spacing w:line="360" w:lineRule="auto"/>
        <w:ind w:firstLine="315" w:firstLineChars="150"/>
        <w:contextualSpacing/>
        <w:jc w:val="left"/>
        <w:rPr>
          <w:rFonts w:ascii="宋体" w:hAnsi="宋体" w:cs="宋体"/>
          <w:color w:val="auto"/>
          <w:kern w:val="0"/>
          <w:szCs w:val="21"/>
        </w:rPr>
      </w:pPr>
      <w:r>
        <w:rPr>
          <w:rFonts w:hint="eastAsia" w:ascii="宋体" w:hAnsi="宋体" w:cs="宋体"/>
          <w:color w:val="auto"/>
          <w:kern w:val="0"/>
          <w:szCs w:val="21"/>
        </w:rPr>
        <w:t xml:space="preserve">日期：   年    月    日                         日期：   年  月  日 </w:t>
      </w:r>
    </w:p>
    <w:p>
      <w:pPr>
        <w:pStyle w:val="16"/>
        <w:ind w:firstLine="560"/>
        <w:rPr>
          <w:color w:val="auto"/>
        </w:rPr>
        <w:sectPr>
          <w:pgSz w:w="11907" w:h="16840"/>
          <w:pgMar w:top="1134" w:right="1134" w:bottom="1134" w:left="1560" w:header="851" w:footer="851" w:gutter="0"/>
          <w:cols w:space="720" w:num="1"/>
          <w:docGrid w:linePitch="312" w:charSpace="0"/>
        </w:sectPr>
      </w:pPr>
    </w:p>
    <w:p>
      <w:pPr>
        <w:spacing w:line="480" w:lineRule="exact"/>
        <w:ind w:firstLine="422"/>
        <w:jc w:val="center"/>
        <w:outlineLvl w:val="0"/>
        <w:rPr>
          <w:rFonts w:ascii="宋体" w:hAnsi="宋体"/>
          <w:b/>
          <w:color w:val="auto"/>
          <w:szCs w:val="21"/>
        </w:rPr>
      </w:pPr>
      <w:bookmarkStart w:id="152" w:name="_Toc34087975"/>
      <w:bookmarkStart w:id="153" w:name="_Toc26554097"/>
      <w:bookmarkStart w:id="154" w:name="_Toc23828480"/>
      <w:bookmarkStart w:id="155" w:name="_Toc61149622"/>
      <w:r>
        <w:rPr>
          <w:rFonts w:hint="eastAsia" w:ascii="宋体" w:hAnsi="宋体"/>
          <w:b/>
          <w:color w:val="auto"/>
          <w:szCs w:val="21"/>
        </w:rPr>
        <w:t>第四章  项目需求</w:t>
      </w:r>
      <w:bookmarkEnd w:id="152"/>
    </w:p>
    <w:p>
      <w:pPr>
        <w:spacing w:line="360" w:lineRule="auto"/>
        <w:ind w:firstLine="422"/>
        <w:contextualSpacing/>
        <w:rPr>
          <w:rFonts w:ascii="宋体" w:hAnsi="宋体" w:cs="宋体"/>
          <w:b/>
          <w:bCs/>
          <w:color w:val="auto"/>
          <w:szCs w:val="21"/>
        </w:rPr>
      </w:pPr>
      <w:bookmarkStart w:id="156" w:name="_Toc382812311"/>
      <w:bookmarkStart w:id="157" w:name="_Toc383624015"/>
      <w:bookmarkStart w:id="158" w:name="_Toc382811602"/>
      <w:bookmarkStart w:id="159" w:name="_Toc383679817"/>
      <w:bookmarkStart w:id="160" w:name="_Toc382811197"/>
      <w:bookmarkStart w:id="161" w:name="_Toc386627933"/>
      <w:bookmarkStart w:id="162" w:name="_Toc386565052"/>
      <w:bookmarkStart w:id="163" w:name="_Toc383626064"/>
      <w:bookmarkStart w:id="164" w:name="_Toc386527832"/>
      <w:bookmarkStart w:id="165" w:name="_Toc383623743"/>
      <w:bookmarkStart w:id="166" w:name="_Toc382814032"/>
      <w:bookmarkStart w:id="167" w:name="_Toc383587523"/>
      <w:bookmarkStart w:id="168" w:name="_Toc383698717"/>
      <w:bookmarkStart w:id="169" w:name="_Toc386627705"/>
      <w:bookmarkStart w:id="170" w:name="_Toc386558446"/>
      <w:bookmarkStart w:id="171" w:name="_Toc386565134"/>
      <w:bookmarkStart w:id="172" w:name="_Toc386631139"/>
      <w:bookmarkStart w:id="173" w:name="_Toc482887815"/>
      <w:bookmarkStart w:id="174" w:name="_Toc382812501"/>
      <w:bookmarkStart w:id="175" w:name="_Toc386565216"/>
      <w:bookmarkStart w:id="176" w:name="_Toc382813951"/>
      <w:r>
        <w:rPr>
          <w:rFonts w:hint="eastAsia" w:ascii="宋体" w:hAnsi="宋体" w:cs="宋体"/>
          <w:b/>
          <w:bCs/>
          <w:color w:val="auto"/>
          <w:szCs w:val="21"/>
        </w:rPr>
        <w:t xml:space="preserve">一、食堂内部管理方案 </w:t>
      </w:r>
    </w:p>
    <w:p>
      <w:pPr>
        <w:spacing w:line="360" w:lineRule="auto"/>
        <w:ind w:firstLine="420" w:firstLineChars="200"/>
        <w:contextualSpacing/>
        <w:rPr>
          <w:rFonts w:ascii="宋体" w:hAnsi="宋体" w:cs="宋体"/>
          <w:color w:val="auto"/>
          <w:szCs w:val="21"/>
        </w:rPr>
      </w:pPr>
      <w:bookmarkStart w:id="177" w:name="_Hlk159744997"/>
      <w:r>
        <w:rPr>
          <w:rFonts w:hint="eastAsia" w:ascii="宋体" w:hAnsi="宋体" w:cs="宋体"/>
          <w:color w:val="auto"/>
          <w:szCs w:val="21"/>
        </w:rPr>
        <w:t>服务范围：</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A、单位所有人员工作日的早、中两餐供应与服务以及中、晚餐的正常公务接待服务；</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B、食堂范围内所有的卫生保洁工作；</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C、设备设施日常维护及安全管理工作。</w:t>
      </w:r>
      <w:bookmarkEnd w:id="177"/>
    </w:p>
    <w:p>
      <w:pPr>
        <w:spacing w:line="360" w:lineRule="auto"/>
        <w:ind w:firstLine="211" w:firstLineChars="100"/>
        <w:contextualSpacing/>
        <w:rPr>
          <w:rFonts w:ascii="宋体" w:hAnsi="宋体" w:cs="宋体"/>
          <w:color w:val="auto"/>
          <w:szCs w:val="21"/>
        </w:rPr>
      </w:pPr>
      <w:r>
        <w:rPr>
          <w:rFonts w:hint="eastAsia" w:ascii="宋体" w:hAnsi="宋体" w:cs="宋体"/>
          <w:b/>
          <w:bCs/>
          <w:color w:val="auto"/>
          <w:szCs w:val="21"/>
        </w:rPr>
        <w:t>（一）就餐人数、时间及就餐秩序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1、就餐人数及时间：（具体时间服从安排）</w:t>
      </w:r>
    </w:p>
    <w:p>
      <w:pPr>
        <w:spacing w:line="360" w:lineRule="auto"/>
        <w:ind w:left="420"/>
        <w:contextualSpacing/>
        <w:rPr>
          <w:rFonts w:ascii="宋体" w:hAnsi="宋体" w:cs="宋体"/>
          <w:color w:val="auto"/>
          <w:szCs w:val="21"/>
        </w:rPr>
      </w:pPr>
      <w:r>
        <w:rPr>
          <w:rFonts w:hint="eastAsia" w:ascii="宋体" w:hAnsi="宋体" w:cs="宋体"/>
          <w:color w:val="auto"/>
          <w:szCs w:val="21"/>
        </w:rPr>
        <w:t xml:space="preserve">早餐   07:30-08:30 </w:t>
      </w:r>
      <w:r>
        <w:rPr>
          <w:rFonts w:ascii="宋体" w:hAnsi="宋体" w:cs="宋体"/>
          <w:color w:val="auto"/>
          <w:szCs w:val="21"/>
        </w:rPr>
        <w:t xml:space="preserve"> </w:t>
      </w:r>
      <w:r>
        <w:rPr>
          <w:rFonts w:hint="eastAsia" w:ascii="宋体" w:hAnsi="宋体" w:cs="宋体"/>
          <w:color w:val="auto"/>
          <w:szCs w:val="21"/>
        </w:rPr>
        <w:t>60人次左右</w:t>
      </w:r>
    </w:p>
    <w:p>
      <w:pPr>
        <w:spacing w:line="360" w:lineRule="auto"/>
        <w:ind w:left="420"/>
        <w:contextualSpacing/>
        <w:rPr>
          <w:rFonts w:ascii="宋体" w:hAnsi="宋体" w:cs="宋体"/>
          <w:color w:val="auto"/>
          <w:szCs w:val="21"/>
        </w:rPr>
      </w:pPr>
      <w:r>
        <w:rPr>
          <w:rFonts w:hint="eastAsia" w:ascii="宋体" w:hAnsi="宋体" w:cs="宋体"/>
          <w:color w:val="auto"/>
          <w:szCs w:val="21"/>
        </w:rPr>
        <w:t>午餐   11:45-12:</w:t>
      </w:r>
      <w:r>
        <w:rPr>
          <w:rFonts w:ascii="宋体" w:hAnsi="宋体" w:cs="宋体"/>
          <w:color w:val="auto"/>
          <w:szCs w:val="21"/>
        </w:rPr>
        <w:t>45</w:t>
      </w:r>
      <w:r>
        <w:rPr>
          <w:rFonts w:hint="eastAsia" w:ascii="宋体" w:hAnsi="宋体" w:cs="宋体"/>
          <w:color w:val="auto"/>
          <w:szCs w:val="21"/>
        </w:rPr>
        <w:t xml:space="preserve">  100人次左右</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每周一至周五为正常工作日，晚间及周日如有需要则根据采购人安排，由此产生的费用不做增加。如有人员请假，投标人应做好应对措施，确保人员数量，保证工作不受影响。</w:t>
      </w:r>
    </w:p>
    <w:p>
      <w:pPr>
        <w:spacing w:line="360" w:lineRule="auto"/>
        <w:ind w:firstLine="420" w:firstLineChars="200"/>
        <w:contextualSpacing/>
        <w:rPr>
          <w:rFonts w:ascii="宋体" w:hAnsi="宋体" w:cs="宋体"/>
          <w:b/>
          <w:bCs/>
          <w:color w:val="auto"/>
          <w:szCs w:val="21"/>
        </w:rPr>
      </w:pPr>
      <w:r>
        <w:rPr>
          <w:rFonts w:hint="eastAsia" w:ascii="宋体" w:hAnsi="宋体" w:cs="宋体"/>
          <w:color w:val="auto"/>
          <w:szCs w:val="21"/>
        </w:rPr>
        <w:t>2、就餐秩序：办公室主管食堂人员配合食堂管理，就餐人员排队刷卡就餐，用餐结束后，将餐盘送至指定位置。</w:t>
      </w:r>
    </w:p>
    <w:p>
      <w:pPr>
        <w:spacing w:line="360" w:lineRule="auto"/>
        <w:ind w:left="420" w:firstLine="422"/>
        <w:contextualSpacing/>
        <w:rPr>
          <w:rFonts w:ascii="宋体" w:hAnsi="宋体" w:cs="宋体"/>
          <w:b/>
          <w:bCs/>
          <w:color w:val="auto"/>
          <w:szCs w:val="21"/>
        </w:rPr>
      </w:pPr>
      <w:r>
        <w:rPr>
          <w:rFonts w:hint="eastAsia" w:ascii="宋体" w:hAnsi="宋体" w:cs="宋体"/>
          <w:b/>
          <w:bCs/>
          <w:color w:val="auto"/>
          <w:szCs w:val="21"/>
        </w:rPr>
        <w:t>（二）菜单制定</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1、食堂菜单由厨师每周五上午送达办公室主管部门审核，审核通过后，下周由食堂按照菜单制作。</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2、菜单制作的原则：</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A、根据用餐标准制定菜单，合理用料。</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B、根据用餐人员口味，制定色、香、味俱全的菜单。</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C、兼顾营养搭配、荤素搭配和品种多样化。</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3、用餐标准：</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A、早餐构成（不超过5元）：</w:t>
      </w:r>
      <w:r>
        <w:rPr>
          <w:rFonts w:hint="eastAsia" w:ascii="宋体" w:hAnsi="宋体" w:cs="宋体"/>
          <w:color w:val="auto"/>
          <w:szCs w:val="21"/>
          <w:lang w:val="en-US" w:eastAsia="zh-CN"/>
        </w:rPr>
        <w:t>制作</w:t>
      </w:r>
      <w:r>
        <w:rPr>
          <w:rFonts w:hint="eastAsia" w:ascii="宋体" w:hAnsi="宋体" w:cs="宋体"/>
          <w:color w:val="auto"/>
          <w:szCs w:val="21"/>
        </w:rPr>
        <w:t>不低于5个品种自选、3个品种小菜。</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B、中餐构成（不超过15元）：</w:t>
      </w:r>
      <w:r>
        <w:rPr>
          <w:rFonts w:hint="eastAsia" w:ascii="宋体" w:hAnsi="宋体" w:cs="宋体"/>
          <w:color w:val="auto"/>
          <w:szCs w:val="21"/>
          <w:lang w:val="en-US" w:eastAsia="zh-CN"/>
        </w:rPr>
        <w:t>制作</w:t>
      </w:r>
      <w:r>
        <w:rPr>
          <w:rFonts w:hint="eastAsia" w:ascii="宋体" w:hAnsi="宋体" w:cs="宋体"/>
          <w:color w:val="auto"/>
          <w:szCs w:val="21"/>
        </w:rPr>
        <w:t>不低于</w:t>
      </w:r>
      <w:r>
        <w:rPr>
          <w:rFonts w:ascii="宋体" w:hAnsi="宋体" w:cs="宋体"/>
          <w:color w:val="auto"/>
          <w:szCs w:val="21"/>
        </w:rPr>
        <w:t>4</w:t>
      </w:r>
      <w:r>
        <w:rPr>
          <w:rFonts w:hint="eastAsia" w:ascii="宋体" w:hAnsi="宋体" w:cs="宋体"/>
          <w:color w:val="auto"/>
          <w:szCs w:val="21"/>
        </w:rPr>
        <w:t>个品种（小荤、素菜）自助，2个固定大荤。</w:t>
      </w:r>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Pr>
        <w:spacing w:line="360" w:lineRule="auto"/>
        <w:ind w:firstLine="422" w:firstLineChars="200"/>
        <w:contextualSpacing/>
        <w:rPr>
          <w:rFonts w:ascii="宋体" w:hAnsi="宋体" w:cs="宋体"/>
          <w:b/>
          <w:bCs/>
          <w:color w:val="auto"/>
          <w:szCs w:val="21"/>
        </w:rPr>
      </w:pPr>
      <w:r>
        <w:rPr>
          <w:rFonts w:hint="eastAsia" w:ascii="宋体" w:hAnsi="宋体" w:cs="宋体"/>
          <w:b/>
          <w:bCs/>
          <w:color w:val="auto"/>
          <w:szCs w:val="21"/>
        </w:rPr>
        <w:t>二、具体项目需求</w:t>
      </w:r>
      <w:bookmarkStart w:id="178" w:name="_Toc8410"/>
    </w:p>
    <w:p>
      <w:pPr>
        <w:spacing w:line="360" w:lineRule="auto"/>
        <w:ind w:firstLine="420" w:firstLineChars="200"/>
        <w:contextualSpacing/>
        <w:rPr>
          <w:rFonts w:ascii="宋体" w:hAnsi="宋体" w:cs="宋体"/>
          <w:b/>
          <w:bCs/>
          <w:color w:val="auto"/>
          <w:szCs w:val="21"/>
        </w:rPr>
      </w:pPr>
      <w:r>
        <w:rPr>
          <w:rFonts w:hint="eastAsia" w:ascii="宋体" w:hAnsi="宋体" w:cs="宋体"/>
          <w:color w:val="auto"/>
          <w:szCs w:val="21"/>
        </w:rPr>
        <w:t>（一）食堂管理模式</w:t>
      </w:r>
      <w:bookmarkEnd w:id="178"/>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1、由供应商委派专业厨房工作人员及管理人员到采购人处进行专业厨房管理、服务，为采购人提供膳食服务，规范经营。</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2、供应商服务期间，采购人负责监督食堂管理，配备专人指导食堂经营管理工作。</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3、供应商需保证其经营行为合法有效。</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4、供应商服务期间，采购人会对如下内容进行管理监督：</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（1）检查监督食堂的卫生安全工作，对违规行为予以处罚；</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（2）抽查评价服务品种的质量，对违规行为予以处罚；</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（3）协调员工就餐秩序。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（二）工作内容</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1、制订菜单</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供应商需根据市场、季节、营养、采购人要求等综合因素制定下周食谱及菜单，同时报送采购人备案。</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、饭菜加工</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每餐饭菜必须在就餐前10分钟准备好，加工后的饭菜要注意保热、保洁。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3、就餐服务</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就餐期间供应商管理人员需协调好食堂内部事务，负责打菜的职工要固定窗口，打饭菜数量要符合规定，人员配备充足，保证打饭快速有序。需根据就餐情况及时调配饭菜,如有饭菜不足情况要及时采取措施。</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4、餐后及时清洗、清理与打扫</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餐后要对餐桌、厨具、餐具进行清洗、消毒、并分类放在固定位置，厨房、餐厅进行打扫、冲洗;对剩余饭菜进行处理。</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5、每周五需进行厨具、餐具的清洗及厨房、餐厅及周边环境的大扫除。</w:t>
      </w:r>
    </w:p>
    <w:p>
      <w:pPr>
        <w:spacing w:line="360" w:lineRule="auto"/>
        <w:contextualSpacing/>
        <w:rPr>
          <w:rFonts w:ascii="宋体" w:hAnsi="宋体" w:cs="宋体"/>
          <w:color w:val="auto"/>
          <w:szCs w:val="21"/>
        </w:rPr>
      </w:pPr>
      <w:r>
        <w:rPr>
          <w:rFonts w:hint="eastAsia" w:ascii="宋体" w:hAnsi="宋体" w:cs="宋体"/>
          <w:color w:val="auto"/>
          <w:szCs w:val="21"/>
        </w:rPr>
        <w:t>（三）工作制度要求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食堂工作人员需按规范程序招聘、录用，按时上、下班，坚守工作岗位。所有食堂工作人员必须社会背景清楚，身体健康。所有食堂工作人员必须到采购人处备案，提供健康证明。更换、补充人员必须经过备案。采购人将不定期的对人员上岗情况进行考核，考核如在1个月内达不到要求，采购人有权对供应商进行惩罚。</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2、养成良好的工作习惯，各种厨具、餐具需固定放置，使用完毕后及时放回原处,各种物品不随处乱放。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3、爱护公物。使用锅炉、压面机等械具要严格遵守操作规程，清洗餐具、厨具需细心细致。</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4、做好食堂卫生工作。工作期间必须穿工作服，需注意做好食品卫生、餐具卫生、环境卫生、个人卫生工作,如有咳嗽、腹泻、发烧、呕吐等疾病，应向食堂管理人员请假，离开食堂工作岗位。</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5、食堂工作人员需服务规范、语言文明，工作期间不打闹、不与员工争吵。</w:t>
      </w:r>
    </w:p>
    <w:p>
      <w:pPr>
        <w:spacing w:line="360" w:lineRule="auto"/>
        <w:ind w:firstLine="210" w:firstLineChars="100"/>
        <w:contextualSpacing/>
        <w:rPr>
          <w:rFonts w:ascii="宋体" w:hAnsi="宋体" w:cs="宋体"/>
          <w:color w:val="auto"/>
          <w:szCs w:val="21"/>
        </w:rPr>
      </w:pPr>
      <w:r>
        <w:rPr>
          <w:rFonts w:hint="eastAsia" w:ascii="宋体" w:hAnsi="宋体" w:cs="宋体"/>
          <w:color w:val="auto"/>
          <w:szCs w:val="21"/>
        </w:rPr>
        <w:t>（四）卫生制度要求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1、禁止使用不新鲜食品，严禁使用腐烂变质的食物，以及其他感官性状异常食物。</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2、需做到生品与成品、熟品相隔离，成品与半成品相隔离，食品与杂物相隔离。冷藏时需做到荤腥类食品与其他食品相隔离。</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3、食物制作及销售过程中需注意防蝇、防灰尘，以避免杂物混入食品。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4、各种调料不宜久置，装盛调料各种器具应经常洗涤。</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5、刀、墩、板、桶、盆、筐、灶、锅、抹布等厨具需每餐清洗，保持厨具的清洁。餐具用后需做到一洗二刷三冲四消毒四类。</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6、厨具和餐具需固定摆好。</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7、需经常性打扫和清洗食堂地面，做到地面无杂物和积水。</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8、储藏室需保持干净、干燥和通风，储藏间不得存放其他杂物及个人物件，物品存放需离地、隔墙、分类。</w:t>
      </w:r>
    </w:p>
    <w:p>
      <w:pPr>
        <w:spacing w:line="360" w:lineRule="auto"/>
        <w:ind w:left="420" w:leftChars="200"/>
        <w:contextualSpacing/>
        <w:rPr>
          <w:rFonts w:ascii="宋体" w:hAnsi="宋体" w:cs="宋体"/>
          <w:color w:val="auto"/>
          <w:szCs w:val="21"/>
        </w:rPr>
      </w:pPr>
      <w:r>
        <w:rPr>
          <w:rFonts w:hint="eastAsia" w:ascii="宋体" w:hAnsi="宋体" w:cs="宋体"/>
          <w:color w:val="auto"/>
          <w:szCs w:val="21"/>
        </w:rPr>
        <w:t>9、对食堂周围的阴沟、角落、泔水桶、垃圾堆需经常性清理，预防细菌感染食物。10、存放厨具、餐具的各个角落需经常抹洗。</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11、食堂工作人员需做到“四勤”：勤洗手，剪指甲;勤洗衣服，被褥;勤洗澡，理发;勤换工作服。</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12、在工作前及处理食品原料后、便后需用肥皂及流动清水洗手，直接用手接触入口食品之前(如抓粉条,切菜,加工面粉等)应用热水消毒。</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13、不得在食品加工期间及销售食品前抽烟，不得对食品咳嗽、打喷嚏，不随处吐痰。</w:t>
      </w:r>
    </w:p>
    <w:p>
      <w:pPr>
        <w:spacing w:line="360" w:lineRule="auto"/>
        <w:ind w:firstLine="210" w:firstLineChars="100"/>
        <w:contextualSpacing/>
        <w:rPr>
          <w:rFonts w:ascii="宋体" w:hAnsi="宋体" w:cs="宋体"/>
          <w:color w:val="auto"/>
          <w:szCs w:val="21"/>
        </w:rPr>
      </w:pPr>
      <w:r>
        <w:rPr>
          <w:rFonts w:hint="eastAsia" w:ascii="宋体" w:hAnsi="宋体" w:cs="宋体"/>
          <w:color w:val="auto"/>
          <w:szCs w:val="21"/>
        </w:rPr>
        <w:t>（五）食品质量要求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食堂食品质量控制需包括对采购验收、运输、贮存、粗加工切配、烹饪、备餐供餐、餐用具清洗消毒保洁、食品留样等加工操作工序的具体规定和操作方法的详细要求。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物品</w:t>
      </w:r>
      <w:r>
        <w:rPr>
          <w:rFonts w:hint="eastAsia" w:ascii="宋体" w:hAnsi="宋体" w:cs="宋体"/>
          <w:color w:val="auto"/>
          <w:szCs w:val="21"/>
        </w:rPr>
        <w:t>验收操作规程要求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对</w:t>
      </w:r>
      <w:r>
        <w:rPr>
          <w:rFonts w:hint="eastAsia" w:ascii="宋体" w:hAnsi="宋体" w:cs="宋体"/>
          <w:color w:val="auto"/>
          <w:szCs w:val="21"/>
        </w:rPr>
        <w:t>采购的食品、食品添加剂、食品相关产品等</w:t>
      </w:r>
      <w:r>
        <w:rPr>
          <w:rFonts w:hint="eastAsia" w:ascii="宋体" w:hAnsi="宋体" w:cs="宋体"/>
          <w:color w:val="auto"/>
          <w:szCs w:val="21"/>
          <w:lang w:val="en-US" w:eastAsia="zh-CN"/>
        </w:rPr>
        <w:t>按照</w:t>
      </w:r>
      <w:r>
        <w:rPr>
          <w:rFonts w:hint="eastAsia" w:ascii="宋体" w:hAnsi="宋体" w:cs="宋体"/>
          <w:color w:val="auto"/>
          <w:szCs w:val="21"/>
        </w:rPr>
        <w:t>国家有关食品安全标准和规定的有关要求进行验收，不得采购《食品安全法》第二十八条规定禁止生产经营的食品和《农产品质量安全法》第三十三条规定不得销售的食用农产品。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做好验收记录，</w:t>
      </w:r>
      <w:r>
        <w:rPr>
          <w:rFonts w:hint="eastAsia" w:ascii="宋体" w:hAnsi="宋体" w:cs="宋体"/>
          <w:color w:val="auto"/>
          <w:szCs w:val="21"/>
        </w:rPr>
        <w:t>索取购货凭据，便于溯源；向食品生产单位、批发市场等批量采购的，还应索取许可证、检验（检疫）合格证明等。</w:t>
      </w:r>
    </w:p>
    <w:p>
      <w:pPr>
        <w:spacing w:line="360" w:lineRule="auto"/>
        <w:ind w:left="420" w:leftChars="200"/>
        <w:contextualSpacing/>
        <w:rPr>
          <w:rFonts w:ascii="宋体" w:hAnsi="宋体" w:cs="宋体"/>
          <w:color w:val="auto"/>
          <w:szCs w:val="21"/>
        </w:rPr>
      </w:pPr>
      <w:r>
        <w:rPr>
          <w:rFonts w:hint="eastAsia" w:ascii="宋体" w:hAnsi="宋体" w:cs="宋体"/>
          <w:color w:val="auto"/>
          <w:szCs w:val="21"/>
        </w:rPr>
        <w:t>（3）购置、使用集中消毒企业供应餐饮具的需查验其经营资质，索取消毒合格凭证。</w:t>
      </w:r>
    </w:p>
    <w:p>
      <w:pPr>
        <w:spacing w:line="360" w:lineRule="auto"/>
        <w:ind w:left="420" w:leftChars="200"/>
        <w:contextualSpacing/>
        <w:rPr>
          <w:rFonts w:ascii="宋体" w:hAnsi="宋体" w:cs="宋体"/>
          <w:color w:val="auto"/>
          <w:szCs w:val="21"/>
        </w:rPr>
      </w:pPr>
      <w:r>
        <w:rPr>
          <w:rFonts w:hint="eastAsia" w:ascii="宋体" w:hAnsi="宋体" w:cs="宋体"/>
          <w:color w:val="auto"/>
          <w:szCs w:val="21"/>
        </w:rPr>
        <w:t>（4）入库前应进行验收，出入库时应进行登记，作好记录。</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2、运输操作规程要求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运输工具应当保持清洁，防止食品在运输过程中受到污染。运输需冷藏或热藏条件的食品时应分别配备符合条件的冷藏或保温设施。</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3、贮存操作规程要求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（1）贮存场所、设备应当保持清洁，无霉斑、鼠迹、苍蝇、蟑螂，不得存放有毒、有害物品（如杀鼠剂、杀虫剂、洗涤剂、消毒剂等）及个人生活用品。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（2）食品原料、食品添加剂应当分类、分架存放，距离墙壁、地面均在10cm 以上，并定期检查，使用应遵循先进先出的原则，变质和过期的食品、食品添加剂应及时清理销毁。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（3）冷藏、冷冻的温度应分别符合冷藏和冷冻的温度范围要求。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1）冷藏、冷冻贮存应做到原料、半成品、成品严格分开，不得在同室内存放。冷藏、冷冻柜（库）应有明显区分标识，宜设外显式温度（指示）计，并定期校验，以便于对冷藏、冷冻柜（库）内部温度的监测。</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2）在冷藏、冷冻柜（库）内贮存时，应做到植物性食品、动物性食品和水产品分类摆放。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3）在冷藏、冷冻柜（库）内贮存时，应确保食品中心温度达到冷藏或冷冻的温度要求。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4）冷藏、冷冻柜（库）应定期除霜、清洁和维修，以确保冷藏、冷冻温度达到要求并保持卫生。</w:t>
      </w:r>
    </w:p>
    <w:p>
      <w:pPr>
        <w:spacing w:line="360" w:lineRule="auto"/>
        <w:contextualSpacing/>
        <w:rPr>
          <w:rFonts w:ascii="宋体" w:hAnsi="宋体" w:cs="宋体"/>
          <w:color w:val="auto"/>
          <w:szCs w:val="21"/>
        </w:rPr>
      </w:pPr>
      <w:r>
        <w:rPr>
          <w:rFonts w:hint="eastAsia" w:ascii="宋体" w:hAnsi="宋体" w:cs="宋体"/>
          <w:color w:val="auto"/>
          <w:szCs w:val="21"/>
        </w:rPr>
        <w:t>（六）粗加工与切配操作要求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1、加工前应认真检查待加工食品，发现有腐败变质迹象或者其他感官性状异常的，不得加工和使用。</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2、食品原料在使用前应洗净，动物性食品原料、植物性食品原料、水产品原料应分池清洗，禽蛋在使用前应对外壳进行清洗，必要时消毒处理。</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3、易腐烂变质食品应尽量缩短在常温下的存放时间，加工后应及时使用或冷藏。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4、切配好的半成品应避免污染，与原料分开存放，并应根据性质分类存放。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5、切配好的食品应按照加工操作规程，在规定时间内使用。</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6、已盛装食品的容器不得直接置于地上，以防止食品污染。</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7、加工用容器、工具应符合下列规定。生熟食品的加工工具及容器应分开使用并有明显标志。</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1）餐用具宜用热力方法进行消毒，因材质、大小等原因无法采用的除外。</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2）餐用具清洗消毒水池应专用，与食品原料、清洁用具及接触非直接入口食品的工具、容器清洗水池分开。水池应使用不锈钢或陶瓷等不透水材料、不易积垢并易于清洗。采用化学消毒的，至少设有 3 个专用水池。采用人工清洗热力消毒的，可设置２个专用水池。各类水池应以明显标识标明其用途。</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3）清洗消毒设备设施的大小和数量应能满足需要。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4）采用自动清洗消毒设备的，设备上应有温度、时间显示和清洗消毒剂自动添加装置。</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5）应设专供存放消毒后餐用具的保洁设施，其结构应密闭并易于清洁。</w:t>
      </w:r>
    </w:p>
    <w:p>
      <w:pPr>
        <w:spacing w:line="360" w:lineRule="auto"/>
        <w:contextualSpacing/>
        <w:rPr>
          <w:rFonts w:ascii="宋体" w:hAnsi="宋体" w:cs="宋体"/>
          <w:color w:val="auto"/>
          <w:szCs w:val="21"/>
        </w:rPr>
      </w:pPr>
      <w:r>
        <w:rPr>
          <w:rFonts w:hint="eastAsia" w:ascii="宋体" w:hAnsi="宋体" w:cs="宋体"/>
          <w:color w:val="auto"/>
          <w:szCs w:val="21"/>
        </w:rPr>
        <w:t>（七）烹调操作要求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1、烹调前应认真检查待加工食品，发现有腐败变质或者其他感官性状异常的，不得进行烹调加工。</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2、不得将回收后的食品经烹调加工后再次销售。</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3、需要熟制加工的食品应当烧熟煮透，其加工时食品中心温度应不低于 70℃。有国际或发达国家标准足以证明加工某种食品中心温度略低于70℃，能保证食品安全，也可允许该种操作方式。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4、加工后的成品应与半成品、原料分开存放。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5、需要冷藏的熟制品，应在清洁操作区于90分钟内冷却至 10℃ 以下或四小时内冷却至 5℃以下后再冷藏，并加贴标签。</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6、用于烹饪的调料器皿宜每天清洁，使用后随即加盖或苫盖， 并不得与地面或污垢接触。</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7、菜点用的围边、盘花应保证清洁新鲜无腐败变质。</w:t>
      </w:r>
    </w:p>
    <w:p>
      <w:pPr>
        <w:spacing w:line="360" w:lineRule="auto"/>
        <w:ind w:firstLine="210" w:firstLineChars="100"/>
        <w:contextualSpacing/>
        <w:rPr>
          <w:rFonts w:ascii="宋体" w:hAnsi="宋体" w:cs="宋体"/>
          <w:color w:val="auto"/>
          <w:szCs w:val="21"/>
        </w:rPr>
      </w:pPr>
      <w:r>
        <w:rPr>
          <w:rFonts w:hint="eastAsia" w:ascii="宋体" w:hAnsi="宋体" w:cs="宋体"/>
          <w:color w:val="auto"/>
          <w:szCs w:val="21"/>
        </w:rPr>
        <w:t>(八）备餐及供餐操作要求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1、操作人员进入备餐间前应更换洁净的工作衣帽，清洗、消毒手部，工作时应戴口罩。</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2、操作人员应认真检查待供应食品，发现有感官性状异常的，不得供应。</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3、操作时应避免食品受到污染。</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4、菜肴分派、造型整理的用具应经消毒。</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5、用于菜肴装饰的原料使用前应洗净，不得反复使用。</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6、在烹饪后至食用前需要较长时间（超过2小时）存放的食品应当在高于 60℃或低于 10℃的条件下存放。</w:t>
      </w:r>
    </w:p>
    <w:p>
      <w:pPr>
        <w:spacing w:line="360" w:lineRule="auto"/>
        <w:ind w:firstLine="210" w:firstLineChars="100"/>
        <w:contextualSpacing/>
        <w:rPr>
          <w:rFonts w:ascii="宋体" w:hAnsi="宋体" w:cs="宋体"/>
          <w:color w:val="auto"/>
          <w:szCs w:val="21"/>
        </w:rPr>
      </w:pPr>
      <w:r>
        <w:rPr>
          <w:rFonts w:hint="eastAsia" w:ascii="宋体" w:hAnsi="宋体" w:cs="宋体"/>
          <w:color w:val="auto"/>
          <w:szCs w:val="21"/>
        </w:rPr>
        <w:t>（九）餐饮器具清洗消毒保洁操作要求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1、餐饮器具使用后应及时洗净，定位存放，保持清洁。消毒后的餐饮器具应贮存在专用保洁设施内备用，保洁设施应有明显标记。餐饮器具保洁设施应当定期清洗，保持洁净。</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2、餐饮器具使用前应按《餐饮器具清洗消毒推荐方法》的规定洗净并消毒。</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3、应定期检查消毒设备、设施是否处于良好状态。采用化学消毒的应定时测量有效消毒浓度。</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4、消毒后餐饮具应符合 GB14934《食(饮)具消毒卫生标准》规定。</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5、不得重复使用一次性餐饮具。</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6、已消毒和未消毒的餐饮器具应分开存放，保洁设施内不得存放其他物品。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7、餐具摆台超过当次就餐时间尚未使用的应收回保洁。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8、盛放调味料的容器应定期清洗消毒。</w:t>
      </w:r>
    </w:p>
    <w:p>
      <w:pPr>
        <w:spacing w:line="360" w:lineRule="auto"/>
        <w:contextualSpacing/>
        <w:rPr>
          <w:rFonts w:ascii="宋体" w:hAnsi="宋体" w:cs="宋体"/>
          <w:color w:val="auto"/>
          <w:szCs w:val="21"/>
        </w:rPr>
      </w:pPr>
      <w:r>
        <w:rPr>
          <w:rFonts w:hint="eastAsia" w:ascii="宋体" w:hAnsi="宋体" w:cs="宋体"/>
          <w:color w:val="auto"/>
          <w:szCs w:val="21"/>
        </w:rPr>
        <w:t>（十）留样管理操作要求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1、食堂、集体用餐配送单位、重大活动餐饮服务和超过100人聚餐，餐饮服务提供者提供的食品应留样，以便于必要时检验。</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2、留样的采集和保管必须有专人负责，配备经消毒的专用取样工用具和样品存放的专用冷藏箱。食品留样冰箱为专用设备，严禁存放与留样食品无关的物品。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3、留样食品应包括所以加工制作的食品成品。</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4、留样食品应按品种分别盛放于清洗消毒后的密闭专用容器内，在冷藏条件下存放48小时以上，每个品种留样量应满足检验需要，不少于100g。</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5、留样食品取样不得被污染，贴好食品标签，待留样食品冷却后，放入专用冷藏箱内，并做好留样记录，包括留样日期、时间、品名、餐次、留样人。</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6、一旦发生食物中毒或疑是食物中毒事故，应及时提供留样样品，配合监管部门进行调查处理，不得影响或干扰事故的调查处理工作。</w:t>
      </w:r>
    </w:p>
    <w:p>
      <w:pPr>
        <w:spacing w:line="360" w:lineRule="auto"/>
        <w:contextualSpacing/>
        <w:rPr>
          <w:rFonts w:ascii="宋体" w:hAnsi="宋体" w:cs="宋体"/>
          <w:color w:val="auto"/>
          <w:szCs w:val="21"/>
        </w:rPr>
      </w:pPr>
      <w:r>
        <w:rPr>
          <w:rFonts w:hint="eastAsia" w:ascii="宋体" w:hAnsi="宋体" w:cs="宋体"/>
          <w:color w:val="auto"/>
          <w:szCs w:val="21"/>
        </w:rPr>
        <w:t>（十一）记录管理操作要求</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1、原料采购验收、加工操作过程关键项目、食品安全检查情况、人员健康状况、教育培训情况、食品留样、检验结果及投诉情况、处理结果、发现问题后采取的措施等均应予以记录。</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2、各项记录均有执行人员和检查人员的签名。</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3、项目负责人应督促相关人员按要求进行记录，并每天检查记录的有关内容。项目负责人应经常检查相关记录，记录中如发现异常情况，应立即督促有关人员采取措施。</w:t>
      </w:r>
    </w:p>
    <w:p>
      <w:pPr>
        <w:spacing w:line="360" w:lineRule="auto"/>
        <w:contextualSpacing/>
        <w:rPr>
          <w:rFonts w:ascii="宋体" w:hAnsi="宋体" w:cs="宋体"/>
          <w:color w:val="auto"/>
          <w:szCs w:val="21"/>
        </w:rPr>
      </w:pPr>
      <w:r>
        <w:rPr>
          <w:rFonts w:hint="eastAsia" w:ascii="宋体" w:hAnsi="宋体" w:cs="宋体"/>
          <w:color w:val="auto"/>
          <w:szCs w:val="21"/>
        </w:rPr>
        <w:t>（十二）经营方式</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1、采购人提供厨房、餐厅、全套厨房设备，负责水电。</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、承包期内必须添置或更换厨房设备的，由供应商提出，经采购人同意后由采购人负责采购。</w:t>
      </w:r>
    </w:p>
    <w:p>
      <w:pPr>
        <w:spacing w:line="360" w:lineRule="auto"/>
        <w:ind w:firstLine="420" w:firstLineChars="200"/>
        <w:contextualSpacing/>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、供应商需自行安排厨房员工，员工工资、劳保及福利均由供应商负责，供应商应对其承担劳动法上的全部权利义务。</w:t>
      </w:r>
    </w:p>
    <w:p>
      <w:pPr>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4、本项目采取管理、劳务采购方式。采购人承担用餐、后厨场地，相关设备设施及水、电、气及其他能源易耗品费用。</w:t>
      </w:r>
    </w:p>
    <w:p>
      <w:pPr>
        <w:spacing w:line="360" w:lineRule="auto"/>
        <w:ind w:firstLine="422"/>
        <w:contextualSpacing/>
        <w:rPr>
          <w:rFonts w:ascii="宋体" w:hAnsi="宋体" w:cs="宋体"/>
          <w:b/>
          <w:bCs/>
          <w:color w:val="auto"/>
          <w:szCs w:val="21"/>
        </w:rPr>
      </w:pPr>
      <w:r>
        <w:rPr>
          <w:rFonts w:hint="eastAsia" w:ascii="宋体" w:hAnsi="宋体" w:cs="宋体"/>
          <w:b/>
          <w:bCs/>
          <w:color w:val="auto"/>
          <w:szCs w:val="21"/>
        </w:rPr>
        <w:t>三、商务要求：</w:t>
      </w:r>
    </w:p>
    <w:p>
      <w:pPr>
        <w:spacing w:line="360" w:lineRule="auto"/>
        <w:ind w:firstLine="420" w:firstLineChars="200"/>
        <w:contextualSpacing/>
        <w:rPr>
          <w:rFonts w:ascii="宋体" w:hAnsi="宋体" w:cs="宋体"/>
          <w:color w:val="auto"/>
          <w:szCs w:val="21"/>
        </w:rPr>
      </w:pPr>
      <w:r>
        <w:rPr>
          <w:rFonts w:ascii="宋体" w:hAnsi="宋体" w:cs="宋体"/>
          <w:color w:val="auto"/>
          <w:szCs w:val="21"/>
          <w:lang w:bidi="ar"/>
        </w:rPr>
        <w:t>1</w:t>
      </w:r>
      <w:r>
        <w:rPr>
          <w:rFonts w:hint="eastAsia" w:ascii="宋体" w:hAnsi="宋体" w:cs="宋体"/>
          <w:color w:val="auto"/>
          <w:szCs w:val="21"/>
          <w:lang w:bidi="ar"/>
        </w:rPr>
        <w:t>、本次投标设最高限价</w:t>
      </w:r>
      <w:r>
        <w:rPr>
          <w:rFonts w:ascii="宋体" w:hAnsi="宋体" w:cs="宋体"/>
          <w:b/>
          <w:color w:val="auto"/>
          <w:szCs w:val="21"/>
          <w:u w:val="single"/>
          <w:lang w:bidi="ar"/>
        </w:rPr>
        <w:t>141</w:t>
      </w:r>
      <w:r>
        <w:rPr>
          <w:rFonts w:hint="eastAsia" w:ascii="宋体" w:hAnsi="宋体" w:cs="宋体"/>
          <w:b/>
          <w:color w:val="auto"/>
          <w:szCs w:val="21"/>
          <w:u w:val="single"/>
          <w:lang w:bidi="ar"/>
        </w:rPr>
        <w:t>万元（</w:t>
      </w:r>
      <w:r>
        <w:rPr>
          <w:rFonts w:ascii="宋体" w:hAnsi="宋体" w:cs="宋体"/>
          <w:b/>
          <w:color w:val="auto"/>
          <w:szCs w:val="21"/>
          <w:u w:val="single"/>
          <w:lang w:bidi="ar"/>
        </w:rPr>
        <w:t>47</w:t>
      </w:r>
      <w:r>
        <w:rPr>
          <w:rFonts w:hint="eastAsia" w:ascii="宋体" w:hAnsi="宋体" w:cs="宋体"/>
          <w:b/>
          <w:color w:val="auto"/>
          <w:szCs w:val="21"/>
          <w:u w:val="single"/>
          <w:lang w:bidi="ar"/>
        </w:rPr>
        <w:t>万元/年）</w:t>
      </w:r>
      <w:r>
        <w:rPr>
          <w:rFonts w:hint="eastAsia" w:ascii="宋体" w:hAnsi="宋体" w:cs="宋体"/>
          <w:b/>
          <w:color w:val="auto"/>
          <w:szCs w:val="21"/>
          <w:lang w:bidi="ar"/>
        </w:rPr>
        <w:t>，</w:t>
      </w:r>
      <w:r>
        <w:rPr>
          <w:rFonts w:hint="eastAsia" w:ascii="宋体" w:hAnsi="宋体" w:cs="宋体"/>
          <w:color w:val="auto"/>
          <w:szCs w:val="21"/>
          <w:lang w:bidi="ar"/>
        </w:rPr>
        <w:t>投标供应商的报价不得高于此限价，否则作为无效投标文件处理，请慎重报价</w:t>
      </w:r>
      <w:r>
        <w:rPr>
          <w:rFonts w:hint="eastAsia" w:ascii="宋体" w:hAnsi="宋体" w:cs="宋体"/>
          <w:color w:val="auto"/>
          <w:szCs w:val="21"/>
        </w:rPr>
        <w:t>。</w:t>
      </w:r>
    </w:p>
    <w:p>
      <w:pPr>
        <w:snapToGrid w:val="0"/>
        <w:spacing w:line="360" w:lineRule="auto"/>
        <w:ind w:firstLine="420" w:firstLineChars="200"/>
        <w:contextualSpacing/>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投标报价除应包括配备人员的年度工资预算（员工工资不得低于泰州市最低工资标准）、管理区域清洁费、法定税费及员工社会保险费、意外保险费和合理利润外，还应包括管理、服装等各项应有费用。除非因特殊原因并经双方协商同意，供应商不得再要求追加任何费用。</w:t>
      </w:r>
    </w:p>
    <w:p>
      <w:pPr>
        <w:tabs>
          <w:tab w:val="left" w:pos="0"/>
        </w:tabs>
        <w:spacing w:line="360" w:lineRule="auto"/>
        <w:ind w:firstLine="420" w:firstLineChars="200"/>
        <w:contextualSpacing/>
        <w:rPr>
          <w:rFonts w:ascii="宋体" w:hAnsi="宋体" w:cs="宋体"/>
          <w:color w:val="auto"/>
          <w:szCs w:val="21"/>
        </w:rPr>
      </w:pPr>
      <w:r>
        <w:rPr>
          <w:rFonts w:ascii="宋体" w:hAnsi="宋体" w:cs="宋体"/>
          <w:bCs/>
          <w:color w:val="auto"/>
          <w:szCs w:val="21"/>
        </w:rPr>
        <w:t>3</w:t>
      </w:r>
      <w:r>
        <w:rPr>
          <w:rFonts w:hint="eastAsia" w:ascii="宋体" w:hAnsi="宋体" w:cs="宋体"/>
          <w:bCs/>
          <w:color w:val="auto"/>
          <w:szCs w:val="21"/>
        </w:rPr>
        <w:t>、合同履行期限：</w:t>
      </w:r>
      <w:r>
        <w:rPr>
          <w:rFonts w:hint="eastAsia" w:ascii="宋体" w:hAnsi="宋体" w:cs="宋体"/>
          <w:color w:val="auto"/>
          <w:szCs w:val="21"/>
        </w:rPr>
        <w:t>三年。其中前三个月为试用期，试用期满经采购人考核合格后，合同方为有效。</w:t>
      </w:r>
    </w:p>
    <w:p>
      <w:pPr>
        <w:snapToGrid w:val="0"/>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成交供应商必须服从采购人的监管考核，如考核不合格，采购人有权要求成交供应商整改，整改不到位的采购人将有权给予一定的处罚；</w:t>
      </w:r>
    </w:p>
    <w:p>
      <w:pPr>
        <w:snapToGrid w:val="0"/>
        <w:spacing w:line="360" w:lineRule="auto"/>
        <w:ind w:firstLine="420" w:firstLineChars="200"/>
        <w:contextualSpacing/>
        <w:rPr>
          <w:rFonts w:ascii="宋体" w:hAnsi="宋体" w:cs="宋体"/>
          <w:color w:val="auto"/>
          <w:szCs w:val="21"/>
        </w:rPr>
      </w:pPr>
      <w:r>
        <w:rPr>
          <w:rFonts w:ascii="宋体" w:hAnsi="宋体" w:cs="宋体"/>
          <w:color w:val="auto"/>
          <w:kern w:val="0"/>
          <w:position w:val="-2"/>
          <w:szCs w:val="21"/>
        </w:rPr>
        <w:t>4</w:t>
      </w:r>
      <w:r>
        <w:rPr>
          <w:rFonts w:hint="eastAsia" w:ascii="宋体" w:hAnsi="宋体" w:cs="宋体"/>
          <w:color w:val="auto"/>
          <w:kern w:val="0"/>
          <w:position w:val="-2"/>
          <w:szCs w:val="21"/>
        </w:rPr>
        <w:t>、付款方式：合同签订后，乙方按照合同约定时间进场提供服务。服务费按月支付一次。</w:t>
      </w:r>
      <w:r>
        <w:rPr>
          <w:rFonts w:ascii="宋体" w:hAnsi="宋体" w:cs="宋体"/>
          <w:color w:val="auto"/>
          <w:kern w:val="0"/>
          <w:position w:val="-2"/>
          <w:szCs w:val="21"/>
        </w:rPr>
        <w:t>乙方</w:t>
      </w:r>
      <w:r>
        <w:rPr>
          <w:rFonts w:hint="eastAsia" w:ascii="宋体" w:hAnsi="宋体" w:cs="宋体"/>
          <w:color w:val="auto"/>
          <w:kern w:val="0"/>
          <w:position w:val="-2"/>
          <w:szCs w:val="21"/>
        </w:rPr>
        <w:t>每月5号向</w:t>
      </w:r>
      <w:r>
        <w:rPr>
          <w:rFonts w:ascii="宋体" w:hAnsi="宋体" w:cs="宋体"/>
          <w:color w:val="auto"/>
          <w:kern w:val="0"/>
          <w:position w:val="-2"/>
          <w:szCs w:val="21"/>
        </w:rPr>
        <w:t>甲方提交服务费正式发票。</w:t>
      </w:r>
      <w:r>
        <w:rPr>
          <w:rFonts w:hint="eastAsia" w:ascii="宋体" w:hAnsi="宋体" w:cs="宋体"/>
          <w:color w:val="auto"/>
          <w:kern w:val="0"/>
          <w:position w:val="-2"/>
          <w:szCs w:val="21"/>
        </w:rPr>
        <w:t>甲方</w:t>
      </w:r>
      <w:r>
        <w:rPr>
          <w:rFonts w:ascii="宋体" w:hAnsi="宋体" w:cs="宋体"/>
          <w:color w:val="auto"/>
          <w:kern w:val="0"/>
          <w:position w:val="-2"/>
          <w:szCs w:val="21"/>
        </w:rPr>
        <w:t>在10个工作日内</w:t>
      </w:r>
      <w:r>
        <w:rPr>
          <w:rFonts w:hint="eastAsia" w:ascii="宋体" w:hAnsi="宋体" w:cs="宋体"/>
          <w:color w:val="auto"/>
          <w:kern w:val="0"/>
          <w:position w:val="-2"/>
          <w:szCs w:val="21"/>
        </w:rPr>
        <w:t>向</w:t>
      </w:r>
      <w:r>
        <w:rPr>
          <w:rFonts w:ascii="宋体" w:hAnsi="宋体" w:cs="宋体"/>
          <w:color w:val="auto"/>
          <w:kern w:val="0"/>
          <w:position w:val="-2"/>
          <w:szCs w:val="21"/>
        </w:rPr>
        <w:t>乙方支付</w:t>
      </w:r>
      <w:r>
        <w:rPr>
          <w:rFonts w:hint="eastAsia" w:ascii="宋体" w:hAnsi="宋体" w:cs="宋体"/>
          <w:color w:val="auto"/>
          <w:kern w:val="0"/>
          <w:position w:val="-2"/>
          <w:szCs w:val="21"/>
        </w:rPr>
        <w:t>当月的</w:t>
      </w:r>
      <w:r>
        <w:rPr>
          <w:rFonts w:ascii="宋体" w:hAnsi="宋体" w:cs="宋体"/>
          <w:color w:val="auto"/>
          <w:kern w:val="0"/>
          <w:position w:val="-2"/>
          <w:szCs w:val="21"/>
        </w:rPr>
        <w:t>服务费</w:t>
      </w:r>
      <w:r>
        <w:rPr>
          <w:rFonts w:hint="eastAsia" w:ascii="宋体" w:hAnsi="宋体" w:cs="宋体"/>
          <w:color w:val="auto"/>
          <w:kern w:val="0"/>
          <w:position w:val="-2"/>
          <w:szCs w:val="21"/>
        </w:rPr>
        <w:t>。</w:t>
      </w:r>
    </w:p>
    <w:p>
      <w:pPr>
        <w:snapToGrid w:val="0"/>
        <w:spacing w:line="360" w:lineRule="auto"/>
        <w:ind w:firstLine="420" w:firstLineChars="200"/>
        <w:contextualSpacing/>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、安全责任：</w:t>
      </w:r>
    </w:p>
    <w:p>
      <w:pPr>
        <w:snapToGrid w:val="0"/>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（1）成交供应商要加强对从事服务人员的安全知识教育和培训，严格遵守安全操作规程，作业时做好防护措施，安全生产。</w:t>
      </w:r>
    </w:p>
    <w:p>
      <w:pPr>
        <w:snapToGrid w:val="0"/>
        <w:spacing w:line="360" w:lineRule="auto"/>
        <w:ind w:firstLine="420" w:firstLineChars="200"/>
        <w:contextualSpacing/>
        <w:rPr>
          <w:rFonts w:ascii="宋体" w:hAnsi="宋体" w:cs="宋体"/>
          <w:color w:val="auto"/>
          <w:szCs w:val="21"/>
        </w:rPr>
      </w:pPr>
      <w:r>
        <w:rPr>
          <w:rFonts w:hint="eastAsia" w:ascii="宋体" w:hAnsi="宋体" w:cs="宋体"/>
          <w:color w:val="auto"/>
          <w:szCs w:val="21"/>
        </w:rPr>
        <w:t>（2）成交供应商必须合法经营，不得有违反业主单位的环境、秩序的任何经营活动。</w:t>
      </w:r>
    </w:p>
    <w:p>
      <w:pPr>
        <w:spacing w:line="360" w:lineRule="auto"/>
        <w:ind w:firstLine="420" w:firstLineChars="200"/>
        <w:contextualSpacing/>
        <w:outlineLvl w:val="2"/>
        <w:rPr>
          <w:rFonts w:ascii="宋体" w:hAnsi="宋体" w:cs="宋体"/>
          <w:color w:val="auto"/>
          <w:szCs w:val="21"/>
        </w:rPr>
      </w:pPr>
      <w:r>
        <w:rPr>
          <w:rFonts w:hint="eastAsia" w:ascii="宋体" w:hAnsi="宋体" w:cs="宋体"/>
          <w:color w:val="auto"/>
          <w:szCs w:val="21"/>
        </w:rPr>
        <w:t>（3）成交供应商要做好员工安全纪律和保密教育，员工不得翻阅资料、报刊、书籍，不得透露所看到的、听到的有关工作信息。</w:t>
      </w:r>
    </w:p>
    <w:p>
      <w:pPr>
        <w:spacing w:line="360" w:lineRule="auto"/>
        <w:contextualSpacing/>
        <w:rPr>
          <w:rFonts w:ascii="宋体" w:hAnsi="宋体" w:cs="宋体"/>
          <w:color w:val="auto"/>
        </w:rPr>
      </w:pPr>
      <w:r>
        <w:rPr>
          <w:rFonts w:ascii="宋体" w:hAnsi="宋体"/>
          <w:color w:val="auto"/>
        </w:rPr>
        <w:br w:type="page"/>
      </w:r>
    </w:p>
    <w:p>
      <w:pPr>
        <w:spacing w:line="360" w:lineRule="auto"/>
        <w:ind w:firstLine="420" w:firstLineChars="200"/>
        <w:contextualSpacing/>
        <w:outlineLvl w:val="2"/>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、人员配置的最低要求</w:t>
      </w:r>
    </w:p>
    <w:p>
      <w:pPr>
        <w:spacing w:line="360" w:lineRule="auto"/>
        <w:ind w:firstLine="420" w:firstLineChars="200"/>
        <w:contextualSpacing/>
        <w:outlineLvl w:val="2"/>
        <w:rPr>
          <w:rFonts w:ascii="宋体" w:hAnsi="宋体" w:cs="宋体"/>
          <w:color w:val="auto"/>
          <w:szCs w:val="21"/>
        </w:rPr>
      </w:pPr>
      <w:r>
        <w:rPr>
          <w:rFonts w:hint="eastAsia" w:ascii="宋体" w:hAnsi="宋体" w:cs="宋体"/>
          <w:color w:val="auto"/>
          <w:szCs w:val="21"/>
        </w:rPr>
        <w:t>说明：投标人拟派本项目人员须达到该“人员配置的最低要求”，以下人员表中要求提供学历、资格证书及社保证明证明材料的，投标文件中必须提供，否则视为未实质性响应采购需求，符合性审查不合格，其投标文件作废标处理。</w:t>
      </w:r>
    </w:p>
    <w:p>
      <w:pPr>
        <w:spacing w:line="360" w:lineRule="auto"/>
        <w:contextualSpacing/>
        <w:jc w:val="center"/>
        <w:outlineLvl w:val="2"/>
        <w:rPr>
          <w:rFonts w:ascii="宋体" w:hAnsi="宋体" w:cs="宋体"/>
          <w:color w:val="auto"/>
          <w:szCs w:val="21"/>
        </w:rPr>
      </w:pPr>
      <w:r>
        <w:rPr>
          <w:rFonts w:hint="eastAsia" w:ascii="宋体" w:hAnsi="宋体" w:cs="宋体"/>
          <w:color w:val="auto"/>
          <w:szCs w:val="21"/>
        </w:rPr>
        <w:t>人员配置最低要求表（共计8人）</w:t>
      </w:r>
    </w:p>
    <w:tbl>
      <w:tblPr>
        <w:tblStyle w:val="39"/>
        <w:tblW w:w="0" w:type="auto"/>
        <w:tblInd w:w="0" w:type="dxa"/>
        <w:tblLayout w:type="fixed"/>
        <w:tblCellMar>
          <w:top w:w="0" w:type="dxa"/>
          <w:left w:w="108" w:type="dxa"/>
          <w:bottom w:w="0" w:type="dxa"/>
          <w:right w:w="108" w:type="dxa"/>
        </w:tblCellMar>
      </w:tblPr>
      <w:tblGrid>
        <w:gridCol w:w="1392"/>
        <w:gridCol w:w="843"/>
        <w:gridCol w:w="4110"/>
        <w:gridCol w:w="2410"/>
      </w:tblGrid>
      <w:tr>
        <w:tblPrEx>
          <w:tblCellMar>
            <w:top w:w="0" w:type="dxa"/>
            <w:left w:w="108" w:type="dxa"/>
            <w:bottom w:w="0" w:type="dxa"/>
            <w:right w:w="108" w:type="dxa"/>
          </w:tblCellMar>
        </w:tblPrEx>
        <w:trPr>
          <w:trHeight w:val="631" w:hRule="atLeast"/>
        </w:trPr>
        <w:tc>
          <w:tcPr>
            <w:tcW w:w="139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contextualSpacing/>
              <w:jc w:val="left"/>
              <w:outlineLvl w:val="2"/>
              <w:rPr>
                <w:rFonts w:ascii="宋体" w:hAnsi="宋体" w:cs="宋体"/>
                <w:color w:val="auto"/>
                <w:szCs w:val="21"/>
                <w:highlight w:val="none"/>
              </w:rPr>
            </w:pPr>
            <w:r>
              <w:rPr>
                <w:rFonts w:hint="eastAsia" w:ascii="宋体" w:hAnsi="宋体" w:cs="宋体"/>
                <w:color w:val="auto"/>
                <w:szCs w:val="21"/>
                <w:highlight w:val="none"/>
              </w:rPr>
              <w:t>岗 位</w:t>
            </w:r>
          </w:p>
        </w:tc>
        <w:tc>
          <w:tcPr>
            <w:tcW w:w="843" w:type="dxa"/>
            <w:tcBorders>
              <w:top w:val="single" w:color="auto" w:sz="4" w:space="0"/>
              <w:left w:val="nil"/>
              <w:bottom w:val="single" w:color="auto" w:sz="4" w:space="0"/>
              <w:right w:val="single" w:color="auto" w:sz="4" w:space="0"/>
            </w:tcBorders>
            <w:noWrap/>
            <w:vAlign w:val="center"/>
          </w:tcPr>
          <w:p>
            <w:pPr>
              <w:spacing w:line="360" w:lineRule="auto"/>
              <w:contextualSpacing/>
              <w:jc w:val="center"/>
              <w:outlineLvl w:val="2"/>
              <w:rPr>
                <w:rFonts w:ascii="宋体" w:hAnsi="宋体" w:cs="宋体"/>
                <w:color w:val="auto"/>
                <w:szCs w:val="21"/>
                <w:highlight w:val="none"/>
              </w:rPr>
            </w:pPr>
            <w:r>
              <w:rPr>
                <w:rFonts w:hint="eastAsia" w:ascii="宋体" w:hAnsi="宋体" w:cs="宋体"/>
                <w:color w:val="auto"/>
                <w:szCs w:val="21"/>
                <w:highlight w:val="none"/>
              </w:rPr>
              <w:t>人数</w:t>
            </w:r>
          </w:p>
        </w:tc>
        <w:tc>
          <w:tcPr>
            <w:tcW w:w="411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contextualSpacing/>
              <w:jc w:val="center"/>
              <w:outlineLvl w:val="2"/>
              <w:rPr>
                <w:rFonts w:ascii="宋体" w:hAnsi="宋体" w:cs="宋体"/>
                <w:color w:val="auto"/>
                <w:szCs w:val="21"/>
                <w:highlight w:val="none"/>
              </w:rPr>
            </w:pPr>
            <w:r>
              <w:rPr>
                <w:rFonts w:hint="eastAsia" w:ascii="宋体" w:hAnsi="宋体" w:cs="宋体"/>
                <w:color w:val="auto"/>
                <w:szCs w:val="21"/>
                <w:highlight w:val="none"/>
              </w:rPr>
              <w:t>人员基本要求</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jc w:val="center"/>
              <w:outlineLvl w:val="2"/>
              <w:rPr>
                <w:rFonts w:ascii="宋体" w:hAnsi="宋体" w:cs="宋体"/>
                <w:color w:val="auto"/>
                <w:szCs w:val="21"/>
                <w:highlight w:val="none"/>
              </w:rPr>
            </w:pPr>
            <w:r>
              <w:rPr>
                <w:rFonts w:hint="eastAsia" w:ascii="宋体" w:hAnsi="宋体" w:cs="宋体"/>
                <w:color w:val="auto"/>
                <w:szCs w:val="21"/>
                <w:highlight w:val="none"/>
              </w:rPr>
              <w:t>须提供的证明材料</w:t>
            </w:r>
          </w:p>
        </w:tc>
      </w:tr>
      <w:tr>
        <w:tblPrEx>
          <w:tblCellMar>
            <w:top w:w="0" w:type="dxa"/>
            <w:left w:w="108" w:type="dxa"/>
            <w:bottom w:w="0" w:type="dxa"/>
            <w:right w:w="108" w:type="dxa"/>
          </w:tblCellMar>
        </w:tblPrEx>
        <w:trPr>
          <w:trHeight w:val="285" w:hRule="atLeast"/>
        </w:trPr>
        <w:tc>
          <w:tcPr>
            <w:tcW w:w="1392" w:type="dxa"/>
            <w:tcBorders>
              <w:top w:val="nil"/>
              <w:left w:val="single" w:color="auto" w:sz="4" w:space="0"/>
              <w:bottom w:val="single" w:color="auto" w:sz="4" w:space="0"/>
              <w:right w:val="single" w:color="auto" w:sz="4" w:space="0"/>
            </w:tcBorders>
            <w:noWrap/>
            <w:vAlign w:val="center"/>
          </w:tcPr>
          <w:p>
            <w:pPr>
              <w:spacing w:line="360" w:lineRule="auto"/>
              <w:contextualSpacing/>
              <w:jc w:val="center"/>
              <w:outlineLvl w:val="2"/>
              <w:rPr>
                <w:rFonts w:ascii="宋体" w:hAnsi="宋体" w:cs="宋体"/>
                <w:color w:val="auto"/>
                <w:szCs w:val="21"/>
                <w:highlight w:val="none"/>
              </w:rPr>
            </w:pPr>
            <w:r>
              <w:rPr>
                <w:rFonts w:hint="eastAsia" w:ascii="宋体" w:hAnsi="宋体" w:cs="宋体"/>
                <w:color w:val="auto"/>
                <w:szCs w:val="21"/>
                <w:highlight w:val="none"/>
              </w:rPr>
              <w:t>项目经理</w:t>
            </w:r>
          </w:p>
        </w:tc>
        <w:tc>
          <w:tcPr>
            <w:tcW w:w="843" w:type="dxa"/>
            <w:tcBorders>
              <w:top w:val="nil"/>
              <w:left w:val="nil"/>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hint="eastAsia" w:ascii="宋体" w:hAnsi="宋体" w:cs="宋体"/>
                <w:color w:val="auto"/>
                <w:szCs w:val="21"/>
                <w:highlight w:val="none"/>
              </w:rPr>
              <w:t>1</w:t>
            </w:r>
          </w:p>
        </w:tc>
        <w:tc>
          <w:tcPr>
            <w:tcW w:w="411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contextualSpacing/>
              <w:outlineLvl w:val="2"/>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周岁（含）以下，具有大专（含）以上学历。从事本岗位3年及以上类似项目工作经验（须业主单位出具证明材料）；有较强的管理能力和工作经验，须经过采购人面试合格后方可上岗。</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须提供相关证书及投标人</w:t>
            </w:r>
            <w:r>
              <w:rPr>
                <w:rFonts w:hint="eastAsia" w:ascii="宋体" w:hAnsi="宋体" w:cs="宋体"/>
                <w:color w:val="auto"/>
                <w:szCs w:val="21"/>
                <w:highlight w:val="none"/>
                <w:lang w:val="en-US" w:eastAsia="zh-CN"/>
              </w:rPr>
              <w:t>或关联方</w:t>
            </w:r>
            <w:r>
              <w:rPr>
                <w:rFonts w:hint="eastAsia" w:ascii="宋体" w:hAnsi="宋体" w:cs="宋体"/>
                <w:color w:val="auto"/>
                <w:szCs w:val="21"/>
                <w:highlight w:val="none"/>
              </w:rPr>
              <w:t>为其缴纳的近6个月带二维码核验的社会保险证明。</w:t>
            </w:r>
          </w:p>
        </w:tc>
      </w:tr>
      <w:tr>
        <w:tblPrEx>
          <w:tblCellMar>
            <w:top w:w="0" w:type="dxa"/>
            <w:left w:w="108" w:type="dxa"/>
            <w:bottom w:w="0" w:type="dxa"/>
            <w:right w:w="108" w:type="dxa"/>
          </w:tblCellMar>
        </w:tblPrEx>
        <w:trPr>
          <w:trHeight w:val="1494" w:hRule="atLeast"/>
        </w:trPr>
        <w:tc>
          <w:tcPr>
            <w:tcW w:w="1392" w:type="dxa"/>
            <w:tcBorders>
              <w:top w:val="nil"/>
              <w:left w:val="single" w:color="auto" w:sz="4" w:space="0"/>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hint="eastAsia" w:ascii="宋体" w:hAnsi="宋体" w:cs="宋体"/>
                <w:color w:val="auto"/>
                <w:szCs w:val="21"/>
                <w:highlight w:val="none"/>
              </w:rPr>
              <w:t>主  厨</w:t>
            </w:r>
          </w:p>
        </w:tc>
        <w:tc>
          <w:tcPr>
            <w:tcW w:w="843" w:type="dxa"/>
            <w:tcBorders>
              <w:top w:val="nil"/>
              <w:left w:val="nil"/>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hint="eastAsia" w:ascii="宋体" w:hAnsi="宋体" w:cs="宋体"/>
                <w:color w:val="auto"/>
                <w:szCs w:val="21"/>
                <w:highlight w:val="none"/>
              </w:rPr>
              <w:t>1</w:t>
            </w:r>
          </w:p>
        </w:tc>
        <w:tc>
          <w:tcPr>
            <w:tcW w:w="4110" w:type="dxa"/>
            <w:tcBorders>
              <w:top w:val="nil"/>
              <w:left w:val="single" w:color="auto" w:sz="4" w:space="0"/>
              <w:bottom w:val="single" w:color="auto" w:sz="4" w:space="0"/>
              <w:right w:val="single" w:color="auto" w:sz="4" w:space="0"/>
            </w:tcBorders>
            <w:noWrap/>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60周岁（含）以下，男性。劳动部门（或人社部门）颁发的二级烹调师证书；成熟稳重、性格温和，形象良好，有丰富的烹饪服务经验，须经过采购人面试合格后方可上岗。</w:t>
            </w:r>
          </w:p>
        </w:tc>
        <w:tc>
          <w:tcPr>
            <w:tcW w:w="2410" w:type="dxa"/>
            <w:tcBorders>
              <w:top w:val="nil"/>
              <w:left w:val="single" w:color="auto" w:sz="4" w:space="0"/>
              <w:bottom w:val="single" w:color="auto" w:sz="4" w:space="0"/>
              <w:right w:val="single" w:color="auto" w:sz="4" w:space="0"/>
            </w:tcBorders>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须提供相关证书及投标人</w:t>
            </w:r>
            <w:r>
              <w:rPr>
                <w:rFonts w:hint="eastAsia" w:ascii="宋体" w:hAnsi="宋体" w:cs="宋体"/>
                <w:color w:val="auto"/>
                <w:szCs w:val="21"/>
                <w:highlight w:val="none"/>
                <w:lang w:val="en-US" w:eastAsia="zh-CN"/>
              </w:rPr>
              <w:t>或关联方</w:t>
            </w:r>
            <w:r>
              <w:rPr>
                <w:rFonts w:hint="eastAsia" w:ascii="宋体" w:hAnsi="宋体" w:cs="宋体"/>
                <w:color w:val="auto"/>
                <w:szCs w:val="21"/>
                <w:highlight w:val="none"/>
              </w:rPr>
              <w:t>为其缴纳的近6个月带二维码核验的社会保险证明。</w:t>
            </w:r>
          </w:p>
        </w:tc>
      </w:tr>
      <w:tr>
        <w:tblPrEx>
          <w:tblCellMar>
            <w:top w:w="0" w:type="dxa"/>
            <w:left w:w="108" w:type="dxa"/>
            <w:bottom w:w="0" w:type="dxa"/>
            <w:right w:w="108" w:type="dxa"/>
          </w:tblCellMar>
        </w:tblPrEx>
        <w:trPr>
          <w:trHeight w:val="1494" w:hRule="atLeast"/>
        </w:trPr>
        <w:tc>
          <w:tcPr>
            <w:tcW w:w="1392" w:type="dxa"/>
            <w:tcBorders>
              <w:top w:val="nil"/>
              <w:left w:val="single" w:color="auto" w:sz="4" w:space="0"/>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hint="eastAsia" w:ascii="宋体" w:hAnsi="宋体" w:cs="宋体"/>
                <w:color w:val="auto"/>
                <w:szCs w:val="21"/>
                <w:highlight w:val="none"/>
              </w:rPr>
              <w:t>副 厨</w:t>
            </w:r>
          </w:p>
        </w:tc>
        <w:tc>
          <w:tcPr>
            <w:tcW w:w="843" w:type="dxa"/>
            <w:tcBorders>
              <w:top w:val="nil"/>
              <w:left w:val="nil"/>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hint="eastAsia" w:ascii="宋体" w:hAnsi="宋体" w:cs="宋体"/>
                <w:color w:val="auto"/>
                <w:szCs w:val="21"/>
                <w:highlight w:val="none"/>
              </w:rPr>
              <w:t>1</w:t>
            </w:r>
          </w:p>
        </w:tc>
        <w:tc>
          <w:tcPr>
            <w:tcW w:w="4110" w:type="dxa"/>
            <w:tcBorders>
              <w:top w:val="nil"/>
              <w:left w:val="single" w:color="auto" w:sz="4" w:space="0"/>
              <w:bottom w:val="single" w:color="auto" w:sz="4" w:space="0"/>
              <w:right w:val="single" w:color="auto" w:sz="4" w:space="0"/>
            </w:tcBorders>
            <w:noWrap/>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60周岁（含）以下，男性。劳动部门（或人社部门）颁发的三级或以上烹调师证书；成熟稳重、性格温和，形象良好，有丰富的烹饪服务经验，须经过采购人面试合格后方可上岗。</w:t>
            </w:r>
          </w:p>
        </w:tc>
        <w:tc>
          <w:tcPr>
            <w:tcW w:w="2410" w:type="dxa"/>
            <w:tcBorders>
              <w:top w:val="nil"/>
              <w:left w:val="single" w:color="auto" w:sz="4" w:space="0"/>
              <w:bottom w:val="single" w:color="auto" w:sz="4" w:space="0"/>
              <w:right w:val="single" w:color="auto" w:sz="4" w:space="0"/>
            </w:tcBorders>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须提供投标人</w:t>
            </w:r>
            <w:r>
              <w:rPr>
                <w:rFonts w:hint="eastAsia" w:ascii="宋体" w:hAnsi="宋体" w:cs="宋体"/>
                <w:color w:val="auto"/>
                <w:szCs w:val="21"/>
                <w:highlight w:val="none"/>
                <w:lang w:val="en-US" w:eastAsia="zh-CN"/>
              </w:rPr>
              <w:t>或关联方</w:t>
            </w:r>
            <w:r>
              <w:rPr>
                <w:rFonts w:hint="eastAsia" w:ascii="宋体" w:hAnsi="宋体" w:cs="宋体"/>
                <w:color w:val="auto"/>
                <w:szCs w:val="21"/>
                <w:highlight w:val="none"/>
              </w:rPr>
              <w:t>为其缴纳的近6个月带二维码核验的社会保险证明。</w:t>
            </w:r>
          </w:p>
        </w:tc>
      </w:tr>
      <w:tr>
        <w:tblPrEx>
          <w:tblCellMar>
            <w:top w:w="0" w:type="dxa"/>
            <w:left w:w="108" w:type="dxa"/>
            <w:bottom w:w="0" w:type="dxa"/>
            <w:right w:w="108" w:type="dxa"/>
          </w:tblCellMar>
        </w:tblPrEx>
        <w:trPr>
          <w:trHeight w:val="1158" w:hRule="atLeast"/>
        </w:trPr>
        <w:tc>
          <w:tcPr>
            <w:tcW w:w="1392" w:type="dxa"/>
            <w:tcBorders>
              <w:top w:val="nil"/>
              <w:left w:val="single" w:color="auto" w:sz="4" w:space="0"/>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hint="eastAsia" w:ascii="宋体" w:hAnsi="宋体" w:cs="宋体"/>
                <w:color w:val="auto"/>
                <w:szCs w:val="21"/>
                <w:highlight w:val="none"/>
              </w:rPr>
              <w:t xml:space="preserve">切 </w:t>
            </w:r>
            <w:r>
              <w:rPr>
                <w:rFonts w:ascii="宋体" w:hAnsi="宋体" w:cs="宋体"/>
                <w:color w:val="auto"/>
                <w:szCs w:val="21"/>
                <w:highlight w:val="none"/>
              </w:rPr>
              <w:t xml:space="preserve"> </w:t>
            </w:r>
            <w:r>
              <w:rPr>
                <w:rFonts w:hint="eastAsia" w:ascii="宋体" w:hAnsi="宋体" w:cs="宋体"/>
                <w:color w:val="auto"/>
                <w:szCs w:val="21"/>
                <w:highlight w:val="none"/>
              </w:rPr>
              <w:t>配</w:t>
            </w:r>
          </w:p>
        </w:tc>
        <w:tc>
          <w:tcPr>
            <w:tcW w:w="843" w:type="dxa"/>
            <w:tcBorders>
              <w:top w:val="nil"/>
              <w:left w:val="nil"/>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ascii="宋体" w:hAnsi="宋体" w:cs="宋体"/>
                <w:color w:val="auto"/>
                <w:szCs w:val="21"/>
                <w:highlight w:val="none"/>
              </w:rPr>
              <w:t>1</w:t>
            </w:r>
          </w:p>
        </w:tc>
        <w:tc>
          <w:tcPr>
            <w:tcW w:w="4110" w:type="dxa"/>
            <w:tcBorders>
              <w:top w:val="nil"/>
              <w:left w:val="single" w:color="auto" w:sz="4" w:space="0"/>
              <w:bottom w:val="single" w:color="auto" w:sz="4" w:space="0"/>
              <w:right w:val="single" w:color="auto" w:sz="4" w:space="0"/>
            </w:tcBorders>
            <w:noWrap/>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60周岁（含）以下，男性，劳动部门（或人社部门）颁发的四级或以上烹调师证书，工作责任心强，有较强的服从意识和大局观，有较丰富的烹饪服务经验。</w:t>
            </w:r>
          </w:p>
        </w:tc>
        <w:tc>
          <w:tcPr>
            <w:tcW w:w="2410" w:type="dxa"/>
            <w:tcBorders>
              <w:top w:val="nil"/>
              <w:left w:val="single" w:color="auto" w:sz="4" w:space="0"/>
              <w:bottom w:val="single" w:color="auto" w:sz="4" w:space="0"/>
              <w:right w:val="single" w:color="auto" w:sz="4" w:space="0"/>
            </w:tcBorders>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须提供投标人</w:t>
            </w:r>
            <w:r>
              <w:rPr>
                <w:rFonts w:hint="eastAsia" w:ascii="宋体" w:hAnsi="宋体" w:cs="宋体"/>
                <w:color w:val="auto"/>
                <w:szCs w:val="21"/>
                <w:highlight w:val="none"/>
                <w:lang w:val="en-US" w:eastAsia="zh-CN"/>
              </w:rPr>
              <w:t>或关联方</w:t>
            </w:r>
            <w:r>
              <w:rPr>
                <w:rFonts w:hint="eastAsia" w:ascii="宋体" w:hAnsi="宋体" w:cs="宋体"/>
                <w:color w:val="auto"/>
                <w:szCs w:val="21"/>
                <w:highlight w:val="none"/>
              </w:rPr>
              <w:t>为其缴纳的近6个月带二维码核验的社会保险证明。</w:t>
            </w:r>
          </w:p>
        </w:tc>
      </w:tr>
      <w:tr>
        <w:tblPrEx>
          <w:tblCellMar>
            <w:top w:w="0" w:type="dxa"/>
            <w:left w:w="108" w:type="dxa"/>
            <w:bottom w:w="0" w:type="dxa"/>
            <w:right w:w="108" w:type="dxa"/>
          </w:tblCellMar>
        </w:tblPrEx>
        <w:trPr>
          <w:trHeight w:val="994" w:hRule="atLeast"/>
        </w:trPr>
        <w:tc>
          <w:tcPr>
            <w:tcW w:w="1392" w:type="dxa"/>
            <w:tcBorders>
              <w:top w:val="nil"/>
              <w:left w:val="single" w:color="auto" w:sz="4" w:space="0"/>
              <w:bottom w:val="single" w:color="auto" w:sz="4" w:space="0"/>
              <w:right w:val="single" w:color="auto" w:sz="4" w:space="0"/>
            </w:tcBorders>
            <w:noWrap/>
            <w:vAlign w:val="center"/>
          </w:tcPr>
          <w:p>
            <w:pPr>
              <w:spacing w:line="360" w:lineRule="auto"/>
              <w:contextualSpacing/>
              <w:jc w:val="center"/>
              <w:outlineLvl w:val="2"/>
              <w:rPr>
                <w:rFonts w:ascii="宋体" w:hAnsi="宋体" w:cs="宋体"/>
                <w:color w:val="auto"/>
                <w:szCs w:val="21"/>
                <w:highlight w:val="none"/>
              </w:rPr>
            </w:pPr>
            <w:r>
              <w:rPr>
                <w:rFonts w:hint="eastAsia" w:ascii="宋体" w:hAnsi="宋体" w:cs="宋体"/>
                <w:color w:val="auto"/>
                <w:szCs w:val="21"/>
                <w:highlight w:val="none"/>
              </w:rPr>
              <w:t>辅助员工</w:t>
            </w:r>
          </w:p>
        </w:tc>
        <w:tc>
          <w:tcPr>
            <w:tcW w:w="843" w:type="dxa"/>
            <w:tcBorders>
              <w:top w:val="nil"/>
              <w:left w:val="nil"/>
              <w:bottom w:val="single" w:color="auto" w:sz="4" w:space="0"/>
              <w:right w:val="single" w:color="auto" w:sz="4" w:space="0"/>
            </w:tcBorders>
            <w:noWrap/>
            <w:vAlign w:val="center"/>
          </w:tcPr>
          <w:p>
            <w:pPr>
              <w:spacing w:line="360" w:lineRule="auto"/>
              <w:ind w:firstLine="210" w:firstLineChars="100"/>
              <w:contextualSpacing/>
              <w:outlineLvl w:val="2"/>
              <w:rPr>
                <w:rFonts w:ascii="宋体" w:hAnsi="宋体" w:cs="宋体"/>
                <w:color w:val="auto"/>
                <w:szCs w:val="21"/>
                <w:highlight w:val="none"/>
              </w:rPr>
            </w:pPr>
            <w:r>
              <w:rPr>
                <w:rFonts w:hint="eastAsia" w:ascii="宋体" w:hAnsi="宋体" w:cs="宋体"/>
                <w:color w:val="auto"/>
                <w:szCs w:val="21"/>
                <w:highlight w:val="none"/>
              </w:rPr>
              <w:t>4</w:t>
            </w:r>
          </w:p>
        </w:tc>
        <w:tc>
          <w:tcPr>
            <w:tcW w:w="4110" w:type="dxa"/>
            <w:tcBorders>
              <w:top w:val="nil"/>
              <w:left w:val="single" w:color="auto" w:sz="4" w:space="0"/>
              <w:bottom w:val="single" w:color="auto" w:sz="4" w:space="0"/>
              <w:right w:val="single" w:color="auto" w:sz="4" w:space="0"/>
            </w:tcBorders>
            <w:noWrap/>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55周岁（含）以下，女性，工作责任心强，对人和蔼，工作中做到文明操作，礼貌待人。</w:t>
            </w:r>
          </w:p>
        </w:tc>
        <w:tc>
          <w:tcPr>
            <w:tcW w:w="2410" w:type="dxa"/>
            <w:tcBorders>
              <w:top w:val="nil"/>
              <w:left w:val="single" w:color="auto" w:sz="4" w:space="0"/>
              <w:bottom w:val="single" w:color="auto" w:sz="4" w:space="0"/>
              <w:right w:val="single" w:color="auto" w:sz="4" w:space="0"/>
            </w:tcBorders>
            <w:vAlign w:val="center"/>
          </w:tcPr>
          <w:p>
            <w:pPr>
              <w:spacing w:line="360" w:lineRule="auto"/>
              <w:ind w:firstLine="420" w:firstLineChars="200"/>
              <w:contextualSpacing/>
              <w:outlineLvl w:val="2"/>
              <w:rPr>
                <w:rFonts w:ascii="宋体" w:hAnsi="宋体" w:cs="宋体"/>
                <w:color w:val="auto"/>
                <w:szCs w:val="21"/>
                <w:highlight w:val="none"/>
              </w:rPr>
            </w:pPr>
            <w:r>
              <w:rPr>
                <w:rFonts w:hint="eastAsia" w:ascii="宋体" w:hAnsi="宋体" w:cs="宋体"/>
                <w:color w:val="auto"/>
                <w:szCs w:val="21"/>
                <w:highlight w:val="none"/>
              </w:rPr>
              <w:t>须提供相关证书及投标人</w:t>
            </w:r>
            <w:r>
              <w:rPr>
                <w:rFonts w:hint="eastAsia" w:ascii="宋体" w:hAnsi="宋体" w:cs="宋体"/>
                <w:color w:val="auto"/>
                <w:szCs w:val="21"/>
                <w:highlight w:val="none"/>
                <w:lang w:val="en-US" w:eastAsia="zh-CN"/>
              </w:rPr>
              <w:t>或关联方</w:t>
            </w:r>
            <w:r>
              <w:rPr>
                <w:rFonts w:hint="eastAsia" w:ascii="宋体" w:hAnsi="宋体" w:cs="宋体"/>
                <w:color w:val="auto"/>
                <w:szCs w:val="21"/>
                <w:highlight w:val="none"/>
              </w:rPr>
              <w:t>为其缴纳的近6个月带二维码核验的社会保险证明。</w:t>
            </w:r>
          </w:p>
        </w:tc>
      </w:tr>
    </w:tbl>
    <w:p>
      <w:pPr>
        <w:spacing w:line="360" w:lineRule="auto"/>
        <w:ind w:firstLine="420" w:firstLineChars="200"/>
        <w:contextualSpacing/>
        <w:outlineLvl w:val="2"/>
        <w:rPr>
          <w:rFonts w:ascii="宋体" w:hAnsi="宋体" w:cs="宋体"/>
          <w:color w:val="auto"/>
          <w:szCs w:val="21"/>
        </w:rPr>
      </w:pPr>
      <w:r>
        <w:rPr>
          <w:rFonts w:hint="eastAsia" w:ascii="宋体" w:hAnsi="宋体" w:cs="宋体"/>
          <w:color w:val="auto"/>
          <w:szCs w:val="21"/>
        </w:rPr>
        <w:t>其他要求：</w:t>
      </w:r>
    </w:p>
    <w:p>
      <w:pPr>
        <w:spacing w:line="360" w:lineRule="auto"/>
        <w:ind w:firstLine="315" w:firstLineChars="150"/>
        <w:contextualSpacing/>
        <w:rPr>
          <w:rFonts w:ascii="宋体" w:hAnsi="宋体" w:cs="宋体"/>
          <w:color w:val="auto"/>
          <w:szCs w:val="21"/>
        </w:rPr>
      </w:pPr>
      <w:r>
        <w:rPr>
          <w:rFonts w:hint="eastAsia" w:ascii="宋体" w:hAnsi="宋体" w:cs="宋体"/>
          <w:color w:val="auto"/>
          <w:szCs w:val="21"/>
        </w:rPr>
        <w:t>1、投标单位须遵守国家人社部门的相关社保缴纳规定，为全体服务人员缴纳各类社会保险等（如使用劳务派遣人员的单位需提供投标单位与人力资源公司合同并为劳务派遣人员缴纳社会保险凭证，不需要由本单位提供为劳务派遣人员提供缴纳社保证明）。中标后为服务人员发放的工资待遇及社保福利不低于投标文件中的相应标准，并接受业主单位监督检查。</w:t>
      </w:r>
    </w:p>
    <w:p>
      <w:pPr>
        <w:spacing w:line="360" w:lineRule="auto"/>
        <w:ind w:firstLine="420" w:firstLineChars="200"/>
        <w:contextualSpacing/>
        <w:outlineLvl w:val="2"/>
        <w:rPr>
          <w:rFonts w:ascii="宋体" w:hAnsi="宋体" w:cs="宋体"/>
          <w:color w:val="auto"/>
          <w:szCs w:val="21"/>
        </w:rPr>
      </w:pPr>
      <w:r>
        <w:rPr>
          <w:rFonts w:hint="eastAsia" w:ascii="宋体" w:hAnsi="宋体" w:cs="宋体"/>
          <w:color w:val="auto"/>
          <w:szCs w:val="21"/>
        </w:rPr>
        <w:t>2、投标单位如中标，合同期内所有服务人员不得超过法定退休年龄，投标文件中所配备的服务人员未经采购人同意不得更换。如未得到采购人同意，自行更换服务人员的，将取消中标资格；所有服务人员不得有不良记录，若采购人认为投标人所提供的管理人员及服务人员的工作能力不符合招标要求，采购人有权要求中标人予以更换，中标人必须在接到采购人通知后7天内更换到位，直到采购人认可。</w:t>
      </w:r>
    </w:p>
    <w:p>
      <w:pPr>
        <w:spacing w:line="360" w:lineRule="auto"/>
        <w:ind w:firstLine="420" w:firstLineChars="200"/>
        <w:contextualSpacing/>
        <w:outlineLvl w:val="2"/>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、以上人员进场后均需提供健康证。</w:t>
      </w:r>
    </w:p>
    <w:p>
      <w:pPr>
        <w:spacing w:line="360" w:lineRule="auto"/>
        <w:ind w:firstLine="420" w:firstLineChars="200"/>
        <w:contextualSpacing/>
        <w:outlineLvl w:val="2"/>
        <w:rPr>
          <w:rFonts w:ascii="宋体" w:hAnsi="宋体" w:cs="宋体"/>
          <w:color w:val="auto"/>
          <w:szCs w:val="21"/>
        </w:rPr>
      </w:pPr>
      <w:r>
        <w:rPr>
          <w:rFonts w:hint="eastAsia" w:ascii="宋体" w:hAnsi="宋体" w:cs="宋体"/>
          <w:color w:val="auto"/>
          <w:szCs w:val="21"/>
        </w:rPr>
        <w:t>4、若中标人现场人员因非采购人原因发生重大失误，采购人有权从应支付的合同费用中扣除由此造成的相应损失。</w:t>
      </w:r>
    </w:p>
    <w:p>
      <w:pPr>
        <w:pStyle w:val="2"/>
        <w:ind w:firstLine="420" w:firstLineChars="200"/>
        <w:rPr>
          <w:rFonts w:ascii="宋体" w:hAnsi="宋体" w:eastAsia="宋体" w:cs="宋体"/>
          <w:color w:val="auto"/>
          <w:sz w:val="21"/>
          <w:szCs w:val="21"/>
        </w:rPr>
      </w:pPr>
    </w:p>
    <w:p>
      <w:pPr>
        <w:pStyle w:val="2"/>
        <w:ind w:firstLine="420"/>
        <w:rPr>
          <w:rFonts w:ascii="宋体" w:hAnsi="宋体" w:eastAsia="宋体" w:cs="宋体"/>
          <w:color w:val="auto"/>
          <w:sz w:val="21"/>
          <w:szCs w:val="21"/>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4"/>
        <w:numPr>
          <w:ilvl w:val="0"/>
          <w:numId w:val="6"/>
        </w:numPr>
        <w:spacing w:line="360" w:lineRule="auto"/>
        <w:ind w:firstLine="422" w:firstLineChars="200"/>
        <w:jc w:val="center"/>
        <w:rPr>
          <w:rFonts w:ascii="宋体" w:hAnsi="宋体" w:eastAsia="宋体"/>
          <w:b/>
          <w:color w:val="auto"/>
          <w:sz w:val="21"/>
          <w:szCs w:val="21"/>
        </w:rPr>
      </w:pPr>
      <w:bookmarkStart w:id="179" w:name="_Toc34087976"/>
      <w:r>
        <w:rPr>
          <w:rFonts w:hint="eastAsia" w:ascii="宋体" w:hAnsi="宋体" w:eastAsia="宋体"/>
          <w:b/>
          <w:color w:val="auto"/>
          <w:sz w:val="21"/>
          <w:szCs w:val="21"/>
        </w:rPr>
        <w:t>评审方法和评审标准</w:t>
      </w:r>
      <w:bookmarkEnd w:id="179"/>
    </w:p>
    <w:p>
      <w:pPr>
        <w:spacing w:line="360" w:lineRule="auto"/>
        <w:ind w:right="708" w:rightChars="337" w:firstLine="420" w:firstLineChars="200"/>
        <w:rPr>
          <w:rFonts w:ascii="宋体" w:hAnsi="宋体"/>
          <w:color w:val="auto"/>
          <w:szCs w:val="21"/>
        </w:rPr>
      </w:pPr>
      <w:r>
        <w:rPr>
          <w:rFonts w:hint="eastAsia" w:ascii="宋体" w:hAnsi="宋体"/>
          <w:color w:val="auto"/>
          <w:szCs w:val="21"/>
        </w:rPr>
        <w:t>本次采购采用百分制综合评分法，即磋商供应商最大限度地满足磋商文件实质性要求的基础上，按照采购文件的各项因素进行综合评审后，总分设定为100分。磋商小组遵循公平、公正、择优原则，独立按照评分标准分别评定供应商的分值；各磋商供应商的最终得分为各评委所评定分值的平均值，并按高低顺序排列，确定1家成交候选单位。若得分相同，按磋商报价由低到高顺序排列；得分且磋商报价相同，按技术指标优劣顺序排列。对于本文件要求供应商在磋商期间携带核查的原件，磋商小组应当逐一认真检查。因磋商供应商自身原因，在磋商期间，不能及时、完整、有效提供相关原件以供磋商小组查询，由此导致不利于响应文件的磋商后果由磋商供应商承担。</w:t>
      </w:r>
    </w:p>
    <w:p>
      <w:pPr>
        <w:adjustRightInd w:val="0"/>
        <w:spacing w:line="360" w:lineRule="auto"/>
        <w:ind w:firstLine="422" w:firstLineChars="200"/>
        <w:jc w:val="center"/>
        <w:rPr>
          <w:rFonts w:ascii="宋体" w:hAnsi="宋体"/>
          <w:b/>
          <w:color w:val="auto"/>
          <w:szCs w:val="21"/>
        </w:rPr>
      </w:pPr>
      <w:r>
        <w:rPr>
          <w:rFonts w:hint="eastAsia" w:ascii="宋体" w:hAnsi="宋体"/>
          <w:b/>
          <w:color w:val="auto"/>
          <w:szCs w:val="21"/>
        </w:rPr>
        <w:t>评审标准</w:t>
      </w:r>
    </w:p>
    <w:tbl>
      <w:tblPr>
        <w:tblStyle w:val="3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30"/>
        <w:gridCol w:w="850"/>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4" w:type="dxa"/>
            <w:vAlign w:val="center"/>
          </w:tcPr>
          <w:p>
            <w:pPr>
              <w:spacing w:line="360" w:lineRule="auto"/>
              <w:ind w:firstLine="422"/>
              <w:jc w:val="center"/>
              <w:rPr>
                <w:rFonts w:ascii="宋体" w:hAnsi="宋体"/>
                <w:b/>
                <w:color w:val="auto"/>
                <w:szCs w:val="21"/>
              </w:rPr>
            </w:pPr>
            <w:r>
              <w:rPr>
                <w:rFonts w:hint="eastAsia" w:ascii="宋体" w:hAnsi="宋体"/>
                <w:b/>
                <w:color w:val="auto"/>
                <w:szCs w:val="21"/>
              </w:rPr>
              <w:t>序号</w:t>
            </w:r>
          </w:p>
        </w:tc>
        <w:tc>
          <w:tcPr>
            <w:tcW w:w="1230" w:type="dxa"/>
            <w:vAlign w:val="center"/>
          </w:tcPr>
          <w:p>
            <w:pPr>
              <w:spacing w:line="360" w:lineRule="auto"/>
              <w:ind w:firstLine="422"/>
              <w:jc w:val="center"/>
              <w:rPr>
                <w:rFonts w:ascii="宋体" w:hAnsi="宋体"/>
                <w:b/>
                <w:color w:val="auto"/>
                <w:szCs w:val="21"/>
              </w:rPr>
            </w:pPr>
            <w:r>
              <w:rPr>
                <w:rFonts w:hint="eastAsia" w:ascii="宋体" w:hAnsi="宋体"/>
                <w:b/>
                <w:color w:val="auto"/>
                <w:szCs w:val="21"/>
              </w:rPr>
              <w:t>评分因素</w:t>
            </w:r>
          </w:p>
        </w:tc>
        <w:tc>
          <w:tcPr>
            <w:tcW w:w="850" w:type="dxa"/>
            <w:vAlign w:val="center"/>
          </w:tcPr>
          <w:p>
            <w:pPr>
              <w:spacing w:line="360" w:lineRule="auto"/>
              <w:ind w:firstLine="422"/>
              <w:jc w:val="center"/>
              <w:rPr>
                <w:rFonts w:ascii="宋体" w:hAnsi="宋体"/>
                <w:b/>
                <w:color w:val="auto"/>
                <w:szCs w:val="21"/>
              </w:rPr>
            </w:pPr>
            <w:r>
              <w:rPr>
                <w:rFonts w:hint="eastAsia" w:ascii="宋体" w:hAnsi="宋体"/>
                <w:b/>
                <w:color w:val="auto"/>
                <w:szCs w:val="21"/>
              </w:rPr>
              <w:t>分值</w:t>
            </w:r>
          </w:p>
        </w:tc>
        <w:tc>
          <w:tcPr>
            <w:tcW w:w="6554" w:type="dxa"/>
            <w:vAlign w:val="center"/>
          </w:tcPr>
          <w:p>
            <w:pPr>
              <w:spacing w:line="360" w:lineRule="auto"/>
              <w:ind w:firstLine="422"/>
              <w:jc w:val="center"/>
              <w:rPr>
                <w:rFonts w:ascii="宋体" w:hAnsi="宋体"/>
                <w:b/>
                <w:color w:val="auto"/>
                <w:szCs w:val="21"/>
              </w:rPr>
            </w:pPr>
            <w:r>
              <w:rPr>
                <w:rFonts w:hint="eastAsia" w:ascii="宋体" w:hAnsi="宋体"/>
                <w:b/>
                <w:color w:val="auto"/>
                <w:szCs w:val="21"/>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04" w:type="dxa"/>
            <w:vAlign w:val="center"/>
          </w:tcPr>
          <w:p>
            <w:pPr>
              <w:widowControl/>
              <w:spacing w:line="360" w:lineRule="auto"/>
              <w:jc w:val="center"/>
              <w:rPr>
                <w:rFonts w:ascii="宋体" w:hAnsi="宋体" w:cs="仿宋_GB2312"/>
                <w:color w:val="auto"/>
                <w:kern w:val="0"/>
                <w:szCs w:val="21"/>
              </w:rPr>
            </w:pPr>
            <w:r>
              <w:rPr>
                <w:rFonts w:hint="eastAsia" w:ascii="宋体" w:hAnsi="宋体" w:cs="仿宋_GB2312"/>
                <w:color w:val="auto"/>
                <w:kern w:val="0"/>
                <w:szCs w:val="21"/>
              </w:rPr>
              <w:t>1</w:t>
            </w:r>
          </w:p>
        </w:tc>
        <w:tc>
          <w:tcPr>
            <w:tcW w:w="1230" w:type="dxa"/>
            <w:vAlign w:val="center"/>
          </w:tcPr>
          <w:p>
            <w:pPr>
              <w:widowControl/>
              <w:spacing w:line="360" w:lineRule="auto"/>
              <w:jc w:val="center"/>
              <w:rPr>
                <w:rFonts w:ascii="宋体" w:hAnsi="宋体" w:cs="仿宋_GB2312"/>
                <w:color w:val="auto"/>
                <w:kern w:val="0"/>
                <w:szCs w:val="21"/>
              </w:rPr>
            </w:pPr>
            <w:r>
              <w:rPr>
                <w:rFonts w:hint="eastAsia" w:ascii="宋体" w:hAnsi="宋体" w:cs="仿宋_GB2312"/>
                <w:color w:val="auto"/>
                <w:kern w:val="0"/>
                <w:szCs w:val="21"/>
              </w:rPr>
              <w:t>价格分</w:t>
            </w:r>
          </w:p>
        </w:tc>
        <w:tc>
          <w:tcPr>
            <w:tcW w:w="850" w:type="dxa"/>
            <w:vAlign w:val="center"/>
          </w:tcPr>
          <w:p>
            <w:pPr>
              <w:widowControl/>
              <w:spacing w:line="360" w:lineRule="auto"/>
              <w:jc w:val="center"/>
              <w:rPr>
                <w:rFonts w:ascii="宋体" w:hAnsi="宋体" w:cs="仿宋_GB2312"/>
                <w:color w:val="auto"/>
                <w:kern w:val="0"/>
                <w:szCs w:val="21"/>
              </w:rPr>
            </w:pPr>
            <w:r>
              <w:rPr>
                <w:rFonts w:hint="eastAsia" w:ascii="宋体" w:hAnsi="宋体" w:cs="仿宋_GB2312"/>
                <w:color w:val="auto"/>
                <w:kern w:val="0"/>
                <w:szCs w:val="21"/>
              </w:rPr>
              <w:t>15分</w:t>
            </w:r>
          </w:p>
        </w:tc>
        <w:tc>
          <w:tcPr>
            <w:tcW w:w="6554" w:type="dxa"/>
            <w:vAlign w:val="center"/>
          </w:tcPr>
          <w:p>
            <w:pPr>
              <w:widowControl/>
              <w:spacing w:line="360" w:lineRule="auto"/>
              <w:ind w:firstLine="420" w:firstLineChars="200"/>
              <w:jc w:val="left"/>
              <w:rPr>
                <w:rFonts w:ascii="宋体" w:hAnsi="宋体" w:cs="仿宋_GB2312"/>
                <w:color w:val="auto"/>
                <w:kern w:val="0"/>
                <w:szCs w:val="21"/>
              </w:rPr>
            </w:pPr>
            <w:r>
              <w:rPr>
                <w:rFonts w:hint="eastAsia" w:ascii="宋体" w:hAnsi="宋体"/>
                <w:color w:val="auto"/>
                <w:szCs w:val="21"/>
                <w:lang w:val="zh-CN"/>
              </w:rPr>
              <w:t>满足磋商文件要求且投标价格最低的投标报价为评标基准价，其价格分为满分。其他响应人的价格分统一按照下列公式计算：报价得分= (评分基准价/投标报价)×</w:t>
            </w:r>
            <w:r>
              <w:rPr>
                <w:rFonts w:hint="eastAsia" w:ascii="宋体" w:hAnsi="宋体"/>
                <w:color w:val="auto"/>
                <w:szCs w:val="21"/>
              </w:rPr>
              <w:t>15</w:t>
            </w:r>
            <w:r>
              <w:rPr>
                <w:rFonts w:hint="eastAsia" w:ascii="宋体" w:hAnsi="宋体"/>
                <w:color w:val="auto"/>
                <w:szCs w:val="21"/>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04" w:type="dxa"/>
            <w:vAlign w:val="center"/>
          </w:tcPr>
          <w:p>
            <w:pPr>
              <w:spacing w:line="360" w:lineRule="auto"/>
              <w:jc w:val="center"/>
              <w:rPr>
                <w:rFonts w:ascii="宋体" w:hAnsi="宋体" w:cs="仿宋_GB2312"/>
                <w:color w:val="auto"/>
                <w:kern w:val="0"/>
                <w:szCs w:val="21"/>
              </w:rPr>
            </w:pPr>
            <w:r>
              <w:rPr>
                <w:rFonts w:hint="eastAsia" w:ascii="宋体" w:hAnsi="宋体" w:cs="仿宋_GB2312"/>
                <w:color w:val="auto"/>
                <w:kern w:val="0"/>
                <w:szCs w:val="21"/>
              </w:rPr>
              <w:t>2</w:t>
            </w:r>
          </w:p>
        </w:tc>
        <w:tc>
          <w:tcPr>
            <w:tcW w:w="1230" w:type="dxa"/>
            <w:vAlign w:val="center"/>
          </w:tcPr>
          <w:p>
            <w:pPr>
              <w:spacing w:line="360" w:lineRule="auto"/>
              <w:jc w:val="center"/>
              <w:rPr>
                <w:rFonts w:ascii="宋体" w:hAnsi="宋体" w:cs="仿宋_GB2312"/>
                <w:color w:val="auto"/>
                <w:kern w:val="0"/>
                <w:szCs w:val="21"/>
              </w:rPr>
            </w:pPr>
            <w:r>
              <w:rPr>
                <w:rFonts w:hint="eastAsia" w:ascii="宋体" w:hAnsi="宋体" w:cs="仿宋_GB2312"/>
                <w:color w:val="auto"/>
                <w:kern w:val="0"/>
                <w:szCs w:val="21"/>
              </w:rPr>
              <w:t>企业综合实力</w:t>
            </w:r>
          </w:p>
        </w:tc>
        <w:tc>
          <w:tcPr>
            <w:tcW w:w="850" w:type="dxa"/>
            <w:vAlign w:val="center"/>
          </w:tcPr>
          <w:p>
            <w:pPr>
              <w:spacing w:line="360" w:lineRule="auto"/>
              <w:jc w:val="center"/>
              <w:rPr>
                <w:rFonts w:ascii="宋体" w:hAnsi="宋体" w:cs="仿宋_GB2312"/>
                <w:color w:val="auto"/>
                <w:kern w:val="0"/>
                <w:szCs w:val="21"/>
              </w:rPr>
            </w:pPr>
            <w:r>
              <w:rPr>
                <w:rFonts w:hint="eastAsia" w:ascii="宋体" w:hAnsi="宋体" w:cs="仿宋_GB2312"/>
                <w:color w:val="auto"/>
                <w:kern w:val="0"/>
                <w:szCs w:val="21"/>
              </w:rPr>
              <w:t>21分</w:t>
            </w:r>
          </w:p>
        </w:tc>
        <w:tc>
          <w:tcPr>
            <w:tcW w:w="6554" w:type="dxa"/>
            <w:vAlign w:val="center"/>
          </w:tcPr>
          <w:p>
            <w:pPr>
              <w:widowControl/>
              <w:spacing w:line="360" w:lineRule="auto"/>
              <w:ind w:firstLine="422" w:firstLineChars="200"/>
              <w:jc w:val="left"/>
              <w:rPr>
                <w:rFonts w:ascii="宋体" w:hAnsi="宋体"/>
                <w:b/>
                <w:bCs/>
                <w:color w:val="auto"/>
                <w:szCs w:val="21"/>
              </w:rPr>
            </w:pPr>
            <w:r>
              <w:rPr>
                <w:rFonts w:ascii="宋体" w:hAnsi="宋体"/>
                <w:b/>
                <w:bCs/>
                <w:color w:val="auto"/>
                <w:szCs w:val="21"/>
              </w:rPr>
              <w:t>1</w:t>
            </w:r>
            <w:r>
              <w:rPr>
                <w:rFonts w:hint="eastAsia" w:ascii="宋体" w:hAnsi="宋体"/>
                <w:b/>
                <w:bCs/>
                <w:color w:val="auto"/>
                <w:szCs w:val="21"/>
                <w:lang w:val="zh-CN"/>
              </w:rPr>
              <w:t>、企业资信</w:t>
            </w:r>
            <w:r>
              <w:rPr>
                <w:rFonts w:hint="eastAsia" w:ascii="宋体" w:hAnsi="宋体"/>
                <w:b/>
                <w:bCs/>
                <w:color w:val="auto"/>
                <w:szCs w:val="21"/>
              </w:rPr>
              <w:t>：6</w:t>
            </w:r>
            <w:r>
              <w:rPr>
                <w:rFonts w:hint="eastAsia" w:ascii="宋体" w:hAnsi="宋体"/>
                <w:b/>
                <w:bCs/>
                <w:color w:val="auto"/>
                <w:szCs w:val="21"/>
                <w:lang w:val="zh-CN"/>
              </w:rPr>
              <w:t>分</w:t>
            </w:r>
          </w:p>
          <w:p>
            <w:pPr>
              <w:widowControl/>
              <w:spacing w:line="360" w:lineRule="auto"/>
              <w:ind w:firstLine="420" w:firstLineChars="200"/>
              <w:jc w:val="left"/>
              <w:rPr>
                <w:rFonts w:ascii="宋体" w:hAnsi="宋体"/>
                <w:color w:val="auto"/>
                <w:szCs w:val="21"/>
              </w:rPr>
            </w:pPr>
            <w:r>
              <w:rPr>
                <w:rFonts w:hint="eastAsia" w:ascii="宋体" w:hAnsi="宋体"/>
                <w:bCs/>
                <w:color w:val="auto"/>
              </w:rPr>
              <w:t>供应商获得过第三方认证机构颁发的并在效期内ISO9001质量管理体系认证、ISO14001环境管理体系认证、具有OHSAS18001职业健康安全管理体系认证的，有一个得2分，最高6分；</w:t>
            </w:r>
            <w:r>
              <w:rPr>
                <w:rFonts w:hint="eastAsia" w:ascii="宋体" w:hAnsi="宋体"/>
                <w:b/>
                <w:color w:val="auto"/>
              </w:rPr>
              <w:t>认证须在“全国认证认可信息公共</w:t>
            </w:r>
            <w:r>
              <w:rPr>
                <w:rFonts w:hint="eastAsia" w:ascii="宋体" w:hAnsi="宋体"/>
                <w:b/>
                <w:color w:val="auto"/>
                <w:szCs w:val="21"/>
              </w:rPr>
              <w:t>服务平台”网站（http://cx.cnca.cn）可查询</w:t>
            </w:r>
            <w:r>
              <w:rPr>
                <w:rFonts w:hint="eastAsia" w:ascii="宋体" w:hAnsi="宋体"/>
                <w:b/>
                <w:color w:val="auto"/>
              </w:rPr>
              <w:t>显示“有效”，否则不得分。</w:t>
            </w:r>
          </w:p>
          <w:p>
            <w:pPr>
              <w:widowControl/>
              <w:spacing w:line="360" w:lineRule="auto"/>
              <w:ind w:firstLine="422" w:firstLineChars="200"/>
              <w:jc w:val="left"/>
              <w:rPr>
                <w:rFonts w:ascii="宋体" w:hAnsi="宋体"/>
                <w:b/>
                <w:color w:val="auto"/>
              </w:rPr>
            </w:pPr>
            <w:r>
              <w:rPr>
                <w:rFonts w:hint="eastAsia" w:ascii="宋体" w:hAnsi="宋体"/>
                <w:b/>
                <w:color w:val="auto"/>
              </w:rPr>
              <w:t>2、业绩：</w:t>
            </w:r>
            <w:r>
              <w:rPr>
                <w:rFonts w:ascii="宋体" w:hAnsi="宋体"/>
                <w:b/>
                <w:color w:val="auto"/>
              </w:rPr>
              <w:t>1</w:t>
            </w:r>
            <w:r>
              <w:rPr>
                <w:rFonts w:hint="eastAsia" w:ascii="宋体" w:hAnsi="宋体"/>
                <w:b/>
                <w:color w:val="auto"/>
              </w:rPr>
              <w:t>5分</w:t>
            </w:r>
          </w:p>
          <w:p>
            <w:pPr>
              <w:widowControl/>
              <w:spacing w:line="360" w:lineRule="auto"/>
              <w:ind w:firstLine="420" w:firstLineChars="200"/>
              <w:jc w:val="left"/>
              <w:rPr>
                <w:rFonts w:ascii="宋体" w:hAnsi="宋体"/>
                <w:bCs/>
                <w:color w:val="auto"/>
              </w:rPr>
            </w:pPr>
            <w:r>
              <w:rPr>
                <w:rFonts w:hint="eastAsia" w:ascii="宋体" w:hAnsi="宋体"/>
                <w:bCs/>
                <w:color w:val="auto"/>
              </w:rPr>
              <w:t>2020年1月1日以来（以合同签订日期为准），供应商有食堂委托管理项目实施案例的，有一个得3分，本项最高得15分。</w:t>
            </w:r>
          </w:p>
          <w:p>
            <w:pPr>
              <w:widowControl/>
              <w:spacing w:line="360" w:lineRule="auto"/>
              <w:ind w:firstLine="422" w:firstLineChars="200"/>
              <w:jc w:val="left"/>
              <w:rPr>
                <w:rFonts w:ascii="宋体" w:hAnsi="宋体"/>
                <w:color w:val="auto"/>
                <w:szCs w:val="21"/>
                <w:lang w:val="zh-CN"/>
              </w:rPr>
            </w:pPr>
            <w:r>
              <w:rPr>
                <w:rFonts w:hint="eastAsia" w:ascii="宋体" w:hAnsi="宋体"/>
                <w:b/>
                <w:bCs/>
                <w:color w:val="auto"/>
                <w:szCs w:val="21"/>
                <w:lang w:val="zh-CN"/>
              </w:rPr>
              <w:t>（需提供合同的复印件及发票并加盖公章，提供用户单位对服务满意的证明材料作为得分依据，原件备查，未提供不得分。</w:t>
            </w:r>
            <w:r>
              <w:rPr>
                <w:rFonts w:hint="eastAsia" w:ascii="宋体" w:hAnsi="宋体"/>
                <w:color w:val="auto"/>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04" w:type="dxa"/>
            <w:vAlign w:val="center"/>
          </w:tcPr>
          <w:p>
            <w:pPr>
              <w:spacing w:line="360" w:lineRule="auto"/>
              <w:jc w:val="center"/>
              <w:rPr>
                <w:rFonts w:ascii="宋体" w:hAnsi="宋体" w:cs="仿宋_GB2312"/>
                <w:color w:val="auto"/>
                <w:kern w:val="0"/>
                <w:szCs w:val="21"/>
              </w:rPr>
            </w:pPr>
            <w:r>
              <w:rPr>
                <w:rFonts w:hint="eastAsia" w:ascii="宋体" w:hAnsi="宋体" w:cs="仿宋_GB2312"/>
                <w:color w:val="auto"/>
                <w:kern w:val="0"/>
                <w:szCs w:val="21"/>
              </w:rPr>
              <w:t>3</w:t>
            </w:r>
          </w:p>
        </w:tc>
        <w:tc>
          <w:tcPr>
            <w:tcW w:w="1230" w:type="dxa"/>
            <w:vAlign w:val="center"/>
          </w:tcPr>
          <w:p>
            <w:pPr>
              <w:spacing w:line="360" w:lineRule="auto"/>
              <w:jc w:val="center"/>
              <w:rPr>
                <w:rFonts w:ascii="宋体" w:hAnsi="宋体" w:cs="仿宋_GB2312"/>
                <w:color w:val="auto"/>
                <w:kern w:val="0"/>
                <w:szCs w:val="21"/>
              </w:rPr>
            </w:pPr>
            <w:r>
              <w:rPr>
                <w:rFonts w:hint="eastAsia" w:ascii="宋体" w:hAnsi="宋体" w:cs="仿宋_GB2312"/>
                <w:color w:val="auto"/>
                <w:kern w:val="0"/>
                <w:szCs w:val="21"/>
              </w:rPr>
              <w:t>技术方案</w:t>
            </w:r>
          </w:p>
        </w:tc>
        <w:tc>
          <w:tcPr>
            <w:tcW w:w="850" w:type="dxa"/>
            <w:vAlign w:val="center"/>
          </w:tcPr>
          <w:p>
            <w:pPr>
              <w:spacing w:line="360" w:lineRule="auto"/>
              <w:jc w:val="center"/>
              <w:rPr>
                <w:rFonts w:ascii="宋体" w:hAnsi="宋体" w:cs="仿宋_GB2312"/>
                <w:color w:val="auto"/>
                <w:kern w:val="0"/>
                <w:szCs w:val="21"/>
              </w:rPr>
            </w:pPr>
            <w:r>
              <w:rPr>
                <w:rFonts w:hint="eastAsia" w:ascii="宋体" w:hAnsi="宋体" w:cs="仿宋_GB2312"/>
                <w:color w:val="auto"/>
                <w:kern w:val="0"/>
                <w:szCs w:val="21"/>
              </w:rPr>
              <w:t>64分</w:t>
            </w:r>
          </w:p>
        </w:tc>
        <w:tc>
          <w:tcPr>
            <w:tcW w:w="6554" w:type="dxa"/>
            <w:vAlign w:val="center"/>
          </w:tcPr>
          <w:p>
            <w:pPr>
              <w:pStyle w:val="74"/>
              <w:widowControl/>
              <w:spacing w:line="360" w:lineRule="auto"/>
              <w:ind w:left="420" w:firstLine="0" w:firstLineChars="0"/>
              <w:jc w:val="left"/>
              <w:rPr>
                <w:rFonts w:ascii="宋体" w:hAnsi="宋体"/>
                <w:b/>
                <w:color w:val="auto"/>
              </w:rPr>
            </w:pPr>
            <w:r>
              <w:rPr>
                <w:rFonts w:hint="eastAsia" w:ascii="宋体" w:hAnsi="宋体"/>
                <w:b/>
                <w:color w:val="auto"/>
              </w:rPr>
              <w:t>1、餐饮服务方案：</w:t>
            </w:r>
            <w:r>
              <w:rPr>
                <w:rFonts w:ascii="宋体" w:hAnsi="宋体"/>
                <w:b/>
                <w:color w:val="auto"/>
              </w:rPr>
              <w:t>3</w:t>
            </w:r>
            <w:r>
              <w:rPr>
                <w:rFonts w:hint="eastAsia" w:ascii="宋体" w:hAnsi="宋体"/>
                <w:b/>
                <w:color w:val="auto"/>
              </w:rPr>
              <w:t>0分</w:t>
            </w:r>
          </w:p>
          <w:p>
            <w:pPr>
              <w:widowControl/>
              <w:spacing w:line="360" w:lineRule="auto"/>
              <w:ind w:left="420" w:leftChars="200"/>
              <w:jc w:val="left"/>
              <w:rPr>
                <w:rFonts w:ascii="宋体" w:hAnsi="宋体"/>
                <w:bCs/>
                <w:color w:val="auto"/>
              </w:rPr>
            </w:pPr>
            <w:r>
              <w:rPr>
                <w:rFonts w:hint="eastAsia" w:ascii="宋体" w:hAnsi="宋体"/>
                <w:bCs/>
                <w:color w:val="auto"/>
              </w:rPr>
              <w:t>供应商对本项目的了解程度、对本项目拟定的餐饮方案酌情评分。方案架构清晰，合理完整科学得</w:t>
            </w:r>
            <w:r>
              <w:rPr>
                <w:rFonts w:ascii="宋体" w:hAnsi="宋体"/>
                <w:bCs/>
                <w:color w:val="auto"/>
              </w:rPr>
              <w:t>3</w:t>
            </w:r>
            <w:r>
              <w:rPr>
                <w:rFonts w:hint="eastAsia" w:ascii="宋体" w:hAnsi="宋体"/>
                <w:bCs/>
                <w:color w:val="auto"/>
              </w:rPr>
              <w:t>0分；</w:t>
            </w:r>
          </w:p>
          <w:p>
            <w:pPr>
              <w:widowControl/>
              <w:spacing w:line="360" w:lineRule="auto"/>
              <w:ind w:left="420" w:leftChars="200"/>
              <w:jc w:val="left"/>
              <w:rPr>
                <w:rFonts w:ascii="宋体" w:hAnsi="宋体" w:cs="宋体"/>
                <w:bCs/>
                <w:color w:val="auto"/>
              </w:rPr>
            </w:pPr>
            <w:r>
              <w:rPr>
                <w:rFonts w:hint="eastAsia" w:ascii="宋体" w:hAnsi="宋体"/>
                <w:bCs/>
                <w:color w:val="auto"/>
              </w:rPr>
              <w:t>方案架构清晰，较合理可行的得</w:t>
            </w:r>
            <w:r>
              <w:rPr>
                <w:rFonts w:hint="eastAsia" w:ascii="宋体" w:hAnsi="宋体" w:cs="宋体"/>
                <w:bCs/>
                <w:color w:val="auto"/>
              </w:rPr>
              <w:t>25分；</w:t>
            </w:r>
          </w:p>
          <w:p>
            <w:pPr>
              <w:widowControl/>
              <w:spacing w:line="360" w:lineRule="auto"/>
              <w:ind w:left="420" w:leftChars="200"/>
              <w:jc w:val="left"/>
              <w:rPr>
                <w:rFonts w:ascii="宋体" w:hAnsi="宋体"/>
                <w:bCs/>
                <w:color w:val="auto"/>
              </w:rPr>
            </w:pPr>
            <w:r>
              <w:rPr>
                <w:rFonts w:hint="eastAsia" w:ascii="宋体" w:hAnsi="宋体" w:cs="宋体"/>
                <w:bCs/>
                <w:color w:val="auto"/>
              </w:rPr>
              <w:t>方案架构清晰，可行性较低的得20</w:t>
            </w:r>
            <w:r>
              <w:rPr>
                <w:rFonts w:hint="eastAsia" w:ascii="宋体" w:hAnsi="宋体"/>
                <w:bCs/>
                <w:color w:val="auto"/>
              </w:rPr>
              <w:t>分；</w:t>
            </w:r>
          </w:p>
          <w:p>
            <w:pPr>
              <w:widowControl/>
              <w:spacing w:line="360" w:lineRule="auto"/>
              <w:ind w:left="420" w:leftChars="200"/>
              <w:jc w:val="left"/>
              <w:rPr>
                <w:rFonts w:ascii="宋体" w:hAnsi="宋体"/>
                <w:bCs/>
                <w:color w:val="auto"/>
              </w:rPr>
            </w:pPr>
            <w:r>
              <w:rPr>
                <w:rFonts w:hint="eastAsia" w:ascii="宋体" w:hAnsi="宋体"/>
                <w:bCs/>
                <w:color w:val="auto"/>
              </w:rPr>
              <w:t>未提供不得分。</w:t>
            </w:r>
          </w:p>
          <w:p>
            <w:pPr>
              <w:spacing w:line="360" w:lineRule="auto"/>
              <w:ind w:firstLine="422" w:firstLineChars="200"/>
              <w:rPr>
                <w:rFonts w:ascii="宋体" w:hAnsi="宋体"/>
                <w:b/>
                <w:color w:val="auto"/>
              </w:rPr>
            </w:pPr>
            <w:r>
              <w:rPr>
                <w:rFonts w:ascii="宋体" w:hAnsi="宋体"/>
                <w:b/>
                <w:color w:val="auto"/>
              </w:rPr>
              <w:t>2</w:t>
            </w:r>
            <w:r>
              <w:rPr>
                <w:rFonts w:hint="eastAsia" w:ascii="宋体" w:hAnsi="宋体"/>
                <w:b/>
                <w:color w:val="auto"/>
              </w:rPr>
              <w:t>、人员安排及管理方案：1</w:t>
            </w:r>
            <w:r>
              <w:rPr>
                <w:rFonts w:ascii="宋体" w:hAnsi="宋体"/>
                <w:b/>
                <w:color w:val="auto"/>
              </w:rPr>
              <w:t>5</w:t>
            </w:r>
            <w:r>
              <w:rPr>
                <w:rFonts w:hint="eastAsia" w:ascii="宋体" w:hAnsi="宋体"/>
                <w:b/>
                <w:color w:val="auto"/>
              </w:rPr>
              <w:t>分</w:t>
            </w:r>
          </w:p>
          <w:p>
            <w:pPr>
              <w:spacing w:line="360" w:lineRule="auto"/>
              <w:ind w:firstLine="420"/>
              <w:jc w:val="left"/>
              <w:rPr>
                <w:rFonts w:ascii="宋体" w:hAnsi="宋体"/>
                <w:bCs/>
                <w:color w:val="auto"/>
              </w:rPr>
            </w:pPr>
            <w:r>
              <w:rPr>
                <w:rFonts w:hint="eastAsia" w:ascii="宋体" w:hAnsi="宋体"/>
                <w:bCs/>
                <w:color w:val="auto"/>
              </w:rPr>
              <w:t>供应商需针对本项目提供《人员安排及管理方案》，内容需包含但不限于派遣人员管理、岗位人员配备、岗位制度、所提供的人员招聘的进度计划、管理计划等。</w:t>
            </w:r>
          </w:p>
          <w:p>
            <w:pPr>
              <w:spacing w:line="360" w:lineRule="auto"/>
              <w:ind w:firstLine="420"/>
              <w:jc w:val="left"/>
              <w:rPr>
                <w:rFonts w:ascii="宋体" w:hAnsi="宋体"/>
                <w:bCs/>
                <w:color w:val="auto"/>
              </w:rPr>
            </w:pPr>
            <w:r>
              <w:rPr>
                <w:rFonts w:hint="eastAsia" w:ascii="宋体" w:hAnsi="宋体"/>
                <w:bCs/>
                <w:color w:val="auto"/>
              </w:rPr>
              <w:t>人员配备合理、岗位职责清晰、管理计划完备得</w:t>
            </w:r>
            <w:r>
              <w:rPr>
                <w:rFonts w:ascii="宋体" w:hAnsi="宋体"/>
                <w:bCs/>
                <w:color w:val="auto"/>
              </w:rPr>
              <w:t>15</w:t>
            </w:r>
            <w:r>
              <w:rPr>
                <w:rFonts w:hint="eastAsia" w:ascii="宋体" w:hAnsi="宋体"/>
                <w:bCs/>
                <w:color w:val="auto"/>
              </w:rPr>
              <w:t>分；</w:t>
            </w:r>
          </w:p>
          <w:p>
            <w:pPr>
              <w:spacing w:line="360" w:lineRule="auto"/>
              <w:ind w:firstLine="420"/>
              <w:jc w:val="left"/>
              <w:rPr>
                <w:rFonts w:ascii="宋体" w:hAnsi="宋体"/>
                <w:bCs/>
                <w:color w:val="auto"/>
              </w:rPr>
            </w:pPr>
            <w:r>
              <w:rPr>
                <w:rFonts w:hint="eastAsia" w:ascii="宋体" w:hAnsi="宋体"/>
                <w:bCs/>
                <w:color w:val="auto"/>
              </w:rPr>
              <w:t>人员配备较合理、岗位职责较清晰、管理计划较完备得</w:t>
            </w:r>
            <w:r>
              <w:rPr>
                <w:rFonts w:ascii="宋体" w:hAnsi="宋体"/>
                <w:bCs/>
                <w:color w:val="auto"/>
              </w:rPr>
              <w:t>10</w:t>
            </w:r>
            <w:r>
              <w:rPr>
                <w:rFonts w:hint="eastAsia" w:ascii="宋体" w:hAnsi="宋体"/>
                <w:bCs/>
                <w:color w:val="auto"/>
              </w:rPr>
              <w:t>分</w:t>
            </w:r>
          </w:p>
          <w:p>
            <w:pPr>
              <w:spacing w:line="360" w:lineRule="auto"/>
              <w:ind w:firstLine="420"/>
              <w:jc w:val="left"/>
              <w:rPr>
                <w:rFonts w:ascii="宋体" w:hAnsi="宋体"/>
                <w:bCs/>
                <w:color w:val="auto"/>
              </w:rPr>
            </w:pPr>
            <w:r>
              <w:rPr>
                <w:rFonts w:hint="eastAsia" w:ascii="宋体" w:hAnsi="宋体"/>
                <w:bCs/>
                <w:color w:val="auto"/>
              </w:rPr>
              <w:t>人员配备基本合理、岗位职责不清晰、管理计划不完备得得</w:t>
            </w:r>
            <w:r>
              <w:rPr>
                <w:rFonts w:ascii="宋体" w:hAnsi="宋体"/>
                <w:bCs/>
                <w:color w:val="auto"/>
              </w:rPr>
              <w:t>5</w:t>
            </w:r>
            <w:r>
              <w:rPr>
                <w:rFonts w:hint="eastAsia" w:ascii="宋体" w:hAnsi="宋体"/>
                <w:bCs/>
                <w:color w:val="auto"/>
              </w:rPr>
              <w:t>分。</w:t>
            </w:r>
          </w:p>
          <w:p>
            <w:pPr>
              <w:pStyle w:val="3"/>
              <w:spacing w:line="360" w:lineRule="auto"/>
              <w:ind w:firstLine="420" w:firstLineChars="200"/>
              <w:rPr>
                <w:rFonts w:ascii="宋体" w:hAnsi="宋体"/>
                <w:bCs/>
                <w:color w:val="auto"/>
              </w:rPr>
            </w:pPr>
            <w:r>
              <w:rPr>
                <w:rFonts w:hint="eastAsia" w:ascii="宋体" w:hAnsi="宋体"/>
                <w:bCs/>
                <w:color w:val="auto"/>
              </w:rPr>
              <w:t>未提供的不得分。</w:t>
            </w:r>
          </w:p>
          <w:p>
            <w:pPr>
              <w:spacing w:line="360" w:lineRule="auto"/>
              <w:ind w:firstLine="422" w:firstLineChars="200"/>
              <w:rPr>
                <w:rFonts w:ascii="宋体" w:hAnsi="宋体"/>
                <w:b/>
                <w:color w:val="auto"/>
              </w:rPr>
            </w:pPr>
            <w:r>
              <w:rPr>
                <w:rFonts w:hint="eastAsia" w:ascii="宋体" w:hAnsi="宋体"/>
                <w:b/>
                <w:color w:val="auto"/>
              </w:rPr>
              <w:t>3、管理佣金及员工薪资：4分</w:t>
            </w:r>
          </w:p>
          <w:p>
            <w:pPr>
              <w:pStyle w:val="3"/>
              <w:spacing w:line="360" w:lineRule="auto"/>
              <w:ind w:firstLine="420" w:firstLineChars="200"/>
              <w:rPr>
                <w:rFonts w:ascii="宋体" w:hAnsi="宋体"/>
                <w:bCs/>
                <w:color w:val="auto"/>
              </w:rPr>
            </w:pPr>
            <w:r>
              <w:rPr>
                <w:rFonts w:hint="eastAsia" w:ascii="宋体" w:hAnsi="宋体"/>
                <w:bCs/>
                <w:color w:val="auto"/>
              </w:rPr>
              <w:t>为确保厨师质量，供应商需合理收取管理费用，员工工资不得低于泰州市最低工资标准，所有工作人员必须交纳法定税费等（4分）</w:t>
            </w:r>
          </w:p>
          <w:p>
            <w:pPr>
              <w:pStyle w:val="3"/>
              <w:spacing w:line="360" w:lineRule="auto"/>
              <w:ind w:firstLine="420" w:firstLineChars="200"/>
              <w:rPr>
                <w:rFonts w:ascii="宋体" w:hAnsi="宋体"/>
                <w:bCs/>
                <w:color w:val="auto"/>
              </w:rPr>
            </w:pPr>
            <w:r>
              <w:rPr>
                <w:rFonts w:hint="eastAsia" w:ascii="宋体" w:hAnsi="宋体"/>
                <w:bCs/>
                <w:color w:val="auto"/>
              </w:rPr>
              <w:t>未提供的不得分。</w:t>
            </w:r>
          </w:p>
          <w:p>
            <w:pPr>
              <w:spacing w:line="360" w:lineRule="auto"/>
              <w:ind w:firstLine="422" w:firstLineChars="200"/>
              <w:rPr>
                <w:rFonts w:ascii="宋体" w:hAnsi="宋体"/>
                <w:b/>
                <w:color w:val="auto"/>
              </w:rPr>
            </w:pPr>
            <w:r>
              <w:rPr>
                <w:rFonts w:hint="eastAsia" w:ascii="宋体" w:hAnsi="宋体"/>
                <w:b/>
                <w:color w:val="auto"/>
              </w:rPr>
              <w:t>4、安全及卫生方案：1</w:t>
            </w:r>
            <w:r>
              <w:rPr>
                <w:rFonts w:ascii="宋体" w:hAnsi="宋体"/>
                <w:b/>
                <w:color w:val="auto"/>
              </w:rPr>
              <w:t>0</w:t>
            </w:r>
            <w:r>
              <w:rPr>
                <w:rFonts w:hint="eastAsia" w:ascii="宋体" w:hAnsi="宋体"/>
                <w:b/>
                <w:color w:val="auto"/>
              </w:rPr>
              <w:t>分</w:t>
            </w:r>
          </w:p>
          <w:p>
            <w:pPr>
              <w:spacing w:line="360" w:lineRule="auto"/>
              <w:ind w:firstLine="420"/>
              <w:jc w:val="left"/>
              <w:rPr>
                <w:rFonts w:ascii="宋体" w:hAnsi="宋体"/>
                <w:bCs/>
                <w:color w:val="auto"/>
              </w:rPr>
            </w:pPr>
            <w:r>
              <w:rPr>
                <w:rFonts w:hint="eastAsia" w:ascii="宋体" w:hAnsi="宋体"/>
                <w:bCs/>
                <w:color w:val="auto"/>
              </w:rPr>
              <w:t>供应商需针对本项目提供《安全及卫生方案》，评委根据供应商提供的卫生及安全方案进行综合打分。</w:t>
            </w:r>
          </w:p>
          <w:p>
            <w:pPr>
              <w:spacing w:line="360" w:lineRule="auto"/>
              <w:ind w:firstLine="420"/>
              <w:jc w:val="left"/>
              <w:rPr>
                <w:rFonts w:ascii="宋体" w:hAnsi="宋体"/>
                <w:bCs/>
                <w:color w:val="auto"/>
              </w:rPr>
            </w:pPr>
            <w:r>
              <w:rPr>
                <w:rFonts w:hint="eastAsia" w:ascii="宋体" w:hAnsi="宋体"/>
                <w:bCs/>
                <w:color w:val="auto"/>
              </w:rPr>
              <w:t>方案架构清晰，管控方案合理的得</w:t>
            </w:r>
            <w:r>
              <w:rPr>
                <w:rFonts w:ascii="宋体" w:hAnsi="宋体"/>
                <w:bCs/>
                <w:color w:val="auto"/>
              </w:rPr>
              <w:t>10</w:t>
            </w:r>
            <w:r>
              <w:rPr>
                <w:rFonts w:hint="eastAsia" w:ascii="宋体" w:hAnsi="宋体"/>
                <w:bCs/>
                <w:color w:val="auto"/>
              </w:rPr>
              <w:t>分；</w:t>
            </w:r>
          </w:p>
          <w:p>
            <w:pPr>
              <w:spacing w:line="360" w:lineRule="auto"/>
              <w:ind w:firstLine="420"/>
              <w:jc w:val="left"/>
              <w:rPr>
                <w:rFonts w:ascii="宋体" w:hAnsi="宋体"/>
                <w:bCs/>
                <w:color w:val="auto"/>
              </w:rPr>
            </w:pPr>
            <w:r>
              <w:rPr>
                <w:rFonts w:hint="eastAsia" w:ascii="宋体" w:hAnsi="宋体"/>
                <w:bCs/>
                <w:color w:val="auto"/>
              </w:rPr>
              <w:t>方案架构较清晰，管控方案合理性较高的得</w:t>
            </w:r>
            <w:r>
              <w:rPr>
                <w:rFonts w:ascii="宋体" w:hAnsi="宋体"/>
                <w:bCs/>
                <w:color w:val="auto"/>
              </w:rPr>
              <w:t>7</w:t>
            </w:r>
            <w:r>
              <w:rPr>
                <w:rFonts w:hint="eastAsia" w:ascii="宋体" w:hAnsi="宋体"/>
                <w:bCs/>
                <w:color w:val="auto"/>
              </w:rPr>
              <w:t>分；</w:t>
            </w:r>
          </w:p>
          <w:p>
            <w:pPr>
              <w:spacing w:line="360" w:lineRule="auto"/>
              <w:ind w:firstLine="420"/>
              <w:jc w:val="left"/>
              <w:rPr>
                <w:rFonts w:ascii="宋体" w:hAnsi="宋体"/>
                <w:bCs/>
                <w:color w:val="auto"/>
              </w:rPr>
            </w:pPr>
            <w:r>
              <w:rPr>
                <w:rFonts w:hint="eastAsia" w:ascii="宋体" w:hAnsi="宋体"/>
                <w:bCs/>
                <w:color w:val="auto"/>
              </w:rPr>
              <w:t>方案架构不清晰，管控方案基本合理得4分；</w:t>
            </w:r>
          </w:p>
          <w:p>
            <w:pPr>
              <w:pStyle w:val="3"/>
              <w:spacing w:line="360" w:lineRule="auto"/>
              <w:ind w:firstLine="420" w:firstLineChars="200"/>
              <w:rPr>
                <w:rFonts w:ascii="宋体" w:hAnsi="宋体"/>
                <w:bCs/>
                <w:color w:val="auto"/>
              </w:rPr>
            </w:pPr>
            <w:r>
              <w:rPr>
                <w:rFonts w:hint="eastAsia" w:ascii="宋体" w:hAnsi="宋体"/>
                <w:bCs/>
                <w:color w:val="auto"/>
              </w:rPr>
              <w:t>未提供的不得分。</w:t>
            </w:r>
          </w:p>
          <w:p>
            <w:pPr>
              <w:spacing w:line="360" w:lineRule="auto"/>
              <w:ind w:firstLine="422" w:firstLineChars="200"/>
              <w:rPr>
                <w:rFonts w:ascii="宋体" w:hAnsi="宋体"/>
                <w:b/>
                <w:color w:val="auto"/>
              </w:rPr>
            </w:pPr>
            <w:r>
              <w:rPr>
                <w:rFonts w:hint="eastAsia" w:ascii="宋体" w:hAnsi="宋体"/>
                <w:b/>
                <w:color w:val="auto"/>
              </w:rPr>
              <w:t>5、应急预案：</w:t>
            </w:r>
            <w:r>
              <w:rPr>
                <w:rFonts w:ascii="宋体" w:hAnsi="宋体"/>
                <w:b/>
                <w:color w:val="auto"/>
              </w:rPr>
              <w:t>5</w:t>
            </w:r>
            <w:r>
              <w:rPr>
                <w:rFonts w:hint="eastAsia" w:ascii="宋体" w:hAnsi="宋体"/>
                <w:b/>
                <w:color w:val="auto"/>
              </w:rPr>
              <w:t>分</w:t>
            </w:r>
          </w:p>
          <w:p>
            <w:pPr>
              <w:spacing w:line="360" w:lineRule="auto"/>
              <w:ind w:firstLine="420"/>
              <w:rPr>
                <w:rFonts w:ascii="宋体" w:hAnsi="宋体"/>
                <w:bCs/>
                <w:color w:val="auto"/>
              </w:rPr>
            </w:pPr>
            <w:r>
              <w:rPr>
                <w:rFonts w:hint="eastAsia" w:ascii="宋体" w:hAnsi="宋体"/>
                <w:bCs/>
                <w:color w:val="auto"/>
              </w:rPr>
              <w:t>供应商需针对本项目提供《应急预案》。评委根据供应商制定的食物中毒应急、停水、停电、临时接待用餐、消防事故处理等预案进行综合打分。</w:t>
            </w:r>
          </w:p>
          <w:p>
            <w:pPr>
              <w:spacing w:line="360" w:lineRule="auto"/>
              <w:ind w:firstLine="420"/>
              <w:rPr>
                <w:rFonts w:ascii="宋体" w:hAnsi="宋体"/>
                <w:bCs/>
                <w:color w:val="auto"/>
              </w:rPr>
            </w:pPr>
            <w:r>
              <w:rPr>
                <w:rFonts w:hint="eastAsia" w:ascii="宋体" w:hAnsi="宋体"/>
                <w:bCs/>
                <w:color w:val="auto"/>
              </w:rPr>
              <w:t>应急方案能完全满足采购人需要、保证紧急情况下具有应对措施的、且合理可行有针对性得</w:t>
            </w:r>
            <w:r>
              <w:rPr>
                <w:rFonts w:ascii="宋体" w:hAnsi="宋体"/>
                <w:bCs/>
                <w:color w:val="auto"/>
              </w:rPr>
              <w:t>5</w:t>
            </w:r>
            <w:r>
              <w:rPr>
                <w:rFonts w:hint="eastAsia" w:ascii="宋体" w:hAnsi="宋体"/>
                <w:bCs/>
                <w:color w:val="auto"/>
              </w:rPr>
              <w:t>分；</w:t>
            </w:r>
          </w:p>
          <w:p>
            <w:pPr>
              <w:spacing w:line="360" w:lineRule="auto"/>
              <w:ind w:firstLine="420"/>
              <w:rPr>
                <w:rFonts w:ascii="宋体" w:hAnsi="宋体"/>
                <w:bCs/>
                <w:color w:val="auto"/>
              </w:rPr>
            </w:pPr>
            <w:r>
              <w:rPr>
                <w:rFonts w:hint="eastAsia" w:ascii="宋体" w:hAnsi="宋体"/>
                <w:bCs/>
                <w:color w:val="auto"/>
              </w:rPr>
              <w:t>基本满足采购人需要、有应对措施但不明确具体、可行性较高的得</w:t>
            </w:r>
            <w:r>
              <w:rPr>
                <w:rFonts w:ascii="宋体" w:hAnsi="宋体"/>
                <w:bCs/>
                <w:color w:val="auto"/>
              </w:rPr>
              <w:t>3</w:t>
            </w:r>
            <w:r>
              <w:rPr>
                <w:rFonts w:hint="eastAsia" w:ascii="宋体" w:hAnsi="宋体"/>
                <w:bCs/>
                <w:color w:val="auto"/>
              </w:rPr>
              <w:t>分；</w:t>
            </w:r>
          </w:p>
          <w:p>
            <w:pPr>
              <w:spacing w:line="360" w:lineRule="auto"/>
              <w:ind w:firstLine="420"/>
              <w:rPr>
                <w:rFonts w:ascii="宋体" w:hAnsi="宋体"/>
                <w:bCs/>
                <w:color w:val="auto"/>
              </w:rPr>
            </w:pPr>
            <w:r>
              <w:rPr>
                <w:rFonts w:hint="eastAsia" w:ascii="宋体" w:hAnsi="宋体"/>
                <w:bCs/>
                <w:color w:val="auto"/>
              </w:rPr>
              <w:t>基本满足采购人需要、无明确具体应对措施，可行性低的得</w:t>
            </w:r>
            <w:r>
              <w:rPr>
                <w:rFonts w:ascii="宋体" w:hAnsi="宋体"/>
                <w:bCs/>
                <w:color w:val="auto"/>
              </w:rPr>
              <w:t>1</w:t>
            </w:r>
            <w:r>
              <w:rPr>
                <w:rFonts w:hint="eastAsia" w:ascii="宋体" w:hAnsi="宋体"/>
                <w:bCs/>
                <w:color w:val="auto"/>
              </w:rPr>
              <w:t>分；</w:t>
            </w:r>
          </w:p>
          <w:p>
            <w:pPr>
              <w:pStyle w:val="3"/>
              <w:spacing w:line="360" w:lineRule="auto"/>
              <w:ind w:firstLine="420" w:firstLineChars="200"/>
              <w:rPr>
                <w:color w:val="auto"/>
              </w:rPr>
            </w:pPr>
            <w:r>
              <w:rPr>
                <w:rFonts w:hint="eastAsia" w:ascii="宋体" w:hAnsi="宋体"/>
                <w:bCs/>
                <w:color w:val="auto"/>
              </w:rPr>
              <w:t>未提供的不得分。</w:t>
            </w:r>
          </w:p>
        </w:tc>
      </w:tr>
    </w:tbl>
    <w:p>
      <w:pPr>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注：1、在本项评分标准中材料提供复印件的，供应商须保证复印件与原件一致，并加盖公章。</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2、项目采用百分制，评审保留至小数点后两位。</w:t>
      </w:r>
    </w:p>
    <w:p>
      <w:pPr>
        <w:spacing w:line="360" w:lineRule="auto"/>
        <w:rPr>
          <w:rFonts w:ascii="宋体" w:hAnsi="宋体"/>
          <w:color w:val="auto"/>
          <w:szCs w:val="21"/>
        </w:rPr>
        <w:sectPr>
          <w:pgSz w:w="11907" w:h="16840"/>
          <w:pgMar w:top="1134" w:right="1134" w:bottom="1134" w:left="1560" w:header="851" w:footer="851" w:gutter="0"/>
          <w:cols w:space="720" w:num="1"/>
          <w:docGrid w:linePitch="312" w:charSpace="0"/>
        </w:sectPr>
      </w:pPr>
    </w:p>
    <w:p>
      <w:pPr>
        <w:spacing w:line="360" w:lineRule="auto"/>
        <w:ind w:firstLine="422" w:firstLineChars="200"/>
        <w:jc w:val="center"/>
        <w:outlineLvl w:val="0"/>
        <w:rPr>
          <w:rFonts w:ascii="宋体" w:hAnsi="宋体"/>
          <w:b/>
          <w:color w:val="auto"/>
          <w:szCs w:val="21"/>
        </w:rPr>
      </w:pPr>
      <w:bookmarkStart w:id="180" w:name="_Toc34087977"/>
      <w:r>
        <w:rPr>
          <w:rFonts w:hint="eastAsia" w:ascii="宋体" w:hAnsi="宋体"/>
          <w:b/>
          <w:color w:val="auto"/>
          <w:szCs w:val="21"/>
        </w:rPr>
        <w:t>第六章  响应文件的组成和格式</w:t>
      </w:r>
      <w:bookmarkEnd w:id="180"/>
    </w:p>
    <w:p>
      <w:pPr>
        <w:spacing w:line="360" w:lineRule="auto"/>
        <w:ind w:firstLine="422" w:firstLineChars="200"/>
        <w:jc w:val="center"/>
        <w:rPr>
          <w:rFonts w:ascii="宋体" w:hAnsi="宋体"/>
          <w:b/>
          <w:color w:val="auto"/>
          <w:szCs w:val="21"/>
        </w:rPr>
      </w:pPr>
    </w:p>
    <w:p>
      <w:pPr>
        <w:spacing w:line="360" w:lineRule="auto"/>
        <w:ind w:firstLine="422" w:firstLineChars="200"/>
        <w:jc w:val="center"/>
        <w:rPr>
          <w:rFonts w:ascii="宋体" w:hAnsi="宋体"/>
          <w:b/>
          <w:color w:val="auto"/>
          <w:szCs w:val="21"/>
        </w:rPr>
      </w:pPr>
      <w:r>
        <w:rPr>
          <w:rFonts w:hint="eastAsia" w:ascii="宋体" w:hAnsi="宋体"/>
          <w:b/>
          <w:color w:val="auto"/>
          <w:szCs w:val="21"/>
        </w:rPr>
        <w:t>竞争性磋商响应文件</w:t>
      </w:r>
    </w:p>
    <w:p>
      <w:pPr>
        <w:pStyle w:val="80"/>
        <w:spacing w:before="0" w:after="0"/>
        <w:ind w:firstLine="422" w:firstLineChars="200"/>
        <w:jc w:val="center"/>
        <w:rPr>
          <w:rFonts w:ascii="宋体" w:hAnsi="宋体"/>
          <w:b/>
          <w:bCs/>
          <w:color w:val="auto"/>
          <w:sz w:val="21"/>
          <w:szCs w:val="21"/>
        </w:rPr>
      </w:pPr>
    </w:p>
    <w:p>
      <w:pPr>
        <w:spacing w:line="360" w:lineRule="auto"/>
        <w:ind w:firstLine="422" w:firstLineChars="200"/>
        <w:jc w:val="center"/>
        <w:rPr>
          <w:rFonts w:ascii="宋体" w:hAnsi="宋体"/>
          <w:b/>
          <w:color w:val="auto"/>
          <w:szCs w:val="21"/>
        </w:rPr>
      </w:pPr>
      <w:r>
        <w:rPr>
          <w:rFonts w:hint="eastAsia" w:ascii="宋体" w:hAnsi="宋体"/>
          <w:b/>
          <w:color w:val="auto"/>
          <w:szCs w:val="21"/>
        </w:rPr>
        <w:t>（正或副本）</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项 目 名 称：</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项 目 编 号：</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磋商供应商名称：</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 xml:space="preserve">磋商供应商地址：               </w:t>
      </w:r>
    </w:p>
    <w:p>
      <w:pPr>
        <w:spacing w:line="360" w:lineRule="auto"/>
        <w:ind w:firstLine="422" w:firstLineChars="200"/>
        <w:jc w:val="center"/>
        <w:rPr>
          <w:rFonts w:ascii="宋体" w:hAnsi="宋体"/>
          <w:b/>
          <w:color w:val="auto"/>
          <w:szCs w:val="21"/>
        </w:rPr>
      </w:pPr>
    </w:p>
    <w:p>
      <w:pPr>
        <w:spacing w:line="360" w:lineRule="auto"/>
        <w:ind w:firstLine="422" w:firstLineChars="200"/>
        <w:jc w:val="center"/>
        <w:rPr>
          <w:rFonts w:ascii="宋体" w:hAnsi="宋体"/>
          <w:b/>
          <w:color w:val="auto"/>
          <w:szCs w:val="21"/>
        </w:rPr>
      </w:pPr>
    </w:p>
    <w:p>
      <w:pPr>
        <w:spacing w:line="360" w:lineRule="auto"/>
        <w:ind w:firstLine="422" w:firstLineChars="200"/>
        <w:jc w:val="center"/>
        <w:rPr>
          <w:rFonts w:ascii="宋体" w:hAnsi="宋体"/>
          <w:b/>
          <w:color w:val="auto"/>
          <w:szCs w:val="21"/>
        </w:rPr>
      </w:pPr>
      <w:r>
        <w:rPr>
          <w:rFonts w:hint="eastAsia" w:ascii="宋体" w:hAnsi="宋体"/>
          <w:b/>
          <w:color w:val="auto"/>
          <w:szCs w:val="21"/>
        </w:rPr>
        <w:t>XXXX年XX月XX日</w:t>
      </w:r>
    </w:p>
    <w:p>
      <w:pPr>
        <w:pStyle w:val="80"/>
        <w:spacing w:before="0" w:after="0"/>
        <w:ind w:firstLine="420" w:firstLineChars="200"/>
        <w:rPr>
          <w:rFonts w:ascii="宋体" w:hAnsi="宋体"/>
          <w:color w:val="auto"/>
          <w:sz w:val="21"/>
          <w:szCs w:val="21"/>
        </w:rPr>
      </w:pPr>
    </w:p>
    <w:p>
      <w:pPr>
        <w:pStyle w:val="80"/>
        <w:spacing w:before="0" w:after="0"/>
        <w:ind w:firstLine="420" w:firstLineChars="200"/>
        <w:rPr>
          <w:rFonts w:ascii="宋体" w:hAnsi="宋体"/>
          <w:color w:val="auto"/>
          <w:sz w:val="21"/>
          <w:szCs w:val="21"/>
        </w:rPr>
      </w:pPr>
    </w:p>
    <w:p>
      <w:pPr>
        <w:spacing w:line="360" w:lineRule="auto"/>
        <w:ind w:firstLine="420" w:firstLineChars="200"/>
        <w:rPr>
          <w:rFonts w:ascii="宋体" w:hAnsi="宋体"/>
          <w:color w:val="auto"/>
          <w:szCs w:val="21"/>
        </w:rPr>
      </w:pPr>
      <w:r>
        <w:rPr>
          <w:rFonts w:ascii="宋体" w:hAnsi="宋体"/>
          <w:color w:val="auto"/>
          <w:szCs w:val="21"/>
        </w:rPr>
        <w:br w:type="page"/>
      </w:r>
      <w:bookmarkEnd w:id="153"/>
      <w:bookmarkEnd w:id="154"/>
      <w:bookmarkEnd w:id="155"/>
      <w:bookmarkStart w:id="181" w:name="_Toc456102676"/>
      <w:bookmarkStart w:id="182" w:name="_Toc337816640"/>
      <w:bookmarkStart w:id="183" w:name="_Toc456102499"/>
      <w:bookmarkStart w:id="184" w:name="_Toc456102122"/>
      <w:r>
        <w:rPr>
          <w:rFonts w:hint="eastAsia" w:ascii="宋体" w:hAnsi="宋体"/>
          <w:color w:val="auto"/>
          <w:szCs w:val="21"/>
        </w:rPr>
        <w:t xml:space="preserve"> 附件1 ：</w:t>
      </w:r>
    </w:p>
    <w:p>
      <w:pPr>
        <w:pStyle w:val="5"/>
        <w:spacing w:before="0" w:after="0" w:line="360" w:lineRule="auto"/>
        <w:ind w:firstLine="422" w:firstLineChars="200"/>
        <w:rPr>
          <w:rFonts w:ascii="宋体" w:hAnsi="宋体" w:eastAsia="宋体"/>
          <w:color w:val="auto"/>
          <w:sz w:val="21"/>
          <w:szCs w:val="21"/>
        </w:rPr>
      </w:pPr>
      <w:r>
        <w:rPr>
          <w:rFonts w:hint="eastAsia" w:ascii="宋体" w:hAnsi="宋体" w:eastAsia="宋体"/>
          <w:color w:val="auto"/>
          <w:sz w:val="21"/>
          <w:szCs w:val="21"/>
        </w:rPr>
        <w:t>法定代表人授权书</w:t>
      </w:r>
    </w:p>
    <w:p>
      <w:pPr>
        <w:pStyle w:val="81"/>
        <w:spacing w:line="360" w:lineRule="auto"/>
        <w:ind w:firstLine="422" w:firstLineChars="200"/>
        <w:jc w:val="center"/>
        <w:rPr>
          <w:rFonts w:ascii="宋体" w:hAnsi="宋体"/>
          <w:b/>
          <w:color w:val="auto"/>
          <w:sz w:val="21"/>
          <w:szCs w:val="21"/>
        </w:rPr>
      </w:pP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本授权书声明：____________（供应商名称）授权________________（被授权人的姓名）为我方就 项目采购活动的合法代理人，以本公司名义全权处理一切与该项目采购有关的事务。</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本授权书于______年____月____日起生效，特此声明。</w:t>
      </w:r>
    </w:p>
    <w:p>
      <w:pPr>
        <w:pStyle w:val="81"/>
        <w:spacing w:line="360" w:lineRule="auto"/>
        <w:ind w:firstLine="420" w:firstLineChars="200"/>
        <w:rPr>
          <w:rFonts w:ascii="宋体" w:hAnsi="宋体"/>
          <w:color w:val="auto"/>
          <w:sz w:val="21"/>
          <w:szCs w:val="21"/>
          <w:u w:val="single"/>
        </w:rPr>
      </w:pPr>
      <w:r>
        <w:rPr>
          <w:rFonts w:hint="eastAsia" w:ascii="宋体" w:hAnsi="宋体"/>
          <w:color w:val="auto"/>
          <w:sz w:val="21"/>
          <w:szCs w:val="21"/>
        </w:rPr>
        <w:t>法定代表人：（签字或盖章）</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代理人（被授权人）：（签字或盖章）_______________________</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单位名称：_____________________________________</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授权单位盖章：_________________________________</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单位名称：_____________________________________</w:t>
      </w:r>
    </w:p>
    <w:p>
      <w:pPr>
        <w:pStyle w:val="81"/>
        <w:spacing w:line="360" w:lineRule="auto"/>
        <w:ind w:firstLine="420" w:firstLineChars="200"/>
        <w:rPr>
          <w:rFonts w:ascii="宋体" w:hAnsi="宋体"/>
          <w:color w:val="auto"/>
          <w:sz w:val="21"/>
          <w:szCs w:val="21"/>
          <w:u w:val="single"/>
        </w:rPr>
      </w:pPr>
      <w:r>
        <w:rPr>
          <w:rFonts w:hint="eastAsia" w:ascii="宋体" w:hAnsi="宋体"/>
          <w:color w:val="auto"/>
          <w:sz w:val="21"/>
          <w:szCs w:val="21"/>
        </w:rPr>
        <w:t>地址：</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日期：</w:t>
      </w:r>
      <w:bookmarkStart w:id="185" w:name="_格式3__银行出具的资信证明"/>
      <w:bookmarkEnd w:id="185"/>
      <w:bookmarkStart w:id="186" w:name="_Hlt26671380"/>
      <w:bookmarkEnd w:id="186"/>
      <w:bookmarkStart w:id="187" w:name="_Hlt26955070"/>
      <w:bookmarkEnd w:id="187"/>
      <w:r>
        <w:rPr>
          <w:rFonts w:hint="eastAsia" w:ascii="宋体" w:hAnsi="宋体"/>
          <w:color w:val="auto"/>
          <w:sz w:val="21"/>
          <w:szCs w:val="21"/>
        </w:rPr>
        <w:t>年月日</w:t>
      </w:r>
    </w:p>
    <w:p>
      <w:pPr>
        <w:pStyle w:val="6"/>
        <w:spacing w:line="360" w:lineRule="auto"/>
        <w:ind w:firstLineChars="200"/>
        <w:rPr>
          <w:rFonts w:ascii="宋体" w:hAnsi="宋体"/>
          <w:color w:val="auto"/>
          <w:szCs w:val="21"/>
        </w:rPr>
      </w:pPr>
    </w:p>
    <w:p>
      <w:pPr>
        <w:pStyle w:val="6"/>
        <w:spacing w:line="360" w:lineRule="auto"/>
        <w:ind w:firstLineChars="200"/>
        <w:rPr>
          <w:rFonts w:ascii="宋体" w:hAnsi="宋体"/>
          <w:color w:val="auto"/>
          <w:szCs w:val="21"/>
        </w:rPr>
      </w:pPr>
    </w:p>
    <w:p>
      <w:pPr>
        <w:pStyle w:val="81"/>
        <w:spacing w:line="360" w:lineRule="auto"/>
        <w:ind w:firstLine="422" w:firstLineChars="200"/>
        <w:rPr>
          <w:rFonts w:ascii="宋体" w:hAnsi="宋体"/>
          <w:bCs/>
          <w:color w:val="auto"/>
          <w:sz w:val="21"/>
          <w:szCs w:val="21"/>
        </w:rPr>
      </w:pPr>
      <w:r>
        <w:rPr>
          <w:rFonts w:ascii="宋体" w:hAnsi="宋体"/>
          <w:b/>
          <w:bCs/>
          <w:color w:val="auto"/>
          <w:sz w:val="21"/>
          <w:szCs w:val="21"/>
        </w:rPr>
        <w:br w:type="page"/>
      </w:r>
      <w:r>
        <w:rPr>
          <w:rFonts w:hint="eastAsia" w:ascii="宋体" w:hAnsi="宋体"/>
          <w:bCs/>
          <w:color w:val="auto"/>
          <w:sz w:val="21"/>
          <w:szCs w:val="21"/>
        </w:rPr>
        <w:t>附件</w:t>
      </w:r>
      <w:r>
        <w:rPr>
          <w:rFonts w:ascii="宋体" w:hAnsi="宋体"/>
          <w:bCs/>
          <w:color w:val="auto"/>
          <w:sz w:val="21"/>
          <w:szCs w:val="21"/>
        </w:rPr>
        <w:t xml:space="preserve">2 </w:t>
      </w:r>
      <w:r>
        <w:rPr>
          <w:rFonts w:hint="eastAsia" w:ascii="宋体" w:hAnsi="宋体"/>
          <w:bCs/>
          <w:color w:val="auto"/>
          <w:sz w:val="21"/>
          <w:szCs w:val="21"/>
        </w:rPr>
        <w:t>：参</w:t>
      </w:r>
      <w:r>
        <w:rPr>
          <w:rFonts w:hint="eastAsia" w:ascii="宋体" w:hAnsi="宋体"/>
          <w:color w:val="auto"/>
          <w:sz w:val="21"/>
          <w:szCs w:val="21"/>
        </w:rPr>
        <w:t>加政府采购活动前 3 年内在经营活动中没有重大违法记录的书面声明</w:t>
      </w:r>
    </w:p>
    <w:p>
      <w:pPr>
        <w:spacing w:line="360" w:lineRule="auto"/>
        <w:ind w:firstLine="422" w:firstLineChars="200"/>
        <w:rPr>
          <w:rFonts w:ascii="宋体" w:hAnsi="宋体"/>
          <w:b/>
          <w:bCs/>
          <w:color w:val="auto"/>
          <w:szCs w:val="21"/>
        </w:rPr>
      </w:pPr>
    </w:p>
    <w:p>
      <w:pPr>
        <w:pStyle w:val="5"/>
        <w:spacing w:before="0" w:after="0" w:line="360" w:lineRule="auto"/>
        <w:ind w:firstLine="422" w:firstLineChars="200"/>
        <w:rPr>
          <w:rFonts w:ascii="宋体" w:hAnsi="宋体" w:eastAsia="宋体"/>
          <w:color w:val="auto"/>
          <w:sz w:val="21"/>
          <w:szCs w:val="21"/>
        </w:rPr>
      </w:pPr>
      <w:r>
        <w:rPr>
          <w:rFonts w:hint="eastAsia" w:ascii="宋体" w:hAnsi="宋体" w:eastAsia="宋体"/>
          <w:color w:val="auto"/>
          <w:sz w:val="21"/>
          <w:szCs w:val="21"/>
        </w:rPr>
        <w:t xml:space="preserve">声  明   </w:t>
      </w:r>
    </w:p>
    <w:p>
      <w:pPr>
        <w:spacing w:line="360" w:lineRule="auto"/>
        <w:ind w:firstLine="420" w:firstLineChars="200"/>
        <w:rPr>
          <w:rFonts w:ascii="宋体" w:hAnsi="宋体"/>
          <w:bCs/>
          <w:color w:val="auto"/>
          <w:szCs w:val="21"/>
        </w:rPr>
      </w:pPr>
      <w:r>
        <w:rPr>
          <w:rFonts w:hint="eastAsia" w:ascii="宋体" w:hAnsi="宋体"/>
          <w:bCs/>
          <w:color w:val="auto"/>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r>
        <w:rPr>
          <w:rFonts w:hint="eastAsia" w:ascii="宋体" w:hAnsi="宋体"/>
          <w:bCs/>
          <w:color w:val="auto"/>
          <w:szCs w:val="21"/>
        </w:rPr>
        <w:t>供应商名称（公章）：</w:t>
      </w:r>
    </w:p>
    <w:p>
      <w:pPr>
        <w:spacing w:line="360" w:lineRule="auto"/>
        <w:ind w:firstLine="420" w:firstLineChars="200"/>
        <w:rPr>
          <w:rFonts w:ascii="宋体" w:hAnsi="宋体"/>
          <w:bCs/>
          <w:color w:val="auto"/>
          <w:szCs w:val="21"/>
        </w:rPr>
      </w:pPr>
      <w:r>
        <w:rPr>
          <w:rFonts w:hint="eastAsia" w:ascii="宋体" w:hAnsi="宋体"/>
          <w:bCs/>
          <w:color w:val="auto"/>
          <w:szCs w:val="21"/>
        </w:rPr>
        <w:t xml:space="preserve">                                          法定代表人或授权代表签字：</w:t>
      </w:r>
      <w:r>
        <w:rPr>
          <w:rFonts w:hint="eastAsia" w:ascii="宋体" w:hAnsi="宋体"/>
          <w:bCs/>
          <w:color w:val="auto"/>
          <w:szCs w:val="21"/>
          <w:u w:val="single"/>
        </w:rPr>
        <w:t>______</w:t>
      </w:r>
    </w:p>
    <w:p>
      <w:pPr>
        <w:spacing w:line="360" w:lineRule="auto"/>
        <w:ind w:firstLine="420" w:firstLineChars="200"/>
        <w:rPr>
          <w:rFonts w:ascii="宋体" w:hAnsi="宋体"/>
          <w:bCs/>
          <w:color w:val="auto"/>
          <w:szCs w:val="21"/>
        </w:rPr>
      </w:pPr>
      <w:r>
        <w:rPr>
          <w:rFonts w:hint="eastAsia" w:ascii="宋体" w:hAnsi="宋体"/>
          <w:bCs/>
          <w:color w:val="auto"/>
          <w:szCs w:val="21"/>
        </w:rPr>
        <w:t xml:space="preserve">                                          日期：</w:t>
      </w:r>
      <w:r>
        <w:rPr>
          <w:rFonts w:hint="eastAsia" w:ascii="宋体" w:hAnsi="宋体"/>
          <w:bCs/>
          <w:color w:val="auto"/>
          <w:szCs w:val="21"/>
          <w:u w:val="single"/>
        </w:rPr>
        <w:t>______</w:t>
      </w:r>
      <w:r>
        <w:rPr>
          <w:rFonts w:hint="eastAsia" w:ascii="宋体" w:hAnsi="宋体"/>
          <w:bCs/>
          <w:color w:val="auto"/>
          <w:szCs w:val="21"/>
        </w:rPr>
        <w:t>年月日</w:t>
      </w: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p>
    <w:p>
      <w:pPr>
        <w:spacing w:line="360" w:lineRule="auto"/>
        <w:ind w:firstLine="420" w:firstLineChars="200"/>
        <w:rPr>
          <w:rFonts w:ascii="宋体" w:hAnsi="宋体"/>
          <w:bCs/>
          <w:color w:val="auto"/>
          <w:szCs w:val="21"/>
        </w:rPr>
      </w:pPr>
      <w:r>
        <w:rPr>
          <w:rFonts w:ascii="宋体" w:hAnsi="宋体"/>
          <w:bCs/>
          <w:color w:val="auto"/>
          <w:szCs w:val="21"/>
        </w:rPr>
        <w:br w:type="page"/>
      </w:r>
    </w:p>
    <w:p>
      <w:pPr>
        <w:spacing w:line="360" w:lineRule="auto"/>
        <w:ind w:firstLine="420" w:firstLineChars="200"/>
        <w:rPr>
          <w:rFonts w:ascii="宋体" w:hAnsi="宋体"/>
          <w:bCs/>
          <w:color w:val="auto"/>
          <w:szCs w:val="21"/>
        </w:rPr>
      </w:pPr>
      <w:r>
        <w:rPr>
          <w:rFonts w:hint="eastAsia" w:ascii="宋体" w:hAnsi="宋体"/>
          <w:bCs/>
          <w:color w:val="auto"/>
          <w:szCs w:val="21"/>
        </w:rPr>
        <w:t>附件3：</w:t>
      </w:r>
    </w:p>
    <w:p>
      <w:pPr>
        <w:spacing w:line="360" w:lineRule="auto"/>
        <w:ind w:firstLine="420" w:firstLineChars="200"/>
        <w:rPr>
          <w:rFonts w:ascii="宋体" w:hAnsi="宋体"/>
          <w:bCs/>
          <w:color w:val="auto"/>
          <w:szCs w:val="21"/>
        </w:rPr>
      </w:pPr>
    </w:p>
    <w:p>
      <w:pPr>
        <w:spacing w:line="360" w:lineRule="auto"/>
        <w:ind w:firstLine="422" w:firstLineChars="200"/>
        <w:jc w:val="center"/>
        <w:rPr>
          <w:rFonts w:ascii="宋体" w:hAnsi="宋体"/>
          <w:b/>
          <w:color w:val="auto"/>
          <w:szCs w:val="21"/>
        </w:rPr>
      </w:pPr>
    </w:p>
    <w:p>
      <w:pPr>
        <w:pStyle w:val="5"/>
        <w:spacing w:before="0" w:after="0" w:line="360" w:lineRule="auto"/>
        <w:ind w:firstLine="422" w:firstLineChars="200"/>
        <w:rPr>
          <w:rFonts w:ascii="宋体" w:hAnsi="宋体" w:eastAsia="宋体"/>
          <w:color w:val="auto"/>
          <w:sz w:val="21"/>
          <w:szCs w:val="21"/>
        </w:rPr>
      </w:pPr>
      <w:r>
        <w:rPr>
          <w:rFonts w:hint="eastAsia" w:ascii="宋体" w:hAnsi="宋体" w:eastAsia="宋体"/>
          <w:color w:val="auto"/>
          <w:sz w:val="21"/>
          <w:szCs w:val="21"/>
        </w:rPr>
        <w:t>评审索引表</w:t>
      </w:r>
    </w:p>
    <w:tbl>
      <w:tblPr>
        <w:tblStyle w:val="3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09"/>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ind w:firstLine="420" w:firstLineChars="200"/>
              <w:rPr>
                <w:rFonts w:ascii="宋体" w:hAnsi="宋体"/>
                <w:color w:val="auto"/>
                <w:szCs w:val="21"/>
              </w:rPr>
            </w:pPr>
            <w:r>
              <w:rPr>
                <w:rFonts w:hint="eastAsia" w:ascii="宋体" w:hAnsi="宋体"/>
                <w:color w:val="auto"/>
                <w:szCs w:val="21"/>
              </w:rPr>
              <w:t>序号</w:t>
            </w:r>
          </w:p>
        </w:tc>
        <w:tc>
          <w:tcPr>
            <w:tcW w:w="2409" w:type="dxa"/>
          </w:tcPr>
          <w:p>
            <w:pPr>
              <w:spacing w:line="360" w:lineRule="auto"/>
              <w:ind w:firstLine="420" w:firstLineChars="200"/>
              <w:rPr>
                <w:rFonts w:ascii="宋体" w:hAnsi="宋体"/>
                <w:color w:val="auto"/>
                <w:szCs w:val="21"/>
              </w:rPr>
            </w:pPr>
            <w:r>
              <w:rPr>
                <w:rFonts w:hint="eastAsia" w:ascii="宋体" w:hAnsi="宋体"/>
                <w:color w:val="auto"/>
                <w:szCs w:val="21"/>
              </w:rPr>
              <w:t>评审项目名称</w:t>
            </w:r>
          </w:p>
        </w:tc>
        <w:tc>
          <w:tcPr>
            <w:tcW w:w="2268" w:type="dxa"/>
          </w:tcPr>
          <w:p>
            <w:pPr>
              <w:spacing w:line="360" w:lineRule="auto"/>
              <w:ind w:firstLine="420" w:firstLineChars="200"/>
              <w:rPr>
                <w:rFonts w:ascii="宋体" w:hAnsi="宋体"/>
                <w:color w:val="auto"/>
                <w:szCs w:val="21"/>
              </w:rPr>
            </w:pPr>
            <w:r>
              <w:rPr>
                <w:rFonts w:hint="eastAsia" w:ascii="宋体" w:hAnsi="宋体"/>
                <w:color w:val="auto"/>
                <w:szCs w:val="21"/>
              </w:rPr>
              <w:t>投标内容</w:t>
            </w:r>
          </w:p>
        </w:tc>
        <w:tc>
          <w:tcPr>
            <w:tcW w:w="2410" w:type="dxa"/>
          </w:tcPr>
          <w:p>
            <w:pPr>
              <w:spacing w:line="360" w:lineRule="auto"/>
              <w:ind w:firstLine="420" w:firstLineChars="200"/>
              <w:rPr>
                <w:rFonts w:ascii="宋体" w:hAnsi="宋体"/>
                <w:color w:val="auto"/>
                <w:szCs w:val="21"/>
              </w:rPr>
            </w:pPr>
            <w:r>
              <w:rPr>
                <w:rFonts w:hint="eastAsia" w:ascii="宋体" w:hAnsi="宋体"/>
                <w:color w:val="auto"/>
                <w:szCs w:val="21"/>
              </w:rPr>
              <w:t>参考页码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ind w:firstLine="420" w:firstLineChars="200"/>
              <w:rPr>
                <w:rFonts w:ascii="宋体" w:hAnsi="宋体"/>
                <w:color w:val="auto"/>
                <w:szCs w:val="21"/>
              </w:rPr>
            </w:pPr>
          </w:p>
        </w:tc>
        <w:tc>
          <w:tcPr>
            <w:tcW w:w="2409" w:type="dxa"/>
          </w:tcPr>
          <w:p>
            <w:pPr>
              <w:spacing w:line="360" w:lineRule="auto"/>
              <w:ind w:firstLine="420" w:firstLineChars="200"/>
              <w:rPr>
                <w:rFonts w:ascii="宋体" w:hAnsi="宋体"/>
                <w:color w:val="auto"/>
                <w:szCs w:val="21"/>
              </w:rPr>
            </w:pPr>
          </w:p>
        </w:tc>
        <w:tc>
          <w:tcPr>
            <w:tcW w:w="2268" w:type="dxa"/>
          </w:tcPr>
          <w:p>
            <w:pPr>
              <w:spacing w:line="360" w:lineRule="auto"/>
              <w:ind w:firstLine="420" w:firstLineChars="200"/>
              <w:rPr>
                <w:rFonts w:ascii="宋体" w:hAnsi="宋体"/>
                <w:color w:val="auto"/>
                <w:szCs w:val="21"/>
              </w:rPr>
            </w:pPr>
          </w:p>
        </w:tc>
        <w:tc>
          <w:tcPr>
            <w:tcW w:w="2410" w:type="dxa"/>
          </w:tcPr>
          <w:p>
            <w:pPr>
              <w:spacing w:line="360" w:lineRule="auto"/>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ind w:firstLine="420" w:firstLineChars="200"/>
              <w:rPr>
                <w:rFonts w:ascii="宋体" w:hAnsi="宋体"/>
                <w:color w:val="auto"/>
                <w:szCs w:val="21"/>
              </w:rPr>
            </w:pPr>
          </w:p>
        </w:tc>
        <w:tc>
          <w:tcPr>
            <w:tcW w:w="2409" w:type="dxa"/>
          </w:tcPr>
          <w:p>
            <w:pPr>
              <w:spacing w:line="360" w:lineRule="auto"/>
              <w:ind w:firstLine="420" w:firstLineChars="200"/>
              <w:rPr>
                <w:rFonts w:ascii="宋体" w:hAnsi="宋体"/>
                <w:color w:val="auto"/>
                <w:szCs w:val="21"/>
              </w:rPr>
            </w:pPr>
          </w:p>
        </w:tc>
        <w:tc>
          <w:tcPr>
            <w:tcW w:w="2268" w:type="dxa"/>
          </w:tcPr>
          <w:p>
            <w:pPr>
              <w:spacing w:line="360" w:lineRule="auto"/>
              <w:ind w:firstLine="420" w:firstLineChars="200"/>
              <w:rPr>
                <w:rFonts w:ascii="宋体" w:hAnsi="宋体"/>
                <w:color w:val="auto"/>
                <w:szCs w:val="21"/>
              </w:rPr>
            </w:pPr>
          </w:p>
        </w:tc>
        <w:tc>
          <w:tcPr>
            <w:tcW w:w="2410" w:type="dxa"/>
          </w:tcPr>
          <w:p>
            <w:pPr>
              <w:spacing w:line="360" w:lineRule="auto"/>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ind w:firstLine="420" w:firstLineChars="200"/>
              <w:rPr>
                <w:rFonts w:ascii="宋体" w:hAnsi="宋体"/>
                <w:color w:val="auto"/>
                <w:szCs w:val="21"/>
              </w:rPr>
            </w:pPr>
          </w:p>
        </w:tc>
        <w:tc>
          <w:tcPr>
            <w:tcW w:w="2409" w:type="dxa"/>
          </w:tcPr>
          <w:p>
            <w:pPr>
              <w:spacing w:line="360" w:lineRule="auto"/>
              <w:ind w:firstLine="420" w:firstLineChars="200"/>
              <w:rPr>
                <w:rFonts w:ascii="宋体" w:hAnsi="宋体"/>
                <w:color w:val="auto"/>
                <w:szCs w:val="21"/>
              </w:rPr>
            </w:pPr>
          </w:p>
        </w:tc>
        <w:tc>
          <w:tcPr>
            <w:tcW w:w="2268" w:type="dxa"/>
          </w:tcPr>
          <w:p>
            <w:pPr>
              <w:spacing w:line="360" w:lineRule="auto"/>
              <w:ind w:firstLine="420" w:firstLineChars="200"/>
              <w:rPr>
                <w:rFonts w:ascii="宋体" w:hAnsi="宋体"/>
                <w:color w:val="auto"/>
                <w:szCs w:val="21"/>
              </w:rPr>
            </w:pPr>
          </w:p>
        </w:tc>
        <w:tc>
          <w:tcPr>
            <w:tcW w:w="2410" w:type="dxa"/>
          </w:tcPr>
          <w:p>
            <w:pPr>
              <w:spacing w:line="360" w:lineRule="auto"/>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ind w:firstLine="420" w:firstLineChars="200"/>
              <w:rPr>
                <w:rFonts w:ascii="宋体" w:hAnsi="宋体"/>
                <w:color w:val="auto"/>
                <w:szCs w:val="21"/>
              </w:rPr>
            </w:pPr>
          </w:p>
        </w:tc>
        <w:tc>
          <w:tcPr>
            <w:tcW w:w="2409" w:type="dxa"/>
          </w:tcPr>
          <w:p>
            <w:pPr>
              <w:spacing w:line="360" w:lineRule="auto"/>
              <w:ind w:firstLine="420" w:firstLineChars="200"/>
              <w:rPr>
                <w:rFonts w:ascii="宋体" w:hAnsi="宋体"/>
                <w:color w:val="auto"/>
                <w:szCs w:val="21"/>
              </w:rPr>
            </w:pPr>
          </w:p>
        </w:tc>
        <w:tc>
          <w:tcPr>
            <w:tcW w:w="2268" w:type="dxa"/>
          </w:tcPr>
          <w:p>
            <w:pPr>
              <w:spacing w:line="360" w:lineRule="auto"/>
              <w:ind w:firstLine="420" w:firstLineChars="200"/>
              <w:rPr>
                <w:rFonts w:ascii="宋体" w:hAnsi="宋体"/>
                <w:color w:val="auto"/>
                <w:szCs w:val="21"/>
              </w:rPr>
            </w:pPr>
          </w:p>
        </w:tc>
        <w:tc>
          <w:tcPr>
            <w:tcW w:w="2410" w:type="dxa"/>
          </w:tcPr>
          <w:p>
            <w:pPr>
              <w:spacing w:line="360" w:lineRule="auto"/>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line="360" w:lineRule="auto"/>
              <w:ind w:firstLine="420" w:firstLineChars="200"/>
              <w:rPr>
                <w:rFonts w:ascii="宋体" w:hAnsi="宋体"/>
                <w:color w:val="auto"/>
                <w:szCs w:val="21"/>
              </w:rPr>
            </w:pPr>
          </w:p>
        </w:tc>
        <w:tc>
          <w:tcPr>
            <w:tcW w:w="2409" w:type="dxa"/>
          </w:tcPr>
          <w:p>
            <w:pPr>
              <w:spacing w:line="360" w:lineRule="auto"/>
              <w:ind w:firstLine="420" w:firstLineChars="200"/>
              <w:rPr>
                <w:rFonts w:ascii="宋体" w:hAnsi="宋体"/>
                <w:color w:val="auto"/>
                <w:szCs w:val="21"/>
              </w:rPr>
            </w:pPr>
          </w:p>
        </w:tc>
        <w:tc>
          <w:tcPr>
            <w:tcW w:w="2268" w:type="dxa"/>
          </w:tcPr>
          <w:p>
            <w:pPr>
              <w:spacing w:line="360" w:lineRule="auto"/>
              <w:ind w:firstLine="420" w:firstLineChars="200"/>
              <w:rPr>
                <w:rFonts w:ascii="宋体" w:hAnsi="宋体"/>
                <w:color w:val="auto"/>
                <w:szCs w:val="21"/>
              </w:rPr>
            </w:pPr>
          </w:p>
        </w:tc>
        <w:tc>
          <w:tcPr>
            <w:tcW w:w="2410" w:type="dxa"/>
          </w:tcPr>
          <w:p>
            <w:pPr>
              <w:spacing w:line="360" w:lineRule="auto"/>
              <w:ind w:firstLine="420" w:firstLineChars="200"/>
              <w:rPr>
                <w:rFonts w:ascii="宋体" w:hAnsi="宋体"/>
                <w:color w:val="auto"/>
                <w:szCs w:val="21"/>
              </w:rPr>
            </w:pPr>
          </w:p>
        </w:tc>
      </w:tr>
    </w:tbl>
    <w:p>
      <w:pPr>
        <w:spacing w:line="360" w:lineRule="auto"/>
        <w:ind w:firstLine="420" w:firstLineChars="200"/>
        <w:rPr>
          <w:rFonts w:ascii="宋体" w:hAnsi="宋体"/>
          <w:color w:val="auto"/>
          <w:szCs w:val="21"/>
        </w:rPr>
      </w:pPr>
    </w:p>
    <w:p>
      <w:pPr>
        <w:spacing w:line="360" w:lineRule="auto"/>
        <w:ind w:firstLine="422" w:firstLineChars="200"/>
        <w:rPr>
          <w:rFonts w:ascii="宋体" w:hAnsi="宋体"/>
          <w:b/>
          <w:color w:val="auto"/>
          <w:szCs w:val="21"/>
          <w:u w:val="single"/>
        </w:rPr>
      </w:pPr>
      <w:bookmarkStart w:id="188" w:name="_Toc56409114"/>
      <w:bookmarkStart w:id="189" w:name="_Toc56141898"/>
      <w:bookmarkStart w:id="190" w:name="_Toc59896715"/>
      <w:bookmarkStart w:id="191" w:name="_Toc54372237"/>
      <w:bookmarkStart w:id="192" w:name="_Toc54372071"/>
      <w:bookmarkStart w:id="193" w:name="_Toc54372655"/>
      <w:bookmarkStart w:id="194" w:name="_Toc56139088"/>
      <w:bookmarkStart w:id="195" w:name="_Toc56153862"/>
      <w:bookmarkStart w:id="196" w:name="_Toc440442375"/>
      <w:bookmarkStart w:id="197" w:name="_Toc59900983"/>
      <w:bookmarkStart w:id="198" w:name="_Toc439777351"/>
      <w:bookmarkStart w:id="199" w:name="_Toc434481560"/>
      <w:bookmarkStart w:id="200" w:name="_Toc439777159"/>
      <w:bookmarkStart w:id="201" w:name="_Toc55705168"/>
      <w:bookmarkStart w:id="202" w:name="_Toc55639393"/>
      <w:bookmarkStart w:id="203" w:name="_Toc55707673"/>
      <w:bookmarkStart w:id="204" w:name="_Toc55654540"/>
    </w:p>
    <w:p>
      <w:pPr>
        <w:spacing w:line="360" w:lineRule="auto"/>
        <w:ind w:firstLine="422" w:firstLineChars="200"/>
        <w:rPr>
          <w:rFonts w:ascii="宋体" w:hAnsi="宋体"/>
          <w:b/>
          <w:color w:val="auto"/>
          <w:szCs w:val="21"/>
          <w:u w:val="single"/>
        </w:rPr>
      </w:pPr>
    </w:p>
    <w:p>
      <w:pPr>
        <w:spacing w:line="360" w:lineRule="auto"/>
        <w:ind w:firstLine="422" w:firstLineChars="200"/>
        <w:rPr>
          <w:rFonts w:ascii="宋体" w:hAnsi="宋体"/>
          <w:b/>
          <w:color w:val="auto"/>
          <w:szCs w:val="21"/>
          <w:u w:val="single"/>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ascii="宋体" w:hAnsi="宋体"/>
          <w:color w:val="auto"/>
          <w:szCs w:val="21"/>
        </w:rPr>
        <w:br w:type="page"/>
      </w:r>
    </w:p>
    <w:p>
      <w:pPr>
        <w:spacing w:line="360" w:lineRule="auto"/>
        <w:ind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4</w:t>
      </w:r>
      <w:r>
        <w:rPr>
          <w:rFonts w:hint="eastAsia" w:ascii="宋体" w:hAnsi="宋体"/>
          <w:color w:val="auto"/>
          <w:szCs w:val="21"/>
        </w:rPr>
        <w: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360" w:lineRule="auto"/>
        <w:ind w:firstLine="420" w:firstLineChars="200"/>
        <w:jc w:val="left"/>
        <w:rPr>
          <w:rFonts w:ascii="宋体" w:hAnsi="宋体"/>
          <w:color w:val="auto"/>
          <w:szCs w:val="21"/>
        </w:rPr>
      </w:pPr>
    </w:p>
    <w:p>
      <w:pPr>
        <w:pStyle w:val="5"/>
        <w:spacing w:before="0" w:after="0" w:line="360" w:lineRule="auto"/>
        <w:ind w:firstLine="422" w:firstLineChars="200"/>
        <w:rPr>
          <w:rFonts w:ascii="宋体" w:hAnsi="宋体" w:eastAsia="宋体"/>
          <w:color w:val="auto"/>
          <w:sz w:val="21"/>
          <w:szCs w:val="21"/>
        </w:rPr>
      </w:pPr>
      <w:r>
        <w:rPr>
          <w:rFonts w:hint="eastAsia" w:ascii="宋体" w:hAnsi="宋体" w:eastAsia="宋体"/>
          <w:color w:val="auto"/>
          <w:sz w:val="21"/>
          <w:szCs w:val="21"/>
        </w:rPr>
        <w:t>磋商响应函</w:t>
      </w:r>
    </w:p>
    <w:p>
      <w:pPr>
        <w:pStyle w:val="80"/>
        <w:spacing w:before="0" w:after="0"/>
        <w:ind w:firstLine="420" w:firstLineChars="200"/>
        <w:rPr>
          <w:rFonts w:ascii="宋体" w:hAnsi="宋体"/>
          <w:b/>
          <w:bCs/>
          <w:color w:val="auto"/>
          <w:sz w:val="21"/>
          <w:szCs w:val="21"/>
        </w:rPr>
      </w:pPr>
      <w:r>
        <w:rPr>
          <w:rFonts w:hint="eastAsia" w:ascii="宋体" w:hAnsi="宋体"/>
          <w:color w:val="auto"/>
          <w:sz w:val="21"/>
          <w:szCs w:val="21"/>
        </w:rPr>
        <w:t>致：</w:t>
      </w:r>
      <w:r>
        <w:rPr>
          <w:rFonts w:hint="eastAsia" w:ascii="宋体" w:hAnsi="宋体"/>
          <w:b/>
          <w:bCs/>
          <w:color w:val="auto"/>
          <w:sz w:val="21"/>
          <w:szCs w:val="21"/>
          <w:u w:val="single"/>
        </w:rPr>
        <w:t xml:space="preserve">                （采购人）</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根据贵方磋商文件，正式授权下述签字人_________ (姓名和职务)代表我方______________（供应商的名称），全权处理</w:t>
      </w:r>
      <w:r>
        <w:rPr>
          <w:rFonts w:hint="eastAsia" w:ascii="宋体" w:hAnsi="宋体"/>
          <w:color w:val="auto"/>
          <w:sz w:val="21"/>
          <w:szCs w:val="21"/>
          <w:u w:val="single"/>
        </w:rPr>
        <w:t xml:space="preserve">                     </w:t>
      </w:r>
      <w:r>
        <w:rPr>
          <w:rFonts w:hint="eastAsia" w:ascii="宋体" w:hAnsi="宋体"/>
          <w:color w:val="auto"/>
          <w:sz w:val="21"/>
          <w:szCs w:val="21"/>
        </w:rPr>
        <w:t>项目磋商采购的有关事宜。</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据此函，__________（签字人）兹宣布同意如下：</w:t>
      </w:r>
    </w:p>
    <w:p>
      <w:pPr>
        <w:pStyle w:val="81"/>
        <w:spacing w:line="360" w:lineRule="auto"/>
        <w:ind w:firstLine="420" w:firstLineChars="200"/>
        <w:outlineLvl w:val="1"/>
        <w:rPr>
          <w:rFonts w:ascii="宋体" w:hAnsi="宋体"/>
          <w:color w:val="auto"/>
          <w:sz w:val="21"/>
          <w:szCs w:val="21"/>
        </w:rPr>
      </w:pPr>
      <w:r>
        <w:rPr>
          <w:rFonts w:hint="eastAsia" w:ascii="宋体" w:hAnsi="宋体"/>
          <w:color w:val="auto"/>
          <w:sz w:val="21"/>
          <w:szCs w:val="21"/>
        </w:rPr>
        <w:t>1.按磋商文件规定的各项要求，向采购人提供所需服务。</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2.我们已详细审核全部磋商文件及其有效补充文件，我们知道必须放弃提出含糊不清或误解问题的权利。</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3.我们同意从规定的响应文件接收截止时间起遵循本响应文件，并在规定的磋商有效期期满之前均具有约束力。</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4.如果在响应文件接收截止时间后规定的磋商有效期内撤回响应文件或成交后拒绝签订合同，我们自愿接受政府采购监管机构的处理。</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5.同意向贵方提供贵方可能另外要求的与磋商采购有关的任何证据或资料，并保证我方已提供和将要提供的文件是真实的、准确的。</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6.一旦我方成交，我方将根据磋商文件的规定，严格履行合同的责任和义务，并保证在磋商文件规定的时间完成项目，交付采购人验收、使用。</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7.遵守磋商文件中要求的收费项目和标准。</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8.与本磋商采购有关的正式通讯地址为：</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地 址：                         邮 编：</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电 话：                         传 真：</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供应商开户行：                  账 户： </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法定代表人或授权代表姓名（签字）：     联系电话：</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供应商名称（公章）：            </w:t>
      </w:r>
    </w:p>
    <w:p>
      <w:pPr>
        <w:pStyle w:val="81"/>
        <w:spacing w:line="360" w:lineRule="auto"/>
        <w:ind w:firstLine="420" w:firstLineChars="200"/>
        <w:rPr>
          <w:rFonts w:ascii="宋体" w:hAnsi="宋体"/>
          <w:color w:val="auto"/>
          <w:sz w:val="21"/>
          <w:szCs w:val="21"/>
        </w:rPr>
      </w:pPr>
      <w:r>
        <w:rPr>
          <w:rFonts w:hint="eastAsia" w:ascii="宋体" w:hAnsi="宋体"/>
          <w:color w:val="auto"/>
          <w:sz w:val="21"/>
          <w:szCs w:val="21"/>
        </w:rPr>
        <w:t>日 期：________年____月____日</w:t>
      </w:r>
    </w:p>
    <w:p>
      <w:pPr>
        <w:spacing w:line="360" w:lineRule="auto"/>
        <w:ind w:firstLine="420" w:firstLineChars="200"/>
        <w:rPr>
          <w:rFonts w:ascii="宋体" w:hAnsi="宋体"/>
          <w:color w:val="auto"/>
          <w:szCs w:val="21"/>
        </w:rPr>
      </w:pPr>
    </w:p>
    <w:p>
      <w:pPr>
        <w:spacing w:line="360" w:lineRule="auto"/>
        <w:ind w:firstLine="420" w:firstLineChars="200"/>
        <w:jc w:val="left"/>
        <w:rPr>
          <w:rFonts w:ascii="宋体" w:hAnsi="宋体"/>
          <w:color w:val="auto"/>
          <w:szCs w:val="21"/>
        </w:rPr>
      </w:pPr>
    </w:p>
    <w:p>
      <w:pPr>
        <w:spacing w:line="360" w:lineRule="auto"/>
        <w:ind w:firstLine="420" w:firstLineChars="200"/>
        <w:jc w:val="left"/>
        <w:rPr>
          <w:rFonts w:ascii="宋体" w:hAnsi="宋体"/>
          <w:color w:val="auto"/>
          <w:szCs w:val="21"/>
        </w:rPr>
      </w:pPr>
      <w:r>
        <w:rPr>
          <w:rFonts w:ascii="宋体" w:hAnsi="宋体"/>
          <w:color w:val="auto"/>
          <w:szCs w:val="21"/>
        </w:rPr>
        <w:br w:type="page"/>
      </w:r>
    </w:p>
    <w:p>
      <w:pPr>
        <w:spacing w:line="360" w:lineRule="auto"/>
        <w:ind w:firstLine="420" w:firstLineChars="200"/>
        <w:jc w:val="left"/>
        <w:rPr>
          <w:rFonts w:ascii="宋体" w:hAnsi="宋体"/>
          <w:color w:val="auto"/>
          <w:szCs w:val="21"/>
        </w:rPr>
      </w:pPr>
      <w:r>
        <w:rPr>
          <w:rFonts w:hint="eastAsia" w:ascii="宋体" w:hAnsi="宋体"/>
          <w:color w:val="auto"/>
          <w:szCs w:val="21"/>
        </w:rPr>
        <w:t>附件</w:t>
      </w:r>
      <w:r>
        <w:rPr>
          <w:rFonts w:ascii="宋体" w:hAnsi="宋体"/>
          <w:color w:val="auto"/>
          <w:szCs w:val="21"/>
        </w:rPr>
        <w:t>5</w:t>
      </w:r>
      <w:r>
        <w:rPr>
          <w:rFonts w:hint="eastAsia" w:ascii="宋体" w:hAnsi="宋体"/>
          <w:color w:val="auto"/>
          <w:szCs w:val="21"/>
        </w:rPr>
        <w:t>：</w:t>
      </w:r>
    </w:p>
    <w:p>
      <w:pPr>
        <w:pStyle w:val="5"/>
        <w:spacing w:before="0" w:after="0" w:line="360" w:lineRule="auto"/>
        <w:ind w:firstLine="422" w:firstLineChars="200"/>
        <w:rPr>
          <w:rFonts w:ascii="宋体" w:hAnsi="宋体" w:eastAsia="宋体"/>
          <w:b w:val="0"/>
          <w:color w:val="auto"/>
          <w:sz w:val="21"/>
          <w:szCs w:val="21"/>
        </w:rPr>
      </w:pPr>
      <w:r>
        <w:rPr>
          <w:rFonts w:hint="eastAsia" w:ascii="宋体" w:hAnsi="宋体" w:eastAsia="宋体"/>
          <w:color w:val="auto"/>
          <w:sz w:val="21"/>
          <w:szCs w:val="21"/>
        </w:rPr>
        <w:t>首次响应报价表</w:t>
      </w:r>
    </w:p>
    <w:p>
      <w:pPr>
        <w:pStyle w:val="22"/>
        <w:spacing w:line="360" w:lineRule="auto"/>
        <w:ind w:firstLine="420" w:firstLineChars="200"/>
        <w:rPr>
          <w:rFonts w:ascii="宋体" w:hAnsi="宋体"/>
          <w:color w:val="auto"/>
          <w:sz w:val="21"/>
          <w:szCs w:val="21"/>
        </w:rPr>
      </w:pPr>
      <w:r>
        <w:rPr>
          <w:rFonts w:hint="eastAsia" w:ascii="宋体" w:hAnsi="宋体"/>
          <w:color w:val="auto"/>
          <w:sz w:val="21"/>
          <w:szCs w:val="21"/>
        </w:rPr>
        <w:t>项目名称：</w:t>
      </w:r>
    </w:p>
    <w:p>
      <w:pPr>
        <w:spacing w:line="360" w:lineRule="auto"/>
        <w:ind w:firstLine="420" w:firstLineChars="200"/>
        <w:rPr>
          <w:rFonts w:ascii="宋体" w:hAnsi="宋体"/>
          <w:color w:val="auto"/>
          <w:szCs w:val="21"/>
        </w:rPr>
      </w:pPr>
    </w:p>
    <w:tbl>
      <w:tblPr>
        <w:tblStyle w:val="39"/>
        <w:tblW w:w="8958"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项目编号</w:t>
            </w:r>
          </w:p>
        </w:tc>
        <w:tc>
          <w:tcPr>
            <w:tcW w:w="7276" w:type="dxa"/>
            <w:vAlign w:val="center"/>
          </w:tcPr>
          <w:p>
            <w:pPr>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投标项目名称</w:t>
            </w:r>
          </w:p>
        </w:tc>
        <w:tc>
          <w:tcPr>
            <w:tcW w:w="7276" w:type="dxa"/>
            <w:vAlign w:val="center"/>
          </w:tcPr>
          <w:p>
            <w:pPr>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投标报价</w:t>
            </w:r>
          </w:p>
        </w:tc>
        <w:tc>
          <w:tcPr>
            <w:tcW w:w="7276" w:type="dxa"/>
            <w:vAlign w:val="center"/>
          </w:tcPr>
          <w:p>
            <w:pPr>
              <w:spacing w:line="360" w:lineRule="auto"/>
              <w:ind w:firstLine="1470" w:firstLineChars="700"/>
              <w:rPr>
                <w:rFonts w:ascii="宋体" w:hAnsi="宋体"/>
                <w:color w:val="auto"/>
                <w:szCs w:val="21"/>
              </w:rPr>
            </w:pPr>
            <w:r>
              <w:rPr>
                <w:rFonts w:hint="eastAsia" w:ascii="宋体" w:hAnsi="宋体"/>
                <w:color w:val="auto"/>
                <w:szCs w:val="21"/>
              </w:rPr>
              <w:t>万元（小写），大写：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服务期</w:t>
            </w:r>
          </w:p>
        </w:tc>
        <w:tc>
          <w:tcPr>
            <w:tcW w:w="7276" w:type="dxa"/>
            <w:vAlign w:val="center"/>
          </w:tcPr>
          <w:p>
            <w:pPr>
              <w:spacing w:line="360" w:lineRule="auto"/>
              <w:ind w:firstLine="420" w:firstLineChars="200"/>
              <w:jc w:val="center"/>
              <w:rPr>
                <w:rFonts w:ascii="宋体" w:hAnsi="宋体"/>
                <w:color w:val="auto"/>
                <w:szCs w:val="21"/>
              </w:rPr>
            </w:pPr>
          </w:p>
        </w:tc>
      </w:tr>
    </w:tbl>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法定代表人或者授权代表（签字或盖章）：</w:t>
      </w:r>
    </w:p>
    <w:p>
      <w:pPr>
        <w:spacing w:line="360" w:lineRule="auto"/>
        <w:ind w:firstLine="420" w:firstLineChars="200"/>
        <w:rPr>
          <w:rFonts w:ascii="宋体" w:hAnsi="宋体"/>
          <w:color w:val="auto"/>
          <w:szCs w:val="21"/>
          <w:u w:val="single"/>
        </w:rPr>
      </w:pPr>
      <w:r>
        <w:rPr>
          <w:rFonts w:hint="eastAsia" w:ascii="宋体" w:hAnsi="宋体"/>
          <w:color w:val="auto"/>
          <w:szCs w:val="21"/>
        </w:rPr>
        <w:t>磋商供应商全称（盖章）：</w:t>
      </w:r>
    </w:p>
    <w:p>
      <w:pPr>
        <w:spacing w:line="360" w:lineRule="auto"/>
        <w:ind w:firstLine="420" w:firstLineChars="200"/>
        <w:rPr>
          <w:rFonts w:ascii="宋体" w:hAnsi="宋体"/>
          <w:color w:val="auto"/>
          <w:szCs w:val="21"/>
        </w:rPr>
      </w:pPr>
      <w:r>
        <w:rPr>
          <w:rFonts w:hint="eastAsia" w:ascii="宋体" w:hAnsi="宋体"/>
          <w:color w:val="auto"/>
          <w:szCs w:val="21"/>
        </w:rPr>
        <w:t xml:space="preserve">                                               日期：    年   月    日</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价格构成或报价要求：</w:t>
      </w:r>
    </w:p>
    <w:p>
      <w:pPr>
        <w:spacing w:line="360" w:lineRule="auto"/>
        <w:ind w:firstLine="420" w:firstLineChars="200"/>
        <w:rPr>
          <w:rFonts w:ascii="宋体" w:hAnsi="宋体"/>
          <w:color w:val="auto"/>
          <w:szCs w:val="21"/>
        </w:rPr>
      </w:pPr>
      <w:r>
        <w:rPr>
          <w:rFonts w:hint="eastAsia" w:ascii="宋体" w:hAnsi="宋体"/>
          <w:color w:val="auto"/>
          <w:szCs w:val="21"/>
        </w:rPr>
        <w:t>1、此表可以根据需要自行增减行数，且该表报价非本次磋商中的最后报价。</w:t>
      </w:r>
    </w:p>
    <w:p>
      <w:pPr>
        <w:spacing w:line="360" w:lineRule="auto"/>
        <w:ind w:firstLine="420" w:firstLineChars="200"/>
        <w:outlineLvl w:val="1"/>
        <w:rPr>
          <w:rFonts w:ascii="宋体" w:hAnsi="宋体"/>
          <w:color w:val="auto"/>
          <w:szCs w:val="21"/>
        </w:rPr>
      </w:pPr>
      <w:r>
        <w:rPr>
          <w:rFonts w:hint="eastAsia" w:ascii="宋体" w:hAnsi="宋体"/>
          <w:color w:val="auto"/>
          <w:szCs w:val="21"/>
        </w:rPr>
        <w:t>2、各项成本费用由投标供应商自行计算填列。</w:t>
      </w:r>
    </w:p>
    <w:p>
      <w:pPr>
        <w:spacing w:line="360" w:lineRule="auto"/>
        <w:ind w:firstLine="420" w:firstLineChars="200"/>
        <w:rPr>
          <w:rFonts w:ascii="宋体" w:hAnsi="宋体"/>
          <w:color w:val="auto"/>
          <w:szCs w:val="21"/>
        </w:rPr>
      </w:pPr>
    </w:p>
    <w:p>
      <w:pPr>
        <w:spacing w:line="360" w:lineRule="auto"/>
        <w:ind w:firstLine="420" w:firstLineChars="200"/>
        <w:jc w:val="left"/>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16"/>
        <w:ind w:firstLine="560"/>
        <w:rPr>
          <w:rFonts w:ascii="宋体" w:hAnsi="宋体"/>
          <w:color w:val="auto"/>
          <w:szCs w:val="21"/>
        </w:rPr>
      </w:pPr>
    </w:p>
    <w:p>
      <w:pPr>
        <w:pStyle w:val="5"/>
        <w:spacing w:before="0" w:after="0" w:line="360" w:lineRule="auto"/>
        <w:ind w:firstLine="422"/>
        <w:rPr>
          <w:rFonts w:asciiTheme="majorEastAsia" w:hAnsiTheme="majorEastAsia" w:eastAsiaTheme="majorEastAsia"/>
          <w:color w:val="auto"/>
          <w:szCs w:val="21"/>
        </w:rPr>
      </w:pPr>
      <w:r>
        <w:rPr>
          <w:rStyle w:val="99"/>
          <w:rFonts w:hint="default" w:asciiTheme="majorEastAsia" w:hAnsiTheme="majorEastAsia" w:eastAsiaTheme="majorEastAsia"/>
          <w:b/>
          <w:color w:val="auto"/>
          <w:sz w:val="21"/>
          <w:szCs w:val="21"/>
        </w:rPr>
        <w:t>费用明细表</w:t>
      </w:r>
    </w:p>
    <w:p>
      <w:pPr>
        <w:spacing w:line="4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供应商名称（盖章）                                  </w:t>
      </w:r>
      <w:r>
        <w:rPr>
          <w:rFonts w:hint="eastAsia" w:asciiTheme="minorEastAsia" w:hAnsiTheme="minorEastAsia" w:eastAsiaTheme="minorEastAsia"/>
          <w:color w:val="auto"/>
          <w:szCs w:val="21"/>
        </w:rPr>
        <w:t xml:space="preserve">             </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839"/>
        <w:gridCol w:w="960"/>
        <w:gridCol w:w="1269"/>
        <w:gridCol w:w="1269"/>
        <w:gridCol w:w="1269"/>
        <w:gridCol w:w="1269"/>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服务项目名称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分项单价（元）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单价/单位</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人数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服务期限</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分项小计（元）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管理和服务人员工资等费用（包括保险、加班费等）</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元/人·月</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36个月</w:t>
            </w: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管理佣金</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元/月</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1799"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税费</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元/月</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3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p>
        </w:tc>
        <w:tc>
          <w:tcPr>
            <w:tcW w:w="839" w:type="dxa"/>
            <w:vMerge w:val="restart"/>
            <w:tcBorders>
              <w:top w:val="single" w:color="000000" w:sz="4" w:space="0"/>
              <w:left w:val="single" w:color="000000" w:sz="4" w:space="0"/>
              <w:bottom w:val="single" w:color="000000" w:sz="4" w:space="0"/>
              <w:right w:val="single" w:color="auto"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其他</w:t>
            </w:r>
          </w:p>
        </w:tc>
        <w:tc>
          <w:tcPr>
            <w:tcW w:w="960" w:type="dxa"/>
            <w:tcBorders>
              <w:top w:val="single" w:color="000000" w:sz="4" w:space="0"/>
              <w:left w:val="single" w:color="auto"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元</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szCs w:val="21"/>
              </w:rPr>
            </w:pPr>
          </w:p>
        </w:tc>
        <w:tc>
          <w:tcPr>
            <w:tcW w:w="83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heme="minorEastAsia" w:hAnsiTheme="minorEastAsia" w:eastAsiaTheme="minorEastAsia"/>
                <w:color w:val="auto"/>
                <w:szCs w:val="21"/>
              </w:rPr>
            </w:pPr>
          </w:p>
        </w:tc>
        <w:tc>
          <w:tcPr>
            <w:tcW w:w="960" w:type="dxa"/>
            <w:tcBorders>
              <w:top w:val="single" w:color="000000" w:sz="4" w:space="0"/>
              <w:left w:val="single" w:color="auto"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元</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szCs w:val="21"/>
              </w:rPr>
            </w:pPr>
          </w:p>
        </w:tc>
        <w:tc>
          <w:tcPr>
            <w:tcW w:w="83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heme="minorEastAsia" w:hAnsiTheme="minorEastAsia" w:eastAsiaTheme="minorEastAsia"/>
                <w:color w:val="auto"/>
                <w:szCs w:val="21"/>
              </w:rPr>
            </w:pPr>
          </w:p>
        </w:tc>
        <w:tc>
          <w:tcPr>
            <w:tcW w:w="960" w:type="dxa"/>
            <w:tcBorders>
              <w:top w:val="single" w:color="000000" w:sz="4" w:space="0"/>
              <w:left w:val="single" w:color="auto"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元</w:t>
            </w: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269"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napToGrid w:val="0"/>
              <w:rPr>
                <w:rFonts w:asciiTheme="minorEastAsia" w:hAnsiTheme="minorEastAsia" w:eastAsia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2537"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投标报价总计</w:t>
            </w:r>
          </w:p>
        </w:tc>
        <w:tc>
          <w:tcPr>
            <w:tcW w:w="6496" w:type="dxa"/>
            <w:gridSpan w:val="5"/>
            <w:tcBorders>
              <w:top w:val="single" w:color="000000" w:sz="4" w:space="0"/>
              <w:left w:val="single" w:color="000000" w:sz="4" w:space="0"/>
              <w:bottom w:val="single" w:color="000000" w:sz="4" w:space="0"/>
              <w:right w:val="single" w:color="000000" w:sz="4" w:space="0"/>
            </w:tcBorders>
            <w:vAlign w:val="center"/>
          </w:tcPr>
          <w:p>
            <w:pPr>
              <w:pStyle w:val="102"/>
              <w:spacing w:line="460" w:lineRule="exact"/>
              <w:jc w:val="both"/>
              <w:rPr>
                <w:rFonts w:asciiTheme="minorEastAsia" w:hAnsiTheme="minorEastAsia" w:eastAsiaTheme="minorEastAsia"/>
                <w:color w:val="auto"/>
                <w:sz w:val="21"/>
                <w:szCs w:val="21"/>
                <w:u w:val="single"/>
              </w:rPr>
            </w:pP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u w:val="single"/>
              </w:rPr>
              <w:t xml:space="preserve">                  元</w:t>
            </w:r>
          </w:p>
          <w:p>
            <w:pPr>
              <w:snapToGrid w:val="0"/>
              <w:spacing w:line="4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大写（人民币）：</w:t>
            </w:r>
            <w:r>
              <w:rPr>
                <w:rFonts w:asciiTheme="minorEastAsia" w:hAnsiTheme="minorEastAsia" w:eastAsiaTheme="minorEastAsia"/>
                <w:color w:val="auto"/>
                <w:szCs w:val="21"/>
              </w:rPr>
              <w:t xml:space="preserve"> </w:t>
            </w:r>
            <w:r>
              <w:rPr>
                <w:rFonts w:asciiTheme="minorEastAsia" w:hAnsiTheme="minorEastAsia" w:eastAsiaTheme="minorEastAsia"/>
                <w:color w:val="auto"/>
                <w:szCs w:val="21"/>
                <w:u w:val="single"/>
              </w:rPr>
              <w:t xml:space="preserve">   </w:t>
            </w:r>
            <w:r>
              <w:rPr>
                <w:rFonts w:asciiTheme="minorEastAsia" w:hAnsiTheme="minorEastAsia" w:eastAsiaTheme="minorEastAsia"/>
                <w:color w:val="auto"/>
                <w:szCs w:val="21"/>
              </w:rPr>
              <w:t xml:space="preserve"> </w:t>
            </w:r>
            <w:r>
              <w:rPr>
                <w:rFonts w:hint="eastAsia" w:asciiTheme="minorEastAsia" w:hAnsiTheme="minorEastAsia" w:eastAsiaTheme="minorEastAsia"/>
                <w:color w:val="auto"/>
                <w:szCs w:val="21"/>
              </w:rPr>
              <w:t>佰</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拾</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万</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仟</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佰</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拾</w:t>
            </w:r>
            <w:r>
              <w:rPr>
                <w:rFonts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元整</w:t>
            </w:r>
          </w:p>
        </w:tc>
      </w:tr>
    </w:tbl>
    <w:p>
      <w:pPr>
        <w:pStyle w:val="20"/>
        <w:ind w:firstLine="420"/>
        <w:rPr>
          <w:rFonts w:asciiTheme="minorEastAsia" w:hAnsiTheme="minorEastAsia" w:eastAsiaTheme="minorEastAsia"/>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r>
        <w:rPr>
          <w:rFonts w:asciiTheme="minorEastAsia" w:hAnsiTheme="minorEastAsia" w:eastAsiaTheme="minorEastAsia"/>
          <w:color w:val="auto"/>
          <w:szCs w:val="21"/>
        </w:rPr>
        <w:t xml:space="preserve"> 1.</w:t>
      </w:r>
      <w:r>
        <w:rPr>
          <w:rFonts w:hint="eastAsia" w:asciiTheme="minorEastAsia" w:hAnsiTheme="minorEastAsia" w:eastAsiaTheme="minorEastAsia"/>
          <w:color w:val="auto"/>
          <w:szCs w:val="21"/>
        </w:rPr>
        <w:t>此表为表样，行数可自行添加，但表式不变。</w:t>
      </w:r>
    </w:p>
    <w:p>
      <w:pPr>
        <w:ind w:firstLine="210" w:firstLineChars="100"/>
        <w:rPr>
          <w:rFonts w:asciiTheme="minorEastAsia" w:hAnsiTheme="minorEastAsia" w:eastAsiaTheme="minorEastAsia"/>
          <w:color w:val="auto"/>
          <w:szCs w:val="21"/>
        </w:rPr>
      </w:pPr>
      <w:r>
        <w:rPr>
          <w:rFonts w:asciiTheme="minorEastAsia" w:hAnsiTheme="minorEastAsia" w:eastAsiaTheme="minorEastAsia"/>
          <w:color w:val="auto"/>
          <w:szCs w:val="21"/>
        </w:rPr>
        <w:t xml:space="preserve"> 2.</w:t>
      </w:r>
      <w:r>
        <w:rPr>
          <w:rFonts w:hint="eastAsia" w:asciiTheme="minorEastAsia" w:hAnsiTheme="minorEastAsia" w:eastAsiaTheme="minorEastAsia"/>
          <w:color w:val="auto"/>
          <w:szCs w:val="21"/>
        </w:rPr>
        <w:t>各项成本费用由投标供应商自行计算填列。</w:t>
      </w:r>
    </w:p>
    <w:p>
      <w:pPr>
        <w:ind w:firstLine="316" w:firstLineChars="150"/>
        <w:rPr>
          <w:rFonts w:asciiTheme="minorEastAsia" w:hAnsiTheme="minorEastAsia" w:eastAsiaTheme="minorEastAsia"/>
          <w:b/>
          <w:color w:val="auto"/>
          <w:szCs w:val="21"/>
        </w:rPr>
      </w:pPr>
      <w:r>
        <w:rPr>
          <w:rFonts w:asciiTheme="minorEastAsia" w:hAnsiTheme="minorEastAsia" w:eastAsiaTheme="minorEastAsia"/>
          <w:b/>
          <w:color w:val="auto"/>
          <w:szCs w:val="21"/>
        </w:rPr>
        <w:t>3.</w:t>
      </w:r>
      <w:r>
        <w:rPr>
          <w:rFonts w:hint="eastAsia" w:asciiTheme="minorEastAsia" w:hAnsiTheme="minorEastAsia" w:eastAsiaTheme="minorEastAsia"/>
          <w:b/>
          <w:color w:val="auto"/>
          <w:szCs w:val="21"/>
        </w:rPr>
        <w:t>人员工资等费用须符合《中华人民共和国劳动合同法》以及泰州市最低工资标准、保险缴纳等要求。</w:t>
      </w:r>
    </w:p>
    <w:p>
      <w:pPr>
        <w:pStyle w:val="20"/>
        <w:ind w:firstLine="420"/>
        <w:rPr>
          <w:rFonts w:asciiTheme="minorEastAsia" w:hAnsiTheme="minorEastAsia" w:eastAsiaTheme="minorEastAsia"/>
          <w:color w:val="auto"/>
          <w:szCs w:val="21"/>
        </w:rPr>
      </w:pPr>
    </w:p>
    <w:p>
      <w:pPr>
        <w:spacing w:line="460" w:lineRule="exact"/>
        <w:jc w:val="right"/>
        <w:rPr>
          <w:rFonts w:asciiTheme="minorEastAsia" w:hAnsiTheme="minorEastAsia" w:eastAsiaTheme="minorEastAsia"/>
          <w:color w:val="auto"/>
          <w:szCs w:val="21"/>
        </w:rPr>
      </w:pPr>
      <w:r>
        <w:rPr>
          <w:rFonts w:hint="eastAsia" w:asciiTheme="minorEastAsia" w:hAnsiTheme="minorEastAsia" w:eastAsiaTheme="minorEastAsia"/>
          <w:color w:val="auto"/>
          <w:szCs w:val="21"/>
        </w:rPr>
        <w:t>　法定代表人或授权委托人：</w:t>
      </w:r>
      <w:r>
        <w:rPr>
          <w:rFonts w:hint="eastAsia" w:asciiTheme="minorEastAsia" w:hAnsiTheme="minorEastAsia" w:eastAsiaTheme="minorEastAsia"/>
          <w:color w:val="auto"/>
          <w:szCs w:val="21"/>
          <w:u w:val="single"/>
        </w:rPr>
        <w:t xml:space="preserve">                     </w:t>
      </w:r>
      <w:r>
        <w:rPr>
          <w:rFonts w:hint="eastAsia" w:asciiTheme="minorEastAsia" w:hAnsiTheme="minorEastAsia" w:eastAsiaTheme="minorEastAsia"/>
          <w:color w:val="auto"/>
          <w:szCs w:val="21"/>
        </w:rPr>
        <w:t>（签字或盖章）</w:t>
      </w:r>
    </w:p>
    <w:p>
      <w:pPr>
        <w:spacing w:line="460" w:lineRule="exact"/>
        <w:jc w:val="center"/>
        <w:outlineLvl w:val="0"/>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日期：</w:t>
      </w:r>
    </w:p>
    <w:p>
      <w:pPr>
        <w:pStyle w:val="6"/>
        <w:spacing w:line="360" w:lineRule="auto"/>
        <w:ind w:firstLineChars="200"/>
        <w:rPr>
          <w:rFonts w:asciiTheme="minorEastAsia" w:hAnsiTheme="minorEastAsia" w:eastAsiaTheme="minorEastAsia"/>
          <w:color w:val="auto"/>
          <w:szCs w:val="21"/>
        </w:rPr>
      </w:pPr>
    </w:p>
    <w:p>
      <w:pPr>
        <w:pStyle w:val="6"/>
        <w:spacing w:line="360" w:lineRule="auto"/>
        <w:ind w:firstLineChars="200"/>
        <w:rPr>
          <w:rFonts w:ascii="宋体" w:hAnsi="宋体"/>
          <w:color w:val="auto"/>
          <w:szCs w:val="21"/>
        </w:rPr>
      </w:pPr>
    </w:p>
    <w:bookmarkEnd w:id="181"/>
    <w:bookmarkEnd w:id="182"/>
    <w:bookmarkEnd w:id="183"/>
    <w:bookmarkEnd w:id="184"/>
    <w:p>
      <w:pPr>
        <w:spacing w:line="360" w:lineRule="auto"/>
        <w:ind w:firstLine="420" w:firstLineChars="200"/>
        <w:rPr>
          <w:rFonts w:ascii="宋体" w:hAnsi="宋体"/>
          <w:color w:val="auto"/>
          <w:szCs w:val="21"/>
        </w:rPr>
        <w:sectPr>
          <w:pgSz w:w="11907" w:h="16840"/>
          <w:pgMar w:top="1134" w:right="1134" w:bottom="1134" w:left="1560" w:header="851" w:footer="851" w:gutter="0"/>
          <w:cols w:space="720" w:num="1"/>
          <w:docGrid w:linePitch="312" w:charSpace="0"/>
        </w:sectPr>
      </w:pPr>
      <w:bookmarkStart w:id="205" w:name="_Toc162919810"/>
      <w:bookmarkStart w:id="206" w:name="_Toc162859072"/>
    </w:p>
    <w:p>
      <w:pPr>
        <w:spacing w:line="360" w:lineRule="auto"/>
        <w:ind w:firstLine="422" w:firstLineChars="200"/>
        <w:jc w:val="center"/>
        <w:rPr>
          <w:rFonts w:ascii="宋体" w:hAnsi="宋体"/>
          <w:b/>
          <w:bCs/>
          <w:color w:val="auto"/>
          <w:szCs w:val="21"/>
        </w:rPr>
      </w:pPr>
    </w:p>
    <w:p>
      <w:pPr>
        <w:spacing w:line="360" w:lineRule="auto"/>
        <w:ind w:firstLine="422" w:firstLineChars="200"/>
        <w:jc w:val="center"/>
        <w:rPr>
          <w:rFonts w:ascii="宋体" w:hAnsi="宋体"/>
          <w:color w:val="auto"/>
          <w:szCs w:val="21"/>
        </w:rPr>
      </w:pPr>
      <w:r>
        <w:rPr>
          <w:rFonts w:hint="eastAsia" w:ascii="宋体" w:hAnsi="宋体"/>
          <w:b/>
          <w:bCs/>
          <w:color w:val="auto"/>
          <w:szCs w:val="21"/>
        </w:rPr>
        <w:t>最终报价表</w:t>
      </w:r>
    </w:p>
    <w:tbl>
      <w:tblPr>
        <w:tblStyle w:val="39"/>
        <w:tblW w:w="8958"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项目编号</w:t>
            </w:r>
          </w:p>
        </w:tc>
        <w:tc>
          <w:tcPr>
            <w:tcW w:w="7276" w:type="dxa"/>
            <w:vAlign w:val="center"/>
          </w:tcPr>
          <w:p>
            <w:pPr>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投标项目名称</w:t>
            </w:r>
          </w:p>
        </w:tc>
        <w:tc>
          <w:tcPr>
            <w:tcW w:w="7276" w:type="dxa"/>
            <w:vAlign w:val="center"/>
          </w:tcPr>
          <w:p>
            <w:pPr>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投标报价</w:t>
            </w:r>
          </w:p>
        </w:tc>
        <w:tc>
          <w:tcPr>
            <w:tcW w:w="7276" w:type="dxa"/>
            <w:vAlign w:val="center"/>
          </w:tcPr>
          <w:p>
            <w:pPr>
              <w:spacing w:line="360" w:lineRule="auto"/>
              <w:ind w:firstLine="1470" w:firstLineChars="700"/>
              <w:rPr>
                <w:rFonts w:ascii="宋体" w:hAnsi="宋体"/>
                <w:color w:val="auto"/>
                <w:szCs w:val="21"/>
              </w:rPr>
            </w:pPr>
            <w:r>
              <w:rPr>
                <w:rFonts w:hint="eastAsia" w:ascii="宋体" w:hAnsi="宋体"/>
                <w:color w:val="auto"/>
                <w:szCs w:val="21"/>
              </w:rPr>
              <w:t>万元（小写），大写：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2" w:type="dxa"/>
            <w:vAlign w:val="center"/>
          </w:tcPr>
          <w:p>
            <w:pPr>
              <w:spacing w:line="360" w:lineRule="auto"/>
              <w:jc w:val="center"/>
              <w:rPr>
                <w:rFonts w:ascii="宋体" w:hAnsi="宋体"/>
                <w:color w:val="auto"/>
                <w:szCs w:val="21"/>
              </w:rPr>
            </w:pPr>
            <w:r>
              <w:rPr>
                <w:rFonts w:hint="eastAsia" w:ascii="宋体" w:hAnsi="宋体"/>
                <w:color w:val="auto"/>
                <w:szCs w:val="21"/>
              </w:rPr>
              <w:t>服务期</w:t>
            </w:r>
          </w:p>
        </w:tc>
        <w:tc>
          <w:tcPr>
            <w:tcW w:w="7276" w:type="dxa"/>
            <w:vAlign w:val="center"/>
          </w:tcPr>
          <w:p>
            <w:pPr>
              <w:spacing w:line="360" w:lineRule="auto"/>
              <w:ind w:firstLine="420" w:firstLineChars="200"/>
              <w:jc w:val="center"/>
              <w:rPr>
                <w:rFonts w:ascii="宋体" w:hAnsi="宋体"/>
                <w:color w:val="auto"/>
                <w:szCs w:val="21"/>
              </w:rPr>
            </w:pPr>
          </w:p>
        </w:tc>
      </w:tr>
    </w:tbl>
    <w:p>
      <w:pPr>
        <w:pStyle w:val="2"/>
        <w:ind w:firstLine="64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法定代表人或者授权代表（签字或盖章）：</w:t>
      </w:r>
    </w:p>
    <w:p>
      <w:pPr>
        <w:spacing w:line="360" w:lineRule="auto"/>
        <w:ind w:firstLine="420" w:firstLineChars="200"/>
        <w:rPr>
          <w:rFonts w:ascii="宋体" w:hAnsi="宋体"/>
          <w:color w:val="auto"/>
          <w:szCs w:val="21"/>
          <w:u w:val="single"/>
        </w:rPr>
      </w:pPr>
      <w:r>
        <w:rPr>
          <w:rFonts w:hint="eastAsia" w:ascii="宋体" w:hAnsi="宋体"/>
          <w:color w:val="auto"/>
          <w:szCs w:val="21"/>
        </w:rPr>
        <w:t>磋商供应商全称（盖章）：</w:t>
      </w:r>
    </w:p>
    <w:p>
      <w:pPr>
        <w:pStyle w:val="3"/>
        <w:rPr>
          <w:rFonts w:ascii="宋体" w:hAnsi="宋体"/>
          <w:color w:val="auto"/>
          <w:szCs w:val="21"/>
        </w:rPr>
      </w:pPr>
      <w:r>
        <w:rPr>
          <w:rFonts w:hint="eastAsia" w:ascii="宋体" w:hAnsi="宋体"/>
          <w:color w:val="auto"/>
          <w:szCs w:val="21"/>
        </w:rPr>
        <w:t xml:space="preserve">                                               日期：    年   月    日</w:t>
      </w:r>
    </w:p>
    <w:p>
      <w:pPr>
        <w:pStyle w:val="3"/>
        <w:rPr>
          <w:rFonts w:ascii="宋体" w:hAnsi="宋体"/>
          <w:color w:val="auto"/>
          <w:szCs w:val="21"/>
        </w:rPr>
      </w:pPr>
    </w:p>
    <w:p>
      <w:pPr>
        <w:pStyle w:val="3"/>
        <w:rPr>
          <w:rFonts w:ascii="宋体" w:hAnsi="宋体"/>
          <w:color w:val="auto"/>
          <w:szCs w:val="21"/>
        </w:rPr>
      </w:pPr>
    </w:p>
    <w:p>
      <w:pPr>
        <w:pStyle w:val="3"/>
        <w:rPr>
          <w:rFonts w:ascii="宋体" w:hAnsi="宋体"/>
          <w:color w:val="auto"/>
          <w:szCs w:val="21"/>
        </w:rPr>
      </w:pPr>
    </w:p>
    <w:p>
      <w:pPr>
        <w:ind w:firstLine="420" w:firstLineChars="200"/>
        <w:rPr>
          <w:rFonts w:ascii="宋体" w:hAnsi="宋体"/>
          <w:color w:val="auto"/>
          <w:szCs w:val="21"/>
        </w:rPr>
        <w:sectPr>
          <w:pgSz w:w="11907" w:h="16840"/>
          <w:pgMar w:top="1134" w:right="1134" w:bottom="1134" w:left="1560" w:header="851" w:footer="851" w:gutter="0"/>
          <w:cols w:space="720" w:num="1"/>
          <w:docGrid w:linePitch="312" w:charSpace="0"/>
        </w:sectPr>
      </w:pPr>
      <w:r>
        <w:rPr>
          <w:rFonts w:hint="eastAsia" w:ascii="宋体" w:hAnsi="宋体" w:cs="宋体"/>
          <w:color w:val="auto"/>
          <w:szCs w:val="21"/>
        </w:rPr>
        <w:t>注：本页《报价表》由供应商在磋商现场依磋商情况填写，请加盖公章后带至磋商现场备填(本页请打印或复印不少于3张，投标时随身携带，不需装订在响应文件内)。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bookmarkEnd w:id="205"/>
    <w:bookmarkEnd w:id="206"/>
    <w:p>
      <w:pPr>
        <w:spacing w:line="360" w:lineRule="auto"/>
        <w:ind w:firstLine="420" w:firstLineChars="200"/>
        <w:rPr>
          <w:rFonts w:ascii="宋体" w:hAnsi="宋体"/>
          <w:b/>
          <w:color w:val="auto"/>
          <w:szCs w:val="21"/>
        </w:rPr>
      </w:pPr>
      <w:bookmarkStart w:id="207" w:name="_Toc456102129"/>
      <w:bookmarkStart w:id="208" w:name="_Toc433707808"/>
      <w:r>
        <w:rPr>
          <w:rStyle w:val="48"/>
          <w:rFonts w:hint="eastAsia" w:ascii="宋体" w:hAnsi="宋体" w:eastAsia="宋体"/>
          <w:b w:val="0"/>
          <w:color w:val="auto"/>
          <w:sz w:val="21"/>
          <w:szCs w:val="21"/>
        </w:rPr>
        <w:t>附件6：</w:t>
      </w:r>
    </w:p>
    <w:p>
      <w:pPr>
        <w:spacing w:line="360" w:lineRule="auto"/>
        <w:ind w:firstLine="420" w:firstLineChars="200"/>
        <w:rPr>
          <w:rFonts w:ascii="宋体" w:hAnsi="宋体"/>
          <w:color w:val="auto"/>
          <w:szCs w:val="21"/>
        </w:rPr>
      </w:pPr>
    </w:p>
    <w:bookmarkEnd w:id="207"/>
    <w:bookmarkEnd w:id="208"/>
    <w:p>
      <w:pPr>
        <w:widowControl/>
        <w:spacing w:line="360" w:lineRule="auto"/>
        <w:ind w:firstLine="422" w:firstLineChars="200"/>
        <w:jc w:val="center"/>
        <w:rPr>
          <w:rFonts w:ascii="宋体" w:hAnsi="宋体"/>
          <w:b/>
          <w:bCs/>
          <w:color w:val="auto"/>
          <w:szCs w:val="21"/>
        </w:rPr>
      </w:pPr>
      <w:r>
        <w:rPr>
          <w:rFonts w:hint="eastAsia" w:ascii="宋体" w:hAnsi="宋体"/>
          <w:b/>
          <w:bCs/>
          <w:color w:val="auto"/>
          <w:szCs w:val="21"/>
        </w:rPr>
        <w:t>服务及商务响应偏离表</w:t>
      </w:r>
    </w:p>
    <w:p>
      <w:pPr>
        <w:spacing w:line="360" w:lineRule="auto"/>
        <w:ind w:firstLine="422" w:firstLineChars="200"/>
        <w:rPr>
          <w:rFonts w:ascii="宋体" w:hAnsi="宋体"/>
          <w:b/>
          <w:color w:val="auto"/>
          <w:szCs w:val="21"/>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spacing w:line="360" w:lineRule="auto"/>
              <w:ind w:firstLine="420" w:firstLineChars="200"/>
              <w:rPr>
                <w:rFonts w:ascii="宋体" w:hAnsi="宋体"/>
                <w:color w:val="auto"/>
                <w:szCs w:val="21"/>
              </w:rPr>
            </w:pPr>
            <w:r>
              <w:rPr>
                <w:rFonts w:hint="eastAsia" w:ascii="宋体" w:hAnsi="宋体"/>
                <w:color w:val="auto"/>
                <w:szCs w:val="21"/>
              </w:rPr>
              <w:t>序号</w:t>
            </w:r>
          </w:p>
        </w:tc>
        <w:tc>
          <w:tcPr>
            <w:tcW w:w="2658" w:type="dxa"/>
            <w:vAlign w:val="center"/>
          </w:tcPr>
          <w:p>
            <w:pPr>
              <w:spacing w:line="360" w:lineRule="auto"/>
              <w:ind w:firstLine="420" w:firstLineChars="200"/>
              <w:rPr>
                <w:rFonts w:ascii="宋体" w:hAnsi="宋体"/>
                <w:color w:val="auto"/>
                <w:szCs w:val="21"/>
              </w:rPr>
            </w:pPr>
            <w:r>
              <w:rPr>
                <w:rFonts w:hint="eastAsia" w:ascii="宋体" w:hAnsi="宋体"/>
                <w:color w:val="auto"/>
                <w:szCs w:val="21"/>
              </w:rPr>
              <w:t>采购需求</w:t>
            </w:r>
          </w:p>
        </w:tc>
        <w:tc>
          <w:tcPr>
            <w:tcW w:w="2759" w:type="dxa"/>
            <w:vAlign w:val="center"/>
          </w:tcPr>
          <w:p>
            <w:pPr>
              <w:spacing w:line="360" w:lineRule="auto"/>
              <w:ind w:firstLine="420" w:firstLineChars="200"/>
              <w:rPr>
                <w:rFonts w:ascii="宋体" w:hAnsi="宋体"/>
                <w:color w:val="auto"/>
                <w:szCs w:val="21"/>
              </w:rPr>
            </w:pPr>
            <w:r>
              <w:rPr>
                <w:rFonts w:hint="eastAsia" w:ascii="宋体" w:hAnsi="宋体"/>
                <w:color w:val="auto"/>
                <w:szCs w:val="21"/>
              </w:rPr>
              <w:t>响应情况</w:t>
            </w:r>
          </w:p>
        </w:tc>
        <w:tc>
          <w:tcPr>
            <w:tcW w:w="2067" w:type="dxa"/>
            <w:vAlign w:val="center"/>
          </w:tcPr>
          <w:p>
            <w:pPr>
              <w:spacing w:line="360" w:lineRule="auto"/>
              <w:ind w:firstLine="420" w:firstLineChars="200"/>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658"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759" w:type="dxa"/>
            <w:vAlign w:val="center"/>
          </w:tcPr>
          <w:p>
            <w:pPr>
              <w:tabs>
                <w:tab w:val="left" w:pos="6300"/>
              </w:tabs>
              <w:snapToGrid w:val="0"/>
              <w:spacing w:line="360" w:lineRule="auto"/>
              <w:ind w:firstLine="420" w:firstLineChars="200"/>
              <w:jc w:val="center"/>
              <w:rPr>
                <w:rFonts w:ascii="宋体" w:hAnsi="宋体"/>
                <w:color w:val="auto"/>
                <w:szCs w:val="21"/>
              </w:rPr>
            </w:pPr>
          </w:p>
        </w:tc>
        <w:tc>
          <w:tcPr>
            <w:tcW w:w="2067" w:type="dxa"/>
            <w:vAlign w:val="center"/>
          </w:tcPr>
          <w:p>
            <w:pPr>
              <w:tabs>
                <w:tab w:val="left" w:pos="6300"/>
              </w:tabs>
              <w:snapToGrid w:val="0"/>
              <w:spacing w:line="360" w:lineRule="auto"/>
              <w:ind w:firstLine="420" w:firstLineChars="200"/>
              <w:jc w:val="center"/>
              <w:rPr>
                <w:rFonts w:ascii="宋体" w:hAnsi="宋体"/>
                <w:color w:val="auto"/>
                <w:szCs w:val="21"/>
              </w:rPr>
            </w:pPr>
          </w:p>
        </w:tc>
      </w:tr>
    </w:tbl>
    <w:p>
      <w:pPr>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注：1、本表即为对本磋商文件中提出的服务及商务需求进行比较和响应；其中服务需求主要包含服务范围、内容及要求，商务需求主要包括供应商资格、合同期限、合同报价、支付方式及评审办法中所提出的评审要求等。</w:t>
      </w:r>
    </w:p>
    <w:p>
      <w:pPr>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2、该表必须按照竞争性磋商要求逐条如实填写，根据响应情况在“偏离说明”项填写正偏离或负偏离及原因，完全符合的填写“无偏离”；</w:t>
      </w:r>
    </w:p>
    <w:p>
      <w:pPr>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3、该表可扩展，并逐页签字或盖章；</w:t>
      </w:r>
    </w:p>
    <w:p>
      <w:pPr>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4、可附相关技术支撑材料。（格式自定）</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供应商（公章）：</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 xml:space="preserve">法定代表人或授权代表（签字或盖章）： </w:t>
      </w:r>
    </w:p>
    <w:p>
      <w:pPr>
        <w:spacing w:line="360" w:lineRule="auto"/>
        <w:ind w:firstLine="422" w:firstLineChars="200"/>
        <w:rPr>
          <w:rFonts w:ascii="宋体" w:hAnsi="宋体"/>
          <w:b/>
          <w:color w:val="auto"/>
          <w:szCs w:val="21"/>
        </w:rPr>
      </w:pPr>
    </w:p>
    <w:p>
      <w:pPr>
        <w:spacing w:line="360" w:lineRule="auto"/>
        <w:ind w:firstLine="422" w:firstLineChars="200"/>
        <w:rPr>
          <w:rFonts w:ascii="宋体" w:hAnsi="宋体"/>
          <w:b/>
          <w:color w:val="auto"/>
          <w:szCs w:val="21"/>
        </w:rPr>
      </w:pPr>
      <w:r>
        <w:rPr>
          <w:rFonts w:hint="eastAsia" w:ascii="宋体" w:hAnsi="宋体"/>
          <w:b/>
          <w:color w:val="auto"/>
          <w:szCs w:val="21"/>
        </w:rPr>
        <w:t>日期：  　年　月　日</w:t>
      </w:r>
    </w:p>
    <w:p>
      <w:pPr>
        <w:spacing w:line="360" w:lineRule="auto"/>
        <w:ind w:firstLine="420" w:firstLineChars="200"/>
        <w:jc w:val="left"/>
        <w:rPr>
          <w:rFonts w:ascii="宋体" w:hAnsi="宋体"/>
          <w:color w:val="auto"/>
          <w:szCs w:val="21"/>
        </w:rPr>
      </w:pPr>
      <w:r>
        <w:rPr>
          <w:rFonts w:ascii="宋体" w:hAnsi="宋体"/>
          <w:color w:val="auto"/>
          <w:szCs w:val="21"/>
        </w:rPr>
        <w:br w:type="page"/>
      </w:r>
      <w:r>
        <w:rPr>
          <w:rFonts w:hint="eastAsia" w:ascii="宋体" w:hAnsi="宋体"/>
          <w:color w:val="auto"/>
          <w:szCs w:val="21"/>
        </w:rPr>
        <w:t>附件</w:t>
      </w:r>
      <w:r>
        <w:rPr>
          <w:rFonts w:ascii="宋体" w:hAnsi="宋体"/>
          <w:color w:val="auto"/>
          <w:szCs w:val="21"/>
        </w:rPr>
        <w:t>7</w:t>
      </w:r>
      <w:r>
        <w:rPr>
          <w:rFonts w:hint="eastAsia" w:ascii="宋体" w:hAnsi="宋体"/>
          <w:color w:val="auto"/>
          <w:szCs w:val="21"/>
        </w:rPr>
        <w:t>：</w:t>
      </w:r>
    </w:p>
    <w:p>
      <w:pPr>
        <w:widowControl/>
        <w:spacing w:line="360" w:lineRule="auto"/>
        <w:ind w:firstLine="422" w:firstLineChars="200"/>
        <w:jc w:val="center"/>
        <w:rPr>
          <w:rFonts w:ascii="宋体" w:hAnsi="宋体"/>
          <w:color w:val="auto"/>
          <w:szCs w:val="21"/>
        </w:rPr>
      </w:pPr>
      <w:r>
        <w:rPr>
          <w:rFonts w:hint="eastAsia" w:ascii="宋体" w:hAnsi="宋体"/>
          <w:b/>
          <w:color w:val="auto"/>
          <w:szCs w:val="21"/>
        </w:rPr>
        <w:t>供应商基本情况表</w:t>
      </w:r>
    </w:p>
    <w:tbl>
      <w:tblPr>
        <w:tblStyle w:val="39"/>
        <w:tblpPr w:leftFromText="180" w:rightFromText="180" w:vertAnchor="text" w:horzAnchor="page" w:tblpX="1413" w:tblpY="38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4"/>
        <w:gridCol w:w="1625"/>
        <w:gridCol w:w="1432"/>
        <w:gridCol w:w="1353"/>
        <w:gridCol w:w="1620"/>
        <w:gridCol w:w="309"/>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rPr>
            </w:pPr>
            <w:r>
              <w:rPr>
                <w:rFonts w:hint="eastAsia" w:ascii="宋体" w:hAnsi="宋体"/>
                <w:bCs/>
                <w:color w:val="auto"/>
                <w:szCs w:val="21"/>
              </w:rPr>
              <w:t>供应商名称</w:t>
            </w:r>
          </w:p>
        </w:tc>
        <w:tc>
          <w:tcPr>
            <w:tcW w:w="791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法定代表人</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授权代表人</w:t>
            </w:r>
          </w:p>
        </w:tc>
        <w:tc>
          <w:tcPr>
            <w:tcW w:w="1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营业（经营）执照号码</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职工人数</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注册时间</w:t>
            </w:r>
          </w:p>
        </w:tc>
        <w:tc>
          <w:tcPr>
            <w:tcW w:w="1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注册资金</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r>
              <w:rPr>
                <w:rFonts w:hint="eastAsia" w:ascii="宋体" w:hAnsi="宋体"/>
                <w:bCs/>
                <w:color w:val="auto"/>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地   址</w:t>
            </w:r>
          </w:p>
        </w:tc>
        <w:tc>
          <w:tcPr>
            <w:tcW w:w="791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6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所获资质</w:t>
            </w:r>
          </w:p>
          <w:p>
            <w:pPr>
              <w:spacing w:line="360" w:lineRule="auto"/>
              <w:jc w:val="center"/>
              <w:rPr>
                <w:rFonts w:ascii="宋体" w:hAnsi="宋体"/>
                <w:color w:val="auto"/>
                <w:szCs w:val="21"/>
              </w:rPr>
            </w:pPr>
            <w:r>
              <w:rPr>
                <w:rFonts w:hint="eastAsia" w:ascii="宋体" w:hAnsi="宋体"/>
                <w:color w:val="auto"/>
                <w:szCs w:val="21"/>
              </w:rPr>
              <w:t>或认证</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证书或证件名称及等级</w:t>
            </w:r>
          </w:p>
        </w:tc>
        <w:tc>
          <w:tcPr>
            <w:tcW w:w="278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bCs/>
                <w:color w:val="auto"/>
                <w:szCs w:val="21"/>
              </w:rPr>
              <w:t>颁发部门</w:t>
            </w:r>
          </w:p>
        </w:tc>
        <w:tc>
          <w:tcPr>
            <w:tcW w:w="192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bCs/>
                <w:color w:val="auto"/>
                <w:szCs w:val="21"/>
              </w:rPr>
              <w:t>颁发时间</w:t>
            </w:r>
          </w:p>
        </w:tc>
        <w:tc>
          <w:tcPr>
            <w:tcW w:w="15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bCs/>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364"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27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64"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27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364"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27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364"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27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36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bCs/>
                <w:color w:val="auto"/>
                <w:szCs w:val="21"/>
              </w:rPr>
              <w:t>所获荣誉</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荣誉名称</w:t>
            </w:r>
          </w:p>
        </w:tc>
        <w:tc>
          <w:tcPr>
            <w:tcW w:w="278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bCs/>
                <w:color w:val="auto"/>
                <w:szCs w:val="21"/>
              </w:rPr>
              <w:t>颁发部门</w:t>
            </w:r>
          </w:p>
        </w:tc>
        <w:tc>
          <w:tcPr>
            <w:tcW w:w="192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bCs/>
                <w:color w:val="auto"/>
                <w:szCs w:val="21"/>
              </w:rPr>
              <w:t>颁发时间</w:t>
            </w:r>
          </w:p>
        </w:tc>
        <w:tc>
          <w:tcPr>
            <w:tcW w:w="15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bCs/>
                <w:color w:val="auto"/>
                <w:szCs w:val="21"/>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364"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27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364" w:type="dxa"/>
            <w:vMerge w:val="continue"/>
            <w:tcBorders>
              <w:left w:val="single" w:color="auto" w:sz="4" w:space="0"/>
              <w:right w:val="single" w:color="auto" w:sz="4" w:space="0"/>
            </w:tcBorders>
            <w:vAlign w:val="center"/>
          </w:tcPr>
          <w:p>
            <w:pPr>
              <w:spacing w:line="360" w:lineRule="auto"/>
              <w:jc w:val="center"/>
              <w:rPr>
                <w:rFonts w:ascii="宋体" w:hAnsi="宋体"/>
                <w:color w:val="auto"/>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27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36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27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c>
          <w:tcPr>
            <w:tcW w:w="15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经营范围</w:t>
            </w:r>
          </w:p>
        </w:tc>
        <w:tc>
          <w:tcPr>
            <w:tcW w:w="7915" w:type="dxa"/>
            <w:gridSpan w:val="6"/>
            <w:tcBorders>
              <w:top w:val="single" w:color="auto" w:sz="4" w:space="0"/>
              <w:left w:val="single" w:color="auto" w:sz="4" w:space="0"/>
              <w:bottom w:val="single" w:color="auto" w:sz="4" w:space="0"/>
              <w:right w:val="single" w:color="auto" w:sz="4" w:space="0"/>
            </w:tcBorders>
            <w:vAlign w:val="center"/>
          </w:tcPr>
          <w:p>
            <w:pPr>
              <w:pStyle w:val="2"/>
              <w:tabs>
                <w:tab w:val="left" w:pos="1800"/>
                <w:tab w:val="left" w:pos="1980"/>
              </w:tabs>
              <w:spacing w:line="360" w:lineRule="auto"/>
              <w:ind w:firstLine="42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其他</w:t>
            </w:r>
          </w:p>
        </w:tc>
        <w:tc>
          <w:tcPr>
            <w:tcW w:w="791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color w:val="auto"/>
                <w:szCs w:val="21"/>
              </w:rPr>
            </w:pPr>
          </w:p>
        </w:tc>
      </w:tr>
    </w:tbl>
    <w:p>
      <w:pPr>
        <w:spacing w:line="360" w:lineRule="auto"/>
        <w:ind w:firstLine="420" w:firstLineChars="200"/>
        <w:rPr>
          <w:rFonts w:ascii="宋体" w:hAnsi="宋体"/>
          <w:color w:val="auto"/>
          <w:szCs w:val="21"/>
        </w:rPr>
      </w:pPr>
      <w:r>
        <w:rPr>
          <w:rFonts w:hint="eastAsia" w:ascii="宋体" w:hAnsi="宋体"/>
          <w:color w:val="auto"/>
          <w:szCs w:val="21"/>
        </w:rPr>
        <w:t>注：1、表格内容不够，可另附页。</w:t>
      </w:r>
    </w:p>
    <w:p>
      <w:pPr>
        <w:spacing w:line="360" w:lineRule="auto"/>
        <w:ind w:firstLine="420" w:firstLineChars="200"/>
        <w:outlineLvl w:val="1"/>
        <w:rPr>
          <w:rFonts w:ascii="宋体" w:hAnsi="宋体"/>
          <w:color w:val="auto"/>
          <w:szCs w:val="21"/>
        </w:rPr>
      </w:pPr>
      <w:r>
        <w:rPr>
          <w:rFonts w:hint="eastAsia" w:ascii="宋体" w:hAnsi="宋体"/>
          <w:color w:val="auto"/>
          <w:szCs w:val="21"/>
        </w:rPr>
        <w:t>2、所获认证证书、荣誉资料的复印件附后。</w:t>
      </w:r>
    </w:p>
    <w:p>
      <w:pPr>
        <w:spacing w:line="360" w:lineRule="auto"/>
        <w:ind w:firstLine="420" w:firstLineChars="200"/>
        <w:rPr>
          <w:rFonts w:ascii="宋体" w:hAnsi="宋体"/>
          <w:color w:val="auto"/>
          <w:szCs w:val="21"/>
        </w:rPr>
      </w:pPr>
    </w:p>
    <w:p>
      <w:pPr>
        <w:spacing w:line="360" w:lineRule="auto"/>
        <w:ind w:firstLine="422" w:firstLineChars="200"/>
        <w:rPr>
          <w:rFonts w:ascii="宋体" w:hAnsi="宋体"/>
          <w:b/>
          <w:color w:val="auto"/>
          <w:szCs w:val="21"/>
        </w:rPr>
      </w:pPr>
      <w:r>
        <w:rPr>
          <w:rFonts w:hint="eastAsia" w:ascii="宋体" w:hAnsi="宋体"/>
          <w:b/>
          <w:bCs/>
          <w:color w:val="auto"/>
          <w:szCs w:val="21"/>
        </w:rPr>
        <w:t>供应商</w:t>
      </w:r>
      <w:r>
        <w:rPr>
          <w:rFonts w:hint="eastAsia" w:ascii="宋体" w:hAnsi="宋体"/>
          <w:b/>
          <w:color w:val="auto"/>
          <w:szCs w:val="21"/>
        </w:rPr>
        <w:t>（公章）：</w:t>
      </w:r>
    </w:p>
    <w:p>
      <w:pPr>
        <w:tabs>
          <w:tab w:val="left" w:pos="2840"/>
          <w:tab w:val="left" w:pos="3780"/>
          <w:tab w:val="left" w:pos="5460"/>
          <w:tab w:val="left" w:pos="7140"/>
          <w:tab w:val="left" w:pos="8820"/>
          <w:tab w:val="left" w:pos="10500"/>
          <w:tab w:val="left" w:pos="12180"/>
        </w:tabs>
        <w:spacing w:line="360" w:lineRule="auto"/>
        <w:ind w:firstLine="422" w:firstLineChars="200"/>
        <w:rPr>
          <w:rFonts w:ascii="宋体" w:hAnsi="宋体"/>
          <w:b/>
          <w:bCs/>
          <w:color w:val="auto"/>
          <w:szCs w:val="21"/>
        </w:rPr>
      </w:pPr>
      <w:r>
        <w:rPr>
          <w:rFonts w:hint="eastAsia" w:ascii="宋体" w:hAnsi="宋体"/>
          <w:b/>
          <w:bCs/>
          <w:color w:val="auto"/>
          <w:szCs w:val="21"/>
        </w:rPr>
        <w:t>法定代表人或授权代表（签字或盖章）：</w:t>
      </w:r>
    </w:p>
    <w:p>
      <w:pPr>
        <w:tabs>
          <w:tab w:val="left" w:pos="2840"/>
          <w:tab w:val="left" w:pos="3780"/>
          <w:tab w:val="left" w:pos="5460"/>
          <w:tab w:val="left" w:pos="7140"/>
          <w:tab w:val="left" w:pos="8820"/>
          <w:tab w:val="left" w:pos="10500"/>
          <w:tab w:val="left" w:pos="12180"/>
        </w:tabs>
        <w:spacing w:line="360" w:lineRule="auto"/>
        <w:ind w:firstLine="422" w:firstLineChars="200"/>
        <w:rPr>
          <w:rFonts w:ascii="宋体" w:hAnsi="宋体"/>
          <w:b/>
          <w:color w:val="auto"/>
          <w:szCs w:val="21"/>
        </w:rPr>
      </w:pPr>
      <w:r>
        <w:rPr>
          <w:rFonts w:hint="eastAsia" w:ascii="宋体" w:hAnsi="宋体"/>
          <w:b/>
          <w:bCs/>
          <w:color w:val="auto"/>
          <w:szCs w:val="21"/>
        </w:rPr>
        <w:t>日期：  年  月  日</w:t>
      </w:r>
    </w:p>
    <w:p>
      <w:pPr>
        <w:spacing w:line="360" w:lineRule="auto"/>
        <w:ind w:firstLine="420" w:firstLineChars="200"/>
        <w:rPr>
          <w:rFonts w:ascii="宋体" w:hAnsi="宋体"/>
          <w:color w:val="auto"/>
          <w:szCs w:val="21"/>
        </w:rPr>
        <w:sectPr>
          <w:footerReference r:id="rId7" w:type="default"/>
          <w:footerReference r:id="rId8" w:type="even"/>
          <w:pgSz w:w="11907" w:h="16840"/>
          <w:pgMar w:top="1134" w:right="1134" w:bottom="1134" w:left="1134" w:header="851" w:footer="851" w:gutter="0"/>
          <w:cols w:space="720" w:num="1"/>
          <w:rtlGutter w:val="1"/>
          <w:docGrid w:linePitch="312" w:charSpace="0"/>
        </w:sectPr>
      </w:pPr>
    </w:p>
    <w:p>
      <w:pPr>
        <w:spacing w:line="360" w:lineRule="auto"/>
        <w:ind w:firstLine="420" w:firstLineChars="200"/>
        <w:jc w:val="left"/>
        <w:rPr>
          <w:rFonts w:ascii="宋体" w:hAnsi="宋体"/>
          <w:color w:val="auto"/>
          <w:szCs w:val="21"/>
        </w:rPr>
      </w:pPr>
      <w:r>
        <w:rPr>
          <w:rFonts w:hint="eastAsia" w:ascii="宋体" w:hAnsi="宋体"/>
          <w:color w:val="auto"/>
          <w:szCs w:val="21"/>
        </w:rPr>
        <w:t>附件8：</w:t>
      </w:r>
    </w:p>
    <w:p>
      <w:pPr>
        <w:spacing w:line="360" w:lineRule="auto"/>
        <w:ind w:firstLine="420" w:firstLineChars="200"/>
        <w:rPr>
          <w:rFonts w:ascii="宋体" w:hAnsi="宋体"/>
          <w:color w:val="auto"/>
          <w:szCs w:val="21"/>
        </w:rPr>
      </w:pPr>
      <w:bookmarkStart w:id="209" w:name="_Toc375032816"/>
      <w:bookmarkStart w:id="210" w:name="_Toc373907411"/>
    </w:p>
    <w:p>
      <w:pPr>
        <w:spacing w:line="360" w:lineRule="auto"/>
        <w:ind w:firstLine="422"/>
        <w:jc w:val="center"/>
        <w:rPr>
          <w:rFonts w:ascii="宋体" w:hAnsi="宋体"/>
          <w:b/>
          <w:color w:val="auto"/>
          <w:szCs w:val="21"/>
        </w:rPr>
      </w:pPr>
      <w:r>
        <w:rPr>
          <w:rFonts w:hint="eastAsia" w:ascii="宋体" w:hAnsi="宋体"/>
          <w:b/>
          <w:color w:val="auto"/>
          <w:szCs w:val="21"/>
        </w:rPr>
        <w:t>项目组成人员表</w:t>
      </w:r>
    </w:p>
    <w:p>
      <w:pPr>
        <w:spacing w:line="360" w:lineRule="auto"/>
        <w:rPr>
          <w:rFonts w:ascii="宋体" w:hAnsi="宋体"/>
          <w:color w:val="auto"/>
          <w:szCs w:val="21"/>
        </w:rPr>
      </w:pPr>
    </w:p>
    <w:tbl>
      <w:tblPr>
        <w:tblStyle w:val="39"/>
        <w:tblW w:w="9747" w:type="dxa"/>
        <w:tblInd w:w="0" w:type="dxa"/>
        <w:tblLayout w:type="fixed"/>
        <w:tblCellMar>
          <w:top w:w="0" w:type="dxa"/>
          <w:left w:w="108" w:type="dxa"/>
          <w:bottom w:w="0" w:type="dxa"/>
          <w:right w:w="108" w:type="dxa"/>
        </w:tblCellMar>
      </w:tblPr>
      <w:tblGrid>
        <w:gridCol w:w="1242"/>
        <w:gridCol w:w="1276"/>
        <w:gridCol w:w="1134"/>
        <w:gridCol w:w="1276"/>
        <w:gridCol w:w="1276"/>
        <w:gridCol w:w="1701"/>
        <w:gridCol w:w="1842"/>
      </w:tblGrid>
      <w:tr>
        <w:tblPrEx>
          <w:tblCellMar>
            <w:top w:w="0" w:type="dxa"/>
            <w:left w:w="108" w:type="dxa"/>
            <w:bottom w:w="0" w:type="dxa"/>
            <w:right w:w="108" w:type="dxa"/>
          </w:tblCellMar>
        </w:tblPrEx>
        <w:trPr>
          <w:trHeight w:val="480" w:hRule="atLeast"/>
        </w:trPr>
        <w:tc>
          <w:tcPr>
            <w:tcW w:w="1242"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岗位</w:t>
            </w:r>
          </w:p>
        </w:tc>
        <w:tc>
          <w:tcPr>
            <w:tcW w:w="127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姓名</w:t>
            </w:r>
          </w:p>
        </w:tc>
        <w:tc>
          <w:tcPr>
            <w:tcW w:w="1134"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性别</w:t>
            </w:r>
          </w:p>
        </w:tc>
        <w:tc>
          <w:tcPr>
            <w:tcW w:w="127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年龄</w:t>
            </w:r>
          </w:p>
        </w:tc>
        <w:tc>
          <w:tcPr>
            <w:tcW w:w="127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专业</w:t>
            </w:r>
          </w:p>
        </w:tc>
        <w:tc>
          <w:tcPr>
            <w:tcW w:w="1701"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职称</w:t>
            </w:r>
          </w:p>
        </w:tc>
        <w:tc>
          <w:tcPr>
            <w:tcW w:w="1842"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资格证书</w:t>
            </w:r>
          </w:p>
        </w:tc>
      </w:tr>
      <w:tr>
        <w:tblPrEx>
          <w:tblCellMar>
            <w:top w:w="0" w:type="dxa"/>
            <w:left w:w="108" w:type="dxa"/>
            <w:bottom w:w="0" w:type="dxa"/>
            <w:right w:w="108" w:type="dxa"/>
          </w:tblCellMar>
        </w:tblPrEx>
        <w:trPr>
          <w:trHeight w:val="566" w:hRule="atLeast"/>
        </w:trPr>
        <w:tc>
          <w:tcPr>
            <w:tcW w:w="124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290" w:hRule="atLeast"/>
        </w:trPr>
        <w:tc>
          <w:tcPr>
            <w:tcW w:w="1242" w:type="dxa"/>
            <w:tcBorders>
              <w:top w:val="nil"/>
              <w:left w:val="single" w:color="auto" w:sz="8" w:space="0"/>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134"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276"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701"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c>
          <w:tcPr>
            <w:tcW w:w="1842" w:type="dxa"/>
            <w:tcBorders>
              <w:top w:val="nil"/>
              <w:left w:val="nil"/>
              <w:bottom w:val="single" w:color="auto" w:sz="8" w:space="0"/>
              <w:right w:val="single" w:color="auto" w:sz="8" w:space="0"/>
            </w:tcBorders>
            <w:vAlign w:val="center"/>
          </w:tcPr>
          <w:p>
            <w:pPr>
              <w:widowControl/>
              <w:spacing w:line="360" w:lineRule="auto"/>
              <w:jc w:val="center"/>
              <w:rPr>
                <w:rFonts w:ascii="宋体" w:hAnsi="宋体" w:cs="宋体"/>
                <w:color w:val="auto"/>
                <w:kern w:val="0"/>
                <w:szCs w:val="21"/>
              </w:rPr>
            </w:pPr>
          </w:p>
        </w:tc>
      </w:tr>
    </w:tbl>
    <w:p>
      <w:pPr>
        <w:spacing w:line="360" w:lineRule="auto"/>
        <w:rPr>
          <w:rFonts w:ascii="宋体" w:hAnsi="宋体"/>
          <w:color w:val="auto"/>
          <w:kern w:val="0"/>
          <w:szCs w:val="21"/>
        </w:rPr>
      </w:pPr>
    </w:p>
    <w:p>
      <w:pPr>
        <w:spacing w:line="360" w:lineRule="auto"/>
        <w:rPr>
          <w:rFonts w:ascii="宋体" w:hAnsi="宋体"/>
          <w:color w:val="auto"/>
          <w:kern w:val="0"/>
          <w:szCs w:val="21"/>
        </w:rPr>
      </w:pPr>
    </w:p>
    <w:p>
      <w:pPr>
        <w:pStyle w:val="71"/>
        <w:overflowPunct w:val="0"/>
        <w:spacing w:line="360" w:lineRule="auto"/>
        <w:ind w:firstLine="420" w:firstLineChars="200"/>
        <w:rPr>
          <w:rFonts w:ascii="宋体" w:hAnsi="宋体"/>
          <w:color w:val="auto"/>
        </w:rPr>
      </w:pPr>
    </w:p>
    <w:p>
      <w:pPr>
        <w:pStyle w:val="71"/>
        <w:overflowPunct w:val="0"/>
        <w:spacing w:line="360" w:lineRule="auto"/>
        <w:ind w:firstLine="420" w:firstLineChars="200"/>
        <w:rPr>
          <w:rFonts w:ascii="宋体" w:hAnsi="宋体"/>
          <w:color w:val="auto"/>
        </w:rPr>
      </w:pPr>
    </w:p>
    <w:p>
      <w:pPr>
        <w:pStyle w:val="71"/>
        <w:overflowPunct w:val="0"/>
        <w:spacing w:line="360" w:lineRule="auto"/>
        <w:ind w:firstLine="422" w:firstLineChars="200"/>
        <w:rPr>
          <w:rFonts w:ascii="宋体" w:hAnsi="宋体"/>
          <w:b/>
          <w:color w:val="auto"/>
        </w:rPr>
      </w:pPr>
      <w:r>
        <w:rPr>
          <w:rFonts w:hint="eastAsia" w:ascii="宋体" w:hAnsi="宋体"/>
          <w:b/>
          <w:color w:val="auto"/>
        </w:rPr>
        <w:t>供应商（公章）：</w:t>
      </w:r>
    </w:p>
    <w:p>
      <w:pPr>
        <w:pStyle w:val="71"/>
        <w:overflowPunct w:val="0"/>
        <w:spacing w:line="360" w:lineRule="auto"/>
        <w:ind w:firstLine="422" w:firstLineChars="200"/>
        <w:rPr>
          <w:rFonts w:ascii="宋体" w:hAnsi="宋体"/>
          <w:b/>
          <w:color w:val="auto"/>
        </w:rPr>
      </w:pPr>
      <w:r>
        <w:rPr>
          <w:rFonts w:hint="eastAsia" w:ascii="宋体" w:hAnsi="宋体"/>
          <w:b/>
          <w:color w:val="auto"/>
        </w:rPr>
        <w:t>法定代表人或授权代表（签字或盖章）：</w:t>
      </w:r>
    </w:p>
    <w:p>
      <w:pPr>
        <w:pStyle w:val="71"/>
        <w:overflowPunct w:val="0"/>
        <w:spacing w:line="360" w:lineRule="auto"/>
        <w:ind w:firstLine="422" w:firstLineChars="200"/>
        <w:rPr>
          <w:rFonts w:ascii="宋体" w:hAnsi="宋体"/>
          <w:b/>
          <w:color w:val="auto"/>
        </w:rPr>
      </w:pPr>
      <w:r>
        <w:rPr>
          <w:rFonts w:hint="eastAsia" w:ascii="宋体" w:hAnsi="宋体"/>
          <w:b/>
          <w:color w:val="auto"/>
        </w:rPr>
        <w:t>日期：  　年　月　日</w:t>
      </w:r>
    </w:p>
    <w:p>
      <w:pPr>
        <w:pStyle w:val="71"/>
        <w:overflowPunct w:val="0"/>
        <w:spacing w:line="360" w:lineRule="auto"/>
        <w:ind w:firstLine="420" w:firstLineChars="200"/>
        <w:rPr>
          <w:rFonts w:ascii="宋体" w:hAnsi="宋体"/>
          <w:color w:val="auto"/>
        </w:rPr>
      </w:pPr>
    </w:p>
    <w:p>
      <w:pPr>
        <w:spacing w:line="360" w:lineRule="auto"/>
        <w:ind w:firstLine="422" w:firstLineChars="200"/>
        <w:jc w:val="left"/>
        <w:rPr>
          <w:rFonts w:ascii="宋体" w:hAnsi="宋体"/>
          <w:b/>
          <w:bCs/>
          <w:color w:val="auto"/>
          <w:szCs w:val="21"/>
        </w:rPr>
      </w:pPr>
      <w:r>
        <w:rPr>
          <w:rFonts w:ascii="宋体" w:hAnsi="宋体"/>
          <w:b/>
          <w:color w:val="auto"/>
          <w:szCs w:val="21"/>
        </w:rPr>
        <w:br w:type="page"/>
      </w:r>
      <w:bookmarkStart w:id="211" w:name="_Toc456102501"/>
      <w:bookmarkStart w:id="212" w:name="_Toc456102124"/>
      <w:bookmarkStart w:id="213" w:name="_Toc456102678"/>
      <w:bookmarkStart w:id="214" w:name="_Toc433707803"/>
      <w:r>
        <w:rPr>
          <w:rFonts w:hint="eastAsia" w:ascii="宋体" w:hAnsi="宋体"/>
          <w:color w:val="auto"/>
          <w:szCs w:val="21"/>
        </w:rPr>
        <w:t>附件</w:t>
      </w:r>
      <w:r>
        <w:rPr>
          <w:rFonts w:ascii="宋体" w:hAnsi="宋体"/>
          <w:color w:val="auto"/>
          <w:szCs w:val="21"/>
        </w:rPr>
        <w:t>9</w:t>
      </w:r>
      <w:r>
        <w:rPr>
          <w:rFonts w:hint="eastAsia" w:ascii="宋体" w:hAnsi="宋体"/>
          <w:color w:val="auto"/>
          <w:szCs w:val="21"/>
        </w:rPr>
        <w:t>：</w:t>
      </w:r>
      <w:bookmarkEnd w:id="211"/>
      <w:bookmarkEnd w:id="212"/>
      <w:bookmarkEnd w:id="213"/>
      <w:bookmarkEnd w:id="214"/>
    </w:p>
    <w:p>
      <w:pPr>
        <w:spacing w:line="360" w:lineRule="auto"/>
        <w:ind w:firstLine="420" w:firstLineChars="200"/>
        <w:rPr>
          <w:rFonts w:ascii="宋体" w:hAnsi="宋体"/>
          <w:color w:val="auto"/>
          <w:szCs w:val="21"/>
        </w:rPr>
      </w:pPr>
    </w:p>
    <w:bookmarkEnd w:id="209"/>
    <w:bookmarkEnd w:id="210"/>
    <w:p>
      <w:pPr>
        <w:spacing w:line="360" w:lineRule="auto"/>
        <w:ind w:firstLine="422" w:firstLineChars="200"/>
        <w:jc w:val="center"/>
        <w:rPr>
          <w:rFonts w:ascii="宋体" w:hAnsi="宋体"/>
          <w:b/>
          <w:bCs/>
          <w:color w:val="auto"/>
          <w:szCs w:val="21"/>
        </w:rPr>
      </w:pPr>
      <w:r>
        <w:rPr>
          <w:rFonts w:hint="eastAsia" w:ascii="宋体" w:hAnsi="宋体"/>
          <w:b/>
          <w:bCs/>
          <w:color w:val="auto"/>
          <w:szCs w:val="21"/>
        </w:rPr>
        <w:t>服务承诺</w:t>
      </w:r>
    </w:p>
    <w:p>
      <w:pPr>
        <w:tabs>
          <w:tab w:val="left" w:pos="525"/>
        </w:tabs>
        <w:spacing w:line="360" w:lineRule="auto"/>
        <w:ind w:firstLine="420" w:firstLineChars="200"/>
        <w:rPr>
          <w:rFonts w:ascii="宋体" w:hAnsi="宋体"/>
          <w:color w:val="auto"/>
          <w:szCs w:val="21"/>
        </w:rPr>
      </w:pPr>
      <w:r>
        <w:rPr>
          <w:rFonts w:hint="eastAsia" w:ascii="宋体" w:hAnsi="宋体"/>
          <w:color w:val="auto"/>
          <w:szCs w:val="21"/>
        </w:rPr>
        <w:t>1、我单位承诺，一旦我方成交，我们将根据磋商文件的规定，提供不低于磋商文件要求的服务和相关规定。</w:t>
      </w:r>
    </w:p>
    <w:p>
      <w:pPr>
        <w:spacing w:line="360" w:lineRule="auto"/>
        <w:ind w:firstLine="420" w:firstLineChars="200"/>
        <w:jc w:val="left"/>
        <w:outlineLvl w:val="1"/>
        <w:rPr>
          <w:rFonts w:ascii="宋体" w:hAnsi="宋体"/>
          <w:color w:val="auto"/>
          <w:szCs w:val="21"/>
        </w:rPr>
      </w:pPr>
      <w:r>
        <w:rPr>
          <w:rFonts w:hint="eastAsia" w:ascii="宋体" w:hAnsi="宋体"/>
          <w:color w:val="auto"/>
          <w:szCs w:val="21"/>
        </w:rPr>
        <w:t>2、其他服务承诺：</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71"/>
        <w:overflowPunct w:val="0"/>
        <w:spacing w:line="360" w:lineRule="auto"/>
        <w:ind w:firstLine="422" w:firstLineChars="200"/>
        <w:rPr>
          <w:rFonts w:ascii="宋体" w:hAnsi="宋体"/>
          <w:b/>
          <w:color w:val="auto"/>
        </w:rPr>
      </w:pPr>
      <w:r>
        <w:rPr>
          <w:rFonts w:hint="eastAsia" w:ascii="宋体" w:hAnsi="宋体"/>
          <w:b/>
          <w:color w:val="auto"/>
        </w:rPr>
        <w:t xml:space="preserve">供应商（公章）： </w:t>
      </w:r>
    </w:p>
    <w:p>
      <w:pPr>
        <w:pStyle w:val="71"/>
        <w:overflowPunct w:val="0"/>
        <w:spacing w:line="360" w:lineRule="auto"/>
        <w:ind w:firstLine="422" w:firstLineChars="200"/>
        <w:rPr>
          <w:rFonts w:ascii="宋体" w:hAnsi="宋体"/>
          <w:b/>
          <w:color w:val="auto"/>
        </w:rPr>
      </w:pPr>
    </w:p>
    <w:p>
      <w:pPr>
        <w:pStyle w:val="71"/>
        <w:overflowPunct w:val="0"/>
        <w:spacing w:line="360" w:lineRule="auto"/>
        <w:ind w:firstLine="422" w:firstLineChars="200"/>
        <w:rPr>
          <w:rFonts w:ascii="宋体" w:hAnsi="宋体"/>
          <w:b/>
          <w:color w:val="auto"/>
        </w:rPr>
      </w:pPr>
      <w:r>
        <w:rPr>
          <w:rFonts w:hint="eastAsia" w:ascii="宋体" w:hAnsi="宋体"/>
          <w:b/>
          <w:color w:val="auto"/>
        </w:rPr>
        <w:t xml:space="preserve">法定代表人或授权代表（签字或盖章）：    </w:t>
      </w:r>
    </w:p>
    <w:p>
      <w:pPr>
        <w:pStyle w:val="71"/>
        <w:overflowPunct w:val="0"/>
        <w:spacing w:line="360" w:lineRule="auto"/>
        <w:ind w:firstLine="422" w:firstLineChars="200"/>
        <w:rPr>
          <w:rFonts w:ascii="宋体" w:hAnsi="宋体"/>
          <w:b/>
          <w:color w:val="auto"/>
        </w:rPr>
      </w:pPr>
    </w:p>
    <w:p>
      <w:pPr>
        <w:spacing w:line="360" w:lineRule="auto"/>
        <w:ind w:firstLine="422" w:firstLineChars="200"/>
        <w:rPr>
          <w:rFonts w:ascii="宋体" w:hAnsi="宋体"/>
          <w:b/>
          <w:color w:val="auto"/>
          <w:szCs w:val="21"/>
        </w:rPr>
      </w:pPr>
      <w:r>
        <w:rPr>
          <w:rFonts w:hint="eastAsia" w:ascii="宋体" w:hAnsi="宋体"/>
          <w:b/>
          <w:color w:val="auto"/>
          <w:szCs w:val="21"/>
        </w:rPr>
        <w:t>日期：   　年　  月　 日</w:t>
      </w: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ind w:firstLine="480" w:firstLineChars="200"/>
        <w:rPr>
          <w:rFonts w:ascii="新宋体" w:hAnsi="新宋体" w:eastAsia="新宋体"/>
          <w:color w:val="auto"/>
          <w:sz w:val="24"/>
        </w:rPr>
      </w:pPr>
    </w:p>
    <w:p>
      <w:pPr>
        <w:spacing w:line="360" w:lineRule="auto"/>
        <w:ind w:firstLine="480"/>
        <w:rPr>
          <w:rFonts w:ascii="新宋体" w:hAnsi="新宋体" w:eastAsia="新宋体"/>
          <w:color w:val="auto"/>
          <w:sz w:val="24"/>
        </w:rPr>
      </w:pPr>
    </w:p>
    <w:p>
      <w:pPr>
        <w:spacing w:line="360" w:lineRule="auto"/>
        <w:ind w:firstLine="480" w:firstLineChars="200"/>
        <w:jc w:val="left"/>
        <w:rPr>
          <w:rFonts w:ascii="宋体" w:hAnsi="宋体"/>
          <w:b/>
          <w:bCs/>
          <w:color w:val="auto"/>
          <w:szCs w:val="21"/>
        </w:rPr>
      </w:pPr>
      <w:r>
        <w:rPr>
          <w:rFonts w:ascii="新宋体" w:hAnsi="新宋体" w:eastAsia="新宋体"/>
          <w:color w:val="auto"/>
          <w:sz w:val="24"/>
        </w:rPr>
        <w:br w:type="page"/>
      </w:r>
      <w:r>
        <w:rPr>
          <w:rFonts w:hint="eastAsia" w:ascii="宋体" w:hAnsi="宋体"/>
          <w:color w:val="auto"/>
          <w:szCs w:val="21"/>
        </w:rPr>
        <w:t>附件10：企业声明函（格式）：</w:t>
      </w:r>
    </w:p>
    <w:p>
      <w:pPr>
        <w:spacing w:line="360" w:lineRule="auto"/>
        <w:ind w:firstLine="420" w:firstLineChars="200"/>
        <w:jc w:val="left"/>
        <w:rPr>
          <w:rFonts w:ascii="宋体" w:hAnsi="宋体"/>
          <w:color w:val="auto"/>
          <w:szCs w:val="21"/>
        </w:rPr>
      </w:pPr>
    </w:p>
    <w:p>
      <w:pPr>
        <w:keepNext/>
        <w:keepLines/>
        <w:spacing w:before="260" w:after="260" w:line="412" w:lineRule="auto"/>
        <w:ind w:firstLine="422"/>
        <w:jc w:val="center"/>
        <w:outlineLvl w:val="0"/>
        <w:rPr>
          <w:rFonts w:ascii="宋体" w:hAnsi="宋体" w:cs="宋体"/>
          <w:b/>
          <w:bCs/>
          <w:color w:val="auto"/>
          <w:kern w:val="0"/>
          <w:szCs w:val="21"/>
        </w:rPr>
      </w:pPr>
      <w:r>
        <w:rPr>
          <w:rFonts w:hint="eastAsia" w:ascii="宋体" w:hAnsi="宋体" w:cs="宋体"/>
          <w:b/>
          <w:bCs/>
          <w:color w:val="auto"/>
          <w:kern w:val="0"/>
          <w:szCs w:val="21"/>
        </w:rPr>
        <w:t>企业声明函</w:t>
      </w:r>
    </w:p>
    <w:p>
      <w:pPr>
        <w:autoSpaceDE w:val="0"/>
        <w:autoSpaceDN w:val="0"/>
        <w:adjustRightInd w:val="0"/>
        <w:spacing w:line="480" w:lineRule="auto"/>
        <w:ind w:firstLine="630" w:firstLineChars="300"/>
        <w:jc w:val="left"/>
        <w:rPr>
          <w:rFonts w:ascii="宋体" w:hAnsi="宋体"/>
          <w:color w:val="auto"/>
          <w:kern w:val="0"/>
          <w:szCs w:val="21"/>
        </w:rPr>
      </w:pPr>
      <w:r>
        <w:rPr>
          <w:rFonts w:hint="eastAsia" w:ascii="宋体" w:hAnsi="宋体"/>
          <w:color w:val="auto"/>
          <w:kern w:val="0"/>
          <w:szCs w:val="21"/>
        </w:rPr>
        <w:t>本公司（联合体）郑重声明，根据《政府采购促进中小企业发展管理办法》（财库﹝</w:t>
      </w:r>
      <w:r>
        <w:rPr>
          <w:rFonts w:ascii="宋体" w:hAnsi="宋体"/>
          <w:color w:val="auto"/>
          <w:kern w:val="0"/>
          <w:szCs w:val="21"/>
        </w:rPr>
        <w:t xml:space="preserve">2020﹞46 </w:t>
      </w:r>
      <w:r>
        <w:rPr>
          <w:rFonts w:hint="eastAsia" w:ascii="宋体" w:hAnsi="宋体"/>
          <w:color w:val="auto"/>
          <w:kern w:val="0"/>
          <w:szCs w:val="21"/>
        </w:rPr>
        <w:t>号）的规定，本公司</w:t>
      </w:r>
      <w:r>
        <w:rPr>
          <w:rFonts w:ascii="宋体" w:hAnsi="宋体"/>
          <w:color w:val="auto"/>
          <w:kern w:val="0"/>
          <w:szCs w:val="21"/>
        </w:rPr>
        <w:t>(联合体)</w:t>
      </w:r>
      <w:r>
        <w:rPr>
          <w:rFonts w:hint="eastAsia" w:ascii="宋体" w:hAnsi="宋体"/>
          <w:color w:val="auto"/>
          <w:kern w:val="0"/>
          <w:szCs w:val="21"/>
        </w:rPr>
        <w:t>参加</w:t>
      </w:r>
      <w:r>
        <w:rPr>
          <w:rFonts w:hint="eastAsia" w:ascii="宋体" w:hAnsi="宋体"/>
          <w:color w:val="auto"/>
          <w:kern w:val="0"/>
          <w:szCs w:val="21"/>
          <w:u w:val="single"/>
        </w:rPr>
        <w:t>（单位名称）</w:t>
      </w:r>
      <w:r>
        <w:rPr>
          <w:rFonts w:hint="eastAsia" w:ascii="宋体" w:hAnsi="宋体"/>
          <w:color w:val="auto"/>
          <w:kern w:val="0"/>
          <w:szCs w:val="21"/>
        </w:rPr>
        <w:t>的</w:t>
      </w:r>
      <w:r>
        <w:rPr>
          <w:rFonts w:hint="eastAsia" w:ascii="宋体" w:hAnsi="宋体"/>
          <w:color w:val="auto"/>
          <w:kern w:val="0"/>
          <w:szCs w:val="21"/>
          <w:u w:val="single"/>
        </w:rPr>
        <w:t>（项目名称）</w:t>
      </w:r>
      <w:r>
        <w:rPr>
          <w:rFonts w:hint="eastAsia" w:ascii="宋体" w:hAnsi="宋体"/>
          <w:color w:val="auto"/>
          <w:kern w:val="0"/>
          <w:szCs w:val="21"/>
        </w:rPr>
        <w:t>采购活动，</w:t>
      </w:r>
      <w:r>
        <w:rPr>
          <w:rFonts w:hint="eastAsia" w:ascii="宋体" w:hAnsi="宋体" w:cs="宋体"/>
          <w:color w:val="auto"/>
          <w:kern w:val="0"/>
          <w:szCs w:val="21"/>
        </w:rPr>
        <w:t>工程的施工单位全部为符合政策要求的中小企业（或者：服务全部由符合政策要求的中小企业承接）</w:t>
      </w:r>
      <w:r>
        <w:rPr>
          <w:rFonts w:hint="eastAsia" w:ascii="宋体" w:hAnsi="宋体"/>
          <w:color w:val="auto"/>
          <w:kern w:val="0"/>
          <w:szCs w:val="21"/>
        </w:rPr>
        <w:t>。相关企业（含联合体中的中小企业、签订分包意向协议的中小企业）的具体情况如下：</w:t>
      </w:r>
    </w:p>
    <w:p>
      <w:pPr>
        <w:autoSpaceDE w:val="0"/>
        <w:autoSpaceDN w:val="0"/>
        <w:adjustRightIn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 xml:space="preserve">1. </w:t>
      </w:r>
      <w:r>
        <w:rPr>
          <w:rFonts w:hint="eastAsia" w:ascii="宋体" w:hAnsi="宋体"/>
          <w:color w:val="auto"/>
          <w:kern w:val="0"/>
          <w:szCs w:val="21"/>
          <w:u w:val="single"/>
        </w:rPr>
        <w:t>（标的名称）</w:t>
      </w:r>
      <w:r>
        <w:rPr>
          <w:rFonts w:hint="eastAsia" w:ascii="宋体" w:hAnsi="宋体"/>
          <w:color w:val="auto"/>
          <w:kern w:val="0"/>
          <w:szCs w:val="21"/>
        </w:rPr>
        <w:t>，属于</w:t>
      </w:r>
      <w:r>
        <w:rPr>
          <w:rFonts w:hint="eastAsia" w:ascii="宋体" w:hAnsi="宋体"/>
          <w:color w:val="auto"/>
          <w:kern w:val="0"/>
          <w:szCs w:val="21"/>
          <w:u w:val="single"/>
        </w:rPr>
        <w:t>（采购文件中明确的所属行业）</w:t>
      </w:r>
      <w:r>
        <w:rPr>
          <w:rFonts w:hint="eastAsia" w:ascii="宋体" w:hAnsi="宋体"/>
          <w:color w:val="auto"/>
          <w:kern w:val="0"/>
          <w:szCs w:val="21"/>
        </w:rPr>
        <w:t>；承建（承接）企业为</w:t>
      </w:r>
      <w:r>
        <w:rPr>
          <w:rFonts w:hint="eastAsia" w:ascii="宋体" w:hAnsi="宋体"/>
          <w:color w:val="auto"/>
          <w:kern w:val="0"/>
          <w:szCs w:val="21"/>
          <w:u w:val="single"/>
        </w:rPr>
        <w:t>（企业名称）</w:t>
      </w:r>
      <w:r>
        <w:rPr>
          <w:rFonts w:hint="eastAsia" w:ascii="宋体" w:hAnsi="宋体"/>
          <w:color w:val="auto"/>
          <w:kern w:val="0"/>
          <w:szCs w:val="21"/>
        </w:rPr>
        <w:t>，从业人员人，营业收入为万元，资产总额为万元</w:t>
      </w:r>
      <w:r>
        <w:rPr>
          <w:rFonts w:ascii="宋体" w:hAnsi="宋体"/>
          <w:color w:val="auto"/>
          <w:kern w:val="0"/>
          <w:szCs w:val="21"/>
          <w:vertAlign w:val="superscript"/>
        </w:rPr>
        <w:t>1</w:t>
      </w:r>
      <w:r>
        <w:rPr>
          <w:rFonts w:hint="eastAsia" w:ascii="宋体" w:hAnsi="宋体"/>
          <w:color w:val="auto"/>
          <w:kern w:val="0"/>
          <w:szCs w:val="21"/>
        </w:rPr>
        <w:t>，属于</w:t>
      </w:r>
      <w:r>
        <w:rPr>
          <w:rFonts w:hint="eastAsia" w:ascii="宋体" w:hAnsi="宋体"/>
          <w:color w:val="auto"/>
          <w:kern w:val="0"/>
          <w:szCs w:val="21"/>
          <w:u w:val="single"/>
        </w:rPr>
        <w:t>（中型企业、小型企业、微型企业）</w:t>
      </w:r>
      <w:r>
        <w:rPr>
          <w:rFonts w:hint="eastAsia" w:ascii="宋体" w:hAnsi="宋体"/>
          <w:color w:val="auto"/>
          <w:kern w:val="0"/>
          <w:szCs w:val="21"/>
        </w:rPr>
        <w:t>；</w:t>
      </w:r>
    </w:p>
    <w:p>
      <w:pPr>
        <w:autoSpaceDE w:val="0"/>
        <w:autoSpaceDN w:val="0"/>
        <w:adjustRightIn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 xml:space="preserve">2. </w:t>
      </w:r>
      <w:r>
        <w:rPr>
          <w:rFonts w:hint="eastAsia" w:ascii="宋体" w:hAnsi="宋体"/>
          <w:color w:val="auto"/>
          <w:kern w:val="0"/>
          <w:szCs w:val="21"/>
          <w:u w:val="single"/>
        </w:rPr>
        <w:t>（标的名称）</w:t>
      </w:r>
      <w:r>
        <w:rPr>
          <w:rFonts w:hint="eastAsia" w:ascii="宋体" w:hAnsi="宋体"/>
          <w:color w:val="auto"/>
          <w:kern w:val="0"/>
          <w:szCs w:val="21"/>
        </w:rPr>
        <w:t>，属于</w:t>
      </w:r>
      <w:r>
        <w:rPr>
          <w:rFonts w:hint="eastAsia" w:ascii="宋体" w:hAnsi="宋体"/>
          <w:color w:val="auto"/>
          <w:kern w:val="0"/>
          <w:szCs w:val="21"/>
          <w:u w:val="single"/>
        </w:rPr>
        <w:t>（采购文件中明确的所属行业）</w:t>
      </w:r>
      <w:r>
        <w:rPr>
          <w:rFonts w:hint="eastAsia" w:ascii="宋体" w:hAnsi="宋体"/>
          <w:color w:val="auto"/>
          <w:kern w:val="0"/>
          <w:szCs w:val="21"/>
        </w:rPr>
        <w:t>；承建（承接）企业为</w:t>
      </w:r>
      <w:r>
        <w:rPr>
          <w:rFonts w:hint="eastAsia" w:ascii="宋体" w:hAnsi="宋体"/>
          <w:color w:val="auto"/>
          <w:kern w:val="0"/>
          <w:szCs w:val="21"/>
          <w:u w:val="single"/>
        </w:rPr>
        <w:t>（企业名称）</w:t>
      </w:r>
      <w:r>
        <w:rPr>
          <w:rFonts w:hint="eastAsia" w:ascii="宋体" w:hAnsi="宋体"/>
          <w:color w:val="auto"/>
          <w:kern w:val="0"/>
          <w:szCs w:val="21"/>
        </w:rPr>
        <w:t>，从业人员人，营业收入为万元，资产总额为万元</w:t>
      </w:r>
      <w:r>
        <w:rPr>
          <w:rFonts w:ascii="宋体" w:hAnsi="宋体"/>
          <w:color w:val="auto"/>
          <w:kern w:val="0"/>
          <w:szCs w:val="21"/>
          <w:vertAlign w:val="superscript"/>
        </w:rPr>
        <w:t>1</w:t>
      </w:r>
      <w:r>
        <w:rPr>
          <w:rFonts w:hint="eastAsia" w:ascii="宋体" w:hAnsi="宋体"/>
          <w:color w:val="auto"/>
          <w:kern w:val="0"/>
          <w:szCs w:val="21"/>
        </w:rPr>
        <w:t>，属于</w:t>
      </w:r>
      <w:r>
        <w:rPr>
          <w:rFonts w:hint="eastAsia" w:ascii="宋体" w:hAnsi="宋体"/>
          <w:color w:val="auto"/>
          <w:kern w:val="0"/>
          <w:szCs w:val="21"/>
          <w:u w:val="single"/>
        </w:rPr>
        <w:t>（中型企业、小型企业、微型企业）</w:t>
      </w:r>
      <w:r>
        <w:rPr>
          <w:rFonts w:hint="eastAsia" w:ascii="宋体" w:hAnsi="宋体"/>
          <w:color w:val="auto"/>
          <w:kern w:val="0"/>
          <w:szCs w:val="21"/>
        </w:rPr>
        <w:t>；</w:t>
      </w:r>
    </w:p>
    <w:p>
      <w:pPr>
        <w:autoSpaceDE w:val="0"/>
        <w:autoSpaceDN w:val="0"/>
        <w:adjustRightInd w:val="0"/>
        <w:spacing w:line="480" w:lineRule="auto"/>
        <w:jc w:val="left"/>
        <w:rPr>
          <w:rFonts w:ascii="宋体" w:hAnsi="宋体"/>
          <w:color w:val="auto"/>
          <w:kern w:val="0"/>
          <w:szCs w:val="21"/>
        </w:rPr>
      </w:pPr>
      <w:r>
        <w:rPr>
          <w:rFonts w:hint="eastAsia" w:ascii="宋体" w:hAnsi="宋体"/>
          <w:color w:val="auto"/>
          <w:kern w:val="0"/>
          <w:szCs w:val="21"/>
        </w:rPr>
        <w:t>……</w:t>
      </w:r>
    </w:p>
    <w:p>
      <w:pPr>
        <w:autoSpaceDE w:val="0"/>
        <w:autoSpaceDN w:val="0"/>
        <w:adjustRightIn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以上企业，不属于大企业的分支机构，不存在控股股东为大企业的情形，也不存在与大企业的负责人为同一人的情形。</w:t>
      </w:r>
    </w:p>
    <w:p>
      <w:pPr>
        <w:autoSpaceDE w:val="0"/>
        <w:autoSpaceDN w:val="0"/>
        <w:adjustRightIn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本企业对上述声明内容的真实性负责。如有虚假，将依法承担相应责任。</w:t>
      </w:r>
    </w:p>
    <w:p>
      <w:pPr>
        <w:autoSpaceDE w:val="0"/>
        <w:autoSpaceDN w:val="0"/>
        <w:adjustRightInd w:val="0"/>
        <w:spacing w:line="480" w:lineRule="auto"/>
        <w:jc w:val="left"/>
        <w:rPr>
          <w:rFonts w:eastAsia="仿宋"/>
          <w:color w:val="auto"/>
          <w:kern w:val="0"/>
          <w:szCs w:val="21"/>
        </w:rPr>
      </w:pPr>
    </w:p>
    <w:p>
      <w:pPr>
        <w:autoSpaceDE w:val="0"/>
        <w:autoSpaceDN w:val="0"/>
        <w:adjustRightInd w:val="0"/>
        <w:spacing w:line="480" w:lineRule="auto"/>
        <w:ind w:firstLine="3360" w:firstLineChars="1600"/>
        <w:jc w:val="left"/>
        <w:rPr>
          <w:rFonts w:ascii="宋体" w:hAnsi="宋体"/>
          <w:color w:val="auto"/>
          <w:kern w:val="0"/>
          <w:szCs w:val="21"/>
        </w:rPr>
      </w:pPr>
      <w:r>
        <w:rPr>
          <w:rFonts w:hint="eastAsia" w:ascii="宋体" w:hAnsi="宋体"/>
          <w:color w:val="auto"/>
          <w:kern w:val="0"/>
          <w:szCs w:val="21"/>
        </w:rPr>
        <w:t>企业名称（盖章）：</w:t>
      </w:r>
    </w:p>
    <w:p>
      <w:pPr>
        <w:spacing w:line="480" w:lineRule="auto"/>
        <w:jc w:val="center"/>
        <w:rPr>
          <w:rFonts w:ascii="宋体" w:hAnsi="宋体"/>
          <w:color w:val="auto"/>
          <w:kern w:val="0"/>
          <w:szCs w:val="21"/>
        </w:rPr>
      </w:pPr>
      <w:r>
        <w:rPr>
          <w:rFonts w:hint="eastAsia" w:ascii="宋体" w:hAnsi="宋体"/>
          <w:color w:val="auto"/>
          <w:kern w:val="0"/>
          <w:szCs w:val="21"/>
        </w:rPr>
        <w:t>日期：</w:t>
      </w:r>
    </w:p>
    <w:p>
      <w:pPr>
        <w:autoSpaceDE w:val="0"/>
        <w:autoSpaceDN w:val="0"/>
        <w:adjustRightInd w:val="0"/>
        <w:spacing w:line="480" w:lineRule="auto"/>
        <w:ind w:firstLine="420" w:firstLineChars="200"/>
        <w:jc w:val="left"/>
        <w:rPr>
          <w:rFonts w:ascii="宋体" w:hAnsi="宋体"/>
          <w:color w:val="auto"/>
          <w:kern w:val="0"/>
          <w:szCs w:val="21"/>
        </w:rPr>
      </w:pPr>
      <w:r>
        <w:rPr>
          <w:rFonts w:hint="eastAsia" w:ascii="宋体" w:hAnsi="宋体"/>
          <w:color w:val="auto"/>
          <w:kern w:val="0"/>
          <w:szCs w:val="21"/>
        </w:rPr>
        <w:t>（备注：1、参照《关于印发中小企业划型标准规定的通知》（工信部联企业【2011】300号）文件，本项目所属行业为 餐饮业 。2、请如实填写属于中型企业或小型企业或微型企业。3、1从业人员、营业收入、资产总额填报上一年度数据，无上一年度数据的新成立企业可不填报。）</w:t>
      </w:r>
    </w:p>
    <w:p>
      <w:pPr>
        <w:keepNext/>
        <w:keepLines/>
        <w:spacing w:before="260" w:after="260" w:line="360" w:lineRule="auto"/>
        <w:jc w:val="center"/>
        <w:rPr>
          <w:rFonts w:ascii="宋体" w:hAnsi="宋体"/>
          <w:color w:val="auto"/>
          <w:szCs w:val="21"/>
        </w:rPr>
      </w:pPr>
    </w:p>
    <w:sectPr>
      <w:headerReference r:id="rId9" w:type="default"/>
      <w:footerReference r:id="rId10" w:type="default"/>
      <w:footerReference r:id="rId11" w:type="even"/>
      <w:pgSz w:w="11907" w:h="16840"/>
      <w:pgMar w:top="1134" w:right="1134" w:bottom="1134" w:left="1418" w:header="851" w:footer="90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end"/>
    </w:r>
  </w:p>
  <w:p>
    <w:pPr>
      <w:pStyle w:val="2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3"/>
      </w:rPr>
    </w:pPr>
    <w:r>
      <w:fldChar w:fldCharType="begin"/>
    </w:r>
    <w:r>
      <w:rPr>
        <w:rStyle w:val="43"/>
      </w:rPr>
      <w:instrText xml:space="preserve">PAGE  </w:instrText>
    </w:r>
    <w:r>
      <w:fldChar w:fldCharType="end"/>
    </w:r>
  </w:p>
  <w:p>
    <w:pPr>
      <w:pStyle w:val="2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35</w:t>
                    </w:r>
                    <w:r>
                      <w:fldChar w:fldCharType="end"/>
                    </w:r>
                  </w:p>
                </w:txbxContent>
              </v:textbox>
            </v:shape>
          </w:pict>
        </mc:Fallback>
      </mc:AlternateContent>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ind w:firstLine="360"/>
      <w:rPr>
        <w:rStyle w:val="43"/>
      </w:rPr>
    </w:pPr>
    <w:r>
      <w:fldChar w:fldCharType="begin"/>
    </w:r>
    <w:r>
      <w:rPr>
        <w:rStyle w:val="43"/>
      </w:rPr>
      <w:instrText xml:space="preserve">PAGE  </w:instrText>
    </w:r>
    <w:r>
      <w:fldChar w:fldCharType="separate"/>
    </w:r>
    <w:r>
      <w:rPr>
        <w:rStyle w:val="43"/>
      </w:rPr>
      <w:t>1</w:t>
    </w:r>
    <w:r>
      <w:fldChar w:fldCharType="end"/>
    </w:r>
  </w:p>
  <w:p>
    <w:pPr>
      <w:pStyle w:val="25"/>
      <w:ind w:firstLine="360"/>
    </w:pPr>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chineseCounting"/>
      <w:suff w:val="nothing"/>
      <w:lvlText w:val="%1、"/>
      <w:lvlJc w:val="left"/>
      <w:rPr>
        <w:rFonts w:hint="eastAsia"/>
      </w:rPr>
    </w:lvl>
  </w:abstractNum>
  <w:abstractNum w:abstractNumId="1">
    <w:nsid w:val="00000002"/>
    <w:multiLevelType w:val="singleLevel"/>
    <w:tmpl w:val="00000002"/>
    <w:lvl w:ilvl="0" w:tentative="0">
      <w:start w:val="7"/>
      <w:numFmt w:val="decimal"/>
      <w:suff w:val="nothing"/>
      <w:lvlText w:val="%1、"/>
      <w:lvlJc w:val="left"/>
    </w:lvl>
  </w:abstractNum>
  <w:abstractNum w:abstractNumId="2">
    <w:nsid w:val="00000003"/>
    <w:multiLevelType w:val="singleLevel"/>
    <w:tmpl w:val="00000003"/>
    <w:lvl w:ilvl="0" w:tentative="0">
      <w:start w:val="5"/>
      <w:numFmt w:val="chineseCounting"/>
      <w:suff w:val="space"/>
      <w:lvlText w:val="第%1章"/>
      <w:lvlJc w:val="left"/>
      <w:rPr>
        <w:rFonts w:hint="eastAsia"/>
      </w:rPr>
    </w:lvl>
  </w:abstractNum>
  <w:abstractNum w:abstractNumId="3">
    <w:nsid w:val="00000004"/>
    <w:multiLevelType w:val="singleLevel"/>
    <w:tmpl w:val="00000004"/>
    <w:lvl w:ilvl="0" w:tentative="0">
      <w:start w:val="1"/>
      <w:numFmt w:val="upperLetter"/>
      <w:pStyle w:val="59"/>
      <w:lvlText w:val="附录%1."/>
      <w:lvlJc w:val="left"/>
      <w:pPr>
        <w:tabs>
          <w:tab w:val="left" w:pos="907"/>
        </w:tabs>
        <w:ind w:left="907" w:hanging="907"/>
      </w:pPr>
      <w:rPr>
        <w:rFonts w:hint="eastAsia"/>
      </w:rPr>
    </w:lvl>
  </w:abstractNum>
  <w:abstractNum w:abstractNumId="4">
    <w:nsid w:val="00000005"/>
    <w:multiLevelType w:val="multilevel"/>
    <w:tmpl w:val="00000005"/>
    <w:lvl w:ilvl="0" w:tentative="0">
      <w:start w:val="1"/>
      <w:numFmt w:val="japaneseCounting"/>
      <w:pStyle w:val="76"/>
      <w:lvlText w:val="第%1章"/>
      <w:lvlJc w:val="left"/>
      <w:pPr>
        <w:ind w:left="9351" w:hanging="420"/>
      </w:pPr>
      <w:rPr>
        <w:rFonts w:hint="eastAsia" w:ascii="黑体" w:eastAsia="黑体"/>
        <w:b w:val="0"/>
        <w:sz w:val="36"/>
        <w:lang w:val="en-US"/>
      </w:rPr>
    </w:lvl>
    <w:lvl w:ilvl="1" w:tentative="0">
      <w:start w:val="1"/>
      <w:numFmt w:val="decimal"/>
      <w:pStyle w:val="63"/>
      <w:isLgl/>
      <w:lvlText w:val="%1.%2"/>
      <w:lvlJc w:val="left"/>
      <w:pPr>
        <w:tabs>
          <w:tab w:val="left" w:pos="851"/>
        </w:tabs>
        <w:ind w:left="0" w:firstLine="0"/>
      </w:pPr>
      <w:rPr>
        <w:rFonts w:cs="Times New Roman"/>
        <w:b w:val="0"/>
        <w:bCs w:val="0"/>
        <w:i w:val="0"/>
        <w:iCs w:val="0"/>
        <w:caps w:val="0"/>
        <w:smallCaps w:val="0"/>
        <w:outline w:val="0"/>
        <w:emboss w:val="0"/>
        <w:imprint w:val="0"/>
        <w:vanish w:val="0"/>
        <w:spacing w:val="0"/>
        <w:kern w:val="0"/>
        <w:position w:val="0"/>
        <w:u w:val="none"/>
        <w:vertAlign w:val="baseline"/>
      </w:rPr>
    </w:lvl>
    <w:lvl w:ilvl="2" w:tentative="0">
      <w:start w:val="1"/>
      <w:numFmt w:val="decimal"/>
      <w:pStyle w:val="61"/>
      <w:isLgl/>
      <w:lvlText w:val="%1.%2.%3"/>
      <w:lvlJc w:val="left"/>
      <w:pPr>
        <w:tabs>
          <w:tab w:val="left" w:pos="851"/>
        </w:tabs>
        <w:ind w:left="0" w:firstLine="0"/>
      </w:pPr>
      <w:rPr>
        <w:rFonts w:cs="Times New Roman"/>
        <w:b w:val="0"/>
        <w:bCs w:val="0"/>
        <w:i w:val="0"/>
        <w:iCs w:val="0"/>
        <w:caps w:val="0"/>
        <w:smallCaps w:val="0"/>
        <w:outline w:val="0"/>
        <w:emboss w:val="0"/>
        <w:imprint w:val="0"/>
        <w:vanish w:val="0"/>
        <w:color w:val="000000"/>
        <w:spacing w:val="0"/>
        <w:kern w:val="0"/>
        <w:position w:val="0"/>
        <w:u w:val="none"/>
        <w:vertAlign w:val="baseline"/>
      </w:rPr>
    </w:lvl>
    <w:lvl w:ilvl="3" w:tentative="0">
      <w:start w:val="1"/>
      <w:numFmt w:val="decimal"/>
      <w:pStyle w:val="82"/>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5">
    <w:nsid w:val="00000006"/>
    <w:multiLevelType w:val="singleLevel"/>
    <w:tmpl w:val="00000006"/>
    <w:lvl w:ilvl="0" w:tentative="0">
      <w:start w:val="3"/>
      <w:numFmt w:val="chineseCounting"/>
      <w:suff w:val="space"/>
      <w:lvlText w:val="第%1章"/>
      <w:lvlJc w:val="left"/>
      <w:rPr>
        <w:rFonts w:hint="eastAsia"/>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OTA4MGI2MDBhZmQ3ZjVlMGNmMDJmNDc3OWYzNGIifQ=="/>
  </w:docVars>
  <w:rsids>
    <w:rsidRoot w:val="00CE5F17"/>
    <w:rsid w:val="000003A9"/>
    <w:rsid w:val="00014CA3"/>
    <w:rsid w:val="00056B6D"/>
    <w:rsid w:val="0007580D"/>
    <w:rsid w:val="0008797A"/>
    <w:rsid w:val="000A1A59"/>
    <w:rsid w:val="000B2312"/>
    <w:rsid w:val="000B383D"/>
    <w:rsid w:val="000D6B5E"/>
    <w:rsid w:val="001301CC"/>
    <w:rsid w:val="00133C10"/>
    <w:rsid w:val="00161355"/>
    <w:rsid w:val="0016497A"/>
    <w:rsid w:val="00165F59"/>
    <w:rsid w:val="001735B4"/>
    <w:rsid w:val="00181B1A"/>
    <w:rsid w:val="001857F7"/>
    <w:rsid w:val="00194489"/>
    <w:rsid w:val="0020307A"/>
    <w:rsid w:val="002032E4"/>
    <w:rsid w:val="00214D20"/>
    <w:rsid w:val="00223A42"/>
    <w:rsid w:val="002373F6"/>
    <w:rsid w:val="00247BA6"/>
    <w:rsid w:val="00254BFD"/>
    <w:rsid w:val="0025557C"/>
    <w:rsid w:val="00262A52"/>
    <w:rsid w:val="00264A84"/>
    <w:rsid w:val="00280EBB"/>
    <w:rsid w:val="002828C7"/>
    <w:rsid w:val="002B7577"/>
    <w:rsid w:val="002E6221"/>
    <w:rsid w:val="003015F2"/>
    <w:rsid w:val="00315499"/>
    <w:rsid w:val="003415F2"/>
    <w:rsid w:val="00346242"/>
    <w:rsid w:val="00357646"/>
    <w:rsid w:val="003704F8"/>
    <w:rsid w:val="0037516D"/>
    <w:rsid w:val="003838A9"/>
    <w:rsid w:val="003854CA"/>
    <w:rsid w:val="003B5224"/>
    <w:rsid w:val="003D44D1"/>
    <w:rsid w:val="0040581B"/>
    <w:rsid w:val="00417DF3"/>
    <w:rsid w:val="0045156C"/>
    <w:rsid w:val="00452741"/>
    <w:rsid w:val="004575BC"/>
    <w:rsid w:val="004B3157"/>
    <w:rsid w:val="004C6364"/>
    <w:rsid w:val="004D002D"/>
    <w:rsid w:val="004D2CAE"/>
    <w:rsid w:val="004E0DF8"/>
    <w:rsid w:val="004E3A24"/>
    <w:rsid w:val="00516B4E"/>
    <w:rsid w:val="00520D23"/>
    <w:rsid w:val="00526D35"/>
    <w:rsid w:val="00544722"/>
    <w:rsid w:val="00567A58"/>
    <w:rsid w:val="00580FDA"/>
    <w:rsid w:val="00603B94"/>
    <w:rsid w:val="0064173A"/>
    <w:rsid w:val="00661784"/>
    <w:rsid w:val="00675EB8"/>
    <w:rsid w:val="006B2803"/>
    <w:rsid w:val="006C6664"/>
    <w:rsid w:val="006D061E"/>
    <w:rsid w:val="006D764D"/>
    <w:rsid w:val="006F507B"/>
    <w:rsid w:val="0072100C"/>
    <w:rsid w:val="00723F6D"/>
    <w:rsid w:val="007450AE"/>
    <w:rsid w:val="00747D21"/>
    <w:rsid w:val="00756E73"/>
    <w:rsid w:val="00764A25"/>
    <w:rsid w:val="007667D3"/>
    <w:rsid w:val="007A0779"/>
    <w:rsid w:val="007C0734"/>
    <w:rsid w:val="007D13B8"/>
    <w:rsid w:val="007D3253"/>
    <w:rsid w:val="007E66AF"/>
    <w:rsid w:val="007E6A82"/>
    <w:rsid w:val="00803BF8"/>
    <w:rsid w:val="008049FE"/>
    <w:rsid w:val="00805A79"/>
    <w:rsid w:val="0081662E"/>
    <w:rsid w:val="00830999"/>
    <w:rsid w:val="008505F1"/>
    <w:rsid w:val="0086153A"/>
    <w:rsid w:val="008B2041"/>
    <w:rsid w:val="008C52F4"/>
    <w:rsid w:val="008E1F9B"/>
    <w:rsid w:val="008E5742"/>
    <w:rsid w:val="008F4BFA"/>
    <w:rsid w:val="00937363"/>
    <w:rsid w:val="00964B48"/>
    <w:rsid w:val="0098617F"/>
    <w:rsid w:val="009B0E35"/>
    <w:rsid w:val="009C70EF"/>
    <w:rsid w:val="009E2D73"/>
    <w:rsid w:val="009F33BB"/>
    <w:rsid w:val="009F503B"/>
    <w:rsid w:val="00A02EAA"/>
    <w:rsid w:val="00A13E83"/>
    <w:rsid w:val="00A427A2"/>
    <w:rsid w:val="00A642D8"/>
    <w:rsid w:val="00A85A3F"/>
    <w:rsid w:val="00A8701E"/>
    <w:rsid w:val="00A94BA3"/>
    <w:rsid w:val="00AA18A7"/>
    <w:rsid w:val="00AD3458"/>
    <w:rsid w:val="00B25F20"/>
    <w:rsid w:val="00B364CE"/>
    <w:rsid w:val="00B37598"/>
    <w:rsid w:val="00B548D9"/>
    <w:rsid w:val="00B65B65"/>
    <w:rsid w:val="00B74DC2"/>
    <w:rsid w:val="00B91D9B"/>
    <w:rsid w:val="00BA4D31"/>
    <w:rsid w:val="00BD21CC"/>
    <w:rsid w:val="00BE3486"/>
    <w:rsid w:val="00C1361D"/>
    <w:rsid w:val="00C50B22"/>
    <w:rsid w:val="00C56691"/>
    <w:rsid w:val="00C8018C"/>
    <w:rsid w:val="00C805DA"/>
    <w:rsid w:val="00CA1C1E"/>
    <w:rsid w:val="00CA1F5E"/>
    <w:rsid w:val="00CE1F1D"/>
    <w:rsid w:val="00CE5F17"/>
    <w:rsid w:val="00D35081"/>
    <w:rsid w:val="00D41B2F"/>
    <w:rsid w:val="00D42BE0"/>
    <w:rsid w:val="00D46010"/>
    <w:rsid w:val="00D468FB"/>
    <w:rsid w:val="00D46E27"/>
    <w:rsid w:val="00D63987"/>
    <w:rsid w:val="00D6684A"/>
    <w:rsid w:val="00D66850"/>
    <w:rsid w:val="00DA77E0"/>
    <w:rsid w:val="00DB11BA"/>
    <w:rsid w:val="00DC5969"/>
    <w:rsid w:val="00DE41D9"/>
    <w:rsid w:val="00DE5408"/>
    <w:rsid w:val="00E0322E"/>
    <w:rsid w:val="00E30149"/>
    <w:rsid w:val="00E3589E"/>
    <w:rsid w:val="00E41C49"/>
    <w:rsid w:val="00E46994"/>
    <w:rsid w:val="00E557B1"/>
    <w:rsid w:val="00E94EC5"/>
    <w:rsid w:val="00E966CF"/>
    <w:rsid w:val="00E979AB"/>
    <w:rsid w:val="00EA022F"/>
    <w:rsid w:val="00EA6FC3"/>
    <w:rsid w:val="00EB1770"/>
    <w:rsid w:val="00EB6DAE"/>
    <w:rsid w:val="00EC02F4"/>
    <w:rsid w:val="00EC2A2F"/>
    <w:rsid w:val="00EC7043"/>
    <w:rsid w:val="00ED06EA"/>
    <w:rsid w:val="00ED58EC"/>
    <w:rsid w:val="00EE07BD"/>
    <w:rsid w:val="00EF68DF"/>
    <w:rsid w:val="00F06121"/>
    <w:rsid w:val="00F137CE"/>
    <w:rsid w:val="00F27233"/>
    <w:rsid w:val="00F306AA"/>
    <w:rsid w:val="00F71869"/>
    <w:rsid w:val="00F81113"/>
    <w:rsid w:val="00FA550D"/>
    <w:rsid w:val="00FB4F9B"/>
    <w:rsid w:val="00FB5AFA"/>
    <w:rsid w:val="00FB5EA3"/>
    <w:rsid w:val="00FD694C"/>
    <w:rsid w:val="00FE2D14"/>
    <w:rsid w:val="054B552D"/>
    <w:rsid w:val="0A6071C9"/>
    <w:rsid w:val="0AB23982"/>
    <w:rsid w:val="0CEA609E"/>
    <w:rsid w:val="0FB35FED"/>
    <w:rsid w:val="123F1DBA"/>
    <w:rsid w:val="155362A8"/>
    <w:rsid w:val="15DF7154"/>
    <w:rsid w:val="19015F1B"/>
    <w:rsid w:val="26DE174A"/>
    <w:rsid w:val="29612530"/>
    <w:rsid w:val="2A8E16D9"/>
    <w:rsid w:val="2EDD15EF"/>
    <w:rsid w:val="327276D9"/>
    <w:rsid w:val="329B3A0F"/>
    <w:rsid w:val="3729286F"/>
    <w:rsid w:val="372E2279"/>
    <w:rsid w:val="37423AD1"/>
    <w:rsid w:val="38E07042"/>
    <w:rsid w:val="38E2156D"/>
    <w:rsid w:val="39E8323A"/>
    <w:rsid w:val="3C390C29"/>
    <w:rsid w:val="434D1CD9"/>
    <w:rsid w:val="44EB06A3"/>
    <w:rsid w:val="479E54FF"/>
    <w:rsid w:val="4FB736D2"/>
    <w:rsid w:val="51383FC9"/>
    <w:rsid w:val="561C5FA9"/>
    <w:rsid w:val="61AB7AB9"/>
    <w:rsid w:val="63426E07"/>
    <w:rsid w:val="68E24AEE"/>
    <w:rsid w:val="694110E9"/>
    <w:rsid w:val="6ECA36D3"/>
    <w:rsid w:val="6F020DD8"/>
    <w:rsid w:val="7AB93063"/>
    <w:rsid w:val="7BFA6D15"/>
    <w:rsid w:val="7CB400F8"/>
    <w:rsid w:val="7D144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47"/>
    <w:autoRedefine/>
    <w:qFormat/>
    <w:uiPriority w:val="0"/>
    <w:pPr>
      <w:keepNext/>
      <w:outlineLvl w:val="0"/>
    </w:pPr>
    <w:rPr>
      <w:rFonts w:ascii="楷体_GB2312" w:hAnsi="Times New Roman" w:eastAsia="楷体_GB2312"/>
      <w:sz w:val="28"/>
      <w:szCs w:val="20"/>
    </w:rPr>
  </w:style>
  <w:style w:type="paragraph" w:styleId="5">
    <w:name w:val="heading 2"/>
    <w:basedOn w:val="1"/>
    <w:next w:val="6"/>
    <w:link w:val="48"/>
    <w:autoRedefine/>
    <w:qFormat/>
    <w:uiPriority w:val="0"/>
    <w:pPr>
      <w:keepNext/>
      <w:keepLines/>
      <w:spacing w:before="260" w:after="260" w:line="416" w:lineRule="auto"/>
      <w:jc w:val="center"/>
      <w:outlineLvl w:val="1"/>
    </w:pPr>
    <w:rPr>
      <w:rFonts w:ascii="Arial" w:hAnsi="Arial" w:eastAsia="幼圆"/>
      <w:b/>
      <w:sz w:val="44"/>
      <w:szCs w:val="20"/>
    </w:rPr>
  </w:style>
  <w:style w:type="paragraph" w:styleId="7">
    <w:name w:val="heading 3"/>
    <w:basedOn w:val="1"/>
    <w:next w:val="6"/>
    <w:autoRedefine/>
    <w:qFormat/>
    <w:uiPriority w:val="9"/>
    <w:pPr>
      <w:keepNext/>
      <w:keepLines/>
      <w:spacing w:before="260" w:after="260" w:line="416" w:lineRule="auto"/>
      <w:outlineLvl w:val="2"/>
    </w:pPr>
    <w:rPr>
      <w:rFonts w:ascii="Times New Roman" w:hAnsi="Times New Roman"/>
      <w:b/>
      <w:sz w:val="32"/>
      <w:szCs w:val="20"/>
    </w:rPr>
  </w:style>
  <w:style w:type="paragraph" w:styleId="8">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autoRedefine/>
    <w:qFormat/>
    <w:uiPriority w:val="9"/>
    <w:pPr>
      <w:keepNext/>
      <w:outlineLvl w:val="4"/>
    </w:pPr>
    <w:rPr>
      <w:rFonts w:ascii="宋体" w:hAnsi="宋体"/>
      <w:b/>
      <w:bCs/>
    </w:rPr>
  </w:style>
  <w:style w:type="paragraph" w:styleId="10">
    <w:name w:val="heading 6"/>
    <w:basedOn w:val="1"/>
    <w:next w:val="1"/>
    <w:link w:val="86"/>
    <w:autoRedefine/>
    <w:qFormat/>
    <w:uiPriority w:val="9"/>
    <w:pPr>
      <w:keepNext/>
      <w:keepLines/>
      <w:spacing w:before="240" w:after="64" w:line="319" w:lineRule="auto"/>
      <w:outlineLvl w:val="5"/>
    </w:pPr>
    <w:rPr>
      <w:rFonts w:ascii="Arial" w:hAnsi="Arial" w:eastAsia="黑体"/>
      <w:b/>
      <w:bCs/>
      <w:sz w:val="24"/>
    </w:rPr>
  </w:style>
  <w:style w:type="paragraph" w:styleId="11">
    <w:name w:val="heading 7"/>
    <w:basedOn w:val="1"/>
    <w:next w:val="1"/>
    <w:link w:val="87"/>
    <w:autoRedefine/>
    <w:qFormat/>
    <w:uiPriority w:val="9"/>
    <w:pPr>
      <w:keepNext/>
      <w:keepLines/>
      <w:spacing w:before="240" w:after="64" w:line="319" w:lineRule="auto"/>
      <w:outlineLvl w:val="6"/>
    </w:pPr>
    <w:rPr>
      <w:rFonts w:ascii="Times New Roman" w:hAnsi="Times New Roman"/>
      <w:b/>
      <w:bCs/>
      <w:sz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52"/>
    <w:autoRedefine/>
    <w:qFormat/>
    <w:uiPriority w:val="0"/>
    <w:pPr>
      <w:ind w:firstLine="645"/>
    </w:pPr>
    <w:rPr>
      <w:rFonts w:ascii="楷体_GB2312" w:hAnsi="Times New Roman" w:eastAsia="楷体_GB2312"/>
      <w:sz w:val="32"/>
      <w:szCs w:val="20"/>
    </w:rPr>
  </w:style>
  <w:style w:type="paragraph" w:styleId="3">
    <w:name w:val="envelope return"/>
    <w:basedOn w:val="1"/>
    <w:autoRedefine/>
    <w:qFormat/>
    <w:uiPriority w:val="0"/>
    <w:pPr>
      <w:snapToGrid w:val="0"/>
    </w:pPr>
    <w:rPr>
      <w:rFonts w:ascii="Arial" w:hAnsi="Arial"/>
    </w:rPr>
  </w:style>
  <w:style w:type="paragraph" w:styleId="6">
    <w:name w:val="Normal Indent"/>
    <w:basedOn w:val="1"/>
    <w:link w:val="58"/>
    <w:autoRedefine/>
    <w:qFormat/>
    <w:uiPriority w:val="0"/>
    <w:pPr>
      <w:ind w:firstLine="420"/>
    </w:pPr>
    <w:rPr>
      <w:rFonts w:ascii="Times New Roman" w:hAnsi="Times New Roman"/>
      <w:szCs w:val="20"/>
    </w:rPr>
  </w:style>
  <w:style w:type="paragraph" w:styleId="12">
    <w:name w:val="toc 7"/>
    <w:basedOn w:val="1"/>
    <w:next w:val="1"/>
    <w:autoRedefine/>
    <w:qFormat/>
    <w:uiPriority w:val="0"/>
    <w:pPr>
      <w:ind w:left="2520" w:leftChars="1200"/>
    </w:pPr>
    <w:rPr>
      <w:rFonts w:ascii="Times New Roman" w:hAnsi="Times New Roman"/>
    </w:rPr>
  </w:style>
  <w:style w:type="paragraph" w:styleId="13">
    <w:name w:val="Document Map"/>
    <w:basedOn w:val="1"/>
    <w:autoRedefine/>
    <w:qFormat/>
    <w:uiPriority w:val="0"/>
    <w:pPr>
      <w:shd w:val="clear" w:color="auto" w:fill="000080"/>
    </w:pPr>
    <w:rPr>
      <w:rFonts w:ascii="Times New Roman" w:hAnsi="Times New Roman"/>
    </w:rPr>
  </w:style>
  <w:style w:type="paragraph" w:styleId="14">
    <w:name w:val="annotation text"/>
    <w:basedOn w:val="1"/>
    <w:link w:val="50"/>
    <w:autoRedefine/>
    <w:qFormat/>
    <w:uiPriority w:val="0"/>
    <w:pPr>
      <w:jc w:val="left"/>
    </w:pPr>
    <w:rPr>
      <w:rFonts w:ascii="Times New Roman" w:hAnsi="Times New Roman"/>
    </w:rPr>
  </w:style>
  <w:style w:type="paragraph" w:styleId="15">
    <w:name w:val="Body Text 3"/>
    <w:basedOn w:val="1"/>
    <w:autoRedefine/>
    <w:qFormat/>
    <w:uiPriority w:val="0"/>
    <w:rPr>
      <w:rFonts w:ascii="仿宋_GB2312" w:hAnsi="Arial" w:eastAsia="仿宋_GB2312"/>
      <w:sz w:val="32"/>
      <w:szCs w:val="20"/>
    </w:rPr>
  </w:style>
  <w:style w:type="paragraph" w:styleId="16">
    <w:name w:val="Body Text"/>
    <w:basedOn w:val="1"/>
    <w:autoRedefine/>
    <w:qFormat/>
    <w:uiPriority w:val="0"/>
    <w:rPr>
      <w:rFonts w:ascii="楷体_GB2312" w:hAnsi="Arial" w:eastAsia="楷体_GB2312"/>
      <w:sz w:val="28"/>
      <w:szCs w:val="20"/>
    </w:rPr>
  </w:style>
  <w:style w:type="paragraph" w:styleId="17">
    <w:name w:val="Block Text"/>
    <w:basedOn w:val="1"/>
    <w:autoRedefine/>
    <w:qFormat/>
    <w:uiPriority w:val="0"/>
    <w:rPr>
      <w:rFonts w:eastAsia="微软雅黑"/>
    </w:rPr>
  </w:style>
  <w:style w:type="paragraph" w:styleId="18">
    <w:name w:val="toc 5"/>
    <w:basedOn w:val="1"/>
    <w:next w:val="1"/>
    <w:autoRedefine/>
    <w:qFormat/>
    <w:uiPriority w:val="0"/>
    <w:pPr>
      <w:ind w:left="1680" w:leftChars="800"/>
    </w:pPr>
    <w:rPr>
      <w:rFonts w:ascii="Times New Roman" w:hAnsi="Times New Roman"/>
    </w:rPr>
  </w:style>
  <w:style w:type="paragraph" w:styleId="19">
    <w:name w:val="toc 3"/>
    <w:basedOn w:val="1"/>
    <w:next w:val="1"/>
    <w:autoRedefine/>
    <w:qFormat/>
    <w:uiPriority w:val="0"/>
    <w:pPr>
      <w:tabs>
        <w:tab w:val="right" w:leader="dot" w:pos="9440"/>
      </w:tabs>
      <w:spacing w:line="240" w:lineRule="exact"/>
      <w:ind w:left="539"/>
      <w:jc w:val="left"/>
    </w:pPr>
    <w:rPr>
      <w:rFonts w:ascii="黑体" w:hAnsi="宋体" w:eastAsia="黑体"/>
      <w:bCs/>
      <w:iCs/>
      <w:sz w:val="18"/>
      <w:szCs w:val="32"/>
    </w:rPr>
  </w:style>
  <w:style w:type="paragraph" w:styleId="20">
    <w:name w:val="Plain Text"/>
    <w:basedOn w:val="1"/>
    <w:link w:val="88"/>
    <w:autoRedefine/>
    <w:qFormat/>
    <w:uiPriority w:val="0"/>
    <w:rPr>
      <w:rFonts w:ascii="宋体" w:hAnsi="Courier New"/>
      <w:szCs w:val="20"/>
    </w:rPr>
  </w:style>
  <w:style w:type="paragraph" w:styleId="21">
    <w:name w:val="toc 8"/>
    <w:basedOn w:val="1"/>
    <w:next w:val="1"/>
    <w:autoRedefine/>
    <w:qFormat/>
    <w:uiPriority w:val="0"/>
    <w:pPr>
      <w:ind w:left="2940" w:leftChars="1400"/>
    </w:pPr>
    <w:rPr>
      <w:rFonts w:ascii="Times New Roman" w:hAnsi="Times New Roman"/>
    </w:rPr>
  </w:style>
  <w:style w:type="paragraph" w:styleId="22">
    <w:name w:val="Date"/>
    <w:basedOn w:val="1"/>
    <w:next w:val="1"/>
    <w:autoRedefine/>
    <w:qFormat/>
    <w:uiPriority w:val="0"/>
    <w:rPr>
      <w:rFonts w:ascii="Times New Roman" w:hAnsi="Times New Roman"/>
      <w:sz w:val="24"/>
      <w:szCs w:val="20"/>
    </w:rPr>
  </w:style>
  <w:style w:type="paragraph" w:styleId="23">
    <w:name w:val="Body Text Indent 2"/>
    <w:basedOn w:val="1"/>
    <w:link w:val="92"/>
    <w:autoRedefine/>
    <w:qFormat/>
    <w:uiPriority w:val="0"/>
    <w:pPr>
      <w:ind w:firstLine="560" w:firstLineChars="200"/>
    </w:pPr>
    <w:rPr>
      <w:rFonts w:ascii="宋体" w:hAnsi="宋体"/>
      <w:sz w:val="28"/>
    </w:rPr>
  </w:style>
  <w:style w:type="paragraph" w:styleId="24">
    <w:name w:val="Balloon Text"/>
    <w:basedOn w:val="1"/>
    <w:autoRedefine/>
    <w:qFormat/>
    <w:uiPriority w:val="0"/>
    <w:rPr>
      <w:rFonts w:ascii="Times New Roman" w:hAnsi="Times New Roman"/>
      <w:sz w:val="18"/>
      <w:szCs w:val="18"/>
    </w:rPr>
  </w:style>
  <w:style w:type="paragraph" w:styleId="25">
    <w:name w:val="footer"/>
    <w:basedOn w:val="1"/>
    <w:link w:val="49"/>
    <w:autoRedefine/>
    <w:qFormat/>
    <w:uiPriority w:val="0"/>
    <w:pPr>
      <w:tabs>
        <w:tab w:val="center" w:pos="4153"/>
        <w:tab w:val="right" w:pos="8306"/>
      </w:tabs>
      <w:snapToGrid w:val="0"/>
      <w:jc w:val="left"/>
    </w:pPr>
    <w:rPr>
      <w:rFonts w:ascii="Times New Roman" w:hAnsi="Times New Roman"/>
      <w:sz w:val="18"/>
      <w:szCs w:val="20"/>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7">
    <w:name w:val="toc 1"/>
    <w:basedOn w:val="1"/>
    <w:next w:val="1"/>
    <w:autoRedefine/>
    <w:qFormat/>
    <w:uiPriority w:val="39"/>
    <w:pPr>
      <w:tabs>
        <w:tab w:val="right" w:leader="dot" w:pos="9440"/>
      </w:tabs>
      <w:spacing w:before="120" w:after="120" w:line="300" w:lineRule="exact"/>
      <w:jc w:val="left"/>
    </w:pPr>
    <w:rPr>
      <w:rFonts w:ascii="黑体" w:hAnsi="Times New Roman" w:eastAsia="黑体"/>
      <w:b/>
      <w:caps/>
      <w:sz w:val="18"/>
      <w:szCs w:val="28"/>
    </w:rPr>
  </w:style>
  <w:style w:type="paragraph" w:styleId="28">
    <w:name w:val="toc 4"/>
    <w:basedOn w:val="1"/>
    <w:next w:val="1"/>
    <w:autoRedefine/>
    <w:qFormat/>
    <w:uiPriority w:val="0"/>
    <w:pPr>
      <w:ind w:left="1260" w:leftChars="600"/>
    </w:pPr>
    <w:rPr>
      <w:rFonts w:ascii="Times New Roman" w:hAnsi="Times New Roman"/>
    </w:rPr>
  </w:style>
  <w:style w:type="paragraph" w:styleId="29">
    <w:name w:val="toc 6"/>
    <w:basedOn w:val="1"/>
    <w:next w:val="1"/>
    <w:autoRedefine/>
    <w:qFormat/>
    <w:uiPriority w:val="0"/>
    <w:pPr>
      <w:ind w:left="2100" w:leftChars="1000"/>
    </w:pPr>
    <w:rPr>
      <w:rFonts w:ascii="Times New Roman" w:hAnsi="Times New Roman"/>
    </w:rPr>
  </w:style>
  <w:style w:type="paragraph" w:styleId="30">
    <w:name w:val="Body Text Indent 3"/>
    <w:basedOn w:val="1"/>
    <w:autoRedefine/>
    <w:qFormat/>
    <w:uiPriority w:val="0"/>
    <w:pPr>
      <w:ind w:firstLine="523"/>
    </w:pPr>
    <w:rPr>
      <w:rFonts w:ascii="仿宋_GB2312" w:hAnsi="宋体" w:eastAsia="仿宋_GB2312"/>
      <w:sz w:val="24"/>
    </w:rPr>
  </w:style>
  <w:style w:type="paragraph" w:styleId="31">
    <w:name w:val="toc 2"/>
    <w:basedOn w:val="1"/>
    <w:next w:val="1"/>
    <w:autoRedefine/>
    <w:qFormat/>
    <w:uiPriority w:val="39"/>
    <w:pPr>
      <w:tabs>
        <w:tab w:val="right" w:leader="dot" w:pos="9440"/>
      </w:tabs>
      <w:spacing w:line="260" w:lineRule="exact"/>
      <w:jc w:val="left"/>
    </w:pPr>
    <w:rPr>
      <w:rFonts w:ascii="黑体" w:hAnsi="Times New Roman" w:eastAsia="黑体"/>
      <w:b/>
      <w:bCs/>
      <w:smallCaps/>
      <w:sz w:val="18"/>
      <w:szCs w:val="44"/>
    </w:rPr>
  </w:style>
  <w:style w:type="paragraph" w:styleId="32">
    <w:name w:val="toc 9"/>
    <w:basedOn w:val="1"/>
    <w:next w:val="1"/>
    <w:autoRedefine/>
    <w:qFormat/>
    <w:uiPriority w:val="0"/>
    <w:pPr>
      <w:ind w:left="3360" w:leftChars="1600"/>
    </w:pPr>
    <w:rPr>
      <w:rFonts w:ascii="Times New Roman" w:hAnsi="Times New Roman"/>
    </w:rPr>
  </w:style>
  <w:style w:type="paragraph" w:styleId="33">
    <w:name w:val="Body Text 2"/>
    <w:basedOn w:val="1"/>
    <w:autoRedefine/>
    <w:qFormat/>
    <w:uiPriority w:val="0"/>
    <w:pPr>
      <w:jc w:val="center"/>
    </w:pPr>
    <w:rPr>
      <w:rFonts w:ascii="仿宋_GB2312" w:hAnsi="Times New Roman" w:eastAsia="仿宋_GB2312"/>
      <w:sz w:val="44"/>
    </w:rPr>
  </w:style>
  <w:style w:type="paragraph" w:styleId="3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6">
    <w:name w:val="index 1"/>
    <w:basedOn w:val="1"/>
    <w:next w:val="1"/>
    <w:autoRedefine/>
    <w:qFormat/>
    <w:uiPriority w:val="0"/>
    <w:rPr>
      <w:rFonts w:ascii="宋体" w:hAnsi="宋体"/>
      <w:szCs w:val="18"/>
    </w:rPr>
  </w:style>
  <w:style w:type="paragraph" w:styleId="37">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b/>
      <w:sz w:val="28"/>
      <w:lang w:val="en-GB"/>
    </w:rPr>
  </w:style>
  <w:style w:type="paragraph" w:styleId="38">
    <w:name w:val="annotation subject"/>
    <w:basedOn w:val="14"/>
    <w:next w:val="14"/>
    <w:link w:val="51"/>
    <w:autoRedefine/>
    <w:qFormat/>
    <w:uiPriority w:val="0"/>
    <w:rPr>
      <w:b/>
      <w:bC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rFonts w:ascii="Times New Roman" w:hAnsi="Times New Roman" w:eastAsia="宋体" w:cs="Times New Roman"/>
      <w:b/>
      <w:bCs/>
    </w:rPr>
  </w:style>
  <w:style w:type="character" w:styleId="43">
    <w:name w:val="page number"/>
    <w:autoRedefine/>
    <w:qFormat/>
    <w:uiPriority w:val="0"/>
    <w:rPr>
      <w:rFonts w:ascii="Times New Roman" w:hAnsi="Times New Roman" w:eastAsia="宋体" w:cs="Times New Roman"/>
    </w:rPr>
  </w:style>
  <w:style w:type="character" w:styleId="44">
    <w:name w:val="FollowedHyperlink"/>
    <w:autoRedefine/>
    <w:qFormat/>
    <w:uiPriority w:val="0"/>
    <w:rPr>
      <w:rFonts w:ascii="Times New Roman" w:hAnsi="Times New Roman" w:eastAsia="宋体" w:cs="Times New Roman"/>
      <w:color w:val="800080"/>
      <w:u w:val="single"/>
    </w:rPr>
  </w:style>
  <w:style w:type="character" w:styleId="45">
    <w:name w:val="Hyperlink"/>
    <w:autoRedefine/>
    <w:qFormat/>
    <w:uiPriority w:val="99"/>
    <w:rPr>
      <w:rFonts w:ascii="Times New Roman" w:hAnsi="Times New Roman" w:eastAsia="宋体" w:cs="Times New Roman"/>
      <w:color w:val="0000FF"/>
      <w:u w:val="single"/>
    </w:rPr>
  </w:style>
  <w:style w:type="character" w:styleId="46">
    <w:name w:val="annotation reference"/>
    <w:autoRedefine/>
    <w:qFormat/>
    <w:uiPriority w:val="0"/>
    <w:rPr>
      <w:rFonts w:ascii="Times New Roman" w:hAnsi="Times New Roman" w:eastAsia="宋体" w:cs="Times New Roman"/>
      <w:sz w:val="21"/>
      <w:szCs w:val="21"/>
    </w:rPr>
  </w:style>
  <w:style w:type="character" w:customStyle="1" w:styleId="47">
    <w:name w:val="标题 1 字符"/>
    <w:link w:val="4"/>
    <w:autoRedefine/>
    <w:qFormat/>
    <w:uiPriority w:val="0"/>
    <w:rPr>
      <w:rFonts w:ascii="楷体_GB2312" w:hAnsi="Times New Roman" w:eastAsia="楷体_GB2312" w:cs="Times New Roman"/>
      <w:kern w:val="2"/>
      <w:sz w:val="28"/>
      <w:lang w:val="en-US" w:eastAsia="zh-CN" w:bidi="ar-SA"/>
    </w:rPr>
  </w:style>
  <w:style w:type="character" w:customStyle="1" w:styleId="48">
    <w:name w:val="标题 2 字符"/>
    <w:link w:val="5"/>
    <w:autoRedefine/>
    <w:qFormat/>
    <w:uiPriority w:val="0"/>
    <w:rPr>
      <w:rFonts w:ascii="Arial" w:hAnsi="Arial" w:eastAsia="幼圆" w:cs="Times New Roman"/>
      <w:b/>
      <w:kern w:val="2"/>
      <w:sz w:val="44"/>
    </w:rPr>
  </w:style>
  <w:style w:type="character" w:customStyle="1" w:styleId="49">
    <w:name w:val="页脚 字符1"/>
    <w:link w:val="25"/>
    <w:autoRedefine/>
    <w:qFormat/>
    <w:uiPriority w:val="0"/>
    <w:rPr>
      <w:rFonts w:ascii="Times New Roman" w:hAnsi="Times New Roman" w:eastAsia="宋体" w:cs="Times New Roman"/>
      <w:kern w:val="2"/>
      <w:sz w:val="18"/>
    </w:rPr>
  </w:style>
  <w:style w:type="character" w:customStyle="1" w:styleId="50">
    <w:name w:val="批注文字 字符"/>
    <w:link w:val="14"/>
    <w:autoRedefine/>
    <w:qFormat/>
    <w:uiPriority w:val="0"/>
    <w:rPr>
      <w:rFonts w:ascii="Times New Roman" w:hAnsi="Times New Roman" w:eastAsia="宋体" w:cs="Times New Roman"/>
      <w:kern w:val="2"/>
      <w:sz w:val="21"/>
      <w:szCs w:val="24"/>
    </w:rPr>
  </w:style>
  <w:style w:type="character" w:customStyle="1" w:styleId="51">
    <w:name w:val="批注主题 字符"/>
    <w:link w:val="38"/>
    <w:autoRedefine/>
    <w:qFormat/>
    <w:uiPriority w:val="0"/>
    <w:rPr>
      <w:rFonts w:ascii="Times New Roman" w:hAnsi="Times New Roman" w:eastAsia="宋体" w:cs="Times New Roman"/>
      <w:b/>
      <w:bCs/>
      <w:kern w:val="2"/>
      <w:sz w:val="21"/>
      <w:szCs w:val="24"/>
    </w:rPr>
  </w:style>
  <w:style w:type="character" w:customStyle="1" w:styleId="52">
    <w:name w:val="正文文本缩进 字符"/>
    <w:link w:val="2"/>
    <w:autoRedefine/>
    <w:qFormat/>
    <w:uiPriority w:val="0"/>
    <w:rPr>
      <w:rFonts w:ascii="楷体_GB2312" w:hAnsi="Times New Roman" w:eastAsia="楷体_GB2312" w:cs="Times New Roman"/>
      <w:kern w:val="2"/>
      <w:sz w:val="32"/>
    </w:rPr>
  </w:style>
  <w:style w:type="character" w:customStyle="1" w:styleId="53">
    <w:name w:val="列出段落 Char"/>
    <w:link w:val="54"/>
    <w:autoRedefine/>
    <w:qFormat/>
    <w:uiPriority w:val="0"/>
    <w:rPr>
      <w:rFonts w:ascii="Calibri" w:hAnsi="Calibri" w:eastAsia="宋体" w:cs="Times New Roman"/>
      <w:sz w:val="24"/>
      <w:szCs w:val="24"/>
      <w:lang w:eastAsia="en-US" w:bidi="en-US"/>
    </w:rPr>
  </w:style>
  <w:style w:type="paragraph" w:customStyle="1" w:styleId="54">
    <w:name w:val="列出段落1"/>
    <w:basedOn w:val="1"/>
    <w:link w:val="53"/>
    <w:autoRedefine/>
    <w:qFormat/>
    <w:uiPriority w:val="0"/>
    <w:pPr>
      <w:widowControl/>
      <w:ind w:left="720"/>
      <w:contextualSpacing/>
      <w:jc w:val="left"/>
    </w:pPr>
    <w:rPr>
      <w:kern w:val="0"/>
      <w:sz w:val="24"/>
      <w:lang w:eastAsia="en-US" w:bidi="en-US"/>
    </w:rPr>
  </w:style>
  <w:style w:type="character" w:customStyle="1" w:styleId="55">
    <w:name w:val="页脚 字符"/>
    <w:autoRedefine/>
    <w:qFormat/>
    <w:uiPriority w:val="0"/>
  </w:style>
  <w:style w:type="character" w:customStyle="1" w:styleId="56">
    <w:name w:val="jj1"/>
    <w:autoRedefine/>
    <w:qFormat/>
    <w:uiPriority w:val="0"/>
    <w:rPr>
      <w:rFonts w:ascii="Times New Roman" w:hAnsi="Times New Roman" w:eastAsia="宋体" w:cs="Times New Roman"/>
      <w:sz w:val="20"/>
      <w:szCs w:val="20"/>
      <w:u w:val="none"/>
    </w:rPr>
  </w:style>
  <w:style w:type="character" w:customStyle="1" w:styleId="57">
    <w:name w:val="标题2 Char"/>
    <w:autoRedefine/>
    <w:qFormat/>
    <w:uiPriority w:val="0"/>
    <w:rPr>
      <w:rFonts w:ascii="方正楷体_GBK" w:hAnsi="Book Antiqua" w:eastAsia="方正楷体_GBK" w:cs="Times New Roman"/>
      <w:snapToGrid w:val="0"/>
      <w:sz w:val="32"/>
      <w:lang w:val="en-US" w:eastAsia="zh-CN" w:bidi="ar-SA"/>
    </w:rPr>
  </w:style>
  <w:style w:type="character" w:customStyle="1" w:styleId="58">
    <w:name w:val="正文缩进 字符"/>
    <w:link w:val="6"/>
    <w:autoRedefine/>
    <w:qFormat/>
    <w:uiPriority w:val="0"/>
    <w:rPr>
      <w:rFonts w:ascii="Times New Roman" w:hAnsi="Times New Roman" w:eastAsia="宋体" w:cs="Times New Roman"/>
      <w:kern w:val="2"/>
      <w:sz w:val="21"/>
      <w:lang w:val="en-US" w:eastAsia="zh-CN" w:bidi="ar-SA"/>
    </w:rPr>
  </w:style>
  <w:style w:type="paragraph" w:customStyle="1" w:styleId="59">
    <w:name w:val="附录1"/>
    <w:autoRedefine/>
    <w:qFormat/>
    <w:uiPriority w:val="0"/>
    <w:pPr>
      <w:numPr>
        <w:ilvl w:val="0"/>
        <w:numId w:val="1"/>
      </w:numPr>
      <w:snapToGrid w:val="0"/>
      <w:spacing w:before="240" w:line="600" w:lineRule="atLeast"/>
    </w:pPr>
    <w:rPr>
      <w:rFonts w:ascii="Calibri" w:hAnsi="Calibri" w:eastAsia="宋体" w:cs="Times New Roman"/>
      <w:b/>
      <w:i/>
      <w:sz w:val="28"/>
      <w:lang w:val="en-US" w:eastAsia="zh-CN" w:bidi="ar-SA"/>
    </w:rPr>
  </w:style>
  <w:style w:type="paragraph" w:customStyle="1" w:styleId="60">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61">
    <w:name w:val="正文 1.1.1"/>
    <w:basedOn w:val="1"/>
    <w:next w:val="1"/>
    <w:autoRedefine/>
    <w:qFormat/>
    <w:uiPriority w:val="0"/>
    <w:pPr>
      <w:numPr>
        <w:ilvl w:val="2"/>
        <w:numId w:val="2"/>
      </w:numPr>
      <w:adjustRightInd w:val="0"/>
      <w:spacing w:line="360" w:lineRule="auto"/>
      <w:textAlignment w:val="baseline"/>
      <w:outlineLvl w:val="2"/>
    </w:pPr>
    <w:rPr>
      <w:rFonts w:ascii="宋体" w:hAnsi="宋体"/>
      <w:color w:val="000000"/>
      <w:kern w:val="0"/>
      <w:sz w:val="28"/>
      <w:szCs w:val="21"/>
    </w:rPr>
  </w:style>
  <w:style w:type="paragraph" w:customStyle="1" w:styleId="62">
    <w:name w:val="Char Char Char Char1 Char Char"/>
    <w:basedOn w:val="1"/>
    <w:autoRedefine/>
    <w:qFormat/>
    <w:uiPriority w:val="0"/>
    <w:pPr>
      <w:tabs>
        <w:tab w:val="left" w:pos="360"/>
      </w:tabs>
    </w:pPr>
    <w:rPr>
      <w:rFonts w:ascii="Times New Roman" w:hAnsi="Times New Roman"/>
      <w:sz w:val="24"/>
    </w:rPr>
  </w:style>
  <w:style w:type="paragraph" w:customStyle="1" w:styleId="63">
    <w:name w:val="正文 1.1"/>
    <w:basedOn w:val="1"/>
    <w:next w:val="61"/>
    <w:autoRedefine/>
    <w:qFormat/>
    <w:uiPriority w:val="0"/>
    <w:pPr>
      <w:numPr>
        <w:ilvl w:val="1"/>
        <w:numId w:val="2"/>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64">
    <w:name w:val="标题3"/>
    <w:basedOn w:val="1"/>
    <w:next w:val="1"/>
    <w:autoRedefine/>
    <w:qFormat/>
    <w:uiPriority w:val="0"/>
    <w:rPr>
      <w:rFonts w:ascii="Times New Roman" w:hAnsi="Times New Roman" w:eastAsia="方正黑体_GBK"/>
    </w:rPr>
  </w:style>
  <w:style w:type="paragraph" w:customStyle="1" w:styleId="65">
    <w:name w:val="默认段落字体 Para Char Char Char Char Char Char Char Char Char1 Char Char Char Char Char Char Char"/>
    <w:basedOn w:val="13"/>
    <w:autoRedefine/>
    <w:qFormat/>
    <w:uiPriority w:val="0"/>
    <w:rPr>
      <w:rFonts w:ascii="Tahoma" w:hAnsi="Tahoma"/>
      <w:sz w:val="24"/>
    </w:rPr>
  </w:style>
  <w:style w:type="paragraph" w:customStyle="1" w:styleId="66">
    <w:name w:val="TOC 标题1"/>
    <w:basedOn w:val="4"/>
    <w:next w:val="1"/>
    <w:autoRedefine/>
    <w:qFormat/>
    <w:uiPriority w:val="39"/>
    <w:pPr>
      <w:keepLines/>
      <w:widowControl/>
      <w:spacing w:before="240" w:line="259" w:lineRule="auto"/>
      <w:jc w:val="left"/>
      <w:outlineLvl w:val="9"/>
    </w:pPr>
    <w:rPr>
      <w:rFonts w:ascii="等线 Light" w:hAnsi="等线 Light" w:eastAsia="等线 Light"/>
      <w:color w:val="2F5496"/>
      <w:kern w:val="0"/>
      <w:sz w:val="32"/>
      <w:szCs w:val="32"/>
    </w:rPr>
  </w:style>
  <w:style w:type="paragraph" w:customStyle="1" w:styleId="67">
    <w:name w:val="纯文本1"/>
    <w:basedOn w:val="1"/>
    <w:autoRedefine/>
    <w:qFormat/>
    <w:uiPriority w:val="0"/>
    <w:pPr>
      <w:adjustRightInd w:val="0"/>
      <w:textAlignment w:val="baseline"/>
    </w:pPr>
    <w:rPr>
      <w:rFonts w:ascii="宋体" w:hAnsi="Courier New" w:eastAsia="楷体_GB2312" w:cs="宋体"/>
      <w:sz w:val="28"/>
      <w:szCs w:val="21"/>
    </w:rPr>
  </w:style>
  <w:style w:type="paragraph" w:customStyle="1" w:styleId="68">
    <w:name w:val="Coms Alinea"/>
    <w:autoRedefine/>
    <w:qFormat/>
    <w:uiPriority w:val="0"/>
    <w:pPr>
      <w:widowControl w:val="0"/>
    </w:pPr>
    <w:rPr>
      <w:rFonts w:ascii="Arial" w:hAnsi="Arial" w:eastAsia="宋体" w:cs="Arial"/>
      <w:lang w:val="en-US" w:eastAsia="zh-CN" w:bidi="ar-SA"/>
    </w:rPr>
  </w:style>
  <w:style w:type="paragraph" w:customStyle="1" w:styleId="69">
    <w:name w:val="Char Char Char Char1 Char Char Char"/>
    <w:basedOn w:val="13"/>
    <w:autoRedefine/>
    <w:qFormat/>
    <w:uiPriority w:val="0"/>
    <w:pPr>
      <w:adjustRightInd w:val="0"/>
      <w:snapToGrid w:val="0"/>
      <w:spacing w:line="360" w:lineRule="auto"/>
    </w:pPr>
    <w:rPr>
      <w:rFonts w:ascii="Tahoma" w:hAnsi="Tahoma"/>
      <w:sz w:val="24"/>
    </w:rPr>
  </w:style>
  <w:style w:type="paragraph" w:customStyle="1" w:styleId="70">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z w:val="44"/>
    </w:rPr>
  </w:style>
  <w:style w:type="paragraph" w:customStyle="1" w:styleId="71">
    <w:name w:val="简单回函地址"/>
    <w:basedOn w:val="1"/>
    <w:autoRedefine/>
    <w:qFormat/>
    <w:uiPriority w:val="0"/>
    <w:rPr>
      <w:rFonts w:ascii="Times New Roman" w:hAnsi="Times New Roman" w:cs="宋体"/>
      <w:szCs w:val="21"/>
    </w:rPr>
  </w:style>
  <w:style w:type="paragraph" w:customStyle="1" w:styleId="72">
    <w:name w:val="标题2"/>
    <w:basedOn w:val="1"/>
    <w:next w:val="1"/>
    <w:autoRedefine/>
    <w:qFormat/>
    <w:uiPriority w:val="0"/>
    <w:pPr>
      <w:jc w:val="center"/>
    </w:pPr>
    <w:rPr>
      <w:rFonts w:ascii="Times New Roman" w:hAnsi="Times New Roman" w:eastAsia="方正楷体_GBK"/>
    </w:rPr>
  </w:style>
  <w:style w:type="paragraph" w:customStyle="1" w:styleId="73">
    <w:name w:val="纯文本11"/>
    <w:basedOn w:val="1"/>
    <w:autoRedefine/>
    <w:qFormat/>
    <w:uiPriority w:val="0"/>
    <w:pPr>
      <w:widowControl/>
      <w:adjustRightInd w:val="0"/>
      <w:jc w:val="left"/>
      <w:textAlignment w:val="baseline"/>
    </w:pPr>
    <w:rPr>
      <w:rFonts w:ascii="宋体" w:hAnsi="Courier New" w:eastAsia="楷体_GB2312"/>
      <w:kern w:val="0"/>
      <w:sz w:val="26"/>
      <w:szCs w:val="20"/>
    </w:rPr>
  </w:style>
  <w:style w:type="paragraph" w:styleId="74">
    <w:name w:val="List Paragraph"/>
    <w:basedOn w:val="1"/>
    <w:autoRedefine/>
    <w:qFormat/>
    <w:uiPriority w:val="34"/>
    <w:pPr>
      <w:ind w:firstLine="420" w:firstLineChars="200"/>
    </w:pPr>
    <w:rPr>
      <w:szCs w:val="22"/>
    </w:rPr>
  </w:style>
  <w:style w:type="paragraph" w:customStyle="1" w:styleId="75">
    <w:name w:val="Table Text"/>
    <w:autoRedefine/>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76">
    <w:name w:val="正文 第一章"/>
    <w:basedOn w:val="1"/>
    <w:next w:val="63"/>
    <w:autoRedefine/>
    <w:qFormat/>
    <w:uiPriority w:val="0"/>
    <w:pPr>
      <w:pageBreakBefore/>
      <w:numPr>
        <w:ilvl w:val="0"/>
        <w:numId w:val="2"/>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77">
    <w:name w:val="Char Char Char Char"/>
    <w:basedOn w:val="13"/>
    <w:autoRedefine/>
    <w:qFormat/>
    <w:uiPriority w:val="0"/>
    <w:pPr>
      <w:adjustRightInd w:val="0"/>
      <w:snapToGrid w:val="0"/>
      <w:spacing w:line="360" w:lineRule="auto"/>
    </w:pPr>
    <w:rPr>
      <w:rFonts w:ascii="Tahoma" w:hAnsi="Tahoma"/>
      <w:sz w:val="24"/>
    </w:rPr>
  </w:style>
  <w:style w:type="paragraph" w:customStyle="1" w:styleId="78">
    <w:name w:val="xl47"/>
    <w:basedOn w:val="1"/>
    <w:autoRedefine/>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79">
    <w:name w:val="BioQuote Tekst"/>
    <w:basedOn w:val="1"/>
    <w:autoRedefine/>
    <w:qFormat/>
    <w:uiPriority w:val="0"/>
    <w:pPr>
      <w:ind w:right="-1"/>
    </w:pPr>
    <w:rPr>
      <w:rFonts w:ascii="Arial" w:hAnsi="Arial"/>
      <w:snapToGrid w:val="0"/>
      <w:kern w:val="0"/>
      <w:sz w:val="22"/>
      <w:szCs w:val="20"/>
      <w:lang w:eastAsia="en-US"/>
    </w:rPr>
  </w:style>
  <w:style w:type="paragraph" w:customStyle="1" w:styleId="8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Char"/>
    <w:basedOn w:val="1"/>
    <w:autoRedefine/>
    <w:qFormat/>
    <w:uiPriority w:val="0"/>
    <w:pPr>
      <w:tabs>
        <w:tab w:val="left" w:pos="360"/>
      </w:tabs>
    </w:pPr>
    <w:rPr>
      <w:rFonts w:ascii="Times New Roman" w:hAnsi="Times New Roman"/>
      <w:sz w:val="24"/>
    </w:rPr>
  </w:style>
  <w:style w:type="paragraph" w:customStyle="1" w:styleId="82">
    <w:name w:val="第四级"/>
    <w:basedOn w:val="1"/>
    <w:next w:val="1"/>
    <w:autoRedefine/>
    <w:qFormat/>
    <w:uiPriority w:val="0"/>
    <w:pPr>
      <w:numPr>
        <w:ilvl w:val="3"/>
        <w:numId w:val="2"/>
      </w:numPr>
      <w:adjustRightInd w:val="0"/>
      <w:spacing w:line="360" w:lineRule="auto"/>
      <w:textAlignment w:val="baseline"/>
    </w:pPr>
    <w:rPr>
      <w:rFonts w:ascii="宋体" w:hAnsi="宋体" w:eastAsia="仿宋"/>
      <w:kern w:val="0"/>
      <w:sz w:val="28"/>
      <w:szCs w:val="21"/>
    </w:rPr>
  </w:style>
  <w:style w:type="paragraph" w:customStyle="1" w:styleId="83">
    <w:name w:val="Char1"/>
    <w:basedOn w:val="1"/>
    <w:autoRedefine/>
    <w:qFormat/>
    <w:uiPriority w:val="0"/>
    <w:rPr>
      <w:rFonts w:ascii="Tahoma" w:hAnsi="Tahoma"/>
      <w:snapToGrid w:val="0"/>
      <w:sz w:val="24"/>
      <w:szCs w:val="20"/>
    </w:rPr>
  </w:style>
  <w:style w:type="paragraph" w:customStyle="1" w:styleId="84">
    <w:name w:val="标书正文格式"/>
    <w:autoRedefine/>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85">
    <w:name w:val="正文空2格  1."/>
    <w:basedOn w:val="1"/>
    <w:autoRedefine/>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86">
    <w:name w:val="标题 6 字符"/>
    <w:link w:val="10"/>
    <w:autoRedefine/>
    <w:qFormat/>
    <w:uiPriority w:val="9"/>
    <w:rPr>
      <w:rFonts w:ascii="Arial" w:hAnsi="Arial" w:eastAsia="黑体" w:cs="Times New Roman"/>
      <w:b/>
      <w:bCs/>
      <w:kern w:val="2"/>
      <w:sz w:val="24"/>
      <w:szCs w:val="24"/>
    </w:rPr>
  </w:style>
  <w:style w:type="character" w:customStyle="1" w:styleId="87">
    <w:name w:val="标题 7 字符"/>
    <w:link w:val="11"/>
    <w:autoRedefine/>
    <w:qFormat/>
    <w:uiPriority w:val="9"/>
    <w:rPr>
      <w:rFonts w:ascii="Times New Roman" w:hAnsi="Times New Roman" w:eastAsia="宋体" w:cs="Times New Roman"/>
      <w:b/>
      <w:bCs/>
      <w:kern w:val="2"/>
      <w:sz w:val="24"/>
      <w:szCs w:val="24"/>
    </w:rPr>
  </w:style>
  <w:style w:type="character" w:customStyle="1" w:styleId="88">
    <w:name w:val="纯文本 字符"/>
    <w:link w:val="20"/>
    <w:autoRedefine/>
    <w:qFormat/>
    <w:uiPriority w:val="99"/>
    <w:rPr>
      <w:rFonts w:ascii="宋体" w:hAnsi="Courier New"/>
      <w:kern w:val="2"/>
      <w:sz w:val="21"/>
    </w:rPr>
  </w:style>
  <w:style w:type="character" w:customStyle="1" w:styleId="89">
    <w:name w:val="样式 新宋体 小四"/>
    <w:autoRedefine/>
    <w:qFormat/>
    <w:uiPriority w:val="0"/>
    <w:rPr>
      <w:rFonts w:hint="eastAsia" w:ascii="新宋体" w:hAnsi="新宋体" w:eastAsia="宋体"/>
      <w:sz w:val="21"/>
    </w:rPr>
  </w:style>
  <w:style w:type="paragraph" w:customStyle="1" w:styleId="90">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91">
    <w:name w:val="正文缩进 Char1"/>
    <w:autoRedefine/>
    <w:qFormat/>
    <w:uiPriority w:val="0"/>
    <w:rPr>
      <w:rFonts w:eastAsia="宋体"/>
      <w:kern w:val="2"/>
      <w:sz w:val="21"/>
      <w:lang w:val="en-US" w:eastAsia="zh-CN" w:bidi="ar-SA"/>
    </w:rPr>
  </w:style>
  <w:style w:type="character" w:customStyle="1" w:styleId="92">
    <w:name w:val="正文文本缩进 2 字符"/>
    <w:link w:val="23"/>
    <w:autoRedefine/>
    <w:qFormat/>
    <w:uiPriority w:val="0"/>
    <w:rPr>
      <w:rFonts w:ascii="宋体" w:hAnsi="宋体" w:eastAsia="宋体" w:cs="Times New Roman"/>
      <w:kern w:val="2"/>
      <w:sz w:val="28"/>
      <w:szCs w:val="24"/>
    </w:rPr>
  </w:style>
  <w:style w:type="paragraph" w:customStyle="1" w:styleId="93">
    <w:name w:val="Table Paragraph"/>
    <w:basedOn w:val="1"/>
    <w:autoRedefine/>
    <w:qFormat/>
    <w:uiPriority w:val="1"/>
    <w:pPr>
      <w:widowControl/>
      <w:jc w:val="left"/>
    </w:pPr>
    <w:rPr>
      <w:kern w:val="0"/>
      <w:sz w:val="22"/>
      <w:szCs w:val="20"/>
      <w:lang w:eastAsia="en-US"/>
    </w:rPr>
  </w:style>
  <w:style w:type="paragraph" w:customStyle="1" w:styleId="94">
    <w:name w:val="纯文本3"/>
    <w:basedOn w:val="1"/>
    <w:autoRedefine/>
    <w:qFormat/>
    <w:uiPriority w:val="0"/>
    <w:pPr>
      <w:adjustRightInd w:val="0"/>
    </w:pPr>
    <w:rPr>
      <w:rFonts w:hint="eastAsia" w:ascii="宋体" w:hAnsi="Courier New" w:eastAsia="楷体_GB2312"/>
      <w:sz w:val="28"/>
      <w:szCs w:val="20"/>
    </w:rPr>
  </w:style>
  <w:style w:type="character" w:customStyle="1" w:styleId="95">
    <w:name w:val="font51"/>
    <w:basedOn w:val="41"/>
    <w:autoRedefine/>
    <w:qFormat/>
    <w:uiPriority w:val="0"/>
    <w:rPr>
      <w:rFonts w:hint="eastAsia" w:ascii="宋体" w:hAnsi="宋体" w:eastAsia="宋体" w:cs="宋体"/>
      <w:color w:val="000000"/>
      <w:sz w:val="24"/>
      <w:szCs w:val="24"/>
      <w:u w:val="none"/>
    </w:rPr>
  </w:style>
  <w:style w:type="paragraph" w:customStyle="1" w:styleId="96">
    <w:name w:val="p1"/>
    <w:basedOn w:val="1"/>
    <w:autoRedefine/>
    <w:qFormat/>
    <w:uiPriority w:val="0"/>
    <w:pPr>
      <w:spacing w:line="380" w:lineRule="atLeast"/>
      <w:jc w:val="left"/>
    </w:pPr>
    <w:rPr>
      <w:rFonts w:ascii="Helvetica Neue" w:hAnsi="Helvetica Neue" w:eastAsia="Helvetica Neue"/>
      <w:color w:val="000000"/>
      <w:kern w:val="0"/>
      <w:sz w:val="26"/>
      <w:szCs w:val="26"/>
    </w:rPr>
  </w:style>
  <w:style w:type="paragraph" w:customStyle="1" w:styleId="97">
    <w:name w:val="列表段落1"/>
    <w:basedOn w:val="1"/>
    <w:link w:val="98"/>
    <w:autoRedefine/>
    <w:qFormat/>
    <w:uiPriority w:val="0"/>
    <w:pPr>
      <w:ind w:firstLine="420" w:firstLineChars="200"/>
    </w:pPr>
    <w:rPr>
      <w:rFonts w:ascii="Times New Roman" w:hAnsi="Times New Roman" w:eastAsia="楷体_GB2312"/>
      <w:sz w:val="26"/>
      <w:szCs w:val="20"/>
    </w:rPr>
  </w:style>
  <w:style w:type="character" w:customStyle="1" w:styleId="98">
    <w:name w:val="列表段落 字符"/>
    <w:link w:val="97"/>
    <w:autoRedefine/>
    <w:qFormat/>
    <w:uiPriority w:val="0"/>
    <w:rPr>
      <w:rFonts w:eastAsia="楷体_GB2312"/>
      <w:kern w:val="2"/>
      <w:sz w:val="26"/>
    </w:rPr>
  </w:style>
  <w:style w:type="character" w:customStyle="1" w:styleId="99">
    <w:name w:val="font11"/>
    <w:basedOn w:val="41"/>
    <w:autoRedefine/>
    <w:qFormat/>
    <w:uiPriority w:val="0"/>
    <w:rPr>
      <w:rFonts w:hint="eastAsia" w:ascii="黑体" w:hAnsi="宋体" w:eastAsia="黑体" w:cs="黑体"/>
      <w:b/>
      <w:bCs/>
      <w:color w:val="000000"/>
      <w:sz w:val="30"/>
      <w:szCs w:val="30"/>
      <w:u w:val="none"/>
    </w:rPr>
  </w:style>
  <w:style w:type="character" w:customStyle="1" w:styleId="100">
    <w:name w:val="font41"/>
    <w:basedOn w:val="41"/>
    <w:autoRedefine/>
    <w:qFormat/>
    <w:uiPriority w:val="0"/>
    <w:rPr>
      <w:rFonts w:hint="eastAsia" w:ascii="黑体" w:hAnsi="宋体" w:eastAsia="黑体" w:cs="黑体"/>
      <w:b/>
      <w:bCs/>
      <w:color w:val="000000"/>
      <w:sz w:val="28"/>
      <w:szCs w:val="28"/>
      <w:u w:val="none"/>
    </w:rPr>
  </w:style>
  <w:style w:type="character" w:customStyle="1" w:styleId="101">
    <w:name w:val="font21"/>
    <w:basedOn w:val="41"/>
    <w:autoRedefine/>
    <w:qFormat/>
    <w:uiPriority w:val="0"/>
    <w:rPr>
      <w:rFonts w:hint="eastAsia" w:ascii="黑体" w:hAnsi="宋体" w:eastAsia="黑体" w:cs="黑体"/>
      <w:b/>
      <w:bCs/>
      <w:color w:val="000000"/>
      <w:sz w:val="24"/>
      <w:szCs w:val="24"/>
      <w:u w:val="none"/>
    </w:rPr>
  </w:style>
  <w:style w:type="paragraph" w:customStyle="1" w:styleId="102">
    <w:name w:val="Default"/>
    <w:autoRedefine/>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0B643-679E-4D57-9AD0-3115CE83399B}">
  <ds:schemaRefs/>
</ds:datastoreItem>
</file>

<file path=docProps/app.xml><?xml version="1.0" encoding="utf-8"?>
<Properties xmlns="http://schemas.openxmlformats.org/officeDocument/2006/extended-properties" xmlns:vt="http://schemas.openxmlformats.org/officeDocument/2006/docPropsVTypes">
  <Template>Normal.dotm</Template>
  <Company>jszfcg</Company>
  <Pages>37</Pages>
  <Words>3714</Words>
  <Characters>21172</Characters>
  <Lines>176</Lines>
  <Paragraphs>49</Paragraphs>
  <TotalTime>81</TotalTime>
  <ScaleCrop>false</ScaleCrop>
  <LinksUpToDate>false</LinksUpToDate>
  <CharactersWithSpaces>24837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2023-05-30T15:06:00Z</dcterms:created>
  <dc:creator>cgzx</dc:creator>
  <cp:lastModifiedBy>Szf</cp:lastModifiedBy>
  <cp:lastPrinted>2024-04-01T10:13:59Z</cp:lastPrinted>
  <dcterms:modified xsi:type="dcterms:W3CDTF">2024-04-01T10:24:20Z</dcterms:modified>
  <dc:title>总 目 录</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1029943C5F0F49CFA0CAD00789513181_13</vt:lpwstr>
  </property>
</Properties>
</file>