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625D">
      <w:pPr>
        <w:spacing w:before="120" w:after="120" w:line="360" w:lineRule="auto"/>
        <w:jc w:val="center"/>
        <w:rPr>
          <w:rFonts w:hint="eastAsia" w:ascii="方正小标宋简体" w:hAnsi="宋体" w:eastAsia="方正小标宋简体" w:cs="等线"/>
          <w:color w:val="000000"/>
          <w:sz w:val="72"/>
          <w:szCs w:val="72"/>
          <w:highlight w:val="none"/>
        </w:rPr>
      </w:pPr>
      <w:r>
        <w:rPr>
          <w:rFonts w:hint="eastAsia" w:ascii="方正小标宋简体" w:hAnsi="宋体" w:eastAsia="方正小标宋简体" w:cs="等线"/>
          <w:color w:val="000000"/>
          <w:sz w:val="72"/>
          <w:szCs w:val="72"/>
          <w:highlight w:val="none"/>
        </w:rPr>
        <w:t>泰</w:t>
      </w:r>
      <w:r>
        <w:rPr>
          <w:rFonts w:hint="eastAsia" w:ascii="方正小标宋简体" w:hAnsi="宋体" w:eastAsia="方正小标宋简体" w:cs="等线"/>
          <w:color w:val="000000"/>
          <w:sz w:val="72"/>
          <w:szCs w:val="72"/>
          <w:highlight w:val="none"/>
          <w:lang w:val="en-US" w:eastAsia="zh-CN"/>
        </w:rPr>
        <w:t xml:space="preserve"> </w:t>
      </w:r>
      <w:r>
        <w:rPr>
          <w:rFonts w:hint="eastAsia" w:ascii="方正小标宋简体" w:hAnsi="宋体" w:eastAsia="方正小标宋简体" w:cs="等线"/>
          <w:color w:val="000000"/>
          <w:sz w:val="72"/>
          <w:szCs w:val="72"/>
          <w:highlight w:val="none"/>
        </w:rPr>
        <w:t>州</w:t>
      </w:r>
      <w:r>
        <w:rPr>
          <w:rFonts w:hint="eastAsia" w:ascii="方正小标宋简体" w:hAnsi="宋体" w:eastAsia="方正小标宋简体" w:cs="等线"/>
          <w:color w:val="000000"/>
          <w:sz w:val="72"/>
          <w:szCs w:val="72"/>
          <w:highlight w:val="none"/>
          <w:lang w:val="en-US" w:eastAsia="zh-CN"/>
        </w:rPr>
        <w:t xml:space="preserve"> 市 </w:t>
      </w:r>
      <w:r>
        <w:rPr>
          <w:rFonts w:hint="eastAsia" w:ascii="方正小标宋简体" w:hAnsi="宋体" w:eastAsia="方正小标宋简体" w:cs="等线"/>
          <w:color w:val="000000"/>
          <w:sz w:val="72"/>
          <w:szCs w:val="72"/>
          <w:highlight w:val="none"/>
        </w:rPr>
        <w:t>政</w:t>
      </w:r>
      <w:r>
        <w:rPr>
          <w:rFonts w:hint="eastAsia" w:ascii="方正小标宋简体" w:hAnsi="宋体" w:eastAsia="方正小标宋简体" w:cs="等线"/>
          <w:color w:val="000000"/>
          <w:sz w:val="72"/>
          <w:szCs w:val="72"/>
          <w:highlight w:val="none"/>
          <w:lang w:val="en-US" w:eastAsia="zh-CN"/>
        </w:rPr>
        <w:t xml:space="preserve"> </w:t>
      </w:r>
      <w:r>
        <w:rPr>
          <w:rFonts w:hint="eastAsia" w:ascii="方正小标宋简体" w:hAnsi="宋体" w:eastAsia="方正小标宋简体" w:cs="等线"/>
          <w:color w:val="000000"/>
          <w:sz w:val="72"/>
          <w:szCs w:val="72"/>
          <w:highlight w:val="none"/>
        </w:rPr>
        <w:t>府</w:t>
      </w:r>
      <w:r>
        <w:rPr>
          <w:rFonts w:hint="eastAsia" w:ascii="方正小标宋简体" w:hAnsi="宋体" w:eastAsia="方正小标宋简体" w:cs="等线"/>
          <w:color w:val="000000"/>
          <w:sz w:val="72"/>
          <w:szCs w:val="72"/>
          <w:highlight w:val="none"/>
          <w:lang w:val="en-US" w:eastAsia="zh-CN"/>
        </w:rPr>
        <w:t xml:space="preserve"> </w:t>
      </w:r>
      <w:r>
        <w:rPr>
          <w:rFonts w:hint="eastAsia" w:ascii="方正小标宋简体" w:hAnsi="宋体" w:eastAsia="方正小标宋简体" w:cs="等线"/>
          <w:color w:val="000000"/>
          <w:sz w:val="72"/>
          <w:szCs w:val="72"/>
          <w:highlight w:val="none"/>
        </w:rPr>
        <w:t>采</w:t>
      </w:r>
      <w:r>
        <w:rPr>
          <w:rFonts w:hint="eastAsia" w:ascii="方正小标宋简体" w:hAnsi="宋体" w:eastAsia="方正小标宋简体" w:cs="等线"/>
          <w:color w:val="000000"/>
          <w:sz w:val="72"/>
          <w:szCs w:val="72"/>
          <w:highlight w:val="none"/>
          <w:lang w:val="en-US" w:eastAsia="zh-CN"/>
        </w:rPr>
        <w:t xml:space="preserve"> </w:t>
      </w:r>
      <w:r>
        <w:rPr>
          <w:rFonts w:hint="eastAsia" w:ascii="方正小标宋简体" w:hAnsi="宋体" w:eastAsia="方正小标宋简体" w:cs="等线"/>
          <w:color w:val="000000"/>
          <w:sz w:val="72"/>
          <w:szCs w:val="72"/>
          <w:highlight w:val="none"/>
        </w:rPr>
        <w:t>购</w:t>
      </w:r>
    </w:p>
    <w:p w14:paraId="7C220EF4">
      <w:pPr>
        <w:pStyle w:val="238"/>
        <w:rPr>
          <w:highlight w:val="none"/>
        </w:rPr>
      </w:pPr>
    </w:p>
    <w:p w14:paraId="750200B4">
      <w:pPr>
        <w:rPr>
          <w:highlight w:val="none"/>
        </w:rPr>
      </w:pPr>
    </w:p>
    <w:p w14:paraId="2BFE39DC">
      <w:pPr>
        <w:spacing w:before="120" w:line="360" w:lineRule="auto"/>
        <w:jc w:val="center"/>
        <w:rPr>
          <w:rFonts w:ascii="楷体_GB2312" w:hAnsi="Arial" w:eastAsia="楷体_GB2312" w:cs="Arial"/>
          <w:b/>
          <w:bCs/>
          <w:color w:val="000000"/>
          <w:sz w:val="52"/>
          <w:szCs w:val="52"/>
          <w:highlight w:val="none"/>
        </w:rPr>
      </w:pPr>
      <w:r>
        <w:rPr>
          <w:rFonts w:hint="eastAsia" w:ascii="楷体_GB2312" w:hAnsi="Arial" w:eastAsia="楷体_GB2312" w:cs="Arial"/>
          <w:b/>
          <w:bCs/>
          <w:color w:val="000000"/>
          <w:sz w:val="52"/>
          <w:szCs w:val="52"/>
          <w:highlight w:val="none"/>
        </w:rPr>
        <w:t>竞争性磋商文件</w:t>
      </w:r>
    </w:p>
    <w:p w14:paraId="1E8196EE">
      <w:pPr>
        <w:jc w:val="center"/>
        <w:rPr>
          <w:rFonts w:ascii="楷体_GB2312" w:hAnsi="华文中宋" w:eastAsia="楷体_GB2312" w:cs="华文中宋"/>
          <w:bCs/>
          <w:color w:val="000000"/>
          <w:sz w:val="36"/>
          <w:szCs w:val="36"/>
          <w:highlight w:val="none"/>
        </w:rPr>
      </w:pPr>
      <w:r>
        <w:rPr>
          <w:rFonts w:hint="eastAsia" w:ascii="楷体_GB2312" w:hAnsi="Times New Roman" w:eastAsia="楷体_GB2312" w:cs="Times New Roman"/>
          <w:color w:val="000000"/>
          <w:sz w:val="36"/>
          <w:szCs w:val="36"/>
          <w:highlight w:val="none"/>
        </w:rPr>
        <w:t>(</w:t>
      </w:r>
      <w:r>
        <w:rPr>
          <w:rFonts w:hint="eastAsia" w:ascii="楷体_GB2312" w:hAnsi="华文中宋" w:eastAsia="楷体_GB2312" w:cs="华文中宋"/>
          <w:bCs/>
          <w:color w:val="000000"/>
          <w:sz w:val="36"/>
          <w:szCs w:val="36"/>
          <w:highlight w:val="none"/>
        </w:rPr>
        <w:t>全流程电子化不见面开标</w:t>
      </w:r>
      <w:r>
        <w:rPr>
          <w:rFonts w:hint="eastAsia" w:ascii="楷体_GB2312" w:hAnsi="Times New Roman" w:eastAsia="楷体_GB2312" w:cs="宋体"/>
          <w:color w:val="000000"/>
          <w:sz w:val="36"/>
          <w:szCs w:val="36"/>
          <w:highlight w:val="none"/>
        </w:rPr>
        <w:t>）</w:t>
      </w:r>
    </w:p>
    <w:p w14:paraId="602FEEFA">
      <w:pPr>
        <w:pStyle w:val="238"/>
        <w:widowControl w:val="0"/>
        <w:tabs>
          <w:tab w:val="center" w:pos="4201"/>
          <w:tab w:val="right" w:leader="dot" w:pos="9298"/>
        </w:tabs>
        <w:rPr>
          <w:color w:val="000000"/>
          <w:highlight w:val="none"/>
        </w:rPr>
      </w:pPr>
    </w:p>
    <w:p w14:paraId="6EE16D02">
      <w:pPr>
        <w:pStyle w:val="238"/>
        <w:widowControl w:val="0"/>
        <w:tabs>
          <w:tab w:val="center" w:pos="4201"/>
          <w:tab w:val="right" w:leader="dot" w:pos="9298"/>
        </w:tabs>
        <w:ind w:firstLine="400"/>
        <w:rPr>
          <w:color w:val="000000"/>
          <w:highlight w:val="none"/>
        </w:rPr>
      </w:pPr>
    </w:p>
    <w:p w14:paraId="782B345A">
      <w:pPr>
        <w:rPr>
          <w:highlight w:val="none"/>
        </w:rPr>
      </w:pPr>
    </w:p>
    <w:p w14:paraId="7FFD98D6">
      <w:pPr>
        <w:rPr>
          <w:highlight w:val="none"/>
        </w:rPr>
      </w:pPr>
    </w:p>
    <w:p w14:paraId="2AD8F814">
      <w:pPr>
        <w:spacing w:before="120" w:after="120" w:line="360" w:lineRule="auto"/>
        <w:ind w:firstLine="1606"/>
        <w:jc w:val="both"/>
        <w:rPr>
          <w:rFonts w:hint="eastAsia" w:ascii="Arial" w:hAnsi="Arial" w:eastAsia="宋体" w:cs="Arial"/>
          <w:b/>
          <w:bCs/>
          <w:color w:val="000000"/>
          <w:sz w:val="32"/>
          <w:szCs w:val="32"/>
          <w:highlight w:val="none"/>
          <w:lang w:eastAsia="zh-CN"/>
        </w:rPr>
      </w:pPr>
      <w:r>
        <w:rPr>
          <w:rFonts w:ascii="Arial" w:hAnsi="Arial" w:eastAsia="宋体" w:cs="Arial"/>
          <w:b/>
          <w:bCs/>
          <w:color w:val="000000"/>
          <w:sz w:val="32"/>
          <w:szCs w:val="32"/>
          <w:highlight w:val="none"/>
        </w:rPr>
        <w:t>项目编号：</w:t>
      </w:r>
      <w:r>
        <w:rPr>
          <w:rFonts w:hint="eastAsia" w:ascii="Arial" w:hAnsi="Arial" w:cs="Arial"/>
          <w:b/>
          <w:bCs/>
          <w:color w:val="000000"/>
          <w:sz w:val="32"/>
          <w:szCs w:val="32"/>
          <w:highlight w:val="none"/>
          <w:lang w:eastAsia="zh-CN"/>
        </w:rPr>
        <w:t>JSZC-321200-TXJS-C2025-0040</w:t>
      </w:r>
    </w:p>
    <w:p w14:paraId="4C15F11D">
      <w:pPr>
        <w:spacing w:before="120" w:after="120" w:line="360" w:lineRule="auto"/>
        <w:ind w:left="1607" w:hanging="964"/>
        <w:jc w:val="center"/>
        <w:rPr>
          <w:rFonts w:hint="eastAsia" w:ascii="Arial" w:hAnsi="Arial" w:eastAsia="宋体" w:cs="Arial"/>
          <w:b/>
          <w:bCs/>
          <w:color w:val="000000"/>
          <w:sz w:val="32"/>
          <w:szCs w:val="32"/>
          <w:highlight w:val="none"/>
          <w:lang w:eastAsia="zh-CN"/>
        </w:rPr>
      </w:pPr>
      <w:r>
        <w:rPr>
          <w:rFonts w:ascii="Arial" w:hAnsi="Arial" w:eastAsia="宋体" w:cs="Arial"/>
          <w:b/>
          <w:bCs/>
          <w:color w:val="000000"/>
          <w:sz w:val="32"/>
          <w:szCs w:val="32"/>
          <w:highlight w:val="none"/>
        </w:rPr>
        <w:t>项目名称：</w:t>
      </w:r>
      <w:r>
        <w:rPr>
          <w:rFonts w:hint="eastAsia" w:ascii="Arial" w:hAnsi="Arial" w:cs="Arial"/>
          <w:b/>
          <w:bCs/>
          <w:color w:val="000000"/>
          <w:sz w:val="32"/>
          <w:szCs w:val="32"/>
          <w:highlight w:val="none"/>
          <w:lang w:eastAsia="zh-CN"/>
        </w:rPr>
        <w:t>泰州市长江禁捕执法基地升级改造</w:t>
      </w:r>
    </w:p>
    <w:p w14:paraId="70345BAF">
      <w:pPr>
        <w:spacing w:before="120" w:after="120" w:line="360" w:lineRule="auto"/>
        <w:ind w:firstLine="948"/>
        <w:jc w:val="left"/>
        <w:rPr>
          <w:rFonts w:ascii="宋体" w:hAnsi="宋体" w:eastAsia="宋体" w:cs="宋体"/>
          <w:color w:val="000000"/>
          <w:sz w:val="24"/>
          <w:szCs w:val="24"/>
          <w:highlight w:val="none"/>
        </w:rPr>
      </w:pPr>
    </w:p>
    <w:p w14:paraId="7A1EC980">
      <w:pPr>
        <w:spacing w:before="120" w:after="120" w:line="360" w:lineRule="auto"/>
        <w:ind w:firstLine="2249"/>
        <w:jc w:val="left"/>
        <w:rPr>
          <w:rFonts w:ascii="宋体" w:hAnsi="宋体" w:eastAsia="宋体" w:cs="宋体"/>
          <w:color w:val="000000"/>
          <w:sz w:val="24"/>
          <w:szCs w:val="24"/>
          <w:highlight w:val="none"/>
        </w:rPr>
      </w:pPr>
      <w:r>
        <w:rPr>
          <w:rFonts w:ascii="Times New Roman" w:hAnsi="Times New Roman" w:eastAsia="宋体" w:cs="Times New Roman"/>
          <w:b/>
          <w:bCs/>
          <w:color w:val="000000"/>
          <w:sz w:val="30"/>
          <w:szCs w:val="30"/>
          <w:highlight w:val="none"/>
        </w:rPr>
        <w:t xml:space="preserve">  </w:t>
      </w:r>
    </w:p>
    <w:p w14:paraId="060BBA4E">
      <w:pPr>
        <w:spacing w:line="360" w:lineRule="auto"/>
        <w:jc w:val="left"/>
        <w:rPr>
          <w:rFonts w:ascii="宋体" w:hAnsi="宋体" w:eastAsia="宋体" w:cs="宋体"/>
          <w:color w:val="000000"/>
          <w:sz w:val="24"/>
          <w:szCs w:val="24"/>
          <w:highlight w:val="none"/>
        </w:rPr>
      </w:pPr>
    </w:p>
    <w:p w14:paraId="47A0F6FA">
      <w:pPr>
        <w:spacing w:line="360" w:lineRule="auto"/>
        <w:jc w:val="left"/>
        <w:rPr>
          <w:rFonts w:ascii="宋体" w:hAnsi="宋体" w:eastAsia="宋体" w:cs="宋体"/>
          <w:color w:val="000000"/>
          <w:sz w:val="24"/>
          <w:szCs w:val="24"/>
          <w:highlight w:val="none"/>
        </w:rPr>
      </w:pPr>
    </w:p>
    <w:p w14:paraId="5BD183E3">
      <w:pPr>
        <w:pStyle w:val="238"/>
        <w:tabs>
          <w:tab w:val="center" w:pos="4201"/>
          <w:tab w:val="right" w:leader="dot" w:pos="9298"/>
        </w:tabs>
        <w:rPr>
          <w:color w:val="000000"/>
          <w:highlight w:val="none"/>
        </w:rPr>
      </w:pPr>
    </w:p>
    <w:p w14:paraId="634F0BF5">
      <w:pPr>
        <w:spacing w:line="360" w:lineRule="auto"/>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  </w:t>
      </w:r>
    </w:p>
    <w:p w14:paraId="0DE8F42D">
      <w:pPr>
        <w:spacing w:line="360" w:lineRule="auto"/>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 </w:t>
      </w:r>
    </w:p>
    <w:p w14:paraId="1E58E515">
      <w:pPr>
        <w:keepNext w:val="0"/>
        <w:keepLines w:val="0"/>
        <w:pageBreakBefore w:val="0"/>
        <w:widowControl/>
        <w:spacing w:line="360" w:lineRule="auto"/>
        <w:jc w:val="center"/>
        <w:rPr>
          <w:rFonts w:hint="eastAsia" w:ascii="Arial" w:hAnsi="Arial" w:eastAsia="宋体" w:cs="Arial"/>
          <w:b/>
          <w:bCs/>
          <w:color w:val="000000"/>
          <w:sz w:val="32"/>
          <w:szCs w:val="32"/>
          <w:highlight w:val="none"/>
          <w:lang w:eastAsia="zh-CN"/>
        </w:rPr>
      </w:pPr>
      <w:r>
        <w:rPr>
          <w:rFonts w:hint="eastAsia" w:ascii="Arial" w:hAnsi="Arial" w:eastAsia="宋体" w:cs="Arial"/>
          <w:b/>
          <w:bCs/>
          <w:color w:val="000000"/>
          <w:sz w:val="32"/>
          <w:szCs w:val="32"/>
          <w:highlight w:val="none"/>
        </w:rPr>
        <w:t>采购单位:</w:t>
      </w:r>
      <w:r>
        <w:rPr>
          <w:rFonts w:hint="eastAsia" w:ascii="Arial" w:hAnsi="Arial" w:cs="Arial"/>
          <w:b/>
          <w:bCs/>
          <w:color w:val="000000"/>
          <w:sz w:val="32"/>
          <w:szCs w:val="32"/>
          <w:highlight w:val="none"/>
          <w:lang w:eastAsia="zh-CN"/>
        </w:rPr>
        <w:t>泰州市农业农村局</w:t>
      </w:r>
    </w:p>
    <w:p w14:paraId="192913C9">
      <w:pPr>
        <w:keepNext w:val="0"/>
        <w:keepLines w:val="0"/>
        <w:pageBreakBefore w:val="0"/>
        <w:widowControl/>
        <w:spacing w:line="360" w:lineRule="auto"/>
        <w:jc w:val="center"/>
        <w:rPr>
          <w:rFonts w:hint="eastAsia" w:ascii="Arial" w:hAnsi="Arial" w:eastAsia="宋体" w:cs="Arial"/>
          <w:b/>
          <w:bCs/>
          <w:color w:val="000000"/>
          <w:sz w:val="32"/>
          <w:szCs w:val="32"/>
          <w:highlight w:val="none"/>
          <w:lang w:eastAsia="zh-CN"/>
        </w:rPr>
      </w:pPr>
      <w:r>
        <w:rPr>
          <w:rFonts w:hint="eastAsia" w:ascii="Arial" w:hAnsi="Arial" w:eastAsia="宋体" w:cs="Arial"/>
          <w:b/>
          <w:bCs/>
          <w:color w:val="000000"/>
          <w:sz w:val="32"/>
          <w:szCs w:val="32"/>
          <w:highlight w:val="none"/>
        </w:rPr>
        <w:t>招标代理：</w:t>
      </w:r>
      <w:r>
        <w:rPr>
          <w:rFonts w:hint="eastAsia" w:ascii="Arial" w:hAnsi="Arial" w:cs="Arial"/>
          <w:b/>
          <w:bCs/>
          <w:color w:val="000000"/>
          <w:sz w:val="32"/>
          <w:szCs w:val="32"/>
          <w:highlight w:val="none"/>
          <w:lang w:eastAsia="zh-CN"/>
        </w:rPr>
        <w:t>江苏天信建设项目咨询有限公司</w:t>
      </w:r>
    </w:p>
    <w:p w14:paraId="0F77F237">
      <w:pPr>
        <w:keepNext w:val="0"/>
        <w:keepLines w:val="0"/>
        <w:pageBreakBefore w:val="0"/>
        <w:widowControl/>
        <w:spacing w:line="360" w:lineRule="auto"/>
        <w:jc w:val="center"/>
        <w:rPr>
          <w:rFonts w:ascii="宋体" w:hAnsi="宋体" w:eastAsia="宋体" w:cs="宋体"/>
          <w:color w:val="000000"/>
          <w:sz w:val="24"/>
          <w:szCs w:val="24"/>
          <w:highlight w:val="none"/>
        </w:rPr>
      </w:pPr>
      <w:r>
        <w:rPr>
          <w:rFonts w:hint="eastAsia" w:ascii="Arial" w:hAnsi="Arial" w:eastAsia="宋体" w:cs="Arial"/>
          <w:b/>
          <w:bCs/>
          <w:color w:val="000000"/>
          <w:sz w:val="32"/>
          <w:szCs w:val="32"/>
          <w:highlight w:val="none"/>
        </w:rPr>
        <w:t>202</w:t>
      </w:r>
      <w:r>
        <w:rPr>
          <w:rFonts w:hint="eastAsia" w:ascii="Arial" w:hAnsi="Arial" w:eastAsia="宋体" w:cs="Arial"/>
          <w:b/>
          <w:bCs/>
          <w:color w:val="000000"/>
          <w:sz w:val="32"/>
          <w:szCs w:val="32"/>
          <w:highlight w:val="none"/>
          <w:lang w:val="en-US" w:eastAsia="zh-CN"/>
        </w:rPr>
        <w:t>5</w:t>
      </w:r>
      <w:r>
        <w:rPr>
          <w:rFonts w:ascii="Arial" w:hAnsi="Arial" w:eastAsia="宋体" w:cs="Arial"/>
          <w:b/>
          <w:bCs/>
          <w:color w:val="000000"/>
          <w:sz w:val="32"/>
          <w:szCs w:val="32"/>
          <w:highlight w:val="none"/>
        </w:rPr>
        <w:t>年</w:t>
      </w:r>
      <w:r>
        <w:rPr>
          <w:rFonts w:hint="eastAsia" w:ascii="Arial" w:hAnsi="Arial" w:cs="Arial"/>
          <w:b/>
          <w:bCs/>
          <w:color w:val="000000"/>
          <w:sz w:val="32"/>
          <w:szCs w:val="32"/>
          <w:highlight w:val="none"/>
          <w:lang w:val="en-US" w:eastAsia="zh-CN"/>
        </w:rPr>
        <w:t>10</w:t>
      </w:r>
      <w:r>
        <w:rPr>
          <w:rFonts w:ascii="Arial" w:hAnsi="Arial" w:eastAsia="宋体" w:cs="Arial"/>
          <w:b/>
          <w:bCs/>
          <w:color w:val="000000"/>
          <w:sz w:val="32"/>
          <w:szCs w:val="32"/>
          <w:highlight w:val="none"/>
        </w:rPr>
        <w:t>月</w:t>
      </w:r>
    </w:p>
    <w:p w14:paraId="1B5DC9B9">
      <w:pPr>
        <w:widowControl/>
        <w:jc w:val="left"/>
        <w:rPr>
          <w:rFonts w:hint="eastAsia" w:ascii="宋体" w:hAnsi="宋体"/>
          <w:b/>
          <w:sz w:val="44"/>
          <w:szCs w:val="44"/>
          <w:highlight w:val="none"/>
        </w:rPr>
      </w:pPr>
      <w:r>
        <w:rPr>
          <w:rFonts w:hint="eastAsia" w:ascii="宋体" w:hAnsi="宋体"/>
          <w:b/>
          <w:sz w:val="52"/>
          <w:szCs w:val="52"/>
          <w:highlight w:val="none"/>
        </w:rPr>
        <w:br w:type="page" w:clear="all"/>
      </w:r>
    </w:p>
    <w:p w14:paraId="2A1F394C">
      <w:pPr>
        <w:spacing w:line="480" w:lineRule="auto"/>
        <w:outlineLvl w:val="0"/>
        <w:rPr>
          <w:rFonts w:hint="eastAsia" w:ascii="黑体" w:hAnsi="Arial" w:eastAsia="黑体"/>
          <w:b/>
          <w:sz w:val="44"/>
          <w:szCs w:val="21"/>
          <w:highlight w:val="none"/>
        </w:rPr>
      </w:pPr>
    </w:p>
    <w:p w14:paraId="7E6995FD">
      <w:pPr>
        <w:pStyle w:val="278"/>
        <w:jc w:val="center"/>
        <w:rPr>
          <w:color w:val="000000"/>
          <w:highlight w:val="none"/>
        </w:rPr>
      </w:pPr>
      <w:bookmarkStart w:id="0" w:name="_Toc6428"/>
      <w:r>
        <w:rPr>
          <w:color w:val="000000"/>
          <w:highlight w:val="none"/>
          <w:lang w:val="zh-CN"/>
        </w:rPr>
        <w:t>目录</w:t>
      </w:r>
      <w:bookmarkEnd w:id="0"/>
    </w:p>
    <w:p w14:paraId="2AE32553">
      <w:pPr>
        <w:pStyle w:val="216"/>
        <w:tabs>
          <w:tab w:val="right" w:leader="dot" w:pos="8958"/>
        </w:tabs>
        <w:rPr>
          <w:sz w:val="28"/>
          <w:szCs w:val="48"/>
          <w:highlight w:val="none"/>
        </w:rPr>
      </w:pPr>
      <w:r>
        <w:rPr>
          <w:sz w:val="52"/>
          <w:szCs w:val="52"/>
          <w:highlight w:val="none"/>
          <w:lang w:eastAsia="zh-CN"/>
        </w:rPr>
        <w:fldChar w:fldCharType="begin"/>
      </w:r>
      <w:r>
        <w:rPr>
          <w:sz w:val="52"/>
          <w:szCs w:val="52"/>
          <w:highlight w:val="none"/>
          <w:lang w:eastAsia="zh-CN"/>
        </w:rPr>
        <w:instrText xml:space="preserve"> TOC \o "1-3" \h \z \u </w:instrText>
      </w:r>
      <w:r>
        <w:rPr>
          <w:sz w:val="52"/>
          <w:szCs w:val="52"/>
          <w:highlight w:val="none"/>
          <w:lang w:eastAsia="zh-CN"/>
        </w:rPr>
        <w:fldChar w:fldCharType="separate"/>
      </w:r>
    </w:p>
    <w:p w14:paraId="60066193">
      <w:pPr>
        <w:pStyle w:val="216"/>
        <w:tabs>
          <w:tab w:val="right" w:leader="dot" w:pos="8958"/>
        </w:tabs>
        <w:spacing w:line="360" w:lineRule="auto"/>
        <w:rPr>
          <w:sz w:val="28"/>
          <w:szCs w:val="48"/>
          <w:highlight w:val="none"/>
        </w:rPr>
      </w:pPr>
      <w:r>
        <w:rPr>
          <w:sz w:val="28"/>
          <w:szCs w:val="48"/>
          <w:highlight w:val="none"/>
        </w:rPr>
        <w:fldChar w:fldCharType="begin"/>
      </w:r>
      <w:r>
        <w:rPr>
          <w:sz w:val="28"/>
          <w:szCs w:val="48"/>
          <w:highlight w:val="none"/>
        </w:rPr>
        <w:instrText xml:space="preserve"> HYPERLINK \l _Toc24315 </w:instrText>
      </w:r>
      <w:r>
        <w:rPr>
          <w:sz w:val="28"/>
          <w:szCs w:val="48"/>
          <w:highlight w:val="none"/>
        </w:rPr>
        <w:fldChar w:fldCharType="separate"/>
      </w:r>
      <w:r>
        <w:rPr>
          <w:rFonts w:hint="eastAsia"/>
          <w:sz w:val="28"/>
          <w:szCs w:val="48"/>
          <w:highlight w:val="none"/>
        </w:rPr>
        <w:t>第一章 竞争性磋商采购公告</w:t>
      </w:r>
      <w:r>
        <w:rPr>
          <w:sz w:val="28"/>
          <w:szCs w:val="48"/>
          <w:highlight w:val="none"/>
        </w:rPr>
        <w:tab/>
      </w:r>
      <w:r>
        <w:rPr>
          <w:sz w:val="28"/>
          <w:szCs w:val="48"/>
          <w:highlight w:val="none"/>
        </w:rPr>
        <w:fldChar w:fldCharType="begin"/>
      </w:r>
      <w:r>
        <w:rPr>
          <w:sz w:val="28"/>
          <w:szCs w:val="48"/>
          <w:highlight w:val="none"/>
        </w:rPr>
        <w:instrText xml:space="preserve"> PAGEREF _Toc24315 </w:instrText>
      </w:r>
      <w:r>
        <w:rPr>
          <w:sz w:val="28"/>
          <w:szCs w:val="48"/>
          <w:highlight w:val="none"/>
        </w:rPr>
        <w:fldChar w:fldCharType="separate"/>
      </w:r>
      <w:r>
        <w:rPr>
          <w:sz w:val="28"/>
          <w:szCs w:val="48"/>
          <w:highlight w:val="none"/>
        </w:rPr>
        <w:t>1</w:t>
      </w:r>
      <w:r>
        <w:rPr>
          <w:sz w:val="28"/>
          <w:szCs w:val="48"/>
          <w:highlight w:val="none"/>
        </w:rPr>
        <w:fldChar w:fldCharType="end"/>
      </w:r>
      <w:r>
        <w:rPr>
          <w:sz w:val="28"/>
          <w:szCs w:val="48"/>
          <w:highlight w:val="none"/>
        </w:rPr>
        <w:fldChar w:fldCharType="end"/>
      </w:r>
    </w:p>
    <w:p w14:paraId="3BD3C25E">
      <w:pPr>
        <w:pStyle w:val="216"/>
        <w:tabs>
          <w:tab w:val="right" w:leader="dot" w:pos="8958"/>
        </w:tabs>
        <w:spacing w:line="360" w:lineRule="auto"/>
        <w:rPr>
          <w:sz w:val="28"/>
          <w:szCs w:val="48"/>
          <w:highlight w:val="none"/>
        </w:rPr>
      </w:pPr>
      <w:r>
        <w:rPr>
          <w:sz w:val="28"/>
          <w:szCs w:val="48"/>
          <w:highlight w:val="none"/>
        </w:rPr>
        <w:fldChar w:fldCharType="begin"/>
      </w:r>
      <w:r>
        <w:rPr>
          <w:sz w:val="28"/>
          <w:szCs w:val="48"/>
          <w:highlight w:val="none"/>
        </w:rPr>
        <w:instrText xml:space="preserve"> HYPERLINK \l _Toc3692 </w:instrText>
      </w:r>
      <w:r>
        <w:rPr>
          <w:sz w:val="28"/>
          <w:szCs w:val="48"/>
          <w:highlight w:val="none"/>
        </w:rPr>
        <w:fldChar w:fldCharType="separate"/>
      </w:r>
      <w:r>
        <w:rPr>
          <w:rFonts w:hint="eastAsia"/>
          <w:sz w:val="28"/>
          <w:szCs w:val="48"/>
          <w:highlight w:val="none"/>
        </w:rPr>
        <w:t>第二章 参加磋商供应商须知</w:t>
      </w:r>
      <w:r>
        <w:rPr>
          <w:sz w:val="28"/>
          <w:szCs w:val="48"/>
          <w:highlight w:val="none"/>
        </w:rPr>
        <w:tab/>
      </w:r>
      <w:r>
        <w:rPr>
          <w:sz w:val="28"/>
          <w:szCs w:val="48"/>
          <w:highlight w:val="none"/>
        </w:rPr>
        <w:fldChar w:fldCharType="begin"/>
      </w:r>
      <w:r>
        <w:rPr>
          <w:sz w:val="28"/>
          <w:szCs w:val="48"/>
          <w:highlight w:val="none"/>
        </w:rPr>
        <w:instrText xml:space="preserve"> PAGEREF _Toc3692 </w:instrText>
      </w:r>
      <w:r>
        <w:rPr>
          <w:sz w:val="28"/>
          <w:szCs w:val="48"/>
          <w:highlight w:val="none"/>
        </w:rPr>
        <w:fldChar w:fldCharType="separate"/>
      </w:r>
      <w:r>
        <w:rPr>
          <w:sz w:val="28"/>
          <w:szCs w:val="48"/>
          <w:highlight w:val="none"/>
        </w:rPr>
        <w:t>5</w:t>
      </w:r>
      <w:r>
        <w:rPr>
          <w:sz w:val="28"/>
          <w:szCs w:val="48"/>
          <w:highlight w:val="none"/>
        </w:rPr>
        <w:fldChar w:fldCharType="end"/>
      </w:r>
      <w:r>
        <w:rPr>
          <w:sz w:val="28"/>
          <w:szCs w:val="48"/>
          <w:highlight w:val="none"/>
        </w:rPr>
        <w:fldChar w:fldCharType="end"/>
      </w:r>
    </w:p>
    <w:p w14:paraId="38A40479">
      <w:pPr>
        <w:pStyle w:val="216"/>
        <w:tabs>
          <w:tab w:val="right" w:leader="dot" w:pos="8958"/>
        </w:tabs>
        <w:spacing w:line="360" w:lineRule="auto"/>
        <w:rPr>
          <w:sz w:val="28"/>
          <w:szCs w:val="48"/>
          <w:highlight w:val="none"/>
        </w:rPr>
      </w:pPr>
      <w:r>
        <w:rPr>
          <w:sz w:val="28"/>
          <w:szCs w:val="48"/>
          <w:highlight w:val="none"/>
        </w:rPr>
        <w:fldChar w:fldCharType="begin"/>
      </w:r>
      <w:r>
        <w:rPr>
          <w:sz w:val="28"/>
          <w:szCs w:val="48"/>
          <w:highlight w:val="none"/>
        </w:rPr>
        <w:instrText xml:space="preserve"> HYPERLINK \l _Toc9038 </w:instrText>
      </w:r>
      <w:r>
        <w:rPr>
          <w:sz w:val="28"/>
          <w:szCs w:val="48"/>
          <w:highlight w:val="none"/>
        </w:rPr>
        <w:fldChar w:fldCharType="separate"/>
      </w:r>
      <w:r>
        <w:rPr>
          <w:rFonts w:hint="eastAsia"/>
          <w:sz w:val="28"/>
          <w:szCs w:val="48"/>
          <w:highlight w:val="none"/>
        </w:rPr>
        <w:t>第三章 合同条款及格式</w:t>
      </w:r>
      <w:r>
        <w:rPr>
          <w:sz w:val="28"/>
          <w:szCs w:val="48"/>
          <w:highlight w:val="none"/>
        </w:rPr>
        <w:tab/>
      </w:r>
      <w:r>
        <w:rPr>
          <w:sz w:val="28"/>
          <w:szCs w:val="48"/>
          <w:highlight w:val="none"/>
        </w:rPr>
        <w:fldChar w:fldCharType="begin"/>
      </w:r>
      <w:r>
        <w:rPr>
          <w:sz w:val="28"/>
          <w:szCs w:val="48"/>
          <w:highlight w:val="none"/>
        </w:rPr>
        <w:instrText xml:space="preserve"> PAGEREF _Toc9038 </w:instrText>
      </w:r>
      <w:r>
        <w:rPr>
          <w:sz w:val="28"/>
          <w:szCs w:val="48"/>
          <w:highlight w:val="none"/>
        </w:rPr>
        <w:fldChar w:fldCharType="separate"/>
      </w:r>
      <w:r>
        <w:rPr>
          <w:sz w:val="28"/>
          <w:szCs w:val="48"/>
          <w:highlight w:val="none"/>
        </w:rPr>
        <w:t>23</w:t>
      </w:r>
      <w:r>
        <w:rPr>
          <w:sz w:val="28"/>
          <w:szCs w:val="48"/>
          <w:highlight w:val="none"/>
        </w:rPr>
        <w:fldChar w:fldCharType="end"/>
      </w:r>
      <w:r>
        <w:rPr>
          <w:sz w:val="28"/>
          <w:szCs w:val="48"/>
          <w:highlight w:val="none"/>
        </w:rPr>
        <w:fldChar w:fldCharType="end"/>
      </w:r>
    </w:p>
    <w:p w14:paraId="461956D3">
      <w:pPr>
        <w:pStyle w:val="216"/>
        <w:tabs>
          <w:tab w:val="right" w:leader="dot" w:pos="8958"/>
        </w:tabs>
        <w:spacing w:line="360" w:lineRule="auto"/>
        <w:rPr>
          <w:sz w:val="28"/>
          <w:szCs w:val="48"/>
          <w:highlight w:val="none"/>
        </w:rPr>
      </w:pPr>
      <w:r>
        <w:rPr>
          <w:sz w:val="28"/>
          <w:szCs w:val="48"/>
          <w:highlight w:val="none"/>
        </w:rPr>
        <w:fldChar w:fldCharType="begin"/>
      </w:r>
      <w:r>
        <w:rPr>
          <w:sz w:val="28"/>
          <w:szCs w:val="48"/>
          <w:highlight w:val="none"/>
        </w:rPr>
        <w:instrText xml:space="preserve"> HYPERLINK \l _Toc22241 </w:instrText>
      </w:r>
      <w:r>
        <w:rPr>
          <w:sz w:val="28"/>
          <w:szCs w:val="48"/>
          <w:highlight w:val="none"/>
        </w:rPr>
        <w:fldChar w:fldCharType="separate"/>
      </w:r>
      <w:r>
        <w:rPr>
          <w:rFonts w:hint="eastAsia"/>
          <w:sz w:val="28"/>
          <w:szCs w:val="48"/>
          <w:highlight w:val="none"/>
        </w:rPr>
        <w:t>第四章 项目需求</w:t>
      </w:r>
      <w:r>
        <w:rPr>
          <w:sz w:val="28"/>
          <w:szCs w:val="48"/>
          <w:highlight w:val="none"/>
        </w:rPr>
        <w:tab/>
      </w:r>
      <w:r>
        <w:rPr>
          <w:sz w:val="28"/>
          <w:szCs w:val="48"/>
          <w:highlight w:val="none"/>
        </w:rPr>
        <w:fldChar w:fldCharType="begin"/>
      </w:r>
      <w:r>
        <w:rPr>
          <w:sz w:val="28"/>
          <w:szCs w:val="48"/>
          <w:highlight w:val="none"/>
        </w:rPr>
        <w:instrText xml:space="preserve"> PAGEREF _Toc22241 </w:instrText>
      </w:r>
      <w:r>
        <w:rPr>
          <w:sz w:val="28"/>
          <w:szCs w:val="48"/>
          <w:highlight w:val="none"/>
        </w:rPr>
        <w:fldChar w:fldCharType="separate"/>
      </w:r>
      <w:r>
        <w:rPr>
          <w:sz w:val="28"/>
          <w:szCs w:val="48"/>
          <w:highlight w:val="none"/>
        </w:rPr>
        <w:t>55</w:t>
      </w:r>
      <w:r>
        <w:rPr>
          <w:sz w:val="28"/>
          <w:szCs w:val="48"/>
          <w:highlight w:val="none"/>
        </w:rPr>
        <w:fldChar w:fldCharType="end"/>
      </w:r>
      <w:r>
        <w:rPr>
          <w:sz w:val="28"/>
          <w:szCs w:val="48"/>
          <w:highlight w:val="none"/>
        </w:rPr>
        <w:fldChar w:fldCharType="end"/>
      </w:r>
    </w:p>
    <w:p w14:paraId="72558DCC">
      <w:pPr>
        <w:pStyle w:val="216"/>
        <w:tabs>
          <w:tab w:val="right" w:leader="dot" w:pos="8958"/>
        </w:tabs>
        <w:spacing w:line="360" w:lineRule="auto"/>
        <w:rPr>
          <w:rFonts w:hint="default" w:eastAsia="黑体"/>
          <w:sz w:val="28"/>
          <w:szCs w:val="48"/>
          <w:highlight w:val="none"/>
          <w:lang w:val="en-US" w:eastAsia="zh-CN"/>
        </w:rPr>
      </w:pPr>
      <w:r>
        <w:rPr>
          <w:sz w:val="28"/>
          <w:szCs w:val="48"/>
          <w:highlight w:val="none"/>
        </w:rPr>
        <w:fldChar w:fldCharType="begin"/>
      </w:r>
      <w:r>
        <w:rPr>
          <w:sz w:val="28"/>
          <w:szCs w:val="48"/>
          <w:highlight w:val="none"/>
        </w:rPr>
        <w:instrText xml:space="preserve"> HYPERLINK \l _Toc13097 </w:instrText>
      </w:r>
      <w:r>
        <w:rPr>
          <w:sz w:val="28"/>
          <w:szCs w:val="48"/>
          <w:highlight w:val="none"/>
        </w:rPr>
        <w:fldChar w:fldCharType="separate"/>
      </w:r>
      <w:r>
        <w:rPr>
          <w:rFonts w:hint="eastAsia"/>
          <w:sz w:val="28"/>
          <w:szCs w:val="48"/>
          <w:highlight w:val="none"/>
        </w:rPr>
        <w:t>第五章 评审方法和评审标准</w:t>
      </w:r>
      <w:r>
        <w:rPr>
          <w:sz w:val="28"/>
          <w:szCs w:val="48"/>
          <w:highlight w:val="none"/>
        </w:rPr>
        <w:tab/>
      </w:r>
      <w:r>
        <w:rPr>
          <w:sz w:val="28"/>
          <w:szCs w:val="48"/>
          <w:highlight w:val="none"/>
        </w:rPr>
        <w:fldChar w:fldCharType="end"/>
      </w:r>
      <w:r>
        <w:rPr>
          <w:rFonts w:hint="eastAsia"/>
          <w:sz w:val="28"/>
          <w:szCs w:val="48"/>
          <w:highlight w:val="none"/>
          <w:lang w:val="en-US" w:eastAsia="zh-CN"/>
        </w:rPr>
        <w:t>56</w:t>
      </w:r>
    </w:p>
    <w:p w14:paraId="766C5125">
      <w:pPr>
        <w:pStyle w:val="216"/>
        <w:tabs>
          <w:tab w:val="right" w:leader="dot" w:pos="8958"/>
        </w:tabs>
        <w:spacing w:line="360" w:lineRule="auto"/>
        <w:rPr>
          <w:sz w:val="32"/>
          <w:szCs w:val="52"/>
          <w:highlight w:val="none"/>
        </w:rPr>
      </w:pPr>
      <w:r>
        <w:rPr>
          <w:sz w:val="28"/>
          <w:szCs w:val="48"/>
          <w:highlight w:val="none"/>
        </w:rPr>
        <w:fldChar w:fldCharType="begin"/>
      </w:r>
      <w:r>
        <w:rPr>
          <w:sz w:val="28"/>
          <w:szCs w:val="48"/>
          <w:highlight w:val="none"/>
        </w:rPr>
        <w:instrText xml:space="preserve"> HYPERLINK \l _Toc1626 </w:instrText>
      </w:r>
      <w:r>
        <w:rPr>
          <w:sz w:val="28"/>
          <w:szCs w:val="48"/>
          <w:highlight w:val="none"/>
        </w:rPr>
        <w:fldChar w:fldCharType="separate"/>
      </w:r>
      <w:r>
        <w:rPr>
          <w:rFonts w:hint="eastAsia"/>
          <w:sz w:val="28"/>
          <w:szCs w:val="48"/>
          <w:highlight w:val="none"/>
        </w:rPr>
        <w:t>第六章 响应文件的组成和格式</w:t>
      </w:r>
      <w:r>
        <w:rPr>
          <w:sz w:val="28"/>
          <w:szCs w:val="48"/>
          <w:highlight w:val="none"/>
        </w:rPr>
        <w:tab/>
      </w:r>
      <w:r>
        <w:rPr>
          <w:sz w:val="28"/>
          <w:szCs w:val="48"/>
          <w:highlight w:val="none"/>
        </w:rPr>
        <w:fldChar w:fldCharType="begin"/>
      </w:r>
      <w:r>
        <w:rPr>
          <w:sz w:val="28"/>
          <w:szCs w:val="48"/>
          <w:highlight w:val="none"/>
        </w:rPr>
        <w:instrText xml:space="preserve"> PAGEREF _Toc1626 </w:instrText>
      </w:r>
      <w:r>
        <w:rPr>
          <w:sz w:val="28"/>
          <w:szCs w:val="48"/>
          <w:highlight w:val="none"/>
        </w:rPr>
        <w:fldChar w:fldCharType="separate"/>
      </w:r>
      <w:r>
        <w:rPr>
          <w:sz w:val="28"/>
          <w:szCs w:val="48"/>
          <w:highlight w:val="none"/>
        </w:rPr>
        <w:t>61</w:t>
      </w:r>
      <w:r>
        <w:rPr>
          <w:sz w:val="28"/>
          <w:szCs w:val="48"/>
          <w:highlight w:val="none"/>
        </w:rPr>
        <w:fldChar w:fldCharType="end"/>
      </w:r>
      <w:r>
        <w:rPr>
          <w:sz w:val="28"/>
          <w:szCs w:val="48"/>
          <w:highlight w:val="none"/>
        </w:rPr>
        <w:fldChar w:fldCharType="end"/>
      </w:r>
    </w:p>
    <w:p w14:paraId="4374020F">
      <w:pPr>
        <w:rPr>
          <w:highlight w:val="none"/>
        </w:rPr>
      </w:pPr>
      <w:r>
        <w:rPr>
          <w:sz w:val="40"/>
          <w:szCs w:val="52"/>
          <w:highlight w:val="none"/>
        </w:rPr>
        <w:fldChar w:fldCharType="end"/>
      </w:r>
    </w:p>
    <w:p w14:paraId="08DD92AF">
      <w:pPr>
        <w:rPr>
          <w:rFonts w:hint="eastAsia" w:ascii="宋体" w:hAnsi="宋体"/>
          <w:highlight w:val="none"/>
        </w:rPr>
      </w:pPr>
    </w:p>
    <w:p w14:paraId="3C840298">
      <w:pPr>
        <w:rPr>
          <w:rFonts w:hint="eastAsia" w:ascii="宋体" w:hAnsi="宋体"/>
          <w:highlight w:val="none"/>
        </w:rPr>
      </w:pPr>
    </w:p>
    <w:p w14:paraId="375BDEAA">
      <w:pPr>
        <w:rPr>
          <w:rFonts w:hint="eastAsia" w:ascii="宋体" w:hAnsi="宋体"/>
          <w:highlight w:val="none"/>
        </w:rPr>
      </w:pPr>
    </w:p>
    <w:p w14:paraId="667CD085">
      <w:pPr>
        <w:rPr>
          <w:rFonts w:hint="eastAsia" w:ascii="宋体" w:hAnsi="宋体"/>
          <w:highlight w:val="none"/>
        </w:rPr>
      </w:pPr>
    </w:p>
    <w:p w14:paraId="3CD542CB">
      <w:pPr>
        <w:rPr>
          <w:rFonts w:hint="eastAsia" w:ascii="宋体" w:hAnsi="宋体"/>
          <w:highlight w:val="none"/>
        </w:rPr>
      </w:pPr>
    </w:p>
    <w:p w14:paraId="31C0D229">
      <w:pPr>
        <w:rPr>
          <w:rFonts w:hint="eastAsia" w:ascii="宋体" w:hAnsi="宋体"/>
          <w:highlight w:val="none"/>
        </w:rPr>
      </w:pPr>
    </w:p>
    <w:p w14:paraId="03F33E49">
      <w:pPr>
        <w:rPr>
          <w:rFonts w:hint="eastAsia" w:ascii="宋体" w:hAnsi="宋体"/>
          <w:highlight w:val="none"/>
        </w:rPr>
      </w:pPr>
    </w:p>
    <w:p w14:paraId="5E738D8A">
      <w:pPr>
        <w:rPr>
          <w:rFonts w:hint="eastAsia" w:ascii="宋体" w:hAnsi="宋体"/>
          <w:highlight w:val="none"/>
        </w:rPr>
      </w:pPr>
    </w:p>
    <w:p w14:paraId="23D1AEE2">
      <w:pPr>
        <w:rPr>
          <w:rFonts w:hint="eastAsia" w:ascii="宋体" w:hAnsi="宋体"/>
          <w:highlight w:val="none"/>
        </w:rPr>
      </w:pPr>
    </w:p>
    <w:p w14:paraId="06C072AB">
      <w:pPr>
        <w:rPr>
          <w:rFonts w:hint="eastAsia" w:ascii="宋体" w:hAnsi="宋体"/>
          <w:highlight w:val="none"/>
        </w:rPr>
      </w:pPr>
    </w:p>
    <w:p w14:paraId="7F84E18A">
      <w:pPr>
        <w:rPr>
          <w:rFonts w:hint="eastAsia" w:ascii="宋体" w:hAnsi="宋体"/>
          <w:highlight w:val="none"/>
        </w:rPr>
      </w:pPr>
    </w:p>
    <w:p w14:paraId="335464DE">
      <w:pPr>
        <w:rPr>
          <w:rFonts w:hint="eastAsia" w:ascii="宋体" w:hAnsi="宋体"/>
          <w:highlight w:val="none"/>
        </w:rPr>
      </w:pPr>
    </w:p>
    <w:p w14:paraId="6E895DCB">
      <w:pPr>
        <w:rPr>
          <w:rFonts w:hint="eastAsia" w:ascii="宋体" w:hAnsi="宋体"/>
          <w:highlight w:val="none"/>
        </w:rPr>
      </w:pPr>
    </w:p>
    <w:p w14:paraId="64368967">
      <w:pPr>
        <w:rPr>
          <w:rFonts w:hint="eastAsia" w:ascii="宋体" w:hAnsi="宋体"/>
          <w:highlight w:val="none"/>
        </w:rPr>
      </w:pPr>
    </w:p>
    <w:p w14:paraId="3C20DCBB">
      <w:pPr>
        <w:rPr>
          <w:rFonts w:hint="eastAsia" w:ascii="宋体" w:hAnsi="宋体"/>
          <w:highlight w:val="none"/>
        </w:rPr>
      </w:pPr>
    </w:p>
    <w:p w14:paraId="0DA3AF5A">
      <w:pPr>
        <w:rPr>
          <w:rFonts w:hint="eastAsia" w:ascii="宋体" w:hAnsi="宋体"/>
          <w:highlight w:val="none"/>
        </w:rPr>
      </w:pPr>
    </w:p>
    <w:p w14:paraId="65548758">
      <w:pPr>
        <w:rPr>
          <w:rFonts w:hint="eastAsia" w:ascii="宋体" w:hAnsi="宋体"/>
          <w:highlight w:val="none"/>
        </w:rPr>
      </w:pPr>
    </w:p>
    <w:p w14:paraId="25149FA0">
      <w:pPr>
        <w:rPr>
          <w:rFonts w:hint="eastAsia" w:ascii="宋体" w:hAnsi="宋体"/>
          <w:highlight w:val="none"/>
        </w:rPr>
      </w:pPr>
    </w:p>
    <w:p w14:paraId="10EE800B">
      <w:pPr>
        <w:rPr>
          <w:rFonts w:hint="eastAsia" w:ascii="宋体" w:hAnsi="宋体"/>
          <w:highlight w:val="none"/>
        </w:rPr>
      </w:pPr>
    </w:p>
    <w:p w14:paraId="4244AB28">
      <w:pPr>
        <w:rPr>
          <w:rFonts w:hint="eastAsia" w:ascii="宋体" w:hAnsi="宋体"/>
          <w:highlight w:val="none"/>
        </w:rPr>
      </w:pPr>
    </w:p>
    <w:p w14:paraId="77D03F69">
      <w:pPr>
        <w:rPr>
          <w:rFonts w:hint="eastAsia" w:ascii="宋体" w:hAnsi="宋体"/>
          <w:highlight w:val="none"/>
        </w:rPr>
      </w:pPr>
    </w:p>
    <w:p w14:paraId="53826DDA">
      <w:pPr>
        <w:rPr>
          <w:rFonts w:hint="eastAsia" w:ascii="宋体" w:hAnsi="宋体"/>
          <w:highlight w:val="none"/>
        </w:rPr>
      </w:pPr>
    </w:p>
    <w:p w14:paraId="3824C43A">
      <w:pPr>
        <w:rPr>
          <w:rFonts w:hint="eastAsia" w:ascii="宋体" w:hAnsi="宋体"/>
          <w:highlight w:val="none"/>
        </w:rPr>
      </w:pPr>
    </w:p>
    <w:p w14:paraId="14EF1E22">
      <w:pPr>
        <w:rPr>
          <w:rFonts w:hint="eastAsia" w:ascii="宋体" w:hAnsi="宋体"/>
          <w:highlight w:val="none"/>
        </w:rPr>
      </w:pPr>
    </w:p>
    <w:p w14:paraId="31CF5285">
      <w:pPr>
        <w:rPr>
          <w:rFonts w:hint="eastAsia" w:ascii="宋体" w:hAnsi="宋体"/>
          <w:highlight w:val="none"/>
        </w:rPr>
      </w:pPr>
    </w:p>
    <w:p w14:paraId="6F5CD1A9">
      <w:pPr>
        <w:pStyle w:val="225"/>
        <w:jc w:val="both"/>
        <w:rPr>
          <w:rFonts w:hint="eastAsia"/>
          <w:highlight w:val="none"/>
        </w:rPr>
        <w:sectPr>
          <w:footerReference r:id="rId3" w:type="default"/>
          <w:pgSz w:w="11907" w:h="16840"/>
          <w:pgMar w:top="1418" w:right="1361" w:bottom="851" w:left="1588" w:header="851" w:footer="931" w:gutter="0"/>
          <w:cols w:space="1701" w:num="1"/>
          <w:docGrid w:linePitch="360" w:charSpace="0"/>
        </w:sectPr>
      </w:pPr>
    </w:p>
    <w:p w14:paraId="6DE3271D">
      <w:pPr>
        <w:pStyle w:val="225"/>
        <w:numPr>
          <w:ilvl w:val="0"/>
          <w:numId w:val="3"/>
        </w:numPr>
        <w:rPr>
          <w:rFonts w:hint="eastAsia"/>
          <w:highlight w:val="none"/>
        </w:rPr>
      </w:pPr>
      <w:bookmarkStart w:id="1" w:name="_Toc24315"/>
      <w:r>
        <w:rPr>
          <w:rFonts w:hint="eastAsia" w:cs="Times New Roman"/>
          <w:b/>
          <w:bCs/>
          <w:highlight w:val="none"/>
          <w:lang w:eastAsia="zh-CN"/>
        </w:rPr>
        <w:t>泰州市长江禁捕执法基地升级改造</w:t>
      </w:r>
      <w:r>
        <w:rPr>
          <w:rFonts w:hint="eastAsia"/>
          <w:highlight w:val="none"/>
        </w:rPr>
        <w:t>竞争性磋商采购公告</w:t>
      </w:r>
      <w:bookmarkEnd w:id="1"/>
    </w:p>
    <w:tbl>
      <w:tblPr>
        <w:tblStyle w:val="32"/>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47"/>
      </w:tblGrid>
      <w:tr w14:paraId="6AB6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7" w:hRule="atLeast"/>
        </w:trPr>
        <w:tc>
          <w:tcPr>
            <w:tcW w:w="5000" w:type="dxa"/>
            <w:noWrap w:val="0"/>
            <w:vAlign w:val="top"/>
          </w:tcPr>
          <w:p w14:paraId="0DDC5B22">
            <w:pPr>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项目概况</w:t>
            </w:r>
          </w:p>
          <w:p w14:paraId="7F211D5F">
            <w:pPr>
              <w:widowControl/>
              <w:spacing w:line="360" w:lineRule="auto"/>
              <w:ind w:firstLine="480"/>
              <w:jc w:val="left"/>
              <w:rPr>
                <w:rFonts w:hint="eastAsia"/>
                <w:highlight w:val="none"/>
              </w:rPr>
            </w:pPr>
            <w:r>
              <w:rPr>
                <w:rFonts w:hint="eastAsia" w:ascii="宋体" w:hAnsi="宋体" w:cs="宋体"/>
                <w:sz w:val="24"/>
                <w:highlight w:val="none"/>
                <w:lang w:eastAsia="zh-CN"/>
              </w:rPr>
              <w:t>泰州市长江禁捕执法基地升级改造</w:t>
            </w:r>
            <w:r>
              <w:rPr>
                <w:rFonts w:hint="eastAsia" w:ascii="宋体" w:hAnsi="宋体" w:cs="宋体"/>
                <w:sz w:val="24"/>
                <w:highlight w:val="none"/>
              </w:rPr>
              <w:t>的潜在供应商</w:t>
            </w:r>
            <w:r>
              <w:rPr>
                <w:rFonts w:hint="eastAsia" w:ascii="宋体" w:hAnsi="宋体"/>
                <w:color w:val="000000"/>
                <w:sz w:val="24"/>
                <w:highlight w:val="none"/>
              </w:rPr>
              <w:t>应</w:t>
            </w:r>
            <w:r>
              <w:rPr>
                <w:rFonts w:hint="eastAsia" w:ascii="宋体" w:hAnsi="宋体"/>
                <w:color w:val="000000"/>
                <w:sz w:val="24"/>
                <w:highlight w:val="none"/>
                <w:lang w:val="en-US" w:eastAsia="zh-CN"/>
              </w:rPr>
              <w:t>在</w:t>
            </w:r>
            <w:r>
              <w:rPr>
                <w:rFonts w:hint="eastAsia" w:ascii="宋体" w:hAnsi="宋体" w:eastAsia="宋体" w:cs="宋体"/>
                <w:sz w:val="24"/>
                <w:highlight w:val="none"/>
              </w:rPr>
              <w:t>“苏采云”政府采购一体化平台获取采购文件</w:t>
            </w:r>
            <w:r>
              <w:rPr>
                <w:rFonts w:hint="eastAsia" w:ascii="宋体" w:hAnsi="宋体"/>
                <w:color w:val="000000"/>
                <w:sz w:val="24"/>
                <w:highlight w:val="none"/>
              </w:rPr>
              <w:t>，并于</w:t>
            </w:r>
            <w:r>
              <w:rPr>
                <w:rFonts w:hint="eastAsia" w:ascii="宋体" w:hAnsi="宋体" w:cs="宋体"/>
                <w:color w:val="000000"/>
                <w:sz w:val="24"/>
                <w:highlight w:val="none"/>
              </w:rPr>
              <w:t>202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日</w:t>
            </w:r>
            <w:r>
              <w:rPr>
                <w:rFonts w:hint="eastAsia" w:ascii="宋体" w:hAnsi="宋体" w:cs="宋体"/>
                <w:color w:val="000000"/>
                <w:sz w:val="24"/>
                <w:highlight w:val="none"/>
                <w:lang w:val="en-US" w:eastAsia="zh-CN"/>
              </w:rPr>
              <w:t>上</w:t>
            </w:r>
            <w:r>
              <w:rPr>
                <w:rFonts w:hint="eastAsia" w:ascii="宋体" w:hAnsi="宋体" w:cs="宋体"/>
                <w:color w:val="000000"/>
                <w:sz w:val="24"/>
                <w:highlight w:val="none"/>
              </w:rPr>
              <w:t>午</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点</w:t>
            </w:r>
            <w:r>
              <w:rPr>
                <w:rFonts w:hint="eastAsia" w:ascii="宋体" w:hAnsi="宋体" w:cs="宋体"/>
                <w:color w:val="000000"/>
                <w:sz w:val="24"/>
                <w:highlight w:val="none"/>
                <w:lang w:val="en-US" w:eastAsia="zh-CN"/>
              </w:rPr>
              <w:t>00</w:t>
            </w:r>
            <w:r>
              <w:rPr>
                <w:rFonts w:hint="eastAsia" w:ascii="宋体" w:hAnsi="宋体" w:cs="宋体"/>
                <w:color w:val="000000"/>
                <w:sz w:val="24"/>
                <w:highlight w:val="none"/>
              </w:rPr>
              <w:t>分（北京时间）前提交响应文件</w:t>
            </w:r>
            <w:r>
              <w:rPr>
                <w:rFonts w:hint="eastAsia" w:ascii="宋体" w:hAnsi="宋体"/>
                <w:color w:val="000000"/>
                <w:sz w:val="24"/>
                <w:highlight w:val="none"/>
              </w:rPr>
              <w:t>。</w:t>
            </w:r>
            <w:r>
              <w:rPr>
                <w:rFonts w:hint="eastAsia" w:ascii="宋体" w:hAnsi="宋体" w:cs="宋体"/>
                <w:sz w:val="24"/>
                <w:highlight w:val="none"/>
              </w:rPr>
              <w:t xml:space="preserve"> </w:t>
            </w:r>
          </w:p>
        </w:tc>
      </w:tr>
    </w:tbl>
    <w:p w14:paraId="06E287D4">
      <w:pPr>
        <w:rPr>
          <w:rFonts w:hint="eastAsia"/>
          <w:highlight w:val="none"/>
        </w:rPr>
      </w:pPr>
    </w:p>
    <w:p w14:paraId="1C6D2109">
      <w:pPr>
        <w:widowControl/>
        <w:numPr>
          <w:ilvl w:val="0"/>
          <w:numId w:val="4"/>
        </w:numPr>
        <w:spacing w:line="360" w:lineRule="auto"/>
        <w:ind w:firstLine="482"/>
        <w:jc w:val="left"/>
        <w:rPr>
          <w:rFonts w:hint="eastAsia" w:ascii="宋体" w:hAnsi="宋体" w:cs="宋体"/>
          <w:sz w:val="24"/>
          <w:highlight w:val="none"/>
        </w:rPr>
      </w:pPr>
      <w:r>
        <w:rPr>
          <w:rFonts w:hint="eastAsia" w:ascii="宋体" w:hAnsi="宋体" w:cs="宋体"/>
          <w:b/>
          <w:bCs/>
          <w:sz w:val="24"/>
          <w:highlight w:val="none"/>
        </w:rPr>
        <w:t>项目基本情况</w:t>
      </w:r>
    </w:p>
    <w:p w14:paraId="331507B4">
      <w:pPr>
        <w:widowControl/>
        <w:spacing w:line="360" w:lineRule="auto"/>
        <w:ind w:firstLine="480"/>
        <w:jc w:val="left"/>
        <w:rPr>
          <w:rFonts w:hint="eastAsia" w:ascii="宋体" w:hAnsi="宋体" w:eastAsia="宋体" w:cs="宋体"/>
          <w:sz w:val="24"/>
          <w:highlight w:val="none"/>
          <w:lang w:eastAsia="zh-CN"/>
        </w:rPr>
      </w:pPr>
      <w:r>
        <w:rPr>
          <w:rFonts w:hint="eastAsia" w:ascii="宋体" w:hAnsi="宋体" w:cs="宋体"/>
          <w:sz w:val="24"/>
          <w:highlight w:val="none"/>
        </w:rPr>
        <w:t>1、项目编号：</w:t>
      </w:r>
      <w:r>
        <w:rPr>
          <w:rFonts w:hint="eastAsia" w:ascii="宋体" w:hAnsi="宋体" w:cs="宋体"/>
          <w:sz w:val="24"/>
          <w:highlight w:val="none"/>
          <w:lang w:eastAsia="zh-CN"/>
        </w:rPr>
        <w:t>JSZC-321200-TXJS-C2025-0040</w:t>
      </w:r>
    </w:p>
    <w:p w14:paraId="78260643">
      <w:pPr>
        <w:widowControl/>
        <w:spacing w:line="360" w:lineRule="auto"/>
        <w:ind w:firstLine="480"/>
        <w:jc w:val="left"/>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泰州市长江禁捕执法基地升级改造</w:t>
      </w:r>
    </w:p>
    <w:p w14:paraId="46D1DEE0">
      <w:pPr>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3、采购方式：竞争性磋商</w:t>
      </w:r>
    </w:p>
    <w:p w14:paraId="14A84F6C">
      <w:pPr>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4、预算金额：</w:t>
      </w:r>
      <w:r>
        <w:rPr>
          <w:rFonts w:hint="eastAsia" w:ascii="宋体" w:hAnsi="宋体" w:cs="宋体"/>
          <w:sz w:val="24"/>
          <w:highlight w:val="none"/>
          <w:lang w:val="en-US" w:eastAsia="zh-CN"/>
        </w:rPr>
        <w:t>900000.00</w:t>
      </w:r>
      <w:r>
        <w:rPr>
          <w:rFonts w:hint="eastAsia" w:ascii="宋体" w:hAnsi="宋体" w:cs="宋体"/>
          <w:sz w:val="24"/>
          <w:highlight w:val="none"/>
        </w:rPr>
        <w:t>元</w:t>
      </w:r>
    </w:p>
    <w:p w14:paraId="3487E633">
      <w:pPr>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5、最高限价：</w:t>
      </w:r>
      <w:r>
        <w:rPr>
          <w:rFonts w:hint="eastAsia" w:ascii="宋体" w:hAnsi="宋体" w:cs="宋体"/>
          <w:sz w:val="24"/>
          <w:highlight w:val="none"/>
          <w:lang w:val="en-US" w:eastAsia="zh-CN"/>
        </w:rPr>
        <w:t>本次招标设有招标人期望值（投标报价高于招标人期望值的作废标处理）招标人期望值=招标控制价×(100－L)%, 本招标项目招标控制价977315.92元，L=8，期望值为899130.65元。</w:t>
      </w:r>
    </w:p>
    <w:p w14:paraId="35AB4F2D">
      <w:pPr>
        <w:tabs>
          <w:tab w:val="left" w:pos="-360"/>
          <w:tab w:val="left" w:pos="720"/>
        </w:tabs>
        <w:spacing w:line="360" w:lineRule="auto"/>
        <w:ind w:firstLine="480"/>
        <w:rPr>
          <w:rFonts w:hint="eastAsia" w:ascii="宋体" w:hAnsi="宋体" w:cs="宋体"/>
          <w:sz w:val="24"/>
          <w:highlight w:val="none"/>
        </w:rPr>
      </w:pPr>
      <w:r>
        <w:rPr>
          <w:rFonts w:hint="eastAsia" w:ascii="宋体" w:hAnsi="宋体" w:cs="宋体"/>
          <w:sz w:val="24"/>
          <w:highlight w:val="none"/>
        </w:rPr>
        <w:t>6、采购需求：为有效强化禁渔执法监管后勤保障，不断提升渔政执法监管能力，切实打好长江十年禁渔攻坚战、持久战，拟对泰州市长江禁捕执法基地内港池进出口（宽度为10米）进行拓宽作业，使进出口总宽度达到18米，并对港池内进行局部清淤疏浚作业，以保障执法船艇、泵船等船舶安全进出港池，确保长江禁捕各项执法行动顺利开展。</w:t>
      </w:r>
    </w:p>
    <w:p w14:paraId="6547335D">
      <w:pPr>
        <w:widowControl/>
        <w:numPr>
          <w:ilvl w:val="0"/>
          <w:numId w:val="5"/>
        </w:numPr>
        <w:spacing w:line="360" w:lineRule="auto"/>
        <w:ind w:firstLine="480"/>
        <w:jc w:val="left"/>
        <w:rPr>
          <w:rFonts w:hint="eastAsia"/>
          <w:sz w:val="24"/>
          <w:highlight w:val="none"/>
        </w:rPr>
      </w:pPr>
      <w:r>
        <w:rPr>
          <w:rFonts w:hint="eastAsia"/>
          <w:sz w:val="24"/>
          <w:highlight w:val="none"/>
        </w:rPr>
        <w:t>工期</w:t>
      </w:r>
      <w:r>
        <w:rPr>
          <w:rFonts w:hint="eastAsia" w:ascii="Times New Roman" w:hAnsi="Times New Roman" w:eastAsia="宋体" w:cs="Times New Roman"/>
          <w:sz w:val="24"/>
          <w:highlight w:val="none"/>
        </w:rPr>
        <w:t>：</w:t>
      </w:r>
      <w:r>
        <w:rPr>
          <w:rFonts w:hint="eastAsia" w:cs="Times New Roman"/>
          <w:sz w:val="24"/>
          <w:highlight w:val="none"/>
          <w:lang w:val="en-US" w:eastAsia="zh-CN"/>
        </w:rPr>
        <w:t>5</w:t>
      </w:r>
      <w:r>
        <w:rPr>
          <w:rFonts w:hint="eastAsia" w:ascii="Times New Roman" w:hAnsi="Times New Roman" w:eastAsia="宋体" w:cs="Times New Roman"/>
          <w:sz w:val="24"/>
          <w:highlight w:val="none"/>
        </w:rPr>
        <w:t>0日历天。</w:t>
      </w:r>
    </w:p>
    <w:p w14:paraId="6A0D56F0">
      <w:pPr>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8、本项目不接受联合体。</w:t>
      </w:r>
    </w:p>
    <w:p w14:paraId="35DEFB20">
      <w:pPr>
        <w:widowControl/>
        <w:spacing w:line="360" w:lineRule="auto"/>
        <w:ind w:firstLine="482"/>
        <w:jc w:val="left"/>
        <w:rPr>
          <w:rFonts w:hint="eastAsia" w:ascii="宋体" w:hAnsi="宋体" w:cs="Arial"/>
          <w:b/>
          <w:bCs/>
          <w:sz w:val="24"/>
          <w:szCs w:val="20"/>
          <w:highlight w:val="none"/>
        </w:rPr>
      </w:pPr>
      <w:r>
        <w:rPr>
          <w:rFonts w:hint="eastAsia" w:ascii="宋体" w:hAnsi="宋体" w:cs="宋体"/>
          <w:b/>
          <w:bCs/>
          <w:sz w:val="24"/>
          <w:highlight w:val="none"/>
        </w:rPr>
        <w:t>二、申请人的资格要求</w:t>
      </w:r>
    </w:p>
    <w:p w14:paraId="299807DE">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1.满足《中华人民共和国政府采购法》第二十二条规定：</w:t>
      </w:r>
    </w:p>
    <w:p w14:paraId="7BE582C7">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（1）具有独立承担民事责任的能力；</w:t>
      </w:r>
    </w:p>
    <w:p w14:paraId="1ED4ED40">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（2）具有良好的商业信誉和健全的财务会计制度；</w:t>
      </w:r>
    </w:p>
    <w:p w14:paraId="09B95A28">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（3）具有履行合同所必须的设备和专业技术能力；</w:t>
      </w:r>
    </w:p>
    <w:p w14:paraId="7086846A">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（4）有依法缴纳税收和社会保障资金的良好记录；</w:t>
      </w:r>
    </w:p>
    <w:p w14:paraId="22203BDD">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（5）参加政府采购活动前三年内，在经营活动中没有重大违法记录；</w:t>
      </w:r>
    </w:p>
    <w:p w14:paraId="52CDD120">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（6）法律、行政法规规定的其他条件。</w:t>
      </w:r>
    </w:p>
    <w:p w14:paraId="46FC62CF">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2.落实政府采购政策需满足的资格要求：本项目属于专门面向中小企业采购的项目，供应商应为中小微企业、监狱企业、残疾人福利性单位。</w:t>
      </w:r>
    </w:p>
    <w:p w14:paraId="27F617FC">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采购标的对应的中小企业划分标准所属行业为建筑业（注：中小企业划分标准参照工信部联企业[2011]300号文件规定），符合条件的中小企业应按照采购文件格式要求提供《中小企业声明函》。根据财政部、工业和信息化部《政府采购促进中小企业发展管理办法》（财库〔2020〕46号文件精神）。</w:t>
      </w:r>
    </w:p>
    <w:p w14:paraId="7BE1B65F">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3.本项目的特定资格要求：</w:t>
      </w:r>
    </w:p>
    <w:p w14:paraId="0A1A32F6">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（1）具有国内独立法人资格；</w:t>
      </w:r>
    </w:p>
    <w:p w14:paraId="79F7A421">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（2）具有水利水电工程施工总承包叁级及以上资质；</w:t>
      </w:r>
    </w:p>
    <w:p w14:paraId="0975F600">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（3）具有建设行政主管部门颁发的安全生产许可证；</w:t>
      </w:r>
    </w:p>
    <w:p w14:paraId="00A038D9">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（4）项目经理资格要求：具备水利水电工程专业贰级及以上建造师注册证书（一级建造师须提供电子注册证书，执行《住房和城乡建设部办公厅关于全面实行一级建造师电子注册证书的通知》（建办市〔2021〕40 号）文件规定）。无在建工程（执行江苏省水利厅文件“苏水基[2016]17 号”规定，见投标人须知前附表第11.1项）；</w:t>
      </w:r>
    </w:p>
    <w:p w14:paraId="5F813674">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5）提供本项目拟任项目经理供应商为其缴纳的（近三个月中任意一个月份，不含磋商当月）的养老保险证明材料（须明确缴费月份、个人姓名、缴费单位且加盖社保中心章或社保中心参保缴费证明电子专用章）；</w:t>
      </w:r>
    </w:p>
    <w:p w14:paraId="3D91FF59">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）本项目不接受联合体投标。</w:t>
      </w:r>
    </w:p>
    <w:p w14:paraId="461A6A93">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存在下列情形的供应商，不得参加本项目采购活动：</w:t>
      </w:r>
    </w:p>
    <w:p w14:paraId="6EC7815A">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 因违约失信等问题正处于调查期间的供应商；</w:t>
      </w:r>
    </w:p>
    <w:p w14:paraId="17E2C4F2">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 单位负责人为同一人或者存在直接控股、管理关系的不同供应商，不得同时参加本项目的投标活动；</w:t>
      </w:r>
    </w:p>
    <w:p w14:paraId="78F8B249">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(3)凡为采购项目提供整体设计、规范编制或者项目管理、监理、检测等服务的供应商，不得再参加本项目的采购活动；</w:t>
      </w:r>
    </w:p>
    <w:p w14:paraId="00F5DE5C">
      <w:pPr>
        <w:spacing w:line="52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(4) 被“信用中国”网站（www.creditchina.gov.cn）中列入失信被执行人或重大税收违法案件当事人名单的供应商、被中国政府采购网（www.ccgp.gov.cn）列入政府采购严重违法失信行为记录名单中被财政部门禁止参加政府采购活动的供应商（处罚决定确定的期限和地域范围内）（以查询结果网页打印的形式提供证明）。</w:t>
      </w:r>
    </w:p>
    <w:p w14:paraId="2FCF962A">
      <w:pPr>
        <w:pStyle w:val="238"/>
        <w:rPr>
          <w:rFonts w:hint="eastAsia"/>
          <w:highlight w:val="none"/>
        </w:rPr>
      </w:pPr>
    </w:p>
    <w:p w14:paraId="10072A0D">
      <w:pPr>
        <w:widowControl/>
        <w:spacing w:line="360" w:lineRule="auto"/>
        <w:ind w:firstLine="482"/>
        <w:jc w:val="left"/>
        <w:rPr>
          <w:rFonts w:hint="eastAsia" w:ascii="宋体" w:hAnsi="宋体" w:cs="宋体"/>
          <w:b/>
          <w:bCs/>
          <w:sz w:val="24"/>
          <w:highlight w:val="none"/>
        </w:rPr>
      </w:pPr>
      <w:r>
        <w:rPr>
          <w:rFonts w:hint="eastAsia" w:ascii="宋体" w:hAnsi="宋体" w:cs="宋体"/>
          <w:b/>
          <w:bCs/>
          <w:sz w:val="24"/>
          <w:highlight w:val="none"/>
        </w:rPr>
        <w:t>三、获取采购文件</w:t>
      </w:r>
    </w:p>
    <w:p w14:paraId="40613CFC">
      <w:pPr>
        <w:widowControl/>
        <w:spacing w:line="420" w:lineRule="exact"/>
        <w:ind w:firstLine="480"/>
        <w:jc w:val="left"/>
        <w:rPr>
          <w:rFonts w:ascii="宋体" w:hAnsi="宋体" w:cs="仿宋_GB2312"/>
          <w:sz w:val="24"/>
          <w:szCs w:val="24"/>
          <w:highlight w:val="none"/>
        </w:rPr>
      </w:pPr>
      <w:bookmarkStart w:id="2" w:name="_Toc35393793"/>
      <w:bookmarkStart w:id="3" w:name="_Toc28359005"/>
      <w:bookmarkStart w:id="4" w:name="_Toc35393624"/>
      <w:bookmarkStart w:id="5" w:name="_Toc28359082"/>
      <w:r>
        <w:rPr>
          <w:rFonts w:hint="eastAsia" w:ascii="宋体" w:hAnsi="宋体" w:cs="仿宋_GB2312"/>
          <w:sz w:val="24"/>
          <w:szCs w:val="24"/>
          <w:highlight w:val="none"/>
        </w:rPr>
        <w:t>时间：</w:t>
      </w:r>
      <w:r>
        <w:rPr>
          <w:rFonts w:hint="eastAsia" w:ascii="宋体" w:hAnsi="宋体" w:cs="宋体"/>
          <w:sz w:val="24"/>
          <w:szCs w:val="24"/>
          <w:highlight w:val="none"/>
        </w:rPr>
        <w:t>自磋商文件公告发布之日起5个工作日</w:t>
      </w:r>
    </w:p>
    <w:p w14:paraId="6D6D56CD">
      <w:pPr>
        <w:widowControl/>
        <w:spacing w:line="420" w:lineRule="exact"/>
        <w:ind w:firstLine="480"/>
        <w:jc w:val="left"/>
        <w:rPr>
          <w:rFonts w:ascii="宋体" w:hAnsi="宋体" w:cs="仿宋_GB2312"/>
          <w:sz w:val="24"/>
          <w:szCs w:val="24"/>
          <w:highlight w:val="none"/>
        </w:rPr>
      </w:pPr>
      <w:r>
        <w:rPr>
          <w:rFonts w:hint="eastAsia" w:ascii="宋体" w:hAnsi="宋体" w:cs="仿宋_GB2312"/>
          <w:sz w:val="24"/>
          <w:szCs w:val="24"/>
          <w:highlight w:val="none"/>
        </w:rPr>
        <w:t>地点：</w:t>
      </w:r>
      <w:r>
        <w:rPr>
          <w:rFonts w:hint="eastAsia" w:ascii="宋体" w:hAnsi="宋体" w:cs="宋体"/>
          <w:sz w:val="24"/>
          <w:szCs w:val="24"/>
          <w:highlight w:val="none"/>
        </w:rPr>
        <w:t>江苏省政府采购“苏采云”系统</w:t>
      </w:r>
    </w:p>
    <w:p w14:paraId="16A7ECB6">
      <w:pPr>
        <w:spacing w:line="480" w:lineRule="exact"/>
        <w:ind w:firstLine="480"/>
        <w:rPr>
          <w:rFonts w:ascii="宋体" w:hAnsi="宋体" w:cs="宋体"/>
          <w:sz w:val="24"/>
          <w:szCs w:val="24"/>
          <w:highlight w:val="none"/>
        </w:rPr>
      </w:pPr>
      <w:r>
        <w:rPr>
          <w:rFonts w:hint="eastAsia" w:ascii="宋体" w:hAnsi="宋体" w:cs="仿宋_GB2312"/>
          <w:sz w:val="24"/>
          <w:szCs w:val="24"/>
          <w:highlight w:val="none"/>
        </w:rPr>
        <w:t>方式：</w:t>
      </w:r>
      <w:r>
        <w:rPr>
          <w:rFonts w:hint="eastAsia" w:ascii="宋体" w:hAnsi="宋体" w:cs="宋体"/>
          <w:sz w:val="24"/>
          <w:szCs w:val="24"/>
          <w:highlight w:val="none"/>
        </w:rPr>
        <w:t>登录江苏</w:t>
      </w:r>
      <w:r>
        <w:rPr>
          <w:rFonts w:hint="eastAsia" w:ascii="宋体" w:hAnsi="宋体" w:cs="宋体"/>
          <w:sz w:val="24"/>
          <w:szCs w:val="24"/>
          <w:highlight w:val="none"/>
          <w:lang w:val="en-US" w:eastAsia="zh-CN"/>
        </w:rPr>
        <w:t>省</w:t>
      </w:r>
      <w:r>
        <w:rPr>
          <w:rFonts w:hint="eastAsia" w:ascii="宋体" w:hAnsi="宋体" w:cs="宋体"/>
          <w:sz w:val="24"/>
          <w:szCs w:val="24"/>
          <w:highlight w:val="none"/>
        </w:rPr>
        <w:t>政府采购“苏采云”系统下载</w:t>
      </w:r>
    </w:p>
    <w:p w14:paraId="4330CDDF">
      <w:pPr>
        <w:widowControl/>
        <w:spacing w:line="420" w:lineRule="exact"/>
        <w:ind w:firstLine="480"/>
        <w:jc w:val="left"/>
        <w:rPr>
          <w:rFonts w:ascii="宋体" w:hAnsi="宋体" w:cs="仿宋_GB2312"/>
          <w:sz w:val="24"/>
          <w:szCs w:val="24"/>
          <w:highlight w:val="none"/>
        </w:rPr>
      </w:pPr>
      <w:r>
        <w:rPr>
          <w:rFonts w:hint="eastAsia" w:ascii="宋体" w:hAnsi="宋体" w:cs="仿宋_GB2312"/>
          <w:sz w:val="24"/>
          <w:szCs w:val="24"/>
          <w:highlight w:val="none"/>
        </w:rPr>
        <w:t>售价：</w:t>
      </w:r>
      <w:r>
        <w:rPr>
          <w:rFonts w:hint="eastAsia" w:ascii="宋体" w:hAnsi="宋体" w:cs="宋体"/>
          <w:color w:val="000000"/>
          <w:sz w:val="24"/>
          <w:szCs w:val="24"/>
          <w:highlight w:val="none"/>
        </w:rPr>
        <w:t>0.00元</w:t>
      </w:r>
    </w:p>
    <w:p w14:paraId="061B3703">
      <w:pPr>
        <w:widowControl/>
        <w:spacing w:line="360" w:lineRule="auto"/>
        <w:ind w:firstLine="482"/>
        <w:jc w:val="left"/>
        <w:rPr>
          <w:rFonts w:ascii="宋体" w:hAnsi="宋体" w:eastAsia="宋体" w:cs="宋体"/>
          <w:b/>
          <w:bCs/>
          <w:sz w:val="24"/>
          <w:highlight w:val="none"/>
          <w:lang w:val="en-US" w:eastAsia="zh-CN"/>
        </w:rPr>
      </w:pPr>
      <w:r>
        <w:rPr>
          <w:rFonts w:hint="eastAsia" w:ascii="宋体" w:hAnsi="宋体" w:cs="宋体"/>
          <w:b/>
          <w:bCs/>
          <w:sz w:val="24"/>
          <w:highlight w:val="none"/>
        </w:rPr>
        <w:t>四、响应文件提交</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开启</w:t>
      </w:r>
    </w:p>
    <w:bookmarkEnd w:id="2"/>
    <w:bookmarkEnd w:id="3"/>
    <w:bookmarkEnd w:id="4"/>
    <w:bookmarkEnd w:id="5"/>
    <w:p w14:paraId="12AA5DCC">
      <w:pPr>
        <w:widowControl/>
        <w:spacing w:line="420" w:lineRule="exact"/>
        <w:ind w:firstLine="480"/>
        <w:jc w:val="left"/>
        <w:rPr>
          <w:rFonts w:ascii="宋体" w:hAnsi="宋体" w:cs="仿宋_GB2312"/>
          <w:sz w:val="24"/>
          <w:szCs w:val="24"/>
          <w:highlight w:val="none"/>
        </w:rPr>
      </w:pPr>
      <w:r>
        <w:rPr>
          <w:rFonts w:hint="eastAsia" w:ascii="宋体" w:hAnsi="宋体" w:cs="仿宋_GB2312"/>
          <w:sz w:val="24"/>
          <w:szCs w:val="24"/>
          <w:highlight w:val="none"/>
        </w:rPr>
        <w:t>截止时间：</w:t>
      </w:r>
      <w:r>
        <w:rPr>
          <w:rFonts w:hint="eastAsia" w:ascii="宋体" w:hAnsi="宋体" w:cs="仿宋_GB2312"/>
          <w:color w:val="0000FF"/>
          <w:sz w:val="24"/>
          <w:szCs w:val="24"/>
          <w:highlight w:val="none"/>
          <w:lang w:eastAsia="zh-CN"/>
        </w:rPr>
        <w:t>2025年11月3日</w:t>
      </w:r>
      <w:r>
        <w:rPr>
          <w:rFonts w:hint="eastAsia" w:ascii="宋体" w:hAnsi="宋体" w:cs="仿宋_GB2312"/>
          <w:color w:val="0000FF"/>
          <w:sz w:val="24"/>
          <w:szCs w:val="24"/>
          <w:highlight w:val="none"/>
        </w:rPr>
        <w:t>9</w:t>
      </w:r>
      <w:r>
        <w:rPr>
          <w:rFonts w:ascii="宋体" w:hAnsi="宋体" w:cs="仿宋_GB2312"/>
          <w:color w:val="0000FF"/>
          <w:sz w:val="24"/>
          <w:szCs w:val="24"/>
          <w:highlight w:val="none"/>
        </w:rPr>
        <w:t>点</w:t>
      </w:r>
      <w:r>
        <w:rPr>
          <w:rFonts w:hint="eastAsia" w:ascii="宋体" w:hAnsi="宋体" w:cs="仿宋_GB2312"/>
          <w:color w:val="0000FF"/>
          <w:sz w:val="24"/>
          <w:szCs w:val="24"/>
          <w:highlight w:val="none"/>
        </w:rPr>
        <w:t>0</w:t>
      </w:r>
      <w:r>
        <w:rPr>
          <w:rFonts w:ascii="宋体" w:hAnsi="宋体" w:cs="仿宋_GB2312"/>
          <w:color w:val="0000FF"/>
          <w:sz w:val="24"/>
          <w:szCs w:val="24"/>
          <w:highlight w:val="none"/>
        </w:rPr>
        <w:t>0</w:t>
      </w:r>
      <w:r>
        <w:rPr>
          <w:rFonts w:hint="eastAsia" w:ascii="宋体" w:hAnsi="宋体" w:cs="仿宋_GB2312"/>
          <w:color w:val="0000FF"/>
          <w:sz w:val="24"/>
          <w:szCs w:val="24"/>
          <w:highlight w:val="none"/>
        </w:rPr>
        <w:t>分</w:t>
      </w:r>
      <w:r>
        <w:rPr>
          <w:rFonts w:hint="eastAsia" w:ascii="宋体" w:hAnsi="宋体" w:cs="仿宋_GB2312"/>
          <w:sz w:val="24"/>
          <w:szCs w:val="24"/>
          <w:highlight w:val="none"/>
        </w:rPr>
        <w:t>（北京时间）</w:t>
      </w:r>
    </w:p>
    <w:p w14:paraId="590E0DC6">
      <w:pPr>
        <w:widowControl/>
        <w:spacing w:line="360" w:lineRule="auto"/>
        <w:ind w:firstLine="482"/>
        <w:jc w:val="left"/>
        <w:rPr>
          <w:rFonts w:hint="eastAsia" w:ascii="宋体" w:hAnsi="宋体" w:cs="宋体"/>
          <w:sz w:val="24"/>
          <w:szCs w:val="24"/>
          <w:highlight w:val="none"/>
        </w:rPr>
      </w:pPr>
      <w:r>
        <w:rPr>
          <w:rFonts w:hint="eastAsia" w:ascii="宋体" w:hAnsi="宋体" w:cs="仿宋_GB2312"/>
          <w:sz w:val="24"/>
          <w:szCs w:val="24"/>
          <w:highlight w:val="none"/>
        </w:rPr>
        <w:t>地点：</w:t>
      </w:r>
      <w:r>
        <w:rPr>
          <w:rFonts w:hint="eastAsia" w:ascii="宋体" w:hAnsi="宋体" w:cs="宋体"/>
          <w:sz w:val="24"/>
          <w:szCs w:val="24"/>
          <w:highlight w:val="none"/>
        </w:rPr>
        <w:t>“苏采云”政府采购交易系统</w:t>
      </w:r>
    </w:p>
    <w:p w14:paraId="5CEB9D57">
      <w:pPr>
        <w:widowControl/>
        <w:spacing w:line="360" w:lineRule="auto"/>
        <w:ind w:firstLine="482"/>
        <w:jc w:val="left"/>
        <w:rPr>
          <w:rFonts w:hint="eastAsia" w:ascii="宋体" w:hAnsi="宋体" w:cs="宋体"/>
          <w:b/>
          <w:bCs/>
          <w:sz w:val="24"/>
          <w:highlight w:val="none"/>
        </w:rPr>
      </w:pPr>
      <w:r>
        <w:rPr>
          <w:rFonts w:hint="eastAsia" w:ascii="宋体" w:hAnsi="宋体" w:cs="宋体"/>
          <w:b/>
          <w:bCs/>
          <w:sz w:val="24"/>
          <w:highlight w:val="none"/>
          <w:lang w:val="en-US" w:eastAsia="zh-CN"/>
        </w:rPr>
        <w:t>五</w:t>
      </w:r>
      <w:r>
        <w:rPr>
          <w:rFonts w:hint="eastAsia" w:ascii="宋体" w:hAnsi="宋体" w:cs="宋体"/>
          <w:b/>
          <w:bCs/>
          <w:sz w:val="24"/>
          <w:highlight w:val="none"/>
        </w:rPr>
        <w:t>、公告期限</w:t>
      </w:r>
    </w:p>
    <w:p w14:paraId="19D4F6A2">
      <w:pPr>
        <w:widowControl/>
        <w:spacing w:line="360" w:lineRule="auto"/>
        <w:ind w:firstLine="480"/>
        <w:jc w:val="left"/>
        <w:rPr>
          <w:rFonts w:hint="eastAsia" w:ascii="宋体" w:hAnsi="宋体"/>
          <w:bCs/>
          <w:sz w:val="24"/>
          <w:highlight w:val="none"/>
        </w:rPr>
      </w:pPr>
      <w:r>
        <w:rPr>
          <w:rFonts w:hint="eastAsia" w:ascii="宋体" w:hAnsi="宋体"/>
          <w:bCs/>
          <w:sz w:val="24"/>
          <w:highlight w:val="none"/>
        </w:rPr>
        <w:t>自本公告发布之日起</w:t>
      </w:r>
      <w:r>
        <w:rPr>
          <w:rFonts w:hint="eastAsia" w:ascii="宋体" w:hAnsi="宋体"/>
          <w:bCs/>
          <w:sz w:val="24"/>
          <w:highlight w:val="none"/>
          <w:lang w:val="en-US" w:eastAsia="zh-CN"/>
        </w:rPr>
        <w:t>3</w:t>
      </w:r>
      <w:r>
        <w:rPr>
          <w:rFonts w:hint="eastAsia" w:ascii="宋体" w:hAnsi="宋体"/>
          <w:bCs/>
          <w:sz w:val="24"/>
          <w:highlight w:val="none"/>
        </w:rPr>
        <w:t>个工作日。</w:t>
      </w:r>
    </w:p>
    <w:p w14:paraId="726E33CF">
      <w:pPr>
        <w:widowControl/>
        <w:spacing w:line="360" w:lineRule="auto"/>
        <w:ind w:firstLine="482"/>
        <w:jc w:val="left"/>
        <w:rPr>
          <w:rFonts w:hint="eastAsia" w:ascii="宋体" w:hAnsi="宋体" w:cs="宋体"/>
          <w:b/>
          <w:bCs/>
          <w:sz w:val="24"/>
          <w:highlight w:val="none"/>
        </w:rPr>
      </w:pPr>
      <w:r>
        <w:rPr>
          <w:rFonts w:hint="eastAsia" w:ascii="宋体" w:hAnsi="宋体" w:cs="宋体"/>
          <w:b/>
          <w:bCs/>
          <w:sz w:val="24"/>
          <w:highlight w:val="none"/>
          <w:lang w:val="en-US" w:eastAsia="zh-CN"/>
        </w:rPr>
        <w:t>六</w:t>
      </w:r>
      <w:r>
        <w:rPr>
          <w:rFonts w:hint="eastAsia" w:ascii="宋体" w:hAnsi="宋体" w:cs="宋体"/>
          <w:b/>
          <w:bCs/>
          <w:sz w:val="24"/>
          <w:highlight w:val="none"/>
        </w:rPr>
        <w:t>、其他补充事宜</w:t>
      </w:r>
    </w:p>
    <w:p w14:paraId="42860460">
      <w:pPr>
        <w:widowControl/>
        <w:spacing w:line="360" w:lineRule="auto"/>
        <w:ind w:firstLine="480"/>
        <w:jc w:val="left"/>
        <w:rPr>
          <w:rFonts w:ascii="宋体" w:hAnsi="宋体" w:cs="宋体"/>
          <w:sz w:val="24"/>
          <w:szCs w:val="24"/>
          <w:highlight w:val="none"/>
          <w:lang w:val="zh-CN"/>
        </w:rPr>
      </w:pPr>
      <w:r>
        <w:rPr>
          <w:rFonts w:hint="eastAsia" w:ascii="宋体" w:hAnsi="宋体" w:cs="宋体"/>
          <w:sz w:val="24"/>
          <w:szCs w:val="24"/>
          <w:highlight w:val="none"/>
          <w:lang w:val="zh-CN"/>
        </w:rPr>
        <w:t>（1）登录 http://jszfcg.jsczt.cn/，点击“苏采云”进入系统。</w:t>
      </w:r>
    </w:p>
    <w:p w14:paraId="241A1113">
      <w:pPr>
        <w:widowControl/>
        <w:spacing w:line="360" w:lineRule="auto"/>
        <w:ind w:firstLine="480"/>
        <w:jc w:val="left"/>
        <w:rPr>
          <w:rFonts w:ascii="宋体" w:hAnsi="宋体" w:cs="宋体"/>
          <w:sz w:val="24"/>
          <w:szCs w:val="24"/>
          <w:highlight w:val="none"/>
          <w:lang w:val="zh-CN"/>
        </w:rPr>
      </w:pPr>
      <w:r>
        <w:rPr>
          <w:rFonts w:hint="eastAsia" w:ascii="宋体" w:hAnsi="宋体" w:cs="宋体"/>
          <w:sz w:val="24"/>
          <w:szCs w:val="24"/>
          <w:highlight w:val="none"/>
          <w:lang w:val="zh-CN"/>
        </w:rPr>
        <w:t>（2）</w:t>
      </w:r>
      <w:r>
        <w:rPr>
          <w:rFonts w:hint="eastAsia" w:ascii="宋体" w:hAnsi="宋体" w:eastAsia="宋体" w:cs="Times New Roman"/>
          <w:color w:val="000000"/>
          <w:sz w:val="24"/>
          <w:szCs w:val="24"/>
        </w:rPr>
        <w:t>根据省财政厅《关于更换全省政府采购交易系统C A数字证书和电子签章的通知》（苏财购〔2023〕101号），“苏采云”政府采购交易系统（以下简称苏采云系统）的CA数字证书、电子签章已更换为江苏省电子政务证书认证中心C A和方正国际软件（北京）有限公司电子签章。如果投标人通过苏采云系统参与政府采购项目，需要更换CA数字证书和电子签章。具体办理指南和操作手册见链接</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pacing w:val="0"/>
          <w:sz w:val="24"/>
          <w:szCs w:val="24"/>
          <w:u w:val="none"/>
        </w:rPr>
        <w:fldChar w:fldCharType="begin"/>
      </w:r>
      <w:r>
        <w:rPr>
          <w:rFonts w:hint="eastAsia" w:ascii="宋体" w:hAnsi="宋体" w:eastAsia="宋体" w:cs="Times New Roman"/>
          <w:color w:val="000000"/>
          <w:spacing w:val="0"/>
          <w:sz w:val="24"/>
          <w:szCs w:val="24"/>
          <w:u w:val="none"/>
        </w:rPr>
        <w:instrText xml:space="preserve"> HYPERLINK "http://www.ccgp-jiangsu.gov.cn/jiangsu/zlxz/ee/ee3a4bc5a3454aa2b0d9312230633ce9.html" </w:instrText>
      </w:r>
      <w:r>
        <w:rPr>
          <w:rFonts w:hint="eastAsia" w:ascii="宋体" w:hAnsi="宋体" w:eastAsia="宋体" w:cs="Times New Roman"/>
          <w:color w:val="000000"/>
          <w:spacing w:val="0"/>
          <w:sz w:val="24"/>
          <w:szCs w:val="24"/>
          <w:u w:val="none"/>
        </w:rPr>
        <w:fldChar w:fldCharType="separate"/>
      </w:r>
      <w:r>
        <w:rPr>
          <w:rFonts w:hint="eastAsia" w:ascii="宋体" w:hAnsi="宋体" w:eastAsia="宋体" w:cs="Times New Roman"/>
          <w:color w:val="000000"/>
          <w:spacing w:val="0"/>
          <w:sz w:val="24"/>
          <w:szCs w:val="24"/>
          <w:u w:val="none"/>
        </w:rPr>
        <w:t>http://www.ccgp</w:t>
      </w:r>
      <w:r>
        <w:rPr>
          <w:rFonts w:hint="eastAsia" w:ascii="宋体" w:hAnsi="宋体" w:eastAsia="宋体" w:cs="Times New Roman"/>
          <w:color w:val="000000"/>
          <w:spacing w:val="0"/>
          <w:sz w:val="24"/>
          <w:szCs w:val="24"/>
          <w:u w:val="none"/>
          <w:lang w:val="en-US" w:eastAsia="zh-CN"/>
        </w:rPr>
        <w:t>-</w:t>
      </w:r>
      <w:r>
        <w:rPr>
          <w:rFonts w:hint="eastAsia" w:ascii="宋体" w:hAnsi="宋体" w:eastAsia="宋体" w:cs="Times New Roman"/>
          <w:color w:val="000000"/>
          <w:spacing w:val="0"/>
          <w:sz w:val="24"/>
          <w:szCs w:val="24"/>
          <w:u w:val="none"/>
        </w:rPr>
        <w:t>jiangsu.gov.cn/jiangsu/zlxz/ee/ee3a4bc5a3454aa2b0d9312230633ce9.html</w:t>
      </w:r>
      <w:r>
        <w:rPr>
          <w:rFonts w:hint="eastAsia" w:ascii="宋体" w:hAnsi="宋体" w:eastAsia="宋体" w:cs="Times New Roman"/>
          <w:color w:val="000000"/>
          <w:spacing w:val="0"/>
          <w:sz w:val="24"/>
          <w:szCs w:val="24"/>
          <w:u w:val="none"/>
        </w:rPr>
        <w:fldChar w:fldCharType="end"/>
      </w:r>
      <w:r>
        <w:rPr>
          <w:rFonts w:hint="eastAsia" w:ascii="宋体" w:hAnsi="宋体" w:cs="宋体"/>
          <w:sz w:val="24"/>
          <w:szCs w:val="24"/>
          <w:highlight w:val="none"/>
          <w:lang w:val="zh-CN"/>
        </w:rPr>
        <w:t>。</w:t>
      </w:r>
    </w:p>
    <w:p w14:paraId="170DB915">
      <w:pPr>
        <w:widowControl/>
        <w:spacing w:line="360" w:lineRule="auto"/>
        <w:ind w:firstLine="480"/>
        <w:jc w:val="left"/>
        <w:rPr>
          <w:rFonts w:ascii="宋体" w:hAnsi="宋体" w:cs="宋体"/>
          <w:sz w:val="24"/>
          <w:szCs w:val="24"/>
          <w:highlight w:val="none"/>
          <w:lang w:val="zh-CN"/>
        </w:rPr>
      </w:pPr>
      <w:r>
        <w:rPr>
          <w:rFonts w:hint="eastAsia" w:ascii="宋体" w:hAnsi="宋体" w:cs="宋体"/>
          <w:sz w:val="24"/>
          <w:szCs w:val="24"/>
          <w:highlight w:val="none"/>
          <w:lang w:val="zh-CN"/>
        </w:rPr>
        <w:t>（3）有关本次招标的事项若存在变动或修改，敬请及时关注代理机构在“江苏省政府采购网”发布的更正公告。</w:t>
      </w:r>
    </w:p>
    <w:p w14:paraId="0482106E">
      <w:pPr>
        <w:widowControl/>
        <w:spacing w:line="360" w:lineRule="auto"/>
        <w:ind w:firstLine="480"/>
        <w:jc w:val="left"/>
        <w:rPr>
          <w:rFonts w:ascii="宋体" w:hAnsi="宋体" w:cs="宋体"/>
          <w:sz w:val="24"/>
          <w:szCs w:val="24"/>
          <w:highlight w:val="none"/>
          <w:lang w:val="zh-CN"/>
        </w:rPr>
      </w:pPr>
      <w:r>
        <w:rPr>
          <w:rFonts w:hint="eastAsia" w:ascii="宋体" w:hAnsi="宋体" w:cs="宋体"/>
          <w:sz w:val="24"/>
          <w:szCs w:val="24"/>
          <w:highlight w:val="none"/>
          <w:lang w:val="zh-CN"/>
        </w:rPr>
        <w:t>（4）采购代理机构将数据电文形式的招标文件加载至电子招标投标交易平台，供潜在投标人下载或者查阅。</w:t>
      </w:r>
    </w:p>
    <w:p w14:paraId="3A78E650">
      <w:pPr>
        <w:widowControl/>
        <w:spacing w:line="420" w:lineRule="exact"/>
        <w:ind w:firstLine="480" w:firstLineChars="200"/>
        <w:jc w:val="left"/>
        <w:rPr>
          <w:highlight w:val="none"/>
        </w:rPr>
      </w:pPr>
      <w:r>
        <w:rPr>
          <w:rFonts w:hint="eastAsia" w:ascii="宋体" w:hAnsi="宋体" w:cs="宋体"/>
          <w:sz w:val="24"/>
          <w:szCs w:val="24"/>
          <w:highlight w:val="none"/>
          <w:lang w:val="zh-CN"/>
        </w:rPr>
        <w:t>（5）如潜在投标人未按上述要求操作，将自行承担所产生的风险。</w:t>
      </w:r>
    </w:p>
    <w:p w14:paraId="75929A2A">
      <w:pPr>
        <w:pStyle w:val="238"/>
        <w:rPr>
          <w:rFonts w:hint="eastAsia"/>
          <w:highlight w:val="none"/>
        </w:rPr>
      </w:pPr>
    </w:p>
    <w:p w14:paraId="6341712A">
      <w:pPr>
        <w:widowControl/>
        <w:spacing w:line="360" w:lineRule="auto"/>
        <w:ind w:firstLine="482"/>
        <w:jc w:val="left"/>
        <w:rPr>
          <w:rFonts w:hint="eastAsia" w:ascii="宋体" w:hAnsi="宋体" w:cs="宋体"/>
          <w:b/>
          <w:bCs/>
          <w:sz w:val="24"/>
          <w:highlight w:val="none"/>
        </w:rPr>
      </w:pPr>
      <w:bookmarkStart w:id="6" w:name="_Toc35393805"/>
      <w:bookmarkStart w:id="7" w:name="_Toc28359018"/>
      <w:bookmarkStart w:id="8" w:name="_Toc28359095"/>
      <w:bookmarkStart w:id="9" w:name="_Toc35393636"/>
      <w:r>
        <w:rPr>
          <w:rFonts w:hint="eastAsia" w:ascii="宋体" w:hAnsi="宋体" w:cs="宋体"/>
          <w:b/>
          <w:bCs/>
          <w:sz w:val="24"/>
          <w:highlight w:val="none"/>
          <w:lang w:val="en-US" w:eastAsia="zh-CN"/>
        </w:rPr>
        <w:t>七</w:t>
      </w:r>
      <w:r>
        <w:rPr>
          <w:rFonts w:hint="eastAsia" w:ascii="宋体" w:hAnsi="宋体" w:cs="宋体"/>
          <w:b/>
          <w:bCs/>
          <w:sz w:val="24"/>
          <w:highlight w:val="none"/>
        </w:rPr>
        <w:t>、凡对本次采购提出询问，请按以下方式联系。</w:t>
      </w:r>
      <w:bookmarkEnd w:id="6"/>
      <w:bookmarkEnd w:id="7"/>
      <w:bookmarkEnd w:id="8"/>
      <w:bookmarkEnd w:id="9"/>
    </w:p>
    <w:p w14:paraId="0325C4BE">
      <w:pPr>
        <w:spacing w:line="360" w:lineRule="auto"/>
        <w:ind w:firstLine="480"/>
        <w:rPr>
          <w:rFonts w:hint="eastAsia" w:ascii="宋体" w:hAnsi="宋体" w:cs="宋体"/>
          <w:sz w:val="24"/>
          <w:highlight w:val="none"/>
        </w:rPr>
      </w:pPr>
      <w:bookmarkStart w:id="10" w:name="_Toc35393806"/>
      <w:bookmarkStart w:id="11" w:name="_Toc28359096"/>
      <w:bookmarkStart w:id="12" w:name="_Toc35393637"/>
      <w:bookmarkStart w:id="13" w:name="_Toc28359019"/>
      <w:r>
        <w:rPr>
          <w:rFonts w:hint="eastAsia" w:ascii="宋体" w:hAnsi="宋体" w:cs="宋体"/>
          <w:sz w:val="24"/>
          <w:highlight w:val="none"/>
        </w:rPr>
        <w:t>1.采购人信息</w:t>
      </w:r>
      <w:bookmarkEnd w:id="10"/>
      <w:bookmarkEnd w:id="11"/>
      <w:bookmarkEnd w:id="12"/>
      <w:bookmarkEnd w:id="13"/>
    </w:p>
    <w:p w14:paraId="5071FB65">
      <w:pPr>
        <w:widowControl/>
        <w:spacing w:line="360" w:lineRule="auto"/>
        <w:ind w:firstLine="480"/>
        <w:jc w:val="left"/>
        <w:rPr>
          <w:rFonts w:hint="eastAsia" w:ascii="宋体" w:hAnsi="宋体" w:eastAsia="宋体" w:cs="Arial"/>
          <w:sz w:val="24"/>
          <w:highlight w:val="none"/>
          <w:lang w:eastAsia="zh-CN"/>
        </w:rPr>
      </w:pPr>
      <w:r>
        <w:rPr>
          <w:rFonts w:hint="eastAsia" w:ascii="宋体" w:hAnsi="宋体" w:cs="Arial"/>
          <w:sz w:val="24"/>
          <w:highlight w:val="none"/>
        </w:rPr>
        <w:t>名    称：</w:t>
      </w:r>
      <w:r>
        <w:rPr>
          <w:rFonts w:hint="eastAsia" w:ascii="宋体" w:hAnsi="宋体" w:cs="Arial"/>
          <w:sz w:val="24"/>
          <w:highlight w:val="none"/>
          <w:lang w:eastAsia="zh-CN"/>
        </w:rPr>
        <w:t>泰州市农业农村局</w:t>
      </w:r>
    </w:p>
    <w:p w14:paraId="7A973C9D">
      <w:pPr>
        <w:widowControl/>
        <w:spacing w:line="360" w:lineRule="auto"/>
        <w:ind w:firstLine="480"/>
        <w:jc w:val="left"/>
        <w:rPr>
          <w:rFonts w:hint="eastAsia" w:ascii="宋体" w:hAnsi="宋体" w:cs="Arial"/>
          <w:sz w:val="24"/>
          <w:highlight w:val="none"/>
        </w:rPr>
      </w:pPr>
      <w:r>
        <w:rPr>
          <w:rFonts w:hint="eastAsia" w:ascii="宋体" w:hAnsi="宋体" w:cs="Arial"/>
          <w:sz w:val="24"/>
          <w:highlight w:val="none"/>
        </w:rPr>
        <w:t>地    址：泰州市海陵区凤凰东路66号</w:t>
      </w:r>
    </w:p>
    <w:p w14:paraId="0F59C7A1">
      <w:pPr>
        <w:widowControl/>
        <w:spacing w:line="360" w:lineRule="auto"/>
        <w:ind w:firstLine="480"/>
        <w:jc w:val="left"/>
        <w:rPr>
          <w:rFonts w:ascii="宋体" w:hAnsi="宋体" w:eastAsia="宋体" w:cs="Arial"/>
          <w:sz w:val="24"/>
          <w:highlight w:val="none"/>
          <w:lang w:val="en-US" w:eastAsia="zh-CN"/>
        </w:rPr>
      </w:pPr>
      <w:r>
        <w:rPr>
          <w:rFonts w:hint="eastAsia" w:ascii="宋体" w:hAnsi="宋体" w:cs="Arial"/>
          <w:sz w:val="24"/>
          <w:highlight w:val="none"/>
        </w:rPr>
        <w:t>联系方式：</w:t>
      </w:r>
      <w:r>
        <w:rPr>
          <w:rFonts w:hint="eastAsia" w:ascii="宋体" w:hAnsi="宋体" w:cs="Arial"/>
          <w:sz w:val="24"/>
          <w:highlight w:val="none"/>
          <w:lang w:val="en-US" w:eastAsia="zh-CN"/>
        </w:rPr>
        <w:t>0523-</w:t>
      </w:r>
      <w:r>
        <w:rPr>
          <w:rFonts w:hint="eastAsia" w:ascii="宋体" w:hAnsi="宋体" w:cs="Arial"/>
          <w:sz w:val="24"/>
          <w:highlight w:val="none"/>
        </w:rPr>
        <w:t>86893959</w:t>
      </w:r>
    </w:p>
    <w:p w14:paraId="690F5B44">
      <w:pPr>
        <w:widowControl/>
        <w:spacing w:line="360" w:lineRule="auto"/>
        <w:ind w:firstLine="480"/>
        <w:jc w:val="left"/>
        <w:rPr>
          <w:rFonts w:ascii="宋体" w:hAnsi="宋体" w:eastAsia="宋体" w:cs="Arial"/>
          <w:sz w:val="24"/>
          <w:highlight w:val="none"/>
          <w:lang w:val="en-US" w:eastAsia="zh-CN"/>
        </w:rPr>
      </w:pPr>
      <w:r>
        <w:rPr>
          <w:rFonts w:hint="eastAsia" w:ascii="宋体" w:hAnsi="宋体" w:cs="Arial"/>
          <w:sz w:val="24"/>
          <w:highlight w:val="none"/>
        </w:rPr>
        <w:t>联系人：</w:t>
      </w:r>
      <w:r>
        <w:rPr>
          <w:rFonts w:hint="eastAsia" w:ascii="宋体" w:hAnsi="宋体" w:cs="Arial"/>
          <w:sz w:val="24"/>
          <w:highlight w:val="none"/>
          <w:lang w:val="en-US" w:eastAsia="zh-CN"/>
        </w:rPr>
        <w:t>张先生</w:t>
      </w:r>
    </w:p>
    <w:p w14:paraId="7D7C1F78">
      <w:pPr>
        <w:spacing w:line="360" w:lineRule="auto"/>
        <w:ind w:firstLine="480"/>
        <w:rPr>
          <w:rFonts w:hint="eastAsia" w:ascii="宋体" w:hAnsi="宋体" w:cs="宋体"/>
          <w:sz w:val="24"/>
          <w:highlight w:val="none"/>
        </w:rPr>
      </w:pPr>
      <w:bookmarkStart w:id="14" w:name="_Toc28359097"/>
      <w:bookmarkStart w:id="15" w:name="_Toc28359020"/>
      <w:bookmarkStart w:id="16" w:name="_Toc35393638"/>
      <w:bookmarkStart w:id="17" w:name="_Toc35393807"/>
      <w:r>
        <w:rPr>
          <w:rFonts w:hint="eastAsia" w:ascii="宋体" w:hAnsi="宋体" w:cs="宋体"/>
          <w:sz w:val="24"/>
          <w:highlight w:val="none"/>
        </w:rPr>
        <w:t>2.采购代理机构信息</w:t>
      </w:r>
      <w:bookmarkEnd w:id="14"/>
      <w:bookmarkEnd w:id="15"/>
      <w:bookmarkEnd w:id="16"/>
      <w:bookmarkEnd w:id="17"/>
    </w:p>
    <w:p w14:paraId="6063FC8A">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江苏天信建设项目咨询有限公司</w:t>
      </w:r>
    </w:p>
    <w:p w14:paraId="3732B76A">
      <w:pPr>
        <w:widowControl/>
        <w:spacing w:line="360" w:lineRule="auto"/>
        <w:ind w:firstLine="480"/>
        <w:jc w:val="left"/>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Arial"/>
          <w:sz w:val="24"/>
          <w:highlight w:val="none"/>
          <w:lang w:eastAsia="zh-CN"/>
        </w:rPr>
        <w:t>泰州市凤凰西路168号1号楼210室</w:t>
      </w:r>
    </w:p>
    <w:p w14:paraId="6114714E">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联系方式：</w:t>
      </w:r>
      <w:r>
        <w:rPr>
          <w:rFonts w:hint="eastAsia" w:ascii="宋体" w:hAnsi="宋体" w:cs="宋体"/>
          <w:sz w:val="24"/>
          <w:highlight w:val="none"/>
          <w:lang w:val="en-US" w:eastAsia="zh-CN"/>
        </w:rPr>
        <w:t>17798565619</w:t>
      </w:r>
    </w:p>
    <w:p w14:paraId="19D7EB06">
      <w:pPr>
        <w:spacing w:line="360" w:lineRule="auto"/>
        <w:ind w:firstLine="480"/>
        <w:rPr>
          <w:rFonts w:hint="eastAsia" w:ascii="宋体" w:hAnsi="宋体" w:cs="宋体"/>
          <w:sz w:val="24"/>
          <w:highlight w:val="none"/>
        </w:rPr>
      </w:pPr>
      <w:bookmarkStart w:id="18" w:name="_Toc28359021"/>
      <w:bookmarkStart w:id="19" w:name="_Toc35393639"/>
      <w:bookmarkStart w:id="20" w:name="_Toc35393808"/>
      <w:bookmarkStart w:id="21" w:name="_Toc28359098"/>
      <w:r>
        <w:rPr>
          <w:rFonts w:hint="eastAsia" w:ascii="宋体" w:hAnsi="宋体" w:cs="宋体"/>
          <w:sz w:val="24"/>
          <w:highlight w:val="none"/>
        </w:rPr>
        <w:t>3.项目联系方式</w:t>
      </w:r>
      <w:bookmarkEnd w:id="18"/>
      <w:bookmarkEnd w:id="19"/>
      <w:bookmarkEnd w:id="20"/>
      <w:bookmarkEnd w:id="21"/>
    </w:p>
    <w:p w14:paraId="7753FB0B">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项目联系人：</w:t>
      </w:r>
      <w:r>
        <w:rPr>
          <w:rFonts w:hint="eastAsia" w:ascii="宋体" w:hAnsi="宋体" w:cs="宋体"/>
          <w:sz w:val="24"/>
          <w:highlight w:val="none"/>
          <w:lang w:val="en-US" w:eastAsia="zh-CN"/>
        </w:rPr>
        <w:t>余女士</w:t>
      </w:r>
    </w:p>
    <w:p w14:paraId="534A60A4">
      <w:pPr>
        <w:spacing w:line="360" w:lineRule="auto"/>
        <w:ind w:firstLine="480"/>
        <w:rPr>
          <w:rFonts w:hint="eastAsia" w:ascii="宋体" w:hAnsi="宋体" w:cs="宋体"/>
          <w:sz w:val="24"/>
          <w:highlight w:val="none"/>
        </w:rPr>
      </w:pPr>
      <w:r>
        <w:rPr>
          <w:rFonts w:hint="eastAsia" w:ascii="宋体" w:hAnsi="宋体" w:cs="宋体"/>
          <w:sz w:val="24"/>
          <w:highlight w:val="none"/>
        </w:rPr>
        <w:t>电　　 话：</w:t>
      </w:r>
      <w:bookmarkStart w:id="22" w:name="_Toc14577347"/>
      <w:bookmarkStart w:id="23" w:name="_Toc61149549"/>
      <w:bookmarkStart w:id="24" w:name="_Toc513029209"/>
      <w:r>
        <w:rPr>
          <w:rFonts w:hint="eastAsia" w:ascii="宋体" w:hAnsi="宋体" w:cs="宋体"/>
          <w:sz w:val="24"/>
          <w:highlight w:val="none"/>
          <w:lang w:val="en-US" w:eastAsia="zh-CN"/>
        </w:rPr>
        <w:t>17798565619</w:t>
      </w:r>
      <w:r>
        <w:rPr>
          <w:rFonts w:hint="eastAsia" w:ascii="宋体" w:hAnsi="宋体" w:cs="宋体"/>
          <w:sz w:val="24"/>
          <w:highlight w:val="none"/>
        </w:rPr>
        <w:t>　</w:t>
      </w:r>
    </w:p>
    <w:p w14:paraId="4803FBD7">
      <w:pPr>
        <w:pStyle w:val="189"/>
        <w:ind w:firstLine="0"/>
        <w:rPr>
          <w:rFonts w:hint="eastAsia"/>
          <w:highlight w:val="none"/>
        </w:rPr>
      </w:pPr>
    </w:p>
    <w:p w14:paraId="3BE39DDE">
      <w:pPr>
        <w:pStyle w:val="225"/>
        <w:jc w:val="center"/>
        <w:rPr>
          <w:rFonts w:hint="eastAsia"/>
          <w:highlight w:val="none"/>
        </w:rPr>
      </w:pPr>
      <w:bookmarkStart w:id="25" w:name="_Toc3692"/>
      <w:r>
        <w:rPr>
          <w:highlight w:val="none"/>
        </w:rPr>
        <w:br w:type="page" w:clear="all"/>
      </w:r>
      <w:r>
        <w:rPr>
          <w:rFonts w:hint="eastAsia"/>
          <w:highlight w:val="none"/>
        </w:rPr>
        <w:t>第二章  参加磋商供应商须知</w:t>
      </w:r>
      <w:bookmarkEnd w:id="25"/>
    </w:p>
    <w:p w14:paraId="5E1CD98B">
      <w:pPr>
        <w:spacing w:after="120" w:line="360" w:lineRule="auto"/>
        <w:jc w:val="center"/>
        <w:rPr>
          <w:rFonts w:hint="eastAsia" w:ascii="宋体" w:hAnsi="宋体"/>
          <w:bCs/>
          <w:sz w:val="24"/>
          <w:highlight w:val="none"/>
        </w:rPr>
      </w:pPr>
      <w:r>
        <w:rPr>
          <w:rFonts w:hint="eastAsia" w:ascii="宋体" w:hAnsi="宋体"/>
          <w:bCs/>
          <w:sz w:val="24"/>
          <w:highlight w:val="none"/>
        </w:rPr>
        <w:t>（参加竞争性磋商的供应商以下简称“磋商供应商”）</w:t>
      </w:r>
    </w:p>
    <w:p w14:paraId="78F4AFAA">
      <w:pPr>
        <w:spacing w:before="120" w:after="120" w:line="420" w:lineRule="exact"/>
        <w:jc w:val="center"/>
        <w:rPr>
          <w:rFonts w:hint="eastAsia" w:ascii="宋体" w:hAnsi="宋体"/>
          <w:sz w:val="28"/>
          <w:szCs w:val="28"/>
          <w:highlight w:val="none"/>
        </w:rPr>
      </w:pPr>
      <w:r>
        <w:rPr>
          <w:rFonts w:hint="eastAsia" w:ascii="宋体" w:hAnsi="宋体"/>
          <w:sz w:val="28"/>
          <w:szCs w:val="28"/>
          <w:highlight w:val="none"/>
        </w:rPr>
        <w:t>投标人须知前附表</w:t>
      </w:r>
    </w:p>
    <w:tbl>
      <w:tblPr>
        <w:tblStyle w:val="32"/>
        <w:tblW w:w="95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2067"/>
        <w:gridCol w:w="6437"/>
      </w:tblGrid>
      <w:tr w14:paraId="56187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74D38B6D">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条款号</w:t>
            </w:r>
          </w:p>
        </w:tc>
        <w:tc>
          <w:tcPr>
            <w:tcW w:w="2067" w:type="dxa"/>
            <w:noWrap w:val="0"/>
            <w:vAlign w:val="center"/>
          </w:tcPr>
          <w:p w14:paraId="45CC289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内　容</w:t>
            </w:r>
          </w:p>
        </w:tc>
        <w:tc>
          <w:tcPr>
            <w:tcW w:w="6437" w:type="dxa"/>
            <w:noWrap w:val="0"/>
            <w:vAlign w:val="center"/>
          </w:tcPr>
          <w:p w14:paraId="3AEA491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说明与要求</w:t>
            </w:r>
          </w:p>
        </w:tc>
      </w:tr>
      <w:tr w14:paraId="1CFAF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33AA6159">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1.1.2</w:t>
            </w:r>
          </w:p>
        </w:tc>
        <w:tc>
          <w:tcPr>
            <w:tcW w:w="2067" w:type="dxa"/>
            <w:noWrap w:val="0"/>
            <w:vAlign w:val="center"/>
          </w:tcPr>
          <w:p w14:paraId="463978BE">
            <w:pPr>
              <w:pStyle w:val="274"/>
              <w:spacing w:line="420" w:lineRule="exact"/>
              <w:jc w:val="center"/>
              <w:rPr>
                <w:rFonts w:hint="eastAsia" w:ascii="宋体" w:hAnsi="宋体" w:cs="Arial"/>
                <w:sz w:val="24"/>
                <w:szCs w:val="24"/>
                <w:highlight w:val="none"/>
              </w:rPr>
            </w:pPr>
            <w:r>
              <w:rPr>
                <w:rFonts w:hint="eastAsia" w:ascii="宋体" w:hAnsi="宋体" w:cs="Arial"/>
                <w:sz w:val="24"/>
                <w:szCs w:val="24"/>
                <w:highlight w:val="none"/>
              </w:rPr>
              <w:t>采购人</w:t>
            </w:r>
          </w:p>
        </w:tc>
        <w:tc>
          <w:tcPr>
            <w:tcW w:w="6437" w:type="dxa"/>
            <w:noWrap w:val="0"/>
            <w:vAlign w:val="center"/>
          </w:tcPr>
          <w:p w14:paraId="550BDE6F">
            <w:pPr>
              <w:widowControl/>
              <w:spacing w:line="360" w:lineRule="auto"/>
              <w:jc w:val="left"/>
              <w:rPr>
                <w:rFonts w:hint="eastAsia" w:ascii="宋体" w:hAnsi="宋体" w:eastAsia="宋体" w:cs="Arial"/>
                <w:sz w:val="24"/>
                <w:highlight w:val="none"/>
                <w:lang w:eastAsia="zh-CN"/>
              </w:rPr>
            </w:pPr>
            <w:r>
              <w:rPr>
                <w:rFonts w:hint="eastAsia" w:ascii="宋体" w:hAnsi="宋体" w:cs="Arial"/>
                <w:sz w:val="24"/>
                <w:highlight w:val="none"/>
              </w:rPr>
              <w:t>名称：</w:t>
            </w:r>
            <w:r>
              <w:rPr>
                <w:rFonts w:hint="eastAsia" w:ascii="宋体" w:hAnsi="宋体" w:cs="Arial"/>
                <w:sz w:val="24"/>
                <w:highlight w:val="none"/>
                <w:lang w:eastAsia="zh-CN"/>
              </w:rPr>
              <w:t>泰州市农业农村局</w:t>
            </w:r>
          </w:p>
          <w:p w14:paraId="387A9ECD">
            <w:pPr>
              <w:widowControl/>
              <w:spacing w:line="360" w:lineRule="auto"/>
              <w:jc w:val="left"/>
              <w:rPr>
                <w:rFonts w:hint="eastAsia" w:ascii="宋体" w:hAnsi="宋体" w:cs="Arial"/>
                <w:sz w:val="24"/>
                <w:highlight w:val="none"/>
              </w:rPr>
            </w:pPr>
            <w:r>
              <w:rPr>
                <w:rFonts w:hint="eastAsia" w:ascii="宋体" w:hAnsi="宋体" w:cs="Arial"/>
                <w:sz w:val="24"/>
                <w:highlight w:val="none"/>
              </w:rPr>
              <w:t>地址：泰州市海陵区凤凰东路66号</w:t>
            </w:r>
          </w:p>
          <w:p w14:paraId="45BA4D91">
            <w:pPr>
              <w:widowControl/>
              <w:spacing w:line="360" w:lineRule="auto"/>
              <w:jc w:val="left"/>
              <w:rPr>
                <w:rFonts w:ascii="宋体" w:hAnsi="宋体" w:eastAsia="宋体" w:cs="Arial"/>
                <w:sz w:val="24"/>
                <w:highlight w:val="none"/>
                <w:lang w:val="en-US" w:eastAsia="zh-CN"/>
              </w:rPr>
            </w:pPr>
            <w:r>
              <w:rPr>
                <w:rFonts w:hint="eastAsia" w:ascii="宋体" w:hAnsi="宋体" w:cs="Arial"/>
                <w:sz w:val="24"/>
                <w:highlight w:val="none"/>
              </w:rPr>
              <w:t>联系方式：</w:t>
            </w:r>
            <w:r>
              <w:rPr>
                <w:rFonts w:hint="eastAsia" w:ascii="宋体" w:hAnsi="宋体" w:cs="Arial"/>
                <w:sz w:val="24"/>
                <w:highlight w:val="none"/>
                <w:lang w:val="en-US" w:eastAsia="zh-CN"/>
              </w:rPr>
              <w:t>0523-</w:t>
            </w:r>
            <w:r>
              <w:rPr>
                <w:rFonts w:hint="eastAsia" w:ascii="宋体" w:hAnsi="宋体" w:cs="Arial"/>
                <w:sz w:val="24"/>
                <w:highlight w:val="none"/>
              </w:rPr>
              <w:t>86893959</w:t>
            </w:r>
          </w:p>
          <w:p w14:paraId="559DCE9E">
            <w:pPr>
              <w:widowControl/>
              <w:spacing w:line="360" w:lineRule="auto"/>
              <w:jc w:val="left"/>
              <w:rPr>
                <w:rFonts w:hint="eastAsia" w:ascii="宋体" w:hAnsi="宋体" w:cs="Arial"/>
                <w:sz w:val="24"/>
                <w:highlight w:val="none"/>
              </w:rPr>
            </w:pPr>
            <w:r>
              <w:rPr>
                <w:rFonts w:hint="eastAsia" w:ascii="宋体" w:hAnsi="宋体" w:cs="Arial"/>
                <w:sz w:val="24"/>
                <w:highlight w:val="none"/>
              </w:rPr>
              <w:t>联系人：</w:t>
            </w:r>
            <w:r>
              <w:rPr>
                <w:rFonts w:hint="eastAsia" w:ascii="宋体" w:hAnsi="宋体" w:cs="Arial"/>
                <w:sz w:val="24"/>
                <w:highlight w:val="none"/>
                <w:lang w:val="en-US" w:eastAsia="zh-CN"/>
              </w:rPr>
              <w:t>张先生</w:t>
            </w:r>
          </w:p>
        </w:tc>
      </w:tr>
      <w:tr w14:paraId="24039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4A6763BD">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1.1.3</w:t>
            </w:r>
          </w:p>
        </w:tc>
        <w:tc>
          <w:tcPr>
            <w:tcW w:w="2067" w:type="dxa"/>
            <w:noWrap w:val="0"/>
            <w:vAlign w:val="center"/>
          </w:tcPr>
          <w:p w14:paraId="43D0E418">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采购代理机构</w:t>
            </w:r>
          </w:p>
        </w:tc>
        <w:tc>
          <w:tcPr>
            <w:tcW w:w="6437" w:type="dxa"/>
            <w:noWrap w:val="0"/>
            <w:vAlign w:val="center"/>
          </w:tcPr>
          <w:p w14:paraId="49C790EC">
            <w:pPr>
              <w:widowControl/>
              <w:spacing w:line="360" w:lineRule="auto"/>
              <w:jc w:val="left"/>
              <w:rPr>
                <w:rFonts w:hint="eastAsia" w:ascii="宋体" w:hAnsi="宋体" w:eastAsia="宋体" w:cs="Arial"/>
                <w:sz w:val="24"/>
                <w:highlight w:val="none"/>
                <w:lang w:eastAsia="zh-CN"/>
              </w:rPr>
            </w:pPr>
            <w:r>
              <w:rPr>
                <w:rFonts w:hint="eastAsia" w:ascii="宋体" w:hAnsi="宋体" w:eastAsia="宋体" w:cs="Arial"/>
                <w:sz w:val="24"/>
                <w:highlight w:val="none"/>
              </w:rPr>
              <w:t>名称：</w:t>
            </w:r>
            <w:r>
              <w:rPr>
                <w:rFonts w:hint="eastAsia" w:ascii="宋体" w:hAnsi="宋体" w:eastAsia="宋体" w:cs="Arial"/>
                <w:sz w:val="24"/>
                <w:highlight w:val="none"/>
                <w:lang w:eastAsia="zh-CN"/>
              </w:rPr>
              <w:t>江苏天信建设项目咨询有限公司</w:t>
            </w:r>
          </w:p>
          <w:p w14:paraId="376452EE">
            <w:pPr>
              <w:widowControl/>
              <w:spacing w:line="360" w:lineRule="auto"/>
              <w:jc w:val="left"/>
              <w:rPr>
                <w:rFonts w:hint="eastAsia" w:ascii="宋体" w:hAnsi="宋体" w:eastAsia="宋体" w:cs="Arial"/>
                <w:sz w:val="24"/>
                <w:highlight w:val="none"/>
                <w:lang w:eastAsia="zh-CN"/>
              </w:rPr>
            </w:pPr>
            <w:r>
              <w:rPr>
                <w:rFonts w:hint="eastAsia" w:ascii="宋体" w:hAnsi="宋体" w:eastAsia="宋体" w:cs="Arial"/>
                <w:sz w:val="24"/>
                <w:highlight w:val="none"/>
              </w:rPr>
              <w:t>地址：</w:t>
            </w:r>
            <w:r>
              <w:rPr>
                <w:rFonts w:hint="eastAsia" w:ascii="宋体" w:hAnsi="宋体" w:eastAsia="宋体" w:cs="Arial"/>
                <w:sz w:val="24"/>
                <w:highlight w:val="none"/>
                <w:lang w:eastAsia="zh-CN"/>
              </w:rPr>
              <w:t>泰州市凤凰西路168号1号楼210室</w:t>
            </w:r>
          </w:p>
          <w:p w14:paraId="019A3DE8">
            <w:pPr>
              <w:widowControl/>
              <w:spacing w:line="360" w:lineRule="auto"/>
              <w:jc w:val="left"/>
              <w:rPr>
                <w:rFonts w:hint="eastAsia" w:ascii="宋体" w:hAnsi="宋体" w:eastAsia="宋体" w:cs="Arial"/>
                <w:sz w:val="24"/>
                <w:highlight w:val="none"/>
                <w:lang w:val="en-US" w:eastAsia="zh-CN"/>
              </w:rPr>
            </w:pPr>
            <w:r>
              <w:rPr>
                <w:rFonts w:hint="eastAsia" w:ascii="宋体" w:hAnsi="宋体" w:eastAsia="宋体" w:cs="Arial"/>
                <w:sz w:val="24"/>
                <w:highlight w:val="none"/>
              </w:rPr>
              <w:t>联系人：</w:t>
            </w:r>
            <w:r>
              <w:rPr>
                <w:rFonts w:hint="eastAsia" w:ascii="宋体" w:hAnsi="宋体" w:eastAsia="宋体" w:cs="Arial"/>
                <w:sz w:val="24"/>
                <w:highlight w:val="none"/>
                <w:lang w:val="en-US" w:eastAsia="zh-CN"/>
              </w:rPr>
              <w:t>余女士</w:t>
            </w:r>
          </w:p>
          <w:p w14:paraId="76EF88D3">
            <w:pPr>
              <w:widowControl/>
              <w:spacing w:line="360" w:lineRule="auto"/>
              <w:jc w:val="left"/>
              <w:rPr>
                <w:rFonts w:hint="eastAsia" w:ascii="宋体" w:hAnsi="宋体"/>
                <w:sz w:val="24"/>
                <w:highlight w:val="none"/>
              </w:rPr>
            </w:pPr>
            <w:r>
              <w:rPr>
                <w:rFonts w:hint="eastAsia" w:ascii="宋体" w:hAnsi="宋体" w:eastAsia="宋体" w:cs="Arial"/>
                <w:sz w:val="24"/>
                <w:highlight w:val="none"/>
              </w:rPr>
              <w:t>电话：</w:t>
            </w:r>
            <w:r>
              <w:rPr>
                <w:rFonts w:hint="eastAsia" w:ascii="宋体" w:hAnsi="宋体" w:eastAsia="宋体" w:cs="Arial"/>
                <w:sz w:val="24"/>
                <w:highlight w:val="none"/>
                <w:lang w:val="en-US" w:eastAsia="zh-CN"/>
              </w:rPr>
              <w:t>17798565619</w:t>
            </w:r>
            <w:r>
              <w:rPr>
                <w:rFonts w:hint="eastAsia" w:ascii="宋体" w:hAnsi="宋体" w:eastAsia="宋体" w:cs="Arial"/>
                <w:sz w:val="24"/>
                <w:highlight w:val="none"/>
              </w:rPr>
              <w:t>　</w:t>
            </w:r>
          </w:p>
        </w:tc>
      </w:tr>
      <w:tr w14:paraId="109BA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449C6A73">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1.1.4</w:t>
            </w:r>
          </w:p>
        </w:tc>
        <w:tc>
          <w:tcPr>
            <w:tcW w:w="2067" w:type="dxa"/>
            <w:noWrap w:val="0"/>
            <w:vAlign w:val="center"/>
          </w:tcPr>
          <w:p w14:paraId="245C8BB6">
            <w:pPr>
              <w:spacing w:line="420" w:lineRule="exact"/>
              <w:jc w:val="center"/>
              <w:rPr>
                <w:rFonts w:hint="eastAsia" w:ascii="宋体" w:hAnsi="宋体" w:cs="宋体"/>
                <w:sz w:val="24"/>
                <w:highlight w:val="none"/>
              </w:rPr>
            </w:pPr>
            <w:r>
              <w:rPr>
                <w:rFonts w:hint="eastAsia" w:ascii="宋体" w:hAnsi="宋体" w:cs="宋体"/>
                <w:sz w:val="24"/>
                <w:highlight w:val="none"/>
              </w:rPr>
              <w:t>项目名称及编号</w:t>
            </w:r>
          </w:p>
        </w:tc>
        <w:tc>
          <w:tcPr>
            <w:tcW w:w="6437" w:type="dxa"/>
            <w:noWrap w:val="0"/>
            <w:vAlign w:val="center"/>
          </w:tcPr>
          <w:p w14:paraId="3886D4CB">
            <w:pPr>
              <w:spacing w:line="420" w:lineRule="exact"/>
              <w:jc w:val="left"/>
              <w:rPr>
                <w:rFonts w:hint="eastAsia" w:ascii="宋体" w:hAnsi="宋体" w:eastAsia="宋体" w:cs="宋体"/>
                <w:sz w:val="24"/>
                <w:highlight w:val="none"/>
                <w:lang w:eastAsia="zh-CN"/>
              </w:rPr>
            </w:pPr>
            <w:r>
              <w:rPr>
                <w:rFonts w:hint="eastAsia" w:ascii="宋体" w:hAnsi="宋体" w:cs="宋体"/>
                <w:sz w:val="24"/>
                <w:highlight w:val="none"/>
                <w:lang w:eastAsia="zh-CN"/>
              </w:rPr>
              <w:t>泰州市长江禁捕执法基地升级改造</w:t>
            </w:r>
            <w:r>
              <w:rPr>
                <w:rFonts w:hint="eastAsia" w:ascii="宋体" w:hAnsi="宋体" w:eastAsia="宋体" w:cs="宋体"/>
                <w:sz w:val="24"/>
                <w:highlight w:val="none"/>
              </w:rPr>
              <w:t>，</w:t>
            </w:r>
            <w:r>
              <w:rPr>
                <w:rFonts w:hint="eastAsia" w:ascii="宋体" w:hAnsi="宋体" w:cs="宋体"/>
                <w:sz w:val="24"/>
                <w:highlight w:val="none"/>
                <w:lang w:eastAsia="zh-CN"/>
              </w:rPr>
              <w:t>JSZC-321200-TXJS-C2025-0040</w:t>
            </w:r>
          </w:p>
        </w:tc>
      </w:tr>
      <w:tr w14:paraId="2655E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52485E4D">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1.2.1</w:t>
            </w:r>
          </w:p>
        </w:tc>
        <w:tc>
          <w:tcPr>
            <w:tcW w:w="2067" w:type="dxa"/>
            <w:noWrap w:val="0"/>
            <w:vAlign w:val="center"/>
          </w:tcPr>
          <w:p w14:paraId="40ECDE3A">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资金来源</w:t>
            </w:r>
          </w:p>
        </w:tc>
        <w:tc>
          <w:tcPr>
            <w:tcW w:w="6437" w:type="dxa"/>
            <w:noWrap w:val="0"/>
            <w:vAlign w:val="center"/>
          </w:tcPr>
          <w:p w14:paraId="243B5A1F">
            <w:pPr>
              <w:spacing w:line="420" w:lineRule="exact"/>
              <w:ind w:left="19"/>
              <w:rPr>
                <w:rFonts w:hint="eastAsia" w:ascii="宋体" w:hAnsi="宋体"/>
                <w:sz w:val="24"/>
                <w:highlight w:val="none"/>
              </w:rPr>
            </w:pPr>
            <w:r>
              <w:rPr>
                <w:rFonts w:hint="eastAsia" w:ascii="宋体" w:hAnsi="宋体"/>
                <w:sz w:val="24"/>
                <w:highlight w:val="none"/>
              </w:rPr>
              <w:t xml:space="preserve">财政 </w:t>
            </w:r>
          </w:p>
        </w:tc>
      </w:tr>
      <w:tr w14:paraId="7AE71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5DEE46C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1.2.2</w:t>
            </w:r>
          </w:p>
        </w:tc>
        <w:tc>
          <w:tcPr>
            <w:tcW w:w="2067" w:type="dxa"/>
            <w:noWrap w:val="0"/>
            <w:vAlign w:val="center"/>
          </w:tcPr>
          <w:p w14:paraId="7B0198B6">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资金落实情况</w:t>
            </w:r>
          </w:p>
        </w:tc>
        <w:tc>
          <w:tcPr>
            <w:tcW w:w="6437" w:type="dxa"/>
            <w:noWrap w:val="0"/>
            <w:vAlign w:val="center"/>
          </w:tcPr>
          <w:p w14:paraId="3655275A">
            <w:pPr>
              <w:spacing w:line="420" w:lineRule="exact"/>
              <w:ind w:left="19"/>
              <w:rPr>
                <w:rFonts w:hint="eastAsia" w:ascii="宋体" w:hAnsi="宋体"/>
                <w:sz w:val="24"/>
                <w:highlight w:val="none"/>
              </w:rPr>
            </w:pPr>
            <w:r>
              <w:rPr>
                <w:rFonts w:hint="eastAsia" w:ascii="宋体" w:hAnsi="宋体"/>
                <w:sz w:val="24"/>
                <w:highlight w:val="none"/>
              </w:rPr>
              <w:t>已落实</w:t>
            </w:r>
          </w:p>
        </w:tc>
      </w:tr>
      <w:tr w14:paraId="11B59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9" w:type="dxa"/>
            <w:noWrap w:val="0"/>
            <w:vAlign w:val="center"/>
          </w:tcPr>
          <w:p w14:paraId="1A7571D9">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1.2.3</w:t>
            </w:r>
          </w:p>
        </w:tc>
        <w:tc>
          <w:tcPr>
            <w:tcW w:w="2067" w:type="dxa"/>
            <w:noWrap w:val="0"/>
            <w:vAlign w:val="center"/>
          </w:tcPr>
          <w:p w14:paraId="00CF42F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付款方式</w:t>
            </w:r>
          </w:p>
        </w:tc>
        <w:tc>
          <w:tcPr>
            <w:tcW w:w="6437" w:type="dxa"/>
            <w:noWrap w:val="0"/>
            <w:vAlign w:val="center"/>
          </w:tcPr>
          <w:p w14:paraId="63F497C8">
            <w:pPr>
              <w:spacing w:line="360" w:lineRule="auto"/>
              <w:ind w:firstLine="480"/>
              <w:rPr>
                <w:rFonts w:hint="eastAsia" w:ascii="宋体" w:hAnsi="宋体"/>
                <w:sz w:val="24"/>
                <w:highlight w:val="none"/>
              </w:rPr>
            </w:pPr>
            <w:r>
              <w:rPr>
                <w:rFonts w:hint="eastAsia" w:ascii="宋体" w:hAnsi="宋体"/>
                <w:sz w:val="24"/>
                <w:szCs w:val="28"/>
                <w:highlight w:val="none"/>
              </w:rPr>
              <w:t>合同生效后预付</w:t>
            </w:r>
            <w:r>
              <w:rPr>
                <w:rFonts w:hint="eastAsia" w:ascii="宋体" w:hAnsi="宋体"/>
                <w:sz w:val="24"/>
                <w:szCs w:val="28"/>
                <w:highlight w:val="none"/>
                <w:lang w:val="en-US" w:eastAsia="zh-CN"/>
              </w:rPr>
              <w:t>10</w:t>
            </w:r>
            <w:r>
              <w:rPr>
                <w:rFonts w:hint="eastAsia" w:ascii="宋体" w:hAnsi="宋体"/>
                <w:sz w:val="24"/>
                <w:szCs w:val="28"/>
                <w:highlight w:val="none"/>
              </w:rPr>
              <w:t>%的合同价款，</w:t>
            </w:r>
            <w:r>
              <w:rPr>
                <w:rFonts w:hint="eastAsia" w:ascii="宋体" w:hAnsi="宋体"/>
                <w:sz w:val="24"/>
                <w:szCs w:val="28"/>
                <w:highlight w:val="none"/>
                <w:lang w:val="en-US" w:eastAsia="zh-CN"/>
              </w:rPr>
              <w:t>工程进度过半后根据合格工程形象支付合同价的40%，</w:t>
            </w:r>
            <w:r>
              <w:rPr>
                <w:rFonts w:hint="eastAsia" w:ascii="宋体" w:hAnsi="宋体" w:cs="宋体"/>
                <w:sz w:val="24"/>
                <w:highlight w:val="none"/>
              </w:rPr>
              <w:t>工程</w:t>
            </w:r>
            <w:r>
              <w:rPr>
                <w:rFonts w:hint="eastAsia" w:ascii="宋体" w:hAnsi="宋体" w:cs="宋体"/>
                <w:sz w:val="24"/>
                <w:highlight w:val="none"/>
                <w:lang w:val="en-US" w:eastAsia="zh-CN"/>
              </w:rPr>
              <w:t>竣工</w:t>
            </w:r>
            <w:r>
              <w:rPr>
                <w:rFonts w:hint="eastAsia" w:ascii="宋体" w:hAnsi="宋体" w:cs="宋体"/>
                <w:sz w:val="24"/>
                <w:highlight w:val="none"/>
              </w:rPr>
              <w:t>验收</w:t>
            </w:r>
            <w:r>
              <w:rPr>
                <w:rFonts w:hint="eastAsia" w:ascii="宋体" w:hAnsi="宋体" w:cs="宋体"/>
                <w:sz w:val="24"/>
                <w:highlight w:val="none"/>
                <w:lang w:val="en-US" w:eastAsia="zh-CN"/>
              </w:rPr>
              <w:t>经</w:t>
            </w:r>
            <w:r>
              <w:rPr>
                <w:rFonts w:hint="eastAsia" w:ascii="宋体" w:hAnsi="宋体" w:cs="宋体"/>
                <w:sz w:val="24"/>
                <w:highlight w:val="none"/>
              </w:rPr>
              <w:t>审计后付至审计结算价的97%，工程质量缺陷责任期满后一个月内付清余款</w:t>
            </w:r>
            <w:r>
              <w:rPr>
                <w:rFonts w:hint="eastAsia" w:ascii="宋体" w:hAnsi="宋体" w:cs="宋体"/>
                <w:sz w:val="24"/>
                <w:highlight w:val="none"/>
                <w:lang w:eastAsia="zh-CN"/>
              </w:rPr>
              <w:t>。</w:t>
            </w:r>
          </w:p>
        </w:tc>
      </w:tr>
      <w:tr w14:paraId="79ACC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049" w:type="dxa"/>
            <w:vMerge w:val="restart"/>
            <w:noWrap w:val="0"/>
            <w:vAlign w:val="center"/>
          </w:tcPr>
          <w:p w14:paraId="1F6DC79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1.3</w:t>
            </w:r>
          </w:p>
        </w:tc>
        <w:tc>
          <w:tcPr>
            <w:tcW w:w="2067" w:type="dxa"/>
            <w:noWrap w:val="0"/>
            <w:vAlign w:val="center"/>
          </w:tcPr>
          <w:p w14:paraId="797A5915">
            <w:pPr>
              <w:pStyle w:val="274"/>
              <w:spacing w:line="420" w:lineRule="exact"/>
              <w:jc w:val="center"/>
              <w:rPr>
                <w:rFonts w:hint="eastAsia" w:ascii="宋体" w:hAnsi="宋体" w:cs="黑体"/>
                <w:sz w:val="24"/>
                <w:szCs w:val="24"/>
                <w:highlight w:val="none"/>
              </w:rPr>
            </w:pPr>
            <w:r>
              <w:rPr>
                <w:rFonts w:hint="eastAsia" w:ascii="宋体" w:hAnsi="宋体" w:cs="黑体"/>
                <w:sz w:val="24"/>
                <w:szCs w:val="24"/>
                <w:highlight w:val="none"/>
              </w:rPr>
              <w:t>招标范围</w:t>
            </w:r>
          </w:p>
        </w:tc>
        <w:tc>
          <w:tcPr>
            <w:tcW w:w="6437" w:type="dxa"/>
            <w:noWrap w:val="0"/>
            <w:vAlign w:val="center"/>
          </w:tcPr>
          <w:p w14:paraId="78556B07">
            <w:pPr>
              <w:spacing w:line="420" w:lineRule="exact"/>
              <w:rPr>
                <w:rFonts w:hint="eastAsia" w:ascii="宋体" w:hAnsi="宋体" w:eastAsia="宋体"/>
                <w:sz w:val="24"/>
                <w:highlight w:val="none"/>
                <w:lang w:eastAsia="zh-CN"/>
              </w:rPr>
            </w:pPr>
            <w:r>
              <w:rPr>
                <w:rFonts w:hint="eastAsia" w:ascii="宋体" w:hAnsi="宋体" w:cs="宋体"/>
                <w:sz w:val="24"/>
                <w:highlight w:val="none"/>
                <w:lang w:eastAsia="zh-CN"/>
              </w:rPr>
              <w:t>泰州市长江禁捕执法基地升级改造</w:t>
            </w:r>
          </w:p>
        </w:tc>
      </w:tr>
      <w:tr w14:paraId="3413C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1049" w:type="dxa"/>
            <w:vMerge w:val="continue"/>
            <w:noWrap w:val="0"/>
            <w:vAlign w:val="center"/>
          </w:tcPr>
          <w:p w14:paraId="4DC07F7A">
            <w:pPr>
              <w:pStyle w:val="274"/>
              <w:spacing w:line="420" w:lineRule="exact"/>
              <w:jc w:val="center"/>
              <w:rPr>
                <w:rFonts w:hint="eastAsia" w:ascii="宋体" w:hAnsi="宋体"/>
                <w:sz w:val="24"/>
                <w:szCs w:val="24"/>
                <w:highlight w:val="none"/>
              </w:rPr>
            </w:pPr>
          </w:p>
        </w:tc>
        <w:tc>
          <w:tcPr>
            <w:tcW w:w="2067" w:type="dxa"/>
            <w:noWrap w:val="0"/>
            <w:vAlign w:val="center"/>
          </w:tcPr>
          <w:p w14:paraId="769673F8">
            <w:pPr>
              <w:pStyle w:val="274"/>
              <w:spacing w:line="420" w:lineRule="exact"/>
              <w:jc w:val="center"/>
              <w:rPr>
                <w:rFonts w:hint="eastAsia"/>
                <w:sz w:val="24"/>
                <w:szCs w:val="24"/>
                <w:highlight w:val="none"/>
              </w:rPr>
            </w:pPr>
            <w:r>
              <w:rPr>
                <w:rFonts w:hint="eastAsia" w:ascii="宋体" w:hAnsi="宋体" w:cs="黑体"/>
                <w:sz w:val="24"/>
                <w:szCs w:val="24"/>
                <w:highlight w:val="none"/>
              </w:rPr>
              <w:t>工期</w:t>
            </w:r>
          </w:p>
        </w:tc>
        <w:tc>
          <w:tcPr>
            <w:tcW w:w="6437" w:type="dxa"/>
            <w:noWrap w:val="0"/>
            <w:vAlign w:val="center"/>
          </w:tcPr>
          <w:p w14:paraId="3938C44B">
            <w:pPr>
              <w:widowControl/>
              <w:spacing w:line="360" w:lineRule="auto"/>
              <w:jc w:val="left"/>
              <w:rPr>
                <w:rFonts w:hint="eastAsia" w:ascii="宋体" w:hAnsi="宋体"/>
                <w:sz w:val="24"/>
                <w:highlight w:val="none"/>
              </w:rPr>
            </w:pPr>
            <w:r>
              <w:rPr>
                <w:rFonts w:hint="eastAsia" w:cs="Times New Roman"/>
                <w:sz w:val="24"/>
                <w:highlight w:val="none"/>
                <w:lang w:val="en-US" w:eastAsia="zh-CN"/>
              </w:rPr>
              <w:t>50</w:t>
            </w:r>
            <w:r>
              <w:rPr>
                <w:rFonts w:hint="eastAsia" w:ascii="Times New Roman" w:hAnsi="Times New Roman" w:eastAsia="宋体" w:cs="Times New Roman"/>
                <w:sz w:val="24"/>
                <w:highlight w:val="none"/>
              </w:rPr>
              <w:t>日历天。</w:t>
            </w:r>
          </w:p>
        </w:tc>
      </w:tr>
      <w:tr w14:paraId="0127B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1049" w:type="dxa"/>
            <w:noWrap w:val="0"/>
            <w:vAlign w:val="center"/>
          </w:tcPr>
          <w:p w14:paraId="1E7F28F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1.4.2</w:t>
            </w:r>
          </w:p>
        </w:tc>
        <w:tc>
          <w:tcPr>
            <w:tcW w:w="2067" w:type="dxa"/>
            <w:noWrap w:val="0"/>
            <w:vAlign w:val="center"/>
          </w:tcPr>
          <w:p w14:paraId="04FAAAC5">
            <w:pPr>
              <w:pStyle w:val="274"/>
              <w:spacing w:line="420" w:lineRule="exact"/>
              <w:ind w:left="120"/>
              <w:jc w:val="center"/>
              <w:rPr>
                <w:rFonts w:hint="eastAsia" w:ascii="宋体" w:hAnsi="宋体"/>
                <w:sz w:val="24"/>
                <w:szCs w:val="24"/>
                <w:highlight w:val="none"/>
              </w:rPr>
            </w:pPr>
            <w:r>
              <w:rPr>
                <w:rFonts w:hint="eastAsia" w:ascii="宋体" w:hAnsi="宋体"/>
                <w:sz w:val="24"/>
                <w:highlight w:val="none"/>
                <w:lang w:val="en-US" w:eastAsia="zh-CN"/>
              </w:rPr>
              <w:t>采购</w:t>
            </w:r>
            <w:r>
              <w:rPr>
                <w:rFonts w:hint="eastAsia" w:ascii="宋体" w:hAnsi="宋体"/>
                <w:sz w:val="24"/>
                <w:szCs w:val="24"/>
                <w:highlight w:val="none"/>
              </w:rPr>
              <w:t>人根据采购项目的特殊要求规定投标人的特定要求</w:t>
            </w:r>
          </w:p>
        </w:tc>
        <w:tc>
          <w:tcPr>
            <w:tcW w:w="6437" w:type="dxa"/>
            <w:noWrap w:val="0"/>
            <w:vAlign w:val="center"/>
          </w:tcPr>
          <w:p w14:paraId="366C718F">
            <w:pPr>
              <w:spacing w:line="420" w:lineRule="exact"/>
              <w:rPr>
                <w:rFonts w:hint="eastAsia" w:ascii="宋体" w:hAnsi="宋体"/>
                <w:sz w:val="24"/>
                <w:highlight w:val="none"/>
              </w:rPr>
            </w:pPr>
            <w:r>
              <w:rPr>
                <w:rFonts w:hint="eastAsia" w:ascii="宋体" w:hAnsi="宋体"/>
                <w:sz w:val="24"/>
                <w:highlight w:val="none"/>
              </w:rPr>
              <w:t>见竞争性磋商采购公告</w:t>
            </w:r>
          </w:p>
        </w:tc>
      </w:tr>
      <w:tr w14:paraId="3608C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049" w:type="dxa"/>
            <w:noWrap w:val="0"/>
            <w:vAlign w:val="center"/>
          </w:tcPr>
          <w:p w14:paraId="2F3ABBBC">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1.5</w:t>
            </w:r>
          </w:p>
        </w:tc>
        <w:tc>
          <w:tcPr>
            <w:tcW w:w="2067" w:type="dxa"/>
            <w:noWrap w:val="0"/>
            <w:vAlign w:val="center"/>
          </w:tcPr>
          <w:p w14:paraId="0C266DF1">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资格审查方式</w:t>
            </w:r>
          </w:p>
        </w:tc>
        <w:tc>
          <w:tcPr>
            <w:tcW w:w="6437" w:type="dxa"/>
            <w:noWrap w:val="0"/>
            <w:vAlign w:val="center"/>
          </w:tcPr>
          <w:p w14:paraId="6200FC14">
            <w:pPr>
              <w:spacing w:line="420" w:lineRule="exact"/>
              <w:rPr>
                <w:rFonts w:hint="eastAsia" w:ascii="宋体" w:hAnsi="宋体"/>
                <w:sz w:val="24"/>
                <w:highlight w:val="none"/>
              </w:rPr>
            </w:pPr>
            <w:r>
              <w:rPr>
                <w:rFonts w:hint="eastAsia" w:ascii="宋体" w:hAnsi="宋体"/>
                <w:sz w:val="24"/>
                <w:highlight w:val="none"/>
              </w:rPr>
              <w:t>资格后审</w:t>
            </w:r>
          </w:p>
        </w:tc>
      </w:tr>
      <w:tr w14:paraId="146D5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049" w:type="dxa"/>
            <w:noWrap w:val="0"/>
            <w:vAlign w:val="center"/>
          </w:tcPr>
          <w:p w14:paraId="38702DA2">
            <w:pPr>
              <w:pStyle w:val="274"/>
              <w:spacing w:line="420" w:lineRule="exact"/>
              <w:jc w:val="center"/>
              <w:rPr>
                <w:rFonts w:hint="eastAsia" w:ascii="宋体" w:hAnsi="宋体"/>
                <w:sz w:val="24"/>
                <w:szCs w:val="24"/>
                <w:highlight w:val="none"/>
              </w:rPr>
            </w:pPr>
            <w:bookmarkStart w:id="26" w:name="_Hlk523997057"/>
            <w:r>
              <w:rPr>
                <w:rFonts w:hint="eastAsia" w:ascii="宋体" w:hAnsi="宋体"/>
                <w:sz w:val="24"/>
                <w:szCs w:val="24"/>
                <w:highlight w:val="none"/>
              </w:rPr>
              <w:t>1.10.1</w:t>
            </w:r>
          </w:p>
        </w:tc>
        <w:tc>
          <w:tcPr>
            <w:tcW w:w="2067" w:type="dxa"/>
            <w:noWrap w:val="0"/>
            <w:vAlign w:val="center"/>
          </w:tcPr>
          <w:p w14:paraId="6C5B17D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磋商保证金</w:t>
            </w:r>
          </w:p>
        </w:tc>
        <w:tc>
          <w:tcPr>
            <w:tcW w:w="6437" w:type="dxa"/>
            <w:noWrap w:val="0"/>
            <w:vAlign w:val="center"/>
          </w:tcPr>
          <w:p w14:paraId="2167A3C3">
            <w:pPr>
              <w:spacing w:line="360" w:lineRule="auto"/>
              <w:rPr>
                <w:rFonts w:hint="eastAsia" w:ascii="宋体" w:hAnsi="宋体"/>
                <w:sz w:val="24"/>
                <w:highlight w:val="none"/>
              </w:rPr>
            </w:pPr>
            <w:r>
              <w:rPr>
                <w:rFonts w:hint="eastAsia" w:ascii="宋体" w:hAnsi="宋体"/>
                <w:sz w:val="24"/>
                <w:highlight w:val="none"/>
              </w:rPr>
              <w:t>磋商保证金金额：</w:t>
            </w:r>
            <w:r>
              <w:rPr>
                <w:rFonts w:hint="eastAsia" w:ascii="宋体" w:hAnsi="宋体"/>
                <w:b/>
                <w:sz w:val="24"/>
                <w:highlight w:val="none"/>
              </w:rPr>
              <w:t>（本次招标取消磋商保证金）</w:t>
            </w:r>
          </w:p>
        </w:tc>
      </w:tr>
      <w:bookmarkEnd w:id="26"/>
      <w:tr w14:paraId="27E3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049" w:type="dxa"/>
            <w:noWrap w:val="0"/>
            <w:vAlign w:val="center"/>
          </w:tcPr>
          <w:p w14:paraId="64880A01">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1.11</w:t>
            </w:r>
          </w:p>
        </w:tc>
        <w:tc>
          <w:tcPr>
            <w:tcW w:w="2067" w:type="dxa"/>
            <w:noWrap w:val="0"/>
            <w:vAlign w:val="center"/>
          </w:tcPr>
          <w:p w14:paraId="5BF5BC05">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履约保证金</w:t>
            </w:r>
          </w:p>
        </w:tc>
        <w:tc>
          <w:tcPr>
            <w:tcW w:w="6437" w:type="dxa"/>
            <w:noWrap w:val="0"/>
            <w:vAlign w:val="center"/>
          </w:tcPr>
          <w:p w14:paraId="1FC1784C">
            <w:pPr>
              <w:pStyle w:val="274"/>
              <w:spacing w:line="420" w:lineRule="exact"/>
              <w:rPr>
                <w:rFonts w:ascii="宋体" w:hAnsi="宋体"/>
                <w:sz w:val="24"/>
                <w:szCs w:val="24"/>
                <w:highlight w:val="none"/>
              </w:rPr>
            </w:pPr>
            <w:r>
              <w:rPr>
                <w:rFonts w:hint="eastAsia" w:ascii="宋体" w:hAnsi="宋体"/>
                <w:sz w:val="24"/>
                <w:szCs w:val="24"/>
                <w:highlight w:val="none"/>
              </w:rPr>
              <w:t>履约保证金形式:</w:t>
            </w:r>
            <w:r>
              <w:rPr>
                <w:rFonts w:hint="eastAsia" w:ascii="宋体" w:hAnsi="宋体" w:cs="宋体"/>
                <w:color w:val="000000"/>
                <w:sz w:val="24"/>
                <w:szCs w:val="24"/>
                <w:highlight w:val="none"/>
              </w:rPr>
              <w:t>支票、汇票、本票（限泰州同城）、保函、保证保险、</w:t>
            </w:r>
            <w:r>
              <w:rPr>
                <w:rFonts w:hint="eastAsia" w:ascii="宋体" w:hAnsi="宋体"/>
                <w:sz w:val="24"/>
                <w:szCs w:val="24"/>
                <w:highlight w:val="none"/>
              </w:rPr>
              <w:t>电子履约保函（保险）</w:t>
            </w:r>
            <w:r>
              <w:rPr>
                <w:rFonts w:hint="eastAsia" w:ascii="宋体" w:hAnsi="宋体" w:cs="宋体"/>
                <w:color w:val="000000"/>
                <w:sz w:val="24"/>
                <w:szCs w:val="24"/>
                <w:highlight w:val="none"/>
              </w:rPr>
              <w:t>等</w:t>
            </w:r>
            <w:r>
              <w:rPr>
                <w:rFonts w:hint="eastAsia" w:ascii="宋体" w:hAnsi="宋体"/>
                <w:sz w:val="24"/>
                <w:szCs w:val="24"/>
                <w:highlight w:val="none"/>
              </w:rPr>
              <w:t>非现金形式</w:t>
            </w:r>
          </w:p>
          <w:p w14:paraId="795DE2CB">
            <w:pPr>
              <w:pStyle w:val="274"/>
              <w:spacing w:line="420" w:lineRule="exact"/>
              <w:rPr>
                <w:rFonts w:hint="eastAsia" w:ascii="宋体" w:hAnsi="宋体"/>
                <w:sz w:val="24"/>
                <w:szCs w:val="24"/>
                <w:highlight w:val="none"/>
              </w:rPr>
            </w:pPr>
            <w:r>
              <w:rPr>
                <w:rFonts w:hint="eastAsia" w:ascii="宋体" w:hAnsi="宋体"/>
                <w:sz w:val="24"/>
                <w:szCs w:val="24"/>
                <w:highlight w:val="none"/>
              </w:rPr>
              <w:t xml:space="preserve">□金额标准： </w:t>
            </w:r>
            <w:r>
              <w:rPr>
                <w:rFonts w:hint="eastAsia" w:ascii="宋体" w:hAnsi="宋体"/>
                <w:sz w:val="24"/>
                <w:szCs w:val="24"/>
                <w:highlight w:val="none"/>
                <w:u w:val="single"/>
              </w:rPr>
              <w:t xml:space="preserve">　　      </w:t>
            </w:r>
            <w:r>
              <w:rPr>
                <w:rFonts w:hint="eastAsia" w:ascii="宋体" w:hAnsi="宋体"/>
                <w:sz w:val="24"/>
                <w:szCs w:val="24"/>
                <w:highlight w:val="none"/>
              </w:rPr>
              <w:t xml:space="preserve">万元   </w:t>
            </w:r>
            <w:r>
              <w:rPr>
                <w:rFonts w:ascii="Wingdings" w:hAnsi="Wingdings" w:eastAsia="Wingdings" w:cs="Wingdings"/>
                <w:sz w:val="24"/>
                <w:szCs w:val="24"/>
                <w:highlight w:val="none"/>
              </w:rPr>
              <w:t>þ</w:t>
            </w:r>
            <w:r>
              <w:rPr>
                <w:rFonts w:hint="eastAsia" w:ascii="宋体" w:hAnsi="宋体"/>
                <w:sz w:val="24"/>
                <w:szCs w:val="24"/>
                <w:highlight w:val="none"/>
              </w:rPr>
              <w:t>中标价X</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5</w:t>
            </w:r>
            <w:r>
              <w:rPr>
                <w:rFonts w:hint="eastAsia" w:ascii="宋体" w:hAnsi="宋体"/>
                <w:sz w:val="24"/>
                <w:szCs w:val="24"/>
                <w:highlight w:val="none"/>
                <w:u w:val="single"/>
              </w:rPr>
              <w:t xml:space="preserve"> </w:t>
            </w:r>
            <w:r>
              <w:rPr>
                <w:rFonts w:hint="eastAsia" w:ascii="宋体" w:hAnsi="宋体"/>
                <w:sz w:val="24"/>
                <w:szCs w:val="24"/>
                <w:highlight w:val="none"/>
              </w:rPr>
              <w:t>%</w:t>
            </w:r>
          </w:p>
          <w:p w14:paraId="55357294">
            <w:pPr>
              <w:pStyle w:val="274"/>
              <w:spacing w:line="420" w:lineRule="exact"/>
              <w:rPr>
                <w:rFonts w:hint="eastAsia" w:ascii="宋体" w:hAnsi="宋体"/>
                <w:sz w:val="24"/>
                <w:szCs w:val="24"/>
                <w:highlight w:val="none"/>
              </w:rPr>
            </w:pPr>
            <w:r>
              <w:rPr>
                <w:rFonts w:hint="eastAsia" w:ascii="宋体" w:hAnsi="宋体"/>
                <w:sz w:val="24"/>
                <w:szCs w:val="24"/>
                <w:highlight w:val="none"/>
              </w:rPr>
              <w:t>缴纳时间：签订合同前。</w:t>
            </w:r>
          </w:p>
        </w:tc>
      </w:tr>
      <w:tr w14:paraId="76DB6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049" w:type="dxa"/>
            <w:noWrap w:val="0"/>
            <w:vAlign w:val="center"/>
          </w:tcPr>
          <w:p w14:paraId="3C0E826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3.1</w:t>
            </w:r>
          </w:p>
        </w:tc>
        <w:tc>
          <w:tcPr>
            <w:tcW w:w="2067" w:type="dxa"/>
            <w:noWrap w:val="0"/>
            <w:vAlign w:val="center"/>
          </w:tcPr>
          <w:p w14:paraId="51F7946B">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采购文件的领取时间</w:t>
            </w:r>
          </w:p>
        </w:tc>
        <w:tc>
          <w:tcPr>
            <w:tcW w:w="6437" w:type="dxa"/>
            <w:noWrap w:val="0"/>
            <w:vAlign w:val="center"/>
          </w:tcPr>
          <w:p w14:paraId="1B324786">
            <w:pPr>
              <w:spacing w:line="420" w:lineRule="exact"/>
              <w:rPr>
                <w:rFonts w:hint="eastAsia" w:ascii="宋体" w:hAnsi="宋体"/>
                <w:sz w:val="24"/>
                <w:highlight w:val="none"/>
              </w:rPr>
            </w:pPr>
            <w:r>
              <w:rPr>
                <w:rFonts w:hint="eastAsia" w:ascii="宋体" w:hAnsi="宋体"/>
                <w:bCs/>
                <w:sz w:val="24"/>
                <w:highlight w:val="none"/>
              </w:rPr>
              <w:t>详见磋商公告</w:t>
            </w:r>
          </w:p>
        </w:tc>
      </w:tr>
      <w:tr w14:paraId="58300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1049" w:type="dxa"/>
            <w:noWrap w:val="0"/>
            <w:vAlign w:val="center"/>
          </w:tcPr>
          <w:p w14:paraId="51A40F1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3.2</w:t>
            </w:r>
          </w:p>
        </w:tc>
        <w:tc>
          <w:tcPr>
            <w:tcW w:w="2067" w:type="dxa"/>
            <w:noWrap w:val="0"/>
            <w:vAlign w:val="center"/>
          </w:tcPr>
          <w:p w14:paraId="6B218B29">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投标人提交质疑的截止时间</w:t>
            </w:r>
          </w:p>
        </w:tc>
        <w:tc>
          <w:tcPr>
            <w:tcW w:w="6437" w:type="dxa"/>
            <w:noWrap w:val="0"/>
            <w:vAlign w:val="center"/>
          </w:tcPr>
          <w:p w14:paraId="45E371C2">
            <w:pPr>
              <w:pStyle w:val="274"/>
              <w:spacing w:line="420" w:lineRule="exact"/>
              <w:rPr>
                <w:rFonts w:hint="eastAsia" w:ascii="宋体" w:hAnsi="宋体"/>
                <w:sz w:val="24"/>
                <w:szCs w:val="24"/>
                <w:highlight w:val="none"/>
              </w:rPr>
            </w:pPr>
            <w:r>
              <w:rPr>
                <w:rFonts w:hint="eastAsia" w:ascii="宋体" w:hAnsi="宋体"/>
                <w:sz w:val="24"/>
                <w:szCs w:val="24"/>
                <w:highlight w:val="none"/>
              </w:rPr>
              <w:t>供应商认为采购文件使自己的权益受到损害的，可在知道或者应知其权益受到损害之日起7个工作日内，以书面形式向采购人、采购代理机构提出质疑。</w:t>
            </w:r>
          </w:p>
        </w:tc>
      </w:tr>
      <w:tr w14:paraId="76DB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049" w:type="dxa"/>
            <w:noWrap w:val="0"/>
            <w:vAlign w:val="center"/>
          </w:tcPr>
          <w:p w14:paraId="0F8E06A9">
            <w:pPr>
              <w:pStyle w:val="274"/>
              <w:spacing w:line="420" w:lineRule="exact"/>
              <w:jc w:val="center"/>
              <w:rPr>
                <w:rFonts w:ascii="宋体" w:hAnsi="宋体"/>
                <w:sz w:val="24"/>
                <w:szCs w:val="24"/>
                <w:highlight w:val="none"/>
              </w:rPr>
            </w:pPr>
            <w:r>
              <w:rPr>
                <w:rFonts w:hint="eastAsia" w:ascii="宋体" w:hAnsi="宋体"/>
                <w:sz w:val="24"/>
                <w:szCs w:val="24"/>
                <w:highlight w:val="none"/>
              </w:rPr>
              <w:t>3.3</w:t>
            </w:r>
          </w:p>
        </w:tc>
        <w:tc>
          <w:tcPr>
            <w:tcW w:w="2067" w:type="dxa"/>
            <w:noWrap w:val="0"/>
            <w:vAlign w:val="center"/>
          </w:tcPr>
          <w:p w14:paraId="07FF8CF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投标截止时间、开标时间和地点</w:t>
            </w:r>
          </w:p>
        </w:tc>
        <w:tc>
          <w:tcPr>
            <w:tcW w:w="6437" w:type="dxa"/>
            <w:noWrap w:val="0"/>
            <w:vAlign w:val="center"/>
          </w:tcPr>
          <w:p w14:paraId="051C2B1D">
            <w:pPr>
              <w:pStyle w:val="274"/>
              <w:spacing w:line="420" w:lineRule="exact"/>
              <w:rPr>
                <w:rFonts w:hint="eastAsia" w:ascii="宋体" w:hAnsi="宋体"/>
                <w:sz w:val="24"/>
                <w:szCs w:val="24"/>
                <w:highlight w:val="none"/>
              </w:rPr>
            </w:pPr>
            <w:r>
              <w:rPr>
                <w:rFonts w:hint="eastAsia" w:ascii="宋体" w:hAnsi="宋体"/>
                <w:sz w:val="24"/>
                <w:szCs w:val="24"/>
                <w:highlight w:val="none"/>
              </w:rPr>
              <w:t>投标截止时间：</w:t>
            </w:r>
            <w:bookmarkStart w:id="328" w:name="_GoBack"/>
            <w:bookmarkEnd w:id="328"/>
            <w:r>
              <w:rPr>
                <w:rFonts w:hint="eastAsia" w:ascii="宋体" w:hAnsi="宋体"/>
                <w:sz w:val="24"/>
                <w:szCs w:val="24"/>
                <w:highlight w:val="none"/>
                <w:u w:val="single"/>
                <w:lang w:eastAsia="zh-CN"/>
              </w:rPr>
              <w:t>2025年11月3日</w:t>
            </w:r>
            <w:r>
              <w:rPr>
                <w:rFonts w:hint="eastAsia" w:ascii="宋体" w:hAnsi="宋体"/>
                <w:sz w:val="24"/>
                <w:szCs w:val="24"/>
                <w:highlight w:val="none"/>
                <w:u w:val="single"/>
                <w:lang w:val="en-US" w:eastAsia="zh-CN"/>
              </w:rPr>
              <w:t>上</w:t>
            </w:r>
            <w:r>
              <w:rPr>
                <w:rFonts w:hint="eastAsia" w:ascii="宋体" w:hAnsi="宋体"/>
                <w:sz w:val="24"/>
                <w:szCs w:val="24"/>
                <w:highlight w:val="none"/>
                <w:u w:val="single"/>
              </w:rPr>
              <w:t>午</w:t>
            </w:r>
            <w:r>
              <w:rPr>
                <w:rFonts w:hint="eastAsia" w:ascii="宋体" w:hAnsi="宋体"/>
                <w:sz w:val="24"/>
                <w:szCs w:val="24"/>
                <w:highlight w:val="none"/>
                <w:u w:val="single"/>
                <w:lang w:val="en-US" w:eastAsia="zh-CN"/>
              </w:rPr>
              <w:t>9</w:t>
            </w:r>
            <w:r>
              <w:rPr>
                <w:rFonts w:hint="eastAsia" w:ascii="宋体" w:hAnsi="宋体"/>
                <w:sz w:val="24"/>
                <w:szCs w:val="24"/>
                <w:highlight w:val="none"/>
                <w:u w:val="single"/>
              </w:rPr>
              <w:t>点</w:t>
            </w:r>
            <w:r>
              <w:rPr>
                <w:rFonts w:hint="eastAsia" w:ascii="宋体" w:hAnsi="宋体"/>
                <w:sz w:val="24"/>
                <w:szCs w:val="24"/>
                <w:highlight w:val="none"/>
                <w:u w:val="single"/>
                <w:lang w:val="en-US" w:eastAsia="zh-CN"/>
              </w:rPr>
              <w:t>00</w:t>
            </w:r>
            <w:r>
              <w:rPr>
                <w:rFonts w:hint="eastAsia" w:ascii="宋体" w:hAnsi="宋体"/>
                <w:sz w:val="24"/>
                <w:szCs w:val="24"/>
                <w:highlight w:val="none"/>
                <w:u w:val="single"/>
              </w:rPr>
              <w:t>分止</w:t>
            </w:r>
          </w:p>
          <w:p w14:paraId="6245F51F">
            <w:pPr>
              <w:pStyle w:val="274"/>
              <w:spacing w:line="420" w:lineRule="exact"/>
              <w:rPr>
                <w:rFonts w:hint="eastAsia" w:ascii="宋体" w:hAnsi="宋体"/>
                <w:sz w:val="24"/>
                <w:szCs w:val="24"/>
                <w:highlight w:val="none"/>
              </w:rPr>
            </w:pPr>
            <w:r>
              <w:rPr>
                <w:rFonts w:hint="eastAsia" w:ascii="宋体" w:hAnsi="宋体"/>
                <w:sz w:val="24"/>
                <w:szCs w:val="24"/>
                <w:highlight w:val="none"/>
              </w:rPr>
              <w:t>开标时间：同投标截止时间</w:t>
            </w:r>
          </w:p>
          <w:p w14:paraId="7F2E7595">
            <w:pPr>
              <w:pStyle w:val="274"/>
              <w:spacing w:line="420" w:lineRule="exact"/>
              <w:rPr>
                <w:rFonts w:hint="eastAsia" w:ascii="宋体" w:hAnsi="宋体"/>
                <w:sz w:val="24"/>
                <w:szCs w:val="24"/>
                <w:highlight w:val="none"/>
              </w:rPr>
            </w:pPr>
            <w:r>
              <w:rPr>
                <w:rFonts w:hint="eastAsia" w:ascii="宋体" w:hAnsi="宋体"/>
                <w:sz w:val="24"/>
                <w:szCs w:val="24"/>
                <w:highlight w:val="none"/>
              </w:rPr>
              <w:t>开标地点：</w:t>
            </w:r>
            <w:r>
              <w:rPr>
                <w:rFonts w:hint="eastAsia" w:ascii="宋体" w:hAnsi="宋体" w:cs="仿宋_GB2312"/>
                <w:color w:val="000000"/>
                <w:sz w:val="24"/>
                <w:highlight w:val="none"/>
                <w:lang w:eastAsia="zh-CN"/>
              </w:rPr>
              <w:t>江苏省政府采购</w:t>
            </w:r>
            <w:r>
              <w:rPr>
                <w:rFonts w:hint="eastAsia" w:ascii="宋体" w:hAnsi="宋体" w:cs="仿宋_GB2312"/>
                <w:color w:val="000000"/>
                <w:sz w:val="24"/>
                <w:highlight w:val="none"/>
              </w:rPr>
              <w:t>“苏采云”系统不见面开标大厅</w:t>
            </w:r>
          </w:p>
        </w:tc>
      </w:tr>
      <w:tr w14:paraId="25B9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49" w:type="dxa"/>
            <w:vMerge w:val="restart"/>
            <w:noWrap w:val="0"/>
            <w:vAlign w:val="center"/>
          </w:tcPr>
          <w:p w14:paraId="232556B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4.1</w:t>
            </w:r>
          </w:p>
        </w:tc>
        <w:tc>
          <w:tcPr>
            <w:tcW w:w="2067" w:type="dxa"/>
            <w:noWrap w:val="0"/>
            <w:vAlign w:val="center"/>
          </w:tcPr>
          <w:p w14:paraId="767FC055">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投标文件</w:t>
            </w:r>
            <w:r>
              <w:rPr>
                <w:rFonts w:hint="eastAsia" w:ascii="宋体" w:hAnsi="宋体"/>
                <w:sz w:val="24"/>
                <w:szCs w:val="24"/>
                <w:highlight w:val="none"/>
                <w:lang w:val="en-US" w:eastAsia="zh-CN"/>
              </w:rPr>
              <w:t>递交</w:t>
            </w:r>
            <w:r>
              <w:rPr>
                <w:rFonts w:hint="eastAsia" w:ascii="宋体" w:hAnsi="宋体"/>
                <w:sz w:val="24"/>
                <w:szCs w:val="24"/>
                <w:highlight w:val="none"/>
              </w:rPr>
              <w:t>的截止时间</w:t>
            </w:r>
          </w:p>
        </w:tc>
        <w:tc>
          <w:tcPr>
            <w:tcW w:w="6437" w:type="dxa"/>
            <w:noWrap w:val="0"/>
            <w:vAlign w:val="center"/>
          </w:tcPr>
          <w:p w14:paraId="1D60E1C8">
            <w:pPr>
              <w:pStyle w:val="274"/>
              <w:spacing w:line="420" w:lineRule="exact"/>
              <w:rPr>
                <w:rFonts w:hint="eastAsia" w:ascii="宋体" w:hAnsi="宋体"/>
                <w:sz w:val="24"/>
                <w:szCs w:val="24"/>
                <w:highlight w:val="none"/>
              </w:rPr>
            </w:pPr>
            <w:r>
              <w:rPr>
                <w:rFonts w:hint="eastAsia" w:ascii="宋体" w:hAnsi="宋体"/>
                <w:sz w:val="24"/>
                <w:szCs w:val="24"/>
                <w:highlight w:val="none"/>
              </w:rPr>
              <w:t>同投标截止时间</w:t>
            </w:r>
          </w:p>
        </w:tc>
      </w:tr>
      <w:tr w14:paraId="239D1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049" w:type="dxa"/>
            <w:vMerge w:val="continue"/>
            <w:noWrap w:val="0"/>
            <w:vAlign w:val="center"/>
          </w:tcPr>
          <w:p w14:paraId="0C2104B4">
            <w:pPr>
              <w:pStyle w:val="274"/>
              <w:spacing w:line="420" w:lineRule="exact"/>
              <w:jc w:val="center"/>
              <w:rPr>
                <w:rFonts w:hint="eastAsia" w:ascii="宋体" w:hAnsi="宋体"/>
                <w:sz w:val="24"/>
                <w:szCs w:val="24"/>
                <w:highlight w:val="none"/>
              </w:rPr>
            </w:pPr>
          </w:p>
        </w:tc>
        <w:tc>
          <w:tcPr>
            <w:tcW w:w="2067" w:type="dxa"/>
            <w:noWrap w:val="0"/>
            <w:vAlign w:val="center"/>
          </w:tcPr>
          <w:p w14:paraId="75CC6690">
            <w:pPr>
              <w:pStyle w:val="274"/>
              <w:spacing w:line="420" w:lineRule="exact"/>
              <w:jc w:val="center"/>
              <w:rPr>
                <w:rFonts w:hint="eastAsia" w:ascii="宋体" w:hAnsi="宋体"/>
                <w:sz w:val="24"/>
                <w:szCs w:val="24"/>
                <w:highlight w:val="none"/>
              </w:rPr>
            </w:pPr>
            <w:r>
              <w:rPr>
                <w:rFonts w:hint="eastAsia" w:ascii="宋体" w:hAnsi="宋体"/>
                <w:color w:val="000000"/>
                <w:sz w:val="24"/>
                <w:szCs w:val="24"/>
                <w:highlight w:val="none"/>
              </w:rPr>
              <w:t>投标文件的递交方式</w:t>
            </w:r>
          </w:p>
        </w:tc>
        <w:tc>
          <w:tcPr>
            <w:tcW w:w="6437" w:type="dxa"/>
            <w:noWrap w:val="0"/>
            <w:vAlign w:val="center"/>
          </w:tcPr>
          <w:p w14:paraId="53394502">
            <w:pPr>
              <w:pStyle w:val="274"/>
              <w:spacing w:line="420" w:lineRule="exact"/>
              <w:rPr>
                <w:rFonts w:ascii="宋体" w:hAnsi="宋体" w:eastAsia="宋体" w:cs="宋体"/>
                <w:sz w:val="24"/>
                <w:highlight w:val="none"/>
                <w:lang w:val="en-US" w:eastAsia="zh-CN"/>
              </w:rPr>
            </w:pPr>
            <w:r>
              <w:rPr>
                <w:rFonts w:hint="eastAsia" w:ascii="宋体" w:hAnsi="宋体" w:eastAsia="宋体" w:cs="宋体"/>
                <w:color w:val="000000"/>
                <w:sz w:val="24"/>
                <w:szCs w:val="24"/>
                <w:highlight w:val="none"/>
              </w:rPr>
              <w:t>“苏采云”政府采购一体化平台</w:t>
            </w:r>
            <w:r>
              <w:rPr>
                <w:rFonts w:hint="eastAsia" w:ascii="宋体" w:hAnsi="宋体" w:eastAsia="宋体" w:cs="宋体"/>
                <w:color w:val="000000"/>
                <w:sz w:val="24"/>
                <w:szCs w:val="24"/>
                <w:highlight w:val="none"/>
                <w:lang w:val="en-US" w:eastAsia="zh-CN"/>
              </w:rPr>
              <w:t>上传电子响应文件</w:t>
            </w:r>
          </w:p>
        </w:tc>
      </w:tr>
      <w:tr w14:paraId="79D0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049" w:type="dxa"/>
            <w:vMerge w:val="continue"/>
            <w:noWrap w:val="0"/>
            <w:vAlign w:val="center"/>
          </w:tcPr>
          <w:p w14:paraId="247DAD88">
            <w:pPr>
              <w:pStyle w:val="274"/>
              <w:spacing w:line="420" w:lineRule="exact"/>
              <w:jc w:val="center"/>
              <w:rPr>
                <w:rFonts w:hint="eastAsia" w:ascii="宋体" w:hAnsi="宋体"/>
                <w:sz w:val="24"/>
                <w:szCs w:val="24"/>
                <w:highlight w:val="none"/>
              </w:rPr>
            </w:pPr>
          </w:p>
        </w:tc>
        <w:tc>
          <w:tcPr>
            <w:tcW w:w="2067" w:type="dxa"/>
            <w:noWrap w:val="0"/>
            <w:vAlign w:val="center"/>
          </w:tcPr>
          <w:p w14:paraId="4C5E85C4">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投标有效期</w:t>
            </w:r>
          </w:p>
        </w:tc>
        <w:tc>
          <w:tcPr>
            <w:tcW w:w="6437" w:type="dxa"/>
            <w:noWrap w:val="0"/>
            <w:vAlign w:val="center"/>
          </w:tcPr>
          <w:p w14:paraId="24B48E97">
            <w:pPr>
              <w:pStyle w:val="274"/>
              <w:spacing w:line="420" w:lineRule="exact"/>
              <w:rPr>
                <w:rFonts w:hint="eastAsia" w:ascii="宋体" w:hAnsi="宋体"/>
                <w:sz w:val="24"/>
                <w:szCs w:val="24"/>
                <w:highlight w:val="none"/>
              </w:rPr>
            </w:pPr>
            <w:r>
              <w:rPr>
                <w:rFonts w:hint="eastAsia" w:ascii="宋体" w:hAnsi="宋体"/>
                <w:sz w:val="24"/>
                <w:szCs w:val="24"/>
                <w:highlight w:val="none"/>
              </w:rPr>
              <w:t>90天</w:t>
            </w:r>
          </w:p>
        </w:tc>
      </w:tr>
      <w:tr w14:paraId="58422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049" w:type="dxa"/>
            <w:noWrap w:val="0"/>
            <w:vAlign w:val="center"/>
          </w:tcPr>
          <w:p w14:paraId="27D1E16D">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4.4</w:t>
            </w:r>
          </w:p>
        </w:tc>
        <w:tc>
          <w:tcPr>
            <w:tcW w:w="2067" w:type="dxa"/>
            <w:noWrap w:val="0"/>
            <w:vAlign w:val="center"/>
          </w:tcPr>
          <w:p w14:paraId="16603E06">
            <w:pPr>
              <w:pStyle w:val="274"/>
              <w:spacing w:line="420" w:lineRule="exact"/>
              <w:jc w:val="center"/>
              <w:rPr>
                <w:rFonts w:hint="eastAsia" w:ascii="宋体" w:hAnsi="宋体"/>
                <w:sz w:val="24"/>
                <w:szCs w:val="24"/>
                <w:highlight w:val="none"/>
              </w:rPr>
            </w:pPr>
            <w:r>
              <w:rPr>
                <w:rFonts w:hint="eastAsia" w:ascii="宋体" w:hAnsi="宋体"/>
                <w:sz w:val="24"/>
                <w:szCs w:val="24"/>
                <w:highlight w:val="none"/>
                <w:lang w:val="en-US" w:eastAsia="zh-CN"/>
              </w:rPr>
              <w:t>投标</w:t>
            </w:r>
            <w:r>
              <w:rPr>
                <w:rFonts w:hint="eastAsia" w:ascii="宋体" w:hAnsi="宋体"/>
                <w:sz w:val="24"/>
                <w:szCs w:val="24"/>
                <w:highlight w:val="none"/>
              </w:rPr>
              <w:t>文件份数</w:t>
            </w:r>
          </w:p>
        </w:tc>
        <w:tc>
          <w:tcPr>
            <w:tcW w:w="6437" w:type="dxa"/>
            <w:noWrap w:val="0"/>
            <w:vAlign w:val="center"/>
          </w:tcPr>
          <w:p w14:paraId="25A3C34E">
            <w:pPr>
              <w:pStyle w:val="274"/>
              <w:numPr>
                <w:ilvl w:val="0"/>
                <w:numId w:val="6"/>
              </w:numPr>
              <w:spacing w:line="420" w:lineRule="exac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电子响应文件壹份</w:t>
            </w:r>
          </w:p>
          <w:p w14:paraId="097AECB6">
            <w:pPr>
              <w:pStyle w:val="274"/>
              <w:numPr>
                <w:ilvl w:val="0"/>
                <w:numId w:val="0"/>
              </w:numPr>
              <w:spacing w:line="420" w:lineRule="exact"/>
              <w:rPr>
                <w:rFonts w:ascii="宋体" w:hAnsi="宋体" w:eastAsia="宋体"/>
                <w:sz w:val="24"/>
                <w:szCs w:val="24"/>
                <w:highlight w:val="none"/>
                <w:lang w:val="en-US" w:eastAsia="zh-CN"/>
              </w:rPr>
            </w:pPr>
            <w:r>
              <w:rPr>
                <w:rFonts w:hint="eastAsia" w:ascii="宋体" w:hAnsi="宋体" w:eastAsia="宋体" w:cs="Times New Roman"/>
                <w:sz w:val="24"/>
                <w:szCs w:val="24"/>
                <w:highlight w:val="none"/>
                <w:lang w:val="en-US" w:eastAsia="zh-CN"/>
              </w:rPr>
              <w:t>2、中标单位需另外提供打印版的纸质文件2份</w:t>
            </w:r>
          </w:p>
        </w:tc>
      </w:tr>
      <w:tr w14:paraId="7D0CA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jc w:val="center"/>
        </w:trPr>
        <w:tc>
          <w:tcPr>
            <w:tcW w:w="1049" w:type="dxa"/>
            <w:noWrap w:val="0"/>
            <w:vAlign w:val="center"/>
          </w:tcPr>
          <w:p w14:paraId="6848212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5.1.2</w:t>
            </w:r>
          </w:p>
        </w:tc>
        <w:tc>
          <w:tcPr>
            <w:tcW w:w="2067" w:type="dxa"/>
            <w:noWrap w:val="0"/>
            <w:vAlign w:val="center"/>
          </w:tcPr>
          <w:p w14:paraId="10A671F2">
            <w:pPr>
              <w:pStyle w:val="274"/>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投标人出席</w:t>
            </w:r>
          </w:p>
          <w:p w14:paraId="5F58BAD9">
            <w:pPr>
              <w:pStyle w:val="274"/>
              <w:spacing w:line="420" w:lineRule="exact"/>
              <w:jc w:val="center"/>
              <w:rPr>
                <w:rFonts w:hint="eastAsia" w:ascii="宋体" w:hAnsi="宋体"/>
                <w:sz w:val="24"/>
                <w:szCs w:val="24"/>
                <w:highlight w:val="none"/>
              </w:rPr>
            </w:pPr>
            <w:r>
              <w:rPr>
                <w:rFonts w:hint="eastAsia" w:ascii="宋体" w:hAnsi="宋体"/>
                <w:color w:val="000000"/>
                <w:sz w:val="24"/>
                <w:szCs w:val="24"/>
                <w:highlight w:val="none"/>
              </w:rPr>
              <w:t>磋商活动人员</w:t>
            </w:r>
          </w:p>
        </w:tc>
        <w:tc>
          <w:tcPr>
            <w:tcW w:w="6437" w:type="dxa"/>
            <w:noWrap w:val="0"/>
            <w:vAlign w:val="center"/>
          </w:tcPr>
          <w:p w14:paraId="73CFA447">
            <w:pPr>
              <w:spacing w:line="420" w:lineRule="exact"/>
              <w:rPr>
                <w:rFonts w:hint="eastAsia" w:ascii="宋体" w:hAnsi="宋体"/>
                <w:sz w:val="24"/>
                <w:highlight w:val="none"/>
              </w:rPr>
            </w:pPr>
            <w:r>
              <w:rPr>
                <w:rFonts w:hint="eastAsia" w:ascii="宋体" w:hAnsi="宋体" w:eastAsia="宋体" w:cs="宋体"/>
                <w:color w:val="000000"/>
                <w:sz w:val="24"/>
                <w:szCs w:val="24"/>
                <w:highlight w:val="none"/>
              </w:rPr>
              <w:t>供应商在项目评审全过程中应保持通讯畅通，并安排专人</w:t>
            </w:r>
            <w:r>
              <w:rPr>
                <w:rFonts w:hint="eastAsia" w:ascii="宋体" w:hAnsi="宋体" w:eastAsia="宋体" w:cs="宋体"/>
                <w:color w:val="000000"/>
                <w:sz w:val="24"/>
                <w:szCs w:val="24"/>
                <w:highlight w:val="none"/>
                <w:lang w:val="en-US" w:eastAsia="zh-CN"/>
              </w:rPr>
              <w:t>进入</w:t>
            </w:r>
            <w:r>
              <w:rPr>
                <w:rFonts w:hint="eastAsia" w:ascii="宋体" w:hAnsi="宋体" w:cs="仿宋_GB2312"/>
                <w:color w:val="000000"/>
                <w:sz w:val="24"/>
                <w:highlight w:val="none"/>
              </w:rPr>
              <w:t>“苏采云”系统</w:t>
            </w:r>
            <w:r>
              <w:rPr>
                <w:rFonts w:hint="eastAsia" w:ascii="宋体" w:hAnsi="宋体" w:cs="仿宋_GB2312"/>
                <w:color w:val="000000"/>
                <w:sz w:val="24"/>
                <w:highlight w:val="none"/>
                <w:lang w:val="en-US" w:eastAsia="zh-CN"/>
              </w:rPr>
              <w:t>中</w:t>
            </w:r>
            <w:r>
              <w:rPr>
                <w:rFonts w:hint="eastAsia" w:ascii="宋体" w:hAnsi="宋体" w:eastAsia="宋体" w:cs="宋体"/>
                <w:color w:val="000000"/>
                <w:sz w:val="24"/>
                <w:szCs w:val="24"/>
                <w:highlight w:val="none"/>
                <w:lang w:val="en-US" w:eastAsia="zh-CN"/>
              </w:rPr>
              <w:t>参加磋商会议</w:t>
            </w:r>
          </w:p>
        </w:tc>
      </w:tr>
      <w:tr w14:paraId="5A1C9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1049" w:type="dxa"/>
            <w:noWrap w:val="0"/>
            <w:vAlign w:val="center"/>
          </w:tcPr>
          <w:p w14:paraId="049E78D1">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6.1.1</w:t>
            </w:r>
          </w:p>
        </w:tc>
        <w:tc>
          <w:tcPr>
            <w:tcW w:w="2067" w:type="dxa"/>
            <w:noWrap w:val="0"/>
            <w:vAlign w:val="center"/>
          </w:tcPr>
          <w:p w14:paraId="1C5705E9">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磋商小组的</w:t>
            </w:r>
          </w:p>
          <w:p w14:paraId="75F58758">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人数及确定方式</w:t>
            </w:r>
          </w:p>
        </w:tc>
        <w:tc>
          <w:tcPr>
            <w:tcW w:w="6437" w:type="dxa"/>
            <w:noWrap w:val="0"/>
            <w:vAlign w:val="center"/>
          </w:tcPr>
          <w:p w14:paraId="20907411">
            <w:pPr>
              <w:spacing w:line="420" w:lineRule="exact"/>
              <w:rPr>
                <w:rFonts w:hint="eastAsia" w:ascii="宋体" w:hAnsi="宋体"/>
                <w:sz w:val="24"/>
                <w:highlight w:val="none"/>
              </w:rPr>
            </w:pPr>
            <w:r>
              <w:rPr>
                <w:rFonts w:hint="eastAsia" w:ascii="宋体" w:hAnsi="宋体"/>
                <w:sz w:val="24"/>
                <w:highlight w:val="none"/>
              </w:rPr>
              <w:t>磋商小组总人数：</w:t>
            </w:r>
            <w:r>
              <w:rPr>
                <w:rFonts w:hint="eastAsia" w:ascii="宋体" w:hAnsi="宋体"/>
                <w:sz w:val="24"/>
                <w:highlight w:val="none"/>
                <w:u w:val="single"/>
              </w:rPr>
              <w:t xml:space="preserve"> 3</w:t>
            </w:r>
            <w:r>
              <w:rPr>
                <w:rFonts w:hint="eastAsia" w:ascii="宋体" w:hAnsi="宋体"/>
                <w:sz w:val="24"/>
                <w:highlight w:val="none"/>
              </w:rPr>
              <w:t>人</w:t>
            </w:r>
          </w:p>
          <w:p w14:paraId="73CD856E">
            <w:pPr>
              <w:spacing w:line="420" w:lineRule="exact"/>
              <w:rPr>
                <w:rFonts w:hint="eastAsia" w:ascii="宋体" w:hAnsi="宋体"/>
                <w:sz w:val="24"/>
                <w:highlight w:val="none"/>
                <w:u w:val="single"/>
              </w:rPr>
            </w:pPr>
            <w:r>
              <w:rPr>
                <w:rFonts w:hint="eastAsia" w:ascii="宋体" w:hAnsi="宋体"/>
                <w:sz w:val="24"/>
                <w:highlight w:val="none"/>
              </w:rPr>
              <w:t>确定方式：</w:t>
            </w:r>
            <w:r>
              <w:rPr>
                <w:rFonts w:hint="eastAsia" w:ascii="宋体" w:hAnsi="宋体"/>
                <w:sz w:val="24"/>
                <w:highlight w:val="none"/>
                <w:u w:val="single"/>
              </w:rPr>
              <w:t xml:space="preserve"> 在政府采购专家库中随机抽取</w:t>
            </w:r>
            <w:r>
              <w:rPr>
                <w:rFonts w:hint="eastAsia" w:ascii="宋体" w:hAnsi="宋体"/>
                <w:sz w:val="24"/>
                <w:highlight w:val="none"/>
                <w:u w:val="single"/>
                <w:lang w:val="en-US" w:eastAsia="zh-CN"/>
              </w:rPr>
              <w:t>3</w:t>
            </w:r>
            <w:r>
              <w:rPr>
                <w:rFonts w:hint="eastAsia" w:ascii="宋体" w:hAnsi="宋体"/>
                <w:sz w:val="24"/>
                <w:highlight w:val="none"/>
                <w:u w:val="single"/>
              </w:rPr>
              <w:t xml:space="preserve">名 </w:t>
            </w:r>
          </w:p>
        </w:tc>
      </w:tr>
      <w:tr w14:paraId="50BC5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jc w:val="center"/>
        </w:trPr>
        <w:tc>
          <w:tcPr>
            <w:tcW w:w="1049" w:type="dxa"/>
            <w:noWrap w:val="0"/>
            <w:vAlign w:val="center"/>
          </w:tcPr>
          <w:p w14:paraId="4981AED5">
            <w:pPr>
              <w:pStyle w:val="274"/>
              <w:spacing w:line="420" w:lineRule="exact"/>
              <w:jc w:val="center"/>
              <w:rPr>
                <w:rFonts w:ascii="宋体" w:hAnsi="宋体" w:eastAsia="宋体"/>
                <w:sz w:val="24"/>
                <w:szCs w:val="24"/>
                <w:highlight w:val="none"/>
                <w:lang w:val="en-US" w:eastAsia="zh-CN"/>
              </w:rPr>
            </w:pPr>
            <w:r>
              <w:rPr>
                <w:rFonts w:hint="eastAsia" w:ascii="宋体" w:hAnsi="宋体"/>
                <w:sz w:val="24"/>
                <w:szCs w:val="24"/>
                <w:highlight w:val="none"/>
                <w:lang w:val="en-US" w:eastAsia="zh-CN"/>
              </w:rPr>
              <w:t>6.1.2</w:t>
            </w:r>
          </w:p>
        </w:tc>
        <w:tc>
          <w:tcPr>
            <w:tcW w:w="2067" w:type="dxa"/>
            <w:noWrap w:val="0"/>
            <w:vAlign w:val="center"/>
          </w:tcPr>
          <w:p w14:paraId="418ABE00">
            <w:pPr>
              <w:pStyle w:val="274"/>
              <w:spacing w:line="420" w:lineRule="exact"/>
              <w:jc w:val="center"/>
              <w:rPr>
                <w:rFonts w:ascii="宋体" w:hAnsi="宋体" w:eastAsia="宋体"/>
                <w:sz w:val="24"/>
                <w:szCs w:val="24"/>
                <w:highlight w:val="none"/>
                <w:lang w:val="en-US" w:eastAsia="zh-CN"/>
              </w:rPr>
            </w:pPr>
            <w:r>
              <w:rPr>
                <w:rFonts w:hint="eastAsia" w:ascii="宋体" w:hAnsi="宋体"/>
                <w:sz w:val="24"/>
                <w:szCs w:val="24"/>
                <w:highlight w:val="none"/>
                <w:lang w:val="en-US" w:eastAsia="zh-CN"/>
              </w:rPr>
              <w:t>参加磋商的要求</w:t>
            </w:r>
          </w:p>
        </w:tc>
        <w:tc>
          <w:tcPr>
            <w:tcW w:w="6437" w:type="dxa"/>
            <w:noWrap w:val="0"/>
            <w:vAlign w:val="center"/>
          </w:tcPr>
          <w:p w14:paraId="1D4681B8">
            <w:pPr>
              <w:spacing w:line="420" w:lineRule="exact"/>
              <w:rPr>
                <w:rFonts w:hint="eastAsia" w:ascii="宋体" w:hAnsi="宋体"/>
                <w:sz w:val="24"/>
                <w:highlight w:val="none"/>
              </w:rPr>
            </w:pPr>
            <w:r>
              <w:rPr>
                <w:rFonts w:hint="eastAsia" w:ascii="宋体" w:hAnsi="宋体" w:eastAsia="宋体" w:cs="Times New Roman"/>
                <w:b/>
                <w:bCs/>
                <w:sz w:val="24"/>
                <w:highlight w:val="none"/>
              </w:rPr>
              <w:t>首次响应文件开启之后，请各供应商关注苏采云开标大厅并在规定的时间内提交磋商函。未按照磋商小组的要求参加磋商导致的后果由供应商自行承担。</w:t>
            </w:r>
          </w:p>
        </w:tc>
      </w:tr>
      <w:tr w14:paraId="0321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049" w:type="dxa"/>
            <w:noWrap w:val="0"/>
            <w:vAlign w:val="center"/>
          </w:tcPr>
          <w:p w14:paraId="275B1245">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7</w:t>
            </w:r>
          </w:p>
        </w:tc>
        <w:tc>
          <w:tcPr>
            <w:tcW w:w="2067" w:type="dxa"/>
            <w:noWrap w:val="0"/>
            <w:vAlign w:val="center"/>
          </w:tcPr>
          <w:p w14:paraId="1AD3A7C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定标</w:t>
            </w:r>
          </w:p>
        </w:tc>
        <w:tc>
          <w:tcPr>
            <w:tcW w:w="6437" w:type="dxa"/>
            <w:noWrap w:val="0"/>
            <w:vAlign w:val="center"/>
          </w:tcPr>
          <w:p w14:paraId="101A254D">
            <w:pPr>
              <w:spacing w:line="420" w:lineRule="exact"/>
              <w:rPr>
                <w:rFonts w:hint="eastAsia" w:ascii="宋体" w:hAnsi="宋体"/>
                <w:sz w:val="24"/>
                <w:highlight w:val="none"/>
              </w:rPr>
            </w:pPr>
            <w:r>
              <w:rPr>
                <w:rFonts w:hint="eastAsia" w:ascii="宋体" w:hAnsi="宋体"/>
                <w:sz w:val="24"/>
                <w:highlight w:val="none"/>
              </w:rPr>
              <w:t>综合评分法，以得分最高的供应商为第一成交候选人。</w:t>
            </w:r>
          </w:p>
        </w:tc>
      </w:tr>
      <w:tr w14:paraId="4A8E8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049" w:type="dxa"/>
            <w:noWrap w:val="0"/>
            <w:vAlign w:val="center"/>
          </w:tcPr>
          <w:p w14:paraId="1DE22AB1">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8</w:t>
            </w:r>
          </w:p>
        </w:tc>
        <w:tc>
          <w:tcPr>
            <w:tcW w:w="2067" w:type="dxa"/>
            <w:noWrap w:val="0"/>
            <w:vAlign w:val="center"/>
          </w:tcPr>
          <w:p w14:paraId="3A2C9C28">
            <w:pPr>
              <w:spacing w:line="420" w:lineRule="exact"/>
              <w:jc w:val="center"/>
              <w:rPr>
                <w:rFonts w:hint="eastAsia" w:ascii="宋体" w:hAnsi="宋体"/>
                <w:sz w:val="24"/>
                <w:highlight w:val="none"/>
              </w:rPr>
            </w:pPr>
            <w:r>
              <w:rPr>
                <w:rFonts w:hint="eastAsia" w:ascii="宋体" w:hAnsi="宋体"/>
                <w:sz w:val="24"/>
                <w:highlight w:val="none"/>
              </w:rPr>
              <w:t>成交公告发布媒介</w:t>
            </w:r>
          </w:p>
        </w:tc>
        <w:tc>
          <w:tcPr>
            <w:tcW w:w="6437" w:type="dxa"/>
            <w:noWrap w:val="0"/>
            <w:vAlign w:val="center"/>
          </w:tcPr>
          <w:p w14:paraId="10FACE33">
            <w:pPr>
              <w:spacing w:line="420" w:lineRule="exact"/>
              <w:jc w:val="left"/>
              <w:rPr>
                <w:rFonts w:hint="eastAsia" w:ascii="宋体" w:hAnsi="宋体"/>
                <w:bCs/>
                <w:sz w:val="24"/>
                <w:highlight w:val="none"/>
              </w:rPr>
            </w:pPr>
            <w:r>
              <w:rPr>
                <w:rFonts w:hint="eastAsia" w:ascii="宋体" w:hAnsi="宋体"/>
                <w:bCs/>
                <w:sz w:val="24"/>
                <w:highlight w:val="none"/>
              </w:rPr>
              <w:t>江苏省政府采购网http://www.ccgp-jiangsu.gov.cn/</w:t>
            </w:r>
          </w:p>
          <w:p w14:paraId="02D2E639">
            <w:pPr>
              <w:spacing w:line="420" w:lineRule="exact"/>
              <w:jc w:val="left"/>
              <w:rPr>
                <w:rFonts w:hint="eastAsia" w:ascii="宋体" w:hAnsi="宋体"/>
                <w:sz w:val="24"/>
                <w:highlight w:val="none"/>
              </w:rPr>
            </w:pPr>
            <w:r>
              <w:rPr>
                <w:rFonts w:hint="eastAsia" w:ascii="宋体" w:hAnsi="宋体"/>
                <w:bCs/>
                <w:sz w:val="24"/>
                <w:highlight w:val="none"/>
              </w:rPr>
              <w:t>中国政府采购网http://www.ccgp.gov.cn/”</w:t>
            </w:r>
          </w:p>
        </w:tc>
      </w:tr>
      <w:tr w14:paraId="09D46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jc w:val="center"/>
        </w:trPr>
        <w:tc>
          <w:tcPr>
            <w:tcW w:w="1049" w:type="dxa"/>
            <w:noWrap w:val="0"/>
            <w:vAlign w:val="center"/>
          </w:tcPr>
          <w:p w14:paraId="6477945A">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9</w:t>
            </w:r>
          </w:p>
        </w:tc>
        <w:tc>
          <w:tcPr>
            <w:tcW w:w="2067" w:type="dxa"/>
            <w:noWrap w:val="0"/>
            <w:vAlign w:val="center"/>
          </w:tcPr>
          <w:p w14:paraId="67CF90C4">
            <w:pPr>
              <w:spacing w:line="420" w:lineRule="exact"/>
              <w:jc w:val="center"/>
              <w:rPr>
                <w:rFonts w:hint="eastAsia" w:ascii="宋体" w:hAnsi="宋体"/>
                <w:sz w:val="24"/>
                <w:highlight w:val="none"/>
              </w:rPr>
            </w:pPr>
            <w:r>
              <w:rPr>
                <w:rFonts w:hint="eastAsia" w:ascii="宋体" w:hAnsi="宋体"/>
                <w:sz w:val="24"/>
                <w:highlight w:val="none"/>
              </w:rPr>
              <w:t>成交服务费</w:t>
            </w:r>
          </w:p>
        </w:tc>
        <w:tc>
          <w:tcPr>
            <w:tcW w:w="6437" w:type="dxa"/>
            <w:noWrap w:val="0"/>
            <w:vAlign w:val="center"/>
          </w:tcPr>
          <w:p w14:paraId="61269DDF">
            <w:pPr>
              <w:pStyle w:val="197"/>
              <w:spacing w:line="360" w:lineRule="auto"/>
              <w:rPr>
                <w:rFonts w:hint="eastAsia"/>
                <w:highlight w:val="none"/>
              </w:rPr>
            </w:pPr>
            <w:r>
              <w:rPr>
                <w:rFonts w:hint="eastAsia" w:ascii="宋体" w:hAnsi="宋体"/>
                <w:b w:val="0"/>
                <w:bCs w:val="0"/>
                <w:sz w:val="24"/>
                <w:highlight w:val="none"/>
              </w:rPr>
              <w:t>中标（成交）人在领取政府采购中标（成交）通知书前，</w:t>
            </w:r>
            <w:r>
              <w:rPr>
                <w:rFonts w:hint="eastAsia" w:ascii="宋体" w:hAnsi="宋体"/>
                <w:b w:val="0"/>
                <w:bCs w:val="0"/>
                <w:sz w:val="24"/>
                <w:highlight w:val="none"/>
                <w:lang w:eastAsia="zh-CN"/>
              </w:rPr>
              <w:t>按</w:t>
            </w:r>
            <w:r>
              <w:rPr>
                <w:rFonts w:hint="eastAsia" w:ascii="宋体" w:hAnsi="宋体"/>
                <w:b w:val="0"/>
                <w:bCs w:val="0"/>
                <w:sz w:val="24"/>
                <w:highlight w:val="none"/>
              </w:rPr>
              <w:t>发改价格[2011]534号文件标准向采购代理单位</w:t>
            </w:r>
            <w:r>
              <w:rPr>
                <w:rFonts w:hint="eastAsia" w:ascii="宋体" w:hAnsi="宋体"/>
                <w:b w:val="0"/>
                <w:bCs w:val="0"/>
                <w:sz w:val="24"/>
                <w:highlight w:val="none"/>
                <w:lang w:val="en-US" w:eastAsia="zh-CN"/>
              </w:rPr>
              <w:t>缴纳</w:t>
            </w:r>
            <w:r>
              <w:rPr>
                <w:rFonts w:hint="eastAsia" w:ascii="宋体" w:hAnsi="宋体"/>
                <w:b w:val="0"/>
                <w:bCs w:val="0"/>
                <w:sz w:val="24"/>
                <w:highlight w:val="none"/>
              </w:rPr>
              <w:t>成交服务费（工程类）</w:t>
            </w:r>
            <w:r>
              <w:rPr>
                <w:rFonts w:hint="eastAsia" w:ascii="宋体" w:hAnsi="宋体"/>
                <w:b w:val="0"/>
                <w:bCs w:val="0"/>
                <w:sz w:val="24"/>
                <w:highlight w:val="none"/>
                <w:lang w:val="en-US" w:eastAsia="zh-CN"/>
              </w:rPr>
              <w:t>等其他费用</w:t>
            </w:r>
            <w:r>
              <w:rPr>
                <w:rFonts w:hint="eastAsia" w:ascii="宋体" w:hAnsi="宋体"/>
                <w:b w:val="0"/>
                <w:bCs w:val="0"/>
                <w:sz w:val="24"/>
                <w:highlight w:val="none"/>
              </w:rPr>
              <w:t>。不管报价结果如何，供应商均应承担自己报价所需一切费用。</w:t>
            </w:r>
          </w:p>
        </w:tc>
      </w:tr>
      <w:tr w14:paraId="13908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049" w:type="dxa"/>
            <w:noWrap w:val="0"/>
            <w:vAlign w:val="center"/>
          </w:tcPr>
          <w:p w14:paraId="6AD942EF">
            <w:pPr>
              <w:pStyle w:val="274"/>
              <w:spacing w:line="420" w:lineRule="exact"/>
              <w:jc w:val="center"/>
              <w:rPr>
                <w:rFonts w:ascii="宋体" w:hAnsi="宋体" w:eastAsia="宋体"/>
                <w:sz w:val="24"/>
                <w:szCs w:val="24"/>
                <w:highlight w:val="none"/>
                <w:lang w:val="en-US" w:eastAsia="zh-CN"/>
              </w:rPr>
            </w:pPr>
            <w:r>
              <w:rPr>
                <w:rFonts w:ascii="宋体" w:hAnsi="宋体"/>
                <w:sz w:val="24"/>
                <w:szCs w:val="24"/>
                <w:highlight w:val="none"/>
              </w:rPr>
              <w:t>10</w:t>
            </w:r>
            <w:r>
              <w:rPr>
                <w:rFonts w:hint="eastAsia" w:ascii="宋体" w:hAnsi="宋体"/>
                <w:sz w:val="24"/>
                <w:szCs w:val="24"/>
                <w:highlight w:val="none"/>
                <w:lang w:val="en-US" w:eastAsia="zh-CN"/>
              </w:rPr>
              <w:t>.1</w:t>
            </w:r>
          </w:p>
        </w:tc>
        <w:tc>
          <w:tcPr>
            <w:tcW w:w="2067" w:type="dxa"/>
            <w:noWrap w:val="0"/>
            <w:vAlign w:val="center"/>
          </w:tcPr>
          <w:p w14:paraId="6DA44D59">
            <w:pPr>
              <w:spacing w:line="420" w:lineRule="exact"/>
              <w:jc w:val="center"/>
              <w:rPr>
                <w:rFonts w:hint="eastAsia" w:ascii="宋体" w:hAnsi="宋体"/>
                <w:sz w:val="24"/>
                <w:highlight w:val="none"/>
              </w:rPr>
            </w:pPr>
            <w:r>
              <w:rPr>
                <w:rFonts w:hint="eastAsia" w:ascii="宋体" w:hAnsi="宋体"/>
                <w:sz w:val="24"/>
                <w:highlight w:val="none"/>
              </w:rPr>
              <w:t>最高限价</w:t>
            </w:r>
          </w:p>
        </w:tc>
        <w:tc>
          <w:tcPr>
            <w:tcW w:w="6437" w:type="dxa"/>
            <w:noWrap w:val="0"/>
            <w:vAlign w:val="center"/>
          </w:tcPr>
          <w:p w14:paraId="4BEB950E">
            <w:pPr>
              <w:widowControl/>
              <w:spacing w:line="360" w:lineRule="auto"/>
              <w:jc w:val="left"/>
              <w:rPr>
                <w:rFonts w:hint="eastAsia" w:ascii="宋体" w:hAnsi="宋体"/>
                <w:sz w:val="24"/>
                <w:highlight w:val="none"/>
              </w:rPr>
            </w:pPr>
            <w:r>
              <w:rPr>
                <w:rFonts w:hint="eastAsia" w:ascii="宋体" w:hAnsi="宋体"/>
                <w:sz w:val="24"/>
                <w:highlight w:val="none"/>
              </w:rPr>
              <w:t>本项目最高限价人民币</w:t>
            </w:r>
            <w:r>
              <w:rPr>
                <w:rFonts w:hint="eastAsia" w:ascii="宋体" w:hAnsi="宋体"/>
                <w:sz w:val="24"/>
                <w:highlight w:val="none"/>
                <w:lang w:eastAsia="zh-CN"/>
              </w:rPr>
              <w:t>：</w:t>
            </w:r>
            <w:r>
              <w:rPr>
                <w:rFonts w:ascii="宋体" w:hAnsi="宋体" w:cs="宋体"/>
                <w:sz w:val="24"/>
                <w:highlight w:val="none"/>
              </w:rPr>
              <w:t>¥</w:t>
            </w:r>
            <w:r>
              <w:rPr>
                <w:rFonts w:hint="eastAsia" w:ascii="宋体" w:hAnsi="宋体" w:cs="宋体"/>
                <w:sz w:val="24"/>
                <w:highlight w:val="none"/>
                <w:lang w:val="en-US" w:eastAsia="zh-CN"/>
              </w:rPr>
              <w:t>899130.65</w:t>
            </w:r>
            <w:r>
              <w:rPr>
                <w:rFonts w:hint="eastAsia" w:ascii="宋体" w:hAnsi="宋体" w:cs="宋体"/>
                <w:sz w:val="24"/>
                <w:highlight w:val="none"/>
              </w:rPr>
              <w:t>元</w:t>
            </w:r>
            <w:r>
              <w:rPr>
                <w:rFonts w:hint="eastAsia" w:ascii="宋体" w:hAnsi="宋体"/>
                <w:sz w:val="24"/>
                <w:highlight w:val="none"/>
              </w:rPr>
              <w:t>，本次投标报价</w:t>
            </w:r>
            <w:r>
              <w:rPr>
                <w:rFonts w:hint="eastAsia" w:ascii="宋体" w:hAnsi="宋体" w:cs="宋体"/>
                <w:bCs/>
                <w:sz w:val="24"/>
                <w:highlight w:val="none"/>
              </w:rPr>
              <w:t>不高于最高限价，超限价的投标报价为无效投标报价。无效投标报价的投标文件不进行评审。</w:t>
            </w:r>
          </w:p>
        </w:tc>
      </w:tr>
      <w:tr w14:paraId="20775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049" w:type="dxa"/>
            <w:noWrap w:val="0"/>
            <w:vAlign w:val="center"/>
          </w:tcPr>
          <w:p w14:paraId="40B4691A">
            <w:pPr>
              <w:pStyle w:val="274"/>
              <w:spacing w:line="420" w:lineRule="exact"/>
              <w:jc w:val="center"/>
              <w:rPr>
                <w:rFonts w:ascii="宋体" w:hAnsi="宋体" w:eastAsia="宋体"/>
                <w:sz w:val="24"/>
                <w:szCs w:val="24"/>
                <w:highlight w:val="none"/>
                <w:lang w:val="en-US" w:eastAsia="zh-CN"/>
              </w:rPr>
            </w:pPr>
            <w:r>
              <w:rPr>
                <w:rFonts w:hint="eastAsia" w:ascii="宋体" w:hAnsi="宋体"/>
                <w:sz w:val="24"/>
                <w:szCs w:val="24"/>
                <w:highlight w:val="none"/>
                <w:lang w:val="en-US" w:eastAsia="zh-CN"/>
              </w:rPr>
              <w:t>10.2</w:t>
            </w:r>
          </w:p>
        </w:tc>
        <w:tc>
          <w:tcPr>
            <w:tcW w:w="2067" w:type="dxa"/>
            <w:noWrap w:val="0"/>
            <w:vAlign w:val="center"/>
          </w:tcPr>
          <w:p w14:paraId="59F77043">
            <w:pPr>
              <w:spacing w:line="420" w:lineRule="exact"/>
              <w:jc w:val="center"/>
              <w:rPr>
                <w:rFonts w:ascii="宋体" w:hAnsi="宋体" w:eastAsia="宋体"/>
                <w:sz w:val="24"/>
                <w:highlight w:val="none"/>
                <w:lang w:val="en-US" w:eastAsia="zh-CN"/>
              </w:rPr>
            </w:pPr>
            <w:r>
              <w:rPr>
                <w:rFonts w:hint="eastAsia" w:ascii="宋体" w:hAnsi="宋体"/>
                <w:sz w:val="24"/>
                <w:highlight w:val="none"/>
                <w:lang w:val="en-US" w:eastAsia="zh-CN"/>
              </w:rPr>
              <w:t>报价的其他要求</w:t>
            </w:r>
          </w:p>
        </w:tc>
        <w:tc>
          <w:tcPr>
            <w:tcW w:w="6437" w:type="dxa"/>
            <w:noWrap w:val="0"/>
            <w:vAlign w:val="center"/>
          </w:tcPr>
          <w:p w14:paraId="1057766E">
            <w:pPr>
              <w:widowControl/>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1.按照磋商小组的要求，在规定的时间内通过“苏采云”系统提交最后报价。</w:t>
            </w:r>
          </w:p>
          <w:p w14:paraId="2CC40C4F">
            <w:pPr>
              <w:widowControl/>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2.报价不得高于最高限价，否则作无效标处理。</w:t>
            </w:r>
          </w:p>
          <w:p w14:paraId="2E345744">
            <w:pPr>
              <w:widowControl/>
              <w:spacing w:line="360" w:lineRule="auto"/>
              <w:jc w:val="left"/>
              <w:rPr>
                <w:rFonts w:ascii="宋体" w:hAnsi="宋体" w:eastAsia="宋体" w:cs="宋体"/>
                <w:b/>
                <w:bCs/>
                <w:sz w:val="24"/>
                <w:highlight w:val="none"/>
                <w:lang w:val="en-US" w:eastAsia="zh-CN"/>
              </w:rPr>
            </w:pP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各投标人应慎重报价，不得恶意降价，若中标候选人因报价过低放弃中标或不能履约等，采购人将上报监管部门，进行不良行为公示。</w:t>
            </w:r>
          </w:p>
        </w:tc>
      </w:tr>
      <w:tr w14:paraId="423B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049" w:type="dxa"/>
            <w:noWrap w:val="0"/>
            <w:vAlign w:val="center"/>
          </w:tcPr>
          <w:p w14:paraId="2E909971">
            <w:pPr>
              <w:spacing w:line="420" w:lineRule="exact"/>
              <w:jc w:val="center"/>
              <w:rPr>
                <w:rFonts w:hint="eastAsia" w:ascii="宋体" w:hAnsi="宋体"/>
                <w:bCs/>
                <w:sz w:val="24"/>
                <w:highlight w:val="none"/>
              </w:rPr>
            </w:pPr>
            <w:r>
              <w:rPr>
                <w:rFonts w:ascii="宋体" w:hAnsi="宋体"/>
                <w:bCs/>
                <w:sz w:val="24"/>
                <w:highlight w:val="none"/>
              </w:rPr>
              <w:t>11</w:t>
            </w:r>
          </w:p>
        </w:tc>
        <w:tc>
          <w:tcPr>
            <w:tcW w:w="8504" w:type="dxa"/>
            <w:gridSpan w:val="2"/>
            <w:noWrap w:val="0"/>
            <w:vAlign w:val="center"/>
          </w:tcPr>
          <w:p w14:paraId="66CC37A2">
            <w:pPr>
              <w:spacing w:before="50" w:after="50" w:line="420" w:lineRule="exact"/>
              <w:jc w:val="center"/>
              <w:rPr>
                <w:rFonts w:hint="eastAsia" w:ascii="宋体" w:hAnsi="宋体" w:cs="宋体"/>
                <w:bCs/>
                <w:sz w:val="24"/>
                <w:highlight w:val="none"/>
                <w:u w:val="single"/>
              </w:rPr>
            </w:pPr>
            <w:r>
              <w:rPr>
                <w:rFonts w:hint="eastAsia" w:ascii="宋体" w:hAnsi="宋体" w:cs="宋体"/>
                <w:bCs/>
                <w:sz w:val="24"/>
                <w:highlight w:val="none"/>
              </w:rPr>
              <w:t>需要补充的其他内容</w:t>
            </w:r>
          </w:p>
        </w:tc>
      </w:tr>
      <w:tr w14:paraId="4DC6F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049" w:type="dxa"/>
            <w:noWrap w:val="0"/>
            <w:vAlign w:val="center"/>
          </w:tcPr>
          <w:p w14:paraId="4D66F541">
            <w:pPr>
              <w:spacing w:line="420" w:lineRule="exact"/>
              <w:jc w:val="center"/>
              <w:rPr>
                <w:rFonts w:hint="default" w:ascii="宋体" w:hAnsi="宋体" w:eastAsia="宋体"/>
                <w:sz w:val="24"/>
                <w:highlight w:val="none"/>
                <w:lang w:val="en-US" w:eastAsia="zh-CN"/>
              </w:rPr>
            </w:pPr>
            <w:r>
              <w:rPr>
                <w:rFonts w:hint="eastAsia" w:ascii="宋体" w:hAnsi="宋体"/>
                <w:sz w:val="24"/>
                <w:highlight w:val="none"/>
                <w:lang w:val="en-US" w:eastAsia="zh-CN"/>
              </w:rPr>
              <w:t>11.1</w:t>
            </w:r>
          </w:p>
        </w:tc>
        <w:tc>
          <w:tcPr>
            <w:tcW w:w="8504" w:type="dxa"/>
            <w:gridSpan w:val="2"/>
            <w:noWrap w:val="0"/>
            <w:vAlign w:val="center"/>
          </w:tcPr>
          <w:p w14:paraId="154CD012">
            <w:pPr>
              <w:pStyle w:val="189"/>
              <w:ind w:firstLine="0"/>
              <w:rPr>
                <w:rFonts w:hint="eastAsia"/>
                <w:sz w:val="24"/>
                <w:szCs w:val="24"/>
                <w:highlight w:val="none"/>
              </w:rPr>
            </w:pPr>
            <w:r>
              <w:rPr>
                <w:rFonts w:hint="eastAsia"/>
                <w:sz w:val="24"/>
                <w:szCs w:val="24"/>
                <w:highlight w:val="none"/>
              </w:rPr>
              <w:t>1、现场勘察：</w:t>
            </w:r>
            <w:r>
              <w:rPr>
                <w:rFonts w:hint="eastAsia" w:ascii="宋体" w:hAnsi="宋体"/>
                <w:sz w:val="24"/>
                <w:szCs w:val="24"/>
                <w:highlight w:val="none"/>
              </w:rPr>
              <w:t>供应商自行</w:t>
            </w:r>
            <w:r>
              <w:rPr>
                <w:rFonts w:hint="eastAsia" w:ascii="宋体" w:hAnsi="宋体"/>
                <w:sz w:val="24"/>
                <w:szCs w:val="24"/>
                <w:highlight w:val="none"/>
                <w:lang w:eastAsia="zh-CN"/>
              </w:rPr>
              <w:t>勘查现场</w:t>
            </w:r>
            <w:r>
              <w:rPr>
                <w:rFonts w:hint="eastAsia" w:ascii="宋体" w:hAnsi="宋体"/>
                <w:sz w:val="24"/>
                <w:szCs w:val="24"/>
                <w:highlight w:val="none"/>
              </w:rPr>
              <w:t>；</w:t>
            </w:r>
          </w:p>
          <w:p w14:paraId="253F89CF">
            <w:pPr>
              <w:spacing w:line="420" w:lineRule="exact"/>
              <w:rPr>
                <w:rFonts w:hint="eastAsia"/>
                <w:sz w:val="24"/>
                <w:highlight w:val="none"/>
              </w:rPr>
            </w:pPr>
            <w:r>
              <w:rPr>
                <w:rFonts w:hint="eastAsia"/>
                <w:sz w:val="24"/>
                <w:highlight w:val="none"/>
              </w:rPr>
              <w:t>2、请各供应商在开标截止日前随时关注更正补充通知或答疑澄清通知。</w:t>
            </w:r>
          </w:p>
        </w:tc>
      </w:tr>
    </w:tbl>
    <w:p w14:paraId="09A2A0A5">
      <w:pPr>
        <w:rPr>
          <w:rFonts w:hint="eastAsia" w:ascii="宋体" w:hAnsi="宋体"/>
          <w:b/>
          <w:bCs/>
          <w:sz w:val="24"/>
          <w:highlight w:val="none"/>
        </w:rPr>
      </w:pPr>
    </w:p>
    <w:p w14:paraId="49557AC4">
      <w:pPr>
        <w:pStyle w:val="238"/>
        <w:ind w:firstLine="482"/>
        <w:rPr>
          <w:rFonts w:hint="eastAsia" w:hAnsi="宋体"/>
          <w:b/>
          <w:bCs/>
          <w:sz w:val="24"/>
          <w:highlight w:val="none"/>
        </w:rPr>
      </w:pPr>
    </w:p>
    <w:p w14:paraId="4F34C637">
      <w:pPr>
        <w:rPr>
          <w:rFonts w:hint="eastAsia" w:hAnsi="宋体"/>
          <w:b/>
          <w:bCs/>
          <w:sz w:val="24"/>
          <w:highlight w:val="none"/>
        </w:rPr>
      </w:pPr>
    </w:p>
    <w:p w14:paraId="3CA2A271">
      <w:pPr>
        <w:pStyle w:val="197"/>
        <w:rPr>
          <w:rFonts w:hint="eastAsia" w:hAnsi="宋体"/>
          <w:b w:val="0"/>
          <w:bCs w:val="0"/>
          <w:sz w:val="24"/>
          <w:highlight w:val="none"/>
        </w:rPr>
      </w:pPr>
    </w:p>
    <w:p w14:paraId="13BC7F84">
      <w:pPr>
        <w:rPr>
          <w:rFonts w:hint="eastAsia"/>
          <w:highlight w:val="none"/>
        </w:rPr>
      </w:pPr>
    </w:p>
    <w:bookmarkEnd w:id="22"/>
    <w:bookmarkEnd w:id="23"/>
    <w:bookmarkEnd w:id="24"/>
    <w:p w14:paraId="14ED16C6">
      <w:pPr>
        <w:tabs>
          <w:tab w:val="left" w:pos="900"/>
        </w:tabs>
        <w:spacing w:after="120" w:line="360" w:lineRule="auto"/>
        <w:ind w:firstLine="585"/>
        <w:rPr>
          <w:rFonts w:hint="eastAsia" w:ascii="宋体" w:hAnsi="宋体"/>
          <w:b/>
          <w:sz w:val="24"/>
          <w:highlight w:val="none"/>
        </w:rPr>
      </w:pPr>
      <w:bookmarkStart w:id="27" w:name="_Toc20823309"/>
      <w:bookmarkStart w:id="28" w:name="_Toc513029237"/>
      <w:bookmarkStart w:id="29" w:name="_Toc16938553"/>
      <w:r>
        <w:rPr>
          <w:rFonts w:hint="eastAsia" w:ascii="宋体" w:hAnsi="宋体"/>
          <w:b/>
          <w:sz w:val="24"/>
          <w:highlight w:val="none"/>
        </w:rPr>
        <w:br w:type="page" w:clear="all"/>
      </w:r>
      <w:r>
        <w:rPr>
          <w:rFonts w:hint="eastAsia" w:ascii="宋体" w:hAnsi="宋体"/>
          <w:b/>
          <w:sz w:val="24"/>
          <w:highlight w:val="none"/>
        </w:rPr>
        <w:t>一、总则</w:t>
      </w:r>
    </w:p>
    <w:p w14:paraId="1F237571">
      <w:pPr>
        <w:tabs>
          <w:tab w:val="left" w:pos="900"/>
        </w:tabs>
        <w:spacing w:after="120" w:line="360" w:lineRule="auto"/>
        <w:ind w:firstLine="600"/>
        <w:rPr>
          <w:rFonts w:hint="eastAsia" w:ascii="宋体" w:hAnsi="宋体"/>
          <w:sz w:val="24"/>
          <w:highlight w:val="none"/>
        </w:rPr>
      </w:pPr>
      <w:r>
        <w:rPr>
          <w:rFonts w:hint="eastAsia" w:ascii="宋体" w:hAnsi="宋体"/>
          <w:sz w:val="24"/>
          <w:highlight w:val="none"/>
        </w:rPr>
        <w:t>1、适用范围</w:t>
      </w:r>
    </w:p>
    <w:p w14:paraId="61600C3B">
      <w:pPr>
        <w:pStyle w:val="280"/>
        <w:ind w:firstLine="540"/>
        <w:jc w:val="both"/>
        <w:rPr>
          <w:rFonts w:hint="eastAsia" w:ascii="宋体" w:hAnsi="宋体" w:cs="宋体"/>
          <w:spacing w:val="15"/>
          <w:highlight w:val="none"/>
        </w:rPr>
      </w:pPr>
      <w:r>
        <w:rPr>
          <w:rFonts w:hint="eastAsia" w:ascii="宋体" w:hAnsi="宋体" w:cs="宋体"/>
          <w:spacing w:val="15"/>
          <w:highlight w:val="none"/>
        </w:rPr>
        <w:t>本磋商文件仅适用于</w:t>
      </w:r>
      <w:r>
        <w:rPr>
          <w:rFonts w:hint="eastAsia" w:ascii="宋体" w:hAnsi="宋体"/>
          <w:sz w:val="24"/>
          <w:highlight w:val="none"/>
          <w:lang w:eastAsia="zh-CN"/>
        </w:rPr>
        <w:t>泰州市长江禁捕执法基地升级改造</w:t>
      </w:r>
      <w:r>
        <w:rPr>
          <w:rFonts w:hint="eastAsia" w:ascii="宋体" w:hAnsi="宋体" w:cs="宋体"/>
          <w:spacing w:val="15"/>
          <w:highlight w:val="none"/>
        </w:rPr>
        <w:t>。</w:t>
      </w:r>
    </w:p>
    <w:p w14:paraId="5AE69BF7">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2、项目采购方式</w:t>
      </w:r>
    </w:p>
    <w:p w14:paraId="22FE84C6">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本次采购采取竞争性磋商的方式。</w:t>
      </w:r>
    </w:p>
    <w:p w14:paraId="74014A4D">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3、合格的磋商供应商</w:t>
      </w:r>
    </w:p>
    <w:p w14:paraId="52AC7E72">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3.1满足本磋商文件“竞争性磋商采购邀请”中合格磋商供应商资格要求的规定。</w:t>
      </w:r>
    </w:p>
    <w:p w14:paraId="2708CECE">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3.2 满足本磋商文件实质性要求和条件的规定。</w:t>
      </w:r>
    </w:p>
    <w:p w14:paraId="5C764DEE">
      <w:pPr>
        <w:tabs>
          <w:tab w:val="left" w:pos="900"/>
        </w:tabs>
        <w:spacing w:after="120" w:line="360" w:lineRule="auto"/>
        <w:ind w:firstLine="597"/>
        <w:rPr>
          <w:rFonts w:ascii="宋体" w:hAnsi="宋体"/>
          <w:sz w:val="24"/>
          <w:highlight w:val="none"/>
        </w:rPr>
      </w:pPr>
      <w:r>
        <w:rPr>
          <w:rFonts w:ascii="宋体" w:hAnsi="宋体"/>
          <w:sz w:val="24"/>
          <w:highlight w:val="none"/>
        </w:rPr>
        <w:t>3.3中小企业政策</w:t>
      </w:r>
    </w:p>
    <w:p w14:paraId="075538B9">
      <w:pPr>
        <w:tabs>
          <w:tab w:val="left" w:pos="900"/>
        </w:tabs>
        <w:spacing w:after="120" w:line="360" w:lineRule="auto"/>
        <w:ind w:firstLine="597"/>
        <w:rPr>
          <w:rFonts w:ascii="宋体" w:hAnsi="宋体"/>
          <w:sz w:val="24"/>
          <w:highlight w:val="none"/>
        </w:rPr>
      </w:pPr>
      <w:r>
        <w:rPr>
          <w:rFonts w:ascii="宋体" w:hAnsi="宋体"/>
          <w:sz w:val="24"/>
          <w:highlight w:val="none"/>
        </w:rPr>
        <w:t>（1）中小企业应当符合《政府采购促进中小企业发展</w:t>
      </w:r>
      <w:r>
        <w:rPr>
          <w:rFonts w:hint="eastAsia" w:ascii="宋体" w:hAnsi="宋体"/>
          <w:sz w:val="24"/>
          <w:highlight w:val="none"/>
        </w:rPr>
        <w:t>管理</w:t>
      </w:r>
      <w:r>
        <w:rPr>
          <w:rFonts w:ascii="宋体" w:hAnsi="宋体"/>
          <w:sz w:val="24"/>
          <w:highlight w:val="none"/>
        </w:rPr>
        <w:t>办法》（财库〔</w:t>
      </w:r>
      <w:r>
        <w:rPr>
          <w:rFonts w:hint="eastAsia" w:ascii="宋体" w:hAnsi="宋体"/>
          <w:sz w:val="24"/>
          <w:highlight w:val="none"/>
        </w:rPr>
        <w:t>2020</w:t>
      </w:r>
      <w:r>
        <w:rPr>
          <w:rFonts w:ascii="宋体" w:hAnsi="宋体"/>
          <w:sz w:val="24"/>
          <w:highlight w:val="none"/>
        </w:rPr>
        <w:t>〕</w:t>
      </w:r>
      <w:r>
        <w:rPr>
          <w:rFonts w:hint="eastAsia" w:ascii="宋体" w:hAnsi="宋体"/>
          <w:sz w:val="24"/>
          <w:highlight w:val="none"/>
        </w:rPr>
        <w:t>46</w:t>
      </w:r>
      <w:r>
        <w:rPr>
          <w:rFonts w:ascii="宋体" w:hAnsi="宋体"/>
          <w:sz w:val="24"/>
          <w:highlight w:val="none"/>
        </w:rPr>
        <w:t>号）第二条、《关于政府采购支持监狱企业发展有关问题的通知》（财库〔2014〕68号）第一条或《关于促进残疾人就业政府采购政策的通知》（财库〔2017〕141号）第一条的规定。</w:t>
      </w:r>
    </w:p>
    <w:p w14:paraId="5918AA56">
      <w:pPr>
        <w:tabs>
          <w:tab w:val="left" w:pos="900"/>
        </w:tabs>
        <w:spacing w:after="120" w:line="360" w:lineRule="auto"/>
        <w:ind w:firstLine="597"/>
        <w:rPr>
          <w:rFonts w:ascii="宋体" w:hAnsi="宋体"/>
          <w:sz w:val="24"/>
          <w:highlight w:val="none"/>
        </w:rPr>
      </w:pPr>
      <w:r>
        <w:rPr>
          <w:rFonts w:ascii="宋体" w:hAnsi="宋体"/>
          <w:sz w:val="24"/>
          <w:highlight w:val="none"/>
        </w:rPr>
        <w:t>（2）对于专门面向中小企业或小型、微型企业的项目，只面向中小企业或小型、微型企业采购。对于非专门面向中小企业的项目，</w:t>
      </w:r>
      <w:r>
        <w:rPr>
          <w:rFonts w:hint="eastAsia"/>
          <w:sz w:val="24"/>
          <w:highlight w:val="none"/>
        </w:rPr>
        <w:t>根据</w:t>
      </w:r>
      <w:r>
        <w:rPr>
          <w:sz w:val="24"/>
          <w:highlight w:val="none"/>
        </w:rPr>
        <w:t>《江苏省财政厅关于进一步加大政府采购支持中小企业力度的通知》</w:t>
      </w:r>
      <w:r>
        <w:rPr>
          <w:rFonts w:hint="eastAsia"/>
          <w:sz w:val="24"/>
          <w:highlight w:val="none"/>
        </w:rPr>
        <w:t>（</w:t>
      </w:r>
      <w:r>
        <w:rPr>
          <w:sz w:val="24"/>
          <w:highlight w:val="none"/>
        </w:rPr>
        <w:t>苏财购〔2022〕45号</w:t>
      </w:r>
      <w:r>
        <w:rPr>
          <w:rFonts w:hint="eastAsia"/>
          <w:sz w:val="24"/>
          <w:highlight w:val="none"/>
        </w:rPr>
        <w:t>）第三条的规定，</w:t>
      </w:r>
      <w:r>
        <w:rPr>
          <w:rFonts w:ascii="宋体" w:hAnsi="宋体"/>
          <w:sz w:val="24"/>
          <w:highlight w:val="none"/>
        </w:rPr>
        <w:t>对小型和微型企业</w:t>
      </w:r>
      <w:r>
        <w:rPr>
          <w:rFonts w:hint="eastAsia" w:ascii="宋体" w:hAnsi="宋体"/>
          <w:sz w:val="24"/>
          <w:highlight w:val="none"/>
        </w:rPr>
        <w:t>报价</w:t>
      </w:r>
      <w:r>
        <w:rPr>
          <w:rFonts w:ascii="宋体" w:hAnsi="宋体"/>
          <w:sz w:val="24"/>
          <w:highlight w:val="none"/>
        </w:rPr>
        <w:t>给予</w:t>
      </w:r>
      <w:r>
        <w:rPr>
          <w:rFonts w:hint="eastAsia" w:ascii="宋体" w:hAnsi="宋体"/>
          <w:sz w:val="24"/>
          <w:highlight w:val="none"/>
        </w:rPr>
        <w:t>10</w:t>
      </w:r>
      <w:r>
        <w:rPr>
          <w:rFonts w:ascii="宋体" w:hAnsi="宋体"/>
          <w:sz w:val="24"/>
          <w:highlight w:val="none"/>
        </w:rPr>
        <w:t>%</w:t>
      </w:r>
      <w:r>
        <w:rPr>
          <w:rFonts w:hint="eastAsia" w:ascii="宋体" w:hAnsi="宋体"/>
          <w:sz w:val="24"/>
          <w:highlight w:val="none"/>
        </w:rPr>
        <w:t>-20%（工程项目为5%）</w:t>
      </w:r>
      <w:r>
        <w:rPr>
          <w:rFonts w:ascii="宋体" w:hAnsi="宋体"/>
          <w:sz w:val="24"/>
          <w:highlight w:val="none"/>
        </w:rPr>
        <w:t>的扣除，用扣除后的价格参与评审。</w:t>
      </w:r>
    </w:p>
    <w:p w14:paraId="06082B20">
      <w:pPr>
        <w:tabs>
          <w:tab w:val="left" w:pos="900"/>
        </w:tabs>
        <w:spacing w:after="120" w:line="360" w:lineRule="auto"/>
        <w:ind w:firstLine="597"/>
        <w:rPr>
          <w:rFonts w:ascii="宋体" w:hAnsi="宋体"/>
          <w:sz w:val="24"/>
          <w:highlight w:val="none"/>
        </w:rPr>
      </w:pPr>
      <w:r>
        <w:rPr>
          <w:rFonts w:ascii="宋体" w:hAnsi="宋体"/>
          <w:sz w:val="24"/>
          <w:highlight w:val="none"/>
        </w:rPr>
        <w:t>（3）</w:t>
      </w:r>
      <w:r>
        <w:rPr>
          <w:rFonts w:ascii="宋体" w:hAnsi="宋体"/>
          <w:b/>
          <w:bCs/>
          <w:sz w:val="24"/>
          <w:highlight w:val="none"/>
        </w:rPr>
        <w:t>参加政府采购活动的中小企业应当提供《中小企业声明函》</w:t>
      </w:r>
      <w:r>
        <w:rPr>
          <w:rFonts w:ascii="宋体" w:hAnsi="宋体"/>
          <w:sz w:val="24"/>
          <w:highlight w:val="none"/>
        </w:rPr>
        <w:t>、由省级以上监狱管理局戒毒管理局(含新疆生产建设兵团)出具的属于监狱企业的证明文件或《残疾人福利性单位声明函》。</w:t>
      </w:r>
    </w:p>
    <w:p w14:paraId="23995626">
      <w:pPr>
        <w:widowControl/>
        <w:shd w:val="clear" w:color="auto" w:fill="FFFFFF"/>
        <w:spacing w:line="360" w:lineRule="auto"/>
        <w:ind w:firstLine="420"/>
        <w:rPr>
          <w:sz w:val="24"/>
          <w:highlight w:val="none"/>
        </w:rPr>
      </w:pPr>
      <w:r>
        <w:rPr>
          <w:rFonts w:ascii="宋体" w:hAnsi="宋体"/>
          <w:sz w:val="24"/>
          <w:highlight w:val="none"/>
        </w:rPr>
        <w:t>（4）</w:t>
      </w:r>
      <w:r>
        <w:rPr>
          <w:rFonts w:hint="eastAsia"/>
          <w:sz w:val="24"/>
          <w:highlight w:val="none"/>
        </w:rPr>
        <w:t>对于接受供应商以联合体形式参加采购活动的项目，小型、微型企业联合体应当符合</w:t>
      </w:r>
      <w:r>
        <w:rPr>
          <w:sz w:val="24"/>
          <w:highlight w:val="none"/>
        </w:rPr>
        <w:t>《政府采购促进中小企业发展</w:t>
      </w:r>
      <w:r>
        <w:rPr>
          <w:rFonts w:hint="eastAsia"/>
          <w:sz w:val="24"/>
          <w:highlight w:val="none"/>
        </w:rPr>
        <w:t>管理</w:t>
      </w:r>
      <w:r>
        <w:rPr>
          <w:sz w:val="24"/>
          <w:highlight w:val="none"/>
        </w:rPr>
        <w:t>办法》（财库〔</w:t>
      </w:r>
      <w:r>
        <w:rPr>
          <w:rFonts w:hint="eastAsia"/>
          <w:sz w:val="24"/>
          <w:highlight w:val="none"/>
        </w:rPr>
        <w:t>2020</w:t>
      </w:r>
      <w:r>
        <w:rPr>
          <w:sz w:val="24"/>
          <w:highlight w:val="none"/>
        </w:rPr>
        <w:t>〕</w:t>
      </w:r>
      <w:r>
        <w:rPr>
          <w:rFonts w:hint="eastAsia"/>
          <w:sz w:val="24"/>
          <w:highlight w:val="none"/>
        </w:rPr>
        <w:t>46</w:t>
      </w:r>
      <w:r>
        <w:rPr>
          <w:sz w:val="24"/>
          <w:highlight w:val="none"/>
        </w:rPr>
        <w:t>号）第</w:t>
      </w:r>
      <w:r>
        <w:rPr>
          <w:rFonts w:hint="eastAsia"/>
          <w:sz w:val="24"/>
          <w:highlight w:val="none"/>
        </w:rPr>
        <w:t>九</w:t>
      </w:r>
      <w:r>
        <w:rPr>
          <w:sz w:val="24"/>
          <w:highlight w:val="none"/>
        </w:rPr>
        <w:t>条的规定</w:t>
      </w:r>
      <w:r>
        <w:rPr>
          <w:rFonts w:hint="eastAsia"/>
          <w:sz w:val="24"/>
          <w:highlight w:val="none"/>
        </w:rPr>
        <w:t>。联合协议中约定，小型、微型企业的协议合同金额占到联合体协议合同总金额30%以上的，给予联合体1%-2%（工程项目）的价格扣除。</w:t>
      </w:r>
    </w:p>
    <w:p w14:paraId="0211D210">
      <w:pPr>
        <w:tabs>
          <w:tab w:val="left" w:pos="900"/>
        </w:tabs>
        <w:spacing w:after="120" w:line="360" w:lineRule="auto"/>
        <w:ind w:firstLine="597"/>
        <w:rPr>
          <w:rFonts w:ascii="宋体" w:hAnsi="宋体"/>
          <w:sz w:val="24"/>
          <w:highlight w:val="none"/>
        </w:rPr>
      </w:pPr>
      <w:r>
        <w:rPr>
          <w:rFonts w:ascii="宋体" w:hAnsi="宋体"/>
          <w:sz w:val="24"/>
          <w:highlight w:val="none"/>
        </w:rPr>
        <w:t>（5）中小企业依据《政府采购促进中小企业发展</w:t>
      </w:r>
      <w:r>
        <w:rPr>
          <w:rFonts w:hint="eastAsia" w:ascii="宋体" w:hAnsi="宋体"/>
          <w:sz w:val="24"/>
          <w:highlight w:val="none"/>
        </w:rPr>
        <w:t>管理</w:t>
      </w:r>
      <w:r>
        <w:rPr>
          <w:rFonts w:ascii="宋体" w:hAnsi="宋体"/>
          <w:sz w:val="24"/>
          <w:highlight w:val="none"/>
        </w:rPr>
        <w:t>办法》（财库〔</w:t>
      </w:r>
      <w:r>
        <w:rPr>
          <w:rFonts w:hint="eastAsia" w:ascii="宋体" w:hAnsi="宋体"/>
          <w:sz w:val="24"/>
          <w:highlight w:val="none"/>
        </w:rPr>
        <w:t>2020</w:t>
      </w:r>
      <w:r>
        <w:rPr>
          <w:rFonts w:ascii="宋体" w:hAnsi="宋体"/>
          <w:sz w:val="24"/>
          <w:highlight w:val="none"/>
        </w:rPr>
        <w:t>〕</w:t>
      </w:r>
      <w:r>
        <w:rPr>
          <w:rFonts w:hint="eastAsia" w:ascii="宋体" w:hAnsi="宋体"/>
          <w:sz w:val="24"/>
          <w:highlight w:val="none"/>
        </w:rPr>
        <w:t>46</w:t>
      </w:r>
      <w:r>
        <w:rPr>
          <w:rFonts w:ascii="宋体" w:hAnsi="宋体"/>
          <w:sz w:val="24"/>
          <w:highlight w:val="none"/>
        </w:rPr>
        <w:t>号）规定的政策获取政府采购合同后，小型、微型企业不得分包或转包给大型、中型企业，中型企业不得分包或转包给大型企业。</w:t>
      </w:r>
    </w:p>
    <w:p w14:paraId="00DCCD39">
      <w:pPr>
        <w:tabs>
          <w:tab w:val="left" w:pos="900"/>
        </w:tabs>
        <w:spacing w:after="120" w:line="360" w:lineRule="auto"/>
        <w:ind w:firstLine="597"/>
        <w:rPr>
          <w:rFonts w:ascii="宋体" w:hAnsi="宋体"/>
          <w:sz w:val="24"/>
          <w:highlight w:val="none"/>
        </w:rPr>
      </w:pPr>
      <w:r>
        <w:rPr>
          <w:rFonts w:hint="eastAsia"/>
          <w:sz w:val="24"/>
          <w:highlight w:val="none"/>
        </w:rPr>
        <w:t>（6）</w:t>
      </w:r>
      <w:r>
        <w:rPr>
          <w:sz w:val="24"/>
          <w:highlight w:val="none"/>
        </w:rPr>
        <w:t>为进一步发挥政府采购促进中小企业发展的政策效应，开展“政采贷”业务，具体内容见泰财购【2022】31号文《关于深入推进政府采购线上合同信用融资工作的通知》。</w:t>
      </w:r>
    </w:p>
    <w:p w14:paraId="72992BA0">
      <w:pPr>
        <w:tabs>
          <w:tab w:val="left" w:pos="900"/>
        </w:tabs>
        <w:spacing w:after="120" w:line="360" w:lineRule="auto"/>
        <w:ind w:firstLine="597"/>
        <w:rPr>
          <w:rFonts w:ascii="宋体" w:hAnsi="宋体"/>
          <w:sz w:val="24"/>
          <w:highlight w:val="none"/>
        </w:rPr>
      </w:pPr>
      <w:r>
        <w:rPr>
          <w:rFonts w:ascii="宋体" w:hAnsi="宋体"/>
          <w:sz w:val="24"/>
          <w:highlight w:val="none"/>
        </w:rPr>
        <w:t>3.4节能产品、环境标志产品政策</w:t>
      </w:r>
    </w:p>
    <w:p w14:paraId="5B8F29FD">
      <w:pPr>
        <w:tabs>
          <w:tab w:val="left" w:pos="900"/>
        </w:tabs>
        <w:spacing w:after="120" w:line="360" w:lineRule="auto"/>
        <w:ind w:firstLine="597"/>
        <w:rPr>
          <w:rFonts w:ascii="宋体" w:hAnsi="宋体"/>
          <w:sz w:val="24"/>
          <w:highlight w:val="none"/>
        </w:rPr>
      </w:pPr>
      <w:r>
        <w:rPr>
          <w:rFonts w:ascii="宋体" w:hAnsi="宋体"/>
          <w:sz w:val="24"/>
          <w:highlight w:val="none"/>
        </w:rPr>
        <w:t>（1）政府采购节能产品、环境标志产品实施品目清单管理。</w:t>
      </w:r>
    </w:p>
    <w:p w14:paraId="5555DC50">
      <w:pPr>
        <w:tabs>
          <w:tab w:val="left" w:pos="900"/>
        </w:tabs>
        <w:spacing w:after="120" w:line="360" w:lineRule="auto"/>
        <w:ind w:firstLine="597"/>
        <w:rPr>
          <w:rFonts w:ascii="宋体" w:hAnsi="宋体"/>
          <w:sz w:val="24"/>
          <w:highlight w:val="none"/>
        </w:rPr>
      </w:pPr>
      <w:r>
        <w:rPr>
          <w:rFonts w:ascii="宋体" w:hAnsi="宋体"/>
          <w:sz w:val="24"/>
          <w:highlight w:val="none"/>
        </w:rPr>
        <w:t>（2）拟采购产品属于节能产品、环境标志产品品目清单规定必须强制采购的，实行强制采购。</w:t>
      </w:r>
    </w:p>
    <w:p w14:paraId="1C6ED4E4">
      <w:pPr>
        <w:tabs>
          <w:tab w:val="left" w:pos="900"/>
        </w:tabs>
        <w:spacing w:after="120" w:line="360" w:lineRule="auto"/>
        <w:ind w:firstLine="597"/>
        <w:rPr>
          <w:rFonts w:ascii="宋体" w:hAnsi="宋体"/>
          <w:sz w:val="24"/>
          <w:highlight w:val="none"/>
        </w:rPr>
      </w:pPr>
      <w:r>
        <w:rPr>
          <w:rFonts w:ascii="宋体" w:hAnsi="宋体"/>
          <w:sz w:val="24"/>
          <w:highlight w:val="none"/>
        </w:rPr>
        <w:t>（3）拟采购产品属于节能产品、环境标志产品品目清单规定优先采购的，对国家认定的节能产品和环保产品分别给予投标价的1%价格扣除，用扣除后的价格参与评审。</w:t>
      </w:r>
    </w:p>
    <w:p w14:paraId="7A0CE0CC">
      <w:pPr>
        <w:tabs>
          <w:tab w:val="left" w:pos="900"/>
        </w:tabs>
        <w:spacing w:after="120" w:line="360" w:lineRule="auto"/>
        <w:ind w:firstLine="597"/>
        <w:rPr>
          <w:rFonts w:ascii="宋体" w:hAnsi="宋体"/>
          <w:sz w:val="24"/>
          <w:highlight w:val="none"/>
        </w:rPr>
      </w:pPr>
      <w:r>
        <w:rPr>
          <w:rFonts w:ascii="宋体" w:hAnsi="宋体"/>
          <w:sz w:val="24"/>
          <w:highlight w:val="none"/>
        </w:rPr>
        <w:t>（4）参加政府采购活动的节能产品、环境标志产品供应商应当提供国家确定的认证机构出具的、处于有效期之内的节能产品、环境标志产品认证证书。</w:t>
      </w:r>
    </w:p>
    <w:p w14:paraId="5DC456BE">
      <w:pPr>
        <w:tabs>
          <w:tab w:val="left" w:pos="900"/>
        </w:tabs>
        <w:spacing w:after="120" w:line="360" w:lineRule="auto"/>
        <w:ind w:firstLine="597"/>
        <w:rPr>
          <w:rFonts w:ascii="宋体" w:hAnsi="宋体"/>
          <w:sz w:val="24"/>
          <w:highlight w:val="none"/>
        </w:rPr>
      </w:pPr>
      <w:r>
        <w:rPr>
          <w:rFonts w:ascii="宋体" w:hAnsi="宋体"/>
          <w:sz w:val="24"/>
          <w:highlight w:val="none"/>
        </w:rPr>
        <w:t>3.5进口产品政策</w:t>
      </w:r>
    </w:p>
    <w:p w14:paraId="6925C86E">
      <w:pPr>
        <w:tabs>
          <w:tab w:val="left" w:pos="900"/>
        </w:tabs>
        <w:spacing w:after="120" w:line="360" w:lineRule="auto"/>
        <w:ind w:firstLine="597"/>
        <w:rPr>
          <w:rFonts w:ascii="宋体" w:hAnsi="宋体"/>
          <w:sz w:val="24"/>
          <w:highlight w:val="none"/>
        </w:rPr>
      </w:pPr>
      <w:r>
        <w:rPr>
          <w:rFonts w:ascii="宋体" w:hAnsi="宋体"/>
          <w:sz w:val="24"/>
          <w:highlight w:val="none"/>
        </w:rPr>
        <w:t>（1）除招标公告载明接受进口产品参加外，不允许进口产品参加。进口产品认定依照《财政部关于政府采购进口产品管理有关问题的通知》（财办库〔2008〕248号）的规定。</w:t>
      </w:r>
    </w:p>
    <w:p w14:paraId="23E9D886">
      <w:pPr>
        <w:tabs>
          <w:tab w:val="left" w:pos="900"/>
        </w:tabs>
        <w:spacing w:after="120" w:line="360" w:lineRule="auto"/>
        <w:ind w:firstLine="597"/>
        <w:rPr>
          <w:rFonts w:ascii="宋体" w:hAnsi="宋体"/>
          <w:sz w:val="24"/>
          <w:highlight w:val="none"/>
        </w:rPr>
      </w:pPr>
      <w:r>
        <w:rPr>
          <w:rFonts w:ascii="宋体" w:hAnsi="宋体"/>
          <w:sz w:val="24"/>
          <w:highlight w:val="none"/>
        </w:rPr>
        <w:t>（2）允许进口产品参加的，满足需求的国内产品可以参加。</w:t>
      </w:r>
    </w:p>
    <w:p w14:paraId="2E1BA794">
      <w:pPr>
        <w:tabs>
          <w:tab w:val="left" w:pos="900"/>
        </w:tabs>
        <w:spacing w:after="120" w:line="360" w:lineRule="auto"/>
        <w:ind w:firstLine="597"/>
        <w:rPr>
          <w:rFonts w:ascii="宋体" w:hAnsi="宋体"/>
          <w:sz w:val="24"/>
          <w:highlight w:val="none"/>
        </w:rPr>
      </w:pPr>
      <w:r>
        <w:rPr>
          <w:rFonts w:hint="eastAsia" w:ascii="宋体" w:hAnsi="宋体"/>
          <w:sz w:val="24"/>
          <w:highlight w:val="none"/>
        </w:rPr>
        <w:t>（3）允许进口产品参加的，优先采购向我国企业转让技术、与我国企业签订消化吸收再创新方案的供应商的进口产品。</w:t>
      </w:r>
    </w:p>
    <w:p w14:paraId="3165F68F">
      <w:pPr>
        <w:tabs>
          <w:tab w:val="left" w:pos="900"/>
        </w:tabs>
        <w:spacing w:after="120" w:line="360" w:lineRule="auto"/>
        <w:ind w:firstLine="597"/>
        <w:rPr>
          <w:rFonts w:ascii="宋体" w:hAnsi="宋体"/>
          <w:sz w:val="24"/>
          <w:highlight w:val="none"/>
        </w:rPr>
      </w:pPr>
      <w:r>
        <w:rPr>
          <w:rFonts w:ascii="宋体" w:hAnsi="宋体"/>
          <w:sz w:val="24"/>
          <w:highlight w:val="none"/>
        </w:rPr>
        <w:t>3.6未按要求提供相关材料的，不享受相关政策。</w:t>
      </w:r>
    </w:p>
    <w:p w14:paraId="3A93600B">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3.7</w:t>
      </w:r>
      <w:r>
        <w:rPr>
          <w:rFonts w:hint="eastAsia"/>
          <w:sz w:val="24"/>
          <w:highlight w:val="none"/>
        </w:rPr>
        <w:t>磋商文件中要求的产品品牌或型号，是采购人根据项目所要实现的功能推荐的品牌或型号，仅供供应商参考，并不是限制条件。</w:t>
      </w:r>
    </w:p>
    <w:p w14:paraId="4DE3F0C9">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4、参加磋商费用</w:t>
      </w:r>
    </w:p>
    <w:p w14:paraId="5CDE5DEE">
      <w:pPr>
        <w:tabs>
          <w:tab w:val="left" w:pos="900"/>
        </w:tabs>
        <w:spacing w:after="120" w:line="360" w:lineRule="auto"/>
        <w:ind w:firstLine="480"/>
        <w:jc w:val="left"/>
        <w:rPr>
          <w:rFonts w:hint="eastAsia" w:ascii="宋体" w:hAnsi="宋体"/>
          <w:sz w:val="24"/>
          <w:highlight w:val="none"/>
        </w:rPr>
      </w:pPr>
      <w:r>
        <w:rPr>
          <w:rFonts w:hint="eastAsia" w:ascii="宋体" w:hAnsi="宋体"/>
          <w:sz w:val="24"/>
          <w:highlight w:val="none"/>
        </w:rPr>
        <w:t>4.1参加磋商供应商应自行承担所有与参加磋商有关的费用。不论最终的成交结果如何，</w:t>
      </w:r>
      <w:r>
        <w:rPr>
          <w:rFonts w:hint="eastAsia" w:ascii="宋体" w:hAnsi="宋体"/>
          <w:sz w:val="24"/>
          <w:highlight w:val="none"/>
          <w:lang w:eastAsia="zh-CN"/>
        </w:rPr>
        <w:t>江苏天信建设项目咨询有限公司</w:t>
      </w:r>
      <w:r>
        <w:rPr>
          <w:rFonts w:hint="eastAsia" w:ascii="宋体" w:hAnsi="宋体"/>
          <w:sz w:val="24"/>
          <w:highlight w:val="none"/>
        </w:rPr>
        <w:t>（以下简称采购代理机构）在任何情况下均无义务和责任承担这些费用。</w:t>
      </w:r>
    </w:p>
    <w:p w14:paraId="53A5F981">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4.2招标代理费：中标（成交）人在领取政府采购中标（成交）通知书前，按发改价格[2011]534号文件标准向采购代理单位缴纳成交服务费（工程类）等其他费用。不管报价结果如何，供应商均应承担自己报价所需一切费用。</w:t>
      </w:r>
    </w:p>
    <w:p w14:paraId="29D3FC8A">
      <w:pPr>
        <w:tabs>
          <w:tab w:val="left" w:pos="900"/>
        </w:tabs>
        <w:spacing w:after="120" w:line="360" w:lineRule="auto"/>
        <w:ind w:firstLine="477"/>
        <w:rPr>
          <w:rFonts w:ascii="宋体" w:hAnsi="宋体"/>
          <w:sz w:val="24"/>
          <w:highlight w:val="none"/>
        </w:rPr>
      </w:pPr>
      <w:r>
        <w:rPr>
          <w:rFonts w:hint="eastAsia" w:ascii="宋体" w:hAnsi="宋体"/>
          <w:sz w:val="24"/>
          <w:highlight w:val="none"/>
        </w:rPr>
        <w:t>5、磋商文件的约束力</w:t>
      </w:r>
    </w:p>
    <w:p w14:paraId="4B94C2EB">
      <w:pPr>
        <w:tabs>
          <w:tab w:val="left" w:pos="900"/>
        </w:tabs>
        <w:spacing w:after="120" w:line="360" w:lineRule="auto"/>
        <w:ind w:left="120" w:firstLine="477"/>
        <w:rPr>
          <w:rFonts w:hint="eastAsia" w:ascii="宋体" w:hAnsi="宋体"/>
          <w:sz w:val="24"/>
          <w:highlight w:val="none"/>
        </w:rPr>
      </w:pPr>
      <w:r>
        <w:rPr>
          <w:rFonts w:hint="eastAsia" w:ascii="宋体" w:hAnsi="宋体"/>
          <w:sz w:val="24"/>
          <w:highlight w:val="none"/>
        </w:rPr>
        <w:t>供应商一旦购买了本磋商文件并决定参加磋商，即被认为接受了本磋商文件的规定和约束，并且视为自竞争性磋商公告期限届满之日起已经知道或应当知道自身权益是否受到了损害。</w:t>
      </w:r>
    </w:p>
    <w:p w14:paraId="1B753226">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6、</w:t>
      </w:r>
      <w:bookmarkStart w:id="30" w:name="_Toc16938527"/>
      <w:bookmarkStart w:id="31" w:name="_Toc513029211"/>
      <w:bookmarkStart w:id="32" w:name="_Toc20823283"/>
      <w:bookmarkStart w:id="33" w:name="_Toc462564070"/>
      <w:r>
        <w:rPr>
          <w:rFonts w:hint="eastAsia" w:ascii="宋体" w:hAnsi="宋体"/>
          <w:sz w:val="24"/>
          <w:highlight w:val="none"/>
        </w:rPr>
        <w:t>磋商文件的澄清</w:t>
      </w:r>
      <w:bookmarkEnd w:id="30"/>
      <w:bookmarkEnd w:id="31"/>
      <w:bookmarkEnd w:id="32"/>
      <w:bookmarkEnd w:id="33"/>
      <w:r>
        <w:rPr>
          <w:rFonts w:hint="eastAsia" w:ascii="宋体" w:hAnsi="宋体"/>
          <w:sz w:val="24"/>
          <w:highlight w:val="none"/>
        </w:rPr>
        <w:t>及修改</w:t>
      </w:r>
    </w:p>
    <w:p w14:paraId="5193A7CC">
      <w:pPr>
        <w:tabs>
          <w:tab w:val="left" w:pos="900"/>
        </w:tabs>
        <w:spacing w:after="120" w:line="360" w:lineRule="auto"/>
        <w:ind w:left="120" w:firstLine="477"/>
        <w:rPr>
          <w:rFonts w:ascii="宋体" w:hAnsi="宋体"/>
          <w:sz w:val="24"/>
          <w:highlight w:val="none"/>
        </w:rPr>
      </w:pPr>
      <w:r>
        <w:rPr>
          <w:rFonts w:hint="eastAsia" w:ascii="宋体" w:hAnsi="宋体"/>
          <w:sz w:val="24"/>
          <w:highlight w:val="none"/>
        </w:rPr>
        <w:t>6.1任何要求对磋商文件进行澄清的供应商，均应在法律法规规定的质疑时效内按竞争性磋商采购邀请中的通讯地址，以书面形式通知采购代理机构，（以采购代理机构实际收到供应商相关文件为准）。提交首次响应文件截止之日前，采购代理机构可以对已发出的磋商文件进行必要的澄清或者修改，澄清或者修改的内容作为磋商文件的组成部分。澄清或者修改的内容可能影响响应文件编制的，采购代理机构将在提交首次响应文件截止时间至少5日前，在江苏省政府采购网上发布书面更正公告形式通知所有获取磋商文件的供应商。不足5日的，采购代理机构顺延提交首次响应文件截止时间。</w:t>
      </w:r>
    </w:p>
    <w:p w14:paraId="30C9C457">
      <w:pPr>
        <w:tabs>
          <w:tab w:val="left" w:pos="900"/>
        </w:tabs>
        <w:spacing w:after="120" w:line="360" w:lineRule="auto"/>
        <w:ind w:firstLine="479"/>
        <w:rPr>
          <w:rFonts w:hint="eastAsia" w:ascii="宋体" w:hAnsi="宋体"/>
          <w:b/>
          <w:sz w:val="24"/>
          <w:highlight w:val="none"/>
        </w:rPr>
      </w:pPr>
      <w:bookmarkStart w:id="34" w:name="_Hlt26954828"/>
      <w:bookmarkEnd w:id="34"/>
      <w:bookmarkStart w:id="35" w:name="_Hlt26670354"/>
      <w:bookmarkEnd w:id="35"/>
      <w:bookmarkStart w:id="36" w:name="_Hlt26668969"/>
      <w:bookmarkEnd w:id="36"/>
      <w:bookmarkStart w:id="37" w:name="_Hlt26670345"/>
      <w:bookmarkEnd w:id="37"/>
      <w:bookmarkStart w:id="38" w:name="_Hlt26954832"/>
      <w:bookmarkEnd w:id="38"/>
      <w:bookmarkStart w:id="39" w:name="_Hlt26954830"/>
      <w:bookmarkEnd w:id="39"/>
      <w:bookmarkStart w:id="40" w:name="_Hlt26670348"/>
      <w:bookmarkEnd w:id="40"/>
      <w:bookmarkStart w:id="41" w:name="_Toc14577351"/>
      <w:bookmarkStart w:id="42" w:name="_Toc61149553"/>
      <w:bookmarkStart w:id="43" w:name="_Toc513029213"/>
      <w:bookmarkStart w:id="44" w:name="_Toc462564072"/>
      <w:r>
        <w:rPr>
          <w:rFonts w:hint="eastAsia" w:ascii="宋体" w:hAnsi="宋体"/>
          <w:b/>
          <w:sz w:val="24"/>
          <w:highlight w:val="none"/>
        </w:rPr>
        <w:t xml:space="preserve"> 二、磋商响应文件的编制</w:t>
      </w:r>
      <w:bookmarkEnd w:id="41"/>
      <w:bookmarkEnd w:id="42"/>
      <w:bookmarkEnd w:id="43"/>
      <w:bookmarkEnd w:id="44"/>
      <w:r>
        <w:rPr>
          <w:rFonts w:hint="eastAsia" w:ascii="宋体" w:hAnsi="宋体"/>
          <w:b/>
          <w:sz w:val="24"/>
          <w:highlight w:val="none"/>
        </w:rPr>
        <w:t>及保证金收取</w:t>
      </w:r>
    </w:p>
    <w:p w14:paraId="3024431B">
      <w:pPr>
        <w:tabs>
          <w:tab w:val="left" w:pos="900"/>
        </w:tabs>
        <w:spacing w:after="120" w:line="360" w:lineRule="auto"/>
        <w:ind w:firstLine="597"/>
        <w:rPr>
          <w:rFonts w:hint="eastAsia" w:ascii="宋体" w:hAnsi="宋体"/>
          <w:sz w:val="24"/>
          <w:highlight w:val="none"/>
        </w:rPr>
      </w:pPr>
      <w:bookmarkStart w:id="45" w:name="_Toc61149561"/>
      <w:bookmarkStart w:id="46" w:name="_Toc14577361"/>
      <w:bookmarkStart w:id="47" w:name="_Toc513029223"/>
      <w:r>
        <w:rPr>
          <w:rFonts w:hint="eastAsia" w:ascii="宋体" w:hAnsi="宋体"/>
          <w:sz w:val="24"/>
          <w:highlight w:val="none"/>
        </w:rPr>
        <w:t>1、磋商响应文件份数和签署</w:t>
      </w:r>
      <w:bookmarkEnd w:id="45"/>
      <w:bookmarkEnd w:id="46"/>
      <w:bookmarkEnd w:id="47"/>
    </w:p>
    <w:p w14:paraId="1D1C712C">
      <w:pPr>
        <w:tabs>
          <w:tab w:val="left" w:pos="900"/>
        </w:tabs>
        <w:spacing w:after="120" w:line="360" w:lineRule="auto"/>
        <w:ind w:left="120" w:firstLine="477"/>
        <w:rPr>
          <w:rFonts w:hint="eastAsia" w:ascii="仿宋" w:hAnsi="仿宋" w:eastAsia="仿宋"/>
          <w:sz w:val="28"/>
          <w:szCs w:val="28"/>
          <w:highlight w:val="none"/>
        </w:rPr>
      </w:pPr>
      <w:r>
        <w:rPr>
          <w:rFonts w:hint="eastAsia" w:ascii="宋体" w:hAnsi="宋体"/>
          <w:sz w:val="24"/>
          <w:highlight w:val="none"/>
        </w:rPr>
        <w:t>1.1磋商供应商应严格按照竞争性磋商采购</w:t>
      </w:r>
      <w:r>
        <w:rPr>
          <w:rFonts w:hint="eastAsia" w:ascii="宋体" w:hAnsi="宋体"/>
          <w:sz w:val="24"/>
          <w:highlight w:val="none"/>
          <w:lang w:val="en-US" w:eastAsia="zh-CN"/>
        </w:rPr>
        <w:t>文件</w:t>
      </w:r>
      <w:r>
        <w:rPr>
          <w:rFonts w:hint="eastAsia" w:ascii="宋体" w:hAnsi="宋体"/>
          <w:sz w:val="24"/>
          <w:highlight w:val="none"/>
        </w:rPr>
        <w:t>要求准备磋商响应文件（以下简称响应文件），</w:t>
      </w:r>
      <w:r>
        <w:rPr>
          <w:rFonts w:hint="eastAsia" w:ascii="宋体" w:hAnsi="宋体" w:eastAsia="宋体" w:cs="Times New Roman"/>
          <w:sz w:val="24"/>
          <w:highlight w:val="none"/>
        </w:rPr>
        <w:t>电子响应文件壹份</w:t>
      </w:r>
      <w:r>
        <w:rPr>
          <w:rFonts w:hint="eastAsia" w:ascii="宋体" w:hAnsi="宋体"/>
          <w:sz w:val="24"/>
          <w:highlight w:val="none"/>
        </w:rPr>
        <w:t>。</w:t>
      </w:r>
    </w:p>
    <w:p w14:paraId="0E26DCED">
      <w:pPr>
        <w:tabs>
          <w:tab w:val="left" w:pos="900"/>
        </w:tabs>
        <w:spacing w:after="120" w:line="360" w:lineRule="auto"/>
        <w:ind w:left="120" w:firstLine="477"/>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1.2响应文件格式中</w:t>
      </w:r>
      <w:r>
        <w:rPr>
          <w:rFonts w:hint="eastAsia" w:ascii="宋体" w:hAnsi="宋体" w:eastAsia="宋体" w:cs="Times New Roman"/>
          <w:sz w:val="24"/>
          <w:highlight w:val="none"/>
        </w:rPr>
        <w:t>须加盖供应商法人章并经法定代表人或经其授权的代表签字或</w:t>
      </w:r>
      <w:r>
        <w:rPr>
          <w:rFonts w:hint="eastAsia" w:ascii="宋体" w:hAnsi="宋体" w:cs="Times New Roman"/>
          <w:sz w:val="24"/>
          <w:highlight w:val="none"/>
          <w:lang w:eastAsia="zh-CN"/>
        </w:rPr>
        <w:t>签章</w:t>
      </w:r>
      <w:r>
        <w:rPr>
          <w:rFonts w:hint="eastAsia" w:ascii="宋体" w:hAnsi="宋体" w:eastAsia="宋体" w:cs="Times New Roman"/>
          <w:sz w:val="24"/>
          <w:highlight w:val="none"/>
        </w:rPr>
        <w:t>。授权代表签字或签章时，须将《法定代表人授权书》及其附件编制在响应文件中。</w:t>
      </w:r>
    </w:p>
    <w:p w14:paraId="19D10E81">
      <w:pPr>
        <w:tabs>
          <w:tab w:val="left" w:pos="900"/>
        </w:tabs>
        <w:spacing w:after="120" w:line="360" w:lineRule="auto"/>
        <w:ind w:firstLine="597"/>
        <w:rPr>
          <w:rFonts w:hint="eastAsia" w:ascii="宋体" w:hAnsi="宋体"/>
          <w:sz w:val="24"/>
          <w:highlight w:val="none"/>
        </w:rPr>
      </w:pPr>
      <w:bookmarkStart w:id="48" w:name="_Hlt26954834"/>
      <w:bookmarkEnd w:id="48"/>
      <w:bookmarkStart w:id="49" w:name="_Toc513029215"/>
      <w:bookmarkStart w:id="50" w:name="_Toc61149555"/>
      <w:bookmarkStart w:id="51" w:name="_Toc462564074"/>
      <w:bookmarkStart w:id="52" w:name="_Toc14577353"/>
      <w:bookmarkStart w:id="53" w:name="_Toc462564073"/>
      <w:bookmarkStart w:id="54" w:name="_Toc61149554"/>
      <w:bookmarkStart w:id="55" w:name="_Toc513029214"/>
      <w:bookmarkStart w:id="56" w:name="_Toc14577352"/>
      <w:r>
        <w:rPr>
          <w:rFonts w:hint="eastAsia" w:ascii="宋体" w:hAnsi="宋体"/>
          <w:sz w:val="24"/>
          <w:highlight w:val="none"/>
        </w:rPr>
        <w:t>2、响应文件</w:t>
      </w:r>
      <w:bookmarkEnd w:id="49"/>
      <w:bookmarkEnd w:id="50"/>
      <w:bookmarkEnd w:id="51"/>
      <w:bookmarkEnd w:id="52"/>
      <w:r>
        <w:rPr>
          <w:rFonts w:hint="eastAsia" w:ascii="宋体" w:hAnsi="宋体"/>
          <w:sz w:val="24"/>
          <w:highlight w:val="none"/>
        </w:rPr>
        <w:t>编制要求</w:t>
      </w:r>
    </w:p>
    <w:bookmarkEnd w:id="53"/>
    <w:bookmarkEnd w:id="54"/>
    <w:bookmarkEnd w:id="55"/>
    <w:bookmarkEnd w:id="56"/>
    <w:p w14:paraId="2ED28411">
      <w:pPr>
        <w:tabs>
          <w:tab w:val="left" w:pos="900"/>
        </w:tabs>
        <w:spacing w:after="120" w:line="360" w:lineRule="auto"/>
        <w:ind w:left="120" w:firstLine="477"/>
        <w:rPr>
          <w:rFonts w:hint="eastAsia" w:ascii="宋体" w:hAnsi="宋体"/>
          <w:sz w:val="24"/>
          <w:highlight w:val="none"/>
        </w:rPr>
      </w:pPr>
      <w:r>
        <w:rPr>
          <w:rFonts w:hint="eastAsia" w:ascii="宋体" w:hAnsi="宋体"/>
          <w:sz w:val="24"/>
          <w:highlight w:val="none"/>
        </w:rPr>
        <w:t>2.1磋商供应商提交的响应文件以及其与采购代理机构及采购人就有关磋商的所有来往函电均应使用简体中文。磋商文件中既有中文也有外文的，以中文意义为准。</w:t>
      </w:r>
    </w:p>
    <w:p w14:paraId="29D8EDCD">
      <w:pPr>
        <w:tabs>
          <w:tab w:val="left" w:pos="900"/>
        </w:tabs>
        <w:spacing w:after="120" w:line="360" w:lineRule="auto"/>
        <w:ind w:left="120" w:firstLine="477"/>
        <w:rPr>
          <w:rFonts w:hint="eastAsia" w:ascii="宋体" w:hAnsi="宋体"/>
          <w:sz w:val="24"/>
          <w:highlight w:val="none"/>
        </w:rPr>
      </w:pPr>
      <w:r>
        <w:rPr>
          <w:rFonts w:hint="eastAsia" w:ascii="宋体" w:hAnsi="宋体"/>
          <w:sz w:val="24"/>
          <w:highlight w:val="none"/>
        </w:rPr>
        <w:t>2.2 除技术性能另有规定外，响应文件所使用的度量衡单位，均须采用国家法定计量单位。</w:t>
      </w:r>
    </w:p>
    <w:p w14:paraId="22AD69E4">
      <w:pPr>
        <w:tabs>
          <w:tab w:val="left" w:pos="900"/>
        </w:tabs>
        <w:spacing w:after="120" w:line="360" w:lineRule="auto"/>
        <w:ind w:firstLine="597"/>
        <w:rPr>
          <w:rFonts w:hint="eastAsia" w:hAnsi="宋体"/>
          <w:b/>
          <w:sz w:val="24"/>
          <w:highlight w:val="none"/>
        </w:rPr>
      </w:pPr>
      <w:bookmarkStart w:id="57" w:name="_Hlt26954836"/>
      <w:bookmarkEnd w:id="57"/>
      <w:bookmarkStart w:id="58" w:name="_Hlt26670357"/>
      <w:bookmarkEnd w:id="58"/>
      <w:bookmarkStart w:id="59" w:name="_Toc61149558"/>
      <w:bookmarkStart w:id="60" w:name="_Toc513029219"/>
      <w:bookmarkStart w:id="61" w:name="_Toc14577357"/>
      <w:bookmarkStart w:id="62" w:name="_Toc14577355"/>
      <w:bookmarkStart w:id="63" w:name="_Toc513029217"/>
      <w:bookmarkStart w:id="64" w:name="_Toc61149557"/>
      <w:r>
        <w:rPr>
          <w:rFonts w:hint="eastAsia" w:ascii="宋体" w:hAnsi="宋体"/>
          <w:sz w:val="24"/>
          <w:highlight w:val="none"/>
        </w:rPr>
        <w:t>3、</w:t>
      </w:r>
      <w:bookmarkEnd w:id="59"/>
      <w:bookmarkEnd w:id="60"/>
      <w:bookmarkEnd w:id="61"/>
      <w:r>
        <w:rPr>
          <w:rFonts w:hint="eastAsia" w:hAnsi="宋体"/>
          <w:b/>
          <w:sz w:val="24"/>
          <w:highlight w:val="none"/>
        </w:rPr>
        <w:t>竞争性磋商响应文件的组成</w:t>
      </w:r>
    </w:p>
    <w:p w14:paraId="67129168">
      <w:pPr>
        <w:spacing w:line="360" w:lineRule="auto"/>
        <w:ind w:firstLine="472"/>
        <w:rPr>
          <w:rFonts w:hint="eastAsia" w:ascii="宋体" w:hAnsi="宋体"/>
          <w:b/>
          <w:sz w:val="24"/>
          <w:highlight w:val="none"/>
        </w:rPr>
      </w:pPr>
      <w:r>
        <w:rPr>
          <w:rFonts w:hint="eastAsia" w:ascii="宋体" w:hAnsi="宋体"/>
          <w:b/>
          <w:sz w:val="24"/>
          <w:highlight w:val="none"/>
        </w:rPr>
        <w:t>（一）资信文件：</w:t>
      </w:r>
    </w:p>
    <w:p w14:paraId="0D4937F0">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eastAsia="宋体" w:cs="Times New Roman"/>
          <w:bCs/>
          <w:sz w:val="24"/>
          <w:highlight w:val="none"/>
        </w:rPr>
        <w:t>法定代表人资格证明书及授权委托书</w:t>
      </w:r>
    </w:p>
    <w:p w14:paraId="1E2D38BF">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2</w:t>
      </w:r>
      <w:r>
        <w:rPr>
          <w:rFonts w:hint="eastAsia" w:ascii="宋体" w:hAnsi="宋体"/>
          <w:bCs/>
          <w:sz w:val="24"/>
          <w:highlight w:val="none"/>
        </w:rPr>
        <w:t>）营业执照、资质证书、安全生产许可证、项目经理建造师证、养老保险证明等（要求详见第一章</w:t>
      </w:r>
      <w:r>
        <w:rPr>
          <w:rFonts w:hint="eastAsia" w:ascii="宋体" w:hAnsi="宋体" w:cs="宋体"/>
          <w:sz w:val="24"/>
          <w:highlight w:val="none"/>
        </w:rPr>
        <w:t>3.本项目的特定资格要求</w:t>
      </w:r>
      <w:r>
        <w:rPr>
          <w:rFonts w:hint="eastAsia" w:ascii="宋体" w:hAnsi="宋体"/>
          <w:bCs/>
          <w:sz w:val="24"/>
          <w:highlight w:val="none"/>
        </w:rPr>
        <w:t>）（</w:t>
      </w:r>
      <w:r>
        <w:rPr>
          <w:rFonts w:hint="eastAsia" w:ascii="宋体" w:hAnsi="宋体"/>
          <w:bCs/>
          <w:sz w:val="24"/>
          <w:highlight w:val="none"/>
          <w:lang w:val="en-US" w:eastAsia="zh-CN"/>
        </w:rPr>
        <w:t>原件扫描件</w:t>
      </w:r>
      <w:r>
        <w:rPr>
          <w:rFonts w:hint="eastAsia" w:ascii="宋体" w:hAnsi="宋体"/>
          <w:bCs/>
          <w:sz w:val="24"/>
          <w:highlight w:val="none"/>
        </w:rPr>
        <w:t>）；</w:t>
      </w:r>
    </w:p>
    <w:p w14:paraId="0E87AEBB">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bCs/>
          <w:sz w:val="24"/>
          <w:highlight w:val="none"/>
        </w:rPr>
        <w:t>）供应商依法缴纳税收和社会保障金的良好记录</w:t>
      </w:r>
      <w:r>
        <w:rPr>
          <w:rFonts w:hint="eastAsia" w:ascii="宋体" w:hAnsi="宋体"/>
          <w:bCs/>
          <w:sz w:val="24"/>
          <w:highlight w:val="none"/>
          <w:lang w:val="en-US" w:eastAsia="zh-CN"/>
        </w:rPr>
        <w:t>原件扫描件</w:t>
      </w:r>
      <w:r>
        <w:rPr>
          <w:rFonts w:hint="eastAsia" w:ascii="宋体" w:hAnsi="宋体"/>
          <w:bCs/>
          <w:sz w:val="24"/>
          <w:highlight w:val="none"/>
        </w:rPr>
        <w:t>（如免缴或缓缴需提供相关政策文件）（要求详见第五章2.1.1资格性检查）；</w:t>
      </w:r>
    </w:p>
    <w:p w14:paraId="6560F8C7">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）供应商《信用中国》、《国家企业信用信息公示系统》截图</w:t>
      </w:r>
      <w:r>
        <w:rPr>
          <w:rFonts w:hint="eastAsia" w:ascii="宋体" w:hAnsi="宋体"/>
          <w:bCs/>
          <w:sz w:val="24"/>
          <w:highlight w:val="none"/>
          <w:lang w:val="en-US" w:eastAsia="zh-CN"/>
        </w:rPr>
        <w:t>扫描件</w:t>
      </w:r>
      <w:r>
        <w:rPr>
          <w:rFonts w:hint="eastAsia" w:ascii="宋体" w:hAnsi="宋体"/>
          <w:bCs/>
          <w:sz w:val="24"/>
          <w:highlight w:val="none"/>
        </w:rPr>
        <w:t>（要求详见第五章2.1.1资格性检查）；</w:t>
      </w:r>
    </w:p>
    <w:p w14:paraId="512A0C8B">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）承诺函（供应商3年内无重大违法记录声明、能力声明、无在建工程承诺函</w:t>
      </w:r>
      <w:r>
        <w:rPr>
          <w:rFonts w:hint="eastAsia" w:ascii="宋体" w:hAnsi="宋体"/>
          <w:bCs/>
          <w:sz w:val="24"/>
          <w:highlight w:val="none"/>
          <w:lang w:eastAsia="zh-CN"/>
        </w:rPr>
        <w:t>、</w:t>
      </w:r>
      <w:r>
        <w:rPr>
          <w:rFonts w:ascii="宋体" w:hAnsi="宋体"/>
          <w:bCs/>
          <w:sz w:val="24"/>
          <w:highlight w:val="none"/>
        </w:rPr>
        <w:t>不拖欠</w:t>
      </w:r>
      <w:r>
        <w:rPr>
          <w:rFonts w:hint="eastAsia" w:ascii="宋体" w:hAnsi="宋体"/>
          <w:bCs/>
          <w:sz w:val="24"/>
          <w:highlight w:val="none"/>
        </w:rPr>
        <w:t>农</w:t>
      </w:r>
      <w:r>
        <w:rPr>
          <w:rFonts w:ascii="宋体" w:hAnsi="宋体"/>
          <w:bCs/>
          <w:sz w:val="24"/>
          <w:highlight w:val="none"/>
        </w:rPr>
        <w:t>民工工资的承诺</w:t>
      </w:r>
      <w:r>
        <w:rPr>
          <w:rFonts w:hint="eastAsia" w:ascii="宋体" w:hAnsi="宋体"/>
          <w:bCs/>
          <w:sz w:val="24"/>
          <w:highlight w:val="none"/>
        </w:rPr>
        <w:t>等）（加盖公章）；</w:t>
      </w:r>
    </w:p>
    <w:p w14:paraId="75AAB30E">
      <w:pPr>
        <w:tabs>
          <w:tab w:val="left" w:pos="945"/>
          <w:tab w:val="left" w:pos="1050"/>
        </w:tabs>
        <w:spacing w:line="360" w:lineRule="auto"/>
        <w:ind w:firstLine="480"/>
        <w:rPr>
          <w:rFonts w:hint="eastAsia" w:ascii="宋体" w:hAnsi="宋体"/>
          <w:sz w:val="24"/>
          <w:highlight w:val="none"/>
        </w:rPr>
      </w:pP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w:t>
      </w:r>
      <w:r>
        <w:rPr>
          <w:rFonts w:hint="eastAsia" w:ascii="宋体" w:hAnsi="宋体"/>
          <w:sz w:val="24"/>
          <w:highlight w:val="none"/>
        </w:rPr>
        <w:t>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1CB4C902">
      <w:pPr>
        <w:spacing w:line="360" w:lineRule="auto"/>
        <w:ind w:firstLine="482"/>
        <w:rPr>
          <w:rFonts w:hint="eastAsia" w:ascii="宋体" w:hAnsi="宋体"/>
          <w:b/>
          <w:sz w:val="24"/>
          <w:highlight w:val="none"/>
        </w:rPr>
      </w:pPr>
      <w:r>
        <w:rPr>
          <w:rFonts w:hint="eastAsia" w:ascii="宋体" w:hAnsi="宋体"/>
          <w:b/>
          <w:sz w:val="24"/>
          <w:highlight w:val="none"/>
        </w:rPr>
        <w:t>（二）商务文件：</w:t>
      </w:r>
    </w:p>
    <w:p w14:paraId="33100E3E">
      <w:pPr>
        <w:spacing w:line="360" w:lineRule="auto"/>
        <w:ind w:firstLine="480"/>
        <w:rPr>
          <w:rFonts w:hint="eastAsia" w:ascii="宋体" w:hAnsi="宋体"/>
          <w:sz w:val="24"/>
          <w:highlight w:val="none"/>
        </w:rPr>
      </w:pPr>
      <w:r>
        <w:rPr>
          <w:rFonts w:hint="eastAsia" w:ascii="宋体" w:hAnsi="宋体"/>
          <w:sz w:val="24"/>
          <w:highlight w:val="none"/>
        </w:rPr>
        <w:t>（1）响应函；</w:t>
      </w:r>
    </w:p>
    <w:p w14:paraId="181CD9D0">
      <w:pPr>
        <w:spacing w:line="360" w:lineRule="auto"/>
        <w:ind w:firstLine="48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报价一览表</w:t>
      </w:r>
      <w:r>
        <w:rPr>
          <w:rFonts w:hint="eastAsia" w:ascii="宋体" w:hAnsi="宋体"/>
          <w:sz w:val="24"/>
          <w:highlight w:val="none"/>
        </w:rPr>
        <w:t>；</w:t>
      </w:r>
    </w:p>
    <w:p w14:paraId="0BECE943">
      <w:pPr>
        <w:spacing w:line="360" w:lineRule="auto"/>
        <w:ind w:left="479"/>
        <w:rPr>
          <w:rFonts w:hint="eastAsia" w:ascii="宋体" w:hAnsi="宋体"/>
          <w:sz w:val="24"/>
          <w:highlight w:val="none"/>
        </w:rPr>
      </w:pPr>
      <w:r>
        <w:rPr>
          <w:rFonts w:hint="eastAsia" w:ascii="宋体" w:hAnsi="宋体"/>
          <w:sz w:val="24"/>
          <w:highlight w:val="none"/>
        </w:rPr>
        <w:t>（3）工程量清单；</w:t>
      </w:r>
    </w:p>
    <w:p w14:paraId="7917824E">
      <w:pPr>
        <w:spacing w:line="360" w:lineRule="auto"/>
        <w:ind w:left="47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）项目管理机构表、投标人类似业绩表等；</w:t>
      </w:r>
    </w:p>
    <w:p w14:paraId="2E8A9523">
      <w:pPr>
        <w:spacing w:line="360" w:lineRule="auto"/>
        <w:ind w:firstLine="48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）中小企业声明函或监狱企业证明文件、或残疾人福利性单位声明函；[监狱企业在响应文件中提供由省级以上监狱管理局、戒毒管理局（含新疆生产建设兵团）出具的属于监狱企业的证明文件（如有）</w:t>
      </w:r>
    </w:p>
    <w:p w14:paraId="6CFED3B5">
      <w:pPr>
        <w:spacing w:line="360" w:lineRule="auto"/>
        <w:ind w:firstLine="48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）评审方法中应当提供的用于评审的商务文件；</w:t>
      </w:r>
    </w:p>
    <w:p w14:paraId="7C82C0FD">
      <w:pPr>
        <w:spacing w:line="360" w:lineRule="auto"/>
        <w:ind w:firstLine="48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23431105">
      <w:pPr>
        <w:spacing w:line="360" w:lineRule="auto"/>
        <w:ind w:firstLine="482"/>
        <w:rPr>
          <w:rFonts w:hint="eastAsia" w:ascii="宋体" w:hAnsi="宋体"/>
          <w:b/>
          <w:sz w:val="24"/>
          <w:highlight w:val="none"/>
        </w:rPr>
      </w:pPr>
      <w:bookmarkStart w:id="65" w:name="_Hlt26668999"/>
      <w:bookmarkEnd w:id="65"/>
      <w:r>
        <w:rPr>
          <w:rFonts w:hint="eastAsia" w:ascii="宋体" w:hAnsi="宋体"/>
          <w:b/>
          <w:sz w:val="24"/>
          <w:highlight w:val="none"/>
        </w:rPr>
        <w:t>（三）技术文件：</w:t>
      </w:r>
    </w:p>
    <w:p w14:paraId="066602D7">
      <w:pPr>
        <w:spacing w:line="360" w:lineRule="auto"/>
        <w:ind w:firstLine="480"/>
        <w:rPr>
          <w:rFonts w:hint="eastAsia" w:ascii="宋体" w:hAnsi="宋体"/>
          <w:sz w:val="24"/>
          <w:highlight w:val="none"/>
        </w:rPr>
      </w:pPr>
      <w:r>
        <w:rPr>
          <w:rFonts w:hint="eastAsia" w:ascii="宋体" w:hAnsi="宋体"/>
          <w:sz w:val="24"/>
          <w:highlight w:val="none"/>
        </w:rPr>
        <w:t>（1）评审方法中应当提供的用于评审的技术文件；</w:t>
      </w:r>
    </w:p>
    <w:p w14:paraId="764D7A14">
      <w:pPr>
        <w:spacing w:line="360" w:lineRule="auto"/>
        <w:ind w:firstLine="480"/>
        <w:rPr>
          <w:rFonts w:hint="eastAsia" w:ascii="宋体" w:hAnsi="宋体"/>
          <w:sz w:val="24"/>
          <w:highlight w:val="none"/>
        </w:rPr>
      </w:pPr>
      <w:r>
        <w:rPr>
          <w:rFonts w:hint="eastAsia" w:ascii="宋体" w:hAnsi="宋体"/>
          <w:sz w:val="24"/>
          <w:highlight w:val="none"/>
        </w:rPr>
        <w:t>（2）本磋商文件要求提供的和响应人认为需要提供的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5B79BC8A">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4、根据项目需求和评审方法以及评审标准，供应商为使自身处于有利评审地位，应当提交的其他文件和证明资料。</w:t>
      </w:r>
    </w:p>
    <w:p w14:paraId="71A5FACE">
      <w:pPr>
        <w:tabs>
          <w:tab w:val="left" w:pos="900"/>
        </w:tabs>
        <w:spacing w:after="120" w:line="360" w:lineRule="auto"/>
        <w:ind w:firstLine="600"/>
        <w:rPr>
          <w:rFonts w:hint="eastAsia" w:ascii="宋体" w:hAnsi="宋体"/>
          <w:sz w:val="24"/>
          <w:highlight w:val="none"/>
        </w:rPr>
      </w:pPr>
      <w:r>
        <w:rPr>
          <w:rFonts w:hint="eastAsia" w:ascii="宋体" w:hAnsi="宋体"/>
          <w:sz w:val="24"/>
          <w:highlight w:val="none"/>
        </w:rPr>
        <w:t>5、磋商响应报价</w:t>
      </w:r>
      <w:bookmarkEnd w:id="62"/>
      <w:bookmarkEnd w:id="63"/>
      <w:bookmarkStart w:id="66" w:name="_Hlt26670373"/>
      <w:bookmarkEnd w:id="66"/>
      <w:r>
        <w:rPr>
          <w:rFonts w:hint="eastAsia" w:ascii="宋体" w:hAnsi="宋体"/>
          <w:sz w:val="24"/>
          <w:highlight w:val="none"/>
        </w:rPr>
        <w:t>表</w:t>
      </w:r>
      <w:bookmarkEnd w:id="64"/>
    </w:p>
    <w:p w14:paraId="124AAF93">
      <w:pPr>
        <w:tabs>
          <w:tab w:val="left" w:pos="900"/>
        </w:tabs>
        <w:spacing w:after="120" w:line="360" w:lineRule="auto"/>
        <w:ind w:left="120" w:firstLine="480"/>
        <w:rPr>
          <w:rFonts w:hint="eastAsia" w:ascii="宋体" w:hAnsi="宋体"/>
          <w:sz w:val="24"/>
          <w:highlight w:val="none"/>
        </w:rPr>
      </w:pPr>
      <w:r>
        <w:rPr>
          <w:rFonts w:hint="eastAsia" w:ascii="宋体" w:hAnsi="宋体"/>
          <w:sz w:val="24"/>
          <w:highlight w:val="none"/>
        </w:rPr>
        <w:t>5.1磋商供应商应按照磋商文件规定格式填报磋商响应报价表</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以苏采云系统格式为准</w:t>
      </w:r>
      <w:r>
        <w:rPr>
          <w:rFonts w:hint="eastAsia" w:ascii="宋体" w:hAnsi="宋体" w:eastAsia="宋体" w:cs="Times New Roman"/>
          <w:sz w:val="24"/>
          <w:highlight w:val="none"/>
          <w:lang w:eastAsia="zh-CN"/>
        </w:rPr>
        <w:t>）</w:t>
      </w:r>
      <w:r>
        <w:rPr>
          <w:rFonts w:hint="eastAsia" w:ascii="宋体" w:hAnsi="宋体"/>
          <w:sz w:val="24"/>
          <w:highlight w:val="none"/>
        </w:rPr>
        <w:t>。磋商文件中另有规定的按规定执行。</w:t>
      </w:r>
    </w:p>
    <w:p w14:paraId="56940EFA">
      <w:pPr>
        <w:tabs>
          <w:tab w:val="left" w:pos="900"/>
        </w:tabs>
        <w:spacing w:after="120" w:line="360" w:lineRule="auto"/>
        <w:ind w:firstLine="600"/>
        <w:rPr>
          <w:rFonts w:hint="eastAsia" w:ascii="宋体" w:hAnsi="宋体"/>
          <w:sz w:val="24"/>
          <w:highlight w:val="none"/>
        </w:rPr>
      </w:pPr>
      <w:r>
        <w:rPr>
          <w:rFonts w:hint="eastAsia" w:ascii="宋体" w:hAnsi="宋体"/>
          <w:sz w:val="24"/>
          <w:highlight w:val="none"/>
        </w:rPr>
        <w:t>5.2标的物</w:t>
      </w:r>
    </w:p>
    <w:p w14:paraId="78DF300B">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详见项目需求。</w:t>
      </w:r>
    </w:p>
    <w:p w14:paraId="36A143A1">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5.3有关费用处理</w:t>
      </w:r>
    </w:p>
    <w:p w14:paraId="363AC050">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本次采购磋商供应商的总报价应包括为完成本项目发生的所有费用，本磋商文件中另有规定的除外。</w:t>
      </w:r>
    </w:p>
    <w:p w14:paraId="6F9D4F62">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5.4</w:t>
      </w:r>
      <w:r>
        <w:rPr>
          <w:rFonts w:hint="eastAsia" w:ascii="宋体" w:hAnsi="宋体"/>
          <w:sz w:val="24"/>
          <w:highlight w:val="none"/>
          <w:lang w:eastAsia="zh-CN"/>
        </w:rPr>
        <w:t>其他</w:t>
      </w:r>
      <w:r>
        <w:rPr>
          <w:rFonts w:hint="eastAsia" w:ascii="宋体" w:hAnsi="宋体"/>
          <w:sz w:val="24"/>
          <w:highlight w:val="none"/>
        </w:rPr>
        <w:t>费用处理</w:t>
      </w:r>
    </w:p>
    <w:p w14:paraId="24A1CAE5">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磋商文件未列明，而磋商供应商认为必须的费用也须列入报价。</w:t>
      </w:r>
    </w:p>
    <w:p w14:paraId="0FE03046">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5.5报价采用的货币</w:t>
      </w:r>
    </w:p>
    <w:p w14:paraId="44E73D4E">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响应文件中的单价和总价，无特殊规定的采用人民币报价，以元为单位标注。磋商文件中另有规定的按规定执行。</w:t>
      </w:r>
    </w:p>
    <w:p w14:paraId="5B906506">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5.6 磋商响应报价表上的价格应按磋商文件规定填写。</w:t>
      </w:r>
    </w:p>
    <w:p w14:paraId="7ACBDC72">
      <w:pPr>
        <w:tabs>
          <w:tab w:val="left" w:pos="900"/>
        </w:tabs>
        <w:spacing w:after="120" w:line="360" w:lineRule="auto"/>
        <w:ind w:firstLine="477"/>
        <w:rPr>
          <w:rFonts w:hint="eastAsia" w:ascii="宋体" w:hAnsi="宋体"/>
          <w:sz w:val="24"/>
          <w:highlight w:val="none"/>
        </w:rPr>
      </w:pPr>
      <w:bookmarkStart w:id="67" w:name="_Hlt26954842"/>
      <w:bookmarkEnd w:id="67"/>
      <w:bookmarkStart w:id="68" w:name="_Hlt26954731"/>
      <w:bookmarkEnd w:id="68"/>
      <w:bookmarkStart w:id="69" w:name="_Hlt26954844"/>
      <w:bookmarkEnd w:id="69"/>
      <w:bookmarkStart w:id="70" w:name="_Hlt26954848"/>
      <w:bookmarkEnd w:id="70"/>
      <w:bookmarkStart w:id="71" w:name="_Hlt26670482"/>
      <w:bookmarkEnd w:id="71"/>
      <w:bookmarkStart w:id="72" w:name="_Hlt26670425"/>
      <w:bookmarkEnd w:id="72"/>
      <w:bookmarkStart w:id="73" w:name="_Hlt26670403"/>
      <w:bookmarkEnd w:id="73"/>
      <w:bookmarkStart w:id="74" w:name="_Hlt26668983"/>
      <w:bookmarkEnd w:id="74"/>
      <w:bookmarkStart w:id="75" w:name="_Hlt26954846"/>
      <w:bookmarkEnd w:id="75"/>
      <w:bookmarkStart w:id="76" w:name="_Hlt26670486"/>
      <w:bookmarkEnd w:id="76"/>
      <w:bookmarkStart w:id="77" w:name="_Toc61149559"/>
      <w:bookmarkStart w:id="78" w:name="_Toc14577359"/>
      <w:bookmarkStart w:id="79" w:name="_Toc513029221"/>
      <w:r>
        <w:rPr>
          <w:rFonts w:hint="eastAsia" w:ascii="宋体" w:hAnsi="宋体"/>
          <w:sz w:val="24"/>
          <w:highlight w:val="none"/>
        </w:rPr>
        <w:t>6、项目需求响应方案</w:t>
      </w:r>
    </w:p>
    <w:p w14:paraId="085C803A">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6.1提供为完成本项目的总体实施方案。</w:t>
      </w:r>
    </w:p>
    <w:p w14:paraId="6E4CE41D">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6.2对磋商文件中项目需求的技术与商务条款要求逐项作出应答，并提供依据或说明。</w:t>
      </w:r>
    </w:p>
    <w:p w14:paraId="7D20EA1D">
      <w:pPr>
        <w:tabs>
          <w:tab w:val="left" w:pos="900"/>
        </w:tabs>
        <w:spacing w:after="120" w:line="360" w:lineRule="auto"/>
        <w:ind w:firstLine="477"/>
        <w:rPr>
          <w:rFonts w:ascii="宋体" w:hAnsi="宋体"/>
          <w:sz w:val="24"/>
          <w:highlight w:val="none"/>
        </w:rPr>
      </w:pPr>
      <w:r>
        <w:rPr>
          <w:rFonts w:hint="eastAsia" w:ascii="宋体" w:hAnsi="宋体"/>
          <w:sz w:val="24"/>
          <w:highlight w:val="none"/>
        </w:rPr>
        <w:t>6.3磋商供应商认为需要的其他技术文件或说明。</w:t>
      </w:r>
    </w:p>
    <w:bookmarkEnd w:id="77"/>
    <w:bookmarkEnd w:id="78"/>
    <w:bookmarkEnd w:id="79"/>
    <w:p w14:paraId="3C7FF537">
      <w:pPr>
        <w:tabs>
          <w:tab w:val="left" w:pos="900"/>
        </w:tabs>
        <w:spacing w:after="120" w:line="360" w:lineRule="auto"/>
        <w:ind w:firstLine="477"/>
        <w:rPr>
          <w:rFonts w:hint="eastAsia" w:ascii="宋体" w:hAnsi="宋体"/>
          <w:sz w:val="24"/>
          <w:highlight w:val="none"/>
        </w:rPr>
      </w:pPr>
      <w:bookmarkStart w:id="80" w:name="_Hlt26954850"/>
      <w:bookmarkEnd w:id="80"/>
      <w:bookmarkStart w:id="81" w:name="_Hlt26954734"/>
      <w:bookmarkEnd w:id="81"/>
      <w:bookmarkStart w:id="82" w:name="_Hlt26670493"/>
      <w:bookmarkEnd w:id="82"/>
      <w:bookmarkStart w:id="83" w:name="_Hlt26954749"/>
      <w:bookmarkEnd w:id="83"/>
      <w:bookmarkStart w:id="84" w:name="_Hlt26670489"/>
      <w:bookmarkEnd w:id="84"/>
      <w:bookmarkStart w:id="85" w:name="_Hlt26954854"/>
      <w:bookmarkEnd w:id="85"/>
      <w:bookmarkStart w:id="86" w:name="_Hlt26954739"/>
      <w:bookmarkEnd w:id="86"/>
      <w:bookmarkStart w:id="87" w:name="_Hlt26954852"/>
      <w:bookmarkEnd w:id="87"/>
      <w:bookmarkStart w:id="88" w:name="_Toc513029224"/>
      <w:bookmarkStart w:id="89" w:name="_Toc14577362"/>
      <w:bookmarkStart w:id="90" w:name="_Toc61149562"/>
      <w:r>
        <w:rPr>
          <w:rFonts w:hint="eastAsia" w:ascii="宋体" w:hAnsi="宋体"/>
          <w:sz w:val="24"/>
          <w:highlight w:val="none"/>
        </w:rPr>
        <w:t>7、磋商保证金</w:t>
      </w:r>
    </w:p>
    <w:p w14:paraId="529C9951">
      <w:pPr>
        <w:pStyle w:val="223"/>
        <w:spacing w:before="75" w:beforeAutospacing="0" w:after="75" w:afterAutospacing="0" w:line="360" w:lineRule="auto"/>
        <w:ind w:firstLine="470"/>
        <w:rPr>
          <w:rFonts w:hint="eastAsia"/>
          <w:highlight w:val="none"/>
        </w:rPr>
      </w:pPr>
      <w:r>
        <w:rPr>
          <w:rFonts w:hint="eastAsia"/>
          <w:highlight w:val="none"/>
        </w:rPr>
        <w:t>7.1本次磋商保证金人民</w:t>
      </w:r>
      <w:r>
        <w:rPr>
          <w:rFonts w:hint="eastAsia"/>
          <w:highlight w:val="none"/>
          <w:u w:val="single"/>
        </w:rPr>
        <w:t xml:space="preserve">币  / </w:t>
      </w:r>
      <w:r>
        <w:rPr>
          <w:rFonts w:hint="eastAsia"/>
          <w:highlight w:val="none"/>
        </w:rPr>
        <w:t>元（本次招标不收取磋商保证金）。</w:t>
      </w:r>
      <w:r>
        <w:rPr>
          <w:rFonts w:hint="eastAsia"/>
          <w:szCs w:val="21"/>
          <w:highlight w:val="none"/>
        </w:rPr>
        <w:t>根据《关于做好政府采购支持企业发展有关事项的通知》（苏财购[2020]52号）文件规定本项目不缴纳磋商保证金。磋商文件中有关磋商保证金的条款均取消。</w:t>
      </w:r>
    </w:p>
    <w:p w14:paraId="5171B891">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8、履约保证金</w:t>
      </w:r>
    </w:p>
    <w:p w14:paraId="339A7CE5">
      <w:pPr>
        <w:pStyle w:val="223"/>
        <w:spacing w:before="75" w:beforeAutospacing="0" w:after="75" w:afterAutospacing="0" w:line="360" w:lineRule="auto"/>
        <w:ind w:firstLine="470"/>
        <w:rPr>
          <w:rFonts w:hint="eastAsia"/>
          <w:highlight w:val="none"/>
        </w:rPr>
      </w:pPr>
      <w:r>
        <w:rPr>
          <w:rFonts w:hint="eastAsia"/>
          <w:highlight w:val="none"/>
        </w:rPr>
        <w:t>合同签订前，中标供应商须向采购人指定账户缴纳中标金额5%的履约保证金（本次招标收取履约保证金）。</w:t>
      </w:r>
    </w:p>
    <w:p w14:paraId="134CDC26">
      <w:pPr>
        <w:pStyle w:val="223"/>
        <w:spacing w:before="75" w:beforeAutospacing="0" w:after="75" w:afterAutospacing="0" w:line="360" w:lineRule="auto"/>
        <w:ind w:firstLine="472"/>
        <w:rPr>
          <w:rFonts w:hint="eastAsia"/>
          <w:highlight w:val="none"/>
        </w:rPr>
      </w:pPr>
      <w:r>
        <w:rPr>
          <w:rFonts w:hint="eastAsia"/>
          <w:b/>
          <w:bCs/>
          <w:highlight w:val="none"/>
        </w:rPr>
        <w:t>履约保证金的缴纳形式推行电子履约保函（保险）</w:t>
      </w:r>
      <w:r>
        <w:rPr>
          <w:rFonts w:ascii="Times New Roman"/>
          <w:b/>
          <w:bCs/>
          <w:highlight w:val="none"/>
        </w:rPr>
        <w:t>，具体内容见</w:t>
      </w:r>
      <w:r>
        <w:rPr>
          <w:rFonts w:hint="eastAsia" w:ascii="Times New Roman"/>
          <w:b/>
          <w:bCs/>
          <w:highlight w:val="none"/>
        </w:rPr>
        <w:t>泰财购〔2023〕33号</w:t>
      </w:r>
      <w:r>
        <w:rPr>
          <w:rFonts w:ascii="Times New Roman"/>
          <w:b/>
          <w:bCs/>
          <w:highlight w:val="none"/>
        </w:rPr>
        <w:t>文《</w:t>
      </w:r>
      <w:r>
        <w:rPr>
          <w:rFonts w:hint="eastAsia" w:ascii="Times New Roman"/>
          <w:b/>
          <w:bCs/>
          <w:highlight w:val="none"/>
        </w:rPr>
        <w:t>江苏省财政厅国家金融监督管理总局江苏监管局江苏省地方金融监督管理局 关于在全省政府采购领域推行电子履约保函（保险）的通知</w:t>
      </w:r>
      <w:r>
        <w:rPr>
          <w:rFonts w:ascii="Times New Roman"/>
          <w:b/>
          <w:bCs/>
          <w:highlight w:val="none"/>
        </w:rPr>
        <w:t>》。</w:t>
      </w:r>
    </w:p>
    <w:p w14:paraId="1C06F61B">
      <w:pPr>
        <w:spacing w:line="360" w:lineRule="auto"/>
        <w:ind w:firstLine="482"/>
        <w:rPr>
          <w:rFonts w:hint="eastAsia" w:ascii="宋体" w:hAnsi="宋体"/>
          <w:b/>
          <w:sz w:val="24"/>
          <w:highlight w:val="none"/>
        </w:rPr>
      </w:pPr>
      <w:r>
        <w:rPr>
          <w:rFonts w:hint="eastAsia" w:ascii="宋体" w:hAnsi="宋体"/>
          <w:b/>
          <w:sz w:val="24"/>
          <w:highlight w:val="none"/>
        </w:rPr>
        <w:t>三、</w:t>
      </w:r>
      <w:r>
        <w:rPr>
          <w:rFonts w:hint="eastAsia" w:ascii="宋体" w:hAnsi="宋体"/>
          <w:b/>
          <w:sz w:val="24"/>
          <w:highlight w:val="none"/>
          <w:lang w:val="en-US" w:eastAsia="zh-CN"/>
        </w:rPr>
        <w:t>电子磋商</w:t>
      </w:r>
      <w:r>
        <w:rPr>
          <w:rFonts w:hint="eastAsia" w:ascii="宋体" w:hAnsi="宋体"/>
          <w:b/>
          <w:sz w:val="24"/>
          <w:highlight w:val="none"/>
        </w:rPr>
        <w:t>响应文件的递交</w:t>
      </w:r>
      <w:bookmarkEnd w:id="88"/>
      <w:bookmarkEnd w:id="89"/>
      <w:bookmarkEnd w:id="90"/>
    </w:p>
    <w:p w14:paraId="5E8F5D40">
      <w:pPr>
        <w:tabs>
          <w:tab w:val="left" w:pos="900"/>
        </w:tabs>
        <w:spacing w:after="120" w:line="360" w:lineRule="auto"/>
        <w:ind w:firstLine="480"/>
        <w:rPr>
          <w:rFonts w:hint="eastAsia" w:ascii="宋体" w:hAnsi="宋体" w:eastAsia="宋体"/>
          <w:sz w:val="24"/>
          <w:highlight w:val="none"/>
          <w:lang w:eastAsia="zh-CN"/>
        </w:rPr>
      </w:pPr>
      <w:bookmarkStart w:id="91" w:name="_Hlt26954856"/>
      <w:bookmarkEnd w:id="91"/>
      <w:r>
        <w:rPr>
          <w:rFonts w:hint="eastAsia" w:ascii="宋体" w:hAnsi="宋体" w:eastAsia="宋体" w:cs="宋体"/>
          <w:color w:val="000000"/>
          <w:sz w:val="24"/>
          <w:szCs w:val="24"/>
          <w:highlight w:val="none"/>
          <w:lang w:val="en-US" w:eastAsia="zh-CN"/>
        </w:rPr>
        <w:t>1、供应商</w:t>
      </w:r>
      <w:r>
        <w:rPr>
          <w:rFonts w:hint="eastAsia" w:ascii="宋体" w:hAnsi="宋体" w:eastAsia="宋体" w:cs="宋体"/>
          <w:color w:val="000000"/>
          <w:sz w:val="24"/>
          <w:szCs w:val="24"/>
          <w:highlight w:val="none"/>
        </w:rPr>
        <w:t>应当按照《操作手册》规定，在提交响应文件截止时间前制作并上传电子响应文件</w:t>
      </w:r>
      <w:r>
        <w:rPr>
          <w:rFonts w:hint="eastAsia" w:ascii="宋体" w:hAnsi="宋体" w:eastAsia="宋体" w:cs="宋体"/>
          <w:color w:val="000000"/>
          <w:sz w:val="24"/>
          <w:szCs w:val="24"/>
          <w:highlight w:val="none"/>
          <w:lang w:eastAsia="zh-CN"/>
        </w:rPr>
        <w:t>。</w:t>
      </w:r>
    </w:p>
    <w:p w14:paraId="1F6F1EDC">
      <w:pPr>
        <w:numPr>
          <w:ilvl w:val="0"/>
          <w:numId w:val="7"/>
        </w:numPr>
        <w:tabs>
          <w:tab w:val="left" w:pos="900"/>
        </w:tabs>
        <w:spacing w:after="120" w:line="360" w:lineRule="auto"/>
        <w:ind w:firstLine="477"/>
        <w:rPr>
          <w:rFonts w:hint="eastAsia" w:ascii="宋体" w:hAnsi="宋体"/>
          <w:sz w:val="24"/>
          <w:highlight w:val="none"/>
        </w:rPr>
      </w:pPr>
      <w:bookmarkStart w:id="92" w:name="_Hlt26954858"/>
      <w:bookmarkEnd w:id="92"/>
      <w:bookmarkStart w:id="93" w:name="_Hlt26670496"/>
      <w:bookmarkEnd w:id="93"/>
      <w:bookmarkStart w:id="94" w:name="_Hlt26954752"/>
      <w:bookmarkEnd w:id="94"/>
      <w:r>
        <w:rPr>
          <w:rFonts w:hint="eastAsia" w:ascii="宋体" w:hAnsi="宋体"/>
          <w:sz w:val="24"/>
          <w:highlight w:val="none"/>
        </w:rPr>
        <w:t>响应文件开启时间</w:t>
      </w:r>
      <w:r>
        <w:rPr>
          <w:rFonts w:hint="eastAsia" w:ascii="宋体" w:hAnsi="宋体"/>
          <w:sz w:val="24"/>
          <w:highlight w:val="none"/>
          <w:lang w:eastAsia="zh-CN"/>
        </w:rPr>
        <w:t>、</w:t>
      </w:r>
      <w:r>
        <w:rPr>
          <w:rFonts w:hint="eastAsia" w:ascii="宋体" w:hAnsi="宋体"/>
          <w:sz w:val="24"/>
          <w:highlight w:val="none"/>
          <w:lang w:val="en-US" w:eastAsia="zh-CN"/>
        </w:rPr>
        <w:t>提交响应文件截止时间</w:t>
      </w:r>
    </w:p>
    <w:p w14:paraId="2F27C7CB">
      <w:pPr>
        <w:keepNext w:val="0"/>
        <w:keepLines w:val="0"/>
        <w:pageBreakBefore w:val="0"/>
        <w:widowControl w:val="0"/>
        <w:spacing w:line="48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u w:val="none"/>
        </w:rPr>
        <w:t>供应商上传电子响应文件的时间不得迟于磋商公告中规定的提交响应文件截止时间。</w:t>
      </w:r>
    </w:p>
    <w:p w14:paraId="3D64E67A">
      <w:pPr>
        <w:keepNext w:val="0"/>
        <w:keepLines w:val="0"/>
        <w:pageBreakBefore w:val="0"/>
        <w:widowControl w:val="0"/>
        <w:spacing w:line="48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供应商应充分考虑到网络环境、网络带宽等风险因素，如因供应商自身原因造成的电子响应文件上传不成功的按照本磋商文件第二章第</w:t>
      </w:r>
      <w:r>
        <w:rPr>
          <w:rFonts w:hint="eastAsia" w:ascii="宋体" w:hAnsi="宋体" w:eastAsia="宋体" w:cs="宋体"/>
          <w:color w:val="000000"/>
          <w:sz w:val="24"/>
          <w:szCs w:val="24"/>
          <w:highlight w:val="none"/>
          <w:lang w:val="en-US" w:eastAsia="zh-CN"/>
        </w:rPr>
        <w:t>5.4</w:t>
      </w:r>
      <w:r>
        <w:rPr>
          <w:rFonts w:hint="eastAsia" w:ascii="宋体" w:hAnsi="宋体" w:eastAsia="宋体" w:cs="宋体"/>
          <w:color w:val="000000"/>
          <w:sz w:val="24"/>
          <w:szCs w:val="24"/>
          <w:highlight w:val="none"/>
        </w:rPr>
        <w:t>条</w:t>
      </w:r>
      <w:r>
        <w:rPr>
          <w:rFonts w:hint="eastAsia" w:ascii="宋体" w:hAnsi="宋体" w:eastAsia="宋体" w:cs="宋体"/>
          <w:color w:val="000000"/>
          <w:sz w:val="24"/>
          <w:szCs w:val="24"/>
          <w:highlight w:val="none"/>
          <w:lang w:val="en-US" w:eastAsia="zh-CN"/>
        </w:rPr>
        <w:t>第二条</w:t>
      </w:r>
      <w:r>
        <w:rPr>
          <w:rFonts w:hint="eastAsia" w:ascii="宋体" w:hAnsi="宋体" w:eastAsia="宋体" w:cs="宋体"/>
          <w:color w:val="000000"/>
          <w:sz w:val="24"/>
          <w:szCs w:val="24"/>
          <w:highlight w:val="none"/>
        </w:rPr>
        <w:t>规定做无效响应处理。</w:t>
      </w:r>
    </w:p>
    <w:p w14:paraId="01836378">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2.2</w:t>
      </w:r>
      <w:r>
        <w:rPr>
          <w:rFonts w:hint="eastAsia" w:ascii="宋体" w:hAnsi="宋体" w:eastAsia="宋体" w:cs="宋体"/>
          <w:color w:val="000000"/>
          <w:sz w:val="24"/>
          <w:szCs w:val="24"/>
          <w:highlight w:val="none"/>
          <w:lang w:eastAsia="zh-CN"/>
        </w:rPr>
        <w:t>采购人和采购代理机构</w:t>
      </w:r>
      <w:r>
        <w:rPr>
          <w:rFonts w:hint="eastAsia" w:ascii="宋体" w:hAnsi="宋体" w:eastAsia="宋体" w:cs="宋体"/>
          <w:color w:val="000000"/>
          <w:sz w:val="24"/>
          <w:szCs w:val="24"/>
          <w:highlight w:val="none"/>
        </w:rPr>
        <w:t>可以按照规定，</w:t>
      </w:r>
      <w:r>
        <w:rPr>
          <w:rFonts w:hint="eastAsia" w:ascii="宋体" w:hAnsi="宋体"/>
          <w:sz w:val="24"/>
          <w:highlight w:val="none"/>
        </w:rPr>
        <w:t>通过修改磋商文件自行决定酌情推迟响应文件接收截止时间，在此情况下，磋商供应商的所有权利和义务以及受制的响应文件接收截止时间均应以延长后新的响应文件接收截止时间为准。</w:t>
      </w:r>
    </w:p>
    <w:p w14:paraId="158E5373">
      <w:pPr>
        <w:tabs>
          <w:tab w:val="left" w:pos="900"/>
        </w:tabs>
        <w:spacing w:after="120" w:line="360" w:lineRule="auto"/>
        <w:ind w:firstLine="477"/>
        <w:rPr>
          <w:rFonts w:hint="eastAsia" w:ascii="宋体" w:hAnsi="宋体"/>
          <w:sz w:val="24"/>
          <w:highlight w:val="none"/>
        </w:rPr>
      </w:pPr>
      <w:bookmarkStart w:id="95" w:name="_Hlt26954860"/>
      <w:bookmarkEnd w:id="95"/>
      <w:bookmarkStart w:id="96" w:name="_Toc14577365"/>
      <w:bookmarkStart w:id="97" w:name="_Toc513029227"/>
      <w:bookmarkStart w:id="98" w:name="_Toc61149565"/>
      <w:r>
        <w:rPr>
          <w:rFonts w:hint="eastAsia" w:ascii="宋体" w:hAnsi="宋体"/>
          <w:sz w:val="24"/>
          <w:highlight w:val="none"/>
        </w:rPr>
        <w:t>3、迟交的响应文件</w:t>
      </w:r>
      <w:bookmarkEnd w:id="96"/>
      <w:bookmarkEnd w:id="97"/>
      <w:bookmarkEnd w:id="98"/>
    </w:p>
    <w:p w14:paraId="6BAA7D0F">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3.1采购代理机构将拒绝在规定的响应文件接收截止时间后接收任何响应文件。</w:t>
      </w:r>
    </w:p>
    <w:p w14:paraId="6008D9F5">
      <w:pPr>
        <w:tabs>
          <w:tab w:val="left" w:pos="900"/>
        </w:tabs>
        <w:spacing w:after="120" w:line="360" w:lineRule="auto"/>
        <w:ind w:firstLine="477"/>
        <w:rPr>
          <w:rFonts w:hint="eastAsia" w:ascii="宋体" w:hAnsi="宋体"/>
          <w:sz w:val="24"/>
          <w:highlight w:val="none"/>
        </w:rPr>
      </w:pPr>
      <w:bookmarkStart w:id="99" w:name="_Hlt26954754"/>
      <w:bookmarkEnd w:id="99"/>
      <w:bookmarkStart w:id="100" w:name="_Hlt26954862"/>
      <w:bookmarkEnd w:id="100"/>
      <w:bookmarkStart w:id="101" w:name="_Toc513029228"/>
      <w:bookmarkStart w:id="102" w:name="_Toc61149566"/>
      <w:bookmarkStart w:id="103" w:name="_Toc14577366"/>
      <w:r>
        <w:rPr>
          <w:rFonts w:hint="eastAsia" w:ascii="宋体" w:hAnsi="宋体"/>
          <w:sz w:val="24"/>
          <w:highlight w:val="none"/>
        </w:rPr>
        <w:t>4、响应文件</w:t>
      </w:r>
      <w:bookmarkStart w:id="104" w:name="_Hlt26670588"/>
      <w:r>
        <w:rPr>
          <w:rFonts w:hint="eastAsia" w:ascii="宋体" w:hAnsi="宋体"/>
          <w:sz w:val="24"/>
          <w:highlight w:val="none"/>
        </w:rPr>
        <w:t>的修改</w:t>
      </w:r>
      <w:bookmarkEnd w:id="104"/>
      <w:r>
        <w:rPr>
          <w:rFonts w:hint="eastAsia" w:ascii="宋体" w:hAnsi="宋体"/>
          <w:sz w:val="24"/>
          <w:highlight w:val="none"/>
        </w:rPr>
        <w:t>和撤回</w:t>
      </w:r>
      <w:bookmarkEnd w:id="101"/>
      <w:bookmarkEnd w:id="102"/>
      <w:bookmarkEnd w:id="103"/>
    </w:p>
    <w:p w14:paraId="401A8E8F">
      <w:pPr>
        <w:keepNext w:val="0"/>
        <w:keepLines w:val="0"/>
        <w:pageBreakBefore w:val="0"/>
        <w:widowControl w:val="0"/>
        <w:spacing w:line="360" w:lineRule="auto"/>
        <w:ind w:firstLine="480"/>
        <w:rPr>
          <w:rFonts w:hint="eastAsia" w:ascii="宋体" w:hAnsi="宋体"/>
          <w:sz w:val="24"/>
          <w:highlight w:val="none"/>
        </w:rPr>
      </w:pPr>
      <w:r>
        <w:rPr>
          <w:rFonts w:hint="eastAsia" w:ascii="宋体" w:hAnsi="宋体"/>
          <w:sz w:val="24"/>
          <w:highlight w:val="none"/>
        </w:rPr>
        <w:t>4.1</w:t>
      </w:r>
      <w:r>
        <w:rPr>
          <w:rFonts w:hint="eastAsia" w:ascii="宋体" w:hAnsi="宋体" w:eastAsia="宋体" w:cs="宋体"/>
          <w:color w:val="000000"/>
          <w:sz w:val="24"/>
          <w:szCs w:val="24"/>
          <w:highlight w:val="none"/>
        </w:rPr>
        <w:t>响应文件的修改</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供应商可在提交响应文件截止时间前，对其电子响应文件进行修改，具体操作方法见《操作手册》。</w:t>
      </w:r>
    </w:p>
    <w:p w14:paraId="41EA3702">
      <w:pPr>
        <w:keepNext w:val="0"/>
        <w:keepLines w:val="0"/>
        <w:pageBreakBefore w:val="0"/>
        <w:widowControl w:val="0"/>
        <w:spacing w:line="360" w:lineRule="auto"/>
        <w:ind w:firstLine="480"/>
        <w:rPr>
          <w:rFonts w:hint="eastAsia" w:ascii="宋体" w:hAnsi="宋体" w:eastAsia="宋体" w:cs="宋体"/>
          <w:color w:val="000000"/>
          <w:sz w:val="24"/>
          <w:szCs w:val="24"/>
          <w:highlight w:val="none"/>
        </w:rPr>
      </w:pPr>
      <w:r>
        <w:rPr>
          <w:rFonts w:hint="eastAsia" w:ascii="宋体" w:hAnsi="宋体"/>
          <w:sz w:val="24"/>
          <w:highlight w:val="none"/>
        </w:rPr>
        <w:t>4.2</w:t>
      </w:r>
      <w:r>
        <w:rPr>
          <w:rFonts w:hint="eastAsia" w:ascii="宋体" w:hAnsi="宋体" w:eastAsia="宋体" w:cs="宋体"/>
          <w:color w:val="000000"/>
          <w:sz w:val="24"/>
          <w:szCs w:val="24"/>
          <w:highlight w:val="none"/>
        </w:rPr>
        <w:t>响应文件的撤回</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供应商可在提交响应文件截止时间前，撤回其电子响应文件，具体操作方法见《操作手册》。供应商撤回电子响应文件，则认为其不再参与本项目磋商活动。</w:t>
      </w:r>
    </w:p>
    <w:p w14:paraId="38B22B69">
      <w:pPr>
        <w:keepNext w:val="0"/>
        <w:keepLines w:val="0"/>
        <w:pageBreakBefore w:val="0"/>
        <w:widowControl w:val="0"/>
        <w:spacing w:line="360" w:lineRule="auto"/>
        <w:ind w:firstLine="48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4.3</w:t>
      </w:r>
      <w:r>
        <w:rPr>
          <w:rFonts w:hint="eastAsia" w:ascii="宋体" w:hAnsi="宋体" w:eastAsia="宋体" w:cs="Times New Roman"/>
          <w:sz w:val="24"/>
          <w:highlight w:val="none"/>
        </w:rPr>
        <w:t>在提交响应文件截止时间之后，供应商不得对其电子响应文件作任何修改。</w:t>
      </w:r>
    </w:p>
    <w:p w14:paraId="350D4A62">
      <w:pPr>
        <w:keepNext w:val="0"/>
        <w:keepLines w:val="0"/>
        <w:pageBreakBefore w:val="0"/>
        <w:widowControl w:val="0"/>
        <w:spacing w:line="360" w:lineRule="auto"/>
        <w:ind w:firstLine="480"/>
        <w:rPr>
          <w:rFonts w:hint="eastAsia" w:ascii="宋体" w:hAnsi="宋体"/>
          <w:sz w:val="24"/>
          <w:highlight w:val="none"/>
        </w:rPr>
      </w:pPr>
      <w:r>
        <w:rPr>
          <w:rFonts w:hint="eastAsia" w:ascii="宋体" w:hAnsi="宋体" w:eastAsia="宋体" w:cs="Times New Roman"/>
          <w:sz w:val="24"/>
          <w:highlight w:val="none"/>
          <w:lang w:val="en-US" w:eastAsia="zh-CN"/>
        </w:rPr>
        <w:t>4.4</w:t>
      </w:r>
      <w:r>
        <w:rPr>
          <w:rFonts w:hint="eastAsia" w:ascii="宋体" w:hAnsi="宋体" w:eastAsia="宋体" w:cs="Times New Roman"/>
          <w:sz w:val="24"/>
          <w:highlight w:val="none"/>
        </w:rPr>
        <w:t>在提交响应文件截止时间至磋商文件中规定的磋商有效期满之间的这段时间内，供应商不得撤回其响应文件。</w:t>
      </w:r>
    </w:p>
    <w:p w14:paraId="3E602AC6">
      <w:pPr>
        <w:numPr>
          <w:ilvl w:val="0"/>
          <w:numId w:val="8"/>
        </w:numPr>
        <w:tabs>
          <w:tab w:val="left" w:pos="900"/>
        </w:tabs>
        <w:spacing w:after="120" w:line="360" w:lineRule="auto"/>
        <w:ind w:firstLine="477"/>
        <w:rPr>
          <w:rFonts w:hint="eastAsia" w:ascii="宋体" w:hAnsi="宋体" w:eastAsia="宋体" w:cs="Times New Roman"/>
          <w:sz w:val="24"/>
          <w:highlight w:val="none"/>
        </w:rPr>
      </w:pPr>
      <w:r>
        <w:rPr>
          <w:rFonts w:hint="eastAsia" w:ascii="宋体" w:hAnsi="宋体" w:eastAsia="宋体" w:cs="Times New Roman"/>
          <w:sz w:val="24"/>
          <w:highlight w:val="none"/>
        </w:rPr>
        <w:t>响应文件解密</w:t>
      </w:r>
    </w:p>
    <w:p w14:paraId="2DD00563">
      <w:pPr>
        <w:pStyle w:val="238"/>
        <w:numPr>
          <w:ilvl w:val="0"/>
          <w:numId w:val="0"/>
        </w:numPr>
        <w:spacing w:line="360" w:lineRule="auto"/>
        <w:ind w:firstLine="480"/>
        <w:rPr>
          <w:rFonts w:hint="eastAsia" w:ascii="宋体" w:hAnsi="宋体" w:eastAsia="宋体" w:cs="Times New Roman"/>
          <w:sz w:val="24"/>
          <w:szCs w:val="24"/>
          <w:highlight w:val="none"/>
          <w:lang w:val="en-US" w:eastAsia="zh-CN" w:bidi="ar-SA"/>
        </w:rPr>
      </w:pPr>
      <w:r>
        <w:rPr>
          <w:rFonts w:hint="eastAsia" w:ascii="宋体" w:hAnsi="宋体" w:eastAsia="宋体" w:cs="Times New Roman"/>
          <w:sz w:val="24"/>
          <w:szCs w:val="24"/>
          <w:highlight w:val="none"/>
          <w:lang w:val="en-US" w:eastAsia="zh-CN" w:bidi="ar-SA"/>
        </w:rPr>
        <w:t>5.1供应商应当按照《操作手册》规定，在苏采云系统规定的时间内对磋商响应文件进行解密。</w:t>
      </w:r>
    </w:p>
    <w:p w14:paraId="390E35B1">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、磋商响应有效期</w:t>
      </w:r>
    </w:p>
    <w:p w14:paraId="0A556E3E">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 磋商响应有效期为采购代理机构规定的响应文件提交截止时间后九十（90）天。供应商声明的磋商响应有效期比规定短的将被视为非实质性响应而予以拒绝；供应商就磋商响应有效期不做说明的视同认可本条款设定的磋商响应有效期。</w:t>
      </w:r>
    </w:p>
    <w:p w14:paraId="1EAADEFE">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.2 在特殊情况下，采购代理机构于原磋商响应有效期满之前，可向磋商供应商提出延长磋商响应有效期的要求。这种要求与答复均应采用书面形式。磋商供应商可以拒绝采购代理机构的这一要求而放弃磋商响应，采购代理机构在接到磋商供应商书面答复后，将在原磋商响应有效期满后五个工作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14:paraId="4BE14FCD">
      <w:pPr>
        <w:tabs>
          <w:tab w:val="left" w:pos="900"/>
        </w:tabs>
        <w:spacing w:after="120" w:line="360" w:lineRule="auto"/>
        <w:ind w:firstLine="479"/>
        <w:rPr>
          <w:rFonts w:hint="eastAsia" w:ascii="宋体" w:hAnsi="宋体"/>
          <w:b/>
          <w:sz w:val="24"/>
          <w:highlight w:val="none"/>
        </w:rPr>
      </w:pPr>
      <w:bookmarkStart w:id="105" w:name="_Hlt26670523"/>
      <w:bookmarkEnd w:id="105"/>
      <w:bookmarkStart w:id="106" w:name="_Hlt26954864"/>
      <w:bookmarkEnd w:id="106"/>
      <w:r>
        <w:rPr>
          <w:rFonts w:hint="eastAsia" w:ascii="宋体" w:hAnsi="宋体"/>
          <w:b/>
          <w:sz w:val="24"/>
          <w:highlight w:val="none"/>
        </w:rPr>
        <w:t>四、磋商与评审</w:t>
      </w:r>
    </w:p>
    <w:p w14:paraId="5782C666">
      <w:pPr>
        <w:tabs>
          <w:tab w:val="left" w:pos="900"/>
        </w:tabs>
        <w:spacing w:after="120" w:line="360" w:lineRule="auto"/>
        <w:ind w:firstLine="477"/>
        <w:rPr>
          <w:rFonts w:hint="eastAsia" w:ascii="宋体" w:hAnsi="宋体"/>
          <w:sz w:val="24"/>
          <w:highlight w:val="none"/>
        </w:rPr>
      </w:pPr>
      <w:bookmarkStart w:id="107" w:name="_Toc513029230"/>
      <w:bookmarkStart w:id="108" w:name="_Toc16938546"/>
      <w:bookmarkStart w:id="109" w:name="_Toc20823302"/>
      <w:r>
        <w:rPr>
          <w:rFonts w:hint="eastAsia" w:ascii="宋体" w:hAnsi="宋体"/>
          <w:sz w:val="24"/>
          <w:highlight w:val="none"/>
        </w:rPr>
        <w:t>1、</w:t>
      </w:r>
      <w:bookmarkEnd w:id="107"/>
      <w:bookmarkEnd w:id="108"/>
      <w:bookmarkEnd w:id="109"/>
      <w:r>
        <w:rPr>
          <w:rFonts w:hint="eastAsia" w:ascii="宋体" w:hAnsi="宋体"/>
          <w:sz w:val="24"/>
          <w:highlight w:val="none"/>
        </w:rPr>
        <w:t>磋商会议</w:t>
      </w:r>
    </w:p>
    <w:p w14:paraId="7FDE6851">
      <w:pPr>
        <w:tabs>
          <w:tab w:val="left" w:pos="900"/>
        </w:tabs>
        <w:spacing w:after="120" w:line="360" w:lineRule="auto"/>
        <w:ind w:firstLine="477"/>
        <w:rPr>
          <w:rFonts w:ascii="宋体" w:hAnsi="宋体" w:eastAsia="宋体" w:cs="Times New Roman"/>
          <w:sz w:val="24"/>
          <w:highlight w:val="none"/>
          <w:lang w:val="en-US" w:eastAsia="zh-CN"/>
        </w:rPr>
      </w:pPr>
      <w:r>
        <w:rPr>
          <w:rFonts w:hint="eastAsia" w:ascii="宋体" w:hAnsi="宋体" w:eastAsia="宋体" w:cs="Times New Roman"/>
          <w:sz w:val="24"/>
          <w:highlight w:val="none"/>
        </w:rPr>
        <w:t>1.1</w:t>
      </w:r>
      <w:bookmarkStart w:id="110" w:name="_Toc16938547"/>
      <w:bookmarkStart w:id="111" w:name="_Toc513029231"/>
      <w:bookmarkStart w:id="112" w:name="_Toc20823303"/>
      <w:r>
        <w:rPr>
          <w:rFonts w:hint="eastAsia" w:ascii="宋体" w:hAnsi="宋体" w:eastAsia="宋体" w:cs="Times New Roman"/>
          <w:sz w:val="24"/>
          <w:highlight w:val="none"/>
          <w:lang w:val="en-US" w:eastAsia="zh-CN"/>
        </w:rPr>
        <w:t>进入</w:t>
      </w:r>
      <w:r>
        <w:rPr>
          <w:rFonts w:hint="eastAsia" w:ascii="宋体" w:hAnsi="宋体" w:eastAsia="宋体" w:cs="Times New Roman"/>
          <w:sz w:val="24"/>
          <w:highlight w:val="none"/>
        </w:rPr>
        <w:t>苏采云开标大厅</w:t>
      </w:r>
      <w:r>
        <w:rPr>
          <w:rFonts w:hint="eastAsia" w:ascii="宋体" w:hAnsi="宋体" w:eastAsia="宋体" w:cs="Times New Roman"/>
          <w:sz w:val="24"/>
          <w:highlight w:val="none"/>
          <w:lang w:val="en-US" w:eastAsia="zh-CN"/>
        </w:rPr>
        <w:t>参加磋商会议。</w:t>
      </w:r>
    </w:p>
    <w:p w14:paraId="4EB6249E">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2、磋商小组</w:t>
      </w:r>
    </w:p>
    <w:p w14:paraId="2BD4587E">
      <w:pPr>
        <w:tabs>
          <w:tab w:val="left" w:pos="900"/>
        </w:tabs>
        <w:spacing w:after="120" w:line="360" w:lineRule="auto"/>
        <w:ind w:firstLine="477"/>
        <w:rPr>
          <w:rFonts w:hint="eastAsia"/>
          <w:highlight w:val="none"/>
        </w:rPr>
      </w:pPr>
      <w:r>
        <w:rPr>
          <w:rFonts w:hint="eastAsia" w:ascii="宋体" w:hAnsi="宋体"/>
          <w:sz w:val="24"/>
          <w:highlight w:val="none"/>
        </w:rPr>
        <w:t>2.1 采购代理机构</w:t>
      </w:r>
      <w:r>
        <w:rPr>
          <w:rFonts w:hint="eastAsia" w:ascii="宋体" w:hAnsi="宋体" w:eastAsia="宋体" w:cs="宋体"/>
          <w:color w:val="000000"/>
          <w:sz w:val="24"/>
          <w:szCs w:val="24"/>
          <w:highlight w:val="none"/>
        </w:rPr>
        <w:t>将组织磋商小组对响应文件进行评审。</w:t>
      </w:r>
    </w:p>
    <w:p w14:paraId="372711FC">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2.2 磋商小组由政府采购评审专家、采购人代表组成，且人员构成符合政府采购有关规定。</w:t>
      </w:r>
    </w:p>
    <w:p w14:paraId="6502B0AF">
      <w:pPr>
        <w:tabs>
          <w:tab w:val="left" w:pos="900"/>
        </w:tabs>
        <w:spacing w:after="120" w:line="360" w:lineRule="auto"/>
        <w:ind w:firstLine="477"/>
        <w:rPr>
          <w:rFonts w:hint="eastAsia"/>
          <w:highlight w:val="none"/>
        </w:rPr>
      </w:pPr>
      <w:r>
        <w:rPr>
          <w:rFonts w:hint="eastAsia" w:ascii="宋体" w:hAnsi="宋体"/>
          <w:sz w:val="24"/>
          <w:highlight w:val="none"/>
        </w:rPr>
        <w:t>3、磋商评审过程的保密</w:t>
      </w:r>
      <w:bookmarkEnd w:id="110"/>
      <w:bookmarkEnd w:id="111"/>
      <w:bookmarkEnd w:id="112"/>
      <w:r>
        <w:rPr>
          <w:rFonts w:hint="eastAsia" w:ascii="宋体" w:hAnsi="宋体"/>
          <w:sz w:val="24"/>
          <w:highlight w:val="none"/>
        </w:rPr>
        <w:t>与公正</w:t>
      </w:r>
    </w:p>
    <w:p w14:paraId="3C29F860">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3.1磋商小组</w:t>
      </w:r>
      <w:r>
        <w:rPr>
          <w:rFonts w:ascii="宋体" w:hAnsi="宋体"/>
          <w:sz w:val="24"/>
          <w:highlight w:val="none"/>
        </w:rPr>
        <w:t>、采购人和采购代理机构工作人员、相关监督人员等与评审工作有关的人员，对评审情况以及在评审过程中获悉的国家秘密、商业秘密负有保密责任</w:t>
      </w:r>
      <w:r>
        <w:rPr>
          <w:rFonts w:hint="eastAsia" w:ascii="宋体" w:hAnsi="宋体"/>
          <w:sz w:val="24"/>
          <w:highlight w:val="none"/>
        </w:rPr>
        <w:t>。</w:t>
      </w:r>
    </w:p>
    <w:p w14:paraId="3523ED87">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3.2在磋商评审过程中，磋商供应商不得以任何行为影响磋商评审过程，否则其响应文件将被作为无效响应文件。</w:t>
      </w:r>
    </w:p>
    <w:p w14:paraId="4477ADCD">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AD0809B">
      <w:pPr>
        <w:tabs>
          <w:tab w:val="left" w:pos="900"/>
        </w:tabs>
        <w:spacing w:after="120" w:line="360" w:lineRule="auto"/>
        <w:ind w:firstLine="477"/>
        <w:rPr>
          <w:rFonts w:hint="eastAsia"/>
          <w:highlight w:val="none"/>
        </w:rPr>
      </w:pPr>
      <w:bookmarkStart w:id="113" w:name="_Toc16938548"/>
      <w:bookmarkStart w:id="114" w:name="_Toc20823304"/>
      <w:bookmarkStart w:id="115" w:name="_Toc513029232"/>
      <w:r>
        <w:rPr>
          <w:rFonts w:hint="eastAsia" w:ascii="宋体" w:hAnsi="宋体"/>
          <w:sz w:val="24"/>
          <w:highlight w:val="none"/>
        </w:rPr>
        <w:t>4、评审过程的澄清</w:t>
      </w:r>
      <w:bookmarkEnd w:id="113"/>
      <w:bookmarkEnd w:id="114"/>
      <w:bookmarkEnd w:id="115"/>
      <w:r>
        <w:rPr>
          <w:rFonts w:hint="eastAsia" w:ascii="宋体" w:hAnsi="宋体"/>
          <w:sz w:val="24"/>
          <w:highlight w:val="none"/>
        </w:rPr>
        <w:t>、说明和更正</w:t>
      </w:r>
    </w:p>
    <w:p w14:paraId="2E4AC76C">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4.</w:t>
      </w:r>
      <w:r>
        <w:rPr>
          <w:rFonts w:ascii="宋体" w:hAnsi="宋体"/>
          <w:sz w:val="24"/>
          <w:highlight w:val="none"/>
        </w:rPr>
        <w:t>1</w:t>
      </w:r>
      <w:r>
        <w:rPr>
          <w:rFonts w:hint="eastAsia" w:ascii="宋体" w:hAnsi="宋体"/>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33ADA39">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4.2</w:t>
      </w:r>
      <w:r>
        <w:rPr>
          <w:rFonts w:hint="eastAsia" w:ascii="宋体" w:hAnsi="宋体" w:eastAsia="宋体" w:cs="宋体"/>
          <w:color w:val="000000"/>
          <w:sz w:val="24"/>
          <w:szCs w:val="24"/>
          <w:highlight w:val="none"/>
        </w:rPr>
        <w:t>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0BB9E206">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4.3 接到磋商小组澄清</w:t>
      </w:r>
      <w:r>
        <w:rPr>
          <w:rFonts w:hint="eastAsia" w:ascii="宋体" w:hAnsi="宋体" w:eastAsia="宋体" w:cs="宋体"/>
          <w:color w:val="000000"/>
          <w:sz w:val="24"/>
          <w:szCs w:val="24"/>
          <w:highlight w:val="none"/>
        </w:rPr>
        <w:t>、说明和更正</w:t>
      </w:r>
      <w:r>
        <w:rPr>
          <w:rFonts w:hint="eastAsia" w:ascii="宋体" w:hAnsi="宋体"/>
          <w:sz w:val="24"/>
          <w:highlight w:val="none"/>
        </w:rPr>
        <w:t>要求的供应商如未按规定做出澄清</w:t>
      </w:r>
      <w:r>
        <w:rPr>
          <w:rFonts w:hint="eastAsia" w:ascii="宋体" w:hAnsi="宋体" w:eastAsia="宋体" w:cs="宋体"/>
          <w:color w:val="000000"/>
          <w:sz w:val="24"/>
          <w:szCs w:val="24"/>
          <w:highlight w:val="none"/>
        </w:rPr>
        <w:t>、说明和更正</w:t>
      </w:r>
      <w:r>
        <w:rPr>
          <w:rFonts w:hint="eastAsia" w:ascii="宋体" w:hAnsi="宋体"/>
          <w:sz w:val="24"/>
          <w:highlight w:val="none"/>
        </w:rPr>
        <w:t>，其风险由供应商自行承担。</w:t>
      </w:r>
    </w:p>
    <w:p w14:paraId="3DC54F42">
      <w:pPr>
        <w:tabs>
          <w:tab w:val="left" w:pos="900"/>
        </w:tabs>
        <w:spacing w:after="120" w:line="360" w:lineRule="auto"/>
        <w:ind w:firstLine="477"/>
        <w:rPr>
          <w:rFonts w:hint="eastAsia" w:ascii="宋体" w:hAnsi="宋体"/>
          <w:sz w:val="24"/>
          <w:highlight w:val="none"/>
        </w:rPr>
      </w:pPr>
      <w:bookmarkStart w:id="116" w:name="_Toc513029233"/>
      <w:bookmarkStart w:id="117" w:name="_Toc16938549"/>
      <w:bookmarkStart w:id="118" w:name="_Toc20823305"/>
      <w:r>
        <w:rPr>
          <w:rFonts w:hint="eastAsia" w:ascii="宋体" w:hAnsi="宋体"/>
          <w:sz w:val="24"/>
          <w:highlight w:val="none"/>
        </w:rPr>
        <w:t>5、对首次响应文件的初审</w:t>
      </w:r>
      <w:bookmarkEnd w:id="116"/>
      <w:bookmarkEnd w:id="117"/>
      <w:bookmarkEnd w:id="118"/>
    </w:p>
    <w:p w14:paraId="635C226F">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 xml:space="preserve">1 </w:t>
      </w:r>
      <w:r>
        <w:rPr>
          <w:rFonts w:hint="eastAsia" w:ascii="宋体" w:hAnsi="宋体"/>
          <w:sz w:val="24"/>
          <w:highlight w:val="none"/>
        </w:rPr>
        <w:t>首次响应文件初审分为资格性检查和符合性检查。</w:t>
      </w:r>
    </w:p>
    <w:p w14:paraId="59EC7232">
      <w:pPr>
        <w:tabs>
          <w:tab w:val="left" w:pos="900"/>
        </w:tabs>
        <w:spacing w:after="120" w:line="360" w:lineRule="auto"/>
        <w:ind w:firstLine="477"/>
        <w:rPr>
          <w:rFonts w:hint="eastAsia"/>
          <w:highlight w:val="none"/>
        </w:rPr>
      </w:pPr>
      <w:r>
        <w:rPr>
          <w:rFonts w:hint="eastAsia" w:ascii="宋体" w:hAnsi="宋体"/>
          <w:sz w:val="24"/>
          <w:highlight w:val="none"/>
        </w:rPr>
        <w:t>资格性检查：依据法律法规和磋商文件的规定，对首次响应文件中的资格证明文件进行审查，以确定供应商是否具备参加磋商的资格。</w:t>
      </w:r>
    </w:p>
    <w:p w14:paraId="3416380F">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符合性检查：依据磋商文件的规定，从响应文件的有效性、完整性和对磋商文件的响应程度进行审查，以确定是否对磋商文件的实质性要求作出响应。</w:t>
      </w:r>
    </w:p>
    <w:p w14:paraId="3921AEC1">
      <w:pPr>
        <w:pStyle w:val="238"/>
        <w:spacing w:line="360" w:lineRule="auto"/>
        <w:rPr>
          <w:rFonts w:hint="eastAsia"/>
          <w:highlight w:val="none"/>
        </w:rPr>
      </w:pPr>
      <w:r>
        <w:rPr>
          <w:rFonts w:hint="eastAsia" w:ascii="宋体" w:hAnsi="宋体" w:eastAsia="宋体" w:cs="宋体"/>
          <w:color w:val="000000"/>
          <w:sz w:val="24"/>
          <w:szCs w:val="24"/>
          <w:highlight w:val="none"/>
          <w:lang w:val="en-US" w:eastAsia="zh-CN"/>
        </w:rPr>
        <w:t xml:space="preserve">5.2 </w:t>
      </w:r>
      <w:r>
        <w:rPr>
          <w:rFonts w:hint="eastAsia" w:ascii="宋体" w:hAnsi="宋体" w:eastAsia="宋体" w:cs="宋体"/>
          <w:color w:val="000000"/>
          <w:sz w:val="24"/>
          <w:szCs w:val="24"/>
          <w:highlight w:val="none"/>
        </w:rPr>
        <w:t>未通过资格审查或符合性审查的供应商，磋商小组将在苏采云系统中告知未通过资格审查或符合性审查的原因，评审结束后，磋商小组将不再告知未通过资格审查或符合性审查的原因</w:t>
      </w:r>
    </w:p>
    <w:p w14:paraId="730C860C">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 xml:space="preserve">3 </w:t>
      </w:r>
      <w:r>
        <w:rPr>
          <w:rFonts w:hint="eastAsia" w:ascii="宋体" w:hAnsi="宋体"/>
          <w:sz w:val="24"/>
          <w:highlight w:val="none"/>
        </w:rPr>
        <w:t>在</w:t>
      </w:r>
      <w:r>
        <w:rPr>
          <w:rFonts w:hint="eastAsia" w:ascii="宋体" w:hAnsi="宋体" w:eastAsia="宋体" w:cs="宋体"/>
          <w:color w:val="000000"/>
          <w:sz w:val="24"/>
          <w:szCs w:val="24"/>
          <w:highlight w:val="none"/>
        </w:rPr>
        <w:t>详细评审</w:t>
      </w:r>
      <w:r>
        <w:rPr>
          <w:rFonts w:hint="eastAsia" w:ascii="宋体" w:hAnsi="宋体"/>
          <w:sz w:val="24"/>
          <w:highlight w:val="none"/>
        </w:rPr>
        <w:t>之前，磋商小组将首先审查每份响应文件是否实质性响应了磋商文件的要求。实质性响应的响应文件应该是与磋商文件要求的条款、条件和规格相符，没有重大负偏离或保留。</w:t>
      </w:r>
    </w:p>
    <w:p w14:paraId="2A8B4AE0">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所谓重大负偏离或保留是指与磋商文件规定的实质性要求存在负偏离，或者在实质上与磋商文件不一致，而且限制了合同中采购人和见证方的权利或供应商的义务，纠正这些偏离或保留将会对其他实质性响应要求的供应商的竞争地位产生不公正的影响。重大负偏离的认定需经过磋商小组的认定。磋商小组决定响应文件的响应性只根据响应文件本身的内容，而不寻求外部的证据。</w:t>
      </w:r>
    </w:p>
    <w:p w14:paraId="11223179">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4</w:t>
      </w:r>
      <w:r>
        <w:rPr>
          <w:rFonts w:hint="eastAsia" w:ascii="宋体" w:hAnsi="宋体"/>
          <w:sz w:val="24"/>
          <w:highlight w:val="none"/>
        </w:rPr>
        <w:t xml:space="preserve"> 被认定为非响应性的响应文件的情形</w:t>
      </w:r>
    </w:p>
    <w:p w14:paraId="3A0A7601">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供应商在苏采云系统规定的时间内未成功解密电子响应文件的</w:t>
      </w:r>
      <w:r>
        <w:rPr>
          <w:rFonts w:hint="eastAsia" w:ascii="宋体" w:hAnsi="宋体" w:eastAsia="宋体" w:cs="宋体"/>
          <w:color w:val="000000"/>
          <w:sz w:val="24"/>
          <w:szCs w:val="24"/>
          <w:highlight w:val="none"/>
          <w:lang w:eastAsia="zh-CN"/>
        </w:rPr>
        <w:t>；</w:t>
      </w:r>
    </w:p>
    <w:p w14:paraId="0C576AFD">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供应商未按照磋商文件要求上传电子响应文件的</w:t>
      </w:r>
      <w:r>
        <w:rPr>
          <w:rFonts w:hint="eastAsia" w:ascii="宋体" w:hAnsi="宋体" w:eastAsia="宋体" w:cs="宋体"/>
          <w:color w:val="000000"/>
          <w:sz w:val="24"/>
          <w:szCs w:val="24"/>
          <w:highlight w:val="none"/>
          <w:lang w:eastAsia="zh-CN"/>
        </w:rPr>
        <w:t>；</w:t>
      </w:r>
    </w:p>
    <w:p w14:paraId="5FD8681C">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同一供应商提交两个（含两个）以上不同的响应文件或者最后报价的</w:t>
      </w:r>
      <w:r>
        <w:rPr>
          <w:rFonts w:hint="eastAsia" w:ascii="宋体" w:hAnsi="宋体" w:eastAsia="宋体" w:cs="宋体"/>
          <w:color w:val="000000"/>
          <w:sz w:val="24"/>
          <w:szCs w:val="24"/>
          <w:highlight w:val="none"/>
          <w:lang w:eastAsia="zh-CN"/>
        </w:rPr>
        <w:t>；</w:t>
      </w:r>
    </w:p>
    <w:p w14:paraId="1D8078C6">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供应商不具备磋商文件中规定资格要求的</w:t>
      </w:r>
      <w:r>
        <w:rPr>
          <w:rFonts w:hint="eastAsia" w:ascii="宋体" w:hAnsi="宋体" w:eastAsia="宋体" w:cs="宋体"/>
          <w:color w:val="000000"/>
          <w:sz w:val="24"/>
          <w:szCs w:val="24"/>
          <w:highlight w:val="none"/>
          <w:lang w:eastAsia="zh-CN"/>
        </w:rPr>
        <w:t>；</w:t>
      </w:r>
    </w:p>
    <w:p w14:paraId="25A8AF78">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供应商的最后报价超过了采购预算或最高限价的</w:t>
      </w:r>
      <w:r>
        <w:rPr>
          <w:rFonts w:hint="eastAsia" w:ascii="宋体" w:hAnsi="宋体" w:eastAsia="宋体" w:cs="宋体"/>
          <w:color w:val="000000"/>
          <w:sz w:val="24"/>
          <w:szCs w:val="24"/>
          <w:highlight w:val="none"/>
          <w:lang w:eastAsia="zh-CN"/>
        </w:rPr>
        <w:t>；</w:t>
      </w:r>
    </w:p>
    <w:p w14:paraId="2706B2F4">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不符合法律、法规和磋商文件中规定的实质性要求和条件的</w:t>
      </w:r>
      <w:r>
        <w:rPr>
          <w:rFonts w:hint="eastAsia" w:ascii="宋体" w:hAnsi="宋体" w:eastAsia="宋体" w:cs="宋体"/>
          <w:color w:val="000000"/>
          <w:sz w:val="24"/>
          <w:szCs w:val="24"/>
          <w:highlight w:val="none"/>
          <w:lang w:eastAsia="zh-CN"/>
        </w:rPr>
        <w:t>；</w:t>
      </w:r>
    </w:p>
    <w:p w14:paraId="105A24D1">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响应文件含有采购人不能接受的附加条件的</w:t>
      </w:r>
      <w:r>
        <w:rPr>
          <w:rFonts w:hint="eastAsia" w:ascii="宋体" w:hAnsi="宋体" w:eastAsia="宋体" w:cs="宋体"/>
          <w:color w:val="000000"/>
          <w:sz w:val="24"/>
          <w:szCs w:val="24"/>
          <w:highlight w:val="none"/>
          <w:lang w:eastAsia="zh-CN"/>
        </w:rPr>
        <w:t>；</w:t>
      </w:r>
    </w:p>
    <w:p w14:paraId="402BEB1F">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本项目采购产品属于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r>
        <w:rPr>
          <w:rFonts w:hint="eastAsia" w:ascii="宋体" w:hAnsi="宋体" w:eastAsia="宋体" w:cs="宋体"/>
          <w:color w:val="000000"/>
          <w:sz w:val="24"/>
          <w:szCs w:val="24"/>
          <w:highlight w:val="none"/>
          <w:lang w:eastAsia="zh-CN"/>
        </w:rPr>
        <w:t>；</w:t>
      </w:r>
    </w:p>
    <w:p w14:paraId="52CD13F9">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响应文件未按照磋商文件要求加盖CA电子公章的</w:t>
      </w:r>
      <w:r>
        <w:rPr>
          <w:rFonts w:hint="eastAsia" w:ascii="宋体" w:hAnsi="宋体" w:eastAsia="宋体" w:cs="宋体"/>
          <w:color w:val="000000"/>
          <w:sz w:val="24"/>
          <w:szCs w:val="24"/>
          <w:highlight w:val="none"/>
          <w:lang w:eastAsia="zh-CN"/>
        </w:rPr>
        <w:t>；</w:t>
      </w:r>
    </w:p>
    <w:p w14:paraId="53B871EA">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）经磋商小组认定为非实质性响应文件的</w:t>
      </w:r>
      <w:r>
        <w:rPr>
          <w:rFonts w:hint="eastAsia" w:ascii="宋体" w:hAnsi="宋体" w:eastAsia="宋体" w:cs="宋体"/>
          <w:color w:val="000000"/>
          <w:sz w:val="24"/>
          <w:szCs w:val="24"/>
          <w:highlight w:val="none"/>
          <w:lang w:eastAsia="zh-CN"/>
        </w:rPr>
        <w:t>。</w:t>
      </w:r>
    </w:p>
    <w:p w14:paraId="3374DF47">
      <w:pPr>
        <w:pStyle w:val="238"/>
        <w:spacing w:line="360" w:lineRule="auto"/>
        <w:rPr>
          <w:rFonts w:hint="eastAsia"/>
          <w:highlight w:val="none"/>
          <w:lang w:val="en-US" w:eastAsia="zh-CN"/>
        </w:rPr>
      </w:pPr>
      <w:r>
        <w:rPr>
          <w:rFonts w:hint="eastAsia" w:ascii="宋体" w:hAnsi="宋体"/>
          <w:sz w:val="24"/>
          <w:highlight w:val="none"/>
        </w:rPr>
        <w:t>5.</w:t>
      </w:r>
      <w:r>
        <w:rPr>
          <w:rFonts w:hint="eastAsia" w:ascii="宋体" w:hAnsi="宋体"/>
          <w:sz w:val="24"/>
          <w:highlight w:val="none"/>
          <w:lang w:val="en-US" w:eastAsia="zh-CN"/>
        </w:rPr>
        <w:t xml:space="preserve">5 </w:t>
      </w:r>
      <w:r>
        <w:rPr>
          <w:rFonts w:hint="eastAsia" w:ascii="宋体" w:hAnsi="宋体" w:eastAsia="宋体" w:cs="宋体"/>
          <w:color w:val="000000"/>
          <w:sz w:val="24"/>
          <w:szCs w:val="24"/>
          <w:highlight w:val="none"/>
        </w:rPr>
        <w:t>未实质性响应磋商文件的响应文件按无效响应处理。</w:t>
      </w:r>
    </w:p>
    <w:p w14:paraId="32A4BB90">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 xml:space="preserve">6 </w:t>
      </w:r>
      <w:r>
        <w:rPr>
          <w:rFonts w:hint="eastAsia" w:ascii="宋体" w:hAnsi="宋体"/>
          <w:sz w:val="24"/>
          <w:highlight w:val="none"/>
        </w:rPr>
        <w:t>如果响应文件实质上没有响应磋商文件的要求，磋商小组将予以拒绝，供应商不得通过修改或撤销不合要求的偏离或保留而使其响应文件成为实质性响应的文件。</w:t>
      </w:r>
    </w:p>
    <w:p w14:paraId="1A25E0C6">
      <w:pPr>
        <w:pStyle w:val="238"/>
        <w:rPr>
          <w:rFonts w:hint="eastAsia"/>
          <w:highlight w:val="none"/>
        </w:rPr>
      </w:pPr>
      <w:r>
        <w:rPr>
          <w:rFonts w:hint="eastAsia" w:ascii="宋体" w:hAnsi="宋体"/>
          <w:sz w:val="24"/>
          <w:highlight w:val="none"/>
        </w:rPr>
        <w:t>5.</w:t>
      </w:r>
      <w:r>
        <w:rPr>
          <w:rFonts w:hint="eastAsia" w:ascii="宋体" w:hAnsi="宋体"/>
          <w:sz w:val="24"/>
          <w:highlight w:val="none"/>
          <w:lang w:val="en-US" w:eastAsia="zh-CN"/>
        </w:rPr>
        <w:t xml:space="preserve">6 </w:t>
      </w:r>
      <w:r>
        <w:rPr>
          <w:rFonts w:hint="eastAsia" w:ascii="宋体" w:hAnsi="宋体" w:eastAsia="宋体" w:cs="宋体"/>
          <w:color w:val="000000"/>
          <w:sz w:val="24"/>
          <w:szCs w:val="24"/>
          <w:highlight w:val="none"/>
        </w:rPr>
        <w:t>供应商在项目评审全过程中应保持通讯畅通，并安排专人与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及磋商小组联系。</w:t>
      </w:r>
    </w:p>
    <w:p w14:paraId="5BD5CB04">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 xml:space="preserve">7 </w:t>
      </w:r>
      <w:r>
        <w:rPr>
          <w:rFonts w:hint="eastAsia" w:ascii="宋体" w:hAnsi="宋体"/>
          <w:sz w:val="24"/>
          <w:highlight w:val="none"/>
        </w:rPr>
        <w:t>磋商小组将允许修正响应文件中不构成重大负偏离的、微小的、非正规的、不一致的或不规则的地方，但这些修改不能影响任何供应商相应的名次排列。</w:t>
      </w:r>
    </w:p>
    <w:p w14:paraId="1764B510">
      <w:pPr>
        <w:tabs>
          <w:tab w:val="left" w:pos="900"/>
        </w:tabs>
        <w:spacing w:after="120" w:line="360" w:lineRule="auto"/>
        <w:ind w:firstLine="477"/>
        <w:rPr>
          <w:rFonts w:hint="eastAsia" w:ascii="宋体" w:hAnsi="宋体"/>
          <w:sz w:val="24"/>
          <w:highlight w:val="none"/>
        </w:rPr>
      </w:pPr>
      <w:bookmarkStart w:id="119" w:name="_Toc16938550"/>
      <w:bookmarkStart w:id="120" w:name="_Toc513029234"/>
      <w:bookmarkStart w:id="121" w:name="_Toc20823306"/>
      <w:r>
        <w:rPr>
          <w:rFonts w:hint="eastAsia" w:ascii="宋体" w:hAnsi="宋体"/>
          <w:sz w:val="24"/>
          <w:highlight w:val="none"/>
        </w:rPr>
        <w:t>6、</w:t>
      </w:r>
      <w:bookmarkEnd w:id="119"/>
      <w:bookmarkEnd w:id="120"/>
      <w:bookmarkEnd w:id="121"/>
      <w:r>
        <w:rPr>
          <w:rFonts w:hint="eastAsia" w:ascii="宋体" w:hAnsi="宋体"/>
          <w:sz w:val="24"/>
          <w:highlight w:val="none"/>
        </w:rPr>
        <w:t>磋商程序及评审方法和标准</w:t>
      </w:r>
    </w:p>
    <w:p w14:paraId="6F16F42B">
      <w:pPr>
        <w:tabs>
          <w:tab w:val="left" w:pos="900"/>
        </w:tabs>
        <w:spacing w:after="120" w:line="360" w:lineRule="auto"/>
        <w:ind w:firstLine="477"/>
        <w:rPr>
          <w:rFonts w:hint="eastAsia" w:ascii="宋体" w:hAnsi="宋体"/>
          <w:sz w:val="24"/>
          <w:highlight w:val="none"/>
        </w:rPr>
      </w:pPr>
      <w:bookmarkStart w:id="122" w:name="_Toc16938551"/>
      <w:bookmarkStart w:id="123" w:name="_Toc20823307"/>
      <w:bookmarkStart w:id="124" w:name="_Toc513029235"/>
      <w:r>
        <w:rPr>
          <w:rFonts w:hint="eastAsia" w:ascii="宋体" w:hAnsi="宋体"/>
          <w:sz w:val="24"/>
          <w:highlight w:val="none"/>
        </w:rPr>
        <w:t>6.1磋商程序</w:t>
      </w:r>
    </w:p>
    <w:p w14:paraId="24B2D7AF">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6.1.1 对于通过资格性和符合性审查的供应商，磋商小组将随机确定磋商供应商的磋商顺序，然后由磋商小组所有成员集中与单一供应商分别进行磋商。</w:t>
      </w:r>
    </w:p>
    <w:p w14:paraId="35278243">
      <w:pPr>
        <w:tabs>
          <w:tab w:val="left" w:pos="900"/>
        </w:tabs>
        <w:spacing w:after="120" w:line="360" w:lineRule="auto"/>
        <w:ind w:firstLine="477"/>
        <w:rPr>
          <w:rFonts w:hint="eastAsia"/>
          <w:highlight w:val="none"/>
        </w:rPr>
      </w:pPr>
      <w:r>
        <w:rPr>
          <w:rFonts w:hint="eastAsia" w:ascii="宋体" w:hAnsi="宋体"/>
          <w:sz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w:t>
      </w:r>
      <w:r>
        <w:rPr>
          <w:rFonts w:hint="eastAsia" w:ascii="宋体" w:hAnsi="宋体" w:eastAsia="宋体" w:cs="宋体"/>
          <w:color w:val="000000"/>
          <w:sz w:val="24"/>
          <w:szCs w:val="24"/>
          <w:highlight w:val="none"/>
        </w:rPr>
        <w:t>在苏采云系统中</w:t>
      </w:r>
      <w:r>
        <w:rPr>
          <w:rFonts w:hint="eastAsia" w:ascii="宋体" w:hAnsi="宋体"/>
          <w:sz w:val="24"/>
          <w:highlight w:val="none"/>
        </w:rPr>
        <w:t>通知所有参加磋商的供应商。供应商应当按照磋商文件的变动情况和磋商小组的要求</w:t>
      </w:r>
      <w:r>
        <w:rPr>
          <w:rFonts w:hint="eastAsia" w:ascii="宋体" w:hAnsi="宋体" w:eastAsia="宋体" w:cs="宋体"/>
          <w:color w:val="000000"/>
          <w:sz w:val="24"/>
          <w:szCs w:val="24"/>
          <w:highlight w:val="none"/>
        </w:rPr>
        <w:t>在苏采云系统中</w:t>
      </w:r>
      <w:r>
        <w:rPr>
          <w:rFonts w:hint="eastAsia" w:ascii="宋体" w:hAnsi="宋体"/>
          <w:sz w:val="24"/>
          <w:highlight w:val="none"/>
        </w:rPr>
        <w:t>重新提交响应文件，并</w:t>
      </w:r>
      <w:r>
        <w:rPr>
          <w:rFonts w:hint="eastAsia" w:ascii="宋体" w:hAnsi="宋体" w:eastAsia="宋体" w:cs="宋体"/>
          <w:color w:val="000000"/>
          <w:sz w:val="24"/>
          <w:szCs w:val="24"/>
          <w:highlight w:val="none"/>
        </w:rPr>
        <w:t>加盖CA电子公章</w:t>
      </w:r>
      <w:r>
        <w:rPr>
          <w:rFonts w:hint="eastAsia" w:ascii="宋体" w:hAnsi="宋体"/>
          <w:sz w:val="24"/>
          <w:highlight w:val="none"/>
        </w:rPr>
        <w:t>。根据需要，磋商小组可以自主决定磋商轮次，直至与三家或以上供应商达成采购人认可的磋商意见。</w:t>
      </w:r>
    </w:p>
    <w:p w14:paraId="004586B5">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 xml:space="preserve"> 6.1.2 </w:t>
      </w:r>
      <w:r>
        <w:rPr>
          <w:rFonts w:ascii="宋体" w:hAnsi="宋体"/>
          <w:sz w:val="24"/>
          <w:highlight w:val="none"/>
        </w:rPr>
        <w:t>磋商文件能够详细列明采购标的的技术、服务要求的，磋商结束后，磋商小组</w:t>
      </w:r>
      <w:r>
        <w:rPr>
          <w:rFonts w:hint="eastAsia" w:ascii="宋体" w:hAnsi="宋体"/>
          <w:sz w:val="24"/>
          <w:highlight w:val="none"/>
        </w:rPr>
        <w:t>将</w:t>
      </w:r>
      <w:r>
        <w:rPr>
          <w:rFonts w:hint="eastAsia" w:ascii="宋体" w:hAnsi="宋体" w:eastAsia="宋体" w:cs="宋体"/>
          <w:color w:val="000000"/>
          <w:sz w:val="24"/>
          <w:szCs w:val="24"/>
          <w:highlight w:val="none"/>
        </w:rPr>
        <w:t>在苏采云系统</w:t>
      </w:r>
      <w:r>
        <w:rPr>
          <w:rFonts w:ascii="宋体" w:hAnsi="宋体"/>
          <w:sz w:val="24"/>
          <w:highlight w:val="none"/>
        </w:rPr>
        <w:t>要求所有实质性响应的供应商在规定时间内提交最</w:t>
      </w:r>
      <w:r>
        <w:rPr>
          <w:rFonts w:hint="eastAsia" w:ascii="宋体" w:hAnsi="宋体"/>
          <w:sz w:val="24"/>
          <w:highlight w:val="none"/>
        </w:rPr>
        <w:t>终</w:t>
      </w:r>
      <w:r>
        <w:rPr>
          <w:rFonts w:ascii="宋体" w:hAnsi="宋体"/>
          <w:sz w:val="24"/>
          <w:highlight w:val="none"/>
        </w:rPr>
        <w:t>报价</w:t>
      </w:r>
      <w:r>
        <w:rPr>
          <w:rFonts w:hint="eastAsia" w:ascii="宋体" w:hAnsi="宋体"/>
          <w:sz w:val="24"/>
          <w:highlight w:val="none"/>
        </w:rPr>
        <w:t>。</w:t>
      </w:r>
    </w:p>
    <w:p w14:paraId="30084ED8">
      <w:pPr>
        <w:tabs>
          <w:tab w:val="left" w:pos="900"/>
        </w:tabs>
        <w:spacing w:after="120" w:line="360" w:lineRule="auto"/>
        <w:ind w:firstLine="477"/>
        <w:rPr>
          <w:rFonts w:hint="eastAsia"/>
          <w:highlight w:val="none"/>
        </w:rPr>
      </w:pPr>
      <w:r>
        <w:rPr>
          <w:rFonts w:hint="eastAsia" w:ascii="宋体" w:hAnsi="宋体"/>
          <w:sz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磋商文件不能详细列明采购标的的技术、服务要求，需经磋商由供应商提供最终设计方案或解决方案的，磋商结束后，磋商小组将按照少数服从多数的原则投票推荐3家以上供应商的设计方案或者解决方案，并</w:t>
      </w:r>
      <w:r>
        <w:rPr>
          <w:rFonts w:hint="eastAsia" w:ascii="宋体" w:hAnsi="宋体"/>
          <w:sz w:val="24"/>
          <w:highlight w:val="none"/>
          <w:lang w:val="en-US" w:eastAsia="zh-CN"/>
        </w:rPr>
        <w:t>在</w:t>
      </w:r>
      <w:r>
        <w:rPr>
          <w:rFonts w:hint="eastAsia" w:ascii="宋体" w:hAnsi="宋体" w:eastAsia="宋体" w:cs="宋体"/>
          <w:color w:val="000000"/>
          <w:sz w:val="24"/>
          <w:szCs w:val="24"/>
          <w:highlight w:val="none"/>
        </w:rPr>
        <w:t>苏采云系统中</w:t>
      </w:r>
      <w:r>
        <w:rPr>
          <w:rFonts w:hint="eastAsia" w:ascii="宋体" w:hAnsi="宋体"/>
          <w:sz w:val="24"/>
          <w:highlight w:val="none"/>
        </w:rPr>
        <w:t>要求其在规定时间内提交最后报价。</w:t>
      </w:r>
    </w:p>
    <w:p w14:paraId="5AE8C859">
      <w:pPr>
        <w:spacing w:line="360" w:lineRule="auto"/>
        <w:ind w:firstLine="480"/>
        <w:rPr>
          <w:rFonts w:hint="eastAsia"/>
          <w:highlight w:val="none"/>
        </w:rPr>
      </w:pPr>
      <w:r>
        <w:rPr>
          <w:rFonts w:hint="eastAsia" w:ascii="宋体" w:hAnsi="宋体"/>
          <w:sz w:val="24"/>
          <w:highlight w:val="none"/>
        </w:rPr>
        <w:t>最后报价是供应商响应文件的有效组成部分。</w:t>
      </w:r>
      <w:r>
        <w:rPr>
          <w:bCs/>
          <w:sz w:val="24"/>
          <w:highlight w:val="none"/>
        </w:rPr>
        <w:t>实质性响应磋商文件不满三家或进入二次报价的不满三家或二次报价在采购</w:t>
      </w:r>
      <w:r>
        <w:rPr>
          <w:rFonts w:hint="eastAsia"/>
          <w:bCs/>
          <w:sz w:val="24"/>
          <w:highlight w:val="none"/>
        </w:rPr>
        <w:t>预算</w:t>
      </w:r>
      <w:r>
        <w:rPr>
          <w:bCs/>
          <w:sz w:val="24"/>
          <w:highlight w:val="none"/>
        </w:rPr>
        <w:t>内不满三家的，采购人（或采购代理机构）应当终止竞争性磋商采购活动，重新开展采购活动。</w:t>
      </w:r>
    </w:p>
    <w:p w14:paraId="1F3FE204">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符合《政府采购竞争性磋商采购方式管理暂行办法》第三条第四项及《财政部关于竞争性磋商采购方式管理暂行办法有关问题的补充通知》（财库[2015]124号）规定情形的，提交最后报价的供应商可以为2家。</w:t>
      </w:r>
    </w:p>
    <w:p w14:paraId="17777982">
      <w:pPr>
        <w:tabs>
          <w:tab w:val="left" w:pos="900"/>
        </w:tabs>
        <w:spacing w:after="120" w:line="360" w:lineRule="auto"/>
        <w:ind w:firstLine="477"/>
        <w:rPr>
          <w:rFonts w:hint="eastAsia"/>
          <w:highlight w:val="none"/>
        </w:rPr>
      </w:pPr>
      <w:r>
        <w:rPr>
          <w:rFonts w:hint="eastAsia" w:ascii="宋体" w:hAnsi="宋体"/>
          <w:sz w:val="24"/>
          <w:highlight w:val="none"/>
        </w:rPr>
        <w:t>6.1.3 磋商供应商未在磋商小组规定的时间内</w:t>
      </w:r>
      <w:r>
        <w:rPr>
          <w:rFonts w:hint="eastAsia" w:ascii="宋体" w:hAnsi="宋体" w:eastAsia="宋体" w:cs="宋体"/>
          <w:color w:val="000000"/>
          <w:sz w:val="24"/>
          <w:szCs w:val="24"/>
          <w:highlight w:val="none"/>
        </w:rPr>
        <w:t>在苏采云系统中提交</w:t>
      </w:r>
      <w:r>
        <w:rPr>
          <w:rFonts w:hint="eastAsia" w:ascii="宋体" w:hAnsi="宋体"/>
          <w:sz w:val="24"/>
          <w:highlight w:val="none"/>
        </w:rPr>
        <w:t>最后报价的视为放弃磋商，其磋商响应按无效响应处理。</w:t>
      </w:r>
      <w:r>
        <w:rPr>
          <w:rFonts w:hint="eastAsia" w:ascii="宋体" w:hAnsi="宋体" w:eastAsia="宋体" w:cs="宋体"/>
          <w:color w:val="000000"/>
          <w:sz w:val="24"/>
          <w:szCs w:val="24"/>
          <w:highlight w:val="none"/>
        </w:rPr>
        <w:t>最后报价格式表须加盖CA电子公章,否则视为未提交最后报价。已提交响应文件的供应商，在提交最后报价之前，可以根据磋商情况退出磋商。</w:t>
      </w:r>
    </w:p>
    <w:p w14:paraId="1814E017">
      <w:pPr>
        <w:pStyle w:val="197"/>
        <w:spacing w:line="360" w:lineRule="auto"/>
        <w:ind w:firstLine="482"/>
        <w:rPr>
          <w:rFonts w:hint="eastAsia"/>
          <w:highlight w:val="none"/>
        </w:rPr>
      </w:pPr>
      <w:r>
        <w:rPr>
          <w:sz w:val="24"/>
          <w:highlight w:val="none"/>
        </w:rPr>
        <w:t>供应商最终承诺报价在工程量没有增加，配置、服务没有重大提高的情况下，不允许高于第一次报价总价（即响应文件中的报价）</w:t>
      </w:r>
    </w:p>
    <w:p w14:paraId="4F3A5228">
      <w:pPr>
        <w:pStyle w:val="238"/>
        <w:spacing w:line="360" w:lineRule="auto"/>
        <w:ind w:firstLine="480"/>
        <w:rPr>
          <w:rFonts w:hint="eastAsia" w:hAnsi="宋体"/>
          <w:sz w:val="24"/>
          <w:highlight w:val="none"/>
        </w:rPr>
      </w:pPr>
      <w:r>
        <w:rPr>
          <w:rFonts w:hint="eastAsia" w:hAnsi="宋体"/>
          <w:sz w:val="24"/>
          <w:highlight w:val="none"/>
        </w:rPr>
        <w:t>6.1.4 在磋商过程中，磋商小组发现供应商的报价明显低于其他报价，使得其报价可能低于其个别成本的，应当要求该供应商做出书面说明并提供相关证明材料。供应商不能合理说明或者不能提供相关证明材料的，由磋商小组会认定该供应商以低于成本报价，其响应文件应做无效响应文件处理。</w:t>
      </w:r>
    </w:p>
    <w:p w14:paraId="18E4DC34">
      <w:pPr>
        <w:spacing w:line="360" w:lineRule="auto"/>
        <w:ind w:firstLine="480"/>
        <w:rPr>
          <w:rFonts w:hint="eastAsia"/>
          <w:highlight w:val="none"/>
        </w:rPr>
      </w:pPr>
      <w:r>
        <w:rPr>
          <w:rFonts w:hint="eastAsia" w:hAnsi="宋体"/>
          <w:sz w:val="24"/>
          <w:highlight w:val="none"/>
        </w:rPr>
        <w:t>磋商小组全体成员三分之二以上认为该供应商不能合理说明或者不能提供相关证明材料的，认定该供应商以低于成本报价，其响应文件应做无效响应文件处理。持有异议的磋商小组成员可以书面方式阐述其不同意见和理由，拒绝签字且不陈述其不同意见和理由，视为同意。</w:t>
      </w:r>
    </w:p>
    <w:p w14:paraId="58C9A854">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6.2 评审方法和标准</w:t>
      </w:r>
    </w:p>
    <w:p w14:paraId="74AD37A8">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6.2.1评审方法。经磋商确定最终采购需求和提交最后报价的供应商后，由磋商小组采用综合评分法对提交最后报价的供应商的响应文件和最后报价进行综合评分。</w:t>
      </w:r>
    </w:p>
    <w:p w14:paraId="490795F3">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13F4968C">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6.2.2评审标准</w:t>
      </w:r>
    </w:p>
    <w:p w14:paraId="2A93DA72">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见本磋商文件第五章规定。</w:t>
      </w:r>
    </w:p>
    <w:p w14:paraId="19A01B45">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6.3采购活动终止的情况</w:t>
      </w:r>
    </w:p>
    <w:p w14:paraId="153E11A1">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出现下列情形之一的，本次竞争性磋商采购活动将被终止：</w:t>
      </w:r>
    </w:p>
    <w:p w14:paraId="633D094F">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（1）因情况变化，不再符合规定的竞争性磋商采购方式适用情形的；</w:t>
      </w:r>
    </w:p>
    <w:p w14:paraId="3C5B491A">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（2）出现影响采购公正的违法、违规行为的；</w:t>
      </w:r>
    </w:p>
    <w:p w14:paraId="0ADB715E">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（3）除本磋商文件第6.1.2条第三款规定的情形外，在采购过程中符合要求的供应商或者报价未超过采购预算的供应商不足3家的。</w:t>
      </w:r>
    </w:p>
    <w:p w14:paraId="260C5D67">
      <w:pPr>
        <w:tabs>
          <w:tab w:val="left" w:pos="900"/>
        </w:tabs>
        <w:spacing w:after="120" w:line="360" w:lineRule="auto"/>
        <w:ind w:firstLine="360"/>
        <w:rPr>
          <w:rFonts w:hint="eastAsia"/>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在苏采云系统规定时间内成功解密电子响应文件的供应商不足3家的。</w:t>
      </w:r>
    </w:p>
    <w:bookmarkEnd w:id="122"/>
    <w:bookmarkEnd w:id="123"/>
    <w:bookmarkEnd w:id="124"/>
    <w:p w14:paraId="049C50BA">
      <w:pPr>
        <w:tabs>
          <w:tab w:val="left" w:pos="900"/>
        </w:tabs>
        <w:spacing w:after="120" w:line="360" w:lineRule="auto"/>
        <w:ind w:firstLine="479"/>
        <w:rPr>
          <w:rFonts w:hint="eastAsia" w:ascii="宋体" w:hAnsi="宋体"/>
          <w:b/>
          <w:sz w:val="24"/>
          <w:highlight w:val="none"/>
        </w:rPr>
      </w:pPr>
      <w:r>
        <w:rPr>
          <w:rFonts w:hint="eastAsia" w:ascii="宋体" w:hAnsi="宋体"/>
          <w:b/>
          <w:sz w:val="24"/>
          <w:highlight w:val="none"/>
        </w:rPr>
        <w:t>五、成交</w:t>
      </w:r>
    </w:p>
    <w:p w14:paraId="400C5D99">
      <w:pPr>
        <w:tabs>
          <w:tab w:val="left" w:pos="900"/>
        </w:tabs>
        <w:spacing w:after="120" w:line="360" w:lineRule="auto"/>
        <w:ind w:firstLine="477"/>
        <w:rPr>
          <w:rFonts w:hint="eastAsia" w:ascii="宋体" w:hAnsi="宋体"/>
          <w:sz w:val="24"/>
          <w:highlight w:val="none"/>
        </w:rPr>
      </w:pPr>
      <w:bookmarkStart w:id="125" w:name="_Toc513029238"/>
      <w:bookmarkStart w:id="126" w:name="_Toc20823310"/>
      <w:bookmarkStart w:id="127" w:name="_Toc16938554"/>
      <w:r>
        <w:rPr>
          <w:rFonts w:hint="eastAsia" w:ascii="宋体" w:hAnsi="宋体"/>
          <w:sz w:val="24"/>
          <w:highlight w:val="none"/>
        </w:rPr>
        <w:t>1、</w:t>
      </w:r>
      <w:bookmarkEnd w:id="125"/>
      <w:r>
        <w:rPr>
          <w:rFonts w:hint="eastAsia" w:ascii="宋体" w:hAnsi="宋体"/>
          <w:sz w:val="24"/>
          <w:highlight w:val="none"/>
        </w:rPr>
        <w:t>确定</w:t>
      </w:r>
      <w:bookmarkEnd w:id="126"/>
      <w:bookmarkEnd w:id="127"/>
      <w:r>
        <w:rPr>
          <w:rFonts w:hint="eastAsia" w:ascii="宋体" w:hAnsi="宋体"/>
          <w:sz w:val="24"/>
          <w:highlight w:val="none"/>
        </w:rPr>
        <w:t>成交单位</w:t>
      </w:r>
    </w:p>
    <w:p w14:paraId="687733CD">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1.1 磋商小组根据综合评分情况，按照评审得分由高到低顺序推荐3名成交候选供应商，并编写评审报告。符合本文件第6.1.2条情形的，可以推荐2家成交候选供应商。评审得分相同的，按照最后报价由低到高的顺序推荐。评审得分且最后报价相同的，按照技术指标优劣顺序推荐。</w:t>
      </w:r>
    </w:p>
    <w:p w14:paraId="62A858AC">
      <w:pPr>
        <w:tabs>
          <w:tab w:val="left" w:pos="900"/>
        </w:tabs>
        <w:spacing w:after="120" w:line="360" w:lineRule="auto"/>
        <w:ind w:firstLine="480"/>
        <w:rPr>
          <w:rFonts w:hint="eastAsia"/>
          <w:highlight w:val="none"/>
        </w:rPr>
      </w:pPr>
      <w:r>
        <w:rPr>
          <w:rFonts w:hint="eastAsia" w:ascii="宋体" w:hAnsi="宋体" w:eastAsia="宋体" w:cs="宋体"/>
          <w:color w:val="000000"/>
          <w:sz w:val="24"/>
          <w:szCs w:val="24"/>
          <w:highlight w:val="none"/>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7E787890">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1.2采购人根据磋商小组推荐的成交候选人报告依法确定成交供应商。采购人确定成交供应商后，采购人将向成交供应商发出成交通知书。</w:t>
      </w:r>
    </w:p>
    <w:p w14:paraId="6E641CEF">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1.3评审结束后，若有充分证据证明，成交供应商出现下列情况之一的，一经查实，采购人将取消其成交资格</w:t>
      </w:r>
      <w:r>
        <w:rPr>
          <w:rFonts w:hint="eastAsia" w:ascii="宋体" w:hAnsi="Arial" w:cs="宋体"/>
          <w:sz w:val="24"/>
          <w:highlight w:val="none"/>
          <w:lang w:val="zh-CN"/>
        </w:rPr>
        <w:t>，采购人并可以确定排序紧跟该供应商的供应商为成交供应商，依此类推。或者重新组织磋商活动。除此之外，采购人保留进一步追究该供应商法律责任的权利。行政监督部门也将对该供应商的上述行为依法作出行政处理。成交供应商放弃成交资格、因不可抗力提出不能履行合同，或者响应文件规定应当提交履约保证金而在规定时限内未能提交的，采购人可以确定排序紧跟该供应商的供应商为成交供应商，依此类推。或者重新组织磋商活动。</w:t>
      </w:r>
    </w:p>
    <w:p w14:paraId="640CB6DC">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（1）提供虚假材料谋取成交的；</w:t>
      </w:r>
    </w:p>
    <w:p w14:paraId="2ACE41AF">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（2）与评审专家、采购人、其他供应商或者采购代理机构工作人员恶意串通的；</w:t>
      </w:r>
    </w:p>
    <w:p w14:paraId="015F953E">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（3）向评审专家、采购人或采购代理机构工作人员行贿或者提供其他不正当利益的；</w:t>
      </w:r>
    </w:p>
    <w:p w14:paraId="7733EA7A">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（4）恶意竞争，最终报价明显低于其自身合理成本且又无法提供证明的；</w:t>
      </w:r>
    </w:p>
    <w:p w14:paraId="59BB6CF0">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（5）不满足本磋商文件规定的实质性要求，但在评审过程中又未被磋商小组发现的；</w:t>
      </w:r>
    </w:p>
    <w:p w14:paraId="2AAC6B09">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（6）成交后无正当理由拒不与采购人签订政府采购合同或者未按照磋商文件确定的事项签订政府采购合同；</w:t>
      </w:r>
    </w:p>
    <w:p w14:paraId="1C122620">
      <w:pPr>
        <w:tabs>
          <w:tab w:val="left" w:pos="900"/>
        </w:tabs>
        <w:spacing w:after="120" w:line="360" w:lineRule="auto"/>
        <w:ind w:firstLine="360"/>
        <w:rPr>
          <w:rFonts w:hint="eastAsia"/>
          <w:highlight w:val="none"/>
        </w:rPr>
      </w:pPr>
      <w:r>
        <w:rPr>
          <w:rFonts w:hint="eastAsia" w:ascii="宋体" w:hAnsi="宋体"/>
          <w:sz w:val="24"/>
          <w:highlight w:val="none"/>
        </w:rPr>
        <w:t>（7）法律、法规、规章规定的属于成交无效的其他情形。</w:t>
      </w:r>
    </w:p>
    <w:p w14:paraId="17D0C3D3">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2、质疑处理</w:t>
      </w:r>
    </w:p>
    <w:p w14:paraId="184774A2">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2.1磋商供应商认为磋商文件、采购过程和采购结果使自己的权益受到损害的，可以在知道或应知其权益受到损害之日起七个工作日内，以书面形式向采购代理机构或采购人提出质疑。</w:t>
      </w:r>
      <w:r>
        <w:rPr>
          <w:rFonts w:hint="eastAsia" w:ascii="宋体" w:hAnsi="宋体"/>
          <w:bCs/>
          <w:sz w:val="24"/>
          <w:highlight w:val="none"/>
        </w:rPr>
        <w:t>其中有关供应商资格条件、采购需求、评标办法等方面的内容直接向采购人提出质疑；</w:t>
      </w:r>
      <w:r>
        <w:rPr>
          <w:rFonts w:hint="eastAsia" w:ascii="宋体" w:hAnsi="宋体"/>
          <w:sz w:val="24"/>
          <w:highlight w:val="none"/>
        </w:rPr>
        <w:t>有关组织程序方面的内容可向采购人或本采购代理机构提出质疑。上述应知其权益受到损害之日，是指：</w:t>
      </w:r>
    </w:p>
    <w:p w14:paraId="0AB240AD">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（1）</w:t>
      </w:r>
      <w:r>
        <w:rPr>
          <w:rFonts w:ascii="宋体" w:hAnsi="宋体"/>
          <w:sz w:val="24"/>
          <w:highlight w:val="none"/>
        </w:rPr>
        <w:t>对可以质疑的磋商文件提出质疑的，为收到磋商文件之日或者磋商文件公告期限届满之日；</w:t>
      </w:r>
    </w:p>
    <w:p w14:paraId="1F4E8740">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（2）</w:t>
      </w:r>
      <w:r>
        <w:rPr>
          <w:rFonts w:ascii="宋体" w:hAnsi="宋体"/>
          <w:sz w:val="24"/>
          <w:highlight w:val="none"/>
        </w:rPr>
        <w:t>对采购过程提出质疑的，为各采购程序环节结束之日；</w:t>
      </w:r>
    </w:p>
    <w:p w14:paraId="24D1DABF">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（3）</w:t>
      </w:r>
      <w:r>
        <w:rPr>
          <w:rFonts w:ascii="宋体" w:hAnsi="宋体"/>
          <w:sz w:val="24"/>
          <w:highlight w:val="none"/>
        </w:rPr>
        <w:t>对成交结果提出质疑的，为成交结果公告期限届满之日。</w:t>
      </w:r>
    </w:p>
    <w:p w14:paraId="618CBDC1">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2.2质疑必须由磋商供应商法定代表人或授权代表（响应文件中所确定的）以原件送达的方式提交，未按上述要求提交的质疑函（含传真、电子邮件等）采购代理机构有权不予受理。</w:t>
      </w:r>
    </w:p>
    <w:p w14:paraId="71CC89C9">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2.3未参加磋商采购活动的供应商或在磋商采购活动中自身权益未受到损害的供应商所提出的质疑不予受理。</w:t>
      </w:r>
    </w:p>
    <w:p w14:paraId="704818A8">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2.4质疑函应当包括下列内容：</w:t>
      </w:r>
    </w:p>
    <w:p w14:paraId="008AFAFB">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（1）质疑供应商的名称、地址、邮编、联系人、联系电话；</w:t>
      </w:r>
    </w:p>
    <w:p w14:paraId="3F435B6F">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（2）具体的质疑事项及明确的请求；</w:t>
      </w:r>
    </w:p>
    <w:p w14:paraId="06A4FE1D">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（3）认为自己合法权益受到损害或可能受到损害的相关证据材料；</w:t>
      </w:r>
    </w:p>
    <w:p w14:paraId="5B850BAA">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（4）提起质疑的日期；</w:t>
      </w:r>
    </w:p>
    <w:p w14:paraId="6A12609D">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5）质疑函应当署名：质疑人为自然人的，应当由本人签字并附有效身份证明；质疑人为法人或其他组织的，应当由法定代表人签字并加盖单位公章。质疑人委托代理质疑的，应当向采购代理机构提交授权委托书，并载明委托代理的具体权限和事项。</w:t>
      </w:r>
    </w:p>
    <w:p w14:paraId="57C5D8C5">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2.5采购代理机构收到质疑函后，将对质疑的形式和内容进行审查，如质疑函内容、格式不符合规定，采购代理机构将告知质疑人进行补正。</w:t>
      </w:r>
    </w:p>
    <w:p w14:paraId="439E9432">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2.6质疑人应当在法定质疑期限内进行补正并重新提交质疑函，拒不补正或者在法定期限内未重新提交质疑函的，为无效质疑，采购代理机构有权不予受理。</w:t>
      </w:r>
    </w:p>
    <w:p w14:paraId="0AF3BA95">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2.7对于内容、格式符合规定的质疑函，采购代理机构将在收到参加磋商供应商的书面质疑后七个工作日内作出答复，并以书面形式通知质疑供应商和其他相关供应商，答复的内容不涉及商业秘密。</w:t>
      </w:r>
    </w:p>
    <w:p w14:paraId="252B72E3">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2.8供应商提出书面质疑必须有理、有据，不得恶意质疑或提交虚假质疑。否则，一经查实，采购代理机构有权依据政府采购的有关规定，报请政府采购监管部门对该供应商进行相应的行政处罚。</w:t>
      </w:r>
    </w:p>
    <w:p w14:paraId="028FD3C4">
      <w:pPr>
        <w:tabs>
          <w:tab w:val="left" w:pos="900"/>
        </w:tabs>
        <w:spacing w:after="120" w:line="360" w:lineRule="auto"/>
        <w:ind w:firstLine="477"/>
        <w:rPr>
          <w:rFonts w:hint="eastAsia"/>
          <w:highlight w:val="non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成交通知书</w:t>
      </w:r>
    </w:p>
    <w:p w14:paraId="2C1F7520">
      <w:pPr>
        <w:keepNext w:val="0"/>
        <w:keepLines w:val="0"/>
        <w:pageBreakBefore w:val="0"/>
        <w:widowControl w:val="0"/>
        <w:spacing w:line="360" w:lineRule="auto"/>
        <w:ind w:firstLine="480"/>
        <w:rPr>
          <w:rFonts w:ascii="宋体" w:hAnsi="宋体" w:eastAsia="宋体" w:cs="宋体"/>
          <w:color w:val="000000"/>
          <w:sz w:val="24"/>
          <w:szCs w:val="24"/>
          <w:highlight w:val="none"/>
        </w:rPr>
      </w:pPr>
      <w:r>
        <w:rPr>
          <w:rFonts w:hint="eastAsia" w:ascii="宋体" w:hAnsi="宋体" w:eastAsia="宋体"/>
          <w:sz w:val="24"/>
          <w:highlight w:val="none"/>
          <w:lang w:val="en-US" w:eastAsia="zh-CN"/>
        </w:rPr>
        <w:t>3.1</w:t>
      </w:r>
      <w:r>
        <w:rPr>
          <w:rFonts w:hint="eastAsia" w:ascii="宋体" w:hAnsi="宋体" w:eastAsia="宋体" w:cs="宋体"/>
          <w:color w:val="000000"/>
          <w:sz w:val="24"/>
          <w:szCs w:val="24"/>
          <w:highlight w:val="none"/>
        </w:rPr>
        <w:t>成交结果确定后，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2B91043A">
      <w:pPr>
        <w:keepNext w:val="0"/>
        <w:keepLines w:val="0"/>
        <w:pageBreakBefore w:val="0"/>
        <w:widowControl w:val="0"/>
        <w:spacing w:line="360" w:lineRule="auto"/>
        <w:ind w:firstLine="480"/>
        <w:rPr>
          <w:rFonts w:hint="eastAsia" w:ascii="宋体" w:hAnsi="宋体"/>
          <w:b/>
          <w:sz w:val="24"/>
          <w:highlight w:val="none"/>
          <w:lang w:val="en-US" w:eastAsia="zh-CN"/>
        </w:rPr>
      </w:pPr>
      <w:r>
        <w:rPr>
          <w:rFonts w:hint="eastAsia" w:ascii="宋体" w:hAnsi="宋体" w:eastAsia="宋体" w:cs="宋体"/>
          <w:color w:val="000000"/>
          <w:sz w:val="24"/>
          <w:szCs w:val="24"/>
          <w:highlight w:val="none"/>
          <w:lang w:val="en-US" w:eastAsia="zh-CN"/>
        </w:rPr>
        <w:t>3.2</w:t>
      </w:r>
      <w:r>
        <w:rPr>
          <w:rFonts w:hint="eastAsia" w:ascii="宋体" w:hAnsi="宋体" w:eastAsia="宋体" w:cs="宋体"/>
          <w:color w:val="000000"/>
          <w:sz w:val="24"/>
          <w:szCs w:val="24"/>
          <w:highlight w:val="none"/>
        </w:rPr>
        <w:t>成交通知书将是合同的一个组成部分。对采购人和成交供应商均具有法律效力。成交通知书发出后，采购人改变成交结果的，或者成交供应商放弃成交项目的，应当依法承担法律责任。</w:t>
      </w:r>
    </w:p>
    <w:p w14:paraId="117D48B4">
      <w:pPr>
        <w:tabs>
          <w:tab w:val="left" w:pos="900"/>
        </w:tabs>
        <w:spacing w:after="120" w:line="360" w:lineRule="auto"/>
        <w:ind w:firstLine="479"/>
        <w:rPr>
          <w:rFonts w:hint="eastAsia" w:ascii="宋体" w:hAnsi="宋体"/>
          <w:b/>
          <w:sz w:val="24"/>
          <w:highlight w:val="none"/>
        </w:rPr>
      </w:pPr>
      <w:r>
        <w:rPr>
          <w:rFonts w:hint="eastAsia" w:ascii="宋体" w:hAnsi="宋体"/>
          <w:b/>
          <w:sz w:val="24"/>
          <w:highlight w:val="none"/>
          <w:lang w:val="en-US" w:eastAsia="zh-CN"/>
        </w:rPr>
        <w:t>六</w:t>
      </w:r>
      <w:r>
        <w:rPr>
          <w:rFonts w:hint="eastAsia" w:ascii="宋体" w:hAnsi="宋体"/>
          <w:b/>
          <w:sz w:val="24"/>
          <w:highlight w:val="none"/>
        </w:rPr>
        <w:t>、合同签订相关事项</w:t>
      </w:r>
    </w:p>
    <w:p w14:paraId="79A29C23">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1、签订合同</w:t>
      </w:r>
    </w:p>
    <w:p w14:paraId="414DC716">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1.l成交供应商应按成交通知书规定的时间、地点,按照磋商文件确定的事项与采购人签订政府采购合同，且不得迟于成交通知书发出之日起三十日内，否则由此给采购人造成损失的，成交供应商还应承担赔偿责任。</w:t>
      </w:r>
    </w:p>
    <w:p w14:paraId="56E9AF4E">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1.2 磋商文件、成交供应商的响应文件及磋商采购过程中有关澄清、承诺文件均应作为合同附件。</w:t>
      </w:r>
    </w:p>
    <w:p w14:paraId="01EA4620">
      <w:pPr>
        <w:pStyle w:val="225"/>
        <w:spacing w:line="360" w:lineRule="auto"/>
        <w:ind w:firstLine="492"/>
        <w:jc w:val="left"/>
        <w:rPr>
          <w:rFonts w:ascii="宋体" w:hAnsi="宋体"/>
          <w:b w:val="0"/>
          <w:bCs w:val="0"/>
          <w:sz w:val="24"/>
          <w:highlight w:val="none"/>
        </w:rPr>
      </w:pPr>
      <w:bookmarkStart w:id="128" w:name="_Toc4443"/>
      <w:r>
        <w:rPr>
          <w:rFonts w:hint="eastAsia" w:ascii="宋体" w:hAnsi="宋体"/>
          <w:b w:val="0"/>
          <w:bCs w:val="0"/>
          <w:sz w:val="24"/>
          <w:highlight w:val="none"/>
        </w:rPr>
        <w:t>1.3 签订合同后，</w:t>
      </w:r>
      <w:r>
        <w:rPr>
          <w:rFonts w:hint="eastAsia" w:ascii="宋体" w:hAnsi="宋体" w:eastAsia="宋体" w:cs="Times New Roman"/>
          <w:b w:val="0"/>
          <w:bCs w:val="0"/>
          <w:sz w:val="24"/>
          <w:highlight w:val="none"/>
        </w:rPr>
        <w:t>成交供应商不得将合同标的进行转包。未</w:t>
      </w:r>
      <w:r>
        <w:rPr>
          <w:rFonts w:hint="eastAsia" w:ascii="宋体" w:hAnsi="宋体"/>
          <w:b w:val="0"/>
          <w:bCs w:val="0"/>
          <w:sz w:val="24"/>
          <w:highlight w:val="none"/>
        </w:rPr>
        <w:t>经采购人同意，成交供应商也不得采用分包的形式履行合同，否则采购人有权终止合同，成交供应商的履约保证金（如收取）将不予退还。转包或分包造成采购人损失的，成交供应商应承担相应赔偿责任。</w:t>
      </w:r>
      <w:bookmarkEnd w:id="128"/>
    </w:p>
    <w:p w14:paraId="3C9A66FF">
      <w:pPr>
        <w:ind w:firstLine="492"/>
        <w:rPr>
          <w:rFonts w:hint="eastAsia"/>
          <w:highlight w:val="none"/>
        </w:rPr>
      </w:pPr>
      <w:r>
        <w:rPr>
          <w:highlight w:val="none"/>
        </w:rPr>
        <w:br w:type="page" w:clear="all"/>
      </w:r>
      <w:bookmarkEnd w:id="27"/>
      <w:bookmarkEnd w:id="28"/>
      <w:bookmarkEnd w:id="29"/>
      <w:bookmarkStart w:id="129" w:name="_Toc424023828"/>
    </w:p>
    <w:p w14:paraId="74FA4043">
      <w:pPr>
        <w:pStyle w:val="225"/>
        <w:rPr>
          <w:rFonts w:hint="eastAsia"/>
          <w:highlight w:val="none"/>
        </w:rPr>
      </w:pPr>
      <w:bookmarkStart w:id="130" w:name="_Toc9038"/>
      <w:r>
        <w:rPr>
          <w:rFonts w:hint="eastAsia"/>
          <w:highlight w:val="none"/>
        </w:rPr>
        <w:t>第三章 合同条款及格式</w:t>
      </w:r>
      <w:bookmarkEnd w:id="130"/>
    </w:p>
    <w:p w14:paraId="0D4AEAF6">
      <w:pPr>
        <w:numPr>
          <w:ilvl w:val="0"/>
          <w:numId w:val="9"/>
        </w:numPr>
        <w:spacing w:line="360" w:lineRule="auto"/>
        <w:ind w:firstLine="462"/>
        <w:rPr>
          <w:rFonts w:hint="eastAsia"/>
          <w:szCs w:val="21"/>
          <w:highlight w:val="none"/>
        </w:rPr>
      </w:pPr>
      <w:bookmarkStart w:id="131" w:name="_Toc222303204"/>
      <w:bookmarkStart w:id="132" w:name="_Toc81409135"/>
      <w:bookmarkStart w:id="133" w:name="_Toc237153046"/>
      <w:bookmarkStart w:id="134" w:name="_Toc237078374"/>
      <w:bookmarkStart w:id="135" w:name="_Toc237013244"/>
      <w:r>
        <w:rPr>
          <w:szCs w:val="21"/>
          <w:highlight w:val="none"/>
        </w:rPr>
        <w:t xml:space="preserve"> 通用合同条款</w:t>
      </w:r>
      <w:bookmarkEnd w:id="131"/>
      <w:bookmarkEnd w:id="132"/>
      <w:bookmarkEnd w:id="133"/>
      <w:bookmarkEnd w:id="134"/>
      <w:bookmarkEnd w:id="135"/>
      <w:r>
        <w:rPr>
          <w:rFonts w:hint="eastAsia"/>
          <w:szCs w:val="21"/>
          <w:highlight w:val="none"/>
        </w:rPr>
        <w:t>，</w:t>
      </w:r>
      <w:r>
        <w:rPr>
          <w:szCs w:val="21"/>
          <w:highlight w:val="none"/>
        </w:rPr>
        <w:t>本节全文引用《水利水电工程标准施工招标文件》（2009年版）第4章第1节相应条款。</w:t>
      </w:r>
      <w:r>
        <w:rPr>
          <w:rFonts w:hint="eastAsia"/>
          <w:szCs w:val="21"/>
          <w:highlight w:val="none"/>
        </w:rPr>
        <w:t>（此次省略）</w:t>
      </w:r>
    </w:p>
    <w:p w14:paraId="482B6850">
      <w:pPr>
        <w:numPr>
          <w:ilvl w:val="0"/>
          <w:numId w:val="9"/>
        </w:numPr>
        <w:spacing w:line="360" w:lineRule="auto"/>
        <w:ind w:firstLine="462"/>
        <w:rPr>
          <w:szCs w:val="21"/>
          <w:highlight w:val="none"/>
        </w:rPr>
      </w:pPr>
      <w:r>
        <w:rPr>
          <w:rFonts w:hint="eastAsia"/>
          <w:szCs w:val="21"/>
          <w:highlight w:val="none"/>
        </w:rPr>
        <w:t>专用合同条款</w:t>
      </w:r>
    </w:p>
    <w:p w14:paraId="0AF06D37">
      <w:pPr>
        <w:spacing w:line="400" w:lineRule="exact"/>
        <w:ind w:firstLine="413"/>
        <w:rPr>
          <w:b/>
          <w:highlight w:val="none"/>
        </w:rPr>
      </w:pPr>
      <w:r>
        <w:rPr>
          <w:b/>
          <w:highlight w:val="none"/>
        </w:rPr>
        <w:t>1．一般约定</w:t>
      </w:r>
    </w:p>
    <w:p w14:paraId="7469F0FF">
      <w:pPr>
        <w:spacing w:line="400" w:lineRule="exact"/>
        <w:ind w:firstLine="411"/>
        <w:rPr>
          <w:highlight w:val="none"/>
        </w:rPr>
      </w:pPr>
      <w:r>
        <w:rPr>
          <w:highlight w:val="none"/>
        </w:rPr>
        <w:t>1.1  词语定义</w:t>
      </w:r>
    </w:p>
    <w:p w14:paraId="613B5314">
      <w:pPr>
        <w:spacing w:line="400" w:lineRule="exact"/>
        <w:ind w:firstLine="411"/>
        <w:rPr>
          <w:highlight w:val="none"/>
        </w:rPr>
      </w:pPr>
      <w:r>
        <w:rPr>
          <w:highlight w:val="none"/>
        </w:rPr>
        <w:t>1.1.2  合同当事人和人员</w:t>
      </w:r>
    </w:p>
    <w:p w14:paraId="239EAE27">
      <w:pPr>
        <w:spacing w:line="400" w:lineRule="exact"/>
        <w:ind w:firstLine="411"/>
        <w:rPr>
          <w:szCs w:val="21"/>
          <w:highlight w:val="none"/>
          <w:u w:val="single"/>
        </w:rPr>
      </w:pPr>
      <w:r>
        <w:rPr>
          <w:szCs w:val="21"/>
          <w:highlight w:val="none"/>
        </w:rPr>
        <w:t>1.1.2.2  发包人：</w:t>
      </w:r>
      <w:r>
        <w:rPr>
          <w:szCs w:val="21"/>
          <w:highlight w:val="none"/>
          <w:u w:val="single"/>
        </w:rPr>
        <w:t xml:space="preserve"> </w:t>
      </w:r>
      <w:r>
        <w:rPr>
          <w:rFonts w:hint="eastAsia"/>
          <w:szCs w:val="21"/>
          <w:highlight w:val="none"/>
          <w:u w:val="single"/>
        </w:rPr>
        <w:t xml:space="preserve">                           </w:t>
      </w:r>
      <w:r>
        <w:rPr>
          <w:szCs w:val="21"/>
          <w:highlight w:val="none"/>
        </w:rPr>
        <w:t>。</w:t>
      </w:r>
    </w:p>
    <w:p w14:paraId="73DD658B">
      <w:pPr>
        <w:spacing w:line="400" w:lineRule="exact"/>
        <w:ind w:firstLine="411"/>
        <w:rPr>
          <w:szCs w:val="21"/>
          <w:highlight w:val="none"/>
        </w:rPr>
      </w:pPr>
      <w:r>
        <w:rPr>
          <w:szCs w:val="21"/>
          <w:highlight w:val="none"/>
        </w:rPr>
        <w:t>1.1.2.3  承包人：</w:t>
      </w:r>
      <w:r>
        <w:rPr>
          <w:szCs w:val="21"/>
          <w:highlight w:val="none"/>
          <w:u w:val="single"/>
        </w:rPr>
        <w:t xml:space="preserve">（中标人，签约后填入其名称）    </w:t>
      </w:r>
      <w:r>
        <w:rPr>
          <w:szCs w:val="21"/>
          <w:highlight w:val="none"/>
        </w:rPr>
        <w:t>。</w:t>
      </w:r>
    </w:p>
    <w:p w14:paraId="65D9D6AE">
      <w:pPr>
        <w:spacing w:line="400" w:lineRule="exact"/>
        <w:ind w:firstLine="411"/>
        <w:rPr>
          <w:szCs w:val="21"/>
          <w:highlight w:val="none"/>
        </w:rPr>
      </w:pPr>
      <w:r>
        <w:rPr>
          <w:szCs w:val="21"/>
          <w:highlight w:val="none"/>
        </w:rPr>
        <w:t>1.1.2.5  分包人：</w:t>
      </w:r>
      <w:r>
        <w:rPr>
          <w:szCs w:val="21"/>
          <w:highlight w:val="none"/>
          <w:u w:val="single"/>
        </w:rPr>
        <w:t xml:space="preserve">（签约后填入分包人的名称）      </w:t>
      </w:r>
      <w:r>
        <w:rPr>
          <w:szCs w:val="21"/>
          <w:highlight w:val="none"/>
        </w:rPr>
        <w:t>。</w:t>
      </w:r>
    </w:p>
    <w:p w14:paraId="187C16BB">
      <w:pPr>
        <w:spacing w:line="400" w:lineRule="exact"/>
        <w:ind w:firstLine="411"/>
        <w:rPr>
          <w:szCs w:val="21"/>
          <w:highlight w:val="none"/>
        </w:rPr>
      </w:pPr>
      <w:r>
        <w:rPr>
          <w:szCs w:val="21"/>
          <w:highlight w:val="none"/>
        </w:rPr>
        <w:t xml:space="preserve">1.1.2.6  </w:t>
      </w:r>
      <w:r>
        <w:rPr>
          <w:rFonts w:hint="eastAsia"/>
          <w:szCs w:val="21"/>
          <w:highlight w:val="none"/>
        </w:rPr>
        <w:t>代建及</w:t>
      </w:r>
      <w:r>
        <w:rPr>
          <w:szCs w:val="21"/>
          <w:highlight w:val="none"/>
        </w:rPr>
        <w:t>监理人：</w:t>
      </w:r>
      <w:r>
        <w:rPr>
          <w:szCs w:val="21"/>
          <w:highlight w:val="none"/>
          <w:u w:val="single"/>
        </w:rPr>
        <w:t>通过</w:t>
      </w:r>
      <w:r>
        <w:rPr>
          <w:rFonts w:hint="eastAsia"/>
          <w:szCs w:val="21"/>
          <w:highlight w:val="none"/>
          <w:u w:val="single"/>
        </w:rPr>
        <w:t>招标</w:t>
      </w:r>
      <w:r>
        <w:rPr>
          <w:szCs w:val="21"/>
          <w:highlight w:val="none"/>
          <w:u w:val="single"/>
        </w:rPr>
        <w:t>确定</w:t>
      </w:r>
      <w:r>
        <w:rPr>
          <w:rFonts w:hint="eastAsia"/>
          <w:szCs w:val="21"/>
          <w:highlight w:val="none"/>
          <w:u w:val="single"/>
        </w:rPr>
        <w:t>监理人</w:t>
      </w:r>
      <w:r>
        <w:rPr>
          <w:szCs w:val="21"/>
          <w:highlight w:val="none"/>
        </w:rPr>
        <w:t>。</w:t>
      </w:r>
    </w:p>
    <w:p w14:paraId="3130A5AC">
      <w:pPr>
        <w:spacing w:line="400" w:lineRule="exact"/>
        <w:ind w:firstLine="411"/>
        <w:rPr>
          <w:szCs w:val="21"/>
          <w:highlight w:val="none"/>
        </w:rPr>
      </w:pPr>
      <w:bookmarkStart w:id="136" w:name="_Toc221951125"/>
      <w:r>
        <w:rPr>
          <w:szCs w:val="21"/>
          <w:highlight w:val="none"/>
        </w:rPr>
        <w:t>1.1.3.4  单位工程：本工程单位工程的项目划分以质量监督部门批准的项目划分为准。</w:t>
      </w:r>
    </w:p>
    <w:p w14:paraId="15B4BA1B">
      <w:pPr>
        <w:spacing w:line="400" w:lineRule="exact"/>
        <w:ind w:firstLine="411"/>
        <w:rPr>
          <w:szCs w:val="21"/>
          <w:highlight w:val="none"/>
        </w:rPr>
      </w:pPr>
      <w:r>
        <w:rPr>
          <w:szCs w:val="21"/>
          <w:highlight w:val="none"/>
        </w:rPr>
        <w:t>1.1.3.10  永久占地：见招标图纸。</w:t>
      </w:r>
    </w:p>
    <w:p w14:paraId="218B1AA5">
      <w:pPr>
        <w:spacing w:line="400" w:lineRule="exact"/>
        <w:ind w:firstLine="411"/>
        <w:rPr>
          <w:rFonts w:hint="eastAsia"/>
          <w:szCs w:val="21"/>
          <w:highlight w:val="none"/>
        </w:rPr>
      </w:pPr>
      <w:r>
        <w:rPr>
          <w:szCs w:val="21"/>
          <w:highlight w:val="none"/>
        </w:rPr>
        <w:t>1.1.3.11  临时占地：见招标图纸。</w:t>
      </w:r>
      <w:r>
        <w:rPr>
          <w:rFonts w:hint="eastAsia"/>
          <w:szCs w:val="21"/>
          <w:highlight w:val="none"/>
        </w:rPr>
        <w:t>施工临时用地（含排泥场、临时设施、临时道路、临时堆场等）由承包人自行租用，其费用包含在相应工程单价中，不单独立项。</w:t>
      </w:r>
    </w:p>
    <w:p w14:paraId="3CC9D4F6">
      <w:pPr>
        <w:spacing w:line="400" w:lineRule="exact"/>
        <w:ind w:firstLine="411"/>
        <w:rPr>
          <w:szCs w:val="21"/>
          <w:highlight w:val="none"/>
        </w:rPr>
      </w:pPr>
      <w:r>
        <w:rPr>
          <w:rFonts w:hint="eastAsia"/>
          <w:szCs w:val="21"/>
          <w:highlight w:val="none"/>
        </w:rPr>
        <w:t>承包人租用的临时用地在工程完工前必须清理恢复原貌，所需费用列入工程相应单价中，不单独列项。</w:t>
      </w:r>
    </w:p>
    <w:p w14:paraId="1EC11570">
      <w:pPr>
        <w:spacing w:line="400" w:lineRule="exact"/>
        <w:ind w:firstLine="411"/>
        <w:rPr>
          <w:szCs w:val="21"/>
          <w:highlight w:val="none"/>
        </w:rPr>
      </w:pPr>
      <w:r>
        <w:rPr>
          <w:szCs w:val="21"/>
          <w:highlight w:val="none"/>
        </w:rPr>
        <w:t>1.1.4  日期</w:t>
      </w:r>
      <w:bookmarkEnd w:id="136"/>
      <w:bookmarkStart w:id="137" w:name="_Toc221951126"/>
    </w:p>
    <w:p w14:paraId="5CE19B12">
      <w:pPr>
        <w:spacing w:line="400" w:lineRule="exact"/>
        <w:ind w:firstLine="411"/>
        <w:rPr>
          <w:szCs w:val="21"/>
          <w:highlight w:val="none"/>
        </w:rPr>
      </w:pPr>
      <w:r>
        <w:rPr>
          <w:szCs w:val="21"/>
          <w:highlight w:val="none"/>
        </w:rPr>
        <w:t>1.1.4.5  缺陷责任期：</w:t>
      </w:r>
      <w:r>
        <w:rPr>
          <w:szCs w:val="21"/>
          <w:highlight w:val="none"/>
          <w:u w:val="single"/>
        </w:rPr>
        <w:t xml:space="preserve"> </w:t>
      </w:r>
      <w:r>
        <w:rPr>
          <w:b/>
          <w:bCs/>
          <w:szCs w:val="21"/>
          <w:highlight w:val="none"/>
          <w:u w:val="single"/>
        </w:rPr>
        <w:t>缺陷责任期</w:t>
      </w:r>
      <w:r>
        <w:rPr>
          <w:rFonts w:hint="eastAsia"/>
          <w:b/>
          <w:bCs/>
          <w:szCs w:val="21"/>
          <w:highlight w:val="none"/>
          <w:u w:val="single"/>
          <w:lang w:val="en-US" w:eastAsia="zh-CN"/>
        </w:rPr>
        <w:t>2</w:t>
      </w:r>
      <w:r>
        <w:rPr>
          <w:rFonts w:hint="eastAsia"/>
          <w:b/>
          <w:bCs/>
          <w:szCs w:val="21"/>
          <w:highlight w:val="none"/>
          <w:u w:val="single"/>
        </w:rPr>
        <w:t>年</w:t>
      </w:r>
      <w:r>
        <w:rPr>
          <w:szCs w:val="21"/>
          <w:highlight w:val="none"/>
          <w:u w:val="single"/>
        </w:rPr>
        <w:t xml:space="preserve">  </w:t>
      </w:r>
      <w:r>
        <w:rPr>
          <w:szCs w:val="21"/>
          <w:highlight w:val="none"/>
        </w:rPr>
        <w:t>。</w:t>
      </w:r>
      <w:bookmarkEnd w:id="137"/>
    </w:p>
    <w:p w14:paraId="115EB22D">
      <w:pPr>
        <w:spacing w:line="400" w:lineRule="exact"/>
        <w:ind w:firstLine="413"/>
        <w:rPr>
          <w:b/>
          <w:highlight w:val="none"/>
        </w:rPr>
      </w:pPr>
      <w:bookmarkStart w:id="138" w:name="_Toc221951127"/>
      <w:r>
        <w:rPr>
          <w:b/>
          <w:highlight w:val="none"/>
        </w:rPr>
        <w:t>1.4  合同文件的优先顺序</w:t>
      </w:r>
      <w:bookmarkEnd w:id="138"/>
    </w:p>
    <w:p w14:paraId="2CEC8FD6">
      <w:pPr>
        <w:spacing w:line="400" w:lineRule="exact"/>
        <w:ind w:firstLine="411"/>
        <w:rPr>
          <w:rFonts w:hint="eastAsia"/>
          <w:szCs w:val="21"/>
          <w:highlight w:val="none"/>
          <w:u w:val="single"/>
        </w:rPr>
      </w:pPr>
      <w:r>
        <w:rPr>
          <w:szCs w:val="21"/>
          <w:highlight w:val="none"/>
        </w:rPr>
        <w:t>进入合同文件的各项文件及其优先顺序是</w:t>
      </w:r>
      <w:r>
        <w:rPr>
          <w:szCs w:val="21"/>
          <w:highlight w:val="none"/>
          <w:u w:val="single"/>
        </w:rPr>
        <w:t>（1）合同协议书（包括补充协议书）；（2）中标通知书；（3）投标函及投标函附录；（4）专用合同条款；（5）通用合同条款；（6）技术标准和要求（合同技术条款）；（7）图纸；（8）已标价工程量清单；（9）其他合同文件。</w:t>
      </w:r>
    </w:p>
    <w:p w14:paraId="52175C44">
      <w:pPr>
        <w:spacing w:line="400" w:lineRule="exact"/>
        <w:ind w:firstLine="413"/>
        <w:rPr>
          <w:szCs w:val="21"/>
          <w:highlight w:val="none"/>
        </w:rPr>
      </w:pPr>
      <w:r>
        <w:rPr>
          <w:rFonts w:hint="eastAsia"/>
          <w:b/>
          <w:highlight w:val="none"/>
        </w:rPr>
        <w:t xml:space="preserve">1.5  </w:t>
      </w:r>
      <w:r>
        <w:rPr>
          <w:rFonts w:hint="eastAsia"/>
          <w:szCs w:val="21"/>
          <w:highlight w:val="none"/>
        </w:rPr>
        <w:t>其他约定</w:t>
      </w:r>
    </w:p>
    <w:p w14:paraId="500B66DB">
      <w:pPr>
        <w:spacing w:line="400" w:lineRule="exact"/>
        <w:ind w:firstLine="411"/>
        <w:rPr>
          <w:szCs w:val="21"/>
          <w:highlight w:val="none"/>
        </w:rPr>
      </w:pPr>
      <w:r>
        <w:rPr>
          <w:rFonts w:hint="eastAsia"/>
          <w:szCs w:val="21"/>
          <w:highlight w:val="none"/>
        </w:rPr>
        <w:t>（1）本合同条款中所附合同协议书的格式仅供参考，发包人可以修改和调整。</w:t>
      </w:r>
    </w:p>
    <w:p w14:paraId="6E73BBAC">
      <w:pPr>
        <w:spacing w:line="400" w:lineRule="exact"/>
        <w:ind w:firstLine="411"/>
        <w:rPr>
          <w:szCs w:val="21"/>
          <w:highlight w:val="none"/>
        </w:rPr>
      </w:pPr>
      <w:r>
        <w:rPr>
          <w:rFonts w:hint="eastAsia"/>
          <w:szCs w:val="21"/>
          <w:highlight w:val="none"/>
        </w:rPr>
        <w:t>（2）对某些特定项目需要如主管部门或金融机构审批程序，在合同协议书签订后，还需通过其他程序和（或）办理必要的批准或签证手续后合同才能生效。</w:t>
      </w:r>
    </w:p>
    <w:p w14:paraId="0EAEFFB7">
      <w:pPr>
        <w:spacing w:line="400" w:lineRule="exact"/>
        <w:ind w:firstLine="411"/>
        <w:rPr>
          <w:rFonts w:hint="eastAsia"/>
          <w:szCs w:val="21"/>
          <w:highlight w:val="none"/>
        </w:rPr>
      </w:pPr>
      <w:r>
        <w:rPr>
          <w:rFonts w:hint="eastAsia"/>
          <w:szCs w:val="21"/>
          <w:highlight w:val="none"/>
        </w:rPr>
        <w:t>（3）在合同签订后14天之内，承包人提供发包人满意的履约担保后合同生效。</w:t>
      </w:r>
    </w:p>
    <w:p w14:paraId="073FF831">
      <w:pPr>
        <w:spacing w:line="400" w:lineRule="exact"/>
        <w:ind w:firstLine="413"/>
        <w:rPr>
          <w:rFonts w:hint="eastAsia"/>
          <w:szCs w:val="21"/>
          <w:highlight w:val="none"/>
        </w:rPr>
      </w:pPr>
      <w:r>
        <w:rPr>
          <w:rFonts w:hint="eastAsia"/>
          <w:b/>
          <w:highlight w:val="none"/>
        </w:rPr>
        <w:t>1.6</w:t>
      </w:r>
    </w:p>
    <w:p w14:paraId="265A7E94">
      <w:pPr>
        <w:spacing w:line="400" w:lineRule="exact"/>
        <w:ind w:firstLine="411"/>
        <w:rPr>
          <w:szCs w:val="21"/>
          <w:highlight w:val="none"/>
        </w:rPr>
      </w:pPr>
      <w:r>
        <w:rPr>
          <w:rFonts w:hint="eastAsia"/>
          <w:szCs w:val="21"/>
          <w:highlight w:val="none"/>
        </w:rPr>
        <w:t>1.6.2承包人提供的文件</w:t>
      </w:r>
    </w:p>
    <w:p w14:paraId="7DA1DE5E">
      <w:pPr>
        <w:spacing w:line="400" w:lineRule="exact"/>
        <w:ind w:firstLine="411"/>
        <w:rPr>
          <w:szCs w:val="21"/>
          <w:highlight w:val="none"/>
        </w:rPr>
      </w:pPr>
      <w:r>
        <w:rPr>
          <w:rFonts w:hint="eastAsia"/>
          <w:szCs w:val="21"/>
          <w:highlight w:val="none"/>
        </w:rPr>
        <w:t>见第七章“技术标准和要求”一般规定“承包人提交的图纸和文件”。承包人提供的文件不少于4份。</w:t>
      </w:r>
    </w:p>
    <w:p w14:paraId="42FD4754">
      <w:pPr>
        <w:spacing w:line="400" w:lineRule="exact"/>
        <w:ind w:firstLine="411"/>
        <w:rPr>
          <w:szCs w:val="21"/>
          <w:highlight w:val="none"/>
        </w:rPr>
      </w:pPr>
      <w:r>
        <w:rPr>
          <w:rFonts w:hint="eastAsia"/>
          <w:szCs w:val="21"/>
          <w:highlight w:val="none"/>
        </w:rPr>
        <w:t>1.6.3图纸的修改</w:t>
      </w:r>
    </w:p>
    <w:p w14:paraId="0C31228E">
      <w:pPr>
        <w:spacing w:line="400" w:lineRule="exact"/>
        <w:ind w:firstLine="411"/>
        <w:rPr>
          <w:szCs w:val="21"/>
          <w:highlight w:val="none"/>
        </w:rPr>
      </w:pPr>
      <w:r>
        <w:rPr>
          <w:rFonts w:hint="eastAsia"/>
          <w:szCs w:val="21"/>
          <w:highlight w:val="none"/>
        </w:rPr>
        <w:t>监理人应在取得发包人同意后，在该工程或工程相应部位施工前7天签发图纸修改图给承包人</w:t>
      </w:r>
    </w:p>
    <w:p w14:paraId="5D76D38C">
      <w:pPr>
        <w:spacing w:line="400" w:lineRule="exact"/>
        <w:ind w:firstLine="413"/>
        <w:rPr>
          <w:b/>
          <w:highlight w:val="none"/>
        </w:rPr>
      </w:pPr>
      <w:bookmarkStart w:id="139" w:name="_Toc221951129"/>
      <w:r>
        <w:rPr>
          <w:b/>
          <w:highlight w:val="none"/>
        </w:rPr>
        <w:t>1.7  联络</w:t>
      </w:r>
      <w:bookmarkEnd w:id="139"/>
    </w:p>
    <w:p w14:paraId="04CBAF66">
      <w:pPr>
        <w:spacing w:line="400" w:lineRule="exact"/>
        <w:ind w:firstLine="411"/>
        <w:rPr>
          <w:szCs w:val="21"/>
          <w:highlight w:val="none"/>
          <w:u w:val="single"/>
        </w:rPr>
      </w:pPr>
      <w:bookmarkStart w:id="140" w:name="_Toc221951130"/>
      <w:r>
        <w:rPr>
          <w:highlight w:val="none"/>
        </w:rPr>
        <w:t>1.7.2  来往函件均应按</w:t>
      </w:r>
      <w:r>
        <w:rPr>
          <w:szCs w:val="21"/>
          <w:highlight w:val="none"/>
        </w:rPr>
        <w:t>技术标准和要求（合同技术条款）</w:t>
      </w:r>
      <w:r>
        <w:rPr>
          <w:highlight w:val="none"/>
        </w:rPr>
        <w:t xml:space="preserve">约定的期限送达 </w:t>
      </w:r>
      <w:r>
        <w:rPr>
          <w:rFonts w:hint="eastAsia"/>
          <w:highlight w:val="none"/>
          <w:u w:val="single"/>
        </w:rPr>
        <w:t xml:space="preserve">            </w:t>
      </w:r>
      <w:r>
        <w:rPr>
          <w:szCs w:val="21"/>
          <w:highlight w:val="none"/>
          <w:u w:val="single"/>
        </w:rPr>
        <w:t>。</w:t>
      </w:r>
      <w:bookmarkEnd w:id="140"/>
    </w:p>
    <w:p w14:paraId="6C33A1B3">
      <w:pPr>
        <w:spacing w:line="400" w:lineRule="exact"/>
        <w:ind w:firstLine="413"/>
        <w:rPr>
          <w:b/>
          <w:highlight w:val="none"/>
        </w:rPr>
      </w:pPr>
      <w:bookmarkStart w:id="141" w:name="_Toc229305388"/>
      <w:bookmarkStart w:id="142" w:name="_Toc221951131"/>
      <w:bookmarkStart w:id="143" w:name="_Toc222029528"/>
      <w:bookmarkStart w:id="144" w:name="_Toc222033879"/>
      <w:bookmarkStart w:id="145" w:name="_Toc222031030"/>
      <w:bookmarkStart w:id="146" w:name="_Toc222032697"/>
      <w:r>
        <w:rPr>
          <w:b/>
          <w:highlight w:val="none"/>
        </w:rPr>
        <w:t xml:space="preserve">2 . </w:t>
      </w:r>
      <w:r>
        <w:rPr>
          <w:b/>
          <w:szCs w:val="21"/>
          <w:highlight w:val="none"/>
        </w:rPr>
        <w:t>发包人义务</w:t>
      </w:r>
      <w:bookmarkEnd w:id="141"/>
      <w:bookmarkEnd w:id="142"/>
      <w:bookmarkEnd w:id="143"/>
      <w:bookmarkEnd w:id="144"/>
      <w:bookmarkEnd w:id="145"/>
      <w:bookmarkEnd w:id="146"/>
    </w:p>
    <w:p w14:paraId="08B6C2FD">
      <w:pPr>
        <w:spacing w:line="400" w:lineRule="exact"/>
        <w:ind w:firstLine="413"/>
        <w:rPr>
          <w:b/>
          <w:highlight w:val="none"/>
        </w:rPr>
      </w:pPr>
      <w:bookmarkStart w:id="147" w:name="_Toc221951132"/>
      <w:r>
        <w:rPr>
          <w:b/>
          <w:highlight w:val="none"/>
        </w:rPr>
        <w:t>2.3  提供施工场地</w:t>
      </w:r>
      <w:bookmarkEnd w:id="147"/>
    </w:p>
    <w:p w14:paraId="296116E0">
      <w:pPr>
        <w:spacing w:line="400" w:lineRule="exact"/>
        <w:ind w:firstLine="411"/>
        <w:rPr>
          <w:szCs w:val="21"/>
          <w:highlight w:val="none"/>
          <w:u w:val="single"/>
        </w:rPr>
      </w:pPr>
      <w:bookmarkStart w:id="148" w:name="_Toc221951133"/>
      <w:r>
        <w:rPr>
          <w:szCs w:val="21"/>
          <w:highlight w:val="none"/>
        </w:rPr>
        <w:t>2.3.2发包人提供的施工场地范围为：</w:t>
      </w:r>
      <w:bookmarkEnd w:id="148"/>
      <w:r>
        <w:rPr>
          <w:rFonts w:hint="eastAsia"/>
          <w:szCs w:val="21"/>
          <w:highlight w:val="none"/>
          <w:u w:val="single"/>
        </w:rPr>
        <w:t>发包人负责向承包人提供施工用地，施工用地范围为施工红线，在承包人进场前由监理人组织交接。施工临时用地（含排泥场用地、承包人临时设施搭建用地等）由承包人自行解决并承担相关费用。</w:t>
      </w:r>
    </w:p>
    <w:p w14:paraId="0B1C1709">
      <w:pPr>
        <w:spacing w:line="400" w:lineRule="exact"/>
        <w:ind w:firstLine="411"/>
        <w:rPr>
          <w:szCs w:val="21"/>
          <w:highlight w:val="none"/>
        </w:rPr>
      </w:pPr>
      <w:r>
        <w:rPr>
          <w:szCs w:val="21"/>
          <w:highlight w:val="none"/>
        </w:rPr>
        <w:t>2.3.3 承包人自行勘察的施工场地范围为：</w:t>
      </w:r>
      <w:r>
        <w:rPr>
          <w:szCs w:val="21"/>
          <w:highlight w:val="none"/>
          <w:u w:val="single"/>
        </w:rPr>
        <w:t xml:space="preserve">      /        。</w:t>
      </w:r>
    </w:p>
    <w:p w14:paraId="47A7BCC0">
      <w:pPr>
        <w:spacing w:line="400" w:lineRule="exact"/>
        <w:ind w:firstLine="413"/>
        <w:rPr>
          <w:b/>
          <w:highlight w:val="none"/>
        </w:rPr>
      </w:pPr>
      <w:bookmarkStart w:id="149" w:name="_Toc221951134"/>
      <w:r>
        <w:rPr>
          <w:b/>
          <w:highlight w:val="none"/>
        </w:rPr>
        <w:t>2.4  协助承包人办理证件和批件</w:t>
      </w:r>
    </w:p>
    <w:p w14:paraId="7A4F3A0F">
      <w:pPr>
        <w:spacing w:line="400" w:lineRule="exact"/>
        <w:ind w:firstLine="411"/>
        <w:rPr>
          <w:szCs w:val="21"/>
          <w:highlight w:val="none"/>
          <w:u w:val="single"/>
        </w:rPr>
      </w:pPr>
      <w:r>
        <w:rPr>
          <w:rFonts w:hint="eastAsia"/>
          <w:szCs w:val="21"/>
          <w:highlight w:val="none"/>
          <w:u w:val="single"/>
        </w:rPr>
        <w:t>发包人协助承包人办理相关证件和批件，但办理相关证件的费用由承包人支付，同时考虑施工区域通航的影响所发生的费用（水上交通管制、通航安全维护等），并在投标报价中予以考虑。</w:t>
      </w:r>
    </w:p>
    <w:p w14:paraId="288B08BA">
      <w:pPr>
        <w:spacing w:line="400" w:lineRule="exact"/>
        <w:ind w:firstLine="413"/>
        <w:rPr>
          <w:b/>
          <w:highlight w:val="none"/>
        </w:rPr>
      </w:pPr>
      <w:r>
        <w:rPr>
          <w:b/>
          <w:highlight w:val="none"/>
        </w:rPr>
        <w:t>2.8  其他义务</w:t>
      </w:r>
      <w:bookmarkEnd w:id="149"/>
    </w:p>
    <w:p w14:paraId="7FDD375D">
      <w:pPr>
        <w:spacing w:line="400" w:lineRule="exact"/>
        <w:ind w:firstLine="411"/>
        <w:rPr>
          <w:sz w:val="24"/>
          <w:highlight w:val="none"/>
        </w:rPr>
      </w:pPr>
      <w:bookmarkStart w:id="150" w:name="_Toc221951135"/>
      <w:r>
        <w:rPr>
          <w:highlight w:val="none"/>
        </w:rPr>
        <w:t>补充约定：</w:t>
      </w:r>
      <w:bookmarkEnd w:id="150"/>
      <w:r>
        <w:rPr>
          <w:highlight w:val="none"/>
          <w:u w:val="single"/>
        </w:rPr>
        <w:t>无</w:t>
      </w:r>
      <w:r>
        <w:rPr>
          <w:highlight w:val="none"/>
        </w:rPr>
        <w:t>。</w:t>
      </w:r>
    </w:p>
    <w:p w14:paraId="089C3508">
      <w:pPr>
        <w:spacing w:line="400" w:lineRule="exact"/>
        <w:ind w:firstLine="413"/>
        <w:rPr>
          <w:b/>
          <w:highlight w:val="none"/>
        </w:rPr>
      </w:pPr>
      <w:bookmarkStart w:id="151" w:name="_Toc221951140"/>
      <w:bookmarkStart w:id="152" w:name="_Toc222029529"/>
      <w:bookmarkStart w:id="153" w:name="_Toc229305389"/>
      <w:bookmarkStart w:id="154" w:name="_Toc222032698"/>
      <w:bookmarkStart w:id="155" w:name="_Toc222033880"/>
      <w:bookmarkStart w:id="156" w:name="_Toc222031031"/>
      <w:r>
        <w:rPr>
          <w:b/>
          <w:highlight w:val="none"/>
        </w:rPr>
        <w:t>3. 监理人</w:t>
      </w:r>
      <w:bookmarkEnd w:id="151"/>
      <w:bookmarkEnd w:id="152"/>
      <w:bookmarkEnd w:id="153"/>
      <w:bookmarkEnd w:id="154"/>
      <w:bookmarkEnd w:id="155"/>
      <w:bookmarkEnd w:id="156"/>
    </w:p>
    <w:p w14:paraId="68E88DF9">
      <w:pPr>
        <w:spacing w:line="400" w:lineRule="exact"/>
        <w:ind w:firstLine="413"/>
        <w:rPr>
          <w:b/>
          <w:highlight w:val="none"/>
        </w:rPr>
      </w:pPr>
      <w:bookmarkStart w:id="157" w:name="_Toc221951141"/>
      <w:r>
        <w:rPr>
          <w:b/>
          <w:highlight w:val="none"/>
        </w:rPr>
        <w:t>3.1  监理人的职责和权力</w:t>
      </w:r>
      <w:bookmarkEnd w:id="157"/>
    </w:p>
    <w:p w14:paraId="5AE6DE82">
      <w:pPr>
        <w:spacing w:line="400" w:lineRule="exact"/>
        <w:ind w:firstLine="411"/>
        <w:rPr>
          <w:szCs w:val="21"/>
          <w:highlight w:val="none"/>
        </w:rPr>
      </w:pPr>
      <w:bookmarkStart w:id="158" w:name="_Toc221951142"/>
      <w:r>
        <w:rPr>
          <w:szCs w:val="21"/>
          <w:highlight w:val="none"/>
        </w:rPr>
        <w:t>3.1.1</w:t>
      </w:r>
      <w:bookmarkEnd w:id="158"/>
      <w:r>
        <w:rPr>
          <w:szCs w:val="21"/>
          <w:highlight w:val="none"/>
        </w:rPr>
        <w:t>　监理人须根据发包人事先批准的权力范围行使权力，发包人批准的权力范围：</w:t>
      </w:r>
    </w:p>
    <w:p w14:paraId="2678CC26">
      <w:pPr>
        <w:spacing w:line="400" w:lineRule="exact"/>
        <w:ind w:firstLine="411"/>
        <w:rPr>
          <w:szCs w:val="21"/>
          <w:highlight w:val="none"/>
        </w:rPr>
      </w:pPr>
      <w:r>
        <w:rPr>
          <w:szCs w:val="21"/>
          <w:highlight w:val="none"/>
        </w:rPr>
        <w:t>本合同监理人需要在行使其职责和权力前，必须事先经发包人批准的事项有（不限于）：</w:t>
      </w:r>
    </w:p>
    <w:p w14:paraId="032D5E36">
      <w:pPr>
        <w:spacing w:line="400" w:lineRule="exact"/>
        <w:ind w:firstLine="411"/>
        <w:rPr>
          <w:szCs w:val="21"/>
          <w:highlight w:val="none"/>
        </w:rPr>
      </w:pPr>
      <w:r>
        <w:rPr>
          <w:szCs w:val="21"/>
          <w:highlight w:val="none"/>
        </w:rPr>
        <w:t>1）批准工程的分包；</w:t>
      </w:r>
    </w:p>
    <w:p w14:paraId="7C871FDF">
      <w:pPr>
        <w:spacing w:line="400" w:lineRule="exact"/>
        <w:ind w:firstLine="411"/>
        <w:rPr>
          <w:szCs w:val="21"/>
          <w:highlight w:val="none"/>
        </w:rPr>
      </w:pPr>
      <w:r>
        <w:rPr>
          <w:szCs w:val="21"/>
          <w:highlight w:val="none"/>
        </w:rPr>
        <w:t>2）涉及全局的暂停施工、复工；</w:t>
      </w:r>
    </w:p>
    <w:p w14:paraId="6ACEAF22">
      <w:pPr>
        <w:spacing w:line="400" w:lineRule="exact"/>
        <w:ind w:firstLine="411"/>
        <w:rPr>
          <w:szCs w:val="21"/>
          <w:highlight w:val="none"/>
        </w:rPr>
      </w:pPr>
      <w:r>
        <w:rPr>
          <w:szCs w:val="21"/>
          <w:highlight w:val="none"/>
        </w:rPr>
        <w:t>3）确定延长完工期限；</w:t>
      </w:r>
    </w:p>
    <w:p w14:paraId="3A1668C2">
      <w:pPr>
        <w:spacing w:line="400" w:lineRule="exact"/>
        <w:ind w:firstLine="411"/>
        <w:rPr>
          <w:szCs w:val="21"/>
          <w:highlight w:val="none"/>
        </w:rPr>
      </w:pPr>
      <w:r>
        <w:rPr>
          <w:szCs w:val="21"/>
          <w:highlight w:val="none"/>
        </w:rPr>
        <w:t>4）当变更引起任何合同价格变动时作出变更决定；</w:t>
      </w:r>
    </w:p>
    <w:p w14:paraId="1EDD583E">
      <w:pPr>
        <w:spacing w:line="400" w:lineRule="exact"/>
        <w:ind w:firstLine="411"/>
        <w:rPr>
          <w:szCs w:val="21"/>
          <w:highlight w:val="none"/>
        </w:rPr>
      </w:pPr>
      <w:r>
        <w:rPr>
          <w:szCs w:val="21"/>
          <w:highlight w:val="none"/>
        </w:rPr>
        <w:t>5）暂列金额的使用；</w:t>
      </w:r>
    </w:p>
    <w:p w14:paraId="5CCE2262">
      <w:pPr>
        <w:spacing w:line="400" w:lineRule="exact"/>
        <w:ind w:firstLine="411"/>
        <w:rPr>
          <w:szCs w:val="21"/>
          <w:highlight w:val="none"/>
        </w:rPr>
      </w:pPr>
      <w:r>
        <w:rPr>
          <w:szCs w:val="21"/>
          <w:highlight w:val="none"/>
        </w:rPr>
        <w:t>6）索赔的批准与支付。</w:t>
      </w:r>
    </w:p>
    <w:p w14:paraId="024683BE">
      <w:pPr>
        <w:spacing w:line="400" w:lineRule="exact"/>
        <w:ind w:firstLine="411"/>
        <w:rPr>
          <w:szCs w:val="21"/>
          <w:highlight w:val="none"/>
        </w:rPr>
      </w:pPr>
      <w:r>
        <w:rPr>
          <w:szCs w:val="21"/>
          <w:highlight w:val="none"/>
        </w:rPr>
        <w:t>3.4.4 承包人除应服从总监理工程师或按第3.3.1项被授权的监理人员处取得指示外，特殊情况下亦应服从发包人直接发出的指示，同时发包人应将发出的指示告知监理人。</w:t>
      </w:r>
    </w:p>
    <w:p w14:paraId="01E4D230">
      <w:pPr>
        <w:spacing w:line="400" w:lineRule="exact"/>
        <w:ind w:firstLine="411"/>
        <w:rPr>
          <w:szCs w:val="21"/>
          <w:highlight w:val="none"/>
        </w:rPr>
      </w:pPr>
      <w:r>
        <w:rPr>
          <w:szCs w:val="21"/>
          <w:highlight w:val="none"/>
        </w:rPr>
        <w:t>3.5.1本合同条款中需要总监理工程师商定或确定的事项有：如第15条的变更、第16条价格调整、第21条不可抗力、第23条索赔等。</w:t>
      </w:r>
    </w:p>
    <w:p w14:paraId="4EE7AF47">
      <w:pPr>
        <w:spacing w:line="400" w:lineRule="exact"/>
        <w:ind w:firstLine="413"/>
        <w:rPr>
          <w:b/>
          <w:szCs w:val="21"/>
          <w:highlight w:val="none"/>
        </w:rPr>
      </w:pPr>
      <w:bookmarkStart w:id="159" w:name="_Toc222033881"/>
      <w:bookmarkStart w:id="160" w:name="_Toc222032699"/>
      <w:bookmarkStart w:id="161" w:name="_Toc221951150"/>
      <w:bookmarkStart w:id="162" w:name="_Toc222029530"/>
      <w:bookmarkStart w:id="163" w:name="_Toc229305390"/>
      <w:bookmarkStart w:id="164" w:name="_Toc222031032"/>
      <w:r>
        <w:rPr>
          <w:b/>
          <w:szCs w:val="21"/>
          <w:highlight w:val="none"/>
        </w:rPr>
        <w:t>4. 承包人</w:t>
      </w:r>
      <w:bookmarkEnd w:id="159"/>
      <w:bookmarkEnd w:id="160"/>
      <w:bookmarkEnd w:id="161"/>
      <w:bookmarkEnd w:id="162"/>
      <w:bookmarkEnd w:id="163"/>
      <w:bookmarkEnd w:id="164"/>
    </w:p>
    <w:p w14:paraId="28855C8C">
      <w:pPr>
        <w:spacing w:line="400" w:lineRule="exact"/>
        <w:ind w:firstLine="413"/>
        <w:rPr>
          <w:b/>
          <w:szCs w:val="21"/>
          <w:highlight w:val="none"/>
        </w:rPr>
      </w:pPr>
      <w:bookmarkStart w:id="165" w:name="_Toc221951151"/>
      <w:r>
        <w:rPr>
          <w:b/>
          <w:szCs w:val="21"/>
          <w:highlight w:val="none"/>
        </w:rPr>
        <w:t>4.1  承包人的一般义务</w:t>
      </w:r>
      <w:bookmarkEnd w:id="165"/>
    </w:p>
    <w:p w14:paraId="16E72C6E">
      <w:pPr>
        <w:spacing w:line="400" w:lineRule="exact"/>
        <w:ind w:firstLine="411"/>
        <w:rPr>
          <w:szCs w:val="21"/>
          <w:highlight w:val="none"/>
        </w:rPr>
      </w:pPr>
      <w:bookmarkStart w:id="166" w:name="_Toc221951152"/>
      <w:r>
        <w:rPr>
          <w:szCs w:val="21"/>
          <w:highlight w:val="none"/>
        </w:rPr>
        <w:t>4.1.3完成各项承包工作</w:t>
      </w:r>
    </w:p>
    <w:p w14:paraId="50F43029">
      <w:pPr>
        <w:spacing w:line="400" w:lineRule="exact"/>
        <w:ind w:firstLine="411"/>
        <w:rPr>
          <w:szCs w:val="21"/>
          <w:highlight w:val="none"/>
        </w:rPr>
      </w:pPr>
      <w:r>
        <w:rPr>
          <w:szCs w:val="21"/>
          <w:highlight w:val="none"/>
        </w:rPr>
        <w:t>（1）承包人应提供为完成合同工作所需的劳务、材料、施工设备、工程设备和其他物品，除劳务以外，上述材料、施工设备、工程设备（</w:t>
      </w:r>
      <w:r>
        <w:rPr>
          <w:rFonts w:hint="eastAsia" w:ascii="Times New Roman" w:hAnsi="Times New Roman" w:eastAsia="宋体" w:cs="Times New Roman"/>
          <w:szCs w:val="21"/>
          <w:highlight w:val="none"/>
          <w:lang w:val="en-US" w:eastAsia="zh-CN"/>
        </w:rPr>
        <w:t>采购</w:t>
      </w:r>
      <w:r>
        <w:rPr>
          <w:rFonts w:ascii="Times New Roman" w:hAnsi="Times New Roman" w:eastAsia="宋体" w:cs="Times New Roman"/>
          <w:szCs w:val="21"/>
          <w:highlight w:val="none"/>
        </w:rPr>
        <w:t>人</w:t>
      </w:r>
      <w:r>
        <w:rPr>
          <w:szCs w:val="21"/>
          <w:highlight w:val="none"/>
        </w:rPr>
        <w:t>另行招标的除外）须承包人自有或自行采购。</w:t>
      </w:r>
    </w:p>
    <w:p w14:paraId="00676FB9">
      <w:pPr>
        <w:spacing w:line="400" w:lineRule="exact"/>
        <w:ind w:firstLine="411"/>
        <w:rPr>
          <w:szCs w:val="21"/>
          <w:highlight w:val="none"/>
        </w:rPr>
      </w:pPr>
      <w:r>
        <w:rPr>
          <w:szCs w:val="21"/>
          <w:highlight w:val="none"/>
        </w:rPr>
        <w:t>（2）在工程缺陷责任期外，工程竣工验收前或组织各类奖项评审前（若政府组织的工程验收在工程缺陷责任期外），发包人组织工程各类整修、出新，若需承包人配合实施，承包人需满足发包人要求，但费用由发包人支出。</w:t>
      </w:r>
    </w:p>
    <w:p w14:paraId="6510AB2F">
      <w:pPr>
        <w:spacing w:line="400" w:lineRule="exact"/>
        <w:ind w:firstLine="411"/>
        <w:rPr>
          <w:szCs w:val="21"/>
          <w:highlight w:val="none"/>
        </w:rPr>
      </w:pPr>
      <w:r>
        <w:rPr>
          <w:szCs w:val="21"/>
          <w:highlight w:val="none"/>
        </w:rPr>
        <w:t>4.1.10  其他义务</w:t>
      </w:r>
      <w:bookmarkEnd w:id="166"/>
    </w:p>
    <w:p w14:paraId="44C03AD7">
      <w:pPr>
        <w:spacing w:line="400" w:lineRule="exact"/>
        <w:ind w:firstLine="411"/>
        <w:rPr>
          <w:szCs w:val="21"/>
          <w:highlight w:val="none"/>
        </w:rPr>
      </w:pPr>
      <w:r>
        <w:rPr>
          <w:szCs w:val="21"/>
          <w:highlight w:val="none"/>
        </w:rPr>
        <w:t>（1）承包人对工程施工质量负直接责任，其法定代表人按职责对所承担的工程负领导责任和终身责任。承包人应采取措施，做好质量管理工作。</w:t>
      </w:r>
    </w:p>
    <w:p w14:paraId="0D8B283E">
      <w:pPr>
        <w:spacing w:line="400" w:lineRule="exact"/>
        <w:ind w:firstLine="411"/>
        <w:rPr>
          <w:szCs w:val="21"/>
          <w:highlight w:val="none"/>
        </w:rPr>
      </w:pPr>
      <w:r>
        <w:rPr>
          <w:szCs w:val="21"/>
          <w:highlight w:val="none"/>
        </w:rPr>
        <w:t>（2）承包人应积极配合发包人做好安全生产目标考核工作，提供相关文件、资料，并对其真实性负责。承包人应采取措施强化安全生产管理，落实安全生产责任制，保障工程建设安全。</w:t>
      </w:r>
    </w:p>
    <w:p w14:paraId="2EDD12B6">
      <w:pPr>
        <w:spacing w:line="400" w:lineRule="exact"/>
        <w:ind w:firstLine="411"/>
        <w:rPr>
          <w:szCs w:val="21"/>
          <w:highlight w:val="none"/>
        </w:rPr>
      </w:pPr>
      <w:r>
        <w:rPr>
          <w:szCs w:val="21"/>
          <w:highlight w:val="none"/>
        </w:rPr>
        <w:t>（3）承包人负责做好本单位信息采集和报送工作。按照要求做好合同管理方面信息采集报送工作。</w:t>
      </w:r>
    </w:p>
    <w:p w14:paraId="2FB04B61">
      <w:pPr>
        <w:spacing w:line="400" w:lineRule="exact"/>
        <w:ind w:firstLine="411"/>
        <w:rPr>
          <w:szCs w:val="21"/>
          <w:highlight w:val="none"/>
        </w:rPr>
      </w:pPr>
      <w:r>
        <w:rPr>
          <w:szCs w:val="21"/>
          <w:highlight w:val="none"/>
        </w:rPr>
        <w:t>（4）承包人负责建立工程档案管理领导责任制和相关人员岗位责任制，明确工程档案管理机构，配备必要人员及设施、设备，统筹安排工程档案管理工作所需资金，建立健全工程档案管理的各项管理制度，保证工程档案管理有序进行。</w:t>
      </w:r>
    </w:p>
    <w:p w14:paraId="5AFCE1DF">
      <w:pPr>
        <w:spacing w:line="400" w:lineRule="exact"/>
        <w:ind w:firstLine="411"/>
        <w:rPr>
          <w:szCs w:val="21"/>
          <w:highlight w:val="none"/>
        </w:rPr>
      </w:pPr>
      <w:r>
        <w:rPr>
          <w:szCs w:val="21"/>
          <w:highlight w:val="none"/>
        </w:rPr>
        <w:t>（5）承包人在合同签订后7天内，应在现场设立办公室供其管理人员使用，并保证在整个合同期内有效。承包人应为其所有非本地雇员向当地公安机关申请临时居住许可证。</w:t>
      </w:r>
    </w:p>
    <w:p w14:paraId="514F4128">
      <w:pPr>
        <w:spacing w:line="400" w:lineRule="exact"/>
        <w:ind w:firstLine="411"/>
        <w:rPr>
          <w:szCs w:val="21"/>
          <w:highlight w:val="none"/>
        </w:rPr>
      </w:pPr>
      <w:r>
        <w:rPr>
          <w:szCs w:val="21"/>
          <w:highlight w:val="none"/>
        </w:rPr>
        <w:t>（6）承包人在检查合同或工程施工时，如果发现工程设计或技术规范中存在任何错误或其他缺陷，应立即通知发包人和监理人。</w:t>
      </w:r>
    </w:p>
    <w:p w14:paraId="3DE2943A">
      <w:pPr>
        <w:spacing w:line="400" w:lineRule="exact"/>
        <w:ind w:firstLine="411"/>
        <w:rPr>
          <w:szCs w:val="21"/>
          <w:highlight w:val="none"/>
        </w:rPr>
      </w:pPr>
      <w:r>
        <w:rPr>
          <w:szCs w:val="21"/>
          <w:highlight w:val="none"/>
        </w:rPr>
        <w:t>（7）承包人应在工地设立医疗救护机构，配备必要的医疗人员及设备。</w:t>
      </w:r>
    </w:p>
    <w:p w14:paraId="54DDE8B6">
      <w:pPr>
        <w:spacing w:line="400" w:lineRule="exact"/>
        <w:ind w:firstLine="411"/>
        <w:rPr>
          <w:szCs w:val="21"/>
          <w:highlight w:val="none"/>
        </w:rPr>
      </w:pPr>
      <w:r>
        <w:rPr>
          <w:szCs w:val="21"/>
          <w:highlight w:val="none"/>
        </w:rPr>
        <w:t>（8）承包人在实施和完成承建合同工程及缺陷修复过程中的一切作业应保证发包人免于承担因承包人借用、占用或进出其他标段和工区，或作业影响等所引起的索赔、诉讼费、损害赔偿及其他开支，并有义务提供与其他标段工程施工配合与协调，包括（但不限于）：</w:t>
      </w:r>
    </w:p>
    <w:p w14:paraId="2CEF93F4">
      <w:pPr>
        <w:spacing w:line="400" w:lineRule="exact"/>
        <w:ind w:firstLine="411"/>
        <w:rPr>
          <w:szCs w:val="21"/>
          <w:highlight w:val="none"/>
        </w:rPr>
      </w:pPr>
      <w:r>
        <w:rPr>
          <w:szCs w:val="21"/>
          <w:highlight w:val="none"/>
        </w:rPr>
        <w:t>1）工作面的安全；</w:t>
      </w:r>
    </w:p>
    <w:p w14:paraId="65A19CE4">
      <w:pPr>
        <w:spacing w:line="400" w:lineRule="exact"/>
        <w:ind w:firstLine="411"/>
        <w:rPr>
          <w:szCs w:val="21"/>
          <w:highlight w:val="none"/>
        </w:rPr>
      </w:pPr>
      <w:r>
        <w:rPr>
          <w:szCs w:val="21"/>
          <w:highlight w:val="none"/>
        </w:rPr>
        <w:t>2）施工进度的协调；</w:t>
      </w:r>
    </w:p>
    <w:p w14:paraId="45827BBB">
      <w:pPr>
        <w:spacing w:line="400" w:lineRule="exact"/>
        <w:ind w:firstLine="411"/>
        <w:rPr>
          <w:szCs w:val="21"/>
          <w:highlight w:val="none"/>
        </w:rPr>
      </w:pPr>
      <w:r>
        <w:rPr>
          <w:szCs w:val="21"/>
          <w:highlight w:val="none"/>
        </w:rPr>
        <w:t>3）及时提交工作面；</w:t>
      </w:r>
    </w:p>
    <w:p w14:paraId="6893A1D2">
      <w:pPr>
        <w:spacing w:line="400" w:lineRule="exact"/>
        <w:ind w:firstLine="411"/>
        <w:rPr>
          <w:szCs w:val="21"/>
          <w:highlight w:val="none"/>
        </w:rPr>
      </w:pPr>
      <w:r>
        <w:rPr>
          <w:szCs w:val="21"/>
          <w:highlight w:val="none"/>
        </w:rPr>
        <w:t>4）保持建筑物相邻界面附近的结构质量；</w:t>
      </w:r>
    </w:p>
    <w:p w14:paraId="09F9924A">
      <w:pPr>
        <w:spacing w:line="400" w:lineRule="exact"/>
        <w:ind w:firstLine="411"/>
        <w:rPr>
          <w:szCs w:val="21"/>
          <w:highlight w:val="none"/>
        </w:rPr>
      </w:pPr>
      <w:r>
        <w:rPr>
          <w:szCs w:val="21"/>
          <w:highlight w:val="none"/>
        </w:rPr>
        <w:t>5）为其他标段的承包人提供交通道路、交叉工作面的作业场地；</w:t>
      </w:r>
    </w:p>
    <w:p w14:paraId="5D842623">
      <w:pPr>
        <w:spacing w:line="400" w:lineRule="exact"/>
        <w:ind w:firstLine="411"/>
        <w:rPr>
          <w:szCs w:val="21"/>
          <w:highlight w:val="none"/>
        </w:rPr>
      </w:pPr>
      <w:r>
        <w:rPr>
          <w:szCs w:val="21"/>
          <w:highlight w:val="none"/>
        </w:rPr>
        <w:t>6）保持发包人提供的公用设施包括道路等在承建标段内的维护与保养，不得造成损坏而影响正常施工。</w:t>
      </w:r>
    </w:p>
    <w:p w14:paraId="2E48D7E3">
      <w:pPr>
        <w:spacing w:line="400" w:lineRule="exact"/>
        <w:ind w:firstLine="411"/>
        <w:rPr>
          <w:szCs w:val="21"/>
          <w:highlight w:val="none"/>
        </w:rPr>
      </w:pPr>
      <w:r>
        <w:rPr>
          <w:szCs w:val="21"/>
          <w:highlight w:val="none"/>
        </w:rPr>
        <w:t>（9）承包人应对所有现场作业和施工方法的完备、稳定和安全负责；承包人应根据现场情况适当进行封闭。</w:t>
      </w:r>
    </w:p>
    <w:p w14:paraId="4467E9F1">
      <w:pPr>
        <w:spacing w:line="400" w:lineRule="exact"/>
        <w:ind w:firstLine="411"/>
        <w:rPr>
          <w:szCs w:val="21"/>
          <w:highlight w:val="none"/>
        </w:rPr>
      </w:pPr>
      <w:r>
        <w:rPr>
          <w:szCs w:val="21"/>
          <w:highlight w:val="none"/>
        </w:rPr>
        <w:t>（10）承包人应无条件服从与其他承包人的工作配合，费用含在投标报价中。</w:t>
      </w:r>
    </w:p>
    <w:p w14:paraId="6C7E3E1D">
      <w:pPr>
        <w:spacing w:line="400" w:lineRule="exact"/>
        <w:ind w:firstLine="411"/>
        <w:rPr>
          <w:b/>
          <w:szCs w:val="21"/>
          <w:highlight w:val="none"/>
        </w:rPr>
      </w:pPr>
      <w:r>
        <w:rPr>
          <w:szCs w:val="21"/>
          <w:highlight w:val="none"/>
        </w:rPr>
        <w:t>（11）对与本合同实施有关的各类验收（如档案、消防、评审、审计、各阶段验收、竣工验收、工程移交等）、上级领导视察及检查工作，并承担相应费用。</w:t>
      </w:r>
      <w:r>
        <w:rPr>
          <w:b/>
          <w:szCs w:val="21"/>
          <w:highlight w:val="none"/>
        </w:rPr>
        <w:t xml:space="preserve">第三方检测等承包人应积极配合、参加。 </w:t>
      </w:r>
    </w:p>
    <w:p w14:paraId="00972C5F">
      <w:pPr>
        <w:spacing w:line="400" w:lineRule="exact"/>
        <w:ind w:firstLine="420"/>
        <w:rPr>
          <w:szCs w:val="21"/>
          <w:highlight w:val="none"/>
        </w:rPr>
      </w:pPr>
      <w:r>
        <w:rPr>
          <w:szCs w:val="21"/>
          <w:highlight w:val="none"/>
        </w:rPr>
        <w:t>（12）</w:t>
      </w:r>
      <w:r>
        <w:rPr>
          <w:rFonts w:hint="eastAsia" w:ascii="宋体" w:hAnsi="宋体" w:cs="宋体"/>
          <w:color w:val="000000"/>
          <w:szCs w:val="21"/>
          <w:highlight w:val="none"/>
          <w:lang w:bidi="ar"/>
        </w:rPr>
        <w:t>承包人应在现场为监理人提供满足现场监理工作的办公场所及办公设施。提供上述设施所发生的一切费用在《工程量清单》相应总价项目分解表中单列。负责提供监理人现场办公水电费用等。监理人可以无偿使用承包人的试验室以及检验测量试验设备。</w:t>
      </w:r>
    </w:p>
    <w:p w14:paraId="2B4C9BEA">
      <w:pPr>
        <w:spacing w:line="400" w:lineRule="exact"/>
        <w:ind w:firstLine="411"/>
        <w:rPr>
          <w:szCs w:val="21"/>
          <w:highlight w:val="none"/>
        </w:rPr>
      </w:pPr>
      <w:r>
        <w:rPr>
          <w:szCs w:val="21"/>
          <w:highlight w:val="none"/>
        </w:rPr>
        <w:t>（13）承包人应配合(仅限于现场)发包人进行与本工程有关的新材料、新工艺的科研试验以及各类的观测试验。</w:t>
      </w:r>
    </w:p>
    <w:p w14:paraId="77C50987">
      <w:pPr>
        <w:spacing w:line="400" w:lineRule="exact"/>
        <w:ind w:firstLine="411"/>
        <w:rPr>
          <w:szCs w:val="21"/>
          <w:highlight w:val="none"/>
        </w:rPr>
      </w:pPr>
      <w:r>
        <w:rPr>
          <w:szCs w:val="21"/>
          <w:highlight w:val="none"/>
        </w:rPr>
        <w:t>（14）承包人须按国家相关规范整理工程档案，建设合格的工地档案室，并确保必要的人员、资金投入，须设立专职档案员，在工程建设期间，为确保工程档案整理的连续性，原则上不得更换专职档案管理人员，工程结束后移交完整的工程档案资料5套（1套原件，3套复印件， 1套电子文档）给发包人，竣工图需移交原件6套（纸质竣工图5套，电子文档1套）给发包人，与档案相关的一切费用包含在投标报价中，不另行支付。</w:t>
      </w:r>
    </w:p>
    <w:p w14:paraId="48B8415D">
      <w:pPr>
        <w:spacing w:line="400" w:lineRule="exact"/>
        <w:ind w:firstLine="411"/>
        <w:rPr>
          <w:szCs w:val="21"/>
          <w:highlight w:val="none"/>
        </w:rPr>
      </w:pPr>
      <w:r>
        <w:rPr>
          <w:szCs w:val="21"/>
          <w:highlight w:val="none"/>
        </w:rPr>
        <w:t>（15）承包人须依法与劳动用工人员签订用工合同，并提供合适的生活条件。为便于管理，施工人员宜统一着工装，按工种分色配戴安全帽。项目经理、副经理等管理人员应挂牌上岗，专职安全员、专职质检员必须着与其他人员有明显区别的工装上岗。</w:t>
      </w:r>
    </w:p>
    <w:p w14:paraId="39EC53C0">
      <w:pPr>
        <w:spacing w:line="400" w:lineRule="exact"/>
        <w:ind w:firstLine="411"/>
        <w:rPr>
          <w:szCs w:val="21"/>
          <w:highlight w:val="none"/>
        </w:rPr>
      </w:pPr>
      <w:r>
        <w:rPr>
          <w:szCs w:val="21"/>
          <w:highlight w:val="none"/>
        </w:rPr>
        <w:t>（16）承包人与发包人签订廉政合同。</w:t>
      </w:r>
    </w:p>
    <w:p w14:paraId="086EEEA2">
      <w:pPr>
        <w:spacing w:line="400" w:lineRule="exact"/>
        <w:ind w:firstLine="411"/>
        <w:rPr>
          <w:szCs w:val="21"/>
          <w:highlight w:val="none"/>
        </w:rPr>
      </w:pPr>
      <w:r>
        <w:rPr>
          <w:szCs w:val="21"/>
          <w:highlight w:val="none"/>
        </w:rPr>
        <w:t>（17）承包人与发包人签订资金安全合同。</w:t>
      </w:r>
    </w:p>
    <w:p w14:paraId="11528803">
      <w:pPr>
        <w:spacing w:line="400" w:lineRule="exact"/>
        <w:ind w:firstLine="411"/>
        <w:rPr>
          <w:szCs w:val="21"/>
          <w:highlight w:val="none"/>
        </w:rPr>
      </w:pPr>
      <w:r>
        <w:rPr>
          <w:szCs w:val="21"/>
          <w:highlight w:val="none"/>
        </w:rPr>
        <w:t>（18）承包人承诺不拖欠劳务工资。</w:t>
      </w:r>
    </w:p>
    <w:p w14:paraId="4CEC1418">
      <w:pPr>
        <w:spacing w:line="400" w:lineRule="exact"/>
        <w:ind w:firstLine="411"/>
        <w:rPr>
          <w:szCs w:val="21"/>
          <w:highlight w:val="none"/>
        </w:rPr>
      </w:pPr>
      <w:r>
        <w:rPr>
          <w:szCs w:val="21"/>
          <w:highlight w:val="none"/>
        </w:rPr>
        <w:t>（19）按照国家有关法律、法规编制各类预案等工作。</w:t>
      </w:r>
    </w:p>
    <w:p w14:paraId="1BE81661">
      <w:pPr>
        <w:spacing w:line="400" w:lineRule="exact"/>
        <w:ind w:firstLine="411"/>
        <w:rPr>
          <w:szCs w:val="21"/>
          <w:highlight w:val="none"/>
        </w:rPr>
      </w:pPr>
      <w:r>
        <w:rPr>
          <w:szCs w:val="21"/>
          <w:highlight w:val="none"/>
        </w:rPr>
        <w:t>（20）配合工程竣工后各类审计、评审、报奖等各类工作。</w:t>
      </w:r>
    </w:p>
    <w:p w14:paraId="1BCC594D">
      <w:pPr>
        <w:spacing w:line="400" w:lineRule="exact"/>
        <w:ind w:firstLine="411"/>
        <w:rPr>
          <w:szCs w:val="21"/>
          <w:highlight w:val="none"/>
        </w:rPr>
      </w:pPr>
      <w:bookmarkStart w:id="167" w:name="_Toc221951153"/>
      <w:r>
        <w:rPr>
          <w:rFonts w:hint="eastAsia"/>
          <w:szCs w:val="21"/>
          <w:highlight w:val="none"/>
        </w:rPr>
        <w:t>（</w:t>
      </w:r>
      <w:r>
        <w:rPr>
          <w:szCs w:val="21"/>
          <w:highlight w:val="none"/>
        </w:rPr>
        <w:t>21</w:t>
      </w:r>
      <w:r>
        <w:rPr>
          <w:rFonts w:hint="eastAsia"/>
          <w:szCs w:val="21"/>
          <w:highlight w:val="none"/>
        </w:rPr>
        <w:t xml:space="preserve">）承包人应按照规范要求制定本工程的自检计划并承担费用，承包人应在投标报价中 </w:t>
      </w:r>
    </w:p>
    <w:p w14:paraId="003CF2C0">
      <w:pPr>
        <w:spacing w:line="400" w:lineRule="exact"/>
        <w:ind w:firstLine="411"/>
        <w:rPr>
          <w:szCs w:val="21"/>
          <w:highlight w:val="none"/>
        </w:rPr>
      </w:pPr>
      <w:r>
        <w:rPr>
          <w:rFonts w:hint="eastAsia"/>
          <w:szCs w:val="21"/>
          <w:highlight w:val="none"/>
        </w:rPr>
        <w:t xml:space="preserve">考虑，发包人不另行支付。 </w:t>
      </w:r>
    </w:p>
    <w:p w14:paraId="6A858585">
      <w:pPr>
        <w:spacing w:line="400" w:lineRule="exact"/>
        <w:ind w:firstLine="411"/>
        <w:rPr>
          <w:szCs w:val="21"/>
          <w:highlight w:val="none"/>
        </w:rPr>
      </w:pPr>
      <w:r>
        <w:rPr>
          <w:rFonts w:hint="eastAsia"/>
          <w:szCs w:val="21"/>
          <w:highlight w:val="none"/>
        </w:rPr>
        <w:t>（</w:t>
      </w:r>
      <w:r>
        <w:rPr>
          <w:szCs w:val="21"/>
          <w:highlight w:val="none"/>
        </w:rPr>
        <w:t>22</w:t>
      </w:r>
      <w:r>
        <w:rPr>
          <w:rFonts w:hint="eastAsia"/>
          <w:szCs w:val="21"/>
          <w:highlight w:val="none"/>
        </w:rPr>
        <w:t xml:space="preserve">）如因承包人原因，使发包人或发包人的工作人员被市级以上相关部门通报曝光，扣 </w:t>
      </w:r>
    </w:p>
    <w:p w14:paraId="32B9A2A2">
      <w:pPr>
        <w:spacing w:line="400" w:lineRule="exact"/>
        <w:ind w:firstLine="411"/>
        <w:rPr>
          <w:szCs w:val="21"/>
          <w:highlight w:val="none"/>
        </w:rPr>
      </w:pPr>
      <w:r>
        <w:rPr>
          <w:rFonts w:hint="eastAsia"/>
          <w:szCs w:val="21"/>
          <w:highlight w:val="none"/>
        </w:rPr>
        <w:t xml:space="preserve">除 </w:t>
      </w:r>
      <w:r>
        <w:rPr>
          <w:szCs w:val="21"/>
          <w:highlight w:val="none"/>
        </w:rPr>
        <w:t xml:space="preserve">10000 </w:t>
      </w:r>
      <w:r>
        <w:rPr>
          <w:rFonts w:hint="eastAsia"/>
          <w:szCs w:val="21"/>
          <w:highlight w:val="none"/>
        </w:rPr>
        <w:t>元</w:t>
      </w:r>
      <w:r>
        <w:rPr>
          <w:szCs w:val="21"/>
          <w:highlight w:val="none"/>
        </w:rPr>
        <w:t>/</w:t>
      </w:r>
      <w:r>
        <w:rPr>
          <w:rFonts w:hint="eastAsia"/>
          <w:szCs w:val="21"/>
          <w:highlight w:val="none"/>
        </w:rPr>
        <w:t xml:space="preserve">次，并记入诚信档案；使发包人或发包人的工作人员被问责或处分的，扣除 </w:t>
      </w:r>
      <w:r>
        <w:rPr>
          <w:szCs w:val="21"/>
          <w:highlight w:val="none"/>
        </w:rPr>
        <w:t xml:space="preserve">20000 </w:t>
      </w:r>
      <w:r>
        <w:rPr>
          <w:rFonts w:hint="eastAsia"/>
          <w:szCs w:val="21"/>
          <w:highlight w:val="none"/>
        </w:rPr>
        <w:t>元</w:t>
      </w:r>
      <w:r>
        <w:rPr>
          <w:szCs w:val="21"/>
          <w:highlight w:val="none"/>
        </w:rPr>
        <w:t>/</w:t>
      </w:r>
      <w:r>
        <w:rPr>
          <w:rFonts w:hint="eastAsia"/>
          <w:szCs w:val="21"/>
          <w:highlight w:val="none"/>
        </w:rPr>
        <w:t xml:space="preserve">次，并记入诚信档案。 </w:t>
      </w:r>
    </w:p>
    <w:p w14:paraId="58528F8E">
      <w:pPr>
        <w:spacing w:line="400" w:lineRule="exact"/>
        <w:ind w:firstLine="411"/>
        <w:rPr>
          <w:rFonts w:hint="eastAsia" w:ascii="宋体" w:hAnsi="宋体" w:cs="宋体"/>
          <w:b/>
          <w:bCs/>
          <w:color w:val="000000"/>
          <w:szCs w:val="21"/>
          <w:highlight w:val="none"/>
          <w:lang w:bidi="ar"/>
        </w:rPr>
      </w:pPr>
      <w:r>
        <w:rPr>
          <w:rFonts w:hint="eastAsia"/>
          <w:szCs w:val="21"/>
          <w:highlight w:val="none"/>
        </w:rPr>
        <w:t>（</w:t>
      </w:r>
      <w:r>
        <w:rPr>
          <w:szCs w:val="21"/>
          <w:highlight w:val="none"/>
        </w:rPr>
        <w:t>23</w:t>
      </w:r>
      <w:r>
        <w:rPr>
          <w:rFonts w:hint="eastAsia"/>
          <w:szCs w:val="21"/>
          <w:highlight w:val="none"/>
        </w:rPr>
        <w:t xml:space="preserve">）承包人未在规定时限内履行监理人指示的，每逾期一天，扣除 </w:t>
      </w:r>
      <w:r>
        <w:rPr>
          <w:szCs w:val="21"/>
          <w:highlight w:val="none"/>
        </w:rPr>
        <w:t xml:space="preserve">1000 </w:t>
      </w:r>
      <w:r>
        <w:rPr>
          <w:rFonts w:hint="eastAsia"/>
          <w:szCs w:val="21"/>
          <w:highlight w:val="none"/>
        </w:rPr>
        <w:t xml:space="preserve">元。 </w:t>
      </w:r>
    </w:p>
    <w:p w14:paraId="00BF1F2B">
      <w:pPr>
        <w:spacing w:line="360" w:lineRule="auto"/>
        <w:ind w:firstLine="411"/>
        <w:rPr>
          <w:szCs w:val="21"/>
          <w:highlight w:val="none"/>
        </w:rPr>
      </w:pPr>
      <w:r>
        <w:rPr>
          <w:szCs w:val="21"/>
          <w:highlight w:val="none"/>
        </w:rPr>
        <w:t>4.3  分包</w:t>
      </w:r>
      <w:bookmarkEnd w:id="167"/>
    </w:p>
    <w:p w14:paraId="43AA17E8">
      <w:pPr>
        <w:spacing w:line="360" w:lineRule="auto"/>
        <w:ind w:firstLine="411"/>
        <w:rPr>
          <w:bCs/>
          <w:szCs w:val="21"/>
          <w:highlight w:val="none"/>
        </w:rPr>
      </w:pPr>
      <w:bookmarkStart w:id="168" w:name="_Toc221951154"/>
      <w:r>
        <w:rPr>
          <w:szCs w:val="21"/>
          <w:highlight w:val="none"/>
        </w:rPr>
        <w:t>4.3.2  允许承包人分</w:t>
      </w:r>
      <w:r>
        <w:rPr>
          <w:bCs/>
          <w:szCs w:val="21"/>
          <w:highlight w:val="none"/>
        </w:rPr>
        <w:t>包的工程项目、工作内容与</w:t>
      </w:r>
      <w:r>
        <w:rPr>
          <w:szCs w:val="21"/>
          <w:highlight w:val="none"/>
          <w:lang w:val="zh-CN"/>
        </w:rPr>
        <w:t>分包金额</w:t>
      </w:r>
      <w:r>
        <w:rPr>
          <w:bCs/>
          <w:szCs w:val="21"/>
          <w:highlight w:val="none"/>
        </w:rPr>
        <w:t>限额为：</w:t>
      </w:r>
      <w:bookmarkEnd w:id="168"/>
    </w:p>
    <w:p w14:paraId="37FA2E5F">
      <w:pPr>
        <w:spacing w:line="360" w:lineRule="auto"/>
        <w:ind w:firstLine="411"/>
        <w:rPr>
          <w:bCs/>
          <w:szCs w:val="21"/>
          <w:highlight w:val="none"/>
        </w:rPr>
      </w:pPr>
      <w:bookmarkStart w:id="169" w:name="_Toc221951155"/>
      <w:r>
        <w:rPr>
          <w:bCs/>
          <w:szCs w:val="21"/>
          <w:highlight w:val="none"/>
        </w:rPr>
        <w:t>1）</w:t>
      </w:r>
      <w:r>
        <w:rPr>
          <w:szCs w:val="21"/>
          <w:highlight w:val="none"/>
        </w:rPr>
        <w:t>工程项目</w:t>
      </w:r>
      <w:r>
        <w:rPr>
          <w:bCs/>
          <w:szCs w:val="21"/>
          <w:highlight w:val="none"/>
        </w:rPr>
        <w:t>：</w:t>
      </w:r>
      <w:r>
        <w:rPr>
          <w:bCs/>
          <w:szCs w:val="21"/>
          <w:highlight w:val="none"/>
          <w:u w:val="single"/>
        </w:rPr>
        <w:t xml:space="preserve">  本工程主体工程项目不允许分包 </w:t>
      </w:r>
      <w:r>
        <w:rPr>
          <w:bCs/>
          <w:szCs w:val="21"/>
          <w:highlight w:val="none"/>
        </w:rPr>
        <w:t>。</w:t>
      </w:r>
      <w:bookmarkEnd w:id="169"/>
    </w:p>
    <w:p w14:paraId="1A836474">
      <w:pPr>
        <w:spacing w:line="360" w:lineRule="auto"/>
        <w:ind w:firstLine="411"/>
        <w:rPr>
          <w:bCs/>
          <w:szCs w:val="21"/>
          <w:highlight w:val="none"/>
        </w:rPr>
      </w:pPr>
      <w:bookmarkStart w:id="170" w:name="_Toc221951156"/>
      <w:r>
        <w:rPr>
          <w:bCs/>
          <w:szCs w:val="21"/>
          <w:highlight w:val="none"/>
        </w:rPr>
        <w:t>2）</w:t>
      </w:r>
      <w:r>
        <w:rPr>
          <w:szCs w:val="21"/>
          <w:highlight w:val="none"/>
        </w:rPr>
        <w:t>工作内容</w:t>
      </w:r>
      <w:r>
        <w:rPr>
          <w:bCs/>
          <w:szCs w:val="21"/>
          <w:highlight w:val="none"/>
        </w:rPr>
        <w:t>：</w:t>
      </w:r>
      <w:r>
        <w:rPr>
          <w:bCs/>
          <w:szCs w:val="21"/>
          <w:highlight w:val="none"/>
          <w:u w:val="single"/>
        </w:rPr>
        <w:t xml:space="preserve">     /     </w:t>
      </w:r>
      <w:r>
        <w:rPr>
          <w:bCs/>
          <w:szCs w:val="21"/>
          <w:highlight w:val="none"/>
        </w:rPr>
        <w:t>。</w:t>
      </w:r>
      <w:bookmarkEnd w:id="170"/>
    </w:p>
    <w:p w14:paraId="32B2224D">
      <w:pPr>
        <w:spacing w:line="360" w:lineRule="auto"/>
        <w:ind w:firstLine="411"/>
        <w:rPr>
          <w:szCs w:val="21"/>
          <w:highlight w:val="none"/>
        </w:rPr>
      </w:pPr>
      <w:bookmarkStart w:id="171" w:name="_Toc221951157"/>
      <w:r>
        <w:rPr>
          <w:szCs w:val="21"/>
          <w:highlight w:val="none"/>
        </w:rPr>
        <w:t>3）分包金额限额：</w:t>
      </w:r>
      <w:r>
        <w:rPr>
          <w:szCs w:val="21"/>
          <w:highlight w:val="none"/>
          <w:u w:val="single"/>
        </w:rPr>
        <w:t xml:space="preserve">   /    </w:t>
      </w:r>
      <w:r>
        <w:rPr>
          <w:szCs w:val="21"/>
          <w:highlight w:val="none"/>
        </w:rPr>
        <w:t>。</w:t>
      </w:r>
      <w:bookmarkEnd w:id="171"/>
    </w:p>
    <w:p w14:paraId="08C084C1">
      <w:pPr>
        <w:spacing w:line="360" w:lineRule="auto"/>
        <w:ind w:firstLine="411"/>
        <w:rPr>
          <w:bCs/>
          <w:highlight w:val="none"/>
        </w:rPr>
      </w:pPr>
      <w:r>
        <w:rPr>
          <w:szCs w:val="21"/>
          <w:highlight w:val="none"/>
        </w:rPr>
        <w:t>4.3.10 分包人项目管理机构的设立：</w:t>
      </w:r>
      <w:r>
        <w:rPr>
          <w:szCs w:val="21"/>
          <w:highlight w:val="none"/>
          <w:u w:val="single"/>
        </w:rPr>
        <w:t xml:space="preserve">   /    </w:t>
      </w:r>
      <w:r>
        <w:rPr>
          <w:szCs w:val="21"/>
          <w:highlight w:val="none"/>
        </w:rPr>
        <w:t>。</w:t>
      </w:r>
    </w:p>
    <w:p w14:paraId="1B6712D3">
      <w:pPr>
        <w:spacing w:line="360" w:lineRule="auto"/>
        <w:ind w:firstLine="413"/>
        <w:rPr>
          <w:b/>
          <w:szCs w:val="21"/>
          <w:highlight w:val="none"/>
        </w:rPr>
      </w:pPr>
      <w:bookmarkStart w:id="172" w:name="_Toc221951158"/>
      <w:r>
        <w:rPr>
          <w:b/>
          <w:szCs w:val="21"/>
          <w:highlight w:val="none"/>
        </w:rPr>
        <w:t>4.4 本工程不接受联合体投标。</w:t>
      </w:r>
    </w:p>
    <w:p w14:paraId="3798DD15">
      <w:pPr>
        <w:spacing w:line="360" w:lineRule="auto"/>
        <w:ind w:firstLine="413"/>
        <w:rPr>
          <w:rFonts w:hint="eastAsia"/>
          <w:b/>
          <w:szCs w:val="21"/>
          <w:highlight w:val="none"/>
        </w:rPr>
      </w:pPr>
      <w:r>
        <w:rPr>
          <w:b/>
          <w:szCs w:val="21"/>
          <w:highlight w:val="none"/>
        </w:rPr>
        <w:t>4.5.1</w:t>
      </w:r>
      <w:r>
        <w:rPr>
          <w:rFonts w:hint="eastAsia"/>
          <w:b/>
          <w:szCs w:val="21"/>
          <w:highlight w:val="none"/>
        </w:rPr>
        <w:t xml:space="preserve">承包人项目经理应在监理人签发进场通知后的 </w:t>
      </w:r>
      <w:r>
        <w:rPr>
          <w:b/>
          <w:szCs w:val="21"/>
          <w:highlight w:val="none"/>
        </w:rPr>
        <w:t xml:space="preserve">7 </w:t>
      </w:r>
      <w:r>
        <w:rPr>
          <w:rFonts w:hint="eastAsia"/>
          <w:b/>
          <w:szCs w:val="21"/>
          <w:highlight w:val="none"/>
        </w:rPr>
        <w:t>日内到职。项目经理不得易人，特殊情况下应提出书面申请并征得发包人同意后</w:t>
      </w:r>
      <w:r>
        <w:rPr>
          <w:b/>
          <w:szCs w:val="21"/>
          <w:highlight w:val="none"/>
        </w:rPr>
        <w:t>按规定向行政主管部门履行报备手续</w:t>
      </w:r>
      <w:r>
        <w:rPr>
          <w:rFonts w:hint="eastAsia"/>
          <w:b/>
          <w:szCs w:val="21"/>
          <w:highlight w:val="none"/>
        </w:rPr>
        <w:t>，且不得降低项目经理资质，技术负责人除特殊情况外不得更换。项目经理、技术负责人短期离开工地，应事先提出书面申请并征得同意后方可离开。</w:t>
      </w:r>
      <w:r>
        <w:rPr>
          <w:b/>
          <w:szCs w:val="21"/>
          <w:highlight w:val="none"/>
        </w:rPr>
        <w:t xml:space="preserve">3 </w:t>
      </w:r>
      <w:r>
        <w:rPr>
          <w:rFonts w:hint="eastAsia"/>
          <w:b/>
          <w:szCs w:val="21"/>
          <w:highlight w:val="none"/>
        </w:rPr>
        <w:t xml:space="preserve">天以内（含 </w:t>
      </w:r>
      <w:r>
        <w:rPr>
          <w:b/>
          <w:szCs w:val="21"/>
          <w:highlight w:val="none"/>
        </w:rPr>
        <w:t xml:space="preserve">3 </w:t>
      </w:r>
      <w:r>
        <w:rPr>
          <w:rFonts w:hint="eastAsia"/>
          <w:b/>
          <w:szCs w:val="21"/>
          <w:highlight w:val="none"/>
        </w:rPr>
        <w:t>天）报监理人批准，报发包人核备，同时应委派代表代行其职，</w:t>
      </w:r>
      <w:r>
        <w:rPr>
          <w:b/>
          <w:szCs w:val="21"/>
          <w:highlight w:val="none"/>
        </w:rPr>
        <w:t xml:space="preserve">3 </w:t>
      </w:r>
      <w:r>
        <w:rPr>
          <w:rFonts w:hint="eastAsia"/>
          <w:b/>
          <w:szCs w:val="21"/>
          <w:highlight w:val="none"/>
        </w:rPr>
        <w:t xml:space="preserve">天以上报监理人转报发包人批准。一般情况，每人每月在工天数不少于当月施工天数的 </w:t>
      </w:r>
      <w:r>
        <w:rPr>
          <w:b/>
          <w:szCs w:val="21"/>
          <w:highlight w:val="none"/>
        </w:rPr>
        <w:t>80%</w:t>
      </w:r>
      <w:r>
        <w:rPr>
          <w:rFonts w:hint="eastAsia"/>
          <w:b/>
          <w:szCs w:val="21"/>
          <w:highlight w:val="none"/>
        </w:rPr>
        <w:t xml:space="preserve">。项目经理、技术负责人不得同时离开工地。 </w:t>
      </w:r>
    </w:p>
    <w:p w14:paraId="53AA21DE">
      <w:pPr>
        <w:spacing w:line="360" w:lineRule="auto"/>
        <w:ind w:firstLine="422"/>
        <w:rPr>
          <w:b/>
          <w:szCs w:val="21"/>
          <w:highlight w:val="none"/>
        </w:rPr>
      </w:pPr>
      <w:bookmarkStart w:id="173" w:name="OLE_LINK1"/>
      <w:r>
        <w:rPr>
          <w:rFonts w:hint="eastAsia"/>
          <w:b/>
          <w:szCs w:val="21"/>
          <w:highlight w:val="none"/>
        </w:rPr>
        <w:t>项目经理、技术负责人在工</w:t>
      </w:r>
      <w:bookmarkEnd w:id="173"/>
      <w:r>
        <w:rPr>
          <w:rFonts w:hint="eastAsia"/>
          <w:b/>
          <w:szCs w:val="21"/>
          <w:highlight w:val="none"/>
        </w:rPr>
        <w:t xml:space="preserve">由监理人对其考勤，在工天数不少于当月施工天数的 </w:t>
      </w:r>
      <w:r>
        <w:rPr>
          <w:b/>
          <w:szCs w:val="21"/>
          <w:highlight w:val="none"/>
        </w:rPr>
        <w:t>80%</w:t>
      </w:r>
      <w:r>
        <w:rPr>
          <w:rFonts w:hint="eastAsia"/>
          <w:b/>
          <w:szCs w:val="21"/>
          <w:highlight w:val="none"/>
        </w:rPr>
        <w:t xml:space="preserve">，安全员施工期必须每天在岗（可设 </w:t>
      </w:r>
      <w:r>
        <w:rPr>
          <w:b/>
          <w:szCs w:val="21"/>
          <w:highlight w:val="none"/>
        </w:rPr>
        <w:t xml:space="preserve">AB </w:t>
      </w:r>
      <w:r>
        <w:rPr>
          <w:rFonts w:hint="eastAsia"/>
          <w:b/>
          <w:szCs w:val="21"/>
          <w:highlight w:val="none"/>
        </w:rPr>
        <w:t xml:space="preserve">岗），每少一天，扣除 </w:t>
      </w:r>
      <w:r>
        <w:rPr>
          <w:b/>
          <w:szCs w:val="21"/>
          <w:highlight w:val="none"/>
        </w:rPr>
        <w:t xml:space="preserve">1000 </w:t>
      </w:r>
      <w:r>
        <w:rPr>
          <w:rFonts w:hint="eastAsia"/>
          <w:b/>
          <w:szCs w:val="21"/>
          <w:highlight w:val="none"/>
        </w:rPr>
        <w:t>元</w:t>
      </w:r>
      <w:r>
        <w:rPr>
          <w:b/>
          <w:szCs w:val="21"/>
          <w:highlight w:val="none"/>
        </w:rPr>
        <w:t>/</w:t>
      </w:r>
      <w:r>
        <w:rPr>
          <w:rFonts w:hint="eastAsia"/>
          <w:b/>
          <w:szCs w:val="21"/>
          <w:highlight w:val="none"/>
        </w:rPr>
        <w:t>（人</w:t>
      </w:r>
      <w:r>
        <w:rPr>
          <w:b/>
          <w:szCs w:val="21"/>
          <w:highlight w:val="none"/>
        </w:rPr>
        <w:t>*</w:t>
      </w:r>
      <w:r>
        <w:rPr>
          <w:rFonts w:hint="eastAsia"/>
          <w:b/>
          <w:szCs w:val="21"/>
          <w:highlight w:val="none"/>
        </w:rPr>
        <w:t xml:space="preserve">天）。 </w:t>
      </w:r>
    </w:p>
    <w:p w14:paraId="5BB786A9">
      <w:pPr>
        <w:spacing w:line="360" w:lineRule="auto"/>
        <w:ind w:firstLine="422"/>
        <w:rPr>
          <w:b/>
          <w:szCs w:val="21"/>
          <w:highlight w:val="none"/>
        </w:rPr>
      </w:pPr>
      <w:r>
        <w:rPr>
          <w:b/>
          <w:szCs w:val="21"/>
          <w:highlight w:val="none"/>
        </w:rPr>
        <w:t>上述人员的考勤由监理人指定专人负责，考勤结果经总监签字后装订成册。</w:t>
      </w:r>
    </w:p>
    <w:p w14:paraId="032D54F2">
      <w:pPr>
        <w:widowControl/>
        <w:spacing w:line="360" w:lineRule="auto"/>
        <w:ind w:firstLine="422"/>
        <w:jc w:val="left"/>
        <w:rPr>
          <w:highlight w:val="none"/>
        </w:rPr>
      </w:pPr>
      <w:r>
        <w:rPr>
          <w:b/>
          <w:szCs w:val="21"/>
          <w:highlight w:val="none"/>
        </w:rPr>
        <w:t xml:space="preserve">4.8.5 </w:t>
      </w:r>
      <w:r>
        <w:rPr>
          <w:rFonts w:hint="eastAsia" w:ascii="宋体" w:hAnsi="宋体" w:cs="宋体"/>
          <w:b/>
          <w:bCs/>
          <w:szCs w:val="21"/>
          <w:highlight w:val="none"/>
          <w:lang w:bidi="ar"/>
        </w:rPr>
        <w:t xml:space="preserve">劳务用工应符合国家有关法律法规，严格执行《保障农民工工资支付条例》，承包人 </w:t>
      </w:r>
    </w:p>
    <w:p w14:paraId="49E68D34">
      <w:pPr>
        <w:widowControl/>
        <w:spacing w:line="360" w:lineRule="auto"/>
        <w:jc w:val="left"/>
        <w:rPr>
          <w:b/>
          <w:szCs w:val="21"/>
          <w:highlight w:val="none"/>
        </w:rPr>
      </w:pPr>
      <w:r>
        <w:rPr>
          <w:rFonts w:hint="eastAsia" w:ascii="宋体" w:hAnsi="宋体" w:cs="宋体"/>
          <w:b/>
          <w:bCs/>
          <w:szCs w:val="21"/>
          <w:highlight w:val="none"/>
          <w:lang w:bidi="ar"/>
        </w:rPr>
        <w:t>应在工程项目所在地开设农民工工资专户，开户协议、农民工花名册报发包人备案，农民工变动的，须及时报备。</w:t>
      </w:r>
      <w:r>
        <w:rPr>
          <w:rFonts w:hint="eastAsia"/>
          <w:b/>
          <w:szCs w:val="21"/>
          <w:highlight w:val="none"/>
        </w:rPr>
        <w:t xml:space="preserve"> </w:t>
      </w:r>
    </w:p>
    <w:p w14:paraId="05D8E8C0">
      <w:pPr>
        <w:spacing w:line="360" w:lineRule="auto"/>
        <w:ind w:firstLine="413"/>
        <w:rPr>
          <w:b/>
          <w:szCs w:val="21"/>
          <w:highlight w:val="none"/>
        </w:rPr>
      </w:pPr>
      <w:r>
        <w:rPr>
          <w:b/>
          <w:szCs w:val="21"/>
          <w:highlight w:val="none"/>
        </w:rPr>
        <w:t>4.9 承包人须严格执行《资金安全合同》，并在</w:t>
      </w:r>
      <w:r>
        <w:rPr>
          <w:rFonts w:hint="eastAsia"/>
          <w:b/>
          <w:szCs w:val="21"/>
          <w:highlight w:val="none"/>
        </w:rPr>
        <w:t>工程所在地</w:t>
      </w:r>
      <w:r>
        <w:rPr>
          <w:b/>
          <w:szCs w:val="21"/>
          <w:highlight w:val="none"/>
        </w:rPr>
        <w:t>银行开设账户，接受发包人及开户银行的监管。工程资金须用于本合同工程建设，发包人有权随时检查工程资金流向，若有资金使用不规范情况，发包人有权拒付工程款项，并要求追回工程款。</w:t>
      </w:r>
    </w:p>
    <w:p w14:paraId="41B0B30D">
      <w:pPr>
        <w:spacing w:line="360" w:lineRule="auto"/>
        <w:ind w:firstLine="413"/>
        <w:rPr>
          <w:b/>
          <w:color w:val="0000FF"/>
          <w:szCs w:val="21"/>
          <w:highlight w:val="none"/>
        </w:rPr>
      </w:pPr>
      <w:r>
        <w:rPr>
          <w:b/>
          <w:szCs w:val="21"/>
          <w:highlight w:val="none"/>
        </w:rPr>
        <w:t>承包人应按照《中华人民共和国会计法》、《会计基础工作规范》和《企业会计制度》的规定执行，建账核算，以便发包人进行资金监督，确保工程建设资金安全。</w:t>
      </w:r>
    </w:p>
    <w:p w14:paraId="342B03C3">
      <w:pPr>
        <w:spacing w:line="400" w:lineRule="exact"/>
        <w:ind w:firstLine="413"/>
        <w:rPr>
          <w:b/>
          <w:highlight w:val="none"/>
        </w:rPr>
      </w:pPr>
      <w:r>
        <w:rPr>
          <w:b/>
          <w:highlight w:val="none"/>
        </w:rPr>
        <w:t>4.11  不利物质条件</w:t>
      </w:r>
      <w:bookmarkEnd w:id="172"/>
    </w:p>
    <w:p w14:paraId="52150488">
      <w:pPr>
        <w:spacing w:line="400" w:lineRule="exact"/>
        <w:ind w:firstLine="411"/>
        <w:rPr>
          <w:szCs w:val="21"/>
          <w:highlight w:val="none"/>
        </w:rPr>
      </w:pPr>
      <w:bookmarkStart w:id="174" w:name="_Toc221951159"/>
      <w:r>
        <w:rPr>
          <w:bCs/>
          <w:szCs w:val="21"/>
          <w:highlight w:val="none"/>
        </w:rPr>
        <w:t xml:space="preserve">4.11.1 </w:t>
      </w:r>
      <w:r>
        <w:rPr>
          <w:szCs w:val="21"/>
          <w:highlight w:val="none"/>
        </w:rPr>
        <w:t>不利物质条件的范围：</w:t>
      </w:r>
      <w:r>
        <w:rPr>
          <w:szCs w:val="21"/>
          <w:highlight w:val="none"/>
          <w:u w:val="single"/>
        </w:rPr>
        <w:t xml:space="preserve">      /            </w:t>
      </w:r>
      <w:r>
        <w:rPr>
          <w:szCs w:val="21"/>
          <w:highlight w:val="none"/>
        </w:rPr>
        <w:t>。</w:t>
      </w:r>
      <w:bookmarkEnd w:id="174"/>
    </w:p>
    <w:p w14:paraId="3B8B0B42">
      <w:pPr>
        <w:spacing w:line="400" w:lineRule="exact"/>
        <w:ind w:firstLine="413"/>
        <w:rPr>
          <w:b/>
          <w:highlight w:val="none"/>
        </w:rPr>
      </w:pPr>
      <w:bookmarkStart w:id="175" w:name="_Toc222031033"/>
      <w:bookmarkStart w:id="176" w:name="_Toc222029531"/>
      <w:bookmarkStart w:id="177" w:name="_Toc222033882"/>
      <w:bookmarkStart w:id="178" w:name="_Toc229305391"/>
      <w:bookmarkStart w:id="179" w:name="_Toc221951160"/>
      <w:bookmarkStart w:id="180" w:name="_Toc222032700"/>
      <w:r>
        <w:rPr>
          <w:b/>
          <w:highlight w:val="none"/>
        </w:rPr>
        <w:t xml:space="preserve">5. </w:t>
      </w:r>
      <w:r>
        <w:rPr>
          <w:b/>
          <w:szCs w:val="21"/>
          <w:highlight w:val="none"/>
        </w:rPr>
        <w:t>材料和工程设备</w:t>
      </w:r>
      <w:bookmarkEnd w:id="175"/>
      <w:bookmarkEnd w:id="176"/>
      <w:bookmarkEnd w:id="177"/>
      <w:bookmarkEnd w:id="178"/>
      <w:bookmarkEnd w:id="179"/>
      <w:bookmarkEnd w:id="180"/>
    </w:p>
    <w:p w14:paraId="19E9F804">
      <w:pPr>
        <w:spacing w:line="400" w:lineRule="exact"/>
        <w:ind w:firstLine="413"/>
        <w:rPr>
          <w:b/>
          <w:highlight w:val="none"/>
        </w:rPr>
      </w:pPr>
      <w:bookmarkStart w:id="181" w:name="_Toc221951163"/>
      <w:r>
        <w:rPr>
          <w:b/>
          <w:highlight w:val="none"/>
        </w:rPr>
        <w:t xml:space="preserve">5.2  </w:t>
      </w:r>
      <w:r>
        <w:rPr>
          <w:b/>
          <w:szCs w:val="21"/>
          <w:highlight w:val="none"/>
        </w:rPr>
        <w:t>发包人提供的材料和工程设备</w:t>
      </w:r>
      <w:bookmarkEnd w:id="181"/>
    </w:p>
    <w:p w14:paraId="344FFC57">
      <w:pPr>
        <w:spacing w:line="400" w:lineRule="exact"/>
        <w:ind w:firstLine="411"/>
        <w:rPr>
          <w:b/>
          <w:szCs w:val="21"/>
          <w:highlight w:val="none"/>
        </w:rPr>
      </w:pPr>
      <w:r>
        <w:rPr>
          <w:bCs/>
          <w:szCs w:val="21"/>
          <w:highlight w:val="none"/>
        </w:rPr>
        <w:t>5.2.1</w:t>
      </w:r>
      <w:r>
        <w:rPr>
          <w:szCs w:val="21"/>
          <w:highlight w:val="none"/>
        </w:rPr>
        <w:t>发包人提供的材料和工程设备见下表</w:t>
      </w:r>
      <w:r>
        <w:rPr>
          <w:bCs/>
          <w:szCs w:val="21"/>
          <w:highlight w:val="none"/>
        </w:rPr>
        <w:t>：</w:t>
      </w:r>
    </w:p>
    <w:p w14:paraId="1A27794C">
      <w:pPr>
        <w:spacing w:line="400" w:lineRule="exact"/>
        <w:ind w:firstLine="413"/>
        <w:jc w:val="center"/>
        <w:rPr>
          <w:szCs w:val="21"/>
          <w:highlight w:val="none"/>
        </w:rPr>
      </w:pPr>
      <w:r>
        <w:rPr>
          <w:b/>
          <w:szCs w:val="21"/>
          <w:highlight w:val="none"/>
        </w:rPr>
        <w:t>发包人提供的材料表（</w:t>
      </w:r>
      <w:r>
        <w:rPr>
          <w:szCs w:val="21"/>
          <w:highlight w:val="none"/>
        </w:rPr>
        <w:t>参考格式</w:t>
      </w:r>
      <w:r>
        <w:rPr>
          <w:b/>
          <w:szCs w:val="21"/>
          <w:highlight w:val="none"/>
        </w:rPr>
        <w:t>）</w:t>
      </w:r>
    </w:p>
    <w:tbl>
      <w:tblPr>
        <w:tblStyle w:val="32"/>
        <w:tblW w:w="0" w:type="auto"/>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1619"/>
        <w:gridCol w:w="1440"/>
        <w:gridCol w:w="1081"/>
        <w:gridCol w:w="1081"/>
        <w:gridCol w:w="1079"/>
        <w:gridCol w:w="895"/>
        <w:gridCol w:w="744"/>
      </w:tblGrid>
      <w:tr w14:paraId="11DC34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center"/>
          </w:tcPr>
          <w:p w14:paraId="469A305C">
            <w:pPr>
              <w:ind w:right="-3"/>
              <w:jc w:val="center"/>
              <w:rPr>
                <w:szCs w:val="21"/>
                <w:highlight w:val="none"/>
              </w:rPr>
            </w:pPr>
            <w:r>
              <w:rPr>
                <w:szCs w:val="21"/>
                <w:highlight w:val="none"/>
              </w:rPr>
              <w:t>序号</w:t>
            </w:r>
          </w:p>
        </w:tc>
        <w:tc>
          <w:tcPr>
            <w:tcW w:w="1619" w:type="dxa"/>
            <w:noWrap w:val="0"/>
            <w:vAlign w:val="center"/>
          </w:tcPr>
          <w:p w14:paraId="5806D400">
            <w:pPr>
              <w:jc w:val="center"/>
              <w:rPr>
                <w:szCs w:val="21"/>
                <w:highlight w:val="none"/>
              </w:rPr>
            </w:pPr>
            <w:r>
              <w:rPr>
                <w:szCs w:val="21"/>
                <w:highlight w:val="none"/>
              </w:rPr>
              <w:t>材料名称</w:t>
            </w:r>
          </w:p>
        </w:tc>
        <w:tc>
          <w:tcPr>
            <w:tcW w:w="1440" w:type="dxa"/>
            <w:noWrap w:val="0"/>
            <w:vAlign w:val="center"/>
          </w:tcPr>
          <w:p w14:paraId="22A5E0CC">
            <w:pPr>
              <w:jc w:val="center"/>
              <w:rPr>
                <w:szCs w:val="21"/>
                <w:highlight w:val="none"/>
              </w:rPr>
            </w:pPr>
            <w:r>
              <w:rPr>
                <w:szCs w:val="21"/>
                <w:highlight w:val="none"/>
              </w:rPr>
              <w:t>材料规格</w:t>
            </w:r>
          </w:p>
        </w:tc>
        <w:tc>
          <w:tcPr>
            <w:tcW w:w="1081" w:type="dxa"/>
            <w:noWrap w:val="0"/>
            <w:vAlign w:val="center"/>
          </w:tcPr>
          <w:p w14:paraId="100DED46">
            <w:pPr>
              <w:ind w:right="-33"/>
              <w:jc w:val="center"/>
              <w:rPr>
                <w:szCs w:val="21"/>
                <w:highlight w:val="none"/>
              </w:rPr>
            </w:pPr>
            <w:r>
              <w:rPr>
                <w:szCs w:val="21"/>
                <w:highlight w:val="none"/>
              </w:rPr>
              <w:t>数量</w:t>
            </w:r>
          </w:p>
        </w:tc>
        <w:tc>
          <w:tcPr>
            <w:tcW w:w="1081" w:type="dxa"/>
            <w:noWrap w:val="0"/>
            <w:vAlign w:val="center"/>
          </w:tcPr>
          <w:p w14:paraId="503A7019">
            <w:pPr>
              <w:jc w:val="center"/>
              <w:rPr>
                <w:szCs w:val="21"/>
                <w:highlight w:val="none"/>
              </w:rPr>
            </w:pPr>
            <w:r>
              <w:rPr>
                <w:szCs w:val="21"/>
                <w:highlight w:val="none"/>
              </w:rPr>
              <w:t>交货地点</w:t>
            </w:r>
          </w:p>
        </w:tc>
        <w:tc>
          <w:tcPr>
            <w:tcW w:w="1079" w:type="dxa"/>
            <w:noWrap w:val="0"/>
            <w:vAlign w:val="center"/>
          </w:tcPr>
          <w:p w14:paraId="7CAE0F5E">
            <w:pPr>
              <w:jc w:val="center"/>
              <w:rPr>
                <w:szCs w:val="21"/>
                <w:highlight w:val="none"/>
              </w:rPr>
            </w:pPr>
            <w:r>
              <w:rPr>
                <w:szCs w:val="21"/>
                <w:highlight w:val="none"/>
              </w:rPr>
              <w:t>交货方式</w:t>
            </w:r>
          </w:p>
        </w:tc>
        <w:tc>
          <w:tcPr>
            <w:tcW w:w="895" w:type="dxa"/>
            <w:noWrap w:val="0"/>
            <w:vAlign w:val="center"/>
          </w:tcPr>
          <w:p w14:paraId="7FB81D11">
            <w:pPr>
              <w:jc w:val="center"/>
              <w:rPr>
                <w:szCs w:val="21"/>
                <w:highlight w:val="none"/>
              </w:rPr>
            </w:pPr>
            <w:r>
              <w:rPr>
                <w:szCs w:val="21"/>
                <w:highlight w:val="none"/>
              </w:rPr>
              <w:t>计划交货日期</w:t>
            </w:r>
          </w:p>
        </w:tc>
        <w:tc>
          <w:tcPr>
            <w:tcW w:w="744" w:type="dxa"/>
            <w:noWrap w:val="0"/>
            <w:vAlign w:val="center"/>
          </w:tcPr>
          <w:p w14:paraId="31FE7FD1">
            <w:pPr>
              <w:jc w:val="center"/>
              <w:rPr>
                <w:szCs w:val="21"/>
                <w:highlight w:val="none"/>
              </w:rPr>
            </w:pPr>
            <w:r>
              <w:rPr>
                <w:szCs w:val="21"/>
                <w:highlight w:val="none"/>
              </w:rPr>
              <w:t>备注</w:t>
            </w:r>
          </w:p>
        </w:tc>
      </w:tr>
      <w:tr w14:paraId="5C47DF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center"/>
          </w:tcPr>
          <w:p w14:paraId="759A668A">
            <w:pPr>
              <w:ind w:right="248"/>
              <w:jc w:val="center"/>
              <w:rPr>
                <w:szCs w:val="21"/>
                <w:highlight w:val="none"/>
              </w:rPr>
            </w:pPr>
          </w:p>
        </w:tc>
        <w:tc>
          <w:tcPr>
            <w:tcW w:w="1619" w:type="dxa"/>
            <w:noWrap w:val="0"/>
            <w:vAlign w:val="center"/>
          </w:tcPr>
          <w:p w14:paraId="3DEB5E89">
            <w:pPr>
              <w:ind w:right="248"/>
              <w:jc w:val="center"/>
              <w:rPr>
                <w:szCs w:val="21"/>
                <w:highlight w:val="none"/>
              </w:rPr>
            </w:pPr>
            <w:r>
              <w:rPr>
                <w:szCs w:val="21"/>
                <w:highlight w:val="none"/>
              </w:rPr>
              <w:t>本次无</w:t>
            </w:r>
          </w:p>
        </w:tc>
        <w:tc>
          <w:tcPr>
            <w:tcW w:w="1440" w:type="dxa"/>
            <w:noWrap w:val="0"/>
            <w:vAlign w:val="center"/>
          </w:tcPr>
          <w:p w14:paraId="3C6F4794">
            <w:pPr>
              <w:ind w:right="248"/>
              <w:jc w:val="center"/>
              <w:rPr>
                <w:szCs w:val="21"/>
                <w:highlight w:val="none"/>
              </w:rPr>
            </w:pPr>
          </w:p>
        </w:tc>
        <w:tc>
          <w:tcPr>
            <w:tcW w:w="1081" w:type="dxa"/>
            <w:noWrap w:val="0"/>
            <w:vAlign w:val="center"/>
          </w:tcPr>
          <w:p w14:paraId="4FE96B42">
            <w:pPr>
              <w:ind w:right="248"/>
              <w:jc w:val="center"/>
              <w:rPr>
                <w:szCs w:val="21"/>
                <w:highlight w:val="none"/>
              </w:rPr>
            </w:pPr>
          </w:p>
        </w:tc>
        <w:tc>
          <w:tcPr>
            <w:tcW w:w="1081" w:type="dxa"/>
            <w:noWrap w:val="0"/>
            <w:vAlign w:val="center"/>
          </w:tcPr>
          <w:p w14:paraId="3363DFEA">
            <w:pPr>
              <w:ind w:right="248"/>
              <w:jc w:val="center"/>
              <w:rPr>
                <w:szCs w:val="21"/>
                <w:highlight w:val="none"/>
              </w:rPr>
            </w:pPr>
          </w:p>
        </w:tc>
        <w:tc>
          <w:tcPr>
            <w:tcW w:w="1079" w:type="dxa"/>
            <w:noWrap w:val="0"/>
            <w:vAlign w:val="center"/>
          </w:tcPr>
          <w:p w14:paraId="5E8EFAE1">
            <w:pPr>
              <w:ind w:right="248"/>
              <w:jc w:val="center"/>
              <w:rPr>
                <w:szCs w:val="21"/>
                <w:highlight w:val="none"/>
              </w:rPr>
            </w:pPr>
          </w:p>
        </w:tc>
        <w:tc>
          <w:tcPr>
            <w:tcW w:w="895" w:type="dxa"/>
            <w:noWrap w:val="0"/>
            <w:vAlign w:val="center"/>
          </w:tcPr>
          <w:p w14:paraId="3727B0C7">
            <w:pPr>
              <w:ind w:right="248"/>
              <w:jc w:val="center"/>
              <w:rPr>
                <w:szCs w:val="21"/>
                <w:highlight w:val="none"/>
              </w:rPr>
            </w:pPr>
          </w:p>
        </w:tc>
        <w:tc>
          <w:tcPr>
            <w:tcW w:w="744" w:type="dxa"/>
            <w:noWrap w:val="0"/>
            <w:vAlign w:val="center"/>
          </w:tcPr>
          <w:p w14:paraId="034CD195">
            <w:pPr>
              <w:ind w:right="248"/>
              <w:jc w:val="center"/>
              <w:rPr>
                <w:szCs w:val="21"/>
                <w:highlight w:val="none"/>
              </w:rPr>
            </w:pPr>
          </w:p>
        </w:tc>
      </w:tr>
      <w:tr w14:paraId="4E06B4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center"/>
          </w:tcPr>
          <w:p w14:paraId="7BE60D64">
            <w:pPr>
              <w:ind w:right="248"/>
              <w:jc w:val="center"/>
              <w:rPr>
                <w:szCs w:val="21"/>
                <w:highlight w:val="none"/>
              </w:rPr>
            </w:pPr>
          </w:p>
        </w:tc>
        <w:tc>
          <w:tcPr>
            <w:tcW w:w="1619" w:type="dxa"/>
            <w:noWrap w:val="0"/>
            <w:vAlign w:val="center"/>
          </w:tcPr>
          <w:p w14:paraId="3EF63DE5">
            <w:pPr>
              <w:ind w:right="248"/>
              <w:jc w:val="center"/>
              <w:rPr>
                <w:szCs w:val="21"/>
                <w:highlight w:val="none"/>
              </w:rPr>
            </w:pPr>
          </w:p>
        </w:tc>
        <w:tc>
          <w:tcPr>
            <w:tcW w:w="1440" w:type="dxa"/>
            <w:noWrap w:val="0"/>
            <w:vAlign w:val="center"/>
          </w:tcPr>
          <w:p w14:paraId="5079B193">
            <w:pPr>
              <w:ind w:right="248"/>
              <w:jc w:val="center"/>
              <w:rPr>
                <w:szCs w:val="21"/>
                <w:highlight w:val="none"/>
              </w:rPr>
            </w:pPr>
          </w:p>
        </w:tc>
        <w:tc>
          <w:tcPr>
            <w:tcW w:w="1081" w:type="dxa"/>
            <w:noWrap w:val="0"/>
            <w:vAlign w:val="center"/>
          </w:tcPr>
          <w:p w14:paraId="38BA3988">
            <w:pPr>
              <w:ind w:right="248"/>
              <w:jc w:val="center"/>
              <w:rPr>
                <w:szCs w:val="21"/>
                <w:highlight w:val="none"/>
              </w:rPr>
            </w:pPr>
          </w:p>
        </w:tc>
        <w:tc>
          <w:tcPr>
            <w:tcW w:w="1081" w:type="dxa"/>
            <w:noWrap w:val="0"/>
            <w:vAlign w:val="center"/>
          </w:tcPr>
          <w:p w14:paraId="4C3A4EED">
            <w:pPr>
              <w:ind w:right="248"/>
              <w:jc w:val="center"/>
              <w:rPr>
                <w:szCs w:val="21"/>
                <w:highlight w:val="none"/>
              </w:rPr>
            </w:pPr>
          </w:p>
        </w:tc>
        <w:tc>
          <w:tcPr>
            <w:tcW w:w="1079" w:type="dxa"/>
            <w:noWrap w:val="0"/>
            <w:vAlign w:val="center"/>
          </w:tcPr>
          <w:p w14:paraId="0430E50E">
            <w:pPr>
              <w:ind w:right="248"/>
              <w:jc w:val="center"/>
              <w:rPr>
                <w:szCs w:val="21"/>
                <w:highlight w:val="none"/>
              </w:rPr>
            </w:pPr>
          </w:p>
        </w:tc>
        <w:tc>
          <w:tcPr>
            <w:tcW w:w="895" w:type="dxa"/>
            <w:noWrap w:val="0"/>
            <w:vAlign w:val="center"/>
          </w:tcPr>
          <w:p w14:paraId="6B95C746">
            <w:pPr>
              <w:ind w:right="248"/>
              <w:jc w:val="center"/>
              <w:rPr>
                <w:szCs w:val="21"/>
                <w:highlight w:val="none"/>
              </w:rPr>
            </w:pPr>
          </w:p>
        </w:tc>
        <w:tc>
          <w:tcPr>
            <w:tcW w:w="744" w:type="dxa"/>
            <w:noWrap w:val="0"/>
            <w:vAlign w:val="center"/>
          </w:tcPr>
          <w:p w14:paraId="7530DAAD">
            <w:pPr>
              <w:ind w:right="248"/>
              <w:jc w:val="center"/>
              <w:rPr>
                <w:szCs w:val="21"/>
                <w:highlight w:val="none"/>
              </w:rPr>
            </w:pPr>
          </w:p>
        </w:tc>
      </w:tr>
    </w:tbl>
    <w:p w14:paraId="22EC896C">
      <w:pPr>
        <w:spacing w:line="400" w:lineRule="exact"/>
        <w:ind w:firstLine="413"/>
        <w:jc w:val="center"/>
        <w:rPr>
          <w:szCs w:val="21"/>
          <w:highlight w:val="none"/>
        </w:rPr>
      </w:pPr>
      <w:r>
        <w:rPr>
          <w:b/>
          <w:szCs w:val="21"/>
          <w:highlight w:val="none"/>
        </w:rPr>
        <w:t>发包人提供的工程设备表（</w:t>
      </w:r>
      <w:r>
        <w:rPr>
          <w:szCs w:val="21"/>
          <w:highlight w:val="none"/>
        </w:rPr>
        <w:t>参考格式</w:t>
      </w:r>
      <w:r>
        <w:rPr>
          <w:b/>
          <w:szCs w:val="21"/>
          <w:highlight w:val="none"/>
        </w:rPr>
        <w:t>）</w:t>
      </w:r>
    </w:p>
    <w:tbl>
      <w:tblPr>
        <w:tblStyle w:val="32"/>
        <w:tblW w:w="0" w:type="auto"/>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1801"/>
        <w:gridCol w:w="1440"/>
        <w:gridCol w:w="1079"/>
        <w:gridCol w:w="1081"/>
        <w:gridCol w:w="718"/>
        <w:gridCol w:w="1260"/>
        <w:gridCol w:w="739"/>
      </w:tblGrid>
      <w:tr w14:paraId="13CC1E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0" w:hRule="atLeast"/>
          <w:tblHeader/>
        </w:trPr>
        <w:tc>
          <w:tcPr>
            <w:tcW w:w="829" w:type="dxa"/>
            <w:noWrap w:val="0"/>
            <w:vAlign w:val="center"/>
          </w:tcPr>
          <w:p w14:paraId="36B17ECF">
            <w:pPr>
              <w:ind w:right="-3"/>
              <w:jc w:val="center"/>
              <w:rPr>
                <w:szCs w:val="21"/>
                <w:highlight w:val="none"/>
              </w:rPr>
            </w:pPr>
            <w:r>
              <w:rPr>
                <w:szCs w:val="21"/>
                <w:highlight w:val="none"/>
              </w:rPr>
              <w:t>序号</w:t>
            </w:r>
          </w:p>
        </w:tc>
        <w:tc>
          <w:tcPr>
            <w:tcW w:w="1801" w:type="dxa"/>
            <w:noWrap w:val="0"/>
            <w:vAlign w:val="center"/>
          </w:tcPr>
          <w:p w14:paraId="7AB866C9">
            <w:pPr>
              <w:jc w:val="center"/>
              <w:rPr>
                <w:szCs w:val="21"/>
                <w:highlight w:val="none"/>
              </w:rPr>
            </w:pPr>
            <w:r>
              <w:rPr>
                <w:szCs w:val="21"/>
                <w:highlight w:val="none"/>
              </w:rPr>
              <w:t>工程设备名称</w:t>
            </w:r>
          </w:p>
        </w:tc>
        <w:tc>
          <w:tcPr>
            <w:tcW w:w="1440" w:type="dxa"/>
            <w:noWrap w:val="0"/>
            <w:vAlign w:val="center"/>
          </w:tcPr>
          <w:p w14:paraId="540AD82C">
            <w:pPr>
              <w:jc w:val="center"/>
              <w:rPr>
                <w:szCs w:val="21"/>
                <w:highlight w:val="none"/>
              </w:rPr>
            </w:pPr>
            <w:r>
              <w:rPr>
                <w:szCs w:val="21"/>
                <w:highlight w:val="none"/>
              </w:rPr>
              <w:t>型号及规格</w:t>
            </w:r>
          </w:p>
        </w:tc>
        <w:tc>
          <w:tcPr>
            <w:tcW w:w="1079" w:type="dxa"/>
            <w:noWrap w:val="0"/>
            <w:vAlign w:val="center"/>
          </w:tcPr>
          <w:p w14:paraId="4708A0B2">
            <w:pPr>
              <w:ind w:right="-33"/>
              <w:jc w:val="center"/>
              <w:rPr>
                <w:szCs w:val="21"/>
                <w:highlight w:val="none"/>
              </w:rPr>
            </w:pPr>
            <w:r>
              <w:rPr>
                <w:szCs w:val="21"/>
                <w:highlight w:val="none"/>
              </w:rPr>
              <w:t>数量</w:t>
            </w:r>
          </w:p>
        </w:tc>
        <w:tc>
          <w:tcPr>
            <w:tcW w:w="1081" w:type="dxa"/>
            <w:noWrap w:val="0"/>
            <w:vAlign w:val="center"/>
          </w:tcPr>
          <w:p w14:paraId="16CF73EF">
            <w:pPr>
              <w:jc w:val="center"/>
              <w:rPr>
                <w:szCs w:val="21"/>
                <w:highlight w:val="none"/>
              </w:rPr>
            </w:pPr>
            <w:r>
              <w:rPr>
                <w:szCs w:val="21"/>
                <w:highlight w:val="none"/>
              </w:rPr>
              <w:t>交货地点</w:t>
            </w:r>
          </w:p>
        </w:tc>
        <w:tc>
          <w:tcPr>
            <w:tcW w:w="718" w:type="dxa"/>
            <w:noWrap w:val="0"/>
            <w:vAlign w:val="center"/>
          </w:tcPr>
          <w:p w14:paraId="1860B7E7">
            <w:pPr>
              <w:jc w:val="center"/>
              <w:rPr>
                <w:szCs w:val="21"/>
                <w:highlight w:val="none"/>
              </w:rPr>
            </w:pPr>
            <w:r>
              <w:rPr>
                <w:szCs w:val="21"/>
                <w:highlight w:val="none"/>
              </w:rPr>
              <w:t>交货方式</w:t>
            </w:r>
          </w:p>
        </w:tc>
        <w:tc>
          <w:tcPr>
            <w:tcW w:w="1260" w:type="dxa"/>
            <w:noWrap w:val="0"/>
            <w:vAlign w:val="center"/>
          </w:tcPr>
          <w:p w14:paraId="0BC19681">
            <w:pPr>
              <w:jc w:val="center"/>
              <w:rPr>
                <w:szCs w:val="21"/>
                <w:highlight w:val="none"/>
              </w:rPr>
            </w:pPr>
            <w:r>
              <w:rPr>
                <w:szCs w:val="21"/>
                <w:highlight w:val="none"/>
              </w:rPr>
              <w:t>计划交货日期</w:t>
            </w:r>
          </w:p>
        </w:tc>
        <w:tc>
          <w:tcPr>
            <w:tcW w:w="739" w:type="dxa"/>
            <w:noWrap w:val="0"/>
            <w:vAlign w:val="center"/>
          </w:tcPr>
          <w:p w14:paraId="6097C980">
            <w:pPr>
              <w:jc w:val="center"/>
              <w:rPr>
                <w:szCs w:val="21"/>
                <w:highlight w:val="none"/>
              </w:rPr>
            </w:pPr>
            <w:r>
              <w:rPr>
                <w:szCs w:val="21"/>
                <w:highlight w:val="none"/>
              </w:rPr>
              <w:t>备注</w:t>
            </w:r>
          </w:p>
        </w:tc>
      </w:tr>
      <w:tr w14:paraId="056BC0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9" w:type="dxa"/>
            <w:noWrap w:val="0"/>
            <w:vAlign w:val="center"/>
          </w:tcPr>
          <w:p w14:paraId="5869210C">
            <w:pPr>
              <w:ind w:right="248"/>
              <w:jc w:val="center"/>
              <w:rPr>
                <w:szCs w:val="21"/>
                <w:highlight w:val="none"/>
              </w:rPr>
            </w:pPr>
          </w:p>
        </w:tc>
        <w:tc>
          <w:tcPr>
            <w:tcW w:w="1801" w:type="dxa"/>
            <w:noWrap w:val="0"/>
            <w:vAlign w:val="center"/>
          </w:tcPr>
          <w:p w14:paraId="498AF1DC">
            <w:pPr>
              <w:ind w:right="248"/>
              <w:jc w:val="center"/>
              <w:rPr>
                <w:szCs w:val="21"/>
                <w:highlight w:val="none"/>
              </w:rPr>
            </w:pPr>
            <w:r>
              <w:rPr>
                <w:szCs w:val="21"/>
                <w:highlight w:val="none"/>
              </w:rPr>
              <w:t>本次无</w:t>
            </w:r>
          </w:p>
        </w:tc>
        <w:tc>
          <w:tcPr>
            <w:tcW w:w="1440" w:type="dxa"/>
            <w:noWrap w:val="0"/>
            <w:vAlign w:val="center"/>
          </w:tcPr>
          <w:p w14:paraId="2BE192C3">
            <w:pPr>
              <w:ind w:right="248"/>
              <w:jc w:val="center"/>
              <w:rPr>
                <w:szCs w:val="21"/>
                <w:highlight w:val="none"/>
              </w:rPr>
            </w:pPr>
          </w:p>
        </w:tc>
        <w:tc>
          <w:tcPr>
            <w:tcW w:w="1079" w:type="dxa"/>
            <w:noWrap w:val="0"/>
            <w:vAlign w:val="center"/>
          </w:tcPr>
          <w:p w14:paraId="1127F9F3">
            <w:pPr>
              <w:ind w:right="248"/>
              <w:jc w:val="center"/>
              <w:rPr>
                <w:szCs w:val="21"/>
                <w:highlight w:val="none"/>
              </w:rPr>
            </w:pPr>
          </w:p>
        </w:tc>
        <w:tc>
          <w:tcPr>
            <w:tcW w:w="1081" w:type="dxa"/>
            <w:noWrap w:val="0"/>
            <w:vAlign w:val="center"/>
          </w:tcPr>
          <w:p w14:paraId="08DED041">
            <w:pPr>
              <w:ind w:right="248"/>
              <w:jc w:val="center"/>
              <w:rPr>
                <w:szCs w:val="21"/>
                <w:highlight w:val="none"/>
              </w:rPr>
            </w:pPr>
          </w:p>
        </w:tc>
        <w:tc>
          <w:tcPr>
            <w:tcW w:w="718" w:type="dxa"/>
            <w:noWrap w:val="0"/>
            <w:vAlign w:val="center"/>
          </w:tcPr>
          <w:p w14:paraId="1EFB4338">
            <w:pPr>
              <w:ind w:right="248"/>
              <w:jc w:val="center"/>
              <w:rPr>
                <w:szCs w:val="21"/>
                <w:highlight w:val="none"/>
              </w:rPr>
            </w:pPr>
          </w:p>
        </w:tc>
        <w:tc>
          <w:tcPr>
            <w:tcW w:w="1260" w:type="dxa"/>
            <w:noWrap w:val="0"/>
            <w:vAlign w:val="center"/>
          </w:tcPr>
          <w:p w14:paraId="7ED7AB25">
            <w:pPr>
              <w:ind w:right="248"/>
              <w:jc w:val="center"/>
              <w:rPr>
                <w:szCs w:val="21"/>
                <w:highlight w:val="none"/>
              </w:rPr>
            </w:pPr>
          </w:p>
        </w:tc>
        <w:tc>
          <w:tcPr>
            <w:tcW w:w="739" w:type="dxa"/>
            <w:noWrap w:val="0"/>
            <w:vAlign w:val="center"/>
          </w:tcPr>
          <w:p w14:paraId="09C4CB5C">
            <w:pPr>
              <w:ind w:right="248"/>
              <w:jc w:val="center"/>
              <w:rPr>
                <w:szCs w:val="21"/>
                <w:highlight w:val="none"/>
              </w:rPr>
            </w:pPr>
          </w:p>
        </w:tc>
      </w:tr>
      <w:tr w14:paraId="329D69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9" w:type="dxa"/>
            <w:noWrap w:val="0"/>
            <w:vAlign w:val="center"/>
          </w:tcPr>
          <w:p w14:paraId="32FF622C">
            <w:pPr>
              <w:ind w:right="248"/>
              <w:jc w:val="center"/>
              <w:rPr>
                <w:szCs w:val="21"/>
                <w:highlight w:val="none"/>
              </w:rPr>
            </w:pPr>
          </w:p>
        </w:tc>
        <w:tc>
          <w:tcPr>
            <w:tcW w:w="1801" w:type="dxa"/>
            <w:noWrap w:val="0"/>
            <w:vAlign w:val="center"/>
          </w:tcPr>
          <w:p w14:paraId="3FBB2F3B">
            <w:pPr>
              <w:ind w:right="248"/>
              <w:jc w:val="center"/>
              <w:rPr>
                <w:szCs w:val="21"/>
                <w:highlight w:val="none"/>
              </w:rPr>
            </w:pPr>
          </w:p>
        </w:tc>
        <w:tc>
          <w:tcPr>
            <w:tcW w:w="1440" w:type="dxa"/>
            <w:noWrap w:val="0"/>
            <w:vAlign w:val="center"/>
          </w:tcPr>
          <w:p w14:paraId="6B6FFEC3">
            <w:pPr>
              <w:ind w:right="248"/>
              <w:jc w:val="center"/>
              <w:rPr>
                <w:szCs w:val="21"/>
                <w:highlight w:val="none"/>
              </w:rPr>
            </w:pPr>
          </w:p>
        </w:tc>
        <w:tc>
          <w:tcPr>
            <w:tcW w:w="1079" w:type="dxa"/>
            <w:noWrap w:val="0"/>
            <w:vAlign w:val="center"/>
          </w:tcPr>
          <w:p w14:paraId="1525D10B">
            <w:pPr>
              <w:ind w:right="248"/>
              <w:jc w:val="center"/>
              <w:rPr>
                <w:szCs w:val="21"/>
                <w:highlight w:val="none"/>
              </w:rPr>
            </w:pPr>
          </w:p>
        </w:tc>
        <w:tc>
          <w:tcPr>
            <w:tcW w:w="1081" w:type="dxa"/>
            <w:noWrap w:val="0"/>
            <w:vAlign w:val="center"/>
          </w:tcPr>
          <w:p w14:paraId="3D4A9E03">
            <w:pPr>
              <w:ind w:right="248"/>
              <w:jc w:val="center"/>
              <w:rPr>
                <w:szCs w:val="21"/>
                <w:highlight w:val="none"/>
              </w:rPr>
            </w:pPr>
          </w:p>
        </w:tc>
        <w:tc>
          <w:tcPr>
            <w:tcW w:w="718" w:type="dxa"/>
            <w:noWrap w:val="0"/>
            <w:vAlign w:val="center"/>
          </w:tcPr>
          <w:p w14:paraId="456E826B">
            <w:pPr>
              <w:ind w:right="248"/>
              <w:jc w:val="center"/>
              <w:rPr>
                <w:szCs w:val="21"/>
                <w:highlight w:val="none"/>
              </w:rPr>
            </w:pPr>
          </w:p>
        </w:tc>
        <w:tc>
          <w:tcPr>
            <w:tcW w:w="1260" w:type="dxa"/>
            <w:noWrap w:val="0"/>
            <w:vAlign w:val="center"/>
          </w:tcPr>
          <w:p w14:paraId="6C94166A">
            <w:pPr>
              <w:ind w:right="248"/>
              <w:jc w:val="center"/>
              <w:rPr>
                <w:szCs w:val="21"/>
                <w:highlight w:val="none"/>
              </w:rPr>
            </w:pPr>
          </w:p>
        </w:tc>
        <w:tc>
          <w:tcPr>
            <w:tcW w:w="739" w:type="dxa"/>
            <w:noWrap w:val="0"/>
            <w:vAlign w:val="center"/>
          </w:tcPr>
          <w:p w14:paraId="57323606">
            <w:pPr>
              <w:ind w:right="248"/>
              <w:jc w:val="center"/>
              <w:rPr>
                <w:szCs w:val="21"/>
                <w:highlight w:val="none"/>
              </w:rPr>
            </w:pPr>
          </w:p>
        </w:tc>
      </w:tr>
      <w:tr w14:paraId="6C088E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9" w:type="dxa"/>
            <w:noWrap w:val="0"/>
            <w:vAlign w:val="center"/>
          </w:tcPr>
          <w:p w14:paraId="1BE117D0">
            <w:pPr>
              <w:ind w:right="248"/>
              <w:jc w:val="center"/>
              <w:rPr>
                <w:szCs w:val="21"/>
                <w:highlight w:val="none"/>
              </w:rPr>
            </w:pPr>
          </w:p>
        </w:tc>
        <w:tc>
          <w:tcPr>
            <w:tcW w:w="1801" w:type="dxa"/>
            <w:noWrap w:val="0"/>
            <w:vAlign w:val="center"/>
          </w:tcPr>
          <w:p w14:paraId="000116FD">
            <w:pPr>
              <w:ind w:right="248"/>
              <w:jc w:val="center"/>
              <w:rPr>
                <w:szCs w:val="21"/>
                <w:highlight w:val="none"/>
              </w:rPr>
            </w:pPr>
          </w:p>
        </w:tc>
        <w:tc>
          <w:tcPr>
            <w:tcW w:w="1440" w:type="dxa"/>
            <w:noWrap w:val="0"/>
            <w:vAlign w:val="center"/>
          </w:tcPr>
          <w:p w14:paraId="200C47A8">
            <w:pPr>
              <w:ind w:right="248"/>
              <w:jc w:val="center"/>
              <w:rPr>
                <w:szCs w:val="21"/>
                <w:highlight w:val="none"/>
              </w:rPr>
            </w:pPr>
          </w:p>
        </w:tc>
        <w:tc>
          <w:tcPr>
            <w:tcW w:w="1079" w:type="dxa"/>
            <w:noWrap w:val="0"/>
            <w:vAlign w:val="center"/>
          </w:tcPr>
          <w:p w14:paraId="06190354">
            <w:pPr>
              <w:ind w:right="248"/>
              <w:jc w:val="center"/>
              <w:rPr>
                <w:szCs w:val="21"/>
                <w:highlight w:val="none"/>
              </w:rPr>
            </w:pPr>
          </w:p>
        </w:tc>
        <w:tc>
          <w:tcPr>
            <w:tcW w:w="1081" w:type="dxa"/>
            <w:noWrap w:val="0"/>
            <w:vAlign w:val="center"/>
          </w:tcPr>
          <w:p w14:paraId="2C7D269B">
            <w:pPr>
              <w:ind w:right="248"/>
              <w:jc w:val="center"/>
              <w:rPr>
                <w:szCs w:val="21"/>
                <w:highlight w:val="none"/>
              </w:rPr>
            </w:pPr>
          </w:p>
        </w:tc>
        <w:tc>
          <w:tcPr>
            <w:tcW w:w="718" w:type="dxa"/>
            <w:noWrap w:val="0"/>
            <w:vAlign w:val="center"/>
          </w:tcPr>
          <w:p w14:paraId="3226C5B2">
            <w:pPr>
              <w:ind w:right="248"/>
              <w:jc w:val="center"/>
              <w:rPr>
                <w:szCs w:val="21"/>
                <w:highlight w:val="none"/>
              </w:rPr>
            </w:pPr>
          </w:p>
        </w:tc>
        <w:tc>
          <w:tcPr>
            <w:tcW w:w="1260" w:type="dxa"/>
            <w:noWrap w:val="0"/>
            <w:vAlign w:val="center"/>
          </w:tcPr>
          <w:p w14:paraId="6497AA87">
            <w:pPr>
              <w:ind w:right="248"/>
              <w:jc w:val="center"/>
              <w:rPr>
                <w:szCs w:val="21"/>
                <w:highlight w:val="none"/>
              </w:rPr>
            </w:pPr>
          </w:p>
        </w:tc>
        <w:tc>
          <w:tcPr>
            <w:tcW w:w="739" w:type="dxa"/>
            <w:noWrap w:val="0"/>
            <w:vAlign w:val="center"/>
          </w:tcPr>
          <w:p w14:paraId="7D366F85">
            <w:pPr>
              <w:ind w:right="248"/>
              <w:jc w:val="center"/>
              <w:rPr>
                <w:szCs w:val="21"/>
                <w:highlight w:val="none"/>
              </w:rPr>
            </w:pPr>
          </w:p>
        </w:tc>
      </w:tr>
      <w:tr w14:paraId="34A797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9" w:type="dxa"/>
            <w:noWrap w:val="0"/>
            <w:vAlign w:val="center"/>
          </w:tcPr>
          <w:p w14:paraId="2207CA7F">
            <w:pPr>
              <w:ind w:right="248"/>
              <w:jc w:val="center"/>
              <w:rPr>
                <w:szCs w:val="21"/>
                <w:highlight w:val="none"/>
              </w:rPr>
            </w:pPr>
          </w:p>
        </w:tc>
        <w:tc>
          <w:tcPr>
            <w:tcW w:w="1801" w:type="dxa"/>
            <w:noWrap w:val="0"/>
            <w:vAlign w:val="center"/>
          </w:tcPr>
          <w:p w14:paraId="062036DE">
            <w:pPr>
              <w:ind w:right="248"/>
              <w:jc w:val="center"/>
              <w:rPr>
                <w:szCs w:val="21"/>
                <w:highlight w:val="none"/>
              </w:rPr>
            </w:pPr>
          </w:p>
        </w:tc>
        <w:tc>
          <w:tcPr>
            <w:tcW w:w="1440" w:type="dxa"/>
            <w:noWrap w:val="0"/>
            <w:vAlign w:val="center"/>
          </w:tcPr>
          <w:p w14:paraId="1E378598">
            <w:pPr>
              <w:ind w:right="248"/>
              <w:jc w:val="center"/>
              <w:rPr>
                <w:szCs w:val="21"/>
                <w:highlight w:val="none"/>
              </w:rPr>
            </w:pPr>
          </w:p>
        </w:tc>
        <w:tc>
          <w:tcPr>
            <w:tcW w:w="1079" w:type="dxa"/>
            <w:noWrap w:val="0"/>
            <w:vAlign w:val="center"/>
          </w:tcPr>
          <w:p w14:paraId="0EAABF4F">
            <w:pPr>
              <w:ind w:right="248"/>
              <w:jc w:val="center"/>
              <w:rPr>
                <w:szCs w:val="21"/>
                <w:highlight w:val="none"/>
              </w:rPr>
            </w:pPr>
          </w:p>
        </w:tc>
        <w:tc>
          <w:tcPr>
            <w:tcW w:w="1081" w:type="dxa"/>
            <w:noWrap w:val="0"/>
            <w:vAlign w:val="center"/>
          </w:tcPr>
          <w:p w14:paraId="07DD8DD9">
            <w:pPr>
              <w:ind w:right="248"/>
              <w:jc w:val="center"/>
              <w:rPr>
                <w:szCs w:val="21"/>
                <w:highlight w:val="none"/>
              </w:rPr>
            </w:pPr>
          </w:p>
        </w:tc>
        <w:tc>
          <w:tcPr>
            <w:tcW w:w="718" w:type="dxa"/>
            <w:noWrap w:val="0"/>
            <w:vAlign w:val="center"/>
          </w:tcPr>
          <w:p w14:paraId="33A02FE3">
            <w:pPr>
              <w:ind w:right="248"/>
              <w:jc w:val="center"/>
              <w:rPr>
                <w:szCs w:val="21"/>
                <w:highlight w:val="none"/>
              </w:rPr>
            </w:pPr>
          </w:p>
        </w:tc>
        <w:tc>
          <w:tcPr>
            <w:tcW w:w="1260" w:type="dxa"/>
            <w:noWrap w:val="0"/>
            <w:vAlign w:val="center"/>
          </w:tcPr>
          <w:p w14:paraId="3B8E1922">
            <w:pPr>
              <w:ind w:right="248"/>
              <w:jc w:val="center"/>
              <w:rPr>
                <w:szCs w:val="21"/>
                <w:highlight w:val="none"/>
              </w:rPr>
            </w:pPr>
          </w:p>
        </w:tc>
        <w:tc>
          <w:tcPr>
            <w:tcW w:w="739" w:type="dxa"/>
            <w:noWrap w:val="0"/>
            <w:vAlign w:val="center"/>
          </w:tcPr>
          <w:p w14:paraId="5DBABFA9">
            <w:pPr>
              <w:ind w:right="248"/>
              <w:jc w:val="center"/>
              <w:rPr>
                <w:szCs w:val="21"/>
                <w:highlight w:val="none"/>
              </w:rPr>
            </w:pPr>
          </w:p>
        </w:tc>
      </w:tr>
      <w:tr w14:paraId="305792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9" w:type="dxa"/>
            <w:noWrap w:val="0"/>
            <w:vAlign w:val="center"/>
          </w:tcPr>
          <w:p w14:paraId="00202050">
            <w:pPr>
              <w:ind w:right="248"/>
              <w:jc w:val="center"/>
              <w:rPr>
                <w:szCs w:val="21"/>
                <w:highlight w:val="none"/>
              </w:rPr>
            </w:pPr>
          </w:p>
        </w:tc>
        <w:tc>
          <w:tcPr>
            <w:tcW w:w="1801" w:type="dxa"/>
            <w:noWrap w:val="0"/>
            <w:vAlign w:val="center"/>
          </w:tcPr>
          <w:p w14:paraId="553B0415">
            <w:pPr>
              <w:ind w:right="248"/>
              <w:jc w:val="center"/>
              <w:rPr>
                <w:szCs w:val="21"/>
                <w:highlight w:val="none"/>
              </w:rPr>
            </w:pPr>
          </w:p>
        </w:tc>
        <w:tc>
          <w:tcPr>
            <w:tcW w:w="1440" w:type="dxa"/>
            <w:noWrap w:val="0"/>
            <w:vAlign w:val="center"/>
          </w:tcPr>
          <w:p w14:paraId="42FF5B69">
            <w:pPr>
              <w:ind w:right="248"/>
              <w:jc w:val="center"/>
              <w:rPr>
                <w:szCs w:val="21"/>
                <w:highlight w:val="none"/>
              </w:rPr>
            </w:pPr>
          </w:p>
        </w:tc>
        <w:tc>
          <w:tcPr>
            <w:tcW w:w="1079" w:type="dxa"/>
            <w:noWrap w:val="0"/>
            <w:vAlign w:val="center"/>
          </w:tcPr>
          <w:p w14:paraId="0247B8F0">
            <w:pPr>
              <w:ind w:right="248"/>
              <w:jc w:val="center"/>
              <w:rPr>
                <w:szCs w:val="21"/>
                <w:highlight w:val="none"/>
              </w:rPr>
            </w:pPr>
          </w:p>
        </w:tc>
        <w:tc>
          <w:tcPr>
            <w:tcW w:w="1081" w:type="dxa"/>
            <w:noWrap w:val="0"/>
            <w:vAlign w:val="center"/>
          </w:tcPr>
          <w:p w14:paraId="5874D5A8">
            <w:pPr>
              <w:ind w:right="248"/>
              <w:jc w:val="center"/>
              <w:rPr>
                <w:szCs w:val="21"/>
                <w:highlight w:val="none"/>
              </w:rPr>
            </w:pPr>
          </w:p>
        </w:tc>
        <w:tc>
          <w:tcPr>
            <w:tcW w:w="718" w:type="dxa"/>
            <w:noWrap w:val="0"/>
            <w:vAlign w:val="center"/>
          </w:tcPr>
          <w:p w14:paraId="666715A4">
            <w:pPr>
              <w:ind w:right="248"/>
              <w:jc w:val="center"/>
              <w:rPr>
                <w:szCs w:val="21"/>
                <w:highlight w:val="none"/>
              </w:rPr>
            </w:pPr>
          </w:p>
        </w:tc>
        <w:tc>
          <w:tcPr>
            <w:tcW w:w="1260" w:type="dxa"/>
            <w:noWrap w:val="0"/>
            <w:vAlign w:val="center"/>
          </w:tcPr>
          <w:p w14:paraId="395AE6E8">
            <w:pPr>
              <w:ind w:right="248"/>
              <w:jc w:val="center"/>
              <w:rPr>
                <w:szCs w:val="21"/>
                <w:highlight w:val="none"/>
              </w:rPr>
            </w:pPr>
          </w:p>
        </w:tc>
        <w:tc>
          <w:tcPr>
            <w:tcW w:w="739" w:type="dxa"/>
            <w:noWrap w:val="0"/>
            <w:vAlign w:val="center"/>
          </w:tcPr>
          <w:p w14:paraId="5AF42BED">
            <w:pPr>
              <w:ind w:right="248"/>
              <w:jc w:val="center"/>
              <w:rPr>
                <w:szCs w:val="21"/>
                <w:highlight w:val="none"/>
              </w:rPr>
            </w:pPr>
          </w:p>
        </w:tc>
      </w:tr>
    </w:tbl>
    <w:p w14:paraId="135F2B58">
      <w:pPr>
        <w:spacing w:line="400" w:lineRule="exact"/>
        <w:ind w:firstLine="413"/>
        <w:rPr>
          <w:b/>
          <w:highlight w:val="none"/>
        </w:rPr>
      </w:pPr>
      <w:bookmarkStart w:id="182" w:name="_Toc222029532"/>
      <w:bookmarkStart w:id="183" w:name="_Toc222033883"/>
      <w:bookmarkStart w:id="184" w:name="_Toc222031034"/>
      <w:bookmarkStart w:id="185" w:name="_Toc229305392"/>
      <w:bookmarkStart w:id="186" w:name="_Toc222032701"/>
      <w:bookmarkStart w:id="187" w:name="_Toc221951166"/>
      <w:r>
        <w:rPr>
          <w:b/>
          <w:highlight w:val="none"/>
        </w:rPr>
        <w:t xml:space="preserve">6.  </w:t>
      </w:r>
      <w:r>
        <w:rPr>
          <w:b/>
          <w:szCs w:val="21"/>
          <w:highlight w:val="none"/>
        </w:rPr>
        <w:t>施工设备和临时设施</w:t>
      </w:r>
      <w:bookmarkEnd w:id="182"/>
      <w:bookmarkEnd w:id="183"/>
      <w:bookmarkEnd w:id="184"/>
      <w:bookmarkEnd w:id="185"/>
      <w:bookmarkEnd w:id="186"/>
      <w:bookmarkEnd w:id="187"/>
    </w:p>
    <w:p w14:paraId="7E74A8B2">
      <w:pPr>
        <w:spacing w:line="400" w:lineRule="exact"/>
        <w:ind w:firstLine="411"/>
        <w:rPr>
          <w:szCs w:val="21"/>
          <w:highlight w:val="none"/>
        </w:rPr>
      </w:pPr>
      <w:bookmarkStart w:id="188" w:name="_Toc221951167"/>
      <w:r>
        <w:rPr>
          <w:szCs w:val="21"/>
          <w:highlight w:val="none"/>
        </w:rPr>
        <w:t>6.1.2承包人应在施工图纸规定“发包人提供的施工用地范围”内修建临时设施，临时设施的费用包含在投标报价内，发包人配合承包人办理申请手续，但办理手续的费用由承包人在投标报价中考虑，并由承包人支付。</w:t>
      </w:r>
    </w:p>
    <w:p w14:paraId="4A587A2A">
      <w:pPr>
        <w:spacing w:line="400" w:lineRule="exact"/>
        <w:ind w:firstLine="411"/>
        <w:rPr>
          <w:szCs w:val="21"/>
          <w:highlight w:val="none"/>
        </w:rPr>
      </w:pPr>
      <w:r>
        <w:rPr>
          <w:szCs w:val="21"/>
          <w:highlight w:val="none"/>
        </w:rPr>
        <w:t>6.2发包人不提供任何的施工设备和临时设施。</w:t>
      </w:r>
    </w:p>
    <w:p w14:paraId="2520800B">
      <w:pPr>
        <w:spacing w:line="400" w:lineRule="exact"/>
        <w:ind w:firstLine="413"/>
        <w:rPr>
          <w:b/>
          <w:highlight w:val="none"/>
        </w:rPr>
      </w:pPr>
      <w:r>
        <w:rPr>
          <w:b/>
          <w:highlight w:val="none"/>
        </w:rPr>
        <w:t xml:space="preserve">6.2  </w:t>
      </w:r>
      <w:r>
        <w:rPr>
          <w:b/>
          <w:szCs w:val="21"/>
          <w:highlight w:val="none"/>
        </w:rPr>
        <w:t>发包人提供的施工设备和临时设施</w:t>
      </w:r>
      <w:bookmarkEnd w:id="188"/>
    </w:p>
    <w:p w14:paraId="42925DA5">
      <w:pPr>
        <w:spacing w:line="400" w:lineRule="exact"/>
        <w:ind w:firstLine="411"/>
        <w:rPr>
          <w:szCs w:val="21"/>
          <w:highlight w:val="none"/>
        </w:rPr>
      </w:pPr>
      <w:bookmarkStart w:id="189" w:name="_Toc221951169"/>
      <w:r>
        <w:rPr>
          <w:szCs w:val="21"/>
          <w:highlight w:val="none"/>
        </w:rPr>
        <w:t>（1）发包人提供</w:t>
      </w:r>
      <w:r>
        <w:rPr>
          <w:rFonts w:hint="eastAsia"/>
          <w:szCs w:val="21"/>
          <w:highlight w:val="none"/>
          <w:lang w:eastAsia="zh-CN"/>
        </w:rPr>
        <w:t>的</w:t>
      </w:r>
      <w:r>
        <w:rPr>
          <w:szCs w:val="21"/>
          <w:highlight w:val="none"/>
        </w:rPr>
        <w:t>施工设备见下表</w:t>
      </w:r>
      <w:bookmarkEnd w:id="189"/>
      <w:r>
        <w:rPr>
          <w:szCs w:val="21"/>
          <w:highlight w:val="none"/>
        </w:rPr>
        <w:t>：</w:t>
      </w:r>
    </w:p>
    <w:p w14:paraId="560015F4">
      <w:pPr>
        <w:spacing w:line="400" w:lineRule="exact"/>
        <w:ind w:firstLine="413"/>
        <w:jc w:val="center"/>
        <w:rPr>
          <w:szCs w:val="21"/>
          <w:highlight w:val="none"/>
        </w:rPr>
      </w:pPr>
      <w:bookmarkStart w:id="190" w:name="_Toc221951170"/>
      <w:r>
        <w:rPr>
          <w:b/>
          <w:szCs w:val="21"/>
          <w:highlight w:val="none"/>
        </w:rPr>
        <w:t>发包人提供的施工设备表（</w:t>
      </w:r>
      <w:r>
        <w:rPr>
          <w:szCs w:val="21"/>
          <w:highlight w:val="none"/>
        </w:rPr>
        <w:t>参考格式</w:t>
      </w:r>
      <w:r>
        <w:rPr>
          <w:b/>
          <w:szCs w:val="21"/>
          <w:highlight w:val="none"/>
        </w:rPr>
        <w:t>）</w:t>
      </w:r>
      <w:bookmarkEnd w:id="190"/>
    </w:p>
    <w:tbl>
      <w:tblPr>
        <w:tblStyle w:val="32"/>
        <w:tblW w:w="0" w:type="auto"/>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625"/>
        <w:gridCol w:w="1440"/>
        <w:gridCol w:w="1081"/>
        <w:gridCol w:w="809"/>
        <w:gridCol w:w="1228"/>
        <w:gridCol w:w="1562"/>
        <w:gridCol w:w="558"/>
      </w:tblGrid>
      <w:tr w14:paraId="144BAB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blHeader/>
        </w:trPr>
        <w:tc>
          <w:tcPr>
            <w:tcW w:w="644" w:type="dxa"/>
            <w:noWrap w:val="0"/>
            <w:vAlign w:val="center"/>
          </w:tcPr>
          <w:p w14:paraId="05095436">
            <w:pPr>
              <w:ind w:right="-3"/>
              <w:jc w:val="center"/>
              <w:rPr>
                <w:szCs w:val="21"/>
                <w:highlight w:val="none"/>
              </w:rPr>
            </w:pPr>
            <w:r>
              <w:rPr>
                <w:szCs w:val="21"/>
                <w:highlight w:val="none"/>
              </w:rPr>
              <w:t>序号</w:t>
            </w:r>
          </w:p>
        </w:tc>
        <w:tc>
          <w:tcPr>
            <w:tcW w:w="1625" w:type="dxa"/>
            <w:noWrap w:val="0"/>
            <w:vAlign w:val="center"/>
          </w:tcPr>
          <w:p w14:paraId="528A9A3F">
            <w:pPr>
              <w:ind w:right="-3"/>
              <w:jc w:val="center"/>
              <w:rPr>
                <w:szCs w:val="21"/>
                <w:highlight w:val="none"/>
              </w:rPr>
            </w:pPr>
            <w:bookmarkStart w:id="191" w:name="_Toc221951171"/>
            <w:r>
              <w:rPr>
                <w:szCs w:val="21"/>
                <w:highlight w:val="none"/>
              </w:rPr>
              <w:t>施工设备名称</w:t>
            </w:r>
            <w:bookmarkEnd w:id="191"/>
          </w:p>
        </w:tc>
        <w:tc>
          <w:tcPr>
            <w:tcW w:w="1440" w:type="dxa"/>
            <w:noWrap w:val="0"/>
            <w:vAlign w:val="center"/>
          </w:tcPr>
          <w:p w14:paraId="21F23641">
            <w:pPr>
              <w:jc w:val="center"/>
              <w:rPr>
                <w:szCs w:val="21"/>
                <w:highlight w:val="none"/>
              </w:rPr>
            </w:pPr>
            <w:bookmarkStart w:id="192" w:name="_Toc221951172"/>
            <w:r>
              <w:rPr>
                <w:szCs w:val="21"/>
                <w:highlight w:val="none"/>
              </w:rPr>
              <w:t>型号及规格</w:t>
            </w:r>
            <w:bookmarkEnd w:id="192"/>
          </w:p>
        </w:tc>
        <w:tc>
          <w:tcPr>
            <w:tcW w:w="1081" w:type="dxa"/>
            <w:noWrap w:val="0"/>
            <w:vAlign w:val="center"/>
          </w:tcPr>
          <w:p w14:paraId="4BB47079">
            <w:pPr>
              <w:jc w:val="center"/>
              <w:rPr>
                <w:szCs w:val="21"/>
                <w:highlight w:val="none"/>
              </w:rPr>
            </w:pPr>
            <w:bookmarkStart w:id="193" w:name="_Toc221951173"/>
            <w:r>
              <w:rPr>
                <w:szCs w:val="21"/>
                <w:highlight w:val="none"/>
              </w:rPr>
              <w:t>设备状况</w:t>
            </w:r>
            <w:bookmarkEnd w:id="193"/>
          </w:p>
        </w:tc>
        <w:tc>
          <w:tcPr>
            <w:tcW w:w="809" w:type="dxa"/>
            <w:noWrap w:val="0"/>
            <w:vAlign w:val="center"/>
          </w:tcPr>
          <w:p w14:paraId="6E3DFE61">
            <w:pPr>
              <w:ind w:right="-33"/>
              <w:jc w:val="center"/>
              <w:rPr>
                <w:szCs w:val="21"/>
                <w:highlight w:val="none"/>
              </w:rPr>
            </w:pPr>
            <w:bookmarkStart w:id="194" w:name="_Toc221951174"/>
            <w:r>
              <w:rPr>
                <w:szCs w:val="21"/>
                <w:highlight w:val="none"/>
              </w:rPr>
              <w:t>数量</w:t>
            </w:r>
            <w:bookmarkEnd w:id="194"/>
          </w:p>
        </w:tc>
        <w:tc>
          <w:tcPr>
            <w:tcW w:w="1228" w:type="dxa"/>
            <w:noWrap w:val="0"/>
            <w:vAlign w:val="center"/>
          </w:tcPr>
          <w:p w14:paraId="0FE76946">
            <w:pPr>
              <w:jc w:val="center"/>
              <w:rPr>
                <w:szCs w:val="21"/>
                <w:highlight w:val="none"/>
              </w:rPr>
            </w:pPr>
            <w:bookmarkStart w:id="195" w:name="_Toc221951175"/>
            <w:r>
              <w:rPr>
                <w:szCs w:val="21"/>
                <w:highlight w:val="none"/>
              </w:rPr>
              <w:t>移交地点</w:t>
            </w:r>
            <w:bookmarkEnd w:id="195"/>
          </w:p>
        </w:tc>
        <w:tc>
          <w:tcPr>
            <w:tcW w:w="1562" w:type="dxa"/>
            <w:noWrap w:val="0"/>
            <w:vAlign w:val="center"/>
          </w:tcPr>
          <w:p w14:paraId="623F067E">
            <w:pPr>
              <w:jc w:val="center"/>
              <w:rPr>
                <w:szCs w:val="21"/>
                <w:highlight w:val="none"/>
              </w:rPr>
            </w:pPr>
            <w:r>
              <w:rPr>
                <w:szCs w:val="21"/>
                <w:highlight w:val="none"/>
              </w:rPr>
              <w:t>计划移交日期</w:t>
            </w:r>
          </w:p>
        </w:tc>
        <w:tc>
          <w:tcPr>
            <w:tcW w:w="558" w:type="dxa"/>
            <w:noWrap w:val="0"/>
            <w:vAlign w:val="center"/>
          </w:tcPr>
          <w:p w14:paraId="0894C8FE">
            <w:pPr>
              <w:jc w:val="center"/>
              <w:rPr>
                <w:szCs w:val="21"/>
                <w:highlight w:val="none"/>
              </w:rPr>
            </w:pPr>
            <w:bookmarkStart w:id="196" w:name="_Toc221951176"/>
            <w:r>
              <w:rPr>
                <w:szCs w:val="21"/>
                <w:highlight w:val="none"/>
              </w:rPr>
              <w:t>备注</w:t>
            </w:r>
            <w:bookmarkEnd w:id="196"/>
          </w:p>
        </w:tc>
      </w:tr>
      <w:tr w14:paraId="50C620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44" w:type="dxa"/>
            <w:noWrap w:val="0"/>
            <w:vAlign w:val="center"/>
          </w:tcPr>
          <w:p w14:paraId="588F29C6">
            <w:pPr>
              <w:ind w:right="248"/>
              <w:jc w:val="center"/>
              <w:rPr>
                <w:szCs w:val="21"/>
                <w:highlight w:val="none"/>
              </w:rPr>
            </w:pPr>
          </w:p>
        </w:tc>
        <w:tc>
          <w:tcPr>
            <w:tcW w:w="1625" w:type="dxa"/>
            <w:noWrap w:val="0"/>
            <w:vAlign w:val="center"/>
          </w:tcPr>
          <w:p w14:paraId="709A4470">
            <w:pPr>
              <w:ind w:right="248"/>
              <w:jc w:val="center"/>
              <w:rPr>
                <w:szCs w:val="21"/>
                <w:highlight w:val="none"/>
              </w:rPr>
            </w:pPr>
          </w:p>
        </w:tc>
        <w:tc>
          <w:tcPr>
            <w:tcW w:w="1440" w:type="dxa"/>
            <w:noWrap w:val="0"/>
            <w:vAlign w:val="center"/>
          </w:tcPr>
          <w:p w14:paraId="30EEC767">
            <w:pPr>
              <w:ind w:right="248"/>
              <w:jc w:val="center"/>
              <w:rPr>
                <w:szCs w:val="21"/>
                <w:highlight w:val="none"/>
              </w:rPr>
            </w:pPr>
            <w:r>
              <w:rPr>
                <w:szCs w:val="21"/>
                <w:highlight w:val="none"/>
              </w:rPr>
              <w:t>本次无</w:t>
            </w:r>
          </w:p>
        </w:tc>
        <w:tc>
          <w:tcPr>
            <w:tcW w:w="1081" w:type="dxa"/>
            <w:noWrap w:val="0"/>
            <w:vAlign w:val="center"/>
          </w:tcPr>
          <w:p w14:paraId="095F7421">
            <w:pPr>
              <w:ind w:right="248"/>
              <w:jc w:val="center"/>
              <w:rPr>
                <w:szCs w:val="21"/>
                <w:highlight w:val="none"/>
              </w:rPr>
            </w:pPr>
          </w:p>
        </w:tc>
        <w:tc>
          <w:tcPr>
            <w:tcW w:w="809" w:type="dxa"/>
            <w:noWrap w:val="0"/>
            <w:vAlign w:val="center"/>
          </w:tcPr>
          <w:p w14:paraId="0D87E860">
            <w:pPr>
              <w:ind w:right="248"/>
              <w:jc w:val="center"/>
              <w:rPr>
                <w:szCs w:val="21"/>
                <w:highlight w:val="none"/>
              </w:rPr>
            </w:pPr>
          </w:p>
        </w:tc>
        <w:tc>
          <w:tcPr>
            <w:tcW w:w="1228" w:type="dxa"/>
            <w:noWrap w:val="0"/>
            <w:vAlign w:val="center"/>
          </w:tcPr>
          <w:p w14:paraId="0AEBAFE5">
            <w:pPr>
              <w:ind w:right="248"/>
              <w:jc w:val="center"/>
              <w:rPr>
                <w:szCs w:val="21"/>
                <w:highlight w:val="none"/>
              </w:rPr>
            </w:pPr>
          </w:p>
        </w:tc>
        <w:tc>
          <w:tcPr>
            <w:tcW w:w="1562" w:type="dxa"/>
            <w:noWrap w:val="0"/>
            <w:vAlign w:val="center"/>
          </w:tcPr>
          <w:p w14:paraId="2450BF8A">
            <w:pPr>
              <w:ind w:right="248"/>
              <w:jc w:val="center"/>
              <w:rPr>
                <w:szCs w:val="21"/>
                <w:highlight w:val="none"/>
              </w:rPr>
            </w:pPr>
          </w:p>
        </w:tc>
        <w:tc>
          <w:tcPr>
            <w:tcW w:w="558" w:type="dxa"/>
            <w:noWrap w:val="0"/>
            <w:vAlign w:val="center"/>
          </w:tcPr>
          <w:p w14:paraId="67022606">
            <w:pPr>
              <w:ind w:right="248"/>
              <w:jc w:val="center"/>
              <w:rPr>
                <w:szCs w:val="21"/>
                <w:highlight w:val="none"/>
              </w:rPr>
            </w:pPr>
          </w:p>
        </w:tc>
      </w:tr>
      <w:tr w14:paraId="54ED29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44" w:type="dxa"/>
            <w:noWrap w:val="0"/>
            <w:vAlign w:val="center"/>
          </w:tcPr>
          <w:p w14:paraId="09F50E8D">
            <w:pPr>
              <w:ind w:right="248"/>
              <w:jc w:val="center"/>
              <w:rPr>
                <w:szCs w:val="21"/>
                <w:highlight w:val="none"/>
              </w:rPr>
            </w:pPr>
          </w:p>
        </w:tc>
        <w:tc>
          <w:tcPr>
            <w:tcW w:w="1625" w:type="dxa"/>
            <w:noWrap w:val="0"/>
            <w:vAlign w:val="center"/>
          </w:tcPr>
          <w:p w14:paraId="16A9B191">
            <w:pPr>
              <w:ind w:right="248"/>
              <w:jc w:val="center"/>
              <w:rPr>
                <w:szCs w:val="21"/>
                <w:highlight w:val="none"/>
              </w:rPr>
            </w:pPr>
          </w:p>
        </w:tc>
        <w:tc>
          <w:tcPr>
            <w:tcW w:w="1440" w:type="dxa"/>
            <w:noWrap w:val="0"/>
            <w:vAlign w:val="center"/>
          </w:tcPr>
          <w:p w14:paraId="5AB38645">
            <w:pPr>
              <w:ind w:right="248"/>
              <w:jc w:val="center"/>
              <w:rPr>
                <w:szCs w:val="21"/>
                <w:highlight w:val="none"/>
              </w:rPr>
            </w:pPr>
          </w:p>
        </w:tc>
        <w:tc>
          <w:tcPr>
            <w:tcW w:w="1081" w:type="dxa"/>
            <w:noWrap w:val="0"/>
            <w:vAlign w:val="center"/>
          </w:tcPr>
          <w:p w14:paraId="01DFF697">
            <w:pPr>
              <w:ind w:right="248"/>
              <w:jc w:val="center"/>
              <w:rPr>
                <w:szCs w:val="21"/>
                <w:highlight w:val="none"/>
              </w:rPr>
            </w:pPr>
          </w:p>
        </w:tc>
        <w:tc>
          <w:tcPr>
            <w:tcW w:w="809" w:type="dxa"/>
            <w:noWrap w:val="0"/>
            <w:vAlign w:val="center"/>
          </w:tcPr>
          <w:p w14:paraId="0DFE61AC">
            <w:pPr>
              <w:ind w:right="248"/>
              <w:jc w:val="center"/>
              <w:rPr>
                <w:szCs w:val="21"/>
                <w:highlight w:val="none"/>
              </w:rPr>
            </w:pPr>
          </w:p>
        </w:tc>
        <w:tc>
          <w:tcPr>
            <w:tcW w:w="1228" w:type="dxa"/>
            <w:noWrap w:val="0"/>
            <w:vAlign w:val="center"/>
          </w:tcPr>
          <w:p w14:paraId="6B802919">
            <w:pPr>
              <w:ind w:right="248"/>
              <w:jc w:val="center"/>
              <w:rPr>
                <w:szCs w:val="21"/>
                <w:highlight w:val="none"/>
              </w:rPr>
            </w:pPr>
          </w:p>
        </w:tc>
        <w:tc>
          <w:tcPr>
            <w:tcW w:w="1562" w:type="dxa"/>
            <w:noWrap w:val="0"/>
            <w:vAlign w:val="center"/>
          </w:tcPr>
          <w:p w14:paraId="3283B9F4">
            <w:pPr>
              <w:ind w:right="248"/>
              <w:jc w:val="center"/>
              <w:rPr>
                <w:szCs w:val="21"/>
                <w:highlight w:val="none"/>
              </w:rPr>
            </w:pPr>
          </w:p>
        </w:tc>
        <w:tc>
          <w:tcPr>
            <w:tcW w:w="558" w:type="dxa"/>
            <w:noWrap w:val="0"/>
            <w:vAlign w:val="center"/>
          </w:tcPr>
          <w:p w14:paraId="68B7C3D8">
            <w:pPr>
              <w:ind w:right="248"/>
              <w:jc w:val="center"/>
              <w:rPr>
                <w:szCs w:val="21"/>
                <w:highlight w:val="none"/>
              </w:rPr>
            </w:pPr>
          </w:p>
        </w:tc>
      </w:tr>
      <w:tr w14:paraId="1E7DDE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44" w:type="dxa"/>
            <w:noWrap w:val="0"/>
            <w:vAlign w:val="center"/>
          </w:tcPr>
          <w:p w14:paraId="466CA907">
            <w:pPr>
              <w:ind w:right="248"/>
              <w:jc w:val="center"/>
              <w:rPr>
                <w:szCs w:val="21"/>
                <w:highlight w:val="none"/>
              </w:rPr>
            </w:pPr>
          </w:p>
        </w:tc>
        <w:tc>
          <w:tcPr>
            <w:tcW w:w="1625" w:type="dxa"/>
            <w:noWrap w:val="0"/>
            <w:vAlign w:val="center"/>
          </w:tcPr>
          <w:p w14:paraId="0165EDB4">
            <w:pPr>
              <w:ind w:right="248"/>
              <w:jc w:val="center"/>
              <w:rPr>
                <w:szCs w:val="21"/>
                <w:highlight w:val="none"/>
              </w:rPr>
            </w:pPr>
          </w:p>
        </w:tc>
        <w:tc>
          <w:tcPr>
            <w:tcW w:w="1440" w:type="dxa"/>
            <w:noWrap w:val="0"/>
            <w:vAlign w:val="center"/>
          </w:tcPr>
          <w:p w14:paraId="2686B0D9">
            <w:pPr>
              <w:ind w:right="248"/>
              <w:jc w:val="center"/>
              <w:rPr>
                <w:szCs w:val="21"/>
                <w:highlight w:val="none"/>
              </w:rPr>
            </w:pPr>
          </w:p>
        </w:tc>
        <w:tc>
          <w:tcPr>
            <w:tcW w:w="1081" w:type="dxa"/>
            <w:noWrap w:val="0"/>
            <w:vAlign w:val="center"/>
          </w:tcPr>
          <w:p w14:paraId="169E541D">
            <w:pPr>
              <w:ind w:right="248"/>
              <w:jc w:val="center"/>
              <w:rPr>
                <w:szCs w:val="21"/>
                <w:highlight w:val="none"/>
              </w:rPr>
            </w:pPr>
          </w:p>
        </w:tc>
        <w:tc>
          <w:tcPr>
            <w:tcW w:w="809" w:type="dxa"/>
            <w:noWrap w:val="0"/>
            <w:vAlign w:val="center"/>
          </w:tcPr>
          <w:p w14:paraId="6E340784">
            <w:pPr>
              <w:ind w:right="248"/>
              <w:jc w:val="center"/>
              <w:rPr>
                <w:szCs w:val="21"/>
                <w:highlight w:val="none"/>
              </w:rPr>
            </w:pPr>
          </w:p>
        </w:tc>
        <w:tc>
          <w:tcPr>
            <w:tcW w:w="1228" w:type="dxa"/>
            <w:noWrap w:val="0"/>
            <w:vAlign w:val="center"/>
          </w:tcPr>
          <w:p w14:paraId="7C29FC7D">
            <w:pPr>
              <w:ind w:right="248"/>
              <w:jc w:val="center"/>
              <w:rPr>
                <w:szCs w:val="21"/>
                <w:highlight w:val="none"/>
              </w:rPr>
            </w:pPr>
          </w:p>
        </w:tc>
        <w:tc>
          <w:tcPr>
            <w:tcW w:w="1562" w:type="dxa"/>
            <w:noWrap w:val="0"/>
            <w:vAlign w:val="center"/>
          </w:tcPr>
          <w:p w14:paraId="12E49A5E">
            <w:pPr>
              <w:ind w:right="248"/>
              <w:jc w:val="center"/>
              <w:rPr>
                <w:szCs w:val="21"/>
                <w:highlight w:val="none"/>
              </w:rPr>
            </w:pPr>
          </w:p>
        </w:tc>
        <w:tc>
          <w:tcPr>
            <w:tcW w:w="558" w:type="dxa"/>
            <w:noWrap w:val="0"/>
            <w:vAlign w:val="center"/>
          </w:tcPr>
          <w:p w14:paraId="45FE2938">
            <w:pPr>
              <w:ind w:right="248"/>
              <w:jc w:val="center"/>
              <w:rPr>
                <w:szCs w:val="21"/>
                <w:highlight w:val="none"/>
              </w:rPr>
            </w:pPr>
          </w:p>
        </w:tc>
      </w:tr>
    </w:tbl>
    <w:p w14:paraId="05C5AFBF">
      <w:pPr>
        <w:spacing w:line="400" w:lineRule="exact"/>
        <w:ind w:firstLine="411"/>
        <w:rPr>
          <w:szCs w:val="21"/>
          <w:highlight w:val="none"/>
        </w:rPr>
      </w:pPr>
      <w:bookmarkStart w:id="197" w:name="_Toc221951177"/>
      <w:r>
        <w:rPr>
          <w:szCs w:val="21"/>
          <w:highlight w:val="none"/>
        </w:rPr>
        <w:t>注：设备状况栏内填写该设备的新旧程度、购进时间、已使用小时数和最近一次的大修时间。</w:t>
      </w:r>
      <w:bookmarkEnd w:id="197"/>
    </w:p>
    <w:p w14:paraId="199A234A">
      <w:pPr>
        <w:spacing w:line="400" w:lineRule="exact"/>
        <w:ind w:firstLine="411"/>
        <w:rPr>
          <w:b/>
          <w:szCs w:val="21"/>
          <w:highlight w:val="none"/>
        </w:rPr>
      </w:pPr>
      <w:r>
        <w:rPr>
          <w:szCs w:val="21"/>
          <w:highlight w:val="none"/>
        </w:rPr>
        <w:t>（2）发包人提供的临时设施：</w:t>
      </w:r>
      <w:r>
        <w:rPr>
          <w:szCs w:val="21"/>
          <w:highlight w:val="none"/>
          <w:u w:val="single"/>
        </w:rPr>
        <w:t xml:space="preserve">    /   </w:t>
      </w:r>
      <w:r>
        <w:rPr>
          <w:szCs w:val="21"/>
          <w:highlight w:val="none"/>
        </w:rPr>
        <w:t>。</w:t>
      </w:r>
    </w:p>
    <w:p w14:paraId="24450621">
      <w:pPr>
        <w:spacing w:line="400" w:lineRule="exact"/>
        <w:ind w:firstLine="413"/>
        <w:rPr>
          <w:b/>
          <w:szCs w:val="21"/>
          <w:highlight w:val="none"/>
        </w:rPr>
      </w:pPr>
      <w:r>
        <w:rPr>
          <w:b/>
          <w:highlight w:val="none"/>
        </w:rPr>
        <w:t xml:space="preserve">7.  </w:t>
      </w:r>
      <w:r>
        <w:rPr>
          <w:b/>
          <w:szCs w:val="21"/>
          <w:highlight w:val="none"/>
        </w:rPr>
        <w:t>交通运输</w:t>
      </w:r>
    </w:p>
    <w:p w14:paraId="2E227A89">
      <w:pPr>
        <w:spacing w:line="400" w:lineRule="exact"/>
        <w:ind w:firstLine="411"/>
        <w:rPr>
          <w:highlight w:val="none"/>
        </w:rPr>
      </w:pPr>
      <w:r>
        <w:rPr>
          <w:szCs w:val="21"/>
          <w:highlight w:val="none"/>
        </w:rPr>
        <w:t>道路通行权和场外设施的约定：</w:t>
      </w:r>
      <w:r>
        <w:rPr>
          <w:szCs w:val="21"/>
          <w:highlight w:val="none"/>
          <w:u w:val="single"/>
        </w:rPr>
        <w:t xml:space="preserve">  承包人应自行查勘，并服从相关管理部门和单位的管理规定  </w:t>
      </w:r>
      <w:r>
        <w:rPr>
          <w:szCs w:val="21"/>
          <w:highlight w:val="none"/>
        </w:rPr>
        <w:t>。</w:t>
      </w:r>
    </w:p>
    <w:p w14:paraId="5C584227">
      <w:pPr>
        <w:spacing w:line="400" w:lineRule="exact"/>
        <w:ind w:firstLine="413"/>
        <w:rPr>
          <w:b/>
          <w:highlight w:val="none"/>
        </w:rPr>
      </w:pPr>
      <w:r>
        <w:rPr>
          <w:b/>
          <w:highlight w:val="none"/>
        </w:rPr>
        <w:t xml:space="preserve">8.  </w:t>
      </w:r>
      <w:r>
        <w:rPr>
          <w:b/>
          <w:szCs w:val="21"/>
          <w:highlight w:val="none"/>
        </w:rPr>
        <w:t>测量放线</w:t>
      </w:r>
    </w:p>
    <w:p w14:paraId="053C108B">
      <w:pPr>
        <w:spacing w:line="400" w:lineRule="exact"/>
        <w:ind w:firstLine="413"/>
        <w:rPr>
          <w:b/>
          <w:highlight w:val="none"/>
        </w:rPr>
      </w:pPr>
      <w:r>
        <w:rPr>
          <w:b/>
          <w:highlight w:val="none"/>
        </w:rPr>
        <w:t>8.1</w:t>
      </w:r>
      <w:r>
        <w:rPr>
          <w:b/>
          <w:szCs w:val="21"/>
          <w:highlight w:val="none"/>
        </w:rPr>
        <w:t>施工控制网</w:t>
      </w:r>
    </w:p>
    <w:p w14:paraId="7C146172">
      <w:pPr>
        <w:spacing w:line="400" w:lineRule="exact"/>
        <w:ind w:firstLine="411"/>
        <w:rPr>
          <w:szCs w:val="21"/>
          <w:highlight w:val="none"/>
          <w:u w:val="single"/>
        </w:rPr>
      </w:pPr>
      <w:r>
        <w:rPr>
          <w:szCs w:val="21"/>
          <w:highlight w:val="none"/>
        </w:rPr>
        <w:t>8.1.1 施工控制网的约定：</w:t>
      </w:r>
      <w:r>
        <w:rPr>
          <w:szCs w:val="21"/>
          <w:highlight w:val="none"/>
          <w:u w:val="single"/>
        </w:rPr>
        <w:t>施工控制网由承包人负责测设，发包人应在本合同协议书签订后的7天内，向承包人提供测量基准点、基准线和水准点及其相关资料。承包人应在收到上述资料后的7天内，将施测的施工控制网资料提交监理人审批。监理人应在收到报批件后的7天内批复承包人。</w:t>
      </w:r>
    </w:p>
    <w:p w14:paraId="6D8D22A4">
      <w:pPr>
        <w:spacing w:line="400" w:lineRule="exact"/>
        <w:ind w:firstLine="413"/>
        <w:rPr>
          <w:b/>
          <w:highlight w:val="none"/>
        </w:rPr>
      </w:pPr>
      <w:r>
        <w:rPr>
          <w:b/>
          <w:highlight w:val="none"/>
        </w:rPr>
        <w:t xml:space="preserve">9.  </w:t>
      </w:r>
      <w:r>
        <w:rPr>
          <w:b/>
          <w:szCs w:val="21"/>
          <w:highlight w:val="none"/>
        </w:rPr>
        <w:t>施工安全</w:t>
      </w:r>
      <w:r>
        <w:rPr>
          <w:b/>
          <w:highlight w:val="none"/>
        </w:rPr>
        <w:t>、治安保卫和环境保护</w:t>
      </w:r>
    </w:p>
    <w:p w14:paraId="5037F2C6">
      <w:pPr>
        <w:spacing w:line="400" w:lineRule="exact"/>
        <w:ind w:firstLine="413"/>
        <w:rPr>
          <w:b/>
          <w:highlight w:val="none"/>
        </w:rPr>
      </w:pPr>
      <w:r>
        <w:rPr>
          <w:b/>
          <w:highlight w:val="none"/>
        </w:rPr>
        <w:t>9.1发包人的施工安全责任</w:t>
      </w:r>
    </w:p>
    <w:p w14:paraId="62F5991E">
      <w:pPr>
        <w:spacing w:line="400" w:lineRule="exact"/>
        <w:ind w:firstLine="411"/>
        <w:rPr>
          <w:szCs w:val="21"/>
          <w:highlight w:val="none"/>
        </w:rPr>
      </w:pPr>
      <w:r>
        <w:rPr>
          <w:szCs w:val="21"/>
          <w:highlight w:val="none"/>
        </w:rPr>
        <w:t>9.1.4发包人提供</w:t>
      </w:r>
      <w:r>
        <w:rPr>
          <w:szCs w:val="21"/>
          <w:highlight w:val="none"/>
          <w:u w:val="single"/>
        </w:rPr>
        <w:t xml:space="preserve">   /  </w:t>
      </w:r>
      <w:r>
        <w:rPr>
          <w:szCs w:val="21"/>
          <w:highlight w:val="none"/>
        </w:rPr>
        <w:t>资料，其余资料由承包人负责收集。</w:t>
      </w:r>
    </w:p>
    <w:p w14:paraId="60227652">
      <w:pPr>
        <w:spacing w:line="400" w:lineRule="exact"/>
        <w:ind w:firstLine="413"/>
        <w:rPr>
          <w:b/>
          <w:highlight w:val="none"/>
        </w:rPr>
      </w:pPr>
      <w:r>
        <w:rPr>
          <w:b/>
          <w:highlight w:val="none"/>
        </w:rPr>
        <w:t>9.2承包人的施工安全责任</w:t>
      </w:r>
    </w:p>
    <w:p w14:paraId="49193A18">
      <w:pPr>
        <w:spacing w:line="400" w:lineRule="exact"/>
        <w:ind w:firstLine="411"/>
        <w:rPr>
          <w:highlight w:val="none"/>
        </w:rPr>
      </w:pPr>
      <w:r>
        <w:rPr>
          <w:highlight w:val="none"/>
        </w:rPr>
        <w:t>9.2.1承包人应在开工后21天内，按合同约定的安全生产内容目标，编制施工安全措施计划报送监理人审批。为加强安全管理，发包人将根据工程实际，组织一个由发包人、监理人和承包人共同参与的安全生产组织机构，监督和协调工地的施工安全，承包人应予以配合。</w:t>
      </w:r>
    </w:p>
    <w:p w14:paraId="21A0DDE6">
      <w:pPr>
        <w:spacing w:line="400" w:lineRule="exact"/>
        <w:ind w:firstLine="411"/>
        <w:rPr>
          <w:highlight w:val="none"/>
        </w:rPr>
      </w:pPr>
      <w:r>
        <w:rPr>
          <w:highlight w:val="none"/>
        </w:rPr>
        <w:t>9.3.1承包人进驻现场后，应与当地公安部门联系协商，在现场联合建立治安管理机构（或联防组织），或项目经理部成立警卫室，统一管理施工场地的治安保卫事项，履行合同工程的治安保卫职责。由此发生的费用由承包人负责。</w:t>
      </w:r>
    </w:p>
    <w:p w14:paraId="24CCBD03">
      <w:pPr>
        <w:spacing w:line="400" w:lineRule="exact"/>
        <w:ind w:firstLine="411"/>
        <w:rPr>
          <w:highlight w:val="none"/>
        </w:rPr>
      </w:pPr>
      <w:r>
        <w:rPr>
          <w:highlight w:val="none"/>
        </w:rPr>
        <w:t>9.3.3承包人应在工程开工后14天内，编制施工场地治安管理计划，并制定应对突发治安事件的紧急预案报监理人和发包人。</w:t>
      </w:r>
    </w:p>
    <w:p w14:paraId="5D4D1EF2">
      <w:pPr>
        <w:spacing w:line="400" w:lineRule="exact"/>
        <w:ind w:firstLine="411"/>
        <w:rPr>
          <w:highlight w:val="none"/>
        </w:rPr>
      </w:pPr>
      <w:r>
        <w:rPr>
          <w:highlight w:val="none"/>
        </w:rPr>
        <w:t>9.4.1 本款具体内容详见《技术标准和要求》一般规定。</w:t>
      </w:r>
    </w:p>
    <w:p w14:paraId="6F5650D0">
      <w:pPr>
        <w:spacing w:line="400" w:lineRule="exact"/>
        <w:ind w:firstLine="411"/>
        <w:rPr>
          <w:highlight w:val="none"/>
        </w:rPr>
      </w:pPr>
      <w:r>
        <w:rPr>
          <w:highlight w:val="none"/>
        </w:rPr>
        <w:t>9.4.2 承包人应建立健全环境保护管理体系，污染物处理及排放符合国家及地方环境保护标准，技术及管理措施到位，施工区须经常撒水，减少粉尘污染，生活区生活垃圾及时处理，施工机械油污处理得当。</w:t>
      </w:r>
    </w:p>
    <w:p w14:paraId="359C9B3C">
      <w:pPr>
        <w:spacing w:line="400" w:lineRule="exact"/>
        <w:ind w:firstLine="413"/>
        <w:rPr>
          <w:b/>
          <w:highlight w:val="none"/>
        </w:rPr>
      </w:pPr>
      <w:r>
        <w:rPr>
          <w:b/>
          <w:highlight w:val="none"/>
        </w:rPr>
        <w:t>9.7</w:t>
      </w:r>
      <w:r>
        <w:rPr>
          <w:b/>
          <w:szCs w:val="21"/>
          <w:highlight w:val="none"/>
        </w:rPr>
        <w:t>文明工地</w:t>
      </w:r>
    </w:p>
    <w:p w14:paraId="39DFD2D5">
      <w:pPr>
        <w:spacing w:line="360" w:lineRule="auto"/>
        <w:ind w:firstLine="420"/>
        <w:rPr>
          <w:rFonts w:hint="eastAsia" w:ascii="华文楷体" w:hAnsi="华文楷体"/>
          <w:b/>
          <w:sz w:val="28"/>
          <w:szCs w:val="28"/>
          <w:highlight w:val="none"/>
        </w:rPr>
      </w:pPr>
      <w:r>
        <w:rPr>
          <w:szCs w:val="21"/>
          <w:highlight w:val="none"/>
        </w:rPr>
        <w:t>9.7.1</w:t>
      </w:r>
      <w:r>
        <w:rPr>
          <w:b/>
          <w:szCs w:val="21"/>
          <w:highlight w:val="none"/>
        </w:rPr>
        <w:t>本合同文明工地的约定：</w:t>
      </w:r>
      <w:r>
        <w:rPr>
          <w:rFonts w:hint="eastAsia"/>
          <w:b/>
          <w:szCs w:val="21"/>
          <w:highlight w:val="none"/>
        </w:rPr>
        <w:t>/。</w:t>
      </w:r>
    </w:p>
    <w:p w14:paraId="4A18FA16">
      <w:pPr>
        <w:spacing w:line="400" w:lineRule="exact"/>
        <w:ind w:firstLine="413"/>
        <w:rPr>
          <w:b/>
          <w:szCs w:val="21"/>
          <w:highlight w:val="none"/>
        </w:rPr>
      </w:pPr>
      <w:r>
        <w:rPr>
          <w:b/>
          <w:szCs w:val="21"/>
          <w:highlight w:val="none"/>
        </w:rPr>
        <w:t>10.1合同进度计划</w:t>
      </w:r>
    </w:p>
    <w:p w14:paraId="63F91EFD">
      <w:pPr>
        <w:spacing w:line="400" w:lineRule="exact"/>
        <w:ind w:firstLine="411"/>
        <w:rPr>
          <w:szCs w:val="21"/>
          <w:highlight w:val="none"/>
        </w:rPr>
      </w:pPr>
      <w:r>
        <w:rPr>
          <w:szCs w:val="21"/>
          <w:highlight w:val="none"/>
        </w:rPr>
        <w:t>承包人须在开工后7天报送详细施工进度计划和施工方案说明，监理人应在7天内予以批复或提出修改意见，以确定合同进度计划，应配合上级主管部门做好年度计划、月计划、旬计划各类进度报表的编报。</w:t>
      </w:r>
    </w:p>
    <w:p w14:paraId="1DAE499C">
      <w:pPr>
        <w:spacing w:line="400" w:lineRule="exact"/>
        <w:ind w:firstLine="413"/>
        <w:rPr>
          <w:b/>
          <w:highlight w:val="none"/>
        </w:rPr>
      </w:pPr>
      <w:bookmarkStart w:id="198" w:name="_Toc221951188"/>
      <w:bookmarkStart w:id="199" w:name="_Toc222031038"/>
      <w:bookmarkStart w:id="200" w:name="_Toc222033887"/>
      <w:bookmarkStart w:id="201" w:name="_Toc222029536"/>
      <w:bookmarkStart w:id="202" w:name="_Toc222032705"/>
      <w:bookmarkStart w:id="203" w:name="_Toc229305394"/>
      <w:r>
        <w:rPr>
          <w:b/>
          <w:highlight w:val="none"/>
        </w:rPr>
        <w:t xml:space="preserve">11.  </w:t>
      </w:r>
      <w:r>
        <w:rPr>
          <w:b/>
          <w:szCs w:val="21"/>
          <w:highlight w:val="none"/>
        </w:rPr>
        <w:t>开工和竣工</w:t>
      </w:r>
      <w:bookmarkEnd w:id="198"/>
      <w:bookmarkEnd w:id="199"/>
      <w:bookmarkEnd w:id="200"/>
      <w:bookmarkEnd w:id="201"/>
      <w:bookmarkEnd w:id="202"/>
      <w:bookmarkEnd w:id="203"/>
      <w:r>
        <w:rPr>
          <w:b/>
          <w:highlight w:val="none"/>
        </w:rPr>
        <w:t>（完工）</w:t>
      </w:r>
    </w:p>
    <w:p w14:paraId="71A93A22">
      <w:pPr>
        <w:spacing w:line="400" w:lineRule="exact"/>
        <w:ind w:firstLine="413"/>
        <w:rPr>
          <w:b/>
          <w:highlight w:val="none"/>
        </w:rPr>
      </w:pPr>
      <w:bookmarkStart w:id="204" w:name="_Toc221951189"/>
      <w:r>
        <w:rPr>
          <w:b/>
          <w:highlight w:val="none"/>
        </w:rPr>
        <w:t xml:space="preserve">11.4  </w:t>
      </w:r>
      <w:r>
        <w:rPr>
          <w:b/>
          <w:szCs w:val="21"/>
          <w:highlight w:val="none"/>
        </w:rPr>
        <w:t>异常恶劣的气候条件</w:t>
      </w:r>
      <w:bookmarkEnd w:id="204"/>
      <w:r>
        <w:rPr>
          <w:b/>
          <w:highlight w:val="none"/>
        </w:rPr>
        <w:t xml:space="preserve"> </w:t>
      </w:r>
    </w:p>
    <w:p w14:paraId="5F886537">
      <w:pPr>
        <w:spacing w:line="400" w:lineRule="exact"/>
        <w:ind w:firstLine="411"/>
        <w:rPr>
          <w:szCs w:val="21"/>
          <w:highlight w:val="none"/>
        </w:rPr>
      </w:pPr>
      <w:bookmarkStart w:id="205" w:name="_Toc221951191"/>
      <w:r>
        <w:rPr>
          <w:szCs w:val="21"/>
          <w:highlight w:val="none"/>
        </w:rPr>
        <w:t>11.4.3本合同工程界定异常恶劣气候条件的范围为：</w:t>
      </w:r>
      <w:bookmarkEnd w:id="205"/>
    </w:p>
    <w:p w14:paraId="3FEC5075">
      <w:pPr>
        <w:spacing w:line="400" w:lineRule="exact"/>
        <w:ind w:firstLine="411"/>
        <w:rPr>
          <w:szCs w:val="21"/>
          <w:highlight w:val="none"/>
          <w:u w:val="single"/>
        </w:rPr>
      </w:pPr>
      <w:r>
        <w:rPr>
          <w:szCs w:val="21"/>
          <w:highlight w:val="none"/>
          <w:u w:val="single"/>
        </w:rPr>
        <w:t>（1）日降雨量大于 100  mm的雨日超过 3 天；</w:t>
      </w:r>
    </w:p>
    <w:p w14:paraId="49F0AFD0">
      <w:pPr>
        <w:spacing w:line="400" w:lineRule="exact"/>
        <w:ind w:firstLine="411"/>
        <w:rPr>
          <w:szCs w:val="21"/>
          <w:highlight w:val="none"/>
          <w:u w:val="single"/>
        </w:rPr>
      </w:pPr>
      <w:r>
        <w:rPr>
          <w:szCs w:val="21"/>
          <w:highlight w:val="none"/>
          <w:u w:val="single"/>
        </w:rPr>
        <w:t>（2）10级及以上台风经过本工程引起的灾害；</w:t>
      </w:r>
    </w:p>
    <w:p w14:paraId="4E233492">
      <w:pPr>
        <w:spacing w:line="400" w:lineRule="exact"/>
        <w:ind w:firstLine="411"/>
        <w:rPr>
          <w:szCs w:val="21"/>
          <w:highlight w:val="none"/>
          <w:u w:val="single"/>
        </w:rPr>
      </w:pPr>
      <w:r>
        <w:rPr>
          <w:szCs w:val="21"/>
          <w:highlight w:val="none"/>
          <w:u w:val="single"/>
        </w:rPr>
        <w:t>（3）日气温超过   35    ℃的高温大于   10   天；</w:t>
      </w:r>
    </w:p>
    <w:p w14:paraId="2857078B">
      <w:pPr>
        <w:spacing w:line="400" w:lineRule="exact"/>
        <w:ind w:firstLine="411"/>
        <w:rPr>
          <w:szCs w:val="21"/>
          <w:highlight w:val="none"/>
          <w:u w:val="single"/>
        </w:rPr>
      </w:pPr>
      <w:r>
        <w:rPr>
          <w:szCs w:val="21"/>
          <w:highlight w:val="none"/>
          <w:u w:val="single"/>
        </w:rPr>
        <w:t>（4）日气温低于  -8     ℃的严寒大于   10   天；</w:t>
      </w:r>
    </w:p>
    <w:p w14:paraId="7A4B3D88">
      <w:pPr>
        <w:spacing w:line="400" w:lineRule="exact"/>
        <w:ind w:firstLine="411"/>
        <w:rPr>
          <w:szCs w:val="21"/>
          <w:highlight w:val="none"/>
          <w:u w:val="single"/>
        </w:rPr>
      </w:pPr>
      <w:r>
        <w:rPr>
          <w:szCs w:val="21"/>
          <w:highlight w:val="none"/>
          <w:u w:val="single"/>
        </w:rPr>
        <w:t xml:space="preserve">（5）造成工程损坏的冰雹和大雪灾害： </w:t>
      </w:r>
    </w:p>
    <w:p w14:paraId="6F218718">
      <w:pPr>
        <w:spacing w:line="400" w:lineRule="exact"/>
        <w:ind w:firstLine="411"/>
        <w:rPr>
          <w:szCs w:val="21"/>
          <w:highlight w:val="none"/>
          <w:u w:val="single"/>
        </w:rPr>
      </w:pPr>
      <w:r>
        <w:rPr>
          <w:szCs w:val="21"/>
          <w:highlight w:val="none"/>
          <w:u w:val="single"/>
        </w:rPr>
        <w:t>（6）</w:t>
      </w:r>
      <w:r>
        <w:rPr>
          <w:rFonts w:hint="eastAsia"/>
          <w:szCs w:val="21"/>
          <w:highlight w:val="none"/>
          <w:u w:val="single"/>
          <w:lang w:eastAsia="zh-CN"/>
        </w:rPr>
        <w:t>其他</w:t>
      </w:r>
      <w:r>
        <w:rPr>
          <w:szCs w:val="21"/>
          <w:highlight w:val="none"/>
          <w:u w:val="single"/>
        </w:rPr>
        <w:t>异常恶劣气候灾害。</w:t>
      </w:r>
    </w:p>
    <w:p w14:paraId="60796927">
      <w:pPr>
        <w:spacing w:line="400" w:lineRule="exact"/>
        <w:ind w:firstLine="413"/>
        <w:rPr>
          <w:b/>
          <w:highlight w:val="none"/>
        </w:rPr>
      </w:pPr>
      <w:bookmarkStart w:id="206" w:name="_Toc221951198"/>
    </w:p>
    <w:p w14:paraId="127BFCDB">
      <w:pPr>
        <w:spacing w:line="400" w:lineRule="exact"/>
        <w:ind w:firstLine="413"/>
        <w:rPr>
          <w:b/>
          <w:highlight w:val="none"/>
        </w:rPr>
      </w:pPr>
      <w:r>
        <w:rPr>
          <w:b/>
          <w:highlight w:val="none"/>
        </w:rPr>
        <w:t xml:space="preserve">11.5  </w:t>
      </w:r>
      <w:r>
        <w:rPr>
          <w:b/>
          <w:szCs w:val="21"/>
          <w:highlight w:val="none"/>
        </w:rPr>
        <w:t>承包人工期延误</w:t>
      </w:r>
      <w:bookmarkEnd w:id="206"/>
    </w:p>
    <w:p w14:paraId="73A4FB45">
      <w:pPr>
        <w:spacing w:line="400" w:lineRule="exact"/>
        <w:ind w:firstLine="411"/>
        <w:rPr>
          <w:bCs/>
          <w:szCs w:val="21"/>
          <w:highlight w:val="none"/>
        </w:rPr>
      </w:pPr>
      <w:bookmarkStart w:id="207" w:name="_Toc221951200"/>
      <w:r>
        <w:rPr>
          <w:bCs/>
          <w:szCs w:val="21"/>
          <w:highlight w:val="none"/>
        </w:rPr>
        <w:t>（1）</w:t>
      </w:r>
      <w:r>
        <w:rPr>
          <w:szCs w:val="21"/>
          <w:highlight w:val="none"/>
        </w:rPr>
        <w:t>逾期完工违约金表</w:t>
      </w:r>
      <w:r>
        <w:rPr>
          <w:bCs/>
          <w:szCs w:val="21"/>
          <w:highlight w:val="none"/>
        </w:rPr>
        <w:t>（</w:t>
      </w:r>
      <w:r>
        <w:rPr>
          <w:rFonts w:eastAsia="楷体_GB2312"/>
          <w:bCs/>
          <w:szCs w:val="21"/>
          <w:highlight w:val="none"/>
        </w:rPr>
        <w:t>参考格式</w:t>
      </w:r>
      <w:r>
        <w:rPr>
          <w:bCs/>
          <w:szCs w:val="21"/>
          <w:highlight w:val="none"/>
        </w:rPr>
        <w:t>）</w:t>
      </w:r>
      <w:bookmarkEnd w:id="207"/>
    </w:p>
    <w:tbl>
      <w:tblPr>
        <w:tblStyle w:val="32"/>
        <w:tblW w:w="0" w:type="auto"/>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3867"/>
        <w:gridCol w:w="2157"/>
        <w:gridCol w:w="2035"/>
      </w:tblGrid>
      <w:tr w14:paraId="255A26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88" w:type="dxa"/>
            <w:noWrap w:val="0"/>
            <w:vAlign w:val="center"/>
          </w:tcPr>
          <w:p w14:paraId="4AA480D9">
            <w:pPr>
              <w:spacing w:line="360" w:lineRule="auto"/>
              <w:ind w:right="-3"/>
              <w:jc w:val="center"/>
              <w:rPr>
                <w:szCs w:val="21"/>
                <w:highlight w:val="none"/>
              </w:rPr>
            </w:pPr>
            <w:bookmarkStart w:id="208" w:name="_Toc221951201"/>
            <w:r>
              <w:rPr>
                <w:szCs w:val="21"/>
                <w:highlight w:val="none"/>
              </w:rPr>
              <w:t>序号</w:t>
            </w:r>
            <w:bookmarkEnd w:id="208"/>
          </w:p>
        </w:tc>
        <w:tc>
          <w:tcPr>
            <w:tcW w:w="3867" w:type="dxa"/>
            <w:noWrap w:val="0"/>
            <w:vAlign w:val="center"/>
          </w:tcPr>
          <w:p w14:paraId="0FD50622">
            <w:pPr>
              <w:spacing w:line="360" w:lineRule="auto"/>
              <w:ind w:right="3"/>
              <w:jc w:val="center"/>
              <w:rPr>
                <w:szCs w:val="21"/>
                <w:highlight w:val="none"/>
              </w:rPr>
            </w:pPr>
            <w:bookmarkStart w:id="209" w:name="_Toc221951202"/>
            <w:r>
              <w:rPr>
                <w:szCs w:val="21"/>
                <w:highlight w:val="none"/>
              </w:rPr>
              <w:t>项目及其说明</w:t>
            </w:r>
            <w:bookmarkEnd w:id="209"/>
          </w:p>
        </w:tc>
        <w:tc>
          <w:tcPr>
            <w:tcW w:w="2157" w:type="dxa"/>
            <w:noWrap w:val="0"/>
            <w:vAlign w:val="center"/>
          </w:tcPr>
          <w:p w14:paraId="6738DBCE">
            <w:pPr>
              <w:spacing w:line="360" w:lineRule="auto"/>
              <w:ind w:right="9"/>
              <w:jc w:val="center"/>
              <w:rPr>
                <w:szCs w:val="21"/>
                <w:highlight w:val="none"/>
              </w:rPr>
            </w:pPr>
            <w:bookmarkStart w:id="210" w:name="_Toc221951203"/>
            <w:r>
              <w:rPr>
                <w:szCs w:val="21"/>
                <w:highlight w:val="none"/>
              </w:rPr>
              <w:t>要求</w:t>
            </w:r>
            <w:bookmarkEnd w:id="210"/>
            <w:r>
              <w:rPr>
                <w:szCs w:val="21"/>
                <w:highlight w:val="none"/>
              </w:rPr>
              <w:t>完工日期</w:t>
            </w:r>
          </w:p>
        </w:tc>
        <w:tc>
          <w:tcPr>
            <w:tcW w:w="2035" w:type="dxa"/>
            <w:noWrap w:val="0"/>
            <w:vAlign w:val="top"/>
          </w:tcPr>
          <w:p w14:paraId="080F011A">
            <w:pPr>
              <w:spacing w:line="360" w:lineRule="auto"/>
              <w:ind w:right="9"/>
              <w:jc w:val="center"/>
              <w:rPr>
                <w:szCs w:val="21"/>
                <w:highlight w:val="none"/>
              </w:rPr>
            </w:pPr>
            <w:bookmarkStart w:id="211" w:name="_Toc221951204"/>
            <w:r>
              <w:rPr>
                <w:szCs w:val="21"/>
                <w:highlight w:val="none"/>
              </w:rPr>
              <w:t>违约金（元/天）</w:t>
            </w:r>
            <w:bookmarkEnd w:id="211"/>
          </w:p>
        </w:tc>
      </w:tr>
      <w:tr w14:paraId="38A4C2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888" w:type="dxa"/>
            <w:noWrap w:val="0"/>
            <w:vAlign w:val="center"/>
          </w:tcPr>
          <w:p w14:paraId="72A06833">
            <w:pPr>
              <w:pStyle w:val="14"/>
              <w:spacing w:after="0"/>
              <w:ind w:left="0"/>
              <w:jc w:val="center"/>
              <w:rPr>
                <w:highlight w:val="none"/>
              </w:rPr>
            </w:pPr>
            <w:r>
              <w:rPr>
                <w:highlight w:val="none"/>
              </w:rPr>
              <w:t>1</w:t>
            </w:r>
          </w:p>
        </w:tc>
        <w:tc>
          <w:tcPr>
            <w:tcW w:w="3867" w:type="dxa"/>
            <w:noWrap w:val="0"/>
            <w:vAlign w:val="center"/>
          </w:tcPr>
          <w:p w14:paraId="5D9D6384">
            <w:pPr>
              <w:pStyle w:val="14"/>
              <w:spacing w:after="0"/>
              <w:ind w:left="0"/>
              <w:rPr>
                <w:highlight w:val="none"/>
              </w:rPr>
            </w:pPr>
            <w:r>
              <w:rPr>
                <w:highlight w:val="none"/>
              </w:rPr>
              <w:t>投标人进场</w:t>
            </w:r>
          </w:p>
        </w:tc>
        <w:tc>
          <w:tcPr>
            <w:tcW w:w="2157" w:type="dxa"/>
            <w:noWrap w:val="0"/>
            <w:vAlign w:val="center"/>
          </w:tcPr>
          <w:p w14:paraId="1B7D7A8F">
            <w:pPr>
              <w:pStyle w:val="14"/>
              <w:spacing w:after="0"/>
              <w:ind w:left="0"/>
              <w:jc w:val="center"/>
              <w:rPr>
                <w:highlight w:val="none"/>
              </w:rPr>
            </w:pPr>
          </w:p>
        </w:tc>
        <w:tc>
          <w:tcPr>
            <w:tcW w:w="2035" w:type="dxa"/>
            <w:noWrap w:val="0"/>
            <w:vAlign w:val="center"/>
          </w:tcPr>
          <w:p w14:paraId="6E25BF7A">
            <w:pPr>
              <w:pStyle w:val="14"/>
              <w:spacing w:after="0"/>
              <w:ind w:left="0"/>
              <w:jc w:val="center"/>
              <w:rPr>
                <w:highlight w:val="none"/>
              </w:rPr>
            </w:pPr>
          </w:p>
        </w:tc>
      </w:tr>
      <w:tr w14:paraId="2D9749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8" w:type="dxa"/>
            <w:noWrap w:val="0"/>
            <w:vAlign w:val="center"/>
          </w:tcPr>
          <w:p w14:paraId="1EBB9135">
            <w:pPr>
              <w:pStyle w:val="14"/>
              <w:spacing w:after="0"/>
              <w:ind w:left="0"/>
              <w:jc w:val="center"/>
              <w:rPr>
                <w:highlight w:val="none"/>
              </w:rPr>
            </w:pPr>
            <w:r>
              <w:rPr>
                <w:highlight w:val="none"/>
              </w:rPr>
              <w:t>2</w:t>
            </w:r>
          </w:p>
        </w:tc>
        <w:tc>
          <w:tcPr>
            <w:tcW w:w="3867" w:type="dxa"/>
            <w:noWrap w:val="0"/>
            <w:vAlign w:val="center"/>
          </w:tcPr>
          <w:p w14:paraId="1C677FC5">
            <w:pPr>
              <w:pStyle w:val="14"/>
              <w:spacing w:after="0"/>
              <w:ind w:left="0"/>
              <w:rPr>
                <w:highlight w:val="none"/>
              </w:rPr>
            </w:pPr>
            <w:r>
              <w:rPr>
                <w:highlight w:val="none"/>
              </w:rPr>
              <w:t>具备合同工程完工</w:t>
            </w:r>
            <w:r>
              <w:rPr>
                <w:rFonts w:hint="eastAsia"/>
                <w:highlight w:val="none"/>
              </w:rPr>
              <w:t>（交工）</w:t>
            </w:r>
            <w:r>
              <w:rPr>
                <w:highlight w:val="none"/>
              </w:rPr>
              <w:t>验收条件</w:t>
            </w:r>
          </w:p>
        </w:tc>
        <w:tc>
          <w:tcPr>
            <w:tcW w:w="2157" w:type="dxa"/>
            <w:noWrap w:val="0"/>
            <w:vAlign w:val="center"/>
          </w:tcPr>
          <w:p w14:paraId="3587399A">
            <w:pPr>
              <w:pStyle w:val="14"/>
              <w:spacing w:after="0"/>
              <w:ind w:left="0"/>
              <w:jc w:val="left"/>
              <w:rPr>
                <w:rFonts w:hint="eastAsia"/>
                <w:highlight w:val="none"/>
              </w:rPr>
            </w:pPr>
          </w:p>
        </w:tc>
        <w:tc>
          <w:tcPr>
            <w:tcW w:w="2035" w:type="dxa"/>
            <w:noWrap w:val="0"/>
            <w:vAlign w:val="center"/>
          </w:tcPr>
          <w:p w14:paraId="77C756A2">
            <w:pPr>
              <w:pStyle w:val="14"/>
              <w:spacing w:after="0"/>
              <w:ind w:left="0"/>
              <w:jc w:val="center"/>
              <w:rPr>
                <w:highlight w:val="none"/>
              </w:rPr>
            </w:pPr>
          </w:p>
        </w:tc>
      </w:tr>
      <w:tr w14:paraId="4D5905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8" w:type="dxa"/>
            <w:noWrap w:val="0"/>
            <w:vAlign w:val="center"/>
          </w:tcPr>
          <w:p w14:paraId="2B46818B">
            <w:pPr>
              <w:pStyle w:val="14"/>
              <w:spacing w:after="0"/>
              <w:ind w:left="0"/>
              <w:jc w:val="center"/>
              <w:rPr>
                <w:highlight w:val="none"/>
              </w:rPr>
            </w:pPr>
          </w:p>
        </w:tc>
        <w:tc>
          <w:tcPr>
            <w:tcW w:w="3867" w:type="dxa"/>
            <w:noWrap w:val="0"/>
            <w:vAlign w:val="center"/>
          </w:tcPr>
          <w:p w14:paraId="10E78155">
            <w:pPr>
              <w:pStyle w:val="201"/>
              <w:rPr>
                <w:highlight w:val="none"/>
              </w:rPr>
            </w:pPr>
          </w:p>
        </w:tc>
        <w:tc>
          <w:tcPr>
            <w:tcW w:w="2157" w:type="dxa"/>
            <w:noWrap w:val="0"/>
            <w:vAlign w:val="center"/>
          </w:tcPr>
          <w:p w14:paraId="71EFA5CB">
            <w:pPr>
              <w:pStyle w:val="201"/>
              <w:jc w:val="center"/>
              <w:rPr>
                <w:highlight w:val="none"/>
              </w:rPr>
            </w:pPr>
          </w:p>
        </w:tc>
        <w:tc>
          <w:tcPr>
            <w:tcW w:w="2035" w:type="dxa"/>
            <w:noWrap w:val="0"/>
            <w:vAlign w:val="center"/>
          </w:tcPr>
          <w:p w14:paraId="22C802F8">
            <w:pPr>
              <w:pStyle w:val="201"/>
              <w:jc w:val="center"/>
              <w:rPr>
                <w:highlight w:val="none"/>
              </w:rPr>
            </w:pPr>
          </w:p>
        </w:tc>
      </w:tr>
      <w:tr w14:paraId="07215C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88" w:type="dxa"/>
            <w:noWrap w:val="0"/>
            <w:vAlign w:val="center"/>
          </w:tcPr>
          <w:p w14:paraId="2F422E83">
            <w:pPr>
              <w:pStyle w:val="14"/>
              <w:spacing w:after="0"/>
              <w:ind w:left="0"/>
              <w:jc w:val="center"/>
              <w:rPr>
                <w:highlight w:val="none"/>
              </w:rPr>
            </w:pPr>
          </w:p>
        </w:tc>
        <w:tc>
          <w:tcPr>
            <w:tcW w:w="3867" w:type="dxa"/>
            <w:noWrap w:val="0"/>
            <w:vAlign w:val="center"/>
          </w:tcPr>
          <w:p w14:paraId="51EED58B">
            <w:pPr>
              <w:pStyle w:val="201"/>
              <w:rPr>
                <w:highlight w:val="none"/>
              </w:rPr>
            </w:pPr>
          </w:p>
        </w:tc>
        <w:tc>
          <w:tcPr>
            <w:tcW w:w="2157" w:type="dxa"/>
            <w:noWrap w:val="0"/>
            <w:vAlign w:val="center"/>
          </w:tcPr>
          <w:p w14:paraId="728F1A57">
            <w:pPr>
              <w:pStyle w:val="201"/>
              <w:jc w:val="center"/>
              <w:rPr>
                <w:highlight w:val="none"/>
              </w:rPr>
            </w:pPr>
          </w:p>
        </w:tc>
        <w:tc>
          <w:tcPr>
            <w:tcW w:w="2035" w:type="dxa"/>
            <w:noWrap w:val="0"/>
            <w:vAlign w:val="center"/>
          </w:tcPr>
          <w:p w14:paraId="5988CFD0">
            <w:pPr>
              <w:pStyle w:val="201"/>
              <w:jc w:val="center"/>
              <w:rPr>
                <w:highlight w:val="none"/>
              </w:rPr>
            </w:pPr>
          </w:p>
        </w:tc>
      </w:tr>
      <w:tr w14:paraId="0DBB42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88" w:type="dxa"/>
            <w:noWrap w:val="0"/>
            <w:vAlign w:val="center"/>
          </w:tcPr>
          <w:p w14:paraId="2A34C7AB">
            <w:pPr>
              <w:pStyle w:val="14"/>
              <w:spacing w:after="0"/>
              <w:ind w:left="0"/>
              <w:jc w:val="center"/>
              <w:rPr>
                <w:highlight w:val="none"/>
              </w:rPr>
            </w:pPr>
          </w:p>
        </w:tc>
        <w:tc>
          <w:tcPr>
            <w:tcW w:w="3867" w:type="dxa"/>
            <w:noWrap w:val="0"/>
            <w:vAlign w:val="center"/>
          </w:tcPr>
          <w:p w14:paraId="402DC5C8">
            <w:pPr>
              <w:pStyle w:val="201"/>
              <w:rPr>
                <w:highlight w:val="none"/>
              </w:rPr>
            </w:pPr>
          </w:p>
        </w:tc>
        <w:tc>
          <w:tcPr>
            <w:tcW w:w="2157" w:type="dxa"/>
            <w:noWrap w:val="0"/>
            <w:vAlign w:val="center"/>
          </w:tcPr>
          <w:p w14:paraId="4ADF46A1">
            <w:pPr>
              <w:pStyle w:val="201"/>
              <w:jc w:val="center"/>
              <w:rPr>
                <w:highlight w:val="none"/>
              </w:rPr>
            </w:pPr>
          </w:p>
        </w:tc>
        <w:tc>
          <w:tcPr>
            <w:tcW w:w="2035" w:type="dxa"/>
            <w:noWrap w:val="0"/>
            <w:vAlign w:val="center"/>
          </w:tcPr>
          <w:p w14:paraId="04300742">
            <w:pPr>
              <w:pStyle w:val="201"/>
              <w:jc w:val="center"/>
              <w:rPr>
                <w:highlight w:val="none"/>
              </w:rPr>
            </w:pPr>
          </w:p>
        </w:tc>
      </w:tr>
      <w:tr w14:paraId="6ABFAE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88" w:type="dxa"/>
            <w:noWrap w:val="0"/>
            <w:vAlign w:val="center"/>
          </w:tcPr>
          <w:p w14:paraId="7007FEBF">
            <w:pPr>
              <w:ind w:right="248"/>
              <w:jc w:val="center"/>
              <w:rPr>
                <w:szCs w:val="21"/>
                <w:highlight w:val="none"/>
              </w:rPr>
            </w:pPr>
          </w:p>
        </w:tc>
        <w:tc>
          <w:tcPr>
            <w:tcW w:w="3867" w:type="dxa"/>
            <w:noWrap w:val="0"/>
            <w:vAlign w:val="center"/>
          </w:tcPr>
          <w:p w14:paraId="303B3FC9">
            <w:pPr>
              <w:ind w:right="248"/>
              <w:jc w:val="center"/>
              <w:rPr>
                <w:szCs w:val="21"/>
                <w:highlight w:val="none"/>
              </w:rPr>
            </w:pPr>
          </w:p>
        </w:tc>
        <w:tc>
          <w:tcPr>
            <w:tcW w:w="2157" w:type="dxa"/>
            <w:noWrap w:val="0"/>
            <w:vAlign w:val="center"/>
          </w:tcPr>
          <w:p w14:paraId="71D0EBEA">
            <w:pPr>
              <w:ind w:right="248"/>
              <w:jc w:val="center"/>
              <w:rPr>
                <w:szCs w:val="21"/>
                <w:highlight w:val="none"/>
              </w:rPr>
            </w:pPr>
          </w:p>
        </w:tc>
        <w:tc>
          <w:tcPr>
            <w:tcW w:w="2035" w:type="dxa"/>
            <w:noWrap w:val="0"/>
            <w:vAlign w:val="top"/>
          </w:tcPr>
          <w:p w14:paraId="7D561450">
            <w:pPr>
              <w:ind w:right="248"/>
              <w:jc w:val="center"/>
              <w:rPr>
                <w:szCs w:val="21"/>
                <w:highlight w:val="none"/>
              </w:rPr>
            </w:pPr>
          </w:p>
        </w:tc>
      </w:tr>
      <w:tr w14:paraId="11EA4C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88" w:type="dxa"/>
            <w:noWrap w:val="0"/>
            <w:vAlign w:val="center"/>
          </w:tcPr>
          <w:p w14:paraId="1DB74848">
            <w:pPr>
              <w:ind w:right="248"/>
              <w:jc w:val="center"/>
              <w:rPr>
                <w:szCs w:val="21"/>
                <w:highlight w:val="none"/>
              </w:rPr>
            </w:pPr>
          </w:p>
        </w:tc>
        <w:tc>
          <w:tcPr>
            <w:tcW w:w="3867" w:type="dxa"/>
            <w:noWrap w:val="0"/>
            <w:vAlign w:val="center"/>
          </w:tcPr>
          <w:p w14:paraId="73DBD046">
            <w:pPr>
              <w:ind w:right="248"/>
              <w:jc w:val="center"/>
              <w:rPr>
                <w:szCs w:val="21"/>
                <w:highlight w:val="none"/>
              </w:rPr>
            </w:pPr>
          </w:p>
        </w:tc>
        <w:tc>
          <w:tcPr>
            <w:tcW w:w="2157" w:type="dxa"/>
            <w:noWrap w:val="0"/>
            <w:vAlign w:val="center"/>
          </w:tcPr>
          <w:p w14:paraId="3A44FA96">
            <w:pPr>
              <w:ind w:right="248"/>
              <w:jc w:val="center"/>
              <w:rPr>
                <w:szCs w:val="21"/>
                <w:highlight w:val="none"/>
              </w:rPr>
            </w:pPr>
          </w:p>
        </w:tc>
        <w:tc>
          <w:tcPr>
            <w:tcW w:w="2035" w:type="dxa"/>
            <w:noWrap w:val="0"/>
            <w:vAlign w:val="top"/>
          </w:tcPr>
          <w:p w14:paraId="204630BF">
            <w:pPr>
              <w:ind w:right="248"/>
              <w:jc w:val="center"/>
              <w:rPr>
                <w:szCs w:val="21"/>
                <w:highlight w:val="none"/>
              </w:rPr>
            </w:pPr>
          </w:p>
        </w:tc>
      </w:tr>
    </w:tbl>
    <w:p w14:paraId="69800D04">
      <w:pPr>
        <w:spacing w:line="400" w:lineRule="exact"/>
        <w:ind w:firstLine="411"/>
        <w:rPr>
          <w:szCs w:val="21"/>
          <w:highlight w:val="none"/>
        </w:rPr>
      </w:pPr>
      <w:bookmarkStart w:id="212" w:name="_Toc221951205"/>
      <w:r>
        <w:rPr>
          <w:szCs w:val="21"/>
          <w:highlight w:val="none"/>
        </w:rPr>
        <w:t>（2）全部逾期完工违约金的总限额为</w:t>
      </w:r>
      <w:r>
        <w:rPr>
          <w:szCs w:val="21"/>
          <w:highlight w:val="none"/>
          <w:u w:val="single"/>
        </w:rPr>
        <w:t xml:space="preserve">  （不超过签约合同价的</w:t>
      </w:r>
      <w:r>
        <w:rPr>
          <w:rFonts w:hint="eastAsia"/>
          <w:szCs w:val="21"/>
          <w:highlight w:val="none"/>
          <w:u w:val="single"/>
        </w:rPr>
        <w:t>5</w:t>
      </w:r>
      <w:r>
        <w:rPr>
          <w:szCs w:val="21"/>
          <w:highlight w:val="none"/>
          <w:u w:val="single"/>
        </w:rPr>
        <w:t xml:space="preserve"> %） </w:t>
      </w:r>
      <w:r>
        <w:rPr>
          <w:szCs w:val="21"/>
          <w:highlight w:val="none"/>
        </w:rPr>
        <w:t>。</w:t>
      </w:r>
      <w:bookmarkEnd w:id="212"/>
    </w:p>
    <w:p w14:paraId="5300BC80">
      <w:pPr>
        <w:spacing w:line="400" w:lineRule="exact"/>
        <w:ind w:firstLine="413"/>
        <w:rPr>
          <w:b/>
          <w:highlight w:val="none"/>
        </w:rPr>
      </w:pPr>
      <w:r>
        <w:rPr>
          <w:b/>
          <w:highlight w:val="none"/>
        </w:rPr>
        <w:t xml:space="preserve">11.6  </w:t>
      </w:r>
      <w:r>
        <w:rPr>
          <w:b/>
          <w:szCs w:val="21"/>
          <w:highlight w:val="none"/>
        </w:rPr>
        <w:t>工期提前</w:t>
      </w:r>
    </w:p>
    <w:p w14:paraId="1517CCDA">
      <w:pPr>
        <w:spacing w:line="400" w:lineRule="exact"/>
        <w:ind w:firstLine="411"/>
        <w:rPr>
          <w:szCs w:val="21"/>
          <w:highlight w:val="none"/>
        </w:rPr>
      </w:pPr>
      <w:r>
        <w:rPr>
          <w:szCs w:val="21"/>
          <w:highlight w:val="none"/>
        </w:rPr>
        <w:t>工期提前的奖金约定：</w:t>
      </w:r>
      <w:r>
        <w:rPr>
          <w:szCs w:val="21"/>
          <w:highlight w:val="none"/>
          <w:u w:val="single"/>
        </w:rPr>
        <w:t xml:space="preserve">   /  </w:t>
      </w:r>
      <w:r>
        <w:rPr>
          <w:szCs w:val="21"/>
          <w:highlight w:val="none"/>
        </w:rPr>
        <w:t xml:space="preserve"> 。</w:t>
      </w:r>
    </w:p>
    <w:p w14:paraId="1827A53E">
      <w:pPr>
        <w:spacing w:line="400" w:lineRule="exact"/>
        <w:ind w:firstLine="413"/>
        <w:rPr>
          <w:b/>
          <w:highlight w:val="none"/>
        </w:rPr>
      </w:pPr>
      <w:bookmarkStart w:id="213" w:name="_Toc222033888"/>
      <w:bookmarkStart w:id="214" w:name="_Toc222031039"/>
      <w:bookmarkStart w:id="215" w:name="_Toc229305395"/>
      <w:bookmarkStart w:id="216" w:name="_Toc221951206"/>
      <w:bookmarkStart w:id="217" w:name="_Toc222029537"/>
      <w:bookmarkStart w:id="218" w:name="_Toc222032706"/>
      <w:r>
        <w:rPr>
          <w:b/>
          <w:highlight w:val="none"/>
        </w:rPr>
        <w:t xml:space="preserve">12.  </w:t>
      </w:r>
      <w:r>
        <w:rPr>
          <w:b/>
          <w:szCs w:val="21"/>
          <w:highlight w:val="none"/>
        </w:rPr>
        <w:t>暂停施工</w:t>
      </w:r>
      <w:bookmarkEnd w:id="213"/>
      <w:bookmarkEnd w:id="214"/>
      <w:bookmarkEnd w:id="215"/>
      <w:bookmarkEnd w:id="216"/>
      <w:bookmarkEnd w:id="217"/>
      <w:bookmarkEnd w:id="218"/>
    </w:p>
    <w:p w14:paraId="2FEDB5BC">
      <w:pPr>
        <w:spacing w:line="400" w:lineRule="exact"/>
        <w:ind w:firstLine="413"/>
        <w:rPr>
          <w:b/>
          <w:highlight w:val="none"/>
        </w:rPr>
      </w:pPr>
      <w:bookmarkStart w:id="219" w:name="_Toc221951207"/>
      <w:r>
        <w:rPr>
          <w:b/>
          <w:highlight w:val="none"/>
        </w:rPr>
        <w:t xml:space="preserve">12.1  </w:t>
      </w:r>
      <w:r>
        <w:rPr>
          <w:b/>
          <w:szCs w:val="21"/>
          <w:highlight w:val="none"/>
        </w:rPr>
        <w:t>承包人暂停施工的责任</w:t>
      </w:r>
      <w:bookmarkEnd w:id="219"/>
    </w:p>
    <w:p w14:paraId="2442977A">
      <w:pPr>
        <w:spacing w:line="400" w:lineRule="exact"/>
        <w:ind w:firstLine="411"/>
        <w:rPr>
          <w:szCs w:val="21"/>
          <w:highlight w:val="none"/>
        </w:rPr>
      </w:pPr>
      <w:bookmarkStart w:id="220" w:name="_Toc221951209"/>
      <w:r>
        <w:rPr>
          <w:szCs w:val="21"/>
          <w:highlight w:val="none"/>
        </w:rPr>
        <w:t>（5） 承包人承担暂停施工责任的其他情形：</w:t>
      </w:r>
      <w:bookmarkEnd w:id="220"/>
    </w:p>
    <w:p w14:paraId="4ABCBE99">
      <w:pPr>
        <w:spacing w:line="400" w:lineRule="exact"/>
        <w:ind w:firstLine="411"/>
        <w:rPr>
          <w:szCs w:val="21"/>
          <w:highlight w:val="none"/>
        </w:rPr>
      </w:pPr>
      <w:r>
        <w:rPr>
          <w:szCs w:val="21"/>
          <w:highlight w:val="none"/>
        </w:rPr>
        <w:t>1）承包人违约引起的暂停施工；</w:t>
      </w:r>
    </w:p>
    <w:p w14:paraId="2027EBA1">
      <w:pPr>
        <w:spacing w:line="400" w:lineRule="exact"/>
        <w:ind w:firstLine="411"/>
        <w:rPr>
          <w:szCs w:val="21"/>
          <w:highlight w:val="none"/>
        </w:rPr>
      </w:pPr>
      <w:r>
        <w:rPr>
          <w:szCs w:val="21"/>
          <w:highlight w:val="none"/>
        </w:rPr>
        <w:t>2）由于承包人原因为工程合理施工和安全保障所必需的暂停施工；</w:t>
      </w:r>
    </w:p>
    <w:p w14:paraId="008DC563">
      <w:pPr>
        <w:spacing w:line="400" w:lineRule="exact"/>
        <w:ind w:firstLine="411"/>
        <w:rPr>
          <w:szCs w:val="21"/>
          <w:highlight w:val="none"/>
        </w:rPr>
      </w:pPr>
      <w:r>
        <w:rPr>
          <w:szCs w:val="21"/>
          <w:highlight w:val="none"/>
        </w:rPr>
        <w:t>3）承包人擅自暂停施工；</w:t>
      </w:r>
    </w:p>
    <w:p w14:paraId="468F6F68">
      <w:pPr>
        <w:spacing w:line="400" w:lineRule="exact"/>
        <w:ind w:firstLine="411"/>
        <w:rPr>
          <w:szCs w:val="21"/>
          <w:highlight w:val="none"/>
        </w:rPr>
      </w:pPr>
      <w:r>
        <w:rPr>
          <w:szCs w:val="21"/>
          <w:highlight w:val="none"/>
        </w:rPr>
        <w:t>4）承包人其他原因引起的暂停施工；</w:t>
      </w:r>
    </w:p>
    <w:p w14:paraId="5976986D">
      <w:pPr>
        <w:spacing w:line="400" w:lineRule="exact"/>
        <w:ind w:firstLine="411"/>
        <w:rPr>
          <w:szCs w:val="21"/>
          <w:highlight w:val="none"/>
        </w:rPr>
      </w:pPr>
      <w:r>
        <w:rPr>
          <w:szCs w:val="21"/>
          <w:highlight w:val="none"/>
        </w:rPr>
        <w:t>5）承包人承担的其他暂停施工责任：由于现场非异常恶劣气候条件引起的正常停工。</w:t>
      </w:r>
    </w:p>
    <w:p w14:paraId="718FD3D7">
      <w:pPr>
        <w:spacing w:line="400" w:lineRule="exact"/>
        <w:ind w:firstLine="413"/>
        <w:rPr>
          <w:b/>
          <w:highlight w:val="none"/>
        </w:rPr>
      </w:pPr>
      <w:r>
        <w:rPr>
          <w:b/>
          <w:highlight w:val="none"/>
        </w:rPr>
        <w:t xml:space="preserve">12.2  </w:t>
      </w:r>
      <w:r>
        <w:rPr>
          <w:b/>
          <w:szCs w:val="21"/>
          <w:highlight w:val="none"/>
        </w:rPr>
        <w:t>发包人暂停施工的责任</w:t>
      </w:r>
    </w:p>
    <w:p w14:paraId="0F1F0C8B">
      <w:pPr>
        <w:spacing w:line="400" w:lineRule="exact"/>
        <w:ind w:firstLine="411"/>
        <w:rPr>
          <w:highlight w:val="none"/>
        </w:rPr>
      </w:pPr>
      <w:r>
        <w:rPr>
          <w:szCs w:val="21"/>
          <w:highlight w:val="none"/>
        </w:rPr>
        <w:t>（3）发包人承担暂停施工责任的其他情形</w:t>
      </w:r>
      <w:r>
        <w:rPr>
          <w:highlight w:val="none"/>
        </w:rPr>
        <w:t>：</w:t>
      </w:r>
    </w:p>
    <w:p w14:paraId="5779561D">
      <w:pPr>
        <w:spacing w:line="400" w:lineRule="exact"/>
        <w:ind w:firstLine="411"/>
        <w:rPr>
          <w:szCs w:val="21"/>
          <w:highlight w:val="none"/>
        </w:rPr>
      </w:pPr>
      <w:bookmarkStart w:id="221" w:name="_Toc221950894"/>
      <w:r>
        <w:rPr>
          <w:szCs w:val="21"/>
          <w:highlight w:val="none"/>
        </w:rPr>
        <w:t>1）由于发包人违约引起的暂停施工</w:t>
      </w:r>
      <w:bookmarkEnd w:id="221"/>
      <w:r>
        <w:rPr>
          <w:szCs w:val="21"/>
          <w:highlight w:val="none"/>
        </w:rPr>
        <w:t>；</w:t>
      </w:r>
    </w:p>
    <w:p w14:paraId="1D0C3722">
      <w:pPr>
        <w:spacing w:line="360" w:lineRule="auto"/>
        <w:ind w:firstLine="411"/>
        <w:rPr>
          <w:highlight w:val="none"/>
        </w:rPr>
      </w:pPr>
      <w:bookmarkStart w:id="222" w:name="_Toc221950895"/>
      <w:r>
        <w:rPr>
          <w:szCs w:val="21"/>
          <w:highlight w:val="none"/>
        </w:rPr>
        <w:t>2）由于不可抗力的自然或社会因素引起的暂停施工</w:t>
      </w:r>
      <w:bookmarkEnd w:id="222"/>
      <w:bookmarkStart w:id="223" w:name="_Toc221950896"/>
      <w:r>
        <w:rPr>
          <w:highlight w:val="none"/>
        </w:rPr>
        <w:t>。</w:t>
      </w:r>
      <w:bookmarkEnd w:id="223"/>
    </w:p>
    <w:p w14:paraId="6E2CBE98">
      <w:pPr>
        <w:spacing w:line="360" w:lineRule="auto"/>
        <w:ind w:firstLine="413"/>
        <w:rPr>
          <w:b/>
          <w:highlight w:val="none"/>
        </w:rPr>
      </w:pPr>
      <w:bookmarkStart w:id="224" w:name="_Toc229305396"/>
      <w:bookmarkStart w:id="225" w:name="_Toc222033890"/>
      <w:bookmarkStart w:id="226" w:name="_Toc221951213"/>
      <w:bookmarkStart w:id="227" w:name="_Toc222032708"/>
      <w:bookmarkStart w:id="228" w:name="_Toc222031041"/>
      <w:bookmarkStart w:id="229" w:name="_Toc222029539"/>
      <w:r>
        <w:rPr>
          <w:b/>
          <w:highlight w:val="none"/>
        </w:rPr>
        <w:t>13 工程质量</w:t>
      </w:r>
    </w:p>
    <w:p w14:paraId="18712BE0">
      <w:pPr>
        <w:spacing w:line="360" w:lineRule="auto"/>
        <w:ind w:firstLine="413"/>
        <w:rPr>
          <w:b/>
          <w:highlight w:val="none"/>
        </w:rPr>
      </w:pPr>
      <w:r>
        <w:rPr>
          <w:b/>
          <w:highlight w:val="none"/>
        </w:rPr>
        <w:t>13.1工程质量要求</w:t>
      </w:r>
    </w:p>
    <w:p w14:paraId="6DF0628B">
      <w:pPr>
        <w:widowControl/>
        <w:spacing w:line="360" w:lineRule="auto"/>
        <w:ind w:firstLine="420"/>
        <w:jc w:val="left"/>
        <w:rPr>
          <w:rFonts w:hint="eastAsia"/>
          <w:highlight w:val="none"/>
        </w:rPr>
      </w:pPr>
      <w:r>
        <w:rPr>
          <w:highlight w:val="none"/>
        </w:rPr>
        <w:t>13.1.1本工程质量验收执行《水利工程施工质量检验与评定规范》（DB32/T2334-2013）</w:t>
      </w:r>
      <w:r>
        <w:rPr>
          <w:rFonts w:hint="eastAsia" w:ascii="宋体" w:hAnsi="宋体" w:cs="宋体"/>
          <w:color w:val="000000"/>
          <w:szCs w:val="21"/>
          <w:highlight w:val="none"/>
          <w:lang w:bidi="ar"/>
        </w:rPr>
        <w:t xml:space="preserve">。 </w:t>
      </w:r>
    </w:p>
    <w:p w14:paraId="265E7C58">
      <w:pPr>
        <w:spacing w:line="400" w:lineRule="exact"/>
        <w:ind w:firstLine="413"/>
        <w:rPr>
          <w:highlight w:val="none"/>
        </w:rPr>
      </w:pPr>
      <w:r>
        <w:rPr>
          <w:rFonts w:hint="eastAsia"/>
          <w:b/>
          <w:szCs w:val="21"/>
          <w:highlight w:val="none"/>
        </w:rPr>
        <w:t>质量目标：合格。</w:t>
      </w:r>
    </w:p>
    <w:p w14:paraId="7989291C">
      <w:pPr>
        <w:spacing w:line="400" w:lineRule="exact"/>
        <w:ind w:firstLine="413"/>
        <w:rPr>
          <w:b/>
          <w:highlight w:val="none"/>
        </w:rPr>
      </w:pPr>
      <w:r>
        <w:rPr>
          <w:b/>
          <w:highlight w:val="none"/>
        </w:rPr>
        <w:t>13.2承包人的质量管理</w:t>
      </w:r>
    </w:p>
    <w:p w14:paraId="17B2E400">
      <w:pPr>
        <w:spacing w:line="400" w:lineRule="exact"/>
        <w:ind w:firstLine="411"/>
        <w:rPr>
          <w:highlight w:val="none"/>
        </w:rPr>
      </w:pPr>
      <w:r>
        <w:rPr>
          <w:highlight w:val="none"/>
        </w:rPr>
        <w:t>13.2.1 “合同约定的期限内”为14天。</w:t>
      </w:r>
    </w:p>
    <w:p w14:paraId="2B8BB6FE">
      <w:pPr>
        <w:spacing w:line="400" w:lineRule="exact"/>
        <w:ind w:firstLine="413"/>
        <w:rPr>
          <w:b/>
          <w:highlight w:val="none"/>
        </w:rPr>
      </w:pPr>
      <w:r>
        <w:rPr>
          <w:b/>
          <w:highlight w:val="none"/>
        </w:rPr>
        <w:t>13.5工程隐蔽部位覆盖前的检查</w:t>
      </w:r>
    </w:p>
    <w:p w14:paraId="5193A09D">
      <w:pPr>
        <w:spacing w:line="400" w:lineRule="exact"/>
        <w:ind w:firstLine="411"/>
        <w:rPr>
          <w:highlight w:val="none"/>
        </w:rPr>
      </w:pPr>
      <w:r>
        <w:rPr>
          <w:highlight w:val="none"/>
        </w:rPr>
        <w:t>13.5.1通知监理人检查</w:t>
      </w:r>
    </w:p>
    <w:p w14:paraId="4BF8CFD1">
      <w:pPr>
        <w:spacing w:line="400" w:lineRule="exact"/>
        <w:ind w:firstLine="411"/>
        <w:rPr>
          <w:highlight w:val="none"/>
        </w:rPr>
      </w:pPr>
      <w:r>
        <w:rPr>
          <w:highlight w:val="none"/>
        </w:rPr>
        <w:t>“约定的期限内”为24小时。</w:t>
      </w:r>
    </w:p>
    <w:p w14:paraId="5CEBE8F3">
      <w:pPr>
        <w:spacing w:line="400" w:lineRule="exact"/>
        <w:ind w:firstLine="413"/>
        <w:rPr>
          <w:b/>
          <w:highlight w:val="none"/>
        </w:rPr>
      </w:pPr>
      <w:r>
        <w:rPr>
          <w:b/>
          <w:highlight w:val="none"/>
        </w:rPr>
        <w:t>13.7质量评定</w:t>
      </w:r>
    </w:p>
    <w:p w14:paraId="595448EE">
      <w:pPr>
        <w:spacing w:line="400" w:lineRule="exact"/>
        <w:ind w:firstLine="411"/>
        <w:rPr>
          <w:highlight w:val="none"/>
        </w:rPr>
      </w:pPr>
      <w:r>
        <w:rPr>
          <w:highlight w:val="none"/>
        </w:rPr>
        <w:t>工程质量评定程序按江苏省《水利工程质量监督规程》有关规定执行。</w:t>
      </w:r>
    </w:p>
    <w:p w14:paraId="6E69B831">
      <w:pPr>
        <w:spacing w:line="400" w:lineRule="exact"/>
        <w:ind w:firstLine="411"/>
        <w:rPr>
          <w:b/>
          <w:highlight w:val="none"/>
        </w:rPr>
      </w:pPr>
      <w:r>
        <w:rPr>
          <w:highlight w:val="none"/>
        </w:rPr>
        <w:t>13.7.7 工程质量等级：</w:t>
      </w:r>
      <w:r>
        <w:rPr>
          <w:rFonts w:hint="eastAsia"/>
          <w:b/>
          <w:highlight w:val="none"/>
          <w:u w:val="single"/>
        </w:rPr>
        <w:t>合格及以上</w:t>
      </w:r>
      <w:r>
        <w:rPr>
          <w:highlight w:val="none"/>
        </w:rPr>
        <w:t>。</w:t>
      </w:r>
    </w:p>
    <w:p w14:paraId="1BD1DF96">
      <w:pPr>
        <w:spacing w:line="400" w:lineRule="exact"/>
        <w:ind w:firstLine="411"/>
        <w:rPr>
          <w:b/>
          <w:highlight w:val="none"/>
        </w:rPr>
      </w:pPr>
      <w:r>
        <w:rPr>
          <w:highlight w:val="none"/>
        </w:rPr>
        <w:t>13.8.4 工程竣工验收时，</w:t>
      </w:r>
      <w:r>
        <w:rPr>
          <w:highlight w:val="none"/>
          <w:u w:val="single"/>
        </w:rPr>
        <w:t xml:space="preserve"> </w:t>
      </w:r>
      <w:r>
        <w:rPr>
          <w:rFonts w:hint="eastAsia"/>
          <w:highlight w:val="none"/>
          <w:u w:val="single"/>
        </w:rPr>
        <w:t>承包人</w:t>
      </w:r>
      <w:r>
        <w:rPr>
          <w:highlight w:val="none"/>
          <w:u w:val="single"/>
        </w:rPr>
        <w:t xml:space="preserve"> </w:t>
      </w:r>
      <w:r>
        <w:rPr>
          <w:highlight w:val="none"/>
        </w:rPr>
        <w:t>向竣工验收委员会汇报并提交历次质量缺陷处理的备案资料。</w:t>
      </w:r>
    </w:p>
    <w:p w14:paraId="6F4874A5">
      <w:pPr>
        <w:spacing w:line="400" w:lineRule="exact"/>
        <w:ind w:firstLine="413"/>
        <w:rPr>
          <w:b/>
          <w:highlight w:val="none"/>
        </w:rPr>
      </w:pPr>
      <w:r>
        <w:rPr>
          <w:b/>
          <w:highlight w:val="none"/>
        </w:rPr>
        <w:t>14 试验和检验</w:t>
      </w:r>
    </w:p>
    <w:p w14:paraId="76D84AB9">
      <w:pPr>
        <w:spacing w:line="400" w:lineRule="exact"/>
        <w:ind w:firstLine="413"/>
        <w:rPr>
          <w:b/>
          <w:highlight w:val="none"/>
        </w:rPr>
      </w:pPr>
      <w:r>
        <w:rPr>
          <w:b/>
          <w:highlight w:val="none"/>
        </w:rPr>
        <w:t>14.1 材料、工程设备和工程试验和检验</w:t>
      </w:r>
    </w:p>
    <w:p w14:paraId="2B9DFD09">
      <w:pPr>
        <w:spacing w:line="400" w:lineRule="exact"/>
        <w:ind w:firstLine="411"/>
        <w:rPr>
          <w:highlight w:val="none"/>
        </w:rPr>
      </w:pPr>
      <w:r>
        <w:rPr>
          <w:highlight w:val="none"/>
        </w:rPr>
        <w:t>14.1.5发包人提供的设备到场后由监理和承包人共同检查验收，验收合格由承包人负责接收和管护工作。</w:t>
      </w:r>
    </w:p>
    <w:p w14:paraId="5D089FFD">
      <w:pPr>
        <w:spacing w:line="360" w:lineRule="auto"/>
        <w:ind w:firstLine="411"/>
        <w:rPr>
          <w:highlight w:val="none"/>
        </w:rPr>
      </w:pPr>
      <w:r>
        <w:rPr>
          <w:highlight w:val="none"/>
        </w:rPr>
        <w:t>14.1.6 本工程实行见证取样的试块、试件及有关材料：全部试块、试件及材料。</w:t>
      </w:r>
    </w:p>
    <w:p w14:paraId="7B435602">
      <w:pPr>
        <w:widowControl/>
        <w:spacing w:line="360" w:lineRule="auto"/>
        <w:ind w:firstLine="422"/>
        <w:jc w:val="left"/>
        <w:rPr>
          <w:rFonts w:hint="eastAsia" w:ascii="宋体" w:hAnsi="宋体" w:cs="宋体"/>
          <w:highlight w:val="none"/>
        </w:rPr>
      </w:pPr>
      <w:r>
        <w:rPr>
          <w:rFonts w:hint="eastAsia"/>
          <w:b/>
          <w:bCs/>
          <w:highlight w:val="none"/>
        </w:rPr>
        <w:t xml:space="preserve">14.1.7 </w:t>
      </w:r>
      <w:r>
        <w:rPr>
          <w:rFonts w:hint="eastAsia" w:ascii="宋体" w:hAnsi="宋体" w:cs="宋体"/>
          <w:b/>
          <w:bCs/>
          <w:szCs w:val="21"/>
          <w:highlight w:val="none"/>
          <w:lang w:bidi="ar"/>
        </w:rPr>
        <w:t xml:space="preserve">根据“市水利局办公室关于进一步推动项目法人、施工单位联合委托质量检测单位 </w:t>
      </w:r>
    </w:p>
    <w:p w14:paraId="68F71D50">
      <w:pPr>
        <w:widowControl/>
        <w:spacing w:line="360" w:lineRule="auto"/>
        <w:jc w:val="left"/>
        <w:rPr>
          <w:rFonts w:hint="eastAsia" w:ascii="宋体" w:hAnsi="宋体" w:cs="宋体"/>
          <w:highlight w:val="none"/>
        </w:rPr>
      </w:pPr>
      <w:r>
        <w:rPr>
          <w:rFonts w:hint="eastAsia" w:ascii="宋体" w:hAnsi="宋体" w:cs="宋体"/>
          <w:b/>
          <w:bCs/>
          <w:szCs w:val="21"/>
          <w:highlight w:val="none"/>
          <w:lang w:bidi="ar"/>
        </w:rPr>
        <w:t>承担施工自检工作的通知”（</w:t>
      </w:r>
      <w:bookmarkStart w:id="230" w:name="OLE_LINK3"/>
      <w:bookmarkStart w:id="231" w:name="OLE_LINK2"/>
      <w:r>
        <w:rPr>
          <w:rFonts w:hint="eastAsia" w:ascii="宋体" w:hAnsi="宋体" w:cs="宋体"/>
          <w:b/>
          <w:bCs/>
          <w:szCs w:val="21"/>
          <w:highlight w:val="none"/>
          <w:lang w:bidi="ar"/>
        </w:rPr>
        <w:t>泰水办</w:t>
      </w:r>
      <w:bookmarkEnd w:id="230"/>
      <w:r>
        <w:rPr>
          <w:rFonts w:hint="eastAsia" w:ascii="宋体" w:hAnsi="宋体" w:cs="宋体"/>
          <w:b/>
          <w:bCs/>
          <w:szCs w:val="21"/>
          <w:highlight w:val="none"/>
          <w:lang w:bidi="ar"/>
        </w:rPr>
        <w:t>[2022]61 号</w:t>
      </w:r>
      <w:bookmarkEnd w:id="231"/>
      <w:r>
        <w:rPr>
          <w:rFonts w:hint="eastAsia" w:ascii="宋体" w:hAnsi="宋体" w:cs="宋体"/>
          <w:b/>
          <w:bCs/>
          <w:szCs w:val="21"/>
          <w:highlight w:val="none"/>
          <w:lang w:bidi="ar"/>
        </w:rPr>
        <w:t xml:space="preserve">）本工程实行由项目法人、施工单位联合委托质量检测单位承担施工单位自检工作，检测单位由施工单位提出、项目法人确认。检测费用包含在投标总价中，由施工单位委托项目法人在施工合同费用中代付，项目法人、施工单位与质量检测单位联合签订合同时明确检测费用由施工单位授权项目法人直接支付并在工程款中扣除。 </w:t>
      </w:r>
    </w:p>
    <w:p w14:paraId="31B50295">
      <w:pPr>
        <w:widowControl/>
        <w:spacing w:line="360" w:lineRule="auto"/>
        <w:ind w:firstLine="422"/>
        <w:jc w:val="left"/>
        <w:rPr>
          <w:rFonts w:hint="eastAsia" w:ascii="宋体" w:hAnsi="宋体" w:cs="宋体"/>
          <w:highlight w:val="none"/>
        </w:rPr>
      </w:pPr>
      <w:r>
        <w:rPr>
          <w:rFonts w:hint="eastAsia" w:ascii="宋体" w:hAnsi="宋体" w:cs="宋体"/>
          <w:b/>
          <w:bCs/>
          <w:color w:val="000000"/>
          <w:szCs w:val="21"/>
          <w:highlight w:val="none"/>
          <w:lang w:bidi="ar"/>
        </w:rPr>
        <w:t xml:space="preserve">本条款中“施工单位自检工作”，主要包括原材料、中间产品等抽样检测，以及地基基础处理检测等需要对外委托专业质量检测的内容，还包括对施工主要工序、关键部位单元工程、重 要隐蔽单元工程质量评定中其他自检内容按一定比例的抽检。 </w:t>
      </w:r>
    </w:p>
    <w:p w14:paraId="08F125B9">
      <w:pPr>
        <w:widowControl/>
        <w:spacing w:line="360" w:lineRule="auto"/>
        <w:jc w:val="left"/>
        <w:rPr>
          <w:rFonts w:hint="eastAsia" w:ascii="宋体" w:hAnsi="宋体" w:cs="宋体"/>
          <w:highlight w:val="none"/>
        </w:rPr>
      </w:pPr>
      <w:r>
        <w:rPr>
          <w:rFonts w:hint="eastAsia" w:ascii="宋体" w:hAnsi="宋体" w:cs="宋体"/>
          <w:b/>
          <w:bCs/>
          <w:color w:val="000000"/>
          <w:szCs w:val="21"/>
          <w:highlight w:val="none"/>
          <w:lang w:bidi="ar"/>
        </w:rPr>
        <w:t xml:space="preserve">14.1.8 承包单位在主体工程开工前应结合项目划分和施工工艺，制定工程质量自检计划（含检测量清单），明确需外委检测的项目，检测计划经评审后报监理机构审核建设单位核备后执行。 </w:t>
      </w:r>
    </w:p>
    <w:p w14:paraId="24F9B688">
      <w:pPr>
        <w:widowControl/>
        <w:spacing w:line="360" w:lineRule="auto"/>
        <w:jc w:val="left"/>
        <w:rPr>
          <w:rFonts w:hint="eastAsia" w:ascii="宋体" w:hAnsi="宋体" w:cs="宋体"/>
          <w:highlight w:val="none"/>
        </w:rPr>
      </w:pPr>
      <w:r>
        <w:rPr>
          <w:rFonts w:hint="eastAsia" w:ascii="宋体" w:hAnsi="宋体" w:cs="宋体"/>
          <w:b/>
          <w:bCs/>
          <w:color w:val="000000"/>
          <w:szCs w:val="21"/>
          <w:highlight w:val="none"/>
          <w:lang w:bidi="ar"/>
        </w:rPr>
        <w:t xml:space="preserve">14.1.9 承包单位在项目施工过程中应严格按照相关规范开展质量检测工作。对工地现场不具备设备、环境、能力、人员或较复杂但对工程质量有影响且相关规范要求检测的参数，均需委托有相应资质的检测单位进行检测。 </w:t>
      </w:r>
    </w:p>
    <w:p w14:paraId="1F3447FD">
      <w:pPr>
        <w:widowControl/>
        <w:spacing w:line="360" w:lineRule="auto"/>
        <w:jc w:val="left"/>
        <w:rPr>
          <w:rFonts w:hint="eastAsia" w:ascii="宋体" w:hAnsi="宋体" w:cs="宋体"/>
          <w:highlight w:val="none"/>
        </w:rPr>
      </w:pPr>
      <w:r>
        <w:rPr>
          <w:rFonts w:hint="eastAsia" w:ascii="宋体" w:hAnsi="宋体" w:cs="宋体"/>
          <w:b/>
          <w:bCs/>
          <w:color w:val="000000"/>
          <w:szCs w:val="21"/>
          <w:highlight w:val="none"/>
          <w:lang w:bidi="ar"/>
        </w:rPr>
        <w:t>14.1.10 承包单位须根据工程质量检测市场价充分综合考虑投标价，一般工程检测费用约占工程招标控制总价的 1.0%—1.5％左右。</w:t>
      </w:r>
    </w:p>
    <w:p w14:paraId="3441A449">
      <w:pPr>
        <w:spacing w:line="400" w:lineRule="exact"/>
        <w:ind w:firstLine="413"/>
        <w:rPr>
          <w:b/>
          <w:highlight w:val="none"/>
        </w:rPr>
      </w:pPr>
      <w:r>
        <w:rPr>
          <w:b/>
          <w:highlight w:val="none"/>
        </w:rPr>
        <w:t xml:space="preserve">15.  </w:t>
      </w:r>
      <w:r>
        <w:rPr>
          <w:b/>
          <w:szCs w:val="21"/>
          <w:highlight w:val="none"/>
        </w:rPr>
        <w:t>变更</w:t>
      </w:r>
      <w:bookmarkEnd w:id="224"/>
      <w:bookmarkEnd w:id="225"/>
      <w:bookmarkEnd w:id="226"/>
      <w:bookmarkEnd w:id="227"/>
      <w:bookmarkEnd w:id="228"/>
      <w:bookmarkEnd w:id="229"/>
    </w:p>
    <w:p w14:paraId="08C52E98">
      <w:pPr>
        <w:spacing w:line="400" w:lineRule="exact"/>
        <w:ind w:firstLine="413"/>
        <w:rPr>
          <w:rFonts w:hint="eastAsia"/>
          <w:b/>
          <w:szCs w:val="21"/>
          <w:highlight w:val="none"/>
        </w:rPr>
      </w:pPr>
      <w:bookmarkStart w:id="232" w:name="_Toc221951214"/>
      <w:bookmarkStart w:id="233" w:name="_Toc222032709"/>
      <w:bookmarkStart w:id="234" w:name="_Toc222031042"/>
      <w:bookmarkStart w:id="235" w:name="_Toc222033891"/>
      <w:bookmarkStart w:id="236" w:name="_Toc221951223"/>
      <w:bookmarkStart w:id="237" w:name="_Toc229305398"/>
      <w:bookmarkStart w:id="238" w:name="_Toc222029540"/>
      <w:r>
        <w:rPr>
          <w:b/>
          <w:highlight w:val="none"/>
        </w:rPr>
        <w:t xml:space="preserve">15.1  </w:t>
      </w:r>
      <w:r>
        <w:rPr>
          <w:b/>
          <w:szCs w:val="21"/>
          <w:highlight w:val="none"/>
        </w:rPr>
        <w:t>变更的范围和内容</w:t>
      </w:r>
      <w:bookmarkEnd w:id="232"/>
    </w:p>
    <w:p w14:paraId="3BFA8DE2">
      <w:pPr>
        <w:spacing w:line="400" w:lineRule="exact"/>
        <w:ind w:firstLine="411"/>
        <w:rPr>
          <w:rFonts w:hint="eastAsia"/>
          <w:highlight w:val="none"/>
          <w:u w:val="single"/>
        </w:rPr>
      </w:pPr>
      <w:r>
        <w:rPr>
          <w:rFonts w:hint="eastAsia"/>
          <w:highlight w:val="none"/>
        </w:rPr>
        <w:t>（6）增加或减少合同中关键项目的工程量超过其工程总量的15%，关键项目</w:t>
      </w:r>
      <w:r>
        <w:rPr>
          <w:rFonts w:hint="eastAsia"/>
          <w:highlight w:val="none"/>
          <w:u w:val="single"/>
        </w:rPr>
        <w:t>：/</w:t>
      </w:r>
      <w:bookmarkStart w:id="239" w:name="_Toc221951218"/>
    </w:p>
    <w:p w14:paraId="33D5C30D">
      <w:pPr>
        <w:spacing w:line="400" w:lineRule="exact"/>
        <w:ind w:firstLine="411"/>
        <w:rPr>
          <w:szCs w:val="21"/>
          <w:highlight w:val="none"/>
        </w:rPr>
      </w:pPr>
      <w:r>
        <w:rPr>
          <w:szCs w:val="21"/>
          <w:highlight w:val="none"/>
        </w:rPr>
        <w:t>15.4.3已标价工程量清单中无适用或类似子目的单价，可按江苏省水利工程预算定额等定额编制单价，若所有定额中均无该子目则重新报价。</w:t>
      </w:r>
    </w:p>
    <w:p w14:paraId="575CF6A8">
      <w:pPr>
        <w:spacing w:line="400" w:lineRule="exact"/>
        <w:ind w:firstLine="411"/>
        <w:rPr>
          <w:highlight w:val="none"/>
        </w:rPr>
      </w:pPr>
      <w:r>
        <w:rPr>
          <w:highlight w:val="none"/>
        </w:rPr>
        <w:t>15.5</w:t>
      </w:r>
      <w:r>
        <w:rPr>
          <w:szCs w:val="21"/>
          <w:highlight w:val="none"/>
        </w:rPr>
        <w:t>承包人的合理化建议</w:t>
      </w:r>
    </w:p>
    <w:p w14:paraId="2111C94F">
      <w:pPr>
        <w:spacing w:line="400" w:lineRule="exact"/>
        <w:ind w:firstLine="411"/>
        <w:rPr>
          <w:szCs w:val="21"/>
          <w:highlight w:val="none"/>
        </w:rPr>
      </w:pPr>
      <w:r>
        <w:rPr>
          <w:szCs w:val="21"/>
          <w:highlight w:val="none"/>
        </w:rPr>
        <w:t xml:space="preserve">15.5.2 </w:t>
      </w:r>
      <w:bookmarkEnd w:id="239"/>
      <w:bookmarkStart w:id="240" w:name="_Toc221951219"/>
      <w:r>
        <w:rPr>
          <w:szCs w:val="21"/>
          <w:highlight w:val="none"/>
        </w:rPr>
        <w:t>承包人实现合理化建议的奖励金额为：</w:t>
      </w:r>
      <w:r>
        <w:rPr>
          <w:szCs w:val="21"/>
          <w:highlight w:val="none"/>
          <w:u w:val="single"/>
        </w:rPr>
        <w:t xml:space="preserve">  </w:t>
      </w:r>
      <w:bookmarkEnd w:id="240"/>
      <w:bookmarkStart w:id="241" w:name="_Toc221951220"/>
      <w:r>
        <w:rPr>
          <w:rFonts w:hint="eastAsia"/>
          <w:szCs w:val="21"/>
          <w:highlight w:val="none"/>
          <w:u w:val="single"/>
        </w:rPr>
        <w:t>/</w:t>
      </w:r>
      <w:r>
        <w:rPr>
          <w:szCs w:val="21"/>
          <w:highlight w:val="none"/>
          <w:u w:val="single"/>
        </w:rPr>
        <w:t xml:space="preserve">  </w:t>
      </w:r>
      <w:r>
        <w:rPr>
          <w:szCs w:val="21"/>
          <w:highlight w:val="none"/>
        </w:rPr>
        <w:t>。</w:t>
      </w:r>
      <w:bookmarkEnd w:id="241"/>
    </w:p>
    <w:p w14:paraId="3BBD7B5E">
      <w:pPr>
        <w:spacing w:line="400" w:lineRule="exact"/>
        <w:ind w:firstLine="413"/>
        <w:rPr>
          <w:b/>
          <w:highlight w:val="none"/>
        </w:rPr>
      </w:pPr>
      <w:bookmarkStart w:id="242" w:name="_Toc221951221"/>
      <w:r>
        <w:rPr>
          <w:b/>
          <w:highlight w:val="none"/>
        </w:rPr>
        <w:t xml:space="preserve">15.8  </w:t>
      </w:r>
      <w:r>
        <w:rPr>
          <w:b/>
          <w:szCs w:val="21"/>
          <w:highlight w:val="none"/>
        </w:rPr>
        <w:t>暂估价</w:t>
      </w:r>
      <w:bookmarkEnd w:id="242"/>
    </w:p>
    <w:p w14:paraId="6A7180B0">
      <w:pPr>
        <w:spacing w:line="400" w:lineRule="exact"/>
        <w:ind w:firstLine="411"/>
        <w:rPr>
          <w:szCs w:val="21"/>
          <w:highlight w:val="none"/>
        </w:rPr>
      </w:pPr>
      <w:bookmarkStart w:id="243" w:name="_Toc221951222"/>
      <w:r>
        <w:rPr>
          <w:szCs w:val="21"/>
          <w:highlight w:val="none"/>
        </w:rPr>
        <w:t>15.8.1（1）发包人和承包人组织招标的暂估价项目：</w:t>
      </w:r>
      <w:r>
        <w:rPr>
          <w:szCs w:val="21"/>
          <w:highlight w:val="none"/>
          <w:u w:val="single"/>
        </w:rPr>
        <w:t xml:space="preserve"> / </w:t>
      </w:r>
      <w:r>
        <w:rPr>
          <w:szCs w:val="21"/>
          <w:highlight w:val="none"/>
        </w:rPr>
        <w:t>；发包人组织招标的暂估价项目：</w:t>
      </w:r>
      <w:r>
        <w:rPr>
          <w:szCs w:val="21"/>
          <w:highlight w:val="none"/>
          <w:u w:val="single"/>
        </w:rPr>
        <w:t xml:space="preserve"> / </w:t>
      </w:r>
      <w:r>
        <w:rPr>
          <w:szCs w:val="21"/>
          <w:highlight w:val="none"/>
        </w:rPr>
        <w:t>。</w:t>
      </w:r>
    </w:p>
    <w:p w14:paraId="4A3A55FF">
      <w:pPr>
        <w:spacing w:line="400" w:lineRule="exact"/>
        <w:ind w:firstLine="411"/>
        <w:rPr>
          <w:szCs w:val="21"/>
          <w:highlight w:val="none"/>
        </w:rPr>
      </w:pPr>
      <w:r>
        <w:rPr>
          <w:szCs w:val="21"/>
          <w:highlight w:val="none"/>
        </w:rPr>
        <w:t>（2）发包人和承包人以招标方式选择暂估价项目供应商或分包人时，双方的权利义务关系：</w:t>
      </w:r>
      <w:bookmarkEnd w:id="243"/>
      <w:r>
        <w:rPr>
          <w:szCs w:val="21"/>
          <w:highlight w:val="none"/>
          <w:u w:val="single"/>
        </w:rPr>
        <w:t xml:space="preserve">   / </w:t>
      </w:r>
      <w:r>
        <w:rPr>
          <w:szCs w:val="21"/>
          <w:highlight w:val="none"/>
        </w:rPr>
        <w:t>。</w:t>
      </w:r>
    </w:p>
    <w:p w14:paraId="603B6BF5">
      <w:pPr>
        <w:spacing w:line="400" w:lineRule="exact"/>
        <w:ind w:firstLine="413"/>
        <w:rPr>
          <w:b/>
          <w:szCs w:val="21"/>
          <w:highlight w:val="none"/>
        </w:rPr>
      </w:pPr>
      <w:r>
        <w:rPr>
          <w:b/>
          <w:szCs w:val="21"/>
          <w:highlight w:val="none"/>
        </w:rPr>
        <w:t>16.价格调整</w:t>
      </w:r>
    </w:p>
    <w:p w14:paraId="50DDB892">
      <w:pPr>
        <w:spacing w:line="360" w:lineRule="auto"/>
        <w:ind w:firstLine="420"/>
        <w:rPr>
          <w:highlight w:val="none"/>
        </w:rPr>
      </w:pPr>
      <w:r>
        <w:rPr>
          <w:highlight w:val="none"/>
        </w:rPr>
        <w:t>16.1.1 采用价格指数调整价格差额</w:t>
      </w:r>
    </w:p>
    <w:p w14:paraId="464687FC">
      <w:pPr>
        <w:spacing w:line="360" w:lineRule="auto"/>
        <w:ind w:firstLine="420"/>
        <w:rPr>
          <w:highlight w:val="none"/>
        </w:rPr>
      </w:pPr>
      <w:r>
        <w:rPr>
          <w:highlight w:val="none"/>
        </w:rPr>
        <w:t>删去16.1.1款全文，本工程不采用价格指数调整价格差额。</w:t>
      </w:r>
    </w:p>
    <w:p w14:paraId="314A47DC">
      <w:pPr>
        <w:spacing w:line="360" w:lineRule="auto"/>
        <w:ind w:firstLine="420"/>
        <w:rPr>
          <w:highlight w:val="none"/>
        </w:rPr>
      </w:pPr>
      <w:r>
        <w:rPr>
          <w:highlight w:val="none"/>
        </w:rPr>
        <w:t>16.1.2 采用造价信息调整价格差额</w:t>
      </w:r>
    </w:p>
    <w:p w14:paraId="3C6A7CFD">
      <w:pPr>
        <w:spacing w:line="360" w:lineRule="auto"/>
        <w:ind w:firstLine="420"/>
        <w:rPr>
          <w:highlight w:val="none"/>
        </w:rPr>
      </w:pPr>
      <w:r>
        <w:rPr>
          <w:highlight w:val="none"/>
        </w:rPr>
        <w:t>删去16.1.2款全文，代之以下述内容：</w:t>
      </w:r>
    </w:p>
    <w:p w14:paraId="57E03C24">
      <w:pPr>
        <w:spacing w:line="360" w:lineRule="auto"/>
        <w:ind w:firstLine="420"/>
        <w:rPr>
          <w:szCs w:val="21"/>
          <w:highlight w:val="none"/>
        </w:rPr>
      </w:pPr>
      <w:r>
        <w:rPr>
          <w:szCs w:val="21"/>
          <w:highlight w:val="none"/>
        </w:rPr>
        <w:t>价格调整</w:t>
      </w:r>
      <w:r>
        <w:rPr>
          <w:rFonts w:hint="eastAsia"/>
          <w:szCs w:val="21"/>
          <w:highlight w:val="none"/>
        </w:rPr>
        <w:t>执行《江苏省水利建设工程主要材料价差调整及价格风险控制指导意见》（苏水基〔</w:t>
      </w:r>
      <w:r>
        <w:rPr>
          <w:szCs w:val="21"/>
          <w:highlight w:val="none"/>
        </w:rPr>
        <w:t>2021〕12号</w:t>
      </w:r>
      <w:r>
        <w:rPr>
          <w:rFonts w:hint="eastAsia"/>
          <w:szCs w:val="21"/>
          <w:highlight w:val="none"/>
        </w:rPr>
        <w:t>），</w:t>
      </w:r>
      <w:r>
        <w:rPr>
          <w:szCs w:val="21"/>
          <w:highlight w:val="none"/>
        </w:rPr>
        <w:t>本合同规定</w:t>
      </w:r>
      <w:r>
        <w:rPr>
          <w:rFonts w:hint="eastAsia"/>
          <w:szCs w:val="21"/>
          <w:highlight w:val="none"/>
        </w:rPr>
        <w:t>主要</w:t>
      </w:r>
      <w:r>
        <w:rPr>
          <w:szCs w:val="21"/>
          <w:highlight w:val="none"/>
        </w:rPr>
        <w:t>材料的调价月指</w:t>
      </w:r>
      <w:r>
        <w:rPr>
          <w:rFonts w:hint="eastAsia"/>
          <w:szCs w:val="21"/>
          <w:highlight w:val="none"/>
        </w:rPr>
        <w:t>当月，</w:t>
      </w:r>
      <w:r>
        <w:rPr>
          <w:szCs w:val="21"/>
          <w:highlight w:val="none"/>
        </w:rPr>
        <w:t>单价调整以《</w:t>
      </w:r>
      <w:r>
        <w:rPr>
          <w:rFonts w:hint="eastAsia"/>
          <w:szCs w:val="21"/>
          <w:highlight w:val="none"/>
        </w:rPr>
        <w:t>泰州</w:t>
      </w:r>
      <w:r>
        <w:rPr>
          <w:szCs w:val="21"/>
          <w:highlight w:val="none"/>
        </w:rPr>
        <w:t>工程造价管理》中</w:t>
      </w:r>
      <w:r>
        <w:rPr>
          <w:rFonts w:hint="eastAsia"/>
          <w:szCs w:val="21"/>
          <w:highlight w:val="none"/>
        </w:rPr>
        <w:t>月</w:t>
      </w:r>
      <w:r>
        <w:rPr>
          <w:szCs w:val="21"/>
          <w:highlight w:val="none"/>
        </w:rPr>
        <w:t>度价格</w:t>
      </w:r>
      <w:r>
        <w:rPr>
          <w:rFonts w:hint="eastAsia"/>
          <w:szCs w:val="21"/>
          <w:highlight w:val="none"/>
        </w:rPr>
        <w:t>信息价</w:t>
      </w:r>
      <w:r>
        <w:rPr>
          <w:szCs w:val="21"/>
          <w:highlight w:val="none"/>
        </w:rPr>
        <w:t>（如无HRB</w:t>
      </w:r>
      <w:r>
        <w:rPr>
          <w:rFonts w:hint="eastAsia"/>
          <w:szCs w:val="21"/>
          <w:highlight w:val="none"/>
        </w:rPr>
        <w:t>400</w:t>
      </w:r>
      <w:r>
        <w:rPr>
          <w:szCs w:val="21"/>
          <w:highlight w:val="none"/>
        </w:rPr>
        <w:t>钢</w:t>
      </w:r>
      <w:r>
        <w:rPr>
          <w:rFonts w:hint="eastAsia"/>
          <w:szCs w:val="21"/>
          <w:highlight w:val="none"/>
        </w:rPr>
        <w:t>材</w:t>
      </w:r>
      <w:r>
        <w:rPr>
          <w:szCs w:val="21"/>
          <w:highlight w:val="none"/>
        </w:rPr>
        <w:t>信息价，则依据H</w:t>
      </w:r>
      <w:r>
        <w:rPr>
          <w:rFonts w:hint="eastAsia"/>
          <w:szCs w:val="21"/>
          <w:highlight w:val="none"/>
        </w:rPr>
        <w:t>P</w:t>
      </w:r>
      <w:r>
        <w:rPr>
          <w:szCs w:val="21"/>
          <w:highlight w:val="none"/>
        </w:rPr>
        <w:t>B</w:t>
      </w:r>
      <w:r>
        <w:rPr>
          <w:rFonts w:hint="eastAsia"/>
          <w:szCs w:val="21"/>
          <w:highlight w:val="none"/>
        </w:rPr>
        <w:t>300</w:t>
      </w:r>
      <w:r>
        <w:rPr>
          <w:szCs w:val="21"/>
          <w:highlight w:val="none"/>
        </w:rPr>
        <w:t>钢</w:t>
      </w:r>
      <w:r>
        <w:rPr>
          <w:rFonts w:hint="eastAsia"/>
          <w:szCs w:val="21"/>
          <w:highlight w:val="none"/>
        </w:rPr>
        <w:t>材</w:t>
      </w:r>
      <w:r>
        <w:rPr>
          <w:szCs w:val="21"/>
          <w:highlight w:val="none"/>
        </w:rPr>
        <w:t>信息价，水泥依据普通硅酸盐水泥42.5级信息价，当</w:t>
      </w:r>
      <w:r>
        <w:rPr>
          <w:rFonts w:hint="eastAsia"/>
          <w:szCs w:val="21"/>
          <w:highlight w:val="none"/>
        </w:rPr>
        <w:t>月</w:t>
      </w:r>
      <w:r>
        <w:rPr>
          <w:szCs w:val="21"/>
          <w:highlight w:val="none"/>
        </w:rPr>
        <w:t>如无价格信息发布，则视为当</w:t>
      </w:r>
      <w:r>
        <w:rPr>
          <w:rFonts w:hint="eastAsia"/>
          <w:szCs w:val="21"/>
          <w:highlight w:val="none"/>
        </w:rPr>
        <w:t>月</w:t>
      </w:r>
      <w:r>
        <w:rPr>
          <w:szCs w:val="21"/>
          <w:highlight w:val="none"/>
        </w:rPr>
        <w:t>价格无变化，按上</w:t>
      </w:r>
      <w:r>
        <w:rPr>
          <w:rFonts w:hint="eastAsia"/>
          <w:szCs w:val="21"/>
          <w:highlight w:val="none"/>
        </w:rPr>
        <w:t>月</w:t>
      </w:r>
      <w:r>
        <w:rPr>
          <w:szCs w:val="21"/>
          <w:highlight w:val="none"/>
        </w:rPr>
        <w:t>材料信息价调整）作为调差支付的依据。</w:t>
      </w:r>
    </w:p>
    <w:p w14:paraId="01C970AF">
      <w:pPr>
        <w:spacing w:line="360" w:lineRule="auto"/>
        <w:ind w:firstLine="420"/>
        <w:rPr>
          <w:szCs w:val="21"/>
          <w:highlight w:val="none"/>
        </w:rPr>
      </w:pPr>
      <w:r>
        <w:rPr>
          <w:rFonts w:hint="eastAsia"/>
          <w:szCs w:val="21"/>
          <w:highlight w:val="none"/>
        </w:rPr>
        <w:t>钢材（筋）</w:t>
      </w:r>
      <w:r>
        <w:rPr>
          <w:szCs w:val="21"/>
          <w:highlight w:val="none"/>
        </w:rPr>
        <w:t>具体调价公式如下：</w:t>
      </w:r>
    </w:p>
    <w:p w14:paraId="4B81B0D9">
      <w:pPr>
        <w:widowControl/>
        <w:ind w:firstLine="420"/>
        <w:jc w:val="left"/>
        <w:rPr>
          <w:szCs w:val="21"/>
          <w:highlight w:val="none"/>
        </w:rPr>
      </w:pPr>
      <w:r>
        <w:rPr>
          <w:szCs w:val="21"/>
          <w:highlight w:val="none"/>
        </w:rPr>
        <w:t>A0―――</w:t>
      </w:r>
      <w:r>
        <w:rPr>
          <w:rFonts w:hint="eastAsia" w:ascii="宋体" w:hAnsi="宋体" w:cs="宋体"/>
          <w:color w:val="000000"/>
          <w:szCs w:val="21"/>
          <w:highlight w:val="none"/>
          <w:lang w:bidi="ar"/>
        </w:rPr>
        <w:t xml:space="preserve">投标截止日前 </w:t>
      </w:r>
      <w:r>
        <w:rPr>
          <w:color w:val="000000"/>
          <w:szCs w:val="21"/>
          <w:highlight w:val="none"/>
          <w:lang w:bidi="ar"/>
        </w:rPr>
        <w:t xml:space="preserve">28 </w:t>
      </w:r>
      <w:r>
        <w:rPr>
          <w:rFonts w:hint="eastAsia" w:ascii="宋体" w:hAnsi="宋体" w:cs="宋体"/>
          <w:color w:val="000000"/>
          <w:szCs w:val="21"/>
          <w:highlight w:val="none"/>
          <w:lang w:bidi="ar"/>
        </w:rPr>
        <w:t xml:space="preserve">天内的信息价 </w:t>
      </w:r>
    </w:p>
    <w:p w14:paraId="0FD031DB">
      <w:pPr>
        <w:spacing w:line="400" w:lineRule="exact"/>
        <w:ind w:firstLine="420"/>
        <w:rPr>
          <w:szCs w:val="21"/>
          <w:highlight w:val="none"/>
        </w:rPr>
      </w:pPr>
      <w:r>
        <w:rPr>
          <w:szCs w:val="21"/>
          <w:highlight w:val="none"/>
        </w:rPr>
        <w:t>An―――调价月</w:t>
      </w:r>
      <w:r>
        <w:rPr>
          <w:rFonts w:hint="eastAsia"/>
          <w:szCs w:val="21"/>
          <w:highlight w:val="none"/>
        </w:rPr>
        <w:t>当月信息</w:t>
      </w:r>
      <w:r>
        <w:rPr>
          <w:szCs w:val="21"/>
          <w:highlight w:val="none"/>
        </w:rPr>
        <w:t>价</w:t>
      </w:r>
    </w:p>
    <w:p w14:paraId="6DD231AF">
      <w:pPr>
        <w:spacing w:line="400" w:lineRule="exact"/>
        <w:ind w:firstLine="420"/>
        <w:rPr>
          <w:szCs w:val="21"/>
          <w:highlight w:val="none"/>
        </w:rPr>
      </w:pPr>
      <w:r>
        <w:rPr>
          <w:szCs w:val="21"/>
          <w:highlight w:val="none"/>
        </w:rPr>
        <w:t>Q n―――第n</w:t>
      </w:r>
      <w:r>
        <w:rPr>
          <w:rFonts w:hint="eastAsia"/>
          <w:szCs w:val="21"/>
          <w:highlight w:val="none"/>
        </w:rPr>
        <w:t>月钢材（筋）</w:t>
      </w:r>
      <w:r>
        <w:rPr>
          <w:szCs w:val="21"/>
          <w:highlight w:val="none"/>
        </w:rPr>
        <w:t>结算数量</w:t>
      </w:r>
    </w:p>
    <w:p w14:paraId="02A30D0C">
      <w:pPr>
        <w:spacing w:line="400" w:lineRule="exact"/>
        <w:ind w:firstLine="420"/>
        <w:rPr>
          <w:szCs w:val="21"/>
          <w:highlight w:val="none"/>
        </w:rPr>
      </w:pPr>
      <w:r>
        <w:rPr>
          <w:szCs w:val="21"/>
          <w:highlight w:val="none"/>
        </w:rPr>
        <w:t>P补n―――第n</w:t>
      </w:r>
      <w:r>
        <w:rPr>
          <w:rFonts w:hint="eastAsia"/>
          <w:szCs w:val="21"/>
          <w:highlight w:val="none"/>
        </w:rPr>
        <w:t>月钢材（筋）</w:t>
      </w:r>
      <w:r>
        <w:rPr>
          <w:szCs w:val="21"/>
          <w:highlight w:val="none"/>
        </w:rPr>
        <w:t>应补卖方价款</w:t>
      </w:r>
    </w:p>
    <w:p w14:paraId="355185DD">
      <w:pPr>
        <w:spacing w:line="400" w:lineRule="exact"/>
        <w:ind w:firstLine="420"/>
        <w:rPr>
          <w:szCs w:val="21"/>
          <w:highlight w:val="none"/>
        </w:rPr>
      </w:pPr>
      <w:r>
        <w:rPr>
          <w:szCs w:val="21"/>
          <w:highlight w:val="none"/>
        </w:rPr>
        <w:t>P扣n―――第n</w:t>
      </w:r>
      <w:r>
        <w:rPr>
          <w:rFonts w:hint="eastAsia"/>
          <w:szCs w:val="21"/>
          <w:highlight w:val="none"/>
        </w:rPr>
        <w:t>月钢材（筋）</w:t>
      </w:r>
      <w:r>
        <w:rPr>
          <w:szCs w:val="21"/>
          <w:highlight w:val="none"/>
        </w:rPr>
        <w:t>应扣卖方价款</w:t>
      </w:r>
    </w:p>
    <w:p w14:paraId="227916FC">
      <w:pPr>
        <w:spacing w:line="360" w:lineRule="auto"/>
        <w:ind w:firstLine="420"/>
        <w:rPr>
          <w:szCs w:val="21"/>
          <w:highlight w:val="none"/>
        </w:rPr>
      </w:pPr>
      <w:r>
        <w:rPr>
          <w:szCs w:val="21"/>
          <w:highlight w:val="none"/>
        </w:rPr>
        <w:drawing>
          <wp:inline distT="0" distB="0" distL="0" distR="0">
            <wp:extent cx="709295" cy="314325"/>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a:stretch>
                      <a:fillRect/>
                    </a:stretch>
                  </pic:blipFill>
                  <pic:spPr>
                    <a:xfrm>
                      <a:off x="0" y="0"/>
                      <a:ext cx="709383" cy="314474"/>
                    </a:xfrm>
                    <a:prstGeom prst="rect">
                      <a:avLst/>
                    </a:prstGeom>
                    <a:noFill/>
                    <a:ln>
                      <a:noFill/>
                    </a:ln>
                  </pic:spPr>
                </pic:pic>
              </a:graphicData>
            </a:graphic>
          </wp:inline>
        </w:drawing>
      </w:r>
      <w:r>
        <w:rPr>
          <w:szCs w:val="21"/>
          <w:highlight w:val="none"/>
        </w:rPr>
        <w:t>―――市场指导价变化指数</w:t>
      </w:r>
    </w:p>
    <w:p w14:paraId="075027F2">
      <w:pPr>
        <w:spacing w:line="400" w:lineRule="exact"/>
        <w:ind w:firstLine="420"/>
        <w:rPr>
          <w:szCs w:val="21"/>
          <w:highlight w:val="none"/>
        </w:rPr>
      </w:pPr>
      <w:r>
        <w:rPr>
          <w:szCs w:val="21"/>
          <w:highlight w:val="none"/>
        </w:rPr>
        <w:t>（1） 若m ≤</w:t>
      </w:r>
      <w:r>
        <w:rPr>
          <w:rFonts w:hint="eastAsia"/>
          <w:szCs w:val="21"/>
          <w:highlight w:val="none"/>
        </w:rPr>
        <w:t>5</w:t>
      </w:r>
      <w:r>
        <w:rPr>
          <w:szCs w:val="21"/>
          <w:highlight w:val="none"/>
        </w:rPr>
        <w:t>%</w:t>
      </w:r>
    </w:p>
    <w:p w14:paraId="465A9509">
      <w:pPr>
        <w:spacing w:line="400" w:lineRule="exact"/>
        <w:ind w:firstLine="420"/>
        <w:rPr>
          <w:szCs w:val="21"/>
          <w:highlight w:val="none"/>
        </w:rPr>
      </w:pPr>
      <w:r>
        <w:rPr>
          <w:szCs w:val="21"/>
          <w:highlight w:val="none"/>
        </w:rPr>
        <w:t>此种情形不予调差。</w:t>
      </w:r>
    </w:p>
    <w:p w14:paraId="4CE20BCB">
      <w:pPr>
        <w:spacing w:line="400" w:lineRule="exact"/>
        <w:ind w:firstLine="420"/>
        <w:rPr>
          <w:szCs w:val="21"/>
          <w:highlight w:val="none"/>
        </w:rPr>
      </w:pPr>
      <w:r>
        <w:rPr>
          <w:szCs w:val="21"/>
          <w:highlight w:val="none"/>
        </w:rPr>
        <w:t xml:space="preserve">（2） 若m &gt; </w:t>
      </w:r>
      <w:r>
        <w:rPr>
          <w:rFonts w:hint="eastAsia"/>
          <w:szCs w:val="21"/>
          <w:highlight w:val="none"/>
        </w:rPr>
        <w:t>5</w:t>
      </w:r>
      <w:r>
        <w:rPr>
          <w:szCs w:val="21"/>
          <w:highlight w:val="none"/>
        </w:rPr>
        <w:t>%</w:t>
      </w:r>
    </w:p>
    <w:p w14:paraId="3AF79057">
      <w:pPr>
        <w:spacing w:line="400" w:lineRule="exact"/>
        <w:ind w:firstLine="420"/>
        <w:rPr>
          <w:szCs w:val="21"/>
          <w:highlight w:val="none"/>
        </w:rPr>
      </w:pPr>
      <w:r>
        <w:rPr>
          <w:szCs w:val="21"/>
          <w:highlight w:val="none"/>
        </w:rPr>
        <w:t>1） An&gt;A0</w:t>
      </w:r>
    </w:p>
    <w:p w14:paraId="02A59902">
      <w:pPr>
        <w:spacing w:line="400" w:lineRule="exact"/>
        <w:ind w:firstLine="420"/>
        <w:rPr>
          <w:szCs w:val="21"/>
          <w:highlight w:val="none"/>
        </w:rPr>
      </w:pPr>
      <w:r>
        <w:rPr>
          <w:szCs w:val="21"/>
          <w:highlight w:val="none"/>
        </w:rPr>
        <w:t xml:space="preserve">P补n= A0×（An/ A0﹣1. </w:t>
      </w:r>
      <w:r>
        <w:rPr>
          <w:rFonts w:hint="eastAsia"/>
          <w:szCs w:val="21"/>
          <w:highlight w:val="none"/>
        </w:rPr>
        <w:t>05</w:t>
      </w:r>
      <w:r>
        <w:rPr>
          <w:szCs w:val="21"/>
          <w:highlight w:val="none"/>
        </w:rPr>
        <w:t>）×Qn</w:t>
      </w:r>
    </w:p>
    <w:p w14:paraId="06C1CFEB">
      <w:pPr>
        <w:spacing w:line="400" w:lineRule="exact"/>
        <w:ind w:firstLine="420"/>
        <w:rPr>
          <w:szCs w:val="21"/>
          <w:highlight w:val="none"/>
        </w:rPr>
      </w:pPr>
      <w:r>
        <w:rPr>
          <w:szCs w:val="21"/>
          <w:highlight w:val="none"/>
        </w:rPr>
        <w:t>2） An&lt;A0</w:t>
      </w:r>
    </w:p>
    <w:p w14:paraId="3DB4B8D0">
      <w:pPr>
        <w:spacing w:line="360" w:lineRule="auto"/>
        <w:ind w:firstLine="420"/>
        <w:rPr>
          <w:szCs w:val="21"/>
          <w:highlight w:val="none"/>
        </w:rPr>
      </w:pPr>
      <w:r>
        <w:rPr>
          <w:szCs w:val="21"/>
          <w:highlight w:val="none"/>
        </w:rPr>
        <w:t>P扣n＝A0×（0.9</w:t>
      </w:r>
      <w:r>
        <w:rPr>
          <w:rFonts w:hint="eastAsia"/>
          <w:szCs w:val="21"/>
          <w:highlight w:val="none"/>
        </w:rPr>
        <w:t>5</w:t>
      </w:r>
      <w:r>
        <w:rPr>
          <w:szCs w:val="21"/>
          <w:highlight w:val="none"/>
        </w:rPr>
        <w:t>﹣An/ A0）×Qn</w:t>
      </w:r>
    </w:p>
    <w:p w14:paraId="325C87DD">
      <w:pPr>
        <w:spacing w:line="360" w:lineRule="auto"/>
        <w:ind w:firstLine="420"/>
        <w:rPr>
          <w:szCs w:val="21"/>
          <w:highlight w:val="none"/>
        </w:rPr>
      </w:pPr>
      <w:r>
        <w:rPr>
          <w:rFonts w:hint="eastAsia"/>
          <w:szCs w:val="21"/>
          <w:highlight w:val="none"/>
        </w:rPr>
        <w:t>其他主要材料</w:t>
      </w:r>
      <w:r>
        <w:rPr>
          <w:szCs w:val="21"/>
          <w:highlight w:val="none"/>
        </w:rPr>
        <w:t>具体调价公式如下：</w:t>
      </w:r>
    </w:p>
    <w:p w14:paraId="5C23CFFB">
      <w:pPr>
        <w:widowControl/>
        <w:ind w:firstLine="420"/>
        <w:jc w:val="left"/>
        <w:rPr>
          <w:szCs w:val="21"/>
          <w:highlight w:val="none"/>
        </w:rPr>
      </w:pPr>
      <w:r>
        <w:rPr>
          <w:szCs w:val="21"/>
          <w:highlight w:val="none"/>
        </w:rPr>
        <w:t>A0―――</w:t>
      </w:r>
      <w:r>
        <w:rPr>
          <w:rFonts w:hint="eastAsia" w:ascii="宋体" w:hAnsi="宋体" w:cs="宋体"/>
          <w:color w:val="000000"/>
          <w:szCs w:val="21"/>
          <w:highlight w:val="none"/>
          <w:lang w:bidi="ar"/>
        </w:rPr>
        <w:t xml:space="preserve">其他主要材料投标截止日前 </w:t>
      </w:r>
      <w:r>
        <w:rPr>
          <w:color w:val="000000"/>
          <w:szCs w:val="21"/>
          <w:highlight w:val="none"/>
          <w:lang w:bidi="ar"/>
        </w:rPr>
        <w:t xml:space="preserve">28 </w:t>
      </w:r>
      <w:r>
        <w:rPr>
          <w:rFonts w:hint="eastAsia" w:ascii="宋体" w:hAnsi="宋体" w:cs="宋体"/>
          <w:color w:val="000000"/>
          <w:szCs w:val="21"/>
          <w:highlight w:val="none"/>
          <w:lang w:bidi="ar"/>
        </w:rPr>
        <w:t>天内的信息价</w:t>
      </w:r>
    </w:p>
    <w:p w14:paraId="22EAD16D">
      <w:pPr>
        <w:spacing w:line="400" w:lineRule="exact"/>
        <w:ind w:firstLine="420"/>
        <w:rPr>
          <w:szCs w:val="21"/>
          <w:highlight w:val="none"/>
        </w:rPr>
      </w:pPr>
      <w:r>
        <w:rPr>
          <w:szCs w:val="21"/>
          <w:highlight w:val="none"/>
        </w:rPr>
        <w:t>An―――</w:t>
      </w:r>
      <w:r>
        <w:rPr>
          <w:rFonts w:hint="eastAsia"/>
          <w:szCs w:val="21"/>
          <w:highlight w:val="none"/>
        </w:rPr>
        <w:t>其他主要材料</w:t>
      </w:r>
      <w:r>
        <w:rPr>
          <w:szCs w:val="21"/>
          <w:highlight w:val="none"/>
        </w:rPr>
        <w:t>调价月</w:t>
      </w:r>
      <w:r>
        <w:rPr>
          <w:rFonts w:hint="eastAsia"/>
          <w:szCs w:val="21"/>
          <w:highlight w:val="none"/>
        </w:rPr>
        <w:t>当月信息</w:t>
      </w:r>
      <w:r>
        <w:rPr>
          <w:szCs w:val="21"/>
          <w:highlight w:val="none"/>
        </w:rPr>
        <w:t>价</w:t>
      </w:r>
    </w:p>
    <w:p w14:paraId="21D8691C">
      <w:pPr>
        <w:spacing w:line="400" w:lineRule="exact"/>
        <w:ind w:firstLine="420"/>
        <w:rPr>
          <w:szCs w:val="21"/>
          <w:highlight w:val="none"/>
        </w:rPr>
      </w:pPr>
      <w:r>
        <w:rPr>
          <w:szCs w:val="21"/>
          <w:highlight w:val="none"/>
        </w:rPr>
        <w:t>Q n―――第n</w:t>
      </w:r>
      <w:r>
        <w:rPr>
          <w:rFonts w:hint="eastAsia"/>
          <w:szCs w:val="21"/>
          <w:highlight w:val="none"/>
        </w:rPr>
        <w:t>月其他主要材料</w:t>
      </w:r>
      <w:r>
        <w:rPr>
          <w:szCs w:val="21"/>
          <w:highlight w:val="none"/>
        </w:rPr>
        <w:t>结算数量</w:t>
      </w:r>
    </w:p>
    <w:p w14:paraId="3C551E81">
      <w:pPr>
        <w:spacing w:line="400" w:lineRule="exact"/>
        <w:ind w:firstLine="420"/>
        <w:rPr>
          <w:szCs w:val="21"/>
          <w:highlight w:val="none"/>
        </w:rPr>
      </w:pPr>
      <w:r>
        <w:rPr>
          <w:szCs w:val="21"/>
          <w:highlight w:val="none"/>
        </w:rPr>
        <w:t>P补n―――第n</w:t>
      </w:r>
      <w:r>
        <w:rPr>
          <w:rFonts w:hint="eastAsia"/>
          <w:szCs w:val="21"/>
          <w:highlight w:val="none"/>
        </w:rPr>
        <w:t>月其他主要材料</w:t>
      </w:r>
      <w:r>
        <w:rPr>
          <w:szCs w:val="21"/>
          <w:highlight w:val="none"/>
        </w:rPr>
        <w:t>应补卖方价款</w:t>
      </w:r>
    </w:p>
    <w:p w14:paraId="14B2E3F8">
      <w:pPr>
        <w:spacing w:line="400" w:lineRule="exact"/>
        <w:ind w:firstLine="420"/>
        <w:rPr>
          <w:szCs w:val="21"/>
          <w:highlight w:val="none"/>
        </w:rPr>
      </w:pPr>
      <w:r>
        <w:rPr>
          <w:szCs w:val="21"/>
          <w:highlight w:val="none"/>
        </w:rPr>
        <w:t>P扣n―――第n</w:t>
      </w:r>
      <w:r>
        <w:rPr>
          <w:rFonts w:hint="eastAsia"/>
          <w:szCs w:val="21"/>
          <w:highlight w:val="none"/>
        </w:rPr>
        <w:t>月其他主要材料</w:t>
      </w:r>
      <w:r>
        <w:rPr>
          <w:szCs w:val="21"/>
          <w:highlight w:val="none"/>
        </w:rPr>
        <w:t>应扣卖方价款</w:t>
      </w:r>
    </w:p>
    <w:p w14:paraId="70A496FB">
      <w:pPr>
        <w:spacing w:line="360" w:lineRule="auto"/>
        <w:ind w:firstLine="420"/>
        <w:rPr>
          <w:szCs w:val="21"/>
          <w:highlight w:val="none"/>
        </w:rPr>
      </w:pPr>
      <w:r>
        <w:rPr>
          <w:szCs w:val="21"/>
          <w:highlight w:val="none"/>
        </w:rPr>
        <w:drawing>
          <wp:inline distT="0" distB="0" distL="0" distR="0">
            <wp:extent cx="709295" cy="314325"/>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709383" cy="314474"/>
                    </a:xfrm>
                    <a:prstGeom prst="rect">
                      <a:avLst/>
                    </a:prstGeom>
                    <a:noFill/>
                    <a:ln>
                      <a:noFill/>
                    </a:ln>
                  </pic:spPr>
                </pic:pic>
              </a:graphicData>
            </a:graphic>
          </wp:inline>
        </w:drawing>
      </w:r>
      <w:r>
        <w:rPr>
          <w:szCs w:val="21"/>
          <w:highlight w:val="none"/>
        </w:rPr>
        <w:t>―――市场指导价变化指数</w:t>
      </w:r>
    </w:p>
    <w:p w14:paraId="53D1D872">
      <w:pPr>
        <w:spacing w:line="400" w:lineRule="exact"/>
        <w:ind w:firstLine="420"/>
        <w:rPr>
          <w:szCs w:val="21"/>
          <w:highlight w:val="none"/>
        </w:rPr>
      </w:pPr>
      <w:r>
        <w:rPr>
          <w:szCs w:val="21"/>
          <w:highlight w:val="none"/>
        </w:rPr>
        <w:t>（1） 若m ≤</w:t>
      </w:r>
      <w:r>
        <w:rPr>
          <w:rFonts w:hint="eastAsia"/>
          <w:szCs w:val="21"/>
          <w:highlight w:val="none"/>
        </w:rPr>
        <w:t>10</w:t>
      </w:r>
      <w:r>
        <w:rPr>
          <w:szCs w:val="21"/>
          <w:highlight w:val="none"/>
        </w:rPr>
        <w:t>%</w:t>
      </w:r>
    </w:p>
    <w:p w14:paraId="747A380F">
      <w:pPr>
        <w:spacing w:line="400" w:lineRule="exact"/>
        <w:ind w:firstLine="420"/>
        <w:rPr>
          <w:szCs w:val="21"/>
          <w:highlight w:val="none"/>
        </w:rPr>
      </w:pPr>
      <w:r>
        <w:rPr>
          <w:szCs w:val="21"/>
          <w:highlight w:val="none"/>
        </w:rPr>
        <w:t>此种情形不予调差。</w:t>
      </w:r>
    </w:p>
    <w:p w14:paraId="5C0D7BC5">
      <w:pPr>
        <w:spacing w:line="400" w:lineRule="exact"/>
        <w:ind w:firstLine="420"/>
        <w:rPr>
          <w:szCs w:val="21"/>
          <w:highlight w:val="none"/>
        </w:rPr>
      </w:pPr>
      <w:r>
        <w:rPr>
          <w:szCs w:val="21"/>
          <w:highlight w:val="none"/>
        </w:rPr>
        <w:t xml:space="preserve">（2） 若m &gt; </w:t>
      </w:r>
      <w:r>
        <w:rPr>
          <w:rFonts w:hint="eastAsia"/>
          <w:szCs w:val="21"/>
          <w:highlight w:val="none"/>
        </w:rPr>
        <w:t>10</w:t>
      </w:r>
      <w:r>
        <w:rPr>
          <w:szCs w:val="21"/>
          <w:highlight w:val="none"/>
        </w:rPr>
        <w:t>%</w:t>
      </w:r>
    </w:p>
    <w:p w14:paraId="3B66118C">
      <w:pPr>
        <w:spacing w:line="400" w:lineRule="exact"/>
        <w:ind w:firstLine="420"/>
        <w:rPr>
          <w:szCs w:val="21"/>
          <w:highlight w:val="none"/>
        </w:rPr>
      </w:pPr>
      <w:r>
        <w:rPr>
          <w:szCs w:val="21"/>
          <w:highlight w:val="none"/>
        </w:rPr>
        <w:t>1） An&gt;A0</w:t>
      </w:r>
    </w:p>
    <w:p w14:paraId="5B4761AC">
      <w:pPr>
        <w:spacing w:line="400" w:lineRule="exact"/>
        <w:ind w:firstLine="420"/>
        <w:rPr>
          <w:szCs w:val="21"/>
          <w:highlight w:val="none"/>
        </w:rPr>
      </w:pPr>
      <w:r>
        <w:rPr>
          <w:szCs w:val="21"/>
          <w:highlight w:val="none"/>
        </w:rPr>
        <w:t xml:space="preserve">P补n= A0×（An/ A0﹣1. </w:t>
      </w:r>
      <w:r>
        <w:rPr>
          <w:rFonts w:hint="eastAsia"/>
          <w:szCs w:val="21"/>
          <w:highlight w:val="none"/>
        </w:rPr>
        <w:t>1</w:t>
      </w:r>
      <w:r>
        <w:rPr>
          <w:szCs w:val="21"/>
          <w:highlight w:val="none"/>
        </w:rPr>
        <w:t>）×Qn</w:t>
      </w:r>
    </w:p>
    <w:p w14:paraId="5EDC6F28">
      <w:pPr>
        <w:spacing w:line="400" w:lineRule="exact"/>
        <w:ind w:firstLine="420"/>
        <w:rPr>
          <w:szCs w:val="21"/>
          <w:highlight w:val="none"/>
        </w:rPr>
      </w:pPr>
      <w:r>
        <w:rPr>
          <w:szCs w:val="21"/>
          <w:highlight w:val="none"/>
        </w:rPr>
        <w:t>2） An&lt;A0</w:t>
      </w:r>
    </w:p>
    <w:p w14:paraId="594BE1CA">
      <w:pPr>
        <w:spacing w:line="360" w:lineRule="auto"/>
        <w:ind w:firstLine="420"/>
        <w:rPr>
          <w:szCs w:val="21"/>
          <w:highlight w:val="none"/>
        </w:rPr>
      </w:pPr>
      <w:r>
        <w:rPr>
          <w:szCs w:val="21"/>
          <w:highlight w:val="none"/>
        </w:rPr>
        <w:t>P扣n＝A0×（0.9﹣An/ A0）×Qn</w:t>
      </w:r>
    </w:p>
    <w:p w14:paraId="430E997D">
      <w:pPr>
        <w:spacing w:line="400" w:lineRule="exact"/>
        <w:ind w:firstLine="413"/>
        <w:rPr>
          <w:b/>
          <w:highlight w:val="none"/>
        </w:rPr>
      </w:pPr>
      <w:r>
        <w:rPr>
          <w:b/>
          <w:highlight w:val="none"/>
        </w:rPr>
        <w:t xml:space="preserve">17.  </w:t>
      </w:r>
      <w:r>
        <w:rPr>
          <w:b/>
          <w:szCs w:val="21"/>
          <w:highlight w:val="none"/>
        </w:rPr>
        <w:t>计量与支付</w:t>
      </w:r>
      <w:bookmarkEnd w:id="233"/>
      <w:bookmarkEnd w:id="234"/>
      <w:bookmarkEnd w:id="235"/>
      <w:bookmarkEnd w:id="236"/>
      <w:bookmarkEnd w:id="237"/>
      <w:bookmarkEnd w:id="238"/>
    </w:p>
    <w:p w14:paraId="5DF867A3">
      <w:pPr>
        <w:spacing w:line="400" w:lineRule="exact"/>
        <w:ind w:firstLine="413"/>
        <w:rPr>
          <w:b/>
          <w:highlight w:val="none"/>
        </w:rPr>
      </w:pPr>
      <w:bookmarkStart w:id="244" w:name="_Toc221951224"/>
      <w:r>
        <w:rPr>
          <w:b/>
          <w:highlight w:val="none"/>
        </w:rPr>
        <w:t xml:space="preserve">17.2  </w:t>
      </w:r>
      <w:r>
        <w:rPr>
          <w:b/>
          <w:szCs w:val="21"/>
          <w:highlight w:val="none"/>
        </w:rPr>
        <w:t>预付款</w:t>
      </w:r>
      <w:bookmarkEnd w:id="244"/>
    </w:p>
    <w:p w14:paraId="422B0BCC">
      <w:pPr>
        <w:spacing w:line="400" w:lineRule="exact"/>
        <w:ind w:firstLine="411"/>
        <w:rPr>
          <w:szCs w:val="21"/>
          <w:highlight w:val="none"/>
        </w:rPr>
      </w:pPr>
      <w:bookmarkStart w:id="245" w:name="_Toc221951226"/>
      <w:r>
        <w:rPr>
          <w:highlight w:val="none"/>
        </w:rPr>
        <w:t>17.2.1</w:t>
      </w:r>
      <w:bookmarkEnd w:id="245"/>
      <w:bookmarkStart w:id="246" w:name="_Toc221951227"/>
      <w:r>
        <w:rPr>
          <w:szCs w:val="21"/>
          <w:highlight w:val="none"/>
        </w:rPr>
        <w:t>预付款的额度和预付办法：</w:t>
      </w:r>
      <w:bookmarkEnd w:id="246"/>
    </w:p>
    <w:p w14:paraId="37F296B9">
      <w:pPr>
        <w:spacing w:line="400" w:lineRule="exact"/>
        <w:ind w:firstLine="411"/>
        <w:rPr>
          <w:szCs w:val="21"/>
          <w:highlight w:val="none"/>
        </w:rPr>
      </w:pPr>
      <w:bookmarkStart w:id="247" w:name="_Toc221951228"/>
      <w:r>
        <w:rPr>
          <w:szCs w:val="21"/>
          <w:highlight w:val="none"/>
        </w:rPr>
        <w:t>（1）工程预付款的总金额为签约合同价的</w:t>
      </w:r>
      <w:r>
        <w:rPr>
          <w:rFonts w:hint="eastAsia"/>
          <w:szCs w:val="21"/>
          <w:highlight w:val="none"/>
          <w:u w:val="single"/>
        </w:rPr>
        <w:t xml:space="preserve"> 10 </w:t>
      </w:r>
      <w:r>
        <w:rPr>
          <w:szCs w:val="21"/>
          <w:highlight w:val="none"/>
        </w:rPr>
        <w:t>%，分</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1</w:t>
      </w:r>
      <w:r>
        <w:rPr>
          <w:szCs w:val="21"/>
          <w:highlight w:val="none"/>
          <w:u w:val="single"/>
        </w:rPr>
        <w:t xml:space="preserve"> </w:t>
      </w:r>
      <w:r>
        <w:rPr>
          <w:szCs w:val="21"/>
          <w:highlight w:val="none"/>
        </w:rPr>
        <w:t>次支付给承包人。</w:t>
      </w:r>
      <w:bookmarkEnd w:id="247"/>
    </w:p>
    <w:p w14:paraId="5A0BF620">
      <w:pPr>
        <w:spacing w:line="400" w:lineRule="exact"/>
        <w:ind w:firstLine="411"/>
        <w:rPr>
          <w:szCs w:val="21"/>
          <w:highlight w:val="none"/>
        </w:rPr>
      </w:pPr>
      <w:bookmarkStart w:id="248" w:name="_Toc221951229"/>
      <w:r>
        <w:rPr>
          <w:szCs w:val="21"/>
          <w:highlight w:val="none"/>
        </w:rPr>
        <w:t>各次预付款的支付额度和付款时间为：</w:t>
      </w:r>
      <w:bookmarkEnd w:id="248"/>
    </w:p>
    <w:p w14:paraId="10728859">
      <w:pPr>
        <w:spacing w:line="400" w:lineRule="exact"/>
        <w:ind w:firstLine="411"/>
        <w:rPr>
          <w:szCs w:val="21"/>
          <w:highlight w:val="none"/>
        </w:rPr>
      </w:pPr>
      <w:bookmarkStart w:id="249" w:name="_Toc221951230"/>
      <w:r>
        <w:rPr>
          <w:szCs w:val="21"/>
          <w:highlight w:val="none"/>
        </w:rPr>
        <w:t>1）第一次预付款金额为工程预付款总金额的</w:t>
      </w:r>
      <w:r>
        <w:rPr>
          <w:szCs w:val="21"/>
          <w:highlight w:val="none"/>
          <w:u w:val="single"/>
        </w:rPr>
        <w:t xml:space="preserve"> 100 </w:t>
      </w:r>
      <w:r>
        <w:rPr>
          <w:szCs w:val="21"/>
          <w:highlight w:val="none"/>
        </w:rPr>
        <w:t>%，付款时间应在合同协议书签订后，由承包人向发包人提交了发包人认可的银行出具的</w:t>
      </w:r>
      <w:r>
        <w:rPr>
          <w:rFonts w:hint="eastAsia"/>
          <w:szCs w:val="21"/>
          <w:highlight w:val="none"/>
        </w:rPr>
        <w:t>等额预付款</w:t>
      </w:r>
      <w:r>
        <w:rPr>
          <w:szCs w:val="21"/>
          <w:highlight w:val="none"/>
        </w:rPr>
        <w:t>保函，并经监理人出具付款证书报送发包人批准后14天内予以支付。</w:t>
      </w:r>
      <w:bookmarkEnd w:id="249"/>
    </w:p>
    <w:p w14:paraId="79D77D64">
      <w:pPr>
        <w:spacing w:line="400" w:lineRule="exact"/>
        <w:ind w:firstLine="411"/>
        <w:rPr>
          <w:szCs w:val="21"/>
          <w:highlight w:val="none"/>
        </w:rPr>
      </w:pPr>
      <w:bookmarkStart w:id="250" w:name="_Toc221951231"/>
      <w:r>
        <w:rPr>
          <w:szCs w:val="21"/>
          <w:highlight w:val="none"/>
        </w:rPr>
        <w:t>2）第二次预付款金额为工程预付款总金额的</w:t>
      </w:r>
      <w:r>
        <w:rPr>
          <w:szCs w:val="21"/>
          <w:highlight w:val="none"/>
          <w:u w:val="single"/>
        </w:rPr>
        <w:t xml:space="preserve"> /  </w:t>
      </w:r>
      <w:r>
        <w:rPr>
          <w:szCs w:val="21"/>
          <w:highlight w:val="none"/>
        </w:rPr>
        <w:t>%。付款时间需待承包人主要设备进入工地后，其估算价值已达到本次预付款金额时，由承包人提出书面申请，经监理人核实后出具付款证书报送发包人批准后14天内予以支付。</w:t>
      </w:r>
      <w:bookmarkEnd w:id="250"/>
    </w:p>
    <w:p w14:paraId="58AFE8BC">
      <w:pPr>
        <w:spacing w:line="400" w:lineRule="exact"/>
        <w:ind w:firstLine="411"/>
        <w:rPr>
          <w:szCs w:val="21"/>
          <w:highlight w:val="none"/>
        </w:rPr>
      </w:pPr>
      <w:r>
        <w:rPr>
          <w:szCs w:val="21"/>
          <w:highlight w:val="none"/>
        </w:rPr>
        <w:t>（2）工程材料预付款的额度和预付办法约定为：</w:t>
      </w:r>
      <w:r>
        <w:rPr>
          <w:szCs w:val="21"/>
          <w:highlight w:val="none"/>
          <w:u w:val="single"/>
        </w:rPr>
        <w:t xml:space="preserve">   /  </w:t>
      </w:r>
      <w:r>
        <w:rPr>
          <w:szCs w:val="21"/>
          <w:highlight w:val="none"/>
        </w:rPr>
        <w:t>。</w:t>
      </w:r>
    </w:p>
    <w:p w14:paraId="43913BA3">
      <w:pPr>
        <w:spacing w:line="400" w:lineRule="exact"/>
        <w:ind w:firstLine="411"/>
        <w:rPr>
          <w:highlight w:val="none"/>
        </w:rPr>
      </w:pPr>
      <w:bookmarkStart w:id="251" w:name="_Toc221951235"/>
      <w:r>
        <w:rPr>
          <w:highlight w:val="none"/>
        </w:rPr>
        <w:t>17.2.2 预付款保函（担保）</w:t>
      </w:r>
    </w:p>
    <w:p w14:paraId="756B8446">
      <w:pPr>
        <w:spacing w:line="400" w:lineRule="exact"/>
        <w:ind w:firstLine="411"/>
        <w:rPr>
          <w:szCs w:val="21"/>
          <w:highlight w:val="none"/>
        </w:rPr>
      </w:pPr>
      <w:r>
        <w:rPr>
          <w:highlight w:val="none"/>
        </w:rPr>
        <w:t>（2）</w:t>
      </w:r>
      <w:bookmarkEnd w:id="251"/>
      <w:bookmarkStart w:id="252" w:name="_Toc221951236"/>
      <w:r>
        <w:rPr>
          <w:szCs w:val="21"/>
          <w:highlight w:val="none"/>
        </w:rPr>
        <w:t>工程材料预付款的担保约定为：</w:t>
      </w:r>
      <w:r>
        <w:rPr>
          <w:szCs w:val="21"/>
          <w:highlight w:val="none"/>
          <w:u w:val="single"/>
        </w:rPr>
        <w:t xml:space="preserve">  /  </w:t>
      </w:r>
      <w:r>
        <w:rPr>
          <w:szCs w:val="21"/>
          <w:highlight w:val="none"/>
        </w:rPr>
        <w:t>。</w:t>
      </w:r>
      <w:bookmarkEnd w:id="252"/>
    </w:p>
    <w:p w14:paraId="0DB0357B">
      <w:pPr>
        <w:spacing w:line="400" w:lineRule="exact"/>
        <w:ind w:firstLine="411"/>
        <w:rPr>
          <w:highlight w:val="none"/>
        </w:rPr>
      </w:pPr>
      <w:bookmarkStart w:id="253" w:name="_Toc221951237"/>
      <w:r>
        <w:rPr>
          <w:highlight w:val="none"/>
        </w:rPr>
        <w:t>17.2.3 预付款的扣回与还清</w:t>
      </w:r>
      <w:bookmarkEnd w:id="253"/>
    </w:p>
    <w:p w14:paraId="65B1ABC7">
      <w:pPr>
        <w:spacing w:line="400" w:lineRule="exact"/>
        <w:ind w:firstLine="411"/>
        <w:rPr>
          <w:szCs w:val="21"/>
          <w:highlight w:val="none"/>
        </w:rPr>
      </w:pPr>
      <w:bookmarkStart w:id="254" w:name="_Toc221951238"/>
      <w:r>
        <w:rPr>
          <w:szCs w:val="21"/>
          <w:highlight w:val="none"/>
        </w:rPr>
        <w:t>（1）工程预付款在合同累计完成金额达到签约合同价的</w:t>
      </w:r>
      <w:r>
        <w:rPr>
          <w:szCs w:val="21"/>
          <w:highlight w:val="none"/>
          <w:u w:val="single"/>
        </w:rPr>
        <w:t>20</w:t>
      </w:r>
      <w:r>
        <w:rPr>
          <w:szCs w:val="21"/>
          <w:highlight w:val="none"/>
        </w:rPr>
        <w:t>%时开始扣款，直至合同累计完成金额达到签约合同价的</w:t>
      </w:r>
      <w:r>
        <w:rPr>
          <w:szCs w:val="21"/>
          <w:highlight w:val="none"/>
          <w:u w:val="single"/>
        </w:rPr>
        <w:t xml:space="preserve">70 </w:t>
      </w:r>
      <w:r>
        <w:rPr>
          <w:szCs w:val="21"/>
          <w:highlight w:val="none"/>
        </w:rPr>
        <w:t>%时全部扣清。</w:t>
      </w:r>
      <w:bookmarkEnd w:id="254"/>
    </w:p>
    <w:p w14:paraId="1C34FE3D">
      <w:pPr>
        <w:spacing w:line="360" w:lineRule="auto"/>
        <w:ind w:right="248" w:firstLine="945"/>
        <w:rPr>
          <w:szCs w:val="21"/>
          <w:highlight w:val="none"/>
        </w:rPr>
      </w:pPr>
      <w:bookmarkStart w:id="255" w:name="_Toc221951239"/>
      <w:r>
        <w:rPr>
          <w:position w:val="-30"/>
          <w:szCs w:val="21"/>
          <w:highlight w:val="none"/>
        </w:rPr>
        <w:drawing>
          <wp:inline distT="0" distB="0" distL="0" distR="0">
            <wp:extent cx="1572895" cy="43180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stretch>
                      <a:fillRect/>
                    </a:stretch>
                  </pic:blipFill>
                  <pic:spPr>
                    <a:xfrm>
                      <a:off x="0" y="0"/>
                      <a:ext cx="1572920" cy="431799"/>
                    </a:xfrm>
                    <a:prstGeom prst="rect">
                      <a:avLst/>
                    </a:prstGeom>
                    <a:noFill/>
                    <a:ln>
                      <a:noFill/>
                    </a:ln>
                  </pic:spPr>
                </pic:pic>
              </a:graphicData>
            </a:graphic>
          </wp:inline>
        </w:drawing>
      </w:r>
      <w:bookmarkEnd w:id="255"/>
    </w:p>
    <w:p w14:paraId="7F271074">
      <w:pPr>
        <w:spacing w:line="400" w:lineRule="exact"/>
        <w:ind w:firstLine="411"/>
        <w:rPr>
          <w:szCs w:val="21"/>
          <w:highlight w:val="none"/>
        </w:rPr>
      </w:pPr>
      <w:bookmarkStart w:id="256" w:name="_Toc221951240"/>
      <w:r>
        <w:rPr>
          <w:szCs w:val="21"/>
          <w:highlight w:val="none"/>
        </w:rPr>
        <w:t>式中：R——每次进度付款中累计扣回的金额；</w:t>
      </w:r>
      <w:bookmarkEnd w:id="256"/>
    </w:p>
    <w:p w14:paraId="51E56DE8">
      <w:pPr>
        <w:spacing w:line="400" w:lineRule="exact"/>
        <w:ind w:firstLine="411"/>
        <w:rPr>
          <w:szCs w:val="21"/>
          <w:highlight w:val="none"/>
        </w:rPr>
      </w:pPr>
      <w:r>
        <w:rPr>
          <w:szCs w:val="21"/>
          <w:highlight w:val="none"/>
        </w:rPr>
        <w:t xml:space="preserve">      </w:t>
      </w:r>
      <w:bookmarkStart w:id="257" w:name="_Toc221951241"/>
      <w:r>
        <w:rPr>
          <w:szCs w:val="21"/>
          <w:highlight w:val="none"/>
        </w:rPr>
        <w:t>A——工程预付款总金额；</w:t>
      </w:r>
      <w:bookmarkEnd w:id="257"/>
    </w:p>
    <w:p w14:paraId="5CDA8B61">
      <w:pPr>
        <w:spacing w:line="400" w:lineRule="exact"/>
        <w:ind w:firstLine="411"/>
        <w:rPr>
          <w:szCs w:val="21"/>
          <w:highlight w:val="none"/>
        </w:rPr>
      </w:pPr>
      <w:r>
        <w:rPr>
          <w:szCs w:val="21"/>
          <w:highlight w:val="none"/>
        </w:rPr>
        <w:t xml:space="preserve">      </w:t>
      </w:r>
      <w:bookmarkStart w:id="258" w:name="_Toc221951242"/>
      <w:r>
        <w:rPr>
          <w:szCs w:val="21"/>
          <w:highlight w:val="none"/>
        </w:rPr>
        <w:t>S——签约合同价；</w:t>
      </w:r>
      <w:bookmarkEnd w:id="258"/>
    </w:p>
    <w:p w14:paraId="3F05BDAE">
      <w:pPr>
        <w:spacing w:line="400" w:lineRule="exact"/>
        <w:ind w:firstLine="411"/>
        <w:rPr>
          <w:szCs w:val="21"/>
          <w:highlight w:val="none"/>
        </w:rPr>
      </w:pPr>
      <w:r>
        <w:rPr>
          <w:szCs w:val="21"/>
          <w:highlight w:val="none"/>
        </w:rPr>
        <w:t xml:space="preserve">      </w:t>
      </w:r>
      <w:bookmarkStart w:id="259" w:name="_Toc221951243"/>
      <w:r>
        <w:rPr>
          <w:szCs w:val="21"/>
          <w:highlight w:val="none"/>
        </w:rPr>
        <w:t>C——合同累计完成金额；</w:t>
      </w:r>
      <w:bookmarkEnd w:id="259"/>
    </w:p>
    <w:p w14:paraId="5103EBBA">
      <w:pPr>
        <w:spacing w:line="400" w:lineRule="exact"/>
        <w:ind w:firstLine="411"/>
        <w:rPr>
          <w:szCs w:val="21"/>
          <w:highlight w:val="none"/>
        </w:rPr>
      </w:pPr>
      <w:r>
        <w:rPr>
          <w:szCs w:val="21"/>
          <w:highlight w:val="none"/>
        </w:rPr>
        <w:t xml:space="preserve">      </w:t>
      </w:r>
      <w:bookmarkStart w:id="260" w:name="_Toc221951244"/>
      <w:r>
        <w:rPr>
          <w:szCs w:val="21"/>
          <w:highlight w:val="none"/>
        </w:rPr>
        <w:t>F1——开始扣款时合同累计完成金额达到签约合同价的比例；</w:t>
      </w:r>
      <w:bookmarkEnd w:id="260"/>
    </w:p>
    <w:p w14:paraId="5C10BA7A">
      <w:pPr>
        <w:spacing w:line="400" w:lineRule="exact"/>
        <w:ind w:firstLine="411"/>
        <w:rPr>
          <w:szCs w:val="21"/>
          <w:highlight w:val="none"/>
        </w:rPr>
      </w:pPr>
      <w:r>
        <w:rPr>
          <w:szCs w:val="21"/>
          <w:highlight w:val="none"/>
        </w:rPr>
        <w:t xml:space="preserve">      </w:t>
      </w:r>
      <w:bookmarkStart w:id="261" w:name="_Toc221951245"/>
      <w:r>
        <w:rPr>
          <w:szCs w:val="21"/>
          <w:highlight w:val="none"/>
        </w:rPr>
        <w:t>F2——全部扣清时合同累计完成金额达到签约合同价的比例。</w:t>
      </w:r>
      <w:bookmarkEnd w:id="261"/>
    </w:p>
    <w:p w14:paraId="04BF9ABB">
      <w:pPr>
        <w:spacing w:line="400" w:lineRule="exact"/>
        <w:ind w:firstLine="411"/>
        <w:rPr>
          <w:szCs w:val="21"/>
          <w:highlight w:val="none"/>
        </w:rPr>
      </w:pPr>
      <w:bookmarkStart w:id="262" w:name="_Toc221951246"/>
      <w:r>
        <w:rPr>
          <w:szCs w:val="21"/>
          <w:highlight w:val="none"/>
        </w:rPr>
        <w:t>上述合同累计完成金额均指价格调整前未扣质量保证金的金额。</w:t>
      </w:r>
      <w:bookmarkEnd w:id="262"/>
    </w:p>
    <w:p w14:paraId="4C9CB906">
      <w:pPr>
        <w:spacing w:line="400" w:lineRule="exact"/>
        <w:ind w:firstLine="411"/>
        <w:rPr>
          <w:szCs w:val="21"/>
          <w:highlight w:val="none"/>
        </w:rPr>
      </w:pPr>
      <w:r>
        <w:rPr>
          <w:szCs w:val="21"/>
          <w:highlight w:val="none"/>
        </w:rPr>
        <w:t>（2）工程材料预付款的扣回与还清约定为</w:t>
      </w:r>
      <w:r>
        <w:rPr>
          <w:szCs w:val="21"/>
          <w:highlight w:val="none"/>
          <w:u w:val="single"/>
        </w:rPr>
        <w:t xml:space="preserve">  /  </w:t>
      </w:r>
      <w:r>
        <w:rPr>
          <w:szCs w:val="21"/>
          <w:highlight w:val="none"/>
        </w:rPr>
        <w:t>。</w:t>
      </w:r>
    </w:p>
    <w:p w14:paraId="235B415C">
      <w:pPr>
        <w:spacing w:line="400" w:lineRule="exact"/>
        <w:ind w:firstLine="411"/>
        <w:rPr>
          <w:rFonts w:hint="eastAsia"/>
          <w:highlight w:val="none"/>
        </w:rPr>
      </w:pPr>
      <w:bookmarkStart w:id="263" w:name="_Toc221951260"/>
      <w:r>
        <w:rPr>
          <w:rFonts w:hint="eastAsia"/>
          <w:szCs w:val="21"/>
          <w:highlight w:val="none"/>
        </w:rPr>
        <w:t>17.3</w:t>
      </w:r>
      <w:r>
        <w:rPr>
          <w:highlight w:val="none"/>
        </w:rPr>
        <w:t>工程进度付款</w:t>
      </w:r>
    </w:p>
    <w:p w14:paraId="0C133D3A">
      <w:pPr>
        <w:spacing w:line="360" w:lineRule="auto"/>
        <w:ind w:firstLine="420"/>
        <w:rPr>
          <w:rFonts w:hint="eastAsia"/>
          <w:highlight w:val="none"/>
        </w:rPr>
      </w:pPr>
      <w:r>
        <w:rPr>
          <w:rFonts w:hint="eastAsia"/>
          <w:szCs w:val="21"/>
          <w:highlight w:val="none"/>
        </w:rPr>
        <w:t>17.3</w:t>
      </w:r>
      <w:r>
        <w:rPr>
          <w:rFonts w:hint="eastAsia"/>
          <w:highlight w:val="none"/>
        </w:rPr>
        <w:t>.1支付方式：合同生效后预付10%的合同价款，工程进度过半后根据合格工程形象支付合同价的40%，工程竣工验收经审计后付至审计结算价的97%，工程质量缺陷责任期满后一个月内付清余款。</w:t>
      </w:r>
    </w:p>
    <w:p w14:paraId="3C5434BF">
      <w:pPr>
        <w:spacing w:line="400" w:lineRule="exact"/>
        <w:ind w:firstLine="411"/>
        <w:rPr>
          <w:szCs w:val="21"/>
          <w:highlight w:val="none"/>
        </w:rPr>
      </w:pPr>
      <w:r>
        <w:rPr>
          <w:szCs w:val="21"/>
          <w:highlight w:val="none"/>
        </w:rPr>
        <w:t>17.3.3进度付款证书和支付时间</w:t>
      </w:r>
    </w:p>
    <w:p w14:paraId="26A7A5FF">
      <w:pPr>
        <w:spacing w:line="400" w:lineRule="exact"/>
        <w:ind w:firstLine="411"/>
        <w:rPr>
          <w:szCs w:val="21"/>
          <w:highlight w:val="none"/>
        </w:rPr>
      </w:pPr>
      <w:r>
        <w:rPr>
          <w:szCs w:val="21"/>
          <w:highlight w:val="none"/>
        </w:rPr>
        <w:t>本款（2）中“专用合同条款的约定支付逾期付款违约金”为按中国人民银行规定的同期贷款利率计算的逾期付款金额的利息。</w:t>
      </w:r>
    </w:p>
    <w:p w14:paraId="661F0B4F">
      <w:pPr>
        <w:spacing w:line="400" w:lineRule="exact"/>
        <w:ind w:firstLine="413"/>
        <w:rPr>
          <w:b/>
          <w:highlight w:val="none"/>
        </w:rPr>
      </w:pPr>
      <w:r>
        <w:rPr>
          <w:b/>
          <w:highlight w:val="none"/>
        </w:rPr>
        <w:t xml:space="preserve">17.4  </w:t>
      </w:r>
      <w:r>
        <w:rPr>
          <w:b/>
          <w:szCs w:val="21"/>
          <w:highlight w:val="none"/>
        </w:rPr>
        <w:t>质量保证金</w:t>
      </w:r>
      <w:bookmarkEnd w:id="263"/>
    </w:p>
    <w:p w14:paraId="31D986FA">
      <w:pPr>
        <w:spacing w:line="400" w:lineRule="exact"/>
        <w:ind w:firstLine="411"/>
        <w:rPr>
          <w:szCs w:val="21"/>
          <w:highlight w:val="none"/>
        </w:rPr>
      </w:pPr>
      <w:bookmarkStart w:id="264" w:name="_Toc221951262"/>
      <w:r>
        <w:rPr>
          <w:szCs w:val="21"/>
          <w:highlight w:val="none"/>
        </w:rPr>
        <w:t xml:space="preserve">17.4.1 </w:t>
      </w:r>
      <w:bookmarkEnd w:id="264"/>
      <w:r>
        <w:rPr>
          <w:szCs w:val="21"/>
          <w:highlight w:val="none"/>
        </w:rPr>
        <w:t xml:space="preserve"> 每个付款周期扣留的质量保证金为工程进度付款的</w:t>
      </w:r>
      <w:r>
        <w:rPr>
          <w:szCs w:val="21"/>
          <w:highlight w:val="none"/>
          <w:u w:val="single"/>
        </w:rPr>
        <w:t xml:space="preserve">  </w:t>
      </w:r>
      <w:r>
        <w:rPr>
          <w:rFonts w:hint="eastAsia"/>
          <w:szCs w:val="21"/>
          <w:highlight w:val="none"/>
          <w:u w:val="single"/>
        </w:rPr>
        <w:t>/</w:t>
      </w:r>
      <w:r>
        <w:rPr>
          <w:szCs w:val="21"/>
          <w:highlight w:val="none"/>
          <w:u w:val="single"/>
        </w:rPr>
        <w:t xml:space="preserve">  </w:t>
      </w:r>
      <w:r>
        <w:rPr>
          <w:szCs w:val="21"/>
          <w:highlight w:val="none"/>
        </w:rPr>
        <w:t>%，扣留的质量保证金总额为签约合同价的</w:t>
      </w:r>
      <w:r>
        <w:rPr>
          <w:szCs w:val="21"/>
          <w:highlight w:val="none"/>
          <w:u w:val="single"/>
        </w:rPr>
        <w:t xml:space="preserve">  </w:t>
      </w:r>
      <w:r>
        <w:rPr>
          <w:rFonts w:hint="eastAsia"/>
          <w:szCs w:val="21"/>
          <w:highlight w:val="none"/>
          <w:u w:val="single"/>
        </w:rPr>
        <w:t>3</w:t>
      </w:r>
      <w:r>
        <w:rPr>
          <w:szCs w:val="21"/>
          <w:highlight w:val="none"/>
          <w:u w:val="single"/>
        </w:rPr>
        <w:t xml:space="preserve">  </w:t>
      </w:r>
      <w:r>
        <w:rPr>
          <w:szCs w:val="21"/>
          <w:highlight w:val="none"/>
        </w:rPr>
        <w:t xml:space="preserve">%。 </w:t>
      </w:r>
    </w:p>
    <w:p w14:paraId="2002E83B">
      <w:pPr>
        <w:spacing w:line="400" w:lineRule="exact"/>
        <w:ind w:firstLine="413"/>
        <w:rPr>
          <w:b/>
          <w:highlight w:val="none"/>
        </w:rPr>
      </w:pPr>
      <w:r>
        <w:rPr>
          <w:b/>
          <w:highlight w:val="none"/>
        </w:rPr>
        <w:t>17.5  审计保留金</w:t>
      </w:r>
    </w:p>
    <w:p w14:paraId="2C931D37">
      <w:pPr>
        <w:spacing w:line="400" w:lineRule="exact"/>
        <w:ind w:firstLine="411"/>
        <w:rPr>
          <w:szCs w:val="21"/>
          <w:highlight w:val="none"/>
        </w:rPr>
      </w:pPr>
      <w:r>
        <w:rPr>
          <w:szCs w:val="21"/>
          <w:highlight w:val="none"/>
        </w:rPr>
        <w:t>监理人应从第一次付款开始，在发包人的进度付款中，按</w:t>
      </w:r>
      <w:r>
        <w:rPr>
          <w:szCs w:val="21"/>
          <w:highlight w:val="none"/>
          <w:u w:val="single"/>
        </w:rPr>
        <w:t xml:space="preserve"> </w:t>
      </w:r>
      <w:r>
        <w:rPr>
          <w:rFonts w:hint="eastAsia"/>
          <w:szCs w:val="21"/>
          <w:highlight w:val="none"/>
          <w:u w:val="single"/>
        </w:rPr>
        <w:t>/</w:t>
      </w:r>
      <w:r>
        <w:rPr>
          <w:szCs w:val="21"/>
          <w:highlight w:val="none"/>
        </w:rPr>
        <w:t>％的比例扣留审计保留金。审计保留金待审计结束后根据审计结果在14天内退还部分或全部。</w:t>
      </w:r>
    </w:p>
    <w:p w14:paraId="703E6084">
      <w:pPr>
        <w:spacing w:line="400" w:lineRule="exact"/>
        <w:ind w:firstLine="413"/>
        <w:rPr>
          <w:b/>
          <w:highlight w:val="none"/>
        </w:rPr>
      </w:pPr>
      <w:bookmarkStart w:id="265" w:name="_Toc221951265"/>
      <w:r>
        <w:rPr>
          <w:b/>
          <w:highlight w:val="none"/>
        </w:rPr>
        <w:t xml:space="preserve">17.5  </w:t>
      </w:r>
      <w:r>
        <w:rPr>
          <w:b/>
          <w:szCs w:val="21"/>
          <w:highlight w:val="none"/>
        </w:rPr>
        <w:t>竣工</w:t>
      </w:r>
      <w:r>
        <w:rPr>
          <w:b/>
          <w:highlight w:val="none"/>
        </w:rPr>
        <w:t>（完工）结算</w:t>
      </w:r>
      <w:bookmarkEnd w:id="265"/>
    </w:p>
    <w:p w14:paraId="6971DCB7">
      <w:pPr>
        <w:spacing w:line="400" w:lineRule="exact"/>
        <w:ind w:firstLine="411"/>
        <w:rPr>
          <w:highlight w:val="none"/>
        </w:rPr>
      </w:pPr>
      <w:bookmarkStart w:id="266" w:name="_Toc221951266"/>
      <w:r>
        <w:rPr>
          <w:highlight w:val="none"/>
        </w:rPr>
        <w:t>17.5.1  竣工（完工）付款申请单</w:t>
      </w:r>
      <w:bookmarkEnd w:id="266"/>
      <w:r>
        <w:rPr>
          <w:highlight w:val="none"/>
        </w:rPr>
        <w:t xml:space="preserve"> </w:t>
      </w:r>
    </w:p>
    <w:p w14:paraId="42505D54">
      <w:pPr>
        <w:spacing w:line="400" w:lineRule="exact"/>
        <w:ind w:firstLine="411"/>
        <w:rPr>
          <w:szCs w:val="21"/>
          <w:highlight w:val="none"/>
        </w:rPr>
      </w:pPr>
      <w:bookmarkStart w:id="267" w:name="_Toc221951267"/>
      <w:r>
        <w:rPr>
          <w:szCs w:val="21"/>
          <w:highlight w:val="none"/>
        </w:rPr>
        <w:t>（1）承包人应提交完工付款申请单一式</w:t>
      </w:r>
      <w:r>
        <w:rPr>
          <w:szCs w:val="21"/>
          <w:highlight w:val="none"/>
          <w:u w:val="single"/>
        </w:rPr>
        <w:t xml:space="preserve">  4 </w:t>
      </w:r>
      <w:r>
        <w:rPr>
          <w:szCs w:val="21"/>
          <w:highlight w:val="none"/>
        </w:rPr>
        <w:t>份。</w:t>
      </w:r>
      <w:bookmarkEnd w:id="267"/>
    </w:p>
    <w:p w14:paraId="2A15740E">
      <w:pPr>
        <w:spacing w:line="400" w:lineRule="exact"/>
        <w:ind w:firstLine="413"/>
        <w:rPr>
          <w:b/>
          <w:highlight w:val="none"/>
        </w:rPr>
      </w:pPr>
      <w:bookmarkStart w:id="268" w:name="_Toc221951268"/>
      <w:r>
        <w:rPr>
          <w:b/>
          <w:highlight w:val="none"/>
        </w:rPr>
        <w:t xml:space="preserve">17.6  </w:t>
      </w:r>
      <w:bookmarkEnd w:id="268"/>
      <w:r>
        <w:rPr>
          <w:b/>
          <w:szCs w:val="21"/>
          <w:highlight w:val="none"/>
        </w:rPr>
        <w:t>最终结清</w:t>
      </w:r>
    </w:p>
    <w:p w14:paraId="1D9BC654">
      <w:pPr>
        <w:spacing w:line="400" w:lineRule="exact"/>
        <w:ind w:firstLine="411"/>
        <w:rPr>
          <w:highlight w:val="none"/>
        </w:rPr>
      </w:pPr>
      <w:bookmarkStart w:id="269" w:name="_Toc221951269"/>
      <w:r>
        <w:rPr>
          <w:highlight w:val="none"/>
        </w:rPr>
        <w:t xml:space="preserve">17.6 1  </w:t>
      </w:r>
      <w:r>
        <w:rPr>
          <w:szCs w:val="21"/>
          <w:highlight w:val="none"/>
        </w:rPr>
        <w:t>最终结清申请单</w:t>
      </w:r>
      <w:bookmarkEnd w:id="269"/>
    </w:p>
    <w:p w14:paraId="6FA4F6FA">
      <w:pPr>
        <w:spacing w:line="400" w:lineRule="exact"/>
        <w:ind w:firstLine="411"/>
        <w:rPr>
          <w:szCs w:val="21"/>
          <w:highlight w:val="none"/>
        </w:rPr>
      </w:pPr>
      <w:bookmarkStart w:id="270" w:name="_Toc221951270"/>
      <w:r>
        <w:rPr>
          <w:szCs w:val="21"/>
          <w:highlight w:val="none"/>
        </w:rPr>
        <w:t>（1）承包人应提交最终结清申请单一式</w:t>
      </w:r>
      <w:r>
        <w:rPr>
          <w:szCs w:val="21"/>
          <w:highlight w:val="none"/>
          <w:u w:val="single"/>
        </w:rPr>
        <w:t xml:space="preserve"> 4 </w:t>
      </w:r>
      <w:r>
        <w:rPr>
          <w:szCs w:val="21"/>
          <w:highlight w:val="none"/>
        </w:rPr>
        <w:t>份。</w:t>
      </w:r>
      <w:bookmarkEnd w:id="270"/>
    </w:p>
    <w:p w14:paraId="7B572C31">
      <w:pPr>
        <w:spacing w:line="400" w:lineRule="exact"/>
        <w:ind w:firstLine="413"/>
        <w:rPr>
          <w:b/>
          <w:szCs w:val="21"/>
          <w:highlight w:val="none"/>
        </w:rPr>
      </w:pPr>
      <w:r>
        <w:rPr>
          <w:b/>
          <w:szCs w:val="21"/>
          <w:highlight w:val="none"/>
        </w:rPr>
        <w:t>17.7 竣工财务决算</w:t>
      </w:r>
    </w:p>
    <w:p w14:paraId="7A1497E0">
      <w:pPr>
        <w:spacing w:line="400" w:lineRule="exact"/>
        <w:ind w:firstLine="411"/>
        <w:rPr>
          <w:szCs w:val="21"/>
          <w:highlight w:val="none"/>
        </w:rPr>
      </w:pPr>
      <w:r>
        <w:rPr>
          <w:szCs w:val="21"/>
          <w:highlight w:val="none"/>
        </w:rPr>
        <w:t>承包人应为竣工财务决算编制提供的资料：完工结算资料。</w:t>
      </w:r>
    </w:p>
    <w:p w14:paraId="21750F29">
      <w:pPr>
        <w:spacing w:line="400" w:lineRule="exact"/>
        <w:ind w:firstLine="413"/>
        <w:rPr>
          <w:b/>
          <w:highlight w:val="none"/>
        </w:rPr>
      </w:pPr>
      <w:bookmarkStart w:id="271" w:name="_Toc222029542"/>
      <w:bookmarkStart w:id="272" w:name="_Toc222032711"/>
      <w:bookmarkStart w:id="273" w:name="_Toc221951299"/>
      <w:bookmarkStart w:id="274" w:name="_Toc222031044"/>
      <w:bookmarkStart w:id="275" w:name="_Toc229305400"/>
      <w:bookmarkStart w:id="276" w:name="_Toc222033893"/>
      <w:r>
        <w:rPr>
          <w:b/>
          <w:highlight w:val="none"/>
        </w:rPr>
        <w:t>18.交通验收</w:t>
      </w:r>
    </w:p>
    <w:p w14:paraId="784982CA">
      <w:pPr>
        <w:spacing w:line="400" w:lineRule="exact"/>
        <w:ind w:firstLine="413"/>
        <w:rPr>
          <w:b/>
          <w:highlight w:val="none"/>
        </w:rPr>
      </w:pPr>
      <w:r>
        <w:rPr>
          <w:b/>
          <w:highlight w:val="none"/>
        </w:rPr>
        <w:t>18.3.7组织办理交工验收和签发交工验收的费用由承包人承担。</w:t>
      </w:r>
    </w:p>
    <w:p w14:paraId="6BE9B2A7">
      <w:pPr>
        <w:spacing w:line="400" w:lineRule="exact"/>
        <w:ind w:firstLine="413"/>
        <w:rPr>
          <w:b/>
          <w:highlight w:val="none"/>
        </w:rPr>
      </w:pPr>
      <w:r>
        <w:rPr>
          <w:b/>
          <w:highlight w:val="none"/>
        </w:rPr>
        <w:t>18.10 合同验收执行水利工程验收相关规定，分部工程验收、单位工程验收及合同</w:t>
      </w:r>
      <w:r>
        <w:rPr>
          <w:rFonts w:hint="eastAsia"/>
          <w:b/>
          <w:highlight w:val="none"/>
        </w:rPr>
        <w:t>完工</w:t>
      </w:r>
      <w:r>
        <w:rPr>
          <w:b/>
          <w:highlight w:val="none"/>
        </w:rPr>
        <w:t>验收的验收相关费用均包含在投标报价中，由承包人承担。</w:t>
      </w:r>
    </w:p>
    <w:p w14:paraId="4619076F">
      <w:pPr>
        <w:spacing w:line="400" w:lineRule="exact"/>
        <w:ind w:firstLine="413"/>
        <w:rPr>
          <w:b/>
          <w:highlight w:val="none"/>
        </w:rPr>
      </w:pPr>
      <w:r>
        <w:rPr>
          <w:b/>
          <w:highlight w:val="none"/>
        </w:rPr>
        <w:t>19 缺陷责任与保修责任</w:t>
      </w:r>
    </w:p>
    <w:p w14:paraId="541657C7">
      <w:pPr>
        <w:spacing w:line="400" w:lineRule="exact"/>
        <w:ind w:firstLine="413"/>
        <w:rPr>
          <w:b/>
          <w:highlight w:val="none"/>
        </w:rPr>
      </w:pPr>
      <w:r>
        <w:rPr>
          <w:b/>
          <w:highlight w:val="none"/>
        </w:rPr>
        <w:t>19.1缺陷责任期（工程质量保修期）的起算时间</w:t>
      </w:r>
    </w:p>
    <w:p w14:paraId="42F3B93B">
      <w:pPr>
        <w:spacing w:line="400" w:lineRule="exact"/>
        <w:ind w:firstLine="411"/>
        <w:rPr>
          <w:highlight w:val="none"/>
        </w:rPr>
      </w:pPr>
      <w:r>
        <w:rPr>
          <w:highlight w:val="none"/>
        </w:rPr>
        <w:t>本工程缺陷责任期（工程质量保修期）计算如下：缺陷责任期为颁发合同完工证书之日起，</w:t>
      </w:r>
      <w:r>
        <w:rPr>
          <w:rFonts w:hint="eastAsia"/>
          <w:highlight w:val="none"/>
        </w:rPr>
        <w:t>监理工程师签发缺陷责任期终止证书之日</w:t>
      </w:r>
      <w:r>
        <w:rPr>
          <w:highlight w:val="none"/>
        </w:rPr>
        <w:t>。</w:t>
      </w:r>
    </w:p>
    <w:p w14:paraId="207EBE72">
      <w:pPr>
        <w:spacing w:line="400" w:lineRule="exact"/>
        <w:ind w:firstLine="413"/>
        <w:rPr>
          <w:b/>
          <w:highlight w:val="none"/>
        </w:rPr>
      </w:pPr>
      <w:r>
        <w:rPr>
          <w:b/>
          <w:highlight w:val="none"/>
        </w:rPr>
        <w:t>19.7保修责任</w:t>
      </w:r>
    </w:p>
    <w:p w14:paraId="06AFF6A2">
      <w:pPr>
        <w:spacing w:line="400" w:lineRule="exact"/>
        <w:ind w:firstLine="411"/>
        <w:rPr>
          <w:highlight w:val="none"/>
        </w:rPr>
      </w:pPr>
      <w:r>
        <w:rPr>
          <w:highlight w:val="none"/>
        </w:rPr>
        <w:t>本工程保修的范围为施工合同全部内容，由</w:t>
      </w:r>
      <w:r>
        <w:rPr>
          <w:rFonts w:hint="eastAsia"/>
          <w:highlight w:val="none"/>
        </w:rPr>
        <w:t>管理</w:t>
      </w:r>
      <w:r>
        <w:rPr>
          <w:highlight w:val="none"/>
        </w:rPr>
        <w:t>人承担保修责任。</w:t>
      </w:r>
    </w:p>
    <w:p w14:paraId="1904FF0F">
      <w:pPr>
        <w:spacing w:line="400" w:lineRule="exact"/>
        <w:ind w:firstLine="413"/>
        <w:rPr>
          <w:b/>
          <w:highlight w:val="none"/>
        </w:rPr>
      </w:pPr>
      <w:r>
        <w:rPr>
          <w:b/>
          <w:highlight w:val="none"/>
        </w:rPr>
        <w:t xml:space="preserve">20 . </w:t>
      </w:r>
      <w:r>
        <w:rPr>
          <w:b/>
          <w:szCs w:val="21"/>
          <w:highlight w:val="none"/>
        </w:rPr>
        <w:t>保险</w:t>
      </w:r>
      <w:bookmarkEnd w:id="271"/>
      <w:bookmarkEnd w:id="272"/>
      <w:bookmarkEnd w:id="273"/>
      <w:bookmarkEnd w:id="274"/>
      <w:bookmarkEnd w:id="275"/>
      <w:bookmarkEnd w:id="276"/>
    </w:p>
    <w:p w14:paraId="4B7E04D3">
      <w:pPr>
        <w:spacing w:line="400" w:lineRule="exact"/>
        <w:ind w:firstLine="413"/>
        <w:rPr>
          <w:b/>
          <w:highlight w:val="none"/>
        </w:rPr>
      </w:pPr>
      <w:bookmarkStart w:id="277" w:name="_Toc221951321"/>
      <w:r>
        <w:rPr>
          <w:b/>
          <w:highlight w:val="none"/>
        </w:rPr>
        <w:t xml:space="preserve">20.1  </w:t>
      </w:r>
      <w:r>
        <w:rPr>
          <w:b/>
          <w:szCs w:val="21"/>
          <w:highlight w:val="none"/>
        </w:rPr>
        <w:t>工程保险</w:t>
      </w:r>
      <w:bookmarkEnd w:id="277"/>
    </w:p>
    <w:p w14:paraId="35997FBE">
      <w:pPr>
        <w:spacing w:line="400" w:lineRule="exact"/>
        <w:ind w:firstLine="411"/>
        <w:rPr>
          <w:szCs w:val="21"/>
          <w:highlight w:val="none"/>
        </w:rPr>
      </w:pPr>
      <w:bookmarkStart w:id="278" w:name="_Toc221951323"/>
      <w:r>
        <w:rPr>
          <w:szCs w:val="21"/>
          <w:highlight w:val="none"/>
        </w:rPr>
        <w:t>建筑工程一切险和（或）安装工程一切险投保人：</w:t>
      </w:r>
      <w:r>
        <w:rPr>
          <w:szCs w:val="21"/>
          <w:highlight w:val="none"/>
          <w:u w:val="single"/>
        </w:rPr>
        <w:t xml:space="preserve">  由承包人以发包人和承包人共同名义办理  </w:t>
      </w:r>
      <w:r>
        <w:rPr>
          <w:szCs w:val="21"/>
          <w:highlight w:val="none"/>
        </w:rPr>
        <w:t xml:space="preserve">；                        </w:t>
      </w:r>
    </w:p>
    <w:p w14:paraId="0EC86A8D">
      <w:pPr>
        <w:spacing w:line="400" w:lineRule="exact"/>
        <w:ind w:firstLine="411"/>
        <w:rPr>
          <w:szCs w:val="21"/>
          <w:highlight w:val="none"/>
        </w:rPr>
      </w:pPr>
      <w:r>
        <w:rPr>
          <w:szCs w:val="21"/>
          <w:highlight w:val="none"/>
        </w:rPr>
        <w:t>投保内容：</w:t>
      </w:r>
      <w:r>
        <w:rPr>
          <w:szCs w:val="21"/>
          <w:highlight w:val="none"/>
          <w:u w:val="single"/>
        </w:rPr>
        <w:t xml:space="preserve">    本招标工程全部工作内容   </w:t>
      </w:r>
      <w:r>
        <w:rPr>
          <w:szCs w:val="21"/>
          <w:highlight w:val="none"/>
        </w:rPr>
        <w:t xml:space="preserve">；                                                      </w:t>
      </w:r>
    </w:p>
    <w:p w14:paraId="6B89E3AC">
      <w:pPr>
        <w:spacing w:line="400" w:lineRule="exact"/>
        <w:ind w:firstLine="411"/>
        <w:rPr>
          <w:rFonts w:hint="eastAsia"/>
          <w:szCs w:val="21"/>
          <w:highlight w:val="none"/>
        </w:rPr>
      </w:pPr>
      <w:r>
        <w:rPr>
          <w:szCs w:val="21"/>
          <w:highlight w:val="none"/>
        </w:rPr>
        <w:t>保险金额、保险费率和保险期限：</w:t>
      </w:r>
      <w:r>
        <w:rPr>
          <w:szCs w:val="21"/>
          <w:highlight w:val="none"/>
          <w:u w:val="single"/>
        </w:rPr>
        <w:t xml:space="preserve"> 保险费率由承包人自行调查，期限为工程施工期  </w:t>
      </w:r>
      <w:r>
        <w:rPr>
          <w:szCs w:val="21"/>
          <w:highlight w:val="none"/>
        </w:rPr>
        <w:t>。</w:t>
      </w:r>
    </w:p>
    <w:p w14:paraId="5D2D4E40">
      <w:pPr>
        <w:spacing w:line="400" w:lineRule="exact"/>
        <w:ind w:firstLine="413"/>
        <w:rPr>
          <w:rFonts w:hint="eastAsia"/>
          <w:b/>
          <w:szCs w:val="21"/>
          <w:highlight w:val="none"/>
          <w:u w:val="single"/>
        </w:rPr>
      </w:pPr>
      <w:r>
        <w:rPr>
          <w:rFonts w:hint="eastAsia"/>
          <w:b/>
          <w:szCs w:val="21"/>
          <w:highlight w:val="none"/>
        </w:rPr>
        <w:t>20.2工伤保险</w:t>
      </w:r>
    </w:p>
    <w:p w14:paraId="7B0CA64C">
      <w:pPr>
        <w:spacing w:line="400" w:lineRule="exact"/>
        <w:ind w:firstLine="413"/>
        <w:rPr>
          <w:b/>
          <w:szCs w:val="21"/>
          <w:highlight w:val="none"/>
          <w:u w:val="single"/>
        </w:rPr>
      </w:pPr>
      <w:r>
        <w:rPr>
          <w:rFonts w:hint="eastAsia"/>
          <w:b/>
          <w:szCs w:val="21"/>
          <w:highlight w:val="none"/>
          <w:u w:val="single"/>
        </w:rPr>
        <w:t>承包人员工伤保险按照“省人力资源和社会保障厅省住房和城乡建设厅省交通运输厅省水利厅省安全生产监督管理局省总工会关于深入推进建筑交通运输水利建设项目参加工伤保险工作的通知（苏人社发[2017]126号）”文件执行。</w:t>
      </w:r>
    </w:p>
    <w:p w14:paraId="2225CE8C">
      <w:pPr>
        <w:spacing w:line="400" w:lineRule="exact"/>
        <w:ind w:firstLine="413"/>
        <w:rPr>
          <w:b/>
          <w:highlight w:val="none"/>
        </w:rPr>
      </w:pPr>
      <w:r>
        <w:rPr>
          <w:b/>
          <w:highlight w:val="none"/>
        </w:rPr>
        <w:t>20.3  人身意外伤害险</w:t>
      </w:r>
    </w:p>
    <w:p w14:paraId="5EF124C1">
      <w:pPr>
        <w:spacing w:line="400" w:lineRule="exact"/>
        <w:ind w:firstLine="411"/>
        <w:rPr>
          <w:szCs w:val="21"/>
          <w:highlight w:val="none"/>
        </w:rPr>
      </w:pPr>
      <w:r>
        <w:rPr>
          <w:szCs w:val="21"/>
          <w:highlight w:val="none"/>
        </w:rPr>
        <w:t>20.3.3承包人应分别为发包人人员办理人身意外伤害险，人数按照</w:t>
      </w:r>
      <w:r>
        <w:rPr>
          <w:rFonts w:hint="eastAsia"/>
          <w:szCs w:val="21"/>
          <w:highlight w:val="none"/>
        </w:rPr>
        <w:t>3</w:t>
      </w:r>
      <w:r>
        <w:rPr>
          <w:szCs w:val="21"/>
          <w:highlight w:val="none"/>
        </w:rPr>
        <w:t>人考虑。其费用列入“措施项目清单计价表”内对应项目，否则，将从承包人月进度付款中扣除相应费用由发包人自行办理。</w:t>
      </w:r>
    </w:p>
    <w:p w14:paraId="779F82B9">
      <w:pPr>
        <w:spacing w:line="400" w:lineRule="exact"/>
        <w:ind w:firstLine="411"/>
        <w:rPr>
          <w:b/>
          <w:highlight w:val="none"/>
        </w:rPr>
      </w:pPr>
      <w:r>
        <w:rPr>
          <w:szCs w:val="21"/>
          <w:highlight w:val="none"/>
        </w:rPr>
        <w:t>20.3.4 承包人投保的人身意外伤害险费用</w:t>
      </w:r>
      <w:r>
        <w:rPr>
          <w:rFonts w:hint="eastAsia"/>
          <w:szCs w:val="21"/>
          <w:highlight w:val="none"/>
        </w:rPr>
        <w:t>应</w:t>
      </w:r>
      <w:r>
        <w:rPr>
          <w:szCs w:val="21"/>
          <w:highlight w:val="none"/>
        </w:rPr>
        <w:t>含在投标总价中</w:t>
      </w:r>
      <w:r>
        <w:rPr>
          <w:rFonts w:hint="eastAsia"/>
          <w:szCs w:val="21"/>
          <w:highlight w:val="none"/>
        </w:rPr>
        <w:t>，</w:t>
      </w:r>
      <w:r>
        <w:rPr>
          <w:szCs w:val="21"/>
          <w:highlight w:val="none"/>
        </w:rPr>
        <w:t>发包人不</w:t>
      </w:r>
      <w:r>
        <w:rPr>
          <w:rFonts w:hint="eastAsia"/>
          <w:szCs w:val="21"/>
          <w:highlight w:val="none"/>
        </w:rPr>
        <w:t>再</w:t>
      </w:r>
      <w:r>
        <w:rPr>
          <w:szCs w:val="21"/>
          <w:highlight w:val="none"/>
        </w:rPr>
        <w:t>另行支付，若承包人不按时办理保险，由承包人承担全部责任。</w:t>
      </w:r>
    </w:p>
    <w:p w14:paraId="40386F37">
      <w:pPr>
        <w:spacing w:line="400" w:lineRule="exact"/>
        <w:ind w:firstLine="413"/>
        <w:rPr>
          <w:b/>
          <w:highlight w:val="none"/>
        </w:rPr>
      </w:pPr>
      <w:r>
        <w:rPr>
          <w:b/>
          <w:highlight w:val="none"/>
        </w:rPr>
        <w:t xml:space="preserve">20.4  </w:t>
      </w:r>
      <w:r>
        <w:rPr>
          <w:b/>
          <w:szCs w:val="21"/>
          <w:highlight w:val="none"/>
        </w:rPr>
        <w:t>第三者责任险</w:t>
      </w:r>
      <w:bookmarkEnd w:id="278"/>
    </w:p>
    <w:p w14:paraId="79CDBFE2">
      <w:pPr>
        <w:spacing w:line="400" w:lineRule="exact"/>
        <w:ind w:firstLine="411"/>
        <w:rPr>
          <w:szCs w:val="21"/>
          <w:highlight w:val="none"/>
        </w:rPr>
      </w:pPr>
      <w:bookmarkStart w:id="279" w:name="_Toc221951325"/>
      <w:r>
        <w:rPr>
          <w:szCs w:val="21"/>
          <w:highlight w:val="none"/>
        </w:rPr>
        <w:t>第三者责任险保险费率：</w:t>
      </w:r>
      <w:r>
        <w:rPr>
          <w:szCs w:val="21"/>
          <w:highlight w:val="none"/>
          <w:u w:val="single"/>
        </w:rPr>
        <w:t xml:space="preserve">    承包人自行调查   </w:t>
      </w:r>
      <w:r>
        <w:rPr>
          <w:szCs w:val="21"/>
          <w:highlight w:val="none"/>
        </w:rPr>
        <w:t>；</w:t>
      </w:r>
    </w:p>
    <w:p w14:paraId="6FB224AB">
      <w:pPr>
        <w:spacing w:line="400" w:lineRule="exact"/>
        <w:ind w:firstLine="411"/>
        <w:rPr>
          <w:highlight w:val="none"/>
        </w:rPr>
      </w:pPr>
      <w:r>
        <w:rPr>
          <w:szCs w:val="21"/>
          <w:highlight w:val="none"/>
        </w:rPr>
        <w:t>第三者责任险保险金额：</w:t>
      </w:r>
      <w:r>
        <w:rPr>
          <w:szCs w:val="21"/>
          <w:highlight w:val="none"/>
          <w:u w:val="single"/>
        </w:rPr>
        <w:t xml:space="preserve">                      </w:t>
      </w:r>
      <w:r>
        <w:rPr>
          <w:szCs w:val="21"/>
          <w:highlight w:val="none"/>
        </w:rPr>
        <w:t>。</w:t>
      </w:r>
    </w:p>
    <w:p w14:paraId="42B21CB5">
      <w:pPr>
        <w:spacing w:line="400" w:lineRule="exact"/>
        <w:ind w:firstLine="413"/>
        <w:rPr>
          <w:b/>
          <w:szCs w:val="21"/>
          <w:highlight w:val="none"/>
        </w:rPr>
      </w:pPr>
      <w:r>
        <w:rPr>
          <w:b/>
          <w:highlight w:val="none"/>
        </w:rPr>
        <w:t xml:space="preserve">20.5 </w:t>
      </w:r>
      <w:r>
        <w:rPr>
          <w:rFonts w:hint="eastAsia"/>
          <w:b/>
          <w:szCs w:val="21"/>
          <w:highlight w:val="none"/>
        </w:rPr>
        <w:t>安全生产责任</w:t>
      </w:r>
      <w:r>
        <w:rPr>
          <w:b/>
          <w:szCs w:val="21"/>
          <w:highlight w:val="none"/>
        </w:rPr>
        <w:t>险</w:t>
      </w:r>
    </w:p>
    <w:p w14:paraId="19CE04D8">
      <w:pPr>
        <w:spacing w:line="400" w:lineRule="exact"/>
        <w:ind w:firstLine="411"/>
        <w:rPr>
          <w:szCs w:val="21"/>
          <w:highlight w:val="none"/>
        </w:rPr>
      </w:pPr>
      <w:r>
        <w:rPr>
          <w:rFonts w:hint="eastAsia"/>
          <w:szCs w:val="21"/>
          <w:highlight w:val="none"/>
        </w:rPr>
        <w:t>安全生产责任</w:t>
      </w:r>
      <w:r>
        <w:rPr>
          <w:szCs w:val="21"/>
          <w:highlight w:val="none"/>
        </w:rPr>
        <w:t>险保险费率：</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p>
    <w:p w14:paraId="15D624C5">
      <w:pPr>
        <w:pStyle w:val="197"/>
        <w:ind w:firstLine="420"/>
        <w:rPr>
          <w:highlight w:val="none"/>
        </w:rPr>
      </w:pPr>
      <w:r>
        <w:rPr>
          <w:rFonts w:hint="eastAsia" w:ascii="Times New Roman" w:hAnsi="Times New Roman"/>
          <w:b w:val="0"/>
          <w:bCs w:val="0"/>
          <w:szCs w:val="21"/>
          <w:highlight w:val="none"/>
        </w:rPr>
        <w:t>安全生产责任</w:t>
      </w:r>
      <w:r>
        <w:rPr>
          <w:rFonts w:ascii="Times New Roman" w:hAnsi="Times New Roman"/>
          <w:b w:val="0"/>
          <w:bCs w:val="0"/>
          <w:szCs w:val="21"/>
          <w:highlight w:val="none"/>
        </w:rPr>
        <w:t>险保险金额：</w:t>
      </w:r>
      <w:r>
        <w:rPr>
          <w:b w:val="0"/>
          <w:bCs w:val="0"/>
          <w:szCs w:val="21"/>
          <w:highlight w:val="none"/>
          <w:u w:val="single"/>
        </w:rPr>
        <w:t xml:space="preserve">                     </w:t>
      </w:r>
      <w:r>
        <w:rPr>
          <w:b w:val="0"/>
          <w:bCs w:val="0"/>
          <w:szCs w:val="21"/>
          <w:highlight w:val="none"/>
        </w:rPr>
        <w:t>。</w:t>
      </w:r>
    </w:p>
    <w:p w14:paraId="5BBB4E50">
      <w:pPr>
        <w:spacing w:line="400" w:lineRule="exact"/>
        <w:ind w:firstLine="422"/>
        <w:rPr>
          <w:b/>
          <w:highlight w:val="none"/>
        </w:rPr>
      </w:pPr>
      <w:r>
        <w:rPr>
          <w:rFonts w:hint="eastAsia"/>
          <w:b/>
          <w:szCs w:val="21"/>
          <w:highlight w:val="none"/>
        </w:rPr>
        <w:t>20.6</w:t>
      </w:r>
      <w:r>
        <w:rPr>
          <w:b/>
          <w:szCs w:val="21"/>
          <w:highlight w:val="none"/>
        </w:rPr>
        <w:t>其他保险</w:t>
      </w:r>
      <w:bookmarkEnd w:id="279"/>
    </w:p>
    <w:p w14:paraId="0EA7258C">
      <w:pPr>
        <w:spacing w:line="400" w:lineRule="exact"/>
        <w:ind w:firstLine="411"/>
        <w:rPr>
          <w:szCs w:val="21"/>
          <w:highlight w:val="none"/>
        </w:rPr>
      </w:pPr>
      <w:bookmarkStart w:id="280" w:name="_Toc221951327"/>
      <w:r>
        <w:rPr>
          <w:szCs w:val="21"/>
          <w:highlight w:val="none"/>
        </w:rPr>
        <w:t>需要投保的其他内容：</w:t>
      </w:r>
      <w:r>
        <w:rPr>
          <w:szCs w:val="21"/>
          <w:highlight w:val="none"/>
          <w:u w:val="single"/>
        </w:rPr>
        <w:t xml:space="preserve">  承包人应为其进场的施工设备、材料和工程设备等办理保险，此项费用不单独列项</w:t>
      </w:r>
      <w:r>
        <w:rPr>
          <w:rFonts w:hint="eastAsia"/>
          <w:szCs w:val="21"/>
          <w:highlight w:val="none"/>
          <w:u w:val="single"/>
          <w:lang w:eastAsia="zh-CN"/>
        </w:rPr>
        <w:t>，包</w:t>
      </w:r>
      <w:r>
        <w:rPr>
          <w:szCs w:val="21"/>
          <w:highlight w:val="none"/>
          <w:u w:val="single"/>
        </w:rPr>
        <w:t xml:space="preserve">含在合同报价中  </w:t>
      </w:r>
      <w:r>
        <w:rPr>
          <w:szCs w:val="21"/>
          <w:highlight w:val="none"/>
        </w:rPr>
        <w:t>；</w:t>
      </w:r>
    </w:p>
    <w:p w14:paraId="01F04A8F">
      <w:pPr>
        <w:spacing w:line="400" w:lineRule="exact"/>
        <w:ind w:firstLine="411"/>
        <w:rPr>
          <w:szCs w:val="21"/>
          <w:highlight w:val="none"/>
        </w:rPr>
      </w:pPr>
      <w:r>
        <w:rPr>
          <w:szCs w:val="21"/>
          <w:highlight w:val="none"/>
        </w:rPr>
        <w:t>保险金额、保险费率和保险期限：</w:t>
      </w:r>
      <w:r>
        <w:rPr>
          <w:szCs w:val="21"/>
          <w:highlight w:val="none"/>
          <w:u w:val="single"/>
        </w:rPr>
        <w:t xml:space="preserve">   保险费率由承包人自行调查，期限为工程施工期  </w:t>
      </w:r>
      <w:r>
        <w:rPr>
          <w:szCs w:val="21"/>
          <w:highlight w:val="none"/>
        </w:rPr>
        <w:t>。</w:t>
      </w:r>
    </w:p>
    <w:p w14:paraId="021724BF">
      <w:pPr>
        <w:spacing w:line="400" w:lineRule="exact"/>
        <w:ind w:firstLine="413"/>
        <w:rPr>
          <w:b/>
          <w:highlight w:val="none"/>
        </w:rPr>
      </w:pPr>
      <w:r>
        <w:rPr>
          <w:b/>
          <w:highlight w:val="none"/>
        </w:rPr>
        <w:t>20.</w:t>
      </w:r>
      <w:r>
        <w:rPr>
          <w:rFonts w:hint="eastAsia"/>
          <w:b/>
          <w:highlight w:val="none"/>
        </w:rPr>
        <w:t>7</w:t>
      </w:r>
      <w:r>
        <w:rPr>
          <w:b/>
          <w:highlight w:val="none"/>
        </w:rPr>
        <w:t xml:space="preserve">  </w:t>
      </w:r>
      <w:r>
        <w:rPr>
          <w:b/>
          <w:szCs w:val="21"/>
          <w:highlight w:val="none"/>
        </w:rPr>
        <w:t>对各项保险的一般要求</w:t>
      </w:r>
      <w:bookmarkEnd w:id="280"/>
    </w:p>
    <w:p w14:paraId="0D8A329D">
      <w:pPr>
        <w:spacing w:line="400" w:lineRule="exact"/>
        <w:ind w:firstLine="413"/>
        <w:rPr>
          <w:szCs w:val="21"/>
          <w:highlight w:val="none"/>
        </w:rPr>
      </w:pPr>
      <w:bookmarkStart w:id="281" w:name="_Toc221951328"/>
      <w:r>
        <w:rPr>
          <w:b/>
          <w:szCs w:val="21"/>
          <w:highlight w:val="none"/>
        </w:rPr>
        <w:t>20.</w:t>
      </w:r>
      <w:r>
        <w:rPr>
          <w:rFonts w:hint="eastAsia"/>
          <w:b/>
          <w:szCs w:val="21"/>
          <w:highlight w:val="none"/>
        </w:rPr>
        <w:t>7.1</w:t>
      </w:r>
      <w:r>
        <w:rPr>
          <w:b/>
          <w:szCs w:val="21"/>
          <w:highlight w:val="none"/>
        </w:rPr>
        <w:t xml:space="preserve">  保险凭证</w:t>
      </w:r>
      <w:bookmarkEnd w:id="281"/>
    </w:p>
    <w:p w14:paraId="59AF5BFB">
      <w:pPr>
        <w:spacing w:line="400" w:lineRule="exact"/>
        <w:ind w:firstLine="411"/>
        <w:rPr>
          <w:szCs w:val="21"/>
          <w:highlight w:val="none"/>
        </w:rPr>
      </w:pPr>
      <w:bookmarkStart w:id="282" w:name="_Toc221951330"/>
      <w:r>
        <w:rPr>
          <w:szCs w:val="21"/>
          <w:highlight w:val="none"/>
        </w:rPr>
        <w:t>承包人提交保险凭证的期限：</w:t>
      </w:r>
      <w:r>
        <w:rPr>
          <w:szCs w:val="21"/>
          <w:highlight w:val="none"/>
          <w:u w:val="single"/>
        </w:rPr>
        <w:t xml:space="preserve">   承包人应在收到监理人开工通知后的21天内向监理人发包人提交各项保险生效的证据和保险单副本   </w:t>
      </w:r>
      <w:r>
        <w:rPr>
          <w:szCs w:val="21"/>
          <w:highlight w:val="none"/>
        </w:rPr>
        <w:t>。</w:t>
      </w:r>
      <w:bookmarkEnd w:id="282"/>
    </w:p>
    <w:p w14:paraId="2E865474">
      <w:pPr>
        <w:spacing w:line="400" w:lineRule="exact"/>
        <w:ind w:firstLine="411"/>
        <w:rPr>
          <w:szCs w:val="21"/>
          <w:highlight w:val="none"/>
        </w:rPr>
      </w:pPr>
      <w:bookmarkStart w:id="283" w:name="_Toc221951329"/>
      <w:bookmarkStart w:id="284" w:name="_Toc221951331"/>
      <w:r>
        <w:rPr>
          <w:szCs w:val="21"/>
          <w:highlight w:val="none"/>
        </w:rPr>
        <w:t>保险条件：</w:t>
      </w:r>
      <w:r>
        <w:rPr>
          <w:szCs w:val="21"/>
          <w:highlight w:val="none"/>
          <w:u w:val="single"/>
        </w:rPr>
        <w:t xml:space="preserve">                </w:t>
      </w:r>
      <w:bookmarkEnd w:id="283"/>
      <w:r>
        <w:rPr>
          <w:szCs w:val="21"/>
          <w:highlight w:val="none"/>
        </w:rPr>
        <w:t>；</w:t>
      </w:r>
    </w:p>
    <w:p w14:paraId="3283FD91">
      <w:pPr>
        <w:spacing w:line="400" w:lineRule="exact"/>
        <w:ind w:firstLine="411"/>
        <w:rPr>
          <w:szCs w:val="21"/>
          <w:highlight w:val="none"/>
        </w:rPr>
      </w:pPr>
      <w:r>
        <w:rPr>
          <w:szCs w:val="21"/>
          <w:highlight w:val="none"/>
        </w:rPr>
        <w:t>20.6.4  保险金不足的补偿</w:t>
      </w:r>
      <w:bookmarkEnd w:id="284"/>
    </w:p>
    <w:p w14:paraId="60FC8B18">
      <w:pPr>
        <w:spacing w:line="400" w:lineRule="exact"/>
        <w:ind w:firstLine="411"/>
        <w:rPr>
          <w:szCs w:val="21"/>
          <w:highlight w:val="none"/>
        </w:rPr>
      </w:pPr>
      <w:bookmarkStart w:id="285" w:name="_Toc221951332"/>
      <w:r>
        <w:rPr>
          <w:szCs w:val="21"/>
          <w:highlight w:val="none"/>
        </w:rPr>
        <w:t>承包人负责补偿的范围与金额：</w:t>
      </w:r>
      <w:bookmarkEnd w:id="285"/>
      <w:r>
        <w:rPr>
          <w:szCs w:val="21"/>
          <w:highlight w:val="none"/>
          <w:u w:val="single"/>
        </w:rPr>
        <w:t xml:space="preserve">                       </w:t>
      </w:r>
      <w:r>
        <w:rPr>
          <w:szCs w:val="21"/>
          <w:highlight w:val="none"/>
        </w:rPr>
        <w:t>；</w:t>
      </w:r>
    </w:p>
    <w:p w14:paraId="79E42EED">
      <w:pPr>
        <w:spacing w:line="400" w:lineRule="exact"/>
        <w:ind w:firstLine="411"/>
        <w:rPr>
          <w:sz w:val="24"/>
          <w:highlight w:val="none"/>
        </w:rPr>
      </w:pPr>
      <w:r>
        <w:rPr>
          <w:szCs w:val="21"/>
          <w:highlight w:val="none"/>
        </w:rPr>
        <w:t>发包人负责补偿的范围与金额：</w:t>
      </w:r>
      <w:r>
        <w:rPr>
          <w:szCs w:val="21"/>
          <w:highlight w:val="none"/>
          <w:u w:val="single"/>
        </w:rPr>
        <w:t xml:space="preserve">            /          </w:t>
      </w:r>
      <w:r>
        <w:rPr>
          <w:szCs w:val="21"/>
          <w:highlight w:val="none"/>
        </w:rPr>
        <w:t>。</w:t>
      </w:r>
      <w:r>
        <w:rPr>
          <w:sz w:val="24"/>
          <w:highlight w:val="none"/>
        </w:rPr>
        <w:t xml:space="preserve">     </w:t>
      </w:r>
    </w:p>
    <w:p w14:paraId="48D259EB">
      <w:pPr>
        <w:spacing w:line="400" w:lineRule="exact"/>
        <w:ind w:firstLine="413"/>
        <w:rPr>
          <w:b/>
          <w:highlight w:val="none"/>
        </w:rPr>
      </w:pPr>
      <w:r>
        <w:rPr>
          <w:b/>
          <w:highlight w:val="none"/>
        </w:rPr>
        <w:t xml:space="preserve">24. </w:t>
      </w:r>
      <w:r>
        <w:rPr>
          <w:b/>
          <w:szCs w:val="21"/>
          <w:highlight w:val="none"/>
        </w:rPr>
        <w:t>争议</w:t>
      </w:r>
    </w:p>
    <w:p w14:paraId="0515B921">
      <w:pPr>
        <w:spacing w:line="400" w:lineRule="exact"/>
        <w:ind w:firstLine="413"/>
        <w:rPr>
          <w:highlight w:val="none"/>
        </w:rPr>
      </w:pPr>
      <w:bookmarkStart w:id="286" w:name="_Toc221951334"/>
      <w:bookmarkStart w:id="287" w:name="_Toc222031045"/>
      <w:bookmarkStart w:id="288" w:name="_Toc222033894"/>
      <w:bookmarkStart w:id="289" w:name="_Toc222032712"/>
      <w:bookmarkStart w:id="290" w:name="_Toc222029543"/>
      <w:bookmarkStart w:id="291" w:name="_Toc229305401"/>
      <w:r>
        <w:rPr>
          <w:b/>
          <w:highlight w:val="none"/>
        </w:rPr>
        <w:t xml:space="preserve">24.1 </w:t>
      </w:r>
      <w:r>
        <w:rPr>
          <w:b/>
          <w:szCs w:val="21"/>
          <w:highlight w:val="none"/>
        </w:rPr>
        <w:t>争议的解决</w:t>
      </w:r>
      <w:bookmarkEnd w:id="286"/>
      <w:bookmarkEnd w:id="287"/>
      <w:bookmarkEnd w:id="288"/>
      <w:bookmarkEnd w:id="289"/>
      <w:bookmarkEnd w:id="290"/>
      <w:bookmarkEnd w:id="291"/>
      <w:r>
        <w:rPr>
          <w:b/>
          <w:szCs w:val="21"/>
          <w:highlight w:val="none"/>
        </w:rPr>
        <w:t>方式</w:t>
      </w:r>
    </w:p>
    <w:p w14:paraId="2B4174E4">
      <w:pPr>
        <w:pStyle w:val="14"/>
        <w:spacing w:after="0" w:line="400" w:lineRule="exact"/>
        <w:ind w:left="0" w:firstLine="420"/>
        <w:rPr>
          <w:highlight w:val="none"/>
        </w:rPr>
      </w:pPr>
      <w:bookmarkStart w:id="292" w:name="_Toc221951335"/>
      <w:r>
        <w:rPr>
          <w:szCs w:val="21"/>
          <w:highlight w:val="none"/>
        </w:rPr>
        <w:t>合同当事人友好协商解决不成、不愿提请争议评审或不接受争议评审组意见的，约定的合同争议解决方式：</w:t>
      </w:r>
      <w:r>
        <w:rPr>
          <w:highlight w:val="none"/>
          <w:u w:val="single"/>
        </w:rPr>
        <w:t>合同双方未能通过友好协商解决争议，拟采用仲裁方式及时解决合同争议。发包人和承包人签订本合同协议书后的28天内签订仲裁协议，并约定仲裁机构为</w:t>
      </w:r>
      <w:r>
        <w:rPr>
          <w:rFonts w:hint="eastAsia"/>
          <w:highlight w:val="none"/>
          <w:u w:val="single"/>
        </w:rPr>
        <w:t>泰州</w:t>
      </w:r>
      <w:r>
        <w:rPr>
          <w:highlight w:val="none"/>
          <w:u w:val="single"/>
        </w:rPr>
        <w:t>仲裁委员会。</w:t>
      </w:r>
      <w:bookmarkEnd w:id="292"/>
    </w:p>
    <w:p w14:paraId="7D9355A0">
      <w:pPr>
        <w:spacing w:line="360" w:lineRule="auto"/>
        <w:rPr>
          <w:b/>
          <w:bCs/>
          <w:szCs w:val="21"/>
          <w:highlight w:val="none"/>
        </w:rPr>
        <w:sectPr>
          <w:footerReference r:id="rId4" w:type="default"/>
          <w:pgSz w:w="11907" w:h="16840"/>
          <w:pgMar w:top="1588" w:right="1588" w:bottom="1588" w:left="1588" w:header="851" w:footer="851" w:gutter="0"/>
          <w:pgNumType w:fmt="decimal" w:start="1"/>
          <w:cols w:space="1701" w:num="1"/>
          <w:docGrid w:linePitch="360" w:charSpace="0"/>
        </w:sectPr>
      </w:pPr>
    </w:p>
    <w:p w14:paraId="011C973C">
      <w:pPr>
        <w:pStyle w:val="257"/>
        <w:spacing w:before="48" w:after="48"/>
        <w:jc w:val="left"/>
        <w:rPr>
          <w:highlight w:val="none"/>
        </w:rPr>
      </w:pPr>
    </w:p>
    <w:p w14:paraId="374D92D9">
      <w:pPr>
        <w:pStyle w:val="257"/>
        <w:spacing w:before="48" w:after="48"/>
        <w:jc w:val="left"/>
        <w:rPr>
          <w:highlight w:val="none"/>
        </w:rPr>
      </w:pPr>
      <w:r>
        <w:rPr>
          <w:highlight w:val="none"/>
        </w:rPr>
        <w:t>附件一：合同协议书</w:t>
      </w:r>
    </w:p>
    <w:p w14:paraId="4A27353A">
      <w:pPr>
        <w:spacing w:line="440" w:lineRule="exact"/>
        <w:jc w:val="center"/>
        <w:rPr>
          <w:b/>
          <w:sz w:val="28"/>
          <w:szCs w:val="28"/>
          <w:highlight w:val="none"/>
        </w:rPr>
      </w:pPr>
      <w:r>
        <w:rPr>
          <w:b/>
          <w:sz w:val="28"/>
          <w:szCs w:val="28"/>
          <w:highlight w:val="none"/>
        </w:rPr>
        <w:t>合同协议书</w:t>
      </w:r>
    </w:p>
    <w:p w14:paraId="67800BFB">
      <w:pPr>
        <w:spacing w:line="440" w:lineRule="exact"/>
        <w:rPr>
          <w:szCs w:val="21"/>
          <w:highlight w:val="none"/>
        </w:rPr>
      </w:pPr>
    </w:p>
    <w:p w14:paraId="795D440E">
      <w:pPr>
        <w:spacing w:line="360" w:lineRule="auto"/>
        <w:ind w:firstLine="462"/>
        <w:rPr>
          <w:szCs w:val="21"/>
          <w:highlight w:val="none"/>
        </w:rPr>
      </w:pPr>
      <w:r>
        <w:rPr>
          <w:szCs w:val="21"/>
          <w:highlight w:val="none"/>
          <w:u w:val="single"/>
        </w:rPr>
        <w:t xml:space="preserve">       </w:t>
      </w:r>
      <w:r>
        <w:rPr>
          <w:szCs w:val="21"/>
          <w:highlight w:val="none"/>
        </w:rPr>
        <w:t>（发包人名称，以下简称“发包人”）为实施</w:t>
      </w:r>
      <w:r>
        <w:rPr>
          <w:highlight w:val="none"/>
          <w:u w:val="single"/>
        </w:rPr>
        <w:t xml:space="preserve">       标</w:t>
      </w:r>
      <w:r>
        <w:rPr>
          <w:szCs w:val="21"/>
          <w:highlight w:val="none"/>
        </w:rPr>
        <w:t>，已接受</w:t>
      </w:r>
      <w:r>
        <w:rPr>
          <w:szCs w:val="21"/>
          <w:highlight w:val="none"/>
          <w:u w:val="single"/>
        </w:rPr>
        <w:t xml:space="preserve">        </w:t>
      </w:r>
      <w:r>
        <w:rPr>
          <w:szCs w:val="21"/>
          <w:highlight w:val="none"/>
        </w:rPr>
        <w:t>（承包人名称，以下简称“承包人”）的投标，并确定为中标人。发包人和承包人共同达成如下协议。</w:t>
      </w:r>
    </w:p>
    <w:p w14:paraId="30E1580F">
      <w:pPr>
        <w:spacing w:line="360" w:lineRule="auto"/>
        <w:ind w:firstLine="462"/>
        <w:rPr>
          <w:highlight w:val="none"/>
        </w:rPr>
      </w:pPr>
      <w:bookmarkStart w:id="293" w:name="_Toc144974828"/>
      <w:bookmarkStart w:id="294" w:name="_Toc168476288"/>
      <w:bookmarkStart w:id="295" w:name="_Toc168475885"/>
      <w:r>
        <w:rPr>
          <w:highlight w:val="none"/>
        </w:rPr>
        <w:t>1. 合同文件由下列文件组成：</w:t>
      </w:r>
      <w:bookmarkEnd w:id="293"/>
      <w:bookmarkEnd w:id="294"/>
      <w:bookmarkEnd w:id="295"/>
    </w:p>
    <w:p w14:paraId="2EF24EAC">
      <w:pPr>
        <w:spacing w:line="360" w:lineRule="auto"/>
        <w:ind w:firstLine="315"/>
        <w:rPr>
          <w:highlight w:val="none"/>
        </w:rPr>
      </w:pPr>
      <w:r>
        <w:rPr>
          <w:highlight w:val="none"/>
        </w:rPr>
        <w:t>（1）合同协议书（包括补充协议书）；</w:t>
      </w:r>
    </w:p>
    <w:p w14:paraId="63B9E762">
      <w:pPr>
        <w:spacing w:line="360" w:lineRule="auto"/>
        <w:ind w:firstLine="315"/>
        <w:rPr>
          <w:highlight w:val="none"/>
        </w:rPr>
      </w:pPr>
      <w:r>
        <w:rPr>
          <w:highlight w:val="none"/>
        </w:rPr>
        <w:t>（2）中标通知书；</w:t>
      </w:r>
    </w:p>
    <w:p w14:paraId="6D621B31">
      <w:pPr>
        <w:spacing w:line="360" w:lineRule="auto"/>
        <w:ind w:firstLine="315"/>
        <w:rPr>
          <w:highlight w:val="none"/>
        </w:rPr>
      </w:pPr>
      <w:r>
        <w:rPr>
          <w:highlight w:val="none"/>
        </w:rPr>
        <w:t>（3）投标函及投标函附录；</w:t>
      </w:r>
    </w:p>
    <w:p w14:paraId="0CD560B1">
      <w:pPr>
        <w:spacing w:line="360" w:lineRule="auto"/>
        <w:ind w:firstLine="315"/>
        <w:rPr>
          <w:highlight w:val="none"/>
        </w:rPr>
      </w:pPr>
      <w:r>
        <w:rPr>
          <w:highlight w:val="none"/>
        </w:rPr>
        <w:t>（4）专用合同条款；</w:t>
      </w:r>
    </w:p>
    <w:p w14:paraId="1E912927">
      <w:pPr>
        <w:spacing w:line="360" w:lineRule="auto"/>
        <w:ind w:firstLine="315"/>
        <w:rPr>
          <w:highlight w:val="none"/>
        </w:rPr>
      </w:pPr>
      <w:r>
        <w:rPr>
          <w:highlight w:val="none"/>
        </w:rPr>
        <w:t>（5）通用合同条款；</w:t>
      </w:r>
    </w:p>
    <w:p w14:paraId="10FEEE6A">
      <w:pPr>
        <w:spacing w:line="360" w:lineRule="auto"/>
        <w:ind w:firstLine="315"/>
        <w:rPr>
          <w:highlight w:val="none"/>
        </w:rPr>
      </w:pPr>
      <w:r>
        <w:rPr>
          <w:highlight w:val="none"/>
        </w:rPr>
        <w:t>（6）技术标准和要求（合同技术条款）；</w:t>
      </w:r>
    </w:p>
    <w:p w14:paraId="1430F929">
      <w:pPr>
        <w:spacing w:line="360" w:lineRule="auto"/>
        <w:ind w:firstLine="315"/>
        <w:rPr>
          <w:highlight w:val="none"/>
        </w:rPr>
      </w:pPr>
      <w:r>
        <w:rPr>
          <w:highlight w:val="none"/>
        </w:rPr>
        <w:t>（7）图纸；</w:t>
      </w:r>
    </w:p>
    <w:p w14:paraId="0C75B8D2">
      <w:pPr>
        <w:spacing w:line="360" w:lineRule="auto"/>
        <w:ind w:firstLine="315"/>
        <w:rPr>
          <w:highlight w:val="none"/>
        </w:rPr>
      </w:pPr>
      <w:r>
        <w:rPr>
          <w:highlight w:val="none"/>
        </w:rPr>
        <w:t>（8）已标价工程量清单；</w:t>
      </w:r>
    </w:p>
    <w:p w14:paraId="45E7B9E6">
      <w:pPr>
        <w:spacing w:line="360" w:lineRule="auto"/>
        <w:ind w:firstLine="315"/>
        <w:rPr>
          <w:highlight w:val="none"/>
        </w:rPr>
      </w:pPr>
      <w:r>
        <w:rPr>
          <w:highlight w:val="none"/>
        </w:rPr>
        <w:t>（9）其他合同文件。</w:t>
      </w:r>
    </w:p>
    <w:p w14:paraId="3BB6EEF6">
      <w:pPr>
        <w:spacing w:line="360" w:lineRule="auto"/>
        <w:ind w:firstLine="420"/>
        <w:rPr>
          <w:highlight w:val="none"/>
        </w:rPr>
      </w:pPr>
      <w:bookmarkStart w:id="296" w:name="_Toc144974829"/>
      <w:bookmarkStart w:id="297" w:name="_Toc168475886"/>
      <w:bookmarkStart w:id="298" w:name="_Toc168476289"/>
      <w:r>
        <w:rPr>
          <w:highlight w:val="none"/>
        </w:rPr>
        <w:t>2. 上述文件互相补充和解释，如有不明确或不一致之处，以合同约定次序在先者为准。</w:t>
      </w:r>
      <w:bookmarkEnd w:id="296"/>
      <w:bookmarkEnd w:id="297"/>
      <w:bookmarkEnd w:id="298"/>
    </w:p>
    <w:p w14:paraId="1C9058A1">
      <w:pPr>
        <w:spacing w:line="360" w:lineRule="auto"/>
        <w:ind w:firstLine="420"/>
        <w:rPr>
          <w:highlight w:val="none"/>
        </w:rPr>
      </w:pPr>
      <w:r>
        <w:rPr>
          <w:highlight w:val="none"/>
        </w:rPr>
        <w:t>3. 签约合同价：人民币（大写）</w:t>
      </w:r>
      <w:r>
        <w:rPr>
          <w:highlight w:val="none"/>
          <w:u w:val="single"/>
        </w:rPr>
        <w:t xml:space="preserve">          </w:t>
      </w:r>
      <w:r>
        <w:rPr>
          <w:highlight w:val="none"/>
        </w:rPr>
        <w:t>元（¥</w:t>
      </w:r>
      <w:r>
        <w:rPr>
          <w:highlight w:val="none"/>
          <w:u w:val="single"/>
        </w:rPr>
        <w:t xml:space="preserve">         </w:t>
      </w:r>
      <w:r>
        <w:rPr>
          <w:highlight w:val="none"/>
        </w:rPr>
        <w:t>）。</w:t>
      </w:r>
    </w:p>
    <w:p w14:paraId="3FA32A9B">
      <w:pPr>
        <w:spacing w:line="360" w:lineRule="auto"/>
        <w:ind w:firstLine="420"/>
        <w:rPr>
          <w:highlight w:val="none"/>
        </w:rPr>
      </w:pPr>
      <w:r>
        <w:rPr>
          <w:highlight w:val="none"/>
        </w:rPr>
        <w:t>4. 承包人项目经理：</w:t>
      </w:r>
      <w:r>
        <w:rPr>
          <w:highlight w:val="none"/>
          <w:u w:val="single"/>
        </w:rPr>
        <w:t xml:space="preserve">                </w:t>
      </w:r>
      <w:r>
        <w:rPr>
          <w:highlight w:val="none"/>
        </w:rPr>
        <w:t>，项目技术负责人：</w:t>
      </w:r>
      <w:r>
        <w:rPr>
          <w:highlight w:val="none"/>
          <w:u w:val="single"/>
        </w:rPr>
        <w:t xml:space="preserve">                </w:t>
      </w:r>
      <w:r>
        <w:rPr>
          <w:highlight w:val="none"/>
        </w:rPr>
        <w:t>，财务负责人：</w:t>
      </w:r>
      <w:r>
        <w:rPr>
          <w:highlight w:val="none"/>
          <w:u w:val="single"/>
        </w:rPr>
        <w:t xml:space="preserve">                </w:t>
      </w:r>
      <w:r>
        <w:rPr>
          <w:highlight w:val="none"/>
        </w:rPr>
        <w:t>，安全管理人员（专职安全生产管理人员）：</w:t>
      </w:r>
      <w:r>
        <w:rPr>
          <w:highlight w:val="none"/>
          <w:u w:val="single"/>
        </w:rPr>
        <w:t xml:space="preserve">                </w:t>
      </w:r>
      <w:r>
        <w:rPr>
          <w:highlight w:val="none"/>
        </w:rPr>
        <w:t>。</w:t>
      </w:r>
    </w:p>
    <w:p w14:paraId="4422F862">
      <w:pPr>
        <w:ind w:firstLine="420"/>
        <w:rPr>
          <w:b/>
          <w:szCs w:val="21"/>
          <w:highlight w:val="none"/>
        </w:rPr>
      </w:pPr>
      <w:r>
        <w:rPr>
          <w:highlight w:val="none"/>
        </w:rPr>
        <w:t>5. 工程质量</w:t>
      </w:r>
      <w:r>
        <w:rPr>
          <w:rFonts w:hint="eastAsia"/>
          <w:highlight w:val="none"/>
          <w:u w:val="single"/>
        </w:rPr>
        <w:t>合格</w:t>
      </w:r>
      <w:r>
        <w:rPr>
          <w:highlight w:val="none"/>
        </w:rPr>
        <w:t>。</w:t>
      </w:r>
    </w:p>
    <w:p w14:paraId="55701CBD">
      <w:pPr>
        <w:spacing w:line="360" w:lineRule="auto"/>
        <w:ind w:firstLine="420"/>
        <w:rPr>
          <w:highlight w:val="none"/>
        </w:rPr>
      </w:pPr>
      <w:r>
        <w:rPr>
          <w:highlight w:val="none"/>
        </w:rPr>
        <w:t>6. 承包人承诺按合同约定承担工程的实施、完成及缺陷修复。</w:t>
      </w:r>
    </w:p>
    <w:p w14:paraId="4F607E46">
      <w:pPr>
        <w:spacing w:line="360" w:lineRule="auto"/>
        <w:ind w:firstLine="420"/>
        <w:rPr>
          <w:rFonts w:hint="eastAsia"/>
          <w:highlight w:val="none"/>
        </w:rPr>
      </w:pPr>
      <w:r>
        <w:rPr>
          <w:highlight w:val="none"/>
        </w:rPr>
        <w:t>7. 发包人承诺按合同约定的条件、时间和方式向承包人支付合同价款。</w:t>
      </w:r>
    </w:p>
    <w:p w14:paraId="7F98E00C">
      <w:pPr>
        <w:spacing w:line="360" w:lineRule="auto"/>
        <w:ind w:firstLine="420"/>
        <w:rPr>
          <w:highlight w:val="none"/>
        </w:rPr>
      </w:pPr>
      <w:r>
        <w:rPr>
          <w:rFonts w:hint="eastAsia"/>
          <w:highlight w:val="none"/>
        </w:rPr>
        <w:t>8</w:t>
      </w:r>
      <w:r>
        <w:rPr>
          <w:highlight w:val="none"/>
        </w:rPr>
        <w:t>. 承包人应按照监理人指示开工，工期为</w:t>
      </w:r>
      <w:r>
        <w:rPr>
          <w:highlight w:val="none"/>
          <w:u w:val="single"/>
        </w:rPr>
        <w:t xml:space="preserve">    </w:t>
      </w:r>
      <w:r>
        <w:rPr>
          <w:highlight w:val="none"/>
        </w:rPr>
        <w:t>天。</w:t>
      </w:r>
    </w:p>
    <w:p w14:paraId="17DB2098">
      <w:pPr>
        <w:spacing w:line="360" w:lineRule="auto"/>
        <w:ind w:firstLine="420"/>
        <w:rPr>
          <w:highlight w:val="none"/>
        </w:rPr>
      </w:pPr>
      <w:r>
        <w:rPr>
          <w:rFonts w:hint="eastAsia"/>
          <w:highlight w:val="none"/>
        </w:rPr>
        <w:t>9</w:t>
      </w:r>
      <w:r>
        <w:rPr>
          <w:highlight w:val="none"/>
        </w:rPr>
        <w:t>.本协议书正本一式</w:t>
      </w:r>
      <w:r>
        <w:rPr>
          <w:highlight w:val="none"/>
          <w:u w:val="single"/>
        </w:rPr>
        <w:t xml:space="preserve"> 贰 </w:t>
      </w:r>
      <w:r>
        <w:rPr>
          <w:highlight w:val="none"/>
        </w:rPr>
        <w:t>份，合同双方各执</w:t>
      </w:r>
      <w:r>
        <w:rPr>
          <w:highlight w:val="none"/>
          <w:u w:val="single"/>
        </w:rPr>
        <w:t xml:space="preserve"> 壹 </w:t>
      </w:r>
      <w:r>
        <w:rPr>
          <w:highlight w:val="none"/>
        </w:rPr>
        <w:t>份，副本一式</w:t>
      </w:r>
      <w:r>
        <w:rPr>
          <w:rFonts w:hint="eastAsia"/>
          <w:highlight w:val="none"/>
          <w:u w:val="single"/>
        </w:rPr>
        <w:t>陆</w:t>
      </w:r>
      <w:r>
        <w:rPr>
          <w:highlight w:val="none"/>
        </w:rPr>
        <w:t>份，承包人执</w:t>
      </w:r>
      <w:r>
        <w:rPr>
          <w:highlight w:val="none"/>
          <w:u w:val="single"/>
        </w:rPr>
        <w:t xml:space="preserve"> 贰 </w:t>
      </w:r>
      <w:r>
        <w:rPr>
          <w:highlight w:val="none"/>
        </w:rPr>
        <w:t>份，其余副本由发包人分发有关单位。</w:t>
      </w:r>
    </w:p>
    <w:p w14:paraId="713CC5F7">
      <w:pPr>
        <w:spacing w:line="360" w:lineRule="auto"/>
        <w:ind w:firstLine="420"/>
        <w:rPr>
          <w:highlight w:val="none"/>
        </w:rPr>
      </w:pPr>
      <w:bookmarkStart w:id="299" w:name="_Toc144974830"/>
      <w:bookmarkStart w:id="300" w:name="_Toc168476290"/>
      <w:bookmarkStart w:id="301" w:name="_Toc168475887"/>
      <w:r>
        <w:rPr>
          <w:rFonts w:hint="eastAsia"/>
          <w:highlight w:val="none"/>
        </w:rPr>
        <w:t>10</w:t>
      </w:r>
      <w:r>
        <w:rPr>
          <w:highlight w:val="none"/>
        </w:rPr>
        <w:t>. 合同未尽事宜，双方另行签订补充协议。补充协议是合同的组成部分。</w:t>
      </w:r>
      <w:bookmarkEnd w:id="299"/>
      <w:bookmarkEnd w:id="300"/>
      <w:bookmarkEnd w:id="301"/>
    </w:p>
    <w:p w14:paraId="3BF60DF8">
      <w:pPr>
        <w:spacing w:line="360" w:lineRule="auto"/>
        <w:ind w:firstLine="420"/>
        <w:jc w:val="left"/>
        <w:rPr>
          <w:position w:val="2"/>
          <w:highlight w:val="none"/>
        </w:rPr>
      </w:pPr>
      <w:r>
        <w:rPr>
          <w:position w:val="2"/>
          <w:highlight w:val="none"/>
        </w:rPr>
        <w:t>发包人：</w:t>
      </w:r>
      <w:r>
        <w:rPr>
          <w:position w:val="2"/>
          <w:highlight w:val="none"/>
          <w:u w:val="single"/>
        </w:rPr>
        <w:t xml:space="preserve">          （名称）         </w:t>
      </w:r>
      <w:r>
        <w:rPr>
          <w:position w:val="2"/>
          <w:highlight w:val="none"/>
        </w:rPr>
        <w:t xml:space="preserve"> </w:t>
      </w:r>
      <w:r>
        <w:rPr>
          <w:rFonts w:hint="eastAsia"/>
          <w:position w:val="2"/>
          <w:highlight w:val="none"/>
        </w:rPr>
        <w:t xml:space="preserve">        </w:t>
      </w:r>
      <w:r>
        <w:rPr>
          <w:position w:val="2"/>
          <w:highlight w:val="none"/>
        </w:rPr>
        <w:t>承包人：</w:t>
      </w:r>
      <w:r>
        <w:rPr>
          <w:position w:val="2"/>
          <w:highlight w:val="none"/>
          <w:u w:val="single"/>
        </w:rPr>
        <w:t xml:space="preserve">          （名称）         </w:t>
      </w:r>
    </w:p>
    <w:p w14:paraId="53E640BB">
      <w:pPr>
        <w:spacing w:line="360" w:lineRule="auto"/>
        <w:ind w:firstLine="2730"/>
        <w:jc w:val="left"/>
        <w:rPr>
          <w:position w:val="2"/>
          <w:highlight w:val="none"/>
        </w:rPr>
      </w:pPr>
      <w:r>
        <w:rPr>
          <w:position w:val="2"/>
          <w:highlight w:val="none"/>
        </w:rPr>
        <w:t>（盖单位公章）</w:t>
      </w:r>
      <w:r>
        <w:rPr>
          <w:rFonts w:hint="eastAsia"/>
          <w:position w:val="2"/>
          <w:highlight w:val="none"/>
        </w:rPr>
        <w:t xml:space="preserve">                             </w:t>
      </w:r>
      <w:r>
        <w:rPr>
          <w:position w:val="2"/>
          <w:highlight w:val="none"/>
        </w:rPr>
        <w:t>（盖单位公章）</w:t>
      </w:r>
    </w:p>
    <w:p w14:paraId="493C2EB8">
      <w:pPr>
        <w:spacing w:line="360" w:lineRule="auto"/>
        <w:ind w:firstLine="420"/>
        <w:jc w:val="left"/>
        <w:rPr>
          <w:position w:val="2"/>
          <w:highlight w:val="none"/>
        </w:rPr>
      </w:pPr>
      <w:r>
        <w:rPr>
          <w:position w:val="2"/>
          <w:highlight w:val="none"/>
        </w:rPr>
        <w:t>法定代表人：</w:t>
      </w:r>
      <w:r>
        <w:rPr>
          <w:position w:val="2"/>
          <w:highlight w:val="none"/>
          <w:u w:val="single"/>
        </w:rPr>
        <w:t xml:space="preserve">         （姓名）      </w:t>
      </w:r>
      <w:r>
        <w:rPr>
          <w:position w:val="2"/>
          <w:highlight w:val="none"/>
        </w:rPr>
        <w:t xml:space="preserve">  </w:t>
      </w:r>
      <w:r>
        <w:rPr>
          <w:rFonts w:hint="eastAsia"/>
          <w:position w:val="2"/>
          <w:highlight w:val="none"/>
        </w:rPr>
        <w:t xml:space="preserve">      </w:t>
      </w:r>
      <w:r>
        <w:rPr>
          <w:position w:val="2"/>
          <w:highlight w:val="none"/>
        </w:rPr>
        <w:t>法定代表人：</w:t>
      </w:r>
      <w:r>
        <w:rPr>
          <w:position w:val="2"/>
          <w:highlight w:val="none"/>
          <w:u w:val="single"/>
        </w:rPr>
        <w:t xml:space="preserve">         （姓名）      </w:t>
      </w:r>
    </w:p>
    <w:p w14:paraId="509DB4E0">
      <w:pPr>
        <w:spacing w:line="360" w:lineRule="auto"/>
        <w:ind w:firstLine="420"/>
        <w:jc w:val="left"/>
        <w:rPr>
          <w:position w:val="2"/>
          <w:highlight w:val="none"/>
        </w:rPr>
      </w:pPr>
      <w:r>
        <w:rPr>
          <w:position w:val="2"/>
          <w:highlight w:val="none"/>
        </w:rPr>
        <w:t xml:space="preserve">或其委托代理人       （签名）  </w:t>
      </w:r>
      <w:r>
        <w:rPr>
          <w:rFonts w:hint="eastAsia"/>
          <w:position w:val="2"/>
          <w:highlight w:val="none"/>
        </w:rPr>
        <w:t xml:space="preserve">            </w:t>
      </w:r>
      <w:r>
        <w:rPr>
          <w:position w:val="2"/>
          <w:highlight w:val="none"/>
        </w:rPr>
        <w:t>或其委托代理人       （签名）</w:t>
      </w:r>
    </w:p>
    <w:p w14:paraId="2003313D">
      <w:pPr>
        <w:spacing w:line="360" w:lineRule="auto"/>
        <w:ind w:firstLine="420"/>
        <w:jc w:val="left"/>
        <w:rPr>
          <w:position w:val="2"/>
          <w:highlight w:val="none"/>
        </w:rPr>
      </w:pPr>
      <w:r>
        <w:rPr>
          <w:position w:val="2"/>
          <w:highlight w:val="none"/>
        </w:rPr>
        <w:t>地    址：</w:t>
      </w:r>
      <w:r>
        <w:rPr>
          <w:position w:val="2"/>
          <w:highlight w:val="none"/>
          <w:u w:val="single"/>
        </w:rPr>
        <w:t xml:space="preserve">                          </w:t>
      </w:r>
      <w:r>
        <w:rPr>
          <w:position w:val="2"/>
          <w:highlight w:val="none"/>
        </w:rPr>
        <w:t xml:space="preserve"> </w:t>
      </w:r>
      <w:r>
        <w:rPr>
          <w:rFonts w:hint="eastAsia"/>
          <w:position w:val="2"/>
          <w:highlight w:val="none"/>
        </w:rPr>
        <w:t xml:space="preserve">      </w:t>
      </w:r>
      <w:r>
        <w:rPr>
          <w:position w:val="2"/>
          <w:highlight w:val="none"/>
        </w:rPr>
        <w:t>地    址：</w:t>
      </w:r>
      <w:r>
        <w:rPr>
          <w:position w:val="2"/>
          <w:highlight w:val="none"/>
          <w:u w:val="single"/>
        </w:rPr>
        <w:t xml:space="preserve">                          </w:t>
      </w:r>
    </w:p>
    <w:p w14:paraId="385C0EC5">
      <w:pPr>
        <w:spacing w:line="360" w:lineRule="auto"/>
        <w:ind w:firstLine="420"/>
        <w:jc w:val="left"/>
        <w:rPr>
          <w:position w:val="2"/>
          <w:highlight w:val="none"/>
        </w:rPr>
      </w:pPr>
      <w:r>
        <w:rPr>
          <w:position w:val="2"/>
          <w:highlight w:val="none"/>
        </w:rPr>
        <w:t>电    话：</w:t>
      </w:r>
      <w:r>
        <w:rPr>
          <w:position w:val="2"/>
          <w:highlight w:val="none"/>
          <w:u w:val="single"/>
        </w:rPr>
        <w:t xml:space="preserve">                          </w:t>
      </w:r>
      <w:r>
        <w:rPr>
          <w:position w:val="2"/>
          <w:highlight w:val="none"/>
        </w:rPr>
        <w:t xml:space="preserve"> </w:t>
      </w:r>
      <w:r>
        <w:rPr>
          <w:rFonts w:hint="eastAsia"/>
          <w:position w:val="2"/>
          <w:highlight w:val="none"/>
        </w:rPr>
        <w:t xml:space="preserve">      </w:t>
      </w:r>
      <w:r>
        <w:rPr>
          <w:position w:val="2"/>
          <w:highlight w:val="none"/>
        </w:rPr>
        <w:t>电    话：</w:t>
      </w:r>
      <w:r>
        <w:rPr>
          <w:position w:val="2"/>
          <w:highlight w:val="none"/>
          <w:u w:val="single"/>
        </w:rPr>
        <w:t xml:space="preserve">                          </w:t>
      </w:r>
    </w:p>
    <w:p w14:paraId="18092DD9">
      <w:pPr>
        <w:spacing w:line="360" w:lineRule="auto"/>
        <w:ind w:firstLine="420"/>
        <w:jc w:val="left"/>
        <w:rPr>
          <w:position w:val="2"/>
          <w:highlight w:val="none"/>
        </w:rPr>
      </w:pPr>
      <w:r>
        <w:rPr>
          <w:position w:val="2"/>
          <w:highlight w:val="none"/>
        </w:rPr>
        <w:t>传    真：</w:t>
      </w:r>
      <w:r>
        <w:rPr>
          <w:position w:val="2"/>
          <w:highlight w:val="none"/>
          <w:u w:val="single"/>
        </w:rPr>
        <w:t xml:space="preserve">                          </w:t>
      </w:r>
      <w:r>
        <w:rPr>
          <w:position w:val="2"/>
          <w:highlight w:val="none"/>
        </w:rPr>
        <w:t xml:space="preserve"> </w:t>
      </w:r>
      <w:r>
        <w:rPr>
          <w:rFonts w:hint="eastAsia"/>
          <w:position w:val="2"/>
          <w:highlight w:val="none"/>
        </w:rPr>
        <w:t xml:space="preserve">      </w:t>
      </w:r>
      <w:r>
        <w:rPr>
          <w:position w:val="2"/>
          <w:highlight w:val="none"/>
        </w:rPr>
        <w:t>传    真：</w:t>
      </w:r>
      <w:r>
        <w:rPr>
          <w:position w:val="2"/>
          <w:highlight w:val="none"/>
          <w:u w:val="single"/>
        </w:rPr>
        <w:t xml:space="preserve">                          </w:t>
      </w:r>
    </w:p>
    <w:p w14:paraId="52072E65">
      <w:pPr>
        <w:spacing w:line="360" w:lineRule="auto"/>
        <w:ind w:firstLine="420"/>
        <w:jc w:val="left"/>
        <w:rPr>
          <w:position w:val="2"/>
          <w:highlight w:val="none"/>
        </w:rPr>
      </w:pPr>
      <w:r>
        <w:rPr>
          <w:position w:val="2"/>
          <w:highlight w:val="none"/>
        </w:rPr>
        <w:t>邮政编码：</w:t>
      </w:r>
      <w:r>
        <w:rPr>
          <w:position w:val="2"/>
          <w:highlight w:val="none"/>
          <w:u w:val="single"/>
        </w:rPr>
        <w:t xml:space="preserve">                         </w:t>
      </w:r>
      <w:r>
        <w:rPr>
          <w:rFonts w:hint="eastAsia"/>
          <w:position w:val="2"/>
          <w:highlight w:val="none"/>
          <w:u w:val="single"/>
        </w:rPr>
        <w:t xml:space="preserve"> </w:t>
      </w:r>
      <w:r>
        <w:rPr>
          <w:rFonts w:hint="eastAsia"/>
          <w:position w:val="2"/>
          <w:highlight w:val="none"/>
        </w:rPr>
        <w:t xml:space="preserve">       </w:t>
      </w:r>
      <w:r>
        <w:rPr>
          <w:position w:val="2"/>
          <w:highlight w:val="none"/>
        </w:rPr>
        <w:t>邮政编码：</w:t>
      </w:r>
      <w:r>
        <w:rPr>
          <w:position w:val="2"/>
          <w:highlight w:val="none"/>
          <w:u w:val="single"/>
        </w:rPr>
        <w:t xml:space="preserve">                          </w:t>
      </w:r>
    </w:p>
    <w:p w14:paraId="221C2F8E">
      <w:pPr>
        <w:spacing w:line="360" w:lineRule="auto"/>
        <w:ind w:firstLine="420"/>
        <w:jc w:val="left"/>
        <w:rPr>
          <w:position w:val="2"/>
          <w:highlight w:val="none"/>
        </w:rPr>
      </w:pPr>
      <w:r>
        <w:rPr>
          <w:position w:val="2"/>
          <w:highlight w:val="none"/>
        </w:rPr>
        <w:t>开户银行：</w:t>
      </w:r>
      <w:r>
        <w:rPr>
          <w:position w:val="2"/>
          <w:highlight w:val="none"/>
          <w:u w:val="single"/>
        </w:rPr>
        <w:t xml:space="preserve">                          </w:t>
      </w:r>
      <w:r>
        <w:rPr>
          <w:position w:val="2"/>
          <w:highlight w:val="none"/>
        </w:rPr>
        <w:t xml:space="preserve"> </w:t>
      </w:r>
      <w:r>
        <w:rPr>
          <w:rFonts w:hint="eastAsia"/>
          <w:position w:val="2"/>
          <w:highlight w:val="none"/>
        </w:rPr>
        <w:t xml:space="preserve">      </w:t>
      </w:r>
      <w:r>
        <w:rPr>
          <w:position w:val="2"/>
          <w:highlight w:val="none"/>
        </w:rPr>
        <w:t>开户银行：</w:t>
      </w:r>
      <w:r>
        <w:rPr>
          <w:position w:val="2"/>
          <w:highlight w:val="none"/>
          <w:u w:val="single"/>
        </w:rPr>
        <w:t xml:space="preserve">                          </w:t>
      </w:r>
    </w:p>
    <w:p w14:paraId="2CAA290A">
      <w:pPr>
        <w:spacing w:line="360" w:lineRule="auto"/>
        <w:ind w:firstLine="420"/>
        <w:jc w:val="left"/>
        <w:rPr>
          <w:position w:val="2"/>
          <w:highlight w:val="none"/>
        </w:rPr>
      </w:pPr>
      <w:r>
        <w:rPr>
          <w:position w:val="2"/>
          <w:highlight w:val="none"/>
        </w:rPr>
        <w:t>帐    号：</w:t>
      </w:r>
      <w:r>
        <w:rPr>
          <w:position w:val="2"/>
          <w:highlight w:val="none"/>
          <w:u w:val="single"/>
        </w:rPr>
        <w:t xml:space="preserve">                          </w:t>
      </w:r>
      <w:r>
        <w:rPr>
          <w:rFonts w:hint="eastAsia"/>
          <w:position w:val="2"/>
          <w:highlight w:val="none"/>
          <w:u w:val="single"/>
        </w:rPr>
        <w:t xml:space="preserve"> </w:t>
      </w:r>
      <w:r>
        <w:rPr>
          <w:rFonts w:hint="eastAsia"/>
          <w:position w:val="2"/>
          <w:highlight w:val="none"/>
        </w:rPr>
        <w:t xml:space="preserve">      </w:t>
      </w:r>
      <w:r>
        <w:rPr>
          <w:position w:val="2"/>
          <w:highlight w:val="none"/>
        </w:rPr>
        <w:t>帐    号：</w:t>
      </w:r>
      <w:r>
        <w:rPr>
          <w:position w:val="2"/>
          <w:highlight w:val="none"/>
          <w:u w:val="single"/>
        </w:rPr>
        <w:t xml:space="preserve">                          </w:t>
      </w:r>
    </w:p>
    <w:p w14:paraId="2D086F18">
      <w:pPr>
        <w:spacing w:line="360" w:lineRule="auto"/>
        <w:jc w:val="left"/>
        <w:rPr>
          <w:position w:val="2"/>
          <w:highlight w:val="none"/>
        </w:rPr>
      </w:pPr>
    </w:p>
    <w:p w14:paraId="1C1B1BBD">
      <w:pPr>
        <w:spacing w:line="360" w:lineRule="auto"/>
        <w:jc w:val="left"/>
        <w:rPr>
          <w:position w:val="2"/>
          <w:highlight w:val="none"/>
        </w:rPr>
      </w:pPr>
    </w:p>
    <w:p w14:paraId="365E1E7C">
      <w:pPr>
        <w:pStyle w:val="197"/>
        <w:rPr>
          <w:position w:val="2"/>
          <w:highlight w:val="none"/>
        </w:rPr>
      </w:pPr>
    </w:p>
    <w:p w14:paraId="63AC6050">
      <w:pPr>
        <w:rPr>
          <w:position w:val="2"/>
          <w:highlight w:val="none"/>
        </w:rPr>
      </w:pPr>
    </w:p>
    <w:p w14:paraId="7F72DEA5">
      <w:pPr>
        <w:pStyle w:val="197"/>
        <w:rPr>
          <w:highlight w:val="none"/>
        </w:rPr>
      </w:pPr>
    </w:p>
    <w:p w14:paraId="519B039F">
      <w:pPr>
        <w:pStyle w:val="238"/>
        <w:ind w:firstLine="420"/>
        <w:rPr>
          <w:highlight w:val="none"/>
        </w:rPr>
      </w:pPr>
    </w:p>
    <w:p w14:paraId="1532A74B">
      <w:pPr>
        <w:spacing w:line="520" w:lineRule="exact"/>
        <w:jc w:val="left"/>
        <w:rPr>
          <w:rFonts w:hint="eastAsia"/>
          <w:b/>
          <w:bCs/>
          <w:sz w:val="28"/>
          <w:szCs w:val="36"/>
          <w:highlight w:val="none"/>
        </w:rPr>
      </w:pPr>
      <w:r>
        <w:rPr>
          <w:b/>
          <w:bCs/>
          <w:sz w:val="28"/>
          <w:szCs w:val="36"/>
          <w:highlight w:val="none"/>
        </w:rPr>
        <w:br w:type="page" w:clear="all"/>
      </w:r>
      <w:r>
        <w:rPr>
          <w:b/>
          <w:bCs/>
          <w:sz w:val="28"/>
          <w:szCs w:val="36"/>
          <w:highlight w:val="none"/>
        </w:rPr>
        <w:t>附件</w:t>
      </w:r>
      <w:r>
        <w:rPr>
          <w:rFonts w:hint="eastAsia"/>
          <w:b/>
          <w:bCs/>
          <w:sz w:val="28"/>
          <w:szCs w:val="36"/>
          <w:highlight w:val="none"/>
        </w:rPr>
        <w:t>二</w:t>
      </w:r>
      <w:r>
        <w:rPr>
          <w:b/>
          <w:bCs/>
          <w:sz w:val="28"/>
          <w:szCs w:val="36"/>
          <w:highlight w:val="none"/>
        </w:rPr>
        <w:t>：</w:t>
      </w:r>
      <w:r>
        <w:rPr>
          <w:rFonts w:hint="eastAsia"/>
          <w:b/>
          <w:bCs/>
          <w:sz w:val="28"/>
          <w:szCs w:val="36"/>
          <w:highlight w:val="none"/>
        </w:rPr>
        <w:t>廉政合同</w:t>
      </w:r>
    </w:p>
    <w:p w14:paraId="16BF30BD">
      <w:pPr>
        <w:spacing w:line="520" w:lineRule="exact"/>
        <w:jc w:val="center"/>
        <w:rPr>
          <w:rFonts w:hint="eastAsia"/>
          <w:b/>
          <w:bCs/>
          <w:sz w:val="28"/>
          <w:szCs w:val="36"/>
          <w:highlight w:val="none"/>
        </w:rPr>
      </w:pPr>
      <w:r>
        <w:rPr>
          <w:rFonts w:hint="eastAsia"/>
          <w:b/>
          <w:bCs/>
          <w:sz w:val="28"/>
          <w:szCs w:val="36"/>
          <w:highlight w:val="none"/>
        </w:rPr>
        <w:t>廉政合同（一）</w:t>
      </w:r>
    </w:p>
    <w:p w14:paraId="2A7DA9DB">
      <w:pPr>
        <w:spacing w:line="520" w:lineRule="exact"/>
        <w:jc w:val="center"/>
        <w:rPr>
          <w:rFonts w:ascii="宋体" w:hAnsi="宋体"/>
          <w:sz w:val="22"/>
          <w:szCs w:val="22"/>
          <w:highlight w:val="none"/>
        </w:rPr>
      </w:pPr>
      <w:r>
        <w:rPr>
          <w:rFonts w:ascii="宋体" w:hAnsi="宋体"/>
          <w:sz w:val="22"/>
          <w:szCs w:val="22"/>
          <w:highlight w:val="none"/>
        </w:rPr>
        <w:t>（</w:t>
      </w:r>
      <w:r>
        <w:rPr>
          <w:rFonts w:hint="eastAsia" w:ascii="宋体" w:hAnsi="宋体"/>
          <w:sz w:val="22"/>
          <w:szCs w:val="22"/>
          <w:highlight w:val="none"/>
        </w:rPr>
        <w:t>发包人</w:t>
      </w:r>
      <w:r>
        <w:rPr>
          <w:rFonts w:ascii="宋体" w:hAnsi="宋体"/>
          <w:sz w:val="22"/>
          <w:szCs w:val="22"/>
          <w:highlight w:val="none"/>
        </w:rPr>
        <w:t>与</w:t>
      </w:r>
      <w:r>
        <w:rPr>
          <w:rFonts w:hint="eastAsia" w:ascii="宋体" w:hAnsi="宋体"/>
          <w:sz w:val="22"/>
          <w:szCs w:val="22"/>
          <w:highlight w:val="none"/>
        </w:rPr>
        <w:t>承包人</w:t>
      </w:r>
      <w:r>
        <w:rPr>
          <w:rFonts w:ascii="宋体" w:hAnsi="宋体"/>
          <w:sz w:val="22"/>
          <w:szCs w:val="22"/>
          <w:highlight w:val="none"/>
        </w:rPr>
        <w:t>）</w:t>
      </w:r>
    </w:p>
    <w:p w14:paraId="1FC0F47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发包人：</w:t>
      </w:r>
      <w:r>
        <w:rPr>
          <w:rFonts w:hint="eastAsia" w:ascii="宋体" w:hAnsi="宋体" w:cs="宋体"/>
          <w:b/>
          <w:szCs w:val="21"/>
          <w:highlight w:val="none"/>
          <w:u w:val="single"/>
        </w:rPr>
        <w:t xml:space="preserve">                         </w:t>
      </w:r>
    </w:p>
    <w:p w14:paraId="3BB6C115">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承包人：</w:t>
      </w:r>
      <w:r>
        <w:rPr>
          <w:rFonts w:hint="eastAsia" w:ascii="宋体" w:hAnsi="宋体" w:cs="宋体"/>
          <w:b/>
          <w:szCs w:val="21"/>
          <w:highlight w:val="none"/>
          <w:u w:val="single"/>
        </w:rPr>
        <w:t xml:space="preserve">                         </w:t>
      </w:r>
    </w:p>
    <w:p w14:paraId="42A04ECA">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为贯彻落实党中央、国务院《关于实行党风廉政建设责任制的规定》，进一步加强水利工程建设中的党风廉政建设，保证</w:t>
      </w:r>
      <w:r>
        <w:rPr>
          <w:rFonts w:hint="eastAsia" w:ascii="宋体" w:hAnsi="宋体" w:cs="宋体"/>
          <w:b/>
          <w:szCs w:val="21"/>
          <w:highlight w:val="none"/>
          <w:u w:val="single"/>
        </w:rPr>
        <w:t xml:space="preserve">   工程名称     </w:t>
      </w:r>
      <w:r>
        <w:rPr>
          <w:rFonts w:hint="eastAsia" w:ascii="宋体" w:hAnsi="宋体" w:cs="宋体"/>
          <w:szCs w:val="21"/>
          <w:highlight w:val="none"/>
        </w:rPr>
        <w:t>建设优质、高效、有序、廉洁地进行，</w:t>
      </w:r>
      <w:r>
        <w:rPr>
          <w:rFonts w:hint="eastAsia" w:ascii="宋体" w:hAnsi="宋体" w:cs="宋体"/>
          <w:b/>
          <w:szCs w:val="21"/>
          <w:highlight w:val="none"/>
          <w:u w:val="single"/>
        </w:rPr>
        <w:t xml:space="preserve">            </w:t>
      </w:r>
      <w:r>
        <w:rPr>
          <w:rFonts w:hint="eastAsia" w:ascii="宋体" w:hAnsi="宋体" w:cs="宋体"/>
          <w:szCs w:val="21"/>
          <w:highlight w:val="none"/>
        </w:rPr>
        <w:t xml:space="preserve">（以下简称“发包人”），与承担  </w:t>
      </w:r>
      <w:r>
        <w:rPr>
          <w:rFonts w:hint="eastAsia" w:ascii="宋体" w:hAnsi="宋体" w:cs="宋体"/>
          <w:b/>
          <w:szCs w:val="21"/>
          <w:highlight w:val="none"/>
          <w:u w:val="single"/>
        </w:rPr>
        <w:t xml:space="preserve">工程合同名称（编号）  </w:t>
      </w:r>
      <w:r>
        <w:rPr>
          <w:rFonts w:hint="eastAsia" w:ascii="宋体" w:hAnsi="宋体" w:cs="宋体"/>
          <w:szCs w:val="21"/>
          <w:highlight w:val="none"/>
        </w:rPr>
        <w:t>的承包人</w:t>
      </w:r>
      <w:r>
        <w:rPr>
          <w:rFonts w:hint="eastAsia" w:ascii="宋体" w:hAnsi="宋体" w:cs="宋体"/>
          <w:b/>
          <w:szCs w:val="21"/>
          <w:highlight w:val="none"/>
          <w:u w:val="single"/>
        </w:rPr>
        <w:t xml:space="preserve">        </w:t>
      </w:r>
      <w:r>
        <w:rPr>
          <w:rFonts w:hint="eastAsia" w:ascii="宋体" w:hAnsi="宋体" w:cs="宋体"/>
          <w:szCs w:val="21"/>
          <w:highlight w:val="none"/>
        </w:rPr>
        <w:t>（以下简称“承包人”），经双方协商一致，自愿签订以下廉政合同。</w:t>
      </w:r>
    </w:p>
    <w:p w14:paraId="01D69746">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第一条  承、发包人双方共同义务</w:t>
      </w:r>
    </w:p>
    <w:p w14:paraId="0BBD10F1">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（一）严格遵守党和国家有关法律法规及党风廉政建设各项规定，严格贯彻落实中央八项规定和省委十项规定精神。</w:t>
      </w:r>
    </w:p>
    <w:p w14:paraId="2414E6C6">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（二）严格执行</w:t>
      </w:r>
      <w:r>
        <w:rPr>
          <w:rFonts w:hint="eastAsia" w:ascii="宋体" w:hAnsi="宋体" w:cs="宋体"/>
          <w:b/>
          <w:szCs w:val="21"/>
          <w:highlight w:val="none"/>
          <w:u w:val="single"/>
        </w:rPr>
        <w:t xml:space="preserve">  工程合同名称(编号)  </w:t>
      </w:r>
      <w:r>
        <w:rPr>
          <w:rFonts w:hint="eastAsia" w:ascii="宋体" w:hAnsi="宋体" w:cs="宋体"/>
          <w:szCs w:val="21"/>
          <w:highlight w:val="none"/>
        </w:rPr>
        <w:t>，自觉按合同办事。</w:t>
      </w:r>
    </w:p>
    <w:p w14:paraId="60EFA90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（三）双方遵循公平、诚实信用的原则行使权利和履行义务；尊重社会公德，不得扰乱社会经济秩序，损害社会公共利益。</w:t>
      </w:r>
    </w:p>
    <w:p w14:paraId="125F133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（四）建立健全并严格执行党风廉政建设各项制度，开展反腐倡廉宣传教育，加强对本方工作人员的监督检查。</w:t>
      </w:r>
    </w:p>
    <w:p w14:paraId="12D3BD3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（五）开展廉政文化进工地活动，在工地现场设立廉政公示牌、举报箱、廉政宣传栏和举报电话等。</w:t>
      </w:r>
    </w:p>
    <w:p w14:paraId="0DC09ED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发现对方在业务活动中有违反廉政规定的行为，应及时提醒和督促对方纠正；对违反相关规定的本方工作人员应及时进行批评教育，并按各自内部规定严肃查处违纪违规行为；发现重大违纪违法行为，应向执纪执法机关举报。</w:t>
      </w:r>
    </w:p>
    <w:p w14:paraId="2F43CADF">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第二条</w:t>
      </w:r>
      <w:r>
        <w:rPr>
          <w:rFonts w:hint="eastAsia" w:ascii="宋体" w:hAnsi="宋体" w:cs="宋体"/>
          <w:b/>
          <w:szCs w:val="21"/>
          <w:highlight w:val="none"/>
        </w:rPr>
        <w:t xml:space="preserve">  </w:t>
      </w:r>
      <w:r>
        <w:rPr>
          <w:rFonts w:hint="eastAsia" w:ascii="宋体" w:hAnsi="宋体" w:cs="宋体"/>
          <w:szCs w:val="21"/>
          <w:highlight w:val="none"/>
        </w:rPr>
        <w:t>发包人在廉政建设方面的义务</w:t>
      </w:r>
    </w:p>
    <w:p w14:paraId="79F6DEB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（一）发包人及其工作人员不得违反规定干预承包人的合法分包；不得在承包人处安插亲友及介绍销售工程材料；不得违反规定指定需购物资设备的销售单位或部门。</w:t>
      </w:r>
    </w:p>
    <w:p w14:paraId="351689E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（二）发包人及其工作人员不得挤占、截留、挪用、拖欠拨付工程款；不得超进度拨付工程款；严禁私设小金库。</w:t>
      </w:r>
    </w:p>
    <w:p w14:paraId="1BB6A74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（三）发包人及其工作人员不得利用职务之便索要或接受承包人的礼品、礼金、消费卡、有价证券、股权、其他金融产品等财物，或以赌博等交易形式非法收受承包人财物。</w:t>
      </w:r>
    </w:p>
    <w:p w14:paraId="6D54686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（四）发包人及其工作人员不得让承包人报销应由发包人或其工作人员个人支付的费用。</w:t>
      </w:r>
    </w:p>
    <w:p w14:paraId="58F9D04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（五）发包人及其工作人员不得要求或者接受承包人可能影响公正执行公务的宴请；不得要求承包人提供超出合同以外的交通工具、通讯工具、办公用品等。</w:t>
      </w:r>
    </w:p>
    <w:p w14:paraId="111C01E5">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（六）发包人及其工作人员不得收受承包人住房、汽车等物品，不得收受承包人为其以明显低于市场价购置住房或以劣换优、以借为名占用承包人住房。</w:t>
      </w:r>
    </w:p>
    <w:p w14:paraId="2C5E9486">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（七）发包人及其工作人员不得要求或者接受承包人为其住房装修、婚丧嫁娶、特定关系人（近亲属及</w:t>
      </w:r>
      <w:r>
        <w:rPr>
          <w:rFonts w:hint="eastAsia" w:ascii="宋体" w:hAnsi="宋体" w:cs="宋体"/>
          <w:szCs w:val="21"/>
          <w:highlight w:val="none"/>
          <w:lang w:eastAsia="zh-CN"/>
        </w:rPr>
        <w:t>其他</w:t>
      </w:r>
      <w:r>
        <w:rPr>
          <w:rFonts w:hint="eastAsia" w:ascii="宋体" w:hAnsi="宋体" w:cs="宋体"/>
          <w:szCs w:val="21"/>
          <w:highlight w:val="none"/>
        </w:rPr>
        <w:t>共同利益关系的人）国内和出国（境）旅游提供方便。</w:t>
      </w:r>
    </w:p>
    <w:p w14:paraId="612BBF50">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八）发包人及其工作人员不得在与承包人有直接利害关系的企事业单位兼职、兼职取酬、投资入股或其他委托理财名义、经商办企业以及从事有偿中介活动；不得要求或者接受承包人以给特定关系人安排工作为名，使特定关系人不实际工作却获取薪酬；或授意承包人以其他违法违规形式，将有关财物给特定关系人。</w:t>
      </w:r>
    </w:p>
    <w:p w14:paraId="016982F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（九）发包人及其工作人员不得利用职务便利为承包人谋取不当利益；不得利用职务之便为承包人谋取不当利益（之前或之后），约定在其离职后收受承包人财物，并在离职后收受。</w:t>
      </w:r>
    </w:p>
    <w:p w14:paraId="148A6F83">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第三条</w:t>
      </w:r>
      <w:r>
        <w:rPr>
          <w:rFonts w:hint="eastAsia" w:ascii="宋体" w:hAnsi="宋体" w:cs="宋体"/>
          <w:b/>
          <w:szCs w:val="21"/>
          <w:highlight w:val="none"/>
        </w:rPr>
        <w:t xml:space="preserve">  </w:t>
      </w:r>
      <w:r>
        <w:rPr>
          <w:rFonts w:hint="eastAsia" w:ascii="宋体" w:hAnsi="宋体" w:cs="宋体"/>
          <w:szCs w:val="21"/>
          <w:highlight w:val="none"/>
        </w:rPr>
        <w:t>承包人在廉政建设方面义务</w:t>
      </w:r>
    </w:p>
    <w:p w14:paraId="376AD11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（一）承包人及其工作人员不得违反规定按照发包人及其工作人员要求将承建的项目转包或者违法分包。</w:t>
      </w:r>
    </w:p>
    <w:p w14:paraId="2DFB8142">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（二）承包人及其工作人员不得以任何形式向发包人及其工作人员馈赠礼品、礼金、消费卡、有价证券、股权、其他金融产品等财物，或以赌博等交易形式非法赠送发包人及其工作人员财物。</w:t>
      </w:r>
    </w:p>
    <w:p w14:paraId="381B07F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（三）承包人及其工作人员不得以任何名义为发包人及其工作人员报销应由发包人或其工作人员个人支付的费用。</w:t>
      </w:r>
    </w:p>
    <w:p w14:paraId="0001984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（四）承包人及其工作人员不得以任何理由邀请发包人及其工作人员参加对承建的工程项目有影响的宴请及娱乐活动；不得超出承包合同为其提供通讯工具、交通工具、办公用品等。</w:t>
      </w:r>
    </w:p>
    <w:p w14:paraId="2FFE674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（五）承包人及其工作人员不得以任何形式向发包人及其工作人员赠送住房、汽车等物品，不得为其以明显低于市场价购置住房或以劣换优、以借为名赠送住房。</w:t>
      </w:r>
    </w:p>
    <w:p w14:paraId="5E54445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承包人及其工作人员不得为发包人及其工作人员住房装修、婚丧嫁娶、特定关系人国内和出国（境）旅游提供方便；不得为其特定关系人以安排工作为名，使其不实际工作却获取薪酬；不得以其他违法违规形式，将有关财物给发包人及其工作人员或其特定关系人。</w:t>
      </w:r>
    </w:p>
    <w:p w14:paraId="36A4FB14">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（七）承包人及其工作人员不得与该工程的设计、监理、检测等单位串通，违反工程计量、资金支付、质量验评、设计变更等有关规定和程序，损害发包人利益，影响工程质量、进度和安全。</w:t>
      </w:r>
    </w:p>
    <w:p w14:paraId="17213BA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（八）承包人应按照发包人和监督部门的要求，对农民工工资实行银行卡支付，不得克扣、截留、拖欠农民工工资。</w:t>
      </w:r>
    </w:p>
    <w:p w14:paraId="32553AD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第四条  违约责任</w:t>
      </w:r>
    </w:p>
    <w:p w14:paraId="0D1B8B1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（一）发包人及其工作人员违反本合同有关规定的，由发包人主管部门或纪检监察部门依据有关规定查处，给承包人造成损失的，按有关规定予以赔偿；构成犯罪的，依法移送司法机关追究刑事责任。</w:t>
      </w:r>
    </w:p>
    <w:p w14:paraId="0258B63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违反本合同有关规定的，按省水利厅信用考核管理有关规定进行查处，并将有关不良行为记录到企业信用档案。对违纪违规行为，由承包人主管部门或行业管理部门依据有关规定查处，给发包人造成损失的，按有关规定予以赔偿；构成犯罪的，依法移送司法机关追究刑事责任。</w:t>
      </w:r>
    </w:p>
    <w:p w14:paraId="3CC66C2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第五条  监督检查</w:t>
      </w:r>
    </w:p>
    <w:p w14:paraId="5E1467B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（一）承、发包双方在接受本单位主管部门监督检查的同时，自愿接受</w:t>
      </w:r>
      <w:r>
        <w:rPr>
          <w:rFonts w:hint="eastAsia" w:ascii="宋体" w:hAnsi="宋体" w:cs="宋体"/>
          <w:szCs w:val="21"/>
          <w:highlight w:val="none"/>
          <w:u w:val="single"/>
        </w:rPr>
        <w:t>各（上）</w:t>
      </w:r>
      <w:r>
        <w:rPr>
          <w:rFonts w:hint="eastAsia" w:ascii="宋体" w:hAnsi="宋体" w:cs="宋体"/>
          <w:szCs w:val="21"/>
          <w:highlight w:val="none"/>
        </w:rPr>
        <w:t>级水行政主管部门和</w:t>
      </w:r>
      <w:r>
        <w:rPr>
          <w:rFonts w:hint="eastAsia" w:ascii="宋体" w:hAnsi="宋体" w:cs="宋体"/>
          <w:szCs w:val="21"/>
          <w:highlight w:val="none"/>
          <w:u w:val="single"/>
        </w:rPr>
        <w:t>督查单位（纪检监察部门）</w:t>
      </w:r>
      <w:r>
        <w:rPr>
          <w:rFonts w:hint="eastAsia" w:ascii="宋体" w:hAnsi="宋体" w:cs="宋体"/>
          <w:szCs w:val="21"/>
          <w:highlight w:val="none"/>
        </w:rPr>
        <w:t>对合同执行情况的监督检查、审计等，提供有关资料和财务账册，接受本合同规定范围内的裁定意见。</w:t>
      </w:r>
    </w:p>
    <w:p w14:paraId="6F68C14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本合同履约情况检查由督查单位主持，承、发包双方共同派员参加；检查方式为座谈、个别访谈、现场勘察、查阅资料及财务账册或约定的其他方式等；检查时间、次数、方式、检查结论和执行违约责任等由双方协商确定，如无法达成一致的，由督查单位依据事实裁定</w:t>
      </w:r>
    </w:p>
    <w:p w14:paraId="3BD976F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第六条  本合同为工程合同的从合同，其有效期与工程合同一致。</w:t>
      </w:r>
    </w:p>
    <w:p w14:paraId="427AFE2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第七条  本合同一式</w:t>
      </w:r>
      <w:r>
        <w:rPr>
          <w:rFonts w:hint="eastAsia" w:ascii="宋体" w:hAnsi="宋体" w:cs="宋体"/>
          <w:b/>
          <w:szCs w:val="21"/>
          <w:highlight w:val="none"/>
          <w:u w:val="single"/>
        </w:rPr>
        <w:t>叁</w:t>
      </w:r>
      <w:r>
        <w:rPr>
          <w:rFonts w:hint="eastAsia" w:ascii="宋体" w:hAnsi="宋体" w:cs="宋体"/>
          <w:szCs w:val="21"/>
          <w:highlight w:val="none"/>
        </w:rPr>
        <w:t>份，承、发包双方各执</w:t>
      </w:r>
      <w:r>
        <w:rPr>
          <w:rFonts w:hint="eastAsia" w:ascii="宋体" w:hAnsi="宋体" w:cs="宋体"/>
          <w:b/>
          <w:szCs w:val="21"/>
          <w:highlight w:val="none"/>
          <w:u w:val="single"/>
        </w:rPr>
        <w:t>壹</w:t>
      </w:r>
      <w:r>
        <w:rPr>
          <w:rFonts w:hint="eastAsia" w:ascii="宋体" w:hAnsi="宋体" w:cs="宋体"/>
          <w:szCs w:val="21"/>
          <w:highlight w:val="none"/>
        </w:rPr>
        <w:t>份，送交督查单位</w:t>
      </w:r>
      <w:r>
        <w:rPr>
          <w:rFonts w:hint="eastAsia" w:ascii="宋体" w:hAnsi="宋体" w:cs="宋体"/>
          <w:b/>
          <w:szCs w:val="21"/>
          <w:highlight w:val="none"/>
          <w:u w:val="single"/>
        </w:rPr>
        <w:t>壹</w:t>
      </w:r>
      <w:r>
        <w:rPr>
          <w:rFonts w:hint="eastAsia" w:ascii="宋体" w:hAnsi="宋体" w:cs="宋体"/>
          <w:szCs w:val="21"/>
          <w:highlight w:val="none"/>
        </w:rPr>
        <w:t>份。</w:t>
      </w:r>
    </w:p>
    <w:p w14:paraId="0E0FE0B1">
      <w:pPr>
        <w:spacing w:line="520" w:lineRule="exact"/>
        <w:ind w:firstLine="420"/>
        <w:contextualSpacing/>
        <w:rPr>
          <w:rFonts w:hint="eastAsia" w:ascii="宋体" w:hAnsi="宋体" w:cs="宋体"/>
          <w:szCs w:val="21"/>
          <w:highlight w:val="none"/>
        </w:rPr>
      </w:pPr>
    </w:p>
    <w:p w14:paraId="6130FCEB">
      <w:pPr>
        <w:spacing w:line="520" w:lineRule="exact"/>
        <w:ind w:firstLine="840"/>
        <w:rPr>
          <w:rFonts w:hint="eastAsia" w:ascii="宋体" w:hAnsi="宋体" w:cs="宋体"/>
          <w:szCs w:val="21"/>
          <w:highlight w:val="none"/>
        </w:rPr>
      </w:pPr>
      <w:r>
        <w:rPr>
          <w:rFonts w:hint="eastAsia" w:ascii="宋体" w:hAnsi="宋体" w:cs="宋体"/>
          <w:szCs w:val="21"/>
          <w:highlight w:val="none"/>
        </w:rPr>
        <w:t xml:space="preserve">发  包  人:（盖章）                承  包  人:（盖章）                </w:t>
      </w:r>
    </w:p>
    <w:p w14:paraId="1390C8AC">
      <w:pPr>
        <w:spacing w:line="520" w:lineRule="exact"/>
        <w:ind w:firstLine="840"/>
        <w:rPr>
          <w:rFonts w:hint="eastAsia" w:ascii="宋体" w:hAnsi="宋体" w:cs="宋体"/>
          <w:szCs w:val="21"/>
          <w:highlight w:val="none"/>
        </w:rPr>
      </w:pPr>
      <w:r>
        <w:rPr>
          <w:rFonts w:hint="eastAsia" w:ascii="宋体" w:hAnsi="宋体" w:cs="宋体"/>
          <w:szCs w:val="21"/>
          <w:highlight w:val="none"/>
        </w:rPr>
        <w:t>法定代表人:（签名）                法定代表人:（签名）</w:t>
      </w:r>
    </w:p>
    <w:p w14:paraId="1BA62A63">
      <w:pPr>
        <w:spacing w:line="520" w:lineRule="exact"/>
        <w:ind w:firstLine="840"/>
        <w:rPr>
          <w:rFonts w:hint="eastAsia" w:ascii="宋体" w:hAnsi="宋体" w:cs="宋体"/>
          <w:szCs w:val="21"/>
          <w:highlight w:val="none"/>
        </w:rPr>
      </w:pPr>
      <w:r>
        <w:rPr>
          <w:rFonts w:hint="eastAsia" w:ascii="宋体" w:hAnsi="宋体" w:cs="宋体"/>
          <w:szCs w:val="21"/>
          <w:highlight w:val="none"/>
        </w:rPr>
        <w:t>或授权代理人:（签名）              或授权代理人:（签名）</w:t>
      </w:r>
    </w:p>
    <w:p w14:paraId="5AEA300A">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                         单位地址：</w:t>
      </w:r>
    </w:p>
    <w:p w14:paraId="441D1AE3">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                         联系电话：</w:t>
      </w:r>
    </w:p>
    <w:p w14:paraId="6DC2E9AF">
      <w:pPr>
        <w:spacing w:line="520" w:lineRule="exact"/>
        <w:rPr>
          <w:rFonts w:hint="eastAsia" w:ascii="宋体" w:hAnsi="宋体" w:cs="宋体"/>
          <w:szCs w:val="21"/>
          <w:highlight w:val="none"/>
        </w:rPr>
      </w:pPr>
    </w:p>
    <w:p w14:paraId="75D01112">
      <w:pPr>
        <w:spacing w:line="520" w:lineRule="exact"/>
        <w:ind w:firstLine="840"/>
        <w:rPr>
          <w:rFonts w:hint="eastAsia" w:ascii="宋体" w:hAnsi="宋体" w:cs="宋体"/>
          <w:szCs w:val="21"/>
          <w:highlight w:val="none"/>
        </w:rPr>
      </w:pPr>
      <w:r>
        <w:rPr>
          <w:rFonts w:hint="eastAsia" w:ascii="宋体" w:hAnsi="宋体" w:cs="宋体"/>
          <w:szCs w:val="21"/>
          <w:highlight w:val="none"/>
        </w:rPr>
        <w:t>督查单位（纪检监察部门）：（盖章）</w:t>
      </w:r>
    </w:p>
    <w:p w14:paraId="797C17BF">
      <w:pPr>
        <w:spacing w:line="520" w:lineRule="exact"/>
        <w:ind w:firstLine="840"/>
        <w:rPr>
          <w:rFonts w:hint="eastAsia" w:ascii="宋体" w:hAnsi="宋体" w:cs="宋体"/>
          <w:szCs w:val="21"/>
          <w:highlight w:val="none"/>
        </w:rPr>
      </w:pPr>
      <w:r>
        <w:rPr>
          <w:rFonts w:hint="eastAsia" w:ascii="宋体" w:hAnsi="宋体" w:cs="宋体"/>
          <w:szCs w:val="21"/>
          <w:highlight w:val="none"/>
        </w:rPr>
        <w:t>代 表 人：（签名）</w:t>
      </w:r>
    </w:p>
    <w:p w14:paraId="4F52E971">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w:t>
      </w:r>
    </w:p>
    <w:p w14:paraId="225CABE3">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w:t>
      </w:r>
    </w:p>
    <w:p w14:paraId="4665638C">
      <w:pPr>
        <w:spacing w:line="520" w:lineRule="exact"/>
        <w:jc w:val="right"/>
        <w:rPr>
          <w:rFonts w:hint="eastAsia" w:ascii="宋体" w:hAnsi="宋体" w:cs="宋体"/>
          <w:szCs w:val="21"/>
          <w:highlight w:val="none"/>
        </w:rPr>
      </w:pPr>
      <w:r>
        <w:rPr>
          <w:rFonts w:hint="eastAsia" w:ascii="宋体" w:hAnsi="宋体" w:cs="宋体"/>
          <w:szCs w:val="21"/>
          <w:highlight w:val="none"/>
        </w:rPr>
        <w:t>签订日期：      年    月    日</w:t>
      </w:r>
    </w:p>
    <w:p w14:paraId="58694957">
      <w:pPr>
        <w:spacing w:line="520" w:lineRule="exact"/>
        <w:jc w:val="center"/>
        <w:rPr>
          <w:rFonts w:hint="eastAsia" w:ascii="宋体" w:hAnsi="宋体" w:cs="宋体"/>
          <w:sz w:val="28"/>
          <w:szCs w:val="28"/>
          <w:highlight w:val="none"/>
        </w:rPr>
      </w:pPr>
      <w:r>
        <w:rPr>
          <w:rFonts w:hint="eastAsia" w:ascii="宋体" w:hAnsi="宋体" w:cs="宋体"/>
          <w:szCs w:val="21"/>
          <w:highlight w:val="none"/>
        </w:rPr>
        <w:br w:type="page" w:clear="all"/>
      </w:r>
      <w:r>
        <w:rPr>
          <w:rFonts w:hint="eastAsia" w:ascii="宋体" w:hAnsi="宋体" w:cs="宋体"/>
          <w:b/>
          <w:bCs/>
          <w:sz w:val="28"/>
          <w:szCs w:val="28"/>
          <w:highlight w:val="none"/>
        </w:rPr>
        <w:t>廉政合同（二）</w:t>
      </w:r>
    </w:p>
    <w:p w14:paraId="0EBDCDF8">
      <w:pPr>
        <w:spacing w:line="520" w:lineRule="exact"/>
        <w:jc w:val="center"/>
        <w:rPr>
          <w:rFonts w:ascii="宋体" w:hAnsi="宋体"/>
          <w:sz w:val="22"/>
          <w:szCs w:val="22"/>
          <w:highlight w:val="none"/>
        </w:rPr>
      </w:pPr>
      <w:r>
        <w:rPr>
          <w:rFonts w:ascii="宋体" w:hAnsi="宋体"/>
          <w:sz w:val="22"/>
          <w:szCs w:val="22"/>
          <w:highlight w:val="none"/>
        </w:rPr>
        <w:t>（</w:t>
      </w:r>
      <w:r>
        <w:rPr>
          <w:rFonts w:hint="eastAsia" w:ascii="宋体" w:hAnsi="宋体"/>
          <w:sz w:val="22"/>
          <w:szCs w:val="22"/>
          <w:highlight w:val="none"/>
        </w:rPr>
        <w:t>监理人</w:t>
      </w:r>
      <w:r>
        <w:rPr>
          <w:rFonts w:ascii="宋体" w:hAnsi="宋体"/>
          <w:sz w:val="22"/>
          <w:szCs w:val="22"/>
          <w:highlight w:val="none"/>
        </w:rPr>
        <w:t>与</w:t>
      </w:r>
      <w:r>
        <w:rPr>
          <w:rFonts w:hint="eastAsia" w:ascii="宋体" w:hAnsi="宋体"/>
          <w:sz w:val="22"/>
          <w:szCs w:val="22"/>
          <w:highlight w:val="none"/>
        </w:rPr>
        <w:t>承包人</w:t>
      </w:r>
      <w:r>
        <w:rPr>
          <w:rFonts w:ascii="宋体" w:hAnsi="宋体"/>
          <w:sz w:val="22"/>
          <w:szCs w:val="22"/>
          <w:highlight w:val="none"/>
        </w:rPr>
        <w:t>）</w:t>
      </w:r>
    </w:p>
    <w:p w14:paraId="755406A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监理人：</w:t>
      </w:r>
      <w:r>
        <w:rPr>
          <w:rFonts w:hint="eastAsia" w:ascii="宋体" w:hAnsi="宋体" w:cs="宋体"/>
          <w:b/>
          <w:szCs w:val="21"/>
          <w:highlight w:val="none"/>
          <w:u w:val="single"/>
        </w:rPr>
        <w:t xml:space="preserve">                         </w:t>
      </w:r>
    </w:p>
    <w:p w14:paraId="4215110F">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承包人：</w:t>
      </w:r>
      <w:r>
        <w:rPr>
          <w:rFonts w:hint="eastAsia" w:ascii="宋体" w:hAnsi="宋体" w:cs="宋体"/>
          <w:b/>
          <w:szCs w:val="21"/>
          <w:highlight w:val="none"/>
          <w:u w:val="single"/>
        </w:rPr>
        <w:t xml:space="preserve">                         </w:t>
      </w:r>
    </w:p>
    <w:p w14:paraId="760400F0">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为贯彻落实党中央、国务院《关于实行党风廉政建设责任制的规定》，进一步加强水利工程建设中的党风廉政建设，保证</w:t>
      </w:r>
      <w:r>
        <w:rPr>
          <w:rFonts w:hint="eastAsia" w:ascii="宋体" w:hAnsi="宋体" w:cs="宋体"/>
          <w:b/>
          <w:szCs w:val="21"/>
          <w:highlight w:val="none"/>
          <w:u w:val="single"/>
        </w:rPr>
        <w:t xml:space="preserve"> 工程名称</w:t>
      </w:r>
      <w:r>
        <w:rPr>
          <w:rFonts w:hint="eastAsia" w:ascii="宋体" w:hAnsi="宋体" w:cs="宋体"/>
          <w:szCs w:val="21"/>
          <w:highlight w:val="none"/>
        </w:rPr>
        <w:t>建设优质、高效、有序、廉洁地进行，</w:t>
      </w:r>
      <w:r>
        <w:rPr>
          <w:rFonts w:hint="eastAsia" w:ascii="宋体" w:hAnsi="宋体" w:cs="宋体"/>
          <w:b/>
          <w:szCs w:val="21"/>
          <w:highlight w:val="none"/>
          <w:u w:val="single"/>
        </w:rPr>
        <w:t>监理合同名称（编号）</w:t>
      </w:r>
      <w:r>
        <w:rPr>
          <w:rFonts w:hint="eastAsia" w:ascii="宋体" w:hAnsi="宋体" w:cs="宋体"/>
          <w:szCs w:val="21"/>
          <w:highlight w:val="none"/>
        </w:rPr>
        <w:t xml:space="preserve">的监理单位 </w:t>
      </w:r>
      <w:r>
        <w:rPr>
          <w:rFonts w:hint="eastAsia" w:ascii="宋体" w:hAnsi="宋体" w:cs="宋体"/>
          <w:b/>
          <w:szCs w:val="21"/>
          <w:highlight w:val="none"/>
          <w:u w:val="single"/>
        </w:rPr>
        <w:t xml:space="preserve">    </w:t>
      </w:r>
      <w:r>
        <w:rPr>
          <w:rFonts w:hint="eastAsia" w:ascii="宋体" w:hAnsi="宋体" w:cs="宋体"/>
          <w:szCs w:val="21"/>
          <w:highlight w:val="none"/>
        </w:rPr>
        <w:t>（以下简称“监理人”），与</w:t>
      </w:r>
      <w:r>
        <w:rPr>
          <w:rFonts w:hint="eastAsia" w:ascii="宋体" w:hAnsi="宋体" w:cs="宋体"/>
          <w:b/>
          <w:szCs w:val="21"/>
          <w:highlight w:val="none"/>
          <w:u w:val="single"/>
        </w:rPr>
        <w:t>施工合同名称（编号）</w:t>
      </w:r>
      <w:r>
        <w:rPr>
          <w:rFonts w:hint="eastAsia" w:ascii="宋体" w:hAnsi="宋体" w:cs="宋体"/>
          <w:szCs w:val="21"/>
          <w:highlight w:val="none"/>
        </w:rPr>
        <w:t>的施工单位</w:t>
      </w:r>
      <w:r>
        <w:rPr>
          <w:rFonts w:hint="eastAsia" w:ascii="宋体" w:hAnsi="宋体" w:cs="宋体"/>
          <w:b/>
          <w:szCs w:val="21"/>
          <w:highlight w:val="none"/>
          <w:u w:val="single"/>
        </w:rPr>
        <w:t xml:space="preserve">     </w:t>
      </w:r>
      <w:r>
        <w:rPr>
          <w:rFonts w:hint="eastAsia" w:ascii="宋体" w:hAnsi="宋体" w:cs="宋体"/>
          <w:szCs w:val="21"/>
          <w:highlight w:val="none"/>
        </w:rPr>
        <w:t>（以下简称“承包人”），经双方协商一致，自愿签订以下廉政合同。</w:t>
      </w:r>
    </w:p>
    <w:p w14:paraId="741018B6">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第一条  监理人、承包人双方共同义务</w:t>
      </w:r>
    </w:p>
    <w:p w14:paraId="702F9F3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（一）严格遵守党和国家有关法律法规及党风廉政建设各项规定，严格落实中央八项规定和省委十项规定精神。</w:t>
      </w:r>
    </w:p>
    <w:p w14:paraId="72C09CC5">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（二）严格执行</w:t>
      </w:r>
      <w:r>
        <w:rPr>
          <w:rFonts w:hint="eastAsia" w:ascii="宋体" w:hAnsi="宋体" w:cs="宋体"/>
          <w:b/>
          <w:szCs w:val="21"/>
          <w:highlight w:val="none"/>
          <w:u w:val="single"/>
        </w:rPr>
        <w:t xml:space="preserve">  工程合同名称（编号）  </w:t>
      </w:r>
      <w:r>
        <w:rPr>
          <w:rFonts w:hint="eastAsia" w:ascii="宋体" w:hAnsi="宋体" w:cs="宋体"/>
          <w:szCs w:val="21"/>
          <w:highlight w:val="none"/>
        </w:rPr>
        <w:t>工程监理、施工合同文件，自觉按合同办事。</w:t>
      </w:r>
    </w:p>
    <w:p w14:paraId="5DD6258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（三）双方遵循公平、诚实信用的原则行使权利和履行义务；尊重社会公德，不得扰乱社会经济秩序，损害社会公共利益。</w:t>
      </w:r>
    </w:p>
    <w:p w14:paraId="38186B7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（四）建立健全并严格执行党风廉政建设各项制度，开展反腐倡廉宣传教育，加强对本方工作人员的监督检查。</w:t>
      </w:r>
    </w:p>
    <w:p w14:paraId="14D137B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（五）开展廉政文化进工地活动，在工地现场设立廉政公示牌、举报箱、廉政宣传栏和举报电话等。</w:t>
      </w:r>
    </w:p>
    <w:p w14:paraId="57F3183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发现对方在业务活动中有违反廉政规定的行为，应及时提醒和督促对方纠正；对违反相关规定的本方工作人员应及时进行批评教育，并按各自内部规定严肃查处违纪违规行为；发现重大违纪违法行为，应向执纪执法机关举报。</w:t>
      </w:r>
    </w:p>
    <w:p w14:paraId="5258FED8">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第二条</w:t>
      </w:r>
      <w:r>
        <w:rPr>
          <w:rFonts w:hint="eastAsia" w:ascii="宋体" w:hAnsi="宋体" w:cs="宋体"/>
          <w:b/>
          <w:szCs w:val="21"/>
          <w:highlight w:val="none"/>
        </w:rPr>
        <w:t xml:space="preserve">  </w:t>
      </w:r>
      <w:r>
        <w:rPr>
          <w:rFonts w:hint="eastAsia" w:ascii="宋体" w:hAnsi="宋体" w:cs="宋体"/>
          <w:szCs w:val="21"/>
          <w:highlight w:val="none"/>
        </w:rPr>
        <w:t>监理人在廉政建设方面的义务</w:t>
      </w:r>
    </w:p>
    <w:p w14:paraId="3DA0BD0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监理人及其工作人员不得违反规定干预承包人的合法分包；不得在承包人处安插亲友及介绍销售工程材料；不得指定需购物资设备的销售单位或部门；不得超进度计量工程款；不得无正当理由拖延签发施工图、设计变更、计量支付、验收意见。</w:t>
      </w:r>
    </w:p>
    <w:p w14:paraId="3C6ECC3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（二）监理人及其工作人员不得利用职务之便索要或接受承包人的礼品、礼金、消费卡、有价证券、股权、其他金融产品等财物，或以赌博等交易形式非法收受承包人财物。</w:t>
      </w:r>
    </w:p>
    <w:p w14:paraId="061AA55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（三）监理人及其工作人员不得让承包人报销应由监理人或其工作人员个人支付的费用。</w:t>
      </w:r>
    </w:p>
    <w:p w14:paraId="1A8AE4D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（四）监理人及其工作人员不得要求或者接受承包人可能影响公正执行公务的宴请；不得要求承包人提供超出合同以外的交通工具、通讯工具、办公用品等。</w:t>
      </w:r>
    </w:p>
    <w:p w14:paraId="1D41D04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（五）监理人及其工作人员不得收受承包人住房、汽车等物品，不得收受承包人为其以明显低于市场价购置住房或以劣换优、以借为名占用承包人住房。</w:t>
      </w:r>
    </w:p>
    <w:p w14:paraId="7939065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（六）监理人及其工作人员不得要求或者接受承包人为其住房装修、婚丧嫁娶、特定关系人（近亲属及</w:t>
      </w:r>
      <w:r>
        <w:rPr>
          <w:rFonts w:hint="eastAsia" w:ascii="宋体" w:hAnsi="宋体" w:cs="宋体"/>
          <w:szCs w:val="21"/>
          <w:highlight w:val="none"/>
          <w:lang w:eastAsia="zh-CN"/>
        </w:rPr>
        <w:t>其他</w:t>
      </w:r>
      <w:r>
        <w:rPr>
          <w:rFonts w:hint="eastAsia" w:ascii="宋体" w:hAnsi="宋体" w:cs="宋体"/>
          <w:szCs w:val="21"/>
          <w:highlight w:val="none"/>
        </w:rPr>
        <w:t>共同利益关系的人）国内和出国（境）旅游提供方便。</w:t>
      </w:r>
    </w:p>
    <w:p w14:paraId="58F9EED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七）监理人及其工作人员不得在与承包人有直接利害关系的企事业单位兼职、兼职取酬、投资入股或其他委托理财名义、经商办企业以及从事有偿中介活动；不得要求或者接受承包人以给特定关系人安排工作为名，使特定关系人不实际工作却获取薪酬；或授意承包人以其他违法违规形式，将有关财物给特定关系人。</w:t>
      </w:r>
    </w:p>
    <w:p w14:paraId="6951DA5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（八）监理人及其工作人员不得利用职务便利为承包人谋取不当利益；不得利用职务之便为承包人谋取不当利益（之前或之后），约定在其离职后收受承包人财物，并在离职后收受。</w:t>
      </w:r>
    </w:p>
    <w:p w14:paraId="532AB945">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第三条</w:t>
      </w:r>
      <w:r>
        <w:rPr>
          <w:rFonts w:hint="eastAsia" w:ascii="宋体" w:hAnsi="宋体" w:cs="宋体"/>
          <w:b/>
          <w:szCs w:val="21"/>
          <w:highlight w:val="none"/>
        </w:rPr>
        <w:t xml:space="preserve">  </w:t>
      </w:r>
      <w:r>
        <w:rPr>
          <w:rFonts w:hint="eastAsia" w:ascii="宋体" w:hAnsi="宋体" w:cs="宋体"/>
          <w:szCs w:val="21"/>
          <w:highlight w:val="none"/>
        </w:rPr>
        <w:t>承包人在廉政建设方面义务</w:t>
      </w:r>
    </w:p>
    <w:p w14:paraId="724A1AC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（一）承包人及其工作人员不得以任何形式向监理人及其工作人员馈赠礼品、礼金、消费卡、有价证券、股权、其他金融产品等财物，或以赌博等交易形式非法赠送监理人及其工作人员财物。</w:t>
      </w:r>
    </w:p>
    <w:p w14:paraId="61731832">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（二）承包人及其工作人员不得以任何名义为监理人及其工作人员报销应由监理人或其工作人员个人支付的费用。</w:t>
      </w:r>
    </w:p>
    <w:p w14:paraId="6BE8948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（三）承包人及其工作人员不得以任何理由邀请监理人及其工作人员参加对承建的工程项目有影响的宴请及娱乐活动；不得超出承包合同为其提供通讯工具、交通工具、办公用品等。</w:t>
      </w:r>
    </w:p>
    <w:p w14:paraId="231B3E6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（四）承包人及其工作人员不得以任何形式向监理人及其工作人员赠送住房、汽车等物品，不得为其以明显低于市场价购置住房或以劣换优、以借为名赠送住房。</w:t>
      </w:r>
    </w:p>
    <w:p w14:paraId="4FCD221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承包人及其工作人员不得为监理人及其工作人员住房装修、婚丧嫁娶、特定关系人国内和出国（境）旅游提供方便；不得为其特定关系人以安排工作为名，使其不实际工作却获取薪酬；不得以其他违法违规形式，将有关财物给监理人及其工作人员或其特定关系人。</w:t>
      </w:r>
    </w:p>
    <w:p w14:paraId="1FAED471">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（六）承包人及其工作人员必须严格履行施工合同条款，不得与监理人及其工作人员串通，违反工程计量、资金支付、质量验评、竣工验收等有关规定和程序，损害发包人利益，影响工程质量、进度和安全。</w:t>
      </w:r>
    </w:p>
    <w:p w14:paraId="3B5B790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第四条</w:t>
      </w:r>
      <w:r>
        <w:rPr>
          <w:rFonts w:hint="eastAsia" w:ascii="宋体" w:hAnsi="宋体" w:cs="宋体"/>
          <w:b/>
          <w:szCs w:val="21"/>
          <w:highlight w:val="none"/>
        </w:rPr>
        <w:t xml:space="preserve">  </w:t>
      </w:r>
      <w:r>
        <w:rPr>
          <w:rFonts w:hint="eastAsia" w:ascii="宋体" w:hAnsi="宋体" w:cs="宋体"/>
          <w:szCs w:val="21"/>
          <w:highlight w:val="none"/>
        </w:rPr>
        <w:t>违约责任</w:t>
      </w:r>
    </w:p>
    <w:p w14:paraId="541C272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监理人及其工作人员违反本合同有关规定的，按省水利厅信用考核管理有关规定进行查处，并将有关不良行为记录到企业信用档案。对违纪违规行为，由监理人主管部门或行业管理部门依据有关规定查处，给</w:t>
      </w:r>
      <w:r>
        <w:rPr>
          <w:rFonts w:hint="eastAsia" w:ascii="宋体" w:hAnsi="宋体" w:cs="宋体"/>
          <w:szCs w:val="21"/>
          <w:highlight w:val="none"/>
          <w:u w:val="single"/>
        </w:rPr>
        <w:t>发包人或承包人</w:t>
      </w:r>
      <w:r>
        <w:rPr>
          <w:rFonts w:hint="eastAsia" w:ascii="宋体" w:hAnsi="宋体" w:cs="宋体"/>
          <w:szCs w:val="21"/>
          <w:highlight w:val="none"/>
        </w:rPr>
        <w:t>造成损失的，按有关规定予以赔偿；构成犯罪的，依法移送司法机关追究刑事责任。</w:t>
      </w:r>
    </w:p>
    <w:p w14:paraId="00FF4EA2">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违反本合同有关规定的，按省水利厅信用考核管理有关规定进行查处，并将有关不良行为记录到企业信用档案。对违纪违规行为，由承包人主管部门或行业管理部门依据有关规定查处，给</w:t>
      </w:r>
      <w:r>
        <w:rPr>
          <w:rFonts w:hint="eastAsia" w:ascii="宋体" w:hAnsi="宋体" w:cs="宋体"/>
          <w:szCs w:val="21"/>
          <w:highlight w:val="none"/>
          <w:u w:val="single"/>
        </w:rPr>
        <w:t>发包人或监理人</w:t>
      </w:r>
      <w:r>
        <w:rPr>
          <w:rFonts w:hint="eastAsia" w:ascii="宋体" w:hAnsi="宋体" w:cs="宋体"/>
          <w:szCs w:val="21"/>
          <w:highlight w:val="none"/>
        </w:rPr>
        <w:t>造成损失的，按有关规定予以赔偿；构成犯罪的，依法移送司法机关追究刑事责任。</w:t>
      </w:r>
    </w:p>
    <w:p w14:paraId="010AD49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第五条</w:t>
      </w:r>
      <w:r>
        <w:rPr>
          <w:rFonts w:hint="eastAsia" w:ascii="宋体" w:hAnsi="宋体" w:cs="宋体"/>
          <w:b/>
          <w:szCs w:val="21"/>
          <w:highlight w:val="none"/>
        </w:rPr>
        <w:t xml:space="preserve">  </w:t>
      </w:r>
      <w:r>
        <w:rPr>
          <w:rFonts w:hint="eastAsia" w:ascii="宋体" w:hAnsi="宋体" w:cs="宋体"/>
          <w:szCs w:val="21"/>
          <w:highlight w:val="none"/>
        </w:rPr>
        <w:t>监督检查</w:t>
      </w:r>
    </w:p>
    <w:p w14:paraId="1A87A8B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（一）监理人与承包人在接受本单位主管部门监督检查的同时，自愿接受</w:t>
      </w:r>
      <w:r>
        <w:rPr>
          <w:rFonts w:hint="eastAsia" w:ascii="宋体" w:hAnsi="宋体" w:cs="宋体"/>
          <w:szCs w:val="21"/>
          <w:highlight w:val="none"/>
          <w:u w:val="single"/>
        </w:rPr>
        <w:t>各（上）</w:t>
      </w:r>
      <w:r>
        <w:rPr>
          <w:rFonts w:hint="eastAsia" w:ascii="宋体" w:hAnsi="宋体" w:cs="宋体"/>
          <w:szCs w:val="21"/>
          <w:highlight w:val="none"/>
        </w:rPr>
        <w:t>级水行政主管部门和</w:t>
      </w:r>
      <w:r>
        <w:rPr>
          <w:rFonts w:hint="eastAsia" w:ascii="宋体" w:hAnsi="宋体" w:cs="宋体"/>
          <w:szCs w:val="21"/>
          <w:highlight w:val="none"/>
          <w:u w:val="single"/>
        </w:rPr>
        <w:t>督查单位（纪检监察部门）</w:t>
      </w:r>
      <w:r>
        <w:rPr>
          <w:rFonts w:hint="eastAsia" w:ascii="宋体" w:hAnsi="宋体" w:cs="宋体"/>
          <w:szCs w:val="21"/>
          <w:highlight w:val="none"/>
        </w:rPr>
        <w:t>对合同执行情况的监督检查、审计等，提供有关资料和财务账册，接受本合同规定范围内的裁定意见。</w:t>
      </w:r>
    </w:p>
    <w:p w14:paraId="654CD1A5">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本合同履约情况检查由督查单位主持，监理人与承包人共同派员参加；检查方式为座谈、个别访谈、现场勘察、查阅资料及财务账册或约定的其他方式等；检查时间、次数、方式、检查结论和执行违约责任等由双方协商确定，如无法达成一致的，由督查单位依据事实裁定。</w:t>
      </w:r>
    </w:p>
    <w:p w14:paraId="76A7A065">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第六条  本合同为工程合同的从合同，其有效期与工程合同一致。</w:t>
      </w:r>
    </w:p>
    <w:p w14:paraId="5A2C56F0">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第七条  本合同一式</w:t>
      </w:r>
      <w:r>
        <w:rPr>
          <w:rFonts w:hint="eastAsia" w:ascii="宋体" w:hAnsi="宋体" w:cs="宋体"/>
          <w:b/>
          <w:szCs w:val="21"/>
          <w:highlight w:val="none"/>
          <w:u w:val="single"/>
        </w:rPr>
        <w:t>叁</w:t>
      </w:r>
      <w:r>
        <w:rPr>
          <w:rFonts w:hint="eastAsia" w:ascii="宋体" w:hAnsi="宋体" w:cs="宋体"/>
          <w:szCs w:val="21"/>
          <w:highlight w:val="none"/>
        </w:rPr>
        <w:t>份，承、发包双方各执</w:t>
      </w:r>
      <w:r>
        <w:rPr>
          <w:rFonts w:hint="eastAsia" w:ascii="宋体" w:hAnsi="宋体" w:cs="宋体"/>
          <w:b/>
          <w:szCs w:val="21"/>
          <w:highlight w:val="none"/>
          <w:u w:val="single"/>
        </w:rPr>
        <w:t>壹</w:t>
      </w:r>
      <w:r>
        <w:rPr>
          <w:rFonts w:hint="eastAsia" w:ascii="宋体" w:hAnsi="宋体" w:cs="宋体"/>
          <w:szCs w:val="21"/>
          <w:highlight w:val="none"/>
        </w:rPr>
        <w:t>份，送交督查单位</w:t>
      </w:r>
      <w:r>
        <w:rPr>
          <w:rFonts w:hint="eastAsia" w:ascii="宋体" w:hAnsi="宋体" w:cs="宋体"/>
          <w:b/>
          <w:szCs w:val="21"/>
          <w:highlight w:val="none"/>
          <w:u w:val="single"/>
        </w:rPr>
        <w:t>壹</w:t>
      </w:r>
      <w:r>
        <w:rPr>
          <w:rFonts w:hint="eastAsia" w:ascii="宋体" w:hAnsi="宋体" w:cs="宋体"/>
          <w:szCs w:val="21"/>
          <w:highlight w:val="none"/>
        </w:rPr>
        <w:t>份。</w:t>
      </w:r>
    </w:p>
    <w:p w14:paraId="0ADA0E11">
      <w:pPr>
        <w:spacing w:line="520" w:lineRule="exact"/>
        <w:ind w:firstLine="840"/>
        <w:rPr>
          <w:rFonts w:hint="eastAsia" w:ascii="宋体" w:hAnsi="宋体" w:cs="宋体"/>
          <w:szCs w:val="21"/>
          <w:highlight w:val="none"/>
        </w:rPr>
      </w:pPr>
      <w:r>
        <w:rPr>
          <w:rFonts w:hint="eastAsia" w:ascii="宋体" w:hAnsi="宋体" w:cs="宋体"/>
          <w:szCs w:val="21"/>
          <w:highlight w:val="none"/>
        </w:rPr>
        <w:t xml:space="preserve">监  理  人:（盖章）                承  包  人:（盖章）                </w:t>
      </w:r>
    </w:p>
    <w:p w14:paraId="545F93FD">
      <w:pPr>
        <w:spacing w:line="520" w:lineRule="exact"/>
        <w:ind w:firstLine="840"/>
        <w:rPr>
          <w:rFonts w:hint="eastAsia" w:ascii="宋体" w:hAnsi="宋体" w:cs="宋体"/>
          <w:szCs w:val="21"/>
          <w:highlight w:val="none"/>
        </w:rPr>
      </w:pPr>
      <w:r>
        <w:rPr>
          <w:rFonts w:hint="eastAsia" w:ascii="宋体" w:hAnsi="宋体" w:cs="宋体"/>
          <w:szCs w:val="21"/>
          <w:highlight w:val="none"/>
        </w:rPr>
        <w:t>法定代表人:（签名）                法定代表人:（签名）</w:t>
      </w:r>
    </w:p>
    <w:p w14:paraId="5EAB5019">
      <w:pPr>
        <w:spacing w:line="520" w:lineRule="exact"/>
        <w:ind w:firstLine="840"/>
        <w:rPr>
          <w:rFonts w:hint="eastAsia" w:ascii="宋体" w:hAnsi="宋体" w:cs="宋体"/>
          <w:szCs w:val="21"/>
          <w:highlight w:val="none"/>
        </w:rPr>
      </w:pPr>
      <w:r>
        <w:rPr>
          <w:rFonts w:hint="eastAsia" w:ascii="宋体" w:hAnsi="宋体" w:cs="宋体"/>
          <w:szCs w:val="21"/>
          <w:highlight w:val="none"/>
        </w:rPr>
        <w:t>或授权代理人:（签名）              或授权代理人:（签名）</w:t>
      </w:r>
    </w:p>
    <w:p w14:paraId="2CB3EAE0">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                         单位地址：</w:t>
      </w:r>
    </w:p>
    <w:p w14:paraId="7140AD09">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                         联系电话：</w:t>
      </w:r>
    </w:p>
    <w:p w14:paraId="0ADCDBE8">
      <w:pPr>
        <w:spacing w:line="520" w:lineRule="exact"/>
        <w:ind w:firstLine="840"/>
        <w:rPr>
          <w:rFonts w:hint="eastAsia" w:ascii="宋体" w:hAnsi="宋体" w:cs="宋体"/>
          <w:szCs w:val="21"/>
          <w:highlight w:val="none"/>
        </w:rPr>
      </w:pPr>
      <w:r>
        <w:rPr>
          <w:rFonts w:hint="eastAsia" w:ascii="宋体" w:hAnsi="宋体" w:cs="宋体"/>
          <w:szCs w:val="21"/>
          <w:highlight w:val="none"/>
        </w:rPr>
        <w:t>督查单位（纪检监察部门）：（盖章）</w:t>
      </w:r>
    </w:p>
    <w:p w14:paraId="2EACC1CA">
      <w:pPr>
        <w:spacing w:line="520" w:lineRule="exact"/>
        <w:ind w:firstLine="840"/>
        <w:rPr>
          <w:rFonts w:hint="eastAsia" w:ascii="宋体" w:hAnsi="宋体" w:cs="宋体"/>
          <w:szCs w:val="21"/>
          <w:highlight w:val="none"/>
        </w:rPr>
      </w:pPr>
      <w:r>
        <w:rPr>
          <w:rFonts w:hint="eastAsia" w:ascii="宋体" w:hAnsi="宋体" w:cs="宋体"/>
          <w:szCs w:val="21"/>
          <w:highlight w:val="none"/>
        </w:rPr>
        <w:t>代 表 人：（签名）</w:t>
      </w:r>
    </w:p>
    <w:p w14:paraId="7B8B9193">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w:t>
      </w:r>
    </w:p>
    <w:p w14:paraId="7F36BBCA">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w:t>
      </w:r>
    </w:p>
    <w:p w14:paraId="4DD70339">
      <w:pPr>
        <w:spacing w:line="520" w:lineRule="exact"/>
        <w:jc w:val="right"/>
        <w:rPr>
          <w:rFonts w:hint="eastAsia" w:ascii="宋体" w:hAnsi="宋体" w:cs="宋体"/>
          <w:szCs w:val="21"/>
          <w:highlight w:val="none"/>
        </w:rPr>
      </w:pPr>
      <w:r>
        <w:rPr>
          <w:rFonts w:hint="eastAsia" w:ascii="宋体" w:hAnsi="宋体" w:cs="宋体"/>
          <w:szCs w:val="21"/>
          <w:highlight w:val="none"/>
        </w:rPr>
        <w:t>签订日期：      年    月    日</w:t>
      </w:r>
    </w:p>
    <w:p w14:paraId="6905C266">
      <w:pPr>
        <w:spacing w:line="520" w:lineRule="exact"/>
        <w:jc w:val="center"/>
        <w:rPr>
          <w:rFonts w:hint="eastAsia" w:ascii="宋体" w:hAnsi="宋体" w:cs="宋体"/>
          <w:b/>
          <w:bCs/>
          <w:sz w:val="28"/>
          <w:szCs w:val="28"/>
          <w:highlight w:val="none"/>
        </w:rPr>
      </w:pPr>
      <w:r>
        <w:rPr>
          <w:rFonts w:hint="eastAsia"/>
          <w:szCs w:val="32"/>
          <w:highlight w:val="none"/>
        </w:rPr>
        <w:br w:type="page" w:clear="all"/>
      </w:r>
      <w:r>
        <w:rPr>
          <w:rFonts w:hint="eastAsia" w:ascii="宋体" w:hAnsi="宋体" w:cs="宋体"/>
          <w:b/>
          <w:bCs/>
          <w:sz w:val="28"/>
          <w:szCs w:val="28"/>
          <w:highlight w:val="none"/>
        </w:rPr>
        <w:t>廉政合同（三）</w:t>
      </w:r>
    </w:p>
    <w:p w14:paraId="367C7DE1">
      <w:pPr>
        <w:spacing w:line="520" w:lineRule="exact"/>
        <w:jc w:val="center"/>
        <w:rPr>
          <w:rFonts w:ascii="宋体" w:hAnsi="宋体"/>
          <w:sz w:val="22"/>
          <w:szCs w:val="22"/>
          <w:highlight w:val="none"/>
        </w:rPr>
      </w:pPr>
      <w:r>
        <w:rPr>
          <w:rFonts w:ascii="宋体" w:hAnsi="宋体"/>
          <w:sz w:val="22"/>
          <w:szCs w:val="22"/>
          <w:highlight w:val="none"/>
        </w:rPr>
        <w:t>（</w:t>
      </w:r>
      <w:r>
        <w:rPr>
          <w:rFonts w:hint="eastAsia" w:ascii="宋体" w:hAnsi="宋体"/>
          <w:sz w:val="22"/>
          <w:szCs w:val="22"/>
          <w:highlight w:val="none"/>
        </w:rPr>
        <w:t>设计人</w:t>
      </w:r>
      <w:r>
        <w:rPr>
          <w:rFonts w:ascii="宋体" w:hAnsi="宋体"/>
          <w:sz w:val="22"/>
          <w:szCs w:val="22"/>
          <w:highlight w:val="none"/>
        </w:rPr>
        <w:t>与</w:t>
      </w:r>
      <w:r>
        <w:rPr>
          <w:rFonts w:hint="eastAsia" w:ascii="宋体" w:hAnsi="宋体"/>
          <w:sz w:val="22"/>
          <w:szCs w:val="22"/>
          <w:highlight w:val="none"/>
        </w:rPr>
        <w:t>承包人</w:t>
      </w:r>
      <w:r>
        <w:rPr>
          <w:rFonts w:ascii="宋体" w:hAnsi="宋体"/>
          <w:sz w:val="22"/>
          <w:szCs w:val="22"/>
          <w:highlight w:val="none"/>
        </w:rPr>
        <w:t>）</w:t>
      </w:r>
    </w:p>
    <w:p w14:paraId="1A78F12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设计人：</w:t>
      </w:r>
      <w:r>
        <w:rPr>
          <w:rFonts w:hint="eastAsia" w:ascii="宋体" w:hAnsi="宋体" w:cs="宋体"/>
          <w:b/>
          <w:szCs w:val="21"/>
          <w:highlight w:val="none"/>
          <w:u w:val="single"/>
        </w:rPr>
        <w:t xml:space="preserve">                         </w:t>
      </w:r>
    </w:p>
    <w:p w14:paraId="474563ED">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承包人：</w:t>
      </w:r>
      <w:r>
        <w:rPr>
          <w:rFonts w:hint="eastAsia" w:ascii="宋体" w:hAnsi="宋体" w:cs="宋体"/>
          <w:b/>
          <w:szCs w:val="21"/>
          <w:highlight w:val="none"/>
          <w:u w:val="single"/>
        </w:rPr>
        <w:t xml:space="preserve">                         </w:t>
      </w:r>
    </w:p>
    <w:p w14:paraId="66A6AB7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 xml:space="preserve">为贯彻落实党中央、国务院《关于实行党风廉政建设责任制的规定》，进一步加强水利工程建设中的党风廉政建设，保证 </w:t>
      </w:r>
      <w:r>
        <w:rPr>
          <w:rFonts w:hint="eastAsia" w:ascii="宋体" w:hAnsi="宋体" w:cs="宋体"/>
          <w:b/>
          <w:szCs w:val="21"/>
          <w:highlight w:val="none"/>
          <w:u w:val="single"/>
        </w:rPr>
        <w:t xml:space="preserve">  工程名称  </w:t>
      </w:r>
      <w:r>
        <w:rPr>
          <w:rFonts w:hint="eastAsia" w:ascii="宋体" w:hAnsi="宋体" w:cs="宋体"/>
          <w:szCs w:val="21"/>
          <w:highlight w:val="none"/>
        </w:rPr>
        <w:t>建设优质、高效、有序、廉洁地进行，</w:t>
      </w:r>
      <w:r>
        <w:rPr>
          <w:rFonts w:hint="eastAsia" w:ascii="宋体" w:hAnsi="宋体" w:cs="宋体"/>
          <w:b/>
          <w:szCs w:val="21"/>
          <w:highlight w:val="none"/>
          <w:u w:val="single"/>
        </w:rPr>
        <w:t>设计合同名称（编号）</w:t>
      </w:r>
      <w:r>
        <w:rPr>
          <w:rFonts w:hint="eastAsia" w:ascii="宋体" w:hAnsi="宋体" w:cs="宋体"/>
          <w:szCs w:val="21"/>
          <w:highlight w:val="none"/>
        </w:rPr>
        <w:t>的设计单位</w:t>
      </w:r>
      <w:r>
        <w:rPr>
          <w:rFonts w:hint="eastAsia" w:ascii="宋体" w:hAnsi="宋体" w:cs="宋体"/>
          <w:b/>
          <w:szCs w:val="21"/>
          <w:highlight w:val="none"/>
          <w:u w:val="single"/>
        </w:rPr>
        <w:t xml:space="preserve">       </w:t>
      </w:r>
      <w:r>
        <w:rPr>
          <w:rFonts w:hint="eastAsia" w:ascii="宋体" w:hAnsi="宋体" w:cs="宋体"/>
          <w:szCs w:val="21"/>
          <w:highlight w:val="none"/>
        </w:rPr>
        <w:t xml:space="preserve">（以下简称“设计人”），与 </w:t>
      </w:r>
      <w:r>
        <w:rPr>
          <w:rFonts w:hint="eastAsia" w:ascii="宋体" w:hAnsi="宋体" w:cs="宋体"/>
          <w:b/>
          <w:szCs w:val="21"/>
          <w:highlight w:val="none"/>
          <w:u w:val="single"/>
        </w:rPr>
        <w:t xml:space="preserve"> 施工合同名称（编号） </w:t>
      </w:r>
      <w:r>
        <w:rPr>
          <w:rFonts w:hint="eastAsia" w:ascii="宋体" w:hAnsi="宋体" w:cs="宋体"/>
          <w:szCs w:val="21"/>
          <w:highlight w:val="none"/>
        </w:rPr>
        <w:t xml:space="preserve"> 的施工单位</w:t>
      </w:r>
      <w:r>
        <w:rPr>
          <w:rFonts w:hint="eastAsia" w:ascii="宋体" w:hAnsi="宋体" w:cs="宋体"/>
          <w:b/>
          <w:szCs w:val="21"/>
          <w:highlight w:val="none"/>
          <w:u w:val="single"/>
        </w:rPr>
        <w:t xml:space="preserve">      </w:t>
      </w:r>
      <w:r>
        <w:rPr>
          <w:rFonts w:hint="eastAsia" w:ascii="宋体" w:hAnsi="宋体" w:cs="宋体"/>
          <w:szCs w:val="21"/>
          <w:highlight w:val="none"/>
        </w:rPr>
        <w:t xml:space="preserve"> （以下简称“承包人”），经双方协商一致，自愿签订以下廉政合同。</w:t>
      </w:r>
    </w:p>
    <w:p w14:paraId="551C520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第一条  设计人、承包人双方共同义务</w:t>
      </w:r>
    </w:p>
    <w:p w14:paraId="3A5729B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（一）严格遵守党和国家有关法律法规及党风廉政建设各项规定，严格落实中央八项规定和省委十项规定精神。</w:t>
      </w:r>
    </w:p>
    <w:p w14:paraId="65BF397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（二）严格执行</w:t>
      </w:r>
      <w:r>
        <w:rPr>
          <w:rFonts w:hint="eastAsia" w:ascii="宋体" w:hAnsi="宋体" w:cs="宋体"/>
          <w:b/>
          <w:szCs w:val="21"/>
          <w:highlight w:val="none"/>
          <w:u w:val="single"/>
        </w:rPr>
        <w:t xml:space="preserve">  工程合同名称（编号）  </w:t>
      </w:r>
      <w:r>
        <w:rPr>
          <w:rFonts w:hint="eastAsia" w:ascii="宋体" w:hAnsi="宋体" w:cs="宋体"/>
          <w:szCs w:val="21"/>
          <w:highlight w:val="none"/>
        </w:rPr>
        <w:t>工程设计、施工合同文件，自觉按合同办事。</w:t>
      </w:r>
    </w:p>
    <w:p w14:paraId="5C63806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（三）双方遵循公平、诚实信用的原则行使权利和履行义务；尊重社会公德，不得扰乱社会经济秩序，损害社会公共利益。</w:t>
      </w:r>
    </w:p>
    <w:p w14:paraId="574FA51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（四）建立健全并严格执行党风廉政建设各项制度，开展反腐倡廉宣传教育，加强对本方工作人员的监督检查。</w:t>
      </w:r>
    </w:p>
    <w:p w14:paraId="5D4801E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发现对方在业务活动中有违反廉政规定的行为，应及时提醒和督促对方纠正；对违反相关规定的本方工作人员应及时进行批评教育，并按各自内部规定严肃查处违纪违规行为；发现重大违纪违法行为，应向执纪执法机关举报。</w:t>
      </w:r>
    </w:p>
    <w:p w14:paraId="176851F5">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第二条</w:t>
      </w:r>
      <w:r>
        <w:rPr>
          <w:rFonts w:hint="eastAsia" w:ascii="宋体" w:hAnsi="宋体" w:cs="宋体"/>
          <w:b/>
          <w:szCs w:val="21"/>
          <w:highlight w:val="none"/>
        </w:rPr>
        <w:t xml:space="preserve">  </w:t>
      </w:r>
      <w:r>
        <w:rPr>
          <w:rFonts w:hint="eastAsia" w:ascii="宋体" w:hAnsi="宋体" w:cs="宋体"/>
          <w:szCs w:val="21"/>
          <w:highlight w:val="none"/>
        </w:rPr>
        <w:t>设计人在廉政建设方面的义务</w:t>
      </w:r>
    </w:p>
    <w:p w14:paraId="366BCC90">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设计人及其工作人员不得违反规定干预承包人的合法分包；不得在承包人处安插亲友及介绍销售工程材料；不得指定需购物资设备的销售单位或部门；不得无正当理由拖延签发设计变更意见；不得受承包人影响违反规定出具设计变更或同意重大施工方案调整。</w:t>
      </w:r>
    </w:p>
    <w:p w14:paraId="518826C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（二）设计人及其工作人员不得利用职务之便索要或接受承包人的礼品、礼金、消费卡、有价证券、股权、其他金融产品等财物，或以赌博等交易形式非法收受承包人财物。</w:t>
      </w:r>
    </w:p>
    <w:p w14:paraId="5CE43754">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（三）设计人及其工作人员不得让承包人报销应由设计人或其工作人员个人支付的费用。</w:t>
      </w:r>
    </w:p>
    <w:p w14:paraId="3E8CABB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（四）设计人及其工作人员不得要求或者接受承包人可能影响公正执行公务的宴请；不得要求承包人提供超出合同以外的交通工具、通讯工具、办公用品等。</w:t>
      </w:r>
    </w:p>
    <w:p w14:paraId="3726250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（五）设计人及其工作人员不得收受承包人住房、汽车等物品，不得收受承包人为其以明显低于市场价购置住房或以劣换优、以借为名占用承包人住房。</w:t>
      </w:r>
    </w:p>
    <w:p w14:paraId="646773F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（六）设计人及其工作人员不得要求或者接受承包人为其住房装修、婚丧嫁娶、特定关系人（近亲属及</w:t>
      </w:r>
      <w:r>
        <w:rPr>
          <w:rFonts w:hint="eastAsia" w:ascii="宋体" w:hAnsi="宋体" w:cs="宋体"/>
          <w:szCs w:val="21"/>
          <w:highlight w:val="none"/>
          <w:lang w:eastAsia="zh-CN"/>
        </w:rPr>
        <w:t>其他</w:t>
      </w:r>
      <w:r>
        <w:rPr>
          <w:rFonts w:hint="eastAsia" w:ascii="宋体" w:hAnsi="宋体" w:cs="宋体"/>
          <w:szCs w:val="21"/>
          <w:highlight w:val="none"/>
        </w:rPr>
        <w:t>共同利益关系的人）国内和出国（境）旅游提供方便。</w:t>
      </w:r>
    </w:p>
    <w:p w14:paraId="30483A2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七）设计人及其工作人员不得在与承包人有直接利害关系的企事业单位兼职、兼职取酬、投资入股或其他委托理财名义、经商办企业以及从事有偿中介活动；不得要求或者接受承包人以给特定关系人安排工作为名，使特定关系人不实际工作却获取薪酬；或授意承包人以其他违法违规形式，将有关财物给特定关系人。</w:t>
      </w:r>
    </w:p>
    <w:p w14:paraId="3B570252">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（八）设计人及其工作人员不得利用职务便利为承包人谋取不当利益；不得利用职务之便为承包人谋取不当利益（之前或之后），约定在其离职后收受承包人财物，并在离职后收受。</w:t>
      </w:r>
    </w:p>
    <w:p w14:paraId="04608DA4">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第三条</w:t>
      </w:r>
      <w:r>
        <w:rPr>
          <w:rFonts w:hint="eastAsia" w:ascii="宋体" w:hAnsi="宋体" w:cs="宋体"/>
          <w:b/>
          <w:szCs w:val="21"/>
          <w:highlight w:val="none"/>
        </w:rPr>
        <w:t xml:space="preserve">  </w:t>
      </w:r>
      <w:r>
        <w:rPr>
          <w:rFonts w:hint="eastAsia" w:ascii="宋体" w:hAnsi="宋体" w:cs="宋体"/>
          <w:szCs w:val="21"/>
          <w:highlight w:val="none"/>
        </w:rPr>
        <w:t>承包人在廉政建设方面义务</w:t>
      </w:r>
    </w:p>
    <w:p w14:paraId="788B0B01">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（一）承包人及其工作人员不得以任何形式向设计人及其工作人员馈赠礼品、礼金、消费卡、有价证券、股权、其他金融产品等财物，或以赌博等交易形式非法赠送设计人及其工作人员财物。</w:t>
      </w:r>
    </w:p>
    <w:p w14:paraId="6719F39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（二）承包人及其工作人员不得以任何名义为设计人及其工作人员报销应由设计人或其工作人员个人支付的费用。</w:t>
      </w:r>
    </w:p>
    <w:p w14:paraId="56F04E6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（三）承包人及其工作人员不得以任何理由邀请设计人及其工作人员参加对承建的工程项目有影响的宴请及娱乐活动；不得超出承包合同为其提供通讯工具、交通工具、办公用品等。</w:t>
      </w:r>
    </w:p>
    <w:p w14:paraId="2DD4629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（四）承包人及其工作人员不得以任何形式向设计人及其工作人员赠送住房、汽车等物品，不得为其以明显低于市场价购置住房或以劣换优、以借为名赠送住房。</w:t>
      </w:r>
    </w:p>
    <w:p w14:paraId="77702E5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承包人及其工作人员不得为设计人及其工作人员住房装修、婚丧嫁娶、特定关系人国内和出国（境）旅游提供方便；不得为其特定关系人以安排工作为名，使其不实际工作却获取薪酬；不得以其他违法违规形式，将有关财物给设计人及其工作人员或其特定关系人。</w:t>
      </w:r>
    </w:p>
    <w:p w14:paraId="366F5A8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（六）承包人及其工作人员必须严格履行施工合同条款，不得与设计人及其工作人员串通，违反规定使其出具设计变更或同意重大施工方案调整，损害发包人利益，影响工程质量、进度和安全。</w:t>
      </w:r>
    </w:p>
    <w:p w14:paraId="3BC5303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第四条  违约责任</w:t>
      </w:r>
    </w:p>
    <w:p w14:paraId="13658B2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设计人及其工作人员违反本合同有关规定的，按省水利厅信用考核管理有关规定进行查处，并将有关不良行为记录到企业信用档案。对违纪违规行为，由设计人主管部门或行业管理部门依据有关规定查处，给</w:t>
      </w:r>
      <w:r>
        <w:rPr>
          <w:rFonts w:hint="eastAsia" w:ascii="宋体" w:hAnsi="宋体" w:cs="宋体"/>
          <w:szCs w:val="21"/>
          <w:highlight w:val="none"/>
          <w:u w:val="single"/>
        </w:rPr>
        <w:t>发包人或承包人</w:t>
      </w:r>
      <w:r>
        <w:rPr>
          <w:rFonts w:hint="eastAsia" w:ascii="宋体" w:hAnsi="宋体" w:cs="宋体"/>
          <w:szCs w:val="21"/>
          <w:highlight w:val="none"/>
        </w:rPr>
        <w:t>造成损失的，按有关规定予以赔偿；构成犯罪的，依法移送司法机关追究刑事责任。</w:t>
      </w:r>
    </w:p>
    <w:p w14:paraId="0D3C2C7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违反本合同有关规定的，按省水利厅信用考核管理有关规定进行查处，并将有关不良行为记录到企业信用档案。对违纪违规行为，由承包人主管部门或行业管理部门依据有关规定查处，给</w:t>
      </w:r>
      <w:r>
        <w:rPr>
          <w:rFonts w:hint="eastAsia" w:ascii="宋体" w:hAnsi="宋体" w:cs="宋体"/>
          <w:szCs w:val="21"/>
          <w:highlight w:val="none"/>
          <w:u w:val="single"/>
        </w:rPr>
        <w:t>发包人或设计人</w:t>
      </w:r>
      <w:r>
        <w:rPr>
          <w:rFonts w:hint="eastAsia" w:ascii="宋体" w:hAnsi="宋体" w:cs="宋体"/>
          <w:szCs w:val="21"/>
          <w:highlight w:val="none"/>
        </w:rPr>
        <w:t>造成损失的，按有关规定予以赔偿；构成犯罪的，依法移送司法机关追究刑事责任。</w:t>
      </w:r>
    </w:p>
    <w:p w14:paraId="64458CC4">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第五条  监督检查</w:t>
      </w:r>
    </w:p>
    <w:p w14:paraId="041DC771">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（一）设计人与承包人在接受本单位主管部门监督检查的同时，自愿接受</w:t>
      </w:r>
      <w:r>
        <w:rPr>
          <w:rFonts w:hint="eastAsia" w:ascii="宋体" w:hAnsi="宋体" w:cs="宋体"/>
          <w:szCs w:val="21"/>
          <w:highlight w:val="none"/>
          <w:u w:val="single"/>
        </w:rPr>
        <w:t>各（上）</w:t>
      </w:r>
      <w:r>
        <w:rPr>
          <w:rFonts w:hint="eastAsia" w:ascii="宋体" w:hAnsi="宋体" w:cs="宋体"/>
          <w:szCs w:val="21"/>
          <w:highlight w:val="none"/>
        </w:rPr>
        <w:t>级水行政主管部门和</w:t>
      </w:r>
      <w:r>
        <w:rPr>
          <w:rFonts w:hint="eastAsia" w:ascii="宋体" w:hAnsi="宋体" w:cs="宋体"/>
          <w:szCs w:val="21"/>
          <w:highlight w:val="none"/>
          <w:u w:val="single"/>
        </w:rPr>
        <w:t>督查单位（纪检监察部门）</w:t>
      </w:r>
      <w:r>
        <w:rPr>
          <w:rFonts w:hint="eastAsia" w:ascii="宋体" w:hAnsi="宋体" w:cs="宋体"/>
          <w:szCs w:val="21"/>
          <w:highlight w:val="none"/>
        </w:rPr>
        <w:t>对合同执行情况的监督检查、审计等，提供有关资料和财务账册，接受本合同规定范围内的裁定意见。</w:t>
      </w:r>
    </w:p>
    <w:p w14:paraId="6E58AFF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本合同履约情况检查由督查单位主持，设计人与承包人共同派员参加；检查方式为座谈、个别访谈、现场勘察、查阅资料及财务账册或约定的其他方式等；检查时间、次数、方式、检查结论和执行违约责任等由双方协商确定，如无法达成一致的，由督查单位依据事实裁定。</w:t>
      </w:r>
    </w:p>
    <w:p w14:paraId="44D39D6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第六条  本合同为工程合同的从合同，其有效期与工程合同一致。</w:t>
      </w:r>
    </w:p>
    <w:p w14:paraId="03148E42">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第七条  本合同一式</w:t>
      </w:r>
      <w:r>
        <w:rPr>
          <w:rFonts w:hint="eastAsia" w:ascii="宋体" w:hAnsi="宋体" w:cs="宋体"/>
          <w:b/>
          <w:szCs w:val="21"/>
          <w:highlight w:val="none"/>
          <w:u w:val="single"/>
        </w:rPr>
        <w:t>叁</w:t>
      </w:r>
      <w:r>
        <w:rPr>
          <w:rFonts w:hint="eastAsia" w:ascii="宋体" w:hAnsi="宋体" w:cs="宋体"/>
          <w:szCs w:val="21"/>
          <w:highlight w:val="none"/>
        </w:rPr>
        <w:t>份，承、发包双方各执</w:t>
      </w:r>
      <w:r>
        <w:rPr>
          <w:rFonts w:hint="eastAsia" w:ascii="宋体" w:hAnsi="宋体" w:cs="宋体"/>
          <w:b/>
          <w:szCs w:val="21"/>
          <w:highlight w:val="none"/>
          <w:u w:val="single"/>
        </w:rPr>
        <w:t>壹</w:t>
      </w:r>
      <w:r>
        <w:rPr>
          <w:rFonts w:hint="eastAsia" w:ascii="宋体" w:hAnsi="宋体" w:cs="宋体"/>
          <w:szCs w:val="21"/>
          <w:highlight w:val="none"/>
        </w:rPr>
        <w:t>份，送交督查单位</w:t>
      </w:r>
      <w:r>
        <w:rPr>
          <w:rFonts w:hint="eastAsia" w:ascii="宋体" w:hAnsi="宋体" w:cs="宋体"/>
          <w:b/>
          <w:szCs w:val="21"/>
          <w:highlight w:val="none"/>
          <w:u w:val="single"/>
        </w:rPr>
        <w:t>壹</w:t>
      </w:r>
      <w:r>
        <w:rPr>
          <w:rFonts w:hint="eastAsia" w:ascii="宋体" w:hAnsi="宋体" w:cs="宋体"/>
          <w:szCs w:val="21"/>
          <w:highlight w:val="none"/>
        </w:rPr>
        <w:t>份。</w:t>
      </w:r>
    </w:p>
    <w:p w14:paraId="28DF2F01">
      <w:pPr>
        <w:spacing w:line="520" w:lineRule="exact"/>
        <w:ind w:firstLine="840"/>
        <w:rPr>
          <w:rFonts w:hint="eastAsia" w:ascii="宋体" w:hAnsi="宋体" w:cs="宋体"/>
          <w:szCs w:val="21"/>
          <w:highlight w:val="none"/>
        </w:rPr>
      </w:pPr>
      <w:r>
        <w:rPr>
          <w:rFonts w:hint="eastAsia" w:ascii="宋体" w:hAnsi="宋体" w:cs="宋体"/>
          <w:szCs w:val="21"/>
          <w:highlight w:val="none"/>
        </w:rPr>
        <w:t xml:space="preserve">设  计  人:（盖章）                承  包  人:（盖章）                </w:t>
      </w:r>
    </w:p>
    <w:p w14:paraId="21D0285E">
      <w:pPr>
        <w:spacing w:line="520" w:lineRule="exact"/>
        <w:ind w:firstLine="840"/>
        <w:rPr>
          <w:rFonts w:hint="eastAsia" w:ascii="宋体" w:hAnsi="宋体" w:cs="宋体"/>
          <w:szCs w:val="21"/>
          <w:highlight w:val="none"/>
        </w:rPr>
      </w:pPr>
      <w:r>
        <w:rPr>
          <w:rFonts w:hint="eastAsia" w:ascii="宋体" w:hAnsi="宋体" w:cs="宋体"/>
          <w:szCs w:val="21"/>
          <w:highlight w:val="none"/>
        </w:rPr>
        <w:t>法定代表人:（签名）                法定代表人:（签名）</w:t>
      </w:r>
    </w:p>
    <w:p w14:paraId="39E8E8A8">
      <w:pPr>
        <w:spacing w:line="520" w:lineRule="exact"/>
        <w:ind w:firstLine="840"/>
        <w:rPr>
          <w:rFonts w:hint="eastAsia" w:ascii="宋体" w:hAnsi="宋体" w:cs="宋体"/>
          <w:szCs w:val="21"/>
          <w:highlight w:val="none"/>
        </w:rPr>
      </w:pPr>
      <w:r>
        <w:rPr>
          <w:rFonts w:hint="eastAsia" w:ascii="宋体" w:hAnsi="宋体" w:cs="宋体"/>
          <w:szCs w:val="21"/>
          <w:highlight w:val="none"/>
        </w:rPr>
        <w:t>或授权代理人:（签名）              或授权代理人:（签名）</w:t>
      </w:r>
    </w:p>
    <w:p w14:paraId="7815A819">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                         单位地址：</w:t>
      </w:r>
    </w:p>
    <w:p w14:paraId="21C41E8D">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                         联系电话：</w:t>
      </w:r>
    </w:p>
    <w:p w14:paraId="768E58E9">
      <w:pPr>
        <w:spacing w:line="520" w:lineRule="exact"/>
        <w:rPr>
          <w:rFonts w:hint="eastAsia" w:ascii="宋体" w:hAnsi="宋体" w:cs="宋体"/>
          <w:szCs w:val="21"/>
          <w:highlight w:val="none"/>
        </w:rPr>
      </w:pPr>
    </w:p>
    <w:p w14:paraId="79B5C083">
      <w:pPr>
        <w:spacing w:line="520" w:lineRule="exact"/>
        <w:ind w:firstLine="840"/>
        <w:rPr>
          <w:rFonts w:hint="eastAsia" w:ascii="宋体" w:hAnsi="宋体" w:cs="宋体"/>
          <w:szCs w:val="21"/>
          <w:highlight w:val="none"/>
        </w:rPr>
      </w:pPr>
      <w:r>
        <w:rPr>
          <w:rFonts w:hint="eastAsia" w:ascii="宋体" w:hAnsi="宋体" w:cs="宋体"/>
          <w:szCs w:val="21"/>
          <w:highlight w:val="none"/>
        </w:rPr>
        <w:t>督查单位（纪检监察部门）：（盖章）</w:t>
      </w:r>
    </w:p>
    <w:p w14:paraId="68D7377A">
      <w:pPr>
        <w:spacing w:line="520" w:lineRule="exact"/>
        <w:ind w:firstLine="840"/>
        <w:rPr>
          <w:rFonts w:hint="eastAsia" w:ascii="宋体" w:hAnsi="宋体" w:cs="宋体"/>
          <w:szCs w:val="21"/>
          <w:highlight w:val="none"/>
        </w:rPr>
      </w:pPr>
      <w:r>
        <w:rPr>
          <w:rFonts w:hint="eastAsia" w:ascii="宋体" w:hAnsi="宋体" w:cs="宋体"/>
          <w:szCs w:val="21"/>
          <w:highlight w:val="none"/>
        </w:rPr>
        <w:t>代 表 人：（签名）</w:t>
      </w:r>
    </w:p>
    <w:p w14:paraId="54EFECFC">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w:t>
      </w:r>
    </w:p>
    <w:p w14:paraId="5C541B91">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w:t>
      </w:r>
    </w:p>
    <w:p w14:paraId="1D0C14ED">
      <w:pPr>
        <w:spacing w:line="520" w:lineRule="exact"/>
        <w:jc w:val="right"/>
        <w:rPr>
          <w:rFonts w:hint="eastAsia" w:ascii="宋体" w:hAnsi="宋体" w:cs="宋体"/>
          <w:szCs w:val="21"/>
          <w:highlight w:val="none"/>
        </w:rPr>
      </w:pPr>
      <w:r>
        <w:rPr>
          <w:rFonts w:hint="eastAsia" w:ascii="宋体" w:hAnsi="宋体" w:cs="宋体"/>
          <w:szCs w:val="21"/>
          <w:highlight w:val="none"/>
        </w:rPr>
        <w:t>签订日期：      年    月    日</w:t>
      </w:r>
    </w:p>
    <w:p w14:paraId="57D4CDA6">
      <w:pPr>
        <w:spacing w:line="520" w:lineRule="exact"/>
        <w:jc w:val="left"/>
        <w:rPr>
          <w:rFonts w:ascii="宋体" w:hAnsi="宋体" w:cs="宋体"/>
          <w:b/>
          <w:bCs/>
          <w:sz w:val="28"/>
          <w:szCs w:val="28"/>
          <w:highlight w:val="none"/>
        </w:rPr>
      </w:pPr>
      <w:r>
        <w:rPr>
          <w:rFonts w:hint="eastAsia"/>
          <w:szCs w:val="32"/>
          <w:highlight w:val="none"/>
        </w:rPr>
        <w:br w:type="page" w:clear="all"/>
      </w:r>
      <w:r>
        <w:rPr>
          <w:rFonts w:hint="eastAsia"/>
          <w:b/>
          <w:bCs/>
          <w:sz w:val="28"/>
          <w:szCs w:val="28"/>
          <w:highlight w:val="none"/>
        </w:rPr>
        <w:t>附件三 资金安全合同</w:t>
      </w:r>
    </w:p>
    <w:p w14:paraId="2652C74C">
      <w:pPr>
        <w:spacing w:before="156" w:after="156" w:line="52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资金安全合同</w:t>
      </w:r>
    </w:p>
    <w:p w14:paraId="52EA8C81">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发包人：</w:t>
      </w:r>
      <w:r>
        <w:rPr>
          <w:rFonts w:hint="eastAsia" w:ascii="宋体" w:hAnsi="宋体" w:cs="宋体"/>
          <w:b/>
          <w:szCs w:val="21"/>
          <w:highlight w:val="none"/>
          <w:u w:val="single"/>
        </w:rPr>
        <w:t xml:space="preserve">                           </w:t>
      </w:r>
    </w:p>
    <w:p w14:paraId="28D92036">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承包人：</w:t>
      </w:r>
      <w:r>
        <w:rPr>
          <w:rFonts w:hint="eastAsia" w:ascii="宋体" w:hAnsi="宋体" w:cs="宋体"/>
          <w:b/>
          <w:szCs w:val="21"/>
          <w:highlight w:val="none"/>
          <w:u w:val="single"/>
        </w:rPr>
        <w:t xml:space="preserve">                            </w:t>
      </w:r>
    </w:p>
    <w:p w14:paraId="2894DD85">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为贯彻落实《江苏省基本建设财务管理办法》（苏财规〔2017〕40号）、《江苏省水利重点工程建设补助专项资金管理办法》（苏财规〔2020〕27号）等有关规定，进一步规范资金财务管理，提高资金效益，保障资金安全，</w:t>
      </w:r>
      <w:r>
        <w:rPr>
          <w:rFonts w:hint="eastAsia" w:ascii="宋体" w:hAnsi="宋体" w:cs="宋体"/>
          <w:b/>
          <w:szCs w:val="21"/>
          <w:highlight w:val="none"/>
          <w:u w:val="single"/>
        </w:rPr>
        <w:t xml:space="preserve">       </w:t>
      </w:r>
      <w:r>
        <w:rPr>
          <w:rFonts w:hint="eastAsia" w:ascii="宋体" w:hAnsi="宋体" w:cs="宋体"/>
          <w:szCs w:val="21"/>
          <w:highlight w:val="none"/>
        </w:rPr>
        <w:t xml:space="preserve">（以下简称“发包人”）与 </w:t>
      </w:r>
      <w:r>
        <w:rPr>
          <w:rFonts w:hint="eastAsia" w:ascii="宋体" w:hAnsi="宋体" w:cs="宋体"/>
          <w:b/>
          <w:szCs w:val="21"/>
          <w:highlight w:val="none"/>
          <w:u w:val="single"/>
        </w:rPr>
        <w:t xml:space="preserve">      </w:t>
      </w:r>
      <w:r>
        <w:rPr>
          <w:rFonts w:hint="eastAsia" w:ascii="宋体" w:hAnsi="宋体" w:cs="宋体"/>
          <w:szCs w:val="21"/>
          <w:highlight w:val="none"/>
        </w:rPr>
        <w:t>（以下简称“承包人”）协商一致，自愿签订以下资金安全合同。</w:t>
      </w:r>
    </w:p>
    <w:p w14:paraId="5EA9766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第一条  发包人的权利和义务</w:t>
      </w:r>
    </w:p>
    <w:p w14:paraId="14EACCA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（一）根据年度工程建设任务，组织、筹措工程建设资金，满足年度工程建设需要。</w:t>
      </w:r>
    </w:p>
    <w:p w14:paraId="1783E56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（二）严格执行合同各项规定，自觉按合同办事，按照合同条款规定的时间、方式以及工程价款结算程序，审核承包人申报的经济合同结算，及时支付预付款、工程进度款和退还保证金等。</w:t>
      </w:r>
    </w:p>
    <w:p w14:paraId="3D060A4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（三）发包人应遵循公平、诚实信用的原则，遵守法律、法规，尊重社会公德，不得扰乱社会经济秩序，损害社会公共利益。</w:t>
      </w:r>
    </w:p>
    <w:p w14:paraId="3982B4D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（四）发包人有权检查资金使用情况。如发现承包人在业务活动中有违反资金安全的行为应及时提醒和督促承包人纠正，必要时停止资金支付，并向双方主管单位或行业管理部门及监督部门通报。</w:t>
      </w:r>
    </w:p>
    <w:p w14:paraId="23B8BCA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第二条  承包人的权利和义务</w:t>
      </w:r>
    </w:p>
    <w:p w14:paraId="4AB26020">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（一）承包人从发包人取得的资金必须用于承接的</w:t>
      </w:r>
      <w:r>
        <w:rPr>
          <w:rFonts w:hint="eastAsia" w:ascii="宋体" w:hAnsi="宋体" w:cs="宋体"/>
          <w:b/>
          <w:szCs w:val="21"/>
          <w:highlight w:val="none"/>
          <w:u w:val="single"/>
        </w:rPr>
        <w:t xml:space="preserve">      工程合同名称（编号）  </w:t>
      </w:r>
      <w:r>
        <w:rPr>
          <w:rFonts w:hint="eastAsia" w:ascii="宋体" w:hAnsi="宋体" w:cs="宋体"/>
          <w:szCs w:val="21"/>
          <w:highlight w:val="none"/>
        </w:rPr>
        <w:t>，在施工现场设立项目部的承包人应在工程所在地银行开户，专户存储，专款专用，单独建账。原则上承包人保证不外借、挪用、转移专项资金；不得通过权益转让、抵押、质押、担保等任何其他方式使用专项资金，确保资金安全。</w:t>
      </w:r>
    </w:p>
    <w:p w14:paraId="3483509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（二）承包人从发包人取得的银行汇票、本票、支票等不得转让给其他单位。施工进度款和工程预付款不得转入后方公司。专项资金支出结算原则上应用银行转账，不得以大额现金支付。</w:t>
      </w:r>
    </w:p>
    <w:p w14:paraId="1A09E33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（三）承包人专项资金支出的各项费用必须真实、合理并依据充分。费用支出要严格按内部相互制约的审批流程操作，报销凭证要合法合规。严禁使用虚假凭证、发票，严禁报假账。</w:t>
      </w:r>
    </w:p>
    <w:p w14:paraId="48C1146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（四）承包人施工过程中应严格执行《保障农民工工资支付条例》等相关规定，保证农民工工资及时足额支付到位。如发包人收到承包人拖欠农民工工资的举报并经查实的，发包人有权按规定处理。</w:t>
      </w:r>
    </w:p>
    <w:p w14:paraId="2D494E5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（五）承包人不得转包或违法分包工程项目，否则发包人有权停止支付工程款。</w:t>
      </w:r>
    </w:p>
    <w:p w14:paraId="68A4B1F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（六）承包人资金收支使用情况应接受发包人及发包人主管部门和监督部门的监督，承包人要主动积极配合，如实提供财务及其他相关资料。</w:t>
      </w:r>
    </w:p>
    <w:p w14:paraId="489E4DA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第三条  违约责任</w:t>
      </w:r>
    </w:p>
    <w:p w14:paraId="0818421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（一）发包人及其工作人员违反本合同有关规定的，由发包人主管部门或纪检监察部门依据有关规定查处，给承包人造成损失的，按有关规定予以赔偿；构成犯罪的，依法移送司法机关追究刑事责任。</w:t>
      </w:r>
    </w:p>
    <w:p w14:paraId="2DAC5084">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违反本合同有关规定的，按省水利厅信用考核管理有关规定进行查处，并将有关不良行为记录到企业信用档案。对违纪违规行为，由承包人主管部门或行业管理部门依据有关规定查处，给发包人造成损失的，按有关规定予以赔偿；构成犯罪的，依法移送司法机关追究刑事责任。</w:t>
      </w:r>
    </w:p>
    <w:p w14:paraId="12D5618B">
      <w:pPr>
        <w:spacing w:line="360" w:lineRule="auto"/>
        <w:ind w:firstLine="420"/>
        <w:contextualSpacing/>
        <w:rPr>
          <w:rFonts w:hint="eastAsia" w:ascii="宋体" w:hAnsi="宋体" w:cs="宋体"/>
          <w:szCs w:val="21"/>
          <w:highlight w:val="none"/>
        </w:rPr>
      </w:pPr>
      <w:r>
        <w:rPr>
          <w:rFonts w:hint="eastAsia" w:ascii="宋体" w:hAnsi="宋体" w:cs="宋体"/>
          <w:szCs w:val="21"/>
          <w:highlight w:val="none"/>
        </w:rPr>
        <w:t>（三）承、发包双方都应履行保密责任，不得擅自将业务支出具体情况透露给本合同双方以外的其他单位或个人，否则受害方将依法追究相关责任。</w:t>
      </w:r>
    </w:p>
    <w:p w14:paraId="7A3905B2">
      <w:pPr>
        <w:spacing w:line="360" w:lineRule="auto"/>
        <w:ind w:firstLine="420"/>
        <w:contextualSpacing/>
        <w:rPr>
          <w:rFonts w:hint="eastAsia" w:ascii="宋体" w:hAnsi="宋体" w:cs="宋体"/>
          <w:szCs w:val="21"/>
          <w:highlight w:val="none"/>
        </w:rPr>
      </w:pPr>
      <w:r>
        <w:rPr>
          <w:rFonts w:hint="eastAsia" w:ascii="宋体" w:hAnsi="宋体" w:cs="宋体"/>
          <w:szCs w:val="21"/>
          <w:highlight w:val="none"/>
        </w:rPr>
        <w:t>第四条  监督检查</w:t>
      </w:r>
    </w:p>
    <w:p w14:paraId="288D5E03">
      <w:pPr>
        <w:spacing w:line="360" w:lineRule="auto"/>
        <w:ind w:firstLine="420"/>
        <w:contextualSpacing/>
        <w:rPr>
          <w:rFonts w:hint="eastAsia" w:ascii="宋体" w:hAnsi="宋体" w:cs="宋体"/>
          <w:szCs w:val="21"/>
          <w:highlight w:val="none"/>
        </w:rPr>
      </w:pPr>
      <w:r>
        <w:rPr>
          <w:rFonts w:hint="eastAsia" w:ascii="宋体" w:hAnsi="宋体" w:cs="宋体"/>
          <w:szCs w:val="21"/>
          <w:highlight w:val="none"/>
        </w:rPr>
        <w:t>（一）承、发包双方在接受本单位主管部门监督检查的同时，自愿接受</w:t>
      </w:r>
      <w:r>
        <w:rPr>
          <w:rFonts w:hint="eastAsia" w:ascii="宋体" w:hAnsi="宋体" w:cs="宋体"/>
          <w:szCs w:val="21"/>
          <w:highlight w:val="none"/>
          <w:u w:val="single"/>
        </w:rPr>
        <w:t>各（上）</w:t>
      </w:r>
      <w:r>
        <w:rPr>
          <w:rFonts w:hint="eastAsia" w:ascii="宋体" w:hAnsi="宋体" w:cs="宋体"/>
          <w:szCs w:val="21"/>
          <w:highlight w:val="none"/>
        </w:rPr>
        <w:t>级水行政主管部门和</w:t>
      </w:r>
      <w:r>
        <w:rPr>
          <w:rFonts w:hint="eastAsia" w:ascii="宋体" w:hAnsi="宋体" w:cs="宋体"/>
          <w:szCs w:val="21"/>
          <w:highlight w:val="none"/>
          <w:u w:val="single"/>
        </w:rPr>
        <w:t>督查单位（纪检监察部门）</w:t>
      </w:r>
      <w:r>
        <w:rPr>
          <w:rFonts w:hint="eastAsia" w:ascii="宋体" w:hAnsi="宋体" w:cs="宋体"/>
          <w:szCs w:val="21"/>
          <w:highlight w:val="none"/>
        </w:rPr>
        <w:t>对合同执行情况的监督检查、审计等，提供有关资料和财务账册，接受本合同规定范围内的裁定意见。</w:t>
      </w:r>
    </w:p>
    <w:p w14:paraId="4A9E6240">
      <w:pPr>
        <w:spacing w:line="360" w:lineRule="auto"/>
        <w:ind w:firstLine="420"/>
        <w:contextualSpacing/>
        <w:rPr>
          <w:rFonts w:hint="eastAsia" w:ascii="宋体" w:hAnsi="宋体" w:cs="宋体"/>
          <w:szCs w:val="21"/>
          <w:highlight w:val="none"/>
        </w:rPr>
      </w:pPr>
      <w:r>
        <w:rPr>
          <w:rFonts w:hint="eastAsia" w:ascii="宋体" w:hAnsi="宋体" w:cs="宋体"/>
          <w:szCs w:val="21"/>
          <w:highlight w:val="none"/>
        </w:rPr>
        <w:t>（二）本合同履约情况检查由督查单位主持，承、发包双方共同派员参加；检查方式为座谈、个别访谈、现场勘察、查阅资料及财务账册或约定的其他方式等；检查时间、次数、方式、检查结论和执行违约责任等由双方协商确定，如无法达成一致的，由督查单位依据事实裁定。</w:t>
      </w:r>
    </w:p>
    <w:p w14:paraId="5BCFC4AD">
      <w:pPr>
        <w:spacing w:line="360" w:lineRule="auto"/>
        <w:ind w:firstLine="420"/>
        <w:contextualSpacing/>
        <w:rPr>
          <w:rFonts w:hint="eastAsia" w:ascii="宋体" w:hAnsi="宋体" w:cs="宋体"/>
          <w:szCs w:val="21"/>
          <w:highlight w:val="none"/>
        </w:rPr>
      </w:pPr>
      <w:r>
        <w:rPr>
          <w:rFonts w:hint="eastAsia" w:ascii="宋体" w:hAnsi="宋体" w:cs="宋体"/>
          <w:szCs w:val="21"/>
          <w:highlight w:val="none"/>
        </w:rPr>
        <w:t>第五条  本合同为工程合同的从合同，其有效期与工程合同一致。</w:t>
      </w:r>
    </w:p>
    <w:p w14:paraId="57F984C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第六条  本合同一式</w:t>
      </w:r>
      <w:r>
        <w:rPr>
          <w:rFonts w:hint="eastAsia" w:ascii="宋体" w:hAnsi="宋体" w:cs="宋体"/>
          <w:b/>
          <w:szCs w:val="21"/>
          <w:highlight w:val="none"/>
          <w:u w:val="single"/>
        </w:rPr>
        <w:t>叁</w:t>
      </w:r>
      <w:r>
        <w:rPr>
          <w:rFonts w:hint="eastAsia" w:ascii="宋体" w:hAnsi="宋体" w:cs="宋体"/>
          <w:szCs w:val="21"/>
          <w:highlight w:val="none"/>
        </w:rPr>
        <w:t>份，承、发包双方各执</w:t>
      </w:r>
      <w:r>
        <w:rPr>
          <w:rFonts w:hint="eastAsia" w:ascii="宋体" w:hAnsi="宋体" w:cs="宋体"/>
          <w:b/>
          <w:szCs w:val="21"/>
          <w:highlight w:val="none"/>
          <w:u w:val="single"/>
        </w:rPr>
        <w:t>壹</w:t>
      </w:r>
      <w:r>
        <w:rPr>
          <w:rFonts w:hint="eastAsia" w:ascii="宋体" w:hAnsi="宋体" w:cs="宋体"/>
          <w:szCs w:val="21"/>
          <w:highlight w:val="none"/>
        </w:rPr>
        <w:t>份，送交督查单位</w:t>
      </w:r>
      <w:r>
        <w:rPr>
          <w:rFonts w:hint="eastAsia" w:ascii="宋体" w:hAnsi="宋体" w:cs="宋体"/>
          <w:b/>
          <w:szCs w:val="21"/>
          <w:highlight w:val="none"/>
          <w:u w:val="single"/>
        </w:rPr>
        <w:t>壹</w:t>
      </w:r>
      <w:r>
        <w:rPr>
          <w:rFonts w:hint="eastAsia" w:ascii="宋体" w:hAnsi="宋体" w:cs="宋体"/>
          <w:szCs w:val="21"/>
          <w:highlight w:val="none"/>
        </w:rPr>
        <w:t>份。</w:t>
      </w:r>
    </w:p>
    <w:p w14:paraId="745683BF">
      <w:pPr>
        <w:spacing w:line="520" w:lineRule="exact"/>
        <w:ind w:firstLine="630"/>
        <w:rPr>
          <w:rFonts w:hint="eastAsia" w:ascii="宋体" w:hAnsi="宋体" w:cs="宋体"/>
          <w:szCs w:val="21"/>
          <w:highlight w:val="none"/>
        </w:rPr>
      </w:pPr>
    </w:p>
    <w:p w14:paraId="3E411711">
      <w:pPr>
        <w:spacing w:line="520" w:lineRule="exact"/>
        <w:ind w:firstLine="630"/>
        <w:rPr>
          <w:rFonts w:hint="eastAsia" w:ascii="宋体" w:hAnsi="宋体" w:cs="宋体"/>
          <w:szCs w:val="21"/>
          <w:highlight w:val="none"/>
        </w:rPr>
      </w:pPr>
      <w:r>
        <w:rPr>
          <w:rFonts w:hint="eastAsia" w:ascii="宋体" w:hAnsi="宋体" w:cs="宋体"/>
          <w:szCs w:val="21"/>
          <w:highlight w:val="none"/>
        </w:rPr>
        <w:t xml:space="preserve">发  包  人:（盖章）                承  包  人:（盖章）                </w:t>
      </w:r>
    </w:p>
    <w:p w14:paraId="77960342">
      <w:pPr>
        <w:spacing w:line="520" w:lineRule="exact"/>
        <w:ind w:firstLine="630"/>
        <w:rPr>
          <w:rFonts w:hint="eastAsia" w:ascii="宋体" w:hAnsi="宋体" w:cs="宋体"/>
          <w:szCs w:val="21"/>
          <w:highlight w:val="none"/>
        </w:rPr>
      </w:pPr>
      <w:r>
        <w:rPr>
          <w:rFonts w:hint="eastAsia" w:ascii="宋体" w:hAnsi="宋体" w:cs="宋体"/>
          <w:szCs w:val="21"/>
          <w:highlight w:val="none"/>
        </w:rPr>
        <w:t>法定代表人:（签名）                法定代表人:（签名）</w:t>
      </w:r>
    </w:p>
    <w:p w14:paraId="0176AC0A">
      <w:pPr>
        <w:spacing w:line="520" w:lineRule="exact"/>
        <w:ind w:firstLine="630"/>
        <w:rPr>
          <w:rFonts w:hint="eastAsia" w:ascii="宋体" w:hAnsi="宋体" w:cs="宋体"/>
          <w:szCs w:val="21"/>
          <w:highlight w:val="none"/>
        </w:rPr>
      </w:pPr>
      <w:r>
        <w:rPr>
          <w:rFonts w:hint="eastAsia" w:ascii="宋体" w:hAnsi="宋体" w:cs="宋体"/>
          <w:szCs w:val="21"/>
          <w:highlight w:val="none"/>
        </w:rPr>
        <w:t>或授权代理人:（签名）              或授权代理人:（签名）</w:t>
      </w:r>
    </w:p>
    <w:p w14:paraId="6D8A4EDE">
      <w:pPr>
        <w:spacing w:line="520" w:lineRule="exact"/>
        <w:ind w:firstLine="630"/>
        <w:rPr>
          <w:rFonts w:hint="eastAsia" w:ascii="宋体" w:hAnsi="宋体" w:cs="宋体"/>
          <w:szCs w:val="21"/>
          <w:highlight w:val="none"/>
        </w:rPr>
      </w:pPr>
      <w:r>
        <w:rPr>
          <w:rFonts w:hint="eastAsia" w:ascii="宋体" w:hAnsi="宋体" w:cs="宋体"/>
          <w:szCs w:val="21"/>
          <w:highlight w:val="none"/>
        </w:rPr>
        <w:t>单位地址：                         单位地址：</w:t>
      </w:r>
    </w:p>
    <w:p w14:paraId="3085451C">
      <w:pPr>
        <w:spacing w:line="520" w:lineRule="exact"/>
        <w:ind w:firstLine="630"/>
        <w:rPr>
          <w:rFonts w:hint="eastAsia" w:ascii="宋体" w:hAnsi="宋体" w:cs="宋体"/>
          <w:szCs w:val="21"/>
          <w:highlight w:val="none"/>
        </w:rPr>
      </w:pPr>
      <w:r>
        <w:rPr>
          <w:rFonts w:hint="eastAsia" w:ascii="宋体" w:hAnsi="宋体" w:cs="宋体"/>
          <w:szCs w:val="21"/>
          <w:highlight w:val="none"/>
        </w:rPr>
        <w:t>联系电话：                         联系电话：</w:t>
      </w:r>
    </w:p>
    <w:p w14:paraId="1367BC73">
      <w:pPr>
        <w:spacing w:line="520" w:lineRule="exact"/>
        <w:ind w:firstLine="630"/>
        <w:rPr>
          <w:rFonts w:hint="eastAsia" w:ascii="宋体" w:hAnsi="宋体" w:cs="宋体"/>
          <w:szCs w:val="21"/>
          <w:highlight w:val="none"/>
        </w:rPr>
      </w:pPr>
    </w:p>
    <w:p w14:paraId="29DF5CAF">
      <w:pPr>
        <w:spacing w:line="520" w:lineRule="exact"/>
        <w:ind w:firstLine="630"/>
        <w:rPr>
          <w:rFonts w:hint="eastAsia" w:ascii="宋体" w:hAnsi="宋体" w:cs="宋体"/>
          <w:szCs w:val="21"/>
          <w:highlight w:val="none"/>
        </w:rPr>
      </w:pPr>
      <w:r>
        <w:rPr>
          <w:rFonts w:hint="eastAsia" w:ascii="宋体" w:hAnsi="宋体" w:cs="宋体"/>
          <w:szCs w:val="21"/>
          <w:highlight w:val="none"/>
        </w:rPr>
        <w:t>督查单位（纪检监察部门）：（盖章）</w:t>
      </w:r>
    </w:p>
    <w:p w14:paraId="048B00FC">
      <w:pPr>
        <w:spacing w:line="520" w:lineRule="exact"/>
        <w:ind w:firstLine="630"/>
        <w:rPr>
          <w:rFonts w:hint="eastAsia" w:ascii="宋体" w:hAnsi="宋体" w:cs="宋体"/>
          <w:szCs w:val="21"/>
          <w:highlight w:val="none"/>
        </w:rPr>
      </w:pPr>
      <w:r>
        <w:rPr>
          <w:rFonts w:hint="eastAsia" w:ascii="宋体" w:hAnsi="宋体" w:cs="宋体"/>
          <w:szCs w:val="21"/>
          <w:highlight w:val="none"/>
        </w:rPr>
        <w:t>代 表 人：（签名）</w:t>
      </w:r>
    </w:p>
    <w:p w14:paraId="3937F976">
      <w:pPr>
        <w:spacing w:line="520" w:lineRule="exact"/>
        <w:ind w:firstLine="630"/>
        <w:rPr>
          <w:rFonts w:hint="eastAsia" w:ascii="宋体" w:hAnsi="宋体" w:cs="宋体"/>
          <w:szCs w:val="21"/>
          <w:highlight w:val="none"/>
        </w:rPr>
      </w:pPr>
      <w:r>
        <w:rPr>
          <w:rFonts w:hint="eastAsia" w:ascii="宋体" w:hAnsi="宋体" w:cs="宋体"/>
          <w:szCs w:val="21"/>
          <w:highlight w:val="none"/>
        </w:rPr>
        <w:t>单位地址：</w:t>
      </w:r>
    </w:p>
    <w:p w14:paraId="7805E228">
      <w:pPr>
        <w:spacing w:line="520" w:lineRule="exact"/>
        <w:ind w:firstLine="630"/>
        <w:rPr>
          <w:rFonts w:hint="eastAsia" w:ascii="宋体" w:hAnsi="宋体" w:cs="宋体"/>
          <w:szCs w:val="21"/>
          <w:highlight w:val="none"/>
        </w:rPr>
      </w:pPr>
      <w:r>
        <w:rPr>
          <w:rFonts w:hint="eastAsia" w:ascii="宋体" w:hAnsi="宋体" w:cs="宋体"/>
          <w:szCs w:val="21"/>
          <w:highlight w:val="none"/>
        </w:rPr>
        <w:t>联系电话：</w:t>
      </w:r>
    </w:p>
    <w:p w14:paraId="0C41269A">
      <w:pPr>
        <w:spacing w:line="520" w:lineRule="exact"/>
        <w:jc w:val="right"/>
        <w:rPr>
          <w:rFonts w:hint="eastAsia" w:ascii="宋体" w:hAnsi="宋体" w:cs="宋体"/>
          <w:szCs w:val="21"/>
          <w:highlight w:val="none"/>
        </w:rPr>
      </w:pPr>
      <w:r>
        <w:rPr>
          <w:rFonts w:hint="eastAsia" w:ascii="宋体" w:hAnsi="宋体" w:cs="宋体"/>
          <w:szCs w:val="21"/>
          <w:highlight w:val="none"/>
        </w:rPr>
        <w:t>签订日期：      年    月    日</w:t>
      </w:r>
    </w:p>
    <w:p w14:paraId="5913602D">
      <w:pPr>
        <w:widowControl/>
        <w:spacing w:line="520" w:lineRule="exact"/>
        <w:ind w:firstLine="420"/>
        <w:contextualSpacing/>
        <w:rPr>
          <w:rFonts w:hint="eastAsia" w:ascii="宋体" w:hAnsi="宋体" w:cs="宋体"/>
          <w:szCs w:val="21"/>
          <w:highlight w:val="none"/>
        </w:rPr>
      </w:pPr>
    </w:p>
    <w:p w14:paraId="242338AE">
      <w:pPr>
        <w:spacing w:line="520" w:lineRule="exact"/>
        <w:ind w:firstLine="200"/>
        <w:contextualSpacing/>
        <w:rPr>
          <w:rFonts w:hint="eastAsia" w:ascii="宋体" w:hAnsi="宋体" w:cs="宋体"/>
          <w:szCs w:val="21"/>
          <w:highlight w:val="none"/>
        </w:rPr>
      </w:pPr>
    </w:p>
    <w:p w14:paraId="54B1B192">
      <w:pPr>
        <w:spacing w:line="520" w:lineRule="exact"/>
        <w:ind w:firstLine="420"/>
        <w:contextualSpacing/>
        <w:rPr>
          <w:rFonts w:hint="eastAsia"/>
          <w:szCs w:val="32"/>
          <w:highlight w:val="none"/>
        </w:rPr>
      </w:pPr>
    </w:p>
    <w:p w14:paraId="3509904A">
      <w:pPr>
        <w:pStyle w:val="257"/>
        <w:spacing w:before="48" w:after="48"/>
        <w:jc w:val="left"/>
        <w:rPr>
          <w:highlight w:val="none"/>
        </w:rPr>
      </w:pPr>
    </w:p>
    <w:p w14:paraId="536C9556">
      <w:pPr>
        <w:pStyle w:val="257"/>
        <w:spacing w:before="48" w:after="48"/>
        <w:jc w:val="left"/>
        <w:rPr>
          <w:highlight w:val="none"/>
        </w:rPr>
      </w:pPr>
      <w:r>
        <w:rPr>
          <w:highlight w:val="none"/>
        </w:rPr>
        <w:br w:type="page" w:clear="all"/>
      </w:r>
      <w:bookmarkStart w:id="302" w:name="_Toc237153209"/>
      <w:bookmarkStart w:id="303" w:name="_Toc68008629"/>
      <w:r>
        <w:rPr>
          <w:highlight w:val="none"/>
        </w:rPr>
        <w:t>附件</w:t>
      </w:r>
      <w:r>
        <w:rPr>
          <w:rFonts w:hint="eastAsia"/>
          <w:highlight w:val="none"/>
        </w:rPr>
        <w:t>四</w:t>
      </w:r>
      <w:r>
        <w:rPr>
          <w:highlight w:val="none"/>
        </w:rPr>
        <w:t>：</w:t>
      </w:r>
      <w:bookmarkEnd w:id="302"/>
      <w:bookmarkEnd w:id="303"/>
      <w:r>
        <w:rPr>
          <w:rFonts w:hint="eastAsia"/>
          <w:highlight w:val="none"/>
        </w:rPr>
        <w:t>工程安全生产合同</w:t>
      </w:r>
    </w:p>
    <w:p w14:paraId="6696DF23">
      <w:pPr>
        <w:pStyle w:val="189"/>
        <w:rPr>
          <w:highlight w:val="none"/>
        </w:rPr>
      </w:pPr>
    </w:p>
    <w:p w14:paraId="36E0D08A">
      <w:pPr>
        <w:spacing w:line="360" w:lineRule="auto"/>
        <w:jc w:val="center"/>
        <w:rPr>
          <w:b/>
          <w:sz w:val="28"/>
          <w:szCs w:val="28"/>
          <w:highlight w:val="none"/>
        </w:rPr>
      </w:pPr>
      <w:r>
        <w:rPr>
          <w:b/>
          <w:sz w:val="28"/>
          <w:szCs w:val="28"/>
          <w:highlight w:val="none"/>
        </w:rPr>
        <w:t>工程安全生产合同</w:t>
      </w:r>
    </w:p>
    <w:p w14:paraId="7722521D">
      <w:pPr>
        <w:spacing w:line="360" w:lineRule="auto"/>
        <w:ind w:firstLine="420"/>
        <w:jc w:val="left"/>
        <w:rPr>
          <w:highlight w:val="none"/>
        </w:rPr>
      </w:pPr>
      <w:r>
        <w:rPr>
          <w:highlight w:val="none"/>
        </w:rPr>
        <w:t>发包人：</w:t>
      </w:r>
      <w:r>
        <w:rPr>
          <w:highlight w:val="none"/>
          <w:u w:val="single"/>
        </w:rPr>
        <w:t xml:space="preserve">                           </w:t>
      </w:r>
    </w:p>
    <w:p w14:paraId="63DB9207">
      <w:pPr>
        <w:spacing w:line="360" w:lineRule="auto"/>
        <w:ind w:firstLine="420"/>
        <w:jc w:val="left"/>
        <w:rPr>
          <w:highlight w:val="none"/>
        </w:rPr>
      </w:pPr>
      <w:r>
        <w:rPr>
          <w:highlight w:val="none"/>
        </w:rPr>
        <w:t>承包人：</w:t>
      </w:r>
      <w:r>
        <w:rPr>
          <w:highlight w:val="none"/>
          <w:u w:val="single"/>
        </w:rPr>
        <w:t xml:space="preserve">                           </w:t>
      </w:r>
    </w:p>
    <w:p w14:paraId="746F8BF8">
      <w:pPr>
        <w:spacing w:line="360" w:lineRule="auto"/>
        <w:ind w:firstLine="420"/>
        <w:rPr>
          <w:highlight w:val="none"/>
        </w:rPr>
      </w:pPr>
    </w:p>
    <w:p w14:paraId="6EC2973E">
      <w:pPr>
        <w:spacing w:line="360" w:lineRule="auto"/>
        <w:ind w:firstLine="420"/>
        <w:rPr>
          <w:highlight w:val="none"/>
        </w:rPr>
      </w:pPr>
      <w:r>
        <w:rPr>
          <w:highlight w:val="none"/>
        </w:rPr>
        <w:t>为在</w:t>
      </w:r>
      <w:r>
        <w:rPr>
          <w:highlight w:val="none"/>
          <w:u w:val="single"/>
        </w:rPr>
        <w:t xml:space="preserve">                  </w:t>
      </w:r>
      <w:r>
        <w:rPr>
          <w:highlight w:val="none"/>
        </w:rPr>
        <w:t>合同的实施过程中创造安全、高效的施工环境，切实搞好本项目的安全管理工作，特此签订安全生产合同。具体如下：</w:t>
      </w:r>
    </w:p>
    <w:p w14:paraId="53C8889D">
      <w:pPr>
        <w:spacing w:line="360" w:lineRule="auto"/>
        <w:ind w:firstLine="420"/>
        <w:rPr>
          <w:b/>
          <w:highlight w:val="none"/>
        </w:rPr>
      </w:pPr>
      <w:bookmarkStart w:id="304" w:name="_Toc259109251"/>
      <w:r>
        <w:rPr>
          <w:b/>
          <w:highlight w:val="none"/>
        </w:rPr>
        <w:t>一、甲方职责</w:t>
      </w:r>
      <w:bookmarkEnd w:id="304"/>
    </w:p>
    <w:p w14:paraId="3DF5E89C">
      <w:pPr>
        <w:spacing w:line="360" w:lineRule="auto"/>
        <w:ind w:firstLine="420"/>
        <w:rPr>
          <w:highlight w:val="none"/>
        </w:rPr>
      </w:pPr>
      <w:r>
        <w:rPr>
          <w:highlight w:val="none"/>
        </w:rPr>
        <w:t>1．严格遵守国家有关安全生产的法律法规，认真执行工程承包合同中的有关安全要求。</w:t>
      </w:r>
    </w:p>
    <w:p w14:paraId="4AC525BC">
      <w:pPr>
        <w:spacing w:line="360" w:lineRule="auto"/>
        <w:ind w:firstLine="420"/>
        <w:rPr>
          <w:highlight w:val="none"/>
        </w:rPr>
      </w:pPr>
      <w:r>
        <w:rPr>
          <w:highlight w:val="none"/>
        </w:rPr>
        <w:t>2．按照“安全第一、预防为主”和坚持“管生产必需管安全”的原则进行安全生产管理，做到生产与安全工作同时计划、布置、检查、总结和评比。</w:t>
      </w:r>
    </w:p>
    <w:p w14:paraId="5B4E243F">
      <w:pPr>
        <w:spacing w:line="360" w:lineRule="auto"/>
        <w:ind w:firstLine="420"/>
        <w:rPr>
          <w:highlight w:val="none"/>
        </w:rPr>
      </w:pPr>
      <w:r>
        <w:rPr>
          <w:highlight w:val="none"/>
        </w:rPr>
        <w:t>3．定期召开安全生产协调会，及时传达中央及地方有关安全生产的精神。</w:t>
      </w:r>
    </w:p>
    <w:p w14:paraId="73764D0B">
      <w:pPr>
        <w:spacing w:line="360" w:lineRule="auto"/>
        <w:ind w:firstLine="420"/>
        <w:rPr>
          <w:highlight w:val="none"/>
        </w:rPr>
      </w:pPr>
      <w:r>
        <w:rPr>
          <w:highlight w:val="none"/>
        </w:rPr>
        <w:t>4．组织对乙方施工现场安全生产检查，建立安全生产责任制网络、汇总重要危险源、监督乙方及时处理发现的各种安全隐患。</w:t>
      </w:r>
    </w:p>
    <w:p w14:paraId="2911DB38">
      <w:pPr>
        <w:spacing w:line="360" w:lineRule="auto"/>
        <w:ind w:firstLine="420"/>
        <w:rPr>
          <w:b/>
          <w:highlight w:val="none"/>
        </w:rPr>
      </w:pPr>
      <w:bookmarkStart w:id="305" w:name="_Toc259109252"/>
      <w:r>
        <w:rPr>
          <w:b/>
          <w:highlight w:val="none"/>
        </w:rPr>
        <w:t>二、乙方职责</w:t>
      </w:r>
      <w:bookmarkEnd w:id="305"/>
    </w:p>
    <w:p w14:paraId="5F069232">
      <w:pPr>
        <w:spacing w:line="360" w:lineRule="auto"/>
        <w:ind w:firstLine="420"/>
        <w:rPr>
          <w:highlight w:val="none"/>
        </w:rPr>
      </w:pPr>
      <w:r>
        <w:rPr>
          <w:highlight w:val="none"/>
        </w:rPr>
        <w:t>1．严格遵守国家有关安全生产的法律法规、有关安全生产的规定，认真执行工程承包合同中的有关安全要求，接受甲方和监理工程师对安全生产工作的指导。</w:t>
      </w:r>
    </w:p>
    <w:p w14:paraId="4EB90DFC">
      <w:pPr>
        <w:spacing w:line="360" w:lineRule="auto"/>
        <w:ind w:firstLine="420"/>
        <w:rPr>
          <w:highlight w:val="none"/>
        </w:rPr>
      </w:pPr>
      <w:r>
        <w:rPr>
          <w:highlight w:val="none"/>
        </w:rPr>
        <w:t>2．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38A3A25">
      <w:pPr>
        <w:spacing w:line="360" w:lineRule="auto"/>
        <w:ind w:firstLine="420"/>
        <w:rPr>
          <w:highlight w:val="none"/>
        </w:rPr>
      </w:pPr>
      <w:r>
        <w:rPr>
          <w:highlight w:val="none"/>
        </w:rPr>
        <w:t>3．建立健全安全生产责任制网络。从派往项目实施的项目经理到生产工人（包括临时雇请的民工）的安全生产管理系统必须做到纵向到底，一环不漏；各职能部门、人员的安全生产责任制做到横向到边，人人有责。承包人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每标段不少于</w:t>
      </w:r>
      <w:r>
        <w:rPr>
          <w:rFonts w:hint="eastAsia"/>
          <w:highlight w:val="none"/>
        </w:rPr>
        <w:t>3</w:t>
      </w:r>
      <w:r>
        <w:rPr>
          <w:highlight w:val="none"/>
        </w:rPr>
        <w:t>人），专职负责所有员工的安全和治安保卫工作及预防事故的发生。安全机构人员，有权按有关规定发布指令，并采取保护性措施防止事故发生。</w:t>
      </w:r>
    </w:p>
    <w:p w14:paraId="20538A64">
      <w:pPr>
        <w:spacing w:line="360" w:lineRule="auto"/>
        <w:ind w:firstLine="420"/>
        <w:rPr>
          <w:highlight w:val="none"/>
        </w:rPr>
      </w:pPr>
      <w:r>
        <w:rPr>
          <w:highlight w:val="none"/>
        </w:rPr>
        <w:t>4．乙方在任何时侯都应采取各种合理的预防措施，防止其人员发生任何违法、违禁、暴力、违规或妨碍治安的行为。</w:t>
      </w:r>
    </w:p>
    <w:p w14:paraId="53940749">
      <w:pPr>
        <w:spacing w:line="360" w:lineRule="auto"/>
        <w:ind w:firstLine="420"/>
        <w:rPr>
          <w:highlight w:val="none"/>
        </w:rPr>
      </w:pPr>
      <w:r>
        <w:rPr>
          <w:highlight w:val="none"/>
        </w:rPr>
        <w:t>5．乙方必须具有省部级行政主管部门颁发的安全生产证书，参加施工的人员，必须</w:t>
      </w:r>
      <w:r>
        <w:rPr>
          <w:rFonts w:hint="eastAsia"/>
          <w:highlight w:val="none"/>
          <w:lang w:eastAsia="zh-CN"/>
        </w:rPr>
        <w:t>接受</w:t>
      </w:r>
      <w:r>
        <w:rPr>
          <w:highlight w:val="none"/>
        </w:rPr>
        <w:t>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7905B098">
      <w:pPr>
        <w:spacing w:line="360" w:lineRule="auto"/>
        <w:ind w:firstLine="420"/>
        <w:rPr>
          <w:highlight w:val="none"/>
        </w:rPr>
      </w:pPr>
      <w:r>
        <w:rPr>
          <w:highlight w:val="none"/>
        </w:rPr>
        <w:t>6．加强施工中交通运输安全管理，各种运输机械等需划定运输路线行驶。</w:t>
      </w:r>
    </w:p>
    <w:p w14:paraId="685E77BC">
      <w:pPr>
        <w:spacing w:line="360" w:lineRule="auto"/>
        <w:ind w:firstLine="420"/>
        <w:rPr>
          <w:highlight w:val="none"/>
        </w:rPr>
      </w:pPr>
      <w:r>
        <w:rPr>
          <w:highlight w:val="none"/>
        </w:rPr>
        <w:t>7．对于易燃易爆的材料除应专门有效封闭、妥善保管之外，还应配备有足够的消防设施，所有施工人员都应熟悉消防设备的性能和使用方法。</w:t>
      </w:r>
    </w:p>
    <w:p w14:paraId="6555AA3C">
      <w:pPr>
        <w:spacing w:line="360" w:lineRule="auto"/>
        <w:ind w:firstLine="420"/>
        <w:rPr>
          <w:highlight w:val="none"/>
        </w:rPr>
      </w:pPr>
      <w:r>
        <w:rPr>
          <w:highlight w:val="none"/>
        </w:rPr>
        <w:t>8．操作人员上岗，必须按规定穿戴防护用品。施工负责人和安全检查员应随时检查劳动防护用品的穿戴情况，不按规定穿戴防护用品的人员不得上岗。</w:t>
      </w:r>
    </w:p>
    <w:p w14:paraId="60C68668">
      <w:pPr>
        <w:spacing w:line="360" w:lineRule="auto"/>
        <w:ind w:firstLine="420"/>
        <w:rPr>
          <w:highlight w:val="none"/>
        </w:rPr>
      </w:pPr>
      <w:r>
        <w:rPr>
          <w:highlight w:val="none"/>
        </w:rPr>
        <w:t>9．所有施工机具、设备和劳动保护用品应具备有效的安检合格证明，并经安全员签字同意后方可使用，施工期间应定期检查，保证其处于完好状态；不合格的机具、设备和劳动保护用品严禁使用。</w:t>
      </w:r>
    </w:p>
    <w:p w14:paraId="43F4F709">
      <w:pPr>
        <w:spacing w:line="360" w:lineRule="auto"/>
        <w:ind w:firstLine="420"/>
        <w:rPr>
          <w:highlight w:val="none"/>
        </w:rPr>
      </w:pPr>
      <w:r>
        <w:rPr>
          <w:highlight w:val="none"/>
        </w:rPr>
        <w:t>10．施工现场必须具有相关的安全标志牌。</w:t>
      </w:r>
    </w:p>
    <w:p w14:paraId="14FAB567">
      <w:pPr>
        <w:spacing w:line="360" w:lineRule="auto"/>
        <w:ind w:firstLine="420"/>
        <w:rPr>
          <w:highlight w:val="none"/>
        </w:rPr>
      </w:pPr>
      <w:r>
        <w:rPr>
          <w:highlight w:val="none"/>
        </w:rPr>
        <w:t>11．建立主要危险源备案制度，要明确潜在隐患、防范措施和落实责任人。</w:t>
      </w:r>
    </w:p>
    <w:p w14:paraId="593769EA">
      <w:pPr>
        <w:spacing w:line="360" w:lineRule="auto"/>
        <w:ind w:firstLine="417"/>
        <w:rPr>
          <w:b/>
          <w:highlight w:val="none"/>
        </w:rPr>
      </w:pPr>
      <w:r>
        <w:rPr>
          <w:highlight w:val="none"/>
        </w:rPr>
        <w:t>12．乙方必须按照本工程项目特点，组织制定本工程实施中的生产安全事故应急救援预案；如果发生安全事故，应按照《国务院关于特大安全事故行政责任追究的规定》以及</w:t>
      </w:r>
      <w:r>
        <w:rPr>
          <w:rFonts w:hint="eastAsia"/>
          <w:highlight w:val="none"/>
          <w:lang w:eastAsia="zh-CN"/>
        </w:rPr>
        <w:t>其他</w:t>
      </w:r>
      <w:r>
        <w:rPr>
          <w:highlight w:val="none"/>
        </w:rPr>
        <w:t>有关规定，及时上报有关部门，并坚持“三不放过”的原则，严肃处理相关责任人。</w:t>
      </w:r>
    </w:p>
    <w:p w14:paraId="1F122D76">
      <w:pPr>
        <w:spacing w:line="360" w:lineRule="auto"/>
        <w:ind w:firstLine="420"/>
        <w:rPr>
          <w:b/>
          <w:highlight w:val="none"/>
        </w:rPr>
      </w:pPr>
      <w:bookmarkStart w:id="306" w:name="_Toc259109253"/>
      <w:r>
        <w:rPr>
          <w:b/>
          <w:highlight w:val="none"/>
        </w:rPr>
        <w:t>三、违约责任</w:t>
      </w:r>
      <w:bookmarkEnd w:id="306"/>
    </w:p>
    <w:p w14:paraId="1DA453E2">
      <w:pPr>
        <w:spacing w:line="360" w:lineRule="auto"/>
        <w:ind w:firstLine="420"/>
        <w:rPr>
          <w:highlight w:val="none"/>
        </w:rPr>
      </w:pPr>
      <w:r>
        <w:rPr>
          <w:highlight w:val="none"/>
        </w:rPr>
        <w:t>如因甲方违约造成安全事故，将报请有关部门依法追究责任。</w:t>
      </w:r>
    </w:p>
    <w:p w14:paraId="188E5285">
      <w:pPr>
        <w:spacing w:line="360" w:lineRule="auto"/>
        <w:ind w:firstLine="420"/>
        <w:rPr>
          <w:highlight w:val="none"/>
        </w:rPr>
      </w:pPr>
      <w:r>
        <w:rPr>
          <w:highlight w:val="none"/>
        </w:rPr>
        <w:t>如因乙方违约造成安全事故，将报请有关部门依法追究责任。</w:t>
      </w:r>
    </w:p>
    <w:p w14:paraId="473700A7">
      <w:pPr>
        <w:spacing w:line="360" w:lineRule="auto"/>
        <w:ind w:firstLine="420"/>
        <w:rPr>
          <w:highlight w:val="none"/>
        </w:rPr>
      </w:pPr>
      <w:r>
        <w:rPr>
          <w:highlight w:val="none"/>
        </w:rPr>
        <w:t>本合同一式二份，由双方法定代表人或其授权的代理人签署和加盖公章后生效，全部工程竣工验收后失效。</w:t>
      </w:r>
    </w:p>
    <w:p w14:paraId="27B4385D">
      <w:pPr>
        <w:spacing w:line="360" w:lineRule="auto"/>
        <w:ind w:firstLine="420"/>
        <w:rPr>
          <w:highlight w:val="none"/>
        </w:rPr>
      </w:pPr>
    </w:p>
    <w:p w14:paraId="3BFCB26A">
      <w:pPr>
        <w:spacing w:line="360" w:lineRule="auto"/>
        <w:ind w:firstLine="420"/>
        <w:rPr>
          <w:highlight w:val="none"/>
        </w:rPr>
      </w:pPr>
      <w:r>
        <w:rPr>
          <w:highlight w:val="none"/>
        </w:rPr>
        <w:t xml:space="preserve">甲      方：                         乙    方：                     </w:t>
      </w:r>
    </w:p>
    <w:p w14:paraId="548D8F7E">
      <w:pPr>
        <w:spacing w:line="360" w:lineRule="auto"/>
        <w:ind w:firstLine="420"/>
        <w:rPr>
          <w:highlight w:val="none"/>
        </w:rPr>
      </w:pPr>
      <w:r>
        <w:rPr>
          <w:highlight w:val="none"/>
        </w:rPr>
        <w:t>法定代表人或其委托代理人：         法定代表人或其委托代理人：</w:t>
      </w:r>
    </w:p>
    <w:p w14:paraId="0287B28B">
      <w:pPr>
        <w:spacing w:line="360" w:lineRule="auto"/>
        <w:ind w:firstLine="420"/>
        <w:rPr>
          <w:highlight w:val="none"/>
        </w:rPr>
      </w:pPr>
      <w:r>
        <w:rPr>
          <w:highlight w:val="none"/>
        </w:rPr>
        <w:t xml:space="preserve">地       址：                        地     址：             </w:t>
      </w:r>
    </w:p>
    <w:p w14:paraId="18F7407E">
      <w:pPr>
        <w:spacing w:line="360" w:lineRule="auto"/>
        <w:ind w:firstLine="420"/>
        <w:rPr>
          <w:highlight w:val="none"/>
        </w:rPr>
      </w:pPr>
      <w:r>
        <w:rPr>
          <w:highlight w:val="none"/>
        </w:rPr>
        <w:t xml:space="preserve">电       话：                        电     话：              </w:t>
      </w:r>
    </w:p>
    <w:p w14:paraId="091E4AF8">
      <w:pPr>
        <w:spacing w:line="360" w:lineRule="auto"/>
        <w:ind w:firstLine="420"/>
        <w:rPr>
          <w:szCs w:val="21"/>
          <w:highlight w:val="none"/>
        </w:rPr>
      </w:pPr>
      <w:r>
        <w:rPr>
          <w:highlight w:val="none"/>
        </w:rPr>
        <w:t>日       期：                        日     期：</w:t>
      </w:r>
    </w:p>
    <w:p w14:paraId="268548E0">
      <w:pPr>
        <w:spacing w:line="360" w:lineRule="auto"/>
        <w:rPr>
          <w:b/>
          <w:bCs/>
          <w:sz w:val="28"/>
          <w:szCs w:val="28"/>
          <w:highlight w:val="none"/>
        </w:rPr>
      </w:pPr>
      <w:r>
        <w:rPr>
          <w:b/>
          <w:highlight w:val="none"/>
        </w:rPr>
        <w:br w:type="page" w:clear="all"/>
      </w:r>
      <w:bookmarkStart w:id="307" w:name="_Toc237153210"/>
      <w:bookmarkStart w:id="308" w:name="_Toc68008631"/>
      <w:r>
        <w:rPr>
          <w:b/>
          <w:bCs/>
          <w:sz w:val="28"/>
          <w:szCs w:val="36"/>
          <w:highlight w:val="none"/>
        </w:rPr>
        <w:t>附件</w:t>
      </w:r>
      <w:r>
        <w:rPr>
          <w:rFonts w:hint="eastAsia"/>
          <w:b/>
          <w:bCs/>
          <w:sz w:val="28"/>
          <w:szCs w:val="36"/>
          <w:highlight w:val="none"/>
        </w:rPr>
        <w:t>五</w:t>
      </w:r>
      <w:r>
        <w:rPr>
          <w:b/>
          <w:bCs/>
          <w:sz w:val="28"/>
          <w:szCs w:val="36"/>
          <w:highlight w:val="none"/>
        </w:rPr>
        <w:t>：</w:t>
      </w:r>
      <w:bookmarkEnd w:id="307"/>
      <w:bookmarkEnd w:id="308"/>
      <w:bookmarkStart w:id="309" w:name="_Toc197050778"/>
      <w:bookmarkStart w:id="310" w:name="_Toc322343574"/>
      <w:bookmarkStart w:id="311" w:name="_Toc322674822"/>
      <w:bookmarkStart w:id="312" w:name="_Toc265845008"/>
      <w:bookmarkStart w:id="313" w:name="_Toc261705762"/>
      <w:r>
        <w:rPr>
          <w:b/>
          <w:bCs/>
          <w:sz w:val="28"/>
          <w:szCs w:val="28"/>
          <w:highlight w:val="none"/>
        </w:rPr>
        <w:t>不拖欠</w:t>
      </w:r>
      <w:r>
        <w:rPr>
          <w:rFonts w:hint="eastAsia"/>
          <w:b/>
          <w:bCs/>
          <w:sz w:val="28"/>
          <w:szCs w:val="28"/>
          <w:highlight w:val="none"/>
        </w:rPr>
        <w:t>农</w:t>
      </w:r>
      <w:r>
        <w:rPr>
          <w:b/>
          <w:bCs/>
          <w:sz w:val="28"/>
          <w:szCs w:val="28"/>
          <w:highlight w:val="none"/>
        </w:rPr>
        <w:t>民工工资的承诺</w:t>
      </w:r>
      <w:bookmarkEnd w:id="309"/>
      <w:bookmarkEnd w:id="310"/>
      <w:bookmarkEnd w:id="311"/>
      <w:bookmarkEnd w:id="312"/>
      <w:bookmarkEnd w:id="313"/>
    </w:p>
    <w:p w14:paraId="0A6117D6">
      <w:pPr>
        <w:pStyle w:val="257"/>
        <w:spacing w:before="48" w:after="48"/>
        <w:rPr>
          <w:szCs w:val="21"/>
          <w:highlight w:val="none"/>
        </w:rPr>
      </w:pPr>
    </w:p>
    <w:p w14:paraId="42F8B342">
      <w:pPr>
        <w:pStyle w:val="257"/>
        <w:spacing w:before="48" w:after="48"/>
        <w:rPr>
          <w:szCs w:val="21"/>
          <w:highlight w:val="none"/>
        </w:rPr>
      </w:pPr>
      <w:r>
        <w:rPr>
          <w:szCs w:val="21"/>
          <w:highlight w:val="none"/>
        </w:rPr>
        <w:t>不拖欠</w:t>
      </w:r>
      <w:r>
        <w:rPr>
          <w:rFonts w:hint="eastAsia"/>
          <w:szCs w:val="21"/>
          <w:highlight w:val="none"/>
        </w:rPr>
        <w:t>农</w:t>
      </w:r>
      <w:r>
        <w:rPr>
          <w:szCs w:val="21"/>
          <w:highlight w:val="none"/>
        </w:rPr>
        <w:t>民工工资的承诺</w:t>
      </w:r>
    </w:p>
    <w:p w14:paraId="1B121865">
      <w:pPr>
        <w:pStyle w:val="257"/>
        <w:spacing w:before="48" w:after="48"/>
        <w:jc w:val="left"/>
        <w:rPr>
          <w:szCs w:val="21"/>
          <w:highlight w:val="none"/>
        </w:rPr>
      </w:pPr>
    </w:p>
    <w:p w14:paraId="75B5EED5">
      <w:pPr>
        <w:rPr>
          <w:highlight w:val="none"/>
        </w:rPr>
      </w:pPr>
    </w:p>
    <w:p w14:paraId="43448907">
      <w:pPr>
        <w:spacing w:line="360" w:lineRule="auto"/>
        <w:rPr>
          <w:highlight w:val="none"/>
        </w:rPr>
      </w:pPr>
      <w:r>
        <w:rPr>
          <w:bCs/>
          <w:highlight w:val="none"/>
        </w:rPr>
        <w:t>致：</w:t>
      </w:r>
      <w:r>
        <w:rPr>
          <w:highlight w:val="none"/>
        </w:rPr>
        <w:t xml:space="preserve">  </w:t>
      </w:r>
      <w:r>
        <w:rPr>
          <w:rFonts w:hint="eastAsia" w:ascii="Times New Roman" w:hAnsi="Times New Roman" w:eastAsia="宋体" w:cs="Times New Roman"/>
          <w:highlight w:val="none"/>
          <w:lang w:val="en-US" w:eastAsia="zh-CN"/>
        </w:rPr>
        <w:t>采购</w:t>
      </w:r>
      <w:r>
        <w:rPr>
          <w:highlight w:val="none"/>
        </w:rPr>
        <w:t>人</w:t>
      </w:r>
      <w:r>
        <w:rPr>
          <w:highlight w:val="none"/>
          <w:u w:val="single"/>
        </w:rPr>
        <w:t xml:space="preserve">                </w:t>
      </w:r>
      <w:r>
        <w:rPr>
          <w:highlight w:val="none"/>
        </w:rPr>
        <w:t xml:space="preserve"> </w:t>
      </w:r>
    </w:p>
    <w:p w14:paraId="5F57D9EB">
      <w:pPr>
        <w:spacing w:line="360" w:lineRule="auto"/>
        <w:ind w:firstLine="420"/>
        <w:rPr>
          <w:highlight w:val="none"/>
        </w:rPr>
      </w:pPr>
      <w:r>
        <w:rPr>
          <w:highlight w:val="none"/>
        </w:rPr>
        <w:t>我方将对</w:t>
      </w:r>
      <w:r>
        <w:rPr>
          <w:highlight w:val="none"/>
          <w:u w:val="single"/>
        </w:rPr>
        <w:t xml:space="preserve">                </w:t>
      </w:r>
      <w:r>
        <w:rPr>
          <w:highlight w:val="none"/>
        </w:rPr>
        <w:t xml:space="preserve"> (合同编号：</w:t>
      </w:r>
      <w:r>
        <w:rPr>
          <w:highlight w:val="none"/>
          <w:u w:val="single"/>
        </w:rPr>
        <w:t xml:space="preserve">         </w:t>
      </w:r>
      <w:r>
        <w:rPr>
          <w:highlight w:val="none"/>
        </w:rPr>
        <w:t xml:space="preserve">  )进行投标。我方承诺：若我方中标，我方保证不拖欠农民工工资，并将结算价款的2％作为不拖欠农民工工资的保证金，由业主根据农民工工资的支付情况决定在下次工程款支付中是否支付。如违反承诺，我方同意你方直接从保证金中支付。</w:t>
      </w:r>
    </w:p>
    <w:p w14:paraId="270A9941">
      <w:pPr>
        <w:spacing w:line="360" w:lineRule="auto"/>
        <w:ind w:firstLine="2100"/>
        <w:jc w:val="right"/>
        <w:rPr>
          <w:highlight w:val="none"/>
        </w:rPr>
      </w:pPr>
      <w:bookmarkStart w:id="314" w:name="_Toc197050779"/>
      <w:r>
        <w:rPr>
          <w:highlight w:val="none"/>
        </w:rPr>
        <w:t>投标人：</w:t>
      </w:r>
      <w:r>
        <w:rPr>
          <w:highlight w:val="none"/>
          <w:u w:val="single"/>
        </w:rPr>
        <w:t xml:space="preserve">                            </w:t>
      </w:r>
      <w:r>
        <w:rPr>
          <w:highlight w:val="none"/>
        </w:rPr>
        <w:t>（盖单位章）</w:t>
      </w:r>
    </w:p>
    <w:p w14:paraId="4A1726BB">
      <w:pPr>
        <w:spacing w:line="360" w:lineRule="auto"/>
        <w:ind w:firstLine="2100"/>
        <w:jc w:val="right"/>
        <w:rPr>
          <w:highlight w:val="none"/>
        </w:rPr>
      </w:pPr>
      <w:r>
        <w:rPr>
          <w:highlight w:val="none"/>
        </w:rPr>
        <w:t>法定代表人（或委托代理人）：</w:t>
      </w:r>
      <w:r>
        <w:rPr>
          <w:highlight w:val="none"/>
          <w:u w:val="single"/>
        </w:rPr>
        <w:t xml:space="preserve">         </w:t>
      </w:r>
      <w:r>
        <w:rPr>
          <w:highlight w:val="none"/>
        </w:rPr>
        <w:t>（签名）</w:t>
      </w:r>
    </w:p>
    <w:p w14:paraId="68ACA787">
      <w:pPr>
        <w:spacing w:line="360" w:lineRule="auto"/>
        <w:ind w:firstLine="483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bookmarkEnd w:id="314"/>
    <w:p w14:paraId="655C20D3">
      <w:pPr>
        <w:ind w:right="420"/>
        <w:jc w:val="right"/>
        <w:rPr>
          <w:highlight w:val="none"/>
        </w:rPr>
      </w:pPr>
    </w:p>
    <w:p w14:paraId="560E4615">
      <w:pPr>
        <w:ind w:right="420"/>
        <w:jc w:val="center"/>
        <w:rPr>
          <w:highlight w:val="none"/>
        </w:rPr>
      </w:pPr>
    </w:p>
    <w:p w14:paraId="1BDB1F14">
      <w:pPr>
        <w:pStyle w:val="225"/>
        <w:rPr>
          <w:rFonts w:hint="eastAsia"/>
          <w:highlight w:val="none"/>
        </w:rPr>
      </w:pPr>
    </w:p>
    <w:p w14:paraId="0E5D9D13">
      <w:pPr>
        <w:rPr>
          <w:rFonts w:hint="eastAsia"/>
          <w:highlight w:val="none"/>
        </w:rPr>
      </w:pPr>
    </w:p>
    <w:p w14:paraId="6560A2F1">
      <w:pPr>
        <w:pStyle w:val="197"/>
        <w:rPr>
          <w:rFonts w:hint="eastAsia"/>
          <w:highlight w:val="none"/>
        </w:rPr>
      </w:pPr>
    </w:p>
    <w:p w14:paraId="7E804612">
      <w:pPr>
        <w:rPr>
          <w:rFonts w:hint="eastAsia"/>
          <w:highlight w:val="none"/>
        </w:rPr>
      </w:pPr>
    </w:p>
    <w:p w14:paraId="0BA95906">
      <w:pPr>
        <w:pStyle w:val="197"/>
        <w:rPr>
          <w:rFonts w:hint="eastAsia"/>
          <w:highlight w:val="none"/>
        </w:rPr>
      </w:pPr>
    </w:p>
    <w:p w14:paraId="58524DD9">
      <w:pPr>
        <w:rPr>
          <w:rFonts w:hint="eastAsia"/>
          <w:highlight w:val="none"/>
        </w:rPr>
      </w:pPr>
    </w:p>
    <w:p w14:paraId="5758E355">
      <w:pPr>
        <w:pStyle w:val="197"/>
        <w:rPr>
          <w:rFonts w:hint="eastAsia"/>
          <w:highlight w:val="none"/>
        </w:rPr>
      </w:pPr>
    </w:p>
    <w:p w14:paraId="2E20D0B6">
      <w:pPr>
        <w:rPr>
          <w:rFonts w:hint="eastAsia"/>
          <w:highlight w:val="none"/>
        </w:rPr>
      </w:pPr>
    </w:p>
    <w:p w14:paraId="56A19E1E">
      <w:pPr>
        <w:pStyle w:val="197"/>
        <w:rPr>
          <w:rFonts w:hint="eastAsia"/>
          <w:highlight w:val="none"/>
        </w:rPr>
      </w:pPr>
    </w:p>
    <w:p w14:paraId="21AC00FD">
      <w:pPr>
        <w:rPr>
          <w:rFonts w:hint="eastAsia"/>
          <w:highlight w:val="none"/>
        </w:rPr>
      </w:pPr>
    </w:p>
    <w:p w14:paraId="285B6D12">
      <w:pPr>
        <w:pStyle w:val="197"/>
        <w:rPr>
          <w:rFonts w:hint="eastAsia"/>
          <w:highlight w:val="none"/>
        </w:rPr>
      </w:pPr>
    </w:p>
    <w:p w14:paraId="0B6905F7">
      <w:pPr>
        <w:rPr>
          <w:rFonts w:hint="eastAsia"/>
          <w:highlight w:val="none"/>
        </w:rPr>
      </w:pPr>
    </w:p>
    <w:p w14:paraId="49A45159">
      <w:pPr>
        <w:pStyle w:val="197"/>
        <w:rPr>
          <w:rFonts w:hint="eastAsia"/>
          <w:highlight w:val="none"/>
        </w:rPr>
      </w:pPr>
    </w:p>
    <w:p w14:paraId="4406ADFA">
      <w:pPr>
        <w:rPr>
          <w:rFonts w:hint="eastAsia"/>
          <w:highlight w:val="none"/>
        </w:rPr>
      </w:pPr>
    </w:p>
    <w:p w14:paraId="455B9F51">
      <w:pPr>
        <w:pStyle w:val="197"/>
        <w:rPr>
          <w:rFonts w:hint="eastAsia"/>
          <w:highlight w:val="none"/>
        </w:rPr>
      </w:pPr>
    </w:p>
    <w:p w14:paraId="7C737593">
      <w:pPr>
        <w:rPr>
          <w:rFonts w:hint="eastAsia"/>
          <w:highlight w:val="none"/>
        </w:rPr>
      </w:pPr>
    </w:p>
    <w:p w14:paraId="3EA96F66">
      <w:pPr>
        <w:pStyle w:val="197"/>
        <w:rPr>
          <w:rFonts w:hint="eastAsia"/>
          <w:highlight w:val="none"/>
        </w:rPr>
      </w:pPr>
    </w:p>
    <w:p w14:paraId="3AA1AF1A">
      <w:pPr>
        <w:rPr>
          <w:rFonts w:hint="eastAsia"/>
          <w:highlight w:val="none"/>
        </w:rPr>
      </w:pPr>
    </w:p>
    <w:p w14:paraId="42772B7E">
      <w:pPr>
        <w:pStyle w:val="197"/>
        <w:rPr>
          <w:rFonts w:hint="eastAsia"/>
          <w:highlight w:val="none"/>
        </w:rPr>
      </w:pPr>
    </w:p>
    <w:p w14:paraId="70E35875">
      <w:pPr>
        <w:rPr>
          <w:rFonts w:hint="eastAsia"/>
          <w:highlight w:val="none"/>
        </w:rPr>
      </w:pPr>
    </w:p>
    <w:p w14:paraId="42A6EAF9">
      <w:pPr>
        <w:rPr>
          <w:rFonts w:hint="eastAsia"/>
          <w:highlight w:val="none"/>
        </w:rPr>
      </w:pPr>
    </w:p>
    <w:bookmarkEnd w:id="129"/>
    <w:p w14:paraId="01450933">
      <w:pPr>
        <w:rPr>
          <w:rFonts w:hint="eastAsia"/>
          <w:highlight w:val="none"/>
        </w:rPr>
      </w:pPr>
      <w:bookmarkStart w:id="315" w:name="_Toc22241"/>
      <w:r>
        <w:rPr>
          <w:rFonts w:hint="eastAsia"/>
          <w:highlight w:val="none"/>
        </w:rPr>
        <w:br w:type="page"/>
      </w:r>
    </w:p>
    <w:p w14:paraId="4D2C9D0B">
      <w:pPr>
        <w:pStyle w:val="225"/>
        <w:numPr>
          <w:ilvl w:val="0"/>
          <w:numId w:val="10"/>
        </w:numPr>
        <w:rPr>
          <w:rFonts w:hint="eastAsia"/>
          <w:highlight w:val="none"/>
        </w:rPr>
      </w:pPr>
      <w:r>
        <w:rPr>
          <w:rFonts w:hint="eastAsia"/>
          <w:highlight w:val="none"/>
        </w:rPr>
        <w:t>项目需求</w:t>
      </w:r>
      <w:bookmarkEnd w:id="315"/>
    </w:p>
    <w:p w14:paraId="080B8394">
      <w:pPr>
        <w:rPr>
          <w:highlight w:val="none"/>
        </w:rPr>
      </w:pPr>
    </w:p>
    <w:p w14:paraId="0F107B4B">
      <w:pPr>
        <w:numPr>
          <w:ilvl w:val="0"/>
          <w:numId w:val="0"/>
        </w:numPr>
        <w:spacing w:line="360" w:lineRule="auto"/>
        <w:outlineLvl w:val="0"/>
        <w:rPr>
          <w:rFonts w:eastAsia="黑体"/>
          <w:sz w:val="28"/>
          <w:szCs w:val="28"/>
          <w:highlight w:val="none"/>
        </w:rPr>
      </w:pPr>
      <w:r>
        <w:rPr>
          <w:rFonts w:hint="eastAsia" w:ascii="Times New Roman" w:hAnsi="Times New Roman" w:eastAsia="黑体" w:cs="Times New Roman"/>
          <w:sz w:val="28"/>
          <w:szCs w:val="28"/>
          <w:highlight w:val="none"/>
          <w:lang w:val="en-US" w:eastAsia="zh-CN" w:bidi="ar-SA"/>
        </w:rPr>
        <w:t>一、</w:t>
      </w:r>
      <w:r>
        <w:rPr>
          <w:rFonts w:hint="eastAsia" w:eastAsia="黑体"/>
          <w:sz w:val="28"/>
          <w:szCs w:val="28"/>
          <w:highlight w:val="none"/>
        </w:rPr>
        <w:t>工程概况及实施内容</w:t>
      </w:r>
    </w:p>
    <w:p w14:paraId="78DCEF3E">
      <w:pPr>
        <w:tabs>
          <w:tab w:val="left" w:pos="-360"/>
          <w:tab w:val="left" w:pos="720"/>
        </w:tabs>
        <w:spacing w:line="360" w:lineRule="auto"/>
        <w:ind w:firstLine="48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为有效强化禁渔执法监管后勤保障，不断提升渔政执法监管能力，切实打好长江十年禁渔攻坚战、持久战，拟对泰州市长江禁捕执法基地内港池进出口（宽度为10米）进行拓宽作业，使进出口总宽度达到18米，并对港池内进行局部清淤疏浚作业，以保障执法船艇、泵船等船舶安全进出港池，确保长江禁捕各项执法行动顺利开展。（具体工作内容详见图纸</w:t>
      </w:r>
      <w:r>
        <w:rPr>
          <w:rFonts w:hint="eastAsia" w:cs="Times New Roman"/>
          <w:sz w:val="24"/>
          <w:highlight w:val="none"/>
          <w:lang w:val="en-US" w:eastAsia="zh-CN"/>
        </w:rPr>
        <w:t>及工程量清单</w:t>
      </w:r>
      <w:r>
        <w:rPr>
          <w:rFonts w:hint="eastAsia" w:ascii="Times New Roman" w:hAnsi="Times New Roman" w:eastAsia="宋体" w:cs="Times New Roman"/>
          <w:sz w:val="24"/>
          <w:highlight w:val="none"/>
          <w:lang w:val="en-US" w:eastAsia="zh-CN"/>
        </w:rPr>
        <w:t>）。</w:t>
      </w:r>
    </w:p>
    <w:p w14:paraId="6FD5E5FA">
      <w:pPr>
        <w:spacing w:line="360" w:lineRule="auto"/>
        <w:outlineLvl w:val="0"/>
        <w:rPr>
          <w:rFonts w:hint="eastAsia" w:eastAsia="黑体"/>
          <w:sz w:val="28"/>
          <w:szCs w:val="28"/>
          <w:highlight w:val="none"/>
        </w:rPr>
      </w:pPr>
      <w:r>
        <w:rPr>
          <w:rFonts w:hint="eastAsia" w:eastAsia="黑体"/>
          <w:sz w:val="28"/>
          <w:szCs w:val="28"/>
          <w:highlight w:val="none"/>
        </w:rPr>
        <w:t>二、工期</w:t>
      </w:r>
    </w:p>
    <w:p w14:paraId="505B4C4E">
      <w:pPr>
        <w:spacing w:line="360" w:lineRule="auto"/>
        <w:ind w:firstLine="480"/>
        <w:outlineLvl w:val="0"/>
        <w:rPr>
          <w:rFonts w:hint="eastAsia" w:ascii="Times New Roman" w:hAnsi="Times New Roman" w:eastAsia="宋体" w:cs="Times New Roman"/>
          <w:sz w:val="24"/>
          <w:highlight w:val="none"/>
        </w:rPr>
      </w:pPr>
      <w:r>
        <w:rPr>
          <w:rFonts w:hint="eastAsia" w:cs="Times New Roman"/>
          <w:sz w:val="24"/>
          <w:highlight w:val="none"/>
          <w:lang w:val="en-US" w:eastAsia="zh-CN"/>
        </w:rPr>
        <w:t>50日</w:t>
      </w:r>
      <w:r>
        <w:rPr>
          <w:rFonts w:hint="eastAsia" w:ascii="Times New Roman" w:hAnsi="Times New Roman" w:eastAsia="宋体" w:cs="Times New Roman"/>
          <w:sz w:val="24"/>
          <w:highlight w:val="none"/>
        </w:rPr>
        <w:t>历天。</w:t>
      </w:r>
    </w:p>
    <w:p w14:paraId="2C454B2F">
      <w:pPr>
        <w:numPr>
          <w:ilvl w:val="0"/>
          <w:numId w:val="0"/>
        </w:numPr>
        <w:spacing w:line="360" w:lineRule="auto"/>
        <w:ind w:left="0" w:leftChars="0" w:firstLine="0" w:firstLineChars="0"/>
        <w:outlineLvl w:val="0"/>
        <w:rPr>
          <w:rFonts w:hint="eastAsia" w:eastAsia="黑体"/>
          <w:sz w:val="28"/>
          <w:szCs w:val="28"/>
          <w:highlight w:val="none"/>
        </w:rPr>
      </w:pPr>
      <w:r>
        <w:rPr>
          <w:rFonts w:hint="eastAsia" w:eastAsia="黑体" w:cs="Times New Roman"/>
          <w:sz w:val="28"/>
          <w:szCs w:val="28"/>
          <w:highlight w:val="none"/>
          <w:lang w:val="en-US" w:eastAsia="zh-CN" w:bidi="ar-SA"/>
        </w:rPr>
        <w:t>三</w:t>
      </w:r>
      <w:r>
        <w:rPr>
          <w:rFonts w:hint="eastAsia" w:ascii="Times New Roman" w:hAnsi="Times New Roman" w:eastAsia="黑体" w:cs="Times New Roman"/>
          <w:sz w:val="28"/>
          <w:szCs w:val="28"/>
          <w:highlight w:val="none"/>
          <w:lang w:val="en-US" w:eastAsia="zh-CN" w:bidi="ar-SA"/>
        </w:rPr>
        <w:t>、</w:t>
      </w:r>
      <w:r>
        <w:rPr>
          <w:rFonts w:hint="eastAsia" w:eastAsia="黑体"/>
          <w:sz w:val="28"/>
          <w:szCs w:val="28"/>
          <w:highlight w:val="none"/>
        </w:rPr>
        <w:t>付款方式</w:t>
      </w:r>
    </w:p>
    <w:p w14:paraId="2F21A6F8">
      <w:pPr>
        <w:numPr>
          <w:ilvl w:val="0"/>
          <w:numId w:val="0"/>
        </w:numPr>
        <w:spacing w:line="360" w:lineRule="auto"/>
        <w:ind w:left="0" w:leftChars="0" w:firstLine="480" w:firstLineChars="200"/>
        <w:outlineLvl w:val="0"/>
        <w:rPr>
          <w:rFonts w:hint="eastAsia" w:eastAsia="黑体"/>
          <w:sz w:val="28"/>
          <w:szCs w:val="28"/>
          <w:highlight w:val="none"/>
        </w:rPr>
      </w:pPr>
      <w:r>
        <w:rPr>
          <w:rFonts w:hint="eastAsia" w:ascii="宋体" w:hAnsi="宋体"/>
          <w:sz w:val="24"/>
          <w:szCs w:val="28"/>
          <w:highlight w:val="none"/>
        </w:rPr>
        <w:t>合同生效后预付</w:t>
      </w:r>
      <w:r>
        <w:rPr>
          <w:rFonts w:hint="eastAsia" w:ascii="宋体" w:hAnsi="宋体"/>
          <w:sz w:val="24"/>
          <w:szCs w:val="28"/>
          <w:highlight w:val="none"/>
          <w:lang w:val="en-US" w:eastAsia="zh-CN"/>
        </w:rPr>
        <w:t>10</w:t>
      </w:r>
      <w:r>
        <w:rPr>
          <w:rFonts w:hint="eastAsia" w:ascii="宋体" w:hAnsi="宋体"/>
          <w:sz w:val="24"/>
          <w:szCs w:val="28"/>
          <w:highlight w:val="none"/>
        </w:rPr>
        <w:t>%的合同价款，</w:t>
      </w:r>
      <w:r>
        <w:rPr>
          <w:rFonts w:hint="eastAsia" w:ascii="宋体" w:hAnsi="宋体"/>
          <w:sz w:val="24"/>
          <w:szCs w:val="28"/>
          <w:highlight w:val="none"/>
          <w:lang w:val="en-US" w:eastAsia="zh-CN"/>
        </w:rPr>
        <w:t>工程进度过半后根据合格工程形象支付合同价的40%，</w:t>
      </w:r>
      <w:r>
        <w:rPr>
          <w:rFonts w:hint="eastAsia" w:ascii="宋体" w:hAnsi="宋体" w:cs="宋体"/>
          <w:sz w:val="24"/>
          <w:highlight w:val="none"/>
        </w:rPr>
        <w:t>工程</w:t>
      </w:r>
      <w:r>
        <w:rPr>
          <w:rFonts w:hint="eastAsia" w:ascii="宋体" w:hAnsi="宋体" w:cs="宋体"/>
          <w:sz w:val="24"/>
          <w:highlight w:val="none"/>
          <w:lang w:val="en-US" w:eastAsia="zh-CN"/>
        </w:rPr>
        <w:t>竣工</w:t>
      </w:r>
      <w:r>
        <w:rPr>
          <w:rFonts w:hint="eastAsia" w:ascii="宋体" w:hAnsi="宋体" w:cs="宋体"/>
          <w:sz w:val="24"/>
          <w:highlight w:val="none"/>
        </w:rPr>
        <w:t>验收</w:t>
      </w:r>
      <w:r>
        <w:rPr>
          <w:rFonts w:hint="eastAsia" w:ascii="宋体" w:hAnsi="宋体" w:cs="宋体"/>
          <w:sz w:val="24"/>
          <w:highlight w:val="none"/>
          <w:lang w:val="en-US" w:eastAsia="zh-CN"/>
        </w:rPr>
        <w:t>经</w:t>
      </w:r>
      <w:r>
        <w:rPr>
          <w:rFonts w:hint="eastAsia" w:ascii="宋体" w:hAnsi="宋体" w:cs="宋体"/>
          <w:sz w:val="24"/>
          <w:highlight w:val="none"/>
        </w:rPr>
        <w:t>审计后付至审计结算价的97%，工程质量缺陷责任期满后一个月内付清余款</w:t>
      </w:r>
      <w:r>
        <w:rPr>
          <w:rFonts w:hint="eastAsia" w:ascii="宋体" w:hAnsi="宋体" w:cs="宋体"/>
          <w:sz w:val="24"/>
          <w:highlight w:val="none"/>
          <w:lang w:eastAsia="zh-CN"/>
        </w:rPr>
        <w:t>。</w:t>
      </w:r>
    </w:p>
    <w:p w14:paraId="7D4CBCBD">
      <w:pPr>
        <w:pStyle w:val="197"/>
        <w:rPr>
          <w:rFonts w:hint="eastAsia"/>
          <w:highlight w:val="none"/>
        </w:rPr>
      </w:pPr>
      <w:r>
        <w:rPr>
          <w:highlight w:val="none"/>
        </w:rPr>
        <w:br w:type="page" w:clear="all"/>
      </w:r>
    </w:p>
    <w:p w14:paraId="0AAF3969">
      <w:pPr>
        <w:pStyle w:val="225"/>
        <w:rPr>
          <w:rFonts w:hint="eastAsia"/>
          <w:highlight w:val="none"/>
        </w:rPr>
      </w:pPr>
      <w:bookmarkStart w:id="316" w:name="br1_4"/>
      <w:bookmarkEnd w:id="316"/>
      <w:bookmarkStart w:id="317" w:name="_Toc13097"/>
      <w:r>
        <w:rPr>
          <w:rFonts w:hint="eastAsia"/>
          <w:highlight w:val="none"/>
        </w:rPr>
        <w:t>第五章 评审方法和评审标准</w:t>
      </w:r>
      <w:bookmarkEnd w:id="317"/>
    </w:p>
    <w:p w14:paraId="66D75748">
      <w:pPr>
        <w:tabs>
          <w:tab w:val="left" w:pos="-360"/>
          <w:tab w:val="left" w:pos="720"/>
        </w:tabs>
        <w:spacing w:line="520" w:lineRule="exact"/>
        <w:ind w:firstLine="480"/>
        <w:rPr>
          <w:rFonts w:hint="eastAsia" w:ascii="宋体" w:hAnsi="宋体"/>
          <w:sz w:val="24"/>
          <w:szCs w:val="28"/>
          <w:highlight w:val="none"/>
        </w:rPr>
      </w:pPr>
      <w:r>
        <w:rPr>
          <w:rFonts w:hint="eastAsia" w:ascii="宋体" w:hAnsi="宋体"/>
          <w:sz w:val="24"/>
          <w:szCs w:val="28"/>
          <w:highlight w:val="none"/>
        </w:rPr>
        <w:t>一、本项目评标由评标委员会依据招标文件的有关规定进行。评标委员会由</w:t>
      </w:r>
      <w:r>
        <w:rPr>
          <w:rFonts w:hint="eastAsia" w:ascii="宋体" w:hAnsi="宋体"/>
          <w:sz w:val="24"/>
          <w:highlight w:val="none"/>
          <w:lang w:val="en-US" w:eastAsia="zh-CN"/>
        </w:rPr>
        <w:t>采购</w:t>
      </w:r>
      <w:r>
        <w:rPr>
          <w:rFonts w:hint="eastAsia" w:ascii="宋体" w:hAnsi="宋体"/>
          <w:sz w:val="24"/>
          <w:szCs w:val="28"/>
          <w:highlight w:val="none"/>
        </w:rPr>
        <w:t>人和有关专家组成，人数为三人（含）以上的单数。经评标委员会初步确认为无效的投标文件不参加详细评审，经初步评审合格的投标文件依据招标文件的规定按下列评标标准和方法进行评审，总</w:t>
      </w:r>
      <w:r>
        <w:rPr>
          <w:rFonts w:ascii="宋体" w:hAnsi="宋体"/>
          <w:sz w:val="24"/>
          <w:szCs w:val="28"/>
          <w:highlight w:val="none"/>
        </w:rPr>
        <w:t>分</w:t>
      </w:r>
      <w:r>
        <w:rPr>
          <w:rFonts w:hint="eastAsia" w:ascii="宋体" w:hAnsi="宋体"/>
          <w:sz w:val="24"/>
          <w:szCs w:val="28"/>
          <w:highlight w:val="none"/>
        </w:rPr>
        <w:t>100分。</w:t>
      </w:r>
    </w:p>
    <w:p w14:paraId="2CEE6082">
      <w:pPr>
        <w:spacing w:line="500" w:lineRule="exact"/>
        <w:ind w:firstLine="210"/>
        <w:jc w:val="center"/>
        <w:rPr>
          <w:rFonts w:hint="eastAsia" w:ascii="宋体" w:hAnsi="宋体"/>
          <w:sz w:val="24"/>
          <w:szCs w:val="28"/>
          <w:highlight w:val="none"/>
        </w:rPr>
      </w:pPr>
      <w:r>
        <w:rPr>
          <w:rFonts w:hint="eastAsia" w:ascii="宋体" w:hAnsi="宋体"/>
          <w:szCs w:val="22"/>
          <w:highlight w:val="none"/>
        </w:rPr>
        <w:t>评标办法前附表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9"/>
        <w:gridCol w:w="597"/>
        <w:gridCol w:w="104"/>
        <w:gridCol w:w="2407"/>
        <w:gridCol w:w="5547"/>
      </w:tblGrid>
      <w:tr w14:paraId="7325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440" w:type="dxa"/>
            <w:gridSpan w:val="3"/>
            <w:noWrap w:val="0"/>
            <w:vAlign w:val="center"/>
          </w:tcPr>
          <w:p w14:paraId="7FA554C1">
            <w:pPr>
              <w:jc w:val="center"/>
              <w:rPr>
                <w:rFonts w:ascii="宋体"/>
                <w:szCs w:val="22"/>
                <w:highlight w:val="none"/>
              </w:rPr>
            </w:pPr>
            <w:r>
              <w:rPr>
                <w:rFonts w:hint="eastAsia" w:ascii="宋体" w:hAnsi="宋体"/>
                <w:szCs w:val="22"/>
                <w:highlight w:val="none"/>
              </w:rPr>
              <w:t>条款号</w:t>
            </w:r>
          </w:p>
        </w:tc>
        <w:tc>
          <w:tcPr>
            <w:tcW w:w="2407" w:type="dxa"/>
            <w:noWrap w:val="0"/>
            <w:vAlign w:val="center"/>
          </w:tcPr>
          <w:p w14:paraId="1B29FCAD">
            <w:pPr>
              <w:jc w:val="center"/>
              <w:rPr>
                <w:rFonts w:ascii="宋体"/>
                <w:szCs w:val="22"/>
                <w:highlight w:val="none"/>
              </w:rPr>
            </w:pPr>
            <w:r>
              <w:rPr>
                <w:rFonts w:hint="eastAsia" w:ascii="宋体" w:hAnsi="宋体"/>
                <w:szCs w:val="22"/>
                <w:highlight w:val="none"/>
              </w:rPr>
              <w:t>评审因素</w:t>
            </w:r>
          </w:p>
        </w:tc>
        <w:tc>
          <w:tcPr>
            <w:tcW w:w="5547" w:type="dxa"/>
            <w:noWrap w:val="0"/>
            <w:vAlign w:val="center"/>
          </w:tcPr>
          <w:p w14:paraId="2F5E124E">
            <w:pPr>
              <w:jc w:val="center"/>
              <w:rPr>
                <w:rFonts w:ascii="宋体"/>
                <w:szCs w:val="22"/>
                <w:highlight w:val="none"/>
              </w:rPr>
            </w:pPr>
            <w:r>
              <w:rPr>
                <w:rFonts w:hint="eastAsia" w:ascii="宋体" w:hAnsi="宋体"/>
                <w:szCs w:val="22"/>
                <w:highlight w:val="none"/>
              </w:rPr>
              <w:t>评审标准</w:t>
            </w:r>
          </w:p>
        </w:tc>
      </w:tr>
      <w:tr w14:paraId="05BC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9394" w:type="dxa"/>
            <w:gridSpan w:val="5"/>
            <w:noWrap w:val="0"/>
            <w:vAlign w:val="center"/>
          </w:tcPr>
          <w:p w14:paraId="42B71FC6">
            <w:pPr>
              <w:jc w:val="center"/>
              <w:rPr>
                <w:rFonts w:ascii="宋体"/>
                <w:szCs w:val="22"/>
                <w:highlight w:val="none"/>
              </w:rPr>
            </w:pPr>
            <w:r>
              <w:rPr>
                <w:rFonts w:hint="eastAsia" w:ascii="宋体" w:hAnsi="宋体"/>
                <w:szCs w:val="22"/>
                <w:highlight w:val="none"/>
              </w:rPr>
              <w:t>投标文件初审</w:t>
            </w:r>
          </w:p>
        </w:tc>
      </w:tr>
      <w:tr w14:paraId="1CEE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739" w:type="dxa"/>
            <w:vMerge w:val="restart"/>
            <w:noWrap w:val="0"/>
            <w:vAlign w:val="center"/>
          </w:tcPr>
          <w:p w14:paraId="7E950F77">
            <w:pPr>
              <w:jc w:val="center"/>
              <w:rPr>
                <w:rFonts w:ascii="宋体" w:hAnsi="宋体"/>
                <w:szCs w:val="22"/>
                <w:highlight w:val="none"/>
              </w:rPr>
            </w:pPr>
            <w:r>
              <w:rPr>
                <w:rFonts w:ascii="宋体" w:hAnsi="宋体"/>
                <w:szCs w:val="22"/>
                <w:highlight w:val="none"/>
              </w:rPr>
              <w:t>2.1.1</w:t>
            </w:r>
          </w:p>
        </w:tc>
        <w:tc>
          <w:tcPr>
            <w:tcW w:w="597" w:type="dxa"/>
            <w:vMerge w:val="restart"/>
            <w:noWrap w:val="0"/>
            <w:vAlign w:val="center"/>
          </w:tcPr>
          <w:p w14:paraId="4E85BFFC">
            <w:pPr>
              <w:jc w:val="center"/>
              <w:rPr>
                <w:rFonts w:ascii="宋体"/>
                <w:szCs w:val="22"/>
                <w:highlight w:val="none"/>
              </w:rPr>
            </w:pPr>
            <w:r>
              <w:rPr>
                <w:rFonts w:hint="eastAsia" w:ascii="宋体" w:hAnsi="宋体"/>
                <w:szCs w:val="22"/>
                <w:highlight w:val="none"/>
              </w:rPr>
              <w:t>资</w:t>
            </w:r>
          </w:p>
          <w:p w14:paraId="1C607A41">
            <w:pPr>
              <w:jc w:val="center"/>
              <w:rPr>
                <w:rFonts w:ascii="宋体"/>
                <w:szCs w:val="22"/>
                <w:highlight w:val="none"/>
              </w:rPr>
            </w:pPr>
            <w:r>
              <w:rPr>
                <w:rFonts w:hint="eastAsia" w:ascii="宋体" w:hAnsi="宋体"/>
                <w:szCs w:val="22"/>
                <w:highlight w:val="none"/>
              </w:rPr>
              <w:t>格</w:t>
            </w:r>
          </w:p>
          <w:p w14:paraId="593CFEFD">
            <w:pPr>
              <w:jc w:val="center"/>
              <w:rPr>
                <w:rFonts w:ascii="宋体"/>
                <w:szCs w:val="22"/>
                <w:highlight w:val="none"/>
              </w:rPr>
            </w:pPr>
            <w:r>
              <w:rPr>
                <w:rFonts w:hint="eastAsia" w:ascii="宋体" w:hAnsi="宋体"/>
                <w:szCs w:val="22"/>
                <w:highlight w:val="none"/>
              </w:rPr>
              <w:t>性</w:t>
            </w:r>
          </w:p>
          <w:p w14:paraId="6AD1C1C8">
            <w:pPr>
              <w:jc w:val="center"/>
              <w:rPr>
                <w:rFonts w:ascii="宋体"/>
                <w:szCs w:val="22"/>
                <w:highlight w:val="none"/>
              </w:rPr>
            </w:pPr>
            <w:r>
              <w:rPr>
                <w:rFonts w:hint="eastAsia" w:ascii="宋体" w:hAnsi="宋体"/>
                <w:szCs w:val="22"/>
                <w:highlight w:val="none"/>
              </w:rPr>
              <w:t>检</w:t>
            </w:r>
          </w:p>
          <w:p w14:paraId="445C9BA3">
            <w:pPr>
              <w:jc w:val="center"/>
              <w:rPr>
                <w:rFonts w:ascii="宋体"/>
                <w:szCs w:val="22"/>
                <w:highlight w:val="none"/>
              </w:rPr>
            </w:pPr>
            <w:r>
              <w:rPr>
                <w:rFonts w:hint="eastAsia" w:ascii="宋体" w:hAnsi="宋体"/>
                <w:szCs w:val="22"/>
                <w:highlight w:val="none"/>
              </w:rPr>
              <w:t>查</w:t>
            </w:r>
          </w:p>
        </w:tc>
        <w:tc>
          <w:tcPr>
            <w:tcW w:w="2511" w:type="dxa"/>
            <w:gridSpan w:val="2"/>
            <w:noWrap w:val="0"/>
            <w:vAlign w:val="center"/>
          </w:tcPr>
          <w:p w14:paraId="6F6DD552">
            <w:pPr>
              <w:spacing w:line="360" w:lineRule="auto"/>
              <w:jc w:val="left"/>
              <w:rPr>
                <w:rFonts w:ascii="宋体"/>
                <w:szCs w:val="22"/>
                <w:highlight w:val="none"/>
              </w:rPr>
            </w:pPr>
            <w:r>
              <w:rPr>
                <w:rFonts w:hint="eastAsia" w:ascii="宋体" w:hAnsi="宋体"/>
                <w:szCs w:val="22"/>
                <w:highlight w:val="none"/>
              </w:rPr>
              <w:t>具有独立承担民事责任的能力</w:t>
            </w:r>
          </w:p>
        </w:tc>
        <w:tc>
          <w:tcPr>
            <w:tcW w:w="5547" w:type="dxa"/>
            <w:noWrap w:val="0"/>
            <w:vAlign w:val="center"/>
          </w:tcPr>
          <w:p w14:paraId="2B4CA658">
            <w:pPr>
              <w:spacing w:line="360" w:lineRule="auto"/>
              <w:jc w:val="left"/>
              <w:rPr>
                <w:rFonts w:ascii="宋体"/>
                <w:szCs w:val="22"/>
                <w:highlight w:val="none"/>
              </w:rPr>
            </w:pPr>
            <w:r>
              <w:rPr>
                <w:rFonts w:hint="eastAsia" w:ascii="宋体" w:hAnsi="宋体"/>
                <w:szCs w:val="22"/>
                <w:highlight w:val="none"/>
              </w:rPr>
              <w:t>具备有效的营业执照，且名称与投标人名称一致；</w:t>
            </w:r>
          </w:p>
        </w:tc>
      </w:tr>
      <w:tr w14:paraId="0667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6" w:hRule="atLeast"/>
          <w:jc w:val="center"/>
        </w:trPr>
        <w:tc>
          <w:tcPr>
            <w:tcW w:w="739" w:type="dxa"/>
            <w:vMerge w:val="continue"/>
            <w:noWrap w:val="0"/>
            <w:vAlign w:val="center"/>
          </w:tcPr>
          <w:p w14:paraId="501E6C0D">
            <w:pPr>
              <w:jc w:val="center"/>
              <w:rPr>
                <w:rFonts w:ascii="宋体"/>
                <w:szCs w:val="22"/>
                <w:highlight w:val="none"/>
              </w:rPr>
            </w:pPr>
          </w:p>
        </w:tc>
        <w:tc>
          <w:tcPr>
            <w:tcW w:w="597" w:type="dxa"/>
            <w:vMerge w:val="continue"/>
            <w:noWrap w:val="0"/>
            <w:vAlign w:val="center"/>
          </w:tcPr>
          <w:p w14:paraId="759529EC">
            <w:pPr>
              <w:jc w:val="left"/>
              <w:rPr>
                <w:rFonts w:ascii="宋体"/>
                <w:szCs w:val="22"/>
                <w:highlight w:val="none"/>
              </w:rPr>
            </w:pPr>
          </w:p>
        </w:tc>
        <w:tc>
          <w:tcPr>
            <w:tcW w:w="2511" w:type="dxa"/>
            <w:gridSpan w:val="2"/>
            <w:noWrap w:val="0"/>
            <w:vAlign w:val="center"/>
          </w:tcPr>
          <w:p w14:paraId="529DA8B8">
            <w:pPr>
              <w:spacing w:line="360" w:lineRule="auto"/>
              <w:jc w:val="left"/>
              <w:rPr>
                <w:rFonts w:ascii="宋体"/>
                <w:szCs w:val="22"/>
                <w:highlight w:val="none"/>
              </w:rPr>
            </w:pPr>
            <w:r>
              <w:rPr>
                <w:rFonts w:hint="eastAsia" w:ascii="宋体" w:hAnsi="宋体"/>
                <w:szCs w:val="22"/>
                <w:highlight w:val="none"/>
              </w:rPr>
              <w:t>具有良好的商业信誉和健全的财务会计制度</w:t>
            </w:r>
          </w:p>
        </w:tc>
        <w:tc>
          <w:tcPr>
            <w:tcW w:w="5547" w:type="dxa"/>
            <w:noWrap w:val="0"/>
            <w:vAlign w:val="center"/>
          </w:tcPr>
          <w:p w14:paraId="1ED665E2">
            <w:pPr>
              <w:spacing w:line="360" w:lineRule="auto"/>
              <w:jc w:val="left"/>
              <w:rPr>
                <w:rFonts w:hint="eastAsia" w:ascii="宋体" w:hAnsi="宋体"/>
                <w:szCs w:val="22"/>
                <w:highlight w:val="none"/>
              </w:rPr>
            </w:pPr>
            <w:r>
              <w:rPr>
                <w:rFonts w:hint="eastAsia" w:ascii="宋体" w:hAnsi="宋体"/>
                <w:szCs w:val="22"/>
                <w:highlight w:val="none"/>
              </w:rPr>
              <w:t>供应商应具备健全的财务会计制度，已通过《国家企业信用信息公示系统》完成相应年度企业年报的申报，且企业未处于经营异常状态，供应商须提供最近的财务报告或会计报表。</w:t>
            </w:r>
          </w:p>
          <w:p w14:paraId="1A51DD14">
            <w:pPr>
              <w:spacing w:line="360" w:lineRule="auto"/>
              <w:jc w:val="left"/>
              <w:rPr>
                <w:rFonts w:hint="eastAsia" w:ascii="宋体"/>
                <w:szCs w:val="22"/>
                <w:highlight w:val="none"/>
              </w:rPr>
            </w:pPr>
            <w:r>
              <w:rPr>
                <w:rFonts w:hint="eastAsia" w:ascii="宋体" w:hAnsi="宋体"/>
                <w:szCs w:val="22"/>
                <w:highlight w:val="none"/>
              </w:rPr>
              <w:t>注：成立时间至提交响应文件截止时间不足一年的企业可提供成立后任意时段的资产负债表。</w:t>
            </w:r>
          </w:p>
        </w:tc>
      </w:tr>
      <w:tr w14:paraId="389E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2" w:hRule="atLeast"/>
          <w:jc w:val="center"/>
        </w:trPr>
        <w:tc>
          <w:tcPr>
            <w:tcW w:w="739" w:type="dxa"/>
            <w:vMerge w:val="continue"/>
            <w:noWrap w:val="0"/>
            <w:vAlign w:val="center"/>
          </w:tcPr>
          <w:p w14:paraId="2CE6CC62">
            <w:pPr>
              <w:jc w:val="center"/>
              <w:rPr>
                <w:rFonts w:ascii="宋体"/>
                <w:szCs w:val="22"/>
                <w:highlight w:val="none"/>
              </w:rPr>
            </w:pPr>
          </w:p>
        </w:tc>
        <w:tc>
          <w:tcPr>
            <w:tcW w:w="597" w:type="dxa"/>
            <w:vMerge w:val="continue"/>
            <w:noWrap w:val="0"/>
            <w:vAlign w:val="center"/>
          </w:tcPr>
          <w:p w14:paraId="4294C067">
            <w:pPr>
              <w:jc w:val="left"/>
              <w:rPr>
                <w:rFonts w:ascii="宋体"/>
                <w:szCs w:val="22"/>
                <w:highlight w:val="none"/>
              </w:rPr>
            </w:pPr>
          </w:p>
        </w:tc>
        <w:tc>
          <w:tcPr>
            <w:tcW w:w="2511" w:type="dxa"/>
            <w:gridSpan w:val="2"/>
            <w:noWrap w:val="0"/>
            <w:vAlign w:val="center"/>
          </w:tcPr>
          <w:p w14:paraId="6829840E">
            <w:pPr>
              <w:spacing w:line="360" w:lineRule="auto"/>
              <w:jc w:val="left"/>
              <w:rPr>
                <w:rFonts w:ascii="宋体"/>
                <w:szCs w:val="22"/>
                <w:highlight w:val="none"/>
              </w:rPr>
            </w:pPr>
            <w:r>
              <w:rPr>
                <w:rFonts w:hint="eastAsia" w:ascii="宋体" w:hAnsi="宋体"/>
                <w:szCs w:val="22"/>
                <w:highlight w:val="none"/>
              </w:rPr>
              <w:t>有依法缴纳税收和社会保障金的良好记录</w:t>
            </w:r>
          </w:p>
        </w:tc>
        <w:tc>
          <w:tcPr>
            <w:tcW w:w="5547" w:type="dxa"/>
            <w:noWrap w:val="0"/>
            <w:vAlign w:val="center"/>
          </w:tcPr>
          <w:p w14:paraId="6974272B">
            <w:pPr>
              <w:spacing w:line="360" w:lineRule="auto"/>
              <w:jc w:val="left"/>
              <w:rPr>
                <w:rFonts w:hint="eastAsia" w:ascii="宋体"/>
                <w:szCs w:val="22"/>
                <w:highlight w:val="none"/>
              </w:rPr>
            </w:pPr>
            <w:r>
              <w:rPr>
                <w:rFonts w:ascii="宋体" w:hAnsi="宋体"/>
                <w:szCs w:val="22"/>
                <w:highlight w:val="none"/>
              </w:rPr>
              <w:t>1</w:t>
            </w:r>
            <w:r>
              <w:rPr>
                <w:rFonts w:hint="eastAsia" w:ascii="宋体" w:hAnsi="宋体"/>
                <w:szCs w:val="22"/>
                <w:highlight w:val="none"/>
              </w:rPr>
              <w:t>、提供参加政府采购活动前一段时间内</w:t>
            </w:r>
            <w:r>
              <w:rPr>
                <w:rFonts w:hint="eastAsia" w:ascii="宋体" w:hAnsi="宋体"/>
                <w:b/>
                <w:szCs w:val="22"/>
                <w:highlight w:val="none"/>
              </w:rPr>
              <w:t>（近半年内任意一个月份，不含磋商当月）</w:t>
            </w:r>
            <w:r>
              <w:rPr>
                <w:rFonts w:hint="eastAsia" w:ascii="宋体" w:hAnsi="宋体"/>
                <w:szCs w:val="22"/>
                <w:highlight w:val="none"/>
              </w:rPr>
              <w:t>缴纳税收的凭据，证明其依法缴纳税收。依法免税的单位应提供相关证明材料。</w:t>
            </w:r>
          </w:p>
          <w:p w14:paraId="4DF1E8DD">
            <w:pPr>
              <w:spacing w:line="360" w:lineRule="auto"/>
              <w:jc w:val="left"/>
              <w:rPr>
                <w:rFonts w:ascii="宋体"/>
                <w:szCs w:val="22"/>
                <w:highlight w:val="none"/>
              </w:rPr>
            </w:pPr>
            <w:r>
              <w:rPr>
                <w:rFonts w:ascii="宋体" w:hAnsi="宋体"/>
                <w:szCs w:val="22"/>
                <w:highlight w:val="none"/>
              </w:rPr>
              <w:t>2</w:t>
            </w:r>
            <w:r>
              <w:rPr>
                <w:rFonts w:hint="eastAsia" w:ascii="宋体" w:hAnsi="宋体" w:cs="宋体"/>
                <w:szCs w:val="22"/>
                <w:highlight w:val="none"/>
              </w:rPr>
              <w:t>、提供参加政府采购活动前一段时间内</w:t>
            </w:r>
            <w:r>
              <w:rPr>
                <w:rFonts w:hint="eastAsia" w:ascii="宋体" w:hAnsi="宋体"/>
                <w:b/>
                <w:szCs w:val="22"/>
                <w:highlight w:val="none"/>
              </w:rPr>
              <w:t>（近半年内任意一个月份，不含磋商当月）</w:t>
            </w:r>
            <w:r>
              <w:rPr>
                <w:rFonts w:hint="eastAsia" w:ascii="宋体" w:hAnsi="宋体" w:cs="宋体"/>
                <w:szCs w:val="22"/>
                <w:highlight w:val="none"/>
              </w:rPr>
              <w:t>缴纳社会保险的凭据（专用收据或社会保险缴纳清单），证明其依法缴纳社会保障金。</w:t>
            </w:r>
          </w:p>
        </w:tc>
      </w:tr>
      <w:tr w14:paraId="272C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739" w:type="dxa"/>
            <w:vMerge w:val="continue"/>
            <w:noWrap w:val="0"/>
            <w:vAlign w:val="center"/>
          </w:tcPr>
          <w:p w14:paraId="7C487184">
            <w:pPr>
              <w:jc w:val="center"/>
              <w:rPr>
                <w:rFonts w:ascii="宋体"/>
                <w:szCs w:val="22"/>
                <w:highlight w:val="none"/>
              </w:rPr>
            </w:pPr>
          </w:p>
        </w:tc>
        <w:tc>
          <w:tcPr>
            <w:tcW w:w="597" w:type="dxa"/>
            <w:vMerge w:val="continue"/>
            <w:noWrap w:val="0"/>
            <w:vAlign w:val="center"/>
          </w:tcPr>
          <w:p w14:paraId="23B2B040">
            <w:pPr>
              <w:jc w:val="left"/>
              <w:rPr>
                <w:rFonts w:ascii="宋体"/>
                <w:szCs w:val="22"/>
                <w:highlight w:val="none"/>
              </w:rPr>
            </w:pPr>
          </w:p>
        </w:tc>
        <w:tc>
          <w:tcPr>
            <w:tcW w:w="2511" w:type="dxa"/>
            <w:gridSpan w:val="2"/>
            <w:noWrap w:val="0"/>
            <w:vAlign w:val="center"/>
          </w:tcPr>
          <w:p w14:paraId="0C7A7862">
            <w:pPr>
              <w:spacing w:line="360" w:lineRule="auto"/>
              <w:jc w:val="left"/>
              <w:rPr>
                <w:rFonts w:ascii="宋体"/>
                <w:szCs w:val="22"/>
                <w:highlight w:val="none"/>
              </w:rPr>
            </w:pPr>
            <w:r>
              <w:rPr>
                <w:rFonts w:hint="eastAsia" w:ascii="宋体" w:hAnsi="宋体"/>
                <w:szCs w:val="22"/>
                <w:highlight w:val="none"/>
              </w:rPr>
              <w:t>参加政府采购活动近三年内，在经营活动中没有重大违法记录的书面声明</w:t>
            </w:r>
          </w:p>
        </w:tc>
        <w:tc>
          <w:tcPr>
            <w:tcW w:w="5547" w:type="dxa"/>
            <w:noWrap w:val="0"/>
            <w:vAlign w:val="center"/>
          </w:tcPr>
          <w:p w14:paraId="39C2665F">
            <w:pPr>
              <w:spacing w:line="360" w:lineRule="auto"/>
              <w:jc w:val="left"/>
              <w:rPr>
                <w:rFonts w:ascii="宋体"/>
                <w:szCs w:val="22"/>
                <w:highlight w:val="none"/>
              </w:rPr>
            </w:pPr>
            <w:r>
              <w:rPr>
                <w:rFonts w:hint="eastAsia" w:ascii="宋体" w:hAnsi="宋体"/>
                <w:szCs w:val="22"/>
                <w:highlight w:val="none"/>
              </w:rPr>
              <w:t>参加本项目准备活动前三年内，未因违法经营受到刑事处罚或者责令停产停业、吊销许可证或者执照、较大数额罚款等行政处罚</w:t>
            </w:r>
          </w:p>
        </w:tc>
      </w:tr>
      <w:tr w14:paraId="7694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39" w:type="dxa"/>
            <w:vMerge w:val="continue"/>
            <w:noWrap w:val="0"/>
            <w:vAlign w:val="center"/>
          </w:tcPr>
          <w:p w14:paraId="79FC9924">
            <w:pPr>
              <w:jc w:val="left"/>
              <w:rPr>
                <w:rFonts w:ascii="宋体"/>
                <w:szCs w:val="22"/>
                <w:highlight w:val="none"/>
              </w:rPr>
            </w:pPr>
          </w:p>
        </w:tc>
        <w:tc>
          <w:tcPr>
            <w:tcW w:w="597" w:type="dxa"/>
            <w:vMerge w:val="continue"/>
            <w:noWrap w:val="0"/>
            <w:vAlign w:val="center"/>
          </w:tcPr>
          <w:p w14:paraId="0F695378">
            <w:pPr>
              <w:jc w:val="left"/>
              <w:rPr>
                <w:rFonts w:ascii="宋体"/>
                <w:szCs w:val="22"/>
                <w:highlight w:val="none"/>
              </w:rPr>
            </w:pPr>
          </w:p>
        </w:tc>
        <w:tc>
          <w:tcPr>
            <w:tcW w:w="2511" w:type="dxa"/>
            <w:gridSpan w:val="2"/>
            <w:noWrap w:val="0"/>
            <w:vAlign w:val="center"/>
          </w:tcPr>
          <w:p w14:paraId="54595680">
            <w:pPr>
              <w:spacing w:line="360" w:lineRule="auto"/>
              <w:jc w:val="left"/>
              <w:rPr>
                <w:rFonts w:ascii="宋体"/>
                <w:szCs w:val="22"/>
                <w:highlight w:val="none"/>
              </w:rPr>
            </w:pPr>
            <w:r>
              <w:rPr>
                <w:rFonts w:hint="eastAsia" w:ascii="宋体" w:hAnsi="宋体" w:eastAsia="宋体" w:cs="Times New Roman"/>
                <w:szCs w:val="22"/>
                <w:highlight w:val="none"/>
                <w:lang w:val="en-US" w:eastAsia="zh-CN"/>
              </w:rPr>
              <w:t>采购</w:t>
            </w:r>
            <w:r>
              <w:rPr>
                <w:rFonts w:hint="eastAsia" w:ascii="宋体" w:hAnsi="宋体" w:eastAsia="宋体" w:cs="Times New Roman"/>
                <w:szCs w:val="22"/>
                <w:highlight w:val="none"/>
              </w:rPr>
              <w:t>人</w:t>
            </w:r>
            <w:r>
              <w:rPr>
                <w:rFonts w:hint="eastAsia" w:ascii="宋体" w:hAnsi="宋体"/>
                <w:szCs w:val="22"/>
                <w:highlight w:val="none"/>
              </w:rPr>
              <w:t>根据本项目特点，要求投标人具备的特定条件</w:t>
            </w:r>
          </w:p>
        </w:tc>
        <w:tc>
          <w:tcPr>
            <w:tcW w:w="5547" w:type="dxa"/>
            <w:noWrap w:val="0"/>
            <w:vAlign w:val="center"/>
          </w:tcPr>
          <w:p w14:paraId="0B81BAD7">
            <w:pPr>
              <w:spacing w:line="360" w:lineRule="auto"/>
              <w:jc w:val="left"/>
              <w:rPr>
                <w:rFonts w:ascii="宋体" w:cs="宋体"/>
                <w:bCs/>
                <w:szCs w:val="22"/>
                <w:highlight w:val="none"/>
              </w:rPr>
            </w:pPr>
            <w:r>
              <w:rPr>
                <w:rFonts w:hint="eastAsia" w:ascii="宋体" w:hAnsi="宋体"/>
                <w:szCs w:val="22"/>
                <w:highlight w:val="none"/>
              </w:rPr>
              <w:t>符合第二章“投标人须知”第</w:t>
            </w:r>
            <w:r>
              <w:rPr>
                <w:rFonts w:ascii="宋体" w:hAnsi="宋体"/>
                <w:szCs w:val="22"/>
                <w:highlight w:val="none"/>
              </w:rPr>
              <w:t>1.4</w:t>
            </w:r>
            <w:r>
              <w:rPr>
                <w:rFonts w:hint="eastAsia" w:ascii="宋体" w:hAnsi="宋体"/>
                <w:szCs w:val="22"/>
                <w:highlight w:val="none"/>
              </w:rPr>
              <w:t>.2项规定</w:t>
            </w:r>
          </w:p>
        </w:tc>
      </w:tr>
      <w:tr w14:paraId="7EFF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39" w:type="dxa"/>
            <w:vMerge w:val="continue"/>
            <w:noWrap w:val="0"/>
            <w:vAlign w:val="center"/>
          </w:tcPr>
          <w:p w14:paraId="259A4BF1">
            <w:pPr>
              <w:jc w:val="left"/>
              <w:rPr>
                <w:rFonts w:ascii="宋体"/>
                <w:szCs w:val="22"/>
                <w:highlight w:val="none"/>
              </w:rPr>
            </w:pPr>
          </w:p>
        </w:tc>
        <w:tc>
          <w:tcPr>
            <w:tcW w:w="597" w:type="dxa"/>
            <w:vMerge w:val="continue"/>
            <w:noWrap w:val="0"/>
            <w:vAlign w:val="center"/>
          </w:tcPr>
          <w:p w14:paraId="0E0A5460">
            <w:pPr>
              <w:jc w:val="left"/>
              <w:rPr>
                <w:rFonts w:ascii="宋体"/>
                <w:szCs w:val="22"/>
                <w:highlight w:val="none"/>
              </w:rPr>
            </w:pPr>
          </w:p>
        </w:tc>
        <w:tc>
          <w:tcPr>
            <w:tcW w:w="2511" w:type="dxa"/>
            <w:gridSpan w:val="2"/>
            <w:noWrap w:val="0"/>
            <w:vAlign w:val="center"/>
          </w:tcPr>
          <w:p w14:paraId="68463DCF">
            <w:pPr>
              <w:spacing w:line="360" w:lineRule="auto"/>
              <w:jc w:val="left"/>
              <w:rPr>
                <w:rFonts w:hint="eastAsia" w:ascii="宋体" w:hAnsi="宋体"/>
                <w:szCs w:val="22"/>
                <w:highlight w:val="none"/>
              </w:rPr>
            </w:pPr>
            <w:r>
              <w:rPr>
                <w:rFonts w:hint="eastAsia" w:ascii="宋体" w:hAnsi="宋体"/>
                <w:szCs w:val="22"/>
                <w:highlight w:val="none"/>
              </w:rPr>
              <w:t>中小企业声明函</w:t>
            </w:r>
          </w:p>
        </w:tc>
        <w:tc>
          <w:tcPr>
            <w:tcW w:w="5547" w:type="dxa"/>
            <w:noWrap w:val="0"/>
            <w:vAlign w:val="center"/>
          </w:tcPr>
          <w:p w14:paraId="01AE642E">
            <w:pPr>
              <w:spacing w:line="360" w:lineRule="auto"/>
              <w:jc w:val="left"/>
              <w:rPr>
                <w:rFonts w:hint="eastAsia" w:ascii="宋体" w:hAnsi="宋体"/>
                <w:szCs w:val="22"/>
                <w:highlight w:val="none"/>
              </w:rPr>
            </w:pPr>
            <w:r>
              <w:rPr>
                <w:rFonts w:hint="eastAsia" w:ascii="宋体" w:hAnsi="宋体"/>
                <w:szCs w:val="22"/>
                <w:highlight w:val="none"/>
              </w:rPr>
              <w:t>按要求填写中小企业声明函</w:t>
            </w:r>
          </w:p>
        </w:tc>
      </w:tr>
      <w:tr w14:paraId="1780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9394" w:type="dxa"/>
            <w:gridSpan w:val="5"/>
            <w:noWrap w:val="0"/>
            <w:vAlign w:val="center"/>
          </w:tcPr>
          <w:p w14:paraId="25EE230C">
            <w:pPr>
              <w:spacing w:line="360" w:lineRule="auto"/>
              <w:jc w:val="left"/>
              <w:rPr>
                <w:rFonts w:ascii="宋体"/>
                <w:b/>
                <w:szCs w:val="22"/>
                <w:highlight w:val="none"/>
              </w:rPr>
            </w:pPr>
            <w:r>
              <w:rPr>
                <w:rFonts w:ascii="宋体" w:hAnsi="宋体"/>
                <w:b/>
                <w:szCs w:val="22"/>
                <w:highlight w:val="none"/>
              </w:rPr>
              <w:t>2.1.1</w:t>
            </w:r>
            <w:r>
              <w:rPr>
                <w:rFonts w:hint="eastAsia" w:ascii="宋体" w:hAnsi="宋体"/>
                <w:b/>
                <w:szCs w:val="22"/>
                <w:highlight w:val="none"/>
              </w:rPr>
              <w:t>项评审内容由采购人负责，投标文件不符合</w:t>
            </w:r>
            <w:r>
              <w:rPr>
                <w:rFonts w:ascii="宋体" w:hAnsi="宋体"/>
                <w:b/>
                <w:szCs w:val="22"/>
                <w:highlight w:val="none"/>
              </w:rPr>
              <w:t>2.1.1</w:t>
            </w:r>
            <w:r>
              <w:rPr>
                <w:rFonts w:hint="eastAsia" w:ascii="宋体" w:hAnsi="宋体"/>
                <w:b/>
                <w:szCs w:val="22"/>
                <w:highlight w:val="none"/>
              </w:rPr>
              <w:t>项评审标准的，作无效标处理。</w:t>
            </w:r>
          </w:p>
        </w:tc>
      </w:tr>
      <w:tr w14:paraId="3AC6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739" w:type="dxa"/>
            <w:vMerge w:val="restart"/>
            <w:noWrap w:val="0"/>
            <w:vAlign w:val="center"/>
          </w:tcPr>
          <w:p w14:paraId="5D92A7B5">
            <w:pPr>
              <w:jc w:val="center"/>
              <w:rPr>
                <w:rFonts w:ascii="宋体" w:hAnsi="宋体"/>
                <w:szCs w:val="22"/>
                <w:highlight w:val="none"/>
              </w:rPr>
            </w:pPr>
            <w:r>
              <w:rPr>
                <w:rFonts w:ascii="宋体" w:hAnsi="宋体"/>
                <w:szCs w:val="22"/>
                <w:highlight w:val="none"/>
              </w:rPr>
              <w:t>2.1.2</w:t>
            </w:r>
          </w:p>
        </w:tc>
        <w:tc>
          <w:tcPr>
            <w:tcW w:w="597" w:type="dxa"/>
            <w:vMerge w:val="restart"/>
            <w:noWrap w:val="0"/>
            <w:vAlign w:val="center"/>
          </w:tcPr>
          <w:p w14:paraId="42104872">
            <w:pPr>
              <w:jc w:val="center"/>
              <w:rPr>
                <w:rFonts w:ascii="宋体"/>
                <w:szCs w:val="22"/>
                <w:highlight w:val="none"/>
              </w:rPr>
            </w:pPr>
            <w:r>
              <w:rPr>
                <w:rFonts w:hint="eastAsia" w:ascii="宋体" w:hAnsi="宋体"/>
                <w:szCs w:val="22"/>
                <w:highlight w:val="none"/>
              </w:rPr>
              <w:t>符</w:t>
            </w:r>
          </w:p>
          <w:p w14:paraId="0AD62615">
            <w:pPr>
              <w:jc w:val="center"/>
              <w:rPr>
                <w:rFonts w:ascii="宋体"/>
                <w:szCs w:val="22"/>
                <w:highlight w:val="none"/>
              </w:rPr>
            </w:pPr>
            <w:r>
              <w:rPr>
                <w:rFonts w:hint="eastAsia" w:ascii="宋体" w:hAnsi="宋体"/>
                <w:szCs w:val="22"/>
                <w:highlight w:val="none"/>
              </w:rPr>
              <w:t>合</w:t>
            </w:r>
          </w:p>
          <w:p w14:paraId="4CDCA074">
            <w:pPr>
              <w:jc w:val="center"/>
              <w:rPr>
                <w:rFonts w:ascii="宋体"/>
                <w:szCs w:val="22"/>
                <w:highlight w:val="none"/>
              </w:rPr>
            </w:pPr>
            <w:r>
              <w:rPr>
                <w:rFonts w:hint="eastAsia" w:ascii="宋体" w:hAnsi="宋体"/>
                <w:szCs w:val="22"/>
                <w:highlight w:val="none"/>
              </w:rPr>
              <w:t>性</w:t>
            </w:r>
          </w:p>
          <w:p w14:paraId="430AAC3D">
            <w:pPr>
              <w:jc w:val="center"/>
              <w:rPr>
                <w:rFonts w:ascii="宋体"/>
                <w:szCs w:val="22"/>
                <w:highlight w:val="none"/>
              </w:rPr>
            </w:pPr>
            <w:r>
              <w:rPr>
                <w:rFonts w:hint="eastAsia" w:ascii="宋体" w:hAnsi="宋体"/>
                <w:szCs w:val="22"/>
                <w:highlight w:val="none"/>
              </w:rPr>
              <w:t>检</w:t>
            </w:r>
          </w:p>
          <w:p w14:paraId="65D7D0B4">
            <w:pPr>
              <w:jc w:val="center"/>
              <w:rPr>
                <w:rFonts w:ascii="宋体"/>
                <w:szCs w:val="22"/>
                <w:highlight w:val="none"/>
              </w:rPr>
            </w:pPr>
            <w:r>
              <w:rPr>
                <w:rFonts w:hint="eastAsia" w:ascii="宋体" w:hAnsi="宋体"/>
                <w:szCs w:val="22"/>
                <w:highlight w:val="none"/>
              </w:rPr>
              <w:t>查</w:t>
            </w:r>
          </w:p>
        </w:tc>
        <w:tc>
          <w:tcPr>
            <w:tcW w:w="2511" w:type="dxa"/>
            <w:gridSpan w:val="2"/>
            <w:noWrap w:val="0"/>
            <w:vAlign w:val="center"/>
          </w:tcPr>
          <w:p w14:paraId="63A79FD0">
            <w:pPr>
              <w:spacing w:line="360" w:lineRule="auto"/>
              <w:jc w:val="left"/>
              <w:rPr>
                <w:rFonts w:ascii="宋体"/>
                <w:szCs w:val="22"/>
                <w:highlight w:val="none"/>
              </w:rPr>
            </w:pPr>
            <w:r>
              <w:rPr>
                <w:rFonts w:hint="eastAsia" w:ascii="宋体" w:hAnsi="宋体"/>
                <w:szCs w:val="22"/>
                <w:highlight w:val="none"/>
              </w:rPr>
              <w:t>投标文件的签署</w:t>
            </w:r>
          </w:p>
        </w:tc>
        <w:tc>
          <w:tcPr>
            <w:tcW w:w="5547" w:type="dxa"/>
            <w:noWrap w:val="0"/>
            <w:vAlign w:val="center"/>
          </w:tcPr>
          <w:p w14:paraId="58DA142F">
            <w:pPr>
              <w:spacing w:line="360" w:lineRule="auto"/>
              <w:jc w:val="left"/>
              <w:rPr>
                <w:rFonts w:hint="eastAsia" w:ascii="宋体"/>
                <w:b/>
                <w:szCs w:val="22"/>
                <w:highlight w:val="none"/>
              </w:rPr>
            </w:pPr>
            <w:r>
              <w:rPr>
                <w:rFonts w:hint="eastAsia" w:ascii="宋体" w:hAnsi="宋体"/>
                <w:szCs w:val="22"/>
                <w:highlight w:val="none"/>
              </w:rPr>
              <w:t>符合第二章“投标人须知”第二</w:t>
            </w:r>
            <w:r>
              <w:rPr>
                <w:rFonts w:ascii="宋体" w:hAnsi="宋体"/>
                <w:szCs w:val="22"/>
                <w:highlight w:val="none"/>
              </w:rPr>
              <w:t>项第</w:t>
            </w:r>
            <w:r>
              <w:rPr>
                <w:rFonts w:hint="eastAsia" w:ascii="宋体" w:hAnsi="宋体"/>
                <w:szCs w:val="22"/>
                <w:highlight w:val="none"/>
              </w:rPr>
              <w:t>1条规定</w:t>
            </w:r>
          </w:p>
        </w:tc>
      </w:tr>
      <w:tr w14:paraId="2CEE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739" w:type="dxa"/>
            <w:vMerge w:val="continue"/>
            <w:noWrap w:val="0"/>
            <w:vAlign w:val="center"/>
          </w:tcPr>
          <w:p w14:paraId="28BF57BC">
            <w:pPr>
              <w:jc w:val="center"/>
              <w:rPr>
                <w:rFonts w:ascii="宋体"/>
                <w:szCs w:val="22"/>
                <w:highlight w:val="none"/>
              </w:rPr>
            </w:pPr>
          </w:p>
        </w:tc>
        <w:tc>
          <w:tcPr>
            <w:tcW w:w="597" w:type="dxa"/>
            <w:vMerge w:val="continue"/>
            <w:noWrap w:val="0"/>
            <w:vAlign w:val="center"/>
          </w:tcPr>
          <w:p w14:paraId="10203390">
            <w:pPr>
              <w:jc w:val="left"/>
              <w:rPr>
                <w:rFonts w:ascii="宋体"/>
                <w:szCs w:val="22"/>
                <w:highlight w:val="none"/>
              </w:rPr>
            </w:pPr>
          </w:p>
        </w:tc>
        <w:tc>
          <w:tcPr>
            <w:tcW w:w="2511" w:type="dxa"/>
            <w:gridSpan w:val="2"/>
            <w:noWrap w:val="0"/>
            <w:vAlign w:val="center"/>
          </w:tcPr>
          <w:p w14:paraId="3FAFF515">
            <w:pPr>
              <w:spacing w:line="360" w:lineRule="auto"/>
              <w:jc w:val="left"/>
              <w:rPr>
                <w:rFonts w:ascii="宋体"/>
                <w:szCs w:val="22"/>
                <w:highlight w:val="none"/>
              </w:rPr>
            </w:pPr>
            <w:r>
              <w:rPr>
                <w:rFonts w:hint="eastAsia" w:ascii="宋体" w:hAnsi="宋体"/>
                <w:szCs w:val="22"/>
                <w:highlight w:val="none"/>
              </w:rPr>
              <w:t>投标内容</w:t>
            </w:r>
          </w:p>
        </w:tc>
        <w:tc>
          <w:tcPr>
            <w:tcW w:w="5547" w:type="dxa"/>
            <w:noWrap w:val="0"/>
            <w:vAlign w:val="center"/>
          </w:tcPr>
          <w:p w14:paraId="58A6796B">
            <w:pPr>
              <w:spacing w:line="360" w:lineRule="auto"/>
              <w:jc w:val="left"/>
              <w:rPr>
                <w:rFonts w:ascii="宋体"/>
                <w:szCs w:val="22"/>
                <w:highlight w:val="none"/>
              </w:rPr>
            </w:pPr>
            <w:r>
              <w:rPr>
                <w:rFonts w:hint="eastAsia" w:ascii="宋体" w:hAnsi="宋体"/>
                <w:szCs w:val="22"/>
                <w:highlight w:val="none"/>
              </w:rPr>
              <w:t>符合第二章“投标人须知”第</w:t>
            </w:r>
            <w:r>
              <w:rPr>
                <w:rFonts w:ascii="宋体" w:hAnsi="宋体"/>
                <w:szCs w:val="22"/>
                <w:highlight w:val="none"/>
              </w:rPr>
              <w:t>1.3</w:t>
            </w:r>
            <w:r>
              <w:rPr>
                <w:rFonts w:hint="eastAsia" w:ascii="宋体" w:hAnsi="宋体"/>
                <w:szCs w:val="22"/>
                <w:highlight w:val="none"/>
              </w:rPr>
              <w:t>项规定</w:t>
            </w:r>
          </w:p>
        </w:tc>
      </w:tr>
      <w:tr w14:paraId="5A27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noWrap w:val="0"/>
            <w:vAlign w:val="center"/>
          </w:tcPr>
          <w:p w14:paraId="2E4D3501">
            <w:pPr>
              <w:jc w:val="center"/>
              <w:rPr>
                <w:rFonts w:ascii="宋体"/>
                <w:szCs w:val="22"/>
                <w:highlight w:val="none"/>
              </w:rPr>
            </w:pPr>
          </w:p>
        </w:tc>
        <w:tc>
          <w:tcPr>
            <w:tcW w:w="597" w:type="dxa"/>
            <w:vMerge w:val="continue"/>
            <w:noWrap w:val="0"/>
            <w:vAlign w:val="center"/>
          </w:tcPr>
          <w:p w14:paraId="4B1AF9C6">
            <w:pPr>
              <w:jc w:val="left"/>
              <w:rPr>
                <w:rFonts w:ascii="宋体"/>
                <w:szCs w:val="22"/>
                <w:highlight w:val="none"/>
              </w:rPr>
            </w:pPr>
          </w:p>
        </w:tc>
        <w:tc>
          <w:tcPr>
            <w:tcW w:w="2511" w:type="dxa"/>
            <w:gridSpan w:val="2"/>
            <w:noWrap w:val="0"/>
            <w:vAlign w:val="center"/>
          </w:tcPr>
          <w:p w14:paraId="5ABBF37D">
            <w:pPr>
              <w:spacing w:line="360" w:lineRule="auto"/>
              <w:jc w:val="left"/>
              <w:rPr>
                <w:rFonts w:ascii="宋体"/>
                <w:szCs w:val="22"/>
                <w:highlight w:val="none"/>
              </w:rPr>
            </w:pPr>
            <w:r>
              <w:rPr>
                <w:rFonts w:hint="eastAsia" w:ascii="宋体" w:hAnsi="宋体"/>
                <w:szCs w:val="22"/>
                <w:highlight w:val="none"/>
              </w:rPr>
              <w:t>合同工期</w:t>
            </w:r>
          </w:p>
        </w:tc>
        <w:tc>
          <w:tcPr>
            <w:tcW w:w="5547" w:type="dxa"/>
            <w:noWrap w:val="0"/>
            <w:vAlign w:val="center"/>
          </w:tcPr>
          <w:p w14:paraId="57422898">
            <w:pPr>
              <w:spacing w:line="360" w:lineRule="auto"/>
              <w:jc w:val="left"/>
              <w:rPr>
                <w:rFonts w:ascii="宋体"/>
                <w:szCs w:val="22"/>
                <w:highlight w:val="none"/>
              </w:rPr>
            </w:pPr>
            <w:r>
              <w:rPr>
                <w:rFonts w:hint="eastAsia" w:ascii="宋体" w:hAnsi="宋体"/>
                <w:szCs w:val="22"/>
                <w:highlight w:val="none"/>
              </w:rPr>
              <w:t>符合招标文件要求</w:t>
            </w:r>
          </w:p>
        </w:tc>
      </w:tr>
      <w:tr w14:paraId="1F38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noWrap w:val="0"/>
            <w:vAlign w:val="center"/>
          </w:tcPr>
          <w:p w14:paraId="03EE9F19">
            <w:pPr>
              <w:jc w:val="center"/>
              <w:rPr>
                <w:rFonts w:ascii="宋体"/>
                <w:szCs w:val="22"/>
                <w:highlight w:val="none"/>
              </w:rPr>
            </w:pPr>
          </w:p>
        </w:tc>
        <w:tc>
          <w:tcPr>
            <w:tcW w:w="597" w:type="dxa"/>
            <w:vMerge w:val="continue"/>
            <w:noWrap w:val="0"/>
            <w:vAlign w:val="center"/>
          </w:tcPr>
          <w:p w14:paraId="4A447427">
            <w:pPr>
              <w:jc w:val="left"/>
              <w:rPr>
                <w:rFonts w:ascii="宋体"/>
                <w:szCs w:val="22"/>
                <w:highlight w:val="none"/>
              </w:rPr>
            </w:pPr>
          </w:p>
        </w:tc>
        <w:tc>
          <w:tcPr>
            <w:tcW w:w="2511" w:type="dxa"/>
            <w:gridSpan w:val="2"/>
            <w:noWrap w:val="0"/>
            <w:vAlign w:val="center"/>
          </w:tcPr>
          <w:p w14:paraId="68CA5AC5">
            <w:pPr>
              <w:spacing w:line="360" w:lineRule="auto"/>
              <w:jc w:val="left"/>
              <w:rPr>
                <w:rFonts w:ascii="宋体"/>
                <w:szCs w:val="22"/>
                <w:highlight w:val="none"/>
              </w:rPr>
            </w:pPr>
            <w:r>
              <w:rPr>
                <w:rFonts w:hint="eastAsia" w:ascii="宋体" w:hAnsi="宋体"/>
                <w:szCs w:val="22"/>
                <w:highlight w:val="none"/>
              </w:rPr>
              <w:t>报价</w:t>
            </w:r>
          </w:p>
        </w:tc>
        <w:tc>
          <w:tcPr>
            <w:tcW w:w="5547" w:type="dxa"/>
            <w:noWrap w:val="0"/>
            <w:vAlign w:val="center"/>
          </w:tcPr>
          <w:p w14:paraId="3630FB9B">
            <w:pPr>
              <w:spacing w:line="360" w:lineRule="auto"/>
              <w:jc w:val="left"/>
              <w:rPr>
                <w:rFonts w:ascii="宋体" w:hAnsi="宋体"/>
                <w:szCs w:val="22"/>
                <w:highlight w:val="none"/>
              </w:rPr>
            </w:pPr>
            <w:r>
              <w:rPr>
                <w:rFonts w:hint="eastAsia" w:ascii="宋体" w:hAnsi="宋体"/>
                <w:szCs w:val="22"/>
                <w:highlight w:val="none"/>
              </w:rPr>
              <w:t>有且只有一个有效报价；未超过采购预算；</w:t>
            </w:r>
            <w:r>
              <w:rPr>
                <w:rFonts w:ascii="宋体" w:hAnsi="宋体"/>
                <w:szCs w:val="22"/>
                <w:highlight w:val="none"/>
              </w:rPr>
              <w:t xml:space="preserve"> </w:t>
            </w:r>
          </w:p>
        </w:tc>
      </w:tr>
      <w:tr w14:paraId="467D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39" w:type="dxa"/>
            <w:vMerge w:val="continue"/>
            <w:noWrap w:val="0"/>
            <w:vAlign w:val="center"/>
          </w:tcPr>
          <w:p w14:paraId="1ACEBC2D">
            <w:pPr>
              <w:jc w:val="center"/>
              <w:rPr>
                <w:rFonts w:ascii="宋体"/>
                <w:szCs w:val="22"/>
                <w:highlight w:val="none"/>
              </w:rPr>
            </w:pPr>
          </w:p>
        </w:tc>
        <w:tc>
          <w:tcPr>
            <w:tcW w:w="597" w:type="dxa"/>
            <w:vMerge w:val="continue"/>
            <w:noWrap w:val="0"/>
            <w:vAlign w:val="center"/>
          </w:tcPr>
          <w:p w14:paraId="1D5208BB">
            <w:pPr>
              <w:jc w:val="left"/>
              <w:rPr>
                <w:rFonts w:ascii="宋体"/>
                <w:szCs w:val="22"/>
                <w:highlight w:val="none"/>
              </w:rPr>
            </w:pPr>
          </w:p>
        </w:tc>
        <w:tc>
          <w:tcPr>
            <w:tcW w:w="2511" w:type="dxa"/>
            <w:gridSpan w:val="2"/>
            <w:noWrap w:val="0"/>
            <w:vAlign w:val="center"/>
          </w:tcPr>
          <w:p w14:paraId="69561065">
            <w:pPr>
              <w:spacing w:line="360" w:lineRule="auto"/>
              <w:jc w:val="left"/>
              <w:rPr>
                <w:rFonts w:ascii="宋体"/>
                <w:szCs w:val="22"/>
                <w:highlight w:val="none"/>
              </w:rPr>
            </w:pPr>
            <w:r>
              <w:rPr>
                <w:rFonts w:hint="eastAsia" w:ascii="宋体" w:hAnsi="宋体"/>
                <w:szCs w:val="22"/>
                <w:highlight w:val="none"/>
              </w:rPr>
              <w:t>投标有效期</w:t>
            </w:r>
          </w:p>
        </w:tc>
        <w:tc>
          <w:tcPr>
            <w:tcW w:w="5547" w:type="dxa"/>
            <w:noWrap w:val="0"/>
            <w:vAlign w:val="center"/>
          </w:tcPr>
          <w:p w14:paraId="54FAB1FF">
            <w:pPr>
              <w:spacing w:line="360" w:lineRule="auto"/>
              <w:jc w:val="left"/>
              <w:rPr>
                <w:rFonts w:ascii="宋体"/>
                <w:szCs w:val="22"/>
                <w:highlight w:val="none"/>
              </w:rPr>
            </w:pPr>
            <w:r>
              <w:rPr>
                <w:rFonts w:hint="eastAsia" w:ascii="宋体" w:hAnsi="宋体"/>
                <w:szCs w:val="22"/>
                <w:highlight w:val="none"/>
              </w:rPr>
              <w:t>符合第二章“投标人须知”第4.1项规定</w:t>
            </w:r>
          </w:p>
        </w:tc>
      </w:tr>
      <w:tr w14:paraId="5552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739" w:type="dxa"/>
            <w:vMerge w:val="continue"/>
            <w:noWrap w:val="0"/>
            <w:vAlign w:val="center"/>
          </w:tcPr>
          <w:p w14:paraId="1C95335C">
            <w:pPr>
              <w:jc w:val="center"/>
              <w:rPr>
                <w:rFonts w:ascii="宋体"/>
                <w:szCs w:val="22"/>
                <w:highlight w:val="none"/>
              </w:rPr>
            </w:pPr>
          </w:p>
        </w:tc>
        <w:tc>
          <w:tcPr>
            <w:tcW w:w="597" w:type="dxa"/>
            <w:vMerge w:val="continue"/>
            <w:noWrap w:val="0"/>
            <w:vAlign w:val="center"/>
          </w:tcPr>
          <w:p w14:paraId="2FC69FF5">
            <w:pPr>
              <w:jc w:val="left"/>
              <w:rPr>
                <w:rFonts w:ascii="宋体"/>
                <w:szCs w:val="22"/>
                <w:highlight w:val="none"/>
              </w:rPr>
            </w:pPr>
          </w:p>
        </w:tc>
        <w:tc>
          <w:tcPr>
            <w:tcW w:w="2511" w:type="dxa"/>
            <w:gridSpan w:val="2"/>
            <w:noWrap w:val="0"/>
            <w:vAlign w:val="center"/>
          </w:tcPr>
          <w:p w14:paraId="7FAF6155">
            <w:pPr>
              <w:tabs>
                <w:tab w:val="left" w:pos="-1980"/>
                <w:tab w:val="left" w:pos="360"/>
              </w:tabs>
              <w:spacing w:line="360" w:lineRule="auto"/>
              <w:rPr>
                <w:rFonts w:hint="eastAsia" w:ascii="宋体" w:hAnsi="宋体"/>
                <w:szCs w:val="22"/>
                <w:highlight w:val="none"/>
              </w:rPr>
            </w:pPr>
            <w:r>
              <w:rPr>
                <w:rFonts w:hint="eastAsia" w:ascii="宋体" w:hAnsi="宋体"/>
                <w:szCs w:val="22"/>
                <w:highlight w:val="none"/>
              </w:rPr>
              <w:t>工程量清单</w:t>
            </w:r>
          </w:p>
        </w:tc>
        <w:tc>
          <w:tcPr>
            <w:tcW w:w="5547" w:type="dxa"/>
            <w:noWrap w:val="0"/>
            <w:vAlign w:val="center"/>
          </w:tcPr>
          <w:p w14:paraId="19DC5300">
            <w:pPr>
              <w:tabs>
                <w:tab w:val="left" w:pos="-1980"/>
                <w:tab w:val="left" w:pos="360"/>
              </w:tabs>
              <w:spacing w:line="360" w:lineRule="auto"/>
              <w:rPr>
                <w:rFonts w:hint="eastAsia" w:ascii="宋体" w:hAnsi="宋体"/>
                <w:szCs w:val="22"/>
                <w:highlight w:val="none"/>
              </w:rPr>
            </w:pPr>
            <w:r>
              <w:rPr>
                <w:rFonts w:hint="eastAsia" w:ascii="宋体" w:hAnsi="宋体"/>
                <w:szCs w:val="22"/>
                <w:highlight w:val="none"/>
              </w:rPr>
              <w:t>投标工程量清单实质性改变招标文件工程量清单中项目名称、计量单位和工程数量的</w:t>
            </w:r>
          </w:p>
        </w:tc>
      </w:tr>
      <w:tr w14:paraId="3BB7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394" w:type="dxa"/>
            <w:gridSpan w:val="5"/>
            <w:noWrap w:val="0"/>
            <w:vAlign w:val="center"/>
          </w:tcPr>
          <w:p w14:paraId="3D91A01B">
            <w:pPr>
              <w:jc w:val="left"/>
              <w:rPr>
                <w:rFonts w:ascii="宋体"/>
                <w:szCs w:val="21"/>
                <w:highlight w:val="none"/>
              </w:rPr>
            </w:pPr>
            <w:r>
              <w:rPr>
                <w:rFonts w:ascii="宋体" w:hAnsi="宋体"/>
                <w:b/>
                <w:szCs w:val="21"/>
                <w:highlight w:val="none"/>
              </w:rPr>
              <w:t>2.1.2</w:t>
            </w:r>
            <w:r>
              <w:rPr>
                <w:rFonts w:hint="eastAsia" w:ascii="宋体" w:hAnsi="宋体"/>
                <w:b/>
                <w:szCs w:val="21"/>
                <w:highlight w:val="none"/>
              </w:rPr>
              <w:t>项评审内容由评标委员会负责，投标文件不符合</w:t>
            </w:r>
            <w:r>
              <w:rPr>
                <w:rFonts w:ascii="宋体" w:hAnsi="宋体"/>
                <w:b/>
                <w:szCs w:val="21"/>
                <w:highlight w:val="none"/>
              </w:rPr>
              <w:t>2.1.2</w:t>
            </w:r>
            <w:r>
              <w:rPr>
                <w:rFonts w:hint="eastAsia" w:ascii="宋体" w:hAnsi="宋体"/>
                <w:b/>
                <w:szCs w:val="21"/>
                <w:highlight w:val="none"/>
              </w:rPr>
              <w:t>项评审标准的，作无效标处理。</w:t>
            </w:r>
          </w:p>
        </w:tc>
      </w:tr>
    </w:tbl>
    <w:p w14:paraId="4221F93A">
      <w:pPr>
        <w:spacing w:line="360" w:lineRule="auto"/>
        <w:jc w:val="center"/>
        <w:rPr>
          <w:rFonts w:hint="eastAsia" w:ascii="宋体" w:hAnsi="宋体"/>
          <w:b/>
          <w:sz w:val="28"/>
          <w:szCs w:val="28"/>
          <w:highlight w:val="none"/>
        </w:rPr>
      </w:pPr>
    </w:p>
    <w:p w14:paraId="64066ECF">
      <w:pPr>
        <w:pStyle w:val="197"/>
        <w:rPr>
          <w:rFonts w:hint="eastAsia"/>
          <w:highlight w:val="none"/>
        </w:rPr>
      </w:pPr>
    </w:p>
    <w:p w14:paraId="765DB956">
      <w:pPr>
        <w:rPr>
          <w:rFonts w:hint="eastAsia"/>
          <w:highlight w:val="none"/>
        </w:rPr>
      </w:pPr>
    </w:p>
    <w:p w14:paraId="5BEF2371">
      <w:pPr>
        <w:pStyle w:val="197"/>
        <w:rPr>
          <w:rFonts w:hint="eastAsia"/>
          <w:highlight w:val="none"/>
        </w:rPr>
      </w:pPr>
    </w:p>
    <w:p w14:paraId="14AED8A7">
      <w:pPr>
        <w:rPr>
          <w:rFonts w:hint="eastAsia"/>
          <w:highlight w:val="none"/>
        </w:rPr>
      </w:pPr>
    </w:p>
    <w:p w14:paraId="7E406B6D">
      <w:pPr>
        <w:pStyle w:val="197"/>
        <w:rPr>
          <w:rFonts w:hint="eastAsia"/>
          <w:highlight w:val="none"/>
        </w:rPr>
      </w:pPr>
    </w:p>
    <w:p w14:paraId="0D7F5D0A">
      <w:pPr>
        <w:rPr>
          <w:rFonts w:hint="eastAsia"/>
          <w:highlight w:val="none"/>
        </w:rPr>
      </w:pPr>
    </w:p>
    <w:p w14:paraId="04E96F2E">
      <w:pPr>
        <w:rPr>
          <w:rFonts w:hint="eastAsia"/>
          <w:highlight w:val="none"/>
        </w:rPr>
      </w:pPr>
    </w:p>
    <w:p w14:paraId="35A53F29">
      <w:pPr>
        <w:rPr>
          <w:rFonts w:hint="eastAsia"/>
          <w:highlight w:val="none"/>
        </w:rPr>
      </w:pPr>
    </w:p>
    <w:p w14:paraId="475C55E8">
      <w:pPr>
        <w:rPr>
          <w:rFonts w:hint="eastAsia"/>
          <w:highlight w:val="none"/>
        </w:rPr>
      </w:pPr>
    </w:p>
    <w:p w14:paraId="615A7FB2">
      <w:pPr>
        <w:spacing w:line="360" w:lineRule="auto"/>
        <w:jc w:val="center"/>
        <w:rPr>
          <w:rFonts w:hint="eastAsia" w:ascii="宋体" w:hAnsi="宋体"/>
          <w:b/>
          <w:sz w:val="28"/>
          <w:szCs w:val="28"/>
          <w:highlight w:val="none"/>
        </w:rPr>
      </w:pPr>
    </w:p>
    <w:p w14:paraId="5E77883B">
      <w:pPr>
        <w:spacing w:line="360" w:lineRule="auto"/>
        <w:jc w:val="center"/>
        <w:rPr>
          <w:rFonts w:hint="eastAsia" w:ascii="宋体" w:hAnsi="宋体"/>
          <w:b/>
          <w:sz w:val="28"/>
          <w:szCs w:val="28"/>
          <w:highlight w:val="none"/>
        </w:rPr>
      </w:pPr>
      <w:r>
        <w:rPr>
          <w:rFonts w:hint="eastAsia" w:ascii="宋体" w:hAnsi="宋体"/>
          <w:b/>
          <w:sz w:val="28"/>
          <w:szCs w:val="28"/>
          <w:highlight w:val="none"/>
        </w:rPr>
        <w:br w:type="page" w:clear="all"/>
      </w:r>
      <w:r>
        <w:rPr>
          <w:rFonts w:hint="eastAsia" w:ascii="宋体" w:hAnsi="宋体"/>
          <w:b/>
          <w:sz w:val="28"/>
          <w:szCs w:val="28"/>
          <w:highlight w:val="none"/>
        </w:rPr>
        <w:t>评标办法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99"/>
        <w:gridCol w:w="1299"/>
        <w:gridCol w:w="6452"/>
      </w:tblGrid>
      <w:tr w14:paraId="1A13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7" w:type="dxa"/>
            <w:noWrap w:val="0"/>
            <w:tcMar>
              <w:top w:w="0" w:type="dxa"/>
              <w:left w:w="108" w:type="dxa"/>
              <w:bottom w:w="0" w:type="dxa"/>
              <w:right w:w="108" w:type="dxa"/>
            </w:tcMar>
            <w:vAlign w:val="center"/>
          </w:tcPr>
          <w:p w14:paraId="16181EDD">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b/>
                <w:color w:val="000000"/>
                <w:sz w:val="21"/>
                <w:highlight w:val="none"/>
              </w:rPr>
              <w:t>序号</w:t>
            </w:r>
          </w:p>
        </w:tc>
        <w:tc>
          <w:tcPr>
            <w:tcW w:w="1299" w:type="dxa"/>
            <w:noWrap w:val="0"/>
            <w:tcMar>
              <w:top w:w="0" w:type="dxa"/>
              <w:left w:w="108" w:type="dxa"/>
              <w:bottom w:w="0" w:type="dxa"/>
              <w:right w:w="108" w:type="dxa"/>
            </w:tcMar>
            <w:vAlign w:val="center"/>
          </w:tcPr>
          <w:p w14:paraId="20865F8A">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b/>
                <w:color w:val="000000"/>
                <w:sz w:val="21"/>
                <w:highlight w:val="none"/>
              </w:rPr>
              <w:t>得分组成</w:t>
            </w:r>
          </w:p>
        </w:tc>
        <w:tc>
          <w:tcPr>
            <w:tcW w:w="1299" w:type="dxa"/>
            <w:noWrap w:val="0"/>
            <w:tcMar>
              <w:top w:w="0" w:type="dxa"/>
              <w:left w:w="108" w:type="dxa"/>
              <w:bottom w:w="0" w:type="dxa"/>
              <w:right w:w="108" w:type="dxa"/>
            </w:tcMar>
            <w:vAlign w:val="center"/>
          </w:tcPr>
          <w:p w14:paraId="18E7A5DB">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b/>
                <w:color w:val="000000"/>
                <w:sz w:val="21"/>
                <w:highlight w:val="none"/>
              </w:rPr>
              <w:t>评分标准</w:t>
            </w:r>
          </w:p>
          <w:p w14:paraId="582C2D1C">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b/>
                <w:color w:val="000000"/>
                <w:sz w:val="21"/>
                <w:highlight w:val="none"/>
              </w:rPr>
              <w:t>内容</w:t>
            </w:r>
          </w:p>
        </w:tc>
        <w:tc>
          <w:tcPr>
            <w:tcW w:w="6452" w:type="dxa"/>
            <w:noWrap w:val="0"/>
            <w:tcMar>
              <w:top w:w="0" w:type="dxa"/>
              <w:left w:w="108" w:type="dxa"/>
              <w:bottom w:w="0" w:type="dxa"/>
              <w:right w:w="108" w:type="dxa"/>
            </w:tcMar>
            <w:vAlign w:val="center"/>
          </w:tcPr>
          <w:p w14:paraId="05B96899">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b/>
                <w:color w:val="000000"/>
                <w:sz w:val="21"/>
                <w:highlight w:val="none"/>
              </w:rPr>
              <w:t>评分标准</w:t>
            </w:r>
          </w:p>
        </w:tc>
      </w:tr>
      <w:tr w14:paraId="0AE4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427" w:type="dxa"/>
            <w:noWrap w:val="0"/>
            <w:tcMar>
              <w:top w:w="0" w:type="dxa"/>
              <w:left w:w="108" w:type="dxa"/>
              <w:bottom w:w="0" w:type="dxa"/>
              <w:right w:w="108" w:type="dxa"/>
            </w:tcMar>
            <w:vAlign w:val="center"/>
          </w:tcPr>
          <w:p w14:paraId="52777043">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1</w:t>
            </w:r>
          </w:p>
        </w:tc>
        <w:tc>
          <w:tcPr>
            <w:tcW w:w="1299" w:type="dxa"/>
            <w:noWrap w:val="0"/>
            <w:tcMar>
              <w:top w:w="0" w:type="dxa"/>
              <w:left w:w="108" w:type="dxa"/>
              <w:bottom w:w="0" w:type="dxa"/>
              <w:right w:w="108" w:type="dxa"/>
            </w:tcMar>
            <w:vAlign w:val="center"/>
          </w:tcPr>
          <w:p w14:paraId="605D31B1">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投标报价</w:t>
            </w:r>
          </w:p>
          <w:p w14:paraId="556EDA0B">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部分</w:t>
            </w:r>
          </w:p>
          <w:p w14:paraId="1CCE9555">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50</w:t>
            </w:r>
            <w:r>
              <w:rPr>
                <w:rFonts w:ascii="宋体" w:hAnsi="宋体" w:eastAsia="宋体" w:cs="宋体"/>
                <w:color w:val="000000"/>
                <w:sz w:val="21"/>
                <w:highlight w:val="none"/>
              </w:rPr>
              <w:t>分）</w:t>
            </w:r>
          </w:p>
        </w:tc>
        <w:tc>
          <w:tcPr>
            <w:tcW w:w="1299" w:type="dxa"/>
            <w:noWrap w:val="0"/>
            <w:tcMar>
              <w:top w:w="0" w:type="dxa"/>
              <w:left w:w="108" w:type="dxa"/>
              <w:bottom w:w="0" w:type="dxa"/>
              <w:right w:w="108" w:type="dxa"/>
            </w:tcMar>
            <w:vAlign w:val="center"/>
          </w:tcPr>
          <w:p w14:paraId="775BCF96">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投标报价</w:t>
            </w:r>
          </w:p>
          <w:p w14:paraId="4B6572AB">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 </w:t>
            </w:r>
          </w:p>
        </w:tc>
        <w:tc>
          <w:tcPr>
            <w:tcW w:w="6452" w:type="dxa"/>
            <w:noWrap w:val="0"/>
            <w:tcMar>
              <w:top w:w="0" w:type="dxa"/>
              <w:left w:w="108" w:type="dxa"/>
              <w:bottom w:w="0" w:type="dxa"/>
              <w:right w:w="108" w:type="dxa"/>
            </w:tcMar>
            <w:vAlign w:val="center"/>
          </w:tcPr>
          <w:p w14:paraId="32731473">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hint="eastAsia" w:ascii="宋体" w:hAnsi="宋体" w:cs="宋体"/>
                <w:szCs w:val="21"/>
                <w:highlight w:val="none"/>
              </w:rPr>
              <w:t>按满足竞争性磋商文件要求且最终有效投标价格最低的投标报价作为评审基准价，其价格分为满分；其他供应商的价格分按以下公式计算：投标报价得分＝（评审基准价/最终投标报价）×</w:t>
            </w:r>
            <w:r>
              <w:rPr>
                <w:rFonts w:hint="eastAsia" w:ascii="宋体" w:hAnsi="宋体" w:cs="宋体"/>
                <w:szCs w:val="21"/>
                <w:highlight w:val="none"/>
                <w:lang w:val="en-US" w:eastAsia="zh-CN"/>
              </w:rPr>
              <w:t>50</w:t>
            </w:r>
            <w:r>
              <w:rPr>
                <w:rFonts w:ascii="宋体" w:hAnsi="宋体" w:cs="宋体"/>
                <w:szCs w:val="21"/>
                <w:highlight w:val="none"/>
              </w:rPr>
              <w:t>（分值保留两位小数）。</w:t>
            </w:r>
          </w:p>
        </w:tc>
      </w:tr>
      <w:tr w14:paraId="0423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27" w:type="dxa"/>
            <w:vMerge w:val="restart"/>
            <w:noWrap w:val="0"/>
            <w:tcMar>
              <w:top w:w="0" w:type="dxa"/>
              <w:left w:w="108" w:type="dxa"/>
              <w:bottom w:w="0" w:type="dxa"/>
              <w:right w:w="108" w:type="dxa"/>
            </w:tcMar>
            <w:vAlign w:val="center"/>
          </w:tcPr>
          <w:p w14:paraId="795F5717">
            <w:pPr>
              <w:pBdr>
                <w:top w:val="none" w:color="000000" w:sz="0" w:space="0"/>
                <w:left w:val="none" w:color="000000" w:sz="0" w:space="0"/>
                <w:bottom w:val="none" w:color="000000" w:sz="0" w:space="0"/>
                <w:right w:val="none" w:color="000000" w:sz="0" w:space="0"/>
              </w:pBdr>
              <w:spacing w:before="0" w:after="0" w:line="320" w:lineRule="atLeast"/>
              <w:ind w:left="0" w:right="0" w:firstLine="0"/>
              <w:jc w:val="both"/>
              <w:rPr>
                <w:highlight w:val="none"/>
              </w:rPr>
            </w:pPr>
            <w:r>
              <w:rPr>
                <w:rFonts w:ascii="宋体" w:hAnsi="宋体" w:eastAsia="宋体" w:cs="宋体"/>
                <w:color w:val="000000"/>
                <w:sz w:val="21"/>
                <w:highlight w:val="none"/>
              </w:rPr>
              <w:t>2</w:t>
            </w:r>
          </w:p>
          <w:p w14:paraId="52F448ED">
            <w:pPr>
              <w:pBdr>
                <w:top w:val="none" w:color="000000" w:sz="0" w:space="0"/>
                <w:left w:val="none" w:color="000000" w:sz="0" w:space="0"/>
                <w:bottom w:val="none" w:color="000000" w:sz="0" w:space="0"/>
                <w:right w:val="none" w:color="000000" w:sz="0" w:space="0"/>
              </w:pBdr>
              <w:spacing w:before="0" w:after="0" w:line="320" w:lineRule="atLeast"/>
              <w:ind w:left="0" w:right="0" w:firstLine="0"/>
              <w:jc w:val="both"/>
              <w:rPr>
                <w:highlight w:val="none"/>
              </w:rPr>
            </w:pPr>
            <w:r>
              <w:rPr>
                <w:highlight w:val="none"/>
              </w:rPr>
              <w:br w:type="page" w:clear="all"/>
            </w:r>
          </w:p>
        </w:tc>
        <w:tc>
          <w:tcPr>
            <w:tcW w:w="1299" w:type="dxa"/>
            <w:vMerge w:val="restart"/>
            <w:noWrap w:val="0"/>
            <w:tcMar>
              <w:top w:w="0" w:type="dxa"/>
              <w:left w:w="108" w:type="dxa"/>
              <w:bottom w:w="0" w:type="dxa"/>
              <w:right w:w="108" w:type="dxa"/>
            </w:tcMar>
            <w:vAlign w:val="center"/>
          </w:tcPr>
          <w:p w14:paraId="13F3CA6A">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商务部分</w:t>
            </w:r>
          </w:p>
          <w:p w14:paraId="121E1D61">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16</w:t>
            </w:r>
            <w:r>
              <w:rPr>
                <w:rFonts w:ascii="宋体" w:hAnsi="宋体" w:eastAsia="宋体" w:cs="宋体"/>
                <w:color w:val="000000"/>
                <w:sz w:val="21"/>
                <w:highlight w:val="none"/>
              </w:rPr>
              <w:t>分）</w:t>
            </w:r>
          </w:p>
        </w:tc>
        <w:tc>
          <w:tcPr>
            <w:tcW w:w="1299" w:type="dxa"/>
            <w:noWrap w:val="0"/>
            <w:tcMar>
              <w:top w:w="0" w:type="dxa"/>
              <w:left w:w="108" w:type="dxa"/>
              <w:bottom w:w="0" w:type="dxa"/>
              <w:right w:w="108" w:type="dxa"/>
            </w:tcMar>
            <w:vAlign w:val="center"/>
          </w:tcPr>
          <w:p w14:paraId="0892C3B4">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管理人员配备（</w:t>
            </w:r>
            <w:r>
              <w:rPr>
                <w:rFonts w:hint="eastAsia" w:ascii="宋体" w:hAnsi="宋体" w:eastAsia="宋体" w:cs="宋体"/>
                <w:color w:val="000000"/>
                <w:sz w:val="21"/>
                <w:highlight w:val="none"/>
                <w:lang w:val="en-US" w:eastAsia="zh-CN"/>
              </w:rPr>
              <w:t>6</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center"/>
          </w:tcPr>
          <w:p w14:paraId="31A839CC">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1、拟派</w:t>
            </w:r>
            <w:r>
              <w:rPr>
                <w:rFonts w:hint="eastAsia" w:ascii="宋体" w:hAnsi="宋体" w:eastAsia="宋体" w:cs="宋体"/>
                <w:color w:val="000000"/>
                <w:sz w:val="21"/>
                <w:highlight w:val="none"/>
                <w:lang w:val="en-US" w:eastAsia="zh-CN"/>
              </w:rPr>
              <w:t>技术</w:t>
            </w:r>
            <w:r>
              <w:rPr>
                <w:rFonts w:ascii="宋体" w:hAnsi="宋体" w:eastAsia="宋体" w:cs="宋体"/>
                <w:color w:val="000000"/>
                <w:sz w:val="21"/>
                <w:highlight w:val="none"/>
              </w:rPr>
              <w:t>负责人为水利工程相关专业中级及以上职称的得</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分；</w:t>
            </w:r>
          </w:p>
          <w:p w14:paraId="2A42FEB7">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2、项目管理机构人员（质检员或质量员、施工员、资料员、安全员、材料员）配备齐全（提供相应的岗位证书）得</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分，不齐全本项不得分。</w:t>
            </w:r>
          </w:p>
          <w:p w14:paraId="192F2A9D">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3、项目管理机构人员（质检员或质量员、施工员、资料员、安全员、材料员）具备水利工程相关专业中级及以上职称的有一个得</w:t>
            </w:r>
            <w:r>
              <w:rPr>
                <w:rFonts w:hint="eastAsia" w:ascii="宋体" w:hAnsi="宋体" w:eastAsia="宋体" w:cs="宋体"/>
                <w:color w:val="000000"/>
                <w:sz w:val="21"/>
                <w:highlight w:val="none"/>
                <w:lang w:val="en-US" w:eastAsia="zh-CN"/>
              </w:rPr>
              <w:t>1</w:t>
            </w:r>
            <w:r>
              <w:rPr>
                <w:rFonts w:ascii="宋体" w:hAnsi="宋体" w:eastAsia="宋体" w:cs="宋体"/>
                <w:color w:val="000000"/>
                <w:sz w:val="21"/>
                <w:highlight w:val="none"/>
              </w:rPr>
              <w:t>分，最多得</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分。</w:t>
            </w:r>
          </w:p>
          <w:p w14:paraId="0C97D971">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注：需提供相关证书扫描件，项目管理机构人员不得兼任，否则不得分。</w:t>
            </w:r>
          </w:p>
        </w:tc>
      </w:tr>
      <w:tr w14:paraId="0E7C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vMerge w:val="continue"/>
            <w:noWrap w:val="0"/>
          </w:tcPr>
          <w:p w14:paraId="224F8022">
            <w:pPr>
              <w:spacing w:after="0" w:line="240" w:lineRule="auto"/>
              <w:rPr>
                <w:highlight w:val="none"/>
              </w:rPr>
            </w:pPr>
          </w:p>
        </w:tc>
        <w:tc>
          <w:tcPr>
            <w:vMerge w:val="continue"/>
            <w:noWrap w:val="0"/>
          </w:tcPr>
          <w:p w14:paraId="2DB74938">
            <w:pPr>
              <w:spacing w:after="0" w:line="240" w:lineRule="auto"/>
              <w:rPr>
                <w:highlight w:val="none"/>
              </w:rPr>
            </w:pPr>
          </w:p>
        </w:tc>
        <w:tc>
          <w:tcPr>
            <w:tcW w:w="1299" w:type="dxa"/>
            <w:noWrap w:val="0"/>
            <w:tcMar>
              <w:top w:w="0" w:type="dxa"/>
              <w:left w:w="108" w:type="dxa"/>
              <w:bottom w:w="0" w:type="dxa"/>
              <w:right w:w="108" w:type="dxa"/>
            </w:tcMar>
            <w:vAlign w:val="center"/>
          </w:tcPr>
          <w:p w14:paraId="2BD270E7">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业绩</w:t>
            </w:r>
          </w:p>
          <w:p w14:paraId="0CFCDB77">
            <w:pPr>
              <w:pBdr>
                <w:top w:val="none" w:color="000000" w:sz="0" w:space="0"/>
                <w:left w:val="none" w:color="000000" w:sz="0" w:space="0"/>
                <w:bottom w:val="none" w:color="000000" w:sz="0" w:space="0"/>
                <w:right w:val="none" w:color="000000" w:sz="0" w:space="0"/>
              </w:pBdr>
              <w:spacing w:before="0" w:after="0" w:line="320" w:lineRule="atLeast"/>
              <w:ind w:left="0" w:right="0" w:firstLine="0"/>
              <w:jc w:val="both"/>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1</w:t>
            </w:r>
            <w:r>
              <w:rPr>
                <w:rFonts w:ascii="宋体" w:hAnsi="宋体" w:eastAsia="宋体" w:cs="宋体"/>
                <w:color w:val="000000"/>
                <w:sz w:val="21"/>
                <w:highlight w:val="none"/>
              </w:rPr>
              <w:t>0分）</w:t>
            </w:r>
          </w:p>
        </w:tc>
        <w:tc>
          <w:tcPr>
            <w:tcW w:w="6452" w:type="dxa"/>
            <w:noWrap w:val="0"/>
            <w:tcMar>
              <w:top w:w="0" w:type="dxa"/>
              <w:left w:w="108" w:type="dxa"/>
              <w:bottom w:w="0" w:type="dxa"/>
              <w:right w:w="108" w:type="dxa"/>
            </w:tcMar>
            <w:vAlign w:val="center"/>
          </w:tcPr>
          <w:p w14:paraId="73F538AC">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自202</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年1月1日以来，供应商承担过</w:t>
            </w:r>
            <w:r>
              <w:rPr>
                <w:rFonts w:hint="eastAsia" w:ascii="宋体" w:hAnsi="宋体" w:eastAsia="宋体" w:cs="宋体"/>
                <w:color w:val="000000"/>
                <w:sz w:val="21"/>
                <w:highlight w:val="none"/>
              </w:rPr>
              <w:t>一项水利工程项目</w:t>
            </w:r>
            <w:r>
              <w:rPr>
                <w:rFonts w:hint="eastAsia" w:ascii="宋体" w:hAnsi="宋体" w:cs="宋体"/>
                <w:color w:val="000000"/>
                <w:sz w:val="21"/>
                <w:highlight w:val="none"/>
                <w:lang w:val="en-US" w:eastAsia="zh-CN"/>
              </w:rPr>
              <w:t>的</w:t>
            </w:r>
            <w:r>
              <w:rPr>
                <w:rFonts w:hint="eastAsia" w:ascii="宋体" w:hAnsi="宋体" w:eastAsia="宋体" w:cs="宋体"/>
                <w:color w:val="000000"/>
                <w:sz w:val="21"/>
                <w:highlight w:val="none"/>
              </w:rPr>
              <w:t>施工业绩</w:t>
            </w:r>
            <w:r>
              <w:rPr>
                <w:rFonts w:ascii="宋体" w:hAnsi="宋体" w:eastAsia="宋体" w:cs="宋体"/>
                <w:color w:val="000000"/>
                <w:sz w:val="21"/>
                <w:highlight w:val="none"/>
              </w:rPr>
              <w:t>的，得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4529B9FD">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自202</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年1月1日以来，供应商拟派项目负责人承担过</w:t>
            </w:r>
            <w:r>
              <w:rPr>
                <w:rFonts w:hint="eastAsia" w:ascii="宋体" w:hAnsi="宋体" w:eastAsia="宋体" w:cs="宋体"/>
                <w:color w:val="000000"/>
                <w:sz w:val="21"/>
                <w:highlight w:val="none"/>
              </w:rPr>
              <w:t>一项水利工程项目</w:t>
            </w:r>
            <w:r>
              <w:rPr>
                <w:rFonts w:hint="eastAsia" w:ascii="宋体" w:hAnsi="宋体" w:cs="宋体"/>
                <w:color w:val="000000"/>
                <w:sz w:val="21"/>
                <w:highlight w:val="none"/>
                <w:lang w:val="en-US" w:eastAsia="zh-CN"/>
              </w:rPr>
              <w:t>的</w:t>
            </w:r>
            <w:r>
              <w:rPr>
                <w:rFonts w:hint="eastAsia" w:ascii="宋体" w:hAnsi="宋体" w:eastAsia="宋体" w:cs="宋体"/>
                <w:color w:val="000000"/>
                <w:sz w:val="21"/>
                <w:highlight w:val="none"/>
              </w:rPr>
              <w:t>施工业绩</w:t>
            </w:r>
            <w:r>
              <w:rPr>
                <w:rFonts w:ascii="宋体" w:hAnsi="宋体" w:eastAsia="宋体" w:cs="宋体"/>
                <w:color w:val="000000"/>
                <w:sz w:val="21"/>
                <w:highlight w:val="none"/>
              </w:rPr>
              <w:t>的，得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3440534C">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注：（1）业绩有效期自202</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年1月1日起至响应截止之日止。时间以竣工或完工验收时间为准。</w:t>
            </w:r>
          </w:p>
          <w:p w14:paraId="47D8D71C">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（2）拟派项目负责人业绩与供应商业绩不得为同一业绩，若为同一业绩仅计取一次得分。</w:t>
            </w:r>
          </w:p>
          <w:p w14:paraId="57555D46">
            <w:pPr>
              <w:pBdr>
                <w:top w:val="none" w:color="000000" w:sz="0" w:space="0"/>
                <w:left w:val="none" w:color="000000" w:sz="0" w:space="0"/>
                <w:bottom w:val="none" w:color="000000" w:sz="0" w:space="0"/>
                <w:right w:val="none" w:color="000000" w:sz="0" w:space="0"/>
              </w:pBdr>
              <w:spacing w:before="0" w:after="0" w:line="300" w:lineRule="atLeast"/>
              <w:ind w:left="0" w:right="0" w:firstLine="0"/>
              <w:rPr>
                <w:highlight w:val="none"/>
              </w:rPr>
            </w:pPr>
            <w:r>
              <w:rPr>
                <w:rFonts w:ascii="宋体" w:hAnsi="宋体" w:eastAsia="宋体" w:cs="宋体"/>
                <w:color w:val="000000"/>
                <w:sz w:val="21"/>
                <w:highlight w:val="none"/>
              </w:rPr>
              <w:t>（3）</w:t>
            </w:r>
            <w:r>
              <w:rPr>
                <w:rFonts w:ascii="宋体" w:hAnsi="宋体" w:eastAsia="宋体" w:cs="宋体"/>
                <w:b/>
                <w:color w:val="000000"/>
                <w:sz w:val="21"/>
                <w:highlight w:val="none"/>
              </w:rPr>
              <w:t>类似工程业绩证明材料：中标（成交）通知书（直接发包通知书）、合同协议书，以及竣工或完工验收文件附签名表。</w:t>
            </w:r>
          </w:p>
          <w:p w14:paraId="086D02BF">
            <w:pPr>
              <w:pBdr>
                <w:top w:val="none" w:color="000000" w:sz="0" w:space="0"/>
                <w:left w:val="none" w:color="000000" w:sz="0" w:space="0"/>
                <w:bottom w:val="none" w:color="000000" w:sz="0" w:space="0"/>
                <w:right w:val="none" w:color="000000" w:sz="0" w:space="0"/>
              </w:pBdr>
              <w:spacing w:before="0" w:after="0" w:line="300" w:lineRule="atLeast"/>
              <w:ind w:left="0" w:right="0" w:firstLine="0"/>
              <w:rPr>
                <w:highlight w:val="none"/>
              </w:rPr>
            </w:pPr>
            <w:r>
              <w:rPr>
                <w:rFonts w:ascii="宋体" w:hAnsi="宋体" w:eastAsia="宋体" w:cs="宋体"/>
                <w:b/>
                <w:color w:val="000000"/>
                <w:sz w:val="21"/>
                <w:highlight w:val="none"/>
              </w:rPr>
              <w:t>以上材料缺一不可。</w:t>
            </w:r>
          </w:p>
          <w:p w14:paraId="1D617EC2">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b/>
                <w:color w:val="000000"/>
                <w:sz w:val="21"/>
                <w:highlight w:val="none"/>
              </w:rPr>
              <w:t>注：若上述业绩证明材料均不能体现采购文件明确的指标的，需提供“</w:t>
            </w:r>
            <w:r>
              <w:rPr>
                <w:rFonts w:hint="eastAsia" w:ascii="宋体" w:hAnsi="宋体" w:cs="宋体"/>
                <w:b/>
                <w:color w:val="000000"/>
                <w:sz w:val="21"/>
                <w:highlight w:val="none"/>
                <w:lang w:eastAsia="zh-CN"/>
              </w:rPr>
              <w:t>其他</w:t>
            </w:r>
            <w:r>
              <w:rPr>
                <w:rFonts w:ascii="宋体" w:hAnsi="宋体" w:eastAsia="宋体" w:cs="宋体"/>
                <w:b/>
                <w:color w:val="000000"/>
                <w:sz w:val="21"/>
                <w:highlight w:val="none"/>
              </w:rPr>
              <w:t>辅助证明材料”，“</w:t>
            </w:r>
            <w:r>
              <w:rPr>
                <w:rFonts w:hint="eastAsia" w:ascii="宋体" w:hAnsi="宋体" w:cs="宋体"/>
                <w:b/>
                <w:color w:val="000000"/>
                <w:sz w:val="21"/>
                <w:highlight w:val="none"/>
                <w:lang w:eastAsia="zh-CN"/>
              </w:rPr>
              <w:t>其他</w:t>
            </w:r>
            <w:r>
              <w:rPr>
                <w:rFonts w:ascii="宋体" w:hAnsi="宋体" w:eastAsia="宋体" w:cs="宋体"/>
                <w:b/>
                <w:color w:val="000000"/>
                <w:sz w:val="21"/>
                <w:highlight w:val="none"/>
              </w:rPr>
              <w:t>辅助证明材料”指：“加盖该业绩建设单位公章的书面证明材料”。如上述业绩证明材料能体现采购文件明确的指标，但又另行提供“</w:t>
            </w:r>
            <w:r>
              <w:rPr>
                <w:rFonts w:hint="eastAsia" w:ascii="宋体" w:hAnsi="宋体" w:cs="宋体"/>
                <w:b/>
                <w:color w:val="000000"/>
                <w:sz w:val="21"/>
                <w:highlight w:val="none"/>
                <w:lang w:eastAsia="zh-CN"/>
              </w:rPr>
              <w:t>其他</w:t>
            </w:r>
            <w:r>
              <w:rPr>
                <w:rFonts w:ascii="宋体" w:hAnsi="宋体" w:eastAsia="宋体" w:cs="宋体"/>
                <w:b/>
                <w:color w:val="000000"/>
                <w:sz w:val="21"/>
                <w:highlight w:val="none"/>
              </w:rPr>
              <w:t>辅助证明材料”的，该“</w:t>
            </w:r>
            <w:r>
              <w:rPr>
                <w:rFonts w:hint="eastAsia" w:ascii="宋体" w:hAnsi="宋体" w:cs="宋体"/>
                <w:b/>
                <w:color w:val="000000"/>
                <w:sz w:val="21"/>
                <w:highlight w:val="none"/>
                <w:lang w:eastAsia="zh-CN"/>
              </w:rPr>
              <w:t>其他</w:t>
            </w:r>
            <w:r>
              <w:rPr>
                <w:rFonts w:ascii="宋体" w:hAnsi="宋体" w:eastAsia="宋体" w:cs="宋体"/>
                <w:b/>
                <w:color w:val="000000"/>
                <w:sz w:val="21"/>
                <w:highlight w:val="none"/>
              </w:rPr>
              <w:t>辅助证明材料”不予认可。</w:t>
            </w:r>
          </w:p>
        </w:tc>
      </w:tr>
      <w:tr w14:paraId="1025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427" w:type="dxa"/>
            <w:vMerge w:val="restart"/>
            <w:noWrap w:val="0"/>
            <w:tcMar>
              <w:top w:w="0" w:type="dxa"/>
              <w:left w:w="108" w:type="dxa"/>
              <w:bottom w:w="0" w:type="dxa"/>
              <w:right w:w="108" w:type="dxa"/>
            </w:tcMar>
            <w:vAlign w:val="center"/>
          </w:tcPr>
          <w:p w14:paraId="4AA7EFE8">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3</w:t>
            </w:r>
          </w:p>
        </w:tc>
        <w:tc>
          <w:tcPr>
            <w:tcW w:w="1299" w:type="dxa"/>
            <w:vMerge w:val="restart"/>
            <w:noWrap w:val="0"/>
            <w:tcMar>
              <w:top w:w="0" w:type="dxa"/>
              <w:left w:w="108" w:type="dxa"/>
              <w:bottom w:w="0" w:type="dxa"/>
              <w:right w:w="108" w:type="dxa"/>
            </w:tcMar>
            <w:vAlign w:val="center"/>
          </w:tcPr>
          <w:p w14:paraId="28EC45FA">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技术部分</w:t>
            </w:r>
          </w:p>
          <w:p w14:paraId="406258F4">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34</w:t>
            </w:r>
            <w:r>
              <w:rPr>
                <w:rFonts w:ascii="宋体" w:hAnsi="宋体" w:eastAsia="宋体" w:cs="宋体"/>
                <w:color w:val="000000"/>
                <w:sz w:val="21"/>
                <w:highlight w:val="none"/>
              </w:rPr>
              <w:t>分）</w:t>
            </w:r>
          </w:p>
        </w:tc>
        <w:tc>
          <w:tcPr>
            <w:tcW w:w="1299" w:type="dxa"/>
            <w:noWrap w:val="0"/>
            <w:tcMar>
              <w:top w:w="0" w:type="dxa"/>
              <w:left w:w="108" w:type="dxa"/>
              <w:bottom w:w="0" w:type="dxa"/>
              <w:right w:w="108" w:type="dxa"/>
            </w:tcMar>
            <w:vAlign w:val="center"/>
          </w:tcPr>
          <w:p w14:paraId="550F5869">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工程概述、总体安排及施工部署等</w:t>
            </w:r>
          </w:p>
          <w:p w14:paraId="3B962D16">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top"/>
          </w:tcPr>
          <w:p w14:paraId="20270DD1">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方案包括工程概述、总体安排及施工部署及施工段划分等：</w:t>
            </w:r>
          </w:p>
          <w:p w14:paraId="318A0C34">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24E486B9">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3</w:t>
            </w:r>
            <w:r>
              <w:rPr>
                <w:rFonts w:ascii="宋体" w:hAnsi="宋体" w:eastAsia="宋体" w:cs="宋体"/>
                <w:color w:val="000000"/>
                <w:sz w:val="21"/>
                <w:highlight w:val="none"/>
              </w:rPr>
              <w:t>分；</w:t>
            </w:r>
          </w:p>
          <w:p w14:paraId="6560041B">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5DA827CC">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r w14:paraId="4BAC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vMerge w:val="continue"/>
            <w:noWrap w:val="0"/>
          </w:tcPr>
          <w:p w14:paraId="72A4BE2A">
            <w:pPr>
              <w:spacing w:after="0" w:line="240" w:lineRule="auto"/>
              <w:rPr>
                <w:highlight w:val="none"/>
              </w:rPr>
            </w:pPr>
          </w:p>
        </w:tc>
        <w:tc>
          <w:tcPr>
            <w:vMerge w:val="continue"/>
            <w:noWrap w:val="0"/>
          </w:tcPr>
          <w:p w14:paraId="3EDD300F">
            <w:pPr>
              <w:spacing w:after="0" w:line="240" w:lineRule="auto"/>
              <w:rPr>
                <w:highlight w:val="none"/>
              </w:rPr>
            </w:pPr>
          </w:p>
        </w:tc>
        <w:tc>
          <w:tcPr>
            <w:tcW w:w="1299" w:type="dxa"/>
            <w:noWrap w:val="0"/>
            <w:tcMar>
              <w:top w:w="0" w:type="dxa"/>
              <w:left w:w="108" w:type="dxa"/>
              <w:bottom w:w="0" w:type="dxa"/>
              <w:right w:w="108" w:type="dxa"/>
            </w:tcMar>
            <w:vAlign w:val="center"/>
          </w:tcPr>
          <w:p w14:paraId="6401C2F5">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施工进度计划和各阶段进度的保证措施</w:t>
            </w:r>
          </w:p>
          <w:p w14:paraId="43FFCE3A">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top"/>
          </w:tcPr>
          <w:p w14:paraId="10D890FF">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方案包括工程施工进度计划的描述，以及为完成该计划所定措施：</w:t>
            </w:r>
          </w:p>
          <w:p w14:paraId="0125571D">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6E7141CF">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3</w:t>
            </w:r>
            <w:r>
              <w:rPr>
                <w:rFonts w:ascii="宋体" w:hAnsi="宋体" w:eastAsia="宋体" w:cs="宋体"/>
                <w:color w:val="000000"/>
                <w:sz w:val="21"/>
                <w:highlight w:val="none"/>
              </w:rPr>
              <w:t>分；</w:t>
            </w:r>
          </w:p>
          <w:p w14:paraId="28D9EA5A">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486C97F4">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r w14:paraId="1943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vMerge w:val="continue"/>
            <w:noWrap w:val="0"/>
          </w:tcPr>
          <w:p w14:paraId="4D951064">
            <w:pPr>
              <w:spacing w:after="0" w:line="240" w:lineRule="auto"/>
              <w:rPr>
                <w:highlight w:val="none"/>
              </w:rPr>
            </w:pPr>
          </w:p>
        </w:tc>
        <w:tc>
          <w:tcPr>
            <w:vMerge w:val="continue"/>
            <w:noWrap w:val="0"/>
          </w:tcPr>
          <w:p w14:paraId="3E8EB7EC">
            <w:pPr>
              <w:spacing w:after="0" w:line="240" w:lineRule="auto"/>
              <w:rPr>
                <w:highlight w:val="none"/>
              </w:rPr>
            </w:pPr>
          </w:p>
        </w:tc>
        <w:tc>
          <w:tcPr>
            <w:tcW w:w="1299" w:type="dxa"/>
            <w:noWrap w:val="0"/>
            <w:tcMar>
              <w:top w:w="0" w:type="dxa"/>
              <w:left w:w="108" w:type="dxa"/>
              <w:bottom w:w="0" w:type="dxa"/>
              <w:right w:w="108" w:type="dxa"/>
            </w:tcMar>
            <w:vAlign w:val="center"/>
          </w:tcPr>
          <w:p w14:paraId="22CCB962">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安全文明施工、施工现场扬尘污染防治措施、降噪措施及环境保护方面的措施</w:t>
            </w:r>
          </w:p>
          <w:p w14:paraId="6CED37E9">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top"/>
          </w:tcPr>
          <w:p w14:paraId="062B847F">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方案包括工程安全文明施工、施工现场扬尘污染防治、降噪措施及环境保护方面的措施：</w:t>
            </w:r>
          </w:p>
          <w:p w14:paraId="76F3B984">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6ADC2486">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3</w:t>
            </w:r>
            <w:r>
              <w:rPr>
                <w:rFonts w:ascii="宋体" w:hAnsi="宋体" w:eastAsia="宋体" w:cs="宋体"/>
                <w:color w:val="000000"/>
                <w:sz w:val="21"/>
                <w:highlight w:val="none"/>
              </w:rPr>
              <w:t>分；</w:t>
            </w:r>
          </w:p>
          <w:p w14:paraId="7ED49376">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23398719">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r w14:paraId="69A0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vMerge w:val="continue"/>
            <w:noWrap w:val="0"/>
          </w:tcPr>
          <w:p w14:paraId="42B1E687">
            <w:pPr>
              <w:spacing w:after="0" w:line="240" w:lineRule="auto"/>
              <w:rPr>
                <w:highlight w:val="none"/>
              </w:rPr>
            </w:pPr>
          </w:p>
        </w:tc>
        <w:tc>
          <w:tcPr>
            <w:vMerge w:val="continue"/>
            <w:noWrap w:val="0"/>
          </w:tcPr>
          <w:p w14:paraId="4805691E">
            <w:pPr>
              <w:spacing w:after="0" w:line="240" w:lineRule="auto"/>
              <w:rPr>
                <w:highlight w:val="none"/>
              </w:rPr>
            </w:pPr>
          </w:p>
        </w:tc>
        <w:tc>
          <w:tcPr>
            <w:tcW w:w="1299" w:type="dxa"/>
            <w:noWrap w:val="0"/>
            <w:tcMar>
              <w:top w:w="0" w:type="dxa"/>
              <w:left w:w="108" w:type="dxa"/>
              <w:bottom w:w="0" w:type="dxa"/>
              <w:right w:w="108" w:type="dxa"/>
            </w:tcMar>
            <w:vAlign w:val="center"/>
          </w:tcPr>
          <w:p w14:paraId="6FA38370">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质量管理体系与措施</w:t>
            </w:r>
          </w:p>
          <w:p w14:paraId="4D245B74">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top"/>
          </w:tcPr>
          <w:p w14:paraId="5BC7BD0E">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方案包括工程质量管理的措施：</w:t>
            </w:r>
          </w:p>
          <w:p w14:paraId="25FD6D12">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211CE609">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3</w:t>
            </w:r>
            <w:r>
              <w:rPr>
                <w:rFonts w:ascii="宋体" w:hAnsi="宋体" w:eastAsia="宋体" w:cs="宋体"/>
                <w:color w:val="000000"/>
                <w:sz w:val="21"/>
                <w:highlight w:val="none"/>
              </w:rPr>
              <w:t>分；</w:t>
            </w:r>
          </w:p>
          <w:p w14:paraId="178EB8B2">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63AF0DF8">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r w14:paraId="52A9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vMerge w:val="continue"/>
            <w:noWrap w:val="0"/>
          </w:tcPr>
          <w:p w14:paraId="68D99B19">
            <w:pPr>
              <w:spacing w:after="0" w:line="240" w:lineRule="auto"/>
              <w:rPr>
                <w:highlight w:val="none"/>
              </w:rPr>
            </w:pPr>
          </w:p>
        </w:tc>
        <w:tc>
          <w:tcPr>
            <w:vMerge w:val="continue"/>
            <w:noWrap w:val="0"/>
          </w:tcPr>
          <w:p w14:paraId="6F1CC163">
            <w:pPr>
              <w:spacing w:after="0" w:line="240" w:lineRule="auto"/>
              <w:rPr>
                <w:highlight w:val="none"/>
              </w:rPr>
            </w:pPr>
          </w:p>
        </w:tc>
        <w:tc>
          <w:tcPr>
            <w:tcW w:w="1299" w:type="dxa"/>
            <w:noWrap w:val="0"/>
            <w:tcMar>
              <w:top w:w="0" w:type="dxa"/>
              <w:left w:w="108" w:type="dxa"/>
              <w:bottom w:w="0" w:type="dxa"/>
              <w:right w:w="108" w:type="dxa"/>
            </w:tcMar>
            <w:vAlign w:val="center"/>
          </w:tcPr>
          <w:p w14:paraId="22FF4081">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保证项目实施的技术设备和人力资源安排</w:t>
            </w:r>
          </w:p>
          <w:p w14:paraId="22A9CBFC">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top"/>
          </w:tcPr>
          <w:p w14:paraId="12B7BAC9">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方案包括为保证项目实施拟投入的技术设备和人力资源安排：</w:t>
            </w:r>
          </w:p>
          <w:p w14:paraId="2EB69591">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02405165">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3</w:t>
            </w:r>
            <w:r>
              <w:rPr>
                <w:rFonts w:ascii="宋体" w:hAnsi="宋体" w:eastAsia="宋体" w:cs="宋体"/>
                <w:color w:val="000000"/>
                <w:sz w:val="21"/>
                <w:highlight w:val="none"/>
              </w:rPr>
              <w:t>分；</w:t>
            </w:r>
          </w:p>
          <w:p w14:paraId="43081D74">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4CD7E3CF">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r w14:paraId="77F8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vMerge w:val="continue"/>
            <w:noWrap w:val="0"/>
          </w:tcPr>
          <w:p w14:paraId="057F570E">
            <w:pPr>
              <w:spacing w:after="0" w:line="240" w:lineRule="auto"/>
              <w:rPr>
                <w:highlight w:val="none"/>
              </w:rPr>
            </w:pPr>
          </w:p>
        </w:tc>
        <w:tc>
          <w:tcPr>
            <w:vMerge w:val="continue"/>
            <w:noWrap w:val="0"/>
          </w:tcPr>
          <w:p w14:paraId="680EC259">
            <w:pPr>
              <w:spacing w:after="0" w:line="240" w:lineRule="auto"/>
              <w:rPr>
                <w:highlight w:val="none"/>
              </w:rPr>
            </w:pPr>
          </w:p>
        </w:tc>
        <w:tc>
          <w:tcPr>
            <w:tcW w:w="1299" w:type="dxa"/>
            <w:noWrap w:val="0"/>
            <w:tcMar>
              <w:top w:w="0" w:type="dxa"/>
              <w:left w:w="108" w:type="dxa"/>
              <w:bottom w:w="0" w:type="dxa"/>
              <w:right w:w="108" w:type="dxa"/>
            </w:tcMar>
            <w:vAlign w:val="center"/>
          </w:tcPr>
          <w:p w14:paraId="7E763B7E">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工程项目实施的重点、难点和解决方案、具体施工技术措施</w:t>
            </w:r>
          </w:p>
          <w:p w14:paraId="69F8F424">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9</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center"/>
          </w:tcPr>
          <w:p w14:paraId="0BACCB96">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方案包括结合工程现场实际情况，工程实施的重点、难点和解决方案、具体施工技术措施</w:t>
            </w:r>
          </w:p>
          <w:p w14:paraId="2ECBD46A">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9</w:t>
            </w:r>
            <w:r>
              <w:rPr>
                <w:rFonts w:ascii="宋体" w:hAnsi="宋体" w:eastAsia="宋体" w:cs="宋体"/>
                <w:color w:val="000000"/>
                <w:sz w:val="21"/>
                <w:highlight w:val="none"/>
              </w:rPr>
              <w:t>分；</w:t>
            </w:r>
          </w:p>
          <w:p w14:paraId="645863B7">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2BF4743E">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66625881">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bl>
    <w:p w14:paraId="398951BA">
      <w:pPr>
        <w:rPr>
          <w:rFonts w:hint="eastAsia" w:ascii="宋体" w:hAnsi="宋体" w:cs="宋体"/>
          <w:b/>
          <w:szCs w:val="28"/>
          <w:highlight w:val="none"/>
        </w:rPr>
      </w:pPr>
    </w:p>
    <w:p w14:paraId="759B4A8C">
      <w:pPr>
        <w:spacing w:line="360" w:lineRule="auto"/>
        <w:ind w:firstLine="482"/>
        <w:rPr>
          <w:b/>
          <w:sz w:val="24"/>
          <w:highlight w:val="none"/>
        </w:rPr>
      </w:pPr>
      <w:r>
        <w:rPr>
          <w:b/>
          <w:sz w:val="24"/>
          <w:highlight w:val="none"/>
        </w:rPr>
        <w:t>1、投标单位必须保证全部投标资料的真实性，如有虚假或对招标文件所要求说明的情况故意隐瞒或虚报，视为不实质性响应招标文件，为无效投标。已中标的将取消中标资格，并按《中华人民共和国政府采购法》等法律法规处理。</w:t>
      </w:r>
    </w:p>
    <w:p w14:paraId="7E6DE825">
      <w:pPr>
        <w:tabs>
          <w:tab w:val="left" w:pos="-360"/>
          <w:tab w:val="left" w:pos="720"/>
        </w:tabs>
        <w:spacing w:line="360" w:lineRule="auto"/>
        <w:ind w:firstLine="472"/>
        <w:rPr>
          <w:rFonts w:hint="eastAsia"/>
          <w:highlight w:val="none"/>
        </w:rPr>
      </w:pPr>
      <w:r>
        <w:rPr>
          <w:b/>
          <w:sz w:val="24"/>
          <w:highlight w:val="none"/>
        </w:rPr>
        <w:t>2、投标资料中相关证明材料只需提</w:t>
      </w:r>
      <w:r>
        <w:rPr>
          <w:rFonts w:ascii="Times New Roman" w:hAnsi="Times New Roman" w:eastAsia="宋体" w:cs="Times New Roman"/>
          <w:b/>
          <w:sz w:val="24"/>
          <w:highlight w:val="none"/>
        </w:rPr>
        <w:t>供</w:t>
      </w:r>
      <w:r>
        <w:rPr>
          <w:rFonts w:hint="eastAsia" w:ascii="Times New Roman" w:hAnsi="Times New Roman" w:eastAsia="宋体" w:cs="Times New Roman"/>
          <w:b/>
          <w:sz w:val="24"/>
          <w:highlight w:val="none"/>
          <w:lang w:val="en-US" w:eastAsia="zh-CN"/>
        </w:rPr>
        <w:t>原件扫描件</w:t>
      </w:r>
      <w:r>
        <w:rPr>
          <w:b/>
          <w:sz w:val="24"/>
          <w:highlight w:val="none"/>
        </w:rPr>
        <w:t>（特殊标注原件的除外）。</w:t>
      </w:r>
    </w:p>
    <w:p w14:paraId="32DD7B9C">
      <w:pPr>
        <w:tabs>
          <w:tab w:val="left" w:pos="-360"/>
          <w:tab w:val="left" w:pos="720"/>
        </w:tabs>
        <w:spacing w:line="500" w:lineRule="exact"/>
        <w:ind w:left="-61" w:firstLine="600"/>
        <w:jc w:val="left"/>
        <w:rPr>
          <w:rFonts w:ascii="宋体" w:hAnsi="宋体"/>
          <w:sz w:val="24"/>
          <w:szCs w:val="28"/>
          <w:highlight w:val="none"/>
        </w:rPr>
      </w:pPr>
      <w:r>
        <w:rPr>
          <w:rFonts w:hint="eastAsia" w:ascii="宋体" w:hAnsi="宋体"/>
          <w:sz w:val="24"/>
          <w:highlight w:val="none"/>
        </w:rPr>
        <w:t>注：</w:t>
      </w:r>
    </w:p>
    <w:p w14:paraId="76AD3412">
      <w:pPr>
        <w:spacing w:line="500" w:lineRule="exact"/>
        <w:ind w:firstLine="240"/>
        <w:rPr>
          <w:rFonts w:ascii="宋体" w:hAnsi="宋体"/>
          <w:sz w:val="24"/>
          <w:highlight w:val="none"/>
        </w:rPr>
      </w:pPr>
      <w:r>
        <w:rPr>
          <w:rFonts w:hint="eastAsia" w:ascii="宋体" w:hAnsi="宋体"/>
          <w:sz w:val="24"/>
          <w:highlight w:val="none"/>
        </w:rPr>
        <w:t>（1）评标委员会成员按照招标文件和本办法上述有关规定，给各投标文件评分。</w:t>
      </w:r>
    </w:p>
    <w:p w14:paraId="21050FAA">
      <w:pPr>
        <w:spacing w:line="500" w:lineRule="exact"/>
        <w:ind w:firstLine="240"/>
        <w:rPr>
          <w:rFonts w:ascii="宋体" w:hAnsi="宋体"/>
          <w:sz w:val="24"/>
          <w:highlight w:val="none"/>
        </w:rPr>
      </w:pPr>
      <w:r>
        <w:rPr>
          <w:rFonts w:hint="eastAsia" w:ascii="宋体" w:hAnsi="宋体"/>
          <w:sz w:val="24"/>
          <w:highlight w:val="none"/>
        </w:rPr>
        <w:t>（2）各投标人的得分为各评委所评定分数的算术平均值。</w:t>
      </w:r>
    </w:p>
    <w:p w14:paraId="0AA202AC">
      <w:pPr>
        <w:spacing w:line="500" w:lineRule="exact"/>
        <w:ind w:firstLine="240"/>
        <w:rPr>
          <w:rFonts w:ascii="宋体" w:hAnsi="宋体"/>
          <w:sz w:val="24"/>
          <w:highlight w:val="none"/>
        </w:rPr>
      </w:pPr>
      <w:r>
        <w:rPr>
          <w:rFonts w:hint="eastAsia" w:ascii="宋体" w:hAnsi="宋体"/>
          <w:sz w:val="24"/>
          <w:highlight w:val="none"/>
        </w:rPr>
        <w:t>（3）各项统计、评分结果均按四舍五入方法精确到小数点后两位。</w:t>
      </w:r>
    </w:p>
    <w:p w14:paraId="75E5956F">
      <w:pPr>
        <w:spacing w:line="520" w:lineRule="exact"/>
        <w:ind w:firstLine="480"/>
        <w:rPr>
          <w:rFonts w:ascii="宋体" w:hAnsi="宋体"/>
          <w:sz w:val="24"/>
          <w:highlight w:val="none"/>
        </w:rPr>
      </w:pPr>
      <w:r>
        <w:rPr>
          <w:rFonts w:hint="eastAsia" w:ascii="宋体" w:hAnsi="宋体"/>
          <w:sz w:val="24"/>
          <w:highlight w:val="none"/>
        </w:rPr>
        <w:t>二、评标委员会应根据各投标人的最终得分，按照从高到低的顺序进行排序。当投标人最终得分相同时，投标报价低者居前，如投标报价也相同，技术方案得分高者居前，技术方案得分也相同，</w:t>
      </w:r>
      <w:r>
        <w:rPr>
          <w:rFonts w:hint="eastAsia" w:ascii="宋体" w:hAnsi="宋体"/>
          <w:sz w:val="24"/>
          <w:highlight w:val="none"/>
          <w:lang w:val="en-US" w:eastAsia="zh-CN"/>
        </w:rPr>
        <w:t>采购</w:t>
      </w:r>
      <w:r>
        <w:rPr>
          <w:rFonts w:hint="eastAsia" w:ascii="宋体" w:hAnsi="宋体"/>
          <w:sz w:val="24"/>
          <w:highlight w:val="none"/>
        </w:rPr>
        <w:t>人可抽签确定中标人。</w:t>
      </w:r>
    </w:p>
    <w:p w14:paraId="76E9A114">
      <w:pPr>
        <w:spacing w:line="520" w:lineRule="exact"/>
        <w:ind w:firstLine="480"/>
        <w:rPr>
          <w:rFonts w:ascii="宋体" w:hAnsi="宋体"/>
          <w:sz w:val="24"/>
          <w:highlight w:val="none"/>
        </w:rPr>
      </w:pPr>
      <w:r>
        <w:rPr>
          <w:rFonts w:hint="eastAsia" w:ascii="宋体" w:hAnsi="宋体"/>
          <w:sz w:val="24"/>
          <w:highlight w:val="none"/>
        </w:rPr>
        <w:t>三、确定中标候选人：根据各投标人的排序，评标委员会应在评标报告中推选前3名作为中标候选人。</w:t>
      </w:r>
    </w:p>
    <w:p w14:paraId="4B83D629">
      <w:pPr>
        <w:spacing w:line="520" w:lineRule="exact"/>
        <w:ind w:firstLine="480"/>
        <w:rPr>
          <w:rFonts w:ascii="宋体" w:hAnsi="宋体"/>
          <w:sz w:val="24"/>
          <w:highlight w:val="none"/>
        </w:rPr>
      </w:pPr>
      <w:r>
        <w:rPr>
          <w:rFonts w:hint="eastAsia" w:ascii="宋体" w:hAnsi="宋体"/>
          <w:sz w:val="24"/>
          <w:highlight w:val="none"/>
        </w:rPr>
        <w:t>四、确定中标人：</w:t>
      </w:r>
      <w:r>
        <w:rPr>
          <w:rFonts w:hint="eastAsia" w:ascii="宋体" w:hAnsi="宋体"/>
          <w:sz w:val="24"/>
          <w:highlight w:val="none"/>
          <w:lang w:val="en-US" w:eastAsia="zh-CN"/>
        </w:rPr>
        <w:t>采购</w:t>
      </w:r>
      <w:r>
        <w:rPr>
          <w:rFonts w:hint="eastAsia" w:ascii="宋体" w:hAnsi="宋体"/>
          <w:sz w:val="24"/>
          <w:highlight w:val="none"/>
        </w:rPr>
        <w:t>人应当确定排名第一的中标候选人为中标人。排名第一的中标候选人放弃中标、因不可抗力不能履行合同、不按照招标文件要求提交履约保证金，或者被查实存在影响中标结果的违法行为等情形，不符合中标条件的，</w:t>
      </w:r>
      <w:r>
        <w:rPr>
          <w:rFonts w:hint="eastAsia" w:ascii="宋体" w:hAnsi="宋体"/>
          <w:sz w:val="24"/>
          <w:highlight w:val="none"/>
          <w:lang w:val="en-US" w:eastAsia="zh-CN"/>
        </w:rPr>
        <w:t>采购</w:t>
      </w:r>
      <w:r>
        <w:rPr>
          <w:rFonts w:hint="eastAsia" w:ascii="宋体" w:hAnsi="宋体"/>
          <w:sz w:val="24"/>
          <w:highlight w:val="none"/>
        </w:rPr>
        <w:t>人可以按照评标委员会提出的中标候选人名单排序依次确定其他中标候选人为中标人，也可以重新招标。</w:t>
      </w:r>
    </w:p>
    <w:p w14:paraId="37095D43">
      <w:pPr>
        <w:spacing w:line="520" w:lineRule="exact"/>
        <w:ind w:firstLine="480"/>
        <w:rPr>
          <w:rFonts w:hint="eastAsia"/>
          <w:highlight w:val="none"/>
        </w:rPr>
      </w:pPr>
      <w:r>
        <w:rPr>
          <w:rFonts w:hint="eastAsia" w:ascii="宋体" w:hAnsi="宋体"/>
          <w:sz w:val="24"/>
          <w:highlight w:val="none"/>
        </w:rPr>
        <w:t>五、本办法未尽事宜，由评标委员会依据有关法规研究解决。</w:t>
      </w:r>
    </w:p>
    <w:p w14:paraId="755E957D">
      <w:pPr>
        <w:pStyle w:val="238"/>
        <w:ind w:firstLine="0"/>
        <w:rPr>
          <w:rFonts w:hint="eastAsia"/>
          <w:highlight w:val="none"/>
        </w:rPr>
      </w:pPr>
      <w:r>
        <w:rPr>
          <w:highlight w:val="none"/>
        </w:rPr>
        <w:br w:type="page" w:clear="all"/>
      </w:r>
    </w:p>
    <w:p w14:paraId="2BE4449E">
      <w:pPr>
        <w:pStyle w:val="225"/>
        <w:rPr>
          <w:rFonts w:hint="eastAsia"/>
          <w:highlight w:val="none"/>
        </w:rPr>
      </w:pPr>
      <w:bookmarkStart w:id="318" w:name="_Toc1626"/>
      <w:r>
        <w:rPr>
          <w:rFonts w:hint="eastAsia"/>
          <w:highlight w:val="none"/>
        </w:rPr>
        <w:t>第六章  响应文件的组成和格式</w:t>
      </w:r>
      <w:bookmarkEnd w:id="318"/>
    </w:p>
    <w:p w14:paraId="2A1AEA07">
      <w:pPr>
        <w:jc w:val="center"/>
        <w:rPr>
          <w:rFonts w:hint="eastAsia" w:ascii="宋体" w:hAnsi="宋体"/>
          <w:b/>
          <w:sz w:val="72"/>
          <w:szCs w:val="21"/>
          <w:highlight w:val="none"/>
        </w:rPr>
      </w:pPr>
      <w:r>
        <w:rPr>
          <w:rFonts w:hint="eastAsia" w:ascii="宋体" w:hAnsi="宋体"/>
          <w:b/>
          <w:sz w:val="72"/>
          <w:szCs w:val="21"/>
          <w:highlight w:val="none"/>
        </w:rPr>
        <w:t xml:space="preserve"> </w:t>
      </w:r>
    </w:p>
    <w:p w14:paraId="54119B84">
      <w:pPr>
        <w:jc w:val="center"/>
        <w:rPr>
          <w:rFonts w:hint="eastAsia" w:ascii="黑体" w:hAnsi="黑体" w:eastAsia="黑体"/>
          <w:b/>
          <w:sz w:val="72"/>
          <w:szCs w:val="21"/>
          <w:highlight w:val="none"/>
        </w:rPr>
      </w:pPr>
      <w:r>
        <w:rPr>
          <w:rFonts w:hint="eastAsia" w:ascii="黑体" w:hAnsi="黑体" w:eastAsia="黑体"/>
          <w:b/>
          <w:sz w:val="72"/>
          <w:szCs w:val="21"/>
          <w:highlight w:val="none"/>
        </w:rPr>
        <w:t>竞争性磋商响应文件</w:t>
      </w:r>
    </w:p>
    <w:p w14:paraId="69327323">
      <w:pPr>
        <w:pStyle w:val="280"/>
        <w:ind w:firstLine="0"/>
        <w:jc w:val="center"/>
        <w:rPr>
          <w:rFonts w:hint="eastAsia" w:ascii="黑体" w:hAnsi="黑体" w:eastAsia="黑体"/>
          <w:b/>
          <w:bCs/>
          <w:sz w:val="32"/>
          <w:highlight w:val="none"/>
        </w:rPr>
      </w:pPr>
    </w:p>
    <w:p w14:paraId="1F37CAF8">
      <w:pPr>
        <w:ind w:firstLine="1084"/>
        <w:rPr>
          <w:rFonts w:hint="eastAsia" w:ascii="黑体" w:hAnsi="黑体" w:eastAsia="黑体"/>
          <w:b/>
          <w:sz w:val="36"/>
          <w:szCs w:val="21"/>
          <w:highlight w:val="none"/>
        </w:rPr>
      </w:pPr>
      <w:r>
        <w:rPr>
          <w:rFonts w:hint="eastAsia" w:ascii="黑体" w:hAnsi="黑体" w:eastAsia="黑体"/>
          <w:b/>
          <w:sz w:val="36"/>
          <w:szCs w:val="21"/>
          <w:highlight w:val="none"/>
        </w:rPr>
        <w:t xml:space="preserve">              </w:t>
      </w:r>
    </w:p>
    <w:p w14:paraId="0C668117">
      <w:pPr>
        <w:ind w:firstLine="1084"/>
        <w:rPr>
          <w:rFonts w:hint="eastAsia" w:ascii="黑体" w:hAnsi="黑体" w:eastAsia="黑体"/>
          <w:b/>
          <w:sz w:val="36"/>
          <w:szCs w:val="21"/>
          <w:highlight w:val="none"/>
        </w:rPr>
      </w:pPr>
    </w:p>
    <w:p w14:paraId="4C219634">
      <w:pPr>
        <w:ind w:firstLine="1084"/>
        <w:rPr>
          <w:rFonts w:hint="eastAsia" w:ascii="黑体" w:hAnsi="黑体" w:eastAsia="黑体"/>
          <w:b/>
          <w:sz w:val="36"/>
          <w:szCs w:val="21"/>
          <w:highlight w:val="none"/>
        </w:rPr>
      </w:pPr>
    </w:p>
    <w:p w14:paraId="52A2F377">
      <w:pPr>
        <w:ind w:left="3138" w:hanging="2088"/>
        <w:rPr>
          <w:rFonts w:hint="eastAsia" w:ascii="黑体" w:hAnsi="黑体" w:eastAsia="黑体"/>
          <w:b/>
          <w:sz w:val="32"/>
          <w:szCs w:val="32"/>
          <w:highlight w:val="none"/>
        </w:rPr>
      </w:pPr>
      <w:r>
        <w:rPr>
          <w:rFonts w:hint="eastAsia" w:ascii="黑体" w:hAnsi="黑体" w:eastAsia="黑体"/>
          <w:b/>
          <w:sz w:val="32"/>
          <w:szCs w:val="32"/>
          <w:highlight w:val="none"/>
        </w:rPr>
        <w:t>项 目 名 称：</w:t>
      </w:r>
    </w:p>
    <w:p w14:paraId="175E006E">
      <w:pPr>
        <w:ind w:left="3138" w:hanging="2088"/>
        <w:rPr>
          <w:rFonts w:hint="eastAsia" w:ascii="黑体" w:hAnsi="黑体" w:eastAsia="黑体"/>
          <w:b/>
          <w:sz w:val="32"/>
          <w:szCs w:val="32"/>
          <w:highlight w:val="none"/>
        </w:rPr>
      </w:pPr>
      <w:r>
        <w:rPr>
          <w:rFonts w:hint="eastAsia" w:ascii="黑体" w:hAnsi="黑体" w:eastAsia="黑体"/>
          <w:b/>
          <w:sz w:val="32"/>
          <w:szCs w:val="32"/>
          <w:highlight w:val="none"/>
        </w:rPr>
        <w:t>项 目 编 号：</w:t>
      </w:r>
    </w:p>
    <w:p w14:paraId="1A7E0969">
      <w:pPr>
        <w:ind w:firstLine="964"/>
        <w:rPr>
          <w:rFonts w:hint="eastAsia" w:ascii="黑体" w:hAnsi="黑体" w:eastAsia="黑体"/>
          <w:b/>
          <w:sz w:val="32"/>
          <w:szCs w:val="32"/>
          <w:highlight w:val="none"/>
        </w:rPr>
      </w:pPr>
      <w:r>
        <w:rPr>
          <w:rFonts w:hint="eastAsia" w:ascii="黑体" w:hAnsi="黑体" w:eastAsia="黑体"/>
          <w:b/>
          <w:sz w:val="32"/>
          <w:szCs w:val="32"/>
          <w:highlight w:val="none"/>
        </w:rPr>
        <w:t>磋商供应商名称：</w:t>
      </w:r>
    </w:p>
    <w:p w14:paraId="10955D09">
      <w:pPr>
        <w:ind w:firstLine="964"/>
        <w:rPr>
          <w:rFonts w:hint="eastAsia" w:ascii="黑体" w:hAnsi="黑体" w:eastAsia="黑体"/>
          <w:b/>
          <w:szCs w:val="21"/>
          <w:highlight w:val="none"/>
        </w:rPr>
      </w:pPr>
      <w:r>
        <w:rPr>
          <w:rFonts w:hint="eastAsia" w:ascii="黑体" w:hAnsi="黑体" w:eastAsia="黑体"/>
          <w:b/>
          <w:sz w:val="32"/>
          <w:szCs w:val="32"/>
          <w:highlight w:val="none"/>
        </w:rPr>
        <w:t>日       期：</w:t>
      </w:r>
    </w:p>
    <w:p w14:paraId="293878D5">
      <w:pPr>
        <w:spacing w:line="360" w:lineRule="auto"/>
        <w:ind w:firstLine="472"/>
        <w:jc w:val="center"/>
        <w:rPr>
          <w:rFonts w:hint="eastAsia" w:ascii="黑体" w:eastAsia="黑体"/>
          <w:sz w:val="44"/>
          <w:highlight w:val="none"/>
        </w:rPr>
      </w:pPr>
      <w:r>
        <w:rPr>
          <w:rFonts w:ascii="宋体" w:hAnsi="宋体"/>
          <w:b/>
          <w:sz w:val="32"/>
          <w:szCs w:val="32"/>
          <w:highlight w:val="none"/>
        </w:rPr>
        <w:br w:type="page" w:clear="all"/>
      </w:r>
      <w:r>
        <w:rPr>
          <w:rFonts w:ascii="宋体" w:hAnsi="宋体"/>
          <w:b/>
          <w:sz w:val="32"/>
          <w:szCs w:val="32"/>
          <w:highlight w:val="none"/>
        </w:rPr>
        <w:t>目</w:t>
      </w:r>
      <w:r>
        <w:rPr>
          <w:rFonts w:hint="eastAsia" w:ascii="宋体" w:hAnsi="宋体"/>
          <w:b/>
          <w:sz w:val="32"/>
          <w:szCs w:val="32"/>
          <w:highlight w:val="none"/>
        </w:rPr>
        <w:t xml:space="preserve">  </w:t>
      </w:r>
      <w:r>
        <w:rPr>
          <w:rFonts w:ascii="宋体" w:hAnsi="宋体"/>
          <w:b/>
          <w:sz w:val="32"/>
          <w:szCs w:val="32"/>
          <w:highlight w:val="none"/>
        </w:rPr>
        <w:t>录</w:t>
      </w:r>
    </w:p>
    <w:p w14:paraId="38B5CC4C">
      <w:pPr>
        <w:spacing w:line="360" w:lineRule="auto"/>
        <w:ind w:firstLine="354"/>
        <w:rPr>
          <w:rFonts w:hint="eastAsia" w:ascii="宋体" w:hAnsi="宋体"/>
          <w:bCs/>
          <w:sz w:val="24"/>
          <w:highlight w:val="none"/>
        </w:rPr>
      </w:pPr>
      <w:r>
        <w:rPr>
          <w:rFonts w:hint="eastAsia" w:ascii="宋体" w:hAnsi="宋体"/>
          <w:b/>
          <w:sz w:val="24"/>
          <w:highlight w:val="none"/>
        </w:rPr>
        <w:t>（一）资信文件：</w:t>
      </w:r>
    </w:p>
    <w:p w14:paraId="2EA12CB1">
      <w:pPr>
        <w:tabs>
          <w:tab w:val="left" w:pos="945"/>
          <w:tab w:val="left" w:pos="1050"/>
        </w:tabs>
        <w:spacing w:line="360" w:lineRule="auto"/>
        <w:ind w:firstLine="480"/>
        <w:rPr>
          <w:rFonts w:ascii="宋体" w:hAnsi="宋体" w:eastAsia="宋体"/>
          <w:bCs/>
          <w:sz w:val="24"/>
          <w:highlight w:val="none"/>
          <w:lang w:val="en-US" w:eastAsia="zh-CN"/>
        </w:rPr>
      </w:pPr>
      <w:r>
        <w:rPr>
          <w:rFonts w:hint="eastAsia" w:ascii="宋体" w:hAnsi="宋体"/>
          <w:bCs/>
          <w:sz w:val="24"/>
          <w:highlight w:val="none"/>
        </w:rPr>
        <w:t>（</w:t>
      </w:r>
      <w:r>
        <w:rPr>
          <w:rFonts w:hint="eastAsia" w:ascii="宋体" w:hAnsi="宋体"/>
          <w:bCs/>
          <w:sz w:val="24"/>
          <w:highlight w:val="none"/>
          <w:lang w:val="en-US" w:eastAsia="zh-CN"/>
        </w:rPr>
        <w:t>1</w:t>
      </w:r>
      <w:r>
        <w:rPr>
          <w:rFonts w:hint="eastAsia" w:ascii="宋体" w:hAnsi="宋体" w:eastAsia="宋体" w:cs="Times New Roman"/>
          <w:bCs/>
          <w:sz w:val="24"/>
          <w:highlight w:val="none"/>
        </w:rPr>
        <w:t>）法定代表人资格证明书及授权委托书</w:t>
      </w:r>
    </w:p>
    <w:p w14:paraId="5B470700">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2</w:t>
      </w:r>
      <w:r>
        <w:rPr>
          <w:rFonts w:hint="eastAsia" w:ascii="宋体" w:hAnsi="宋体"/>
          <w:bCs/>
          <w:sz w:val="24"/>
          <w:highlight w:val="none"/>
        </w:rPr>
        <w:t>）营业执照、资质证书、安全生产许可证、项目经理建造师证、养老保险证明等（要求详见第一章</w:t>
      </w:r>
      <w:r>
        <w:rPr>
          <w:rFonts w:hint="eastAsia" w:ascii="宋体" w:hAnsi="宋体" w:cs="宋体"/>
          <w:sz w:val="24"/>
          <w:highlight w:val="none"/>
        </w:rPr>
        <w:t>3.本项目的特定资格要求</w:t>
      </w:r>
      <w:r>
        <w:rPr>
          <w:rFonts w:hint="eastAsia" w:ascii="宋体" w:hAnsi="宋体"/>
          <w:bCs/>
          <w:sz w:val="24"/>
          <w:highlight w:val="none"/>
        </w:rPr>
        <w:t>）（</w:t>
      </w:r>
      <w:r>
        <w:rPr>
          <w:rFonts w:hint="eastAsia" w:ascii="宋体" w:hAnsi="宋体"/>
          <w:bCs/>
          <w:sz w:val="24"/>
          <w:highlight w:val="none"/>
          <w:lang w:val="en-US" w:eastAsia="zh-CN"/>
        </w:rPr>
        <w:t>原件扫描件</w:t>
      </w:r>
      <w:r>
        <w:rPr>
          <w:rFonts w:hint="eastAsia" w:ascii="宋体" w:hAnsi="宋体"/>
          <w:bCs/>
          <w:sz w:val="24"/>
          <w:highlight w:val="none"/>
        </w:rPr>
        <w:t>）；</w:t>
      </w:r>
    </w:p>
    <w:p w14:paraId="369E3686">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bCs/>
          <w:sz w:val="24"/>
          <w:highlight w:val="none"/>
        </w:rPr>
        <w:t>）供应商依法缴纳税收和社会保障金的良好记录</w:t>
      </w:r>
      <w:r>
        <w:rPr>
          <w:rFonts w:hint="eastAsia" w:ascii="宋体" w:hAnsi="宋体"/>
          <w:bCs/>
          <w:sz w:val="24"/>
          <w:highlight w:val="none"/>
          <w:lang w:val="en-US" w:eastAsia="zh-CN"/>
        </w:rPr>
        <w:t>原件扫描件</w:t>
      </w:r>
      <w:r>
        <w:rPr>
          <w:rFonts w:hint="eastAsia" w:ascii="宋体" w:hAnsi="宋体"/>
          <w:bCs/>
          <w:sz w:val="24"/>
          <w:highlight w:val="none"/>
        </w:rPr>
        <w:t>（如免缴或缓缴需提供相关政策文件）（要求详见第五章2.1.1资格性检查）；</w:t>
      </w:r>
    </w:p>
    <w:p w14:paraId="730FADFB">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）供应商《信用中国》、《国家企业信用信息公示系统》截图</w:t>
      </w:r>
      <w:r>
        <w:rPr>
          <w:rFonts w:hint="eastAsia" w:ascii="宋体" w:hAnsi="宋体"/>
          <w:bCs/>
          <w:sz w:val="24"/>
          <w:highlight w:val="none"/>
          <w:lang w:val="en-US" w:eastAsia="zh-CN"/>
        </w:rPr>
        <w:t>原件</w:t>
      </w:r>
      <w:r>
        <w:rPr>
          <w:rFonts w:hint="eastAsia" w:ascii="宋体" w:hAnsi="宋体"/>
          <w:bCs/>
          <w:sz w:val="24"/>
          <w:highlight w:val="none"/>
        </w:rPr>
        <w:t>（要求详见第五章2.1.1资格性检查）；</w:t>
      </w:r>
    </w:p>
    <w:p w14:paraId="4753D38C">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）承诺函（供应商3年内无重大违法记录声明、能力声明、无在建工程承诺函、</w:t>
      </w:r>
      <w:r>
        <w:rPr>
          <w:rFonts w:ascii="宋体" w:hAnsi="宋体"/>
          <w:bCs/>
          <w:sz w:val="24"/>
          <w:highlight w:val="none"/>
        </w:rPr>
        <w:t>不拖欠</w:t>
      </w:r>
      <w:r>
        <w:rPr>
          <w:rFonts w:hint="eastAsia" w:ascii="宋体" w:hAnsi="宋体"/>
          <w:bCs/>
          <w:sz w:val="24"/>
          <w:highlight w:val="none"/>
        </w:rPr>
        <w:t>农</w:t>
      </w:r>
      <w:r>
        <w:rPr>
          <w:rFonts w:ascii="宋体" w:hAnsi="宋体"/>
          <w:bCs/>
          <w:sz w:val="24"/>
          <w:highlight w:val="none"/>
        </w:rPr>
        <w:t>民工工资的承诺</w:t>
      </w:r>
      <w:r>
        <w:rPr>
          <w:rFonts w:hint="eastAsia" w:ascii="宋体" w:hAnsi="宋体"/>
          <w:bCs/>
          <w:sz w:val="24"/>
          <w:highlight w:val="none"/>
        </w:rPr>
        <w:t>等）（加盖公章）；</w:t>
      </w:r>
    </w:p>
    <w:p w14:paraId="6647855C">
      <w:pPr>
        <w:tabs>
          <w:tab w:val="left" w:pos="945"/>
          <w:tab w:val="left" w:pos="1050"/>
        </w:tabs>
        <w:spacing w:line="360" w:lineRule="auto"/>
        <w:ind w:firstLine="480"/>
        <w:rPr>
          <w:rFonts w:hint="eastAsia" w:ascii="宋体" w:hAnsi="宋体"/>
          <w:sz w:val="24"/>
          <w:highlight w:val="none"/>
        </w:rPr>
      </w:pP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w:t>
      </w:r>
      <w:r>
        <w:rPr>
          <w:rFonts w:hint="eastAsia" w:ascii="宋体" w:hAnsi="宋体"/>
          <w:sz w:val="24"/>
          <w:highlight w:val="none"/>
        </w:rPr>
        <w:t>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3BC9F745">
      <w:pPr>
        <w:spacing w:line="360" w:lineRule="auto"/>
        <w:ind w:firstLine="482"/>
        <w:rPr>
          <w:rFonts w:hint="eastAsia" w:ascii="宋体" w:hAnsi="宋体"/>
          <w:b/>
          <w:sz w:val="24"/>
          <w:highlight w:val="none"/>
        </w:rPr>
      </w:pPr>
      <w:r>
        <w:rPr>
          <w:rFonts w:hint="eastAsia" w:ascii="宋体" w:hAnsi="宋体"/>
          <w:b/>
          <w:sz w:val="24"/>
          <w:highlight w:val="none"/>
        </w:rPr>
        <w:t>（二）商务文件：</w:t>
      </w:r>
    </w:p>
    <w:p w14:paraId="4F80D855">
      <w:pPr>
        <w:spacing w:line="360" w:lineRule="auto"/>
        <w:ind w:firstLine="480"/>
        <w:rPr>
          <w:rFonts w:hint="eastAsia" w:ascii="宋体" w:hAnsi="宋体"/>
          <w:sz w:val="24"/>
          <w:highlight w:val="none"/>
        </w:rPr>
      </w:pPr>
      <w:r>
        <w:rPr>
          <w:rFonts w:hint="eastAsia" w:ascii="宋体" w:hAnsi="宋体"/>
          <w:sz w:val="24"/>
          <w:highlight w:val="none"/>
        </w:rPr>
        <w:t>（1）响应函；</w:t>
      </w:r>
    </w:p>
    <w:p w14:paraId="5DB5568C">
      <w:pPr>
        <w:spacing w:line="360" w:lineRule="auto"/>
        <w:ind w:firstLine="48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报价一览表</w:t>
      </w:r>
      <w:r>
        <w:rPr>
          <w:rFonts w:hint="eastAsia" w:ascii="宋体" w:hAnsi="宋体"/>
          <w:sz w:val="24"/>
          <w:highlight w:val="none"/>
        </w:rPr>
        <w:t>；</w:t>
      </w:r>
    </w:p>
    <w:p w14:paraId="5C9BF0AE">
      <w:pPr>
        <w:spacing w:line="360" w:lineRule="auto"/>
        <w:ind w:left="479"/>
        <w:rPr>
          <w:rFonts w:hint="eastAsia" w:ascii="宋体" w:hAnsi="宋体"/>
          <w:sz w:val="24"/>
          <w:highlight w:val="none"/>
        </w:rPr>
      </w:pPr>
      <w:r>
        <w:rPr>
          <w:rFonts w:hint="eastAsia" w:ascii="宋体" w:hAnsi="宋体"/>
          <w:sz w:val="24"/>
          <w:highlight w:val="none"/>
        </w:rPr>
        <w:t>（3）工程量清单；</w:t>
      </w:r>
    </w:p>
    <w:p w14:paraId="4F745C95">
      <w:pPr>
        <w:spacing w:line="360" w:lineRule="auto"/>
        <w:ind w:left="47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）项目管理机构表、投标人类似业绩表等；</w:t>
      </w:r>
    </w:p>
    <w:p w14:paraId="3D7A1578">
      <w:pPr>
        <w:spacing w:line="360" w:lineRule="auto"/>
        <w:ind w:firstLine="48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）中小企业声明函或监狱企业证明文件、或残疾人福利性单位声明函；监狱企业在响应文件中提供由省级以上监狱管理局、戒毒管理局（含新疆生产建设兵团）出具的属于监狱企业的证明文件（如有）</w:t>
      </w:r>
    </w:p>
    <w:p w14:paraId="1201DA67">
      <w:pPr>
        <w:spacing w:line="360" w:lineRule="auto"/>
        <w:ind w:firstLine="48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）评审方法中应当提供的用于评审的商务文件；</w:t>
      </w:r>
    </w:p>
    <w:p w14:paraId="59E3F43C">
      <w:pPr>
        <w:spacing w:line="360" w:lineRule="auto"/>
        <w:ind w:firstLine="48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2E91205E">
      <w:pPr>
        <w:spacing w:line="360" w:lineRule="auto"/>
        <w:ind w:firstLine="482"/>
        <w:rPr>
          <w:rFonts w:hint="eastAsia" w:ascii="宋体" w:hAnsi="宋体"/>
          <w:b/>
          <w:sz w:val="24"/>
          <w:highlight w:val="none"/>
        </w:rPr>
      </w:pPr>
      <w:r>
        <w:rPr>
          <w:rFonts w:hint="eastAsia" w:ascii="宋体" w:hAnsi="宋体"/>
          <w:b/>
          <w:sz w:val="24"/>
          <w:highlight w:val="none"/>
        </w:rPr>
        <w:t>（三）技术文件：</w:t>
      </w:r>
    </w:p>
    <w:p w14:paraId="3923A7CE">
      <w:pPr>
        <w:spacing w:line="360" w:lineRule="auto"/>
        <w:ind w:firstLine="480"/>
        <w:rPr>
          <w:rFonts w:hint="eastAsia" w:ascii="宋体" w:hAnsi="宋体"/>
          <w:sz w:val="24"/>
          <w:highlight w:val="none"/>
        </w:rPr>
      </w:pPr>
      <w:r>
        <w:rPr>
          <w:rFonts w:hint="eastAsia" w:ascii="宋体" w:hAnsi="宋体"/>
          <w:sz w:val="24"/>
          <w:highlight w:val="none"/>
        </w:rPr>
        <w:t>（1）评审方法中应当提供的用于评审的技术文件；</w:t>
      </w:r>
    </w:p>
    <w:p w14:paraId="6512FAD6">
      <w:pPr>
        <w:ind w:firstLine="480"/>
        <w:rPr>
          <w:rFonts w:hint="eastAsia" w:ascii="黑体" w:eastAsia="黑体"/>
          <w:sz w:val="44"/>
          <w:highlight w:val="none"/>
        </w:rPr>
      </w:pPr>
      <w:r>
        <w:rPr>
          <w:rFonts w:hint="eastAsia" w:ascii="宋体" w:hAnsi="宋体"/>
          <w:sz w:val="24"/>
          <w:highlight w:val="none"/>
        </w:rPr>
        <w:t>（2）本磋商文件要求提供的和响应人认为需要提供的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0915F8C3">
      <w:pPr>
        <w:pStyle w:val="201"/>
        <w:rPr>
          <w:rFonts w:hint="eastAsia" w:ascii="黑体" w:eastAsia="黑体"/>
          <w:sz w:val="44"/>
          <w:highlight w:val="none"/>
        </w:rPr>
      </w:pPr>
    </w:p>
    <w:p w14:paraId="1B008EA7">
      <w:pPr>
        <w:spacing w:line="360" w:lineRule="auto"/>
        <w:rPr>
          <w:bCs/>
          <w:highlight w:val="none"/>
        </w:rPr>
      </w:pPr>
      <w:r>
        <w:rPr>
          <w:rFonts w:ascii="黑体" w:eastAsia="黑体"/>
          <w:sz w:val="44"/>
          <w:highlight w:val="none"/>
        </w:rPr>
        <w:br w:type="page" w:clear="all"/>
      </w:r>
      <w:r>
        <w:rPr>
          <w:rFonts w:ascii="宋体" w:hAnsi="宋体"/>
          <w:b/>
          <w:sz w:val="24"/>
          <w:highlight w:val="none"/>
        </w:rPr>
        <w:t>（一）资信文件</w:t>
      </w:r>
    </w:p>
    <w:p w14:paraId="74BE71A4">
      <w:pPr>
        <w:keepNext/>
        <w:keepLines/>
        <w:spacing w:before="280" w:after="290" w:line="376" w:lineRule="auto"/>
        <w:ind w:firstLine="480"/>
        <w:outlineLvl w:val="3"/>
        <w:rPr>
          <w:rFonts w:hint="eastAsia" w:ascii="宋体" w:hAnsi="宋体" w:eastAsia="宋体" w:cs="Times New Roman"/>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1</w:t>
      </w:r>
      <w:r>
        <w:rPr>
          <w:rFonts w:hint="eastAsia" w:ascii="宋体" w:hAnsi="宋体" w:eastAsia="宋体" w:cs="Times New Roman"/>
          <w:bCs/>
          <w:sz w:val="24"/>
          <w:highlight w:val="none"/>
        </w:rPr>
        <w:t>）法定代表人资格证明书及授权委托书</w:t>
      </w:r>
    </w:p>
    <w:p w14:paraId="6CC658DE">
      <w:pPr>
        <w:shd w:val="clear" w:color="FFFFFF" w:fill="FFFFFF"/>
        <w:spacing w:line="360" w:lineRule="auto"/>
        <w:jc w:val="center"/>
        <w:outlineLvl w:val="1"/>
        <w:rPr>
          <w:rFonts w:ascii="宋体" w:hAnsi="宋体"/>
          <w:bCs/>
          <w:sz w:val="36"/>
          <w:szCs w:val="36"/>
          <w:highlight w:val="none"/>
          <w:shd w:val="clear" w:color="FFFFFF" w:fill="FFFFFF"/>
        </w:rPr>
      </w:pPr>
      <w:bookmarkStart w:id="319" w:name="_Toc43"/>
      <w:bookmarkStart w:id="320" w:name="_Toc124781658"/>
      <w:bookmarkStart w:id="321" w:name="_Toc125790034"/>
      <w:r>
        <w:rPr>
          <w:rFonts w:ascii="宋体" w:hAnsi="宋体"/>
          <w:b/>
          <w:bCs/>
          <w:sz w:val="36"/>
          <w:szCs w:val="36"/>
          <w:highlight w:val="none"/>
          <w:shd w:val="clear" w:color="FFFFFF" w:fill="FFFFFF"/>
        </w:rPr>
        <w:t>法定代表人资格证明书及授权委托书（格式）</w:t>
      </w:r>
      <w:bookmarkEnd w:id="319"/>
      <w:bookmarkEnd w:id="320"/>
      <w:bookmarkEnd w:id="321"/>
    </w:p>
    <w:p w14:paraId="3EA397A3">
      <w:pPr>
        <w:shd w:val="clear" w:color="FFFFFF" w:fill="FFFFFF"/>
        <w:spacing w:line="360" w:lineRule="auto"/>
        <w:ind w:firstLine="420"/>
        <w:rPr>
          <w:sz w:val="20"/>
          <w:szCs w:val="20"/>
          <w:highlight w:val="none"/>
          <w:shd w:val="clear" w:color="FFFFFF" w:fill="FFFFFF"/>
        </w:rPr>
      </w:pPr>
    </w:p>
    <w:p w14:paraId="255866AB">
      <w:pPr>
        <w:shd w:val="clear" w:color="FFFFFF" w:fill="FFFFFF"/>
        <w:spacing w:line="360" w:lineRule="auto"/>
        <w:jc w:val="center"/>
        <w:rPr>
          <w:rFonts w:ascii="宋体" w:hAnsi="宋体"/>
          <w:b/>
          <w:bCs/>
          <w:sz w:val="32"/>
          <w:szCs w:val="32"/>
          <w:highlight w:val="none"/>
          <w:shd w:val="clear" w:color="FFFFFF" w:fill="FFFFFF"/>
        </w:rPr>
      </w:pPr>
      <w:r>
        <w:rPr>
          <w:rFonts w:ascii="宋体" w:hAnsi="宋体"/>
          <w:b/>
          <w:bCs/>
          <w:sz w:val="32"/>
          <w:szCs w:val="32"/>
          <w:highlight w:val="none"/>
          <w:shd w:val="clear" w:color="FFFFFF" w:fill="FFFFFF"/>
        </w:rPr>
        <w:t>法定代表人资格证明书</w:t>
      </w:r>
    </w:p>
    <w:p w14:paraId="51AF994E">
      <w:pPr>
        <w:shd w:val="clear" w:color="FFFFFF" w:fill="FFFFFF"/>
        <w:spacing w:line="360" w:lineRule="auto"/>
        <w:ind w:firstLine="360"/>
        <w:jc w:val="left"/>
        <w:rPr>
          <w:rFonts w:ascii="宋体" w:hAnsi="宋体"/>
          <w:sz w:val="24"/>
          <w:highlight w:val="none"/>
          <w:shd w:val="clear" w:color="FFFFFF" w:fill="FFFFFF"/>
        </w:rPr>
      </w:pPr>
      <w:r>
        <w:rPr>
          <w:rFonts w:ascii="宋体" w:hAnsi="宋体"/>
          <w:sz w:val="24"/>
          <w:highlight w:val="none"/>
          <w:u w:val="single"/>
          <w:shd w:val="clear" w:color="FFFFFF" w:fill="FFFFFF"/>
        </w:rPr>
        <w:t>（法定代表人姓名）</w:t>
      </w:r>
      <w:r>
        <w:rPr>
          <w:rFonts w:ascii="宋体" w:hAnsi="宋体"/>
          <w:sz w:val="24"/>
          <w:highlight w:val="none"/>
          <w:shd w:val="clear" w:color="FFFFFF" w:fill="FFFFFF"/>
        </w:rPr>
        <w:t>在</w:t>
      </w:r>
      <w:r>
        <w:rPr>
          <w:rFonts w:ascii="宋体" w:hAnsi="宋体"/>
          <w:sz w:val="24"/>
          <w:highlight w:val="none"/>
          <w:u w:val="single"/>
          <w:shd w:val="clear" w:color="FFFFFF" w:fill="FFFFFF"/>
        </w:rPr>
        <w:t>（磋商供应商名称）</w:t>
      </w:r>
      <w:r>
        <w:rPr>
          <w:rFonts w:ascii="宋体" w:hAnsi="宋体"/>
          <w:sz w:val="24"/>
          <w:highlight w:val="none"/>
          <w:shd w:val="clear" w:color="FFFFFF" w:fill="FFFFFF"/>
        </w:rPr>
        <w:t>处任</w:t>
      </w:r>
      <w:r>
        <w:rPr>
          <w:rFonts w:ascii="宋体" w:hAnsi="宋体"/>
          <w:sz w:val="24"/>
          <w:highlight w:val="none"/>
          <w:u w:val="single"/>
          <w:shd w:val="clear" w:color="FFFFFF" w:fill="FFFFFF"/>
        </w:rPr>
        <w:t>（职务名称）</w:t>
      </w:r>
      <w:r>
        <w:rPr>
          <w:rFonts w:ascii="宋体" w:hAnsi="宋体"/>
          <w:sz w:val="24"/>
          <w:highlight w:val="none"/>
          <w:shd w:val="clear" w:color="FFFFFF" w:fill="FFFFFF"/>
        </w:rPr>
        <w:t>职务，是</w:t>
      </w:r>
      <w:r>
        <w:rPr>
          <w:rFonts w:ascii="宋体" w:hAnsi="宋体"/>
          <w:sz w:val="24"/>
          <w:highlight w:val="none"/>
          <w:u w:val="single"/>
          <w:shd w:val="clear" w:color="FFFFFF" w:fill="FFFFFF"/>
        </w:rPr>
        <w:t>（磋商供应商单位名称）</w:t>
      </w:r>
      <w:r>
        <w:rPr>
          <w:rFonts w:ascii="宋体" w:hAnsi="宋体"/>
          <w:sz w:val="24"/>
          <w:highlight w:val="none"/>
          <w:shd w:val="clear" w:color="FFFFFF" w:fill="FFFFFF"/>
        </w:rPr>
        <w:t>的法定代表人。</w:t>
      </w:r>
    </w:p>
    <w:p w14:paraId="4D4AD95C">
      <w:pPr>
        <w:shd w:val="clear" w:color="FFFFFF" w:fill="FFFFFF"/>
        <w:spacing w:line="360" w:lineRule="auto"/>
        <w:ind w:firstLine="360"/>
        <w:jc w:val="left"/>
        <w:rPr>
          <w:rFonts w:ascii="宋体" w:hAnsi="宋体"/>
          <w:sz w:val="24"/>
          <w:highlight w:val="none"/>
          <w:shd w:val="clear" w:color="FFFFFF" w:fill="FFFFFF"/>
        </w:rPr>
      </w:pPr>
    </w:p>
    <w:p w14:paraId="678C00AC">
      <w:pPr>
        <w:shd w:val="clear" w:color="FFFFFF" w:fill="FFFFFF"/>
        <w:spacing w:line="360" w:lineRule="auto"/>
        <w:ind w:firstLine="360"/>
        <w:jc w:val="left"/>
        <w:rPr>
          <w:rFonts w:ascii="宋体" w:hAnsi="宋体"/>
          <w:sz w:val="24"/>
          <w:highlight w:val="none"/>
          <w:shd w:val="clear" w:color="FFFFFF" w:fill="FFFFFF"/>
        </w:rPr>
      </w:pPr>
      <w:r>
        <w:rPr>
          <w:rFonts w:ascii="宋体" w:hAnsi="宋体"/>
          <w:sz w:val="24"/>
          <w:highlight w:val="none"/>
          <w:shd w:val="clear" w:color="FFFFFF" w:fill="FFFFFF"/>
        </w:rPr>
        <w:t>特此证明。</w:t>
      </w:r>
    </w:p>
    <w:p w14:paraId="6FB41B56">
      <w:pPr>
        <w:shd w:val="clear" w:color="FFFFFF" w:fill="FFFFFF"/>
        <w:spacing w:line="360" w:lineRule="auto"/>
        <w:ind w:firstLine="360"/>
        <w:jc w:val="left"/>
        <w:rPr>
          <w:rFonts w:ascii="宋体" w:hAnsi="宋体"/>
          <w:sz w:val="24"/>
          <w:highlight w:val="none"/>
          <w:shd w:val="clear" w:color="FFFFFF" w:fill="FFFFFF"/>
        </w:rPr>
      </w:pPr>
      <w:r>
        <w:rPr>
          <w:rFonts w:ascii="宋体" w:hAnsi="宋体"/>
          <w:sz w:val="24"/>
          <w:highlight w:val="none"/>
          <w:shd w:val="clear" w:color="FFFFFF" w:fill="FFFFFF"/>
        </w:rPr>
        <w:t>磋商供应商单位名称：（</w:t>
      </w:r>
      <w:r>
        <w:rPr>
          <w:rFonts w:hint="eastAsia" w:ascii="宋体" w:hAnsi="宋体"/>
          <w:sz w:val="24"/>
          <w:highlight w:val="none"/>
          <w:shd w:val="clear" w:color="FFFFFF" w:fill="FFFFFF"/>
          <w:lang w:val="en-US" w:eastAsia="zh-CN"/>
        </w:rPr>
        <w:t>加盖CA电子公章</w:t>
      </w:r>
      <w:r>
        <w:rPr>
          <w:rFonts w:ascii="宋体" w:hAnsi="宋体"/>
          <w:sz w:val="24"/>
          <w:highlight w:val="none"/>
          <w:shd w:val="clear" w:color="FFFFFF" w:fill="FFFFFF"/>
        </w:rPr>
        <w:t>）</w:t>
      </w:r>
    </w:p>
    <w:p w14:paraId="45FFF46B">
      <w:pPr>
        <w:shd w:val="clear" w:color="FFFFFF" w:fill="FFFFFF"/>
        <w:spacing w:line="360" w:lineRule="auto"/>
        <w:ind w:firstLine="360"/>
        <w:jc w:val="left"/>
        <w:rPr>
          <w:rFonts w:ascii="宋体" w:hAnsi="宋体"/>
          <w:sz w:val="24"/>
          <w:highlight w:val="none"/>
          <w:shd w:val="clear" w:color="FFFFFF" w:fill="FFFFFF"/>
        </w:rPr>
      </w:pPr>
      <w:r>
        <w:rPr>
          <w:rFonts w:ascii="宋体" w:hAnsi="宋体"/>
          <w:sz w:val="24"/>
          <w:highlight w:val="none"/>
          <w:shd w:val="clear" w:color="FFFFFF" w:fill="FFFFFF"/>
        </w:rPr>
        <w:t>日期：   年   月     日</w:t>
      </w:r>
    </w:p>
    <w:p w14:paraId="2D427D30">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法定代表人身份证复印件（正反两面均需复印）（骑缝处加盖公章）：</w:t>
      </w:r>
    </w:p>
    <w:p w14:paraId="515E2435">
      <w:pPr>
        <w:shd w:val="clear" w:color="FFFFFF" w:fill="FFFFFF"/>
        <w:spacing w:line="360" w:lineRule="auto"/>
        <w:ind w:firstLine="480"/>
        <w:rPr>
          <w:rFonts w:ascii="宋体" w:hAnsi="宋体"/>
          <w:sz w:val="24"/>
          <w:szCs w:val="20"/>
          <w:highlight w:val="none"/>
          <w:shd w:val="clear" w:color="FFFFFF" w:fill="FFFFFF"/>
        </w:rPr>
      </w:pPr>
    </w:p>
    <w:tbl>
      <w:tblPr>
        <w:tblStyle w:val="32"/>
        <w:tblpPr w:leftFromText="180" w:rightFromText="180" w:vertAnchor="text" w:horzAnchor="margin" w:tblpXSpec="center" w:tblpY="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1"/>
        <w:gridCol w:w="837"/>
        <w:gridCol w:w="4027"/>
      </w:tblGrid>
      <w:tr w14:paraId="6B13E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6" w:hRule="atLeast"/>
        </w:trPr>
        <w:tc>
          <w:tcPr>
            <w:tcW w:w="4031" w:type="dxa"/>
            <w:noWrap w:val="0"/>
            <w:vAlign w:val="top"/>
          </w:tcPr>
          <w:p w14:paraId="04B93E2E">
            <w:pPr>
              <w:shd w:val="clear" w:color="FFFFFF" w:fill="FFFFFF"/>
              <w:spacing w:line="360" w:lineRule="auto"/>
              <w:ind w:firstLine="480"/>
              <w:rPr>
                <w:rFonts w:ascii="宋体" w:hAnsi="宋体"/>
                <w:sz w:val="24"/>
                <w:szCs w:val="20"/>
                <w:highlight w:val="none"/>
                <w:shd w:val="clear" w:color="FFFFFF" w:fill="FFFFFF"/>
              </w:rPr>
            </w:pPr>
          </w:p>
          <w:p w14:paraId="68729EB5">
            <w:pPr>
              <w:shd w:val="clear" w:color="FFFFFF" w:fill="FFFFFF"/>
              <w:spacing w:line="360" w:lineRule="auto"/>
              <w:ind w:firstLine="480"/>
              <w:rPr>
                <w:rFonts w:ascii="宋体" w:hAnsi="宋体"/>
                <w:sz w:val="24"/>
                <w:szCs w:val="20"/>
                <w:highlight w:val="none"/>
                <w:shd w:val="clear" w:color="FFFFFF" w:fill="FFFFFF"/>
              </w:rPr>
            </w:pPr>
          </w:p>
          <w:p w14:paraId="2EDA1A47">
            <w:pPr>
              <w:shd w:val="clear" w:color="FFFFFF" w:fill="FFFFFF"/>
              <w:spacing w:line="360" w:lineRule="auto"/>
              <w:ind w:firstLine="480"/>
              <w:rPr>
                <w:rFonts w:ascii="宋体" w:hAnsi="宋体"/>
                <w:sz w:val="24"/>
                <w:szCs w:val="20"/>
                <w:highlight w:val="none"/>
                <w:shd w:val="clear" w:color="FFFFFF" w:fill="FFFFFF"/>
              </w:rPr>
            </w:pPr>
          </w:p>
          <w:p w14:paraId="3B44600B">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法定代表人身份证正面复印件</w:t>
            </w:r>
          </w:p>
          <w:p w14:paraId="7C2F20D4">
            <w:pPr>
              <w:shd w:val="clear" w:color="FFFFFF" w:fill="FFFFFF"/>
              <w:spacing w:line="360" w:lineRule="auto"/>
              <w:ind w:firstLine="480"/>
              <w:rPr>
                <w:rFonts w:ascii="宋体" w:hAnsi="宋体"/>
                <w:sz w:val="24"/>
                <w:szCs w:val="20"/>
                <w:highlight w:val="none"/>
                <w:shd w:val="clear" w:color="FFFFFF" w:fill="FFFFFF"/>
              </w:rPr>
            </w:pPr>
          </w:p>
          <w:p w14:paraId="5949D9C0">
            <w:pPr>
              <w:shd w:val="clear" w:color="FFFFFF" w:fill="FFFFFF"/>
              <w:spacing w:line="360" w:lineRule="auto"/>
              <w:ind w:firstLine="480"/>
              <w:rPr>
                <w:rFonts w:ascii="宋体" w:hAnsi="宋体"/>
                <w:sz w:val="24"/>
                <w:szCs w:val="20"/>
                <w:highlight w:val="none"/>
                <w:shd w:val="clear" w:color="FFFFFF" w:fill="FFFFFF"/>
              </w:rPr>
            </w:pPr>
          </w:p>
          <w:p w14:paraId="0815F864">
            <w:pPr>
              <w:shd w:val="clear" w:color="FFFFFF" w:fill="FFFFFF"/>
              <w:spacing w:line="360" w:lineRule="auto"/>
              <w:ind w:firstLine="480"/>
              <w:rPr>
                <w:rFonts w:ascii="宋体" w:hAnsi="宋体"/>
                <w:sz w:val="24"/>
                <w:szCs w:val="20"/>
                <w:highlight w:val="none"/>
                <w:shd w:val="clear" w:color="FFFFFF" w:fill="FFFFFF"/>
              </w:rPr>
            </w:pPr>
          </w:p>
        </w:tc>
        <w:tc>
          <w:tcPr>
            <w:tcW w:w="837" w:type="dxa"/>
            <w:noWrap w:val="0"/>
            <w:vAlign w:val="top"/>
          </w:tcPr>
          <w:p w14:paraId="77138164">
            <w:pPr>
              <w:shd w:val="clear" w:color="FFFFFF" w:fill="FFFFFF"/>
              <w:spacing w:line="360" w:lineRule="auto"/>
              <w:ind w:left="621" w:firstLine="480"/>
              <w:rPr>
                <w:rFonts w:ascii="宋体" w:hAnsi="宋体"/>
                <w:sz w:val="24"/>
                <w:szCs w:val="20"/>
                <w:highlight w:val="none"/>
                <w:shd w:val="clear" w:color="FFFFFF" w:fill="FFFFFF"/>
              </w:rPr>
            </w:pPr>
          </w:p>
          <w:p w14:paraId="09659CDB">
            <w:pPr>
              <w:widowControl/>
              <w:shd w:val="clear" w:color="FFFFFF" w:fill="FFFFFF"/>
              <w:spacing w:line="360" w:lineRule="auto"/>
              <w:jc w:val="left"/>
              <w:rPr>
                <w:rFonts w:ascii="宋体" w:hAnsi="宋体"/>
                <w:sz w:val="24"/>
                <w:szCs w:val="22"/>
                <w:highlight w:val="none"/>
                <w:shd w:val="clear" w:color="FFFFFF" w:fill="FFFFFF"/>
              </w:rPr>
            </w:pPr>
          </w:p>
          <w:p w14:paraId="4367E4CA">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加</w:t>
            </w:r>
          </w:p>
          <w:p w14:paraId="5968048B">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盖</w:t>
            </w:r>
          </w:p>
          <w:p w14:paraId="5BBC67C1">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公</w:t>
            </w:r>
          </w:p>
          <w:p w14:paraId="074C35A0">
            <w:pPr>
              <w:widowControl/>
              <w:shd w:val="clear" w:color="FFFFFF" w:fill="FFFFFF"/>
              <w:spacing w:line="360" w:lineRule="auto"/>
              <w:jc w:val="left"/>
              <w:rPr>
                <w:rFonts w:ascii="宋体" w:hAnsi="宋体"/>
                <w:sz w:val="24"/>
                <w:szCs w:val="22"/>
                <w:highlight w:val="none"/>
                <w:shd w:val="clear" w:color="FFFFFF" w:fill="FFFFFF"/>
              </w:rPr>
            </w:pPr>
            <w:r>
              <w:rPr>
                <w:rFonts w:ascii="宋体" w:hAnsi="宋体"/>
                <w:sz w:val="22"/>
                <w:szCs w:val="22"/>
                <w:highlight w:val="none"/>
                <w:shd w:val="clear" w:color="FFFFFF" w:fill="FFFFFF"/>
              </w:rPr>
              <w:t>章</w:t>
            </w:r>
          </w:p>
          <w:p w14:paraId="15FBDAC0">
            <w:pPr>
              <w:shd w:val="clear" w:color="FFFFFF" w:fill="FFFFFF"/>
              <w:spacing w:line="360" w:lineRule="auto"/>
              <w:rPr>
                <w:rFonts w:ascii="宋体" w:hAnsi="宋体"/>
                <w:sz w:val="24"/>
                <w:szCs w:val="20"/>
                <w:highlight w:val="none"/>
                <w:shd w:val="clear" w:color="FFFFFF" w:fill="FFFFFF"/>
              </w:rPr>
            </w:pPr>
          </w:p>
        </w:tc>
        <w:tc>
          <w:tcPr>
            <w:tcW w:w="4027" w:type="dxa"/>
            <w:noWrap w:val="0"/>
            <w:vAlign w:val="top"/>
          </w:tcPr>
          <w:p w14:paraId="75247959">
            <w:pPr>
              <w:shd w:val="clear" w:color="FFFFFF" w:fill="FFFFFF"/>
              <w:spacing w:line="360" w:lineRule="auto"/>
              <w:ind w:firstLine="480"/>
              <w:rPr>
                <w:rFonts w:ascii="宋体" w:hAnsi="宋体"/>
                <w:sz w:val="24"/>
                <w:szCs w:val="22"/>
                <w:highlight w:val="none"/>
                <w:shd w:val="clear" w:color="FFFFFF" w:fill="FFFFFF"/>
              </w:rPr>
            </w:pPr>
          </w:p>
          <w:p w14:paraId="03449C40">
            <w:pPr>
              <w:shd w:val="clear" w:color="FFFFFF" w:fill="FFFFFF"/>
              <w:spacing w:line="360" w:lineRule="auto"/>
              <w:ind w:firstLine="480"/>
              <w:rPr>
                <w:rFonts w:ascii="宋体" w:hAnsi="宋体"/>
                <w:sz w:val="24"/>
                <w:szCs w:val="22"/>
                <w:highlight w:val="none"/>
                <w:shd w:val="clear" w:color="FFFFFF" w:fill="FFFFFF"/>
              </w:rPr>
            </w:pPr>
          </w:p>
          <w:p w14:paraId="74800B76">
            <w:pPr>
              <w:shd w:val="clear" w:color="FFFFFF" w:fill="FFFFFF"/>
              <w:spacing w:line="360" w:lineRule="auto"/>
              <w:ind w:firstLine="480"/>
              <w:rPr>
                <w:rFonts w:ascii="宋体" w:hAnsi="宋体"/>
                <w:sz w:val="24"/>
                <w:szCs w:val="22"/>
                <w:highlight w:val="none"/>
                <w:shd w:val="clear" w:color="FFFFFF" w:fill="FFFFFF"/>
              </w:rPr>
            </w:pPr>
          </w:p>
          <w:p w14:paraId="2FBCA8A8">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法定代表人身份证反面复印件</w:t>
            </w:r>
          </w:p>
          <w:p w14:paraId="5760C52F">
            <w:pPr>
              <w:shd w:val="clear" w:color="FFFFFF" w:fill="FFFFFF"/>
              <w:spacing w:line="360" w:lineRule="auto"/>
              <w:ind w:firstLine="1620"/>
              <w:rPr>
                <w:rFonts w:ascii="宋体" w:hAnsi="宋体"/>
                <w:sz w:val="24"/>
                <w:szCs w:val="22"/>
                <w:highlight w:val="none"/>
                <w:shd w:val="clear" w:color="FFFFFF" w:fill="FFFFFF"/>
              </w:rPr>
            </w:pPr>
          </w:p>
        </w:tc>
      </w:tr>
    </w:tbl>
    <w:p w14:paraId="21E7CEDD">
      <w:pPr>
        <w:shd w:val="clear" w:color="FFFFFF" w:fill="FFFFFF"/>
        <w:spacing w:line="360" w:lineRule="auto"/>
        <w:ind w:firstLine="480"/>
        <w:rPr>
          <w:rFonts w:ascii="宋体" w:hAnsi="宋体"/>
          <w:sz w:val="24"/>
          <w:szCs w:val="20"/>
          <w:highlight w:val="none"/>
          <w:shd w:val="clear" w:color="FFFFFF" w:fill="FFFFFF"/>
        </w:rPr>
      </w:pPr>
    </w:p>
    <w:p w14:paraId="402AD14E">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说明：1、上述证明文件在磋商响应文件中附有法定代表人身份证复印件（身份证两面均应复印，身份证复印件加盖公章）或护照复印件（供应商的法定代表人为外籍人士的，则提供护照复印件）时才能生效；</w:t>
      </w:r>
    </w:p>
    <w:p w14:paraId="1208C9C6">
      <w:pPr>
        <w:shd w:val="clear" w:color="FFFFFF" w:fill="FFFFFF"/>
        <w:spacing w:line="360" w:lineRule="auto"/>
        <w:ind w:firstLine="480"/>
        <w:rPr>
          <w:rFonts w:ascii="宋体" w:hAnsi="宋体"/>
          <w:sz w:val="24"/>
          <w:szCs w:val="20"/>
          <w:highlight w:val="none"/>
          <w:shd w:val="clear" w:color="FFFFFF" w:fill="FFFFFF"/>
        </w:rPr>
      </w:pPr>
    </w:p>
    <w:p w14:paraId="6F509C17">
      <w:pPr>
        <w:shd w:val="clear" w:color="FFFFFF" w:fill="FFFFFF"/>
        <w:spacing w:line="360" w:lineRule="auto"/>
        <w:ind w:firstLine="480"/>
        <w:rPr>
          <w:rFonts w:ascii="宋体" w:hAnsi="宋体"/>
          <w:sz w:val="24"/>
          <w:szCs w:val="20"/>
          <w:highlight w:val="none"/>
          <w:shd w:val="clear" w:color="FFFFFF" w:fill="FFFFFF"/>
        </w:rPr>
      </w:pPr>
    </w:p>
    <w:p w14:paraId="4192B8F1">
      <w:pPr>
        <w:shd w:val="clear" w:color="FFFFFF" w:fill="FFFFFF"/>
        <w:spacing w:line="360" w:lineRule="auto"/>
        <w:jc w:val="left"/>
        <w:rPr>
          <w:rFonts w:hint="eastAsia" w:ascii="宋体" w:hAnsi="宋体"/>
          <w:b/>
          <w:bCs/>
          <w:sz w:val="32"/>
          <w:szCs w:val="32"/>
          <w:highlight w:val="none"/>
          <w:shd w:val="clear" w:color="FFFFFF" w:fill="FFFFFF"/>
        </w:rPr>
      </w:pPr>
      <w:r>
        <w:rPr>
          <w:rFonts w:ascii="宋体" w:hAnsi="宋体"/>
          <w:b/>
          <w:bCs/>
          <w:sz w:val="32"/>
          <w:szCs w:val="32"/>
          <w:highlight w:val="none"/>
          <w:shd w:val="clear" w:color="FFFFFF" w:fill="FFFFFF"/>
        </w:rPr>
        <w:br w:type="page" w:clear="all"/>
      </w:r>
      <w:r>
        <w:rPr>
          <w:rFonts w:hint="eastAsia" w:ascii="宋体" w:hAnsi="宋体"/>
          <w:b/>
          <w:bCs/>
          <w:sz w:val="32"/>
          <w:szCs w:val="32"/>
          <w:highlight w:val="none"/>
          <w:shd w:val="clear" w:color="FFFFFF" w:fill="FFFFFF"/>
        </w:rPr>
        <w:t xml:space="preserve"> </w:t>
      </w:r>
    </w:p>
    <w:p w14:paraId="15FA485F">
      <w:pPr>
        <w:shd w:val="clear" w:color="FFFFFF" w:fill="FFFFFF"/>
        <w:spacing w:line="360" w:lineRule="auto"/>
        <w:jc w:val="center"/>
        <w:rPr>
          <w:rFonts w:ascii="宋体" w:hAnsi="宋体"/>
          <w:b/>
          <w:sz w:val="44"/>
          <w:highlight w:val="none"/>
          <w:shd w:val="clear" w:color="FFFFFF" w:fill="FFFFFF"/>
        </w:rPr>
      </w:pPr>
      <w:r>
        <w:rPr>
          <w:rFonts w:ascii="宋体" w:hAnsi="宋体"/>
          <w:b/>
          <w:sz w:val="36"/>
          <w:szCs w:val="36"/>
          <w:highlight w:val="none"/>
        </w:rPr>
        <w:t>法定代表人授权书</w:t>
      </w:r>
    </w:p>
    <w:p w14:paraId="22152E8D">
      <w:pPr>
        <w:shd w:val="clear" w:color="FFFFFF" w:fill="FFFFFF"/>
        <w:spacing w:line="360" w:lineRule="auto"/>
        <w:rPr>
          <w:rFonts w:ascii="宋体" w:hAnsi="宋体"/>
          <w:sz w:val="24"/>
          <w:highlight w:val="none"/>
          <w:shd w:val="clear" w:color="FFFFFF" w:fill="FFFFFF"/>
        </w:rPr>
      </w:pPr>
      <w:r>
        <w:rPr>
          <w:rFonts w:ascii="宋体" w:hAnsi="宋体"/>
          <w:sz w:val="24"/>
          <w:highlight w:val="none"/>
          <w:shd w:val="clear" w:color="FFFFFF" w:fill="FFFFFF"/>
        </w:rPr>
        <w:t>__________________（采购人名称）：</w:t>
      </w:r>
    </w:p>
    <w:p w14:paraId="3047FD0B">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本授权声明：（磋商供应商单位名称）（法定代表人姓名、职务）授权（被委托代理人姓名、职务）为我方 “” 项目磋商活动的合法代表，以我方名义全权处理该项目有关磋商、签订合同以及执行合同等一切事宜。</w:t>
      </w:r>
    </w:p>
    <w:p w14:paraId="36D3A9DF">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特此声明。</w:t>
      </w:r>
    </w:p>
    <w:p w14:paraId="4444DC1E">
      <w:pPr>
        <w:shd w:val="clear" w:color="FFFFFF" w:fill="FFFFFF"/>
        <w:spacing w:line="360" w:lineRule="auto"/>
        <w:rPr>
          <w:rFonts w:ascii="宋体" w:hAnsi="宋体"/>
          <w:sz w:val="24"/>
          <w:highlight w:val="none"/>
          <w:shd w:val="clear" w:color="FFFFFF" w:fill="FFFFFF"/>
        </w:rPr>
      </w:pPr>
    </w:p>
    <w:p w14:paraId="75563D5E">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法定代表人签字：</w:t>
      </w:r>
    </w:p>
    <w:p w14:paraId="4459887C">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委托代理人签字：</w:t>
      </w:r>
    </w:p>
    <w:p w14:paraId="3F47B741">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磋商供应商单位名称：（</w:t>
      </w:r>
      <w:r>
        <w:rPr>
          <w:rFonts w:hint="eastAsia" w:ascii="宋体" w:hAnsi="宋体"/>
          <w:sz w:val="24"/>
          <w:highlight w:val="none"/>
          <w:shd w:val="clear" w:color="FFFFFF" w:fill="FFFFFF"/>
          <w:lang w:val="en-US" w:eastAsia="zh-CN"/>
        </w:rPr>
        <w:t>加盖CA电子公章</w:t>
      </w:r>
      <w:r>
        <w:rPr>
          <w:rFonts w:ascii="宋体" w:hAnsi="宋体"/>
          <w:sz w:val="24"/>
          <w:highlight w:val="none"/>
          <w:shd w:val="clear" w:color="FFFFFF" w:fill="FFFFFF"/>
        </w:rPr>
        <w:t>）</w:t>
      </w:r>
    </w:p>
    <w:p w14:paraId="298BE52A">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日    期：</w:t>
      </w:r>
    </w:p>
    <w:p w14:paraId="018D40E3">
      <w:pPr>
        <w:shd w:val="clear" w:color="FFFFFF" w:fill="FFFFFF"/>
        <w:spacing w:line="360" w:lineRule="auto"/>
        <w:rPr>
          <w:rFonts w:ascii="宋体" w:hAnsi="宋体"/>
          <w:b/>
          <w:sz w:val="28"/>
          <w:szCs w:val="28"/>
          <w:highlight w:val="none"/>
          <w:shd w:val="clear" w:color="FFFFFF" w:fill="FFFFFF"/>
        </w:rPr>
      </w:pPr>
    </w:p>
    <w:p w14:paraId="704F8AC9">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授权代表身份证复印件（正反两面均需复印）（骑缝处加盖公章）：</w:t>
      </w:r>
    </w:p>
    <w:p w14:paraId="12701523">
      <w:pPr>
        <w:shd w:val="clear" w:color="FFFFFF" w:fill="FFFFFF"/>
        <w:spacing w:line="360" w:lineRule="auto"/>
        <w:ind w:firstLine="480"/>
        <w:rPr>
          <w:rFonts w:ascii="宋体" w:hAnsi="宋体"/>
          <w:sz w:val="24"/>
          <w:szCs w:val="20"/>
          <w:highlight w:val="none"/>
          <w:shd w:val="clear" w:color="FFFFFF" w:fill="FFFFFF"/>
        </w:rPr>
      </w:pPr>
    </w:p>
    <w:tbl>
      <w:tblPr>
        <w:tblStyle w:val="32"/>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3"/>
        <w:gridCol w:w="837"/>
        <w:gridCol w:w="4128"/>
      </w:tblGrid>
      <w:tr w14:paraId="031A2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3" w:hRule="atLeast"/>
        </w:trPr>
        <w:tc>
          <w:tcPr>
            <w:tcW w:w="4533" w:type="dxa"/>
            <w:noWrap w:val="0"/>
            <w:vAlign w:val="top"/>
          </w:tcPr>
          <w:p w14:paraId="6D76A0BE">
            <w:pPr>
              <w:shd w:val="clear" w:color="FFFFFF" w:fill="FFFFFF"/>
              <w:spacing w:line="360" w:lineRule="auto"/>
              <w:ind w:firstLine="480"/>
              <w:rPr>
                <w:rFonts w:ascii="宋体" w:hAnsi="宋体"/>
                <w:sz w:val="24"/>
                <w:szCs w:val="20"/>
                <w:highlight w:val="none"/>
                <w:shd w:val="clear" w:color="FFFFFF" w:fill="FFFFFF"/>
              </w:rPr>
            </w:pPr>
          </w:p>
          <w:p w14:paraId="5FC1096A">
            <w:pPr>
              <w:shd w:val="clear" w:color="FFFFFF" w:fill="FFFFFF"/>
              <w:spacing w:line="360" w:lineRule="auto"/>
              <w:ind w:firstLine="480"/>
              <w:rPr>
                <w:rFonts w:ascii="宋体" w:hAnsi="宋体"/>
                <w:sz w:val="24"/>
                <w:szCs w:val="20"/>
                <w:highlight w:val="none"/>
                <w:shd w:val="clear" w:color="FFFFFF" w:fill="FFFFFF"/>
              </w:rPr>
            </w:pPr>
          </w:p>
          <w:p w14:paraId="5418C095">
            <w:pPr>
              <w:shd w:val="clear" w:color="FFFFFF" w:fill="FFFFFF"/>
              <w:spacing w:line="360" w:lineRule="auto"/>
              <w:ind w:firstLine="480"/>
              <w:rPr>
                <w:rFonts w:ascii="宋体" w:hAnsi="宋体"/>
                <w:sz w:val="24"/>
                <w:szCs w:val="20"/>
                <w:highlight w:val="none"/>
                <w:shd w:val="clear" w:color="FFFFFF" w:fill="FFFFFF"/>
              </w:rPr>
            </w:pPr>
          </w:p>
          <w:p w14:paraId="1F6B4B5E">
            <w:pPr>
              <w:shd w:val="clear" w:color="FFFFFF" w:fill="FFFFFF"/>
              <w:spacing w:line="360" w:lineRule="auto"/>
              <w:rPr>
                <w:rFonts w:ascii="宋体" w:hAnsi="宋体"/>
                <w:sz w:val="24"/>
                <w:szCs w:val="20"/>
                <w:highlight w:val="none"/>
                <w:shd w:val="clear" w:color="FFFFFF" w:fill="FFFFFF"/>
              </w:rPr>
            </w:pPr>
            <w:r>
              <w:rPr>
                <w:rFonts w:ascii="宋体" w:hAnsi="宋体"/>
                <w:sz w:val="24"/>
                <w:szCs w:val="20"/>
                <w:highlight w:val="none"/>
                <w:shd w:val="clear" w:color="FFFFFF" w:fill="FFFFFF"/>
              </w:rPr>
              <w:t>被委托</w:t>
            </w:r>
            <w:r>
              <w:rPr>
                <w:rFonts w:ascii="宋体" w:hAnsi="宋体"/>
                <w:sz w:val="24"/>
                <w:szCs w:val="22"/>
                <w:highlight w:val="none"/>
                <w:shd w:val="clear" w:color="FFFFFF" w:fill="FFFFFF"/>
              </w:rPr>
              <w:t>代理人</w:t>
            </w:r>
            <w:r>
              <w:rPr>
                <w:rFonts w:ascii="宋体" w:hAnsi="宋体"/>
                <w:sz w:val="24"/>
                <w:szCs w:val="20"/>
                <w:highlight w:val="none"/>
                <w:shd w:val="clear" w:color="FFFFFF" w:fill="FFFFFF"/>
              </w:rPr>
              <w:t>身份证正面复印件</w:t>
            </w:r>
          </w:p>
          <w:p w14:paraId="303E3A50">
            <w:pPr>
              <w:shd w:val="clear" w:color="FFFFFF" w:fill="FFFFFF"/>
              <w:spacing w:line="360" w:lineRule="auto"/>
              <w:ind w:firstLine="480"/>
              <w:rPr>
                <w:rFonts w:ascii="宋体" w:hAnsi="宋体"/>
                <w:sz w:val="24"/>
                <w:szCs w:val="20"/>
                <w:highlight w:val="none"/>
                <w:shd w:val="clear" w:color="FFFFFF" w:fill="FFFFFF"/>
              </w:rPr>
            </w:pPr>
          </w:p>
        </w:tc>
        <w:tc>
          <w:tcPr>
            <w:tcW w:w="837" w:type="dxa"/>
            <w:noWrap w:val="0"/>
            <w:vAlign w:val="top"/>
          </w:tcPr>
          <w:p w14:paraId="74D0C458">
            <w:pPr>
              <w:shd w:val="clear" w:color="FFFFFF" w:fill="FFFFFF"/>
              <w:spacing w:line="360" w:lineRule="auto"/>
              <w:ind w:left="621" w:firstLine="480"/>
              <w:rPr>
                <w:rFonts w:ascii="宋体" w:hAnsi="宋体"/>
                <w:sz w:val="24"/>
                <w:szCs w:val="20"/>
                <w:highlight w:val="none"/>
                <w:shd w:val="clear" w:color="FFFFFF" w:fill="FFFFFF"/>
              </w:rPr>
            </w:pPr>
          </w:p>
          <w:p w14:paraId="024117AE">
            <w:pPr>
              <w:widowControl/>
              <w:shd w:val="clear" w:color="FFFFFF" w:fill="FFFFFF"/>
              <w:spacing w:line="360" w:lineRule="auto"/>
              <w:jc w:val="left"/>
              <w:rPr>
                <w:rFonts w:ascii="宋体" w:hAnsi="宋体"/>
                <w:sz w:val="24"/>
                <w:szCs w:val="22"/>
                <w:highlight w:val="none"/>
                <w:shd w:val="clear" w:color="FFFFFF" w:fill="FFFFFF"/>
              </w:rPr>
            </w:pPr>
          </w:p>
          <w:p w14:paraId="1417600A">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加</w:t>
            </w:r>
          </w:p>
          <w:p w14:paraId="4BFAF2CF">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盖</w:t>
            </w:r>
          </w:p>
          <w:p w14:paraId="7092DD83">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公</w:t>
            </w:r>
          </w:p>
          <w:p w14:paraId="11701074">
            <w:pPr>
              <w:widowControl/>
              <w:shd w:val="clear" w:color="FFFFFF" w:fill="FFFFFF"/>
              <w:spacing w:line="360" w:lineRule="auto"/>
              <w:jc w:val="left"/>
              <w:rPr>
                <w:rFonts w:ascii="宋体" w:hAnsi="宋体"/>
                <w:sz w:val="24"/>
                <w:szCs w:val="22"/>
                <w:highlight w:val="none"/>
                <w:shd w:val="clear" w:color="FFFFFF" w:fill="FFFFFF"/>
              </w:rPr>
            </w:pPr>
            <w:r>
              <w:rPr>
                <w:rFonts w:ascii="宋体" w:hAnsi="宋体"/>
                <w:sz w:val="22"/>
                <w:szCs w:val="22"/>
                <w:highlight w:val="none"/>
                <w:shd w:val="clear" w:color="FFFFFF" w:fill="FFFFFF"/>
              </w:rPr>
              <w:t>章</w:t>
            </w:r>
          </w:p>
          <w:p w14:paraId="39ECBC47">
            <w:pPr>
              <w:widowControl/>
              <w:shd w:val="clear" w:color="FFFFFF" w:fill="FFFFFF"/>
              <w:spacing w:line="360" w:lineRule="auto"/>
              <w:jc w:val="left"/>
              <w:rPr>
                <w:rFonts w:ascii="宋体" w:hAnsi="宋体"/>
                <w:sz w:val="24"/>
                <w:szCs w:val="22"/>
                <w:highlight w:val="none"/>
                <w:shd w:val="clear" w:color="FFFFFF" w:fill="FFFFFF"/>
              </w:rPr>
            </w:pPr>
          </w:p>
          <w:p w14:paraId="5ED695F4">
            <w:pPr>
              <w:widowControl/>
              <w:shd w:val="clear" w:color="FFFFFF" w:fill="FFFFFF"/>
              <w:spacing w:line="360" w:lineRule="auto"/>
              <w:jc w:val="left"/>
              <w:rPr>
                <w:rFonts w:ascii="宋体" w:hAnsi="宋体"/>
                <w:sz w:val="24"/>
                <w:szCs w:val="22"/>
                <w:highlight w:val="none"/>
                <w:shd w:val="clear" w:color="FFFFFF" w:fill="FFFFFF"/>
              </w:rPr>
            </w:pPr>
          </w:p>
          <w:p w14:paraId="21E2CCAA">
            <w:pPr>
              <w:shd w:val="clear" w:color="FFFFFF" w:fill="FFFFFF"/>
              <w:spacing w:line="360" w:lineRule="auto"/>
              <w:ind w:firstLine="480"/>
              <w:rPr>
                <w:rFonts w:ascii="宋体" w:hAnsi="宋体"/>
                <w:sz w:val="24"/>
                <w:szCs w:val="20"/>
                <w:highlight w:val="none"/>
                <w:shd w:val="clear" w:color="FFFFFF" w:fill="FFFFFF"/>
              </w:rPr>
            </w:pPr>
          </w:p>
        </w:tc>
        <w:tc>
          <w:tcPr>
            <w:tcW w:w="4128" w:type="dxa"/>
            <w:noWrap w:val="0"/>
            <w:vAlign w:val="top"/>
          </w:tcPr>
          <w:p w14:paraId="0E62DB58">
            <w:pPr>
              <w:shd w:val="clear" w:color="FFFFFF" w:fill="FFFFFF"/>
              <w:spacing w:line="360" w:lineRule="auto"/>
              <w:ind w:firstLine="480"/>
              <w:rPr>
                <w:rFonts w:ascii="宋体" w:hAnsi="宋体"/>
                <w:sz w:val="24"/>
                <w:szCs w:val="22"/>
                <w:highlight w:val="none"/>
                <w:shd w:val="clear" w:color="FFFFFF" w:fill="FFFFFF"/>
              </w:rPr>
            </w:pPr>
          </w:p>
          <w:p w14:paraId="62ED12F3">
            <w:pPr>
              <w:shd w:val="clear" w:color="FFFFFF" w:fill="FFFFFF"/>
              <w:spacing w:line="360" w:lineRule="auto"/>
              <w:ind w:firstLine="480"/>
              <w:rPr>
                <w:rFonts w:ascii="宋体" w:hAnsi="宋体"/>
                <w:sz w:val="24"/>
                <w:szCs w:val="22"/>
                <w:highlight w:val="none"/>
                <w:shd w:val="clear" w:color="FFFFFF" w:fill="FFFFFF"/>
              </w:rPr>
            </w:pPr>
          </w:p>
          <w:p w14:paraId="21F7426F">
            <w:pPr>
              <w:shd w:val="clear" w:color="FFFFFF" w:fill="FFFFFF"/>
              <w:spacing w:line="360" w:lineRule="auto"/>
              <w:ind w:firstLine="480"/>
              <w:rPr>
                <w:rFonts w:ascii="宋体" w:hAnsi="宋体"/>
                <w:sz w:val="24"/>
                <w:szCs w:val="22"/>
                <w:highlight w:val="none"/>
                <w:shd w:val="clear" w:color="FFFFFF" w:fill="FFFFFF"/>
              </w:rPr>
            </w:pPr>
          </w:p>
          <w:p w14:paraId="5D89CA01">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被委托</w:t>
            </w:r>
            <w:r>
              <w:rPr>
                <w:rFonts w:ascii="宋体" w:hAnsi="宋体"/>
                <w:sz w:val="24"/>
                <w:szCs w:val="22"/>
                <w:highlight w:val="none"/>
                <w:shd w:val="clear" w:color="FFFFFF" w:fill="FFFFFF"/>
              </w:rPr>
              <w:t>代理人</w:t>
            </w:r>
            <w:r>
              <w:rPr>
                <w:rFonts w:ascii="宋体" w:hAnsi="宋体"/>
                <w:sz w:val="24"/>
                <w:szCs w:val="20"/>
                <w:highlight w:val="none"/>
                <w:shd w:val="clear" w:color="FFFFFF" w:fill="FFFFFF"/>
              </w:rPr>
              <w:t>身份证反面复印件</w:t>
            </w:r>
          </w:p>
          <w:p w14:paraId="68930D78">
            <w:pPr>
              <w:shd w:val="clear" w:color="FFFFFF" w:fill="FFFFFF"/>
              <w:spacing w:line="360" w:lineRule="auto"/>
              <w:ind w:firstLine="1620"/>
              <w:rPr>
                <w:rFonts w:ascii="宋体" w:hAnsi="宋体"/>
                <w:sz w:val="24"/>
                <w:szCs w:val="22"/>
                <w:highlight w:val="none"/>
                <w:shd w:val="clear" w:color="FFFFFF" w:fill="FFFFFF"/>
              </w:rPr>
            </w:pPr>
          </w:p>
        </w:tc>
      </w:tr>
    </w:tbl>
    <w:p w14:paraId="4C354BC0">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说明：</w:t>
      </w:r>
    </w:p>
    <w:p w14:paraId="708EBC71">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1、上述证明文件在磋商响应文件中附有代理人身份证复印件（身份证两面均应复印，身份证复印件加盖公章）时才能生效；</w:t>
      </w:r>
    </w:p>
    <w:p w14:paraId="0BDA2F16">
      <w:pPr>
        <w:shd w:val="clear" w:color="FFFFFF" w:fill="FFFFFF"/>
        <w:spacing w:line="360" w:lineRule="auto"/>
        <w:ind w:firstLine="480"/>
        <w:rPr>
          <w:rFonts w:hint="eastAsia" w:ascii="宋体" w:hAnsi="宋体" w:eastAsia="宋体" w:cs="Times New Roman"/>
          <w:bCs/>
          <w:sz w:val="24"/>
          <w:highlight w:val="none"/>
        </w:rPr>
      </w:pPr>
      <w:r>
        <w:rPr>
          <w:rFonts w:ascii="宋体" w:hAnsi="宋体"/>
          <w:sz w:val="24"/>
          <w:highlight w:val="none"/>
          <w:shd w:val="clear" w:color="FFFFFF" w:fill="FFFFFF"/>
        </w:rPr>
        <w:t>2、磋商响应文件均由磋商供应商法定代表人签字的，磋商响应文件中可不提供该附件的内容。</w:t>
      </w:r>
    </w:p>
    <w:p w14:paraId="3DAD93BE">
      <w:pPr>
        <w:keepNext/>
        <w:keepLines/>
        <w:spacing w:before="280" w:after="290" w:line="376" w:lineRule="auto"/>
        <w:ind w:firstLine="480"/>
        <w:outlineLvl w:val="3"/>
        <w:rPr>
          <w:rFonts w:ascii="宋体" w:hAnsi="宋体"/>
          <w:bCs/>
          <w:sz w:val="24"/>
          <w:szCs w:val="20"/>
          <w:highlight w:val="none"/>
          <w:shd w:val="clear" w:color="FFFFFF" w:fill="FFFFFF"/>
        </w:rPr>
      </w:pPr>
      <w:r>
        <w:rPr>
          <w:rFonts w:ascii="宋体" w:hAnsi="宋体"/>
          <w:bCs/>
          <w:sz w:val="24"/>
          <w:szCs w:val="20"/>
          <w:highlight w:val="none"/>
          <w:shd w:val="clear" w:color="FFFFFF" w:fill="FFFFFF"/>
        </w:rPr>
        <w:t>（</w:t>
      </w:r>
      <w:r>
        <w:rPr>
          <w:rFonts w:hint="eastAsia" w:ascii="宋体" w:hAnsi="宋体"/>
          <w:bCs/>
          <w:sz w:val="24"/>
          <w:szCs w:val="20"/>
          <w:highlight w:val="none"/>
          <w:shd w:val="clear" w:color="FFFFFF" w:fill="FFFFFF"/>
          <w:lang w:val="en-US" w:eastAsia="zh-CN"/>
        </w:rPr>
        <w:t>2</w:t>
      </w:r>
      <w:r>
        <w:rPr>
          <w:rFonts w:ascii="宋体" w:hAnsi="宋体"/>
          <w:bCs/>
          <w:sz w:val="24"/>
          <w:szCs w:val="20"/>
          <w:highlight w:val="none"/>
          <w:shd w:val="clear" w:color="FFFFFF" w:fill="FFFFFF"/>
        </w:rPr>
        <w:t>）</w:t>
      </w:r>
      <w:r>
        <w:rPr>
          <w:rFonts w:hint="eastAsia" w:ascii="宋体" w:hAnsi="宋体"/>
          <w:bCs/>
          <w:sz w:val="24"/>
          <w:highlight w:val="none"/>
        </w:rPr>
        <w:t>营业执照、资质证书、安全生产许可证、项目经理建造师证、养老保险证明等（要求详见第一章</w:t>
      </w:r>
      <w:r>
        <w:rPr>
          <w:rFonts w:hint="eastAsia" w:ascii="宋体" w:hAnsi="宋体" w:cs="宋体"/>
          <w:sz w:val="24"/>
          <w:highlight w:val="none"/>
        </w:rPr>
        <w:t>3.本项目的特定资格要求</w:t>
      </w:r>
      <w:r>
        <w:rPr>
          <w:rFonts w:hint="eastAsia" w:ascii="宋体" w:hAnsi="宋体"/>
          <w:bCs/>
          <w:sz w:val="24"/>
          <w:highlight w:val="none"/>
        </w:rPr>
        <w:t>）（</w:t>
      </w:r>
      <w:r>
        <w:rPr>
          <w:rFonts w:hint="eastAsia" w:ascii="宋体" w:hAnsi="宋体"/>
          <w:bCs/>
          <w:sz w:val="24"/>
          <w:highlight w:val="none"/>
          <w:lang w:val="en-US" w:eastAsia="zh-CN"/>
        </w:rPr>
        <w:t>原件扫描件</w:t>
      </w:r>
      <w:r>
        <w:rPr>
          <w:rFonts w:hint="eastAsia" w:ascii="宋体" w:hAnsi="宋体"/>
          <w:bCs/>
          <w:sz w:val="24"/>
          <w:highlight w:val="none"/>
        </w:rPr>
        <w:t>）</w:t>
      </w:r>
      <w:r>
        <w:rPr>
          <w:rFonts w:ascii="宋体" w:hAnsi="宋体"/>
          <w:bCs/>
          <w:sz w:val="24"/>
          <w:szCs w:val="20"/>
          <w:highlight w:val="none"/>
          <w:shd w:val="clear" w:color="FFFFFF" w:fill="FFFFFF"/>
        </w:rPr>
        <w:t>；</w:t>
      </w:r>
    </w:p>
    <w:p w14:paraId="6486E715">
      <w:pPr>
        <w:tabs>
          <w:tab w:val="left" w:pos="945"/>
          <w:tab w:val="left" w:pos="1050"/>
        </w:tabs>
        <w:spacing w:line="360" w:lineRule="auto"/>
        <w:ind w:firstLine="480"/>
        <w:rPr>
          <w:rFonts w:ascii="宋体" w:hAnsi="宋体"/>
          <w:bCs/>
          <w:sz w:val="24"/>
          <w:highlight w:val="none"/>
        </w:rPr>
      </w:pPr>
      <w:r>
        <w:rPr>
          <w:rFonts w:ascii="宋体" w:hAnsi="宋体"/>
          <w:bCs/>
          <w:sz w:val="24"/>
          <w:highlight w:val="none"/>
        </w:rPr>
        <w:t>（</w:t>
      </w:r>
      <w:r>
        <w:rPr>
          <w:rFonts w:hint="eastAsia" w:ascii="宋体" w:hAnsi="宋体"/>
          <w:bCs/>
          <w:sz w:val="24"/>
          <w:highlight w:val="none"/>
          <w:lang w:val="en-US" w:eastAsia="zh-CN"/>
        </w:rPr>
        <w:t>3</w:t>
      </w:r>
      <w:r>
        <w:rPr>
          <w:rFonts w:ascii="宋体" w:hAnsi="宋体"/>
          <w:bCs/>
          <w:sz w:val="24"/>
          <w:highlight w:val="none"/>
        </w:rPr>
        <w:t>）供应商依法缴纳税收和社会保障金的良好记录</w:t>
      </w:r>
      <w:r>
        <w:rPr>
          <w:rFonts w:hint="eastAsia" w:ascii="宋体" w:hAnsi="宋体"/>
          <w:bCs/>
          <w:sz w:val="24"/>
          <w:highlight w:val="none"/>
          <w:lang w:val="en-US" w:eastAsia="zh-CN"/>
        </w:rPr>
        <w:t>原件扫描件</w:t>
      </w:r>
      <w:r>
        <w:rPr>
          <w:rFonts w:ascii="宋体" w:hAnsi="宋体"/>
          <w:bCs/>
          <w:sz w:val="24"/>
          <w:highlight w:val="none"/>
        </w:rPr>
        <w:t>（如免缴或缓缴需提供相关政策文件）（要求详见第五章2.1.1资格性检查）；</w:t>
      </w:r>
    </w:p>
    <w:p w14:paraId="714AD8A2">
      <w:pPr>
        <w:tabs>
          <w:tab w:val="left" w:pos="945"/>
          <w:tab w:val="left" w:pos="1050"/>
        </w:tabs>
        <w:spacing w:line="360" w:lineRule="auto"/>
        <w:ind w:firstLine="480"/>
        <w:rPr>
          <w:rFonts w:ascii="宋体" w:hAnsi="宋体"/>
          <w:bCs/>
          <w:sz w:val="24"/>
          <w:highlight w:val="none"/>
        </w:rPr>
      </w:pPr>
      <w:r>
        <w:rPr>
          <w:rFonts w:ascii="宋体" w:hAnsi="宋体"/>
          <w:bCs/>
          <w:sz w:val="24"/>
          <w:highlight w:val="none"/>
        </w:rPr>
        <w:t>（</w:t>
      </w:r>
      <w:r>
        <w:rPr>
          <w:rFonts w:hint="eastAsia" w:ascii="宋体" w:hAnsi="宋体"/>
          <w:bCs/>
          <w:sz w:val="24"/>
          <w:highlight w:val="none"/>
          <w:lang w:val="en-US" w:eastAsia="zh-CN"/>
        </w:rPr>
        <w:t>4</w:t>
      </w:r>
      <w:r>
        <w:rPr>
          <w:rFonts w:ascii="宋体" w:hAnsi="宋体"/>
          <w:bCs/>
          <w:sz w:val="24"/>
          <w:highlight w:val="none"/>
        </w:rPr>
        <w:t>）供应商《信用中国》、《全国企业信用信息公示系统》截图</w:t>
      </w:r>
      <w:r>
        <w:rPr>
          <w:rFonts w:hint="eastAsia" w:ascii="宋体" w:hAnsi="宋体"/>
          <w:bCs/>
          <w:sz w:val="24"/>
          <w:highlight w:val="none"/>
          <w:lang w:val="en-US" w:eastAsia="zh-CN"/>
        </w:rPr>
        <w:t>原件</w:t>
      </w:r>
      <w:r>
        <w:rPr>
          <w:rFonts w:ascii="宋体" w:hAnsi="宋体"/>
          <w:bCs/>
          <w:sz w:val="24"/>
          <w:highlight w:val="none"/>
        </w:rPr>
        <w:t>（要求详见第五章2.1.1资格性检查）；</w:t>
      </w:r>
    </w:p>
    <w:p w14:paraId="398AA5D9">
      <w:pPr>
        <w:pStyle w:val="201"/>
        <w:spacing w:line="360" w:lineRule="auto"/>
        <w:ind w:firstLine="480"/>
        <w:rPr>
          <w:rFonts w:hint="eastAsia" w:ascii="宋体" w:hAnsi="宋体" w:eastAsia="宋体"/>
          <w:bCs/>
          <w:sz w:val="24"/>
          <w:szCs w:val="24"/>
          <w:highlight w:val="none"/>
          <w:lang w:eastAsia="zh-CN"/>
        </w:rPr>
      </w:pPr>
      <w:r>
        <w:rPr>
          <w:rFonts w:hint="eastAsia" w:ascii="宋体" w:hAnsi="宋体" w:eastAsia="宋体"/>
          <w:bCs/>
          <w:sz w:val="24"/>
          <w:szCs w:val="24"/>
          <w:highlight w:val="none"/>
        </w:rPr>
        <w:t>（</w:t>
      </w:r>
      <w:r>
        <w:rPr>
          <w:rFonts w:hint="eastAsia" w:ascii="宋体" w:hAnsi="宋体" w:eastAsia="宋体"/>
          <w:bCs/>
          <w:sz w:val="24"/>
          <w:szCs w:val="24"/>
          <w:highlight w:val="none"/>
          <w:lang w:val="en-US" w:eastAsia="zh-CN"/>
        </w:rPr>
        <w:t>5</w:t>
      </w:r>
      <w:r>
        <w:rPr>
          <w:rFonts w:hint="eastAsia" w:ascii="宋体" w:hAnsi="宋体" w:eastAsia="宋体"/>
          <w:bCs/>
          <w:sz w:val="24"/>
          <w:szCs w:val="24"/>
          <w:highlight w:val="none"/>
        </w:rPr>
        <w:t>）承诺函（供应商3年内无重大违法记录声明、能力声明、无在建工程承诺函、</w:t>
      </w:r>
      <w:r>
        <w:rPr>
          <w:rFonts w:ascii="宋体" w:hAnsi="宋体" w:eastAsia="宋体"/>
          <w:bCs/>
          <w:sz w:val="24"/>
          <w:szCs w:val="24"/>
          <w:highlight w:val="none"/>
        </w:rPr>
        <w:t>不拖欠</w:t>
      </w:r>
      <w:r>
        <w:rPr>
          <w:rFonts w:hint="eastAsia" w:ascii="宋体" w:hAnsi="宋体" w:eastAsia="宋体"/>
          <w:bCs/>
          <w:sz w:val="24"/>
          <w:szCs w:val="24"/>
          <w:highlight w:val="none"/>
        </w:rPr>
        <w:t>农</w:t>
      </w:r>
      <w:r>
        <w:rPr>
          <w:rFonts w:ascii="宋体" w:hAnsi="宋体" w:eastAsia="宋体"/>
          <w:bCs/>
          <w:sz w:val="24"/>
          <w:szCs w:val="24"/>
          <w:highlight w:val="none"/>
        </w:rPr>
        <w:t>民工工资的承诺</w:t>
      </w:r>
      <w:r>
        <w:rPr>
          <w:rFonts w:hint="eastAsia" w:ascii="宋体" w:hAnsi="宋体" w:eastAsia="宋体"/>
          <w:bCs/>
          <w:sz w:val="24"/>
          <w:szCs w:val="24"/>
          <w:highlight w:val="none"/>
        </w:rPr>
        <w:t>）（加盖公章）</w:t>
      </w:r>
      <w:r>
        <w:rPr>
          <w:rFonts w:hint="eastAsia" w:ascii="宋体" w:hAnsi="宋体" w:eastAsia="宋体"/>
          <w:bCs/>
          <w:sz w:val="24"/>
          <w:szCs w:val="24"/>
          <w:highlight w:val="none"/>
          <w:lang w:eastAsia="zh-CN"/>
        </w:rPr>
        <w:t>；</w:t>
      </w:r>
    </w:p>
    <w:p w14:paraId="228421B3">
      <w:pPr>
        <w:shd w:val="clear" w:color="FFFFFF" w:fill="FFFFFF"/>
        <w:spacing w:line="360" w:lineRule="auto"/>
        <w:ind w:firstLine="723"/>
        <w:jc w:val="center"/>
        <w:rPr>
          <w:rFonts w:ascii="宋体" w:hAnsi="宋体"/>
          <w:b/>
          <w:sz w:val="36"/>
          <w:szCs w:val="36"/>
          <w:highlight w:val="none"/>
        </w:rPr>
      </w:pPr>
    </w:p>
    <w:p w14:paraId="275666D8">
      <w:pPr>
        <w:shd w:val="clear" w:color="FFFFFF" w:fill="FFFFFF"/>
        <w:spacing w:line="360" w:lineRule="auto"/>
        <w:jc w:val="center"/>
        <w:rPr>
          <w:rFonts w:ascii="宋体" w:hAnsi="宋体"/>
          <w:b/>
          <w:sz w:val="36"/>
          <w:szCs w:val="36"/>
          <w:highlight w:val="none"/>
        </w:rPr>
      </w:pPr>
      <w:r>
        <w:rPr>
          <w:rFonts w:ascii="宋体" w:hAnsi="宋体"/>
          <w:b/>
          <w:sz w:val="36"/>
          <w:szCs w:val="36"/>
          <w:highlight w:val="none"/>
        </w:rPr>
        <w:t>无重大违法记录声明（格式）</w:t>
      </w:r>
    </w:p>
    <w:p w14:paraId="0B826B76">
      <w:pPr>
        <w:shd w:val="clear" w:color="FFFFFF" w:fill="FFFFFF"/>
        <w:spacing w:line="360" w:lineRule="auto"/>
        <w:ind w:firstLine="480"/>
        <w:rPr>
          <w:rFonts w:ascii="宋体" w:hAnsi="宋体"/>
          <w:sz w:val="24"/>
          <w:highlight w:val="none"/>
          <w:shd w:val="clear" w:color="FFFFFF" w:fill="FFFFFF"/>
        </w:rPr>
      </w:pPr>
    </w:p>
    <w:p w14:paraId="5C211216">
      <w:pPr>
        <w:shd w:val="clear" w:color="FFFFFF" w:fill="FFFFFF"/>
        <w:spacing w:line="360" w:lineRule="auto"/>
        <w:ind w:firstLine="482"/>
        <w:rPr>
          <w:rFonts w:ascii="宋体" w:hAnsi="宋体"/>
          <w:sz w:val="24"/>
          <w:highlight w:val="none"/>
          <w:shd w:val="clear" w:color="FFFFFF" w:fill="FFFFFF"/>
        </w:rPr>
      </w:pPr>
      <w:r>
        <w:rPr>
          <w:rFonts w:ascii="宋体" w:hAnsi="宋体"/>
          <w:bCs/>
          <w:sz w:val="24"/>
          <w:highlight w:val="none"/>
          <w:shd w:val="clear" w:color="FFFFFF" w:fill="FFFFFF"/>
        </w:rPr>
        <w:t>我公司郑重声明：参加本次政府采购活动前 3 年内，我公司在经营活动中没有因违法经营受到刑事处罚或者责令停产停业、吊销许可证或者执照、较大数额罚款等行政处罚。</w:t>
      </w:r>
      <w:r>
        <w:rPr>
          <w:rFonts w:ascii="宋体" w:hAnsi="宋体"/>
          <w:sz w:val="24"/>
          <w:highlight w:val="none"/>
          <w:shd w:val="clear" w:color="FFFFFF" w:fill="FFFFFF"/>
        </w:rPr>
        <w:t>特此声明。</w:t>
      </w:r>
    </w:p>
    <w:p w14:paraId="02D4366A">
      <w:pPr>
        <w:shd w:val="clear" w:color="FFFFFF" w:fill="FFFFFF"/>
        <w:spacing w:line="360" w:lineRule="auto"/>
        <w:ind w:firstLine="480"/>
        <w:rPr>
          <w:rFonts w:ascii="宋体" w:hAnsi="宋体"/>
          <w:sz w:val="24"/>
          <w:highlight w:val="none"/>
          <w:shd w:val="clear" w:color="FFFFFF" w:fill="FFFFFF"/>
        </w:rPr>
      </w:pPr>
    </w:p>
    <w:p w14:paraId="20170144">
      <w:pPr>
        <w:shd w:val="clear" w:color="FFFFFF" w:fill="FFFFFF"/>
        <w:spacing w:line="360" w:lineRule="auto"/>
        <w:ind w:firstLine="480"/>
        <w:jc w:val="left"/>
        <w:rPr>
          <w:rFonts w:ascii="宋体" w:hAnsi="宋体"/>
          <w:sz w:val="24"/>
          <w:highlight w:val="none"/>
          <w:shd w:val="clear" w:color="FFFFFF" w:fill="FFFFFF"/>
        </w:rPr>
      </w:pPr>
      <w:r>
        <w:rPr>
          <w:rFonts w:ascii="宋体" w:hAnsi="宋体"/>
          <w:sz w:val="24"/>
          <w:highlight w:val="none"/>
          <w:shd w:val="clear" w:color="FFFFFF" w:fill="FFFFFF"/>
        </w:rPr>
        <w:t>磋商供应商单位名称：（</w:t>
      </w:r>
      <w:r>
        <w:rPr>
          <w:rFonts w:hint="eastAsia" w:ascii="宋体" w:hAnsi="宋体"/>
          <w:sz w:val="24"/>
          <w:highlight w:val="none"/>
          <w:shd w:val="clear" w:color="FFFFFF" w:fill="FFFFFF"/>
          <w:lang w:val="en-US" w:eastAsia="zh-CN"/>
        </w:rPr>
        <w:t>加盖CA电子公章</w:t>
      </w:r>
      <w:r>
        <w:rPr>
          <w:rFonts w:ascii="宋体" w:hAnsi="宋体"/>
          <w:sz w:val="24"/>
          <w:highlight w:val="none"/>
          <w:shd w:val="clear" w:color="FFFFFF" w:fill="FFFFFF"/>
        </w:rPr>
        <w:t>）</w:t>
      </w:r>
    </w:p>
    <w:p w14:paraId="6A6EEC6A">
      <w:pPr>
        <w:widowControl/>
        <w:shd w:val="clear" w:color="FFFFFF" w:fill="FFFFFF"/>
        <w:spacing w:line="360" w:lineRule="auto"/>
        <w:ind w:firstLine="480"/>
        <w:jc w:val="left"/>
        <w:rPr>
          <w:rFonts w:ascii="宋体" w:hAnsi="宋体"/>
          <w:sz w:val="24"/>
          <w:highlight w:val="none"/>
          <w:shd w:val="clear" w:color="FFFFFF" w:fill="FFFFFF"/>
        </w:rPr>
      </w:pPr>
      <w:r>
        <w:rPr>
          <w:rFonts w:ascii="宋体" w:hAnsi="宋体"/>
          <w:sz w:val="24"/>
          <w:highlight w:val="none"/>
          <w:shd w:val="clear" w:color="FFFFFF" w:fill="FFFFFF"/>
        </w:rPr>
        <w:t>法定代表人或者授权代表（签字或盖章）：</w:t>
      </w:r>
    </w:p>
    <w:p w14:paraId="41E33740">
      <w:pPr>
        <w:widowControl/>
        <w:shd w:val="clear" w:color="FFFFFF" w:fill="FFFFFF"/>
        <w:spacing w:line="360" w:lineRule="auto"/>
        <w:ind w:firstLine="480"/>
        <w:jc w:val="left"/>
        <w:rPr>
          <w:rFonts w:ascii="宋体" w:hAnsi="宋体"/>
          <w:sz w:val="24"/>
          <w:highlight w:val="none"/>
          <w:shd w:val="clear" w:color="FFFFFF" w:fill="FFFFFF"/>
        </w:rPr>
      </w:pPr>
      <w:r>
        <w:rPr>
          <w:rFonts w:ascii="宋体" w:hAnsi="宋体"/>
          <w:sz w:val="24"/>
          <w:highlight w:val="none"/>
          <w:shd w:val="clear" w:color="FFFFFF" w:fill="FFFFFF"/>
        </w:rPr>
        <w:t>日期：</w:t>
      </w:r>
    </w:p>
    <w:p w14:paraId="2E94C528">
      <w:pPr>
        <w:spacing w:line="360" w:lineRule="auto"/>
        <w:ind w:firstLine="482"/>
        <w:jc w:val="center"/>
        <w:rPr>
          <w:b/>
          <w:bCs/>
          <w:sz w:val="24"/>
          <w:highlight w:val="none"/>
        </w:rPr>
      </w:pPr>
    </w:p>
    <w:p w14:paraId="7A3FD2A1">
      <w:pPr>
        <w:spacing w:line="360" w:lineRule="auto"/>
        <w:rPr>
          <w:b/>
          <w:bCs/>
          <w:sz w:val="24"/>
          <w:highlight w:val="none"/>
        </w:rPr>
      </w:pPr>
    </w:p>
    <w:p w14:paraId="5E3A481A">
      <w:pPr>
        <w:spacing w:line="360" w:lineRule="auto"/>
        <w:ind w:firstLine="482"/>
        <w:jc w:val="center"/>
        <w:rPr>
          <w:b/>
          <w:bCs/>
          <w:sz w:val="24"/>
          <w:highlight w:val="none"/>
        </w:rPr>
      </w:pPr>
    </w:p>
    <w:p w14:paraId="453B60D2">
      <w:pPr>
        <w:spacing w:line="360" w:lineRule="auto"/>
        <w:ind w:firstLine="482"/>
        <w:jc w:val="center"/>
        <w:rPr>
          <w:b/>
          <w:bCs/>
          <w:sz w:val="24"/>
          <w:highlight w:val="none"/>
        </w:rPr>
      </w:pPr>
    </w:p>
    <w:p w14:paraId="60C7F5C7">
      <w:pPr>
        <w:pStyle w:val="197"/>
        <w:rPr>
          <w:b w:val="0"/>
          <w:bCs w:val="0"/>
          <w:sz w:val="24"/>
          <w:highlight w:val="none"/>
        </w:rPr>
      </w:pPr>
    </w:p>
    <w:p w14:paraId="6A153404">
      <w:pPr>
        <w:rPr>
          <w:b/>
          <w:bCs/>
          <w:sz w:val="24"/>
          <w:highlight w:val="none"/>
        </w:rPr>
      </w:pPr>
    </w:p>
    <w:p w14:paraId="1BE99361">
      <w:pPr>
        <w:pStyle w:val="197"/>
        <w:rPr>
          <w:b w:val="0"/>
          <w:bCs w:val="0"/>
          <w:sz w:val="24"/>
          <w:highlight w:val="none"/>
        </w:rPr>
      </w:pPr>
    </w:p>
    <w:p w14:paraId="1973501B">
      <w:pPr>
        <w:rPr>
          <w:b/>
          <w:bCs/>
          <w:sz w:val="24"/>
          <w:highlight w:val="none"/>
        </w:rPr>
      </w:pPr>
    </w:p>
    <w:p w14:paraId="7376679F">
      <w:pPr>
        <w:pStyle w:val="197"/>
        <w:rPr>
          <w:b w:val="0"/>
          <w:bCs w:val="0"/>
          <w:sz w:val="24"/>
          <w:highlight w:val="none"/>
        </w:rPr>
      </w:pPr>
    </w:p>
    <w:p w14:paraId="7EAC14FB">
      <w:pPr>
        <w:rPr>
          <w:b/>
          <w:bCs/>
          <w:sz w:val="24"/>
          <w:highlight w:val="none"/>
        </w:rPr>
      </w:pPr>
    </w:p>
    <w:p w14:paraId="5A90BE22">
      <w:pPr>
        <w:pStyle w:val="197"/>
        <w:rPr>
          <w:b w:val="0"/>
          <w:bCs w:val="0"/>
          <w:sz w:val="24"/>
          <w:highlight w:val="none"/>
        </w:rPr>
      </w:pPr>
    </w:p>
    <w:p w14:paraId="7B90E94C">
      <w:pPr>
        <w:rPr>
          <w:b/>
          <w:bCs/>
          <w:sz w:val="24"/>
          <w:highlight w:val="none"/>
        </w:rPr>
      </w:pPr>
    </w:p>
    <w:p w14:paraId="740EBE8C">
      <w:pPr>
        <w:pStyle w:val="197"/>
        <w:rPr>
          <w:b w:val="0"/>
          <w:bCs w:val="0"/>
          <w:sz w:val="24"/>
          <w:highlight w:val="none"/>
        </w:rPr>
      </w:pPr>
    </w:p>
    <w:p w14:paraId="7E5F8B98">
      <w:pPr>
        <w:rPr>
          <w:b/>
          <w:bCs/>
          <w:sz w:val="24"/>
          <w:highlight w:val="none"/>
        </w:rPr>
      </w:pPr>
    </w:p>
    <w:p w14:paraId="0A6F1924">
      <w:pPr>
        <w:pStyle w:val="197"/>
        <w:rPr>
          <w:highlight w:val="none"/>
        </w:rPr>
      </w:pPr>
    </w:p>
    <w:p w14:paraId="557F05F5">
      <w:pPr>
        <w:spacing w:line="360" w:lineRule="auto"/>
        <w:ind w:firstLine="482"/>
        <w:jc w:val="center"/>
        <w:rPr>
          <w:rFonts w:ascii="宋体" w:hAnsi="宋体"/>
          <w:b/>
          <w:sz w:val="36"/>
          <w:szCs w:val="36"/>
          <w:highlight w:val="none"/>
        </w:rPr>
      </w:pPr>
      <w:r>
        <w:rPr>
          <w:rFonts w:ascii="宋体" w:hAnsi="宋体"/>
          <w:b/>
          <w:sz w:val="36"/>
          <w:szCs w:val="36"/>
          <w:highlight w:val="none"/>
        </w:rPr>
        <w:t>具备履行合同所必需的设备和专业技术能力的声明（格式）</w:t>
      </w:r>
    </w:p>
    <w:p w14:paraId="161C5C82">
      <w:pPr>
        <w:widowControl/>
        <w:spacing w:line="360" w:lineRule="auto"/>
        <w:rPr>
          <w:sz w:val="24"/>
          <w:highlight w:val="none"/>
        </w:rPr>
      </w:pPr>
      <w:r>
        <w:rPr>
          <w:sz w:val="24"/>
          <w:highlight w:val="none"/>
          <w:u w:val="single"/>
        </w:rPr>
        <w:t>（采购人名称）</w:t>
      </w:r>
      <w:r>
        <w:rPr>
          <w:sz w:val="24"/>
          <w:highlight w:val="none"/>
        </w:rPr>
        <w:t>：</w:t>
      </w:r>
    </w:p>
    <w:p w14:paraId="3666AC24">
      <w:pPr>
        <w:spacing w:line="360" w:lineRule="auto"/>
        <w:ind w:firstLine="492"/>
        <w:rPr>
          <w:sz w:val="24"/>
          <w:highlight w:val="none"/>
        </w:rPr>
      </w:pPr>
      <w:r>
        <w:rPr>
          <w:sz w:val="24"/>
          <w:highlight w:val="none"/>
        </w:rPr>
        <w:t>我单位（投标人名称）郑重声明：我公司具备履行本项招标合同所必需的设备和专业技术能力，为履行本项招标合同我单位具备如下主要设备和主要专业技术能力：</w:t>
      </w:r>
    </w:p>
    <w:p w14:paraId="7B477727">
      <w:pPr>
        <w:spacing w:line="360" w:lineRule="auto"/>
        <w:ind w:firstLine="492"/>
        <w:rPr>
          <w:sz w:val="24"/>
          <w:highlight w:val="none"/>
        </w:rPr>
      </w:pPr>
      <w:r>
        <w:rPr>
          <w:sz w:val="24"/>
          <w:highlight w:val="none"/>
        </w:rPr>
        <w:t>主要设备有：                          。( 若有 )</w:t>
      </w:r>
    </w:p>
    <w:p w14:paraId="1A13286B">
      <w:pPr>
        <w:spacing w:line="360" w:lineRule="auto"/>
        <w:ind w:firstLine="492"/>
        <w:rPr>
          <w:sz w:val="24"/>
          <w:highlight w:val="none"/>
        </w:rPr>
      </w:pPr>
      <w:r>
        <w:rPr>
          <w:sz w:val="24"/>
          <w:highlight w:val="none"/>
        </w:rPr>
        <w:t>主要专业技术能力有：                  。( 若有 )</w:t>
      </w:r>
    </w:p>
    <w:p w14:paraId="53BE590A">
      <w:pPr>
        <w:spacing w:line="360" w:lineRule="auto"/>
        <w:rPr>
          <w:sz w:val="24"/>
          <w:highlight w:val="none"/>
        </w:rPr>
      </w:pPr>
    </w:p>
    <w:p w14:paraId="0381E4EC">
      <w:pPr>
        <w:shd w:val="clear" w:color="FFFFFF" w:fill="FFFFFF"/>
        <w:spacing w:line="360" w:lineRule="auto"/>
        <w:jc w:val="left"/>
        <w:rPr>
          <w:rFonts w:ascii="宋体" w:hAnsi="宋体"/>
          <w:sz w:val="24"/>
          <w:highlight w:val="none"/>
          <w:lang w:val="zh-CN"/>
        </w:rPr>
      </w:pPr>
    </w:p>
    <w:p w14:paraId="1FB466DB">
      <w:pPr>
        <w:shd w:val="clear" w:color="FFFFFF" w:fill="FFFFFF"/>
        <w:spacing w:line="360" w:lineRule="auto"/>
        <w:ind w:firstLine="480"/>
        <w:jc w:val="left"/>
        <w:rPr>
          <w:rFonts w:ascii="宋体" w:hAnsi="宋体"/>
          <w:sz w:val="24"/>
          <w:highlight w:val="none"/>
        </w:rPr>
      </w:pPr>
      <w:r>
        <w:rPr>
          <w:rFonts w:ascii="宋体" w:hAnsi="宋体"/>
          <w:sz w:val="24"/>
          <w:highlight w:val="none"/>
          <w:shd w:val="clear" w:color="FFFFFF" w:fill="FFFFFF"/>
        </w:rPr>
        <w:t>磋商供应商单位名称：（</w:t>
      </w:r>
      <w:r>
        <w:rPr>
          <w:rFonts w:hint="eastAsia" w:ascii="宋体" w:hAnsi="宋体"/>
          <w:sz w:val="24"/>
          <w:highlight w:val="none"/>
          <w:shd w:val="clear" w:color="FFFFFF" w:fill="FFFFFF"/>
          <w:lang w:val="en-US" w:eastAsia="zh-CN"/>
        </w:rPr>
        <w:t>加盖CA电子公章</w:t>
      </w:r>
      <w:r>
        <w:rPr>
          <w:rFonts w:ascii="宋体" w:hAnsi="宋体"/>
          <w:sz w:val="24"/>
          <w:highlight w:val="none"/>
          <w:shd w:val="clear" w:color="FFFFFF" w:fill="FFFFFF"/>
        </w:rPr>
        <w:t>）</w:t>
      </w:r>
    </w:p>
    <w:p w14:paraId="0D4630D4">
      <w:pPr>
        <w:widowControl/>
        <w:shd w:val="clear" w:color="FFFFFF" w:fill="FFFFFF"/>
        <w:spacing w:line="360" w:lineRule="auto"/>
        <w:ind w:firstLine="480"/>
        <w:jc w:val="left"/>
        <w:rPr>
          <w:rFonts w:ascii="宋体" w:hAnsi="宋体"/>
          <w:highlight w:val="none"/>
        </w:rPr>
      </w:pPr>
      <w:r>
        <w:rPr>
          <w:rFonts w:ascii="宋体" w:hAnsi="宋体"/>
          <w:sz w:val="24"/>
          <w:highlight w:val="none"/>
          <w:shd w:val="clear" w:color="FFFFFF" w:fill="FFFFFF"/>
        </w:rPr>
        <w:t>法定代表人或者授权代表（签字或盖章）：</w:t>
      </w:r>
    </w:p>
    <w:p w14:paraId="5805D07A">
      <w:pPr>
        <w:widowControl/>
        <w:shd w:val="clear" w:color="FFFFFF" w:fill="FFFFFF"/>
        <w:spacing w:line="360" w:lineRule="auto"/>
        <w:ind w:firstLine="480"/>
        <w:jc w:val="left"/>
        <w:rPr>
          <w:rFonts w:ascii="宋体" w:hAnsi="宋体"/>
          <w:highlight w:val="none"/>
        </w:rPr>
      </w:pPr>
      <w:r>
        <w:rPr>
          <w:rFonts w:ascii="宋体" w:hAnsi="宋体"/>
          <w:sz w:val="24"/>
          <w:highlight w:val="none"/>
          <w:shd w:val="clear" w:color="FFFFFF" w:fill="FFFFFF"/>
        </w:rPr>
        <w:t>日期：</w:t>
      </w:r>
    </w:p>
    <w:p w14:paraId="40C92FE7">
      <w:pPr>
        <w:rPr>
          <w:rFonts w:hint="eastAsia"/>
          <w:b/>
          <w:bCs/>
          <w:szCs w:val="21"/>
          <w:highlight w:val="none"/>
        </w:rPr>
      </w:pPr>
    </w:p>
    <w:p w14:paraId="59A14A4C">
      <w:pPr>
        <w:rPr>
          <w:rFonts w:hint="eastAsia" w:ascii="宋体" w:hAnsi="宋体"/>
          <w:b/>
          <w:sz w:val="36"/>
          <w:szCs w:val="36"/>
          <w:highlight w:val="none"/>
        </w:rPr>
      </w:pPr>
    </w:p>
    <w:p w14:paraId="527D35C1">
      <w:pPr>
        <w:ind w:firstLine="420"/>
        <w:jc w:val="center"/>
        <w:rPr>
          <w:rFonts w:hint="eastAsia" w:ascii="宋体" w:hAnsi="宋体"/>
          <w:b/>
          <w:sz w:val="36"/>
          <w:szCs w:val="36"/>
          <w:highlight w:val="none"/>
        </w:rPr>
      </w:pPr>
      <w:r>
        <w:rPr>
          <w:rFonts w:hint="eastAsia" w:ascii="宋体" w:hAnsi="宋体"/>
          <w:b/>
          <w:sz w:val="36"/>
          <w:szCs w:val="36"/>
          <w:highlight w:val="none"/>
        </w:rPr>
        <w:t>拟任项目经理无在建工程承诺（格式）</w:t>
      </w:r>
    </w:p>
    <w:p w14:paraId="2D72551D">
      <w:pPr>
        <w:spacing w:line="360" w:lineRule="auto"/>
        <w:ind w:firstLine="420"/>
        <w:rPr>
          <w:rFonts w:hint="eastAsia"/>
          <w:sz w:val="24"/>
          <w:highlight w:val="none"/>
        </w:rPr>
      </w:pPr>
      <w:r>
        <w:rPr>
          <w:rFonts w:hint="eastAsia"/>
          <w:sz w:val="24"/>
          <w:highlight w:val="none"/>
          <w:u w:val="single"/>
        </w:rPr>
        <w:t>（</w:t>
      </w:r>
      <w:r>
        <w:rPr>
          <w:rFonts w:hint="eastAsia" w:ascii="宋体" w:hAnsi="宋体"/>
          <w:sz w:val="24"/>
          <w:highlight w:val="none"/>
          <w:u w:val="single"/>
          <w:lang w:val="en-US" w:eastAsia="zh-CN"/>
        </w:rPr>
        <w:t>采购</w:t>
      </w:r>
      <w:r>
        <w:rPr>
          <w:rFonts w:hint="eastAsia"/>
          <w:sz w:val="24"/>
          <w:highlight w:val="none"/>
          <w:u w:val="single"/>
        </w:rPr>
        <w:t xml:space="preserve">人名称）   </w:t>
      </w:r>
      <w:r>
        <w:rPr>
          <w:rFonts w:hint="eastAsia"/>
          <w:sz w:val="24"/>
          <w:highlight w:val="none"/>
        </w:rPr>
        <w:t>：</w:t>
      </w:r>
    </w:p>
    <w:p w14:paraId="25FC6696">
      <w:pPr>
        <w:pStyle w:val="238"/>
        <w:ind w:firstLine="480"/>
        <w:rPr>
          <w:rFonts w:hint="eastAsia"/>
          <w:sz w:val="24"/>
          <w:szCs w:val="24"/>
          <w:highlight w:val="none"/>
        </w:rPr>
      </w:pPr>
    </w:p>
    <w:p w14:paraId="77319E66">
      <w:pPr>
        <w:pStyle w:val="302"/>
        <w:ind w:left="0" w:firstLine="480"/>
        <w:rPr>
          <w:rFonts w:hint="eastAsia" w:eastAsia="宋体" w:cs="Times New Roman"/>
          <w:highlight w:val="none"/>
        </w:rPr>
      </w:pPr>
      <w:bookmarkStart w:id="322" w:name="_Hlk22560832"/>
      <w:bookmarkStart w:id="323" w:name="_Hlk22560983"/>
      <w:r>
        <w:rPr>
          <w:rFonts w:hint="eastAsia" w:eastAsia="宋体" w:cs="Times New Roman"/>
          <w:highlight w:val="none"/>
        </w:rPr>
        <w:t>我方拟任项目经理</w:t>
      </w:r>
      <w:r>
        <w:rPr>
          <w:rFonts w:hint="eastAsia" w:eastAsia="宋体" w:cs="Times New Roman"/>
          <w:highlight w:val="none"/>
          <w:u w:val="single"/>
        </w:rPr>
        <w:t xml:space="preserve">        </w:t>
      </w:r>
      <w:bookmarkStart w:id="324" w:name="_Hlk71793880"/>
      <w:bookmarkStart w:id="325" w:name="_Hlk28418098"/>
      <w:r>
        <w:rPr>
          <w:rFonts w:hint="eastAsia" w:eastAsia="宋体" w:cs="Times New Roman"/>
          <w:highlight w:val="none"/>
        </w:rPr>
        <w:t>符合招标文件规定的无在建工程投标资格要求，且在投标文件中，已经既无隐瞒、也无弄虚作假地提供了所有担任在建工程项目经理但能够参加本项目投标的全部证明材料。如经查实因具有在建工程不具备投标资格，一旦我方中标，可及时取消我方的中标资格，我方承担相应责任。特此承诺。</w:t>
      </w:r>
      <w:bookmarkEnd w:id="324"/>
    </w:p>
    <w:bookmarkEnd w:id="322"/>
    <w:bookmarkEnd w:id="323"/>
    <w:bookmarkEnd w:id="325"/>
    <w:p w14:paraId="32DE7D22">
      <w:pPr>
        <w:spacing w:line="360" w:lineRule="auto"/>
        <w:ind w:firstLine="480"/>
        <w:rPr>
          <w:rFonts w:hint="eastAsia"/>
          <w:sz w:val="24"/>
          <w:highlight w:val="none"/>
        </w:rPr>
      </w:pPr>
    </w:p>
    <w:p w14:paraId="4848782A">
      <w:pPr>
        <w:ind w:firstLine="4800"/>
        <w:rPr>
          <w:rFonts w:hint="eastAsia"/>
          <w:sz w:val="24"/>
          <w:highlight w:val="none"/>
          <w:u w:val="single"/>
        </w:rPr>
      </w:pPr>
      <w:r>
        <w:rPr>
          <w:rFonts w:hint="eastAsia"/>
          <w:sz w:val="24"/>
          <w:highlight w:val="none"/>
        </w:rPr>
        <w:t>投标人名称（</w:t>
      </w:r>
      <w:r>
        <w:rPr>
          <w:rFonts w:hint="eastAsia" w:ascii="宋体" w:hAnsi="宋体"/>
          <w:sz w:val="24"/>
          <w:highlight w:val="none"/>
          <w:shd w:val="clear" w:color="FFFFFF" w:fill="FFFFFF"/>
          <w:lang w:val="en-US" w:eastAsia="zh-CN"/>
        </w:rPr>
        <w:t>加盖CA电子公章</w:t>
      </w:r>
      <w:r>
        <w:rPr>
          <w:rFonts w:hint="eastAsia"/>
          <w:sz w:val="24"/>
          <w:highlight w:val="none"/>
        </w:rPr>
        <w:t>）：</w:t>
      </w:r>
      <w:r>
        <w:rPr>
          <w:rFonts w:hint="eastAsia"/>
          <w:sz w:val="24"/>
          <w:highlight w:val="none"/>
          <w:u w:val="single"/>
        </w:rPr>
        <w:t xml:space="preserve">                          </w:t>
      </w:r>
    </w:p>
    <w:p w14:paraId="09B852F8">
      <w:pPr>
        <w:ind w:firstLine="420"/>
        <w:rPr>
          <w:rFonts w:hint="eastAsia"/>
          <w:sz w:val="24"/>
          <w:highlight w:val="none"/>
        </w:rPr>
      </w:pPr>
      <w:r>
        <w:rPr>
          <w:rFonts w:hint="eastAsia"/>
          <w:sz w:val="24"/>
          <w:highlight w:val="none"/>
        </w:rPr>
        <w:t> </w:t>
      </w:r>
    </w:p>
    <w:p w14:paraId="3E33B7EE">
      <w:pPr>
        <w:ind w:firstLine="4800"/>
        <w:rPr>
          <w:rFonts w:hint="eastAsia"/>
          <w:sz w:val="24"/>
          <w:highlight w:val="none"/>
          <w:u w:val="single"/>
        </w:rPr>
      </w:pPr>
      <w:r>
        <w:rPr>
          <w:rFonts w:hint="eastAsia"/>
          <w:sz w:val="24"/>
          <w:highlight w:val="none"/>
        </w:rPr>
        <w:t>法定代表人（签章或签字）：</w:t>
      </w:r>
      <w:r>
        <w:rPr>
          <w:rFonts w:hint="eastAsia"/>
          <w:sz w:val="24"/>
          <w:highlight w:val="none"/>
          <w:u w:val="single"/>
        </w:rPr>
        <w:t xml:space="preserve">                          </w:t>
      </w:r>
    </w:p>
    <w:p w14:paraId="2DA9B87A">
      <w:pPr>
        <w:ind w:firstLine="420"/>
        <w:rPr>
          <w:rFonts w:hint="eastAsia"/>
          <w:sz w:val="24"/>
          <w:highlight w:val="none"/>
        </w:rPr>
      </w:pPr>
    </w:p>
    <w:p w14:paraId="36D1FC93">
      <w:pPr>
        <w:ind w:firstLine="420"/>
        <w:rPr>
          <w:rFonts w:ascii="宋体" w:hAnsi="宋体" w:cs="宋体"/>
          <w:bCs/>
          <w:sz w:val="24"/>
          <w:highlight w:val="none"/>
        </w:rPr>
      </w:pPr>
      <w:r>
        <w:rPr>
          <w:rFonts w:hint="eastAsia"/>
          <w:sz w:val="24"/>
          <w:highlight w:val="none"/>
        </w:rPr>
        <w:t xml:space="preserve">                                                        日期：</w:t>
      </w:r>
      <w:r>
        <w:rPr>
          <w:rFonts w:hint="eastAsia"/>
          <w:sz w:val="24"/>
          <w:highlight w:val="none"/>
          <w:u w:val="single"/>
        </w:rPr>
        <w:t xml:space="preserve">                                   </w:t>
      </w:r>
    </w:p>
    <w:p w14:paraId="06E9EA86">
      <w:pPr>
        <w:pStyle w:val="257"/>
        <w:spacing w:before="48" w:after="48"/>
        <w:jc w:val="both"/>
        <w:rPr>
          <w:rFonts w:hint="eastAsia"/>
          <w:bCs/>
          <w:sz w:val="21"/>
          <w:szCs w:val="21"/>
          <w:highlight w:val="none"/>
        </w:rPr>
      </w:pPr>
    </w:p>
    <w:p w14:paraId="119F2FF0">
      <w:pPr>
        <w:spacing w:line="360" w:lineRule="auto"/>
        <w:rPr>
          <w:rFonts w:hint="eastAsia" w:ascii="宋体" w:hAnsi="宋体"/>
          <w:sz w:val="24"/>
          <w:highlight w:val="none"/>
        </w:rPr>
      </w:pPr>
      <w:r>
        <w:rPr>
          <w:rFonts w:hint="eastAsia" w:ascii="宋体" w:hAnsi="宋体"/>
          <w:sz w:val="36"/>
          <w:szCs w:val="36"/>
          <w:highlight w:val="none"/>
        </w:rPr>
        <w:br w:type="page" w:clear="all"/>
      </w:r>
    </w:p>
    <w:p w14:paraId="7ACF37B0">
      <w:pPr>
        <w:pStyle w:val="257"/>
        <w:spacing w:before="48" w:after="48"/>
        <w:rPr>
          <w:rFonts w:hint="eastAsia" w:ascii="宋体" w:hAnsi="宋体"/>
          <w:sz w:val="36"/>
          <w:szCs w:val="36"/>
          <w:highlight w:val="none"/>
        </w:rPr>
      </w:pPr>
      <w:r>
        <w:rPr>
          <w:rFonts w:hint="eastAsia" w:ascii="宋体" w:hAnsi="宋体"/>
          <w:sz w:val="36"/>
          <w:szCs w:val="36"/>
          <w:highlight w:val="none"/>
        </w:rPr>
        <w:t>不</w:t>
      </w:r>
      <w:r>
        <w:rPr>
          <w:rFonts w:ascii="宋体" w:hAnsi="宋体"/>
          <w:sz w:val="36"/>
          <w:szCs w:val="36"/>
          <w:highlight w:val="none"/>
        </w:rPr>
        <w:t>拖欠</w:t>
      </w:r>
      <w:r>
        <w:rPr>
          <w:rFonts w:hint="eastAsia" w:ascii="宋体" w:hAnsi="宋体"/>
          <w:sz w:val="36"/>
          <w:szCs w:val="36"/>
          <w:highlight w:val="none"/>
        </w:rPr>
        <w:t>农</w:t>
      </w:r>
      <w:r>
        <w:rPr>
          <w:rFonts w:ascii="宋体" w:hAnsi="宋体"/>
          <w:sz w:val="36"/>
          <w:szCs w:val="36"/>
          <w:highlight w:val="none"/>
        </w:rPr>
        <w:t>民工工资的承诺</w:t>
      </w:r>
      <w:r>
        <w:rPr>
          <w:rFonts w:hint="eastAsia" w:ascii="宋体" w:hAnsi="宋体"/>
          <w:sz w:val="36"/>
          <w:szCs w:val="36"/>
          <w:highlight w:val="none"/>
        </w:rPr>
        <w:t>（格式）</w:t>
      </w:r>
    </w:p>
    <w:p w14:paraId="1A577685">
      <w:pPr>
        <w:pStyle w:val="257"/>
        <w:spacing w:before="48" w:after="48"/>
        <w:jc w:val="both"/>
        <w:rPr>
          <w:rFonts w:hint="eastAsia" w:ascii="宋体" w:hAnsi="宋体"/>
          <w:sz w:val="36"/>
          <w:szCs w:val="36"/>
          <w:highlight w:val="none"/>
        </w:rPr>
      </w:pPr>
    </w:p>
    <w:p w14:paraId="49EBDA81">
      <w:pPr>
        <w:pStyle w:val="257"/>
        <w:spacing w:before="48" w:after="48"/>
        <w:rPr>
          <w:rFonts w:hint="eastAsia" w:ascii="Times New Roman" w:hAnsi="Times New Roman" w:eastAsia="宋体" w:cs="Times New Roman"/>
          <w:sz w:val="24"/>
          <w:szCs w:val="24"/>
          <w:highlight w:val="none"/>
          <w:u w:val="single"/>
          <w:lang w:val="en-US" w:eastAsia="zh-CN" w:bidi="ar-SA"/>
        </w:rPr>
      </w:pPr>
    </w:p>
    <w:p w14:paraId="1FEE1683">
      <w:pPr>
        <w:spacing w:line="360" w:lineRule="auto"/>
        <w:ind w:firstLine="117"/>
        <w:rPr>
          <w:sz w:val="24"/>
          <w:highlight w:val="none"/>
        </w:rPr>
      </w:pPr>
      <w:r>
        <w:rPr>
          <w:rFonts w:hint="eastAsia" w:ascii="Times New Roman" w:hAnsi="Times New Roman" w:eastAsia="宋体" w:cs="Times New Roman"/>
          <w:sz w:val="24"/>
          <w:szCs w:val="24"/>
          <w:highlight w:val="none"/>
          <w:u w:val="single"/>
          <w:lang w:val="en-US" w:eastAsia="zh-CN" w:bidi="ar-SA"/>
        </w:rPr>
        <w:t>（采购</w:t>
      </w:r>
      <w:r>
        <w:rPr>
          <w:rFonts w:hint="eastAsia"/>
          <w:sz w:val="24"/>
          <w:highlight w:val="none"/>
          <w:u w:val="single"/>
        </w:rPr>
        <w:t>人名称）</w:t>
      </w:r>
      <w:r>
        <w:rPr>
          <w:sz w:val="24"/>
          <w:highlight w:val="none"/>
          <w:u w:val="single"/>
        </w:rPr>
        <w:t xml:space="preserve">          </w:t>
      </w:r>
      <w:r>
        <w:rPr>
          <w:rFonts w:hint="eastAsia"/>
          <w:sz w:val="24"/>
          <w:highlight w:val="none"/>
        </w:rPr>
        <w:t>：</w:t>
      </w:r>
    </w:p>
    <w:p w14:paraId="7D183B5F">
      <w:pPr>
        <w:spacing w:line="360" w:lineRule="auto"/>
        <w:ind w:firstLine="420"/>
        <w:rPr>
          <w:sz w:val="24"/>
          <w:highlight w:val="none"/>
        </w:rPr>
      </w:pPr>
      <w:r>
        <w:rPr>
          <w:sz w:val="24"/>
          <w:highlight w:val="none"/>
        </w:rPr>
        <w:t>我方将对</w:t>
      </w:r>
      <w:r>
        <w:rPr>
          <w:sz w:val="24"/>
          <w:highlight w:val="none"/>
          <w:u w:val="single"/>
        </w:rPr>
        <w:t xml:space="preserve">                </w:t>
      </w:r>
      <w:r>
        <w:rPr>
          <w:sz w:val="24"/>
          <w:highlight w:val="none"/>
        </w:rPr>
        <w:t xml:space="preserve"> (合同编号：</w:t>
      </w:r>
      <w:r>
        <w:rPr>
          <w:sz w:val="24"/>
          <w:highlight w:val="none"/>
          <w:u w:val="single"/>
        </w:rPr>
        <w:t xml:space="preserve">         </w:t>
      </w:r>
      <w:r>
        <w:rPr>
          <w:sz w:val="24"/>
          <w:highlight w:val="none"/>
        </w:rPr>
        <w:t xml:space="preserve">  )进行投标。我方承诺：若我方中标，我方保证不拖欠农民工工资，并将结算价款的2％作为不拖欠农民工工资的保证金，由业主根据农民工工资的支付情况决定在下次工程款支付中是否支付。如违反承诺，我方同意你方直接从保证金中支付。</w:t>
      </w:r>
    </w:p>
    <w:p w14:paraId="5C6E3D3F">
      <w:pPr>
        <w:spacing w:line="360" w:lineRule="auto"/>
        <w:rPr>
          <w:rFonts w:hint="eastAsia" w:ascii="宋体" w:hAnsi="宋体"/>
          <w:sz w:val="24"/>
          <w:highlight w:val="none"/>
        </w:rPr>
      </w:pPr>
    </w:p>
    <w:p w14:paraId="609B44F3">
      <w:pPr>
        <w:spacing w:line="360" w:lineRule="auto"/>
        <w:rPr>
          <w:rFonts w:hint="eastAsia" w:ascii="宋体" w:hAnsi="宋体"/>
          <w:sz w:val="24"/>
          <w:highlight w:val="none"/>
        </w:rPr>
      </w:pPr>
      <w:r>
        <w:rPr>
          <w:rFonts w:hint="eastAsia" w:ascii="宋体" w:hAnsi="宋体"/>
          <w:sz w:val="24"/>
          <w:highlight w:val="none"/>
        </w:rPr>
        <w:t xml:space="preserve">法定代表人或者授权代表（签字或盖章）：                    </w:t>
      </w:r>
    </w:p>
    <w:p w14:paraId="47228023">
      <w:pPr>
        <w:spacing w:line="360" w:lineRule="auto"/>
        <w:rPr>
          <w:rFonts w:hint="eastAsia"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17C3D949">
      <w:pPr>
        <w:spacing w:line="360" w:lineRule="auto"/>
        <w:rPr>
          <w:rFonts w:hint="eastAsia" w:ascii="宋体" w:hAnsi="宋体"/>
          <w:sz w:val="24"/>
          <w:highlight w:val="none"/>
        </w:rPr>
      </w:pPr>
      <w:r>
        <w:rPr>
          <w:rFonts w:hint="eastAsia" w:ascii="宋体" w:hAnsi="宋体"/>
          <w:sz w:val="24"/>
          <w:highlight w:val="none"/>
        </w:rPr>
        <w:t>日期：    年   月    日</w:t>
      </w:r>
    </w:p>
    <w:p w14:paraId="45077647">
      <w:pPr>
        <w:pStyle w:val="202"/>
        <w:rPr>
          <w:rFonts w:hint="eastAsia" w:ascii="宋体" w:hAnsi="宋体" w:eastAsia="宋体"/>
          <w:bCs/>
          <w:sz w:val="24"/>
          <w:highlight w:val="none"/>
        </w:rPr>
      </w:pPr>
    </w:p>
    <w:p w14:paraId="00C5D0C8">
      <w:pPr>
        <w:pStyle w:val="202"/>
        <w:rPr>
          <w:rFonts w:hint="eastAsia" w:ascii="宋体" w:hAnsi="宋体" w:eastAsia="宋体"/>
          <w:bCs/>
          <w:sz w:val="24"/>
          <w:highlight w:val="none"/>
        </w:rPr>
      </w:pPr>
    </w:p>
    <w:p w14:paraId="2156998D">
      <w:pPr>
        <w:pStyle w:val="202"/>
        <w:rPr>
          <w:rFonts w:hint="eastAsia" w:ascii="宋体" w:hAnsi="宋体" w:eastAsia="宋体"/>
          <w:bCs/>
          <w:sz w:val="24"/>
          <w:highlight w:val="none"/>
        </w:rPr>
      </w:pPr>
    </w:p>
    <w:p w14:paraId="54C07745">
      <w:pPr>
        <w:pStyle w:val="202"/>
        <w:ind w:firstLine="480"/>
        <w:jc w:val="both"/>
        <w:rPr>
          <w:rFonts w:hint="eastAsia" w:ascii="宋体" w:hAnsi="宋体" w:eastAsia="宋体"/>
          <w:bCs/>
          <w:sz w:val="24"/>
          <w:highlight w:val="none"/>
          <w:lang w:eastAsia="zh-CN"/>
        </w:rPr>
      </w:pPr>
      <w:r>
        <w:rPr>
          <w:rFonts w:ascii="宋体" w:hAnsi="宋体" w:eastAsia="宋体"/>
          <w:bCs/>
          <w:sz w:val="24"/>
          <w:highlight w:val="none"/>
        </w:rPr>
        <w:t>（</w:t>
      </w:r>
      <w:r>
        <w:rPr>
          <w:rFonts w:hint="eastAsia" w:ascii="宋体" w:hAnsi="宋体" w:eastAsia="宋体"/>
          <w:bCs/>
          <w:sz w:val="24"/>
          <w:highlight w:val="none"/>
          <w:lang w:val="en-US" w:eastAsia="zh-CN"/>
        </w:rPr>
        <w:t>6</w:t>
      </w:r>
      <w:r>
        <w:rPr>
          <w:rFonts w:ascii="宋体" w:hAnsi="宋体" w:eastAsia="宋体"/>
          <w:bCs/>
          <w:sz w:val="24"/>
          <w:highlight w:val="none"/>
        </w:rPr>
        <w:t>）本磋商文件要求提供的和响应人认为需要提供的</w:t>
      </w:r>
      <w:r>
        <w:rPr>
          <w:rFonts w:hint="eastAsia" w:ascii="宋体" w:hAnsi="宋体" w:eastAsia="宋体"/>
          <w:bCs/>
          <w:sz w:val="24"/>
          <w:highlight w:val="none"/>
          <w:lang w:eastAsia="zh-CN"/>
        </w:rPr>
        <w:t>其他</w:t>
      </w:r>
      <w:r>
        <w:rPr>
          <w:rFonts w:ascii="宋体" w:hAnsi="宋体" w:eastAsia="宋体"/>
          <w:bCs/>
          <w:sz w:val="24"/>
          <w:highlight w:val="none"/>
        </w:rPr>
        <w:t>说明和资料、文件</w:t>
      </w:r>
      <w:r>
        <w:rPr>
          <w:rFonts w:hint="eastAsia" w:ascii="宋体" w:hAnsi="宋体" w:eastAsia="宋体"/>
          <w:bCs/>
          <w:sz w:val="24"/>
          <w:highlight w:val="none"/>
          <w:lang w:eastAsia="zh-CN"/>
        </w:rPr>
        <w:t>；</w:t>
      </w:r>
    </w:p>
    <w:p w14:paraId="404E0BDE">
      <w:pPr>
        <w:pStyle w:val="202"/>
        <w:ind w:firstLine="480"/>
        <w:jc w:val="both"/>
        <w:rPr>
          <w:rFonts w:hint="eastAsia" w:ascii="宋体" w:hAnsi="宋体" w:eastAsia="宋体"/>
          <w:bCs/>
          <w:sz w:val="24"/>
          <w:highlight w:val="none"/>
        </w:rPr>
      </w:pPr>
    </w:p>
    <w:p w14:paraId="46986282">
      <w:pPr>
        <w:outlineLvl w:val="1"/>
        <w:rPr>
          <w:rFonts w:hint="eastAsia" w:ascii="宋体" w:hAnsi="宋体" w:cs="宋体"/>
          <w:b/>
          <w:sz w:val="24"/>
          <w:highlight w:val="none"/>
        </w:rPr>
      </w:pPr>
      <w:bookmarkStart w:id="326" w:name="_Toc7695"/>
    </w:p>
    <w:p w14:paraId="341FFD96">
      <w:pPr>
        <w:outlineLvl w:val="1"/>
        <w:rPr>
          <w:rFonts w:ascii="宋体" w:hAnsi="宋体"/>
          <w:b/>
          <w:sz w:val="24"/>
          <w:highlight w:val="none"/>
        </w:rPr>
      </w:pPr>
    </w:p>
    <w:p w14:paraId="6F83758E">
      <w:pPr>
        <w:pStyle w:val="197"/>
        <w:rPr>
          <w:rFonts w:ascii="宋体" w:hAnsi="宋体"/>
          <w:b w:val="0"/>
          <w:sz w:val="24"/>
          <w:highlight w:val="none"/>
        </w:rPr>
      </w:pPr>
    </w:p>
    <w:p w14:paraId="0DFE6911">
      <w:pPr>
        <w:rPr>
          <w:rFonts w:ascii="宋体" w:hAnsi="宋体"/>
          <w:b/>
          <w:sz w:val="24"/>
          <w:highlight w:val="none"/>
        </w:rPr>
      </w:pPr>
    </w:p>
    <w:p w14:paraId="27947333">
      <w:pPr>
        <w:pStyle w:val="197"/>
        <w:rPr>
          <w:rFonts w:ascii="宋体" w:hAnsi="宋体"/>
          <w:b w:val="0"/>
          <w:sz w:val="24"/>
          <w:highlight w:val="none"/>
        </w:rPr>
      </w:pPr>
    </w:p>
    <w:p w14:paraId="746DB934">
      <w:pPr>
        <w:rPr>
          <w:rFonts w:ascii="宋体" w:hAnsi="宋体"/>
          <w:b/>
          <w:sz w:val="24"/>
          <w:highlight w:val="none"/>
        </w:rPr>
      </w:pPr>
    </w:p>
    <w:p w14:paraId="6E981875">
      <w:pPr>
        <w:pStyle w:val="197"/>
        <w:rPr>
          <w:rFonts w:ascii="宋体" w:hAnsi="宋体"/>
          <w:b w:val="0"/>
          <w:sz w:val="24"/>
          <w:highlight w:val="none"/>
        </w:rPr>
      </w:pPr>
    </w:p>
    <w:p w14:paraId="62FD1430">
      <w:pPr>
        <w:rPr>
          <w:rFonts w:ascii="宋体" w:hAnsi="宋体"/>
          <w:b/>
          <w:sz w:val="24"/>
          <w:highlight w:val="none"/>
        </w:rPr>
      </w:pPr>
    </w:p>
    <w:p w14:paraId="74C50385">
      <w:pPr>
        <w:pStyle w:val="197"/>
        <w:rPr>
          <w:rFonts w:ascii="宋体" w:hAnsi="宋体"/>
          <w:b w:val="0"/>
          <w:sz w:val="24"/>
          <w:highlight w:val="none"/>
        </w:rPr>
      </w:pPr>
    </w:p>
    <w:p w14:paraId="29B3332B">
      <w:pPr>
        <w:rPr>
          <w:rFonts w:ascii="宋体" w:hAnsi="宋体"/>
          <w:b/>
          <w:sz w:val="24"/>
          <w:highlight w:val="none"/>
        </w:rPr>
      </w:pPr>
    </w:p>
    <w:p w14:paraId="2AA7E6E4">
      <w:pPr>
        <w:pStyle w:val="197"/>
        <w:rPr>
          <w:rFonts w:ascii="宋体" w:hAnsi="宋体"/>
          <w:b w:val="0"/>
          <w:sz w:val="24"/>
          <w:highlight w:val="none"/>
        </w:rPr>
      </w:pPr>
    </w:p>
    <w:p w14:paraId="13153EEB">
      <w:pPr>
        <w:rPr>
          <w:rFonts w:ascii="宋体" w:hAnsi="宋体"/>
          <w:b/>
          <w:sz w:val="24"/>
          <w:highlight w:val="none"/>
        </w:rPr>
      </w:pPr>
    </w:p>
    <w:p w14:paraId="391557CC">
      <w:pPr>
        <w:pStyle w:val="197"/>
        <w:rPr>
          <w:rFonts w:ascii="宋体" w:hAnsi="宋体"/>
          <w:b w:val="0"/>
          <w:sz w:val="24"/>
          <w:highlight w:val="none"/>
        </w:rPr>
      </w:pPr>
    </w:p>
    <w:p w14:paraId="32FC5FAC">
      <w:pPr>
        <w:rPr>
          <w:rFonts w:ascii="宋体" w:hAnsi="宋体"/>
          <w:b/>
          <w:sz w:val="24"/>
          <w:highlight w:val="none"/>
        </w:rPr>
      </w:pPr>
    </w:p>
    <w:p w14:paraId="682162A9">
      <w:pPr>
        <w:pStyle w:val="197"/>
        <w:rPr>
          <w:rFonts w:ascii="宋体" w:hAnsi="宋体"/>
          <w:b w:val="0"/>
          <w:sz w:val="24"/>
          <w:highlight w:val="none"/>
        </w:rPr>
      </w:pPr>
    </w:p>
    <w:p w14:paraId="53A5D36B">
      <w:pPr>
        <w:rPr>
          <w:rFonts w:ascii="宋体" w:hAnsi="宋体"/>
          <w:b/>
          <w:sz w:val="24"/>
          <w:highlight w:val="none"/>
        </w:rPr>
      </w:pPr>
    </w:p>
    <w:p w14:paraId="52E13260">
      <w:pPr>
        <w:pStyle w:val="197"/>
        <w:rPr>
          <w:rFonts w:ascii="宋体" w:hAnsi="宋体"/>
          <w:b w:val="0"/>
          <w:sz w:val="24"/>
          <w:highlight w:val="none"/>
        </w:rPr>
      </w:pPr>
    </w:p>
    <w:p w14:paraId="7FB150D5">
      <w:pPr>
        <w:rPr>
          <w:highlight w:val="none"/>
        </w:rPr>
      </w:pPr>
    </w:p>
    <w:p w14:paraId="2C4B7114">
      <w:pPr>
        <w:outlineLvl w:val="1"/>
        <w:rPr>
          <w:rFonts w:hint="eastAsia" w:ascii="宋体" w:hAnsi="宋体"/>
          <w:b/>
          <w:sz w:val="24"/>
          <w:highlight w:val="none"/>
        </w:rPr>
      </w:pPr>
      <w:r>
        <w:rPr>
          <w:rFonts w:ascii="宋体" w:hAnsi="宋体"/>
          <w:b/>
          <w:sz w:val="24"/>
          <w:highlight w:val="none"/>
        </w:rPr>
        <w:br w:type="page" w:clear="all"/>
      </w:r>
      <w:r>
        <w:rPr>
          <w:rFonts w:ascii="宋体" w:hAnsi="宋体"/>
          <w:b/>
          <w:sz w:val="24"/>
          <w:highlight w:val="none"/>
        </w:rPr>
        <w:t>（二）商务文件</w:t>
      </w:r>
    </w:p>
    <w:p w14:paraId="1B3BC27B">
      <w:pPr>
        <w:ind w:firstLine="420"/>
        <w:outlineLvl w:val="1"/>
        <w:rPr>
          <w:rFonts w:hint="eastAsia" w:ascii="宋体" w:hAnsi="宋体" w:cs="宋体"/>
          <w:bCs/>
          <w:sz w:val="24"/>
          <w:highlight w:val="none"/>
        </w:rPr>
      </w:pPr>
    </w:p>
    <w:p w14:paraId="24BBBE62">
      <w:pPr>
        <w:ind w:firstLine="480"/>
        <w:outlineLvl w:val="1"/>
        <w:rPr>
          <w:rFonts w:hint="eastAsia" w:ascii="宋体" w:hAnsi="宋体" w:eastAsia="宋体" w:cs="宋体"/>
          <w:bCs/>
          <w:sz w:val="24"/>
          <w:highlight w:val="none"/>
          <w:lang w:eastAsia="zh-CN"/>
        </w:rPr>
      </w:pPr>
      <w:r>
        <w:rPr>
          <w:rFonts w:hint="eastAsia" w:ascii="宋体" w:hAnsi="宋体" w:cs="宋体"/>
          <w:bCs/>
          <w:sz w:val="24"/>
          <w:highlight w:val="none"/>
        </w:rPr>
        <w:t>（1）响应函</w:t>
      </w:r>
      <w:bookmarkEnd w:id="326"/>
      <w:r>
        <w:rPr>
          <w:rFonts w:hint="eastAsia" w:ascii="宋体" w:hAnsi="宋体" w:cs="宋体"/>
          <w:bCs/>
          <w:sz w:val="24"/>
          <w:highlight w:val="none"/>
          <w:lang w:eastAsia="zh-CN"/>
        </w:rPr>
        <w:t>；</w:t>
      </w:r>
    </w:p>
    <w:p w14:paraId="02392460">
      <w:pPr>
        <w:rPr>
          <w:rFonts w:hint="eastAsia" w:ascii="宋体" w:hAnsi="宋体"/>
          <w:b/>
          <w:sz w:val="24"/>
          <w:highlight w:val="none"/>
        </w:rPr>
      </w:pPr>
    </w:p>
    <w:p w14:paraId="412FF5AB">
      <w:pPr>
        <w:jc w:val="center"/>
        <w:rPr>
          <w:rFonts w:hint="eastAsia" w:ascii="宋体" w:hAnsi="宋体"/>
          <w:b/>
          <w:sz w:val="24"/>
          <w:highlight w:val="none"/>
        </w:rPr>
      </w:pPr>
    </w:p>
    <w:p w14:paraId="0C70B2F2">
      <w:pPr>
        <w:jc w:val="center"/>
        <w:rPr>
          <w:rFonts w:hint="eastAsia" w:ascii="宋体" w:hAnsi="宋体"/>
          <w:b/>
          <w:sz w:val="44"/>
          <w:highlight w:val="none"/>
        </w:rPr>
      </w:pPr>
      <w:r>
        <w:rPr>
          <w:rFonts w:hint="eastAsia" w:ascii="宋体" w:hAnsi="宋体"/>
          <w:b/>
          <w:sz w:val="24"/>
          <w:highlight w:val="none"/>
        </w:rPr>
        <w:t>磋商响应函</w:t>
      </w:r>
    </w:p>
    <w:p w14:paraId="195DC343">
      <w:pPr>
        <w:tabs>
          <w:tab w:val="left" w:pos="7560"/>
        </w:tabs>
        <w:spacing w:line="500" w:lineRule="exact"/>
        <w:rPr>
          <w:rFonts w:ascii="宋体" w:hAnsi="宋体" w:cs="宋体"/>
          <w:sz w:val="24"/>
          <w:highlight w:val="none"/>
          <w:u w:val="single"/>
        </w:rPr>
      </w:pPr>
      <w:r>
        <w:rPr>
          <w:rFonts w:hint="eastAsia" w:ascii="宋体" w:hAnsi="宋体" w:cs="宋体"/>
          <w:sz w:val="24"/>
          <w:highlight w:val="none"/>
        </w:rPr>
        <w:t xml:space="preserve">致: </w:t>
      </w:r>
      <w:r>
        <w:rPr>
          <w:rFonts w:hint="eastAsia" w:ascii="宋体" w:hAnsi="宋体" w:cs="宋体"/>
          <w:sz w:val="24"/>
          <w:highlight w:val="none"/>
          <w:u w:val="single"/>
        </w:rPr>
        <w:t xml:space="preserve">             （</w:t>
      </w:r>
      <w:r>
        <w:rPr>
          <w:rFonts w:hint="eastAsia" w:ascii="宋体" w:hAnsi="宋体" w:cs="宋体"/>
          <w:sz w:val="24"/>
          <w:highlight w:val="none"/>
        </w:rPr>
        <w:t>采购人）</w:t>
      </w:r>
    </w:p>
    <w:p w14:paraId="442440EC">
      <w:pPr>
        <w:pStyle w:val="280"/>
        <w:spacing w:before="0" w:after="0" w:line="500" w:lineRule="exact"/>
        <w:jc w:val="both"/>
        <w:rPr>
          <w:rFonts w:hint="eastAsia" w:ascii="宋体" w:hAnsi="宋体" w:cs="宋体"/>
          <w:highlight w:val="none"/>
        </w:rPr>
      </w:pPr>
      <w:r>
        <w:rPr>
          <w:rFonts w:hint="eastAsia" w:ascii="宋体" w:hAnsi="宋体" w:cs="宋体"/>
          <w:highlight w:val="none"/>
        </w:rPr>
        <w:t>根据贵方</w:t>
      </w:r>
      <w:r>
        <w:rPr>
          <w:rFonts w:hint="eastAsia" w:ascii="宋体" w:hAnsi="宋体" w:cs="宋体"/>
          <w:highlight w:val="none"/>
          <w:u w:val="single"/>
        </w:rPr>
        <w:t xml:space="preserve">             </w:t>
      </w:r>
      <w:r>
        <w:rPr>
          <w:rFonts w:hint="eastAsia" w:ascii="宋体" w:hAnsi="宋体" w:cs="宋体"/>
          <w:highlight w:val="none"/>
        </w:rPr>
        <w:t>（项目名称及编号）磋商邀请，正式授权下述签字人</w:t>
      </w:r>
      <w:r>
        <w:rPr>
          <w:rFonts w:hint="eastAsia" w:ascii="宋体" w:hAnsi="宋体" w:cs="宋体"/>
          <w:highlight w:val="none"/>
          <w:u w:val="single"/>
        </w:rPr>
        <w:t xml:space="preserve">     </w:t>
      </w:r>
      <w:r>
        <w:rPr>
          <w:rFonts w:hint="eastAsia" w:ascii="宋体" w:hAnsi="宋体" w:cs="宋体"/>
          <w:highlight w:val="none"/>
        </w:rPr>
        <w:t>（姓名和职务）代表</w:t>
      </w:r>
      <w:r>
        <w:rPr>
          <w:rFonts w:hint="eastAsia" w:ascii="宋体" w:hAnsi="宋体" w:cs="宋体"/>
          <w:highlight w:val="none"/>
          <w:u w:val="single"/>
        </w:rPr>
        <w:t xml:space="preserve">          </w:t>
      </w:r>
      <w:r>
        <w:rPr>
          <w:rFonts w:hint="eastAsia" w:ascii="宋体" w:hAnsi="宋体" w:cs="宋体"/>
          <w:highlight w:val="none"/>
        </w:rPr>
        <w:t>（磋商供应商单位名称），全权处理本次项目磋商的有关事宜。</w:t>
      </w:r>
    </w:p>
    <w:p w14:paraId="295156B0">
      <w:pPr>
        <w:tabs>
          <w:tab w:val="left" w:pos="7560"/>
        </w:tabs>
        <w:spacing w:line="500" w:lineRule="exact"/>
        <w:ind w:firstLine="480"/>
        <w:rPr>
          <w:rFonts w:hint="eastAsia" w:ascii="宋体" w:hAnsi="宋体" w:cs="宋体"/>
          <w:sz w:val="24"/>
          <w:highlight w:val="none"/>
        </w:rPr>
      </w:pPr>
      <w:r>
        <w:rPr>
          <w:rFonts w:hint="eastAsia" w:ascii="宋体" w:hAnsi="宋体" w:cs="宋体"/>
          <w:sz w:val="24"/>
          <w:highlight w:val="none"/>
        </w:rPr>
        <w:t>（1）我们郑重承诺：我们是符合《政府采购法》第22条规定的供应商，并严格遵守《政府采购法》第77条的规定，本磋商响应文件中提供的所有材料均是真实有效的。</w:t>
      </w:r>
    </w:p>
    <w:p w14:paraId="1D34AC27">
      <w:pPr>
        <w:tabs>
          <w:tab w:val="left" w:pos="7560"/>
        </w:tabs>
        <w:spacing w:line="500" w:lineRule="exact"/>
        <w:ind w:firstLine="480"/>
        <w:rPr>
          <w:rFonts w:hint="eastAsia" w:ascii="宋体" w:hAnsi="宋体" w:cs="宋体"/>
          <w:sz w:val="24"/>
          <w:highlight w:val="none"/>
        </w:rPr>
      </w:pPr>
      <w:r>
        <w:rPr>
          <w:rFonts w:hint="eastAsia" w:ascii="宋体" w:hAnsi="宋体" w:cs="宋体"/>
          <w:sz w:val="24"/>
          <w:highlight w:val="none"/>
        </w:rPr>
        <w:t>（2）我方已仔细研究了（项目名称）磋商文件的全部内容，按磋商文件规定的各项要求，我方愿以投标总报价：</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元，小写），在合同期内承包上述项目的服务，并承诺本次报价不低于成本。</w:t>
      </w:r>
    </w:p>
    <w:p w14:paraId="6ECFDC02">
      <w:pPr>
        <w:tabs>
          <w:tab w:val="left" w:pos="7560"/>
        </w:tabs>
        <w:spacing w:line="500" w:lineRule="exact"/>
        <w:ind w:firstLine="480"/>
        <w:rPr>
          <w:rFonts w:hint="eastAsia" w:ascii="宋体" w:hAnsi="宋体" w:cs="宋体"/>
          <w:sz w:val="24"/>
          <w:highlight w:val="none"/>
          <w:u w:val="single"/>
        </w:rPr>
      </w:pPr>
      <w:r>
        <w:rPr>
          <w:rFonts w:hint="eastAsia" w:ascii="宋体" w:hAnsi="宋体" w:cs="宋体"/>
          <w:sz w:val="24"/>
          <w:highlight w:val="none"/>
        </w:rPr>
        <w:t>（3）项目</w:t>
      </w:r>
      <w:r>
        <w:rPr>
          <w:rFonts w:hint="eastAsia" w:ascii="宋体" w:hAnsi="宋体" w:cs="宋体"/>
          <w:sz w:val="24"/>
          <w:highlight w:val="none"/>
          <w:lang w:val="en-US" w:eastAsia="zh-CN"/>
        </w:rPr>
        <w:t>经理</w:t>
      </w:r>
      <w:r>
        <w:rPr>
          <w:rFonts w:hint="eastAsia" w:ascii="宋体" w:hAnsi="宋体" w:cs="宋体"/>
          <w:sz w:val="24"/>
          <w:highlight w:val="none"/>
          <w:u w:val="none"/>
        </w:rPr>
        <w:t>：</w:t>
      </w:r>
      <w:r>
        <w:rPr>
          <w:rFonts w:hint="eastAsia" w:ascii="宋体" w:hAnsi="宋体" w:cs="宋体"/>
          <w:sz w:val="24"/>
          <w:highlight w:val="none"/>
          <w:u w:val="single"/>
        </w:rPr>
        <w:t xml:space="preserve">            </w:t>
      </w:r>
      <w:r>
        <w:rPr>
          <w:rFonts w:hint="eastAsia" w:ascii="宋体" w:hAnsi="宋体" w:cs="宋体"/>
          <w:sz w:val="24"/>
          <w:highlight w:val="none"/>
        </w:rPr>
        <w:t>；工期：</w:t>
      </w:r>
      <w:r>
        <w:rPr>
          <w:rFonts w:hint="eastAsia" w:ascii="宋体" w:hAnsi="宋体" w:cs="宋体"/>
          <w:sz w:val="24"/>
          <w:highlight w:val="none"/>
          <w:u w:val="single"/>
        </w:rPr>
        <w:t xml:space="preserve">                 </w:t>
      </w:r>
    </w:p>
    <w:p w14:paraId="390909E5">
      <w:pPr>
        <w:tabs>
          <w:tab w:val="left" w:pos="7560"/>
        </w:tabs>
        <w:spacing w:line="500" w:lineRule="exact"/>
        <w:ind w:firstLine="480"/>
        <w:rPr>
          <w:rFonts w:hint="eastAsia" w:ascii="宋体" w:hAnsi="宋体" w:cs="宋体"/>
          <w:sz w:val="24"/>
          <w:highlight w:val="none"/>
        </w:rPr>
      </w:pPr>
      <w:r>
        <w:rPr>
          <w:rFonts w:hint="eastAsia" w:ascii="宋体" w:hAnsi="宋体" w:cs="宋体"/>
          <w:sz w:val="24"/>
          <w:highlight w:val="none"/>
        </w:rPr>
        <w:t>（4）我们接受磋商文件及其有效补充文件（如果有）的所有的条款和规定。</w:t>
      </w:r>
    </w:p>
    <w:p w14:paraId="6156C56D">
      <w:pPr>
        <w:pStyle w:val="280"/>
        <w:spacing w:before="0" w:after="0" w:line="500" w:lineRule="exact"/>
        <w:jc w:val="both"/>
        <w:rPr>
          <w:rFonts w:hint="eastAsia" w:ascii="宋体" w:hAnsi="宋体" w:cs="宋体"/>
          <w:highlight w:val="none"/>
        </w:rPr>
      </w:pPr>
      <w:r>
        <w:rPr>
          <w:rFonts w:hint="eastAsia" w:ascii="宋体" w:hAnsi="宋体" w:cs="宋体"/>
          <w:highlight w:val="none"/>
        </w:rPr>
        <w:t>（5）我们完全理解贵方不一定将合同授予最低报价的磋商供应商，并有权拒绝所有的投标，同时也理解你们不承担我们本次投标的费用。</w:t>
      </w:r>
    </w:p>
    <w:p w14:paraId="00CE1952">
      <w:pPr>
        <w:pStyle w:val="280"/>
        <w:spacing w:before="0" w:after="0" w:line="500" w:lineRule="exact"/>
        <w:jc w:val="both"/>
        <w:rPr>
          <w:rFonts w:hint="eastAsia" w:ascii="宋体" w:hAnsi="宋体" w:cs="宋体"/>
          <w:highlight w:val="none"/>
        </w:rPr>
      </w:pPr>
      <w:r>
        <w:rPr>
          <w:rFonts w:hint="eastAsia" w:ascii="宋体" w:hAnsi="宋体" w:cs="宋体"/>
          <w:highlight w:val="none"/>
        </w:rPr>
        <w:t>（6）</w:t>
      </w:r>
      <w:r>
        <w:rPr>
          <w:rFonts w:hint="eastAsia" w:ascii="宋体" w:hAnsi="宋体" w:cs="宋体"/>
          <w:szCs w:val="21"/>
          <w:highlight w:val="none"/>
        </w:rPr>
        <w:t>我们同意按照磋商文件第二章投标须知前附表的规定，本磋商响应文件的有效期为从开标之日起计算的</w:t>
      </w:r>
      <w:r>
        <w:rPr>
          <w:rFonts w:hint="eastAsia" w:ascii="宋体" w:hAnsi="宋体" w:cs="宋体"/>
          <w:szCs w:val="21"/>
          <w:highlight w:val="none"/>
          <w:u w:val="single"/>
        </w:rPr>
        <w:t>九十</w:t>
      </w:r>
      <w:r>
        <w:rPr>
          <w:rFonts w:hint="eastAsia" w:ascii="宋体" w:hAnsi="宋体" w:cs="宋体"/>
          <w:szCs w:val="21"/>
          <w:highlight w:val="none"/>
        </w:rPr>
        <w:t>天，在此期间，本磋商响应文件将始终对我们具有约束力，并可随时被接受。如果我们中标，本磋商响应文件在此期间之后将继续保持有效。</w:t>
      </w:r>
    </w:p>
    <w:p w14:paraId="1AD38979">
      <w:pPr>
        <w:pStyle w:val="280"/>
        <w:spacing w:before="0" w:after="0" w:line="500" w:lineRule="exact"/>
        <w:jc w:val="both"/>
        <w:rPr>
          <w:rFonts w:hint="eastAsia" w:ascii="宋体" w:hAnsi="宋体" w:cs="宋体"/>
          <w:szCs w:val="21"/>
          <w:highlight w:val="none"/>
        </w:rPr>
      </w:pPr>
      <w:r>
        <w:rPr>
          <w:rFonts w:hint="eastAsia" w:ascii="宋体" w:hAnsi="宋体" w:cs="宋体"/>
          <w:szCs w:val="21"/>
          <w:highlight w:val="none"/>
        </w:rPr>
        <w:t>（7）一旦我方中标，我方将根据磋商文件的规定严格履行合同的责任和义务，否则我们的履约保证金将被贵方不予退还。</w:t>
      </w:r>
    </w:p>
    <w:p w14:paraId="0910A114">
      <w:pPr>
        <w:pStyle w:val="207"/>
        <w:spacing w:line="500" w:lineRule="exact"/>
        <w:ind w:firstLine="480"/>
        <w:rPr>
          <w:rFonts w:hint="eastAsia" w:hAnsi="宋体" w:cs="宋体"/>
          <w:sz w:val="24"/>
          <w:szCs w:val="21"/>
          <w:highlight w:val="none"/>
        </w:rPr>
      </w:pPr>
      <w:r>
        <w:rPr>
          <w:rFonts w:hint="eastAsia" w:hAnsi="宋体" w:cs="宋体"/>
          <w:sz w:val="24"/>
          <w:szCs w:val="21"/>
          <w:highlight w:val="none"/>
        </w:rPr>
        <w:t>磋商供应商单位名称:                    （公章）</w:t>
      </w:r>
    </w:p>
    <w:p w14:paraId="1A4870DC">
      <w:pPr>
        <w:spacing w:line="500" w:lineRule="exact"/>
        <w:ind w:firstLine="480"/>
        <w:rPr>
          <w:rFonts w:hint="eastAsia" w:ascii="宋体" w:hAnsi="宋体" w:cs="宋体"/>
          <w:sz w:val="24"/>
          <w:szCs w:val="21"/>
          <w:highlight w:val="none"/>
        </w:rPr>
      </w:pPr>
      <w:r>
        <w:rPr>
          <w:rFonts w:hint="eastAsia" w:ascii="宋体" w:hAnsi="宋体" w:cs="宋体"/>
          <w:sz w:val="24"/>
          <w:szCs w:val="21"/>
          <w:highlight w:val="none"/>
        </w:rPr>
        <w:t xml:space="preserve">地址:          邮编:          </w:t>
      </w:r>
    </w:p>
    <w:p w14:paraId="1B9D85F7">
      <w:pPr>
        <w:spacing w:line="500" w:lineRule="exact"/>
        <w:ind w:firstLine="480"/>
        <w:rPr>
          <w:rFonts w:hint="eastAsia" w:ascii="宋体" w:hAnsi="宋体" w:cs="宋体"/>
          <w:sz w:val="24"/>
          <w:szCs w:val="21"/>
          <w:highlight w:val="none"/>
        </w:rPr>
      </w:pPr>
      <w:r>
        <w:rPr>
          <w:rFonts w:hint="eastAsia" w:ascii="宋体" w:hAnsi="宋体" w:cs="宋体"/>
          <w:sz w:val="24"/>
          <w:szCs w:val="21"/>
          <w:highlight w:val="none"/>
        </w:rPr>
        <w:t xml:space="preserve">电话:          传真:          </w:t>
      </w:r>
    </w:p>
    <w:p w14:paraId="2DDFDDA4">
      <w:pPr>
        <w:pStyle w:val="207"/>
        <w:spacing w:line="500" w:lineRule="exact"/>
        <w:ind w:firstLine="480"/>
        <w:rPr>
          <w:rFonts w:hint="eastAsia" w:hAnsi="宋体" w:cs="宋体"/>
          <w:sz w:val="24"/>
          <w:szCs w:val="21"/>
          <w:highlight w:val="none"/>
        </w:rPr>
      </w:pPr>
    </w:p>
    <w:p w14:paraId="60D713A7">
      <w:pPr>
        <w:pStyle w:val="207"/>
        <w:spacing w:line="500" w:lineRule="exact"/>
        <w:ind w:firstLine="480"/>
        <w:rPr>
          <w:rFonts w:hint="eastAsia" w:hAnsi="宋体" w:cs="宋体"/>
          <w:sz w:val="24"/>
          <w:szCs w:val="21"/>
          <w:highlight w:val="none"/>
        </w:rPr>
      </w:pPr>
      <w:r>
        <w:rPr>
          <w:rFonts w:hint="eastAsia" w:hAnsi="宋体" w:cs="宋体"/>
          <w:sz w:val="24"/>
          <w:szCs w:val="21"/>
          <w:highlight w:val="none"/>
        </w:rPr>
        <w:t xml:space="preserve">磋商供应商代表姓名（签字）:       </w:t>
      </w:r>
    </w:p>
    <w:p w14:paraId="05898B01">
      <w:pPr>
        <w:spacing w:line="500" w:lineRule="exact"/>
        <w:ind w:firstLine="480"/>
        <w:rPr>
          <w:rFonts w:hint="eastAsia" w:ascii="宋体" w:hAnsi="宋体" w:cs="宋体"/>
          <w:sz w:val="24"/>
          <w:szCs w:val="21"/>
          <w:highlight w:val="none"/>
        </w:rPr>
      </w:pPr>
      <w:r>
        <w:rPr>
          <w:rFonts w:hint="eastAsia" w:ascii="宋体" w:hAnsi="宋体" w:cs="宋体"/>
          <w:sz w:val="24"/>
          <w:szCs w:val="21"/>
          <w:highlight w:val="none"/>
        </w:rPr>
        <w:t xml:space="preserve">职务:               </w:t>
      </w:r>
    </w:p>
    <w:p w14:paraId="7C5584A9">
      <w:pPr>
        <w:pStyle w:val="207"/>
        <w:spacing w:line="500" w:lineRule="exact"/>
        <w:ind w:firstLine="480"/>
        <w:rPr>
          <w:rFonts w:hint="eastAsia" w:hAnsi="宋体" w:cs="宋体"/>
          <w:sz w:val="24"/>
          <w:szCs w:val="21"/>
          <w:highlight w:val="none"/>
        </w:rPr>
      </w:pPr>
      <w:r>
        <w:rPr>
          <w:rFonts w:hint="eastAsia" w:hAnsi="宋体" w:cs="宋体"/>
          <w:sz w:val="24"/>
          <w:szCs w:val="21"/>
          <w:highlight w:val="none"/>
        </w:rPr>
        <w:t>日期:       年  月  日</w:t>
      </w:r>
    </w:p>
    <w:p w14:paraId="51A6A577">
      <w:pPr>
        <w:pStyle w:val="201"/>
        <w:rPr>
          <w:rFonts w:hint="eastAsia" w:ascii="黑体" w:eastAsia="黑体"/>
          <w:sz w:val="44"/>
          <w:highlight w:val="none"/>
        </w:rPr>
      </w:pPr>
      <w:r>
        <w:rPr>
          <w:rFonts w:ascii="宋体" w:hAnsi="宋体"/>
          <w:b/>
          <w:sz w:val="44"/>
          <w:highlight w:val="none"/>
        </w:rPr>
        <w:br w:type="page" w:clear="all"/>
      </w:r>
      <w:r>
        <w:rPr>
          <w:rFonts w:hint="eastAsia" w:ascii="宋体" w:hAnsi="宋体"/>
          <w:b/>
          <w:sz w:val="44"/>
          <w:highlight w:val="none"/>
          <w:lang w:val="en-US" w:eastAsia="zh-CN"/>
        </w:rPr>
        <w:t xml:space="preserve">  </w:t>
      </w:r>
      <w:r>
        <w:rPr>
          <w:rFonts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报价一览表；</w:t>
      </w:r>
    </w:p>
    <w:p w14:paraId="0399B93A">
      <w:pPr>
        <w:jc w:val="center"/>
        <w:rPr>
          <w:rFonts w:hint="eastAsia" w:ascii="宋体" w:hAnsi="宋体" w:eastAsia="宋体" w:cs="Times New Roman"/>
          <w:b/>
          <w:sz w:val="28"/>
          <w:szCs w:val="28"/>
          <w:highlight w:val="none"/>
        </w:rPr>
      </w:pPr>
    </w:p>
    <w:p w14:paraId="6482FAD7">
      <w:pPr>
        <w:jc w:val="center"/>
        <w:rPr>
          <w:rFonts w:hint="eastAsia" w:ascii="宋体" w:hAnsi="宋体"/>
          <w:b/>
          <w:sz w:val="28"/>
          <w:szCs w:val="28"/>
          <w:highlight w:val="none"/>
        </w:rPr>
      </w:pPr>
      <w:r>
        <w:rPr>
          <w:rFonts w:hint="eastAsia" w:ascii="宋体" w:hAnsi="宋体" w:eastAsia="宋体" w:cs="Times New Roman"/>
          <w:b/>
          <w:sz w:val="28"/>
          <w:szCs w:val="28"/>
          <w:highlight w:val="none"/>
        </w:rPr>
        <w:t>报价一览表 （参考格式）</w:t>
      </w:r>
      <w:r>
        <w:rPr>
          <w:rFonts w:hint="eastAsia" w:ascii="宋体" w:hAnsi="宋体"/>
          <w:sz w:val="24"/>
          <w:highlight w:val="none"/>
        </w:rPr>
        <w:t xml:space="preserve">  </w:t>
      </w:r>
    </w:p>
    <w:tbl>
      <w:tblPr>
        <w:tblStyle w:val="32"/>
        <w:tblW w:w="9720"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2"/>
        <w:gridCol w:w="7608"/>
      </w:tblGrid>
      <w:tr w14:paraId="141CE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5" w:hRule="atLeast"/>
        </w:trPr>
        <w:tc>
          <w:tcPr>
            <w:tcW w:w="2112" w:type="dxa"/>
            <w:noWrap w:val="0"/>
            <w:vAlign w:val="center"/>
          </w:tcPr>
          <w:p w14:paraId="14F8E2C9">
            <w:pPr>
              <w:pStyle w:val="201"/>
              <w:spacing w:line="360" w:lineRule="exact"/>
              <w:jc w:val="center"/>
              <w:rPr>
                <w:rFonts w:ascii="宋体" w:hAnsi="宋体" w:eastAsia="宋体"/>
                <w:sz w:val="24"/>
                <w:szCs w:val="24"/>
                <w:highlight w:val="none"/>
              </w:rPr>
            </w:pPr>
            <w:r>
              <w:rPr>
                <w:rFonts w:hint="eastAsia" w:ascii="宋体" w:hAnsi="宋体" w:eastAsia="宋体"/>
                <w:sz w:val="24"/>
                <w:szCs w:val="24"/>
                <w:highlight w:val="none"/>
              </w:rPr>
              <w:t>采购项目名称</w:t>
            </w:r>
          </w:p>
        </w:tc>
        <w:tc>
          <w:tcPr>
            <w:tcW w:w="7608" w:type="dxa"/>
            <w:noWrap w:val="0"/>
            <w:vAlign w:val="center"/>
          </w:tcPr>
          <w:p w14:paraId="73BA9118">
            <w:pPr>
              <w:widowControl/>
              <w:spacing w:line="360" w:lineRule="auto"/>
              <w:jc w:val="left"/>
              <w:rPr>
                <w:rFonts w:ascii="宋体" w:hAnsi="宋体"/>
                <w:sz w:val="24"/>
                <w:highlight w:val="none"/>
              </w:rPr>
            </w:pPr>
          </w:p>
        </w:tc>
      </w:tr>
      <w:tr w14:paraId="51DBB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9" w:hRule="atLeast"/>
        </w:trPr>
        <w:tc>
          <w:tcPr>
            <w:tcW w:w="9720" w:type="dxa"/>
            <w:gridSpan w:val="2"/>
            <w:noWrap w:val="0"/>
            <w:vAlign w:val="center"/>
          </w:tcPr>
          <w:p w14:paraId="22422056">
            <w:pPr>
              <w:spacing w:line="360" w:lineRule="atLeast"/>
              <w:ind w:firstLine="120"/>
              <w:rPr>
                <w:rFonts w:ascii="宋体"/>
                <w:sz w:val="24"/>
                <w:highlight w:val="none"/>
              </w:rPr>
            </w:pPr>
            <w:r>
              <w:rPr>
                <w:rFonts w:hint="eastAsia" w:ascii="宋体"/>
                <w:sz w:val="24"/>
                <w:highlight w:val="none"/>
              </w:rPr>
              <w:t>投标总价（元）：</w:t>
            </w:r>
          </w:p>
          <w:p w14:paraId="6FAAD8F7">
            <w:pPr>
              <w:spacing w:line="360" w:lineRule="atLeast"/>
              <w:ind w:firstLine="120"/>
              <w:rPr>
                <w:rFonts w:ascii="宋体"/>
                <w:sz w:val="24"/>
                <w:highlight w:val="none"/>
                <w:u w:val="single"/>
              </w:rPr>
            </w:pPr>
            <w:r>
              <w:rPr>
                <w:rFonts w:hint="eastAsia" w:ascii="宋体"/>
                <w:sz w:val="24"/>
                <w:highlight w:val="none"/>
              </w:rPr>
              <w:t>小写：</w:t>
            </w:r>
            <w:r>
              <w:rPr>
                <w:rFonts w:ascii="宋体" w:hAnsi="宋体" w:eastAsia="Times New Roman"/>
                <w:sz w:val="24"/>
                <w:highlight w:val="none"/>
                <w:u w:val="single"/>
              </w:rPr>
              <w:t xml:space="preserve">                     </w:t>
            </w:r>
          </w:p>
          <w:p w14:paraId="6F79A224">
            <w:pPr>
              <w:spacing w:line="360" w:lineRule="atLeast"/>
              <w:ind w:firstLine="120"/>
              <w:rPr>
                <w:rFonts w:hint="eastAsia" w:ascii="宋体"/>
                <w:sz w:val="24"/>
                <w:highlight w:val="none"/>
              </w:rPr>
            </w:pPr>
            <w:r>
              <w:rPr>
                <w:rFonts w:hint="eastAsia" w:ascii="宋体"/>
                <w:sz w:val="24"/>
                <w:highlight w:val="none"/>
              </w:rPr>
              <w:t>大写：</w:t>
            </w:r>
            <w:r>
              <w:rPr>
                <w:rFonts w:ascii="宋体" w:hAnsi="宋体" w:eastAsia="Times New Roman"/>
                <w:sz w:val="24"/>
                <w:highlight w:val="none"/>
                <w:u w:val="single"/>
              </w:rPr>
              <w:t xml:space="preserve">                     </w:t>
            </w:r>
          </w:p>
        </w:tc>
      </w:tr>
      <w:tr w14:paraId="4CFFD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3" w:hRule="atLeast"/>
        </w:trPr>
        <w:tc>
          <w:tcPr>
            <w:tcW w:w="2112" w:type="dxa"/>
            <w:noWrap w:val="0"/>
            <w:vAlign w:val="center"/>
          </w:tcPr>
          <w:p w14:paraId="05E295F6">
            <w:pPr>
              <w:pStyle w:val="201"/>
              <w:spacing w:line="360" w:lineRule="exact"/>
              <w:jc w:val="center"/>
              <w:rPr>
                <w:rFonts w:ascii="宋体" w:cs="宋体"/>
                <w:sz w:val="24"/>
                <w:szCs w:val="24"/>
                <w:highlight w:val="none"/>
              </w:rPr>
            </w:pPr>
            <w:r>
              <w:rPr>
                <w:rFonts w:hint="eastAsia" w:ascii="宋体" w:hAnsi="Times New Roman" w:eastAsia="宋体"/>
                <w:sz w:val="24"/>
                <w:szCs w:val="24"/>
                <w:highlight w:val="none"/>
              </w:rPr>
              <w:t>合同工期</w:t>
            </w:r>
          </w:p>
        </w:tc>
        <w:tc>
          <w:tcPr>
            <w:tcW w:w="7608" w:type="dxa"/>
            <w:noWrap w:val="0"/>
            <w:vAlign w:val="center"/>
          </w:tcPr>
          <w:p w14:paraId="3118FE2E">
            <w:pPr>
              <w:pStyle w:val="276"/>
              <w:spacing w:line="360" w:lineRule="exact"/>
              <w:jc w:val="both"/>
              <w:rPr>
                <w:rFonts w:ascii="宋体" w:hAnsi="宋体"/>
                <w:color w:val="000000"/>
                <w:highlight w:val="none"/>
                <w:u w:val="single"/>
              </w:rPr>
            </w:pPr>
            <w:r>
              <w:rPr>
                <w:rFonts w:ascii="宋体" w:hAnsi="宋体"/>
                <w:color w:val="000000"/>
                <w:highlight w:val="none"/>
                <w:u w:val="single"/>
              </w:rPr>
              <w:t xml:space="preserve">         </w:t>
            </w:r>
            <w:r>
              <w:rPr>
                <w:rFonts w:hint="eastAsia" w:ascii="宋体" w:hAnsi="宋体"/>
                <w:color w:val="000000"/>
                <w:highlight w:val="none"/>
                <w:u w:val="single"/>
              </w:rPr>
              <w:t xml:space="preserve">        </w:t>
            </w:r>
          </w:p>
        </w:tc>
      </w:tr>
      <w:tr w14:paraId="01DEE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2" w:hRule="atLeast"/>
        </w:trPr>
        <w:tc>
          <w:tcPr>
            <w:tcW w:w="2112" w:type="dxa"/>
            <w:noWrap w:val="0"/>
            <w:vAlign w:val="center"/>
          </w:tcPr>
          <w:p w14:paraId="1E074466">
            <w:pPr>
              <w:pStyle w:val="201"/>
              <w:spacing w:line="360" w:lineRule="exact"/>
              <w:jc w:val="center"/>
              <w:rPr>
                <w:rFonts w:hint="eastAsia" w:ascii="宋体" w:hAnsi="Times New Roman" w:eastAsia="宋体"/>
                <w:sz w:val="24"/>
                <w:szCs w:val="24"/>
                <w:highlight w:val="none"/>
                <w:lang w:eastAsia="zh-CN"/>
              </w:rPr>
            </w:pPr>
            <w:r>
              <w:rPr>
                <w:rFonts w:hint="eastAsia" w:ascii="宋体" w:hAnsi="Times New Roman" w:eastAsia="宋体"/>
                <w:sz w:val="24"/>
                <w:szCs w:val="24"/>
                <w:highlight w:val="none"/>
              </w:rPr>
              <w:t>项目</w:t>
            </w:r>
            <w:r>
              <w:rPr>
                <w:rFonts w:hint="eastAsia" w:ascii="宋体" w:hAnsi="Times New Roman" w:eastAsia="宋体"/>
                <w:sz w:val="24"/>
                <w:szCs w:val="24"/>
                <w:highlight w:val="none"/>
                <w:lang w:val="en-US" w:eastAsia="zh-CN"/>
              </w:rPr>
              <w:t>经理</w:t>
            </w:r>
          </w:p>
        </w:tc>
        <w:tc>
          <w:tcPr>
            <w:tcW w:w="7608" w:type="dxa"/>
            <w:noWrap w:val="0"/>
            <w:vAlign w:val="center"/>
          </w:tcPr>
          <w:p w14:paraId="61832A35">
            <w:pPr>
              <w:pStyle w:val="276"/>
              <w:spacing w:line="360" w:lineRule="exact"/>
              <w:jc w:val="both"/>
              <w:rPr>
                <w:rFonts w:ascii="宋体" w:hAnsi="宋体"/>
                <w:color w:val="000000"/>
                <w:highlight w:val="none"/>
                <w:u w:val="single"/>
              </w:rPr>
            </w:pPr>
          </w:p>
        </w:tc>
      </w:tr>
      <w:tr w14:paraId="52C70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3" w:hRule="atLeast"/>
        </w:trPr>
        <w:tc>
          <w:tcPr>
            <w:tcW w:w="2112" w:type="dxa"/>
            <w:noWrap w:val="0"/>
            <w:vAlign w:val="center"/>
          </w:tcPr>
          <w:p w14:paraId="04AC9E38">
            <w:pPr>
              <w:pStyle w:val="201"/>
              <w:spacing w:line="360" w:lineRule="exact"/>
              <w:jc w:val="center"/>
              <w:rPr>
                <w:rFonts w:ascii="宋体" w:hAnsi="Times New Roman" w:eastAsia="宋体"/>
                <w:sz w:val="24"/>
                <w:szCs w:val="24"/>
                <w:highlight w:val="none"/>
              </w:rPr>
            </w:pPr>
            <w:r>
              <w:rPr>
                <w:rFonts w:hint="eastAsia" w:ascii="宋体" w:hAnsi="Times New Roman" w:eastAsia="宋体"/>
                <w:sz w:val="24"/>
                <w:szCs w:val="24"/>
                <w:highlight w:val="none"/>
              </w:rPr>
              <w:t>投标有效期</w:t>
            </w:r>
          </w:p>
        </w:tc>
        <w:tc>
          <w:tcPr>
            <w:tcW w:w="7608" w:type="dxa"/>
            <w:noWrap w:val="0"/>
            <w:vAlign w:val="center"/>
          </w:tcPr>
          <w:p w14:paraId="65F9D4B5">
            <w:pPr>
              <w:pStyle w:val="276"/>
              <w:spacing w:line="360" w:lineRule="exact"/>
              <w:rPr>
                <w:rFonts w:ascii="宋体" w:hAnsi="宋体"/>
                <w:color w:val="000000"/>
                <w:highlight w:val="none"/>
              </w:rPr>
            </w:pPr>
            <w:r>
              <w:rPr>
                <w:rFonts w:hint="eastAsia" w:ascii="宋体" w:hAnsi="宋体"/>
                <w:color w:val="000000"/>
                <w:highlight w:val="none"/>
              </w:rPr>
              <w:t>90天</w:t>
            </w:r>
          </w:p>
        </w:tc>
      </w:tr>
      <w:tr w14:paraId="6C99F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trPr>
        <w:tc>
          <w:tcPr>
            <w:tcW w:w="2112" w:type="dxa"/>
            <w:noWrap w:val="0"/>
            <w:vAlign w:val="center"/>
          </w:tcPr>
          <w:p w14:paraId="0715EB98">
            <w:pPr>
              <w:spacing w:line="360" w:lineRule="exact"/>
              <w:jc w:val="center"/>
              <w:rPr>
                <w:rFonts w:hint="eastAsia" w:ascii="宋体" w:hAnsi="宋体" w:cs="宋体"/>
                <w:sz w:val="24"/>
                <w:highlight w:val="none"/>
              </w:rPr>
            </w:pPr>
            <w:r>
              <w:rPr>
                <w:rFonts w:hint="eastAsia" w:ascii="宋体" w:hAnsi="宋体" w:cs="宋体"/>
                <w:sz w:val="24"/>
                <w:highlight w:val="none"/>
              </w:rPr>
              <w:t>投标人是否属于中小微型企业</w:t>
            </w:r>
          </w:p>
        </w:tc>
        <w:tc>
          <w:tcPr>
            <w:tcW w:w="7608" w:type="dxa"/>
            <w:noWrap w:val="0"/>
            <w:vAlign w:val="center"/>
          </w:tcPr>
          <w:p w14:paraId="1C701F8C">
            <w:pPr>
              <w:spacing w:line="360" w:lineRule="exact"/>
              <w:jc w:val="left"/>
              <w:rPr>
                <w:rFonts w:hint="eastAsia" w:ascii="宋体" w:hAnsi="宋体" w:cs="宋体"/>
                <w:sz w:val="24"/>
                <w:highlight w:val="none"/>
              </w:rPr>
            </w:pPr>
            <w:r>
              <w:rPr>
                <w:sz w:val="24"/>
                <w:highlight w:val="none"/>
              </w:rPr>
              <w:t>（</w:t>
            </w:r>
            <w:r>
              <w:rPr>
                <w:sz w:val="24"/>
                <w:highlight w:val="none"/>
                <w:lang w:val="zh-CN"/>
              </w:rPr>
              <w:t>填写“是”或“否</w:t>
            </w:r>
            <w:r>
              <w:rPr>
                <w:sz w:val="24"/>
                <w:highlight w:val="none"/>
              </w:rPr>
              <w:t>）</w:t>
            </w:r>
            <w:r>
              <w:rPr>
                <w:rFonts w:hint="eastAsia" w:ascii="宋体" w:hAnsi="宋体" w:cs="宋体"/>
                <w:b/>
                <w:bCs/>
                <w:sz w:val="24"/>
                <w:highlight w:val="none"/>
              </w:rPr>
              <w:t>（注：1、供应商需按照采购文件的要求提供相应的《企业声明函》2、企业标准请参照《关于印发中小企业划型标准规定的通知》（工信部联企业[2011]300号）文件规定自行填写。）</w:t>
            </w:r>
          </w:p>
        </w:tc>
      </w:tr>
      <w:tr w14:paraId="0576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trPr>
        <w:tc>
          <w:tcPr>
            <w:tcW w:w="2112" w:type="dxa"/>
            <w:noWrap w:val="0"/>
            <w:vAlign w:val="center"/>
          </w:tcPr>
          <w:p w14:paraId="5B8E2727">
            <w:pPr>
              <w:spacing w:line="360" w:lineRule="exact"/>
              <w:jc w:val="center"/>
              <w:rPr>
                <w:rFonts w:ascii="宋体" w:cs="宋体"/>
                <w:sz w:val="24"/>
                <w:highlight w:val="none"/>
              </w:rPr>
            </w:pPr>
            <w:r>
              <w:rPr>
                <w:rFonts w:hint="eastAsia" w:ascii="宋体" w:cs="宋体"/>
                <w:sz w:val="24"/>
                <w:highlight w:val="none"/>
              </w:rPr>
              <w:t>其他事项声明</w:t>
            </w:r>
          </w:p>
        </w:tc>
        <w:tc>
          <w:tcPr>
            <w:tcW w:w="7608" w:type="dxa"/>
            <w:noWrap w:val="0"/>
            <w:vAlign w:val="center"/>
          </w:tcPr>
          <w:p w14:paraId="6ADCD8E4">
            <w:pPr>
              <w:spacing w:line="360" w:lineRule="exact"/>
              <w:jc w:val="left"/>
              <w:rPr>
                <w:rFonts w:ascii="宋体" w:cs="宋体"/>
                <w:sz w:val="24"/>
                <w:highlight w:val="none"/>
              </w:rPr>
            </w:pPr>
          </w:p>
        </w:tc>
      </w:tr>
    </w:tbl>
    <w:p w14:paraId="564397FA">
      <w:pPr>
        <w:spacing w:line="360" w:lineRule="auto"/>
        <w:rPr>
          <w:rFonts w:hint="eastAsia"/>
          <w:sz w:val="24"/>
          <w:highlight w:val="none"/>
        </w:rPr>
      </w:pPr>
      <w:r>
        <w:rPr>
          <w:sz w:val="24"/>
          <w:highlight w:val="none"/>
        </w:rPr>
        <w:t>说明：</w:t>
      </w:r>
      <w:r>
        <w:rPr>
          <w:rFonts w:hint="eastAsia"/>
          <w:sz w:val="24"/>
          <w:highlight w:val="none"/>
        </w:rPr>
        <w:t>此表可以根据需要自行增减行数，且该表报价非本次磋商中的最后报价。</w:t>
      </w:r>
    </w:p>
    <w:p w14:paraId="7710D002">
      <w:pPr>
        <w:spacing w:line="360" w:lineRule="auto"/>
        <w:rPr>
          <w:rFonts w:hint="eastAsia" w:ascii="宋体" w:hAnsi="宋体"/>
          <w:sz w:val="24"/>
          <w:highlight w:val="none"/>
        </w:rPr>
      </w:pPr>
    </w:p>
    <w:p w14:paraId="21B80ED5">
      <w:pPr>
        <w:spacing w:line="360" w:lineRule="auto"/>
        <w:rPr>
          <w:rFonts w:hint="eastAsia" w:ascii="宋体" w:hAnsi="宋体"/>
          <w:sz w:val="24"/>
          <w:highlight w:val="none"/>
        </w:rPr>
      </w:pPr>
      <w:r>
        <w:rPr>
          <w:rFonts w:hint="eastAsia" w:ascii="宋体" w:hAnsi="宋体"/>
          <w:sz w:val="24"/>
          <w:highlight w:val="none"/>
        </w:rPr>
        <w:t xml:space="preserve">法定代表人或者授权代表（签字或盖章）：                    </w:t>
      </w:r>
    </w:p>
    <w:p w14:paraId="464113B2">
      <w:pPr>
        <w:spacing w:line="360" w:lineRule="auto"/>
        <w:rPr>
          <w:rFonts w:hint="eastAsia"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4025F6DA">
      <w:pPr>
        <w:spacing w:line="360" w:lineRule="auto"/>
        <w:rPr>
          <w:rFonts w:hint="eastAsia" w:ascii="宋体" w:hAnsi="宋体"/>
          <w:sz w:val="24"/>
          <w:highlight w:val="none"/>
        </w:rPr>
      </w:pPr>
      <w:r>
        <w:rPr>
          <w:rFonts w:hint="eastAsia" w:ascii="宋体" w:hAnsi="宋体"/>
          <w:sz w:val="24"/>
          <w:highlight w:val="none"/>
        </w:rPr>
        <w:t>日期：    年   月    日</w:t>
      </w:r>
    </w:p>
    <w:p w14:paraId="4B796AF9">
      <w:pPr>
        <w:spacing w:line="240" w:lineRule="atLeast"/>
        <w:jc w:val="center"/>
        <w:rPr>
          <w:rFonts w:hint="eastAsia" w:ascii="黑体" w:eastAsia="黑体"/>
          <w:b/>
          <w:bCs/>
          <w:sz w:val="28"/>
          <w:highlight w:val="none"/>
        </w:rPr>
      </w:pPr>
    </w:p>
    <w:p w14:paraId="0833CAA1">
      <w:pPr>
        <w:spacing w:line="360" w:lineRule="auto"/>
        <w:rPr>
          <w:rFonts w:hint="eastAsia" w:ascii="宋体" w:hAnsi="宋体"/>
          <w:sz w:val="24"/>
          <w:highlight w:val="none"/>
        </w:rPr>
      </w:pPr>
    </w:p>
    <w:p w14:paraId="5414B424">
      <w:pPr>
        <w:pStyle w:val="238"/>
        <w:rPr>
          <w:rFonts w:hint="eastAsia"/>
          <w:highlight w:val="none"/>
        </w:rPr>
      </w:pPr>
    </w:p>
    <w:p w14:paraId="49F66B92">
      <w:pPr>
        <w:pStyle w:val="201"/>
        <w:rPr>
          <w:rFonts w:hint="eastAsia" w:ascii="黑体" w:eastAsia="黑体"/>
          <w:sz w:val="44"/>
          <w:highlight w:val="none"/>
        </w:rPr>
      </w:pPr>
    </w:p>
    <w:p w14:paraId="026F660E">
      <w:pPr>
        <w:pStyle w:val="201"/>
        <w:rPr>
          <w:rFonts w:hint="eastAsia" w:ascii="黑体" w:eastAsia="黑体"/>
          <w:sz w:val="44"/>
          <w:highlight w:val="none"/>
        </w:rPr>
      </w:pPr>
    </w:p>
    <w:p w14:paraId="5C69B74C">
      <w:pPr>
        <w:pStyle w:val="201"/>
        <w:rPr>
          <w:rFonts w:hint="eastAsia" w:ascii="黑体" w:eastAsia="黑体"/>
          <w:sz w:val="44"/>
          <w:highlight w:val="none"/>
        </w:rPr>
      </w:pPr>
    </w:p>
    <w:p w14:paraId="7B810911">
      <w:pPr>
        <w:pStyle w:val="201"/>
        <w:rPr>
          <w:rFonts w:hint="eastAsia" w:ascii="黑体" w:eastAsia="黑体"/>
          <w:sz w:val="44"/>
          <w:highlight w:val="none"/>
        </w:rPr>
      </w:pPr>
    </w:p>
    <w:p w14:paraId="5B0BF722">
      <w:pPr>
        <w:pStyle w:val="202"/>
        <w:rPr>
          <w:rFonts w:hint="eastAsia"/>
          <w:highlight w:val="none"/>
        </w:rPr>
      </w:pPr>
    </w:p>
    <w:p w14:paraId="5415BBD0">
      <w:pPr>
        <w:spacing w:line="360" w:lineRule="auto"/>
        <w:rPr>
          <w:rFonts w:hint="eastAsia" w:ascii="宋体" w:hAnsi="宋体" w:eastAsia="宋体" w:cs="宋体"/>
          <w:bCs/>
          <w:sz w:val="24"/>
          <w:highlight w:val="none"/>
          <w:lang w:eastAsia="zh-CN"/>
        </w:rPr>
      </w:pPr>
      <w:r>
        <w:rPr>
          <w:rFonts w:ascii="宋体" w:hAnsi="宋体" w:cs="宋体"/>
          <w:bCs/>
          <w:sz w:val="24"/>
          <w:highlight w:val="none"/>
        </w:rPr>
        <w:br w:type="page" w:clear="all"/>
      </w:r>
      <w:r>
        <w:rPr>
          <w:rFonts w:hint="eastAsia" w:ascii="宋体" w:hAnsi="宋体" w:cs="宋体"/>
          <w:bCs/>
          <w:sz w:val="24"/>
          <w:highlight w:val="none"/>
          <w:lang w:val="en-US" w:eastAsia="zh-CN"/>
        </w:rPr>
        <w:t xml:space="preserve">  </w:t>
      </w:r>
      <w:r>
        <w:rPr>
          <w:rFonts w:ascii="宋体" w:hAnsi="宋体" w:cs="宋体"/>
          <w:bCs/>
          <w:sz w:val="24"/>
          <w:highlight w:val="none"/>
        </w:rPr>
        <w:t>（</w:t>
      </w:r>
      <w:r>
        <w:rPr>
          <w:rFonts w:hint="eastAsia" w:ascii="宋体" w:hAnsi="宋体" w:cs="宋体"/>
          <w:bCs/>
          <w:sz w:val="24"/>
          <w:highlight w:val="none"/>
        </w:rPr>
        <w:t>3</w:t>
      </w:r>
      <w:r>
        <w:rPr>
          <w:rFonts w:ascii="宋体" w:hAnsi="宋体" w:cs="宋体"/>
          <w:bCs/>
          <w:sz w:val="24"/>
          <w:highlight w:val="none"/>
        </w:rPr>
        <w:t>）</w:t>
      </w:r>
      <w:r>
        <w:rPr>
          <w:rFonts w:hint="eastAsia" w:ascii="宋体" w:hAnsi="宋体" w:cs="宋体"/>
          <w:bCs/>
          <w:sz w:val="24"/>
          <w:highlight w:val="none"/>
        </w:rPr>
        <w:t>工程量清单</w:t>
      </w:r>
      <w:r>
        <w:rPr>
          <w:rFonts w:hint="eastAsia" w:ascii="宋体" w:hAnsi="宋体" w:cs="宋体"/>
          <w:bCs/>
          <w:sz w:val="24"/>
          <w:highlight w:val="none"/>
          <w:lang w:eastAsia="zh-CN"/>
        </w:rPr>
        <w:t>；</w:t>
      </w:r>
    </w:p>
    <w:p w14:paraId="5F7DCEF7">
      <w:pPr>
        <w:spacing w:line="360" w:lineRule="auto"/>
        <w:jc w:val="center"/>
        <w:rPr>
          <w:rFonts w:hint="eastAsia" w:ascii="宋体" w:hAnsi="宋体"/>
          <w:b/>
          <w:sz w:val="28"/>
          <w:szCs w:val="28"/>
          <w:highlight w:val="none"/>
        </w:rPr>
      </w:pPr>
      <w:r>
        <w:rPr>
          <w:rFonts w:hint="eastAsia" w:ascii="宋体" w:hAnsi="宋体"/>
          <w:b/>
          <w:sz w:val="28"/>
          <w:szCs w:val="28"/>
          <w:highlight w:val="none"/>
        </w:rPr>
        <w:t>工程量清单</w:t>
      </w:r>
    </w:p>
    <w:p w14:paraId="5FA93461">
      <w:pPr>
        <w:spacing w:line="360" w:lineRule="auto"/>
        <w:rPr>
          <w:rFonts w:hint="eastAsia"/>
          <w:highlight w:val="none"/>
        </w:rPr>
      </w:pPr>
    </w:p>
    <w:p w14:paraId="608BA612">
      <w:pPr>
        <w:spacing w:line="360" w:lineRule="auto"/>
        <w:rPr>
          <w:rFonts w:hint="eastAsia"/>
          <w:highlight w:val="none"/>
        </w:rPr>
      </w:pPr>
    </w:p>
    <w:p w14:paraId="45348535">
      <w:pPr>
        <w:spacing w:line="360" w:lineRule="auto"/>
        <w:rPr>
          <w:rFonts w:hint="eastAsia"/>
          <w:sz w:val="24"/>
          <w:highlight w:val="none"/>
        </w:rPr>
      </w:pPr>
    </w:p>
    <w:p w14:paraId="0886DF01">
      <w:pPr>
        <w:spacing w:line="360" w:lineRule="auto"/>
        <w:rPr>
          <w:rFonts w:hint="eastAsia"/>
          <w:sz w:val="24"/>
          <w:highlight w:val="none"/>
        </w:rPr>
      </w:pPr>
      <w:r>
        <w:rPr>
          <w:rFonts w:hint="eastAsia"/>
          <w:sz w:val="24"/>
          <w:highlight w:val="none"/>
        </w:rPr>
        <w:t>附已报价的工程量清单</w:t>
      </w:r>
    </w:p>
    <w:p w14:paraId="51BD42C7">
      <w:pPr>
        <w:pStyle w:val="197"/>
        <w:rPr>
          <w:rFonts w:hint="eastAsia" w:ascii="宋体" w:hAnsi="宋体"/>
          <w:sz w:val="24"/>
          <w:highlight w:val="none"/>
        </w:rPr>
      </w:pPr>
    </w:p>
    <w:p w14:paraId="747ED556">
      <w:pPr>
        <w:rPr>
          <w:rFonts w:hint="eastAsia"/>
          <w:sz w:val="24"/>
          <w:highlight w:val="none"/>
        </w:rPr>
      </w:pPr>
    </w:p>
    <w:p w14:paraId="74C6A8D3">
      <w:pPr>
        <w:pStyle w:val="197"/>
        <w:spacing w:line="360" w:lineRule="auto"/>
        <w:rPr>
          <w:rFonts w:ascii="宋体" w:hAnsi="宋体" w:eastAsia="宋体"/>
          <w:sz w:val="24"/>
          <w:highlight w:val="none"/>
          <w:lang w:val="en-US" w:eastAsia="zh-CN"/>
        </w:rPr>
      </w:pPr>
      <w:r>
        <w:rPr>
          <w:rFonts w:hint="eastAsia" w:ascii="宋体" w:hAnsi="宋体"/>
          <w:sz w:val="24"/>
          <w:highlight w:val="none"/>
        </w:rPr>
        <w:t>注：</w:t>
      </w:r>
      <w:r>
        <w:rPr>
          <w:rFonts w:hint="eastAsia" w:ascii="宋体" w:hAnsi="宋体"/>
          <w:sz w:val="24"/>
          <w:highlight w:val="none"/>
          <w:lang w:val="en-US" w:eastAsia="zh-CN"/>
        </w:rPr>
        <w:t>1、</w:t>
      </w:r>
      <w:r>
        <w:rPr>
          <w:rFonts w:hint="eastAsia" w:ascii="宋体" w:hAnsi="宋体"/>
          <w:sz w:val="24"/>
          <w:highlight w:val="none"/>
          <w:lang w:val="zh-CN"/>
        </w:rPr>
        <w:t>工程量清单</w:t>
      </w:r>
      <w:r>
        <w:rPr>
          <w:rFonts w:hint="eastAsia" w:ascii="宋体" w:hAnsi="宋体"/>
          <w:sz w:val="24"/>
          <w:highlight w:val="none"/>
        </w:rPr>
        <w:t>中的报价合计必须与</w:t>
      </w:r>
      <w:r>
        <w:rPr>
          <w:rFonts w:hint="eastAsia" w:ascii="宋体" w:hAnsi="宋体"/>
          <w:sz w:val="24"/>
          <w:highlight w:val="none"/>
          <w:lang w:val="en-US" w:eastAsia="zh-CN"/>
        </w:rPr>
        <w:t>报价一览表</w:t>
      </w:r>
      <w:r>
        <w:rPr>
          <w:rFonts w:hint="eastAsia" w:ascii="宋体" w:hAnsi="宋体"/>
          <w:sz w:val="24"/>
          <w:highlight w:val="none"/>
        </w:rPr>
        <w:t xml:space="preserve">的报价相同。 </w:t>
      </w:r>
    </w:p>
    <w:p w14:paraId="2070F149">
      <w:pPr>
        <w:spacing w:line="360" w:lineRule="auto"/>
        <w:rPr>
          <w:rFonts w:hint="eastAsia" w:ascii="宋体" w:hAnsi="宋体"/>
          <w:sz w:val="24"/>
          <w:highlight w:val="none"/>
        </w:rPr>
      </w:pPr>
    </w:p>
    <w:p w14:paraId="5D2F0E1A">
      <w:pPr>
        <w:spacing w:line="360" w:lineRule="auto"/>
        <w:ind w:firstLine="3840"/>
        <w:rPr>
          <w:rFonts w:hint="eastAsia" w:ascii="宋体" w:hAnsi="宋体"/>
          <w:sz w:val="24"/>
          <w:highlight w:val="none"/>
        </w:rPr>
      </w:pPr>
    </w:p>
    <w:p w14:paraId="28ABD1F1">
      <w:pPr>
        <w:spacing w:line="360" w:lineRule="auto"/>
        <w:rPr>
          <w:rFonts w:hint="eastAsia" w:ascii="宋体" w:hAnsi="宋体"/>
          <w:sz w:val="24"/>
          <w:highlight w:val="none"/>
        </w:rPr>
      </w:pPr>
      <w:r>
        <w:rPr>
          <w:rFonts w:hint="eastAsia" w:ascii="宋体" w:hAnsi="宋体"/>
          <w:sz w:val="24"/>
          <w:highlight w:val="none"/>
        </w:rPr>
        <w:t xml:space="preserve">法定代表人或者授权代表（签字或盖章）：                    </w:t>
      </w:r>
    </w:p>
    <w:p w14:paraId="3991CE1C">
      <w:pPr>
        <w:spacing w:line="360" w:lineRule="auto"/>
        <w:rPr>
          <w:rFonts w:hint="eastAsia" w:ascii="宋体" w:hAnsi="宋体"/>
          <w:sz w:val="24"/>
          <w:highlight w:val="non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1C2E95BF">
      <w:pPr>
        <w:spacing w:line="360" w:lineRule="auto"/>
        <w:rPr>
          <w:rFonts w:ascii="宋体" w:hAnsi="宋体"/>
          <w:sz w:val="24"/>
          <w:highlight w:val="none"/>
        </w:rPr>
      </w:pPr>
      <w:r>
        <w:rPr>
          <w:rFonts w:hint="eastAsia" w:ascii="宋体" w:hAnsi="宋体"/>
          <w:sz w:val="24"/>
          <w:highlight w:val="none"/>
        </w:rPr>
        <w:t>日期：    年   月    日</w:t>
      </w:r>
    </w:p>
    <w:p w14:paraId="4F82ABC6">
      <w:pPr>
        <w:pStyle w:val="271"/>
        <w:rPr>
          <w:rFonts w:ascii="宋体" w:hAnsi="宋体"/>
          <w:sz w:val="28"/>
          <w:szCs w:val="28"/>
          <w:highlight w:val="none"/>
        </w:rPr>
      </w:pPr>
    </w:p>
    <w:p w14:paraId="6A1F0257">
      <w:pPr>
        <w:pStyle w:val="189"/>
        <w:ind w:firstLine="0"/>
        <w:rPr>
          <w:rFonts w:hint="eastAsia"/>
          <w:highlight w:val="none"/>
        </w:rPr>
      </w:pPr>
    </w:p>
    <w:p w14:paraId="6A1D11DD">
      <w:pPr>
        <w:pStyle w:val="189"/>
        <w:ind w:firstLine="0"/>
        <w:rPr>
          <w:rFonts w:hint="eastAsia"/>
          <w:highlight w:val="none"/>
        </w:rPr>
      </w:pPr>
    </w:p>
    <w:p w14:paraId="3DB86A46">
      <w:pPr>
        <w:pStyle w:val="189"/>
        <w:ind w:firstLine="0"/>
        <w:rPr>
          <w:rFonts w:hint="eastAsia"/>
          <w:highlight w:val="none"/>
        </w:rPr>
      </w:pPr>
    </w:p>
    <w:p w14:paraId="7405FD0C">
      <w:pPr>
        <w:pStyle w:val="189"/>
        <w:ind w:firstLine="0"/>
        <w:rPr>
          <w:rFonts w:hint="eastAsia"/>
          <w:highlight w:val="none"/>
        </w:rPr>
      </w:pPr>
    </w:p>
    <w:p w14:paraId="255EF4A2">
      <w:pPr>
        <w:pStyle w:val="189"/>
        <w:ind w:firstLine="0"/>
        <w:rPr>
          <w:rFonts w:hint="eastAsia"/>
          <w:highlight w:val="none"/>
        </w:rPr>
      </w:pPr>
    </w:p>
    <w:p w14:paraId="32366505">
      <w:pPr>
        <w:pStyle w:val="189"/>
        <w:ind w:firstLine="0"/>
        <w:rPr>
          <w:rFonts w:hint="eastAsia"/>
          <w:highlight w:val="none"/>
        </w:rPr>
      </w:pPr>
    </w:p>
    <w:p w14:paraId="69D02058">
      <w:pPr>
        <w:pStyle w:val="189"/>
        <w:ind w:firstLine="0"/>
        <w:rPr>
          <w:rFonts w:hint="eastAsia"/>
          <w:highlight w:val="none"/>
        </w:rPr>
      </w:pPr>
    </w:p>
    <w:p w14:paraId="2183225E">
      <w:pPr>
        <w:pStyle w:val="189"/>
        <w:ind w:firstLine="0"/>
        <w:rPr>
          <w:rFonts w:hint="eastAsia"/>
          <w:highlight w:val="none"/>
        </w:rPr>
      </w:pPr>
    </w:p>
    <w:p w14:paraId="5E44A34E">
      <w:pPr>
        <w:pStyle w:val="189"/>
        <w:ind w:firstLine="0"/>
        <w:rPr>
          <w:rFonts w:hint="eastAsia"/>
          <w:highlight w:val="none"/>
        </w:rPr>
      </w:pPr>
    </w:p>
    <w:p w14:paraId="5B2955D0">
      <w:pPr>
        <w:pStyle w:val="189"/>
        <w:ind w:firstLine="0"/>
        <w:rPr>
          <w:rFonts w:hint="eastAsia"/>
          <w:highlight w:val="none"/>
        </w:rPr>
      </w:pPr>
    </w:p>
    <w:p w14:paraId="409E07CD">
      <w:pPr>
        <w:pStyle w:val="189"/>
        <w:ind w:firstLine="0"/>
        <w:rPr>
          <w:rFonts w:hint="eastAsia"/>
          <w:highlight w:val="none"/>
        </w:rPr>
      </w:pPr>
    </w:p>
    <w:p w14:paraId="032DD6F2">
      <w:pPr>
        <w:pStyle w:val="189"/>
        <w:ind w:firstLine="0"/>
        <w:rPr>
          <w:rFonts w:hint="eastAsia"/>
          <w:highlight w:val="none"/>
        </w:rPr>
      </w:pPr>
    </w:p>
    <w:p w14:paraId="00969406">
      <w:pPr>
        <w:pStyle w:val="189"/>
        <w:ind w:firstLine="0"/>
        <w:rPr>
          <w:rFonts w:hint="eastAsia"/>
          <w:highlight w:val="none"/>
        </w:rPr>
      </w:pPr>
    </w:p>
    <w:p w14:paraId="7916EA6E">
      <w:pPr>
        <w:pStyle w:val="189"/>
        <w:ind w:firstLine="0"/>
        <w:rPr>
          <w:rFonts w:hint="eastAsia"/>
          <w:highlight w:val="none"/>
        </w:rPr>
      </w:pPr>
    </w:p>
    <w:p w14:paraId="09AAF177">
      <w:pPr>
        <w:pStyle w:val="189"/>
        <w:ind w:firstLine="0"/>
        <w:rPr>
          <w:rFonts w:hint="eastAsia"/>
          <w:highlight w:val="none"/>
        </w:rPr>
      </w:pPr>
    </w:p>
    <w:p w14:paraId="31AD8EB3">
      <w:pPr>
        <w:pStyle w:val="189"/>
        <w:ind w:firstLine="0"/>
        <w:rPr>
          <w:rFonts w:hint="eastAsia"/>
          <w:highlight w:val="none"/>
        </w:rPr>
      </w:pPr>
    </w:p>
    <w:p w14:paraId="4860D975">
      <w:pPr>
        <w:pStyle w:val="189"/>
        <w:ind w:firstLine="0"/>
        <w:rPr>
          <w:rFonts w:hint="eastAsia"/>
          <w:highlight w:val="none"/>
        </w:rPr>
      </w:pPr>
    </w:p>
    <w:p w14:paraId="39F80BF1">
      <w:pPr>
        <w:pStyle w:val="189"/>
        <w:ind w:firstLine="0"/>
        <w:rPr>
          <w:rFonts w:hint="eastAsia"/>
          <w:highlight w:val="none"/>
        </w:rPr>
      </w:pPr>
    </w:p>
    <w:p w14:paraId="59618D53">
      <w:pPr>
        <w:pStyle w:val="189"/>
        <w:ind w:firstLine="0"/>
        <w:rPr>
          <w:rFonts w:hint="eastAsia"/>
          <w:highlight w:val="none"/>
        </w:rPr>
      </w:pPr>
    </w:p>
    <w:p w14:paraId="12A50665">
      <w:pPr>
        <w:pStyle w:val="189"/>
        <w:ind w:firstLine="0"/>
        <w:rPr>
          <w:rFonts w:hint="eastAsia"/>
          <w:highlight w:val="none"/>
        </w:rPr>
      </w:pPr>
    </w:p>
    <w:p w14:paraId="76B971A6">
      <w:pPr>
        <w:pStyle w:val="189"/>
        <w:ind w:firstLine="0"/>
        <w:rPr>
          <w:rFonts w:hint="eastAsia"/>
          <w:highlight w:val="none"/>
        </w:rPr>
      </w:pPr>
    </w:p>
    <w:p w14:paraId="14EC2011">
      <w:pPr>
        <w:pStyle w:val="189"/>
        <w:ind w:firstLine="0"/>
        <w:rPr>
          <w:rFonts w:hint="eastAsia"/>
          <w:highlight w:val="none"/>
        </w:rPr>
      </w:pPr>
    </w:p>
    <w:p w14:paraId="57680B78">
      <w:pPr>
        <w:pStyle w:val="189"/>
        <w:ind w:firstLine="0"/>
        <w:rPr>
          <w:rFonts w:hint="eastAsia"/>
          <w:highlight w:val="none"/>
        </w:rPr>
      </w:pPr>
    </w:p>
    <w:p w14:paraId="5C25E791">
      <w:pPr>
        <w:pStyle w:val="189"/>
        <w:ind w:firstLine="0"/>
        <w:rPr>
          <w:rFonts w:hint="eastAsia"/>
          <w:highlight w:val="none"/>
        </w:rPr>
      </w:pPr>
    </w:p>
    <w:p w14:paraId="2EFA7416">
      <w:pPr>
        <w:pStyle w:val="197"/>
        <w:rPr>
          <w:highlight w:val="none"/>
        </w:rPr>
      </w:pPr>
    </w:p>
    <w:p w14:paraId="0DC25CE8">
      <w:pPr>
        <w:rPr>
          <w:rFonts w:hint="eastAsia" w:ascii="宋体" w:hAnsi="宋体"/>
          <w:sz w:val="24"/>
          <w:highlight w:val="none"/>
        </w:rPr>
      </w:pPr>
      <w:bookmarkStart w:id="327" w:name="_Toc2155"/>
      <w:r>
        <w:rPr>
          <w:rFonts w:hint="eastAsia" w:ascii="宋体" w:hAnsi="宋体"/>
          <w:sz w:val="24"/>
          <w:highlight w:val="none"/>
        </w:rPr>
        <w:br w:type="page"/>
      </w:r>
    </w:p>
    <w:p w14:paraId="08C5C096">
      <w:pPr>
        <w:spacing w:line="360" w:lineRule="auto"/>
        <w:ind w:firstLine="480"/>
        <w:rPr>
          <w:rFonts w:hint="eastAsia" w:ascii="宋体" w:hAnsi="宋体" w:eastAsia="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）项目管理机构表、投标人类似业绩表等</w:t>
      </w:r>
      <w:r>
        <w:rPr>
          <w:rFonts w:hint="eastAsia" w:ascii="宋体" w:hAnsi="宋体"/>
          <w:sz w:val="24"/>
          <w:highlight w:val="none"/>
          <w:lang w:eastAsia="zh-CN"/>
        </w:rPr>
        <w:t>；</w:t>
      </w:r>
    </w:p>
    <w:p w14:paraId="7DAA76D4">
      <w:pPr>
        <w:spacing w:after="100" w:afterAutospacing="1"/>
        <w:jc w:val="center"/>
        <w:rPr>
          <w:rFonts w:ascii="宋体" w:hAnsi="宋体" w:cs="宋体"/>
          <w:b/>
          <w:bCs/>
          <w:sz w:val="24"/>
          <w:highlight w:val="none"/>
        </w:rPr>
      </w:pPr>
      <w:r>
        <w:rPr>
          <w:rFonts w:hint="eastAsia" w:ascii="宋体" w:hAnsi="宋体" w:cs="宋体"/>
          <w:b/>
          <w:bCs/>
          <w:sz w:val="24"/>
          <w:highlight w:val="none"/>
        </w:rPr>
        <w:t>拟派本项目机构人员一览表</w:t>
      </w:r>
    </w:p>
    <w:tbl>
      <w:tblPr>
        <w:tblStyle w:val="3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
        <w:gridCol w:w="1177"/>
        <w:gridCol w:w="709"/>
        <w:gridCol w:w="850"/>
        <w:gridCol w:w="1134"/>
        <w:gridCol w:w="1125"/>
        <w:gridCol w:w="1001"/>
        <w:gridCol w:w="1911"/>
        <w:gridCol w:w="1210"/>
      </w:tblGrid>
      <w:tr w14:paraId="7D05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7" w:hRule="atLeast"/>
        </w:trPr>
        <w:tc>
          <w:tcPr>
            <w:tcW w:w="916" w:type="dxa"/>
            <w:noWrap w:val="0"/>
            <w:vAlign w:val="center"/>
          </w:tcPr>
          <w:p w14:paraId="1805DDBA">
            <w:pPr>
              <w:spacing w:line="460" w:lineRule="exact"/>
              <w:jc w:val="center"/>
              <w:rPr>
                <w:rFonts w:ascii="宋体" w:hAnsi="宋体" w:cs="宋体"/>
                <w:sz w:val="24"/>
                <w:highlight w:val="none"/>
              </w:rPr>
            </w:pPr>
            <w:r>
              <w:rPr>
                <w:rFonts w:hint="eastAsia" w:ascii="宋体" w:hAnsi="宋体" w:cs="宋体"/>
                <w:sz w:val="24"/>
                <w:highlight w:val="none"/>
              </w:rPr>
              <w:t>序号</w:t>
            </w:r>
          </w:p>
        </w:tc>
        <w:tc>
          <w:tcPr>
            <w:tcW w:w="1177" w:type="dxa"/>
            <w:noWrap w:val="0"/>
            <w:vAlign w:val="center"/>
          </w:tcPr>
          <w:p w14:paraId="4FD35A5F">
            <w:pPr>
              <w:spacing w:line="460" w:lineRule="exact"/>
              <w:jc w:val="center"/>
              <w:rPr>
                <w:rFonts w:ascii="宋体" w:hAnsi="宋体" w:cs="宋体"/>
                <w:sz w:val="24"/>
                <w:highlight w:val="none"/>
              </w:rPr>
            </w:pPr>
            <w:r>
              <w:rPr>
                <w:rFonts w:hint="eastAsia" w:ascii="宋体" w:hAnsi="宋体" w:cs="宋体"/>
                <w:sz w:val="24"/>
                <w:highlight w:val="none"/>
              </w:rPr>
              <w:t>姓  名</w:t>
            </w:r>
          </w:p>
        </w:tc>
        <w:tc>
          <w:tcPr>
            <w:tcW w:w="709" w:type="dxa"/>
            <w:noWrap w:val="0"/>
            <w:vAlign w:val="center"/>
          </w:tcPr>
          <w:p w14:paraId="59FD03A3">
            <w:pPr>
              <w:spacing w:line="460" w:lineRule="exact"/>
              <w:jc w:val="center"/>
              <w:rPr>
                <w:rFonts w:ascii="宋体" w:hAnsi="宋体" w:cs="宋体"/>
                <w:sz w:val="24"/>
                <w:highlight w:val="none"/>
              </w:rPr>
            </w:pPr>
            <w:r>
              <w:rPr>
                <w:rFonts w:hint="eastAsia" w:ascii="宋体" w:hAnsi="宋体" w:cs="宋体"/>
                <w:sz w:val="24"/>
                <w:highlight w:val="none"/>
              </w:rPr>
              <w:t>性 别</w:t>
            </w:r>
          </w:p>
        </w:tc>
        <w:tc>
          <w:tcPr>
            <w:tcW w:w="850" w:type="dxa"/>
            <w:noWrap w:val="0"/>
            <w:vAlign w:val="center"/>
          </w:tcPr>
          <w:p w14:paraId="35F388B0">
            <w:pPr>
              <w:spacing w:line="460" w:lineRule="exact"/>
              <w:jc w:val="center"/>
              <w:rPr>
                <w:rFonts w:ascii="宋体" w:hAnsi="宋体" w:cs="宋体"/>
                <w:sz w:val="24"/>
                <w:highlight w:val="none"/>
              </w:rPr>
            </w:pPr>
            <w:r>
              <w:rPr>
                <w:rFonts w:hint="eastAsia" w:ascii="宋体" w:hAnsi="宋体" w:cs="宋体"/>
                <w:sz w:val="24"/>
                <w:highlight w:val="none"/>
              </w:rPr>
              <w:t>年 龄</w:t>
            </w:r>
          </w:p>
        </w:tc>
        <w:tc>
          <w:tcPr>
            <w:tcW w:w="1134" w:type="dxa"/>
            <w:noWrap w:val="0"/>
            <w:vAlign w:val="center"/>
          </w:tcPr>
          <w:p w14:paraId="28EB50F7">
            <w:pPr>
              <w:spacing w:line="460" w:lineRule="exact"/>
              <w:jc w:val="center"/>
              <w:rPr>
                <w:rFonts w:ascii="宋体" w:hAnsi="宋体" w:cs="宋体"/>
                <w:sz w:val="24"/>
                <w:highlight w:val="none"/>
              </w:rPr>
            </w:pPr>
            <w:r>
              <w:rPr>
                <w:rFonts w:hint="eastAsia" w:ascii="宋体" w:hAnsi="宋体" w:cs="宋体"/>
                <w:sz w:val="24"/>
                <w:highlight w:val="none"/>
              </w:rPr>
              <w:t>专业</w:t>
            </w:r>
          </w:p>
        </w:tc>
        <w:tc>
          <w:tcPr>
            <w:tcW w:w="1125" w:type="dxa"/>
            <w:noWrap w:val="0"/>
            <w:vAlign w:val="center"/>
          </w:tcPr>
          <w:p w14:paraId="3EC0471A">
            <w:pPr>
              <w:spacing w:line="460" w:lineRule="exact"/>
              <w:jc w:val="center"/>
              <w:rPr>
                <w:rFonts w:ascii="宋体" w:hAnsi="宋体" w:cs="宋体"/>
                <w:sz w:val="24"/>
                <w:highlight w:val="none"/>
              </w:rPr>
            </w:pPr>
            <w:r>
              <w:rPr>
                <w:rFonts w:hint="eastAsia" w:ascii="宋体" w:hAnsi="宋体" w:cs="宋体"/>
                <w:sz w:val="24"/>
                <w:highlight w:val="none"/>
              </w:rPr>
              <w:t>学 历</w:t>
            </w:r>
          </w:p>
        </w:tc>
        <w:tc>
          <w:tcPr>
            <w:tcW w:w="1001" w:type="dxa"/>
            <w:noWrap w:val="0"/>
            <w:vAlign w:val="center"/>
          </w:tcPr>
          <w:p w14:paraId="3E018D3A">
            <w:pPr>
              <w:spacing w:line="460" w:lineRule="exact"/>
              <w:jc w:val="center"/>
              <w:rPr>
                <w:rFonts w:ascii="宋体" w:hAnsi="宋体" w:cs="宋体"/>
                <w:sz w:val="24"/>
                <w:highlight w:val="none"/>
              </w:rPr>
            </w:pPr>
            <w:r>
              <w:rPr>
                <w:rFonts w:hint="eastAsia" w:ascii="宋体" w:hAnsi="宋体" w:cs="宋体"/>
                <w:sz w:val="24"/>
                <w:highlight w:val="none"/>
              </w:rPr>
              <w:t>职  称</w:t>
            </w:r>
          </w:p>
        </w:tc>
        <w:tc>
          <w:tcPr>
            <w:tcW w:w="1911" w:type="dxa"/>
            <w:noWrap w:val="0"/>
            <w:vAlign w:val="center"/>
          </w:tcPr>
          <w:p w14:paraId="344054B1">
            <w:pPr>
              <w:spacing w:line="460" w:lineRule="exact"/>
              <w:jc w:val="center"/>
              <w:rPr>
                <w:rFonts w:ascii="宋体" w:hAnsi="宋体" w:cs="宋体"/>
                <w:sz w:val="24"/>
                <w:highlight w:val="none"/>
              </w:rPr>
            </w:pPr>
            <w:r>
              <w:rPr>
                <w:rFonts w:hint="eastAsia" w:ascii="宋体" w:hAnsi="宋体" w:cs="宋体"/>
                <w:sz w:val="24"/>
                <w:highlight w:val="none"/>
              </w:rPr>
              <w:t>注册证书编号</w:t>
            </w:r>
          </w:p>
        </w:tc>
        <w:tc>
          <w:tcPr>
            <w:tcW w:w="1210" w:type="dxa"/>
            <w:noWrap w:val="0"/>
            <w:vAlign w:val="center"/>
          </w:tcPr>
          <w:p w14:paraId="7B95E2AC">
            <w:pPr>
              <w:jc w:val="center"/>
              <w:rPr>
                <w:rFonts w:ascii="宋体" w:hAnsi="宋体" w:cs="宋体"/>
                <w:sz w:val="24"/>
                <w:highlight w:val="none"/>
              </w:rPr>
            </w:pPr>
            <w:r>
              <w:rPr>
                <w:rFonts w:hint="eastAsia" w:ascii="宋体" w:hAnsi="宋体" w:cs="宋体"/>
                <w:sz w:val="24"/>
                <w:highlight w:val="none"/>
              </w:rPr>
              <w:t>备注</w:t>
            </w:r>
          </w:p>
        </w:tc>
      </w:tr>
      <w:tr w14:paraId="31039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16" w:type="dxa"/>
            <w:noWrap w:val="0"/>
            <w:vAlign w:val="center"/>
          </w:tcPr>
          <w:p w14:paraId="3F2DACBF">
            <w:pPr>
              <w:jc w:val="center"/>
              <w:rPr>
                <w:rFonts w:ascii="宋体" w:hAnsi="宋体" w:cs="宋体"/>
                <w:sz w:val="24"/>
                <w:highlight w:val="none"/>
              </w:rPr>
            </w:pPr>
            <w:r>
              <w:rPr>
                <w:rFonts w:hint="eastAsia" w:ascii="宋体" w:hAnsi="宋体" w:cs="宋体"/>
                <w:sz w:val="24"/>
                <w:highlight w:val="none"/>
              </w:rPr>
              <w:t>1</w:t>
            </w:r>
          </w:p>
        </w:tc>
        <w:tc>
          <w:tcPr>
            <w:tcW w:w="1177" w:type="dxa"/>
            <w:noWrap w:val="0"/>
            <w:vAlign w:val="top"/>
          </w:tcPr>
          <w:p w14:paraId="1626ED62">
            <w:pPr>
              <w:ind w:firstLine="480"/>
              <w:rPr>
                <w:rFonts w:ascii="宋体" w:hAnsi="宋体" w:cs="宋体"/>
                <w:sz w:val="24"/>
                <w:highlight w:val="none"/>
              </w:rPr>
            </w:pPr>
          </w:p>
        </w:tc>
        <w:tc>
          <w:tcPr>
            <w:tcW w:w="709" w:type="dxa"/>
            <w:noWrap w:val="0"/>
            <w:vAlign w:val="top"/>
          </w:tcPr>
          <w:p w14:paraId="73C6B3F7">
            <w:pPr>
              <w:ind w:firstLine="480"/>
              <w:rPr>
                <w:rFonts w:ascii="宋体" w:hAnsi="宋体" w:cs="宋体"/>
                <w:sz w:val="24"/>
                <w:highlight w:val="none"/>
              </w:rPr>
            </w:pPr>
          </w:p>
        </w:tc>
        <w:tc>
          <w:tcPr>
            <w:tcW w:w="850" w:type="dxa"/>
            <w:noWrap w:val="0"/>
            <w:vAlign w:val="top"/>
          </w:tcPr>
          <w:p w14:paraId="06DB46FE">
            <w:pPr>
              <w:ind w:firstLine="480"/>
              <w:rPr>
                <w:rFonts w:ascii="宋体" w:hAnsi="宋体" w:cs="宋体"/>
                <w:sz w:val="24"/>
                <w:highlight w:val="none"/>
              </w:rPr>
            </w:pPr>
          </w:p>
        </w:tc>
        <w:tc>
          <w:tcPr>
            <w:tcW w:w="1134" w:type="dxa"/>
            <w:noWrap w:val="0"/>
            <w:vAlign w:val="top"/>
          </w:tcPr>
          <w:p w14:paraId="60BF34F3">
            <w:pPr>
              <w:ind w:firstLine="480"/>
              <w:rPr>
                <w:rFonts w:ascii="宋体" w:hAnsi="宋体" w:cs="宋体"/>
                <w:sz w:val="24"/>
                <w:highlight w:val="none"/>
              </w:rPr>
            </w:pPr>
          </w:p>
        </w:tc>
        <w:tc>
          <w:tcPr>
            <w:tcW w:w="1125" w:type="dxa"/>
            <w:noWrap w:val="0"/>
            <w:vAlign w:val="top"/>
          </w:tcPr>
          <w:p w14:paraId="0662E47C">
            <w:pPr>
              <w:ind w:firstLine="480"/>
              <w:rPr>
                <w:rFonts w:ascii="宋体" w:hAnsi="宋体" w:cs="宋体"/>
                <w:sz w:val="24"/>
                <w:highlight w:val="none"/>
              </w:rPr>
            </w:pPr>
          </w:p>
        </w:tc>
        <w:tc>
          <w:tcPr>
            <w:tcW w:w="1001" w:type="dxa"/>
            <w:noWrap w:val="0"/>
            <w:vAlign w:val="top"/>
          </w:tcPr>
          <w:p w14:paraId="627A3D3A">
            <w:pPr>
              <w:ind w:firstLine="480"/>
              <w:rPr>
                <w:rFonts w:ascii="宋体" w:hAnsi="宋体" w:cs="宋体"/>
                <w:sz w:val="24"/>
                <w:highlight w:val="none"/>
              </w:rPr>
            </w:pPr>
          </w:p>
        </w:tc>
        <w:tc>
          <w:tcPr>
            <w:tcW w:w="1911" w:type="dxa"/>
            <w:noWrap w:val="0"/>
            <w:vAlign w:val="top"/>
          </w:tcPr>
          <w:p w14:paraId="38379719">
            <w:pPr>
              <w:ind w:firstLine="480"/>
              <w:rPr>
                <w:rFonts w:ascii="宋体" w:hAnsi="宋体" w:cs="宋体"/>
                <w:sz w:val="24"/>
                <w:highlight w:val="none"/>
              </w:rPr>
            </w:pPr>
          </w:p>
        </w:tc>
        <w:tc>
          <w:tcPr>
            <w:tcW w:w="1210" w:type="dxa"/>
            <w:noWrap w:val="0"/>
            <w:vAlign w:val="top"/>
          </w:tcPr>
          <w:p w14:paraId="3A23A2FE">
            <w:pPr>
              <w:ind w:firstLine="480"/>
              <w:rPr>
                <w:rFonts w:ascii="宋体" w:hAnsi="宋体" w:cs="宋体"/>
                <w:sz w:val="24"/>
                <w:highlight w:val="none"/>
              </w:rPr>
            </w:pPr>
          </w:p>
        </w:tc>
      </w:tr>
      <w:tr w14:paraId="38712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16" w:type="dxa"/>
            <w:noWrap w:val="0"/>
            <w:vAlign w:val="center"/>
          </w:tcPr>
          <w:p w14:paraId="119C73B2">
            <w:pPr>
              <w:jc w:val="center"/>
              <w:rPr>
                <w:rFonts w:ascii="宋体" w:hAnsi="宋体" w:cs="宋体"/>
                <w:sz w:val="24"/>
                <w:highlight w:val="none"/>
              </w:rPr>
            </w:pPr>
            <w:r>
              <w:rPr>
                <w:rFonts w:hint="eastAsia" w:ascii="宋体" w:hAnsi="宋体" w:cs="宋体"/>
                <w:sz w:val="24"/>
                <w:highlight w:val="none"/>
              </w:rPr>
              <w:t>2</w:t>
            </w:r>
          </w:p>
        </w:tc>
        <w:tc>
          <w:tcPr>
            <w:tcW w:w="1177" w:type="dxa"/>
            <w:noWrap w:val="0"/>
            <w:vAlign w:val="top"/>
          </w:tcPr>
          <w:p w14:paraId="0D6BD494">
            <w:pPr>
              <w:ind w:firstLine="480"/>
              <w:rPr>
                <w:rFonts w:ascii="宋体" w:hAnsi="宋体" w:cs="宋体"/>
                <w:sz w:val="24"/>
                <w:highlight w:val="none"/>
              </w:rPr>
            </w:pPr>
          </w:p>
        </w:tc>
        <w:tc>
          <w:tcPr>
            <w:tcW w:w="709" w:type="dxa"/>
            <w:noWrap w:val="0"/>
            <w:vAlign w:val="top"/>
          </w:tcPr>
          <w:p w14:paraId="1B81345F">
            <w:pPr>
              <w:ind w:firstLine="480"/>
              <w:rPr>
                <w:rFonts w:ascii="宋体" w:hAnsi="宋体" w:cs="宋体"/>
                <w:sz w:val="24"/>
                <w:highlight w:val="none"/>
              </w:rPr>
            </w:pPr>
          </w:p>
        </w:tc>
        <w:tc>
          <w:tcPr>
            <w:tcW w:w="850" w:type="dxa"/>
            <w:noWrap w:val="0"/>
            <w:vAlign w:val="top"/>
          </w:tcPr>
          <w:p w14:paraId="6C12EF77">
            <w:pPr>
              <w:ind w:firstLine="480"/>
              <w:rPr>
                <w:rFonts w:ascii="宋体" w:hAnsi="宋体" w:cs="宋体"/>
                <w:sz w:val="24"/>
                <w:highlight w:val="none"/>
              </w:rPr>
            </w:pPr>
          </w:p>
        </w:tc>
        <w:tc>
          <w:tcPr>
            <w:tcW w:w="1134" w:type="dxa"/>
            <w:noWrap w:val="0"/>
            <w:vAlign w:val="top"/>
          </w:tcPr>
          <w:p w14:paraId="1EB493F9">
            <w:pPr>
              <w:ind w:firstLine="480"/>
              <w:rPr>
                <w:rFonts w:ascii="宋体" w:hAnsi="宋体" w:cs="宋体"/>
                <w:sz w:val="24"/>
                <w:highlight w:val="none"/>
              </w:rPr>
            </w:pPr>
          </w:p>
        </w:tc>
        <w:tc>
          <w:tcPr>
            <w:tcW w:w="1125" w:type="dxa"/>
            <w:noWrap w:val="0"/>
            <w:vAlign w:val="top"/>
          </w:tcPr>
          <w:p w14:paraId="5E2EF6D8">
            <w:pPr>
              <w:ind w:firstLine="480"/>
              <w:rPr>
                <w:rFonts w:ascii="宋体" w:hAnsi="宋体" w:cs="宋体"/>
                <w:sz w:val="24"/>
                <w:highlight w:val="none"/>
              </w:rPr>
            </w:pPr>
          </w:p>
        </w:tc>
        <w:tc>
          <w:tcPr>
            <w:tcW w:w="1001" w:type="dxa"/>
            <w:noWrap w:val="0"/>
            <w:vAlign w:val="top"/>
          </w:tcPr>
          <w:p w14:paraId="1A8D022B">
            <w:pPr>
              <w:ind w:firstLine="480"/>
              <w:rPr>
                <w:rFonts w:ascii="宋体" w:hAnsi="宋体" w:cs="宋体"/>
                <w:sz w:val="24"/>
                <w:highlight w:val="none"/>
              </w:rPr>
            </w:pPr>
          </w:p>
        </w:tc>
        <w:tc>
          <w:tcPr>
            <w:tcW w:w="1911" w:type="dxa"/>
            <w:noWrap w:val="0"/>
            <w:vAlign w:val="top"/>
          </w:tcPr>
          <w:p w14:paraId="15A51FE8">
            <w:pPr>
              <w:ind w:firstLine="480"/>
              <w:rPr>
                <w:rFonts w:ascii="宋体" w:hAnsi="宋体" w:cs="宋体"/>
                <w:sz w:val="24"/>
                <w:highlight w:val="none"/>
              </w:rPr>
            </w:pPr>
          </w:p>
        </w:tc>
        <w:tc>
          <w:tcPr>
            <w:tcW w:w="1210" w:type="dxa"/>
            <w:noWrap w:val="0"/>
            <w:vAlign w:val="top"/>
          </w:tcPr>
          <w:p w14:paraId="43651150">
            <w:pPr>
              <w:ind w:firstLine="480"/>
              <w:rPr>
                <w:rFonts w:ascii="宋体" w:hAnsi="宋体" w:cs="宋体"/>
                <w:sz w:val="24"/>
                <w:highlight w:val="none"/>
              </w:rPr>
            </w:pPr>
          </w:p>
        </w:tc>
      </w:tr>
      <w:tr w14:paraId="77B53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8" w:hRule="atLeast"/>
        </w:trPr>
        <w:tc>
          <w:tcPr>
            <w:tcW w:w="916" w:type="dxa"/>
            <w:noWrap w:val="0"/>
            <w:vAlign w:val="center"/>
          </w:tcPr>
          <w:p w14:paraId="5F0EC079">
            <w:pPr>
              <w:jc w:val="center"/>
              <w:rPr>
                <w:rFonts w:ascii="宋体" w:hAnsi="宋体" w:cs="宋体"/>
                <w:sz w:val="24"/>
                <w:highlight w:val="none"/>
              </w:rPr>
            </w:pPr>
            <w:r>
              <w:rPr>
                <w:rFonts w:hint="eastAsia" w:ascii="宋体" w:hAnsi="宋体" w:cs="宋体"/>
                <w:sz w:val="24"/>
                <w:highlight w:val="none"/>
              </w:rPr>
              <w:t>3</w:t>
            </w:r>
          </w:p>
        </w:tc>
        <w:tc>
          <w:tcPr>
            <w:tcW w:w="1177" w:type="dxa"/>
            <w:noWrap w:val="0"/>
            <w:vAlign w:val="top"/>
          </w:tcPr>
          <w:p w14:paraId="00D7D158">
            <w:pPr>
              <w:ind w:firstLine="480"/>
              <w:rPr>
                <w:rFonts w:ascii="宋体" w:hAnsi="宋体" w:cs="宋体"/>
                <w:sz w:val="24"/>
                <w:highlight w:val="none"/>
              </w:rPr>
            </w:pPr>
          </w:p>
        </w:tc>
        <w:tc>
          <w:tcPr>
            <w:tcW w:w="709" w:type="dxa"/>
            <w:noWrap w:val="0"/>
            <w:vAlign w:val="top"/>
          </w:tcPr>
          <w:p w14:paraId="5A27C13C">
            <w:pPr>
              <w:ind w:firstLine="480"/>
              <w:rPr>
                <w:rFonts w:ascii="宋体" w:hAnsi="宋体" w:cs="宋体"/>
                <w:sz w:val="24"/>
                <w:highlight w:val="none"/>
              </w:rPr>
            </w:pPr>
          </w:p>
        </w:tc>
        <w:tc>
          <w:tcPr>
            <w:tcW w:w="850" w:type="dxa"/>
            <w:noWrap w:val="0"/>
            <w:vAlign w:val="top"/>
          </w:tcPr>
          <w:p w14:paraId="2A107D5F">
            <w:pPr>
              <w:ind w:firstLine="480"/>
              <w:rPr>
                <w:rFonts w:ascii="宋体" w:hAnsi="宋体" w:cs="宋体"/>
                <w:sz w:val="24"/>
                <w:highlight w:val="none"/>
              </w:rPr>
            </w:pPr>
          </w:p>
        </w:tc>
        <w:tc>
          <w:tcPr>
            <w:tcW w:w="1134" w:type="dxa"/>
            <w:noWrap w:val="0"/>
            <w:vAlign w:val="top"/>
          </w:tcPr>
          <w:p w14:paraId="06AC7A38">
            <w:pPr>
              <w:ind w:firstLine="480"/>
              <w:rPr>
                <w:rFonts w:ascii="宋体" w:hAnsi="宋体" w:cs="宋体"/>
                <w:sz w:val="24"/>
                <w:highlight w:val="none"/>
              </w:rPr>
            </w:pPr>
          </w:p>
        </w:tc>
        <w:tc>
          <w:tcPr>
            <w:tcW w:w="1125" w:type="dxa"/>
            <w:noWrap w:val="0"/>
            <w:vAlign w:val="top"/>
          </w:tcPr>
          <w:p w14:paraId="615309B8">
            <w:pPr>
              <w:ind w:firstLine="480"/>
              <w:rPr>
                <w:rFonts w:ascii="宋体" w:hAnsi="宋体" w:cs="宋体"/>
                <w:sz w:val="24"/>
                <w:highlight w:val="none"/>
              </w:rPr>
            </w:pPr>
          </w:p>
        </w:tc>
        <w:tc>
          <w:tcPr>
            <w:tcW w:w="1001" w:type="dxa"/>
            <w:noWrap w:val="0"/>
            <w:vAlign w:val="top"/>
          </w:tcPr>
          <w:p w14:paraId="48C08B30">
            <w:pPr>
              <w:ind w:firstLine="480"/>
              <w:rPr>
                <w:rFonts w:ascii="宋体" w:hAnsi="宋体" w:cs="宋体"/>
                <w:sz w:val="24"/>
                <w:highlight w:val="none"/>
              </w:rPr>
            </w:pPr>
          </w:p>
        </w:tc>
        <w:tc>
          <w:tcPr>
            <w:tcW w:w="1911" w:type="dxa"/>
            <w:noWrap w:val="0"/>
            <w:vAlign w:val="top"/>
          </w:tcPr>
          <w:p w14:paraId="53E6FB3B">
            <w:pPr>
              <w:ind w:firstLine="480"/>
              <w:rPr>
                <w:rFonts w:ascii="宋体" w:hAnsi="宋体" w:cs="宋体"/>
                <w:sz w:val="24"/>
                <w:highlight w:val="none"/>
              </w:rPr>
            </w:pPr>
          </w:p>
        </w:tc>
        <w:tc>
          <w:tcPr>
            <w:tcW w:w="1210" w:type="dxa"/>
            <w:noWrap w:val="0"/>
            <w:vAlign w:val="top"/>
          </w:tcPr>
          <w:p w14:paraId="5A44C37D">
            <w:pPr>
              <w:ind w:firstLine="480"/>
              <w:rPr>
                <w:rFonts w:ascii="宋体" w:hAnsi="宋体" w:cs="宋体"/>
                <w:sz w:val="24"/>
                <w:highlight w:val="none"/>
              </w:rPr>
            </w:pPr>
          </w:p>
        </w:tc>
      </w:tr>
      <w:tr w14:paraId="4FEE7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16" w:type="dxa"/>
            <w:noWrap w:val="0"/>
            <w:vAlign w:val="center"/>
          </w:tcPr>
          <w:p w14:paraId="1E8A3FD1">
            <w:pPr>
              <w:jc w:val="center"/>
              <w:rPr>
                <w:rFonts w:ascii="宋体" w:hAnsi="宋体" w:cs="宋体"/>
                <w:sz w:val="24"/>
                <w:highlight w:val="none"/>
              </w:rPr>
            </w:pPr>
            <w:r>
              <w:rPr>
                <w:rFonts w:hint="eastAsia" w:ascii="宋体" w:hAnsi="宋体" w:cs="宋体"/>
                <w:sz w:val="24"/>
                <w:highlight w:val="none"/>
              </w:rPr>
              <w:t>4</w:t>
            </w:r>
          </w:p>
        </w:tc>
        <w:tc>
          <w:tcPr>
            <w:tcW w:w="1177" w:type="dxa"/>
            <w:noWrap w:val="0"/>
            <w:vAlign w:val="top"/>
          </w:tcPr>
          <w:p w14:paraId="6BCCDA3B">
            <w:pPr>
              <w:ind w:firstLine="480"/>
              <w:rPr>
                <w:rFonts w:ascii="宋体" w:hAnsi="宋体" w:cs="宋体"/>
                <w:sz w:val="24"/>
                <w:highlight w:val="none"/>
              </w:rPr>
            </w:pPr>
          </w:p>
        </w:tc>
        <w:tc>
          <w:tcPr>
            <w:tcW w:w="709" w:type="dxa"/>
            <w:noWrap w:val="0"/>
            <w:vAlign w:val="top"/>
          </w:tcPr>
          <w:p w14:paraId="2B95A085">
            <w:pPr>
              <w:ind w:firstLine="480"/>
              <w:rPr>
                <w:rFonts w:ascii="宋体" w:hAnsi="宋体" w:cs="宋体"/>
                <w:sz w:val="24"/>
                <w:highlight w:val="none"/>
              </w:rPr>
            </w:pPr>
          </w:p>
        </w:tc>
        <w:tc>
          <w:tcPr>
            <w:tcW w:w="850" w:type="dxa"/>
            <w:noWrap w:val="0"/>
            <w:vAlign w:val="top"/>
          </w:tcPr>
          <w:p w14:paraId="23860BEB">
            <w:pPr>
              <w:ind w:firstLine="480"/>
              <w:rPr>
                <w:rFonts w:ascii="宋体" w:hAnsi="宋体" w:cs="宋体"/>
                <w:sz w:val="24"/>
                <w:highlight w:val="none"/>
              </w:rPr>
            </w:pPr>
          </w:p>
        </w:tc>
        <w:tc>
          <w:tcPr>
            <w:tcW w:w="1134" w:type="dxa"/>
            <w:noWrap w:val="0"/>
            <w:vAlign w:val="top"/>
          </w:tcPr>
          <w:p w14:paraId="057089A6">
            <w:pPr>
              <w:ind w:firstLine="480"/>
              <w:rPr>
                <w:rFonts w:ascii="宋体" w:hAnsi="宋体" w:cs="宋体"/>
                <w:sz w:val="24"/>
                <w:highlight w:val="none"/>
              </w:rPr>
            </w:pPr>
          </w:p>
        </w:tc>
        <w:tc>
          <w:tcPr>
            <w:tcW w:w="1125" w:type="dxa"/>
            <w:noWrap w:val="0"/>
            <w:vAlign w:val="top"/>
          </w:tcPr>
          <w:p w14:paraId="7BF35D00">
            <w:pPr>
              <w:ind w:firstLine="480"/>
              <w:rPr>
                <w:rFonts w:ascii="宋体" w:hAnsi="宋体" w:cs="宋体"/>
                <w:sz w:val="24"/>
                <w:highlight w:val="none"/>
              </w:rPr>
            </w:pPr>
          </w:p>
        </w:tc>
        <w:tc>
          <w:tcPr>
            <w:tcW w:w="1001" w:type="dxa"/>
            <w:noWrap w:val="0"/>
            <w:vAlign w:val="top"/>
          </w:tcPr>
          <w:p w14:paraId="6994F958">
            <w:pPr>
              <w:ind w:firstLine="480"/>
              <w:rPr>
                <w:rFonts w:ascii="宋体" w:hAnsi="宋体" w:cs="宋体"/>
                <w:sz w:val="24"/>
                <w:highlight w:val="none"/>
              </w:rPr>
            </w:pPr>
          </w:p>
        </w:tc>
        <w:tc>
          <w:tcPr>
            <w:tcW w:w="1911" w:type="dxa"/>
            <w:noWrap w:val="0"/>
            <w:vAlign w:val="top"/>
          </w:tcPr>
          <w:p w14:paraId="1AF1F990">
            <w:pPr>
              <w:ind w:firstLine="480"/>
              <w:rPr>
                <w:rFonts w:ascii="宋体" w:hAnsi="宋体" w:cs="宋体"/>
                <w:sz w:val="24"/>
                <w:highlight w:val="none"/>
              </w:rPr>
            </w:pPr>
          </w:p>
        </w:tc>
        <w:tc>
          <w:tcPr>
            <w:tcW w:w="1210" w:type="dxa"/>
            <w:noWrap w:val="0"/>
            <w:vAlign w:val="top"/>
          </w:tcPr>
          <w:p w14:paraId="7AF11DD7">
            <w:pPr>
              <w:ind w:firstLine="480"/>
              <w:rPr>
                <w:rFonts w:ascii="宋体" w:hAnsi="宋体" w:cs="宋体"/>
                <w:sz w:val="24"/>
                <w:highlight w:val="none"/>
              </w:rPr>
            </w:pPr>
          </w:p>
        </w:tc>
      </w:tr>
    </w:tbl>
    <w:p w14:paraId="0A4F42DE">
      <w:pPr>
        <w:spacing w:after="100" w:afterAutospacing="1"/>
        <w:rPr>
          <w:rFonts w:ascii="宋体" w:hAnsi="宋体" w:cs="宋体"/>
          <w:b/>
          <w:bCs/>
          <w:sz w:val="24"/>
          <w:highlight w:val="none"/>
        </w:rPr>
      </w:pPr>
      <w:r>
        <w:rPr>
          <w:rFonts w:hint="eastAsia" w:ascii="宋体" w:hAnsi="宋体" w:cs="宋体"/>
          <w:sz w:val="24"/>
          <w:highlight w:val="none"/>
        </w:rPr>
        <w:t xml:space="preserve">注：如此表格栏目不够填写，可依照此格式自行扩展、复制。          </w:t>
      </w:r>
    </w:p>
    <w:p w14:paraId="59F9E1CA">
      <w:pPr>
        <w:spacing w:line="360" w:lineRule="auto"/>
        <w:rPr>
          <w:rFonts w:ascii="宋体" w:hAnsi="宋体"/>
          <w:sz w:val="24"/>
          <w:highlight w:val="none"/>
        </w:rPr>
      </w:pPr>
      <w:r>
        <w:rPr>
          <w:rFonts w:hint="eastAsia" w:ascii="宋体" w:hAnsi="宋体"/>
          <w:sz w:val="24"/>
          <w:highlight w:val="none"/>
        </w:rPr>
        <w:t xml:space="preserve">法定代表人或者授权代表（签字或盖章）：                    </w:t>
      </w:r>
    </w:p>
    <w:p w14:paraId="11BCF43F">
      <w:pPr>
        <w:spacing w:line="360" w:lineRule="auto"/>
        <w:rPr>
          <w:rFonts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161F6F9E">
      <w:pPr>
        <w:spacing w:line="360" w:lineRule="auto"/>
        <w:rPr>
          <w:rFonts w:ascii="宋体" w:hAnsi="宋体"/>
          <w:bCs/>
          <w:sz w:val="24"/>
          <w:highlight w:val="none"/>
        </w:rPr>
      </w:pPr>
      <w:r>
        <w:rPr>
          <w:rFonts w:hint="eastAsia" w:ascii="宋体" w:hAnsi="宋体"/>
          <w:sz w:val="24"/>
          <w:highlight w:val="none"/>
        </w:rPr>
        <w:t>日期：    年   月    日</w:t>
      </w:r>
      <w:r>
        <w:rPr>
          <w:rFonts w:ascii="宋体" w:hAnsi="宋体"/>
          <w:bCs/>
          <w:sz w:val="24"/>
          <w:highlight w:val="none"/>
        </w:rPr>
        <w:br w:type="page" w:clear="all"/>
      </w:r>
    </w:p>
    <w:p w14:paraId="06DBA558">
      <w:pPr>
        <w:spacing w:line="520" w:lineRule="exact"/>
        <w:jc w:val="center"/>
        <w:rPr>
          <w:rFonts w:ascii="宋体" w:hAnsi="宋体"/>
          <w:b/>
          <w:sz w:val="24"/>
          <w:highlight w:val="none"/>
        </w:rPr>
      </w:pPr>
      <w:r>
        <w:rPr>
          <w:rFonts w:hint="eastAsia" w:ascii="宋体" w:hAnsi="宋体" w:cs="宋体"/>
          <w:b/>
          <w:bCs/>
          <w:sz w:val="24"/>
          <w:highlight w:val="none"/>
        </w:rPr>
        <w:t>本项目项目经理情况表</w:t>
      </w:r>
    </w:p>
    <w:p w14:paraId="2463FA37">
      <w:pPr>
        <w:keepNext/>
        <w:spacing w:line="400" w:lineRule="exact"/>
        <w:ind w:firstLine="477"/>
        <w:rPr>
          <w:rFonts w:ascii="仿宋_GB2312" w:eastAsia="仿宋_GB2312"/>
          <w:b/>
          <w:sz w:val="24"/>
          <w:highlight w:val="none"/>
        </w:rPr>
      </w:pPr>
    </w:p>
    <w:tbl>
      <w:tblPr>
        <w:tblStyle w:val="3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6"/>
        <w:gridCol w:w="1701"/>
        <w:gridCol w:w="1094"/>
        <w:gridCol w:w="3914"/>
      </w:tblGrid>
      <w:tr w14:paraId="55BCD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2236" w:type="dxa"/>
            <w:noWrap w:val="0"/>
            <w:vAlign w:val="center"/>
          </w:tcPr>
          <w:p w14:paraId="7324AA3C">
            <w:pPr>
              <w:spacing w:line="400" w:lineRule="exact"/>
              <w:jc w:val="center"/>
              <w:rPr>
                <w:rFonts w:ascii="宋体" w:hAnsi="宋体"/>
                <w:sz w:val="24"/>
                <w:highlight w:val="none"/>
              </w:rPr>
            </w:pPr>
            <w:r>
              <w:rPr>
                <w:rFonts w:hint="eastAsia" w:ascii="宋体" w:hAnsi="宋体"/>
                <w:sz w:val="24"/>
                <w:highlight w:val="none"/>
              </w:rPr>
              <w:t>姓名</w:t>
            </w:r>
          </w:p>
        </w:tc>
        <w:tc>
          <w:tcPr>
            <w:tcW w:w="1701" w:type="dxa"/>
            <w:noWrap w:val="0"/>
            <w:vAlign w:val="top"/>
          </w:tcPr>
          <w:p w14:paraId="4FC7DAFC">
            <w:pPr>
              <w:keepNext/>
              <w:spacing w:line="400" w:lineRule="exact"/>
              <w:rPr>
                <w:rFonts w:ascii="宋体" w:hAnsi="宋体"/>
                <w:b/>
                <w:sz w:val="24"/>
                <w:highlight w:val="none"/>
              </w:rPr>
            </w:pPr>
          </w:p>
        </w:tc>
        <w:tc>
          <w:tcPr>
            <w:tcW w:w="1094" w:type="dxa"/>
            <w:noWrap w:val="0"/>
            <w:vAlign w:val="center"/>
          </w:tcPr>
          <w:p w14:paraId="0215B4F7">
            <w:pPr>
              <w:keepNext/>
              <w:spacing w:line="400" w:lineRule="exact"/>
              <w:jc w:val="center"/>
              <w:rPr>
                <w:rFonts w:ascii="宋体" w:hAnsi="宋体"/>
                <w:b/>
                <w:sz w:val="24"/>
                <w:highlight w:val="none"/>
              </w:rPr>
            </w:pPr>
          </w:p>
        </w:tc>
        <w:tc>
          <w:tcPr>
            <w:tcW w:w="3914" w:type="dxa"/>
            <w:noWrap w:val="0"/>
            <w:vAlign w:val="top"/>
          </w:tcPr>
          <w:p w14:paraId="01975F88">
            <w:pPr>
              <w:keepNext/>
              <w:spacing w:line="400" w:lineRule="exact"/>
              <w:rPr>
                <w:rFonts w:ascii="宋体" w:hAnsi="宋体"/>
                <w:b/>
                <w:sz w:val="24"/>
                <w:highlight w:val="none"/>
              </w:rPr>
            </w:pPr>
            <w:r>
              <w:rPr>
                <w:rFonts w:hint="eastAsia" w:ascii="宋体" w:hAnsi="宋体"/>
                <w:sz w:val="24"/>
                <w:highlight w:val="none"/>
              </w:rPr>
              <w:t>近3年业绩及承担的主要工作情况，曾担任项目经理的项目应列明细</w:t>
            </w:r>
          </w:p>
        </w:tc>
      </w:tr>
      <w:tr w14:paraId="37ED5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122EF3D5">
            <w:pPr>
              <w:spacing w:line="400" w:lineRule="exact"/>
              <w:jc w:val="center"/>
              <w:rPr>
                <w:rFonts w:ascii="宋体" w:hAnsi="宋体"/>
                <w:sz w:val="24"/>
                <w:highlight w:val="none"/>
              </w:rPr>
            </w:pPr>
            <w:r>
              <w:rPr>
                <w:rFonts w:hint="eastAsia" w:ascii="宋体" w:hAnsi="宋体"/>
                <w:sz w:val="24"/>
                <w:highlight w:val="none"/>
              </w:rPr>
              <w:t>性别</w:t>
            </w:r>
          </w:p>
        </w:tc>
        <w:tc>
          <w:tcPr>
            <w:tcW w:w="1701" w:type="dxa"/>
            <w:noWrap w:val="0"/>
            <w:vAlign w:val="top"/>
          </w:tcPr>
          <w:p w14:paraId="60E9DC7C">
            <w:pPr>
              <w:keepNext/>
              <w:spacing w:line="400" w:lineRule="exact"/>
              <w:rPr>
                <w:rFonts w:ascii="宋体" w:hAnsi="宋体"/>
                <w:b/>
                <w:sz w:val="24"/>
                <w:highlight w:val="none"/>
              </w:rPr>
            </w:pPr>
          </w:p>
        </w:tc>
        <w:tc>
          <w:tcPr>
            <w:tcW w:w="1094" w:type="dxa"/>
            <w:noWrap w:val="0"/>
            <w:vAlign w:val="top"/>
          </w:tcPr>
          <w:p w14:paraId="68913E51">
            <w:pPr>
              <w:keepNext/>
              <w:spacing w:line="400" w:lineRule="exact"/>
              <w:rPr>
                <w:rFonts w:ascii="宋体" w:hAnsi="宋体"/>
                <w:b/>
                <w:sz w:val="24"/>
                <w:highlight w:val="none"/>
              </w:rPr>
            </w:pPr>
          </w:p>
        </w:tc>
        <w:tc>
          <w:tcPr>
            <w:tcW w:w="3914" w:type="dxa"/>
            <w:noWrap w:val="0"/>
            <w:vAlign w:val="top"/>
          </w:tcPr>
          <w:p w14:paraId="2D69ABCF">
            <w:pPr>
              <w:keepNext/>
              <w:spacing w:line="400" w:lineRule="exact"/>
              <w:rPr>
                <w:rFonts w:ascii="宋体" w:hAnsi="宋体"/>
                <w:b/>
                <w:sz w:val="24"/>
                <w:highlight w:val="none"/>
              </w:rPr>
            </w:pPr>
          </w:p>
        </w:tc>
      </w:tr>
      <w:tr w14:paraId="743C7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260442FF">
            <w:pPr>
              <w:spacing w:line="400" w:lineRule="exact"/>
              <w:jc w:val="center"/>
              <w:rPr>
                <w:rFonts w:ascii="宋体" w:hAnsi="宋体"/>
                <w:sz w:val="24"/>
                <w:highlight w:val="none"/>
              </w:rPr>
            </w:pPr>
            <w:r>
              <w:rPr>
                <w:rFonts w:hint="eastAsia" w:ascii="宋体" w:hAnsi="宋体"/>
                <w:sz w:val="24"/>
                <w:highlight w:val="none"/>
              </w:rPr>
              <w:t>年龄</w:t>
            </w:r>
          </w:p>
        </w:tc>
        <w:tc>
          <w:tcPr>
            <w:tcW w:w="1701" w:type="dxa"/>
            <w:noWrap w:val="0"/>
            <w:vAlign w:val="top"/>
          </w:tcPr>
          <w:p w14:paraId="06EB870E">
            <w:pPr>
              <w:keepNext/>
              <w:spacing w:line="400" w:lineRule="exact"/>
              <w:rPr>
                <w:rFonts w:ascii="宋体" w:hAnsi="宋体"/>
                <w:b/>
                <w:sz w:val="24"/>
                <w:highlight w:val="none"/>
              </w:rPr>
            </w:pPr>
          </w:p>
        </w:tc>
        <w:tc>
          <w:tcPr>
            <w:tcW w:w="1094" w:type="dxa"/>
            <w:noWrap w:val="0"/>
            <w:vAlign w:val="top"/>
          </w:tcPr>
          <w:p w14:paraId="5AB24E84">
            <w:pPr>
              <w:keepNext/>
              <w:spacing w:line="400" w:lineRule="exact"/>
              <w:rPr>
                <w:rFonts w:ascii="宋体" w:hAnsi="宋体"/>
                <w:b/>
                <w:sz w:val="24"/>
                <w:highlight w:val="none"/>
              </w:rPr>
            </w:pPr>
          </w:p>
        </w:tc>
        <w:tc>
          <w:tcPr>
            <w:tcW w:w="3914" w:type="dxa"/>
            <w:noWrap w:val="0"/>
            <w:vAlign w:val="top"/>
          </w:tcPr>
          <w:p w14:paraId="5FD718A4">
            <w:pPr>
              <w:keepNext/>
              <w:spacing w:line="400" w:lineRule="exact"/>
              <w:rPr>
                <w:rFonts w:ascii="宋体" w:hAnsi="宋体"/>
                <w:b/>
                <w:sz w:val="24"/>
                <w:highlight w:val="none"/>
              </w:rPr>
            </w:pPr>
          </w:p>
        </w:tc>
      </w:tr>
      <w:tr w14:paraId="3C3FD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12635719">
            <w:pPr>
              <w:spacing w:line="400" w:lineRule="exact"/>
              <w:jc w:val="center"/>
              <w:rPr>
                <w:rFonts w:ascii="宋体" w:hAnsi="宋体"/>
                <w:sz w:val="24"/>
                <w:highlight w:val="none"/>
              </w:rPr>
            </w:pPr>
            <w:r>
              <w:rPr>
                <w:rFonts w:hint="eastAsia" w:ascii="宋体" w:hAnsi="宋体"/>
                <w:sz w:val="24"/>
                <w:highlight w:val="none"/>
              </w:rPr>
              <w:t>职称</w:t>
            </w:r>
          </w:p>
        </w:tc>
        <w:tc>
          <w:tcPr>
            <w:tcW w:w="1701" w:type="dxa"/>
            <w:noWrap w:val="0"/>
            <w:vAlign w:val="top"/>
          </w:tcPr>
          <w:p w14:paraId="7C1E2931">
            <w:pPr>
              <w:keepNext/>
              <w:spacing w:line="400" w:lineRule="exact"/>
              <w:rPr>
                <w:rFonts w:ascii="宋体" w:hAnsi="宋体"/>
                <w:b/>
                <w:sz w:val="24"/>
                <w:highlight w:val="none"/>
              </w:rPr>
            </w:pPr>
          </w:p>
        </w:tc>
        <w:tc>
          <w:tcPr>
            <w:tcW w:w="1094" w:type="dxa"/>
            <w:noWrap w:val="0"/>
            <w:vAlign w:val="top"/>
          </w:tcPr>
          <w:p w14:paraId="052BEDDD">
            <w:pPr>
              <w:keepNext/>
              <w:spacing w:line="400" w:lineRule="exact"/>
              <w:rPr>
                <w:rFonts w:ascii="宋体" w:hAnsi="宋体"/>
                <w:b/>
                <w:sz w:val="24"/>
                <w:highlight w:val="none"/>
              </w:rPr>
            </w:pPr>
          </w:p>
        </w:tc>
        <w:tc>
          <w:tcPr>
            <w:tcW w:w="3914" w:type="dxa"/>
            <w:noWrap w:val="0"/>
            <w:vAlign w:val="top"/>
          </w:tcPr>
          <w:p w14:paraId="16F28008">
            <w:pPr>
              <w:keepNext/>
              <w:spacing w:line="400" w:lineRule="exact"/>
              <w:rPr>
                <w:rFonts w:ascii="宋体" w:hAnsi="宋体"/>
                <w:b/>
                <w:sz w:val="24"/>
                <w:highlight w:val="none"/>
              </w:rPr>
            </w:pPr>
          </w:p>
        </w:tc>
      </w:tr>
      <w:tr w14:paraId="66077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1A93EE4B">
            <w:pPr>
              <w:spacing w:line="400" w:lineRule="exact"/>
              <w:jc w:val="center"/>
              <w:rPr>
                <w:rFonts w:ascii="宋体" w:hAnsi="宋体"/>
                <w:sz w:val="24"/>
                <w:highlight w:val="none"/>
              </w:rPr>
            </w:pPr>
            <w:r>
              <w:rPr>
                <w:rFonts w:hint="eastAsia" w:ascii="宋体" w:hAnsi="宋体"/>
                <w:sz w:val="24"/>
                <w:highlight w:val="none"/>
              </w:rPr>
              <w:t>毕业时间</w:t>
            </w:r>
          </w:p>
        </w:tc>
        <w:tc>
          <w:tcPr>
            <w:tcW w:w="1701" w:type="dxa"/>
            <w:noWrap w:val="0"/>
            <w:vAlign w:val="top"/>
          </w:tcPr>
          <w:p w14:paraId="747000F4">
            <w:pPr>
              <w:keepNext/>
              <w:spacing w:line="400" w:lineRule="exact"/>
              <w:rPr>
                <w:rFonts w:ascii="宋体" w:hAnsi="宋体"/>
                <w:b/>
                <w:sz w:val="24"/>
                <w:highlight w:val="none"/>
              </w:rPr>
            </w:pPr>
          </w:p>
        </w:tc>
        <w:tc>
          <w:tcPr>
            <w:tcW w:w="1094" w:type="dxa"/>
            <w:noWrap w:val="0"/>
            <w:vAlign w:val="top"/>
          </w:tcPr>
          <w:p w14:paraId="67631CFD">
            <w:pPr>
              <w:keepNext/>
              <w:spacing w:line="400" w:lineRule="exact"/>
              <w:rPr>
                <w:rFonts w:ascii="宋体" w:hAnsi="宋体"/>
                <w:b/>
                <w:sz w:val="24"/>
                <w:highlight w:val="none"/>
              </w:rPr>
            </w:pPr>
          </w:p>
        </w:tc>
        <w:tc>
          <w:tcPr>
            <w:tcW w:w="3914" w:type="dxa"/>
            <w:noWrap w:val="0"/>
            <w:vAlign w:val="top"/>
          </w:tcPr>
          <w:p w14:paraId="6D8A7D80">
            <w:pPr>
              <w:keepNext/>
              <w:spacing w:line="400" w:lineRule="exact"/>
              <w:rPr>
                <w:rFonts w:ascii="宋体" w:hAnsi="宋体"/>
                <w:b/>
                <w:sz w:val="24"/>
                <w:highlight w:val="none"/>
              </w:rPr>
            </w:pPr>
          </w:p>
        </w:tc>
      </w:tr>
      <w:tr w14:paraId="3A7CE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2236" w:type="dxa"/>
            <w:noWrap w:val="0"/>
            <w:vAlign w:val="center"/>
          </w:tcPr>
          <w:p w14:paraId="6C66BA9F">
            <w:pPr>
              <w:spacing w:line="400" w:lineRule="exact"/>
              <w:jc w:val="center"/>
              <w:rPr>
                <w:rFonts w:ascii="宋体" w:hAnsi="宋体"/>
                <w:sz w:val="24"/>
                <w:highlight w:val="none"/>
              </w:rPr>
            </w:pPr>
            <w:r>
              <w:rPr>
                <w:rFonts w:hint="eastAsia" w:ascii="宋体" w:hAnsi="宋体"/>
                <w:sz w:val="24"/>
                <w:highlight w:val="none"/>
              </w:rPr>
              <w:t>所学专业</w:t>
            </w:r>
          </w:p>
        </w:tc>
        <w:tc>
          <w:tcPr>
            <w:tcW w:w="1701" w:type="dxa"/>
            <w:noWrap w:val="0"/>
            <w:vAlign w:val="top"/>
          </w:tcPr>
          <w:p w14:paraId="3B4C2982">
            <w:pPr>
              <w:keepNext/>
              <w:spacing w:line="400" w:lineRule="exact"/>
              <w:rPr>
                <w:rFonts w:ascii="宋体" w:hAnsi="宋体"/>
                <w:b/>
                <w:sz w:val="24"/>
                <w:highlight w:val="none"/>
              </w:rPr>
            </w:pPr>
          </w:p>
        </w:tc>
        <w:tc>
          <w:tcPr>
            <w:tcW w:w="1094" w:type="dxa"/>
            <w:noWrap w:val="0"/>
            <w:vAlign w:val="top"/>
          </w:tcPr>
          <w:p w14:paraId="53602327">
            <w:pPr>
              <w:keepNext/>
              <w:spacing w:line="400" w:lineRule="exact"/>
              <w:rPr>
                <w:rFonts w:ascii="宋体" w:hAnsi="宋体"/>
                <w:b/>
                <w:sz w:val="24"/>
                <w:highlight w:val="none"/>
              </w:rPr>
            </w:pPr>
          </w:p>
        </w:tc>
        <w:tc>
          <w:tcPr>
            <w:tcW w:w="3914" w:type="dxa"/>
            <w:noWrap w:val="0"/>
            <w:vAlign w:val="top"/>
          </w:tcPr>
          <w:p w14:paraId="4D95CF26">
            <w:pPr>
              <w:keepNext/>
              <w:spacing w:line="400" w:lineRule="exact"/>
              <w:rPr>
                <w:rFonts w:ascii="宋体" w:hAnsi="宋体"/>
                <w:b/>
                <w:sz w:val="24"/>
                <w:highlight w:val="none"/>
              </w:rPr>
            </w:pPr>
          </w:p>
        </w:tc>
      </w:tr>
      <w:tr w14:paraId="25401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4D39E2DF">
            <w:pPr>
              <w:spacing w:line="400" w:lineRule="exact"/>
              <w:jc w:val="center"/>
              <w:rPr>
                <w:rFonts w:ascii="宋体" w:hAnsi="宋体"/>
                <w:sz w:val="24"/>
                <w:highlight w:val="none"/>
              </w:rPr>
            </w:pPr>
            <w:r>
              <w:rPr>
                <w:rFonts w:hint="eastAsia" w:ascii="宋体" w:hAnsi="宋体"/>
                <w:sz w:val="24"/>
                <w:highlight w:val="none"/>
              </w:rPr>
              <w:t>学历</w:t>
            </w:r>
          </w:p>
        </w:tc>
        <w:tc>
          <w:tcPr>
            <w:tcW w:w="1701" w:type="dxa"/>
            <w:noWrap w:val="0"/>
            <w:vAlign w:val="top"/>
          </w:tcPr>
          <w:p w14:paraId="05876803">
            <w:pPr>
              <w:keepNext/>
              <w:spacing w:line="400" w:lineRule="exact"/>
              <w:rPr>
                <w:rFonts w:ascii="宋体" w:hAnsi="宋体"/>
                <w:b/>
                <w:sz w:val="24"/>
                <w:highlight w:val="none"/>
              </w:rPr>
            </w:pPr>
          </w:p>
        </w:tc>
        <w:tc>
          <w:tcPr>
            <w:tcW w:w="1094" w:type="dxa"/>
            <w:noWrap w:val="0"/>
            <w:vAlign w:val="top"/>
          </w:tcPr>
          <w:p w14:paraId="783E1173">
            <w:pPr>
              <w:keepNext/>
              <w:spacing w:line="400" w:lineRule="exact"/>
              <w:rPr>
                <w:rFonts w:ascii="宋体" w:hAnsi="宋体"/>
                <w:b/>
                <w:sz w:val="24"/>
                <w:highlight w:val="none"/>
              </w:rPr>
            </w:pPr>
          </w:p>
        </w:tc>
        <w:tc>
          <w:tcPr>
            <w:tcW w:w="3914" w:type="dxa"/>
            <w:noWrap w:val="0"/>
            <w:vAlign w:val="top"/>
          </w:tcPr>
          <w:p w14:paraId="0CEC7F27">
            <w:pPr>
              <w:keepNext/>
              <w:spacing w:line="400" w:lineRule="exact"/>
              <w:rPr>
                <w:rFonts w:ascii="宋体" w:hAnsi="宋体"/>
                <w:b/>
                <w:sz w:val="24"/>
                <w:highlight w:val="none"/>
              </w:rPr>
            </w:pPr>
          </w:p>
        </w:tc>
      </w:tr>
      <w:tr w14:paraId="09644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3CE6B988">
            <w:pPr>
              <w:spacing w:line="400" w:lineRule="exact"/>
              <w:jc w:val="center"/>
              <w:rPr>
                <w:rFonts w:ascii="宋体" w:hAnsi="宋体"/>
                <w:sz w:val="24"/>
                <w:highlight w:val="none"/>
              </w:rPr>
            </w:pPr>
            <w:r>
              <w:rPr>
                <w:rFonts w:hint="eastAsia" w:ascii="宋体" w:hAnsi="宋体"/>
                <w:sz w:val="24"/>
                <w:highlight w:val="none"/>
              </w:rPr>
              <w:t>资质证书编号</w:t>
            </w:r>
          </w:p>
        </w:tc>
        <w:tc>
          <w:tcPr>
            <w:tcW w:w="1701" w:type="dxa"/>
            <w:noWrap w:val="0"/>
            <w:vAlign w:val="top"/>
          </w:tcPr>
          <w:p w14:paraId="27F7D11F">
            <w:pPr>
              <w:keepNext/>
              <w:spacing w:line="400" w:lineRule="exact"/>
              <w:rPr>
                <w:rFonts w:ascii="宋体" w:hAnsi="宋体"/>
                <w:b/>
                <w:sz w:val="24"/>
                <w:highlight w:val="none"/>
              </w:rPr>
            </w:pPr>
          </w:p>
        </w:tc>
        <w:tc>
          <w:tcPr>
            <w:tcW w:w="1094" w:type="dxa"/>
            <w:noWrap w:val="0"/>
            <w:vAlign w:val="top"/>
          </w:tcPr>
          <w:p w14:paraId="354C1D1C">
            <w:pPr>
              <w:keepNext/>
              <w:spacing w:line="400" w:lineRule="exact"/>
              <w:rPr>
                <w:rFonts w:ascii="宋体" w:hAnsi="宋体"/>
                <w:b/>
                <w:sz w:val="24"/>
                <w:highlight w:val="none"/>
              </w:rPr>
            </w:pPr>
          </w:p>
        </w:tc>
        <w:tc>
          <w:tcPr>
            <w:tcW w:w="3914" w:type="dxa"/>
            <w:noWrap w:val="0"/>
            <w:vAlign w:val="top"/>
          </w:tcPr>
          <w:p w14:paraId="5E977438">
            <w:pPr>
              <w:keepNext/>
              <w:spacing w:line="400" w:lineRule="exact"/>
              <w:rPr>
                <w:rFonts w:ascii="宋体" w:hAnsi="宋体"/>
                <w:b/>
                <w:sz w:val="24"/>
                <w:highlight w:val="none"/>
              </w:rPr>
            </w:pPr>
          </w:p>
        </w:tc>
      </w:tr>
      <w:tr w14:paraId="0D3A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6C4ADFFF">
            <w:pPr>
              <w:spacing w:line="400" w:lineRule="exact"/>
              <w:jc w:val="center"/>
              <w:rPr>
                <w:rFonts w:ascii="宋体" w:hAnsi="宋体"/>
                <w:sz w:val="24"/>
                <w:highlight w:val="none"/>
              </w:rPr>
            </w:pPr>
            <w:r>
              <w:rPr>
                <w:rFonts w:hint="eastAsia" w:ascii="宋体" w:hAnsi="宋体"/>
                <w:sz w:val="24"/>
                <w:highlight w:val="none"/>
              </w:rPr>
              <w:t>其他资质情况</w:t>
            </w:r>
          </w:p>
        </w:tc>
        <w:tc>
          <w:tcPr>
            <w:tcW w:w="1701" w:type="dxa"/>
            <w:noWrap w:val="0"/>
            <w:vAlign w:val="top"/>
          </w:tcPr>
          <w:p w14:paraId="5546F3BD">
            <w:pPr>
              <w:keepNext/>
              <w:spacing w:line="400" w:lineRule="exact"/>
              <w:rPr>
                <w:rFonts w:ascii="宋体" w:hAnsi="宋体"/>
                <w:b/>
                <w:sz w:val="24"/>
                <w:highlight w:val="none"/>
              </w:rPr>
            </w:pPr>
          </w:p>
        </w:tc>
        <w:tc>
          <w:tcPr>
            <w:tcW w:w="1094" w:type="dxa"/>
            <w:noWrap w:val="0"/>
            <w:vAlign w:val="top"/>
          </w:tcPr>
          <w:p w14:paraId="7BE90B00">
            <w:pPr>
              <w:keepNext/>
              <w:spacing w:line="400" w:lineRule="exact"/>
              <w:rPr>
                <w:rFonts w:ascii="宋体" w:hAnsi="宋体"/>
                <w:b/>
                <w:sz w:val="24"/>
                <w:highlight w:val="none"/>
              </w:rPr>
            </w:pPr>
          </w:p>
        </w:tc>
        <w:tc>
          <w:tcPr>
            <w:tcW w:w="3914" w:type="dxa"/>
            <w:noWrap w:val="0"/>
            <w:vAlign w:val="top"/>
          </w:tcPr>
          <w:p w14:paraId="463B9503">
            <w:pPr>
              <w:keepNext/>
              <w:spacing w:line="400" w:lineRule="exact"/>
              <w:rPr>
                <w:rFonts w:ascii="宋体" w:hAnsi="宋体"/>
                <w:b/>
                <w:sz w:val="24"/>
                <w:highlight w:val="none"/>
              </w:rPr>
            </w:pPr>
          </w:p>
        </w:tc>
      </w:tr>
      <w:tr w14:paraId="2FE4B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2236" w:type="dxa"/>
            <w:noWrap w:val="0"/>
            <w:vAlign w:val="center"/>
          </w:tcPr>
          <w:p w14:paraId="1D2C4E7E">
            <w:pPr>
              <w:spacing w:line="400" w:lineRule="exact"/>
              <w:jc w:val="center"/>
              <w:rPr>
                <w:rFonts w:ascii="宋体" w:hAnsi="宋体"/>
                <w:sz w:val="24"/>
                <w:highlight w:val="none"/>
              </w:rPr>
            </w:pPr>
            <w:r>
              <w:rPr>
                <w:rFonts w:hint="eastAsia" w:ascii="宋体" w:hAnsi="宋体"/>
                <w:sz w:val="24"/>
                <w:highlight w:val="none"/>
              </w:rPr>
              <w:t>联系电话</w:t>
            </w:r>
          </w:p>
        </w:tc>
        <w:tc>
          <w:tcPr>
            <w:tcW w:w="1701" w:type="dxa"/>
            <w:noWrap w:val="0"/>
            <w:vAlign w:val="top"/>
          </w:tcPr>
          <w:p w14:paraId="66682948">
            <w:pPr>
              <w:keepNext/>
              <w:spacing w:line="400" w:lineRule="exact"/>
              <w:rPr>
                <w:rFonts w:ascii="宋体" w:hAnsi="宋体"/>
                <w:b/>
                <w:sz w:val="24"/>
                <w:highlight w:val="none"/>
              </w:rPr>
            </w:pPr>
          </w:p>
        </w:tc>
        <w:tc>
          <w:tcPr>
            <w:tcW w:w="1094" w:type="dxa"/>
            <w:noWrap w:val="0"/>
            <w:vAlign w:val="top"/>
          </w:tcPr>
          <w:p w14:paraId="2A9FF8C0">
            <w:pPr>
              <w:keepNext/>
              <w:spacing w:line="400" w:lineRule="exact"/>
              <w:rPr>
                <w:rFonts w:ascii="宋体" w:hAnsi="宋体"/>
                <w:b/>
                <w:sz w:val="24"/>
                <w:highlight w:val="none"/>
              </w:rPr>
            </w:pPr>
          </w:p>
        </w:tc>
        <w:tc>
          <w:tcPr>
            <w:tcW w:w="3914" w:type="dxa"/>
            <w:noWrap w:val="0"/>
            <w:vAlign w:val="top"/>
          </w:tcPr>
          <w:p w14:paraId="46957AE3">
            <w:pPr>
              <w:keepNext/>
              <w:spacing w:line="400" w:lineRule="exact"/>
              <w:rPr>
                <w:rFonts w:ascii="宋体" w:hAnsi="宋体"/>
                <w:b/>
                <w:sz w:val="24"/>
                <w:highlight w:val="none"/>
              </w:rPr>
            </w:pPr>
          </w:p>
        </w:tc>
      </w:tr>
    </w:tbl>
    <w:p w14:paraId="0D2903DB">
      <w:pPr>
        <w:keepNext/>
        <w:spacing w:line="400" w:lineRule="exact"/>
        <w:ind w:firstLine="477"/>
        <w:rPr>
          <w:rFonts w:ascii="仿宋_GB2312" w:eastAsia="仿宋_GB2312"/>
          <w:b/>
          <w:sz w:val="24"/>
          <w:highlight w:val="none"/>
        </w:rPr>
      </w:pPr>
    </w:p>
    <w:p w14:paraId="4E661516">
      <w:pPr>
        <w:spacing w:line="400" w:lineRule="exact"/>
        <w:rPr>
          <w:rFonts w:ascii="宋体" w:hAnsi="宋体"/>
          <w:b/>
          <w:sz w:val="24"/>
          <w:highlight w:val="none"/>
        </w:rPr>
      </w:pPr>
      <w:r>
        <w:rPr>
          <w:rFonts w:hint="eastAsia" w:ascii="宋体" w:hAnsi="宋体"/>
          <w:b/>
          <w:sz w:val="24"/>
          <w:highlight w:val="none"/>
        </w:rPr>
        <w:t>注：职称证书、业绩、社保缴纳等证明文件附后。</w:t>
      </w:r>
    </w:p>
    <w:p w14:paraId="68C637D7">
      <w:pPr>
        <w:spacing w:line="420" w:lineRule="auto"/>
        <w:rPr>
          <w:rFonts w:ascii="宋体" w:hAnsi="宋体"/>
          <w:sz w:val="24"/>
          <w:highlight w:val="none"/>
        </w:rPr>
      </w:pPr>
    </w:p>
    <w:p w14:paraId="5747FE34">
      <w:pPr>
        <w:spacing w:line="360" w:lineRule="auto"/>
        <w:rPr>
          <w:rFonts w:ascii="宋体" w:hAnsi="宋体"/>
          <w:sz w:val="24"/>
          <w:highlight w:val="none"/>
        </w:rPr>
      </w:pPr>
      <w:r>
        <w:rPr>
          <w:rFonts w:hint="eastAsia" w:ascii="宋体" w:hAnsi="宋体"/>
          <w:sz w:val="24"/>
          <w:highlight w:val="none"/>
        </w:rPr>
        <w:t xml:space="preserve">法定代表人或者授权代表（签字或盖章）：                    </w:t>
      </w:r>
    </w:p>
    <w:p w14:paraId="4613BCBA">
      <w:pPr>
        <w:spacing w:line="360" w:lineRule="auto"/>
        <w:rPr>
          <w:rFonts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7E9F6C39">
      <w:pPr>
        <w:spacing w:line="360" w:lineRule="auto"/>
        <w:rPr>
          <w:rFonts w:ascii="宋体" w:hAnsi="宋体"/>
          <w:sz w:val="24"/>
          <w:highlight w:val="none"/>
        </w:rPr>
      </w:pPr>
      <w:r>
        <w:rPr>
          <w:rFonts w:hint="eastAsia" w:ascii="宋体" w:hAnsi="宋体"/>
          <w:sz w:val="24"/>
          <w:highlight w:val="none"/>
        </w:rPr>
        <w:t>日期：    年   月    日</w:t>
      </w:r>
    </w:p>
    <w:p w14:paraId="0FCB02DF">
      <w:pPr>
        <w:spacing w:line="420" w:lineRule="auto"/>
        <w:rPr>
          <w:rFonts w:ascii="宋体"/>
          <w:sz w:val="24"/>
          <w:highlight w:val="none"/>
        </w:rPr>
      </w:pPr>
    </w:p>
    <w:p w14:paraId="445F41D1">
      <w:pPr>
        <w:pStyle w:val="207"/>
        <w:spacing w:before="156" w:line="360" w:lineRule="auto"/>
        <w:rPr>
          <w:rFonts w:hAnsi="宋体"/>
          <w:sz w:val="24"/>
          <w:szCs w:val="24"/>
          <w:highlight w:val="none"/>
        </w:rPr>
      </w:pPr>
    </w:p>
    <w:p w14:paraId="5C504AEF">
      <w:pPr>
        <w:pStyle w:val="189"/>
        <w:rPr>
          <w:rFonts w:hAnsi="宋体"/>
          <w:sz w:val="24"/>
          <w:szCs w:val="24"/>
          <w:highlight w:val="none"/>
        </w:rPr>
      </w:pPr>
    </w:p>
    <w:p w14:paraId="04D899DA">
      <w:pPr>
        <w:pStyle w:val="189"/>
        <w:rPr>
          <w:rFonts w:hAnsi="宋体"/>
          <w:sz w:val="24"/>
          <w:szCs w:val="24"/>
          <w:highlight w:val="none"/>
        </w:rPr>
      </w:pPr>
    </w:p>
    <w:p w14:paraId="796601AD">
      <w:pPr>
        <w:pStyle w:val="189"/>
        <w:rPr>
          <w:rFonts w:hAnsi="宋体"/>
          <w:sz w:val="24"/>
          <w:szCs w:val="24"/>
          <w:highlight w:val="none"/>
        </w:rPr>
      </w:pPr>
    </w:p>
    <w:p w14:paraId="35DEC749">
      <w:pPr>
        <w:pStyle w:val="189"/>
        <w:rPr>
          <w:rFonts w:hAnsi="宋体"/>
          <w:sz w:val="24"/>
          <w:szCs w:val="24"/>
          <w:highlight w:val="none"/>
        </w:rPr>
      </w:pPr>
    </w:p>
    <w:p w14:paraId="35C002FB">
      <w:pPr>
        <w:pStyle w:val="189"/>
        <w:rPr>
          <w:rFonts w:hAnsi="宋体"/>
          <w:sz w:val="24"/>
          <w:szCs w:val="24"/>
          <w:highlight w:val="none"/>
        </w:rPr>
      </w:pPr>
    </w:p>
    <w:p w14:paraId="584E1246">
      <w:pPr>
        <w:pStyle w:val="189"/>
        <w:rPr>
          <w:rFonts w:hAnsi="宋体"/>
          <w:sz w:val="24"/>
          <w:szCs w:val="24"/>
          <w:highlight w:val="none"/>
        </w:rPr>
      </w:pPr>
    </w:p>
    <w:p w14:paraId="6E902136">
      <w:pPr>
        <w:pStyle w:val="189"/>
        <w:rPr>
          <w:rFonts w:hAnsi="宋体"/>
          <w:sz w:val="24"/>
          <w:szCs w:val="24"/>
          <w:highlight w:val="none"/>
        </w:rPr>
      </w:pPr>
    </w:p>
    <w:p w14:paraId="1D125238">
      <w:pPr>
        <w:pStyle w:val="189"/>
        <w:rPr>
          <w:rFonts w:hAnsi="宋体"/>
          <w:sz w:val="24"/>
          <w:szCs w:val="24"/>
          <w:highlight w:val="none"/>
        </w:rPr>
      </w:pPr>
    </w:p>
    <w:p w14:paraId="323B8419">
      <w:pPr>
        <w:spacing w:line="500" w:lineRule="exact"/>
        <w:rPr>
          <w:rFonts w:ascii="宋体" w:hAnsi="宋体"/>
          <w:sz w:val="24"/>
          <w:highlight w:val="none"/>
        </w:rPr>
      </w:pPr>
    </w:p>
    <w:p w14:paraId="61771FA2">
      <w:pPr>
        <w:spacing w:line="520" w:lineRule="exact"/>
        <w:rPr>
          <w:rFonts w:hint="eastAsia" w:ascii="宋体" w:hAnsi="宋体" w:cs="宋体"/>
          <w:b/>
          <w:bCs/>
          <w:sz w:val="24"/>
          <w:highlight w:val="none"/>
        </w:rPr>
      </w:pPr>
    </w:p>
    <w:p w14:paraId="6E32572A">
      <w:pPr>
        <w:spacing w:line="520" w:lineRule="exact"/>
        <w:jc w:val="center"/>
        <w:rPr>
          <w:rFonts w:hint="eastAsia" w:ascii="宋体" w:hAnsi="宋体" w:cs="宋体"/>
          <w:b/>
          <w:bCs/>
          <w:sz w:val="24"/>
          <w:highlight w:val="none"/>
        </w:rPr>
      </w:pPr>
    </w:p>
    <w:p w14:paraId="49E366BD">
      <w:pPr>
        <w:rPr>
          <w:rFonts w:hint="eastAsia" w:ascii="宋体" w:hAnsi="宋体" w:cs="宋体"/>
          <w:b/>
          <w:bCs/>
          <w:sz w:val="24"/>
          <w:highlight w:val="none"/>
        </w:rPr>
      </w:pPr>
      <w:r>
        <w:rPr>
          <w:rFonts w:hint="eastAsia" w:ascii="宋体" w:hAnsi="宋体" w:cs="宋体"/>
          <w:b/>
          <w:bCs/>
          <w:sz w:val="24"/>
          <w:highlight w:val="none"/>
        </w:rPr>
        <w:br w:type="page"/>
      </w:r>
    </w:p>
    <w:p w14:paraId="1F705FD3">
      <w:pPr>
        <w:spacing w:line="520" w:lineRule="exact"/>
        <w:jc w:val="center"/>
        <w:rPr>
          <w:rFonts w:hint="eastAsia" w:ascii="宋体" w:hAnsi="宋体" w:cs="宋体"/>
          <w:b/>
          <w:bCs/>
          <w:sz w:val="24"/>
          <w:highlight w:val="none"/>
        </w:rPr>
      </w:pPr>
      <w:r>
        <w:rPr>
          <w:rFonts w:hint="eastAsia" w:ascii="宋体" w:hAnsi="宋体" w:cs="宋体"/>
          <w:b/>
          <w:bCs/>
          <w:sz w:val="24"/>
          <w:highlight w:val="none"/>
        </w:rPr>
        <w:t>投标人类似业绩情况表</w:t>
      </w:r>
    </w:p>
    <w:p w14:paraId="67862D56">
      <w:pPr>
        <w:pStyle w:val="238"/>
        <w:ind w:firstLine="480"/>
        <w:rPr>
          <w:rFonts w:hint="eastAsia"/>
          <w:sz w:val="24"/>
          <w:szCs w:val="24"/>
          <w:highlight w:val="none"/>
        </w:rPr>
      </w:pPr>
    </w:p>
    <w:tbl>
      <w:tblPr>
        <w:tblStyle w:val="32"/>
        <w:tblW w:w="0" w:type="auto"/>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1F6E32A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1770B7BE">
            <w:pPr>
              <w:widowControl/>
              <w:spacing w:line="400" w:lineRule="atLeast"/>
              <w:jc w:val="center"/>
              <w:rPr>
                <w:sz w:val="24"/>
                <w:highlight w:val="none"/>
              </w:rPr>
            </w:pPr>
            <w:r>
              <w:rPr>
                <w:sz w:val="24"/>
                <w:highlight w:val="none"/>
              </w:rPr>
              <w:t>序号</w:t>
            </w:r>
          </w:p>
        </w:tc>
        <w:tc>
          <w:tcPr>
            <w:tcW w:w="1559" w:type="dxa"/>
            <w:tcBorders>
              <w:top w:val="single" w:color="000000" w:sz="4" w:space="0"/>
              <w:left w:val="nil"/>
              <w:bottom w:val="single" w:color="000000" w:sz="4" w:space="0"/>
              <w:right w:val="single" w:color="000000" w:sz="4" w:space="0"/>
            </w:tcBorders>
            <w:noWrap w:val="0"/>
            <w:vAlign w:val="center"/>
          </w:tcPr>
          <w:p w14:paraId="4916DD25">
            <w:pPr>
              <w:widowControl/>
              <w:spacing w:line="400" w:lineRule="atLeast"/>
              <w:jc w:val="center"/>
              <w:rPr>
                <w:sz w:val="24"/>
                <w:highlight w:val="none"/>
              </w:rPr>
            </w:pPr>
            <w:r>
              <w:rPr>
                <w:sz w:val="24"/>
                <w:highlight w:val="none"/>
              </w:rPr>
              <w:t>项目名称</w:t>
            </w:r>
          </w:p>
        </w:tc>
        <w:tc>
          <w:tcPr>
            <w:tcW w:w="1418" w:type="dxa"/>
            <w:tcBorders>
              <w:top w:val="single" w:color="000000" w:sz="4" w:space="0"/>
              <w:left w:val="nil"/>
              <w:bottom w:val="single" w:color="000000" w:sz="4" w:space="0"/>
              <w:right w:val="single" w:color="000000" w:sz="4" w:space="0"/>
            </w:tcBorders>
            <w:noWrap w:val="0"/>
            <w:vAlign w:val="center"/>
          </w:tcPr>
          <w:p w14:paraId="01B6AA3B">
            <w:pPr>
              <w:widowControl/>
              <w:spacing w:line="400" w:lineRule="atLeast"/>
              <w:jc w:val="center"/>
              <w:rPr>
                <w:sz w:val="24"/>
                <w:highlight w:val="none"/>
              </w:rPr>
            </w:pPr>
            <w:r>
              <w:rPr>
                <w:sz w:val="24"/>
                <w:highlight w:val="none"/>
              </w:rPr>
              <w:t>业主单位</w:t>
            </w:r>
          </w:p>
        </w:tc>
        <w:tc>
          <w:tcPr>
            <w:tcW w:w="992" w:type="dxa"/>
            <w:tcBorders>
              <w:top w:val="single" w:color="000000" w:sz="4" w:space="0"/>
              <w:left w:val="nil"/>
              <w:bottom w:val="single" w:color="000000" w:sz="4" w:space="0"/>
              <w:right w:val="single" w:color="000000" w:sz="4" w:space="0"/>
            </w:tcBorders>
            <w:noWrap w:val="0"/>
            <w:vAlign w:val="center"/>
          </w:tcPr>
          <w:p w14:paraId="30F4E82E">
            <w:pPr>
              <w:widowControl/>
              <w:spacing w:line="400" w:lineRule="atLeast"/>
              <w:jc w:val="center"/>
              <w:rPr>
                <w:sz w:val="24"/>
                <w:highlight w:val="none"/>
              </w:rPr>
            </w:pPr>
            <w:r>
              <w:rPr>
                <w:sz w:val="24"/>
                <w:highlight w:val="none"/>
              </w:rPr>
              <w:t>项目</w:t>
            </w:r>
          </w:p>
          <w:p w14:paraId="6D864D1F">
            <w:pPr>
              <w:widowControl/>
              <w:spacing w:line="400" w:lineRule="atLeast"/>
              <w:jc w:val="center"/>
              <w:rPr>
                <w:sz w:val="24"/>
                <w:highlight w:val="none"/>
              </w:rPr>
            </w:pPr>
            <w:r>
              <w:rPr>
                <w:sz w:val="24"/>
                <w:highlight w:val="none"/>
              </w:rPr>
              <w:t>规模</w:t>
            </w:r>
          </w:p>
        </w:tc>
        <w:tc>
          <w:tcPr>
            <w:tcW w:w="1034" w:type="dxa"/>
            <w:tcBorders>
              <w:top w:val="single" w:color="000000" w:sz="4" w:space="0"/>
              <w:left w:val="nil"/>
              <w:bottom w:val="single" w:color="000000" w:sz="4" w:space="0"/>
              <w:right w:val="single" w:color="000000" w:sz="4" w:space="0"/>
            </w:tcBorders>
            <w:noWrap w:val="0"/>
            <w:vAlign w:val="center"/>
          </w:tcPr>
          <w:p w14:paraId="43F07B1B">
            <w:pPr>
              <w:widowControl/>
              <w:spacing w:line="400" w:lineRule="atLeast"/>
              <w:jc w:val="center"/>
              <w:rPr>
                <w:sz w:val="24"/>
                <w:highlight w:val="none"/>
              </w:rPr>
            </w:pPr>
            <w:r>
              <w:rPr>
                <w:rFonts w:hint="eastAsia"/>
                <w:sz w:val="24"/>
                <w:highlight w:val="none"/>
              </w:rPr>
              <w:t>合同签约金额</w:t>
            </w:r>
          </w:p>
        </w:tc>
        <w:tc>
          <w:tcPr>
            <w:tcW w:w="1517" w:type="dxa"/>
            <w:tcBorders>
              <w:top w:val="single" w:color="000000" w:sz="4" w:space="0"/>
              <w:left w:val="nil"/>
              <w:bottom w:val="single" w:color="000000" w:sz="4" w:space="0"/>
              <w:right w:val="single" w:color="000000" w:sz="4" w:space="0"/>
            </w:tcBorders>
            <w:noWrap w:val="0"/>
            <w:vAlign w:val="top"/>
          </w:tcPr>
          <w:p w14:paraId="1F9CE5EC">
            <w:pPr>
              <w:widowControl/>
              <w:spacing w:line="400" w:lineRule="atLeast"/>
              <w:jc w:val="center"/>
              <w:rPr>
                <w:sz w:val="24"/>
                <w:highlight w:val="none"/>
              </w:rPr>
            </w:pPr>
            <w:r>
              <w:rPr>
                <w:sz w:val="24"/>
                <w:highlight w:val="none"/>
              </w:rPr>
              <w:t>签约及服务</w:t>
            </w:r>
          </w:p>
          <w:p w14:paraId="5103893C">
            <w:pPr>
              <w:widowControl/>
              <w:spacing w:line="400" w:lineRule="atLeast"/>
              <w:jc w:val="center"/>
              <w:rPr>
                <w:sz w:val="24"/>
                <w:highlight w:val="none"/>
              </w:rPr>
            </w:pPr>
            <w:r>
              <w:rPr>
                <w:sz w:val="24"/>
                <w:highlight w:val="none"/>
              </w:rPr>
              <w:t>时间</w:t>
            </w:r>
          </w:p>
        </w:tc>
        <w:tc>
          <w:tcPr>
            <w:tcW w:w="1134" w:type="dxa"/>
            <w:tcBorders>
              <w:top w:val="single" w:color="000000" w:sz="4" w:space="0"/>
              <w:left w:val="nil"/>
              <w:bottom w:val="single" w:color="000000" w:sz="4" w:space="0"/>
              <w:right w:val="single" w:color="000000" w:sz="4" w:space="0"/>
            </w:tcBorders>
            <w:noWrap w:val="0"/>
            <w:vAlign w:val="top"/>
          </w:tcPr>
          <w:p w14:paraId="70D03291">
            <w:pPr>
              <w:widowControl/>
              <w:spacing w:line="400" w:lineRule="atLeast"/>
              <w:jc w:val="center"/>
              <w:rPr>
                <w:sz w:val="24"/>
                <w:highlight w:val="none"/>
              </w:rPr>
            </w:pPr>
            <w:r>
              <w:rPr>
                <w:sz w:val="24"/>
                <w:highlight w:val="none"/>
              </w:rPr>
              <w:t>联系人及电话</w:t>
            </w:r>
          </w:p>
        </w:tc>
        <w:tc>
          <w:tcPr>
            <w:tcW w:w="1134" w:type="dxa"/>
            <w:tcBorders>
              <w:top w:val="single" w:color="000000" w:sz="4" w:space="0"/>
              <w:left w:val="nil"/>
              <w:bottom w:val="single" w:color="000000" w:sz="4" w:space="0"/>
              <w:right w:val="single" w:color="000000" w:sz="4" w:space="0"/>
            </w:tcBorders>
            <w:noWrap w:val="0"/>
            <w:vAlign w:val="top"/>
          </w:tcPr>
          <w:p w14:paraId="67B81BD1">
            <w:pPr>
              <w:widowControl/>
              <w:spacing w:line="400" w:lineRule="atLeast"/>
              <w:jc w:val="center"/>
              <w:rPr>
                <w:sz w:val="24"/>
                <w:highlight w:val="none"/>
              </w:rPr>
            </w:pPr>
            <w:r>
              <w:rPr>
                <w:sz w:val="24"/>
                <w:highlight w:val="none"/>
              </w:rPr>
              <w:t>备注</w:t>
            </w:r>
          </w:p>
        </w:tc>
      </w:tr>
      <w:tr w14:paraId="4554E28B">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70DFD01E">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5874DDB3">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7C66E1C4">
            <w:pPr>
              <w:widowControl/>
              <w:spacing w:line="400" w:lineRule="atLeast"/>
              <w:ind w:firstLine="120"/>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1441624C">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62CEA103">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4AE093EA">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19680611">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64C910DB">
            <w:pPr>
              <w:widowControl/>
              <w:spacing w:line="400" w:lineRule="atLeast"/>
              <w:jc w:val="center"/>
              <w:rPr>
                <w:sz w:val="24"/>
                <w:highlight w:val="none"/>
              </w:rPr>
            </w:pPr>
          </w:p>
        </w:tc>
      </w:tr>
      <w:tr w14:paraId="091DBC4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7D418DF7">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1E89A62E">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378701CE">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3A7BFE2C">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4A1797DC">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7BC0BF23">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7811A2B1">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F82AAF3">
            <w:pPr>
              <w:widowControl/>
              <w:spacing w:line="400" w:lineRule="atLeast"/>
              <w:jc w:val="center"/>
              <w:rPr>
                <w:sz w:val="24"/>
                <w:highlight w:val="none"/>
              </w:rPr>
            </w:pPr>
          </w:p>
        </w:tc>
      </w:tr>
      <w:tr w14:paraId="317C81F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2D4C579D">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71337F3F">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57C23EAC">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3703FADC">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12920147">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3C3E339A">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61D775D3">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4C398D85">
            <w:pPr>
              <w:widowControl/>
              <w:spacing w:line="400" w:lineRule="atLeast"/>
              <w:jc w:val="center"/>
              <w:rPr>
                <w:sz w:val="24"/>
                <w:highlight w:val="none"/>
              </w:rPr>
            </w:pPr>
          </w:p>
        </w:tc>
      </w:tr>
      <w:tr w14:paraId="01B6615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3369A586">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4FE2CC40">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7879D9AE">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7EE70BD2">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44313169">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5D9CBC19">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2681CC2C">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B8B5EA0">
            <w:pPr>
              <w:widowControl/>
              <w:spacing w:line="400" w:lineRule="atLeast"/>
              <w:jc w:val="center"/>
              <w:rPr>
                <w:sz w:val="24"/>
                <w:highlight w:val="none"/>
              </w:rPr>
            </w:pPr>
          </w:p>
        </w:tc>
      </w:tr>
      <w:tr w14:paraId="2EB3D58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22AB3881">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0514C362">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62009515">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2B531322">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44A8AA18">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627584F4">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92767C9">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B052BB6">
            <w:pPr>
              <w:widowControl/>
              <w:spacing w:line="400" w:lineRule="atLeast"/>
              <w:jc w:val="center"/>
              <w:rPr>
                <w:sz w:val="24"/>
                <w:highlight w:val="none"/>
              </w:rPr>
            </w:pPr>
          </w:p>
        </w:tc>
      </w:tr>
      <w:tr w14:paraId="3724D847">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07FDFACD">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4D5ECE55">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01A09013">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6C8AA526">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4587F32F">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1B0245C7">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0F1B4CA3">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94D3274">
            <w:pPr>
              <w:widowControl/>
              <w:spacing w:line="400" w:lineRule="atLeast"/>
              <w:jc w:val="center"/>
              <w:rPr>
                <w:sz w:val="24"/>
                <w:highlight w:val="none"/>
              </w:rPr>
            </w:pPr>
          </w:p>
        </w:tc>
      </w:tr>
      <w:tr w14:paraId="62977A2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09E8FB3A">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06F08F15">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5BD76A2D">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5ACE7FA5">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23B44A8E">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79BB5023">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06712B0">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F987B2A">
            <w:pPr>
              <w:widowControl/>
              <w:spacing w:line="400" w:lineRule="atLeast"/>
              <w:jc w:val="center"/>
              <w:rPr>
                <w:sz w:val="24"/>
                <w:highlight w:val="none"/>
              </w:rPr>
            </w:pPr>
          </w:p>
        </w:tc>
      </w:tr>
      <w:tr w14:paraId="196C1F6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43C71FC4">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4F36E9A2">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7F9AC584">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7C8E0216">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4A23478B">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4C6B2291">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0FFF5655">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B7312D0">
            <w:pPr>
              <w:widowControl/>
              <w:spacing w:line="400" w:lineRule="atLeast"/>
              <w:jc w:val="center"/>
              <w:rPr>
                <w:sz w:val="24"/>
                <w:highlight w:val="none"/>
              </w:rPr>
            </w:pPr>
          </w:p>
        </w:tc>
      </w:tr>
    </w:tbl>
    <w:p w14:paraId="4C48A6AF">
      <w:pPr>
        <w:spacing w:line="360" w:lineRule="auto"/>
        <w:rPr>
          <w:rFonts w:hint="eastAsia" w:ascii="宋体" w:hAnsi="宋体"/>
          <w:sz w:val="24"/>
          <w:highlight w:val="none"/>
        </w:rPr>
      </w:pPr>
    </w:p>
    <w:p w14:paraId="7B769465">
      <w:pPr>
        <w:spacing w:line="360" w:lineRule="auto"/>
        <w:rPr>
          <w:rFonts w:hint="eastAsia" w:ascii="宋体" w:hAnsi="宋体"/>
          <w:sz w:val="24"/>
          <w:highlight w:val="none"/>
        </w:rPr>
      </w:pPr>
      <w:r>
        <w:rPr>
          <w:rFonts w:hint="eastAsia" w:ascii="宋体" w:hAnsi="宋体"/>
          <w:sz w:val="24"/>
          <w:highlight w:val="none"/>
        </w:rPr>
        <w:t xml:space="preserve">法定代表人或者授权代表（签字或盖章）：                    </w:t>
      </w:r>
    </w:p>
    <w:p w14:paraId="69260DA7">
      <w:pPr>
        <w:spacing w:line="360" w:lineRule="auto"/>
        <w:rPr>
          <w:rFonts w:hint="eastAsia"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1ED04D25">
      <w:pPr>
        <w:spacing w:line="360" w:lineRule="auto"/>
        <w:rPr>
          <w:rFonts w:hint="eastAsia" w:ascii="宋体" w:hAnsi="宋体"/>
          <w:sz w:val="24"/>
          <w:highlight w:val="none"/>
        </w:rPr>
      </w:pPr>
      <w:r>
        <w:rPr>
          <w:rFonts w:hint="eastAsia" w:ascii="宋体" w:hAnsi="宋体"/>
          <w:sz w:val="24"/>
          <w:highlight w:val="none"/>
        </w:rPr>
        <w:t>日期：    年   月    日</w:t>
      </w:r>
    </w:p>
    <w:p w14:paraId="37DB059C">
      <w:pPr>
        <w:pStyle w:val="203"/>
        <w:rPr>
          <w:rFonts w:ascii="宋体" w:hAnsi="宋体"/>
          <w:sz w:val="24"/>
          <w:szCs w:val="24"/>
          <w:highlight w:val="none"/>
        </w:rPr>
      </w:pPr>
    </w:p>
    <w:p w14:paraId="167E54AF">
      <w:pPr>
        <w:pStyle w:val="203"/>
        <w:rPr>
          <w:rFonts w:ascii="宋体" w:hAnsi="宋体"/>
          <w:sz w:val="24"/>
          <w:szCs w:val="24"/>
          <w:highlight w:val="none"/>
        </w:rPr>
      </w:pPr>
    </w:p>
    <w:p w14:paraId="1D5CFFE0">
      <w:pPr>
        <w:pStyle w:val="203"/>
        <w:rPr>
          <w:rFonts w:ascii="宋体" w:hAnsi="宋体"/>
          <w:sz w:val="24"/>
          <w:szCs w:val="24"/>
          <w:highlight w:val="none"/>
        </w:rPr>
      </w:pPr>
    </w:p>
    <w:p w14:paraId="0509005C">
      <w:pPr>
        <w:pStyle w:val="203"/>
        <w:rPr>
          <w:rFonts w:ascii="宋体" w:hAnsi="宋体"/>
          <w:sz w:val="24"/>
          <w:szCs w:val="24"/>
          <w:highlight w:val="none"/>
        </w:rPr>
      </w:pPr>
    </w:p>
    <w:p w14:paraId="51A43E9F">
      <w:pPr>
        <w:pStyle w:val="203"/>
        <w:rPr>
          <w:rFonts w:ascii="宋体" w:hAnsi="宋体"/>
          <w:sz w:val="24"/>
          <w:szCs w:val="24"/>
          <w:highlight w:val="none"/>
        </w:rPr>
      </w:pPr>
    </w:p>
    <w:p w14:paraId="6583561C">
      <w:pPr>
        <w:pStyle w:val="203"/>
        <w:rPr>
          <w:rFonts w:ascii="宋体" w:hAnsi="宋体"/>
          <w:sz w:val="24"/>
          <w:szCs w:val="24"/>
          <w:highlight w:val="none"/>
        </w:rPr>
      </w:pPr>
    </w:p>
    <w:p w14:paraId="4FBB74BE">
      <w:pPr>
        <w:pStyle w:val="203"/>
        <w:rPr>
          <w:rFonts w:ascii="宋体" w:hAnsi="宋体"/>
          <w:sz w:val="24"/>
          <w:szCs w:val="24"/>
          <w:highlight w:val="none"/>
        </w:rPr>
      </w:pPr>
    </w:p>
    <w:p w14:paraId="28E806FE">
      <w:pPr>
        <w:pStyle w:val="203"/>
        <w:rPr>
          <w:rFonts w:ascii="宋体" w:hAnsi="宋体"/>
          <w:sz w:val="24"/>
          <w:szCs w:val="24"/>
          <w:highlight w:val="none"/>
        </w:rPr>
      </w:pPr>
    </w:p>
    <w:p w14:paraId="03BAC24E">
      <w:pPr>
        <w:pStyle w:val="203"/>
        <w:rPr>
          <w:rFonts w:ascii="宋体" w:hAnsi="宋体"/>
          <w:sz w:val="24"/>
          <w:szCs w:val="24"/>
          <w:highlight w:val="none"/>
        </w:rPr>
      </w:pPr>
    </w:p>
    <w:p w14:paraId="0340CBBB">
      <w:pPr>
        <w:pStyle w:val="203"/>
        <w:rPr>
          <w:rFonts w:ascii="宋体" w:hAnsi="宋体"/>
          <w:sz w:val="24"/>
          <w:szCs w:val="24"/>
          <w:highlight w:val="none"/>
        </w:rPr>
      </w:pPr>
    </w:p>
    <w:p w14:paraId="3C11FFD3">
      <w:pPr>
        <w:pStyle w:val="203"/>
        <w:rPr>
          <w:rFonts w:hint="eastAsia" w:ascii="宋体" w:hAnsi="宋体"/>
          <w:sz w:val="24"/>
          <w:szCs w:val="24"/>
          <w:highlight w:val="none"/>
        </w:rPr>
      </w:pPr>
    </w:p>
    <w:p w14:paraId="1583257F">
      <w:pPr>
        <w:pStyle w:val="203"/>
        <w:rPr>
          <w:rFonts w:hint="eastAsia" w:ascii="宋体" w:hAnsi="宋体"/>
          <w:sz w:val="24"/>
          <w:szCs w:val="24"/>
          <w:highlight w:val="none"/>
        </w:rPr>
      </w:pPr>
    </w:p>
    <w:p w14:paraId="57BE674A">
      <w:pPr>
        <w:pStyle w:val="203"/>
        <w:rPr>
          <w:rFonts w:hint="eastAsia" w:ascii="宋体" w:hAnsi="宋体"/>
          <w:sz w:val="24"/>
          <w:szCs w:val="24"/>
          <w:highlight w:val="none"/>
        </w:rPr>
      </w:pPr>
    </w:p>
    <w:p w14:paraId="6DDDCA1A">
      <w:pPr>
        <w:pStyle w:val="203"/>
        <w:rPr>
          <w:rFonts w:hint="eastAsia" w:ascii="宋体" w:hAnsi="宋体"/>
          <w:sz w:val="24"/>
          <w:szCs w:val="24"/>
          <w:highlight w:val="none"/>
        </w:rPr>
      </w:pPr>
    </w:p>
    <w:p w14:paraId="40E466B9">
      <w:pPr>
        <w:pStyle w:val="203"/>
        <w:rPr>
          <w:rFonts w:hint="eastAsia" w:ascii="宋体" w:hAnsi="宋体"/>
          <w:sz w:val="24"/>
          <w:szCs w:val="24"/>
          <w:highlight w:val="none"/>
        </w:rPr>
      </w:pPr>
    </w:p>
    <w:p w14:paraId="4D68F6FD">
      <w:pPr>
        <w:pStyle w:val="203"/>
        <w:rPr>
          <w:rFonts w:hint="eastAsia" w:ascii="宋体" w:hAnsi="宋体"/>
          <w:sz w:val="24"/>
          <w:szCs w:val="24"/>
          <w:highlight w:val="none"/>
        </w:rPr>
      </w:pPr>
    </w:p>
    <w:p w14:paraId="448E673F">
      <w:pPr>
        <w:pStyle w:val="203"/>
        <w:rPr>
          <w:rFonts w:hint="eastAsia" w:ascii="宋体" w:hAnsi="宋体"/>
          <w:sz w:val="24"/>
          <w:szCs w:val="24"/>
          <w:highlight w:val="none"/>
        </w:rPr>
      </w:pPr>
    </w:p>
    <w:p w14:paraId="06A4DDD6">
      <w:pPr>
        <w:pStyle w:val="203"/>
        <w:rPr>
          <w:rFonts w:hint="eastAsia" w:ascii="宋体" w:hAnsi="宋体"/>
          <w:sz w:val="24"/>
          <w:szCs w:val="24"/>
          <w:highlight w:val="none"/>
        </w:rPr>
      </w:pPr>
    </w:p>
    <w:p w14:paraId="4464B4F1">
      <w:pPr>
        <w:pStyle w:val="203"/>
        <w:rPr>
          <w:rFonts w:hint="eastAsia" w:ascii="宋体" w:hAnsi="宋体"/>
          <w:sz w:val="24"/>
          <w:szCs w:val="24"/>
          <w:highlight w:val="none"/>
        </w:rPr>
      </w:pPr>
    </w:p>
    <w:p w14:paraId="66ABF0FC">
      <w:pPr>
        <w:pStyle w:val="203"/>
        <w:rPr>
          <w:rFonts w:hint="eastAsia" w:ascii="宋体" w:hAnsi="宋体"/>
          <w:sz w:val="24"/>
          <w:szCs w:val="24"/>
          <w:highlight w:val="none"/>
        </w:rPr>
      </w:pPr>
    </w:p>
    <w:p w14:paraId="5B741472">
      <w:pPr>
        <w:pStyle w:val="203"/>
        <w:rPr>
          <w:rFonts w:hint="eastAsia" w:ascii="宋体" w:hAnsi="宋体"/>
          <w:sz w:val="24"/>
          <w:szCs w:val="24"/>
          <w:highlight w:val="none"/>
        </w:rPr>
      </w:pPr>
    </w:p>
    <w:p w14:paraId="5AC00CE1">
      <w:pPr>
        <w:pStyle w:val="203"/>
        <w:rPr>
          <w:rFonts w:hint="eastAsia" w:ascii="宋体" w:hAnsi="宋体"/>
          <w:sz w:val="24"/>
          <w:szCs w:val="24"/>
          <w:highlight w:val="none"/>
        </w:rPr>
      </w:pPr>
    </w:p>
    <w:p w14:paraId="074A29F4">
      <w:pPr>
        <w:pStyle w:val="203"/>
        <w:rPr>
          <w:rFonts w:ascii="宋体" w:hAnsi="宋体"/>
          <w:sz w:val="24"/>
          <w:szCs w:val="24"/>
          <w:highlight w:val="none"/>
        </w:rPr>
      </w:pPr>
    </w:p>
    <w:p w14:paraId="41BB95B3">
      <w:pPr>
        <w:pStyle w:val="203"/>
        <w:ind w:firstLine="0"/>
        <w:rPr>
          <w:rFonts w:ascii="宋体" w:hAnsi="宋体"/>
          <w:sz w:val="24"/>
          <w:szCs w:val="24"/>
          <w:highlight w:val="none"/>
        </w:rPr>
      </w:pPr>
    </w:p>
    <w:p w14:paraId="1B66315E">
      <w:pPr>
        <w:spacing w:line="500" w:lineRule="exact"/>
        <w:jc w:val="center"/>
        <w:rPr>
          <w:rFonts w:hint="eastAsia" w:ascii="宋体" w:hAnsi="宋体" w:cs="宋体"/>
          <w:b/>
          <w:bCs/>
          <w:sz w:val="24"/>
          <w:highlight w:val="none"/>
        </w:rPr>
      </w:pPr>
      <w:r>
        <w:rPr>
          <w:rFonts w:hint="eastAsia" w:ascii="宋体" w:hAnsi="宋体" w:cs="宋体"/>
          <w:b/>
          <w:bCs/>
          <w:sz w:val="24"/>
          <w:highlight w:val="none"/>
        </w:rPr>
        <w:t>主要人员简历表</w:t>
      </w:r>
    </w:p>
    <w:p w14:paraId="782D61FF">
      <w:pPr>
        <w:spacing w:line="500" w:lineRule="exact"/>
        <w:jc w:val="center"/>
        <w:rPr>
          <w:rFonts w:hint="eastAsia" w:ascii="宋体" w:hAnsi="宋体" w:cs="宋体"/>
          <w:b/>
          <w:bCs/>
          <w:sz w:val="24"/>
          <w:highlight w:val="none"/>
        </w:rPr>
      </w:pPr>
    </w:p>
    <w:tbl>
      <w:tblPr>
        <w:tblStyle w:val="32"/>
        <w:tblW w:w="99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0"/>
        <w:gridCol w:w="1661"/>
        <w:gridCol w:w="1661"/>
        <w:gridCol w:w="1661"/>
        <w:gridCol w:w="1662"/>
        <w:gridCol w:w="1662"/>
      </w:tblGrid>
      <w:tr w14:paraId="5128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1660" w:type="dxa"/>
            <w:noWrap w:val="0"/>
            <w:vAlign w:val="center"/>
          </w:tcPr>
          <w:p w14:paraId="7E23D3AE">
            <w:pPr>
              <w:jc w:val="center"/>
              <w:rPr>
                <w:sz w:val="24"/>
                <w:highlight w:val="none"/>
              </w:rPr>
            </w:pPr>
            <w:r>
              <w:rPr>
                <w:rFonts w:hint="eastAsia"/>
                <w:sz w:val="24"/>
                <w:highlight w:val="none"/>
              </w:rPr>
              <w:t>姓</w:t>
            </w:r>
            <w:r>
              <w:rPr>
                <w:sz w:val="24"/>
                <w:highlight w:val="none"/>
              </w:rPr>
              <w:t xml:space="preserve"> </w:t>
            </w:r>
            <w:r>
              <w:rPr>
                <w:rFonts w:hint="eastAsia"/>
                <w:sz w:val="24"/>
                <w:highlight w:val="none"/>
              </w:rPr>
              <w:t>名</w:t>
            </w:r>
          </w:p>
        </w:tc>
        <w:tc>
          <w:tcPr>
            <w:tcW w:w="1661" w:type="dxa"/>
            <w:noWrap w:val="0"/>
            <w:vAlign w:val="center"/>
          </w:tcPr>
          <w:p w14:paraId="3A43D12D">
            <w:pPr>
              <w:jc w:val="center"/>
              <w:rPr>
                <w:sz w:val="24"/>
                <w:highlight w:val="none"/>
              </w:rPr>
            </w:pPr>
          </w:p>
        </w:tc>
        <w:tc>
          <w:tcPr>
            <w:tcW w:w="1661" w:type="dxa"/>
            <w:noWrap w:val="0"/>
            <w:vAlign w:val="center"/>
          </w:tcPr>
          <w:p w14:paraId="7C25CFC2">
            <w:pPr>
              <w:jc w:val="center"/>
              <w:rPr>
                <w:sz w:val="24"/>
                <w:highlight w:val="none"/>
              </w:rPr>
            </w:pPr>
            <w:r>
              <w:rPr>
                <w:rFonts w:hint="eastAsia"/>
                <w:sz w:val="24"/>
                <w:highlight w:val="none"/>
              </w:rPr>
              <w:t>年</w:t>
            </w:r>
            <w:r>
              <w:rPr>
                <w:sz w:val="24"/>
                <w:highlight w:val="none"/>
              </w:rPr>
              <w:t xml:space="preserve"> </w:t>
            </w:r>
            <w:r>
              <w:rPr>
                <w:rFonts w:hint="eastAsia"/>
                <w:sz w:val="24"/>
                <w:highlight w:val="none"/>
              </w:rPr>
              <w:t>龄</w:t>
            </w:r>
          </w:p>
        </w:tc>
        <w:tc>
          <w:tcPr>
            <w:tcW w:w="1661" w:type="dxa"/>
            <w:noWrap w:val="0"/>
            <w:vAlign w:val="center"/>
          </w:tcPr>
          <w:p w14:paraId="3777987C">
            <w:pPr>
              <w:jc w:val="center"/>
              <w:rPr>
                <w:sz w:val="24"/>
                <w:highlight w:val="none"/>
              </w:rPr>
            </w:pPr>
          </w:p>
        </w:tc>
        <w:tc>
          <w:tcPr>
            <w:tcW w:w="1662" w:type="dxa"/>
            <w:noWrap w:val="0"/>
            <w:vAlign w:val="center"/>
          </w:tcPr>
          <w:p w14:paraId="699F0FBA">
            <w:pPr>
              <w:jc w:val="center"/>
              <w:rPr>
                <w:sz w:val="24"/>
                <w:highlight w:val="none"/>
              </w:rPr>
            </w:pPr>
            <w:r>
              <w:rPr>
                <w:rFonts w:hint="eastAsia"/>
                <w:sz w:val="24"/>
                <w:highlight w:val="none"/>
              </w:rPr>
              <w:t>学历</w:t>
            </w:r>
          </w:p>
        </w:tc>
        <w:tc>
          <w:tcPr>
            <w:tcW w:w="1662" w:type="dxa"/>
            <w:noWrap w:val="0"/>
            <w:vAlign w:val="center"/>
          </w:tcPr>
          <w:p w14:paraId="16C3B519">
            <w:pPr>
              <w:jc w:val="center"/>
              <w:rPr>
                <w:sz w:val="24"/>
                <w:highlight w:val="none"/>
              </w:rPr>
            </w:pPr>
          </w:p>
        </w:tc>
      </w:tr>
      <w:tr w14:paraId="163AB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1660" w:type="dxa"/>
            <w:noWrap w:val="0"/>
            <w:vAlign w:val="center"/>
          </w:tcPr>
          <w:p w14:paraId="12F8D746">
            <w:pPr>
              <w:jc w:val="center"/>
              <w:rPr>
                <w:sz w:val="24"/>
                <w:highlight w:val="none"/>
              </w:rPr>
            </w:pPr>
            <w:r>
              <w:rPr>
                <w:rFonts w:hint="eastAsia"/>
                <w:sz w:val="24"/>
                <w:highlight w:val="none"/>
              </w:rPr>
              <w:t>职</w:t>
            </w:r>
            <w:r>
              <w:rPr>
                <w:sz w:val="24"/>
                <w:highlight w:val="none"/>
              </w:rPr>
              <w:t xml:space="preserve"> </w:t>
            </w:r>
            <w:r>
              <w:rPr>
                <w:rFonts w:hint="eastAsia"/>
                <w:sz w:val="24"/>
                <w:highlight w:val="none"/>
              </w:rPr>
              <w:t>称</w:t>
            </w:r>
          </w:p>
        </w:tc>
        <w:tc>
          <w:tcPr>
            <w:tcW w:w="1661" w:type="dxa"/>
            <w:noWrap w:val="0"/>
            <w:vAlign w:val="center"/>
          </w:tcPr>
          <w:p w14:paraId="76E3B4E9">
            <w:pPr>
              <w:jc w:val="center"/>
              <w:rPr>
                <w:sz w:val="24"/>
                <w:highlight w:val="none"/>
              </w:rPr>
            </w:pPr>
          </w:p>
        </w:tc>
        <w:tc>
          <w:tcPr>
            <w:tcW w:w="1661" w:type="dxa"/>
            <w:noWrap w:val="0"/>
            <w:vAlign w:val="center"/>
          </w:tcPr>
          <w:p w14:paraId="6FD11773">
            <w:pPr>
              <w:jc w:val="center"/>
              <w:rPr>
                <w:sz w:val="24"/>
                <w:highlight w:val="none"/>
              </w:rPr>
            </w:pPr>
            <w:r>
              <w:rPr>
                <w:rFonts w:hint="eastAsia"/>
                <w:sz w:val="24"/>
                <w:highlight w:val="none"/>
              </w:rPr>
              <w:t>职</w:t>
            </w:r>
            <w:r>
              <w:rPr>
                <w:sz w:val="24"/>
                <w:highlight w:val="none"/>
              </w:rPr>
              <w:t xml:space="preserve"> </w:t>
            </w:r>
            <w:r>
              <w:rPr>
                <w:rFonts w:hint="eastAsia"/>
                <w:sz w:val="24"/>
                <w:highlight w:val="none"/>
              </w:rPr>
              <w:t>务</w:t>
            </w:r>
          </w:p>
        </w:tc>
        <w:tc>
          <w:tcPr>
            <w:tcW w:w="1661" w:type="dxa"/>
            <w:noWrap w:val="0"/>
            <w:vAlign w:val="center"/>
          </w:tcPr>
          <w:p w14:paraId="6E233CFB">
            <w:pPr>
              <w:jc w:val="center"/>
              <w:rPr>
                <w:sz w:val="24"/>
                <w:highlight w:val="none"/>
              </w:rPr>
            </w:pPr>
          </w:p>
        </w:tc>
        <w:tc>
          <w:tcPr>
            <w:tcW w:w="1662" w:type="dxa"/>
            <w:noWrap w:val="0"/>
            <w:vAlign w:val="center"/>
          </w:tcPr>
          <w:p w14:paraId="45FE2A84">
            <w:pPr>
              <w:jc w:val="center"/>
              <w:rPr>
                <w:sz w:val="24"/>
                <w:highlight w:val="none"/>
              </w:rPr>
            </w:pPr>
            <w:r>
              <w:rPr>
                <w:rFonts w:hint="eastAsia"/>
                <w:sz w:val="24"/>
                <w:highlight w:val="none"/>
              </w:rPr>
              <w:t>拟在本合同任职</w:t>
            </w:r>
          </w:p>
        </w:tc>
        <w:tc>
          <w:tcPr>
            <w:tcW w:w="1662" w:type="dxa"/>
            <w:noWrap w:val="0"/>
            <w:vAlign w:val="center"/>
          </w:tcPr>
          <w:p w14:paraId="034496E9">
            <w:pPr>
              <w:jc w:val="center"/>
              <w:rPr>
                <w:sz w:val="24"/>
                <w:highlight w:val="none"/>
              </w:rPr>
            </w:pPr>
          </w:p>
        </w:tc>
      </w:tr>
      <w:tr w14:paraId="4099C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1660" w:type="dxa"/>
            <w:noWrap w:val="0"/>
            <w:vAlign w:val="center"/>
          </w:tcPr>
          <w:p w14:paraId="23CDA5C2">
            <w:pPr>
              <w:jc w:val="center"/>
              <w:rPr>
                <w:sz w:val="24"/>
                <w:highlight w:val="none"/>
              </w:rPr>
            </w:pPr>
            <w:r>
              <w:rPr>
                <w:rFonts w:hint="eastAsia"/>
                <w:sz w:val="24"/>
                <w:highlight w:val="none"/>
              </w:rPr>
              <w:t>毕业学校</w:t>
            </w:r>
          </w:p>
        </w:tc>
        <w:tc>
          <w:tcPr>
            <w:tcW w:w="8307" w:type="dxa"/>
            <w:gridSpan w:val="5"/>
            <w:noWrap w:val="0"/>
            <w:vAlign w:val="center"/>
          </w:tcPr>
          <w:p w14:paraId="1EAD8CB3">
            <w:pPr>
              <w:jc w:val="center"/>
              <w:rPr>
                <w:sz w:val="24"/>
                <w:highlight w:val="none"/>
              </w:rPr>
            </w:pPr>
            <w:r>
              <w:rPr>
                <w:rFonts w:hint="eastAsia"/>
                <w:sz w:val="24"/>
                <w:highlight w:val="none"/>
              </w:rPr>
              <w:t xml:space="preserve">年毕业于         </w:t>
            </w:r>
            <w:r>
              <w:rPr>
                <w:sz w:val="24"/>
                <w:highlight w:val="none"/>
              </w:rPr>
              <w:t xml:space="preserve"> </w:t>
            </w:r>
            <w:r>
              <w:rPr>
                <w:rFonts w:hint="eastAsia"/>
                <w:sz w:val="24"/>
                <w:highlight w:val="none"/>
              </w:rPr>
              <w:t>学校         专业</w:t>
            </w:r>
          </w:p>
        </w:tc>
      </w:tr>
      <w:tr w14:paraId="62336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9967" w:type="dxa"/>
            <w:gridSpan w:val="6"/>
            <w:noWrap w:val="0"/>
            <w:vAlign w:val="center"/>
          </w:tcPr>
          <w:p w14:paraId="13622C98">
            <w:pPr>
              <w:rPr>
                <w:sz w:val="24"/>
                <w:highlight w:val="none"/>
              </w:rPr>
            </w:pPr>
            <w:r>
              <w:rPr>
                <w:rFonts w:hint="eastAsia"/>
                <w:sz w:val="24"/>
                <w:highlight w:val="none"/>
              </w:rPr>
              <w:t>主要工作经历</w:t>
            </w:r>
          </w:p>
        </w:tc>
      </w:tr>
      <w:tr w14:paraId="6942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60" w:type="dxa"/>
            <w:noWrap w:val="0"/>
            <w:vAlign w:val="center"/>
          </w:tcPr>
          <w:p w14:paraId="2032565F">
            <w:pPr>
              <w:jc w:val="center"/>
              <w:rPr>
                <w:sz w:val="24"/>
                <w:highlight w:val="none"/>
              </w:rPr>
            </w:pPr>
            <w:r>
              <w:rPr>
                <w:rFonts w:hint="eastAsia"/>
                <w:sz w:val="24"/>
                <w:highlight w:val="none"/>
              </w:rPr>
              <w:t>时</w:t>
            </w:r>
            <w:r>
              <w:rPr>
                <w:sz w:val="24"/>
                <w:highlight w:val="none"/>
              </w:rPr>
              <w:t xml:space="preserve"> </w:t>
            </w:r>
            <w:r>
              <w:rPr>
                <w:rFonts w:hint="eastAsia"/>
                <w:sz w:val="24"/>
                <w:highlight w:val="none"/>
              </w:rPr>
              <w:t>间</w:t>
            </w:r>
          </w:p>
        </w:tc>
        <w:tc>
          <w:tcPr>
            <w:tcW w:w="4983" w:type="dxa"/>
            <w:gridSpan w:val="3"/>
            <w:noWrap w:val="0"/>
            <w:vAlign w:val="center"/>
          </w:tcPr>
          <w:p w14:paraId="19C6ABA6">
            <w:pPr>
              <w:jc w:val="center"/>
              <w:rPr>
                <w:sz w:val="24"/>
                <w:highlight w:val="none"/>
              </w:rPr>
            </w:pPr>
            <w:r>
              <w:rPr>
                <w:rFonts w:hint="eastAsia"/>
                <w:sz w:val="24"/>
                <w:highlight w:val="none"/>
              </w:rPr>
              <w:t>参加过的类似项目</w:t>
            </w:r>
          </w:p>
        </w:tc>
        <w:tc>
          <w:tcPr>
            <w:tcW w:w="1662" w:type="dxa"/>
            <w:noWrap w:val="0"/>
            <w:vAlign w:val="center"/>
          </w:tcPr>
          <w:p w14:paraId="0A9D4B22">
            <w:pPr>
              <w:jc w:val="center"/>
              <w:rPr>
                <w:sz w:val="24"/>
                <w:highlight w:val="none"/>
              </w:rPr>
            </w:pPr>
            <w:r>
              <w:rPr>
                <w:rFonts w:hint="eastAsia"/>
                <w:sz w:val="24"/>
                <w:highlight w:val="none"/>
              </w:rPr>
              <w:t>担任职务</w:t>
            </w:r>
          </w:p>
        </w:tc>
        <w:tc>
          <w:tcPr>
            <w:tcW w:w="1662" w:type="dxa"/>
            <w:noWrap w:val="0"/>
            <w:vAlign w:val="center"/>
          </w:tcPr>
          <w:p w14:paraId="6015C5D1">
            <w:pPr>
              <w:jc w:val="center"/>
              <w:rPr>
                <w:sz w:val="24"/>
                <w:highlight w:val="none"/>
              </w:rPr>
            </w:pPr>
            <w:r>
              <w:rPr>
                <w:rFonts w:hint="eastAsia"/>
                <w:sz w:val="24"/>
                <w:highlight w:val="none"/>
              </w:rPr>
              <w:t>发包人及联系电话</w:t>
            </w:r>
          </w:p>
        </w:tc>
      </w:tr>
      <w:tr w14:paraId="08A45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7C7E28A2">
            <w:pPr>
              <w:jc w:val="center"/>
              <w:rPr>
                <w:sz w:val="24"/>
                <w:highlight w:val="none"/>
              </w:rPr>
            </w:pPr>
          </w:p>
        </w:tc>
        <w:tc>
          <w:tcPr>
            <w:tcW w:w="4983" w:type="dxa"/>
            <w:gridSpan w:val="3"/>
            <w:noWrap w:val="0"/>
            <w:vAlign w:val="center"/>
          </w:tcPr>
          <w:p w14:paraId="60B9A6FA">
            <w:pPr>
              <w:jc w:val="center"/>
              <w:rPr>
                <w:sz w:val="24"/>
                <w:highlight w:val="none"/>
              </w:rPr>
            </w:pPr>
          </w:p>
        </w:tc>
        <w:tc>
          <w:tcPr>
            <w:tcW w:w="1662" w:type="dxa"/>
            <w:noWrap w:val="0"/>
            <w:vAlign w:val="center"/>
          </w:tcPr>
          <w:p w14:paraId="48E93E08">
            <w:pPr>
              <w:jc w:val="center"/>
              <w:rPr>
                <w:sz w:val="24"/>
                <w:highlight w:val="none"/>
              </w:rPr>
            </w:pPr>
          </w:p>
        </w:tc>
        <w:tc>
          <w:tcPr>
            <w:tcW w:w="1662" w:type="dxa"/>
            <w:noWrap w:val="0"/>
            <w:vAlign w:val="center"/>
          </w:tcPr>
          <w:p w14:paraId="48C53967">
            <w:pPr>
              <w:jc w:val="center"/>
              <w:rPr>
                <w:sz w:val="24"/>
                <w:highlight w:val="none"/>
              </w:rPr>
            </w:pPr>
          </w:p>
        </w:tc>
      </w:tr>
      <w:tr w14:paraId="09E1F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6823DD02">
            <w:pPr>
              <w:jc w:val="center"/>
              <w:rPr>
                <w:sz w:val="24"/>
                <w:highlight w:val="none"/>
              </w:rPr>
            </w:pPr>
          </w:p>
        </w:tc>
        <w:tc>
          <w:tcPr>
            <w:tcW w:w="4983" w:type="dxa"/>
            <w:gridSpan w:val="3"/>
            <w:noWrap w:val="0"/>
            <w:vAlign w:val="center"/>
          </w:tcPr>
          <w:p w14:paraId="0DCDD63E">
            <w:pPr>
              <w:jc w:val="center"/>
              <w:rPr>
                <w:sz w:val="24"/>
                <w:highlight w:val="none"/>
              </w:rPr>
            </w:pPr>
          </w:p>
        </w:tc>
        <w:tc>
          <w:tcPr>
            <w:tcW w:w="1662" w:type="dxa"/>
            <w:noWrap w:val="0"/>
            <w:vAlign w:val="center"/>
          </w:tcPr>
          <w:p w14:paraId="17461AB7">
            <w:pPr>
              <w:jc w:val="center"/>
              <w:rPr>
                <w:sz w:val="24"/>
                <w:highlight w:val="none"/>
              </w:rPr>
            </w:pPr>
          </w:p>
        </w:tc>
        <w:tc>
          <w:tcPr>
            <w:tcW w:w="1662" w:type="dxa"/>
            <w:noWrap w:val="0"/>
            <w:vAlign w:val="center"/>
          </w:tcPr>
          <w:p w14:paraId="5DE4CF08">
            <w:pPr>
              <w:jc w:val="center"/>
              <w:rPr>
                <w:sz w:val="24"/>
                <w:highlight w:val="none"/>
              </w:rPr>
            </w:pPr>
          </w:p>
        </w:tc>
      </w:tr>
      <w:tr w14:paraId="10AEF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581C2E71">
            <w:pPr>
              <w:jc w:val="center"/>
              <w:rPr>
                <w:sz w:val="24"/>
                <w:highlight w:val="none"/>
              </w:rPr>
            </w:pPr>
          </w:p>
        </w:tc>
        <w:tc>
          <w:tcPr>
            <w:tcW w:w="4983" w:type="dxa"/>
            <w:gridSpan w:val="3"/>
            <w:noWrap w:val="0"/>
            <w:vAlign w:val="center"/>
          </w:tcPr>
          <w:p w14:paraId="5C2A7C70">
            <w:pPr>
              <w:jc w:val="center"/>
              <w:rPr>
                <w:sz w:val="24"/>
                <w:highlight w:val="none"/>
              </w:rPr>
            </w:pPr>
          </w:p>
        </w:tc>
        <w:tc>
          <w:tcPr>
            <w:tcW w:w="1662" w:type="dxa"/>
            <w:noWrap w:val="0"/>
            <w:vAlign w:val="center"/>
          </w:tcPr>
          <w:p w14:paraId="04BBF94C">
            <w:pPr>
              <w:jc w:val="center"/>
              <w:rPr>
                <w:sz w:val="24"/>
                <w:highlight w:val="none"/>
              </w:rPr>
            </w:pPr>
          </w:p>
        </w:tc>
        <w:tc>
          <w:tcPr>
            <w:tcW w:w="1662" w:type="dxa"/>
            <w:noWrap w:val="0"/>
            <w:vAlign w:val="center"/>
          </w:tcPr>
          <w:p w14:paraId="5808739D">
            <w:pPr>
              <w:jc w:val="center"/>
              <w:rPr>
                <w:sz w:val="24"/>
                <w:highlight w:val="none"/>
              </w:rPr>
            </w:pPr>
          </w:p>
        </w:tc>
      </w:tr>
      <w:tr w14:paraId="47AB0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660" w:type="dxa"/>
            <w:noWrap w:val="0"/>
            <w:vAlign w:val="center"/>
          </w:tcPr>
          <w:p w14:paraId="011E2BAC">
            <w:pPr>
              <w:jc w:val="center"/>
              <w:rPr>
                <w:sz w:val="24"/>
                <w:highlight w:val="none"/>
              </w:rPr>
            </w:pPr>
          </w:p>
        </w:tc>
        <w:tc>
          <w:tcPr>
            <w:tcW w:w="4983" w:type="dxa"/>
            <w:gridSpan w:val="3"/>
            <w:noWrap w:val="0"/>
            <w:vAlign w:val="center"/>
          </w:tcPr>
          <w:p w14:paraId="62F6ED20">
            <w:pPr>
              <w:jc w:val="center"/>
              <w:rPr>
                <w:sz w:val="24"/>
                <w:highlight w:val="none"/>
              </w:rPr>
            </w:pPr>
          </w:p>
        </w:tc>
        <w:tc>
          <w:tcPr>
            <w:tcW w:w="1662" w:type="dxa"/>
            <w:noWrap w:val="0"/>
            <w:vAlign w:val="center"/>
          </w:tcPr>
          <w:p w14:paraId="3B09718F">
            <w:pPr>
              <w:jc w:val="center"/>
              <w:rPr>
                <w:sz w:val="24"/>
                <w:highlight w:val="none"/>
              </w:rPr>
            </w:pPr>
          </w:p>
        </w:tc>
        <w:tc>
          <w:tcPr>
            <w:tcW w:w="1662" w:type="dxa"/>
            <w:noWrap w:val="0"/>
            <w:vAlign w:val="center"/>
          </w:tcPr>
          <w:p w14:paraId="285A82CE">
            <w:pPr>
              <w:jc w:val="center"/>
              <w:rPr>
                <w:sz w:val="24"/>
                <w:highlight w:val="none"/>
              </w:rPr>
            </w:pPr>
          </w:p>
        </w:tc>
      </w:tr>
      <w:tr w14:paraId="76C74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1BC248AE">
            <w:pPr>
              <w:jc w:val="center"/>
              <w:rPr>
                <w:sz w:val="24"/>
                <w:highlight w:val="none"/>
              </w:rPr>
            </w:pPr>
          </w:p>
        </w:tc>
        <w:tc>
          <w:tcPr>
            <w:tcW w:w="4983" w:type="dxa"/>
            <w:gridSpan w:val="3"/>
            <w:noWrap w:val="0"/>
            <w:vAlign w:val="center"/>
          </w:tcPr>
          <w:p w14:paraId="14ED9446">
            <w:pPr>
              <w:jc w:val="center"/>
              <w:rPr>
                <w:sz w:val="24"/>
                <w:highlight w:val="none"/>
              </w:rPr>
            </w:pPr>
          </w:p>
        </w:tc>
        <w:tc>
          <w:tcPr>
            <w:tcW w:w="1662" w:type="dxa"/>
            <w:noWrap w:val="0"/>
            <w:vAlign w:val="center"/>
          </w:tcPr>
          <w:p w14:paraId="742C4C21">
            <w:pPr>
              <w:jc w:val="center"/>
              <w:rPr>
                <w:sz w:val="24"/>
                <w:highlight w:val="none"/>
              </w:rPr>
            </w:pPr>
          </w:p>
        </w:tc>
        <w:tc>
          <w:tcPr>
            <w:tcW w:w="1662" w:type="dxa"/>
            <w:noWrap w:val="0"/>
            <w:vAlign w:val="center"/>
          </w:tcPr>
          <w:p w14:paraId="2E3815F2">
            <w:pPr>
              <w:jc w:val="center"/>
              <w:rPr>
                <w:sz w:val="24"/>
                <w:highlight w:val="none"/>
              </w:rPr>
            </w:pPr>
          </w:p>
        </w:tc>
      </w:tr>
      <w:tr w14:paraId="7D69B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7BA74C16">
            <w:pPr>
              <w:jc w:val="center"/>
              <w:rPr>
                <w:sz w:val="24"/>
                <w:highlight w:val="none"/>
              </w:rPr>
            </w:pPr>
          </w:p>
        </w:tc>
        <w:tc>
          <w:tcPr>
            <w:tcW w:w="4983" w:type="dxa"/>
            <w:gridSpan w:val="3"/>
            <w:noWrap w:val="0"/>
            <w:vAlign w:val="center"/>
          </w:tcPr>
          <w:p w14:paraId="53B32C4F">
            <w:pPr>
              <w:jc w:val="center"/>
              <w:rPr>
                <w:sz w:val="24"/>
                <w:highlight w:val="none"/>
              </w:rPr>
            </w:pPr>
          </w:p>
        </w:tc>
        <w:tc>
          <w:tcPr>
            <w:tcW w:w="1662" w:type="dxa"/>
            <w:noWrap w:val="0"/>
            <w:vAlign w:val="center"/>
          </w:tcPr>
          <w:p w14:paraId="033D87BA">
            <w:pPr>
              <w:jc w:val="center"/>
              <w:rPr>
                <w:sz w:val="24"/>
                <w:highlight w:val="none"/>
              </w:rPr>
            </w:pPr>
          </w:p>
        </w:tc>
        <w:tc>
          <w:tcPr>
            <w:tcW w:w="1662" w:type="dxa"/>
            <w:noWrap w:val="0"/>
            <w:vAlign w:val="center"/>
          </w:tcPr>
          <w:p w14:paraId="7C28A85D">
            <w:pPr>
              <w:jc w:val="center"/>
              <w:rPr>
                <w:sz w:val="24"/>
                <w:highlight w:val="none"/>
              </w:rPr>
            </w:pPr>
          </w:p>
        </w:tc>
      </w:tr>
      <w:tr w14:paraId="67CA4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1B0FFECD">
            <w:pPr>
              <w:jc w:val="center"/>
              <w:rPr>
                <w:sz w:val="24"/>
                <w:highlight w:val="none"/>
              </w:rPr>
            </w:pPr>
          </w:p>
        </w:tc>
        <w:tc>
          <w:tcPr>
            <w:tcW w:w="4983" w:type="dxa"/>
            <w:gridSpan w:val="3"/>
            <w:noWrap w:val="0"/>
            <w:vAlign w:val="center"/>
          </w:tcPr>
          <w:p w14:paraId="51FDCD60">
            <w:pPr>
              <w:jc w:val="center"/>
              <w:rPr>
                <w:sz w:val="24"/>
                <w:highlight w:val="none"/>
              </w:rPr>
            </w:pPr>
          </w:p>
        </w:tc>
        <w:tc>
          <w:tcPr>
            <w:tcW w:w="1662" w:type="dxa"/>
            <w:noWrap w:val="0"/>
            <w:vAlign w:val="center"/>
          </w:tcPr>
          <w:p w14:paraId="3B4794D8">
            <w:pPr>
              <w:jc w:val="center"/>
              <w:rPr>
                <w:sz w:val="24"/>
                <w:highlight w:val="none"/>
              </w:rPr>
            </w:pPr>
          </w:p>
        </w:tc>
        <w:tc>
          <w:tcPr>
            <w:tcW w:w="1662" w:type="dxa"/>
            <w:noWrap w:val="0"/>
            <w:vAlign w:val="center"/>
          </w:tcPr>
          <w:p w14:paraId="0CDF1774">
            <w:pPr>
              <w:jc w:val="center"/>
              <w:rPr>
                <w:sz w:val="24"/>
                <w:highlight w:val="none"/>
              </w:rPr>
            </w:pPr>
          </w:p>
        </w:tc>
      </w:tr>
      <w:tr w14:paraId="57624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798600CB">
            <w:pPr>
              <w:jc w:val="center"/>
              <w:rPr>
                <w:sz w:val="24"/>
                <w:highlight w:val="none"/>
              </w:rPr>
            </w:pPr>
          </w:p>
        </w:tc>
        <w:tc>
          <w:tcPr>
            <w:tcW w:w="4983" w:type="dxa"/>
            <w:gridSpan w:val="3"/>
            <w:noWrap w:val="0"/>
            <w:vAlign w:val="center"/>
          </w:tcPr>
          <w:p w14:paraId="2F218608">
            <w:pPr>
              <w:jc w:val="center"/>
              <w:rPr>
                <w:sz w:val="24"/>
                <w:highlight w:val="none"/>
              </w:rPr>
            </w:pPr>
          </w:p>
        </w:tc>
        <w:tc>
          <w:tcPr>
            <w:tcW w:w="1662" w:type="dxa"/>
            <w:noWrap w:val="0"/>
            <w:vAlign w:val="center"/>
          </w:tcPr>
          <w:p w14:paraId="66A7F22B">
            <w:pPr>
              <w:jc w:val="center"/>
              <w:rPr>
                <w:sz w:val="24"/>
                <w:highlight w:val="none"/>
              </w:rPr>
            </w:pPr>
          </w:p>
        </w:tc>
        <w:tc>
          <w:tcPr>
            <w:tcW w:w="1662" w:type="dxa"/>
            <w:noWrap w:val="0"/>
            <w:vAlign w:val="center"/>
          </w:tcPr>
          <w:p w14:paraId="49B07FE5">
            <w:pPr>
              <w:jc w:val="center"/>
              <w:rPr>
                <w:sz w:val="24"/>
                <w:highlight w:val="none"/>
              </w:rPr>
            </w:pPr>
          </w:p>
        </w:tc>
      </w:tr>
      <w:tr w14:paraId="01B87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02042262">
            <w:pPr>
              <w:jc w:val="center"/>
              <w:rPr>
                <w:sz w:val="24"/>
                <w:highlight w:val="none"/>
              </w:rPr>
            </w:pPr>
          </w:p>
        </w:tc>
        <w:tc>
          <w:tcPr>
            <w:tcW w:w="4983" w:type="dxa"/>
            <w:gridSpan w:val="3"/>
            <w:noWrap w:val="0"/>
            <w:vAlign w:val="center"/>
          </w:tcPr>
          <w:p w14:paraId="5E0C7D2E">
            <w:pPr>
              <w:jc w:val="center"/>
              <w:rPr>
                <w:sz w:val="24"/>
                <w:highlight w:val="none"/>
              </w:rPr>
            </w:pPr>
          </w:p>
        </w:tc>
        <w:tc>
          <w:tcPr>
            <w:tcW w:w="1662" w:type="dxa"/>
            <w:noWrap w:val="0"/>
            <w:vAlign w:val="center"/>
          </w:tcPr>
          <w:p w14:paraId="1389FB07">
            <w:pPr>
              <w:jc w:val="center"/>
              <w:rPr>
                <w:sz w:val="24"/>
                <w:highlight w:val="none"/>
              </w:rPr>
            </w:pPr>
          </w:p>
        </w:tc>
        <w:tc>
          <w:tcPr>
            <w:tcW w:w="1662" w:type="dxa"/>
            <w:noWrap w:val="0"/>
            <w:vAlign w:val="center"/>
          </w:tcPr>
          <w:p w14:paraId="34816961">
            <w:pPr>
              <w:jc w:val="center"/>
              <w:rPr>
                <w:sz w:val="24"/>
                <w:highlight w:val="none"/>
              </w:rPr>
            </w:pPr>
          </w:p>
        </w:tc>
      </w:tr>
      <w:tr w14:paraId="31C27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533009BB">
            <w:pPr>
              <w:jc w:val="center"/>
              <w:rPr>
                <w:sz w:val="24"/>
                <w:highlight w:val="none"/>
              </w:rPr>
            </w:pPr>
          </w:p>
        </w:tc>
        <w:tc>
          <w:tcPr>
            <w:tcW w:w="4983" w:type="dxa"/>
            <w:gridSpan w:val="3"/>
            <w:noWrap w:val="0"/>
            <w:vAlign w:val="center"/>
          </w:tcPr>
          <w:p w14:paraId="397FF3A8">
            <w:pPr>
              <w:jc w:val="center"/>
              <w:rPr>
                <w:sz w:val="24"/>
                <w:highlight w:val="none"/>
              </w:rPr>
            </w:pPr>
          </w:p>
        </w:tc>
        <w:tc>
          <w:tcPr>
            <w:tcW w:w="1662" w:type="dxa"/>
            <w:noWrap w:val="0"/>
            <w:vAlign w:val="center"/>
          </w:tcPr>
          <w:p w14:paraId="4701EF1E">
            <w:pPr>
              <w:jc w:val="center"/>
              <w:rPr>
                <w:sz w:val="24"/>
                <w:highlight w:val="none"/>
              </w:rPr>
            </w:pPr>
          </w:p>
        </w:tc>
        <w:tc>
          <w:tcPr>
            <w:tcW w:w="1662" w:type="dxa"/>
            <w:noWrap w:val="0"/>
            <w:vAlign w:val="center"/>
          </w:tcPr>
          <w:p w14:paraId="390C7155">
            <w:pPr>
              <w:jc w:val="center"/>
              <w:rPr>
                <w:sz w:val="24"/>
                <w:highlight w:val="none"/>
              </w:rPr>
            </w:pPr>
          </w:p>
        </w:tc>
      </w:tr>
    </w:tbl>
    <w:p w14:paraId="00D156D2">
      <w:pPr>
        <w:spacing w:line="360" w:lineRule="auto"/>
        <w:ind w:left="720" w:hanging="720"/>
        <w:rPr>
          <w:rFonts w:ascii="宋体"/>
          <w:sz w:val="24"/>
          <w:highlight w:val="none"/>
        </w:rPr>
      </w:pPr>
      <w:r>
        <w:rPr>
          <w:rFonts w:ascii="宋体" w:hAnsi="宋体"/>
          <w:sz w:val="24"/>
          <w:highlight w:val="none"/>
        </w:rPr>
        <w:t>注：</w:t>
      </w:r>
      <w:r>
        <w:rPr>
          <w:rFonts w:hint="eastAsia" w:ascii="宋体" w:hAnsi="宋体"/>
          <w:sz w:val="24"/>
          <w:highlight w:val="none"/>
        </w:rPr>
        <w:t>本表后附项目组成员身份证、上岗证、职称证等证书</w:t>
      </w:r>
      <w:r>
        <w:rPr>
          <w:rFonts w:hint="eastAsia" w:ascii="宋体" w:hAnsi="宋体"/>
          <w:sz w:val="24"/>
          <w:highlight w:val="none"/>
          <w:lang w:val="en-US" w:eastAsia="zh-CN"/>
        </w:rPr>
        <w:t>原件扫描件</w:t>
      </w:r>
      <w:r>
        <w:rPr>
          <w:rFonts w:hint="eastAsia" w:ascii="宋体" w:hAnsi="宋体"/>
          <w:sz w:val="24"/>
          <w:highlight w:val="none"/>
        </w:rPr>
        <w:t>。</w:t>
      </w:r>
    </w:p>
    <w:p w14:paraId="61D2CD3D">
      <w:pPr>
        <w:spacing w:line="360" w:lineRule="auto"/>
        <w:rPr>
          <w:rFonts w:hint="eastAsia" w:ascii="宋体" w:hAnsi="宋体"/>
          <w:sz w:val="24"/>
          <w:highlight w:val="none"/>
        </w:rPr>
      </w:pPr>
    </w:p>
    <w:p w14:paraId="19AEAB9F">
      <w:pPr>
        <w:spacing w:line="360" w:lineRule="auto"/>
        <w:rPr>
          <w:rFonts w:ascii="宋体" w:hAnsi="宋体"/>
          <w:sz w:val="24"/>
          <w:highlight w:val="none"/>
        </w:rPr>
      </w:pPr>
      <w:r>
        <w:rPr>
          <w:rFonts w:hint="eastAsia" w:ascii="宋体" w:hAnsi="宋体"/>
          <w:sz w:val="24"/>
          <w:highlight w:val="none"/>
        </w:rPr>
        <w:t xml:space="preserve">法定代表人或者授权代表（签字或盖章）：                    </w:t>
      </w:r>
    </w:p>
    <w:p w14:paraId="6A6F5796">
      <w:pPr>
        <w:spacing w:line="360" w:lineRule="auto"/>
        <w:rPr>
          <w:rFonts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1F81E140">
      <w:pPr>
        <w:spacing w:line="360" w:lineRule="auto"/>
        <w:rPr>
          <w:rFonts w:hint="eastAsia" w:ascii="宋体" w:hAnsi="宋体"/>
          <w:sz w:val="24"/>
          <w:highlight w:val="none"/>
        </w:rPr>
      </w:pPr>
      <w:r>
        <w:rPr>
          <w:rFonts w:hint="eastAsia" w:ascii="宋体" w:hAnsi="宋体"/>
          <w:sz w:val="24"/>
          <w:highlight w:val="none"/>
        </w:rPr>
        <w:t>日期：    年   月    日</w:t>
      </w:r>
    </w:p>
    <w:p w14:paraId="0A7A80EF">
      <w:pPr>
        <w:pStyle w:val="197"/>
        <w:rPr>
          <w:rFonts w:hint="eastAsia" w:ascii="宋体" w:hAnsi="宋体"/>
          <w:sz w:val="24"/>
          <w:highlight w:val="none"/>
        </w:rPr>
      </w:pPr>
    </w:p>
    <w:p w14:paraId="50A18BC9">
      <w:pPr>
        <w:pStyle w:val="197"/>
        <w:rPr>
          <w:rFonts w:hint="eastAsia"/>
          <w:highlight w:val="none"/>
        </w:rPr>
      </w:pPr>
    </w:p>
    <w:p w14:paraId="1602A71E">
      <w:pPr>
        <w:spacing w:line="360" w:lineRule="auto"/>
        <w:ind w:firstLine="480"/>
        <w:rPr>
          <w:rFonts w:hint="eastAsia" w:ascii="宋体" w:hAnsi="宋体"/>
          <w:bCs/>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bCs/>
          <w:sz w:val="24"/>
          <w:highlight w:val="none"/>
        </w:rPr>
        <w:t>中小企业声明函或监狱企业证明文件、或残疾人福利性单位声明函；[监狱企业在响应文件中提供由省级以上监狱管理局、戒毒管理局（含新疆生产建设兵团）出具的属于监狱企业的证明文件（如有）</w:t>
      </w:r>
    </w:p>
    <w:p w14:paraId="626D712C">
      <w:pPr>
        <w:spacing w:before="156" w:line="360" w:lineRule="auto"/>
        <w:ind w:firstLine="420"/>
        <w:rPr>
          <w:b/>
          <w:bCs/>
          <w:sz w:val="24"/>
          <w:highlight w:val="none"/>
        </w:rPr>
      </w:pPr>
      <w:r>
        <w:rPr>
          <w:rFonts w:hint="eastAsia"/>
          <w:b/>
          <w:bCs/>
          <w:sz w:val="24"/>
          <w:highlight w:val="none"/>
          <w:lang w:val="zh-CN"/>
        </w:rPr>
        <w:t>企业声明函格式</w:t>
      </w:r>
      <w:r>
        <w:rPr>
          <w:b/>
          <w:bCs/>
          <w:spacing w:val="20"/>
          <w:sz w:val="24"/>
          <w:highlight w:val="none"/>
          <w:u w:val="single"/>
        </w:rPr>
        <w:t>（请务必谨慎如实填报，如享受相关评审政策，需在报价函中详细清单中一一对应，否则不予认可。）</w:t>
      </w:r>
    </w:p>
    <w:p w14:paraId="715DEE62">
      <w:pPr>
        <w:spacing w:line="360" w:lineRule="auto"/>
        <w:jc w:val="center"/>
        <w:rPr>
          <w:b/>
          <w:bCs/>
          <w:sz w:val="24"/>
          <w:highlight w:val="none"/>
        </w:rPr>
      </w:pPr>
      <w:r>
        <w:rPr>
          <w:b/>
          <w:bCs/>
          <w:sz w:val="24"/>
          <w:highlight w:val="none"/>
        </w:rPr>
        <w:t>中小企业声明函</w:t>
      </w:r>
      <w:r>
        <w:rPr>
          <w:rFonts w:hint="eastAsia"/>
          <w:b/>
          <w:bCs/>
          <w:sz w:val="24"/>
          <w:highlight w:val="none"/>
        </w:rPr>
        <w:t>（工程）</w:t>
      </w:r>
    </w:p>
    <w:p w14:paraId="504CE1AD">
      <w:pPr>
        <w:spacing w:line="500" w:lineRule="exact"/>
        <w:ind w:firstLine="484"/>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采购活动，工程的施工单位全部为符合政策要求的中小企业。相关企业（含联合体中的中小企业、签订分包意向协议的中小企业）的具体情况如下：</w:t>
      </w:r>
    </w:p>
    <w:p w14:paraId="3397C336">
      <w:pPr>
        <w:spacing w:line="500" w:lineRule="exact"/>
        <w:ind w:firstLine="484"/>
        <w:rPr>
          <w:rFonts w:ascii="宋体" w:hAnsi="宋体" w:cs="宋体"/>
          <w:sz w:val="24"/>
          <w:highlight w:val="none"/>
        </w:rPr>
      </w:pPr>
      <w:r>
        <w:rPr>
          <w:rFonts w:hint="eastAsia" w:ascii="宋体" w:hAnsi="宋体" w:cs="宋体"/>
          <w:sz w:val="24"/>
          <w:highlight w:val="none"/>
        </w:rPr>
        <w:t xml:space="preserve">1. </w:t>
      </w:r>
      <w:r>
        <w:rPr>
          <w:rFonts w:hint="eastAsia" w:ascii="宋体" w:hAnsi="宋体" w:cs="宋体"/>
          <w:sz w:val="24"/>
          <w:highlight w:val="none"/>
          <w:u w:val="single"/>
        </w:rPr>
        <w:t xml:space="preserve">（标的名称） </w:t>
      </w:r>
      <w:r>
        <w:rPr>
          <w:rFonts w:hint="eastAsia" w:ascii="宋体" w:hAnsi="宋体" w:cs="宋体"/>
          <w:sz w:val="24"/>
          <w:highlight w:val="none"/>
        </w:rPr>
        <w:t>，属于</w:t>
      </w:r>
      <w:r>
        <w:rPr>
          <w:rFonts w:hint="eastAsia" w:ascii="宋体" w:hAnsi="宋体" w:cs="宋体"/>
          <w:sz w:val="24"/>
          <w:highlight w:val="none"/>
          <w:u w:val="single"/>
        </w:rPr>
        <w:t>（采购文件中明确的所属行业）行业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54DCF371">
      <w:pPr>
        <w:spacing w:line="500" w:lineRule="exact"/>
        <w:ind w:firstLine="484"/>
        <w:rPr>
          <w:rFonts w:ascii="宋体" w:hAnsi="宋体" w:cs="宋体"/>
          <w:sz w:val="24"/>
          <w:highlight w:val="none"/>
        </w:rPr>
      </w:pPr>
      <w:r>
        <w:rPr>
          <w:rFonts w:hint="eastAsia" w:ascii="宋体" w:hAnsi="宋体" w:cs="宋体"/>
          <w:sz w:val="24"/>
          <w:highlight w:val="none"/>
        </w:rPr>
        <w:t xml:space="preserve">2. </w:t>
      </w:r>
      <w:r>
        <w:rPr>
          <w:rFonts w:hint="eastAsia" w:ascii="宋体" w:hAnsi="宋体" w:cs="宋体"/>
          <w:sz w:val="24"/>
          <w:highlight w:val="none"/>
          <w:u w:val="single"/>
        </w:rPr>
        <w:t xml:space="preserve">（标的名称） </w:t>
      </w:r>
      <w:r>
        <w:rPr>
          <w:rFonts w:hint="eastAsia" w:ascii="宋体" w:hAnsi="宋体" w:cs="宋体"/>
          <w:sz w:val="24"/>
          <w:highlight w:val="none"/>
        </w:rPr>
        <w:t>，属于</w:t>
      </w:r>
      <w:r>
        <w:rPr>
          <w:rFonts w:hint="eastAsia" w:ascii="宋体" w:hAnsi="宋体" w:cs="宋体"/>
          <w:sz w:val="24"/>
          <w:highlight w:val="none"/>
          <w:u w:val="single"/>
        </w:rPr>
        <w:t>（采购文件中明确的所属行业）行业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4FD12269">
      <w:pPr>
        <w:spacing w:line="500" w:lineRule="exact"/>
        <w:ind w:firstLine="484"/>
        <w:rPr>
          <w:rFonts w:ascii="宋体" w:hAnsi="宋体" w:cs="宋体"/>
          <w:sz w:val="24"/>
          <w:highlight w:val="none"/>
        </w:rPr>
      </w:pPr>
      <w:r>
        <w:rPr>
          <w:rFonts w:hint="eastAsia" w:ascii="宋体" w:hAnsi="宋体" w:cs="宋体"/>
          <w:sz w:val="24"/>
          <w:highlight w:val="none"/>
        </w:rPr>
        <w:t>……</w:t>
      </w:r>
    </w:p>
    <w:p w14:paraId="194B620B">
      <w:pPr>
        <w:spacing w:line="500" w:lineRule="exact"/>
        <w:ind w:firstLine="484"/>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A0E116A">
      <w:pPr>
        <w:spacing w:line="500" w:lineRule="exact"/>
        <w:ind w:firstLine="484"/>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F77443B">
      <w:pPr>
        <w:spacing w:line="500" w:lineRule="exact"/>
        <w:ind w:firstLine="4252"/>
        <w:rPr>
          <w:rFonts w:ascii="宋体" w:hAnsi="宋体" w:cs="宋体"/>
          <w:sz w:val="24"/>
          <w:highlight w:val="none"/>
        </w:rPr>
      </w:pPr>
      <w:r>
        <w:rPr>
          <w:rFonts w:hint="eastAsia" w:ascii="宋体" w:hAnsi="宋体" w:cs="宋体"/>
          <w:sz w:val="24"/>
          <w:highlight w:val="none"/>
        </w:rPr>
        <w:t>企业名称（盖章）：</w:t>
      </w:r>
    </w:p>
    <w:p w14:paraId="5825BFC8">
      <w:pPr>
        <w:spacing w:line="500" w:lineRule="exact"/>
        <w:ind w:firstLine="4252"/>
        <w:rPr>
          <w:rFonts w:ascii="仿宋" w:hAnsi="仿宋" w:eastAsia="仿宋" w:cs="TimesNewRomanPSMT"/>
          <w:sz w:val="22"/>
          <w:szCs w:val="28"/>
          <w:highlight w:val="none"/>
        </w:rPr>
      </w:pPr>
      <w:r>
        <w:rPr>
          <w:rFonts w:hint="eastAsia" w:ascii="宋体" w:hAnsi="宋体" w:cs="宋体"/>
          <w:sz w:val="24"/>
          <w:highlight w:val="none"/>
        </w:rPr>
        <w:t>日期：</w:t>
      </w:r>
    </w:p>
    <w:p w14:paraId="5F83DC8B">
      <w:pPr>
        <w:spacing w:line="520" w:lineRule="exact"/>
        <w:ind w:firstLine="482"/>
        <w:rPr>
          <w:rFonts w:ascii="宋体" w:hAnsi="宋体"/>
          <w:b/>
          <w:sz w:val="24"/>
          <w:highlight w:val="none"/>
        </w:rPr>
      </w:pPr>
      <w:r>
        <w:rPr>
          <w:rFonts w:ascii="宋体" w:hAnsi="宋体"/>
          <w:b/>
          <w:sz w:val="24"/>
          <w:highlight w:val="none"/>
        </w:rPr>
        <w:t>备注：小型、微型企业提供中型企业的服务的，视同为中型企业。若供应商提供的《中小企业声明函》为虚假声明则视同提供虚假材料，按《政府采购法》相关规定处理并报请政府监督部门给予行政处罚。</w:t>
      </w:r>
    </w:p>
    <w:p w14:paraId="5CBBA30B">
      <w:pPr>
        <w:spacing w:line="520" w:lineRule="exact"/>
        <w:ind w:firstLine="482"/>
        <w:rPr>
          <w:b/>
          <w:bCs/>
          <w:sz w:val="24"/>
          <w:highlight w:val="none"/>
        </w:rPr>
      </w:pPr>
      <w:r>
        <w:rPr>
          <w:rFonts w:ascii="宋体" w:hAnsi="宋体"/>
          <w:b/>
          <w:sz w:val="24"/>
          <w:highlight w:val="none"/>
        </w:rPr>
        <w:t>从业人员、营业收入、资产总额填报上一年度数据，无上一年度数据的新成立企业可不填报。</w:t>
      </w:r>
    </w:p>
    <w:p w14:paraId="0BC3D3CF">
      <w:pPr>
        <w:spacing w:line="360" w:lineRule="auto"/>
        <w:rPr>
          <w:b/>
          <w:bCs/>
          <w:sz w:val="24"/>
          <w:highlight w:val="none"/>
        </w:rPr>
      </w:pPr>
    </w:p>
    <w:p w14:paraId="585C2E2D">
      <w:pPr>
        <w:rPr>
          <w:b/>
          <w:bCs/>
          <w:sz w:val="24"/>
          <w:highlight w:val="none"/>
        </w:rPr>
      </w:pPr>
      <w:r>
        <w:rPr>
          <w:b/>
          <w:bCs/>
          <w:sz w:val="24"/>
          <w:highlight w:val="none"/>
        </w:rPr>
        <w:br w:type="page"/>
      </w:r>
    </w:p>
    <w:p w14:paraId="5F87095C">
      <w:pPr>
        <w:spacing w:line="360" w:lineRule="auto"/>
        <w:jc w:val="center"/>
        <w:rPr>
          <w:b/>
          <w:bCs/>
          <w:sz w:val="24"/>
          <w:highlight w:val="none"/>
        </w:rPr>
      </w:pPr>
      <w:r>
        <w:rPr>
          <w:b/>
          <w:bCs/>
          <w:sz w:val="24"/>
          <w:highlight w:val="none"/>
        </w:rPr>
        <w:t>残疾人福利性单位声明函</w:t>
      </w:r>
    </w:p>
    <w:p w14:paraId="7481B1DE">
      <w:pPr>
        <w:spacing w:line="360" w:lineRule="auto"/>
        <w:jc w:val="center"/>
        <w:rPr>
          <w:b/>
          <w:bCs/>
          <w:sz w:val="24"/>
          <w:highlight w:val="none"/>
        </w:rPr>
      </w:pPr>
    </w:p>
    <w:p w14:paraId="4AD07911">
      <w:pPr>
        <w:widowControl/>
        <w:spacing w:line="360" w:lineRule="auto"/>
        <w:ind w:firstLine="480"/>
        <w:jc w:val="left"/>
        <w:rPr>
          <w:sz w:val="24"/>
          <w:highlight w:val="none"/>
        </w:rPr>
      </w:pPr>
      <w:r>
        <w:rPr>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513A67">
      <w:pPr>
        <w:widowControl/>
        <w:spacing w:line="360" w:lineRule="auto"/>
        <w:ind w:firstLine="480"/>
        <w:jc w:val="left"/>
        <w:rPr>
          <w:sz w:val="24"/>
          <w:highlight w:val="none"/>
        </w:rPr>
      </w:pPr>
      <w:r>
        <w:rPr>
          <w:sz w:val="24"/>
          <w:highlight w:val="none"/>
        </w:rPr>
        <w:t>本单位对上述声明的真实性负责。如有虚假，将依法承担相应责任。</w:t>
      </w:r>
    </w:p>
    <w:p w14:paraId="2D42464B">
      <w:pPr>
        <w:widowControl/>
        <w:spacing w:line="360" w:lineRule="auto"/>
        <w:ind w:firstLine="5760"/>
        <w:jc w:val="left"/>
        <w:rPr>
          <w:sz w:val="24"/>
          <w:highlight w:val="none"/>
        </w:rPr>
      </w:pPr>
      <w:r>
        <w:rPr>
          <w:sz w:val="24"/>
          <w:highlight w:val="none"/>
        </w:rPr>
        <w:t>单位名称（盖章）：</w:t>
      </w:r>
    </w:p>
    <w:p w14:paraId="65DEC74A">
      <w:pPr>
        <w:widowControl/>
        <w:spacing w:line="360" w:lineRule="auto"/>
        <w:ind w:firstLine="5760"/>
        <w:jc w:val="left"/>
        <w:rPr>
          <w:sz w:val="24"/>
          <w:highlight w:val="none"/>
        </w:rPr>
      </w:pPr>
      <w:r>
        <w:rPr>
          <w:sz w:val="24"/>
          <w:highlight w:val="none"/>
        </w:rPr>
        <w:t>日  期：</w:t>
      </w:r>
    </w:p>
    <w:p w14:paraId="7170594E">
      <w:pPr>
        <w:spacing w:line="360" w:lineRule="auto"/>
        <w:jc w:val="center"/>
        <w:rPr>
          <w:b/>
          <w:bCs/>
          <w:sz w:val="24"/>
          <w:highlight w:val="none"/>
        </w:rPr>
      </w:pPr>
      <w:r>
        <w:rPr>
          <w:b/>
          <w:bCs/>
          <w:sz w:val="24"/>
          <w:highlight w:val="none"/>
        </w:rPr>
        <w:br w:type="page" w:clear="all"/>
      </w:r>
      <w:r>
        <w:rPr>
          <w:b/>
          <w:bCs/>
          <w:sz w:val="24"/>
          <w:highlight w:val="none"/>
        </w:rPr>
        <w:t>属于监狱企业的证明文件</w:t>
      </w:r>
    </w:p>
    <w:p w14:paraId="72F19105">
      <w:pPr>
        <w:spacing w:line="360" w:lineRule="auto"/>
        <w:rPr>
          <w:sz w:val="24"/>
          <w:highlight w:val="none"/>
        </w:rPr>
      </w:pPr>
      <w:r>
        <w:rPr>
          <w:sz w:val="24"/>
          <w:highlight w:val="none"/>
        </w:rPr>
        <w:t>（提供由省级以上监狱管理局、戒毒管理局(含新疆生产建设兵团)出具的属于监狱企业的证明文件）</w:t>
      </w:r>
    </w:p>
    <w:p w14:paraId="280CDF67">
      <w:pPr>
        <w:spacing w:line="360" w:lineRule="auto"/>
        <w:rPr>
          <w:b/>
          <w:bCs/>
          <w:sz w:val="24"/>
          <w:highlight w:val="none"/>
        </w:rPr>
      </w:pPr>
    </w:p>
    <w:p w14:paraId="2E9E1B3C">
      <w:pPr>
        <w:spacing w:line="360" w:lineRule="auto"/>
        <w:rPr>
          <w:b/>
          <w:bCs/>
          <w:sz w:val="24"/>
          <w:highlight w:val="none"/>
        </w:rPr>
      </w:pPr>
    </w:p>
    <w:p w14:paraId="517382E1">
      <w:pPr>
        <w:spacing w:line="360" w:lineRule="auto"/>
        <w:jc w:val="center"/>
        <w:rPr>
          <w:b/>
          <w:bCs/>
          <w:sz w:val="24"/>
          <w:highlight w:val="none"/>
        </w:rPr>
      </w:pPr>
      <w:r>
        <w:rPr>
          <w:b/>
          <w:bCs/>
          <w:sz w:val="24"/>
          <w:highlight w:val="none"/>
        </w:rPr>
        <w:t xml:space="preserve"> 节能产品认证证书</w:t>
      </w:r>
    </w:p>
    <w:p w14:paraId="7E4A8C39">
      <w:pPr>
        <w:rPr>
          <w:sz w:val="24"/>
          <w:highlight w:val="none"/>
        </w:rPr>
      </w:pPr>
      <w:r>
        <w:rPr>
          <w:sz w:val="24"/>
          <w:highlight w:val="none"/>
        </w:rPr>
        <w:t>（提供国家确定的认证机构出具的、处于有效期之内的产品认证证书）</w:t>
      </w:r>
    </w:p>
    <w:p w14:paraId="24A5DE33">
      <w:pPr>
        <w:rPr>
          <w:sz w:val="24"/>
          <w:highlight w:val="none"/>
        </w:rPr>
      </w:pPr>
    </w:p>
    <w:p w14:paraId="7DA12F4B">
      <w:pPr>
        <w:rPr>
          <w:sz w:val="24"/>
          <w:highlight w:val="none"/>
        </w:rPr>
      </w:pPr>
    </w:p>
    <w:p w14:paraId="1A904467">
      <w:pPr>
        <w:rPr>
          <w:sz w:val="24"/>
          <w:highlight w:val="none"/>
        </w:rPr>
      </w:pPr>
    </w:p>
    <w:p w14:paraId="09D1E80A">
      <w:pPr>
        <w:spacing w:line="360" w:lineRule="auto"/>
        <w:jc w:val="center"/>
        <w:rPr>
          <w:b/>
          <w:bCs/>
          <w:sz w:val="24"/>
          <w:highlight w:val="none"/>
        </w:rPr>
      </w:pPr>
      <w:r>
        <w:rPr>
          <w:b/>
          <w:bCs/>
          <w:sz w:val="24"/>
          <w:highlight w:val="none"/>
        </w:rPr>
        <w:t xml:space="preserve">  环境标志产品认证证书</w:t>
      </w:r>
    </w:p>
    <w:p w14:paraId="44498EB6">
      <w:pPr>
        <w:rPr>
          <w:sz w:val="24"/>
          <w:highlight w:val="none"/>
        </w:rPr>
      </w:pPr>
      <w:r>
        <w:rPr>
          <w:sz w:val="24"/>
          <w:highlight w:val="none"/>
        </w:rPr>
        <w:t>（提供国家确定的认证机构出具的、处于有效期之内的产品认证证书）</w:t>
      </w:r>
    </w:p>
    <w:p w14:paraId="27762338">
      <w:pPr>
        <w:widowControl/>
        <w:spacing w:before="19" w:line="360" w:lineRule="auto"/>
        <w:ind w:firstLine="480"/>
        <w:rPr>
          <w:rFonts w:ascii="仿宋_GB2312" w:hAnsi="Calibri" w:eastAsia="仿宋_GB2312"/>
          <w:bCs/>
          <w:sz w:val="24"/>
          <w:highlight w:val="none"/>
        </w:rPr>
      </w:pPr>
    </w:p>
    <w:p w14:paraId="4D8F75B3">
      <w:pPr>
        <w:pStyle w:val="197"/>
        <w:rPr>
          <w:rFonts w:hint="eastAsia"/>
          <w:highlight w:val="none"/>
        </w:rPr>
      </w:pPr>
    </w:p>
    <w:p w14:paraId="1DECA1A4">
      <w:pPr>
        <w:spacing w:line="360" w:lineRule="auto"/>
        <w:rPr>
          <w:rFonts w:hint="eastAsia" w:ascii="宋体" w:hAnsi="宋体"/>
          <w:sz w:val="24"/>
          <w:highlight w:val="none"/>
        </w:rPr>
      </w:pPr>
    </w:p>
    <w:p w14:paraId="584ADE21">
      <w:pPr>
        <w:spacing w:line="360" w:lineRule="auto"/>
        <w:rPr>
          <w:rFonts w:hint="eastAsia" w:ascii="宋体" w:hAnsi="宋体"/>
          <w:sz w:val="24"/>
          <w:highlight w:val="none"/>
        </w:rPr>
      </w:pPr>
    </w:p>
    <w:p w14:paraId="0BB3ABB5">
      <w:pPr>
        <w:spacing w:line="360" w:lineRule="auto"/>
        <w:rPr>
          <w:rFonts w:hint="eastAsia" w:ascii="宋体" w:hAnsi="宋体"/>
          <w:sz w:val="24"/>
          <w:highlight w:val="none"/>
        </w:rPr>
      </w:pPr>
    </w:p>
    <w:p w14:paraId="6DB8AA99">
      <w:pPr>
        <w:spacing w:line="360" w:lineRule="auto"/>
        <w:rPr>
          <w:rFonts w:hint="eastAsia" w:ascii="宋体" w:hAnsi="宋体"/>
          <w:sz w:val="24"/>
          <w:highlight w:val="none"/>
        </w:rPr>
      </w:pPr>
    </w:p>
    <w:p w14:paraId="7E557253">
      <w:pPr>
        <w:spacing w:line="360" w:lineRule="auto"/>
        <w:rPr>
          <w:rFonts w:hint="eastAsia" w:ascii="宋体" w:hAnsi="宋体"/>
          <w:sz w:val="24"/>
          <w:highlight w:val="none"/>
        </w:rPr>
      </w:pPr>
    </w:p>
    <w:p w14:paraId="41E88C83">
      <w:pPr>
        <w:spacing w:line="360" w:lineRule="auto"/>
        <w:rPr>
          <w:rFonts w:hint="eastAsia" w:ascii="宋体" w:hAnsi="宋体"/>
          <w:sz w:val="24"/>
          <w:highlight w:val="none"/>
        </w:rPr>
      </w:pPr>
    </w:p>
    <w:p w14:paraId="5245484F">
      <w:pPr>
        <w:spacing w:line="360" w:lineRule="auto"/>
        <w:rPr>
          <w:rFonts w:hint="eastAsia" w:ascii="宋体" w:hAnsi="宋体"/>
          <w:sz w:val="24"/>
          <w:highlight w:val="none"/>
        </w:rPr>
      </w:pPr>
    </w:p>
    <w:p w14:paraId="0ABA0866">
      <w:pPr>
        <w:spacing w:line="360" w:lineRule="auto"/>
        <w:rPr>
          <w:rFonts w:hint="eastAsia" w:ascii="宋体" w:hAnsi="宋体"/>
          <w:sz w:val="24"/>
          <w:highlight w:val="none"/>
        </w:rPr>
      </w:pPr>
    </w:p>
    <w:p w14:paraId="29AE7321">
      <w:pPr>
        <w:spacing w:line="360" w:lineRule="auto"/>
        <w:rPr>
          <w:rFonts w:hint="eastAsia" w:ascii="宋体" w:hAnsi="宋体"/>
          <w:sz w:val="24"/>
          <w:highlight w:val="none"/>
        </w:rPr>
      </w:pPr>
    </w:p>
    <w:p w14:paraId="5DBF641A">
      <w:pPr>
        <w:spacing w:line="360" w:lineRule="auto"/>
        <w:rPr>
          <w:rFonts w:hint="eastAsia" w:ascii="宋体" w:hAnsi="宋体"/>
          <w:sz w:val="24"/>
          <w:highlight w:val="none"/>
        </w:rPr>
      </w:pPr>
    </w:p>
    <w:p w14:paraId="147CD960">
      <w:pPr>
        <w:spacing w:line="360" w:lineRule="auto"/>
        <w:rPr>
          <w:rFonts w:hint="eastAsia" w:ascii="宋体" w:hAnsi="宋体"/>
          <w:sz w:val="24"/>
          <w:highlight w:val="none"/>
        </w:rPr>
      </w:pPr>
    </w:p>
    <w:p w14:paraId="222E3BE9">
      <w:pPr>
        <w:spacing w:line="360" w:lineRule="auto"/>
        <w:rPr>
          <w:rFonts w:hint="eastAsia" w:ascii="宋体" w:hAnsi="宋体"/>
          <w:sz w:val="24"/>
          <w:highlight w:val="none"/>
        </w:rPr>
      </w:pPr>
    </w:p>
    <w:p w14:paraId="4397AE50">
      <w:pPr>
        <w:spacing w:line="360" w:lineRule="auto"/>
        <w:rPr>
          <w:rFonts w:hint="eastAsia" w:ascii="宋体" w:hAnsi="宋体"/>
          <w:sz w:val="24"/>
          <w:highlight w:val="none"/>
        </w:rPr>
      </w:pPr>
    </w:p>
    <w:p w14:paraId="18BDD80A">
      <w:pPr>
        <w:spacing w:line="360" w:lineRule="auto"/>
        <w:rPr>
          <w:rFonts w:hint="eastAsia" w:ascii="宋体" w:hAnsi="宋体"/>
          <w:sz w:val="24"/>
          <w:highlight w:val="none"/>
        </w:rPr>
      </w:pPr>
    </w:p>
    <w:p w14:paraId="1438703A">
      <w:pPr>
        <w:spacing w:line="360" w:lineRule="auto"/>
        <w:rPr>
          <w:rFonts w:hint="eastAsia" w:ascii="宋体" w:hAnsi="宋体"/>
          <w:sz w:val="24"/>
          <w:highlight w:val="none"/>
        </w:rPr>
      </w:pPr>
    </w:p>
    <w:p w14:paraId="6FF80E51">
      <w:pPr>
        <w:spacing w:line="360" w:lineRule="auto"/>
        <w:rPr>
          <w:rFonts w:hint="eastAsia" w:ascii="宋体" w:hAnsi="宋体"/>
          <w:sz w:val="24"/>
          <w:highlight w:val="none"/>
        </w:rPr>
      </w:pPr>
    </w:p>
    <w:p w14:paraId="71CE4352">
      <w:pPr>
        <w:spacing w:line="360" w:lineRule="auto"/>
        <w:rPr>
          <w:rFonts w:hint="eastAsia" w:ascii="宋体" w:hAnsi="宋体"/>
          <w:sz w:val="24"/>
          <w:highlight w:val="none"/>
        </w:rPr>
      </w:pPr>
    </w:p>
    <w:p w14:paraId="070E87D4">
      <w:pPr>
        <w:spacing w:line="360" w:lineRule="auto"/>
        <w:rPr>
          <w:rFonts w:hint="eastAsia" w:ascii="宋体" w:hAnsi="宋体"/>
          <w:sz w:val="24"/>
          <w:highlight w:val="none"/>
        </w:rPr>
      </w:pPr>
    </w:p>
    <w:p w14:paraId="47C89993">
      <w:pPr>
        <w:spacing w:line="360" w:lineRule="auto"/>
        <w:rPr>
          <w:rFonts w:hint="eastAsia" w:ascii="宋体" w:hAnsi="宋体"/>
          <w:sz w:val="24"/>
          <w:highlight w:val="none"/>
        </w:rPr>
      </w:pPr>
    </w:p>
    <w:p w14:paraId="35C0C20B">
      <w:pPr>
        <w:spacing w:line="360" w:lineRule="auto"/>
        <w:ind w:firstLine="48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）评审方法中应当提供的用于评审的商务文件；</w:t>
      </w:r>
    </w:p>
    <w:p w14:paraId="51CB1E55">
      <w:pPr>
        <w:keepNext/>
        <w:keepLines/>
        <w:spacing w:before="156" w:after="156" w:line="360" w:lineRule="exact"/>
        <w:ind w:firstLine="480"/>
        <w:jc w:val="left"/>
        <w:outlineLvl w:val="2"/>
        <w:rPr>
          <w:rFonts w:hint="eastAsia" w:ascii="宋体" w:hAnsi="宋体" w:cs="宋体"/>
          <w:b/>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bookmarkEnd w:id="327"/>
    <w:p w14:paraId="583544E6">
      <w:pPr>
        <w:pStyle w:val="189"/>
        <w:ind w:firstLine="0"/>
        <w:rPr>
          <w:rFonts w:hint="eastAsia"/>
          <w:highlight w:val="none"/>
          <w:lang w:val="zh-CN"/>
        </w:rPr>
      </w:pPr>
    </w:p>
    <w:p w14:paraId="642B622C">
      <w:pPr>
        <w:pStyle w:val="189"/>
        <w:rPr>
          <w:rFonts w:hint="eastAsia"/>
          <w:highlight w:val="none"/>
          <w:lang w:val="zh-CN"/>
        </w:rPr>
      </w:pPr>
    </w:p>
    <w:p w14:paraId="6FFBA96A">
      <w:pPr>
        <w:rPr>
          <w:highlight w:val="none"/>
        </w:rPr>
      </w:pPr>
    </w:p>
    <w:p w14:paraId="204D3726">
      <w:pPr>
        <w:pStyle w:val="189"/>
        <w:ind w:firstLine="0"/>
        <w:rPr>
          <w:highlight w:val="none"/>
          <w:lang w:val="zh-CN"/>
        </w:rPr>
      </w:pPr>
    </w:p>
    <w:p w14:paraId="24469048">
      <w:pPr>
        <w:widowControl/>
        <w:spacing w:before="19" w:line="360" w:lineRule="auto"/>
        <w:ind w:firstLine="560"/>
        <w:rPr>
          <w:rFonts w:ascii="仿宋_GB2312" w:hAnsi="Calibri" w:eastAsia="仿宋_GB2312"/>
          <w:bCs/>
          <w:sz w:val="28"/>
          <w:szCs w:val="28"/>
          <w:highlight w:val="none"/>
        </w:rPr>
      </w:pPr>
    </w:p>
    <w:p w14:paraId="4311DA05">
      <w:pPr>
        <w:widowControl/>
        <w:spacing w:before="19" w:line="360" w:lineRule="auto"/>
        <w:ind w:firstLine="560"/>
        <w:rPr>
          <w:rFonts w:ascii="仿宋_GB2312" w:hAnsi="Calibri" w:eastAsia="仿宋_GB2312"/>
          <w:bCs/>
          <w:sz w:val="28"/>
          <w:szCs w:val="28"/>
          <w:highlight w:val="none"/>
        </w:rPr>
      </w:pPr>
    </w:p>
    <w:p w14:paraId="3E499514">
      <w:pPr>
        <w:widowControl/>
        <w:spacing w:before="19" w:line="360" w:lineRule="auto"/>
        <w:ind w:firstLine="560"/>
        <w:rPr>
          <w:rFonts w:ascii="仿宋_GB2312" w:hAnsi="Calibri" w:eastAsia="仿宋_GB2312"/>
          <w:bCs/>
          <w:sz w:val="28"/>
          <w:szCs w:val="28"/>
          <w:highlight w:val="none"/>
        </w:rPr>
      </w:pPr>
    </w:p>
    <w:p w14:paraId="02E6FA1D">
      <w:pPr>
        <w:pStyle w:val="201"/>
        <w:rPr>
          <w:rFonts w:ascii="黑体" w:eastAsia="黑体"/>
          <w:b/>
          <w:bCs/>
          <w:highlight w:val="none"/>
        </w:rPr>
      </w:pPr>
    </w:p>
    <w:p w14:paraId="06743D3A">
      <w:pPr>
        <w:spacing w:line="240" w:lineRule="atLeast"/>
        <w:jc w:val="center"/>
        <w:rPr>
          <w:rFonts w:hint="eastAsia" w:ascii="黑体" w:eastAsia="黑体"/>
          <w:b/>
          <w:bCs/>
          <w:sz w:val="28"/>
          <w:highlight w:val="none"/>
        </w:rPr>
      </w:pPr>
    </w:p>
    <w:p w14:paraId="0FBA9C60">
      <w:pPr>
        <w:pStyle w:val="197"/>
        <w:rPr>
          <w:rFonts w:hint="eastAsia"/>
          <w:highlight w:val="none"/>
        </w:rPr>
      </w:pPr>
    </w:p>
    <w:p w14:paraId="6743CB18">
      <w:pPr>
        <w:rPr>
          <w:rFonts w:hint="eastAsia"/>
          <w:highlight w:val="none"/>
        </w:rPr>
      </w:pPr>
    </w:p>
    <w:p w14:paraId="0AED3834">
      <w:pPr>
        <w:pStyle w:val="197"/>
        <w:rPr>
          <w:rFonts w:hint="eastAsia"/>
          <w:highlight w:val="none"/>
        </w:rPr>
      </w:pPr>
    </w:p>
    <w:p w14:paraId="67225640">
      <w:pPr>
        <w:rPr>
          <w:rFonts w:hint="eastAsia"/>
          <w:highlight w:val="none"/>
        </w:rPr>
      </w:pPr>
    </w:p>
    <w:p w14:paraId="579CA9E1">
      <w:pPr>
        <w:pStyle w:val="197"/>
        <w:rPr>
          <w:rFonts w:hint="eastAsia"/>
          <w:highlight w:val="none"/>
        </w:rPr>
      </w:pPr>
    </w:p>
    <w:p w14:paraId="672DDC44">
      <w:pPr>
        <w:rPr>
          <w:rFonts w:hint="eastAsia"/>
          <w:highlight w:val="none"/>
        </w:rPr>
      </w:pPr>
    </w:p>
    <w:p w14:paraId="63F681EB">
      <w:pPr>
        <w:pStyle w:val="197"/>
        <w:rPr>
          <w:rFonts w:hint="eastAsia"/>
          <w:highlight w:val="none"/>
        </w:rPr>
      </w:pPr>
    </w:p>
    <w:p w14:paraId="0E51DE37">
      <w:pPr>
        <w:rPr>
          <w:rFonts w:hint="eastAsia"/>
          <w:highlight w:val="none"/>
        </w:rPr>
      </w:pPr>
    </w:p>
    <w:p w14:paraId="20011AC1">
      <w:pPr>
        <w:pStyle w:val="197"/>
        <w:rPr>
          <w:rFonts w:hint="eastAsia"/>
          <w:highlight w:val="none"/>
        </w:rPr>
      </w:pPr>
    </w:p>
    <w:p w14:paraId="23A64D8A">
      <w:pPr>
        <w:rPr>
          <w:rFonts w:hint="eastAsia"/>
          <w:highlight w:val="none"/>
        </w:rPr>
      </w:pPr>
    </w:p>
    <w:p w14:paraId="53DC5954">
      <w:pPr>
        <w:pStyle w:val="197"/>
        <w:rPr>
          <w:rFonts w:hint="eastAsia"/>
          <w:highlight w:val="none"/>
        </w:rPr>
      </w:pPr>
    </w:p>
    <w:p w14:paraId="4470EBD2">
      <w:pPr>
        <w:rPr>
          <w:rFonts w:hint="eastAsia"/>
          <w:highlight w:val="none"/>
        </w:rPr>
      </w:pPr>
    </w:p>
    <w:p w14:paraId="3BDB6CBA">
      <w:pPr>
        <w:pStyle w:val="197"/>
        <w:rPr>
          <w:rFonts w:hint="eastAsia"/>
          <w:highlight w:val="none"/>
        </w:rPr>
      </w:pPr>
    </w:p>
    <w:p w14:paraId="19321651">
      <w:pPr>
        <w:rPr>
          <w:rFonts w:hint="eastAsia"/>
          <w:highlight w:val="none"/>
        </w:rPr>
      </w:pPr>
    </w:p>
    <w:p w14:paraId="01EAA210">
      <w:pPr>
        <w:pStyle w:val="197"/>
        <w:rPr>
          <w:rFonts w:hint="eastAsia"/>
          <w:highlight w:val="none"/>
        </w:rPr>
      </w:pPr>
    </w:p>
    <w:p w14:paraId="01C7887A">
      <w:pPr>
        <w:rPr>
          <w:rFonts w:hint="eastAsia"/>
          <w:highlight w:val="none"/>
        </w:rPr>
      </w:pPr>
    </w:p>
    <w:p w14:paraId="2DE89A70">
      <w:pPr>
        <w:pStyle w:val="197"/>
        <w:rPr>
          <w:rFonts w:hint="eastAsia"/>
          <w:highlight w:val="none"/>
        </w:rPr>
      </w:pPr>
    </w:p>
    <w:p w14:paraId="2A723129">
      <w:pPr>
        <w:rPr>
          <w:rFonts w:hint="eastAsia"/>
          <w:highlight w:val="none"/>
        </w:rPr>
      </w:pPr>
    </w:p>
    <w:p w14:paraId="10481901">
      <w:pPr>
        <w:pStyle w:val="197"/>
        <w:rPr>
          <w:rFonts w:hint="eastAsia"/>
          <w:highlight w:val="none"/>
        </w:rPr>
      </w:pPr>
    </w:p>
    <w:p w14:paraId="6D471B84">
      <w:pPr>
        <w:rPr>
          <w:rFonts w:hint="eastAsia"/>
          <w:highlight w:val="none"/>
        </w:rPr>
      </w:pPr>
    </w:p>
    <w:p w14:paraId="778074FB">
      <w:pPr>
        <w:pStyle w:val="197"/>
        <w:rPr>
          <w:rFonts w:hint="eastAsia"/>
          <w:highlight w:val="none"/>
        </w:rPr>
      </w:pPr>
    </w:p>
    <w:p w14:paraId="29A66473">
      <w:pPr>
        <w:rPr>
          <w:rFonts w:hint="eastAsia"/>
          <w:highlight w:val="none"/>
        </w:rPr>
      </w:pPr>
    </w:p>
    <w:p w14:paraId="173E2C57">
      <w:pPr>
        <w:pStyle w:val="197"/>
        <w:rPr>
          <w:rFonts w:hint="eastAsia"/>
          <w:highlight w:val="none"/>
        </w:rPr>
      </w:pPr>
    </w:p>
    <w:p w14:paraId="2DE88E01">
      <w:pPr>
        <w:rPr>
          <w:rFonts w:hint="eastAsia"/>
          <w:highlight w:val="none"/>
        </w:rPr>
      </w:pPr>
    </w:p>
    <w:p w14:paraId="0D4C9DB7">
      <w:pPr>
        <w:spacing w:line="360" w:lineRule="auto"/>
        <w:ind w:firstLine="482"/>
        <w:rPr>
          <w:rFonts w:ascii="宋体" w:hAnsi="宋体"/>
          <w:b/>
          <w:sz w:val="24"/>
          <w:highlight w:val="none"/>
        </w:rPr>
      </w:pPr>
    </w:p>
    <w:p w14:paraId="2D7872C7">
      <w:pPr>
        <w:rPr>
          <w:rFonts w:ascii="宋体" w:hAnsi="宋体"/>
          <w:b/>
          <w:sz w:val="24"/>
          <w:highlight w:val="none"/>
        </w:rPr>
      </w:pPr>
      <w:r>
        <w:rPr>
          <w:rFonts w:ascii="宋体" w:hAnsi="宋体"/>
          <w:b/>
          <w:sz w:val="24"/>
          <w:highlight w:val="none"/>
        </w:rPr>
        <w:br w:type="page"/>
      </w:r>
    </w:p>
    <w:p w14:paraId="0F76A93C">
      <w:pPr>
        <w:spacing w:line="360" w:lineRule="auto"/>
        <w:ind w:firstLine="482"/>
        <w:rPr>
          <w:rFonts w:ascii="宋体" w:hAnsi="宋体"/>
          <w:b/>
          <w:sz w:val="24"/>
          <w:highlight w:val="none"/>
        </w:rPr>
      </w:pPr>
      <w:r>
        <w:rPr>
          <w:rFonts w:ascii="宋体" w:hAnsi="宋体"/>
          <w:b/>
          <w:sz w:val="24"/>
          <w:highlight w:val="none"/>
        </w:rPr>
        <w:t>（三）技术文件：</w:t>
      </w:r>
    </w:p>
    <w:p w14:paraId="2C132195">
      <w:pPr>
        <w:spacing w:line="360" w:lineRule="auto"/>
        <w:ind w:firstLine="600"/>
        <w:rPr>
          <w:rFonts w:ascii="宋体" w:hAnsi="宋体"/>
          <w:sz w:val="24"/>
          <w:highlight w:val="none"/>
        </w:rPr>
      </w:pPr>
      <w:r>
        <w:rPr>
          <w:rFonts w:ascii="宋体" w:hAnsi="宋体"/>
          <w:sz w:val="24"/>
          <w:highlight w:val="none"/>
        </w:rPr>
        <w:t>（1）评审方法中应当提供的用于评审的技术文件；</w:t>
      </w:r>
    </w:p>
    <w:p w14:paraId="346DB202">
      <w:pPr>
        <w:spacing w:after="120"/>
        <w:ind w:firstLine="600"/>
        <w:rPr>
          <w:rFonts w:ascii="宋体" w:hAnsi="宋体"/>
          <w:sz w:val="24"/>
          <w:highlight w:val="none"/>
        </w:rPr>
      </w:pPr>
      <w:r>
        <w:rPr>
          <w:rFonts w:ascii="宋体" w:hAnsi="宋体"/>
          <w:sz w:val="24"/>
          <w:highlight w:val="none"/>
        </w:rPr>
        <w:t>（2）本磋商文件要求提供的和响应人认为需要提供的</w:t>
      </w:r>
      <w:r>
        <w:rPr>
          <w:rFonts w:hint="eastAsia" w:ascii="宋体" w:hAnsi="宋体"/>
          <w:sz w:val="24"/>
          <w:highlight w:val="none"/>
          <w:lang w:eastAsia="zh-CN"/>
        </w:rPr>
        <w:t>其他</w:t>
      </w:r>
      <w:r>
        <w:rPr>
          <w:rFonts w:ascii="宋体" w:hAnsi="宋体"/>
          <w:sz w:val="24"/>
          <w:highlight w:val="none"/>
        </w:rPr>
        <w:t>说明和资料、文件。</w:t>
      </w:r>
    </w:p>
    <w:p w14:paraId="1DC4B536">
      <w:pPr>
        <w:pStyle w:val="223"/>
        <w:spacing w:beforeAutospacing="0" w:afterAutospacing="0" w:line="400" w:lineRule="exact"/>
        <w:ind w:firstLine="562"/>
        <w:jc w:val="center"/>
        <w:rPr>
          <w:rFonts w:hint="eastAsia"/>
          <w:b/>
          <w:bCs/>
          <w:highlight w:val="none"/>
        </w:rPr>
      </w:pPr>
      <w:r>
        <w:rPr>
          <w:highlight w:val="none"/>
        </w:rPr>
        <w:br w:type="page" w:clear="all"/>
      </w:r>
      <w:r>
        <w:rPr>
          <w:rFonts w:hint="eastAsia"/>
          <w:b/>
          <w:bCs/>
          <w:highlight w:val="none"/>
        </w:rPr>
        <w:t>政府采购线上合同信用融资功能告知提醒</w:t>
      </w:r>
    </w:p>
    <w:p w14:paraId="3DD969CA">
      <w:pPr>
        <w:pStyle w:val="223"/>
        <w:spacing w:beforeAutospacing="0" w:afterAutospacing="0" w:line="400" w:lineRule="exact"/>
        <w:ind w:firstLine="562"/>
        <w:jc w:val="center"/>
        <w:rPr>
          <w:rFonts w:hint="eastAsia"/>
          <w:b/>
          <w:bCs/>
          <w:highlight w:val="none"/>
        </w:rPr>
      </w:pPr>
    </w:p>
    <w:p w14:paraId="76126FCF">
      <w:pPr>
        <w:pStyle w:val="223"/>
        <w:spacing w:beforeAutospacing="0" w:afterAutospacing="0"/>
        <w:ind w:firstLine="560"/>
        <w:jc w:val="both"/>
        <w:rPr>
          <w:rFonts w:hint="eastAsia"/>
          <w:highlight w:val="none"/>
        </w:rPr>
      </w:pPr>
      <w:r>
        <w:rPr>
          <w:rFonts w:hint="eastAsia"/>
          <w:highlight w:val="none"/>
        </w:rPr>
        <w:t>我市正式启用“苏采云”系统后，目前已全面开通政府采购线上合同信用融资（以下简称“政采贷”）功能。成交供应商可凭政府采购合同在中征平台发起贷款申请贷款。</w:t>
      </w:r>
    </w:p>
    <w:p w14:paraId="67335BF1">
      <w:pPr>
        <w:pStyle w:val="223"/>
        <w:spacing w:beforeAutospacing="0" w:afterAutospacing="0"/>
        <w:ind w:firstLine="562"/>
        <w:jc w:val="both"/>
        <w:rPr>
          <w:rFonts w:hint="eastAsia"/>
          <w:b/>
          <w:bCs/>
          <w:highlight w:val="none"/>
        </w:rPr>
      </w:pPr>
      <w:r>
        <w:rPr>
          <w:rFonts w:hint="eastAsia"/>
          <w:b/>
          <w:bCs/>
          <w:highlight w:val="none"/>
        </w:rPr>
        <w:t>1.“政采贷”业务流程</w:t>
      </w:r>
    </w:p>
    <w:p w14:paraId="739CDDD3">
      <w:pPr>
        <w:pStyle w:val="223"/>
        <w:spacing w:beforeAutospacing="0" w:afterAutospacing="0"/>
        <w:jc w:val="both"/>
        <w:rPr>
          <w:rFonts w:hint="eastAsia"/>
          <w:highlight w:val="none"/>
        </w:rPr>
      </w:pPr>
      <w:r>
        <w:rPr>
          <w:rFonts w:hint="eastAsia"/>
          <w:highlight w:val="none"/>
        </w:rPr>
        <w:drawing>
          <wp:inline distT="0" distB="0" distL="0" distR="0">
            <wp:extent cx="5364480" cy="1431290"/>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stretch>
                      <a:fillRect/>
                    </a:stretch>
                  </pic:blipFill>
                  <pic:spPr>
                    <a:xfrm>
                      <a:off x="0" y="0"/>
                      <a:ext cx="5364556" cy="1431315"/>
                    </a:xfrm>
                    <a:prstGeom prst="rect">
                      <a:avLst/>
                    </a:prstGeom>
                    <a:noFill/>
                    <a:ln>
                      <a:noFill/>
                    </a:ln>
                  </pic:spPr>
                </pic:pic>
              </a:graphicData>
            </a:graphic>
          </wp:inline>
        </w:drawing>
      </w:r>
    </w:p>
    <w:p w14:paraId="4E45B3D2">
      <w:pPr>
        <w:pStyle w:val="223"/>
        <w:spacing w:beforeAutospacing="0" w:afterAutospacing="0"/>
        <w:ind w:left="640"/>
        <w:jc w:val="both"/>
        <w:rPr>
          <w:rFonts w:hint="eastAsia"/>
          <w:b/>
          <w:bCs/>
          <w:highlight w:val="none"/>
        </w:rPr>
      </w:pPr>
      <w:r>
        <w:rPr>
          <w:rFonts w:hint="eastAsia"/>
          <w:b/>
          <w:bCs/>
          <w:highlight w:val="none"/>
        </w:rPr>
        <w:t>2.常见问题</w:t>
      </w:r>
    </w:p>
    <w:p w14:paraId="10E7EE34">
      <w:pPr>
        <w:pStyle w:val="223"/>
        <w:spacing w:beforeAutospacing="0" w:afterAutospacing="0"/>
        <w:jc w:val="both"/>
        <w:rPr>
          <w:rFonts w:hint="eastAsia"/>
          <w:highlight w:val="none"/>
        </w:rPr>
      </w:pPr>
      <w:r>
        <w:rPr>
          <w:rFonts w:hint="eastAsia"/>
          <w:highlight w:val="none"/>
        </w:rPr>
        <w:t>Q1：哪些企业能申请“政采贷”？</w:t>
      </w:r>
    </w:p>
    <w:p w14:paraId="1DEBBBEF">
      <w:pPr>
        <w:pStyle w:val="223"/>
        <w:spacing w:beforeAutospacing="0" w:afterAutospacing="0"/>
        <w:jc w:val="both"/>
        <w:rPr>
          <w:rFonts w:hint="eastAsia"/>
          <w:highlight w:val="none"/>
        </w:rPr>
      </w:pPr>
      <w:r>
        <w:rPr>
          <w:rFonts w:hint="eastAsia"/>
          <w:highlight w:val="none"/>
        </w:rPr>
        <w:t>答：江苏省内采用国库集中支付的政府采购项目的中标供应商，可凭政府采购合同申请"政采贷"。</w:t>
      </w:r>
    </w:p>
    <w:p w14:paraId="4315F63F">
      <w:pPr>
        <w:pStyle w:val="223"/>
        <w:spacing w:beforeAutospacing="0" w:afterAutospacing="0"/>
        <w:jc w:val="both"/>
        <w:rPr>
          <w:rFonts w:hint="eastAsia"/>
          <w:highlight w:val="none"/>
        </w:rPr>
      </w:pPr>
      <w:r>
        <w:rPr>
          <w:rFonts w:hint="eastAsia"/>
          <w:highlight w:val="none"/>
        </w:rPr>
        <w:t>Q2：供应商在哪里申请“政采贷”？</w:t>
      </w:r>
    </w:p>
    <w:p w14:paraId="71EC0DBE">
      <w:pPr>
        <w:pStyle w:val="223"/>
        <w:spacing w:beforeAutospacing="0" w:afterAutospacing="0"/>
        <w:jc w:val="both"/>
        <w:rPr>
          <w:rFonts w:hint="eastAsia"/>
          <w:highlight w:val="none"/>
        </w:rPr>
      </w:pPr>
      <w:r>
        <w:rPr>
          <w:rFonts w:hint="eastAsia"/>
          <w:highlight w:val="none"/>
        </w:rPr>
        <w:t>答：中标供应商在“中征应收账款融资服务平台”（简称“中征平台”）上向意向银行发起融资申请</w:t>
      </w:r>
    </w:p>
    <w:p w14:paraId="350DD04D">
      <w:pPr>
        <w:pStyle w:val="223"/>
        <w:spacing w:beforeAutospacing="0" w:afterAutospacing="0"/>
        <w:jc w:val="both"/>
        <w:rPr>
          <w:rFonts w:hint="eastAsia"/>
          <w:highlight w:val="none"/>
        </w:rPr>
      </w:pPr>
      <w:r>
        <w:rPr>
          <w:rFonts w:hint="eastAsia"/>
          <w:highlight w:val="none"/>
        </w:rPr>
        <w:t>Q3：中标供应商要注意什么？</w:t>
      </w:r>
    </w:p>
    <w:p w14:paraId="3761D505">
      <w:pPr>
        <w:pStyle w:val="223"/>
        <w:spacing w:beforeAutospacing="0" w:afterAutospacing="0"/>
        <w:jc w:val="both"/>
        <w:rPr>
          <w:rFonts w:hint="eastAsia"/>
          <w:highlight w:val="none"/>
        </w:rPr>
      </w:pPr>
      <w:r>
        <w:rPr>
          <w:rFonts w:hint="eastAsia"/>
          <w:highlight w:val="none"/>
        </w:rPr>
        <w:t>答：中标供应商要加强和采购单位的沟通协调，尽早确定融资需求。需要“政采贷”融资的，政府采购合同付款账号应当空置。</w:t>
      </w:r>
    </w:p>
    <w:p w14:paraId="3496E5FF">
      <w:pPr>
        <w:pStyle w:val="223"/>
        <w:spacing w:beforeAutospacing="0" w:afterAutospacing="0"/>
        <w:jc w:val="both"/>
        <w:rPr>
          <w:rFonts w:hint="eastAsia"/>
          <w:highlight w:val="none"/>
        </w:rPr>
      </w:pPr>
      <w:r>
        <w:rPr>
          <w:rFonts w:hint="eastAsia"/>
          <w:highlight w:val="none"/>
        </w:rPr>
        <w:t>Q4：采购单位要做什么？</w:t>
      </w:r>
    </w:p>
    <w:p w14:paraId="65E00A51">
      <w:pPr>
        <w:pStyle w:val="223"/>
        <w:spacing w:beforeAutospacing="0" w:afterAutospacing="0"/>
        <w:jc w:val="both"/>
        <w:rPr>
          <w:rFonts w:hint="eastAsia"/>
          <w:highlight w:val="none"/>
        </w:rPr>
      </w:pPr>
      <w:r>
        <w:rPr>
          <w:rFonts w:hint="eastAsia"/>
          <w:highlight w:val="none"/>
        </w:rPr>
        <w:t>答：采购单位在“苏采云”系统中公示政府采购合同时，要勾选融资标识，为中标供应商融资提供便利。如后续融资失败，采购单位要及时维护中标供应商相关账号信息，按时支付款项。</w:t>
      </w:r>
    </w:p>
    <w:p w14:paraId="4E7C69C9">
      <w:pPr>
        <w:pStyle w:val="223"/>
        <w:spacing w:beforeAutospacing="0" w:afterAutospacing="0"/>
        <w:jc w:val="both"/>
        <w:rPr>
          <w:rFonts w:hint="eastAsia"/>
          <w:highlight w:val="none"/>
        </w:rPr>
      </w:pPr>
      <w:r>
        <w:rPr>
          <w:rFonts w:hint="eastAsia"/>
          <w:highlight w:val="none"/>
        </w:rPr>
        <w:t>Q5：“政采贷”融资失败怎么办？</w:t>
      </w:r>
    </w:p>
    <w:p w14:paraId="4A6A31A7">
      <w:pPr>
        <w:pStyle w:val="223"/>
        <w:spacing w:beforeAutospacing="0" w:afterAutospacing="0"/>
        <w:jc w:val="both"/>
        <w:rPr>
          <w:rFonts w:hint="eastAsia"/>
          <w:highlight w:val="none"/>
        </w:rPr>
      </w:pPr>
      <w:r>
        <w:rPr>
          <w:rFonts w:hint="eastAsia"/>
          <w:highlight w:val="none"/>
        </w:rPr>
        <w:t>答：经合作银行审核后不予放款，或者贷款审核时间超过10个工作日的，视为融资失败，该项目回到财政预算管理一体化系统中支付资金。融资失败的，无法重新线上申请“政采贷”。</w:t>
      </w:r>
    </w:p>
    <w:p w14:paraId="4CB6803A">
      <w:pPr>
        <w:pStyle w:val="223"/>
        <w:spacing w:beforeAutospacing="0" w:afterAutospacing="0"/>
        <w:ind w:left="640"/>
        <w:jc w:val="both"/>
        <w:rPr>
          <w:rFonts w:hint="eastAsia"/>
          <w:b/>
          <w:bCs/>
          <w:highlight w:val="none"/>
        </w:rPr>
      </w:pPr>
      <w:r>
        <w:rPr>
          <w:rFonts w:hint="eastAsia"/>
          <w:b/>
          <w:bCs/>
          <w:highlight w:val="none"/>
        </w:rPr>
        <w:t>3.网址及联系方式</w:t>
      </w:r>
    </w:p>
    <w:p w14:paraId="1478B39C">
      <w:pPr>
        <w:pStyle w:val="223"/>
        <w:spacing w:beforeAutospacing="0" w:afterAutospacing="0"/>
        <w:jc w:val="both"/>
        <w:rPr>
          <w:rFonts w:hint="eastAsia"/>
          <w:highlight w:val="none"/>
        </w:rPr>
      </w:pPr>
      <w:r>
        <w:rPr>
          <w:rFonts w:hint="eastAsia"/>
          <w:highlight w:val="none"/>
        </w:rPr>
        <w:t>政采贷：</w:t>
      </w:r>
      <w:r>
        <w:rPr>
          <w:rFonts w:hint="eastAsia"/>
          <w:highlight w:val="none"/>
        </w:rPr>
        <w:fldChar w:fldCharType="begin"/>
      </w:r>
      <w:r>
        <w:rPr>
          <w:rFonts w:hint="eastAsia"/>
          <w:highlight w:val="none"/>
        </w:rPr>
        <w:instrText xml:space="preserve"> HYPERLINK "http://www.ccgp-jiangsu.gov.cn/jiangsu/paying.html" </w:instrText>
      </w:r>
      <w:r>
        <w:rPr>
          <w:rFonts w:hint="eastAsia"/>
          <w:highlight w:val="none"/>
        </w:rPr>
        <w:fldChar w:fldCharType="separate"/>
      </w:r>
      <w:r>
        <w:rPr>
          <w:rFonts w:hint="eastAsia"/>
          <w:highlight w:val="none"/>
        </w:rPr>
        <w:t>http://www.ccgp-jiangsu.gov.cn/jiangsu/paying.html</w:t>
      </w:r>
      <w:r>
        <w:rPr>
          <w:rFonts w:hint="eastAsia"/>
          <w:highlight w:val="none"/>
        </w:rPr>
        <w:fldChar w:fldCharType="end"/>
      </w:r>
    </w:p>
    <w:p w14:paraId="67C784B5">
      <w:pPr>
        <w:pStyle w:val="223"/>
        <w:spacing w:beforeAutospacing="0" w:afterAutospacing="0"/>
        <w:jc w:val="both"/>
        <w:rPr>
          <w:rFonts w:hint="eastAsia"/>
          <w:highlight w:val="none"/>
        </w:rPr>
      </w:pPr>
      <w:r>
        <w:rPr>
          <w:rFonts w:hint="eastAsia"/>
          <w:highlight w:val="none"/>
        </w:rPr>
        <w:t>中征平台：</w:t>
      </w:r>
      <w:r>
        <w:rPr>
          <w:rFonts w:hint="eastAsia"/>
          <w:highlight w:val="none"/>
        </w:rPr>
        <w:fldChar w:fldCharType="begin"/>
      </w:r>
      <w:r>
        <w:rPr>
          <w:rFonts w:hint="eastAsia"/>
          <w:highlight w:val="none"/>
        </w:rPr>
        <w:instrText xml:space="preserve"> HYPERLINK "https://www.crcrfsp.com/" </w:instrText>
      </w:r>
      <w:r>
        <w:rPr>
          <w:rFonts w:hint="eastAsia"/>
          <w:highlight w:val="none"/>
        </w:rPr>
        <w:fldChar w:fldCharType="separate"/>
      </w:r>
      <w:r>
        <w:rPr>
          <w:rFonts w:hint="eastAsia"/>
          <w:highlight w:val="none"/>
        </w:rPr>
        <w:t>https://www.crcrfsp.com/</w:t>
      </w:r>
      <w:r>
        <w:rPr>
          <w:rFonts w:hint="eastAsia"/>
          <w:highlight w:val="none"/>
        </w:rPr>
        <w:fldChar w:fldCharType="end"/>
      </w:r>
    </w:p>
    <w:p w14:paraId="69124F53">
      <w:pPr>
        <w:pStyle w:val="223"/>
        <w:spacing w:beforeAutospacing="0" w:afterAutospacing="0"/>
        <w:jc w:val="both"/>
        <w:rPr>
          <w:rFonts w:hint="eastAsia"/>
          <w:spacing w:val="1"/>
          <w:sz w:val="28"/>
          <w:szCs w:val="28"/>
          <w:highlight w:val="none"/>
        </w:rPr>
      </w:pPr>
      <w:r>
        <w:rPr>
          <w:rFonts w:hint="eastAsia"/>
          <w:highlight w:val="none"/>
        </w:rPr>
        <w:t>联系电话：0523-84821917</w:t>
      </w:r>
    </w:p>
    <w:p w14:paraId="74874A7B">
      <w:pPr>
        <w:spacing w:after="120"/>
        <w:rPr>
          <w:highlight w:val="none"/>
        </w:rPr>
      </w:pPr>
    </w:p>
    <w:sectPr>
      <w:headerReference r:id="rId6" w:type="first"/>
      <w:footerReference r:id="rId8" w:type="first"/>
      <w:headerReference r:id="rId5" w:type="default"/>
      <w:footerReference r:id="rId7" w:type="default"/>
      <w:pgSz w:w="11906" w:h="16838"/>
      <w:pgMar w:top="1134" w:right="1134" w:bottom="1134" w:left="1134" w:header="851" w:footer="992" w:gutter="0"/>
      <w:pgNumType w:fmt="decimal"/>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楷体_GBK">
    <w:altName w:val="Arial Unicode MS"/>
    <w:panose1 w:val="020B0503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Book Antiqua">
    <w:panose1 w:val="02040602050305030304"/>
    <w:charset w:val="00"/>
    <w:family w:val="auto"/>
    <w:pitch w:val="default"/>
    <w:sig w:usb0="00000287" w:usb1="00000000" w:usb2="00000000" w:usb3="00000000" w:csb0="2000009F" w:csb1="DFD70000"/>
  </w:font>
  <w:font w:name="Arial Black">
    <w:panose1 w:val="020B0A04020102020204"/>
    <w:charset w:val="00"/>
    <w:family w:val="auto"/>
    <w:pitch w:val="default"/>
    <w:sig w:usb0="A00002AF" w:usb1="400078FB" w:usb2="00000000" w:usb3="00000000" w:csb0="6000009F" w:csb1="DFD7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20B0503020202020204"/>
    <w:charset w:val="00"/>
    <w:family w:val="auto"/>
    <w:pitch w:val="default"/>
    <w:sig w:usb0="00000000" w:usb1="00000000" w:usb2="00000000" w:usb3="00000000" w:csb0="00000000" w:csb1="00000000"/>
  </w:font>
  <w:font w:name="方正黑体_GBK">
    <w:altName w:val="Arial Unicode MS"/>
    <w:panose1 w:val="020B0503020202020204"/>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TimesNewRomanPSMT">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3E4A">
    <w:pPr>
      <w:pStyle w:val="213"/>
      <w:tabs>
        <w:tab w:val="center" w:pos="4479"/>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F9C7">
    <w:pPr>
      <w:pStyle w:val="2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8AE12">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48AE1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4831D">
    <w:pPr>
      <w:pStyle w:val="2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ED5BA">
                          <w:pPr>
                            <w:pStyle w:val="2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0ED5BA">
                    <w:pPr>
                      <w:pStyle w:val="2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4854E">
    <w:pPr>
      <w:ind w:firstLine="340"/>
      <w:rPr>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6783A">
                          <w:pPr>
                            <w:pStyle w:val="2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B6783A">
                    <w:pPr>
                      <w:pStyle w:val="2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423B4">
    <w:pPr>
      <w:pStyle w:val="215"/>
      <w:pBdr>
        <w:bottom w:val="none" w:color="000000" w:sz="0" w:space="1"/>
      </w:pBdr>
      <w:tabs>
        <w:tab w:val="left" w:pos="3565"/>
      </w:tabs>
      <w:rPr>
        <w:rFonts w:hint="eastAs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F5F7">
    <w:pP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5E306ED"/>
    <w:multiLevelType w:val="multilevel"/>
    <w:tmpl w:val="B5E306ED"/>
    <w:lvl w:ilvl="0" w:tentative="0">
      <w:start w:val="7"/>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upperLetter"/>
      <w:pStyle w:val="277"/>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1"/>
      <w:numFmt w:val="japaneseCounting"/>
      <w:pStyle w:val="290"/>
      <w:lvlText w:val="第%1章"/>
      <w:lvlJc w:val="left"/>
      <w:pPr>
        <w:ind w:left="9351" w:hanging="420"/>
      </w:pPr>
      <w:rPr>
        <w:rFonts w:hint="eastAsia" w:ascii="黑体" w:eastAsia="黑体"/>
        <w:b w:val="0"/>
        <w:sz w:val="36"/>
        <w:lang w:val="en-US"/>
      </w:rPr>
    </w:lvl>
    <w:lvl w:ilvl="1" w:tentative="0">
      <w:start w:val="1"/>
      <w:numFmt w:val="decimal"/>
      <w:pStyle w:val="264"/>
      <w:lvlText w:val="%1.%2"/>
      <w:lvlJc w:val="left"/>
      <w:pPr>
        <w:tabs>
          <w:tab w:val="left" w:pos="851"/>
        </w:tabs>
        <w:ind w:left="0" w:firstLine="0"/>
      </w:pPr>
      <w:rPr>
        <w:rFonts w:cs="Times New Roman"/>
        <w:b w:val="0"/>
        <w:bCs w:val="0"/>
        <w:i w:val="0"/>
        <w:iCs w:val="0"/>
        <w:caps w:val="0"/>
        <w:smallCaps w:val="0"/>
        <w:strike w:val="0"/>
        <w:vanish w:val="0"/>
        <w:spacing w:val="0"/>
        <w:position w:val="0"/>
        <w:u w:val="none"/>
        <w:vertAlign w:val="baseline"/>
      </w:rPr>
    </w:lvl>
    <w:lvl w:ilvl="2" w:tentative="0">
      <w:start w:val="1"/>
      <w:numFmt w:val="decimal"/>
      <w:pStyle w:val="265"/>
      <w:lvlText w:val="%1.%2.%3"/>
      <w:lvlJc w:val="left"/>
      <w:pPr>
        <w:tabs>
          <w:tab w:val="left" w:pos="851"/>
        </w:tabs>
        <w:ind w:left="0" w:firstLine="0"/>
      </w:pPr>
      <w:rPr>
        <w:rFonts w:cs="Times New Roman"/>
        <w:b w:val="0"/>
        <w:bCs w:val="0"/>
        <w:i w:val="0"/>
        <w:iCs w:val="0"/>
        <w:caps w:val="0"/>
        <w:smallCaps w:val="0"/>
        <w:strike w:val="0"/>
        <w:vanish w:val="0"/>
        <w:color w:val="000000"/>
        <w:spacing w:val="0"/>
        <w:position w:val="0"/>
        <w:u w:val="none"/>
        <w:vertAlign w:val="baseline"/>
      </w:rPr>
    </w:lvl>
    <w:lvl w:ilvl="3" w:tentative="0">
      <w:start w:val="1"/>
      <w:numFmt w:val="decimal"/>
      <w:pStyle w:val="289"/>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5">
    <w:nsid w:val="0248C179"/>
    <w:multiLevelType w:val="multilevel"/>
    <w:tmpl w:val="0248C179"/>
    <w:lvl w:ilvl="0" w:tentative="0">
      <w:start w:val="1"/>
      <w:numFmt w:val="chineseCounting"/>
      <w:suff w:val="space"/>
      <w:lvlText w:val="第%1节"/>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5B654F3"/>
    <w:multiLevelType w:val="multilevel"/>
    <w:tmpl w:val="25B654F3"/>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9ADCABA"/>
    <w:multiLevelType w:val="multilevel"/>
    <w:tmpl w:val="59ADCABA"/>
    <w:lvl w:ilvl="0" w:tentative="0">
      <w:start w:val="1"/>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72183CF9"/>
    <w:multiLevelType w:val="multilevel"/>
    <w:tmpl w:val="72183CF9"/>
    <w:lvl w:ilvl="0" w:tentative="0">
      <w:start w:val="5"/>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6550B"/>
    <w:rsid w:val="044228E3"/>
    <w:rsid w:val="09EF276F"/>
    <w:rsid w:val="0C0A40BF"/>
    <w:rsid w:val="108A4FA0"/>
    <w:rsid w:val="17386898"/>
    <w:rsid w:val="1CD64407"/>
    <w:rsid w:val="1D69418F"/>
    <w:rsid w:val="283E4B96"/>
    <w:rsid w:val="2C74067E"/>
    <w:rsid w:val="2D5E02AC"/>
    <w:rsid w:val="349873DC"/>
    <w:rsid w:val="37E03A69"/>
    <w:rsid w:val="39395969"/>
    <w:rsid w:val="39473A36"/>
    <w:rsid w:val="3E8F30B2"/>
    <w:rsid w:val="45E9344D"/>
    <w:rsid w:val="461940F5"/>
    <w:rsid w:val="46E41616"/>
    <w:rsid w:val="49097DC8"/>
    <w:rsid w:val="4A9B3EA5"/>
    <w:rsid w:val="5003740B"/>
    <w:rsid w:val="54183C3E"/>
    <w:rsid w:val="56FA587C"/>
    <w:rsid w:val="570861EB"/>
    <w:rsid w:val="5A205063"/>
    <w:rsid w:val="5CE24DE9"/>
    <w:rsid w:val="65257F68"/>
    <w:rsid w:val="6A8A530D"/>
    <w:rsid w:val="6C1238A1"/>
    <w:rsid w:val="6F1B1A0A"/>
    <w:rsid w:val="6FFE64DD"/>
    <w:rsid w:val="70C1323B"/>
    <w:rsid w:val="711A792C"/>
    <w:rsid w:val="74C72DEA"/>
    <w:rsid w:val="770B7DF5"/>
    <w:rsid w:val="77416E84"/>
    <w:rsid w:val="784C141F"/>
    <w:rsid w:val="7AD973D3"/>
    <w:rsid w:val="7FA43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6"/>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8"/>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9"/>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0"/>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2"/>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6"/>
    <w:unhideWhenUsed/>
    <w:qFormat/>
    <w:uiPriority w:val="9"/>
    <w:pPr>
      <w:keepNext/>
      <w:keepLines/>
      <w:spacing w:before="320" w:after="200"/>
      <w:outlineLvl w:val="8"/>
    </w:pPr>
    <w:rPr>
      <w:rFonts w:ascii="Arial" w:hAnsi="Arial" w:eastAsia="Arial" w:cs="Arial"/>
      <w:i/>
      <w:i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qFormat/>
    <w:uiPriority w:val="0"/>
    <w:rPr>
      <w:rFonts w:ascii="楷体_GB2312" w:hAnsi="Arial" w:eastAsia="楷体_GB2312"/>
      <w:sz w:val="28"/>
      <w:szCs w:val="20"/>
    </w:rPr>
  </w:style>
  <w:style w:type="paragraph" w:styleId="14">
    <w:name w:val="Body Text Indent"/>
    <w:basedOn w:val="1"/>
    <w:qFormat/>
    <w:uiPriority w:val="0"/>
    <w:pPr>
      <w:spacing w:after="120"/>
      <w:ind w:left="420"/>
    </w:p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Plain Text"/>
    <w:basedOn w:val="1"/>
    <w:qFormat/>
    <w:uiPriority w:val="0"/>
    <w:pPr>
      <w:tabs>
        <w:tab w:val="left" w:pos="5890"/>
        <w:tab w:val="left" w:leader="dot" w:pos="8108"/>
      </w:tabs>
      <w:spacing w:line="223" w:lineRule="auto"/>
      <w:ind w:firstLine="380"/>
    </w:pPr>
    <w:rPr>
      <w:rFonts w:ascii="宋体" w:hAnsi="Courier New"/>
      <w:color w:val="000000"/>
      <w:szCs w:val="20"/>
    </w:rPr>
  </w:style>
  <w:style w:type="paragraph" w:styleId="18">
    <w:name w:val="toc 8"/>
    <w:basedOn w:val="1"/>
    <w:next w:val="1"/>
    <w:unhideWhenUsed/>
    <w:qFormat/>
    <w:uiPriority w:val="39"/>
    <w:pPr>
      <w:spacing w:after="57"/>
      <w:ind w:left="1984" w:right="0" w:firstLine="0"/>
    </w:pPr>
  </w:style>
  <w:style w:type="paragraph" w:styleId="19">
    <w:name w:val="endnote text"/>
    <w:basedOn w:val="1"/>
    <w:link w:val="183"/>
    <w:semiHidden/>
    <w:unhideWhenUsed/>
    <w:qFormat/>
    <w:uiPriority w:val="99"/>
    <w:pPr>
      <w:spacing w:after="0" w:line="240" w:lineRule="auto"/>
    </w:pPr>
    <w:rPr>
      <w:sz w:val="20"/>
    </w:rPr>
  </w:style>
  <w:style w:type="paragraph" w:styleId="20">
    <w:name w:val="footer"/>
    <w:basedOn w:val="1"/>
    <w:link w:val="56"/>
    <w:unhideWhenUsed/>
    <w:qFormat/>
    <w:uiPriority w:val="99"/>
    <w:pPr>
      <w:tabs>
        <w:tab w:val="center" w:pos="7143"/>
        <w:tab w:val="right" w:pos="14287"/>
      </w:tabs>
      <w:spacing w:after="0" w:line="240" w:lineRule="auto"/>
    </w:pPr>
  </w:style>
  <w:style w:type="paragraph" w:styleId="21">
    <w:name w:val="header"/>
    <w:basedOn w:val="1"/>
    <w:link w:val="54"/>
    <w:unhideWhenUsed/>
    <w:qFormat/>
    <w:uiPriority w:val="99"/>
    <w:pPr>
      <w:tabs>
        <w:tab w:val="center" w:pos="7143"/>
        <w:tab w:val="right" w:pos="14287"/>
      </w:tabs>
      <w:spacing w:after="0" w:line="240" w:lineRule="auto"/>
    </w:pPr>
  </w:style>
  <w:style w:type="paragraph" w:styleId="22">
    <w:name w:val="toc 1"/>
    <w:basedOn w:val="1"/>
    <w:next w:val="1"/>
    <w:unhideWhenUsed/>
    <w:qFormat/>
    <w:uiPriority w:val="39"/>
    <w:pPr>
      <w:spacing w:after="57"/>
      <w:ind w:left="0" w:right="0" w:firstLine="0"/>
    </w:pPr>
  </w:style>
  <w:style w:type="paragraph" w:styleId="23">
    <w:name w:val="toc 4"/>
    <w:basedOn w:val="1"/>
    <w:next w:val="1"/>
    <w:unhideWhenUsed/>
    <w:qFormat/>
    <w:uiPriority w:val="39"/>
    <w:pPr>
      <w:spacing w:after="57"/>
      <w:ind w:left="850" w:right="0" w:firstLine="0"/>
    </w:pPr>
  </w:style>
  <w:style w:type="paragraph" w:styleId="24">
    <w:name w:val="Subtitle"/>
    <w:basedOn w:val="1"/>
    <w:next w:val="1"/>
    <w:link w:val="49"/>
    <w:qFormat/>
    <w:uiPriority w:val="11"/>
    <w:pPr>
      <w:spacing w:before="200" w:after="200"/>
    </w:pPr>
    <w:rPr>
      <w:sz w:val="24"/>
      <w:szCs w:val="24"/>
    </w:rPr>
  </w:style>
  <w:style w:type="paragraph" w:styleId="25">
    <w:name w:val="footnote text"/>
    <w:basedOn w:val="1"/>
    <w:link w:val="182"/>
    <w:semiHidden/>
    <w:unhideWhenUsed/>
    <w:qFormat/>
    <w:uiPriority w:val="99"/>
    <w:pPr>
      <w:spacing w:after="40" w:line="240" w:lineRule="auto"/>
    </w:pPr>
    <w:rPr>
      <w:sz w:val="18"/>
    </w:rPr>
  </w:style>
  <w:style w:type="paragraph" w:styleId="26">
    <w:name w:val="toc 6"/>
    <w:basedOn w:val="1"/>
    <w:next w:val="1"/>
    <w:unhideWhenUsed/>
    <w:qFormat/>
    <w:uiPriority w:val="39"/>
    <w:pPr>
      <w:spacing w:after="57"/>
      <w:ind w:left="1417" w:right="0" w:firstLine="0"/>
    </w:pPr>
  </w:style>
  <w:style w:type="paragraph" w:styleId="27">
    <w:name w:val="table of figures"/>
    <w:basedOn w:val="1"/>
    <w:next w:val="1"/>
    <w:unhideWhenUsed/>
    <w:qFormat/>
    <w:uiPriority w:val="99"/>
    <w:pPr>
      <w:spacing w:after="0" w:afterAutospacing="0"/>
    </w:pPr>
  </w:style>
  <w:style w:type="paragraph" w:styleId="28">
    <w:name w:val="toc 2"/>
    <w:basedOn w:val="1"/>
    <w:next w:val="1"/>
    <w:unhideWhenUsed/>
    <w:qFormat/>
    <w:uiPriority w:val="39"/>
    <w:pPr>
      <w:spacing w:after="57"/>
      <w:ind w:left="283" w:right="0" w:firstLine="0"/>
    </w:pPr>
  </w:style>
  <w:style w:type="paragraph" w:styleId="29">
    <w:name w:val="toc 9"/>
    <w:basedOn w:val="1"/>
    <w:next w:val="1"/>
    <w:unhideWhenUsed/>
    <w:qFormat/>
    <w:uiPriority w:val="39"/>
    <w:pPr>
      <w:spacing w:after="57"/>
      <w:ind w:left="2268" w:right="0" w:firstLine="0"/>
    </w:pPr>
  </w:style>
  <w:style w:type="paragraph" w:styleId="30">
    <w:name w:val="Title"/>
    <w:basedOn w:val="1"/>
    <w:next w:val="1"/>
    <w:link w:val="48"/>
    <w:qFormat/>
    <w:uiPriority w:val="10"/>
    <w:pPr>
      <w:spacing w:before="300" w:after="200"/>
      <w:contextualSpacing/>
    </w:pPr>
    <w:rPr>
      <w:sz w:val="48"/>
      <w:szCs w:val="48"/>
    </w:rPr>
  </w:style>
  <w:style w:type="paragraph" w:styleId="31">
    <w:name w:val="Body Text First Indent"/>
    <w:basedOn w:val="13"/>
    <w:qFormat/>
    <w:uiPriority w:val="0"/>
    <w:pPr>
      <w:spacing w:line="360" w:lineRule="auto"/>
      <w:ind w:firstLine="200" w:firstLineChars="200"/>
      <w:jc w:val="left"/>
    </w:pPr>
    <w:rPr>
      <w:kern w:val="0"/>
      <w:sz w:val="24"/>
    </w:rPr>
  </w:style>
  <w:style w:type="table" w:styleId="3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unhideWhenUsed/>
    <w:qFormat/>
    <w:uiPriority w:val="99"/>
    <w:rPr>
      <w:vertAlign w:val="superscript"/>
    </w:rPr>
  </w:style>
  <w:style w:type="character" w:styleId="36">
    <w:name w:val="Hyperlink"/>
    <w:unhideWhenUsed/>
    <w:qFormat/>
    <w:uiPriority w:val="99"/>
    <w:rPr>
      <w:color w:val="0000FF" w:themeColor="hyperlink"/>
      <w:u w:val="single"/>
      <w14:textFill>
        <w14:solidFill>
          <w14:schemeClr w14:val="hlink"/>
        </w14:solidFill>
      </w14:textFill>
    </w:rPr>
  </w:style>
  <w:style w:type="character" w:styleId="37">
    <w:name w:val="footnote reference"/>
    <w:unhideWhenUsed/>
    <w:qFormat/>
    <w:uiPriority w:val="99"/>
    <w:rPr>
      <w:vertAlign w:val="superscript"/>
    </w:rPr>
  </w:style>
  <w:style w:type="character" w:customStyle="1" w:styleId="38">
    <w:name w:val="Heading 1 Char"/>
    <w:link w:val="2"/>
    <w:qFormat/>
    <w:uiPriority w:val="9"/>
    <w:rPr>
      <w:rFonts w:ascii="Arial" w:hAnsi="Arial" w:eastAsia="Arial" w:cs="Arial"/>
      <w:sz w:val="40"/>
      <w:szCs w:val="40"/>
    </w:rPr>
  </w:style>
  <w:style w:type="character" w:customStyle="1" w:styleId="39">
    <w:name w:val="Heading 2 Char"/>
    <w:link w:val="3"/>
    <w:qFormat/>
    <w:uiPriority w:val="9"/>
    <w:rPr>
      <w:rFonts w:ascii="Arial" w:hAnsi="Arial" w:eastAsia="Arial" w:cs="Arial"/>
      <w:sz w:val="34"/>
    </w:rPr>
  </w:style>
  <w:style w:type="character" w:customStyle="1" w:styleId="40">
    <w:name w:val="Heading 3 Char"/>
    <w:link w:val="4"/>
    <w:qFormat/>
    <w:uiPriority w:val="9"/>
    <w:rPr>
      <w:rFonts w:ascii="Arial" w:hAnsi="Arial" w:eastAsia="Arial" w:cs="Arial"/>
      <w:sz w:val="30"/>
      <w:szCs w:val="30"/>
    </w:rPr>
  </w:style>
  <w:style w:type="character" w:customStyle="1" w:styleId="41">
    <w:name w:val="Heading 4 Char"/>
    <w:link w:val="5"/>
    <w:qFormat/>
    <w:uiPriority w:val="9"/>
    <w:rPr>
      <w:rFonts w:ascii="Arial" w:hAnsi="Arial" w:eastAsia="Arial" w:cs="Arial"/>
      <w:b/>
      <w:bCs/>
      <w:sz w:val="26"/>
      <w:szCs w:val="26"/>
    </w:rPr>
  </w:style>
  <w:style w:type="character" w:customStyle="1" w:styleId="42">
    <w:name w:val="Heading 5 Char"/>
    <w:link w:val="6"/>
    <w:qFormat/>
    <w:uiPriority w:val="9"/>
    <w:rPr>
      <w:rFonts w:ascii="Arial" w:hAnsi="Arial" w:eastAsia="Arial" w:cs="Arial"/>
      <w:b/>
      <w:bCs/>
      <w:sz w:val="24"/>
      <w:szCs w:val="24"/>
    </w:rPr>
  </w:style>
  <w:style w:type="character" w:customStyle="1" w:styleId="43">
    <w:name w:val="Heading 6 Char"/>
    <w:link w:val="7"/>
    <w:qFormat/>
    <w:uiPriority w:val="9"/>
    <w:rPr>
      <w:rFonts w:ascii="Arial" w:hAnsi="Arial" w:eastAsia="Arial" w:cs="Arial"/>
      <w:b/>
      <w:bCs/>
      <w:sz w:val="22"/>
      <w:szCs w:val="22"/>
    </w:rPr>
  </w:style>
  <w:style w:type="character" w:customStyle="1" w:styleId="44">
    <w:name w:val="Heading 7 Char"/>
    <w:link w:val="8"/>
    <w:qFormat/>
    <w:uiPriority w:val="9"/>
    <w:rPr>
      <w:rFonts w:ascii="Arial" w:hAnsi="Arial" w:eastAsia="Arial" w:cs="Arial"/>
      <w:b/>
      <w:bCs/>
      <w:i/>
      <w:iCs/>
      <w:sz w:val="22"/>
      <w:szCs w:val="22"/>
    </w:rPr>
  </w:style>
  <w:style w:type="character" w:customStyle="1" w:styleId="45">
    <w:name w:val="Heading 8 Char"/>
    <w:link w:val="9"/>
    <w:qFormat/>
    <w:uiPriority w:val="9"/>
    <w:rPr>
      <w:rFonts w:ascii="Arial" w:hAnsi="Arial" w:eastAsia="Arial" w:cs="Arial"/>
      <w:i/>
      <w:iCs/>
      <w:sz w:val="22"/>
      <w:szCs w:val="22"/>
    </w:rPr>
  </w:style>
  <w:style w:type="character" w:customStyle="1" w:styleId="46">
    <w:name w:val="Heading 9 Char"/>
    <w:link w:val="10"/>
    <w:qFormat/>
    <w:uiPriority w:val="9"/>
    <w:rPr>
      <w:rFonts w:ascii="Arial" w:hAnsi="Arial" w:eastAsia="Arial" w:cs="Arial"/>
      <w:i/>
      <w:iCs/>
      <w:sz w:val="21"/>
      <w:szCs w:val="21"/>
    </w:rPr>
  </w:style>
  <w:style w:type="paragraph" w:styleId="47">
    <w:name w:val="No Spacing"/>
    <w:qFormat/>
    <w:uiPriority w:val="1"/>
    <w:pPr>
      <w:spacing w:before="0" w:after="0" w:line="240" w:lineRule="auto"/>
    </w:pPr>
    <w:rPr>
      <w:rFonts w:hint="default" w:ascii="Times New Roman" w:hAnsi="Times New Roman" w:eastAsia="宋体" w:cs="Times New Roman"/>
    </w:rPr>
  </w:style>
  <w:style w:type="character" w:customStyle="1" w:styleId="48">
    <w:name w:val="Title Char"/>
    <w:link w:val="30"/>
    <w:qFormat/>
    <w:uiPriority w:val="10"/>
    <w:rPr>
      <w:sz w:val="48"/>
      <w:szCs w:val="48"/>
    </w:rPr>
  </w:style>
  <w:style w:type="character" w:customStyle="1" w:styleId="49">
    <w:name w:val="Subtitle Char"/>
    <w:link w:val="24"/>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link w:val="21"/>
    <w:qFormat/>
    <w:uiPriority w:val="99"/>
  </w:style>
  <w:style w:type="character" w:customStyle="1" w:styleId="55">
    <w:name w:val="Footer Char"/>
    <w:link w:val="20"/>
    <w:qFormat/>
    <w:uiPriority w:val="99"/>
  </w:style>
  <w:style w:type="character" w:customStyle="1" w:styleId="56">
    <w:name w:val="Caption Char"/>
    <w:link w:val="20"/>
    <w:qFormat/>
    <w:uiPriority w:val="99"/>
  </w:style>
  <w:style w:type="table" w:customStyle="1" w:styleId="57">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8">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5">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6">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7">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8">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9">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0">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2">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3">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4">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5">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6">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7">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6">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3">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4">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5">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6">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7">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8">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4">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5">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1">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2">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4">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5">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6">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7">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8">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9">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1">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2">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3">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4">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5">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6">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8">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9">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0">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1">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2">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3">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5">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6">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7">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8">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9">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0">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2">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3">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4">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5">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6">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7">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9">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4">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6">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1">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3">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4">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5">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6">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7">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8">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7">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8">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9">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0">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1">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2">
    <w:name w:val="Footnote Text Char"/>
    <w:link w:val="25"/>
    <w:qFormat/>
    <w:uiPriority w:val="99"/>
    <w:rPr>
      <w:sz w:val="18"/>
    </w:rPr>
  </w:style>
  <w:style w:type="character" w:customStyle="1" w:styleId="183">
    <w:name w:val="Endnote Text Char"/>
    <w:link w:val="19"/>
    <w:qFormat/>
    <w:uiPriority w:val="99"/>
    <w:rPr>
      <w:sz w:val="20"/>
    </w:rPr>
  </w:style>
  <w:style w:type="paragraph" w:customStyle="1" w:styleId="184">
    <w:name w:val="TOC Heading"/>
    <w:unhideWhenUsed/>
    <w:qFormat/>
    <w:uiPriority w:val="39"/>
    <w:rPr>
      <w:rFonts w:hint="default" w:ascii="Times New Roman" w:hAnsi="Times New Roman" w:eastAsia="宋体" w:cs="Times New Roman"/>
    </w:rPr>
  </w:style>
  <w:style w:type="paragraph" w:customStyle="1" w:styleId="185">
    <w:name w:val="标题 11"/>
    <w:basedOn w:val="1"/>
    <w:next w:val="1"/>
    <w:link w:val="193"/>
    <w:qFormat/>
    <w:uiPriority w:val="0"/>
    <w:pPr>
      <w:keepNext/>
      <w:outlineLvl w:val="0"/>
    </w:pPr>
    <w:rPr>
      <w:rFonts w:ascii="楷体_GB2312" w:eastAsia="楷体_GB2312"/>
      <w:sz w:val="28"/>
      <w:szCs w:val="20"/>
    </w:rPr>
  </w:style>
  <w:style w:type="paragraph" w:customStyle="1" w:styleId="186">
    <w:name w:val="标题 21"/>
    <w:basedOn w:val="1"/>
    <w:next w:val="1"/>
    <w:qFormat/>
    <w:uiPriority w:val="0"/>
    <w:pPr>
      <w:keepNext/>
      <w:keepLines/>
      <w:spacing w:before="260" w:after="260" w:line="416" w:lineRule="auto"/>
      <w:jc w:val="center"/>
      <w:outlineLvl w:val="1"/>
    </w:pPr>
    <w:rPr>
      <w:rFonts w:ascii="Arial" w:hAnsi="Arial" w:eastAsia="幼圆"/>
      <w:b/>
      <w:sz w:val="44"/>
      <w:szCs w:val="20"/>
    </w:rPr>
  </w:style>
  <w:style w:type="paragraph" w:customStyle="1" w:styleId="187">
    <w:name w:val="标题 31"/>
    <w:basedOn w:val="1"/>
    <w:next w:val="1"/>
    <w:qFormat/>
    <w:uiPriority w:val="0"/>
    <w:pPr>
      <w:keepNext/>
      <w:keepLines/>
      <w:spacing w:before="260" w:after="260" w:line="416" w:lineRule="auto"/>
      <w:outlineLvl w:val="2"/>
    </w:pPr>
    <w:rPr>
      <w:b/>
      <w:sz w:val="32"/>
      <w:szCs w:val="20"/>
    </w:rPr>
  </w:style>
  <w:style w:type="paragraph" w:customStyle="1" w:styleId="188">
    <w:name w:val="标题 41"/>
    <w:basedOn w:val="1"/>
    <w:next w:val="189"/>
    <w:qFormat/>
    <w:uiPriority w:val="0"/>
    <w:pPr>
      <w:keepNext/>
      <w:keepLines/>
      <w:spacing w:before="280" w:after="290" w:line="376" w:lineRule="auto"/>
      <w:outlineLvl w:val="3"/>
    </w:pPr>
    <w:rPr>
      <w:rFonts w:ascii="Arial" w:hAnsi="Arial" w:eastAsia="黑体"/>
      <w:b/>
      <w:bCs/>
      <w:sz w:val="28"/>
      <w:szCs w:val="28"/>
    </w:rPr>
  </w:style>
  <w:style w:type="paragraph" w:customStyle="1" w:styleId="189">
    <w:name w:val="正文缩进1"/>
    <w:basedOn w:val="1"/>
    <w:link w:val="194"/>
    <w:qFormat/>
    <w:uiPriority w:val="0"/>
    <w:pPr>
      <w:ind w:firstLine="420"/>
    </w:pPr>
    <w:rPr>
      <w:szCs w:val="20"/>
    </w:rPr>
  </w:style>
  <w:style w:type="paragraph" w:customStyle="1" w:styleId="190">
    <w:name w:val="标题 51"/>
    <w:basedOn w:val="1"/>
    <w:next w:val="1"/>
    <w:qFormat/>
    <w:uiPriority w:val="0"/>
    <w:pPr>
      <w:keepNext/>
      <w:outlineLvl w:val="4"/>
    </w:pPr>
    <w:rPr>
      <w:rFonts w:ascii="宋体" w:hAnsi="宋体"/>
      <w:b/>
      <w:bCs/>
    </w:rPr>
  </w:style>
  <w:style w:type="character" w:customStyle="1" w:styleId="191">
    <w:name w:val="默认段落字体1"/>
    <w:link w:val="1"/>
    <w:semiHidden/>
    <w:qFormat/>
    <w:uiPriority w:val="0"/>
  </w:style>
  <w:style w:type="table" w:customStyle="1" w:styleId="192">
    <w:name w:val="普通表格1"/>
    <w:semiHidden/>
    <w:qFormat/>
    <w:uiPriority w:val="0"/>
  </w:style>
  <w:style w:type="character" w:customStyle="1" w:styleId="193">
    <w:name w:val="标题 1 Char"/>
    <w:link w:val="185"/>
    <w:qFormat/>
    <w:uiPriority w:val="0"/>
    <w:rPr>
      <w:rFonts w:ascii="楷体_GB2312" w:eastAsia="楷体_GB2312"/>
      <w:sz w:val="28"/>
      <w:lang w:val="en-US" w:eastAsia="zh-CN" w:bidi="ar-SA"/>
    </w:rPr>
  </w:style>
  <w:style w:type="character" w:customStyle="1" w:styleId="194">
    <w:name w:val="正文缩进 Char1"/>
    <w:link w:val="189"/>
    <w:qFormat/>
    <w:uiPriority w:val="0"/>
    <w:rPr>
      <w:rFonts w:eastAsia="宋体"/>
      <w:sz w:val="21"/>
      <w:lang w:val="en-US" w:eastAsia="zh-CN" w:bidi="ar-SA"/>
    </w:rPr>
  </w:style>
  <w:style w:type="paragraph" w:customStyle="1" w:styleId="195">
    <w:name w:val="目录 71"/>
    <w:basedOn w:val="1"/>
    <w:next w:val="1"/>
    <w:semiHidden/>
    <w:qFormat/>
    <w:uiPriority w:val="0"/>
    <w:pPr>
      <w:ind w:left="2520"/>
    </w:pPr>
  </w:style>
  <w:style w:type="paragraph" w:customStyle="1" w:styleId="196">
    <w:name w:val="文档结构图1"/>
    <w:basedOn w:val="1"/>
    <w:semiHidden/>
    <w:qFormat/>
    <w:uiPriority w:val="0"/>
    <w:pPr>
      <w:shd w:val="clear" w:color="auto" w:fill="000080"/>
    </w:pPr>
  </w:style>
  <w:style w:type="paragraph" w:customStyle="1" w:styleId="197">
    <w:name w:val="引文目录标题1"/>
    <w:basedOn w:val="1"/>
    <w:next w:val="1"/>
    <w:unhideWhenUsed/>
    <w:qFormat/>
    <w:uiPriority w:val="0"/>
    <w:pPr>
      <w:spacing w:before="120"/>
    </w:pPr>
    <w:rPr>
      <w:rFonts w:ascii="Arial" w:hAnsi="Arial"/>
      <w:b/>
      <w:bCs/>
      <w:szCs w:val="24"/>
    </w:rPr>
  </w:style>
  <w:style w:type="paragraph" w:customStyle="1" w:styleId="198">
    <w:name w:val="批注文字1"/>
    <w:basedOn w:val="1"/>
    <w:link w:val="199"/>
    <w:qFormat/>
    <w:uiPriority w:val="0"/>
    <w:pPr>
      <w:jc w:val="left"/>
    </w:pPr>
  </w:style>
  <w:style w:type="character" w:customStyle="1" w:styleId="199">
    <w:name w:val="批注文字 Char"/>
    <w:link w:val="198"/>
    <w:qFormat/>
    <w:uiPriority w:val="0"/>
    <w:rPr>
      <w:sz w:val="21"/>
      <w:szCs w:val="24"/>
    </w:rPr>
  </w:style>
  <w:style w:type="paragraph" w:customStyle="1" w:styleId="200">
    <w:name w:val="正文文本 31"/>
    <w:basedOn w:val="1"/>
    <w:qFormat/>
    <w:uiPriority w:val="0"/>
    <w:rPr>
      <w:rFonts w:ascii="仿宋_GB2312" w:hAnsi="Arial" w:eastAsia="仿宋_GB2312"/>
      <w:sz w:val="32"/>
      <w:szCs w:val="20"/>
    </w:rPr>
  </w:style>
  <w:style w:type="paragraph" w:customStyle="1" w:styleId="201">
    <w:name w:val="正文文本1"/>
    <w:basedOn w:val="1"/>
    <w:next w:val="202"/>
    <w:qFormat/>
    <w:uiPriority w:val="0"/>
    <w:rPr>
      <w:rFonts w:ascii="楷体_GB2312" w:hAnsi="Arial" w:eastAsia="楷体_GB2312"/>
      <w:sz w:val="28"/>
      <w:szCs w:val="20"/>
    </w:rPr>
  </w:style>
  <w:style w:type="paragraph" w:customStyle="1" w:styleId="202">
    <w:name w:val="正文文本 21"/>
    <w:basedOn w:val="1"/>
    <w:qFormat/>
    <w:uiPriority w:val="0"/>
    <w:pPr>
      <w:jc w:val="center"/>
    </w:pPr>
    <w:rPr>
      <w:rFonts w:ascii="仿宋_GB2312" w:eastAsia="仿宋_GB2312"/>
      <w:sz w:val="44"/>
    </w:rPr>
  </w:style>
  <w:style w:type="paragraph" w:customStyle="1" w:styleId="203">
    <w:name w:val="正文文本缩进1"/>
    <w:basedOn w:val="1"/>
    <w:link w:val="204"/>
    <w:qFormat/>
    <w:uiPriority w:val="0"/>
    <w:pPr>
      <w:ind w:firstLine="645"/>
    </w:pPr>
    <w:rPr>
      <w:rFonts w:ascii="楷体_GB2312" w:eastAsia="楷体_GB2312"/>
      <w:sz w:val="32"/>
      <w:szCs w:val="20"/>
    </w:rPr>
  </w:style>
  <w:style w:type="character" w:customStyle="1" w:styleId="204">
    <w:name w:val="正文文本缩进 Char"/>
    <w:link w:val="203"/>
    <w:qFormat/>
    <w:uiPriority w:val="0"/>
    <w:rPr>
      <w:rFonts w:ascii="楷体_GB2312" w:eastAsia="楷体_GB2312"/>
      <w:sz w:val="32"/>
    </w:rPr>
  </w:style>
  <w:style w:type="paragraph" w:customStyle="1" w:styleId="205">
    <w:name w:val="目录 51"/>
    <w:basedOn w:val="1"/>
    <w:next w:val="1"/>
    <w:semiHidden/>
    <w:qFormat/>
    <w:uiPriority w:val="0"/>
    <w:pPr>
      <w:ind w:left="1680"/>
    </w:pPr>
  </w:style>
  <w:style w:type="paragraph" w:customStyle="1" w:styleId="206">
    <w:name w:val="目录 31"/>
    <w:basedOn w:val="1"/>
    <w:next w:val="1"/>
    <w:qFormat/>
    <w:uiPriority w:val="39"/>
    <w:pPr>
      <w:tabs>
        <w:tab w:val="right" w:leader="dot" w:pos="9440"/>
      </w:tabs>
      <w:spacing w:line="240" w:lineRule="exact"/>
      <w:ind w:left="539"/>
      <w:jc w:val="left"/>
    </w:pPr>
    <w:rPr>
      <w:rFonts w:ascii="黑体" w:hAnsi="宋体" w:eastAsia="黑体"/>
      <w:bCs/>
      <w:iCs/>
      <w:sz w:val="18"/>
      <w:szCs w:val="32"/>
    </w:rPr>
  </w:style>
  <w:style w:type="paragraph" w:customStyle="1" w:styleId="207">
    <w:name w:val="纯文本11"/>
    <w:basedOn w:val="1"/>
    <w:next w:val="189"/>
    <w:link w:val="208"/>
    <w:qFormat/>
    <w:uiPriority w:val="0"/>
    <w:rPr>
      <w:rFonts w:ascii="宋体" w:hAnsi="Courier New"/>
      <w:szCs w:val="20"/>
    </w:rPr>
  </w:style>
  <w:style w:type="character" w:customStyle="1" w:styleId="208">
    <w:name w:val="纯文本 Char1"/>
    <w:link w:val="207"/>
    <w:qFormat/>
    <w:uiPriority w:val="0"/>
    <w:rPr>
      <w:rFonts w:ascii="宋体" w:hAnsi="Courier New"/>
      <w:sz w:val="21"/>
    </w:rPr>
  </w:style>
  <w:style w:type="paragraph" w:customStyle="1" w:styleId="209">
    <w:name w:val="目录 81"/>
    <w:basedOn w:val="1"/>
    <w:next w:val="1"/>
    <w:semiHidden/>
    <w:qFormat/>
    <w:uiPriority w:val="0"/>
    <w:pPr>
      <w:ind w:left="2940"/>
    </w:pPr>
  </w:style>
  <w:style w:type="paragraph" w:customStyle="1" w:styleId="210">
    <w:name w:val="日期1"/>
    <w:basedOn w:val="1"/>
    <w:next w:val="1"/>
    <w:qFormat/>
    <w:uiPriority w:val="0"/>
    <w:rPr>
      <w:sz w:val="24"/>
      <w:szCs w:val="20"/>
    </w:rPr>
  </w:style>
  <w:style w:type="paragraph" w:customStyle="1" w:styleId="211">
    <w:name w:val="正文文本缩进 21"/>
    <w:basedOn w:val="1"/>
    <w:qFormat/>
    <w:uiPriority w:val="0"/>
    <w:pPr>
      <w:ind w:firstLine="560"/>
    </w:pPr>
    <w:rPr>
      <w:rFonts w:ascii="宋体" w:hAnsi="宋体"/>
      <w:sz w:val="28"/>
    </w:rPr>
  </w:style>
  <w:style w:type="paragraph" w:customStyle="1" w:styleId="212">
    <w:name w:val="批注框文本1"/>
    <w:basedOn w:val="1"/>
    <w:semiHidden/>
    <w:qFormat/>
    <w:uiPriority w:val="0"/>
    <w:rPr>
      <w:sz w:val="18"/>
      <w:szCs w:val="18"/>
    </w:rPr>
  </w:style>
  <w:style w:type="paragraph" w:customStyle="1" w:styleId="213">
    <w:name w:val="页脚1"/>
    <w:basedOn w:val="1"/>
    <w:link w:val="214"/>
    <w:qFormat/>
    <w:uiPriority w:val="99"/>
    <w:pPr>
      <w:tabs>
        <w:tab w:val="center" w:pos="4153"/>
        <w:tab w:val="right" w:pos="8306"/>
      </w:tabs>
      <w:jc w:val="left"/>
    </w:pPr>
    <w:rPr>
      <w:sz w:val="18"/>
      <w:szCs w:val="20"/>
    </w:rPr>
  </w:style>
  <w:style w:type="character" w:customStyle="1" w:styleId="214">
    <w:name w:val="页脚 Char"/>
    <w:link w:val="213"/>
    <w:qFormat/>
    <w:uiPriority w:val="99"/>
    <w:rPr>
      <w:sz w:val="18"/>
    </w:rPr>
  </w:style>
  <w:style w:type="paragraph" w:customStyle="1" w:styleId="215">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16">
    <w:name w:val="目录 111"/>
    <w:basedOn w:val="1"/>
    <w:next w:val="1"/>
    <w:qFormat/>
    <w:uiPriority w:val="39"/>
    <w:pPr>
      <w:tabs>
        <w:tab w:val="right" w:leader="dot" w:pos="9440"/>
      </w:tabs>
      <w:spacing w:before="120" w:after="120" w:line="300" w:lineRule="exact"/>
      <w:jc w:val="left"/>
    </w:pPr>
    <w:rPr>
      <w:rFonts w:ascii="黑体" w:eastAsia="黑体"/>
      <w:b/>
      <w:caps/>
      <w:sz w:val="18"/>
      <w:szCs w:val="28"/>
    </w:rPr>
  </w:style>
  <w:style w:type="paragraph" w:customStyle="1" w:styleId="217">
    <w:name w:val="目录 41"/>
    <w:basedOn w:val="1"/>
    <w:next w:val="1"/>
    <w:semiHidden/>
    <w:qFormat/>
    <w:uiPriority w:val="0"/>
    <w:pPr>
      <w:ind w:left="1260"/>
    </w:pPr>
  </w:style>
  <w:style w:type="paragraph" w:customStyle="1" w:styleId="218">
    <w:name w:val="目录 61"/>
    <w:basedOn w:val="1"/>
    <w:next w:val="1"/>
    <w:semiHidden/>
    <w:qFormat/>
    <w:uiPriority w:val="0"/>
    <w:pPr>
      <w:ind w:left="2100"/>
    </w:pPr>
  </w:style>
  <w:style w:type="paragraph" w:customStyle="1" w:styleId="219">
    <w:name w:val="正文文本缩进 31"/>
    <w:basedOn w:val="1"/>
    <w:qFormat/>
    <w:uiPriority w:val="0"/>
    <w:pPr>
      <w:ind w:firstLine="523"/>
    </w:pPr>
    <w:rPr>
      <w:rFonts w:ascii="仿宋_GB2312" w:hAnsi="宋体" w:eastAsia="仿宋_GB2312"/>
      <w:sz w:val="24"/>
    </w:rPr>
  </w:style>
  <w:style w:type="paragraph" w:customStyle="1" w:styleId="220">
    <w:name w:val="目录 21"/>
    <w:basedOn w:val="1"/>
    <w:next w:val="1"/>
    <w:semiHidden/>
    <w:qFormat/>
    <w:uiPriority w:val="0"/>
    <w:pPr>
      <w:tabs>
        <w:tab w:val="right" w:leader="dot" w:pos="9440"/>
      </w:tabs>
      <w:spacing w:line="260" w:lineRule="exact"/>
      <w:jc w:val="left"/>
    </w:pPr>
    <w:rPr>
      <w:rFonts w:ascii="黑体" w:eastAsia="黑体"/>
      <w:b/>
      <w:bCs/>
      <w:smallCaps/>
      <w:sz w:val="18"/>
      <w:szCs w:val="44"/>
    </w:rPr>
  </w:style>
  <w:style w:type="paragraph" w:customStyle="1" w:styleId="221">
    <w:name w:val="目录 91"/>
    <w:basedOn w:val="1"/>
    <w:next w:val="1"/>
    <w:semiHidden/>
    <w:qFormat/>
    <w:uiPriority w:val="0"/>
    <w:pPr>
      <w:ind w:left="3360"/>
    </w:pPr>
  </w:style>
  <w:style w:type="paragraph" w:customStyle="1" w:styleId="22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customStyle="1" w:styleId="223">
    <w:name w:val="普通(网站)1"/>
    <w:basedOn w:val="1"/>
    <w:unhideWhenUsed/>
    <w:qFormat/>
    <w:uiPriority w:val="99"/>
    <w:pPr>
      <w:widowControl/>
      <w:spacing w:before="100" w:beforeAutospacing="1" w:after="100" w:afterAutospacing="1"/>
      <w:jc w:val="left"/>
    </w:pPr>
    <w:rPr>
      <w:rFonts w:ascii="宋体" w:hAnsi="宋体" w:cs="宋体"/>
      <w:sz w:val="24"/>
    </w:rPr>
  </w:style>
  <w:style w:type="paragraph" w:customStyle="1" w:styleId="224">
    <w:name w:val="索引 11"/>
    <w:basedOn w:val="1"/>
    <w:next w:val="1"/>
    <w:semiHidden/>
    <w:qFormat/>
    <w:uiPriority w:val="0"/>
    <w:rPr>
      <w:rFonts w:ascii="宋体" w:hAnsi="宋体"/>
      <w:szCs w:val="18"/>
    </w:rPr>
  </w:style>
  <w:style w:type="paragraph" w:customStyle="1" w:styleId="225">
    <w:name w:val="标题11"/>
    <w:basedOn w:val="1"/>
    <w:next w:val="1"/>
    <w:link w:val="226"/>
    <w:qFormat/>
    <w:uiPriority w:val="0"/>
    <w:pPr>
      <w:spacing w:before="240" w:after="60"/>
      <w:jc w:val="center"/>
      <w:outlineLvl w:val="0"/>
    </w:pPr>
    <w:rPr>
      <w:rFonts w:ascii="Cambria" w:hAnsi="Cambria"/>
      <w:b/>
      <w:bCs/>
      <w:sz w:val="32"/>
      <w:szCs w:val="32"/>
    </w:rPr>
  </w:style>
  <w:style w:type="character" w:customStyle="1" w:styleId="226">
    <w:name w:val="标题 Char"/>
    <w:link w:val="225"/>
    <w:qFormat/>
    <w:uiPriority w:val="0"/>
    <w:rPr>
      <w:rFonts w:ascii="Cambria" w:hAnsi="Cambria" w:cs="Times New Roman"/>
      <w:b/>
      <w:bCs/>
      <w:sz w:val="32"/>
      <w:szCs w:val="32"/>
    </w:rPr>
  </w:style>
  <w:style w:type="paragraph" w:customStyle="1" w:styleId="227">
    <w:name w:val="批注主题1"/>
    <w:basedOn w:val="198"/>
    <w:next w:val="198"/>
    <w:link w:val="228"/>
    <w:qFormat/>
    <w:uiPriority w:val="0"/>
    <w:rPr>
      <w:b/>
      <w:bCs/>
    </w:rPr>
  </w:style>
  <w:style w:type="character" w:customStyle="1" w:styleId="228">
    <w:name w:val="批注主题 Char"/>
    <w:link w:val="227"/>
    <w:qFormat/>
    <w:uiPriority w:val="0"/>
    <w:rPr>
      <w:b/>
      <w:bCs/>
      <w:sz w:val="21"/>
      <w:szCs w:val="24"/>
    </w:rPr>
  </w:style>
  <w:style w:type="paragraph" w:customStyle="1" w:styleId="229">
    <w:name w:val="正文首行缩进1"/>
    <w:basedOn w:val="201"/>
    <w:qFormat/>
    <w:uiPriority w:val="0"/>
    <w:pPr>
      <w:spacing w:after="120" w:line="240" w:lineRule="auto"/>
      <w:ind w:firstLine="100"/>
    </w:pPr>
    <w:rPr>
      <w:rFonts w:ascii="Times New Roman" w:eastAsia="宋体"/>
      <w:sz w:val="21"/>
    </w:rPr>
  </w:style>
  <w:style w:type="paragraph" w:customStyle="1" w:styleId="230">
    <w:name w:val="正文首行缩进 21"/>
    <w:basedOn w:val="203"/>
    <w:link w:val="231"/>
    <w:unhideWhenUsed/>
    <w:qFormat/>
    <w:uiPriority w:val="0"/>
    <w:pPr>
      <w:spacing w:after="120"/>
      <w:ind w:left="420" w:firstLine="420"/>
    </w:pPr>
    <w:rPr>
      <w:sz w:val="21"/>
      <w:szCs w:val="24"/>
    </w:rPr>
  </w:style>
  <w:style w:type="character" w:customStyle="1" w:styleId="231">
    <w:name w:val="正文首行缩进 2 Char"/>
    <w:link w:val="230"/>
    <w:qFormat/>
    <w:uiPriority w:val="0"/>
    <w:rPr>
      <w:rFonts w:ascii="楷体_GB2312" w:eastAsia="楷体_GB2312"/>
      <w:sz w:val="21"/>
      <w:szCs w:val="24"/>
    </w:rPr>
  </w:style>
  <w:style w:type="table" w:customStyle="1" w:styleId="232">
    <w:name w:val="网格型1"/>
    <w:basedOn w:val="192"/>
    <w:qFormat/>
    <w:uiPriority w:val="0"/>
    <w:pPr>
      <w:widowControl w:val="0"/>
      <w:jc w:val="both"/>
    </w:pPr>
  </w:style>
  <w:style w:type="character" w:customStyle="1" w:styleId="233">
    <w:name w:val="要点1"/>
    <w:link w:val="1"/>
    <w:qFormat/>
    <w:uiPriority w:val="0"/>
    <w:rPr>
      <w:b/>
      <w:bCs/>
    </w:rPr>
  </w:style>
  <w:style w:type="character" w:customStyle="1" w:styleId="234">
    <w:name w:val="页码1"/>
    <w:basedOn w:val="191"/>
    <w:link w:val="1"/>
    <w:qFormat/>
    <w:uiPriority w:val="0"/>
  </w:style>
  <w:style w:type="character" w:customStyle="1" w:styleId="235">
    <w:name w:val="已访问的超链接1"/>
    <w:link w:val="1"/>
    <w:qFormat/>
    <w:uiPriority w:val="0"/>
    <w:rPr>
      <w:rFonts w:hint="eastAsia" w:ascii="微软雅黑" w:hAnsi="微软雅黑" w:eastAsia="微软雅黑" w:cs="微软雅黑"/>
      <w:color w:val="3D3D3D"/>
      <w:u w:val="none"/>
    </w:rPr>
  </w:style>
  <w:style w:type="character" w:customStyle="1" w:styleId="236">
    <w:name w:val="超链接1"/>
    <w:link w:val="1"/>
    <w:qFormat/>
    <w:uiPriority w:val="99"/>
    <w:rPr>
      <w:rFonts w:ascii="微软雅黑" w:hAnsi="微软雅黑" w:eastAsia="微软雅黑" w:cs="微软雅黑"/>
      <w:color w:val="3D3D3D"/>
      <w:u w:val="none"/>
    </w:rPr>
  </w:style>
  <w:style w:type="character" w:customStyle="1" w:styleId="237">
    <w:name w:val="批注引用1"/>
    <w:link w:val="1"/>
    <w:qFormat/>
    <w:uiPriority w:val="0"/>
    <w:rPr>
      <w:sz w:val="21"/>
      <w:szCs w:val="21"/>
    </w:rPr>
  </w:style>
  <w:style w:type="paragraph" w:customStyle="1" w:styleId="238">
    <w:name w:val="段"/>
    <w:next w:val="1"/>
    <w:qFormat/>
    <w:uiPriority w:val="0"/>
    <w:pPr>
      <w:ind w:firstLine="200"/>
      <w:jc w:val="both"/>
    </w:pPr>
    <w:rPr>
      <w:rFonts w:hint="default" w:ascii="宋体" w:hAnsi="Times New Roman" w:eastAsia="宋体" w:cs="Times New Roman"/>
      <w:sz w:val="21"/>
      <w:szCs w:val="22"/>
      <w:lang w:val="en-US" w:eastAsia="zh-CN" w:bidi="ar-SA"/>
    </w:rPr>
  </w:style>
  <w:style w:type="character" w:customStyle="1" w:styleId="239">
    <w:name w:val="font21"/>
    <w:link w:val="1"/>
    <w:qFormat/>
    <w:uiPriority w:val="0"/>
    <w:rPr>
      <w:rFonts w:ascii="Calibri" w:hAnsi="Calibri" w:cs="Calibri"/>
      <w:color w:val="000000"/>
      <w:sz w:val="24"/>
      <w:szCs w:val="24"/>
      <w:u w:val="none"/>
    </w:rPr>
  </w:style>
  <w:style w:type="character" w:customStyle="1" w:styleId="240">
    <w:name w:val="纯文本 Char"/>
    <w:link w:val="1"/>
    <w:qFormat/>
    <w:uiPriority w:val="0"/>
    <w:rPr>
      <w:rFonts w:ascii="宋体" w:hAnsi="Courier New"/>
      <w:sz w:val="21"/>
    </w:rPr>
  </w:style>
  <w:style w:type="character" w:customStyle="1" w:styleId="241">
    <w:name w:val="font51"/>
    <w:link w:val="1"/>
    <w:qFormat/>
    <w:uiPriority w:val="0"/>
    <w:rPr>
      <w:rFonts w:hint="eastAsia" w:ascii="宋体" w:hAnsi="宋体" w:eastAsia="宋体" w:cs="宋体"/>
      <w:color w:val="000000"/>
      <w:sz w:val="24"/>
      <w:szCs w:val="24"/>
      <w:u w:val="none"/>
    </w:rPr>
  </w:style>
  <w:style w:type="character" w:customStyle="1" w:styleId="242">
    <w:name w:val="表蕊 Char1"/>
    <w:link w:val="243"/>
    <w:qFormat/>
    <w:uiPriority w:val="99"/>
    <w:rPr>
      <w:rFonts w:eastAsia="楷体_GB2312"/>
      <w:spacing w:val="-10"/>
    </w:rPr>
  </w:style>
  <w:style w:type="paragraph" w:customStyle="1" w:styleId="243">
    <w:name w:val="表蕊"/>
    <w:basedOn w:val="1"/>
    <w:link w:val="242"/>
    <w:qFormat/>
    <w:uiPriority w:val="99"/>
    <w:pPr>
      <w:spacing w:line="320" w:lineRule="atLeast"/>
      <w:jc w:val="left"/>
    </w:pPr>
    <w:rPr>
      <w:rFonts w:eastAsia="楷体_GB2312"/>
      <w:spacing w:val="-10"/>
      <w:sz w:val="20"/>
      <w:szCs w:val="20"/>
    </w:rPr>
  </w:style>
  <w:style w:type="character" w:customStyle="1" w:styleId="244">
    <w:name w:val="标题2 Char"/>
    <w:link w:val="1"/>
    <w:qFormat/>
    <w:uiPriority w:val="0"/>
    <w:rPr>
      <w:rFonts w:ascii="方正楷体_GBK" w:hAnsi="Book Antiqua" w:eastAsia="方正楷体_GBK"/>
      <w:sz w:val="32"/>
      <w:lang w:val="en-US" w:eastAsia="zh-CN" w:bidi="ar-SA"/>
    </w:rPr>
  </w:style>
  <w:style w:type="character" w:customStyle="1" w:styleId="245">
    <w:name w:val="表格标题 Char"/>
    <w:link w:val="246"/>
    <w:qFormat/>
    <w:uiPriority w:val="0"/>
    <w:rPr>
      <w:rFonts w:ascii="Arial Black" w:hAnsi="Arial Black" w:eastAsia="黑体"/>
      <w:sz w:val="24"/>
      <w:szCs w:val="24"/>
    </w:rPr>
  </w:style>
  <w:style w:type="paragraph" w:customStyle="1" w:styleId="246">
    <w:name w:val="表格标题"/>
    <w:basedOn w:val="1"/>
    <w:link w:val="245"/>
    <w:qFormat/>
    <w:uiPriority w:val="0"/>
    <w:pPr>
      <w:spacing w:after="156" w:line="400" w:lineRule="exact"/>
      <w:jc w:val="center"/>
    </w:pPr>
    <w:rPr>
      <w:rFonts w:ascii="Arial Black" w:hAnsi="Arial Black" w:eastAsia="黑体"/>
      <w:sz w:val="24"/>
    </w:rPr>
  </w:style>
  <w:style w:type="character" w:customStyle="1" w:styleId="247">
    <w:name w:val="表头 Char"/>
    <w:link w:val="248"/>
    <w:qFormat/>
    <w:uiPriority w:val="0"/>
    <w:rPr>
      <w:rFonts w:eastAsia="黑体"/>
      <w:spacing w:val="-10"/>
    </w:rPr>
  </w:style>
  <w:style w:type="paragraph" w:customStyle="1" w:styleId="248">
    <w:name w:val="表头"/>
    <w:basedOn w:val="1"/>
    <w:link w:val="247"/>
    <w:qFormat/>
    <w:uiPriority w:val="0"/>
    <w:pPr>
      <w:spacing w:line="320" w:lineRule="atLeast"/>
      <w:jc w:val="center"/>
    </w:pPr>
    <w:rPr>
      <w:rFonts w:eastAsia="黑体"/>
      <w:spacing w:val="-10"/>
      <w:sz w:val="20"/>
      <w:szCs w:val="20"/>
    </w:rPr>
  </w:style>
  <w:style w:type="character" w:customStyle="1" w:styleId="249">
    <w:name w:val="font01"/>
    <w:link w:val="1"/>
    <w:qFormat/>
    <w:uiPriority w:val="0"/>
    <w:rPr>
      <w:rFonts w:hint="eastAsia" w:ascii="宋体" w:hAnsi="宋体" w:eastAsia="宋体" w:cs="宋体"/>
      <w:color w:val="000000"/>
      <w:sz w:val="30"/>
      <w:szCs w:val="30"/>
      <w:u w:val="none"/>
    </w:rPr>
  </w:style>
  <w:style w:type="character" w:customStyle="1" w:styleId="250">
    <w:name w:val="jj1"/>
    <w:link w:val="1"/>
    <w:qFormat/>
    <w:uiPriority w:val="0"/>
    <w:rPr>
      <w:sz w:val="20"/>
      <w:szCs w:val="20"/>
      <w:u w:val="none"/>
    </w:rPr>
  </w:style>
  <w:style w:type="character" w:customStyle="1" w:styleId="251">
    <w:name w:val="列出段落 Char"/>
    <w:link w:val="252"/>
    <w:qFormat/>
    <w:uiPriority w:val="0"/>
    <w:rPr>
      <w:rFonts w:ascii="Calibri" w:hAnsi="Calibri"/>
      <w:sz w:val="24"/>
      <w:szCs w:val="24"/>
      <w:lang w:eastAsia="en-US" w:bidi="en-US"/>
    </w:rPr>
  </w:style>
  <w:style w:type="paragraph" w:customStyle="1" w:styleId="252">
    <w:name w:val="列出段落1"/>
    <w:basedOn w:val="1"/>
    <w:link w:val="251"/>
    <w:qFormat/>
    <w:uiPriority w:val="0"/>
    <w:pPr>
      <w:widowControl/>
      <w:ind w:left="720"/>
      <w:contextualSpacing/>
      <w:jc w:val="left"/>
    </w:pPr>
    <w:rPr>
      <w:rFonts w:ascii="Calibri" w:hAnsi="Calibri"/>
      <w:sz w:val="24"/>
      <w:lang w:eastAsia="en-US" w:bidi="en-US"/>
    </w:rPr>
  </w:style>
  <w:style w:type="character" w:customStyle="1" w:styleId="253">
    <w:name w:val="日期 Char1"/>
    <w:link w:val="1"/>
    <w:qFormat/>
    <w:uiPriority w:val="0"/>
    <w:rPr>
      <w:sz w:val="21"/>
      <w:szCs w:val="22"/>
    </w:rPr>
  </w:style>
  <w:style w:type="character" w:customStyle="1" w:styleId="254">
    <w:name w:val="font31"/>
    <w:link w:val="1"/>
    <w:qFormat/>
    <w:uiPriority w:val="0"/>
    <w:rPr>
      <w:rFonts w:hint="eastAsia" w:ascii="宋体" w:hAnsi="宋体" w:eastAsia="宋体" w:cs="宋体"/>
      <w:b/>
      <w:color w:val="000000"/>
      <w:sz w:val="36"/>
      <w:szCs w:val="36"/>
      <w:u w:val="none"/>
    </w:rPr>
  </w:style>
  <w:style w:type="character" w:customStyle="1" w:styleId="255">
    <w:name w:val="正文缩进 Char"/>
    <w:link w:val="1"/>
    <w:qFormat/>
    <w:uiPriority w:val="0"/>
    <w:rPr>
      <w:sz w:val="21"/>
      <w:szCs w:val="24"/>
    </w:rPr>
  </w:style>
  <w:style w:type="character" w:customStyle="1" w:styleId="256">
    <w:name w:val=" Char Char7"/>
    <w:link w:val="1"/>
    <w:qFormat/>
    <w:uiPriority w:val="0"/>
    <w:rPr>
      <w:rFonts w:ascii="宋体" w:hAnsi="Courier New" w:eastAsia="宋体" w:cs="Times New Roman"/>
      <w:sz w:val="21"/>
    </w:rPr>
  </w:style>
  <w:style w:type="paragraph" w:customStyle="1" w:styleId="257">
    <w:name w:val="二级标题"/>
    <w:basedOn w:val="186"/>
    <w:qFormat/>
    <w:uiPriority w:val="0"/>
    <w:pPr>
      <w:spacing w:before="62" w:after="62" w:line="500" w:lineRule="exact"/>
    </w:pPr>
    <w:rPr>
      <w:rFonts w:ascii="Times New Roman" w:hAnsi="Times New Roman" w:eastAsia="宋体"/>
      <w:sz w:val="28"/>
    </w:rPr>
  </w:style>
  <w:style w:type="paragraph" w:customStyle="1" w:styleId="258">
    <w:name w:val="Char Char Char Char"/>
    <w:basedOn w:val="196"/>
    <w:qFormat/>
    <w:uiPriority w:val="0"/>
    <w:pPr>
      <w:spacing w:line="360" w:lineRule="auto"/>
    </w:pPr>
    <w:rPr>
      <w:rFonts w:ascii="Tahoma" w:hAnsi="Tahoma"/>
      <w:sz w:val="24"/>
    </w:rPr>
  </w:style>
  <w:style w:type="paragraph" w:customStyle="1" w:styleId="259">
    <w:name w:val=" Char"/>
    <w:basedOn w:val="1"/>
    <w:qFormat/>
    <w:uiPriority w:val="0"/>
    <w:rPr>
      <w:rFonts w:ascii="Tahoma" w:hAnsi="Tahoma"/>
      <w:sz w:val="24"/>
      <w:szCs w:val="20"/>
    </w:rPr>
  </w:style>
  <w:style w:type="paragraph" w:customStyle="1" w:styleId="260">
    <w:name w:val="Table Paragraph"/>
    <w:basedOn w:val="1"/>
    <w:qFormat/>
    <w:uiPriority w:val="1"/>
    <w:pPr>
      <w:jc w:val="left"/>
    </w:pPr>
    <w:rPr>
      <w:rFonts w:ascii="宋体" w:hAnsi="宋体" w:eastAsia="宋体" w:cs="宋体"/>
      <w:sz w:val="22"/>
      <w:lang w:val="zh-CN" w:bidi="zh-CN"/>
    </w:rPr>
  </w:style>
  <w:style w:type="paragraph" w:customStyle="1" w:styleId="261">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262">
    <w:name w:val="标题2"/>
    <w:basedOn w:val="1"/>
    <w:next w:val="1"/>
    <w:qFormat/>
    <w:uiPriority w:val="0"/>
    <w:pPr>
      <w:jc w:val="center"/>
    </w:pPr>
    <w:rPr>
      <w:rFonts w:eastAsia="方正楷体_GBK"/>
    </w:rPr>
  </w:style>
  <w:style w:type="paragraph" w:customStyle="1" w:styleId="263">
    <w:name w:val="列出段落"/>
    <w:basedOn w:val="1"/>
    <w:qFormat/>
    <w:uiPriority w:val="34"/>
    <w:pPr>
      <w:ind w:firstLine="420"/>
    </w:pPr>
    <w:rPr>
      <w:rFonts w:ascii="Calibri" w:hAnsi="Calibri"/>
      <w:szCs w:val="22"/>
    </w:rPr>
  </w:style>
  <w:style w:type="paragraph" w:customStyle="1" w:styleId="264">
    <w:name w:val="正文 1.1"/>
    <w:basedOn w:val="1"/>
    <w:next w:val="265"/>
    <w:qFormat/>
    <w:uiPriority w:val="0"/>
    <w:pPr>
      <w:numPr>
        <w:ilvl w:val="1"/>
        <w:numId w:val="1"/>
      </w:numPr>
      <w:tabs>
        <w:tab w:val="clear" w:pos="851"/>
      </w:tabs>
      <w:spacing w:line="360" w:lineRule="auto"/>
      <w:ind w:left="980" w:hanging="980"/>
      <w:outlineLvl w:val="1"/>
    </w:pPr>
    <w:rPr>
      <w:rFonts w:ascii="仿宋" w:hAnsi="仿宋" w:eastAsia="仿宋"/>
      <w:b/>
      <w:sz w:val="28"/>
      <w:szCs w:val="21"/>
    </w:rPr>
  </w:style>
  <w:style w:type="paragraph" w:customStyle="1" w:styleId="265">
    <w:name w:val="正文 1.1.1"/>
    <w:basedOn w:val="1"/>
    <w:next w:val="1"/>
    <w:qFormat/>
    <w:uiPriority w:val="0"/>
    <w:pPr>
      <w:numPr>
        <w:ilvl w:val="2"/>
        <w:numId w:val="1"/>
      </w:numPr>
      <w:spacing w:line="360" w:lineRule="auto"/>
      <w:outlineLvl w:val="2"/>
    </w:pPr>
    <w:rPr>
      <w:rFonts w:ascii="宋体" w:hAnsi="宋体"/>
      <w:color w:val="000000"/>
      <w:sz w:val="28"/>
      <w:szCs w:val="21"/>
    </w:rPr>
  </w:style>
  <w:style w:type="paragraph" w:customStyle="1" w:styleId="266">
    <w:name w:val="Coms Alinea"/>
    <w:qFormat/>
    <w:uiPriority w:val="0"/>
    <w:pPr>
      <w:widowControl w:val="0"/>
    </w:pPr>
    <w:rPr>
      <w:rFonts w:hint="default" w:ascii="Arial" w:hAnsi="Arial" w:eastAsia="宋体" w:cs="Arial"/>
      <w:lang w:val="en-US" w:eastAsia="zh-CN" w:bidi="ar-SA"/>
    </w:rPr>
  </w:style>
  <w:style w:type="paragraph" w:customStyle="1" w:styleId="267">
    <w:name w:val="jim正文"/>
    <w:basedOn w:val="1"/>
    <w:qFormat/>
    <w:uiPriority w:val="0"/>
    <w:pPr>
      <w:spacing w:line="360" w:lineRule="auto"/>
      <w:ind w:firstLine="560"/>
    </w:pPr>
    <w:rPr>
      <w:rFonts w:ascii="Times New Roman" w:hAnsi="Times New Roman" w:eastAsia="仿宋_GB2312"/>
      <w:sz w:val="32"/>
      <w:szCs w:val="24"/>
    </w:rPr>
  </w:style>
  <w:style w:type="paragraph" w:customStyle="1" w:styleId="268">
    <w:name w:val="标书正文格式"/>
    <w:qFormat/>
    <w:uiPriority w:val="0"/>
    <w:pPr>
      <w:spacing w:line="360" w:lineRule="auto"/>
      <w:ind w:firstLine="200"/>
    </w:pPr>
    <w:rPr>
      <w:rFonts w:hint="default" w:ascii="Times New Roman" w:hAnsi="Times New Roman" w:eastAsia="楷体_GB2312" w:cs="Times New Roman"/>
      <w:sz w:val="24"/>
      <w:szCs w:val="24"/>
      <w:lang w:val="en-US" w:eastAsia="zh-CN" w:bidi="ar-SA"/>
    </w:rPr>
  </w:style>
  <w:style w:type="paragraph" w:customStyle="1" w:styleId="269">
    <w:name w:val="_Style 1"/>
    <w:basedOn w:val="1"/>
    <w:qFormat/>
    <w:uiPriority w:val="34"/>
    <w:pPr>
      <w:ind w:firstLine="420"/>
    </w:pPr>
    <w:rPr>
      <w:rFonts w:ascii="Calibri" w:hAnsi="Calibri"/>
      <w:szCs w:val="22"/>
    </w:rPr>
  </w:style>
  <w:style w:type="paragraph" w:customStyle="1" w:styleId="270">
    <w:name w:val="格式2"/>
    <w:qFormat/>
    <w:uiPriority w:val="99"/>
    <w:pPr>
      <w:widowControl w:val="0"/>
      <w:spacing w:before="50" w:line="440" w:lineRule="exact"/>
      <w:jc w:val="both"/>
    </w:pPr>
    <w:rPr>
      <w:rFonts w:hint="default" w:ascii="Times New Roman" w:hAnsi="Times New Roman" w:eastAsia="宋体" w:cs="Times New Roman"/>
      <w:sz w:val="24"/>
      <w:szCs w:val="22"/>
      <w:lang w:val="en-US" w:eastAsia="zh-CN" w:bidi="ar-SA"/>
    </w:rPr>
  </w:style>
  <w:style w:type="paragraph" w:customStyle="1" w:styleId="271">
    <w:name w:val="图名"/>
    <w:basedOn w:val="1"/>
    <w:qFormat/>
    <w:uiPriority w:val="0"/>
    <w:pPr>
      <w:widowControl/>
      <w:spacing w:line="300" w:lineRule="exact"/>
      <w:ind w:firstLine="420"/>
      <w:jc w:val="center"/>
    </w:pPr>
    <w:rPr>
      <w:b/>
      <w:sz w:val="30"/>
      <w:szCs w:val="20"/>
    </w:rPr>
  </w:style>
  <w:style w:type="paragraph" w:customStyle="1" w:styleId="272">
    <w:name w:val="标题3"/>
    <w:basedOn w:val="1"/>
    <w:next w:val="1"/>
    <w:qFormat/>
    <w:uiPriority w:val="0"/>
    <w:rPr>
      <w:rFonts w:eastAsia="方正黑体_GBK"/>
    </w:rPr>
  </w:style>
  <w:style w:type="paragraph" w:customStyle="1" w:styleId="273">
    <w:name w:val=" Char Char Char Char1 Char Char"/>
    <w:basedOn w:val="1"/>
    <w:qFormat/>
    <w:uiPriority w:val="0"/>
    <w:pPr>
      <w:tabs>
        <w:tab w:val="left" w:pos="360"/>
      </w:tabs>
    </w:pPr>
    <w:rPr>
      <w:sz w:val="24"/>
    </w:rPr>
  </w:style>
  <w:style w:type="paragraph" w:customStyle="1" w:styleId="274">
    <w:name w:val="WPS Plain"/>
    <w:qFormat/>
    <w:uiPriority w:val="0"/>
    <w:rPr>
      <w:rFonts w:hint="default" w:ascii="Times New Roman" w:hAnsi="Times New Roman" w:eastAsia="宋体" w:cs="Times New Roman"/>
      <w:sz w:val="21"/>
      <w:szCs w:val="22"/>
      <w:lang w:val="en-US" w:eastAsia="zh-CN" w:bidi="ar-SA"/>
    </w:rPr>
  </w:style>
  <w:style w:type="paragraph" w:styleId="275">
    <w:name w:val="List Paragraph"/>
    <w:basedOn w:val="1"/>
    <w:qFormat/>
    <w:uiPriority w:val="0"/>
    <w:pPr>
      <w:widowControl/>
      <w:spacing w:after="200"/>
      <w:ind w:firstLine="420"/>
      <w:jc w:val="left"/>
    </w:pPr>
    <w:rPr>
      <w:rFonts w:ascii="Tahoma" w:hAnsi="Tahoma" w:eastAsia="微软雅黑"/>
      <w:sz w:val="22"/>
      <w:szCs w:val="22"/>
    </w:rPr>
  </w:style>
  <w:style w:type="paragraph" w:customStyle="1" w:styleId="276">
    <w:name w:val="Default"/>
    <w:qFormat/>
    <w:uiPriority w:val="0"/>
    <w:pPr>
      <w:widowControl w:val="0"/>
    </w:pPr>
    <w:rPr>
      <w:rFonts w:hint="default" w:ascii="Calibri" w:hAnsi="Calibri" w:eastAsia="宋体" w:cs="Times New Roman"/>
      <w:color w:val="000000"/>
      <w:sz w:val="24"/>
      <w:szCs w:val="24"/>
      <w:lang w:val="en-US" w:eastAsia="zh-CN" w:bidi="ar-SA"/>
    </w:rPr>
  </w:style>
  <w:style w:type="paragraph" w:customStyle="1" w:styleId="277">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278">
    <w:name w:val="TOC 标题"/>
    <w:basedOn w:val="185"/>
    <w:next w:val="1"/>
    <w:qFormat/>
    <w:uiPriority w:val="39"/>
    <w:pPr>
      <w:keepLines/>
      <w:widowControl/>
      <w:spacing w:before="480" w:line="276" w:lineRule="auto"/>
      <w:jc w:val="left"/>
      <w:outlineLvl w:val="9"/>
    </w:pPr>
    <w:rPr>
      <w:rFonts w:ascii="Cambria" w:hAnsi="Cambria" w:eastAsia="宋体" w:cs="Times New Roman"/>
      <w:b/>
      <w:bCs/>
      <w:color w:val="365F91"/>
      <w:szCs w:val="28"/>
    </w:rPr>
  </w:style>
  <w:style w:type="paragraph" w:customStyle="1" w:styleId="279">
    <w:name w:val="正文1"/>
    <w:basedOn w:val="1"/>
    <w:qFormat/>
    <w:uiPriority w:val="99"/>
    <w:pPr>
      <w:spacing w:line="440" w:lineRule="exact"/>
      <w:ind w:firstLine="480"/>
    </w:pPr>
    <w:rPr>
      <w:rFonts w:ascii="微软雅黑" w:hAnsi="微软雅黑" w:eastAsia="微软雅黑"/>
      <w:sz w:val="24"/>
      <w:szCs w:val="20"/>
    </w:rPr>
  </w:style>
  <w:style w:type="paragraph" w:customStyle="1" w:styleId="280">
    <w:name w:val="普通正文"/>
    <w:basedOn w:val="1"/>
    <w:qFormat/>
    <w:uiPriority w:val="99"/>
    <w:pPr>
      <w:spacing w:before="120" w:after="120" w:line="360" w:lineRule="auto"/>
      <w:ind w:firstLine="480"/>
      <w:jc w:val="left"/>
    </w:pPr>
    <w:rPr>
      <w:rFonts w:ascii="Arial" w:hAnsi="Arial"/>
      <w:sz w:val="24"/>
    </w:rPr>
  </w:style>
  <w:style w:type="paragraph" w:customStyle="1" w:styleId="281">
    <w:name w:val="正文格式"/>
    <w:basedOn w:val="1"/>
    <w:qFormat/>
    <w:uiPriority w:val="0"/>
    <w:pPr>
      <w:widowControl/>
      <w:spacing w:after="160" w:line="360" w:lineRule="auto"/>
      <w:ind w:left="178" w:right="44" w:hanging="178"/>
      <w:jc w:val="left"/>
    </w:pPr>
    <w:rPr>
      <w:rFonts w:ascii="Calibri" w:hAnsi="Calibri" w:eastAsia="Calibri" w:cs="Calibri"/>
      <w:bCs/>
      <w:color w:val="000000"/>
      <w:sz w:val="22"/>
      <w:szCs w:val="21"/>
    </w:rPr>
  </w:style>
  <w:style w:type="paragraph" w:customStyle="1" w:styleId="282">
    <w:name w:val="Char"/>
    <w:basedOn w:val="1"/>
    <w:qFormat/>
    <w:uiPriority w:val="0"/>
    <w:pPr>
      <w:tabs>
        <w:tab w:val="left" w:pos="360"/>
      </w:tabs>
    </w:pPr>
    <w:rPr>
      <w:sz w:val="24"/>
    </w:rPr>
  </w:style>
  <w:style w:type="paragraph" w:customStyle="1" w:styleId="283">
    <w:name w:val="xl47"/>
    <w:basedOn w:val="1"/>
    <w:qFormat/>
    <w:uiPriority w:val="0"/>
    <w:pPr>
      <w:widowControl/>
      <w:spacing w:before="100" w:beforeAutospacing="1" w:after="100" w:afterAutospacing="1"/>
      <w:jc w:val="center"/>
    </w:pPr>
    <w:rPr>
      <w:rFonts w:hint="eastAsia" w:ascii="方正姚体" w:hAnsi="宋体" w:eastAsia="方正姚体"/>
      <w:b/>
      <w:bCs/>
      <w:sz w:val="36"/>
      <w:szCs w:val="36"/>
    </w:rPr>
  </w:style>
  <w:style w:type="paragraph" w:customStyle="1" w:styleId="284">
    <w:name w:val="纯文本1"/>
    <w:basedOn w:val="1"/>
    <w:qFormat/>
    <w:uiPriority w:val="0"/>
    <w:pPr>
      <w:spacing w:line="360" w:lineRule="exact"/>
      <w:ind w:firstLine="425"/>
    </w:pPr>
    <w:rPr>
      <w:rFonts w:ascii="宋体"/>
      <w:szCs w:val="20"/>
    </w:rPr>
  </w:style>
  <w:style w:type="paragraph" w:customStyle="1" w:styleId="285">
    <w:name w:val="目录1"/>
    <w:basedOn w:val="1"/>
    <w:qFormat/>
    <w:uiPriority w:val="99"/>
    <w:pPr>
      <w:spacing w:line="420" w:lineRule="atLeast"/>
    </w:pPr>
    <w:rPr>
      <w:rFonts w:eastAsia="黑体"/>
      <w:b/>
      <w:szCs w:val="20"/>
    </w:rPr>
  </w:style>
  <w:style w:type="paragraph" w:customStyle="1" w:styleId="286">
    <w:name w:val="BioQuote Tekst"/>
    <w:basedOn w:val="1"/>
    <w:qFormat/>
    <w:uiPriority w:val="0"/>
    <w:pPr>
      <w:ind w:right="-1"/>
    </w:pPr>
    <w:rPr>
      <w:rFonts w:ascii="Arial" w:hAnsi="Arial"/>
      <w:sz w:val="22"/>
      <w:szCs w:val="20"/>
      <w:lang w:eastAsia="en-US"/>
    </w:rPr>
  </w:style>
  <w:style w:type="paragraph" w:customStyle="1" w:styleId="287">
    <w:name w:val="1章节样式"/>
    <w:basedOn w:val="1"/>
    <w:qFormat/>
    <w:uiPriority w:val="0"/>
    <w:pPr>
      <w:keepNext/>
      <w:keepLines/>
      <w:widowControl/>
      <w:spacing w:line="360" w:lineRule="auto"/>
      <w:ind w:firstLine="482"/>
      <w:jc w:val="center"/>
      <w:outlineLvl w:val="0"/>
    </w:pPr>
    <w:rPr>
      <w:rFonts w:ascii="宋体" w:hAnsi="宋体" w:eastAsia="宋体"/>
      <w:b/>
      <w:bCs/>
      <w:color w:val="000000"/>
      <w:sz w:val="24"/>
      <w:szCs w:val="24"/>
    </w:rPr>
  </w:style>
  <w:style w:type="paragraph" w:customStyle="1" w:styleId="288">
    <w:name w:val="正文空2格  1."/>
    <w:basedOn w:val="1"/>
    <w:qFormat/>
    <w:uiPriority w:val="0"/>
    <w:pPr>
      <w:spacing w:line="360" w:lineRule="auto"/>
      <w:ind w:firstLine="480"/>
    </w:pPr>
    <w:rPr>
      <w:rFonts w:ascii="宋体" w:eastAsia="仿宋" w:cs="宋体"/>
      <w:sz w:val="28"/>
      <w:szCs w:val="20"/>
    </w:rPr>
  </w:style>
  <w:style w:type="paragraph" w:customStyle="1" w:styleId="289">
    <w:name w:val="第四级"/>
    <w:basedOn w:val="1"/>
    <w:next w:val="1"/>
    <w:qFormat/>
    <w:uiPriority w:val="0"/>
    <w:pPr>
      <w:numPr>
        <w:ilvl w:val="3"/>
        <w:numId w:val="1"/>
      </w:numPr>
      <w:spacing w:line="360" w:lineRule="auto"/>
    </w:pPr>
    <w:rPr>
      <w:rFonts w:ascii="宋体" w:hAnsi="宋体" w:eastAsia="仿宋"/>
      <w:sz w:val="28"/>
      <w:szCs w:val="21"/>
    </w:rPr>
  </w:style>
  <w:style w:type="paragraph" w:customStyle="1" w:styleId="290">
    <w:name w:val="正文 第一章"/>
    <w:basedOn w:val="1"/>
    <w:next w:val="264"/>
    <w:qFormat/>
    <w:uiPriority w:val="0"/>
    <w:pPr>
      <w:pageBreakBefore/>
      <w:numPr>
        <w:ilvl w:val="0"/>
        <w:numId w:val="1"/>
      </w:numPr>
      <w:spacing w:before="240" w:after="240" w:line="480" w:lineRule="auto"/>
      <w:jc w:val="center"/>
      <w:outlineLvl w:val="0"/>
    </w:pPr>
    <w:rPr>
      <w:rFonts w:ascii="黑体" w:hAnsi="宋体" w:eastAsia="黑体"/>
      <w:sz w:val="36"/>
      <w:szCs w:val="21"/>
    </w:rPr>
  </w:style>
  <w:style w:type="paragraph" w:customStyle="1" w:styleId="291">
    <w:name w:val="Char Char Char Char1 Char Char Char"/>
    <w:basedOn w:val="196"/>
    <w:qFormat/>
    <w:uiPriority w:val="0"/>
    <w:pPr>
      <w:spacing w:line="360" w:lineRule="auto"/>
    </w:pPr>
    <w:rPr>
      <w:rFonts w:ascii="Tahoma" w:hAnsi="Tahoma"/>
      <w:sz w:val="24"/>
    </w:rPr>
  </w:style>
  <w:style w:type="paragraph" w:customStyle="1" w:styleId="292">
    <w:name w:val="表格文字"/>
    <w:basedOn w:val="1"/>
    <w:qFormat/>
    <w:uiPriority w:val="0"/>
    <w:rPr>
      <w:sz w:val="24"/>
    </w:rPr>
  </w:style>
  <w:style w:type="paragraph" w:customStyle="1" w:styleId="293">
    <w:name w:val="List Paragraph1"/>
    <w:basedOn w:val="1"/>
    <w:qFormat/>
    <w:uiPriority w:val="99"/>
    <w:pPr>
      <w:ind w:firstLine="420"/>
    </w:pPr>
  </w:style>
  <w:style w:type="paragraph" w:customStyle="1" w:styleId="294">
    <w:name w:val="默认段落字体 Para Char Char Char Char Char Char Char Char Char1 Char Char Char Char Char Char Char"/>
    <w:basedOn w:val="196"/>
    <w:qFormat/>
    <w:uiPriority w:val="0"/>
    <w:rPr>
      <w:rFonts w:ascii="Tahoma" w:hAnsi="Tahoma"/>
      <w:sz w:val="24"/>
    </w:rPr>
  </w:style>
  <w:style w:type="paragraph" w:customStyle="1" w:styleId="295">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szCs w:val="20"/>
    </w:rPr>
  </w:style>
  <w:style w:type="paragraph" w:customStyle="1" w:styleId="296">
    <w:name w:val="Table Text"/>
    <w:qFormat/>
    <w:uiPriority w:val="0"/>
    <w:pPr>
      <w:spacing w:before="143" w:after="80"/>
      <w:jc w:val="center"/>
    </w:pPr>
    <w:rPr>
      <w:rFonts w:hint="default" w:ascii="仿宋_GB2312" w:hAnsi="宋体" w:eastAsia="仿宋_GB2312" w:cs="Times New Roman"/>
      <w:sz w:val="24"/>
      <w:lang w:val="en-US" w:eastAsia="zh-CN" w:bidi="ar-SA"/>
    </w:rPr>
  </w:style>
  <w:style w:type="paragraph" w:customStyle="1" w:styleId="297">
    <w:name w:val="样式 标题 3 + (中文) 黑体 小四 非加粗 段前: 7.8 磅 段后: 0 磅 行距: 固定值 20 磅"/>
    <w:basedOn w:val="187"/>
    <w:qFormat/>
    <w:uiPriority w:val="0"/>
    <w:pPr>
      <w:spacing w:before="0" w:after="0" w:line="400" w:lineRule="exact"/>
    </w:pPr>
    <w:rPr>
      <w:rFonts w:eastAsia="黑体" w:cs="宋体"/>
      <w:b w:val="0"/>
      <w:sz w:val="24"/>
      <w:szCs w:val="20"/>
    </w:rPr>
  </w:style>
  <w:style w:type="paragraph" w:customStyle="1" w:styleId="298">
    <w:name w:val="Other|1"/>
    <w:basedOn w:val="299"/>
    <w:qFormat/>
    <w:uiPriority w:val="0"/>
    <w:pPr>
      <w:spacing w:line="396" w:lineRule="exact"/>
    </w:pPr>
    <w:rPr>
      <w:lang w:val="zh-TW" w:eastAsia="zh-TW" w:bidi="zh-TW"/>
    </w:rPr>
  </w:style>
  <w:style w:type="paragraph" w:customStyle="1" w:styleId="299">
    <w:name w:val="正文11"/>
    <w:next w:val="30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00">
    <w:name w:val="目录 11"/>
    <w:basedOn w:val="299"/>
    <w:next w:val="299"/>
    <w:qFormat/>
    <w:uiPriority w:val="0"/>
    <w:pPr>
      <w:widowControl/>
      <w:tabs>
        <w:tab w:val="left" w:pos="142"/>
        <w:tab w:val="right" w:leader="dot" w:pos="9617"/>
      </w:tabs>
      <w:spacing w:after="100" w:line="276" w:lineRule="auto"/>
      <w:jc w:val="left"/>
    </w:pPr>
    <w:rPr>
      <w:rFonts w:eastAsia="黑体"/>
      <w:sz w:val="24"/>
      <w:szCs w:val="22"/>
    </w:rPr>
  </w:style>
  <w:style w:type="paragraph" w:customStyle="1" w:styleId="301">
    <w:name w:val="xl53"/>
    <w:basedOn w:val="1"/>
    <w:next w:val="1"/>
    <w:qFormat/>
    <w:uiPriority w:val="0"/>
    <w:pPr>
      <w:spacing w:before="280" w:after="280" w:line="100" w:lineRule="exact"/>
      <w:jc w:val="center"/>
    </w:pPr>
    <w:rPr>
      <w:b/>
      <w:sz w:val="20"/>
    </w:rPr>
  </w:style>
  <w:style w:type="paragraph" w:customStyle="1" w:styleId="302">
    <w:name w:val="Char Char Char1"/>
    <w:basedOn w:val="1"/>
    <w:qFormat/>
    <w:uiPriority w:val="0"/>
    <w:pPr>
      <w:tabs>
        <w:tab w:val="left" w:pos="1280"/>
      </w:tabs>
      <w:spacing w:line="360" w:lineRule="auto"/>
      <w:ind w:left="200"/>
    </w:pPr>
    <w:rPr>
      <w:rFonts w:eastAsia="仿宋_GB2312" w:cs="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3455</Words>
  <Characters>4001</Characters>
  <TotalTime>1</TotalTime>
  <ScaleCrop>false</ScaleCrop>
  <LinksUpToDate>false</LinksUpToDate>
  <CharactersWithSpaces>4074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2020-04-23T08:36:00Z</dcterms:created>
  <dc:creator>Tomo</dc:creator>
  <cp:lastModifiedBy>Z</cp:lastModifiedBy>
  <dcterms:modified xsi:type="dcterms:W3CDTF">2025-10-22T01:46:18Z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36C04C5EDA5C43A3958897698C770481_13</vt:lpwstr>
  </property>
  <property fmtid="{D5CDD505-2E9C-101B-9397-08002B2CF9AE}" pid="4" name="KSOTemplateDocerSaveRecord">
    <vt:lpwstr>eyJoZGlkIjoiZmZiYmQ1NDZlYTc0MWUwMjNjNDFkZDIzNjg5MzhhYTIiLCJ1c2VySWQiOiIzMjQ2MzM4MzkifQ==</vt:lpwstr>
  </property>
</Properties>
</file>