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52"/>
          <w:szCs w:val="72"/>
          <w:highlight w:val="none"/>
          <w:lang w:val="en-US" w:eastAsia="zh-CN"/>
          <w14:textFill>
            <w14:solidFill>
              <w14:schemeClr w14:val="tx1"/>
            </w14:solidFill>
          </w14:textFill>
        </w:rPr>
      </w:pPr>
      <w:r>
        <w:rPr>
          <w:rFonts w:hint="eastAsia" w:ascii="黑体" w:hAnsi="黑体" w:eastAsia="黑体" w:cs="黑体"/>
          <w:color w:val="000000" w:themeColor="text1"/>
          <w:sz w:val="52"/>
          <w:szCs w:val="72"/>
          <w:highlight w:val="none"/>
          <w:lang w:val="en-US" w:eastAsia="zh-CN"/>
          <w14:textFill>
            <w14:solidFill>
              <w14:schemeClr w14:val="tx1"/>
            </w14:solidFill>
          </w14:textFill>
        </w:rPr>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52"/>
          <w:szCs w:val="72"/>
          <w:highlight w:val="none"/>
          <w:lang w:val="en-US" w:eastAsia="zh-CN"/>
          <w14:textFill>
            <w14:solidFill>
              <w14:schemeClr w14:val="tx1"/>
            </w14:solidFill>
          </w14:textFill>
        </w:rPr>
      </w:pPr>
      <w:r>
        <w:rPr>
          <w:rFonts w:hint="eastAsia" w:ascii="黑体" w:hAnsi="黑体" w:eastAsia="黑体" w:cs="黑体"/>
          <w:color w:val="000000" w:themeColor="text1"/>
          <w:sz w:val="52"/>
          <w:szCs w:val="72"/>
          <w:highlight w:val="none"/>
          <w:lang w:val="en-US" w:eastAsia="zh-CN"/>
          <w14:textFill>
            <w14:solidFill>
              <w14:schemeClr w14:val="tx1"/>
            </w14:solidFill>
          </w14:textFill>
        </w:rPr>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52"/>
          <w:szCs w:val="72"/>
          <w:highlight w:val="none"/>
          <w:lang w:val="en-US" w:eastAsia="zh-CN"/>
          <w14:textFill>
            <w14:solidFill>
              <w14:schemeClr w14:val="tx1"/>
            </w14:solidFill>
          </w14:textFill>
        </w:rPr>
      </w:pPr>
      <w:r>
        <w:rPr>
          <w:rFonts w:hint="eastAsia" w:ascii="黑体" w:hAnsi="黑体" w:eastAsia="黑体" w:cs="黑体"/>
          <w:color w:val="000000" w:themeColor="text1"/>
          <w:sz w:val="52"/>
          <w:szCs w:val="72"/>
          <w:highlight w:val="none"/>
          <w:lang w:val="en-US" w:eastAsia="zh-CN"/>
          <w14:textFill>
            <w14:solidFill>
              <w14:schemeClr w14:val="tx1"/>
            </w14:solidFill>
          </w14:textFill>
        </w:rPr>
        <w:t xml:space="preserve">泰州市政府采购项目</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52"/>
          <w:szCs w:val="72"/>
          <w:highlight w:val="none"/>
          <w:lang w:val="en-US" w:eastAsia="zh-CN"/>
          <w14:textFill>
            <w14:solidFill>
              <w14:schemeClr w14:val="tx1"/>
            </w14:solidFill>
          </w14:textFill>
        </w:rPr>
      </w:pPr>
      <w:r>
        <w:rPr>
          <w:rFonts w:hint="eastAsia" w:ascii="黑体" w:hAnsi="黑体" w:eastAsia="黑体" w:cs="黑体"/>
          <w:color w:val="000000" w:themeColor="text1"/>
          <w:sz w:val="52"/>
          <w:szCs w:val="72"/>
          <w:highlight w:val="none"/>
          <w:lang w:val="en-US" w:eastAsia="zh-CN"/>
          <w14:textFill>
            <w14:solidFill>
              <w14:schemeClr w14:val="tx1"/>
            </w14:solidFill>
          </w14:textFill>
        </w:rPr>
        <w:t xml:space="preserve">单一来源采购文件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1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1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35"/>
        <w:rPr>
          <w:rFonts w:hint="eastAsia"/>
          <w:b/>
          <w:color w:val="000000" w:themeColor="text1"/>
          <w:sz w:val="28"/>
          <w:szCs w:val="32"/>
          <w:highlight w:val="none"/>
          <w14:textFill>
            <w14:solidFill>
              <w14:schemeClr w14:val="tx1"/>
            </w14:solidFill>
          </w14:textFill>
        </w:rPr>
      </w:pPr>
      <w:r>
        <w:rPr>
          <w:rFonts w:hint="eastAsia"/>
          <w:b/>
          <w:color w:val="000000" w:themeColor="text1"/>
          <w:sz w:val="28"/>
          <w:szCs w:val="32"/>
          <w:highlight w:val="none"/>
          <w14:textFill>
            <w14:solidFill>
              <w14:schemeClr w14:val="tx1"/>
            </w14:solidFill>
          </w14:textFill>
        </w:rPr>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t xml:space="preserve">项目名称：泰州市公安局南院供能服务采购项目</w:t>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t xml:space="preserve">项目编号/包号：JSZC-321200-ZYGL-D2025-0009</w:t>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t xml:space="preserve">采购人：泰州市公安局</w:t>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t xml:space="preserve">采购代理机构：江苏臻云建设管理有限公司</w:t>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36"/>
          <w:highlight w:val="none"/>
          <w:lang w:val="en-US" w:eastAsia="zh-CN"/>
          <w14:textFill>
            <w14:solidFill>
              <w14:schemeClr w14:val="tx1"/>
            </w14:solidFill>
          </w14:textFill>
        </w:rPr>
      </w:pPr>
      <w:r>
        <w:rPr>
          <w:rFonts w:hint="eastAsia" w:ascii="黑体" w:hAnsi="黑体" w:eastAsia="黑体" w:cs="黑体"/>
          <w:color w:val="000000" w:themeColor="text1"/>
          <w:sz w:val="28"/>
          <w:szCs w:val="36"/>
          <w:highlight w:val="none"/>
          <w:lang w:val="en-US" w:eastAsia="zh-CN"/>
          <w14:textFill>
            <w14:solidFill>
              <w14:schemeClr w14:val="tx1"/>
            </w14:solidFill>
          </w14:textFill>
        </w:rPr>
        <w:t xml:space="preserve">二○二五年十二月</w:t>
      </w:r>
      <w:r/>
    </w:p>
    <w:p>
      <w:pPr>
        <w:rPr>
          <w:rFonts w:hint="eastAsia" w:ascii="宋体" w:hAnsi="宋体" w:cs="宋体"/>
          <w:b/>
          <w:bCs/>
          <w:color w:val="000000" w:themeColor="text1"/>
          <w:sz w:val="30"/>
          <w:szCs w:val="30"/>
          <w:highlight w:val="none"/>
          <w14:textFill>
            <w14:solidFill>
              <w14:schemeClr w14:val="tx1"/>
            </w14:solidFill>
          </w14:textFill>
        </w:rPr>
      </w:pPr>
      <w:r>
        <w:br w:type="page" w:clear="all"/>
      </w:r>
      <w:r/>
    </w:p>
    <w:p>
      <w:pPr>
        <w:ind w:firstLine="560"/>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今年我市已正式启用“苏采云”系统，目前已全面开通政府采购线上合同信用融资（以下简称“政采贷”）功能。成交供应商可凭政府采购合同在中征平台发起贷款申请贷款。</w: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1.“政采贷”业务流程</w:t>
      </w:r>
      <w:r/>
    </w:p>
    <w:p>
      <w:pPr>
        <w:pStyle w:val="934"/>
        <w:jc w:val="both"/>
        <w:spacing w:beforeAutospacing="0" w:afterAutospacing="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5495925" cy="1443990"/>
                <wp:effectExtent l="0" t="0" r="9525" b="3810"/>
                <wp:docPr id="4"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0" name="图片 1" descr="1675992174522"/>
                        <pic:cNvPicPr>
                          <a:picLocks noChangeAspect="1"/>
                        </pic:cNvPicPr>
                        <pic:nvPr/>
                      </pic:nvPicPr>
                      <pic:blipFill>
                        <a:blip r:embed="rId21"/>
                        <a:stretch/>
                      </pic:blipFill>
                      <pic:spPr bwMode="auto">
                        <a:xfrm>
                          <a:off x="0" y="0"/>
                          <a:ext cx="5495925" cy="144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8pt;height:113.7pt;mso-wrap-distance-left:0.0pt;mso-wrap-distance-top:0.0pt;mso-wrap-distance-right:0.0pt;mso-wrap-distance-bottom:0.0pt;" stroked="f">
                <v:path textboxrect="0,0,0,0"/>
                <v:imagedata r:id="rId21" o:title=""/>
              </v:shape>
            </w:pict>
          </mc:Fallback>
        </mc:AlternateConten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2.常见问题</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Q1：哪些企业能申请“政采贷”？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答：江苏省内采用国库集中支付的政府采购项目的中标供应商，可凭政府采购合同申请“政采贷”。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Q2：供应商在哪里申请“政采贷”？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答：中标供应商在“中征应收账款融资服务平台”（简称“中征平台”）上向意向银行发起融资申请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Q3：中标供应商要注意什么？</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Q4：采购单位要做什么？</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Q5：“政采贷”融资失败怎么办？</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3.网址及联系方式</w:t>
      </w: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政采贷：</w:t>
      </w:r>
      <w:r>
        <w:fldChar w:fldCharType="begin"/>
      </w:r>
      <w:r>
        <w:instrText xml:space="preserve"> HYPERLINK "http://www.ccgp-jiangsu.gov.cn/jiangsu/paying.html" \o "http://www.ccgp-jiangsu.gov.cn/jiangsu/paying.html" </w:instrText>
      </w:r>
      <w:r>
        <w:fldChar w:fldCharType="separate"/>
      </w:r>
      <w:r>
        <w:rPr>
          <w:rStyle w:val="945"/>
          <w:rFonts w:hint="eastAsia" w:ascii="仿宋" w:hAnsi="仿宋" w:eastAsia="仿宋" w:cs="仿宋"/>
          <w:color w:val="000000" w:themeColor="text1"/>
          <w:spacing w:val="1"/>
          <w:sz w:val="28"/>
          <w:szCs w:val="28"/>
          <w:highlight w:val="none"/>
          <w:lang w:eastAsia="zh-CN"/>
          <w14:textFill>
            <w14:solidFill>
              <w14:schemeClr w14:val="tx1"/>
            </w14:solidFill>
          </w14:textFill>
        </w:rPr>
        <w:t xml:space="preserve">http://www.ccgp-jiangsu.gov.cn/jiangsu/paying.html</w:t>
      </w:r>
      <w:r>
        <w:rPr>
          <w:rStyle w:val="945"/>
          <w:rFonts w:hint="eastAsia" w:ascii="仿宋" w:hAnsi="仿宋" w:eastAsia="仿宋" w:cs="仿宋"/>
          <w:color w:val="000000" w:themeColor="text1"/>
          <w:spacing w:val="1"/>
          <w:sz w:val="28"/>
          <w:szCs w:val="28"/>
          <w:highlight w:val="none"/>
          <w:lang w:eastAsia="zh-CN"/>
          <w14:textFill>
            <w14:solidFill>
              <w14:schemeClr w14:val="tx1"/>
            </w14:solidFill>
          </w14:textFill>
        </w:rPr>
        <w:fldChar w:fldCharType="end"/>
      </w: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中征平台：</w:t>
      </w:r>
      <w:r>
        <w:fldChar w:fldCharType="begin"/>
      </w:r>
      <w:r>
        <w:instrText xml:space="preserve"> HYPERLINK "https://www.crcrfsp.com/" \o "https://www.crcrfsp.com/" </w:instrText>
      </w:r>
      <w:r>
        <w:fldChar w:fldCharType="separate"/>
      </w:r>
      <w:r>
        <w:rPr>
          <w:rStyle w:val="945"/>
          <w:rFonts w:hint="eastAsia" w:ascii="仿宋" w:hAnsi="仿宋" w:eastAsia="仿宋" w:cs="仿宋"/>
          <w:color w:val="000000" w:themeColor="text1"/>
          <w:spacing w:val="1"/>
          <w:sz w:val="28"/>
          <w:szCs w:val="28"/>
          <w:highlight w:val="none"/>
          <w:lang w:eastAsia="zh-CN"/>
          <w14:textFill>
            <w14:solidFill>
              <w14:schemeClr w14:val="tx1"/>
            </w14:solidFill>
          </w14:textFill>
        </w:rPr>
        <w:t xml:space="preserve">https://www.crcrfsp.com/</w:t>
      </w:r>
      <w:r>
        <w:rPr>
          <w:rStyle w:val="945"/>
          <w:rFonts w:hint="eastAsia" w:ascii="仿宋" w:hAnsi="仿宋" w:eastAsia="仿宋" w:cs="仿宋"/>
          <w:color w:val="000000" w:themeColor="text1"/>
          <w:spacing w:val="1"/>
          <w:sz w:val="28"/>
          <w:szCs w:val="28"/>
          <w:highlight w:val="none"/>
          <w:lang w:eastAsia="zh-CN"/>
          <w14:textFill>
            <w14:solidFill>
              <w14:schemeClr w14:val="tx1"/>
            </w14:solidFill>
          </w14:textFill>
        </w:rPr>
        <w:fldChar w:fldCharType="end"/>
      </w:r>
      <w:r/>
    </w:p>
    <w:p>
      <w:pPr>
        <w:pStyle w:val="93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widowControl/>
        <w:rPr>
          <w:rFonts w:ascii="宋体" w:hAnsi="宋体"/>
          <w:color w:val="000000" w:themeColor="text1"/>
          <w:sz w:val="32"/>
          <w:szCs w:val="32"/>
          <w:highlight w:val="none"/>
          <w14:textFill>
            <w14:solidFill>
              <w14:schemeClr w14:val="tx1"/>
            </w14:solidFill>
          </w14:textFill>
        </w:rPr>
      </w:pPr>
      <w:r>
        <w:br w:type="page" w:clear="all"/>
      </w:r>
      <w:r/>
    </w:p>
    <w:sdt>
      <w:sdtPr>
        <w15:appearance w15:val="boundingBox"/>
        <w:id w:val="147470200"/>
        <w:docPartObj>
          <w:docPartGallery w:val="Table of Contents"/>
          <w:docPartUnique w:val="true"/>
        </w:docPartObj>
        <w:rPr>
          <w:rFonts w:ascii="宋体" w:hAnsi="宋体" w:eastAsia="宋体" w:cstheme="minorBidi"/>
          <w:color w:val="000000" w:themeColor="text1"/>
          <w:sz w:val="21"/>
          <w:szCs w:val="24"/>
          <w:highlight w:val="none"/>
          <w:lang w:val="en-US" w:eastAsia="zh-CN" w:bidi="ar-SA"/>
          <w14:textFill>
            <w14:solidFill>
              <w14:schemeClr w14:val="tx1"/>
            </w14:solidFill>
          </w14:textFill>
        </w:rPr>
      </w:sdtPr>
      <w:sdtContent>
        <w:p>
          <w:pPr>
            <w:ind w:left="0" w:right="0" w:firstLine="0"/>
            <w:jc w:val="center"/>
            <w:spacing w:before="0" w:after="0" w:line="240" w:lineRule="auto"/>
            <w:rPr>
              <w:rFonts w:hint="eastAsia" w:ascii="黑体" w:hAnsi="黑体" w:eastAsia="黑体" w:cs="黑体"/>
              <w:color w:val="000000" w:themeColor="text1"/>
              <w:sz w:val="32"/>
              <w:szCs w:val="40"/>
              <w:highlight w:val="none"/>
              <w14:textFill>
                <w14:solidFill>
                  <w14:schemeClr w14:val="tx1"/>
                </w14:solidFill>
              </w14:textFill>
            </w:rPr>
          </w:pPr>
          <w:r>
            <w:rPr>
              <w:rFonts w:hint="eastAsia" w:ascii="黑体" w:hAnsi="黑体" w:eastAsia="黑体" w:cs="黑体"/>
              <w:color w:val="000000" w:themeColor="text1"/>
              <w:sz w:val="32"/>
              <w:szCs w:val="40"/>
              <w:highlight w:val="none"/>
              <w14:textFill>
                <w14:solidFill>
                  <w14:schemeClr w14:val="tx1"/>
                </w14:solidFill>
              </w14:textFill>
            </w:rPr>
            <w:t xml:space="preserve">目</w:t>
          </w:r>
          <w:r>
            <w:rPr>
              <w:rFonts w:hint="eastAsia" w:ascii="黑体" w:hAnsi="黑体" w:eastAsia="黑体" w:cs="黑体"/>
              <w:color w:val="000000" w:themeColor="text1"/>
              <w:sz w:val="32"/>
              <w:szCs w:val="40"/>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2"/>
              <w:szCs w:val="40"/>
              <w:highlight w:val="none"/>
              <w14:textFill>
                <w14:solidFill>
                  <w14:schemeClr w14:val="tx1"/>
                </w14:solidFill>
              </w14:textFill>
            </w:rPr>
            <w:t xml:space="preserve">录</w:t>
          </w:r>
          <w:r/>
        </w:p>
        <w:p>
          <w:pPr>
            <w:pStyle w:val="931"/>
            <w:tabs>
              <w:tab w:val="right" w:pos="8400" w:leader="dot"/>
            </w:tabs>
            <w:rPr>
              <w:color w:val="000000" w:themeColor="text1"/>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fldChar w:fldCharType="begin"/>
          </w:r>
          <w:r>
            <w:rPr>
              <w:rFonts w:ascii="宋体" w:hAnsi="宋体"/>
              <w:color w:val="000000" w:themeColor="text1"/>
              <w:sz w:val="32"/>
              <w:szCs w:val="32"/>
              <w:highlight w:val="none"/>
              <w14:textFill>
                <w14:solidFill>
                  <w14:schemeClr w14:val="tx1"/>
                </w14:solidFill>
              </w14:textFill>
            </w:rPr>
            <w:instrText xml:space="preserve">TOC \o "1-2" \h \u</w:instrText>
          </w:r>
          <w:r>
            <w:rPr>
              <w:rFonts w:ascii="宋体" w:hAnsi="宋体"/>
              <w:color w:val="000000" w:themeColor="text1"/>
              <w:sz w:val="32"/>
              <w:szCs w:val="32"/>
              <w:highlight w:val="none"/>
              <w14:textFill>
                <w14:solidFill>
                  <w14:schemeClr w14:val="tx1"/>
                </w14:solidFill>
              </w14:textFill>
            </w:rPr>
            <w:fldChar w:fldCharType="separate"/>
          </w:r>
          <w:r>
            <w:fldChar w:fldCharType="begin"/>
          </w:r>
          <w:r>
            <w:instrText xml:space="preserve"> HYPERLINK \l "_Toc10288"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第一章  单一来源采购邀请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_Toc10288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"_Toc15195" </w:instrText>
          </w:r>
          <w: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"_Toc14229" </w:instrText>
          </w:r>
          <w: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_Toc14229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"_Toc29283" </w:instrText>
          </w:r>
          <w:r>
            <w:fldChar w:fldCharType="separate"/>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4"/>
              <w:highlight w:val="none"/>
              <w14:textFill>
                <w14:solidFill>
                  <w14:schemeClr w14:val="tx1"/>
                </w14:solidFill>
              </w14:textFill>
            </w:rPr>
            <w:t xml:space="preserve">、响应文件</w:t>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_Toc29283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"_Toc378" </w:instrText>
          </w:r>
          <w:r>
            <w:fldChar w:fldCharType="separate"/>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四、谈判时间及地点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"_Toc27620" </w:instrText>
          </w:r>
          <w:r>
            <w:fldChar w:fldCharType="separate"/>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Cs w:val="24"/>
              <w:highlight w:val="none"/>
              <w14:textFill>
                <w14:solidFill>
                  <w14:schemeClr w14:val="tx1"/>
                </w14:solidFill>
              </w14:textFill>
            </w:rPr>
            <w:t xml:space="preserve">、其他补充事宜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"_Toc8965" </w:instrText>
          </w:r>
          <w:r>
            <w:fldChar w:fldCharType="separate"/>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Cs w:val="24"/>
              <w:highlight w:val="none"/>
              <w14:textFill>
                <w14:solidFill>
                  <w14:schemeClr w14:val="tx1"/>
                </w14:solidFill>
              </w14:textFill>
            </w:rPr>
            <w:t xml:space="preserve">、</w:t>
          </w:r>
          <w:r>
            <w:rPr>
              <w:rFonts w:hint="eastAsia" w:ascii="宋体" w:hAnsi="宋体" w:eastAsia="宋体" w:cs="宋体"/>
              <w:bCs/>
              <w:color w:val="000000" w:themeColor="text1"/>
              <w:szCs w:val="24"/>
              <w:highlight w:val="none"/>
              <w:lang w:val="en-US" w:eastAsia="zh-CN"/>
              <w14:textFill>
                <w14:solidFill>
                  <w14:schemeClr w14:val="tx1"/>
                </w14:solidFill>
              </w14:textFill>
            </w:rPr>
            <w:t xml:space="preserve">本次单一来源采购的联系方式</w:t>
          </w:r>
          <w:r>
            <w:rPr>
              <w:rFonts w:hint="eastAsia" w:ascii="宋体" w:hAnsi="宋体" w:eastAsia="宋体" w:cs="宋体"/>
              <w:bCs/>
              <w:color w:val="000000" w:themeColor="text1"/>
              <w:szCs w:val="24"/>
              <w:highlight w:val="none"/>
              <w14:textFill>
                <w14:solidFill>
                  <w14:schemeClr w14:val="tx1"/>
                </w14:solidFill>
              </w14:textFill>
            </w:rPr>
            <w:t xml:space="preserve">。</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1"/>
            <w:tabs>
              <w:tab w:val="right" w:pos="8400" w:leader="dot"/>
            </w:tabs>
            <w:rPr>
              <w:color w:val="000000" w:themeColor="text1"/>
              <w:highlight w:val="none"/>
              <w14:textFill>
                <w14:solidFill>
                  <w14:schemeClr w14:val="tx1"/>
                </w14:solidFill>
              </w14:textFill>
            </w:rPr>
          </w:pPr>
          <w:r>
            <w:fldChar w:fldCharType="begin"/>
          </w:r>
          <w:r>
            <w:instrText xml:space="preserve"> HYPERLINK \l "_Toc8760"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"_Toc24526"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供应商须知前附表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"_Toc15020"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"_Toc24478"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一  说明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_Toc24478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"_Toc16086"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1相关概念</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或定义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_Toc16086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"_Toc11000"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2资金来源、科研仪器设备采购</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_Toc11000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"_Toc11617"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3政府采购政策（包括但不限于下列具体政策要求）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"_Toc25900"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响应费用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_Toc25900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"_Toc1641"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二  单一来源采购文件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"_Toc30661"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5单一来源采购</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"_Toc22441" </w:instrText>
          </w:r>
          <w:r>
            <w:fldChar w:fldCharType="separate"/>
          </w: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对</w:t>
          </w:r>
          <w:r>
            <w:rPr>
              <w:rFonts w:hint="eastAsia" w:asciiTheme="minorEastAsia" w:hAnsiTheme="minorEastAsia" w:cstheme="minorEastAsia"/>
              <w:bCs/>
              <w:color w:val="000000" w:themeColor="text1"/>
              <w:szCs w:val="21"/>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文件的澄清或修改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_Toc22441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"_Toc17031"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三  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"_Toc12027"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响应范围、</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文件中计量单位的使用及</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语言</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_Toc12027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"_Toc15463"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_Toc15463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"_Toc19966"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"_Toc5398"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0保证金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_Toc5398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"_Toc4071"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_Toc4071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"_Toc9242"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响应文件的签署、盖章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_Toc9242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"_Toc15036"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四  响应文件的提交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"_Toc6546"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"_Toc32656"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响应文件提交截止时间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"_Toc17928"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响应文件的修改与撤回</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_Toc17928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"_Toc18808"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五  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_Toc18808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"_Toc14860"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响应文件的解密</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开启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"_Toc14674"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7单一来源采购人员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_Toc14674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"_Toc17258"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8协商程序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"_Toc23700" </w:instrText>
          </w:r>
          <w: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六  确定成交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"_Toc15666" </w:instrText>
          </w:r>
          <w:r>
            <w:fldChar w:fldCharType="separate"/>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19</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确定成交供应商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_Toc15666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"_Toc24505"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成交公告与成交通知书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"_Toc4337"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终止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_Toc4337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"_Toc16656"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_Toc16656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"_Toc31438"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询问与质疑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"_Toc28401" </w:instrText>
          </w:r>
          <w:r>
            <w:fldChar w:fldCharType="separate"/>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2</w:t>
          </w:r>
          <w:r>
            <w:rPr>
              <w:rFonts w:hint="eastAsia" w:asciiTheme="minorEastAsia" w:hAnsiTheme="minorEastAsia" w:cstheme="minorEastAsia"/>
              <w:bCs/>
              <w:color w:val="000000" w:themeColor="text1"/>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Cs w:val="23"/>
              <w:highlight w:val="none"/>
              <w:lang w:val="en-US" w:eastAsia="zh-CN"/>
              <w14:textFill>
                <w14:solidFill>
                  <w14:schemeClr w14:val="tx1"/>
                </w14:solidFill>
              </w14:textFill>
            </w:rPr>
            <w:t xml:space="preserve">代理费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_Toc28401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1"/>
            <w:tabs>
              <w:tab w:val="right" w:pos="8400" w:leader="dot"/>
            </w:tabs>
            <w:rPr>
              <w:color w:val="000000" w:themeColor="text1"/>
              <w:highlight w:val="none"/>
              <w14:textFill>
                <w14:solidFill>
                  <w14:schemeClr w14:val="tx1"/>
                </w14:solidFill>
              </w14:textFill>
            </w:rPr>
          </w:pPr>
          <w:r>
            <w:fldChar w:fldCharType="begin"/>
          </w:r>
          <w:r>
            <w:instrText xml:space="preserve"> HYPERLINK \l "_Toc28516"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第三章  协商程序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_Toc28516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"_Toc21667" </w:instrText>
          </w:r>
          <w:r>
            <w:fldChar w:fldCharType="separate"/>
          </w:r>
          <w:r>
            <w:rPr>
              <w:rFonts w:hint="eastAsia" w:ascii="Times New Roman" w:hAnsi="Times New Roman" w:eastAsia="宋体" w:cs="Times New Roman"/>
              <w:bCs/>
              <w:color w:val="000000" w:themeColor="text1"/>
              <w:szCs w:val="22"/>
              <w:highlight w:val="none"/>
              <w:lang w:val="en-US" w:eastAsia="zh-CN"/>
              <w14:textFill>
                <w14:solidFill>
                  <w14:schemeClr w14:val="tx1"/>
                </w14:solidFill>
              </w14:textFill>
            </w:rPr>
            <w:t xml:space="preserve">1响应文件的资格审查和符合性审查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_Toc21667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"_Toc14735" </w:instrText>
          </w:r>
          <w:r>
            <w:fldChar w:fldCharType="separate"/>
          </w:r>
          <w:r>
            <w:rPr>
              <w:rFonts w:hint="eastAsia" w:ascii="Times New Roman" w:hAnsi="Times New Roman" w:eastAsia="宋体" w:cs="Times New Roman"/>
              <w:bCs/>
              <w:color w:val="000000" w:themeColor="text1"/>
              <w:szCs w:val="22"/>
              <w:highlight w:val="none"/>
              <w:lang w:val="en-US" w:eastAsia="zh-CN"/>
              <w14:textFill>
                <w14:solidFill>
                  <w14:schemeClr w14:val="tx1"/>
                </w14:solidFill>
              </w14:textFill>
            </w:rPr>
            <w:t xml:space="preserve">2响应文件有关事项的澄清、说明或者更正和最后报价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_Toc14735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"_Toc13182" </w:instrText>
          </w:r>
          <w:r>
            <w:fldChar w:fldCharType="separate"/>
          </w:r>
          <w:r>
            <w:rPr>
              <w:rFonts w:hint="eastAsia" w:ascii="Times New Roman" w:hAnsi="Times New Roman" w:eastAsia="宋体" w:cs="Times New Roman"/>
              <w:bCs/>
              <w:color w:val="000000" w:themeColor="text1"/>
              <w:szCs w:val="22"/>
              <w:highlight w:val="none"/>
              <w:lang w:val="en-US" w:eastAsia="zh-CN"/>
              <w14:textFill>
                <w14:solidFill>
                  <w14:schemeClr w14:val="tx1"/>
                </w14:solidFill>
              </w14:textFill>
            </w:rPr>
            <w:t xml:space="preserve">3商定合理价格</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_Toc13182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"_Toc22410" </w:instrText>
          </w:r>
          <w:r>
            <w:fldChar w:fldCharType="separate"/>
          </w:r>
          <w:r>
            <w:rPr>
              <w:rFonts w:hint="eastAsia" w:ascii="Times New Roman" w:hAnsi="Times New Roman" w:eastAsia="宋体" w:cs="Times New Roman"/>
              <w:bCs/>
              <w:color w:val="000000" w:themeColor="text1"/>
              <w:szCs w:val="22"/>
              <w:highlight w:val="none"/>
              <w:lang w:val="en-US" w:eastAsia="zh-CN"/>
              <w14:textFill>
                <w14:solidFill>
                  <w14:schemeClr w14:val="tx1"/>
                </w14:solidFill>
              </w14:textFill>
            </w:rPr>
            <w:t xml:space="preserve">4报告违法行为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_Toc22410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1"/>
            <w:tabs>
              <w:tab w:val="right" w:pos="8400" w:leader="dot"/>
            </w:tabs>
            <w:rPr>
              <w:color w:val="000000" w:themeColor="text1"/>
              <w:highlight w:val="none"/>
              <w14:textFill>
                <w14:solidFill>
                  <w14:schemeClr w14:val="tx1"/>
                </w14:solidFill>
              </w14:textFill>
            </w:rPr>
          </w:pPr>
          <w:r>
            <w:fldChar w:fldCharType="begin"/>
          </w:r>
          <w:r>
            <w:instrText xml:space="preserve"> HYPERLINK \l "_Toc21003"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_Toc21003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"_Toc6668" </w:instrText>
          </w:r>
          <w:r>
            <w:fldChar w:fldCharType="separate"/>
          </w:r>
          <w:r>
            <w:rPr>
              <w:rFonts w:hint="eastAsia" w:ascii="宋体" w:hAnsi="宋体" w:eastAsia="宋体" w:cs="宋体"/>
              <w:bCs w:val="0"/>
              <w:color w:val="000000" w:themeColor="text1"/>
              <w:szCs w:val="24"/>
              <w:highlight w:val="none"/>
              <w14:textFill>
                <w14:solidFill>
                  <w14:schemeClr w14:val="tx1"/>
                </w14:solidFill>
              </w14:textFill>
            </w:rPr>
            <w:t xml:space="preserve">一、服务</w:t>
          </w:r>
          <w:r>
            <w:rPr>
              <w:rFonts w:hint="eastAsia" w:ascii="宋体" w:hAnsi="宋体" w:eastAsia="宋体" w:cs="宋体"/>
              <w:bCs w:val="0"/>
              <w:color w:val="000000" w:themeColor="text1"/>
              <w:szCs w:val="24"/>
              <w:highlight w:val="none"/>
              <w:lang w:val="en-US" w:eastAsia="zh-CN"/>
              <w14:textFill>
                <w14:solidFill>
                  <w14:schemeClr w14:val="tx1"/>
                </w14:solidFill>
              </w14:textFill>
            </w:rPr>
            <w:t xml:space="preserve">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_Toc6668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"_Toc6445" </w:instrText>
          </w:r>
          <w:r>
            <w:fldChar w:fldCharType="separate"/>
          </w:r>
          <w:r>
            <w:rPr>
              <w:rFonts w:hint="eastAsia" w:ascii="宋体" w:hAnsi="宋体" w:eastAsia="宋体" w:cs="宋体"/>
              <w:bCs w:val="0"/>
              <w:color w:val="000000" w:themeColor="text1"/>
              <w:szCs w:val="24"/>
              <w:highlight w:val="none"/>
              <w:lang w:val="en-US" w:eastAsia="zh-CN"/>
              <w14:textFill>
                <w14:solidFill>
                  <w14:schemeClr w14:val="tx1"/>
                </w14:solidFill>
              </w14:textFill>
            </w:rPr>
            <w:t xml:space="preserve">二、能源服务时间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_Toc6445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1"/>
            <w:tabs>
              <w:tab w:val="right" w:pos="8400" w:leader="dot"/>
            </w:tabs>
            <w:rPr>
              <w:color w:val="000000" w:themeColor="text1"/>
              <w:highlight w:val="none"/>
              <w14:textFill>
                <w14:solidFill>
                  <w14:schemeClr w14:val="tx1"/>
                </w14:solidFill>
              </w14:textFill>
            </w:rPr>
          </w:pPr>
          <w:r>
            <w:fldChar w:fldCharType="begin"/>
          </w:r>
          <w:r>
            <w:instrText xml:space="preserve"> HYPERLINK \l "_Toc23882"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第五章  合同草案条款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_Toc23882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1"/>
            <w:tabs>
              <w:tab w:val="right" w:pos="8400" w:leader="dot"/>
            </w:tabs>
            <w:rPr>
              <w:color w:val="000000" w:themeColor="text1"/>
              <w:highlight w:val="none"/>
              <w14:textFill>
                <w14:solidFill>
                  <w14:schemeClr w14:val="tx1"/>
                </w14:solidFill>
              </w14:textFill>
            </w:rPr>
          </w:pPr>
          <w:r>
            <w:fldChar w:fldCharType="begin"/>
          </w:r>
          <w:r>
            <w:instrText xml:space="preserve"> HYPERLINK \l "_Toc14241" </w:instrText>
          </w:r>
          <w: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_Toc14241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"_Toc13062" </w:instrText>
          </w:r>
          <w:r>
            <w:fldChar w:fldCharType="separate"/>
          </w:r>
          <w:r>
            <w:rPr>
              <w:rFonts w:hint="eastAsia" w:ascii="楷体" w:hAnsi="楷体" w:eastAsia="楷体" w:cs="楷体"/>
              <w:bCs w:val="0"/>
              <w:color w:val="000000" w:themeColor="text1"/>
              <w:szCs w:val="28"/>
              <w:highlight w:val="none"/>
              <w:lang w:val="en-US" w:eastAsia="zh-CN"/>
              <w14:textFill>
                <w14:solidFill>
                  <w14:schemeClr w14:val="tx1"/>
                </w14:solidFill>
              </w14:textFill>
            </w:rPr>
            <w:t xml:space="preserve">1 满足《中华人民共和国政府采购法》第二十二条规定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_Toc13062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"_Toc26187"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2 落实政府采购政策需满足的资格要求（如有）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"_Toc19985"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3 本项目的特定资格要求（如有）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"_Toc31792"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4 保证金凭证  /  交款单据复印件（若有）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_Toc31792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"_Toc17133"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5 响应书（实质性格式）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_Toc17133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"_Toc14100"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6 授权委托书（实质性格式）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_Toc14100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"_Toc3700"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7 报价表（实质性格式）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"_Toc1543"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8 合同条款偏离表（实质性格式）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932"/>
            <w:tabs>
              <w:tab w:val="right" w:pos="8400" w:leader="dot"/>
            </w:tabs>
            <w:rPr>
              <w:color w:val="000000" w:themeColor="text1"/>
              <w:highlight w:val="none"/>
              <w14:textFill>
                <w14:solidFill>
                  <w14:schemeClr w14:val="tx1"/>
                </w14:solidFill>
              </w14:textFill>
            </w:rPr>
          </w:pPr>
          <w:r>
            <w:fldChar w:fldCharType="begin"/>
          </w:r>
          <w:r>
            <w:instrText xml:space="preserve"> HYPERLINK \l "_Toc6822" </w:instrText>
          </w:r>
          <w:r>
            <w:fldChar w:fldCharType="separate"/>
          </w:r>
          <w:r>
            <w:rPr>
              <w:rFonts w:hint="eastAsia" w:ascii="楷体" w:hAnsi="楷体" w:eastAsia="楷体" w:cs="楷体"/>
              <w:bCs/>
              <w:color w:val="000000" w:themeColor="text1"/>
              <w:szCs w:val="26"/>
              <w:highlight w:val="none"/>
              <w:lang w:val="en-US" w:eastAsia="zh-CN"/>
              <w14:textFill>
                <w14:solidFill>
                  <w14:schemeClr w14:val="tx1"/>
                </w14:solidFill>
              </w14:textFill>
            </w:rPr>
            <w:t xml:space="preserve">9 采购需求偏离表（实质性格式）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_Toc6822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jc w:val="both"/>
            <w:widowControl/>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fldChar w:fldCharType="end"/>
          </w:r>
          <w:r/>
        </w:p>
      </w:sdtContent>
    </w:sdt>
    <w:p>
      <w:pPr>
        <w:jc w:val="center"/>
        <w:widowControl/>
        <w:rPr>
          <w:rFonts w:ascii="宋体" w:hAnsi="宋体"/>
          <w:color w:val="000000" w:themeColor="text1"/>
          <w:sz w:val="32"/>
          <w:szCs w:val="32"/>
          <w:highlight w:val="none"/>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0" w:name="_Toc10288"/>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第一章  单一来源采购邀请</w:t>
      </w:r>
      <w:bookmarkEnd w:id="0"/>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1" w:name="_Toc28359012"/>
      <w:r/>
      <w:bookmarkStart w:id="2" w:name="_Toc28359089"/>
      <w:r/>
      <w:bookmarkStart w:id="3" w:name="_Toc35393629"/>
      <w:r/>
      <w:bookmarkStart w:id="4" w:name="_Toc35393798"/>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泰州市公安局</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江苏臻云建设管理有限公司</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泰州市公安局南院供能服务采购项目</w:t>
      </w:r>
      <w:r>
        <w:rPr>
          <w:rFonts w:hint="eastAsia" w:ascii="宋体" w:hAnsi="宋体"/>
          <w:color w:val="000000" w:themeColor="text1"/>
          <w:sz w:val="24"/>
          <w:szCs w:val="24"/>
          <w:highlight w:val="none"/>
          <w14:textFill>
            <w14:solidFill>
              <w14:schemeClr w14:val="tx1"/>
            </w14:solidFill>
          </w14:textFill>
        </w:rPr>
        <w:t xml:space="preserve">进行单一来源采购，</w:t>
      </w:r>
      <w:r>
        <w:rPr>
          <w:rFonts w:hint="eastAsia" w:ascii="宋体" w:hAnsi="宋体"/>
          <w:color w:val="000000" w:themeColor="text1"/>
          <w:sz w:val="24"/>
          <w:szCs w:val="22"/>
          <w:highlight w:val="none"/>
          <w14:textFill>
            <w14:solidFill>
              <w14:schemeClr w14:val="tx1"/>
            </w14:solidFill>
          </w14:textFill>
        </w:rPr>
        <w:t xml:space="preserve">兹邀请</w:t>
      </w:r>
      <w:r>
        <w:rPr>
          <w:rFonts w:hint="eastAsia" w:ascii="宋体" w:hAnsi="宋体"/>
          <w:color w:val="000000" w:themeColor="text1"/>
          <w:sz w:val="24"/>
          <w:szCs w:val="22"/>
          <w:highlight w:val="none"/>
          <w:lang w:eastAsia="zh-CN"/>
          <w14:textFill>
            <w14:solidFill>
              <w14:schemeClr w14:val="tx1"/>
            </w14:solidFill>
          </w14:textFill>
        </w:rPr>
        <w:t xml:space="preserve">江苏华裕新能源有限公司</w:t>
      </w:r>
      <w:r>
        <w:rPr>
          <w:rFonts w:hint="eastAsia" w:ascii="宋体" w:hAnsi="宋体"/>
          <w:color w:val="000000" w:themeColor="text1"/>
          <w:sz w:val="24"/>
          <w:szCs w:val="22"/>
          <w:highlight w:val="none"/>
          <w14:textFill>
            <w14:solidFill>
              <w14:schemeClr w14:val="tx1"/>
            </w14:solidFill>
          </w14:textFill>
        </w:rPr>
        <w:t xml:space="preserve">参与本项目的谈判</w:t>
      </w:r>
      <w:r>
        <w:rPr>
          <w:rFonts w:hint="eastAsia" w:ascii="宋体" w:hAnsi="宋体"/>
          <w:bCs/>
          <w:color w:val="000000" w:themeColor="text1"/>
          <w:sz w:val="24"/>
          <w:highlight w:val="none"/>
          <w14:textFill>
            <w14:solidFill>
              <w14:schemeClr w14:val="tx1"/>
            </w14:solidFill>
          </w14:textFill>
        </w:rPr>
        <w:t xml:space="preserve">。</w:t>
      </w: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5" w:name="_Toc15195"/>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1"/>
      <w:r/>
      <w:bookmarkEnd w:id="2"/>
      <w:r/>
      <w:bookmarkEnd w:id="3"/>
      <w:r/>
      <w:bookmarkEnd w:id="4"/>
      <w:r/>
      <w:bookmarkEnd w:id="5"/>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JSZC-321200-ZYGL-D2025-0009</w:t>
      </w: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泰州市公安局南院供能服务采购项目</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单一来源采购</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4.预算金额：495.27万元</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5.最高限价：冷热量费0.49元/kwh，</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超过最高限价的为无效报价，按照无效响应文件处理。</w:t>
      </w: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供冷供暖，详见采购文件。</w:t>
      </w:r>
      <w:r/>
    </w:p>
    <w:p>
      <w:pPr>
        <w:pStyle w:val="935"/>
        <w:ind w:left="0" w:firstLine="480"/>
        <w:jc w:val="left"/>
        <w:keepLines w:val="0"/>
        <w:keepNext w:val="0"/>
        <w:pageBreakBefore w:val="0"/>
        <w:spacing w:after="0"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3年</w:t>
      </w:r>
      <w:r/>
    </w:p>
    <w:p>
      <w:pPr>
        <w:pStyle w:val="951"/>
        <w:ind w:left="0" w:firstLine="480"/>
        <w:spacing w:line="360" w:lineRule="auto"/>
        <w:rPr>
          <w:rFonts w:hint="default" w:eastAsia="宋体"/>
          <w:color w:val="000000" w:themeColor="text1"/>
          <w:sz w:val="24"/>
          <w:szCs w:val="24"/>
          <w:highlight w:val="none"/>
          <w:lang w:val="en-US" w:eastAsia="zh-CN"/>
          <w14:textFill>
            <w14:solidFill>
              <w14:schemeClr w14:val="tx1"/>
            </w14:solidFill>
          </w14:textFill>
        </w:rPr>
      </w:pPr>
      <w:r/>
      <w:bookmarkStart w:id="6" w:name="_Toc28359013"/>
      <w:r/>
      <w:bookmarkStart w:id="7" w:name="_Toc28359090"/>
      <w:r/>
      <w:bookmarkStart w:id="8" w:name="_Toc35393630"/>
      <w:r/>
      <w:bookmarkStart w:id="9" w:name="_Toc35393799"/>
      <w:r>
        <w:rPr>
          <w:rFonts w:hint="eastAsia" w:ascii="宋体" w:hAnsi="宋体" w:eastAsia="宋体" w:cs="宋体"/>
          <w:color w:val="000000" w:themeColor="text1"/>
          <w:sz w:val="24"/>
          <w:szCs w:val="24"/>
          <w:highlight w:val="none"/>
          <w14:textFill>
            <w14:solidFill>
              <w14:schemeClr w14:val="tx1"/>
            </w14:solidFill>
          </w14:textFill>
        </w:rPr>
        <w:t xml:space="preserve">8.本项目不接受联合体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0" w:name="_Toc14229"/>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6"/>
      <w:r/>
      <w:bookmarkEnd w:id="7"/>
      <w:r/>
      <w:bookmarkEnd w:id="8"/>
      <w:r/>
      <w:bookmarkEnd w:id="9"/>
      <w:r/>
      <w:bookmarkEnd w:id="10"/>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 w:name="_Toc35393631"/>
      <w:r/>
      <w:bookmarkStart w:id="12" w:name="_Toc28359091"/>
      <w:r/>
      <w:bookmarkStart w:id="13" w:name="_Toc35393800"/>
      <w:r/>
      <w:bookmarkStart w:id="14" w:name="_Toc28359014"/>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满足《中华人民共和国政府采购法》第二十二条规定；</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 </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4.供应商未被“信用中国”网站（www.creditchina.gov.cn）列入失信被执行人、重大税收违法案件当事人名单、政府采购严重违法失信行为记录名单。</w:t>
      </w:r>
      <w:bookmarkEnd w:id="11"/>
      <w:r/>
      <w:bookmarkEnd w:id="12"/>
      <w:r/>
      <w:bookmarkEnd w:id="13"/>
      <w:r/>
      <w:bookmarkEnd w:id="14"/>
      <w:r/>
      <w:r/>
    </w:p>
    <w:p>
      <w:pPr>
        <w:jc w:val="left"/>
        <w:keepLines w:val="0"/>
        <w:keepNext w:val="0"/>
        <w:pageBreakBefore w:val="0"/>
        <w:spacing w:line="332"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1"/>
      </w:pPr>
      <w:r/>
      <w:bookmarkStart w:id="15" w:name="_Toc28359092"/>
      <w:r/>
      <w:bookmarkStart w:id="16" w:name="_Toc35393632"/>
      <w:r/>
      <w:bookmarkStart w:id="17" w:name="_Toc35393801"/>
      <w:r/>
      <w:bookmarkStart w:id="18" w:name="_Toc28359015"/>
      <w:r/>
      <w:bookmarkStart w:id="19" w:name="_Toc2928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w:t>
      </w:r>
      <w:bookmarkEnd w:id="15"/>
      <w:r/>
      <w:bookmarkEnd w:id="16"/>
      <w:r/>
      <w:bookmarkEnd w:id="17"/>
      <w:r/>
      <w:bookmarkEnd w:id="1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提交</w:t>
      </w:r>
      <w:bookmarkEnd w:id="19"/>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截止时间：</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1"/>
      </w:pPr>
      <w:r/>
      <w:bookmarkStart w:id="20" w:name="_Toc37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四、谈判时间及地点</w:t>
      </w:r>
      <w:bookmarkEnd w:id="20"/>
      <w: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谈判时间：2025年12月29日9:30</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谈判地点：</w:t>
      </w: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w:t>
      </w:r>
      <w:r>
        <w:fldChar w:fldCharType="begin"/>
      </w:r>
      <w:r>
        <w:instrText xml:space="preserve"> HYPERLINK "http://jszfcg.jsczt.cn/）//“开标大厅，点击//“苏采云//”进入系统//“开标大厅//”。" </w:instrText>
      </w:r>
      <w: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http://jszfcg.jsczt.cn/）开标大厅，点击“苏采云”进入系统“开标大厅”。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21" w:name="_Toc35393635"/>
      <w:r/>
      <w:bookmarkStart w:id="22" w:name="_Toc35393804"/>
      <w:r/>
      <w:bookmarkStart w:id="23" w:name="_Toc350"/>
      <w:r/>
      <w:bookmarkStart w:id="24" w:name="_Toc27620"/>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bookmarkEnd w:id="21"/>
      <w:r/>
      <w:bookmarkEnd w:id="22"/>
      <w:r/>
      <w:bookmarkEnd w:id="23"/>
      <w:r/>
      <w:bookmarkEnd w:id="24"/>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登录“江苏省政府采购管理交易系统（苏采云）”须持经注册的CA证书。未注册、领取新CA和办理电子签章的潜在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，请根据《江苏省政府采购数字证书（供应商）数字证书CA及电子签章办理指南》（http://jsxcmm.com/help/gys.html）到相关地区办理。</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（2）本项目采用电子化投标，具体操作详见《“苏采云”系统供应商操作手册》，网址链接http://www.ccgp-jiangsu.gov.cn//webfile/jiangsu/202311/1699268553318052447.pdf。</w:t>
      </w: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25" w:name="_Toc8965"/>
      <w:r/>
      <w:bookmarkStart w:id="26" w:name="_Toc35393805"/>
      <w:r/>
      <w:bookmarkStart w:id="27" w:name="_Toc35393636"/>
      <w:r/>
      <w:bookmarkStart w:id="28" w:name="_Toc28359018"/>
      <w:r/>
      <w:bookmarkStart w:id="29" w:name="_Toc2835909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本次单一来源采购的联系方式</w:t>
      </w:r>
      <w:r>
        <w:rPr>
          <w:rFonts w:hint="eastAsia" w:ascii="宋体" w:hAnsi="宋体" w:eastAsia="宋体" w:cs="宋体"/>
          <w:b/>
          <w:bCs/>
          <w:color w:val="000000" w:themeColor="text1"/>
          <w:sz w:val="24"/>
          <w:szCs w:val="24"/>
          <w:highlight w:val="none"/>
          <w14:textFill>
            <w14:solidFill>
              <w14:schemeClr w14:val="tx1"/>
            </w14:solidFill>
          </w14:textFill>
        </w:rPr>
        <w:t xml:space="preserve">。</w:t>
      </w:r>
      <w:bookmarkEnd w:id="25"/>
      <w:r/>
      <w:bookmarkEnd w:id="26"/>
      <w:r/>
      <w:bookmarkEnd w:id="27"/>
      <w:r/>
      <w:bookmarkEnd w:id="28"/>
      <w:r/>
      <w:bookmarkEnd w:id="29"/>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0" w:name="_Toc35393637"/>
      <w:r/>
      <w:bookmarkStart w:id="31" w:name="_Toc28359019"/>
      <w:r/>
      <w:bookmarkStart w:id="32" w:name="_Toc35393806"/>
      <w:r/>
      <w:bookmarkStart w:id="33" w:name="_Toc28359096"/>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bookmarkEnd w:id="30"/>
      <w:r/>
      <w:bookmarkEnd w:id="31"/>
      <w:r/>
      <w:bookmarkEnd w:id="32"/>
      <w:r/>
      <w:bookmarkEnd w:id="33"/>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泰州市公安局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泰州市凤凰东路69号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周警官</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联系方式：13775669846</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rtl w:val="0"/>
          <w:lang w:val="en-US"/>
          <w14:textFill>
            <w14:solidFill>
              <w14:schemeClr w14:val="tx1"/>
            </w14:solidFill>
          </w14:textFill>
        </w:rPr>
        <w:t xml:space="preserve">2.</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采购代理机构信息</w:t>
      </w:r>
      <w:bookmarkStart w:id="90" w:name="_GoBack"/>
      <w:r/>
      <w:bookmarkEnd w:id="90"/>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lang w:val="zh-TW" w:eastAsia="zh-TW"/>
          <w14:textFill>
            <w14:solidFill>
              <w14:schemeClr w14:val="tx1"/>
            </w14:solidFill>
          </w14:textFill>
        </w:rPr>
      </w:pP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名称：江苏臻云建设管理有限公司</w:t>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地址：</w:t>
      </w:r>
      <w:r>
        <w:rPr>
          <w:rFonts w:hint="eastAsia" w:eastAsia="宋体"/>
          <w:color w:val="000000" w:themeColor="text1"/>
          <w:sz w:val="24"/>
          <w:szCs w:val="24"/>
          <w:highlight w:val="none"/>
          <w:shd w:val="clear" w:color="auto" w:fill="ffffff"/>
          <w:rtl w:val="0"/>
          <w:lang w:val="zh-TW" w:eastAsia="zh-TW"/>
          <w14:textFill>
            <w14:solidFill>
              <w14:schemeClr w14:val="tx1"/>
            </w14:solidFill>
          </w14:textFill>
        </w:rPr>
        <w:t xml:space="preserve">泰州市永定西路</w:t>
      </w:r>
      <w:r>
        <w:rPr>
          <w:rFonts w:ascii="宋体" w:hAnsi="宋体"/>
          <w:color w:val="000000" w:themeColor="text1"/>
          <w:sz w:val="24"/>
          <w:szCs w:val="24"/>
          <w:highlight w:val="none"/>
          <w:shd w:val="clear" w:color="auto" w:fill="ffffff"/>
          <w:rtl w:val="0"/>
          <w:lang w:val="en-US"/>
          <w14:textFill>
            <w14:solidFill>
              <w14:schemeClr w14:val="tx1"/>
            </w14:solidFill>
          </w14:textFill>
        </w:rPr>
        <w:t xml:space="preserve">258</w:t>
      </w:r>
      <w:r>
        <w:rPr>
          <w:rFonts w:hint="eastAsia" w:eastAsia="宋体"/>
          <w:color w:val="000000" w:themeColor="text1"/>
          <w:sz w:val="24"/>
          <w:szCs w:val="24"/>
          <w:highlight w:val="none"/>
          <w:shd w:val="clear" w:color="auto" w:fill="ffffff"/>
          <w:rtl w:val="0"/>
          <w:lang w:val="zh-TW" w:eastAsia="zh-TW"/>
          <w14:textFill>
            <w14:solidFill>
              <w14:schemeClr w14:val="tx1"/>
            </w14:solidFill>
          </w14:textFill>
        </w:rPr>
        <w:t xml:space="preserve">号泰州广场</w:t>
      </w:r>
      <w:r>
        <w:rPr>
          <w:rFonts w:ascii="宋体" w:hAnsi="宋体"/>
          <w:color w:val="000000" w:themeColor="text1"/>
          <w:sz w:val="24"/>
          <w:szCs w:val="24"/>
          <w:highlight w:val="none"/>
          <w:shd w:val="clear" w:color="auto" w:fill="ffffff"/>
          <w:rtl w:val="0"/>
          <w:lang w:val="en-US"/>
          <w14:textFill>
            <w14:solidFill>
              <w14:schemeClr w14:val="tx1"/>
            </w14:solidFill>
          </w14:textFill>
        </w:rPr>
        <w:t xml:space="preserve">3-226</w:t>
      </w:r>
      <w:r>
        <w:rPr>
          <w:rFonts w:hint="eastAsia" w:eastAsia="宋体"/>
          <w:color w:val="000000" w:themeColor="text1"/>
          <w:sz w:val="24"/>
          <w:szCs w:val="24"/>
          <w:highlight w:val="none"/>
          <w:shd w:val="clear" w:color="auto" w:fill="ffffff"/>
          <w:rtl w:val="0"/>
          <w:lang w:val="zh-TW" w:eastAsia="zh-TW"/>
          <w14:textFill>
            <w14:solidFill>
              <w14:schemeClr w14:val="tx1"/>
            </w14:solidFill>
          </w14:textFill>
        </w:rPr>
        <w:t xml:space="preserve">室</w:t>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联系方式：</w:t>
      </w:r>
      <w:r>
        <w:rPr>
          <w:rFonts w:hint="eastAsia" w:eastAsia="宋体"/>
          <w:color w:val="000000" w:themeColor="text1"/>
          <w:sz w:val="24"/>
          <w:szCs w:val="24"/>
          <w:highlight w:val="none"/>
          <w:shd w:val="clear" w:color="auto" w:fill="auto"/>
          <w:rtl w:val="0"/>
          <w:lang w:val="en-US" w:eastAsia="zh-CN"/>
          <w14:textFill>
            <w14:solidFill>
              <w14:schemeClr w14:val="tx1"/>
            </w14:solidFill>
          </w14:textFill>
        </w:rPr>
        <w:t xml:space="preserve">朱女士</w:t>
      </w:r>
      <w:r>
        <w:rPr>
          <w:rFonts w:ascii="宋体" w:hAnsi="宋体"/>
          <w:color w:val="000000" w:themeColor="text1"/>
          <w:sz w:val="24"/>
          <w:szCs w:val="24"/>
          <w:highlight w:val="none"/>
          <w:shd w:val="clear" w:color="auto" w:fill="auto"/>
          <w:rtl w:val="0"/>
          <w:lang w:val="en-US"/>
          <w14:textFill>
            <w14:solidFill>
              <w14:schemeClr w14:val="tx1"/>
            </w14:solidFill>
          </w14:textFill>
        </w:rPr>
        <w:t xml:space="preserve">   0523-80656182</w:t>
      </w:r>
      <w:r>
        <w:rPr>
          <w:rFonts w:hint="eastAsia" w:eastAsia="Arial Unicode MS" w:cs="Arial Unicode MS"/>
          <w:b w:val="0"/>
          <w:bCs w:val="0"/>
          <w:i w:val="0"/>
          <w:iCs w:val="0"/>
          <w:color w:val="000000" w:themeColor="text1"/>
          <w:sz w:val="24"/>
          <w:szCs w:val="24"/>
          <w:highlight w:val="none"/>
          <w:shd w:val="clear" w:color="auto" w:fill="auto"/>
          <w:rtl w:val="0"/>
          <w:lang w:val="en-US" w:eastAsia="zh-CN"/>
          <w14:textFill>
            <w14:solidFill>
              <w14:schemeClr w14:val="tx1"/>
            </w14:solidFill>
          </w14:textFill>
        </w:rPr>
        <w:t xml:space="preserve">     </w:t>
      </w:r>
      <w:r>
        <w:rPr>
          <w:rFonts w:ascii="宋体" w:hAnsi="宋体"/>
          <w:color w:val="000000" w:themeColor="text1"/>
          <w:sz w:val="24"/>
          <w:szCs w:val="24"/>
          <w:highlight w:val="none"/>
          <w:shd w:val="clear" w:color="auto" w:fill="auto"/>
          <w:rtl w:val="0"/>
          <w:lang w:val="en-US"/>
          <w14:textFill>
            <w14:solidFill>
              <w14:schemeClr w14:val="tx1"/>
            </w14:solidFill>
          </w14:textFill>
        </w:rPr>
        <w:t xml:space="preserve">13775702470</w:t>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rtl w:val="0"/>
          <w:lang w:val="en-US"/>
          <w14:textFill>
            <w14:solidFill>
              <w14:schemeClr w14:val="tx1"/>
            </w14:solidFill>
          </w14:textFill>
        </w:rPr>
        <w:t xml:space="preserve">3.</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项目联系方式</w:t>
      </w:r>
      <w:r/>
    </w:p>
    <w:p>
      <w:pPr>
        <w:ind w:firstLine="480"/>
        <w:jc w:val="left"/>
        <w:keepLines w:val="0"/>
        <w:keepNext w:val="0"/>
        <w:pageBreakBefore w:val="0"/>
        <w:spacing w:line="440" w:lineRule="exact"/>
        <w:widowControl w:val="off"/>
        <w:rPr>
          <w:rFonts w:ascii="宋体" w:hAnsi="宋体" w:eastAsia="宋体" w:cs="宋体"/>
          <w:color w:val="000000" w:themeColor="text1"/>
          <w:sz w:val="24"/>
          <w:szCs w:val="24"/>
          <w:highlight w:val="none"/>
          <w:shd w:val="clear" w:color="auto" w:fill="auto"/>
          <w:lang w:val="zh-TW" w:eastAsia="zh-TW"/>
          <w14:textFill>
            <w14:solidFill>
              <w14:schemeClr w14:val="tx1"/>
            </w14:solidFill>
          </w14:textFill>
        </w:rPr>
      </w:pP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项目联系人：</w:t>
      </w:r>
      <w:r>
        <w:rPr>
          <w:rFonts w:hint="eastAsia" w:eastAsia="宋体"/>
          <w:color w:val="000000" w:themeColor="text1"/>
          <w:sz w:val="24"/>
          <w:szCs w:val="24"/>
          <w:highlight w:val="none"/>
          <w:shd w:val="clear" w:color="auto" w:fill="auto"/>
          <w:rtl w:val="0"/>
          <w:lang w:val="en-US" w:eastAsia="zh-CN"/>
          <w14:textFill>
            <w14:solidFill>
              <w14:schemeClr w14:val="tx1"/>
            </w14:solidFill>
          </w14:textFill>
        </w:rPr>
        <w:t xml:space="preserve">朱女士</w:t>
      </w:r>
      <w:r/>
    </w:p>
    <w:p>
      <w:pPr>
        <w:ind w:firstLine="480"/>
        <w:jc w:val="left"/>
        <w:keepLines w:val="0"/>
        <w:keepNext w:val="0"/>
        <w:pageBreakBefore w:val="0"/>
        <w:spacing w:line="440" w:lineRule="exact"/>
        <w:widowControl w:val="off"/>
        <w:rPr>
          <w:rFonts w:ascii="宋体" w:hAnsi="宋体"/>
          <w:color w:val="000000" w:themeColor="text1"/>
          <w:sz w:val="24"/>
          <w:szCs w:val="24"/>
          <w:highlight w:val="none"/>
          <w:shd w:val="clear" w:color="auto" w:fill="auto"/>
          <w:rtl w:val="0"/>
          <w:lang w:val="en-US"/>
          <w14:textFill>
            <w14:solidFill>
              <w14:schemeClr w14:val="tx1"/>
            </w14:solidFill>
          </w14:textFill>
        </w:rPr>
      </w:pP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电话：</w:t>
      </w:r>
      <w:r>
        <w:rPr>
          <w:rFonts w:ascii="宋体" w:hAnsi="宋体"/>
          <w:color w:val="000000" w:themeColor="text1"/>
          <w:sz w:val="24"/>
          <w:szCs w:val="24"/>
          <w:highlight w:val="none"/>
          <w:shd w:val="clear" w:color="auto" w:fill="auto"/>
          <w:rtl w:val="0"/>
          <w:lang w:val="en-US"/>
          <w14:textFill>
            <w14:solidFill>
              <w14:schemeClr w14:val="tx1"/>
            </w14:solidFill>
          </w14:textFill>
        </w:rPr>
        <w:t xml:space="preserve">0523-80656182</w:t>
      </w:r>
      <w:r/>
    </w:p>
    <w:p>
      <w:pPr>
        <w:ind w:left="0" w:firstLine="0"/>
        <w:jc w:val="left"/>
        <w:keepLines w:val="0"/>
        <w:keepNext w:val="0"/>
        <w:pageBreakBefore w:val="0"/>
        <w:spacing w:line="332" w:lineRule="auto"/>
        <w:widowControl w:val="off"/>
        <w:rPr>
          <w:rFonts w:hint="eastAsia"/>
          <w:color w:val="000000" w:themeColor="text1"/>
          <w:highlight w:val="none"/>
          <w:lang w:val="en-US" w:eastAsia="zh-CN"/>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34" w:name="_Toc8760"/>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第二章  供应商须知</w:t>
      </w:r>
      <w:bookmarkEnd w:id="34"/>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35" w:name="_Toc24526"/>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供应商须知前附表</w:t>
      </w:r>
      <w:bookmarkEnd w:id="35"/>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本表是对</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须知的具体补充和修改，如有矛盾，均以本表为准。标记“</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”的选项意为适用于本项目，标记“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”的选项意为不适用于本项目。</w:t>
      </w:r>
      <w:r/>
    </w:p>
    <w:tbl>
      <w:tblPr>
        <w:tblStyle w:val="918"/>
        <w:tblW w:w="8521" w:type="dxa"/>
        <w:jc w:val="center"/>
        <w:tblLayout w:type="fixed"/>
        <w:tblCellMar>
          <w:left w:w="108" w:type="dxa"/>
          <w:top w:w="0" w:type="dxa"/>
          <w:right w:w="108" w:type="dxa"/>
          <w:bottom w:w="0" w:type="dxa"/>
        </w:tblCellMar>
        <w:tblLook w:val="04A0" w:firstRow="1" w:lastRow="0" w:firstColumn="1" w:lastColumn="0" w:noHBand="0" w:noVBand="1"/>
      </w:tblPr>
      <w:tblGrid>
        <w:gridCol w:w="945"/>
        <w:gridCol w:w="1285"/>
        <w:gridCol w:w="6291"/>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b/>
                <w:bCs/>
                <w:color w:val="000000" w:themeColor="text1"/>
                <w:sz w:val="23"/>
                <w:szCs w:val="23"/>
                <w:highlight w:val="none"/>
                <w:lang w:val="zh-CN"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条款号</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条目</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b/>
                <w:bCs/>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zh-CN"/>
                <w14:textFill>
                  <w14:solidFill>
                    <w14:schemeClr w14:val="tx1"/>
                  </w14:solidFill>
                </w14:textFill>
              </w:rPr>
              <w:t xml:space="preserve">内容</w:t>
            </w:r>
            <w:r/>
          </w:p>
        </w:tc>
      </w:tr>
      <w:tr>
        <w:trPr>
          <w:jc w:val="center"/>
          <w:trHeight w:val="84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科研仪器设备</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是否属于科研仪器设备采购项目：</w:t>
            </w:r>
            <w:r/>
          </w:p>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☒是</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☑否</w:t>
            </w:r>
            <w:r/>
          </w:p>
        </w:tc>
      </w:tr>
      <w:tr>
        <w:trPr>
          <w:jc w:val="center"/>
          <w:trHeight w:val="126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标的所属行业</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default" w:asciiTheme="minorEastAsia" w:hAnsiTheme="minorEastAsia" w:eastAsiaTheme="minorEastAsia" w:cstheme="minorEastAsia"/>
                <w:color w:val="000000" w:themeColor="text1"/>
                <w:sz w:val="23"/>
                <w:szCs w:val="23"/>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本项目采购标的对应的中小企业划分标准所属行业：</w:t>
            </w:r>
            <w:r>
              <w:rPr>
                <w:rFonts w:hint="eastAsia" w:asciiTheme="minorEastAsia" w:hAnsiTheme="minorEastAsia" w:cstheme="minorEastAsia"/>
                <w:b/>
                <w:bCs/>
                <w:color w:val="000000" w:themeColor="text1"/>
                <w:sz w:val="23"/>
                <w:szCs w:val="23"/>
                <w:highlight w:val="none"/>
                <w:u w:val="single"/>
                <w:lang w:val="en-US" w:eastAsia="zh-CN"/>
                <w14:textFill>
                  <w14:solidFill>
                    <w14:schemeClr w14:val="tx1"/>
                  </w14:solidFill>
                </w14:textFill>
              </w:rPr>
              <w:t xml:space="preserve">其他未列明行业</w:t>
            </w:r>
            <w:r/>
          </w:p>
        </w:tc>
      </w:tr>
      <w:tr>
        <w:trPr>
          <w:jc w:val="center"/>
          <w:trHeight w:val="141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default"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6.3</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keepLines w:val="0"/>
              <w:keepNext w:val="0"/>
              <w:pageBreakBefore w:val="0"/>
              <w:spacing w:line="240" w:lineRule="auto"/>
              <w:widowControl w:val="off"/>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对单一来源采购文件的澄清或修改</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40" w:lineRule="auto"/>
              <w:widowControl w:val="off"/>
              <w:rPr>
                <w:rFonts w:hint="default"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响应文件提交截止之日</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    </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个工作日前</w:t>
            </w:r>
            <w:r/>
          </w:p>
        </w:tc>
      </w:tr>
      <w:tr>
        <w:trPr>
          <w:jc w:val="center"/>
          <w:trHeight w:val="415"/>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报价的特殊规定：</w:t>
            </w:r>
            <w:r/>
          </w:p>
          <w:p>
            <w:pPr>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无</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☒有，具体情形：    /     。</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p>
        </w:tc>
        <w:tc>
          <w:tcPr>
            <w:shd w:val="clear" w:color="000000" w:fill="ffffff"/>
            <w:tcBorders>
              <w:top w:val="single" w:color="000000" w:sz="2" w:space="0"/>
              <w:left w:val="single" w:color="000000" w:sz="2" w:space="0"/>
              <w:right w:val="single" w:color="000000" w:sz="2" w:space="0"/>
            </w:tcBorders>
            <w:tcW w:w="1285" w:type="dxa"/>
            <w:vAlign w:val="center"/>
            <w:vMerge w:val="restart"/>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谈判保证金</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保证金金额：</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无，关于保证金条款取消</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01包</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…包：</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收受人信息：    /     。</w:t>
            </w:r>
            <w:r/>
          </w:p>
        </w:tc>
      </w:tr>
      <w:tr>
        <w:trPr>
          <w:jc w:val="cente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p>
        </w:tc>
        <w:tc>
          <w:tcPr>
            <w:shd w:val="clear" w:color="000000" w:fill="ffffff"/>
            <w:tcBorders>
              <w:left w:val="single" w:color="000000" w:sz="2" w:space="0"/>
              <w:bottom w:val="single" w:color="000000" w:sz="2" w:space="0"/>
              <w:right w:val="single" w:color="000000" w:sz="2" w:space="0"/>
            </w:tcBorders>
            <w:tcW w:w="1285" w:type="dxa"/>
            <w:vAlign w:val="center"/>
            <w:vMerge w:val="continue"/>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可以不予退还的其他情形：</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☒无</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☒有，具体情形：    /     。</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有效期</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自</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文件提交截止之日起算</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90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日历天。</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分包</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本项目是否允许分包：</w:t>
            </w:r>
            <w:r/>
          </w:p>
          <w:p>
            <w:pPr>
              <w:keepLines w:val="0"/>
              <w:keepNext w:val="0"/>
              <w:pageBreakBefore w:val="0"/>
              <w:spacing w:line="240" w:lineRule="auto"/>
              <w:widowControl w:val="off"/>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☑不允许</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☒允许，具体要求：</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（1）可以分包履行的具体内容</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（2）允许分包的金额或者比例</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p>
          <w:p>
            <w:pP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（3）其他要求：</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tc>
      </w:tr>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询问</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询问送达形式：</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书面</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w:t>
            </w:r>
            <w:r/>
          </w:p>
        </w:tc>
      </w:tr>
      <w:tr>
        <w:trPr>
          <w:jc w:val="center"/>
          <w:trHeight w:val="62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联系方式</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接收询问和质疑的联系方式</w:t>
            </w:r>
            <w:r/>
          </w:p>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联系部门：</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招标代理机构</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联系电话：</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13775702470</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通讯地址：</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 泰州市永定西路258号泰州广场3-</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226</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tc>
      </w:tr>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代理费</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keepLines w:val="0"/>
              <w:keepNext w:val="0"/>
              <w:pageBreakBefore w:val="0"/>
              <w:spacing w:line="284" w:lineRule="auto"/>
              <w:widowControl w:val="off"/>
              <w:rPr>
                <w:rFonts w:hint="default" w:asciiTheme="minorEastAsia" w:hAnsiTheme="minorEastAsia" w:eastAsiaTheme="minorEastAsia" w:cstheme="minorEastAsia"/>
                <w:color w:val="000000" w:themeColor="text1"/>
                <w:sz w:val="23"/>
                <w:szCs w:val="23"/>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收费对象：</w:t>
            </w:r>
            <w:r>
              <w:rPr>
                <w:rFonts w:hint="eastAsia" w:asciiTheme="minorEastAsia" w:hAnsiTheme="minorEastAsia" w:cstheme="minorEastAsia"/>
                <w:b w:val="0"/>
                <w:bCs w:val="0"/>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3"/>
                <w:szCs w:val="23"/>
                <w:highlight w:val="none"/>
                <w:lang w:val="en-US" w:eastAsia="zh-CN"/>
                <w14:textFill>
                  <w14:solidFill>
                    <w14:schemeClr w14:val="tx1"/>
                  </w14:solidFill>
                </w14:textFill>
              </w:rPr>
              <w:t xml:space="preserve">采购人</w:t>
            </w:r>
            <w:r>
              <w:rPr>
                <w:rFonts w:hint="eastAsia" w:asciiTheme="minorEastAsia" w:hAnsiTheme="minorEastAsia" w:cstheme="minorEastAsia"/>
                <w:b w:val="0"/>
                <w:bCs w:val="0"/>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3"/>
                <w:szCs w:val="23"/>
                <w:highlight w:val="none"/>
                <w:lang w:val="en-US" w:eastAsia="zh-CN"/>
                <w14:textFill>
                  <w14:solidFill>
                    <w14:schemeClr w14:val="tx1"/>
                  </w14:solidFill>
                </w14:textFill>
              </w:rPr>
              <w:t xml:space="preserve">☒中标人</w:t>
            </w:r>
            <w:r>
              <w:rPr>
                <w:rFonts w:hint="eastAsia" w:asciiTheme="minorEastAsia" w:hAnsiTheme="minorEastAsia" w:cstheme="minorEastAsia"/>
                <w:b w:val="0"/>
                <w:bCs w:val="0"/>
                <w:color w:val="000000" w:themeColor="text1"/>
                <w:sz w:val="23"/>
                <w:szCs w:val="23"/>
                <w:highlight w:val="none"/>
                <w:lang w:val="en-US" w:eastAsia="zh-CN"/>
                <w14:textFill>
                  <w14:solidFill>
                    <w14:schemeClr w14:val="tx1"/>
                  </w14:solidFill>
                </w14:textFill>
              </w:rPr>
              <w:t xml:space="preserve">（成交人）</w:t>
            </w:r>
            <w:r/>
          </w:p>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收费标准：</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固定收费2500元。</w:t>
            </w:r>
            <w:r/>
          </w:p>
        </w:tc>
      </w:tr>
      <w:tr>
        <w:trPr>
          <w:jc w:val="center"/>
          <w:trHeight w:val="350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26</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宋体" w:hAnsi="宋体" w:cs="宋体"/>
                <w:color w:val="000000" w:themeColor="text1"/>
                <w:sz w:val="23"/>
                <w:szCs w:val="23"/>
                <w:highlight w:val="none"/>
                <w14:textFill>
                  <w14:solidFill>
                    <w14:schemeClr w14:val="tx1"/>
                  </w14:solidFill>
                </w14:textFill>
              </w:rPr>
              <w:t xml:space="preserve">响应文件</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要求</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pStyle w:val="950"/>
              <w:ind w:lef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3"/>
                <w:szCs w:val="23"/>
                <w:highlight w:val="none"/>
                <w14:textFill>
                  <w14:solidFill>
                    <w14:schemeClr w14:val="tx1"/>
                  </w14:solidFill>
                </w14:textFill>
              </w:rPr>
              <w:t xml:space="preserve">响应文件</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形式：</w:t>
            </w:r>
            <w:r/>
          </w:p>
          <w:p>
            <w:pPr>
              <w:pStyle w:val="950"/>
              <w:ind w:left="0" w:firstLine="404"/>
              <w:jc w:val="left"/>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☑电子形式，响应文件提交至电子交易平台。</w:t>
            </w:r>
            <w:r>
              <w:rPr>
                <w:rFonts w:hint="eastAsia" w:ascii="宋体" w:hAnsi="宋体"/>
                <w:color w:val="000000" w:themeColor="text1"/>
                <w:sz w:val="24"/>
                <w:highlight w:val="none"/>
                <w14:textFill>
                  <w14:solidFill>
                    <w14:schemeClr w14:val="tx1"/>
                  </w14:solidFill>
                </w14:textFill>
              </w:rPr>
              <w:t xml:space="preserve">供应商通过“苏采云”系统不见面开标大厅在线参与开标活动。</w:t>
            </w:r>
            <w:r>
              <w:rPr>
                <w:rFonts w:hint="eastAsia" w:ascii="宋体" w:hAnsi="宋体"/>
                <w:b/>
                <w:bCs/>
                <w:color w:val="000000" w:themeColor="text1"/>
                <w:sz w:val="24"/>
                <w:highlight w:val="none"/>
                <w14:textFill>
                  <w14:solidFill>
                    <w14:schemeClr w14:val="tx1"/>
                  </w14:solidFill>
                </w14:textFill>
              </w:rPr>
              <w:t xml:space="preserve">（具体操作详见《“苏采云”系统供应商操作手册》，网址链接http://www.ccgp-jiangsu.gov.cn//webfile/jiangsu/202311/1699268553318052447.pdf）</w:t>
            </w:r>
            <w:r/>
          </w:p>
          <w:p>
            <w:pPr>
              <w:pStyle w:val="950"/>
              <w:ind w:firstLine="0"/>
              <w:keepLines w:val="0"/>
              <w:keepNext w:val="0"/>
              <w:pageBreakBefore w:val="0"/>
              <w:spacing w:line="284" w:lineRule="auto"/>
              <w:rPr>
                <w:rFonts w:hint="eastAsia" w:ascii="宋体" w:hAnsi="宋体" w:cs="宋体"/>
                <w:color w:val="000000" w:themeColor="text1"/>
                <w:sz w:val="23"/>
                <w:szCs w:val="23"/>
                <w:highlight w:val="none"/>
                <w:lang w:val="en-US" w:eastAsia="zh-CN"/>
                <w14:textFill>
                  <w14:solidFill>
                    <w14:schemeClr w14:val="tx1"/>
                  </w14:solidFill>
                </w14:textFill>
              </w:rPr>
            </w:pPr>
            <w:r>
              <w:rPr>
                <w:rFonts w:hint="eastAsia" w:ascii="宋体" w:hAnsi="宋体" w:eastAsia="宋体" w:cs="宋体"/>
                <w:b w:val="0"/>
                <w:bCs w:val="0"/>
                <w:color w:val="000000" w:themeColor="text1"/>
                <w:sz w:val="23"/>
                <w:szCs w:val="23"/>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3"/>
                <w:szCs w:val="23"/>
                <w:highlight w:val="none"/>
                <w:lang w:val="en-US" w:eastAsia="zh-CN"/>
                <w14:textFill>
                  <w14:solidFill>
                    <w14:schemeClr w14:val="tx1"/>
                  </w14:solidFill>
                </w14:textFill>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p>
        </w:tc>
      </w:tr>
      <w:tr>
        <w:trPr>
          <w:jc w:val="center"/>
          <w:trHeight w:val="1733"/>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27</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000000" w:themeColor="text1"/>
                <w:sz w:val="23"/>
                <w:szCs w:val="23"/>
                <w:highlight w:val="none"/>
                <w14:textFill>
                  <w14:solidFill>
                    <w14:schemeClr w14:val="tx1"/>
                  </w14:solidFill>
                </w14:textFill>
              </w:rPr>
              <w:suppressLineNumbers w:val="0"/>
            </w:pPr>
            <w:r>
              <w:rPr>
                <w:rFonts w:hint="eastAsia" w:ascii="宋体" w:hAnsi="宋体" w:cs="宋体"/>
                <w:color w:val="000000" w:themeColor="text1"/>
                <w:sz w:val="23"/>
                <w:szCs w:val="23"/>
                <w:highlight w:val="none"/>
                <w:lang w:val="en-US" w:eastAsia="zh-CN"/>
                <w14:textFill>
                  <w14:solidFill>
                    <w14:schemeClr w14:val="tx1"/>
                  </w14:solidFill>
                </w14:textFill>
              </w:rPr>
              <w:t xml:space="preserve">注意事项</w:t>
            </w:r>
            <w:r/>
          </w:p>
        </w:tc>
        <w:tc>
          <w:tcPr>
            <w:shd w:val="clear" w:color="000000" w:fill="ffffff"/>
            <w:tcBorders>
              <w:top w:val="single" w:color="000000" w:sz="2" w:space="0"/>
              <w:left w:val="single" w:color="000000" w:sz="2" w:space="0"/>
              <w:bottom w:val="single" w:color="000000" w:sz="2" w:space="0"/>
              <w:right w:val="single" w:color="000000" w:sz="2" w:space="0"/>
            </w:tcBorders>
            <w:tcW w:w="6291" w:type="dxa"/>
            <w:vAlign w:val="center"/>
            <w:textDirection w:val="lrTb"/>
            <w:noWrap w:val="false"/>
          </w:tcPr>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本项目通过“苏采云”系统进行电子采购，即供应商响应文件从政府采购客户端工具制作并通过“苏采云”系统提交。</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供应商应当通过“苏采云”系统提交数据电文形式的响应文件（即电子</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）。未进行线上响应文件提交并解密</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因“苏采云”系统导致解密失败的除外</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的供应商，响应无效。</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“CA数字证书”的获取：供应商需办理方正CA锁</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网址</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http://www.ccgp-jiangsu.gov.cn/jiangsu/zlxz/ee/ee3a4bc5a3454aa2b0d9312230633ce9.html。</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http://jszfcg.jsczt.cn/</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），按照要求通过互联网方式提交首次响应文件。</w:t>
            </w:r>
            <w:r/>
          </w:p>
          <w:p>
            <w:pPr>
              <w:pStyle w:val="950"/>
              <w:ind w:left="0" w:right="181" w:firstLine="0"/>
              <w:keepLines w:val="0"/>
              <w:keepNext w:val="0"/>
              <w:pageBreakBefore w:val="0"/>
              <w:spacing w:before="0" w:beforeAutospacing="0" w:after="0" w:afterAutospacing="0" w:line="240" w:lineRule="auto"/>
              <w:widowControl w:val="off"/>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本项目为全流程电子化，所有环节均在“苏采云”系统进行，供应商及时关注，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且保持电话畅通。</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未按“苏采云”系统平台发起的流程进行操作，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将自行承担所产生的风险。</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“苏采云”系统使用要求：</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使用谷歌浏览器参与不见面开标及</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环节。</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电脑需提前准备好麦克风、</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音箱</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，摄像头，提前检查保证能够正常使用。</w:t>
            </w:r>
            <w:r/>
          </w:p>
          <w:p>
            <w:pPr>
              <w:pStyle w:val="950"/>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操作系统至少win7，建议使用win10操作系统。</w:t>
            </w:r>
            <w:r/>
          </w:p>
          <w:p>
            <w:pPr>
              <w:pStyle w:val="950"/>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在截止时间后提交的响应文件为无效文件，将被拒收。</w:t>
            </w:r>
            <w:r/>
          </w:p>
        </w:tc>
      </w:tr>
    </w:tbl>
    <w:p>
      <w:pPr>
        <w:jc w:val="center"/>
        <w:spacing w:after="120" w:line="320" w:lineRule="exact"/>
        <w:rPr>
          <w:rFonts w:ascii="宋体" w:hAnsi="宋体"/>
          <w:bCs/>
          <w:color w:val="000000" w:themeColor="text1"/>
          <w:sz w:val="24"/>
          <w:highlight w:val="none"/>
          <w14:textFill>
            <w14:solidFill>
              <w14:schemeClr w14:val="tx1"/>
            </w14:solidFill>
          </w14:textFill>
        </w:rPr>
      </w:pPr>
      <w:r>
        <w:br w:type="page" w:clear="all"/>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36" w:name="_Toc15020"/>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供应商须知</w:t>
      </w:r>
      <w:bookmarkEnd w:id="36"/>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37" w:name="_Toc24478"/>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一  说明</w:t>
      </w:r>
      <w:bookmarkEnd w:id="37"/>
      <w:r/>
      <w:r/>
    </w:p>
    <w:p>
      <w:pPr>
        <w:ind w:firstLine="462"/>
        <w:keepLines w:val="0"/>
        <w:keepNext w:val="0"/>
        <w:pageBreakBefore w:val="0"/>
        <w:spacing w:line="332" w:lineRule="auto"/>
        <w:widowControl w:val="off"/>
        <w:rPr>
          <w:rFonts w:hint="default"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38" w:name="_Toc16086"/>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1相关概念</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或定义</w:t>
      </w:r>
      <w:bookmarkEnd w:id="38"/>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1.1采购人、采购代理机构：指依法进行政府采购的国家机关、事业单位、团体组织，及其委托的采购代理机构。本项目采购人、采购代理机构见第一章《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采购邀请</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1.2供应商（也称“申请人”）：指向采购人提供货物、工程或者服务的法人、其他组织或者自然人。</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1.3联合体：指两个以上的自然人、法人或者其他组织组成一个联合体，以一个供应商的身份共同参加政府采购。</w:t>
      </w:r>
      <w:r/>
    </w:p>
    <w:p>
      <w:pPr>
        <w:ind w:firstLine="460"/>
        <w:keepLines w:val="0"/>
        <w:keepNext w:val="0"/>
        <w:pageBreakBefore w:val="0"/>
        <w:spacing w:line="332" w:lineRule="auto"/>
        <w:widowControl w:val="off"/>
        <w:tabs>
          <w:tab w:val="left" w:pos="900" w:leader="none"/>
          <w:tab w:val="center" w:pos="4873" w:leader="none"/>
        </w:tabs>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.4“法定代表人”是指供应商的营业执照或相关部门的登记证明文件中的“法定代表人”或“负责人”。</w:t>
      </w:r>
      <w:r/>
    </w:p>
    <w:p>
      <w:pPr>
        <w:ind w:firstLine="460"/>
        <w:keepLines w:val="0"/>
        <w:keepNext w:val="0"/>
        <w:pageBreakBefore w:val="0"/>
        <w:spacing w:line="332" w:lineRule="auto"/>
        <w:widowControl w:val="off"/>
        <w:tabs>
          <w:tab w:val="left" w:pos="900" w:leader="none"/>
          <w:tab w:val="center" w:pos="4873" w:leader="none"/>
        </w:tabs>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天</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：日历天。</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39" w:name="_Toc11000"/>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2资金来源、科研仪器设备采购</w:t>
      </w:r>
      <w:bookmarkEnd w:id="39"/>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2.1资金来源为财政性资金和</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  /  或</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本项目采购中无法与财政性资金分割的非财政性资金。</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2.2是否属于科研仪器设备采购见《供应商须知前附表》。</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40" w:name="_Toc11617"/>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3政府采购政策（包括但不限于下列具体政策要求）</w:t>
      </w:r>
      <w:bookmarkEnd w:id="40"/>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.1采购本国货物、工程和服务</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.1.1政府采购应当采购本国货物、工程和服务。但有《中华人民共和国政府采购法》第十条规定情形的除外。</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.1.2本项目如接受非本国货物、工程、服务参与</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，则具体要求见第四章《采购需求》。</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.2中小企业、监狱企业及残疾人福利性单位</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.2.1中小企业定义：</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.2.1.1中小企</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.2.1.2供应商提供的货物、工程或者服务符合下列情形的，享受中小企业扶持政策：</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（1）在货物采购项目中，货物由中小企业制造，即货物由中小企业生产且使用该中小企业商号或者注册商标；</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（2）在工程采购项目中，工程由中小企业承建，即工程施工单位为中小企业；</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.2.1.3在货物采购项目中，供应商提供的货物既有中小企业制造货物，也有大型企业制造货物的，不享受中小企业扶持政策。</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.2.1.4以联合体形式参加政府采购活动，联合体各方均为中小企业的，联合体视同中小企业。其中，联合体各方均为小微企业的，联合体视同小微企业。</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.2.3在政府采购活动中，残疾人福利性单位视同小型、微型企业，享受预留份额、</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评审</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价格扣除等促进中小企业发展的政府采购政策。残疾人福利性单位定义：享受政府采购支持政策的残疾人福利性单位应当同时满足以下条件：</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.2.3.1安置的残疾人占本单位在职职工人数的比例不低于25%（含25%），并且安置的残疾人人数不少于10人（含10人）；</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.2.3.2依法与安置的每位残疾人签订了一年以上（含一年）的劳动合同或服务协议；</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.2.3.3为安置的每位残疾人按月足额缴纳了基本养老保险、基本医疗保险、失业保险、工伤保险和生育保险等社会保险费；</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.2.3.4通过银行等金融机构向安置的每位残疾人，按月支付了不低于单位所在区县适用的经省级人民政府批准的月最低工资标准的工资；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.2.3.5提供本单位制造的货物、承担的工程或者服务（以下简称产品），或者提供其他残疾人福利性单位制造的货物（不包括使用非残疾人福利性单位注册商标的货物）；</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.2.4本项目是否专门面向中小企业预留采购份额见第一章《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采购邀请</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.2.5采购标的对应的中小企业划分标准所属行业见《供应商须知前附表》。</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.2.6小微企业价格评审优惠的政策调整</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，不适用</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.3政府采购节能产品、环境标志产品</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.3.3如本项目采购产品属于实施政府强制采购品目清单范围的节能产品，则供应商所报产品必须获得国家确定的认证机构出具的、处于有效期之内的节能产品认证证书，否则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.3.4非政府强制采购的节能产品或环境标志产品，依据品目清单和认证证书实施政府优先采购。优先采购的具体规定见第三章《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协商程序</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》（如涉及）。</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.4正版软件</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.4.1国家有特殊信息安全要求的项目必须采购认证产品，否则</w:t>
      </w:r>
      <w:r>
        <w:rPr>
          <w:rFonts w:hint="eastAsia" w:asciiTheme="minorEastAsia" w:hAnsiTheme="minorEastAsia" w:cstheme="minorEastAsia"/>
          <w:b/>
          <w:bCs/>
          <w:color w:val="000000" w:themeColor="text1"/>
          <w:sz w:val="23"/>
          <w:szCs w:val="23"/>
          <w:highlight w:val="none"/>
          <w:u w:val="single"/>
          <w:lang w:val="en-US" w:eastAsia="zh-CN"/>
          <w14:textFill>
            <w14:solidFill>
              <w14:schemeClr w14:val="tx1"/>
            </w14:solidFill>
          </w14:textFill>
        </w:rPr>
        <w:t xml:space="preserve">投标</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.5网络安全专用产品</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.6推广使用低挥发性有机化合物（VOCs）</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属于推荐性标准的，应当在采购文件中载明使用低VOCs的优惠幅度、评审标准等。在通用类货物、家具、印刷、公务车辆维修等采购活动中，应当要求供应商优先使用低挥发性原辅材料，将使用低VOCs含量的涂料、胶黏剂等纳入政府采购合同条款。具体见第三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协商程序</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.7采购需求标准</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.7.1商品包装、快递包装政府采购需求标准（试行）</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.7.2绿色数据中心政府采购需求标准（试行）</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为加快数据中心绿色转型，根据财政部生态环境部工业和信息化部关于印发《绿色数据中心政府采购需求标准（试行）》的通知（财库〔2023〕7号），本项目如涉及绿色数据中心，则具体要求见第四章《采购需求》。</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41" w:name="_Toc25900"/>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响应费用</w:t>
      </w:r>
      <w:bookmarkEnd w:id="41"/>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.1供应商应自行承担所有与准备和参加单一来源采购协商有关的费用，无论协商的结果如何，采购人或采购代理机构在任何情况下均无承担这些费用的义务和责任。</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42" w:name="_Toc1641"/>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二  单一来源采购文件</w:t>
      </w:r>
      <w:bookmarkEnd w:id="42"/>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43" w:name="_Toc30661"/>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5单一来源采购</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文件构成</w:t>
      </w:r>
      <w:bookmarkEnd w:id="43"/>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文件包括以下部分：</w:t>
      </w:r>
      <w:r/>
    </w:p>
    <w:p>
      <w:pPr>
        <w:ind w:firstLine="460"/>
        <w:keepLines w:val="0"/>
        <w:keepNext w:val="0"/>
        <w:pageBreakBefore w:val="0"/>
        <w:spacing w:line="332" w:lineRule="auto"/>
        <w:widowControl w:val="off"/>
        <w:rPr>
          <w:rFonts w:hint="default" w:asciiTheme="minorEastAsia" w:hAnsiTheme="minorEastAsia" w:eastAsiaTheme="minorEastAsia" w:cstheme="minorEastAsia"/>
          <w:color w:val="000000" w:themeColor="text1"/>
          <w:sz w:val="23"/>
          <w:szCs w:val="23"/>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第一章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采购邀请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第二章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供应商须知</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第三章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协商程序</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第四章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采购需求</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第五章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合同草案条款</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第六章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响应文件格式</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.2供应商应认真阅读</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文件的全部内容。供应商应按照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文件要求提交响应文件并保证所提供的全部资料的真实性，并对</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作出</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2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outlineLvl w:val="1"/>
      </w:pPr>
      <w:r/>
      <w:bookmarkStart w:id="44" w:name="_Toc22441"/>
      <w:r>
        <w:rPr>
          <w:rFonts w:hint="eastAsia" w:asciiTheme="minorEastAsia" w:hAnsiTheme="minorEastAsia" w:cstheme="minorEastAsia"/>
          <w:b/>
          <w:bCs/>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对</w:t>
      </w:r>
      <w:r>
        <w:rPr>
          <w:rFonts w:hint="eastAsia" w:asciiTheme="minorEastAsia" w:hAnsiTheme="minorEastAsia" w:cstheme="minorEastAsia"/>
          <w:b/>
          <w:bCs/>
          <w:color w:val="000000" w:themeColor="text1"/>
          <w:sz w:val="21"/>
          <w:szCs w:val="21"/>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文件的澄清或修改</w:t>
      </w:r>
      <w:bookmarkEnd w:id="44"/>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6.1采购人、采购代理机构对已发出的单一来源采购文件进行必要澄清或者修改的，将以书面形式通知所有获取单一来源采购文件的潜在供应商。</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6.2上述书面通知，按照获取单一来源采购文件的潜在供应商提供的联系方式发出，因提供的信息有误导致通知延迟或无法通知的，采购人或采购代理机构不承担责任。</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6.3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45" w:name="_Toc17031"/>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三  响应文件的编制</w:t>
      </w:r>
      <w:bookmarkEnd w:id="45"/>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46" w:name="_Toc12027"/>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响应范围、</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文件中计量单位的使用及</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语言</w:t>
      </w:r>
      <w:bookmarkEnd w:id="46"/>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.1本项目如划分采购包，供应商应当对采购人所邀请的采购包对应第四章《采购需求》所列的全部内容进行响应，不得将一个采购包中的内容拆分响应。</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.2除</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文件有特殊要求外，本项目</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所使用的计量单位，应采用中华人民共和国法定计量单位。</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47" w:name="_Toc15463"/>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响应文件构成</w:t>
      </w:r>
      <w:bookmarkEnd w:id="47"/>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.1供应商应当按照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文件的要求编制响应文件，并对其提交的响应文件的真实性、合法性承担法律责任。响应文件的部分格式要求，见第六章《响应文件格式》。</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.2对于</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未标记“实质性格式”的文件和</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文件未提供格式的内容，可由供应商自行编写。</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.4供应商根据采购项目的特点及要求，提供采购标的成本、同类项目合同价格以及相关专利、专有技术等情况说明，以及单一来源采购文件中要求供应商响应的其他技术文件等。</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.5供应商认为应附的其他材料。</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48" w:name="_Toc19966"/>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报价</w:t>
      </w:r>
      <w:bookmarkEnd w:id="48"/>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.1所有响应均以人民币报价。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.2供应商的报价应包括为完成本项目所发生的一切费用和税费，采购人将不再支付报价以外的任何费用。供应商的报价应包括但不限于下列内容，《供应商须知前附表》中有特殊规定的，从其规定。</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.2.2按照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文件要求完成本项目的全部相关费用。</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.3采购人不得向供应商索要或者接受其给予的赠品、回扣或者与采购无关的其他商品、服务。</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49" w:name="_Toc5398"/>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0保证金</w:t>
      </w:r>
      <w:bookmarkEnd w:id="49"/>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.1供应商应按《供应商须知前附表》中规定的金额及要求</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缴纳保证金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.2交纳</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可采用的形式：政府采购法律法规接受的支票、汇票、本票、网上银行支付或者金融机构、担保机构出具的保函等非现金形式。</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到账（保函提交）截止时间同首次响应文件提交截止时间。以支票、汇票、本票、网上银行支付等形式提交</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的，应在首次响应文件提交截止时间前到账；以金融机构、担保机构出具的保函等形式提交</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的，应在首次响应文件提交截止时间前将原件提交至采购代理机构；由于到账时间晚于首次响应文件提交截止时间的，或者票据错误、印鉴不清等原因导致不能到账的，其</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有效期同响应有效期。</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.5供应商为联合体的，可以由联合体中的一方或者多方共同交纳</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，其交纳的保证金对联合体各方均具有约束力。</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.6采购人、采购代理机构将及时退还供应商的保证金，采用银行保函、担保机构担保函等形式递交的保证金，经供应商同意后采购人、采购代理机构可以不再退还，但因供应商自身原因导致无法及时退还的除外：</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.6.1已提交响应文件的供应商，在提交最后报价之前，可以根据</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情况退出</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。采购人、采购代理机构将退还退出</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的供应商的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.6.2成交供应商的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，在采购合同签订后5个工作日内退还成交供应商；</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.6.3未成交供应商的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，在成交通知书发出后5个工作日内退还。</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.7有下列情形之一的，采购人或采购代理机构不予退还</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.7.1供应商在提交响应文件截止时间后撤回响应文件的；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.7.2供应商在响应文件中提供虚假材料的；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.7.3除因不可抗力或</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文件认可的情形以外，成交供应商不与采购人签订合同的；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.7.4供应商与采购人、其他供应商或者采购代理机构恶意串通的；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.7.5《供应商须知前附表》规定的其他情形。</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50" w:name="_Toc4071"/>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响应有效期</w:t>
      </w:r>
      <w:bookmarkEnd w:id="50"/>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.1响应文件应在本</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文件《供应商须知前附表》中规定的响应有效期内保持有效，响应有效期少于</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文件规定期限的，其</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51" w:name="_Toc9242"/>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响应文件的签署、盖章</w:t>
      </w:r>
      <w:bookmarkEnd w:id="51"/>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t xml:space="preserve">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文件中“响应文件格式”的要求签字、盖章。</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52" w:name="_Toc15036"/>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四  响应文件的提交</w:t>
      </w:r>
      <w:bookmarkEnd w:id="52"/>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53" w:name="_Toc6546"/>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响应文件的提交</w:t>
      </w:r>
      <w:bookmarkEnd w:id="53"/>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.1本项目如使用江苏省政府采购电子交易平台（详见《供应商须知前附表》）。供应商根据</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文件及电子交易平台供应商操作手册要求编制、生成并提交电子响应文件。采购人及采购代理机构拒绝接受通过电子交易平台以外任何形式提交的响应文件，</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除外。</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bookmarkStart w:id="54" w:name="_Toc61149563"/>
      <w:r/>
      <w:bookmarkStart w:id="55" w:name="_Toc462564084"/>
      <w:r/>
      <w:bookmarkStart w:id="56" w:name="_Toc513029225"/>
      <w:r/>
      <w:bookmarkStart w:id="57" w:name="_Toc14577363"/>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.2非电子平台交易，响应文件要求按照《供应商须知前附表》要求如下：</w:t>
      </w:r>
      <w:bookmarkEnd w:id="54"/>
      <w:r/>
      <w:bookmarkEnd w:id="55"/>
      <w:r/>
      <w:bookmarkEnd w:id="56"/>
      <w:r/>
      <w:bookmarkEnd w:id="57"/>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.2.1首次响应文件应用不易破损的封袋密封，封袋加盖供应商公章，并在所有响应文件封面上标明“正本”或“副本”字样及项目名称。</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.2.2密封的响应文件应：</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⑴按</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采购文件中注明的地址送达规定地点；</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⑵注明参加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询价</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项目名称、</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询价</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文件编号；</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⑶密封包装上应写明供应商名称和地址。</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outlineLvl w:val="1"/>
      </w:pPr>
      <w:r/>
      <w:bookmarkStart w:id="58" w:name="_Toc32656"/>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响应文件提交截止时间</w:t>
      </w:r>
      <w:bookmarkEnd w:id="58"/>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.1供应商应在</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文件要求响应文件提交截止时间前提交响应文件。其他按照《供应商须知前附表》要求。</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59" w:name="_Toc17928"/>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响应文件的修改与撤回</w:t>
      </w:r>
      <w:bookmarkEnd w:id="59"/>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.1提交响应文件截止时间前，供应商可以对所提交的响应文件进行补充、修改或者撤回。</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的补充、修改或者撤回无需通过电子交易平台，但应就其补充、修改或者撤回通知采购人或采购代理机构。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.2供应商对响应文件的补充、修改的内容应当按照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文件要求签署、盖章，作为响应文件的组成部分。补充、修改的内容与响应文件不一致的，以补充、修改的内容为准。</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60" w:name="_Toc18808"/>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五  评审</w:t>
      </w:r>
      <w:bookmarkEnd w:id="60"/>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1" w:name="_Toc14860"/>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响应文件的解密</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开启</w:t>
      </w:r>
      <w:bookmarkEnd w:id="61"/>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.1采购人或采购代理机构将按</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文件的规定，在响应文件提交截止时间的同一时间和《供应商须知</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前附</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表》约定的地点组织开启响应文件。</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.2如使用江苏省政府采购电子交易平台。供应商应在规定的时间内对响应文件进行解密，因非系统原因导致的解密失败，视为</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无效响应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firstLine="462"/>
        <w:keepLines w:val="0"/>
        <w:keepNext w:val="0"/>
        <w:pageBreakBefore w:val="0"/>
        <w:spacing w:line="332" w:lineRule="auto"/>
        <w:widowControl w:val="off"/>
        <w:rPr>
          <w:rFonts w:hint="default"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2" w:name="_Toc14674"/>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7单一来源采购人员</w:t>
      </w:r>
      <w:bookmarkEnd w:id="62"/>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采购人、采购代理机构组织具有相关经验的专业人员与供应商商定合理的成交价格并保证采购项目质量。</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3" w:name="_Toc17258"/>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8协商程序</w:t>
      </w:r>
      <w:bookmarkEnd w:id="63"/>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.1见第三章《</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协商程序</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64" w:name="_Toc23700"/>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六  确定成交</w:t>
      </w:r>
      <w:bookmarkEnd w:id="64"/>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5" w:name="_Toc15666"/>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19</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确定成交供应商</w:t>
      </w:r>
      <w:bookmarkEnd w:id="65"/>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19.1采购人在收到单一来源采购人员编写的协商情况记录后，确定成交供应商。</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6" w:name="_Toc24505"/>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成交公告与成交通知书</w:t>
      </w:r>
      <w:bookmarkEnd w:id="66"/>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.1采购人或采购代理机构将在成交供应商确定后2个工作日内，在江苏省政府采购网公告成交结果，同时向成交供应商发出成交通知书，成交公告期限为1个工作日。</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.2成交通知书对采购人和成交供应商均具有法律效力。成交通知书发出后，采购人改变成交结果的，或者成交供应商放弃成交项目的，应当依法承担法律责任。</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7" w:name="_Toc4337"/>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终止</w:t>
      </w:r>
      <w:bookmarkEnd w:id="67"/>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.1出现下列情形之一的，采购人或采购代理机构将终止</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单一来源采购活动</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，发布项目终止公告并说明原因，重新开展采购活动：</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.1.1因情况变化，不再符合规定的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采购方式适用情形的；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21.1.2出现影响采购公正的违法、违规行为的；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21.1.3报价超过采购预算的。</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8" w:name="_Toc16656"/>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签订合同</w:t>
      </w:r>
      <w:bookmarkEnd w:id="68"/>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.1采购人与成交供应商应当在成交通知书发出之日起30日内，按照</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文件确定的合同文本以及采购标的、规格型号、采购金额、采购数量、技术和服务要求等事项签订政府采购合同。</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.2成交供应商拒绝签订政府采购合同的，采购人可以按照评审报告推荐的成交候选人名单排序，确定下一候选人为成交供应商，也可以重新开展采购活动。</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拒绝签订政府采购合同的成交供应商不得参加对该项目重新开展的采购活动。</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.3联合体成交的，联合体各方应当共同与采购人签订合同，就采购合同约定的事项向采购人承担连带责任。</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.4政府采购合同不能转包。</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。成交供应商就采购项目和分包项目向采购人负责，分包供应商就分包项目承担责任。</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69" w:name="_Toc31438"/>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询问与质疑</w:t>
      </w:r>
      <w:bookmarkEnd w:id="69"/>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.1询问</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.1.1供应商对政府采购活动事项有疑问的，可依法提出询问，并按《供应商须知前附表》载明的形式送达采购人或采购代理机构。</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.1.2采购人或采购代理机构对供应商依法提出的询问，在3个工作日内作出答复，但答复的内容不得涉及商业秘密。</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.2质疑</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.2.1供应商认为</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采购过程、成交结果使自己的权益受到损害的，可以在知道或者应知其权益受到损害之日起7个工作日内，以书面形式向采购人、采购代理机构质疑。采购人、采购代理机构在收到质疑函后7个工作日内作出答复。</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.2.2质疑函须使用财政部制定的范本文件。供应商为自然人的，质疑函应当由本人签字；供应商为法人或者其他组织的，质疑函应当由法定代表人、主要负责人，或者其授权代表签字或者盖章，并加盖公章。</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.2.4供应商应在法定质疑期内一次性提出针对同一采购程序环节的质疑，法定质疑期内针对同一采购程序环节再次提出的质疑，采购人、采购代理机构有权不予答复。</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.3接收询问和质疑的联系部门、联系电话和通讯地址见《供应商须知前附表》。</w:t>
      </w: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outlineLvl w:val="1"/>
      </w:pPr>
      <w:r/>
      <w:bookmarkStart w:id="70" w:name="_Toc28401"/>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代理费</w:t>
      </w:r>
      <w:bookmarkEnd w:id="70"/>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.1收费对象、收费标准及缴纳时间见《供应商须知前附表》。由成交供应商支付的，成交供应商须一次性向采购代理机构缴纳代理费，</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供应商的</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报价应包含代理费用。</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71" w:name="_Toc28516"/>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第三章  协商程序</w:t>
      </w:r>
      <w:bookmarkEnd w:id="71"/>
      <w:r/>
      <w:r/>
    </w:p>
    <w:p>
      <w:pPr>
        <w:ind w:firstLine="442"/>
        <w:jc w:val="left"/>
        <w:keepLines w:val="0"/>
        <w:keepNext w:val="0"/>
        <w:pageBreakBefore w:val="0"/>
        <w:spacing w:line="324" w:lineRule="auto"/>
        <w:widowControl w:val="off"/>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outlineLvl w:val="1"/>
      </w:pPr>
      <w:r/>
      <w:bookmarkStart w:id="72" w:name="_Toc21667"/>
      <w:r>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t xml:space="preserve">1响应文件的资格审查和符合性审查</w:t>
      </w:r>
      <w:bookmarkEnd w:id="72"/>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1.1单一来源采购人员将根据《资格审查要求》和《符合性审查要求》中规定的审查因素和审查内容，对供应商进行审查，并形成审查记录。</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《资格审查要求》和《符合性审查要求》中对格式有要求的，除单一来源采购文件另有规定外，均为“实质性格式</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文件。未实质性响应单一来源采购文件的响应文件按无效响应处理，协商小组应当告知提交响应文件的供应商。</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《资格审查要求》见下表</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p>
    <w:p>
      <w:pPr>
        <w:ind w:firstLine="482"/>
        <w:jc w:val="center"/>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资格审查要求</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W w:w="789"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序号</w:t>
            </w:r>
            <w:r/>
          </w:p>
        </w:tc>
        <w:tc>
          <w:tcPr>
            <w:tcW w:w="2295"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检查因素</w:t>
            </w:r>
            <w:r/>
          </w:p>
        </w:tc>
        <w:tc>
          <w:tcPr>
            <w:tcW w:w="4035"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检查内容</w:t>
            </w:r>
            <w:r/>
          </w:p>
        </w:tc>
        <w:tc>
          <w:tcPr>
            <w:tcW w:w="1497"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格式要求</w:t>
            </w:r>
            <w:r/>
          </w:p>
        </w:tc>
      </w:tr>
      <w:tr>
        <w:trPr/>
        <w:tc>
          <w:tcPr>
            <w:tcW w:w="789"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1</w:t>
            </w:r>
            <w:r/>
          </w:p>
        </w:tc>
        <w:tc>
          <w:tcPr>
            <w:tcW w:w="229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满足《中华人民共和国政府采购法》第二十二条规定</w:t>
            </w:r>
            <w:r/>
          </w:p>
        </w:tc>
        <w:tc>
          <w:tcPr>
            <w:tcW w:w="403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具体规定见第一章《采购邀请》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1-1</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营业执照等证明文件</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供应商为企业（包括合伙企业）的，应提供有效的“营业执照”；</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供应商为事业单位的，应提供有效的“事业单位法人证书”；</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供应商是非企业机构的，应提供有效的“执业许可证”“登记证书”等证明文件；</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供应商是个体工商户的，应提供有效的“个体工商户营业执照”；</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供应商是自然人的，应提供有效的自然人身份证明。</w:t>
            </w:r>
            <w:r/>
          </w:p>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分支机构参加响应的，应提供该分支机构或其所属法人/其他组织的相应证明文件；同时还应提供其所属法人  /其他组织出具的授权其参与本项目的授权书（格式自拟，须加盖其所属法人/其他组织的公章）；对于银行、保险、石油石化、电力、电信等行业的分支机构，可以提供上述授权，也可以提供其所属法人/ 其他组织的有关文件或制度等能够证明授权其独立开展业务的证明材料。</w:t>
            </w:r>
            <w:r/>
          </w:p>
          <w:p>
            <w:pPr>
              <w:pStyle w:val="935"/>
              <w:ind w:left="0" w:firstLine="0"/>
              <w:rPr>
                <w:rFonts w:hint="eastAsia"/>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政府采购法第二十二条其他要求详见第六章要求。</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提供证明文件</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1-2</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供应商资格声明书</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提供了符合单一来源采购文件要求的《供应商资格声明书》。</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格式见《响应文件格式》</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1-3</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供应商信用记录</w:t>
            </w:r>
            <w:r/>
          </w:p>
        </w:tc>
        <w:tc>
          <w:tcPr>
            <w:tcW w:w="403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查询渠道：信用中国网站（www.creditchina.gov.cn）；</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截止时点：首次响应文件提交截止时间以后、资格审查阶段采购人或采购代理机构的实际查询时间；</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信用信息查询记录和证据留存具体方式：查询结果网页打印页作为查询记录和证据，与其他单一来源采购文件一并保存；</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color w:val="000000" w:themeColor="text1"/>
                <w:sz w:val="23"/>
                <w:szCs w:val="23"/>
                <w:highlight w:val="none"/>
                <w:lang w:val="en-US" w:eastAsia="zh-CN"/>
                <w14:textFill>
                  <w14:solidFill>
                    <w14:schemeClr w14:val="tx1"/>
                  </w14:solidFill>
                </w14:textFill>
              </w:rPr>
              <w:t xml:space="preserve">。联合体形式谈判的，联合体成员存在不良信用记录，视同联合体存在不良信用记录。</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无须供应商提供，由采购人或采购代理机构查询。</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1-4</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法律、行政法规规定的其他条件</w:t>
            </w:r>
            <w:r/>
          </w:p>
        </w:tc>
        <w:tc>
          <w:tcPr>
            <w:tcW w:w="4035" w:type="dxa"/>
            <w:vAlign w:val="center"/>
            <w:textDirection w:val="lrTb"/>
            <w:noWrap w:val="false"/>
          </w:tcPr>
          <w:p>
            <w:pPr>
              <w:jc w:val="both"/>
              <w:rPr>
                <w:rFonts w:hint="default"/>
                <w:color w:val="000000" w:themeColor="text1"/>
                <w:sz w:val="23"/>
                <w:szCs w:val="23"/>
                <w:highlight w:val="none"/>
                <w:lang w:val="en-US"/>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法律、行政法规规定的其他条件</w:t>
            </w:r>
            <w:r/>
          </w:p>
        </w:tc>
        <w:tc>
          <w:tcPr>
            <w:tcW w:w="1497"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  /  </w:t>
            </w:r>
            <w:r/>
          </w:p>
        </w:tc>
      </w:tr>
      <w:tr>
        <w:trPr/>
        <w:tc>
          <w:tcPr>
            <w:tcW w:w="789"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2</w:t>
            </w:r>
            <w:r/>
          </w:p>
        </w:tc>
        <w:tc>
          <w:tcPr>
            <w:tcW w:w="229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落实政府采购政策需满足的资格要求</w:t>
            </w:r>
            <w:r/>
          </w:p>
        </w:tc>
        <w:tc>
          <w:tcPr>
            <w:tcW w:w="403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具体要求见第一章《采购邀请》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2-1</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中小企业政策</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具体要求见第一章《采购邀请》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2-1-1</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中小企业证明文件</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当本项目（包）涉及预留份额专门面向中小企业采购，提供如下资料：</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1、供应商单独响应的，应提供《中小企业声明函》或《残疾人福利性单位声明函》或由省级以上监狱管理局、戒毒管理局（含新疆生产建设兵团）出具的属于监狱企业的证明文件。</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如谈判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格式见《响应文件格式》</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2-1-2</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格式见《响应文件格式》协议</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如本项目（包）要求通过分包措施预留部分采购份额面向中小企业采购且供应商因落实政府采购政策拟进行分包，必须提供；否则无须提供。</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对于预留份额专门面向中小企业采购的项目（包），组成联合体或者接受分包合同的中小企业与联合体内其他企业、分包企业之间不得存在直接控股、管理关系。</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格式见《响应文件格式》</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2-2</w:t>
            </w:r>
            <w:r/>
          </w:p>
        </w:tc>
        <w:tc>
          <w:tcPr>
            <w:tcW w:w="229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其他落实政府采购政策的资格要求</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如有，见第一章《采购邀请》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提供证明文件</w:t>
            </w:r>
            <w:r/>
          </w:p>
        </w:tc>
      </w:tr>
      <w:tr>
        <w:trPr/>
        <w:tc>
          <w:tcPr>
            <w:tcW w:w="789" w:type="dxa"/>
            <w:vAlign w:val="center"/>
            <w:textDirection w:val="lrTb"/>
            <w:noWrap w:val="false"/>
          </w:tcPr>
          <w:p>
            <w:pPr>
              <w:jc w:val="center"/>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3</w:t>
            </w:r>
            <w:r/>
          </w:p>
        </w:tc>
        <w:tc>
          <w:tcPr>
            <w:tcW w:w="229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本项目的特定资格要求</w:t>
            </w:r>
            <w:r/>
          </w:p>
        </w:tc>
        <w:tc>
          <w:tcPr>
            <w:tcW w:w="4035" w:type="dxa"/>
            <w:vAlign w:val="center"/>
            <w:textDirection w:val="lrTb"/>
            <w:noWrap w:val="false"/>
          </w:tcPr>
          <w:p>
            <w:pPr>
              <w:jc w:val="both"/>
              <w:rPr>
                <w:rFonts w:hint="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如有，见第一章《采购邀请》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3-1</w:t>
            </w:r>
            <w:r/>
          </w:p>
        </w:tc>
        <w:tc>
          <w:tcPr>
            <w:tcW w:w="229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本项目对于联合体的要求</w:t>
            </w:r>
            <w:r/>
          </w:p>
        </w:tc>
        <w:tc>
          <w:tcPr>
            <w:tcW w:w="4035"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1、如本项目接受联合体谈判，且供应商为联合体时必须提供《联合协议》，明确各方拟承担的工作和责任，并指定联合体牵头人，授权其代表所有联合体成员负责本项目谈判和合同实施阶段的牵头、协调工作。该联合协议应当作为响应文件的组成部分，与响应文件其他内容同时提交。</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2、联合体各成员单位均须提供本表中序号1-1、1-2的证明文件。联合体各成员单位均应满足本表3-2及3-3项规定。</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3、本表序号3-4项规定的其他特定资格要求中的每一小项要求，联合体各方中至少应当有一方符合本表中其他资格要求并提供证明文件。</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4、联合体中有同类资质的供应商按照联合体分工承担相同工作的，应当按照资质等级较低的供应商确定资质等级。</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6、若联合体中任一成员单位中途退出，则该联合体的</w:t>
            </w:r>
            <w:r>
              <w:rPr>
                <w:rFonts w:hint="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color w:val="000000" w:themeColor="text1"/>
                <w:sz w:val="23"/>
                <w:szCs w:val="23"/>
                <w:highlight w:val="none"/>
                <w:lang w:val="en-US" w:eastAsia="zh-CN"/>
                <w14:textFill>
                  <w14:solidFill>
                    <w14:schemeClr w14:val="tx1"/>
                  </w14:solidFill>
                </w14:textFill>
              </w:rPr>
              <w:t xml:space="preserve">。</w:t>
            </w:r>
            <w:r/>
          </w:p>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7、本项目不接受联合体响应时，供应商不得为联合体。</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提供《联合协议》原件，格式见《响应文件格式》</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3-2</w:t>
            </w:r>
            <w:r/>
          </w:p>
        </w:tc>
        <w:tc>
          <w:tcPr>
            <w:tcW w:w="229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政府购买服务承接主体的要求</w:t>
            </w:r>
            <w:r/>
          </w:p>
        </w:tc>
        <w:tc>
          <w:tcPr>
            <w:tcW w:w="403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如本项目属于政府购买服务，供应商不属于公益一类事业单位、使用事业编制且由财政拨款保障的群团组织。</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格式见《响应文件格式》</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3-3</w:t>
            </w:r>
            <w:r/>
          </w:p>
        </w:tc>
        <w:tc>
          <w:tcPr>
            <w:tcW w:w="229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其他特定资格要求</w:t>
            </w:r>
            <w:r/>
          </w:p>
        </w:tc>
        <w:tc>
          <w:tcPr>
            <w:tcW w:w="403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如有，见第一章《采购邀请》</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提供证明文件</w:t>
            </w:r>
            <w:r/>
          </w:p>
        </w:tc>
      </w:tr>
      <w:tr>
        <w:trPr/>
        <w:tc>
          <w:tcPr>
            <w:tcW w:w="789" w:type="dxa"/>
            <w:vAlign w:val="center"/>
            <w:textDirection w:val="lrTb"/>
            <w:noWrap w:val="false"/>
          </w:tcPr>
          <w:p>
            <w:pPr>
              <w:jc w:val="center"/>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4</w:t>
            </w:r>
            <w:r/>
          </w:p>
        </w:tc>
        <w:tc>
          <w:tcPr>
            <w:tcW w:w="2295" w:type="dxa"/>
            <w:vAlign w:val="center"/>
            <w:textDirection w:val="lrTb"/>
            <w:noWrap w:val="false"/>
          </w:tcPr>
          <w:p>
            <w:pPr>
              <w:jc w:val="both"/>
              <w:rPr>
                <w:rFonts w:hint="default"/>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保证金（如有）</w:t>
            </w:r>
            <w:r/>
          </w:p>
        </w:tc>
        <w:tc>
          <w:tcPr>
            <w:tcW w:w="4035" w:type="dxa"/>
            <w:vAlign w:val="center"/>
            <w:textDirection w:val="lrTb"/>
            <w:noWrap w:val="false"/>
          </w:tcPr>
          <w:p>
            <w:pPr>
              <w:jc w:val="both"/>
              <w:rPr>
                <w:rFonts w:hint="eastAsia"/>
                <w:color w:val="000000" w:themeColor="text1"/>
                <w:sz w:val="23"/>
                <w:szCs w:val="23"/>
                <w:highlight w:val="none"/>
                <w:lang w:val="en-US" w:eastAsia="zh-CN"/>
                <w14:textFill>
                  <w14:solidFill>
                    <w14:schemeClr w14:val="tx1"/>
                  </w14:solidFill>
                </w14:textFill>
              </w:rPr>
            </w:pPr>
            <w:r>
              <w:rPr>
                <w:rFonts w:hint="eastAsia"/>
                <w:color w:val="000000" w:themeColor="text1"/>
                <w:sz w:val="23"/>
                <w:szCs w:val="23"/>
                <w:highlight w:val="none"/>
                <w:lang w:val="en-US" w:eastAsia="zh-CN"/>
                <w14:textFill>
                  <w14:solidFill>
                    <w14:schemeClr w14:val="tx1"/>
                  </w14:solidFill>
                </w14:textFill>
              </w:rPr>
              <w:t xml:space="preserve">按照单一来源采购文件的要求提交保证金。</w:t>
            </w:r>
            <w:r/>
          </w:p>
        </w:tc>
        <w:tc>
          <w:tcPr>
            <w:tcW w:w="1497" w:type="dxa"/>
            <w:vAlign w:val="center"/>
            <w:textDirection w:val="lrTb"/>
            <w:noWrap w:val="false"/>
          </w:tcPr>
          <w:p>
            <w:pPr>
              <w:jc w:val="both"/>
              <w:rPr>
                <w:rFonts w:hint="eastAsia"/>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r>
            <w:r/>
          </w:p>
        </w:tc>
      </w:tr>
    </w:tbl>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1.4《符合性审查要求》见下表：</w:t>
      </w:r>
      <w:r/>
    </w:p>
    <w:p>
      <w:pPr>
        <w:ind w:firstLine="462"/>
        <w:jc w:val="center"/>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符合性审查要求</w:t>
      </w:r>
      <w:r/>
    </w:p>
    <w:tbl>
      <w:tblPr>
        <w:tblStyle w:val="936"/>
        <w:tblW w:w="9417"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2071"/>
        <w:gridCol w:w="5608"/>
        <w:gridCol w:w="1119"/>
      </w:tblGrid>
      <w:tr>
        <w:trPr>
          <w:trHeight w:val="437"/>
        </w:trPr>
        <w:tc>
          <w:tcPr>
            <w:tcW w:w="619" w:type="dxa"/>
            <w:vAlign w:val="center"/>
            <w:textDirection w:val="lrTb"/>
            <w:noWrap w:val="false"/>
          </w:tcPr>
          <w:p>
            <w:pPr>
              <w:jc w:val="cente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序号</w:t>
            </w:r>
            <w:r/>
          </w:p>
        </w:tc>
        <w:tc>
          <w:tcPr>
            <w:tcW w:w="2071" w:type="dxa"/>
            <w:vAlign w:val="center"/>
            <w:textDirection w:val="lrTb"/>
            <w:noWrap w:val="false"/>
          </w:tcPr>
          <w:p>
            <w:pPr>
              <w:jc w:val="cente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审查因素</w:t>
            </w:r>
            <w:r/>
          </w:p>
        </w:tc>
        <w:tc>
          <w:tcPr>
            <w:tcW w:w="5608" w:type="dxa"/>
            <w:vAlign w:val="center"/>
            <w:textDirection w:val="lrTb"/>
            <w:noWrap w:val="false"/>
          </w:tcPr>
          <w:p>
            <w:pPr>
              <w:jc w:val="cente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审查内容</w:t>
            </w:r>
            <w:r/>
          </w:p>
        </w:tc>
        <w:tc>
          <w:tcPr>
            <w:tcW w:w="1119" w:type="dxa"/>
            <w:vAlign w:val="center"/>
            <w:textDirection w:val="lrTb"/>
            <w:noWrap w:val="false"/>
          </w:tcPr>
          <w:p>
            <w:pPr>
              <w:jc w:val="cente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t xml:space="preserve">是否允许澄清、说明或者更正</w:t>
            </w:r>
            <w:r/>
          </w:p>
        </w:tc>
      </w:tr>
      <w:tr>
        <w:trPr/>
        <w:tc>
          <w:tcPr>
            <w:tcW w:w="6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w:t>
            </w:r>
            <w:r/>
          </w:p>
        </w:tc>
        <w:tc>
          <w:tcPr>
            <w:tcW w:w="207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授权委托书</w:t>
            </w:r>
            <w:r/>
          </w:p>
        </w:tc>
        <w:tc>
          <w:tcPr>
            <w:tcW w:w="560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按</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提</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供授权委托书；</w:t>
            </w:r>
            <w:r/>
          </w:p>
        </w:tc>
        <w:tc>
          <w:tcPr>
            <w:tcW w:w="1119" w:type="dxa"/>
            <w:vAlign w:val="center"/>
            <w:textDirection w:val="lrTb"/>
            <w:noWrap w:val="false"/>
          </w:tcPr>
          <w:p>
            <w:pPr>
              <w:jc w:val="center"/>
              <w:spacing w:line="360" w:lineRule="auto"/>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c>
          <w:tcPr>
            <w:tcW w:w="6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w:t>
            </w:r>
            <w:r/>
          </w:p>
        </w:tc>
        <w:tc>
          <w:tcPr>
            <w:tcW w:w="207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完整性</w:t>
            </w:r>
            <w:r/>
          </w:p>
        </w:tc>
        <w:tc>
          <w:tcPr>
            <w:tcW w:w="5608"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未将一个采购包中的内容拆分</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w:t>
            </w:r>
            <w:r/>
          </w:p>
        </w:tc>
        <w:tc>
          <w:tcPr>
            <w:tcW w:w="11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报价未超过</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文件中规定的项目</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采购包预算金额或者项目</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采购包最高限价；</w:t>
            </w:r>
            <w:r/>
          </w:p>
        </w:tc>
        <w:tc>
          <w:tcPr>
            <w:tcW w:w="1119" w:type="dxa"/>
            <w:vAlign w:val="center"/>
            <w:textDirection w:val="lrTb"/>
            <w:noWrap w:val="false"/>
          </w:tcPr>
          <w:p>
            <w:pPr>
              <w:jc w:val="cente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4</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报价唯一性</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未出现可选择性或可调整的报价（</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文件另有规定的除外）；</w:t>
            </w:r>
            <w:r/>
          </w:p>
        </w:tc>
        <w:tc>
          <w:tcPr>
            <w:tcW w:w="1119" w:type="dxa"/>
            <w:vAlign w:val="center"/>
            <w:textDirection w:val="lrTb"/>
            <w:noWrap w:val="false"/>
          </w:tcPr>
          <w:p>
            <w:pPr>
              <w:jc w:val="cente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5</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有效期</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中承诺的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有效期满足</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文件中载明的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有效期的；</w:t>
            </w:r>
            <w:r/>
          </w:p>
        </w:tc>
        <w:tc>
          <w:tcPr>
            <w:tcW w:w="11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实质性格式</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标记为</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实质性格式</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的文件均按</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文件要求</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提</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供且签署、盖章的；</w:t>
            </w:r>
            <w:r/>
          </w:p>
        </w:tc>
        <w:tc>
          <w:tcPr>
            <w:tcW w:w="11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7</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★号条款响应</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满足</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文件第</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章《采购需求》中★号条款要求的；</w:t>
            </w:r>
            <w:r/>
          </w:p>
        </w:tc>
        <w:tc>
          <w:tcPr>
            <w:tcW w:w="1119" w:type="dxa"/>
            <w:vAlign w:val="center"/>
            <w:textDirection w:val="lrTb"/>
            <w:noWrap w:val="false"/>
          </w:tcPr>
          <w:p>
            <w:pPr>
              <w:jc w:val="cente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8</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报价的修正（如有）</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不涉及报价修正，或</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报价出现前后不一致时，供应商对修正后的报价予以确认；（如有）</w:t>
            </w:r>
            <w:r/>
          </w:p>
        </w:tc>
        <w:tc>
          <w:tcPr>
            <w:tcW w:w="11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9</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附加条件</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未含有采购人不能接受的附加条件的；</w:t>
            </w:r>
            <w:r/>
          </w:p>
        </w:tc>
        <w:tc>
          <w:tcPr>
            <w:tcW w:w="1119" w:type="dxa"/>
            <w:vAlign w:val="center"/>
            <w:textDirection w:val="lrTb"/>
            <w:noWrap w:val="false"/>
          </w:tcPr>
          <w:p>
            <w:pPr>
              <w:jc w:val="cente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r>
        <w:trPr>
          <w:trHeight w:val="90"/>
        </w:trPr>
        <w:tc>
          <w:tcPr>
            <w:tcW w:w="619" w:type="dxa"/>
            <w:vAlign w:val="center"/>
            <w:textDirection w:val="lrTb"/>
            <w:noWrap w:val="false"/>
          </w:tcPr>
          <w:p>
            <w:pPr>
              <w:jc w:val="center"/>
              <w:rPr>
                <w:rFonts w:hint="default"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10</w:t>
            </w:r>
            <w:r/>
          </w:p>
        </w:tc>
        <w:tc>
          <w:tcPr>
            <w:tcW w:w="2071"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其他无效情形</w:t>
            </w:r>
            <w:r/>
          </w:p>
        </w:tc>
        <w:tc>
          <w:tcPr>
            <w:tcW w:w="5608"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响应文件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不存在不符合</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法律法规</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和</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单一来源采购</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文件规定的其他无效情形。</w:t>
            </w:r>
            <w:r/>
          </w:p>
        </w:tc>
        <w:tc>
          <w:tcPr>
            <w:tcW w:w="1119" w:type="dxa"/>
            <w:vAlign w:val="center"/>
            <w:textDirection w:val="lrTb"/>
            <w:noWrap w:val="false"/>
          </w:tcPr>
          <w:p>
            <w:pPr>
              <w:jc w:val="cente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不允许</w:t>
            </w:r>
            <w:r/>
          </w:p>
        </w:tc>
      </w:tr>
    </w:tbl>
    <w:p>
      <w:pPr>
        <w:ind w:firstLine="442"/>
        <w:jc w:val="left"/>
        <w:keepLines w:val="0"/>
        <w:keepNext w:val="0"/>
        <w:pageBreakBefore w:val="0"/>
        <w:spacing w:line="324" w:lineRule="auto"/>
        <w:widowControl w:val="off"/>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outlineLvl w:val="1"/>
      </w:pPr>
      <w:r/>
      <w:bookmarkStart w:id="73" w:name="_Toc14735"/>
      <w:r>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t xml:space="preserve">2响应文件有关事项的澄清、说明或者更正和最后报价</w:t>
      </w:r>
      <w:bookmarkEnd w:id="73"/>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2.1 单一来源采购人员在对响应文件的有效性、完整性和响应程度进行审查时可以要求供应商作出必要的澄清、说明或者更正。</w:t>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2.2单一来源采购人员对响应文件进行审查，如发现供应商提交的响应文件存在不满足《资格审查要求》和《符合性审查要求》的内容，如属于表中“不允许</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澄清、说明或者更正的内容,则供应商响应文件按无效处理</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 如属于表中的“允许</w:t>
      </w:r>
      <w:r>
        <w:rPr>
          <w:rFonts w:hint="eastAsia" w:asciiTheme="minorEastAsia" w:hAnsiTheme="minorEastAsia" w:cstheme="minorEastAsia"/>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无效处理。</w:t>
      </w:r>
      <w:r>
        <w:rPr>
          <w:rFonts w:hint="eastAsia" w:ascii="宋体" w:hAnsi="宋体" w:cs="宋体"/>
          <w:color w:val="000000" w:themeColor="text1"/>
          <w:sz w:val="24"/>
          <w:szCs w:val="24"/>
          <w:highlight w:val="none"/>
          <w14:textFill>
            <w14:solidFill>
              <w14:schemeClr w14:val="tx1"/>
            </w14:solidFill>
          </w14:textFill>
        </w:rPr>
        <w:t xml:space="preserve">需要供应商进行澄清、说明和更正的，谈判小组将通过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14:textFill>
            <w14:solidFill>
              <w14:schemeClr w14:val="tx1"/>
            </w14:solidFill>
          </w14:textFill>
        </w:rPr>
        <w:t xml:space="preserve">方式</w:t>
      </w:r>
      <w:r>
        <w:rPr>
          <w:rFonts w:ascii="宋体" w:hAnsi="宋体" w:cs="宋体"/>
          <w:color w:val="000000" w:themeColor="text1"/>
          <w:sz w:val="24"/>
          <w:szCs w:val="24"/>
          <w:highlight w:val="none"/>
          <w14:textFill>
            <w14:solidFill>
              <w14:schemeClr w14:val="tx1"/>
            </w14:solidFill>
          </w14:textFill>
        </w:rPr>
        <w:t xml:space="preserve">见</w:t>
      </w:r>
      <w:r>
        <w:rPr>
          <w:rFonts w:hint="eastAsia" w:ascii="宋体" w:hAnsi="宋体" w:cs="宋体"/>
          <w:color w:val="000000" w:themeColor="text1"/>
          <w:sz w:val="24"/>
          <w:szCs w:val="24"/>
          <w:highlight w:val="none"/>
          <w14:textFill>
            <w14:solidFill>
              <w14:schemeClr w14:val="tx1"/>
            </w14:solidFill>
          </w14:textFill>
        </w:rPr>
        <w:t xml:space="preserve">《操作手册》。</w:t>
      </w:r>
      <w:r/>
    </w:p>
    <w:p>
      <w:pPr>
        <w:ind w:firstLine="442"/>
        <w:jc w:val="left"/>
        <w:keepLines w:val="0"/>
        <w:keepNext w:val="0"/>
        <w:pageBreakBefore w:val="0"/>
        <w:spacing w:line="324" w:lineRule="auto"/>
        <w:widowControl w:val="off"/>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outlineLvl w:val="1"/>
      </w:pPr>
      <w:r/>
      <w:bookmarkStart w:id="74" w:name="_Toc13182"/>
      <w:r>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t xml:space="preserve">3商定合理价格</w:t>
      </w:r>
      <w:bookmarkEnd w:id="74"/>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3.1 单一来源采购人员与供应商商定合理的价格并保证采购项目质量。单一来源采购人员应当编写协商情况记录。</w:t>
      </w:r>
      <w:r/>
    </w:p>
    <w:p>
      <w:pPr>
        <w:ind w:firstLine="442"/>
        <w:jc w:val="left"/>
        <w:keepLines w:val="0"/>
        <w:keepNext w:val="0"/>
        <w:pageBreakBefore w:val="0"/>
        <w:spacing w:line="324" w:lineRule="auto"/>
        <w:widowControl w:val="off"/>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outlineLvl w:val="1"/>
      </w:pPr>
      <w:r/>
      <w:bookmarkStart w:id="75" w:name="_Toc22410"/>
      <w:r>
        <w:rPr>
          <w:rStyle w:val="982"/>
          <w:rFonts w:hint="eastAsia" w:ascii="Times New Roman" w:hAnsi="Times New Roman" w:eastAsia="宋体" w:cs="Times New Roman"/>
          <w:b/>
          <w:bCs/>
          <w:color w:val="000000" w:themeColor="text1"/>
          <w:sz w:val="22"/>
          <w:szCs w:val="22"/>
          <w:highlight w:val="none"/>
          <w:lang w:val="en-US" w:eastAsia="zh-CN"/>
          <w14:textFill>
            <w14:solidFill>
              <w14:schemeClr w14:val="tx1"/>
            </w14:solidFill>
          </w14:textFill>
        </w:rPr>
        <w:t xml:space="preserve">4报告违法行为</w:t>
      </w:r>
      <w:bookmarkEnd w:id="75"/>
      <w: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4.1 单一来源采购人员在评审过程中发现供应商有行贿、提供虚假材料或者串通等违法行为时，有向采购人、采购代理机构或者有关部门报告的职责。</w:t>
      </w:r>
      <w:r/>
    </w:p>
    <w:p>
      <w:pPr>
        <w:rPr>
          <w:rFonts w:hint="eastAsia" w:ascii="黑体" w:hAnsi="黑体" w:eastAsia="黑体" w:cs="黑体"/>
          <w:color w:val="000000" w:themeColor="text1"/>
          <w:sz w:val="28"/>
          <w:szCs w:val="28"/>
          <w:highlight w:val="none"/>
          <w:lang w:val="en-US" w:eastAsia="zh-CN"/>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76" w:name="_Toc21003"/>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第四章  采购需求</w:t>
      </w:r>
      <w:bookmarkEnd w:id="76"/>
      <w:r/>
      <w:r/>
    </w:p>
    <w:p>
      <w:pPr>
        <w:rPr>
          <w:rFonts w:hint="eastAsia" w:asciiTheme="minorEastAsia" w:hAnsiTheme="minorEastAsia" w:eastAsiaTheme="minorEastAsia" w:cstheme="minorEastAsia"/>
          <w:i/>
          <w:i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i/>
          <w:iCs/>
          <w:color w:val="000000" w:themeColor="text1"/>
          <w:sz w:val="23"/>
          <w:szCs w:val="23"/>
          <w:highlight w:val="none"/>
          <w:lang w:val="en-US" w:eastAsia="zh-CN"/>
          <w14:textFill>
            <w14:solidFill>
              <w14:schemeClr w14:val="tx1"/>
            </w14:solidFill>
          </w14:textFill>
        </w:rPr>
      </w:r>
      <w:r/>
    </w:p>
    <w:p>
      <w:pPr>
        <w:ind w:firstLine="240"/>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bookmarkStart w:id="77" w:name="_Toc6668"/>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一、服务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要求</w:t>
      </w:r>
      <w:bookmarkEnd w:id="77"/>
      <w:r/>
      <w:r/>
    </w:p>
    <w:p>
      <w:pPr>
        <w:ind w:firstLine="36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在供冷季提供供冷服务。</w:t>
      </w:r>
      <w:r/>
    </w:p>
    <w:p>
      <w:pPr>
        <w:numPr>
          <w:ilvl w:val="0"/>
          <w:numId w:val="1"/>
        </w:numPr>
        <w:ind w:firstLine="36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在供暖季提供供暖服务。</w:t>
      </w:r>
      <w:r/>
    </w:p>
    <w:p>
      <w:pPr>
        <w:ind w:firstLine="480"/>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1"/>
      </w:pPr>
      <w:r/>
      <w:bookmarkStart w:id="78" w:name="_Toc6445"/>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二、能源服务时间</w:t>
      </w:r>
      <w:bookmarkEnd w:id="78"/>
      <w:r/>
      <w:r/>
    </w:p>
    <w:p>
      <w:pPr>
        <w:ind w:firstLine="412"/>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1、供冷季时间为每年的5月15日到9月30日；</w:t>
      </w:r>
      <w:r/>
    </w:p>
    <w:p>
      <w:pPr>
        <w:ind w:firstLine="412"/>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供暖季时间为每年的11月15日到次年的3月15日。</w:t>
      </w:r>
      <w:r/>
    </w:p>
    <w:p>
      <w:pPr>
        <w:ind w:firstLine="412"/>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如遇甲方有特殊需求，双方另行协商调整，并需提前一个工作日通知乙方。</w:t>
      </w:r>
      <w:r/>
    </w:p>
    <w:p>
      <w:pPr>
        <w:ind w:firstLine="412"/>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2、空调供能时间为全天24小时。</w:t>
      </w:r>
      <w:r/>
    </w:p>
    <w:p>
      <w:pPr>
        <w:ind w:firstLine="412"/>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3、每年5月1日至5月15日为供冷调试期，11月1日至11月15日为供暖调试期。调试期间，甲方应提前检查调试其室内末端设施，确保末端设施完好。</w:t>
      </w:r>
      <w:r/>
    </w:p>
    <w:p>
      <w:pPr>
        <w:pStyle w:val="935"/>
        <w:ind w:left="0" w:firstLine="480"/>
        <w:jc w:val="left"/>
        <w:keepLines w:val="0"/>
        <w:keepNext w:val="0"/>
        <w:pageBreakBefore w:val="0"/>
        <w:spacing w:after="0" w:line="332" w:lineRule="auto"/>
        <w:widowControl w:val="off"/>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三、合同履行期限：</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年</w:t>
      </w:r>
      <w:r/>
    </w:p>
    <w:p>
      <w:pPr>
        <w:pStyle w:val="935"/>
        <w:ind w:left="0" w:firstLine="480"/>
        <w:jc w:val="left"/>
        <w:keepLines w:val="0"/>
        <w:keepNext w:val="0"/>
        <w:pageBreakBefore w:val="0"/>
        <w:spacing w:after="0" w:line="332" w:lineRule="auto"/>
        <w:widowControl w:val="off"/>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四、如因采购人中途实施能源托管服务或其他不可抗拒原因，导致项目无法继续实施，能源消耗按成交单价据实结算，双方不承担其他违约责任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50"/>
        <w:keepLines w:val="0"/>
        <w:keepNext w:val="0"/>
        <w:pageBreakBefore w:val="0"/>
        <w:spacing w:line="360" w:lineRule="auto"/>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五、本项目无履约保证金。</w:t>
      </w:r>
      <w:r/>
    </w:p>
    <w:p>
      <w:pPr>
        <w:pStyle w:val="950"/>
        <w:keepLines w:val="0"/>
        <w:keepNext w:val="0"/>
        <w:pageBreakBefore w:val="0"/>
        <w:spacing w:line="360" w:lineRule="auto"/>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六、付款方式：</w:t>
      </w:r>
      <w:r>
        <w:rPr>
          <w:rFonts w:hint="eastAsia" w:ascii="宋体" w:hAnsi="宋体" w:eastAsia="宋体" w:cs="宋体"/>
          <w:color w:val="000000" w:themeColor="text1"/>
          <w:sz w:val="24"/>
          <w:szCs w:val="24"/>
          <w:highlight w:val="none"/>
          <w14:textFill>
            <w14:solidFill>
              <w14:schemeClr w14:val="tx1"/>
            </w14:solidFill>
          </w14:textFill>
        </w:rPr>
        <w:t xml:space="preserve">乙方次月将上月的能源使用费结算单送至甲方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甲方根据发票及抄表单据付费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黑体" w:hAnsi="黑体" w:eastAsia="黑体" w:cs="黑体"/>
          <w:color w:val="000000" w:themeColor="text1"/>
          <w:sz w:val="36"/>
          <w:szCs w:val="22"/>
          <w:highlight w:val="none"/>
          <w:lang w:val="en-US" w:eastAsia="zh-CN"/>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79" w:name="_Toc23882"/>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第五章  合同草案条款</w:t>
      </w:r>
      <w:bookmarkEnd w:id="79"/>
      <w:r/>
      <w:r/>
    </w:p>
    <w:p>
      <w:pPr>
        <w:rPr>
          <w:rFonts w:hint="eastAsia"/>
          <w:color w:val="000000" w:themeColor="text1"/>
          <w:sz w:val="22"/>
          <w:szCs w:val="22"/>
          <w:highlight w:val="none"/>
          <w:lang w:val="en-US" w:eastAsia="zh-CN"/>
          <w14:textFill>
            <w14:solidFill>
              <w14:schemeClr w14:val="tx1"/>
            </w14:solidFill>
          </w14:textFill>
        </w:rPr>
      </w:pPr>
      <w:r>
        <w:rPr>
          <w:rFonts w:hint="eastAsia"/>
          <w:color w:val="000000" w:themeColor="text1"/>
          <w:sz w:val="22"/>
          <w:szCs w:val="22"/>
          <w:highlight w:val="none"/>
          <w:lang w:val="en-US" w:eastAsia="zh-CN"/>
          <w14:textFill>
            <w14:solidFill>
              <w14:schemeClr w14:val="tx1"/>
            </w14:solidFill>
          </w14:textFill>
        </w:rPr>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（注：本合同为合同草案条款，以甲乙双方最终签订的合同为准。）</w:t>
      </w:r>
      <w:r/>
    </w:p>
    <w:p>
      <w:pPr>
        <w:jc w:val="center"/>
        <w:spacing w:line="480" w:lineRule="auto"/>
        <w:rPr>
          <w:rFonts w:hint="eastAsia" w:ascii="仿宋_GB2312" w:hAnsi="宋体" w:eastAsia="仿宋_GB2312"/>
          <w:color w:val="000000" w:themeColor="text1"/>
          <w:sz w:val="44"/>
          <w:szCs w:val="44"/>
          <w:highlight w:val="none"/>
          <w14:textFill>
            <w14:solidFill>
              <w14:schemeClr w14:val="tx1"/>
            </w14:solidFill>
          </w14:textFill>
        </w:rPr>
      </w:pPr>
      <w:r>
        <w:rPr>
          <w:rFonts w:hint="eastAsia" w:ascii="仿宋_GB2312" w:hAnsi="宋体" w:eastAsia="仿宋_GB2312"/>
          <w:color w:val="000000" w:themeColor="text1"/>
          <w:sz w:val="44"/>
          <w:szCs w:val="44"/>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黑体" w:hAnsi="黑体" w:eastAsia="黑体"/>
          <w:color w:val="000000" w:themeColor="text1"/>
          <w:sz w:val="96"/>
          <w:szCs w:val="96"/>
          <w:highlight w:val="none"/>
          <w14:textFill>
            <w14:solidFill>
              <w14:schemeClr w14:val="tx1"/>
            </w14:solidFill>
          </w14:textFill>
        </w:rPr>
      </w:pPr>
      <w:r>
        <w:rPr>
          <w:rFonts w:hint="eastAsia" w:ascii="黑体" w:hAnsi="黑体" w:eastAsia="黑体"/>
          <w:color w:val="000000" w:themeColor="text1"/>
          <w:sz w:val="96"/>
          <w:szCs w:val="96"/>
          <w:highlight w:val="none"/>
          <w14:textFill>
            <w14:solidFill>
              <w14:schemeClr w14:val="tx1"/>
            </w14:solidFill>
          </w14:textFill>
        </w:rPr>
        <w:t xml:space="preserve">供</w:t>
      </w:r>
      <w:r/>
    </w:p>
    <w:p>
      <w:pPr>
        <w:jc w:val="center"/>
        <w:rPr>
          <w:rFonts w:hint="eastAsia" w:ascii="黑体" w:hAnsi="黑体" w:eastAsia="黑体"/>
          <w:color w:val="000000" w:themeColor="text1"/>
          <w:sz w:val="96"/>
          <w:szCs w:val="96"/>
          <w:highlight w:val="none"/>
          <w14:textFill>
            <w14:solidFill>
              <w14:schemeClr w14:val="tx1"/>
            </w14:solidFill>
          </w14:textFill>
        </w:rPr>
      </w:pPr>
      <w:r>
        <w:rPr>
          <w:rFonts w:hint="eastAsia" w:ascii="黑体" w:hAnsi="黑体" w:eastAsia="黑体"/>
          <w:color w:val="000000" w:themeColor="text1"/>
          <w:sz w:val="96"/>
          <w:szCs w:val="96"/>
          <w:highlight w:val="none"/>
          <w14:textFill>
            <w14:solidFill>
              <w14:schemeClr w14:val="tx1"/>
            </w14:solidFill>
          </w14:textFill>
        </w:rPr>
        <w:t xml:space="preserve">能</w:t>
      </w:r>
      <w:r/>
    </w:p>
    <w:p>
      <w:pPr>
        <w:jc w:val="center"/>
        <w:rPr>
          <w:rFonts w:hint="eastAsia" w:ascii="黑体" w:hAnsi="黑体" w:eastAsia="黑体"/>
          <w:color w:val="000000" w:themeColor="text1"/>
          <w:sz w:val="96"/>
          <w:szCs w:val="96"/>
          <w:highlight w:val="none"/>
          <w14:textFill>
            <w14:solidFill>
              <w14:schemeClr w14:val="tx1"/>
            </w14:solidFill>
          </w14:textFill>
        </w:rPr>
      </w:pPr>
      <w:r>
        <w:rPr>
          <w:rFonts w:hint="eastAsia" w:ascii="黑体" w:hAnsi="黑体" w:eastAsia="黑体"/>
          <w:color w:val="000000" w:themeColor="text1"/>
          <w:sz w:val="96"/>
          <w:szCs w:val="96"/>
          <w:highlight w:val="none"/>
          <w14:textFill>
            <w14:solidFill>
              <w14:schemeClr w14:val="tx1"/>
            </w14:solidFill>
          </w14:textFill>
        </w:rPr>
        <w:t xml:space="preserve">协</w:t>
      </w:r>
      <w:r/>
    </w:p>
    <w:p>
      <w:pPr>
        <w:jc w:val="center"/>
        <w:rPr>
          <w:rFonts w:hint="eastAsia" w:ascii="黑体" w:eastAsia="黑体"/>
          <w:color w:val="000000" w:themeColor="text1"/>
          <w:sz w:val="96"/>
          <w:szCs w:val="96"/>
          <w:highlight w:val="none"/>
          <w14:textFill>
            <w14:solidFill>
              <w14:schemeClr w14:val="tx1"/>
            </w14:solidFill>
          </w14:textFill>
        </w:rPr>
      </w:pPr>
      <w:r>
        <w:rPr>
          <w:rFonts w:hint="eastAsia" w:ascii="黑体" w:hAnsi="黑体" w:eastAsia="黑体"/>
          <w:color w:val="000000" w:themeColor="text1"/>
          <w:sz w:val="96"/>
          <w:szCs w:val="96"/>
          <w:highlight w:val="none"/>
          <w14:textFill>
            <w14:solidFill>
              <w14:schemeClr w14:val="tx1"/>
            </w14:solidFill>
          </w14:textFill>
        </w:rPr>
        <w:t xml:space="preserve">议</w:t>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楷体_GB2312" w:eastAsia="楷体_GB2312"/>
          <w:color w:val="000000" w:themeColor="text1"/>
          <w:sz w:val="32"/>
          <w:szCs w:val="32"/>
          <w:highlight w:val="none"/>
          <w14:textFill>
            <w14:solidFill>
              <w14:schemeClr w14:val="tx1"/>
            </w14:solidFill>
          </w14:textFill>
        </w:rPr>
      </w:pPr>
      <w:r>
        <w:rPr>
          <w:rFonts w:hint="eastAsia" w:ascii="楷体_GB2312" w:hAnsi="宋体" w:eastAsia="楷体_GB2312"/>
          <w:color w:val="000000" w:themeColor="text1"/>
          <w:sz w:val="44"/>
          <w:szCs w:val="44"/>
          <w:highlight w:val="none"/>
          <w14:textFill>
            <w14:solidFill>
              <w14:schemeClr w14:val="tx1"/>
            </w14:solidFill>
          </w14:textFill>
        </w:rPr>
        <w:t xml:space="preserve">（公安大楼）</w:t>
      </w:r>
      <w:r/>
    </w:p>
    <w:p>
      <w:pPr>
        <w:jc w:val="center"/>
        <w:rPr>
          <w:rFonts w:hint="eastAsia"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r>
      <w:r/>
    </w:p>
    <w:p>
      <w:pPr>
        <w:jc w:val="center"/>
        <w:spacing w:line="480" w:lineRule="auto"/>
        <w:widowControl/>
        <w:rPr>
          <w:rFonts w:hint="eastAsia" w:ascii="仿宋_GB2312" w:hAnsi="宋体" w:eastAsia="仿宋_GB2312"/>
          <w:color w:val="000000" w:themeColor="text1"/>
          <w:sz w:val="32"/>
          <w:szCs w:val="32"/>
          <w:highlight w:val="none"/>
          <w:lang w:eastAsia="zh-CN"/>
          <w14:textFill>
            <w14:solidFill>
              <w14:schemeClr w14:val="tx1"/>
            </w14:solidFill>
          </w14:textFill>
        </w:rPr>
      </w:pPr>
      <w:r>
        <w:rPr>
          <w:rFonts w:hint="eastAsia" w:ascii="仿宋_GB2312" w:hAnsi="宋体" w:eastAsia="仿宋_GB2312"/>
          <w:color w:val="000000" w:themeColor="text1"/>
          <w:sz w:val="32"/>
          <w:szCs w:val="32"/>
          <w:highlight w:val="none"/>
          <w:lang w:val="en-US" w:eastAsia="zh-CN"/>
          <w14:textFill>
            <w14:solidFill>
              <w14:schemeClr w14:val="tx1"/>
            </w14:solidFill>
          </w14:textFill>
        </w:rPr>
        <w:t xml:space="preserve"> </w:t>
      </w:r>
      <w:r/>
    </w:p>
    <w:p>
      <w:pPr>
        <w:spacing w:line="500" w:lineRule="exact"/>
        <w:widowControl/>
        <w:rPr>
          <w:rFonts w:hint="eastAsia" w:ascii="华文仿宋" w:hAnsi="华文仿宋" w:eastAsia="华文仿宋"/>
          <w:color w:val="000000" w:themeColor="text1"/>
          <w:sz w:val="28"/>
          <w:szCs w:val="28"/>
          <w:highlight w:val="none"/>
          <w:u w:val="single"/>
          <w14:textFill>
            <w14:solidFill>
              <w14:schemeClr w14:val="tx1"/>
            </w14:solidFill>
          </w14:textFill>
        </w:rPr>
      </w:pPr>
      <w:r>
        <w:br w:type="page" w:clear="all"/>
      </w:r>
      <w:r>
        <w:rPr>
          <w:rFonts w:hint="eastAsia" w:ascii="华文仿宋" w:hAnsi="华文仿宋" w:eastAsia="华文仿宋"/>
          <w:color w:val="000000" w:themeColor="text1"/>
          <w:sz w:val="28"/>
          <w:szCs w:val="28"/>
          <w:highlight w:val="none"/>
          <w14:textFill>
            <w14:solidFill>
              <w14:schemeClr w14:val="tx1"/>
            </w14:solidFill>
          </w14:textFill>
        </w:rPr>
        <w:t xml:space="preserve">能源用户（以下简称甲方）：</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泰州市公安局   </w:t>
      </w:r>
      <w:r/>
    </w:p>
    <w:p>
      <w:pPr>
        <w:spacing w:line="500" w:lineRule="exact"/>
        <w:widowControl/>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供能单位（以下简称乙方）：</w:t>
      </w:r>
      <w:r>
        <w:rPr>
          <w:rFonts w:hint="eastAsia" w:ascii="华文仿宋" w:hAnsi="华文仿宋" w:eastAsia="华文仿宋"/>
          <w:color w:val="000000" w:themeColor="text1"/>
          <w:sz w:val="28"/>
          <w:szCs w:val="28"/>
          <w:highlight w:val="none"/>
          <w:u w:val="single"/>
          <w:lang w:val="en-US" w:eastAsia="zh-CN"/>
          <w14:textFill>
            <w14:solidFill>
              <w14:schemeClr w14:val="tx1"/>
            </w14:solidFill>
          </w14:textFill>
        </w:rPr>
        <w:t xml:space="preserve">             </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   </w:t>
      </w:r>
      <w:r>
        <w:rPr>
          <w:rFonts w:hint="eastAsia" w:ascii="华文仿宋" w:hAnsi="华文仿宋" w:eastAsia="华文仿宋"/>
          <w:color w:val="000000" w:themeColor="text1"/>
          <w:sz w:val="28"/>
          <w:szCs w:val="28"/>
          <w:highlight w:val="non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为了便于甲方理解和正确使用乙方提供的空调系统运管服务，明确双方的权利和义务，双方协商一致，订立本服务协议。</w:t>
      </w:r>
      <w:r/>
    </w:p>
    <w:p>
      <w:pPr>
        <w:jc w:val="center"/>
        <w:spacing w:before="312" w:after="312" w:line="500" w:lineRule="exact"/>
        <w:widowControl/>
        <w:rPr>
          <w:rFonts w:hint="eastAsia" w:ascii="华文仿宋" w:hAnsi="华文仿宋" w:eastAsia="华文仿宋" w:cs="宋体"/>
          <w:b/>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第一条  </w:t>
      </w:r>
      <w:r>
        <w:rPr>
          <w:rFonts w:hint="eastAsia" w:ascii="华文仿宋" w:hAnsi="华文仿宋" w:eastAsia="华文仿宋" w:cs="宋体"/>
          <w:b/>
          <w:color w:val="000000" w:themeColor="text1"/>
          <w:sz w:val="28"/>
          <w:szCs w:val="28"/>
          <w:highlight w:val="none"/>
          <w14:textFill>
            <w14:solidFill>
              <w14:schemeClr w14:val="tx1"/>
            </w14:solidFill>
          </w14:textFill>
        </w:rPr>
        <w:t xml:space="preserve">总     则</w:t>
      </w:r>
      <w:r/>
    </w:p>
    <w:p>
      <w:pPr>
        <w:ind w:firstLine="560"/>
        <w:spacing w:after="156" w:line="460" w:lineRule="exact"/>
        <w:tabs>
          <w:tab w:val="left" w:pos="7380" w:leader="none"/>
        </w:tabs>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1、乙方根据甲方需求为甲方提供空调冷热源供能服务。</w:t>
      </w:r>
      <w:r/>
    </w:p>
    <w:p>
      <w:pPr>
        <w:ind w:firstLine="560"/>
        <w:spacing w:after="156" w:line="460" w:lineRule="exact"/>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2、甲方接受乙方提供的空调冷热源供能服务，并按约定缴纳相关费用。</w:t>
      </w:r>
      <w:r/>
    </w:p>
    <w:p>
      <w:pPr>
        <w:ind w:firstLine="560"/>
        <w:spacing w:after="156" w:line="460" w:lineRule="exact"/>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3、产权分界点：甲方大楼建筑红线内的空调系统管网及空调末端系统由甲方投资建设，产权归甲方自有；位于大楼建筑红线外至乙方能源站的所有管网产权归乙方所有；</w:t>
      </w:r>
      <w:r/>
    </w:p>
    <w:p>
      <w:pPr>
        <w:ind w:firstLine="560"/>
        <w:spacing w:after="156" w:line="460" w:lineRule="exact"/>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4、甲方负责自有产权范围内系统的维护、维修、保养和更换；乙方负责公共管网系统的维护、维修、保养。</w:t>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第二条  能源服务内容</w:t>
      </w:r>
      <w:r/>
    </w:p>
    <w:p>
      <w:pPr>
        <w:ind w:firstLine="420"/>
        <w:jc w:val="left"/>
        <w:spacing w:line="500" w:lineRule="exact"/>
        <w:widowControl/>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1、在供冷季提供供冷服务。</w:t>
      </w:r>
      <w:r/>
    </w:p>
    <w:p>
      <w:pPr>
        <w:ind w:firstLine="420"/>
        <w:jc w:val="left"/>
        <w:spacing w:line="500" w:lineRule="exact"/>
        <w:widowControl/>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2、在供暖季提供供暖服务。</w:t>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w:t>
      </w:r>
      <w:r>
        <w:rPr>
          <w:rFonts w:hint="eastAsia" w:ascii="华文仿宋" w:hAnsi="华文仿宋" w:eastAsia="华文仿宋"/>
          <w:b/>
          <w:color w:val="000000" w:themeColor="text1"/>
          <w:sz w:val="28"/>
          <w:szCs w:val="28"/>
          <w:highlight w:val="none"/>
          <w14:textFill>
            <w14:solidFill>
              <w14:schemeClr w14:val="tx1"/>
            </w14:solidFill>
          </w14:textFill>
        </w:rPr>
        <w:t xml:space="preserve">三</w:t>
      </w:r>
      <w:r>
        <w:rPr>
          <w:rFonts w:ascii="华文仿宋" w:hAnsi="华文仿宋" w:eastAsia="华文仿宋"/>
          <w:b/>
          <w:color w:val="000000" w:themeColor="text1"/>
          <w:sz w:val="28"/>
          <w:szCs w:val="28"/>
          <w:highlight w:val="none"/>
          <w14:textFill>
            <w14:solidFill>
              <w14:schemeClr w14:val="tx1"/>
            </w14:solidFill>
          </w14:textFill>
        </w:rPr>
        <w:t xml:space="preserve">条　</w:t>
      </w:r>
      <w:r>
        <w:rPr>
          <w:rFonts w:hint="eastAsia" w:ascii="华文仿宋" w:hAnsi="华文仿宋" w:eastAsia="华文仿宋"/>
          <w:b/>
          <w:color w:val="000000" w:themeColor="text1"/>
          <w:sz w:val="28"/>
          <w:szCs w:val="28"/>
          <w:highlight w:val="none"/>
          <w14:textFill>
            <w14:solidFill>
              <w14:schemeClr w14:val="tx1"/>
            </w14:solidFill>
          </w14:textFill>
        </w:rPr>
        <w:t xml:space="preserve">能源服务地点</w:t>
      </w:r>
      <w:r/>
    </w:p>
    <w:p>
      <w:pPr>
        <w:ind w:firstLine="420"/>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地点：</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公安</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业务技术用房内部              </w:t>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第四条 能源服务质量</w:t>
      </w:r>
      <w:r/>
    </w:p>
    <w:p>
      <w:pPr>
        <w:ind w:firstLine="42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供</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应空调</w:t>
      </w:r>
      <w:r>
        <w:rPr>
          <w:rFonts w:ascii="华文仿宋" w:hAnsi="华文仿宋" w:eastAsia="华文仿宋" w:cs="宋体"/>
          <w:color w:val="000000" w:themeColor="text1"/>
          <w:sz w:val="28"/>
          <w:szCs w:val="28"/>
          <w:highlight w:val="none"/>
          <w14:textFill>
            <w14:solidFill>
              <w14:schemeClr w14:val="tx1"/>
            </w14:solidFill>
          </w14:textFill>
        </w:rPr>
        <w:t xml:space="preserve">期间，在供</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w:t>
      </w:r>
      <w:r>
        <w:rPr>
          <w:rFonts w:ascii="华文仿宋" w:hAnsi="华文仿宋" w:eastAsia="华文仿宋" w:cs="宋体"/>
          <w:color w:val="000000" w:themeColor="text1"/>
          <w:sz w:val="28"/>
          <w:szCs w:val="28"/>
          <w:highlight w:val="none"/>
          <w14:textFill>
            <w14:solidFill>
              <w14:schemeClr w14:val="tx1"/>
            </w14:solidFill>
          </w14:textFill>
        </w:rPr>
        <w:t xml:space="preserve">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条件正常情况下，供</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应</w:t>
      </w:r>
      <w:r>
        <w:rPr>
          <w:rFonts w:ascii="华文仿宋" w:hAnsi="华文仿宋" w:eastAsia="华文仿宋" w:cs="宋体"/>
          <w:color w:val="000000" w:themeColor="text1"/>
          <w:sz w:val="28"/>
          <w:szCs w:val="28"/>
          <w:highlight w:val="none"/>
          <w14:textFill>
            <w14:solidFill>
              <w14:schemeClr w14:val="tx1"/>
            </w14:solidFill>
          </w14:textFill>
        </w:rPr>
        <w:t xml:space="preserve">质量应当符合国家规定的质量标准，</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要保证</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方正常的用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参数。</w:t>
      </w:r>
      <w:r/>
    </w:p>
    <w:p>
      <w:pPr>
        <w:ind w:firstLine="420"/>
        <w:jc w:val="left"/>
        <w:spacing w:line="500" w:lineRule="exact"/>
        <w:widowControl/>
        <w:rPr>
          <w:rFonts w:hint="eastAsia" w:ascii="华文仿宋" w:hAnsi="华文仿宋" w:eastAsia="华文仿宋"/>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能源站的供能温度：夏季供水温度不大于12</w:t>
      </w:r>
      <w:r>
        <w:rPr>
          <w:rFonts w:hint="eastAsia" w:ascii="华文仿宋" w:hAnsi="华文仿宋" w:eastAsia="华文仿宋"/>
          <w:color w:val="000000" w:themeColor="text1"/>
          <w:sz w:val="28"/>
          <w:szCs w:val="28"/>
          <w:highlight w:val="none"/>
          <w14:textFill>
            <w14:solidFill>
              <w14:schemeClr w14:val="tx1"/>
            </w14:solidFill>
          </w14:textFill>
        </w:rPr>
        <w:t xml:space="preserve">℃，冬季供水温度不低于40℃，系统变流量、变频节能运行。</w:t>
      </w:r>
      <w:r/>
    </w:p>
    <w:p>
      <w:pPr>
        <w:jc w:val="center"/>
        <w:spacing w:before="312" w:after="312"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第五条  能源服务时间</w:t>
      </w:r>
      <w:r/>
    </w:p>
    <w:p>
      <w:pPr>
        <w:ind w:firstLine="481"/>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供冷季时间为每年的</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5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15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到</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9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30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日；供暖季时间为每年的</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11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15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到次年的</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3</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15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日。</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如遇甲方有特殊需求，双方另行协商调整，并需提前一个工作日通知乙方。</w:t>
      </w:r>
      <w:r/>
    </w:p>
    <w:p>
      <w:pPr>
        <w:ind w:firstLine="481"/>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2、空调供能时间为全天24小时。</w:t>
      </w:r>
      <w:r/>
    </w:p>
    <w:p>
      <w:pPr>
        <w:ind w:firstLine="481"/>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3、每年</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5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至</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5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15</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为供冷调试期，</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11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至</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11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月</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15 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为供暖调试期。调试期间，甲方应提前检查调试其室内末端设施，确保末端设施完好。</w:t>
      </w:r>
      <w:r/>
    </w:p>
    <w:p>
      <w:pPr>
        <w:ind w:firstLine="481"/>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ind w:firstLine="481"/>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第六条 能源收费项目、标准及计价办法</w:t>
      </w:r>
      <w:r/>
    </w:p>
    <w:p>
      <w:pPr>
        <w:ind w:left="420" w:firstLine="56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olor w:val="000000" w:themeColor="text1"/>
          <w:sz w:val="28"/>
          <w:szCs w:val="28"/>
          <w:highlight w:val="none"/>
          <w14:textFill>
            <w14:solidFill>
              <w14:schemeClr w14:val="tx1"/>
            </w14:solidFill>
          </w14:textFill>
        </w:rPr>
        <w:t xml:space="preserve">能源使用费收费标准：按照冷热量费</w:t>
      </w:r>
      <w:r>
        <w:rPr>
          <w:rFonts w:hint="eastAsia" w:ascii="华文仿宋" w:hAnsi="华文仿宋" w:eastAsia="华文仿宋"/>
          <w:color w:val="000000" w:themeColor="text1"/>
          <w:sz w:val="28"/>
          <w:szCs w:val="28"/>
          <w:highlight w:val="none"/>
          <w:u w:val="single"/>
          <w:lang w:val="en-US" w:eastAsia="zh-CN"/>
          <w14:textFill>
            <w14:solidFill>
              <w14:schemeClr w14:val="tx1"/>
            </w14:solidFill>
          </w14:textFill>
        </w:rPr>
        <w:t xml:space="preserve">    </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元/kwh</w:t>
      </w:r>
      <w:r>
        <w:rPr>
          <w:rFonts w:hint="eastAsia" w:ascii="华文仿宋" w:hAnsi="华文仿宋" w:eastAsia="华文仿宋"/>
          <w:color w:val="000000" w:themeColor="text1"/>
          <w:sz w:val="28"/>
          <w:szCs w:val="28"/>
          <w:highlight w:val="none"/>
          <w14:textFill>
            <w14:solidFill>
              <w14:schemeClr w14:val="tx1"/>
            </w14:solidFill>
          </w14:textFill>
        </w:rPr>
        <w:t xml:space="preserve">收取，收取费用为：能量表计量值*1000*</w:t>
      </w:r>
      <w:r>
        <w:rPr>
          <w:rFonts w:hint="eastAsia" w:ascii="华文仿宋" w:hAnsi="华文仿宋" w:eastAsia="华文仿宋"/>
          <w:color w:val="000000" w:themeColor="text1"/>
          <w:sz w:val="28"/>
          <w:szCs w:val="28"/>
          <w:highlight w:val="none"/>
          <w:u w:val="single"/>
          <w:lang w:val="en-US" w:eastAsia="zh-CN"/>
          <w14:textFill>
            <w14:solidFill>
              <w14:schemeClr w14:val="tx1"/>
            </w14:solidFill>
          </w14:textFill>
        </w:rPr>
        <w:t xml:space="preserve">   </w:t>
      </w:r>
      <w:r>
        <w:rPr>
          <w:rFonts w:hint="eastAsia" w:ascii="华文仿宋" w:hAnsi="华文仿宋" w:eastAsia="华文仿宋"/>
          <w:color w:val="000000" w:themeColor="text1"/>
          <w:sz w:val="28"/>
          <w:szCs w:val="28"/>
          <w:highlight w:val="none"/>
          <w14:textFill>
            <w14:solidFill>
              <w14:schemeClr w14:val="tx1"/>
            </w14:solidFill>
          </w14:textFill>
        </w:rPr>
        <w:t xml:space="preserve">元；另在合同规定的供能期间，如甲方用能负荷低于最低消费标准（最低消费标准为：单体建筑面积</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68000</w:t>
      </w:r>
      <w:r>
        <w:rPr>
          <w:rFonts w:hint="eastAsia" w:ascii="华文仿宋" w:hAnsi="华文仿宋" w:eastAsia="华文仿宋"/>
          <w:color w:val="000000" w:themeColor="text1"/>
          <w:sz w:val="28"/>
          <w:szCs w:val="28"/>
          <w:highlight w:val="none"/>
          <w:u w:val="single"/>
          <w:lang w:val="en-US" w:eastAsia="zh-CN"/>
          <w14:textFill>
            <w14:solidFill>
              <w14:schemeClr w14:val="tx1"/>
            </w14:solidFill>
          </w14:textFill>
        </w:rPr>
        <w:t xml:space="preserve">平方米</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*1.2元/㎡·月</w:t>
      </w:r>
      <w:r>
        <w:rPr>
          <w:rFonts w:hint="eastAsia" w:ascii="华文仿宋" w:hAnsi="华文仿宋" w:eastAsia="华文仿宋"/>
          <w:color w:val="000000" w:themeColor="text1"/>
          <w:sz w:val="28"/>
          <w:szCs w:val="28"/>
          <w:highlight w:val="none"/>
          <w14:textFill>
            <w14:solidFill>
              <w14:schemeClr w14:val="tx1"/>
            </w14:solidFill>
          </w14:textFill>
        </w:rPr>
        <w:t xml:space="preserve">）冷热量费则按最低消费标准收取，</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hint="eastAsia" w:ascii="华文仿宋" w:hAnsi="华文仿宋" w:eastAsia="华文仿宋"/>
          <w:b/>
          <w:color w:val="000000" w:themeColor="text1"/>
          <w:sz w:val="28"/>
          <w:szCs w:val="28"/>
          <w:highlight w:val="none"/>
          <w14:textFill>
            <w14:solidFill>
              <w14:schemeClr w14:val="tx1"/>
            </w14:solidFill>
          </w14:textFill>
        </w:rPr>
        <w:t xml:space="preserve">第七条   收费方式及时间</w:t>
      </w:r>
      <w:r/>
    </w:p>
    <w:p>
      <w:pPr>
        <w:ind w:firstLine="42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1、能源使用费：乙方次月将上月的能源使用费结算单送至甲方，甲方根据发票及抄表单据付费。</w:t>
      </w:r>
      <w:r/>
    </w:p>
    <w:p>
      <w:pPr>
        <w:ind w:firstLine="42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w:t>
      </w:r>
      <w:r>
        <w:rPr>
          <w:rFonts w:hint="eastAsia" w:ascii="华文仿宋" w:hAnsi="华文仿宋" w:eastAsia="华文仿宋"/>
          <w:b/>
          <w:color w:val="000000" w:themeColor="text1"/>
          <w:sz w:val="28"/>
          <w:szCs w:val="28"/>
          <w:highlight w:val="none"/>
          <w14:textFill>
            <w14:solidFill>
              <w14:schemeClr w14:val="tx1"/>
            </w14:solidFill>
          </w14:textFill>
        </w:rPr>
        <w:t xml:space="preserve">八</w:t>
      </w:r>
      <w:r>
        <w:rPr>
          <w:rFonts w:ascii="华文仿宋" w:hAnsi="华文仿宋" w:eastAsia="华文仿宋"/>
          <w:b/>
          <w:color w:val="000000" w:themeColor="text1"/>
          <w:sz w:val="28"/>
          <w:szCs w:val="28"/>
          <w:highlight w:val="none"/>
          <w14:textFill>
            <w14:solidFill>
              <w14:schemeClr w14:val="tx1"/>
            </w14:solidFill>
          </w14:textFill>
        </w:rPr>
        <w:t xml:space="preserve">条　</w:t>
      </w:r>
      <w:r>
        <w:rPr>
          <w:rFonts w:hint="eastAsia" w:ascii="华文仿宋" w:hAnsi="华文仿宋" w:eastAsia="华文仿宋"/>
          <w:b/>
          <w:color w:val="000000" w:themeColor="text1"/>
          <w:sz w:val="28"/>
          <w:szCs w:val="28"/>
          <w:highlight w:val="none"/>
          <w14:textFill>
            <w14:solidFill>
              <w14:schemeClr w14:val="tx1"/>
            </w14:solidFill>
          </w14:textFill>
        </w:rPr>
        <w:t xml:space="preserve">甲方</w:t>
      </w:r>
      <w:r>
        <w:rPr>
          <w:rFonts w:ascii="华文仿宋" w:hAnsi="华文仿宋" w:eastAsia="华文仿宋"/>
          <w:b/>
          <w:color w:val="000000" w:themeColor="text1"/>
          <w:sz w:val="28"/>
          <w:szCs w:val="28"/>
          <w:highlight w:val="none"/>
          <w14:textFill>
            <w14:solidFill>
              <w14:schemeClr w14:val="tx1"/>
            </w14:solidFill>
          </w14:textFill>
        </w:rPr>
        <w:t xml:space="preserve">的权利和义务</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1、监督</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按照合同向</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方提供能量。</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甲方</w:t>
      </w:r>
      <w:r>
        <w:rPr>
          <w:rFonts w:ascii="华文仿宋" w:hAnsi="华文仿宋" w:eastAsia="华文仿宋" w:cs="宋体"/>
          <w:color w:val="000000" w:themeColor="text1"/>
          <w:sz w:val="28"/>
          <w:szCs w:val="28"/>
          <w:highlight w:val="none"/>
          <w14:textFill>
            <w14:solidFill>
              <w14:schemeClr w14:val="tx1"/>
            </w14:solidFill>
          </w14:textFill>
        </w:rPr>
        <w:t xml:space="preserve">不得擅自挪动、改动计量仪表及其附件。</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甲方不</w:t>
      </w:r>
      <w:r>
        <w:rPr>
          <w:rFonts w:ascii="华文仿宋" w:hAnsi="华文仿宋" w:eastAsia="华文仿宋" w:cs="宋体"/>
          <w:color w:val="000000" w:themeColor="text1"/>
          <w:sz w:val="28"/>
          <w:szCs w:val="28"/>
          <w:highlight w:val="none"/>
          <w14:textFill>
            <w14:solidFill>
              <w14:schemeClr w14:val="tx1"/>
            </w14:solidFill>
          </w14:textFill>
        </w:rPr>
        <w:t xml:space="preserve">得实施影响供能效果或妨碍供能设施正常</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运行</w:t>
      </w:r>
      <w:r>
        <w:rPr>
          <w:rFonts w:ascii="华文仿宋" w:hAnsi="华文仿宋" w:eastAsia="华文仿宋" w:cs="宋体"/>
          <w:color w:val="000000" w:themeColor="text1"/>
          <w:sz w:val="28"/>
          <w:szCs w:val="28"/>
          <w:highlight w:val="none"/>
          <w14:textFill>
            <w14:solidFill>
              <w14:schemeClr w14:val="tx1"/>
            </w14:solidFill>
          </w14:textFill>
        </w:rPr>
        <w:t xml:space="preserve">的其它行为。</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4、甲方应配合乙方对阀门井内能量表的抄表、检修等工作。</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w:t>
      </w:r>
      <w:r>
        <w:rPr>
          <w:rFonts w:hint="eastAsia" w:ascii="华文仿宋" w:hAnsi="华文仿宋" w:eastAsia="华文仿宋"/>
          <w:b/>
          <w:color w:val="000000" w:themeColor="text1"/>
          <w:sz w:val="28"/>
          <w:szCs w:val="28"/>
          <w:highlight w:val="none"/>
          <w14:textFill>
            <w14:solidFill>
              <w14:schemeClr w14:val="tx1"/>
            </w14:solidFill>
          </w14:textFill>
        </w:rPr>
        <w:t xml:space="preserve">九</w:t>
      </w:r>
      <w:r>
        <w:rPr>
          <w:rFonts w:ascii="华文仿宋" w:hAnsi="华文仿宋" w:eastAsia="华文仿宋"/>
          <w:b/>
          <w:color w:val="000000" w:themeColor="text1"/>
          <w:sz w:val="28"/>
          <w:szCs w:val="28"/>
          <w:highlight w:val="none"/>
          <w14:textFill>
            <w14:solidFill>
              <w14:schemeClr w14:val="tx1"/>
            </w14:solidFill>
          </w14:textFill>
        </w:rPr>
        <w:t xml:space="preserve">条　乙方的权利和义务</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有权对</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方的用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情况及设施运行状况进行监督和检查。</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w:t>
      </w:r>
      <w:r>
        <w:rPr>
          <w:rFonts w:ascii="华文仿宋" w:hAnsi="华文仿宋" w:eastAsia="华文仿宋" w:cs="宋体"/>
          <w:color w:val="000000" w:themeColor="text1"/>
          <w:sz w:val="28"/>
          <w:szCs w:val="28"/>
          <w:highlight w:val="none"/>
          <w14:textFill>
            <w14:solidFill>
              <w14:schemeClr w14:val="tx1"/>
            </w14:solidFill>
          </w14:textFill>
        </w:rPr>
        <w:t xml:space="preserve">监督</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方在合同约定的用能地点、数量、范围内用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，有权制止</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方超使用范围用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能</w:t>
      </w:r>
      <w:r>
        <w:rPr>
          <w:rFonts w:ascii="华文仿宋" w:hAnsi="华文仿宋" w:eastAsia="华文仿宋" w:cs="宋体"/>
          <w:color w:val="000000" w:themeColor="text1"/>
          <w:sz w:val="28"/>
          <w:szCs w:val="28"/>
          <w:highlight w:val="none"/>
          <w14:textFill>
            <w14:solidFill>
              <w14:schemeClr w14:val="tx1"/>
            </w14:solidFill>
          </w14:textFill>
        </w:rPr>
        <w:t xml:space="preserve">。</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方违反操作规程，造成计量仪表显示数字与实际供能量不符、伪造供能记录的，</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有权要求</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方立即改正。</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甲方应当赔偿乙方因此而受到的损失。</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4</w:t>
      </w:r>
      <w:r>
        <w:rPr>
          <w:rFonts w:ascii="华文仿宋" w:hAnsi="华文仿宋" w:eastAsia="华文仿宋" w:cs="宋体"/>
          <w:color w:val="000000" w:themeColor="text1"/>
          <w:sz w:val="28"/>
          <w:szCs w:val="28"/>
          <w:highlight w:val="none"/>
          <w14:textFill>
            <w14:solidFill>
              <w14:schemeClr w14:val="tx1"/>
            </w14:solidFill>
          </w14:textFill>
        </w:rPr>
        <w:t xml:space="preserve">、供能设施出现故障，不能正常供能或者停</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供</w:t>
      </w:r>
      <w:r>
        <w:rPr>
          <w:rFonts w:ascii="华文仿宋" w:hAnsi="华文仿宋" w:eastAsia="华文仿宋" w:cs="宋体"/>
          <w:color w:val="000000" w:themeColor="text1"/>
          <w:sz w:val="28"/>
          <w:szCs w:val="28"/>
          <w:highlight w:val="none"/>
          <w14:textFill>
            <w14:solidFill>
              <w14:schemeClr w14:val="tx1"/>
            </w14:solidFill>
          </w14:textFill>
        </w:rPr>
        <w:t xml:space="preserve">8个小时以上的，</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应当通知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方，并立即组织抢修，及时恢复供能。</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5</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因供能设施临时检修等原因，需要中断供能时，应当提前</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8</w:t>
      </w:r>
      <w:r>
        <w:rPr>
          <w:rFonts w:ascii="华文仿宋" w:hAnsi="华文仿宋" w:eastAsia="华文仿宋" w:cs="宋体"/>
          <w:color w:val="000000" w:themeColor="text1"/>
          <w:sz w:val="28"/>
          <w:szCs w:val="28"/>
          <w:highlight w:val="none"/>
          <w14:textFill>
            <w14:solidFill>
              <w14:schemeClr w14:val="tx1"/>
            </w14:solidFill>
          </w14:textFill>
        </w:rPr>
        <w:t xml:space="preserve">小时通知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方。因不可抗力等原因中断供能时，</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应当及时抢修，并在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4</w:t>
      </w:r>
      <w:r>
        <w:rPr>
          <w:rFonts w:ascii="华文仿宋" w:hAnsi="华文仿宋" w:eastAsia="华文仿宋" w:cs="宋体"/>
          <w:color w:val="000000" w:themeColor="text1"/>
          <w:sz w:val="28"/>
          <w:szCs w:val="28"/>
          <w:highlight w:val="none"/>
          <w14:textFill>
            <w14:solidFill>
              <w14:schemeClr w14:val="tx1"/>
            </w14:solidFill>
          </w14:textFill>
        </w:rPr>
        <w:t xml:space="preserve">小时内通知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6</w:t>
      </w:r>
      <w:r>
        <w:rPr>
          <w:rFonts w:ascii="华文仿宋" w:hAnsi="华文仿宋" w:eastAsia="华文仿宋" w:cs="宋体"/>
          <w:color w:val="000000" w:themeColor="text1"/>
          <w:sz w:val="28"/>
          <w:szCs w:val="28"/>
          <w:highlight w:val="none"/>
          <w14:textFill>
            <w14:solidFill>
              <w14:schemeClr w14:val="tx1"/>
            </w14:solidFill>
          </w14:textFill>
        </w:rPr>
        <w:t xml:space="preserve">、按照特许经营权限开展供能经营活动，不得擅自接收、转让、移交和放弃供能设施。</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7</w:t>
      </w:r>
      <w:r>
        <w:rPr>
          <w:rFonts w:ascii="华文仿宋" w:hAnsi="华文仿宋" w:eastAsia="华文仿宋" w:cs="宋体"/>
          <w:color w:val="000000" w:themeColor="text1"/>
          <w:sz w:val="28"/>
          <w:szCs w:val="28"/>
          <w:highlight w:val="none"/>
          <w14:textFill>
            <w14:solidFill>
              <w14:schemeClr w14:val="tx1"/>
            </w14:solidFill>
          </w14:textFill>
        </w:rPr>
        <w:t xml:space="preserve">、建立健全报修处理、供能设施档案等内部管理制度，完善室温监测手段，随时掌握供能效果。</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8</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因故停止供能，应当及时公告</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9</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若</w:t>
      </w:r>
      <w:r>
        <w:rPr>
          <w:rFonts w:ascii="华文仿宋" w:hAnsi="华文仿宋" w:eastAsia="华文仿宋" w:cs="宋体"/>
          <w:color w:val="000000" w:themeColor="text1"/>
          <w:sz w:val="28"/>
          <w:szCs w:val="28"/>
          <w:highlight w:val="none"/>
          <w14:textFill>
            <w14:solidFill>
              <w14:schemeClr w14:val="tx1"/>
            </w14:solidFill>
          </w14:textFill>
        </w:rPr>
        <w:t xml:space="preserve">不按时缴纳</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空调</w:t>
      </w:r>
      <w:r>
        <w:rPr>
          <w:rFonts w:ascii="华文仿宋" w:hAnsi="华文仿宋" w:eastAsia="华文仿宋" w:cs="宋体"/>
          <w:color w:val="000000" w:themeColor="text1"/>
          <w:sz w:val="28"/>
          <w:szCs w:val="28"/>
          <w:highlight w:val="none"/>
          <w14:textFill>
            <w14:solidFill>
              <w14:schemeClr w14:val="tx1"/>
            </w14:solidFill>
          </w14:textFill>
        </w:rPr>
        <w:t xml:space="preserve">费，经</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乙方2次书面</w:t>
      </w:r>
      <w:r>
        <w:rPr>
          <w:rFonts w:ascii="华文仿宋" w:hAnsi="华文仿宋" w:eastAsia="华文仿宋" w:cs="宋体"/>
          <w:color w:val="000000" w:themeColor="text1"/>
          <w:sz w:val="28"/>
          <w:szCs w:val="28"/>
          <w:highlight w:val="none"/>
          <w14:textFill>
            <w14:solidFill>
              <w14:schemeClr w14:val="tx1"/>
            </w14:solidFill>
          </w14:textFill>
        </w:rPr>
        <w:t xml:space="preserve">催缴</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后</w:t>
      </w:r>
      <w:r>
        <w:rPr>
          <w:rFonts w:ascii="华文仿宋" w:hAnsi="华文仿宋" w:eastAsia="华文仿宋" w:cs="宋体"/>
          <w:color w:val="000000" w:themeColor="text1"/>
          <w:sz w:val="28"/>
          <w:szCs w:val="28"/>
          <w:highlight w:val="none"/>
          <w14:textFill>
            <w14:solidFill>
              <w14:schemeClr w14:val="tx1"/>
            </w14:solidFill>
          </w14:textFill>
        </w:rPr>
        <w:t xml:space="preserve">仍不缴费，</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有权实行限供、缓供或者停供。</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10、每月能量表的读数记录需经甲方代表签字确认后方能作为最终结算的依据。</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w:t>
      </w:r>
      <w:r>
        <w:rPr>
          <w:rFonts w:hint="eastAsia" w:ascii="华文仿宋" w:hAnsi="华文仿宋" w:eastAsia="华文仿宋"/>
          <w:b/>
          <w:color w:val="000000" w:themeColor="text1"/>
          <w:sz w:val="28"/>
          <w:szCs w:val="28"/>
          <w:highlight w:val="none"/>
          <w14:textFill>
            <w14:solidFill>
              <w14:schemeClr w14:val="tx1"/>
            </w14:solidFill>
          </w14:textFill>
        </w:rPr>
        <w:t xml:space="preserve">十</w:t>
      </w:r>
      <w:r>
        <w:rPr>
          <w:rFonts w:ascii="华文仿宋" w:hAnsi="华文仿宋" w:eastAsia="华文仿宋"/>
          <w:b/>
          <w:color w:val="000000" w:themeColor="text1"/>
          <w:sz w:val="28"/>
          <w:szCs w:val="28"/>
          <w:highlight w:val="none"/>
          <w14:textFill>
            <w14:solidFill>
              <w14:schemeClr w14:val="tx1"/>
            </w14:solidFill>
          </w14:textFill>
        </w:rPr>
        <w:t xml:space="preserve">条　违约责任</w:t>
      </w:r>
      <w:r/>
    </w:p>
    <w:p>
      <w:pPr>
        <w:ind w:firstLine="28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方的违约责任</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（1）甲</w:t>
      </w:r>
      <w:r>
        <w:rPr>
          <w:rFonts w:ascii="华文仿宋" w:hAnsi="华文仿宋" w:eastAsia="华文仿宋" w:cs="宋体"/>
          <w:color w:val="000000" w:themeColor="text1"/>
          <w:sz w:val="28"/>
          <w:szCs w:val="28"/>
          <w:highlight w:val="none"/>
          <w14:textFill>
            <w14:solidFill>
              <w14:schemeClr w14:val="tx1"/>
            </w14:solidFill>
          </w14:textFill>
        </w:rPr>
        <w:t xml:space="preserve">方</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在能量总表上游私接管线</w:t>
      </w:r>
      <w:r>
        <w:rPr>
          <w:rFonts w:ascii="华文仿宋" w:hAnsi="华文仿宋" w:eastAsia="华文仿宋" w:cs="宋体"/>
          <w:color w:val="000000" w:themeColor="text1"/>
          <w:sz w:val="28"/>
          <w:szCs w:val="28"/>
          <w:highlight w:val="none"/>
          <w14:textFill>
            <w14:solidFill>
              <w14:schemeClr w14:val="tx1"/>
            </w14:solidFill>
          </w14:textFill>
        </w:rPr>
        <w:t xml:space="preserve">擅自用能</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的</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有权立即停止供能，</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方应当赔偿</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甲方</w:t>
      </w:r>
      <w:r>
        <w:rPr>
          <w:rFonts w:ascii="华文仿宋" w:hAnsi="华文仿宋" w:eastAsia="华文仿宋" w:cs="宋体"/>
          <w:color w:val="000000" w:themeColor="text1"/>
          <w:sz w:val="28"/>
          <w:szCs w:val="28"/>
          <w:highlight w:val="none"/>
          <w14:textFill>
            <w14:solidFill>
              <w14:schemeClr w14:val="tx1"/>
            </w14:solidFill>
          </w14:textFill>
        </w:rPr>
        <w:t xml:space="preserve">因此而受到的损失。</w:t>
      </w:r>
      <w:r/>
    </w:p>
    <w:p>
      <w:pPr>
        <w:ind w:firstLine="478"/>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（2）甲方未及时支付相关费用的，除补交该部分费用外，还应缴纳该部分费用每日万分之四的滞纳金。</w:t>
      </w:r>
      <w:r/>
    </w:p>
    <w:p>
      <w:pPr>
        <w:ind w:firstLine="28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的违约责任</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的供能设施出现故障，给</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方造成损失的，</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双方协商解决</w:t>
      </w:r>
      <w:r>
        <w:rPr>
          <w:rFonts w:ascii="华文仿宋" w:hAnsi="华文仿宋" w:eastAsia="华文仿宋" w:cs="宋体"/>
          <w:color w:val="000000" w:themeColor="text1"/>
          <w:sz w:val="28"/>
          <w:szCs w:val="28"/>
          <w:highlight w:val="none"/>
          <w14:textFill>
            <w14:solidFill>
              <w14:schemeClr w14:val="tx1"/>
            </w14:solidFill>
          </w14:textFill>
        </w:rPr>
        <w:t xml:space="preserve">。</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（2）由于不可抗力的原因或者政府行为造成停止供能，使</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w:t>
      </w:r>
      <w:r>
        <w:rPr>
          <w:rFonts w:ascii="华文仿宋" w:hAnsi="华文仿宋" w:eastAsia="华文仿宋" w:cs="宋体"/>
          <w:color w:val="000000" w:themeColor="text1"/>
          <w:sz w:val="28"/>
          <w:szCs w:val="28"/>
          <w:highlight w:val="none"/>
          <w14:textFill>
            <w14:solidFill>
              <w14:schemeClr w14:val="tx1"/>
            </w14:solidFill>
          </w14:textFill>
        </w:rPr>
        <w:t xml:space="preserve">方受到损失的，</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不承担</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相应</w:t>
      </w:r>
      <w:r>
        <w:rPr>
          <w:rFonts w:ascii="华文仿宋" w:hAnsi="华文仿宋" w:eastAsia="华文仿宋" w:cs="宋体"/>
          <w:color w:val="000000" w:themeColor="text1"/>
          <w:sz w:val="28"/>
          <w:szCs w:val="28"/>
          <w:highlight w:val="none"/>
          <w14:textFill>
            <w14:solidFill>
              <w14:schemeClr w14:val="tx1"/>
            </w14:solidFill>
          </w14:textFill>
        </w:rPr>
        <w:t xml:space="preserve">赔偿责任。</w:t>
      </w:r>
      <w:r/>
    </w:p>
    <w:p>
      <w:pPr>
        <w:ind w:firstLine="28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2、但有下列情况之一，造成供能质量达不到规定的标准，</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乙方</w:t>
      </w:r>
      <w:r>
        <w:rPr>
          <w:rFonts w:ascii="华文仿宋" w:hAnsi="华文仿宋" w:eastAsia="华文仿宋" w:cs="宋体"/>
          <w:color w:val="000000" w:themeColor="text1"/>
          <w:sz w:val="28"/>
          <w:szCs w:val="28"/>
          <w:highlight w:val="none"/>
          <w14:textFill>
            <w14:solidFill>
              <w14:schemeClr w14:val="tx1"/>
            </w14:solidFill>
          </w14:textFill>
        </w:rPr>
        <w:t xml:space="preserve">不承担责任：</w:t>
      </w:r>
      <w:r/>
    </w:p>
    <w:p>
      <w:pPr>
        <w:ind w:firstLine="42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）停水、停电造成供能中断的；</w:t>
      </w:r>
      <w:r/>
    </w:p>
    <w:p>
      <w:pPr>
        <w:ind w:firstLine="42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供能</w:t>
      </w:r>
      <w:r>
        <w:rPr>
          <w:rFonts w:ascii="华文仿宋" w:hAnsi="华文仿宋" w:eastAsia="华文仿宋" w:cs="宋体"/>
          <w:color w:val="000000" w:themeColor="text1"/>
          <w:sz w:val="28"/>
          <w:szCs w:val="28"/>
          <w:highlight w:val="none"/>
          <w14:textFill>
            <w14:solidFill>
              <w14:schemeClr w14:val="tx1"/>
            </w14:solidFill>
          </w14:textFill>
        </w:rPr>
        <w:t xml:space="preserve">设施正常的检修、抢修和供能试运行期间</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w:t>
      </w:r>
      <w:r/>
    </w:p>
    <w:p>
      <w:pPr>
        <w:ind w:firstLine="42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（3）能源站冷热源发生重大变化的。</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w:t>
      </w:r>
      <w:r>
        <w:rPr>
          <w:rFonts w:hint="eastAsia" w:ascii="华文仿宋" w:hAnsi="华文仿宋" w:eastAsia="华文仿宋"/>
          <w:b/>
          <w:color w:val="000000" w:themeColor="text1"/>
          <w:sz w:val="28"/>
          <w:szCs w:val="28"/>
          <w:highlight w:val="none"/>
          <w14:textFill>
            <w14:solidFill>
              <w14:schemeClr w14:val="tx1"/>
            </w14:solidFill>
          </w14:textFill>
        </w:rPr>
        <w:t xml:space="preserve">十一</w:t>
      </w:r>
      <w:r>
        <w:rPr>
          <w:rFonts w:ascii="华文仿宋" w:hAnsi="华文仿宋" w:eastAsia="华文仿宋"/>
          <w:b/>
          <w:color w:val="000000" w:themeColor="text1"/>
          <w:sz w:val="28"/>
          <w:szCs w:val="28"/>
          <w:highlight w:val="none"/>
          <w14:textFill>
            <w14:solidFill>
              <w14:schemeClr w14:val="tx1"/>
            </w14:solidFill>
          </w14:textFill>
        </w:rPr>
        <w:t xml:space="preserve">条　通知</w:t>
      </w:r>
      <w:r/>
    </w:p>
    <w:p>
      <w:pPr>
        <w:ind w:firstLine="56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1、根据本合同需要一方向另一方发出的全部通知以及双方的文件往来及与本合同有关的通知和要求等，必须用书面形式，可采用</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传真、书面送达</w:t>
      </w:r>
      <w:r>
        <w:rPr>
          <w:rFonts w:ascii="华文仿宋" w:hAnsi="华文仿宋" w:eastAsia="华文仿宋" w:cs="宋体"/>
          <w:color w:val="000000" w:themeColor="text1"/>
          <w:sz w:val="28"/>
          <w:szCs w:val="28"/>
          <w:highlight w:val="none"/>
          <w14:textFill>
            <w14:solidFill>
              <w14:schemeClr w14:val="tx1"/>
            </w14:solidFill>
          </w14:textFill>
        </w:rPr>
        <w:t xml:space="preserve">方式传递。以上方式无法送达的，方可采取公告送达的方式。</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2、各方通讯地址如下：</w:t>
      </w:r>
      <w:r/>
    </w:p>
    <w:p>
      <w:pPr>
        <w:ind w:firstLine="98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甲方：</w:t>
      </w:r>
      <w:r>
        <w:rPr>
          <w:rFonts w:hint="eastAsia" w:ascii="华文仿宋" w:hAnsi="华文仿宋" w:eastAsia="华文仿宋"/>
          <w:color w:val="000000" w:themeColor="text1"/>
          <w:sz w:val="28"/>
          <w:szCs w:val="28"/>
          <w:highlight w:val="none"/>
          <w:u w:val="single"/>
          <w14:textFill>
            <w14:solidFill>
              <w14:schemeClr w14:val="tx1"/>
            </w14:solidFill>
          </w14:textFill>
        </w:rPr>
        <w:t xml:space="preserve">泰州市公安局  </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98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乙方：</w:t>
      </w:r>
      <w:r>
        <w:rPr>
          <w:rFonts w:hint="eastAsia" w:ascii="华文仿宋" w:hAnsi="华文仿宋" w:eastAsia="华文仿宋" w:cs="宋体"/>
          <w:color w:val="000000" w:themeColor="text1"/>
          <w:sz w:val="28"/>
          <w:szCs w:val="28"/>
          <w:highlight w:val="none"/>
          <w:u w:val="single"/>
          <w:lang w:val="en-US" w:eastAsia="zh-CN"/>
          <w14:textFill>
            <w14:solidFill>
              <w14:schemeClr w14:val="tx1"/>
            </w14:solidFill>
          </w14:textFill>
        </w:rPr>
        <w:t xml:space="preserve">   </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3、一方变更通知或通讯地址，应自变更之日起</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7</w:t>
      </w:r>
      <w:r>
        <w:rPr>
          <w:rFonts w:ascii="华文仿宋" w:hAnsi="华文仿宋" w:eastAsia="华文仿宋" w:cs="宋体"/>
          <w:color w:val="000000" w:themeColor="text1"/>
          <w:sz w:val="28"/>
          <w:szCs w:val="28"/>
          <w:highlight w:val="none"/>
          <w14:textFill>
            <w14:solidFill>
              <w14:schemeClr w14:val="tx1"/>
            </w14:solidFill>
          </w14:textFill>
        </w:rPr>
        <w:t xml:space="preserve">日内，以书面形式通知对方；否则，由未通知方承担由此而引起的相关责任。</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第十</w:t>
      </w:r>
      <w:r>
        <w:rPr>
          <w:rFonts w:hint="eastAsia" w:ascii="华文仿宋" w:hAnsi="华文仿宋" w:eastAsia="华文仿宋"/>
          <w:b/>
          <w:color w:val="000000" w:themeColor="text1"/>
          <w:sz w:val="28"/>
          <w:szCs w:val="28"/>
          <w:highlight w:val="none"/>
          <w14:textFill>
            <w14:solidFill>
              <w14:schemeClr w14:val="tx1"/>
            </w14:solidFill>
          </w14:textFill>
        </w:rPr>
        <w:t xml:space="preserve">二</w:t>
      </w:r>
      <w:r>
        <w:rPr>
          <w:rFonts w:ascii="华文仿宋" w:hAnsi="华文仿宋" w:eastAsia="华文仿宋"/>
          <w:b/>
          <w:color w:val="000000" w:themeColor="text1"/>
          <w:sz w:val="28"/>
          <w:szCs w:val="28"/>
          <w:highlight w:val="none"/>
          <w14:textFill>
            <w14:solidFill>
              <w14:schemeClr w14:val="tx1"/>
            </w14:solidFill>
          </w14:textFill>
        </w:rPr>
        <w:t xml:space="preserve">条　合同的变更</w:t>
      </w:r>
      <w:r/>
    </w:p>
    <w:p>
      <w:pPr>
        <w:ind w:firstLine="596"/>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本合同履行期间，</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当客观条件发生变化时，</w:t>
      </w:r>
      <w:r>
        <w:rPr>
          <w:rFonts w:ascii="华文仿宋" w:hAnsi="华文仿宋" w:eastAsia="华文仿宋" w:cs="宋体"/>
          <w:color w:val="000000" w:themeColor="text1"/>
          <w:sz w:val="28"/>
          <w:szCs w:val="28"/>
          <w:highlight w:val="none"/>
          <w14:textFill>
            <w14:solidFill>
              <w14:schemeClr w14:val="tx1"/>
            </w14:solidFill>
          </w14:textFill>
        </w:rPr>
        <w:t xml:space="preserve">发生特殊情况时，</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甲、乙</w:t>
      </w:r>
      <w:r>
        <w:rPr>
          <w:rFonts w:ascii="华文仿宋" w:hAnsi="华文仿宋" w:eastAsia="华文仿宋" w:cs="宋体"/>
          <w:color w:val="000000" w:themeColor="text1"/>
          <w:sz w:val="28"/>
          <w:szCs w:val="28"/>
          <w:highlight w:val="none"/>
          <w14:textFill>
            <w14:solidFill>
              <w14:schemeClr w14:val="tx1"/>
            </w14:solidFill>
          </w14:textFill>
        </w:rPr>
        <w:t xml:space="preserve">任何一方需变更本合同的，要求变更一方应及时书面通知对方，征得对方同意后，双方在规定的时限内（书面通知发出</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30</w:t>
      </w:r>
      <w:r>
        <w:rPr>
          <w:rFonts w:ascii="华文仿宋" w:hAnsi="华文仿宋" w:eastAsia="华文仿宋" w:cs="宋体"/>
          <w:color w:val="000000" w:themeColor="text1"/>
          <w:sz w:val="28"/>
          <w:szCs w:val="28"/>
          <w:highlight w:val="none"/>
          <w14:textFill>
            <w14:solidFill>
              <w14:schemeClr w14:val="tx1"/>
            </w14:solidFill>
          </w14:textFill>
        </w:rPr>
        <w:t xml:space="preserve">天内）签订书面变更协议，该协议将成为合同不可分割的部分。未经双方签署书面文件，任何一方无权变更本合同，否则，由此造成对方的经济损失，由责任方承担。</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第十</w:t>
      </w:r>
      <w:r>
        <w:rPr>
          <w:rFonts w:hint="eastAsia" w:ascii="华文仿宋" w:hAnsi="华文仿宋" w:eastAsia="华文仿宋"/>
          <w:b/>
          <w:color w:val="000000" w:themeColor="text1"/>
          <w:sz w:val="28"/>
          <w:szCs w:val="28"/>
          <w:highlight w:val="none"/>
          <w14:textFill>
            <w14:solidFill>
              <w14:schemeClr w14:val="tx1"/>
            </w14:solidFill>
          </w14:textFill>
        </w:rPr>
        <w:t xml:space="preserve">三</w:t>
      </w:r>
      <w:r>
        <w:rPr>
          <w:rFonts w:ascii="华文仿宋" w:hAnsi="华文仿宋" w:eastAsia="华文仿宋"/>
          <w:b/>
          <w:color w:val="000000" w:themeColor="text1"/>
          <w:sz w:val="28"/>
          <w:szCs w:val="28"/>
          <w:highlight w:val="none"/>
          <w14:textFill>
            <w14:solidFill>
              <w14:schemeClr w14:val="tx1"/>
            </w14:solidFill>
          </w14:textFill>
        </w:rPr>
        <w:t xml:space="preserve">条　不可抗力</w:t>
      </w:r>
      <w:r/>
    </w:p>
    <w:p>
      <w:pPr>
        <w:ind w:firstLine="616"/>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1、如果本合同任何一方因受不可抗力事件影响而未能履行其在本合同下的全部或部分义务，该义务的履行在不可抗力事件妨碍其履行期间应予中止。</w:t>
      </w:r>
      <w:r/>
    </w:p>
    <w:p>
      <w:pPr>
        <w:ind w:firstLine="616"/>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2、声称受到不可抗力事件影响的一方应尽可能在最短的时间内通过书面形式将不可抗力事件的发生通知另一方，并在该不可抗力事件发生后</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10</w:t>
      </w:r>
      <w:r>
        <w:rPr>
          <w:rFonts w:ascii="华文仿宋" w:hAnsi="华文仿宋" w:eastAsia="华文仿宋" w:cs="宋体"/>
          <w:color w:val="000000" w:themeColor="text1"/>
          <w:sz w:val="28"/>
          <w:szCs w:val="28"/>
          <w:highlight w:val="none"/>
          <w14:textFill>
            <w14:solidFill>
              <w14:schemeClr w14:val="tx1"/>
            </w14:solidFill>
          </w14:textFill>
        </w:rPr>
        <w:t xml:space="preserve">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p>
    <w:p>
      <w:pPr>
        <w:ind w:firstLine="616"/>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ind w:firstLine="616"/>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p>
    <w:p>
      <w:pPr>
        <w:jc w:val="center"/>
        <w:spacing w:before="312" w:after="312"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第十</w:t>
      </w:r>
      <w:r>
        <w:rPr>
          <w:rFonts w:hint="eastAsia" w:ascii="华文仿宋" w:hAnsi="华文仿宋" w:eastAsia="华文仿宋"/>
          <w:b/>
          <w:color w:val="000000" w:themeColor="text1"/>
          <w:sz w:val="28"/>
          <w:szCs w:val="28"/>
          <w:highlight w:val="none"/>
          <w14:textFill>
            <w14:solidFill>
              <w14:schemeClr w14:val="tx1"/>
            </w14:solidFill>
          </w14:textFill>
        </w:rPr>
        <w:t xml:space="preserve">四</w:t>
      </w:r>
      <w:r>
        <w:rPr>
          <w:rFonts w:ascii="华文仿宋" w:hAnsi="华文仿宋" w:eastAsia="华文仿宋"/>
          <w:b/>
          <w:color w:val="000000" w:themeColor="text1"/>
          <w:sz w:val="28"/>
          <w:szCs w:val="28"/>
          <w:highlight w:val="none"/>
          <w14:textFill>
            <w14:solidFill>
              <w14:schemeClr w14:val="tx1"/>
            </w14:solidFill>
          </w14:textFill>
        </w:rPr>
        <w:t xml:space="preserve">条　</w:t>
      </w:r>
      <w:r>
        <w:rPr>
          <w:rFonts w:hint="eastAsia" w:ascii="华文仿宋" w:hAnsi="华文仿宋" w:eastAsia="华文仿宋"/>
          <w:b/>
          <w:color w:val="000000" w:themeColor="text1"/>
          <w:sz w:val="28"/>
          <w:szCs w:val="28"/>
          <w:highlight w:val="none"/>
          <w14:textFill>
            <w14:solidFill>
              <w14:schemeClr w14:val="tx1"/>
            </w14:solidFill>
          </w14:textFill>
        </w:rPr>
        <w:t xml:space="preserve">其他</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1、如遇甲方进行建筑产权转让时，应要求受让人与乙方按规定办理相关手续并签订《用户协议》，若未办理，乙方仍将按本合同向甲方计收服务费用。</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2、合同有效期内，如遇价格调整，以政府相关部门的文件为准。</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3、协商一致：</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u w:val="singl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4、本合同未尽事宜，双方协商解决。</w:t>
      </w:r>
      <w:r/>
    </w:p>
    <w:p>
      <w:pPr>
        <w:jc w:val="center"/>
        <w:spacing w:before="312" w:after="312" w:line="500" w:lineRule="exact"/>
        <w:widowControl/>
        <w:rPr>
          <w:rFonts w:ascii="华文仿宋" w:hAnsi="华文仿宋" w:eastAsia="华文仿宋"/>
          <w:b/>
          <w:color w:val="000000" w:themeColor="text1"/>
          <w:sz w:val="28"/>
          <w:szCs w:val="28"/>
          <w:highlight w:val="none"/>
          <w14:textFill>
            <w14:solidFill>
              <w14:schemeClr w14:val="tx1"/>
            </w14:solidFill>
          </w14:textFill>
        </w:rPr>
      </w:pPr>
      <w:r>
        <w:rPr>
          <w:rFonts w:ascii="华文仿宋" w:hAnsi="华文仿宋" w:eastAsia="华文仿宋"/>
          <w:b/>
          <w:color w:val="000000" w:themeColor="text1"/>
          <w:sz w:val="28"/>
          <w:szCs w:val="28"/>
          <w:highlight w:val="none"/>
          <w14:textFill>
            <w14:solidFill>
              <w14:schemeClr w14:val="tx1"/>
            </w14:solidFill>
          </w14:textFill>
        </w:rPr>
        <w:t xml:space="preserve">第十</w:t>
      </w:r>
      <w:r>
        <w:rPr>
          <w:rFonts w:hint="eastAsia" w:ascii="华文仿宋" w:hAnsi="华文仿宋" w:eastAsia="华文仿宋"/>
          <w:b/>
          <w:color w:val="000000" w:themeColor="text1"/>
          <w:sz w:val="28"/>
          <w:szCs w:val="28"/>
          <w:highlight w:val="none"/>
          <w14:textFill>
            <w14:solidFill>
              <w14:schemeClr w14:val="tx1"/>
            </w14:solidFill>
          </w14:textFill>
        </w:rPr>
        <w:t xml:space="preserve">五</w:t>
      </w:r>
      <w:r>
        <w:rPr>
          <w:rFonts w:ascii="华文仿宋" w:hAnsi="华文仿宋" w:eastAsia="华文仿宋"/>
          <w:b/>
          <w:color w:val="000000" w:themeColor="text1"/>
          <w:sz w:val="28"/>
          <w:szCs w:val="28"/>
          <w:highlight w:val="none"/>
          <w14:textFill>
            <w14:solidFill>
              <w14:schemeClr w14:val="tx1"/>
            </w14:solidFill>
          </w14:textFill>
        </w:rPr>
        <w:t xml:space="preserve">条　争议的处理</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1、本合同受中华人民共和国法律管辖并按其进行解释。</w:t>
      </w:r>
      <w:r/>
    </w:p>
    <w:p>
      <w:pPr>
        <w:ind w:firstLine="478"/>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2、本合同在履行过程中发生的争议，由双方当事人协商解决，也可由有关部门调解；协商或调解不成的，按下列第</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（2）</w:t>
      </w:r>
      <w:r>
        <w:rPr>
          <w:rFonts w:ascii="华文仿宋" w:hAnsi="华文仿宋" w:eastAsia="华文仿宋" w:cs="宋体"/>
          <w:color w:val="000000" w:themeColor="text1"/>
          <w:sz w:val="28"/>
          <w:szCs w:val="28"/>
          <w:highlight w:val="none"/>
          <w14:textFill>
            <w14:solidFill>
              <w14:schemeClr w14:val="tx1"/>
            </w14:solidFill>
          </w14:textFill>
        </w:rPr>
        <w:t xml:space="preserve">种方式解决：</w:t>
      </w:r>
      <w:r/>
    </w:p>
    <w:p>
      <w:pPr>
        <w:ind w:firstLine="84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（1）提交</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泰州</w:t>
      </w:r>
      <w:r>
        <w:rPr>
          <w:rFonts w:ascii="华文仿宋" w:hAnsi="华文仿宋" w:eastAsia="华文仿宋" w:cs="宋体"/>
          <w:color w:val="000000" w:themeColor="text1"/>
          <w:sz w:val="28"/>
          <w:szCs w:val="28"/>
          <w:highlight w:val="none"/>
          <w14:textFill>
            <w14:solidFill>
              <w14:schemeClr w14:val="tx1"/>
            </w14:solidFill>
          </w14:textFill>
        </w:rPr>
        <w:t xml:space="preserve">仲裁委员会仲裁；</w:t>
      </w:r>
      <w:r/>
    </w:p>
    <w:p>
      <w:pPr>
        <w:ind w:firstLine="84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（2）依法向合同履</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行</w:t>
      </w:r>
      <w:r>
        <w:rPr>
          <w:rFonts w:ascii="华文仿宋" w:hAnsi="华文仿宋" w:eastAsia="华文仿宋" w:cs="宋体"/>
          <w:color w:val="000000" w:themeColor="text1"/>
          <w:sz w:val="28"/>
          <w:szCs w:val="28"/>
          <w:highlight w:val="none"/>
          <w14:textFill>
            <w14:solidFill>
              <w14:schemeClr w14:val="tx1"/>
            </w14:solidFill>
          </w14:textFill>
        </w:rPr>
        <w:t xml:space="preserve">地人民法院起诉。</w:t>
      </w:r>
      <w:r/>
    </w:p>
    <w:p>
      <w:pPr>
        <w:jc w:val="center"/>
        <w:spacing w:before="312" w:after="312" w:line="500" w:lineRule="exact"/>
        <w:widowControl/>
        <w:rPr>
          <w:rFonts w:ascii="华文仿宋" w:hAnsi="华文仿宋" w:eastAsia="华文仿宋" w:cs="宋体"/>
          <w:b/>
          <w:color w:val="000000" w:themeColor="text1"/>
          <w:sz w:val="28"/>
          <w:szCs w:val="28"/>
          <w:highlight w:val="none"/>
          <w14:textFill>
            <w14:solidFill>
              <w14:schemeClr w14:val="tx1"/>
            </w14:solidFill>
          </w14:textFill>
        </w:rPr>
      </w:pPr>
      <w:r>
        <w:rPr>
          <w:rFonts w:hint="eastAsia" w:ascii="华文仿宋" w:hAnsi="华文仿宋" w:eastAsia="华文仿宋" w:cs="宋体"/>
          <w:b/>
          <w:color w:val="000000" w:themeColor="text1"/>
          <w:sz w:val="28"/>
          <w:szCs w:val="28"/>
          <w:highlight w:val="none"/>
          <w14:textFill>
            <w14:solidFill>
              <w14:schemeClr w14:val="tx1"/>
            </w14:solidFill>
          </w14:textFill>
        </w:rPr>
        <w:t xml:space="preserve">第十六条  </w:t>
      </w:r>
      <w:r>
        <w:rPr>
          <w:rFonts w:ascii="华文仿宋" w:hAnsi="华文仿宋" w:eastAsia="华文仿宋" w:cs="宋体"/>
          <w:b/>
          <w:color w:val="000000" w:themeColor="text1"/>
          <w:sz w:val="28"/>
          <w:szCs w:val="28"/>
          <w:highlight w:val="none"/>
          <w14:textFill>
            <w14:solidFill>
              <w14:schemeClr w14:val="tx1"/>
            </w14:solidFill>
          </w14:textFill>
        </w:rPr>
        <w:t xml:space="preserve">合同的效力</w:t>
      </w:r>
      <w:r/>
    </w:p>
    <w:p>
      <w:pPr>
        <w:ind w:firstLine="560"/>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1、</w:t>
      </w:r>
      <w:r>
        <w:rPr>
          <w:rFonts w:ascii="华文仿宋" w:hAnsi="华文仿宋" w:eastAsia="华文仿宋" w:cs="宋体"/>
          <w:color w:val="000000" w:themeColor="text1"/>
          <w:sz w:val="28"/>
          <w:szCs w:val="28"/>
          <w:highlight w:val="none"/>
          <w14:textFill>
            <w14:solidFill>
              <w14:schemeClr w14:val="tx1"/>
            </w14:solidFill>
          </w14:textFill>
        </w:rPr>
        <w:t xml:space="preserve">本合同自双方加盖单位公章或合同专用章之日起生效。</w:t>
      </w:r>
      <w:r/>
    </w:p>
    <w:p>
      <w:pPr>
        <w:ind w:left="559" w:firstLine="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2、本合同</w:t>
      </w:r>
      <w:r>
        <w:rPr>
          <w:rFonts w:ascii="华文仿宋" w:hAnsi="华文仿宋" w:eastAsia="华文仿宋" w:cs="宋体"/>
          <w:color w:val="000000" w:themeColor="text1"/>
          <w:sz w:val="28"/>
          <w:szCs w:val="28"/>
          <w:highlight w:val="none"/>
          <w14:textFill>
            <w14:solidFill>
              <w14:schemeClr w14:val="tx1"/>
            </w14:solidFill>
          </w14:textFill>
        </w:rPr>
        <w:t xml:space="preserve">有效期为</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年，自</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年</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hint="eastAsia" w:ascii="华文仿宋" w:hAnsi="华文仿宋" w:eastAsia="华文仿宋" w:cs="宋体"/>
          <w:color w:val="000000" w:themeColor="text1"/>
          <w:sz w:val="28"/>
          <w:szCs w:val="28"/>
          <w:highlight w:val="none"/>
          <w:u w:val="single"/>
          <w:lang w:val="en-US" w:eastAsia="zh-CN"/>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月</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日至</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年</w:t>
      </w:r>
      <w:r>
        <w:rPr>
          <w:rFonts w:hint="eastAsia" w:ascii="华文仿宋" w:hAnsi="华文仿宋" w:eastAsia="华文仿宋" w:cs="宋体"/>
          <w:color w:val="000000" w:themeColor="text1"/>
          <w:sz w:val="28"/>
          <w:szCs w:val="28"/>
          <w:highlight w:val="none"/>
          <w:u w:val="single"/>
          <w:lang w:val="en-US" w:eastAsia="zh-CN"/>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月   日。</w:t>
      </w:r>
      <w:r/>
    </w:p>
    <w:p>
      <w:pPr>
        <w:ind w:firstLine="560"/>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3、</w:t>
      </w:r>
      <w:r>
        <w:rPr>
          <w:rFonts w:ascii="华文仿宋" w:hAnsi="华文仿宋" w:eastAsia="华文仿宋" w:cs="宋体"/>
          <w:color w:val="000000" w:themeColor="text1"/>
          <w:sz w:val="28"/>
          <w:szCs w:val="28"/>
          <w:highlight w:val="none"/>
          <w14:textFill>
            <w14:solidFill>
              <w14:schemeClr w14:val="tx1"/>
            </w14:solidFill>
          </w14:textFill>
        </w:rPr>
        <w:t xml:space="preserve">本合同一式</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肆</w:t>
      </w:r>
      <w:r>
        <w:rPr>
          <w:rFonts w:ascii="华文仿宋" w:hAnsi="华文仿宋" w:eastAsia="华文仿宋" w:cs="宋体"/>
          <w:color w:val="000000" w:themeColor="text1"/>
          <w:sz w:val="28"/>
          <w:szCs w:val="28"/>
          <w:highlight w:val="none"/>
          <w14:textFill>
            <w14:solidFill>
              <w14:schemeClr w14:val="tx1"/>
            </w14:solidFill>
          </w14:textFill>
        </w:rPr>
        <w:t xml:space="preserve">份，双方各执</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贰</w:t>
      </w:r>
      <w:r>
        <w:rPr>
          <w:rFonts w:ascii="华文仿宋" w:hAnsi="华文仿宋" w:eastAsia="华文仿宋" w:cs="宋体"/>
          <w:color w:val="000000" w:themeColor="text1"/>
          <w:sz w:val="28"/>
          <w:szCs w:val="28"/>
          <w:highlight w:val="none"/>
          <w14:textFill>
            <w14:solidFill>
              <w14:schemeClr w14:val="tx1"/>
            </w14:solidFill>
          </w14:textFill>
        </w:rPr>
        <w:t xml:space="preserve">份，具有同等法律效力。</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r>
      <w:r/>
    </w:p>
    <w:p>
      <w:pPr>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甲方</w:t>
      </w:r>
      <w:r>
        <w:rPr>
          <w:rFonts w:ascii="华文仿宋" w:hAnsi="华文仿宋" w:eastAsia="华文仿宋" w:cs="宋体"/>
          <w:color w:val="000000" w:themeColor="text1"/>
          <w:sz w:val="28"/>
          <w:szCs w:val="28"/>
          <w:highlight w:val="none"/>
          <w14:textFill>
            <w14:solidFill>
              <w14:schemeClr w14:val="tx1"/>
            </w14:solidFill>
          </w14:textFill>
        </w:rPr>
        <w:t xml:space="preserve">（盖章）：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乙方（盖章）：</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ascii="华文仿宋" w:hAnsi="华文仿宋" w:eastAsia="华文仿宋" w:cs="宋体"/>
          <w:color w:val="000000" w:themeColor="text1"/>
          <w:sz w:val="28"/>
          <w:szCs w:val="28"/>
          <w:highlight w:val="none"/>
          <w14:textFill>
            <w14:solidFill>
              <w14:schemeClr w14:val="tx1"/>
            </w14:solidFill>
          </w14:textFill>
        </w:rPr>
        <w:t xml:space="preserve">法定代表人</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（签字）：                 </w:t>
      </w:r>
      <w:r>
        <w:rPr>
          <w:rFonts w:ascii="华文仿宋" w:hAnsi="华文仿宋" w:eastAsia="华文仿宋" w:cs="宋体"/>
          <w:color w:val="000000" w:themeColor="text1"/>
          <w:sz w:val="28"/>
          <w:szCs w:val="28"/>
          <w:highlight w:val="none"/>
          <w14:textFill>
            <w14:solidFill>
              <w14:schemeClr w14:val="tx1"/>
            </w14:solidFill>
          </w14:textFill>
        </w:rPr>
        <w:t xml:space="preserve">法定代表人</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（签字）：</w:t>
      </w:r>
      <w:r/>
    </w:p>
    <w:p>
      <w:pPr>
        <w:jc w:val="left"/>
        <w:spacing w:line="500" w:lineRule="exact"/>
        <w:widowControl/>
        <w:rPr>
          <w:rFonts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授权代理人</w:t>
      </w:r>
      <w:r>
        <w:rPr>
          <w:rFonts w:ascii="华文仿宋" w:hAnsi="华文仿宋" w:eastAsia="华文仿宋" w:cs="宋体"/>
          <w:color w:val="000000" w:themeColor="text1"/>
          <w:sz w:val="28"/>
          <w:szCs w:val="28"/>
          <w:highlight w:val="none"/>
          <w14:textFill>
            <w14:solidFill>
              <w14:schemeClr w14:val="tx1"/>
            </w14:solidFill>
          </w14:textFill>
        </w:rPr>
        <w:t xml:space="preserve">（签字）：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授权代理人</w:t>
      </w:r>
      <w:r>
        <w:rPr>
          <w:rFonts w:ascii="华文仿宋" w:hAnsi="华文仿宋" w:eastAsia="华文仿宋" w:cs="宋体"/>
          <w:color w:val="000000" w:themeColor="text1"/>
          <w:sz w:val="28"/>
          <w:szCs w:val="28"/>
          <w:highlight w:val="none"/>
          <w14:textFill>
            <w14:solidFill>
              <w14:schemeClr w14:val="tx1"/>
            </w14:solidFill>
          </w14:textFill>
        </w:rPr>
        <w:t xml:space="preserve">（签字）：</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开户银行</w:t>
      </w:r>
      <w:r>
        <w:rPr>
          <w:rFonts w:ascii="华文仿宋" w:hAnsi="华文仿宋" w:eastAsia="华文仿宋" w:cs="宋体"/>
          <w:color w:val="000000" w:themeColor="text1"/>
          <w:sz w:val="28"/>
          <w:szCs w:val="28"/>
          <w:highlight w:val="none"/>
          <w14:textFill>
            <w14:solidFill>
              <w14:schemeClr w14:val="tx1"/>
            </w14:solidFill>
          </w14:textFill>
        </w:rPr>
        <w:t xml:space="preserve">：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     开户银行</w:t>
      </w:r>
      <w:r>
        <w:rPr>
          <w:rFonts w:ascii="华文仿宋" w:hAnsi="华文仿宋" w:eastAsia="华文仿宋" w:cs="宋体"/>
          <w:color w:val="000000" w:themeColor="text1"/>
          <w:sz w:val="28"/>
          <w:szCs w:val="28"/>
          <w:highlight w:val="none"/>
          <w14:textFill>
            <w14:solidFill>
              <w14:schemeClr w14:val="tx1"/>
            </w14:solidFill>
          </w14:textFill>
        </w:rPr>
        <w:t xml:space="preserve">： </w:t>
      </w:r>
      <w:r/>
    </w:p>
    <w:p>
      <w:pPr>
        <w:jc w:val="left"/>
        <w:spacing w:line="500" w:lineRule="exact"/>
        <w:widowControl/>
        <w:rPr>
          <w:rFonts w:hint="eastAsia" w:ascii="华文仿宋" w:hAnsi="华文仿宋" w:eastAsia="华文仿宋" w:cs="宋体"/>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14:textFill>
            <w14:solidFill>
              <w14:schemeClr w14:val="tx1"/>
            </w14:solidFill>
          </w14:textFill>
        </w:rPr>
        <w:t xml:space="preserve">银行账号：                           银行账号：</w:t>
      </w:r>
      <w:r/>
    </w:p>
    <w:p>
      <w:pPr>
        <w:ind w:firstLine="280"/>
        <w:jc w:val="left"/>
        <w:spacing w:line="500" w:lineRule="exact"/>
        <w:widowControl/>
        <w:rPr>
          <w:rFonts w:hint="eastAsia" w:ascii="华文仿宋" w:hAnsi="华文仿宋" w:eastAsia="华文仿宋"/>
          <w:b/>
          <w:color w:val="000000" w:themeColor="text1"/>
          <w:sz w:val="28"/>
          <w:szCs w:val="28"/>
          <w:highlight w:val="none"/>
          <w14:textFill>
            <w14:solidFill>
              <w14:schemeClr w14:val="tx1"/>
            </w14:solidFill>
          </w14:textFill>
        </w:rPr>
      </w:pP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年</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月</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日　　　　　</w:t>
      </w:r>
      <w:r>
        <w:rPr>
          <w:rFonts w:hint="eastAsia" w:ascii="华文仿宋" w:hAnsi="华文仿宋" w:eastAsia="华文仿宋" w:cs="宋体"/>
          <w:color w:val="000000" w:themeColor="text1"/>
          <w:sz w:val="28"/>
          <w:szCs w:val="28"/>
          <w:highlight w:val="none"/>
          <w14:textFill>
            <w14:solidFill>
              <w14:schemeClr w14:val="tx1"/>
            </w14:solidFill>
          </w14:textFill>
        </w:rPr>
        <w:t xml:space="preserve">      </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年</w:t>
      </w:r>
      <w:r>
        <w:rPr>
          <w:rFonts w:hint="eastAsia"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月</w:t>
      </w:r>
      <w:r>
        <w:rPr>
          <w:rFonts w:ascii="华文仿宋" w:hAnsi="华文仿宋" w:eastAsia="华文仿宋" w:cs="宋体"/>
          <w:color w:val="000000" w:themeColor="text1"/>
          <w:sz w:val="28"/>
          <w:szCs w:val="28"/>
          <w:highlight w:val="none"/>
          <w:u w:val="single"/>
          <w14:textFill>
            <w14:solidFill>
              <w14:schemeClr w14:val="tx1"/>
            </w14:solidFill>
          </w14:textFill>
        </w:rPr>
        <w:t xml:space="preserve">    </w:t>
      </w:r>
      <w:r>
        <w:rPr>
          <w:rFonts w:ascii="华文仿宋" w:hAnsi="华文仿宋" w:eastAsia="华文仿宋" w:cs="宋体"/>
          <w:color w:val="000000" w:themeColor="text1"/>
          <w:sz w:val="28"/>
          <w:szCs w:val="28"/>
          <w:highlight w:val="none"/>
          <w14:textFill>
            <w14:solidFill>
              <w14:schemeClr w14:val="tx1"/>
            </w14:solidFill>
          </w14:textFill>
        </w:rPr>
        <w:t xml:space="preserve">日</w:t>
      </w:r>
      <w:r/>
    </w:p>
    <w:p>
      <w:pPr>
        <w:rPr>
          <w:rFonts w:hint="eastAsia" w:ascii="黑体" w:hAnsi="黑体" w:eastAsia="黑体" w:cs="黑体"/>
          <w:color w:val="000000" w:themeColor="text1"/>
          <w:sz w:val="36"/>
          <w:szCs w:val="22"/>
          <w:highlight w:val="none"/>
          <w:lang w:val="en-US" w:eastAsia="zh-CN"/>
          <w14:textFill>
            <w14:solidFill>
              <w14:schemeClr w14:val="tx1"/>
            </w14:solidFill>
          </w14:textFill>
        </w:rPr>
      </w:pPr>
      <w:r>
        <w:br w:type="page" w:clear="all"/>
      </w:r>
      <w:r/>
    </w:p>
    <w:p>
      <w:pPr>
        <w:pStyle w:val="914"/>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80" w:name="_Toc14241"/>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第六章  响应文件格式</w:t>
      </w:r>
      <w:bookmarkEnd w:id="80"/>
      <w: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供应商编制文件须知</w:t>
      </w:r>
      <w:r/>
    </w:p>
    <w:p>
      <w:pPr>
        <w:ind w:firstLine="46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firstLine="460"/>
        <w:jc w:val="left"/>
        <w:keepLines w:val="0"/>
        <w:keepNext w:val="0"/>
        <w:spacing w:line="360" w:lineRule="auto"/>
        <w:widowControl/>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。未标记“实质性格式</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的文件和单一来源采购文件未提供格式的内容，可由供应商自行编写。</w:t>
      </w:r>
      <w:r/>
    </w:p>
    <w:p>
      <w:pPr>
        <w:ind w:firstLine="46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3、全部声明和问题的回答及所附材料必须是真实的、准确的和完整的。</w:t>
      </w:r>
      <w:r/>
    </w:p>
    <w:p>
      <w:pPr>
        <w:rPr>
          <w:rFonts w:hint="eastAsia" w:ascii="楷体" w:hAnsi="楷体" w:eastAsia="楷体" w:cs="楷体"/>
          <w:b/>
          <w:bCs/>
          <w:color w:val="000000" w:themeColor="text1"/>
          <w:sz w:val="24"/>
          <w:szCs w:val="32"/>
          <w:highlight w:val="none"/>
          <w:lang w:val="en-US" w:eastAsia="zh-CN"/>
          <w14:textFill>
            <w14:solidFill>
              <w14:schemeClr w14:val="tx1"/>
            </w14:solidFill>
          </w14:textFill>
        </w:rPr>
      </w:pPr>
      <w:r>
        <w:br w:type="page" w:clear="all"/>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楷体" w:hAnsi="楷体" w:eastAsia="楷体" w:cs="楷体"/>
          <w:b/>
          <w:bCs/>
          <w:color w:val="000000" w:themeColor="text1"/>
          <w:sz w:val="24"/>
          <w:szCs w:val="32"/>
          <w:highlight w:val="none"/>
          <w:lang w:val="en-US" w:eastAsia="zh-CN"/>
          <w14:textFill>
            <w14:solidFill>
              <w14:schemeClr w14:val="tx1"/>
            </w14:solidFill>
          </w14:textFill>
        </w:rPr>
        <w:t xml:space="preserve">响应文件封面 （非实质性格式） </w:t>
      </w:r>
      <w:r/>
    </w:p>
    <w:p>
      <w:pPr>
        <w:rPr>
          <w:rFonts w:hint="eastAsia" w:ascii="楷体" w:hAnsi="楷体" w:eastAsia="楷体" w:cs="楷体"/>
          <w:b/>
          <w:bCs/>
          <w:color w:val="000000" w:themeColor="text1"/>
          <w:sz w:val="24"/>
          <w:szCs w:val="32"/>
          <w:highlight w:val="none"/>
          <w14:textFill>
            <w14:solidFill>
              <w14:schemeClr w14:val="tx1"/>
            </w14:solidFill>
          </w14:textFill>
        </w:rPr>
      </w:pPr>
      <w:r>
        <w:rPr>
          <w:rFonts w:hint="eastAsia" w:ascii="楷体" w:hAnsi="楷体" w:eastAsia="楷体" w:cs="楷体"/>
          <w:b/>
          <w:bCs/>
          <w:color w:val="000000" w:themeColor="text1"/>
          <w:sz w:val="24"/>
          <w:szCs w:val="32"/>
          <w:highlight w:val="none"/>
          <w14:textFill>
            <w14:solidFill>
              <w14:schemeClr w14:val="tx1"/>
            </w14:solidFill>
          </w14:textFill>
        </w:rPr>
      </w:r>
      <w:r/>
    </w:p>
    <w:p>
      <w:pPr>
        <w:jc w:val="right"/>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r>
      <w:r/>
    </w:p>
    <w:p>
      <w:pPr>
        <w:pStyle w:val="93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b/>
          <w:bCs/>
          <w:color w:val="000000" w:themeColor="text1"/>
          <w:sz w:val="52"/>
          <w:szCs w:val="52"/>
          <w:highlight w:val="none"/>
          <w14:textFill>
            <w14:solidFill>
              <w14:schemeClr w14:val="tx1"/>
            </w14:solidFill>
          </w14:textFill>
        </w:rPr>
      </w:pPr>
      <w:r>
        <w:rPr>
          <w:rFonts w:hint="eastAsia"/>
          <w:b/>
          <w:bCs/>
          <w:color w:val="000000" w:themeColor="text1"/>
          <w:sz w:val="52"/>
          <w:szCs w:val="52"/>
          <w:highlight w:val="none"/>
          <w14:textFill>
            <w14:solidFill>
              <w14:schemeClr w14:val="tx1"/>
            </w14:solidFill>
          </w14:textFill>
        </w:rPr>
      </w:r>
      <w:r/>
    </w:p>
    <w:p>
      <w:pPr>
        <w:pStyle w:val="9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宋体" w:hAnsi="宋体"/>
          <w:color w:val="000000" w:themeColor="text1"/>
          <w:sz w:val="72"/>
          <w:szCs w:val="21"/>
          <w:highlight w:val="none"/>
          <w14:textFill>
            <w14:solidFill>
              <w14:schemeClr w14:val="tx1"/>
            </w14:solidFill>
          </w14:textFill>
        </w:rPr>
      </w:pPr>
      <w:r>
        <w:rPr>
          <w:rFonts w:hint="eastAsia"/>
          <w:b/>
          <w:bCs/>
          <w:color w:val="000000" w:themeColor="text1"/>
          <w:sz w:val="52"/>
          <w:szCs w:val="52"/>
          <w:highlight w:val="none"/>
          <w14:textFill>
            <w14:solidFill>
              <w14:schemeClr w14:val="tx1"/>
            </w14:solidFill>
          </w14:textFill>
        </w:rPr>
        <w:t xml:space="preserve">响应文件</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ind w:left="566" w:hanging="3"/>
        <w:jc w:val="left"/>
        <w:spacing w:line="480" w:lineRule="auto"/>
        <w:rPr>
          <w:rFonts w:hint="eastAsia"/>
          <w:b/>
          <w:color w:val="000000" w:themeColor="text1"/>
          <w:sz w:val="28"/>
          <w:szCs w:val="32"/>
          <w:highlight w:val="none"/>
          <w14:textFill>
            <w14:solidFill>
              <w14:schemeClr w14:val="tx1"/>
            </w14:solidFill>
          </w14:textFill>
        </w:rPr>
      </w:pPr>
      <w:r>
        <w:rPr>
          <w:rFonts w:hint="eastAsia"/>
          <w:b/>
          <w:color w:val="000000" w:themeColor="text1"/>
          <w:sz w:val="28"/>
          <w:szCs w:val="32"/>
          <w:highlight w:val="none"/>
          <w14:textFill>
            <w14:solidFill>
              <w14:schemeClr w14:val="tx1"/>
            </w14:solidFill>
          </w14:textFill>
        </w:rPr>
      </w:r>
      <w:r/>
    </w:p>
    <w:p>
      <w:pPr>
        <w:ind w:left="566" w:hanging="3"/>
        <w:jc w:val="left"/>
        <w:spacing w:line="480" w:lineRule="auto"/>
        <w:rPr>
          <w:rFonts w:hint="eastAsia"/>
          <w:b/>
          <w:color w:val="000000" w:themeColor="text1"/>
          <w:sz w:val="28"/>
          <w:szCs w:val="32"/>
          <w:highlight w:val="none"/>
          <w14:textFill>
            <w14:solidFill>
              <w14:schemeClr w14:val="tx1"/>
            </w14:solidFill>
          </w14:textFill>
        </w:rPr>
      </w:pPr>
      <w:r>
        <w:rPr>
          <w:rFonts w:hint="eastAsia"/>
          <w:b/>
          <w:color w:val="000000" w:themeColor="text1"/>
          <w:sz w:val="28"/>
          <w:szCs w:val="32"/>
          <w:highlight w:val="none"/>
          <w14:textFill>
            <w14:solidFill>
              <w14:schemeClr w14:val="tx1"/>
            </w14:solidFill>
          </w14:textFill>
        </w:rPr>
      </w:r>
      <w:r/>
    </w:p>
    <w:p>
      <w:pPr>
        <w:pStyle w:val="93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2076" w:hanging="1858"/>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项目名称：泰州市公安局南院供能服务采购项目</w:t>
      </w:r>
      <w:r/>
    </w:p>
    <w:p>
      <w:pPr>
        <w:ind w:left="2076" w:hanging="1858"/>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r>
      <w:r/>
    </w:p>
    <w:p>
      <w:pPr>
        <w:ind w:left="2076" w:hanging="1858"/>
        <w:jc w:val="left"/>
        <w:spacing w:line="480" w:lineRule="auto"/>
        <w:rPr>
          <w:rFonts w:hint="default"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项目编号：JSZC-321200-ZYGL-D2025-0009</w:t>
      </w:r>
      <w:r/>
    </w:p>
    <w:p>
      <w:pPr>
        <w:ind w:left="2076" w:hanging="1858"/>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r>
      <w:r/>
    </w:p>
    <w:p>
      <w:pPr>
        <w:ind w:left="2076" w:hanging="1858"/>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供应商名称（盖章）：  </w:t>
      </w:r>
      <w:r/>
    </w:p>
    <w:p>
      <w:pPr>
        <w:ind w:left="2076" w:hanging="1858"/>
        <w:jc w:val="left"/>
        <w:spacing w:line="480" w:lineRule="auto"/>
        <w:rPr>
          <w:rFonts w:hint="default"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         </w:t>
      </w:r>
      <w:r/>
    </w:p>
    <w:p>
      <w:pPr>
        <w:ind w:left="2076" w:hanging="1858"/>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供应商地址：</w:t>
      </w:r>
      <w:r/>
    </w:p>
    <w:p>
      <w:pPr>
        <w:ind w:left="566" w:hanging="3"/>
        <w:jc w:val="left"/>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r>
      <w:r/>
    </w:p>
    <w:p>
      <w:pPr>
        <w:ind w:left="566" w:hanging="3"/>
        <w:jc w:val="center"/>
        <w:spacing w:line="480" w:lineRule="auto"/>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30"/>
          <w:szCs w:val="30"/>
          <w:highlight w:val="none"/>
          <w14:textFill>
            <w14:solidFill>
              <w14:schemeClr w14:val="tx1"/>
            </w14:solidFill>
          </w14:textFill>
        </w:rPr>
        <w:t xml:space="preserve">二○二</w:t>
      </w: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val="0"/>
          <w:color w:val="000000" w:themeColor="text1"/>
          <w:sz w:val="30"/>
          <w:szCs w:val="30"/>
          <w:highlight w:val="none"/>
          <w14:textFill>
            <w14:solidFill>
              <w14:schemeClr w14:val="tx1"/>
            </w14:solidFill>
          </w14:textFill>
        </w:rPr>
        <w:t xml:space="preserve">年</w:t>
      </w: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val="0"/>
          <w:color w:val="000000" w:themeColor="text1"/>
          <w:sz w:val="30"/>
          <w:szCs w:val="30"/>
          <w:highlight w:val="none"/>
          <w14:textFill>
            <w14:solidFill>
              <w14:schemeClr w14:val="tx1"/>
            </w14:solidFill>
          </w14:textFill>
        </w:rPr>
        <w:t xml:space="preserve">月</w:t>
      </w: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t xml:space="preserve">  日</w:t>
      </w:r>
      <w:r/>
    </w:p>
    <w:p>
      <w:pPr>
        <w:pStyle w:val="935"/>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30"/>
          <w:szCs w:val="30"/>
          <w:highlight w:val="none"/>
          <w:lang w:val="en-US" w:eastAsia="zh-CN"/>
          <w14:textFill>
            <w14:solidFill>
              <w14:schemeClr w14:val="tx1"/>
            </w14:solidFill>
          </w14:textFill>
        </w:rPr>
      </w:r>
      <w:r/>
    </w:p>
    <w:p>
      <w:pPr>
        <w:rPr>
          <w:rFonts w:hint="default" w:asciiTheme="minorEastAsia" w:hAnsiTheme="minorEastAsia" w:cstheme="minorEastAsia"/>
          <w:b/>
          <w:bCs w:val="0"/>
          <w:color w:val="000000" w:themeColor="text1"/>
          <w:sz w:val="30"/>
          <w:szCs w:val="30"/>
          <w:highlight w:val="none"/>
          <w:lang w:val="en-US" w:eastAsia="zh-CN"/>
          <w14:textFill>
            <w14:solidFill>
              <w14:schemeClr w14:val="tx1"/>
            </w14:solidFill>
          </w14:textFill>
        </w:rPr>
      </w:pPr>
      <w:r>
        <w:br w:type="page" w:clear="all"/>
      </w:r>
      <w:r/>
    </w:p>
    <w:p>
      <w:pP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outlineLvl w:val="1"/>
      </w:pPr>
      <w:r/>
      <w:bookmarkStart w:id="81" w:name="_Toc13062"/>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1 满足《中华人民共和国政府采购法》第二十二条规定</w:t>
      </w:r>
      <w:bookmarkEnd w:id="81"/>
      <w:r/>
      <w:r/>
    </w:p>
    <w:p>
      <w:pPr>
        <w:spacing w:line="360" w:lineRule="auto"/>
        <w:rPr>
          <w:rFonts w:hint="eastAsia"/>
          <w:color w:val="000000" w:themeColor="text1"/>
          <w:sz w:val="24"/>
          <w:szCs w:val="32"/>
          <w:highlight w:val="none"/>
          <w:lang w:val="en-US" w:eastAsia="zh-CN"/>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1-1（1）营业执照等证明文件 </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供应商提供近六个月中至少一个月份的财务状况报告（资产负债表和利润表）或由会计师事务所出具的近两年中任意一个年度的审计报告和所附已审财务报告，其他组织、自然人及成立未满一年的法人可提供银行出具的资信证明复印件。</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（3）具备履行合同所必需的设备和专业技术能力。（或提供履行合同所必需的设备和专业技术能力的书面说明）</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（4）供应商提供近六个月中至少一个月份的依法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缴纳税收</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的相关材料（提供相关主管部门证明或银行代扣证明）复印件；提供供应商近六个月中至少一个月份的依法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缴纳社会保障资金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的相关材料（提供相关主管部门证明或银行代扣证明）复印件。依法免缴或缓缴的供应商，应提供相应文件证明。</w:t>
      </w:r>
      <w:r/>
    </w:p>
    <w:p>
      <w:pPr>
        <w:keepLines w:val="0"/>
        <w:keepNext w:val="0"/>
        <w:pageBreakBefore w:val="0"/>
        <w:spacing w:line="332" w:lineRule="auto"/>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t xml:space="preserve">1-2 供应商声明书 </w:t>
      </w:r>
      <w:r/>
    </w:p>
    <w:p>
      <w:pPr>
        <w:jc w:val="center"/>
        <w:keepLines w:val="0"/>
        <w:keepNext w:val="0"/>
        <w:widowControl/>
        <w:rPr>
          <w:rFonts w:hint="eastAsia" w:ascii="黑体" w:hAnsi="黑体" w:eastAsia="黑体" w:cs="黑体"/>
          <w:color w:val="000000" w:themeColor="text1"/>
          <w:sz w:val="32"/>
          <w:szCs w:val="32"/>
          <w:highlight w:val="none"/>
          <w:lang w:val="en-US" w:eastAsia="zh-CN"/>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供应商资格声明书</w:t>
      </w:r>
      <w:r/>
    </w:p>
    <w:p>
      <w:pPr>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致：</w:t>
      </w:r>
      <w:r>
        <w:rPr>
          <w:rFonts w:hint="eastAsia"/>
          <w:color w:val="000000" w:themeColor="text1"/>
          <w:sz w:val="24"/>
          <w:szCs w:val="24"/>
          <w:highlight w:val="none"/>
          <w:u w:val="single"/>
          <w:lang w:val="en-US" w:eastAsia="zh-CN"/>
          <w14:textFill>
            <w14:solidFill>
              <w14:schemeClr w14:val="tx1"/>
            </w14:solidFill>
          </w14:textFill>
        </w:rPr>
        <w:t xml:space="preserve">采购人或采购代理机构 </w:t>
      </w:r>
      <w:r/>
    </w:p>
    <w:p>
      <w:pPr>
        <w:ind w:firstLine="480"/>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在参与本次项目谈判中，我单位承诺： </w:t>
      </w:r>
      <w:r/>
    </w:p>
    <w:p>
      <w:pPr>
        <w:ind w:firstLine="480"/>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p>
    <w:p>
      <w:pPr>
        <w:ind w:firstLine="480"/>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上述声明真实有效，否则我方负全部责任。 </w:t>
      </w:r>
      <w:r/>
    </w:p>
    <w:p>
      <w:pPr>
        <w:ind w:left="0" w:firstLine="4819"/>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r>
      <w:r/>
    </w:p>
    <w:p>
      <w:pPr>
        <w:ind w:left="0" w:firstLine="4819"/>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r>
      <w:r/>
    </w:p>
    <w:p>
      <w:pPr>
        <w:ind w:left="0" w:firstLine="4819"/>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供应商名称（加盖公章）：</w:t>
      </w:r>
      <w:r>
        <w:rPr>
          <w:color w:val="000000" w:themeColor="text1"/>
          <w:sz w:val="24"/>
          <w:szCs w:val="24"/>
          <w:highlight w:val="none"/>
          <w:lang w:val="en-US" w:eastAsia="zh-CN"/>
          <w14:textFill>
            <w14:solidFill>
              <w14:schemeClr w14:val="tx1"/>
            </w14:solidFill>
          </w14:textFill>
        </w:rPr>
        <w:t xml:space="preserve">______ </w:t>
      </w:r>
      <w:r/>
    </w:p>
    <w:p>
      <w:pPr>
        <w:ind w:left="0" w:firstLine="4819"/>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日期：</w:t>
      </w:r>
      <w:r>
        <w:rPr>
          <w:rFonts w:hint="default"/>
          <w:color w:val="000000" w:themeColor="text1"/>
          <w:sz w:val="24"/>
          <w:szCs w:val="24"/>
          <w:highlight w:val="none"/>
          <w:lang w:val="en-US" w:eastAsia="zh-CN"/>
          <w14:textFill>
            <w14:solidFill>
              <w14:schemeClr w14:val="tx1"/>
            </w14:solidFill>
          </w14:textFill>
        </w:rPr>
        <w:t xml:space="preserve">____</w:t>
      </w:r>
      <w:r>
        <w:rPr>
          <w:rFonts w:hint="eastAsia"/>
          <w:color w:val="000000" w:themeColor="text1"/>
          <w:sz w:val="24"/>
          <w:szCs w:val="24"/>
          <w:highlight w:val="none"/>
          <w:lang w:val="en-US" w:eastAsia="zh-CN"/>
          <w14:textFill>
            <w14:solidFill>
              <w14:schemeClr w14:val="tx1"/>
            </w14:solidFill>
          </w14:textFill>
        </w:rPr>
        <w:t xml:space="preserve">年</w:t>
      </w:r>
      <w:r>
        <w:rPr>
          <w:rFonts w:hint="default"/>
          <w:color w:val="000000" w:themeColor="text1"/>
          <w:sz w:val="24"/>
          <w:szCs w:val="24"/>
          <w:highlight w:val="none"/>
          <w:lang w:val="en-US" w:eastAsia="zh-CN"/>
          <w14:textFill>
            <w14:solidFill>
              <w14:schemeClr w14:val="tx1"/>
            </w14:solidFill>
          </w14:textFill>
        </w:rPr>
        <w:t xml:space="preserve">____</w:t>
      </w:r>
      <w:r>
        <w:rPr>
          <w:rFonts w:hint="eastAsia"/>
          <w:color w:val="000000" w:themeColor="text1"/>
          <w:sz w:val="24"/>
          <w:szCs w:val="24"/>
          <w:highlight w:val="none"/>
          <w:lang w:val="en-US" w:eastAsia="zh-CN"/>
          <w14:textFill>
            <w14:solidFill>
              <w14:schemeClr w14:val="tx1"/>
            </w14:solidFill>
          </w14:textFill>
        </w:rPr>
        <w:t xml:space="preserve">月</w:t>
      </w:r>
      <w:r>
        <w:rPr>
          <w:rFonts w:hint="default"/>
          <w:color w:val="000000" w:themeColor="text1"/>
          <w:sz w:val="24"/>
          <w:szCs w:val="24"/>
          <w:highlight w:val="none"/>
          <w:lang w:val="en-US" w:eastAsia="zh-CN"/>
          <w14:textFill>
            <w14:solidFill>
              <w14:schemeClr w14:val="tx1"/>
            </w14:solidFill>
          </w14:textFill>
        </w:rPr>
        <w:t xml:space="preserve">____</w:t>
      </w:r>
      <w:r>
        <w:rPr>
          <w:rFonts w:hint="eastAsia"/>
          <w:color w:val="000000" w:themeColor="text1"/>
          <w:sz w:val="24"/>
          <w:szCs w:val="24"/>
          <w:highlight w:val="none"/>
          <w:lang w:val="en-US" w:eastAsia="zh-CN"/>
          <w14:textFill>
            <w14:solidFill>
              <w14:schemeClr w14:val="tx1"/>
            </w14:solidFill>
          </w14:textFill>
        </w:rPr>
        <w:t xml:space="preserve">日 </w:t>
      </w:r>
      <w:r/>
    </w:p>
    <w:p>
      <w:pPr>
        <w:keepLines w:val="0"/>
        <w:keepNext w:val="0"/>
        <w:pageBreakBefore w:val="0"/>
        <w:spacing w:line="308" w:lineRule="auto"/>
        <w:widowControl w:val="off"/>
        <w:rPr>
          <w:rFonts w:hint="eastAsia"/>
          <w:b/>
          <w:bCs/>
          <w:color w:val="000000" w:themeColor="text1"/>
          <w:sz w:val="23"/>
          <w:szCs w:val="23"/>
          <w:highlight w:val="none"/>
          <w:lang w:val="en-US" w:eastAsia="zh-CN"/>
          <w14:textFill>
            <w14:solidFill>
              <w14:schemeClr w14:val="tx1"/>
            </w14:solidFill>
          </w14:textFill>
        </w:rPr>
      </w:pPr>
      <w:r>
        <w:rPr>
          <w:rFonts w:hint="eastAsia"/>
          <w:b/>
          <w:bCs/>
          <w:color w:val="000000" w:themeColor="text1"/>
          <w:sz w:val="23"/>
          <w:szCs w:val="23"/>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2" w:name="_Toc26187"/>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2 落实政府采购政策需满足的资格要求（如有）</w:t>
      </w:r>
      <w:bookmarkEnd w:id="82"/>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t xml:space="preserve">2-1 中小企业证明文件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说明：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（4）中小企业声明函填写注意事项</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1）《中小企业声明函》由参加政府采购活动的供应商出具。联合体参与的，《中小企业声明函》可由牵头人出具。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3）对于多标的采购项目，供应商应充分、准确地了解所提供货物的制造企业、提供服务的承接企业信息。对相关情况了解不清楚的，不建议填报本声明函。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p>
    <w:p>
      <w:pPr>
        <w:keepLines w:val="0"/>
        <w:keepNext w:val="0"/>
        <w:pageBreakBefore w:val="0"/>
        <w:spacing w:line="332" w:lineRule="auto"/>
        <w:rPr>
          <w:rFonts w:hint="eastAsia" w:ascii="宋体" w:hAnsi="宋体" w:eastAsia="宋体" w:cs="宋体"/>
          <w:b/>
          <w:color w:val="000000" w:themeColor="text1"/>
          <w:sz w:val="24"/>
          <w:szCs w:val="24"/>
          <w:highlight w:val="none"/>
          <w14:textFill>
            <w14:solidFill>
              <w14:schemeClr w14:val="tx1"/>
            </w14:solidFill>
          </w14:textFill>
        </w:rPr>
      </w:pPr>
      <w:r>
        <w:br w:type="page" w:clear="all"/>
      </w:r>
      <w:r/>
    </w:p>
    <w:p>
      <w:pP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t xml:space="preserve">2-1-1 中小企业声明函及残疾人福利性单位声明函格式 </w:t>
      </w:r>
      <w:r/>
    </w:p>
    <w:p>
      <w:pPr>
        <w:jc w:val="center"/>
        <w:rPr>
          <w:rFonts w:hint="eastAsia" w:ascii="黑体" w:hAnsi="黑体" w:eastAsia="黑体" w:cs="黑体"/>
          <w:color w:val="000000" w:themeColor="text1"/>
          <w:sz w:val="32"/>
          <w:szCs w:val="40"/>
          <w:highlight w:val="none"/>
          <w:lang w:val="en-US" w:eastAsia="zh-CN"/>
          <w14:textFill>
            <w14:solidFill>
              <w14:schemeClr w14:val="tx1"/>
            </w14:solidFill>
          </w14:textFill>
        </w:rPr>
      </w:pPr>
      <w:r>
        <w:rPr>
          <w:rFonts w:hint="eastAsia" w:ascii="黑体" w:hAnsi="黑体" w:eastAsia="黑体" w:cs="黑体"/>
          <w:color w:val="000000" w:themeColor="text1"/>
          <w:sz w:val="32"/>
          <w:szCs w:val="40"/>
          <w:highlight w:val="none"/>
          <w:lang w:val="en-US" w:eastAsia="zh-CN"/>
          <w14:textFill>
            <w14:solidFill>
              <w14:schemeClr w14:val="tx1"/>
            </w14:solidFill>
          </w14:textFill>
        </w:rPr>
        <w:t xml:space="preserve">中小企业声明函（工程、服务）</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的（项目名称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w:t>
      </w:r>
      <w:r>
        <w:rPr>
          <w:rFonts w:hint="eastAsia" w:ascii="宋体" w:hAnsi="宋体" w:eastAsia="宋体" w:cs="宋体"/>
          <w:color w:val="000000" w:themeColor="text1"/>
          <w:sz w:val="24"/>
          <w:szCs w:val="24"/>
          <w:highlight w:val="none"/>
          <w14:textFill>
            <w14:solidFill>
              <w14:schemeClr w14:val="tx1"/>
            </w14:solidFill>
          </w14:textFill>
        </w:rPr>
        <w:t xml:space="preserve">活动，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工程的施工</w:t>
      </w:r>
      <w:r>
        <w:rPr>
          <w:rFonts w:hint="eastAsia" w:ascii="宋体" w:hAnsi="宋体" w:eastAsia="宋体" w:cs="宋体"/>
          <w:color w:val="000000" w:themeColor="text1"/>
          <w:sz w:val="24"/>
          <w:szCs w:val="24"/>
          <w:highlight w:val="none"/>
          <w14:textFill>
            <w14:solidFill>
              <w14:schemeClr w14:val="tx1"/>
            </w14:solidFill>
          </w14:textFill>
        </w:rPr>
        <w:t xml:space="preserve">全部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14:textFill>
            <w14:solidFill>
              <w14:schemeClr w14:val="tx1"/>
            </w14:solidFill>
          </w14:textFill>
        </w:rPr>
        <w:t xml:space="preserve">符合政策要求的中小企业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或者：服务全部由符合政策要求的中小企业承接）。相关企业（含联合体中的中小企业、签订分包意向协议的中小企业）的具体情况如下：</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承建（承接）企业为</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¹</w:t>
      </w:r>
      <w:r>
        <w:rPr>
          <w:rFonts w:hint="eastAsia" w:ascii="宋体" w:hAnsi="宋体" w:eastAsia="宋体" w:cs="宋体"/>
          <w:color w:val="000000" w:themeColor="text1"/>
          <w:sz w:val="24"/>
          <w:szCs w:val="24"/>
          <w:highlight w:val="none"/>
          <w14:textFill>
            <w14:solidFill>
              <w14:schemeClr w14:val="tx1"/>
            </w14:solidFill>
          </w14:textFill>
        </w:rPr>
        <w:t xml:space="preserve">，属于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承建（承接）企业为</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¹</w:t>
      </w:r>
      <w:r>
        <w:rPr>
          <w:rFonts w:hint="eastAsia" w:ascii="宋体" w:hAnsi="宋体" w:eastAsia="宋体" w:cs="宋体"/>
          <w:color w:val="000000" w:themeColor="text1"/>
          <w:sz w:val="24"/>
          <w:szCs w:val="24"/>
          <w:highlight w:val="none"/>
          <w14:textFill>
            <w14:solidFill>
              <w14:schemeClr w14:val="tx1"/>
            </w14:solidFill>
          </w14:textFill>
        </w:rPr>
        <w:t xml:space="preserve">，属于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2"/>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本企业对上述声明内容的真实性负责。如有虚假，将依法承担相应责任。 </w:t>
      </w:r>
      <w:r/>
    </w:p>
    <w:p>
      <w:pPr>
        <w:pStyle w:val="925"/>
        <w:keepLines w:val="0"/>
        <w:keepNext w:val="0"/>
        <w:pageBreakBefore w:val="0"/>
        <w:spacing w:before="28" w:after="28"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从业人员、营业收入、资产总额填报上一年度数据，无上一年度数据的新成立企业可不填报，视为小微企业。</w:t>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jc w:val="center"/>
        <w:keepLines w:val="0"/>
        <w:keepNext w:val="0"/>
        <w:widowControl/>
        <w:rPr>
          <w:color w:val="000000" w:themeColor="text1"/>
          <w:highlight w:val="none"/>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中小企业声明函（工程、服务）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的（项目名称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w:t>
      </w:r>
      <w:r>
        <w:rPr>
          <w:rFonts w:hint="eastAsia" w:ascii="宋体" w:hAnsi="宋体" w:eastAsia="宋体" w:cs="宋体"/>
          <w:color w:val="000000" w:themeColor="text1"/>
          <w:sz w:val="24"/>
          <w:szCs w:val="24"/>
          <w:highlight w:val="none"/>
          <w14:textFill>
            <w14:solidFill>
              <w14:schemeClr w14:val="tx1"/>
            </w14:solidFill>
          </w14:textFill>
        </w:rPr>
        <w:t xml:space="preserve">活动，工程的施工全部为符合政策要求的中小企业(或者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服务全部由符合政策要求的中小企业承接)。相关企业(含联合体中的中小企业、签订分包意向协议的中小企业)的具体情况如下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其他未列明行业</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承建（承接）企业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¹</w:t>
      </w:r>
      <w:r>
        <w:rPr>
          <w:rFonts w:hint="eastAsia" w:ascii="宋体" w:hAnsi="宋体" w:eastAsia="宋体" w:cs="宋体"/>
          <w:color w:val="000000" w:themeColor="text1"/>
          <w:sz w:val="24"/>
          <w:szCs w:val="24"/>
          <w:highlight w:val="none"/>
          <w14:textFill>
            <w14:solidFill>
              <w14:schemeClr w14:val="tx1"/>
            </w14:solidFill>
          </w14:textFill>
        </w:rPr>
        <w:t xml:space="preserve">，属于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承建（承接）企业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¹</w:t>
      </w:r>
      <w:r>
        <w:rPr>
          <w:rFonts w:hint="eastAsia" w:ascii="宋体" w:hAnsi="宋体" w:eastAsia="宋体" w:cs="宋体"/>
          <w:color w:val="000000" w:themeColor="text1"/>
          <w:sz w:val="24"/>
          <w:szCs w:val="24"/>
          <w:highlight w:val="none"/>
          <w14:textFill>
            <w14:solidFill>
              <w14:schemeClr w14:val="tx1"/>
            </w14:solidFill>
          </w14:textFill>
        </w:rPr>
        <w:t xml:space="preserve">，属于 </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2"/>
        <w:keepLines w:val="0"/>
        <w:keepNext w:val="0"/>
        <w:pageBreakBefore w:val="0"/>
        <w:spacing w:line="33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本企业对上述声明内容的真实性负责。如有虚假，将依法承担相应责任。 </w:t>
      </w:r>
      <w:r/>
    </w:p>
    <w:p>
      <w:pPr>
        <w:pStyle w:val="925"/>
        <w:keepLines w:val="0"/>
        <w:keepNext w:val="0"/>
        <w:pageBreakBefore w:val="0"/>
        <w:spacing w:before="28" w:after="28"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 </w:t>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从业人员、营业收入、资产总额填报上一年度数据，无上一年度数据的新成立企业可不填报，视为小微企业。</w:t>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jc w:val="center"/>
        <w:keepLines w:val="0"/>
        <w:keepNext w:val="0"/>
        <w:pageBreakBefore w:val="0"/>
        <w:spacing w:line="332" w:lineRule="auto"/>
        <w:widowControl w:val="off"/>
        <w:rPr>
          <w:rFonts w:hint="eastAsia"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残疾人福利性单位声明函格式</w:t>
      </w:r>
      <w:r/>
    </w:p>
    <w:p>
      <w:pPr>
        <w:pStyle w:val="925"/>
        <w:ind w:firstLine="480"/>
        <w:keepLines w:val="0"/>
        <w:keepNext w:val="0"/>
        <w:pageBreakBefore w:val="0"/>
        <w:spacing w:before="28" w:after="28" w:line="332"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本单位郑重声明，根据《财政部 民政部 中国残疾人联合会关于促进残疾人就业政府采购政策的通知》（财库〔2017〕141号）的规定，本单位</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（请进行选择）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925"/>
        <w:ind w:firstLine="482"/>
        <w:keepLines w:val="0"/>
        <w:keepNext w:val="0"/>
        <w:pageBreakBefore w:val="0"/>
        <w:spacing w:before="28" w:after="28" w:line="332"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不属于符合条件的残疾人福利性单位。 </w:t>
      </w:r>
      <w:r/>
    </w:p>
    <w:p>
      <w:pPr>
        <w:pStyle w:val="925"/>
        <w:ind w:firstLine="482"/>
        <w:keepLines w:val="0"/>
        <w:keepNext w:val="0"/>
        <w:pageBreakBefore w:val="0"/>
        <w:spacing w:before="28" w:after="28" w:line="332"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属于符合条件的残疾人福利性单位</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，且本单位参加</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项目采购活动提供本单位制造的货物（由本单位承担工程</w:t>
      </w:r>
      <w:r>
        <w:rPr>
          <w:rFonts w:hint="eastAsia" w:hAnsi="宋体" w:eastAsia="宋体" w:cs="宋体"/>
          <w:color w:val="000000" w:themeColor="text1"/>
          <w:sz w:val="24"/>
          <w:szCs w:val="24"/>
          <w:highlight w:val="none"/>
          <w:lang w:val="en-US" w:eastAsia="zh-CN" w:bidi="ar-SA"/>
          <w14:textFill>
            <w14:solidFill>
              <w14:schemeClr w14:val="tx1"/>
            </w14:solidFill>
          </w14:textFill>
        </w:rPr>
        <w:t xml:space="preserve">  /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提供服务），或者提供其他残疾人福利性单位制造的货物（不包括使用非残疾人福利性单位注册商标的货物）。 </w:t>
      </w:r>
      <w:r/>
    </w:p>
    <w:p>
      <w:pPr>
        <w:pStyle w:val="925"/>
        <w:ind w:firstLine="482"/>
        <w:keepLines w:val="0"/>
        <w:keepNext w:val="0"/>
        <w:pageBreakBefore w:val="0"/>
        <w:spacing w:before="28" w:after="28" w:line="332"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本单位对上述声明的真实性负责。如有虚假，将依法承担相应责任。</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925"/>
        <w:keepLines w:val="0"/>
        <w:keepNext w:val="0"/>
        <w:pageBreakBefore w:val="0"/>
        <w:spacing w:before="28" w:after="28"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5"/>
        <w:keepLines w:val="0"/>
        <w:keepNext w:val="0"/>
        <w:pageBreakBefore w:val="0"/>
        <w:spacing w:before="28" w:after="28"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 </w:t>
      </w:r>
      <w:r/>
    </w:p>
    <w:p>
      <w:pPr>
        <w:pStyle w:val="925"/>
        <w:ind w:firstLine="480"/>
        <w:keepLines w:val="0"/>
        <w:keepNext w:val="0"/>
        <w:pageBreakBefore w:val="0"/>
        <w:spacing w:before="28" w:after="28"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t xml:space="preserve">2-2 其他落实政府采购政策的资格要求（如有）</w:t>
      </w:r>
      <w:r/>
    </w:p>
    <w:p>
      <w:pPr>
        <w:keepLines w:val="0"/>
        <w:keepNext w:val="0"/>
        <w:pageBreakBefore w:val="0"/>
        <w:spacing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3" w:name="_Toc19985"/>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3 本项目的特定资格要求（如有）</w:t>
      </w:r>
      <w:bookmarkEnd w:id="83"/>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rPr>
          <w:rFonts w:hint="eastAsia" w:ascii="楷体" w:hAnsi="楷体" w:eastAsia="楷体" w:cs="楷体"/>
          <w:b w:val="0"/>
          <w:bCs w:val="0"/>
          <w:color w:val="000000" w:themeColor="text1"/>
          <w:sz w:val="24"/>
          <w:szCs w:val="24"/>
          <w:highlight w:val="none"/>
          <w:lang w:val="en-US" w:eastAsia="zh-CN"/>
          <w14:textFill>
            <w14:solidFill>
              <w14:schemeClr w14:val="tx1"/>
            </w14:solidFill>
          </w14:textFill>
        </w:rPr>
      </w:pPr>
      <w:r>
        <w:br w:type="page" w:clear="all"/>
      </w:r>
      <w:r/>
    </w:p>
    <w:p>
      <w:pPr>
        <w:rPr>
          <w:rFonts w:hint="default"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4" w:name="_Toc31792"/>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4 保证金凭证  /  交款单据复印件（若有）</w:t>
      </w:r>
      <w:bookmarkEnd w:id="84"/>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5" w:name="_Toc17133"/>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5 响应书（实质性格式）</w:t>
      </w:r>
      <w:bookmarkEnd w:id="85"/>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jc w:val="center"/>
        <w:keepLines w:val="0"/>
        <w:keepNext w:val="0"/>
        <w:pageBreakBefore w:val="0"/>
        <w:spacing w:line="332" w:lineRule="auto"/>
        <w:widowControl w:val="off"/>
        <w:rPr>
          <w:rFonts w:hint="eastAsia"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响应书</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（采购人或采购代理机构）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我方参加你方就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（项目名称，项目编号）组织的采购活动，并对此项目进行响应。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1.我方已详细审查全部单一来源采购文件，自愿参与响应并承诺如下：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（1）本响应有效期为自响应文件提交截止之日起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个日历天。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（2）除合同条款及采购需求偏离表列出的偏离外，我方响应单一来源采购文件的全部要求。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（3）我方已提供的全部文件资料是真实、准确的，并对此承担一切法律后果。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（4）如我方成交，我方将在法律规定的期限内与你方签订合同，按照单一来源采购文件要求提交履约保证金，并在合同约定的期限内完成合同规定的全部义务。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2.其他补充条款（如有）：</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与本响应有关的一切正式往来信函请寄：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935"/>
        <w:ind w:left="0" w:firstLine="0"/>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6" w:name="_Toc14100"/>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6 授权委托书（实质性格式）</w:t>
      </w:r>
      <w:bookmarkEnd w:id="86"/>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lang w:val="en-US" w:eastAsia="zh-CN"/>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授权委托书</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（姓名）系</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（供应商名称）的法定代表人（单位负责人），现委托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（姓名）为我方代理人。代理人根据授权，以我方名义签署、澄清确认、提交、撤回、修改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（项目名称）响应文件和处理有关事宜，其法律后果由我方承担。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委托期限：自本授权委托书签署之日起至响应有效期届满之日止。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代理人无转委托权。</w:t>
      </w: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法定代表人（单位负责人）（签字或签章）：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 </w:t>
      </w: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附：法定代表人及委托代理人身份证明文件： </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446"/>
        </w:trPr>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法定代表人身份证国徽面</w:t>
            </w:r>
            <w:r/>
          </w:p>
        </w:tc>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法定代表人身份证头像面</w:t>
            </w:r>
            <w:r/>
          </w:p>
        </w:tc>
      </w:tr>
      <w:tr>
        <w:trPr>
          <w:trHeight w:val="2518"/>
        </w:trPr>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委托代理人身份证国徽面</w:t>
            </w:r>
            <w:r/>
          </w:p>
        </w:tc>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委托代理人身份证头像面</w:t>
            </w:r>
            <w:r/>
          </w:p>
        </w:tc>
      </w:tr>
    </w:tbl>
    <w:p>
      <w:pPr>
        <w:keepLines w:val="0"/>
        <w:keepNext w:val="0"/>
        <w:pageBreakBefore w:val="0"/>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注：（1）若供应商为事业单位或其他组织或分支机构，则法定代表人（单位负责人）处的签署人可为单位负责人。 </w:t>
      </w:r>
      <w:r/>
    </w:p>
    <w:p>
      <w:pPr>
        <w:keepLines w:val="0"/>
        <w:keepNext w:val="0"/>
        <w:pageBreakBefore w:val="0"/>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若响应文件中签字之处均为法定代表人（单位负责人）本人签署，则可不提供本《授权委托书》，但须提供《法定代表人（单位负责人）身份证明》；否则，不需要提供《法定代表人（单位负责人）身份证明》。 </w:t>
      </w:r>
      <w:r/>
    </w:p>
    <w:p>
      <w:pPr>
        <w:keepLines w:val="0"/>
        <w:keepNext w:val="0"/>
        <w:pageBreakBefore w:val="0"/>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（3）供应商为自然人的情形，可不提供本《授权委托书》。 </w:t>
      </w:r>
      <w:r/>
    </w:p>
    <w:p>
      <w:pPr>
        <w:keepLines w:val="0"/>
        <w:keepNext w:val="0"/>
        <w:pageBreakBefore w:val="0"/>
        <w:spacing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（4）供应商应随本《授权委托书》同时提供法定代表人（单位负责人）及委托代理人的有效的身份证、护照等身份证明文件复印件。提供身份证的，应同时提供身份证双面复印件。</w:t>
      </w:r>
      <w:r/>
    </w:p>
    <w:p>
      <w:pPr>
        <w:rPr>
          <w:rFonts w:hint="eastAsia" w:ascii="黑体" w:hAnsi="黑体" w:eastAsia="黑体" w:cs="黑体"/>
          <w:color w:val="000000" w:themeColor="text1"/>
          <w:sz w:val="28"/>
          <w:szCs w:val="28"/>
          <w:highlight w:val="none"/>
          <w:lang w:val="en-US" w:eastAsia="zh-CN"/>
          <w14:textFill>
            <w14:solidFill>
              <w14:schemeClr w14:val="tx1"/>
            </w14:solidFill>
          </w14:textFill>
        </w:rPr>
      </w:pPr>
      <w:r>
        <w:br w:type="page" w:clear="all"/>
      </w: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lang w:val="en-US" w:eastAsia="zh-CN"/>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法定代表人（单位负责人）身份证明</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（采购人或采购代理机构）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兹证明，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姓名：</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性别：</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职务：</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（供应商名称）的法定代表人（单位负责人）。 </w:t>
      </w: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附：法定代表人（单位负责人）身份证、护照等身份证明文件复印件：</w:t>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446"/>
        </w:trPr>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法定代表人身份证国徽面</w:t>
            </w:r>
            <w:r/>
          </w:p>
        </w:tc>
        <w:tc>
          <w:tcPr>
            <w:tcW w:w="4308" w:type="dxa"/>
            <w:vAlign w:val="center"/>
            <w:textDirection w:val="lrTb"/>
            <w:noWrap w:val="false"/>
          </w:tcPr>
          <w:p>
            <w:pPr>
              <w:jc w:val="center"/>
              <w:keepLines w:val="0"/>
              <w:keepNext w:val="0"/>
              <w:pageBreakBefore w:val="0"/>
              <w:spacing w:line="332" w:lineRule="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法定代表人身份证头像面</w:t>
            </w:r>
            <w:r/>
          </w:p>
        </w:tc>
      </w:tr>
    </w:tbl>
    <w:p>
      <w:pPr>
        <w:pStyle w:val="935"/>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jc w:val="left"/>
        <w:keepLines w:val="0"/>
        <w:keepNext w:val="0"/>
        <w:pageBreakBefore w:val="0"/>
        <w:spacing w:line="332" w:lineRule="auto"/>
        <w:widowControl/>
        <w:rPr>
          <w:rFonts w:hint="default" w:ascii="宋体" w:hAnsi="宋体" w:eastAsia="宋体" w:cs="宋体"/>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法定代表人（单位负责人）（签字或签章）：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pStyle w:val="935"/>
        <w:ind w:left="0" w:firstLine="0"/>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pStyle w:val="935"/>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7" w:name="_Toc3700"/>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7 报价表（实质性格式）</w:t>
      </w:r>
      <w:bookmarkEnd w:id="87"/>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pStyle w:val="934"/>
        <w:jc w:val="center"/>
        <w:keepLines w:val="0"/>
        <w:keepNext w:val="0"/>
        <w:widowControl/>
        <w:rPr>
          <w:color w:val="000000" w:themeColor="text1"/>
          <w:sz w:val="32"/>
          <w:szCs w:val="32"/>
          <w:highlight w:val="none"/>
          <w14:textFill>
            <w14:solidFill>
              <w14:schemeClr w14:val="tx1"/>
            </w14:solidFill>
          </w14:textFill>
        </w:rPr>
        <w:suppressLineNumbers w:val="0"/>
      </w:pPr>
      <w:r>
        <w:rPr>
          <w:rStyle w:val="937"/>
          <w:rFonts w:hint="eastAsia"/>
          <w:color w:val="000000" w:themeColor="text1"/>
          <w:sz w:val="32"/>
          <w:szCs w:val="32"/>
          <w:highlight w:val="none"/>
          <w:lang w:val="en-US" w:eastAsia="zh-CN"/>
          <w14:textFill>
            <w14:solidFill>
              <w14:schemeClr w14:val="tx1"/>
            </w14:solidFill>
          </w14:textFill>
        </w:rPr>
        <w:t xml:space="preserve"> </w:t>
      </w:r>
      <w:r>
        <w:rPr>
          <w:rStyle w:val="937"/>
          <w:color w:val="000000" w:themeColor="text1"/>
          <w:sz w:val="32"/>
          <w:szCs w:val="32"/>
          <w:highlight w:val="none"/>
          <w14:textFill>
            <w14:solidFill>
              <w14:schemeClr w14:val="tx1"/>
            </w14:solidFill>
          </w14:textFill>
        </w:rPr>
        <w:t xml:space="preserve">报价表</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本次为首次报价</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货币单位：人民币元</w:t>
      </w:r>
      <w:r/>
    </w:p>
    <w:tbl>
      <w:tblPr>
        <w:tblStyle w:val="918"/>
        <w:tblW w:w="929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59"/>
        <w:gridCol w:w="2590"/>
        <w:gridCol w:w="2932"/>
        <w:gridCol w:w="1417"/>
      </w:tblGrid>
      <w:tr>
        <w:trPr>
          <w:tblCellSpacing w:w="15" w:type="dxa"/>
          <w:trHeight w:val="396"/>
        </w:trPr>
        <w:tc>
          <w:tcPr>
            <w:shd w:val="clear" w:color="auto" w:fill="auto"/>
            <w:tcW w:w="2314"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项目名称</w:t>
            </w:r>
            <w:r/>
          </w:p>
        </w:tc>
        <w:tc>
          <w:tcPr>
            <w:shd w:val="clear" w:color="auto" w:fill="auto"/>
            <w:tcW w:w="2560"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项目内容</w:t>
            </w:r>
            <w:r/>
          </w:p>
        </w:tc>
        <w:tc>
          <w:tcPr>
            <w:shd w:val="clear" w:color="auto" w:fill="auto"/>
            <w:tcW w:w="2902"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报价（小写）</w:t>
            </w:r>
            <w:r/>
          </w:p>
        </w:tc>
        <w:tc>
          <w:tcPr>
            <w:shd w:val="clear" w:color="auto" w:fill="auto"/>
            <w:tcW w:w="1372"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备注</w:t>
            </w:r>
            <w:r/>
          </w:p>
        </w:tc>
      </w:tr>
      <w:tr>
        <w:trPr>
          <w:tblCellSpacing w:w="15" w:type="dxa"/>
          <w:trHeight w:val="477"/>
        </w:trPr>
        <w:tc>
          <w:tcPr>
            <w:shd w:val="clear" w:color="auto" w:fill="auto"/>
            <w:tcW w:w="2314"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项目名称  </w:t>
            </w:r>
            <w:r/>
          </w:p>
        </w:tc>
        <w:tc>
          <w:tcPr>
            <w:shd w:val="clear" w:color="auto" w:fill="auto"/>
            <w:tcW w:w="2560"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谈判</w:t>
            </w:r>
            <w:r>
              <w:rPr>
                <w:rFonts w:hint="default"/>
                <w:color w:val="000000" w:themeColor="text1"/>
                <w:highlight w:val="none"/>
                <w14:textFill>
                  <w14:solidFill>
                    <w14:schemeClr w14:val="tx1"/>
                  </w14:solidFill>
                </w14:textFill>
              </w:rPr>
              <w:t xml:space="preserve">文件》</w:t>
            </w:r>
            <w:r/>
          </w:p>
        </w:tc>
        <w:tc>
          <w:tcPr>
            <w:shd w:val="clear" w:color="auto" w:fill="auto"/>
            <w:tcW w:w="2902"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元</w:t>
            </w:r>
            <w:r/>
          </w:p>
        </w:tc>
        <w:tc>
          <w:tcPr>
            <w:shd w:val="clear" w:color="auto" w:fill="auto"/>
            <w:tcW w:w="1372"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 </w:t>
            </w:r>
            <w:r/>
          </w:p>
        </w:tc>
      </w:tr>
      <w:tr>
        <w:trPr>
          <w:tblCellSpacing w:w="15" w:type="dxa"/>
          <w:trHeight w:val="396"/>
        </w:trPr>
        <w:tc>
          <w:tcPr>
            <w:shd w:val="clear" w:color="auto" w:fill="auto"/>
            <w:tcW w:w="2314"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报价（大写）：</w:t>
            </w:r>
            <w:r/>
          </w:p>
        </w:tc>
        <w:tc>
          <w:tcPr>
            <w:gridSpan w:val="3"/>
            <w:shd w:val="clear" w:color="auto" w:fill="auto"/>
            <w:tcW w:w="6894" w:type="dxa"/>
            <w:vAlign w:val="center"/>
            <w:textDirection w:val="lrTb"/>
            <w:noWrap w:val="false"/>
          </w:tcPr>
          <w:p>
            <w:pPr>
              <w:pStyle w:val="934"/>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金额大写  </w:t>
            </w:r>
            <w:r/>
          </w:p>
        </w:tc>
      </w:tr>
    </w:tbl>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供应商报价说明：</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1、采购人不需再支付报价以外的任何费用。</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2、偏离说明：详见《偏离表》。</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3、报价大小写不一致以大写为准。</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投标人公章：（电子签章）</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p>
    <w:p>
      <w:pPr>
        <w:pStyle w:val="934"/>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报价时间：  年  月   日</w:t>
      </w:r>
      <w:r/>
    </w:p>
    <w:p>
      <w:pPr>
        <w:pStyle w:val="934"/>
        <w:keepLines w:val="0"/>
        <w:keepNext w:val="0"/>
        <w:widowControl/>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r>
      <w:r/>
    </w:p>
    <w:p>
      <w:pPr>
        <w:pStyle w:val="934"/>
        <w:keepLines w:val="0"/>
        <w:keepNext w:val="0"/>
        <w:widowControl/>
        <w:rPr>
          <w:rFonts w:hint="eastAsia" w:eastAsiaTheme="minor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（以电子平台格式为准）</w:t>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ectPr>
          <w:headerReference w:type="default" r:id="rId9"/>
          <w:footerReference w:type="default" r:id="rId11"/>
          <w:footnotePr/>
          <w:endnotePr/>
          <w:type w:val="nextPage"/>
          <w:pgSz w:w="11906" w:h="16838" w:orient="portrait"/>
          <w:pgMar w:top="1440" w:right="1706" w:bottom="1440" w:left="1800" w:header="471" w:footer="992" w:gutter="0"/>
          <w:pgNumType w:start="1"/>
          <w:cols w:num="1" w:sep="0" w:space="425" w:equalWidth="1"/>
          <w:docGrid w:linePitch="360"/>
        </w:sect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8" w:name="_Toc1543"/>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8 合同条款偏离表（实质性格式）</w:t>
      </w:r>
      <w:bookmarkEnd w:id="88"/>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lang w:val="en-US" w:eastAsia="zh-CN"/>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合同条款偏离表</w:t>
      </w:r>
      <w:r/>
    </w:p>
    <w:p>
      <w:pPr>
        <w:keepLines w:val="0"/>
        <w:keepNext w:val="0"/>
        <w:pageBreakBefore w:val="0"/>
        <w:spacing w:line="33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29"/>
        <w:gridCol w:w="1544"/>
        <w:gridCol w:w="1724"/>
        <w:gridCol w:w="1350"/>
        <w:gridCol w:w="1001"/>
      </w:tblGrid>
      <w:tr>
        <w:trPr>
          <w:trHeight w:val="791"/>
        </w:trPr>
        <w:tc>
          <w:tcPr>
            <w:tcW w:w="865"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序号</w:t>
            </w:r>
            <w:r/>
          </w:p>
        </w:tc>
        <w:tc>
          <w:tcPr>
            <w:tcW w:w="2130"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单一来源采购文件条目号（页码）</w:t>
            </w:r>
            <w:r/>
          </w:p>
        </w:tc>
        <w:tc>
          <w:tcPr>
            <w:tcW w:w="1545"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单一来源采购文件要求</w:t>
            </w:r>
            <w:r/>
          </w:p>
        </w:tc>
        <w:tc>
          <w:tcPr>
            <w:tcW w:w="1725"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响应文件内容</w:t>
            </w:r>
            <w:r/>
          </w:p>
        </w:tc>
        <w:tc>
          <w:tcPr>
            <w:tcW w:w="1350"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偏离情况</w:t>
            </w:r>
            <w:r/>
          </w:p>
        </w:tc>
        <w:tc>
          <w:tcPr>
            <w:tcW w:w="1001"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说明</w:t>
            </w:r>
            <w:r/>
          </w:p>
        </w:tc>
      </w:tr>
      <w:tr>
        <w:trPr>
          <w:trHeight w:val="1670"/>
        </w:trPr>
        <w:tc>
          <w:tcPr>
            <w:gridSpan w:val="6"/>
            <w:tcW w:w="8616" w:type="dxa"/>
            <w:textDirection w:val="lrTb"/>
            <w:noWrap w:val="false"/>
          </w:tcPr>
          <w:p>
            <w:pPr>
              <w:jc w:val="left"/>
              <w:keepLines w:val="0"/>
              <w:keepNext w:val="0"/>
              <w:pageBreakBefore w:val="0"/>
              <w:spacing w:line="308" w:lineRule="auto"/>
              <w:widowControl/>
              <w:rPr>
                <w:rFonts w:hint="eastAsia" w:ascii="宋体" w:hAnsi="宋体" w:eastAsia="宋体" w:cs="宋体"/>
                <w:color w:val="000000" w:themeColor="text1"/>
                <w:sz w:val="23"/>
                <w:szCs w:val="23"/>
                <w:highlight w:val="none"/>
                <w14:textFill>
                  <w14:solidFill>
                    <w14:schemeClr w14:val="tx1"/>
                  </w14:solidFill>
                </w14:textFill>
              </w:rPr>
              <w:suppressLineNumbers w:val="0"/>
            </w:pP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对本项目合同条款的偏离情况（</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应进行选择，未选择</w:t>
            </w: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响应无效）： </w:t>
            </w:r>
            <w:r/>
          </w:p>
          <w:p>
            <w:pPr>
              <w:jc w:val="left"/>
              <w:keepLines w:val="0"/>
              <w:keepNext w:val="0"/>
              <w:pageBreakBefore w:val="0"/>
              <w:spacing w:line="308" w:lineRule="auto"/>
              <w:widowControl/>
              <w:rPr>
                <w:rFonts w:hint="eastAsia" w:ascii="宋体" w:hAnsi="宋体" w:eastAsia="宋体" w:cs="宋体"/>
                <w:color w:val="000000" w:themeColor="text1"/>
                <w:sz w:val="23"/>
                <w:szCs w:val="23"/>
                <w:highlight w:val="none"/>
                <w14:textFill>
                  <w14:solidFill>
                    <w14:schemeClr w14:val="tx1"/>
                  </w14:solidFill>
                </w14:textFill>
              </w:rPr>
              <w:suppressLineNumbers w:val="0"/>
            </w:pPr>
            <w:r>
              <w:rPr>
                <w:rFonts w:hint="eastAsia" w:ascii="宋体" w:hAnsi="宋体" w:eastAsia="宋体" w:cs="宋体"/>
                <w:b/>
                <w:bCs/>
                <w:color w:val="000000" w:themeColor="text1"/>
                <w:sz w:val="23"/>
                <w:szCs w:val="23"/>
                <w:highlight w:val="none"/>
                <w:lang w:val="en-US" w:eastAsia="zh-CN" w:bidi="ar-SA"/>
                <w14:textFill>
                  <w14:solidFill>
                    <w14:schemeClr w14:val="tx1"/>
                  </w14:solidFill>
                </w14:textFill>
              </w:rPr>
              <w:t xml:space="preserve">□ 无</w:t>
            </w: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偏离</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（如无偏离，仅选择无偏离即可；无偏离即为对合同条款中的所有要求，均视作供应商已对之理解和响应。） </w:t>
            </w:r>
            <w:r/>
          </w:p>
          <w:p>
            <w:pPr>
              <w:jc w:val="left"/>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3"/>
                <w:szCs w:val="23"/>
                <w:highlight w:val="none"/>
                <w:lang w:val="en-US" w:eastAsia="zh-CN" w:bidi="ar-SA"/>
                <w14:textFill>
                  <w14:solidFill>
                    <w14:schemeClr w14:val="tx1"/>
                  </w14:solidFill>
                </w14:textFill>
              </w:rPr>
              <w:t xml:space="preserve">□ 有</w:t>
            </w: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偏离</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（如有偏离，则应在本表中对负偏离项逐一列明，否则</w:t>
            </w: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响应无效</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；对合同条款中的所有要求，除本表列明的偏离外，均视作供应商已对之理解和响应。）</w:t>
            </w:r>
            <w:r/>
          </w:p>
        </w:tc>
      </w:tr>
      <w:tr>
        <w:trPr>
          <w:trHeight w:val="497"/>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r>
        <w:trPr>
          <w:trHeight w:val="497"/>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r>
        <w:trPr>
          <w:trHeight w:val="487"/>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r>
        <w:trPr>
          <w:trHeight w:val="522"/>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r>
        <w:trPr>
          <w:trHeight w:val="522"/>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r>
        <w:trPr>
          <w:trHeight w:val="522"/>
        </w:trPr>
        <w:tc>
          <w:tcPr>
            <w:tcW w:w="86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213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54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725"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350"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W w:w="1001" w:type="dxa"/>
            <w:textDirection w:val="lrTb"/>
            <w:noWrap w:val="false"/>
          </w:tcPr>
          <w:p>
            <w:pPr>
              <w:keepLines w:val="0"/>
              <w:keepNext w:val="0"/>
              <w:pageBreakBefore w:val="0"/>
              <w:spacing w:line="30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r>
    </w:tbl>
    <w:p>
      <w:pPr>
        <w:jc w:val="left"/>
        <w:keepLines w:val="0"/>
        <w:keepNext w:val="0"/>
        <w:pageBreakBefore w:val="0"/>
        <w:spacing w:line="240" w:lineRule="auto"/>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注：“偏离情况”列应据实填写“正偏离”或“负偏离”。 </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keepLines w:val="0"/>
        <w:keepNext w:val="0"/>
        <w:pageBreakBefore w:val="0"/>
        <w:spacing w:line="332"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br w:type="page" w:clear="all"/>
      </w:r>
      <w:r/>
    </w:p>
    <w:p>
      <w:pPr>
        <w:rPr>
          <w:rFonts w:hint="eastAsia" w:ascii="楷体" w:hAnsi="楷体" w:eastAsia="楷体" w:cs="楷体"/>
          <w:b/>
          <w:bCs/>
          <w:color w:val="000000" w:themeColor="text1"/>
          <w:sz w:val="26"/>
          <w:szCs w:val="26"/>
          <w:highlight w:val="none"/>
          <w:lang w:val="en-US" w:eastAsia="zh-CN"/>
          <w14:textFill>
            <w14:solidFill>
              <w14:schemeClr w14:val="tx1"/>
            </w14:solidFill>
          </w14:textFill>
        </w:rPr>
        <w:outlineLvl w:val="1"/>
      </w:pPr>
      <w:r/>
      <w:bookmarkStart w:id="89" w:name="_Toc6822"/>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9 采购需求偏离表（实质性格式）</w:t>
      </w:r>
      <w:bookmarkEnd w:id="89"/>
      <w:r>
        <w:rPr>
          <w:rFonts w:hint="eastAsia" w:ascii="楷体" w:hAnsi="楷体" w:eastAsia="楷体" w:cs="楷体"/>
          <w:b/>
          <w:bCs/>
          <w:color w:val="000000" w:themeColor="text1"/>
          <w:sz w:val="26"/>
          <w:szCs w:val="26"/>
          <w:highlight w:val="none"/>
          <w:lang w:val="en-US" w:eastAsia="zh-CN"/>
          <w14:textFill>
            <w14:solidFill>
              <w14:schemeClr w14:val="tx1"/>
            </w14:solidFill>
          </w14:textFill>
        </w:rPr>
        <w:t xml:space="preserve"> </w:t>
      </w: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lang w:val="en-US" w:eastAsia="zh-CN"/>
          <w14:textFill>
            <w14:solidFill>
              <w14:schemeClr w14:val="tx1"/>
            </w14:solidFill>
          </w14:textFill>
        </w:rPr>
        <w:suppressLineNumbers w:val="0"/>
      </w:pP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采购需求偏离表</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  /  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2249"/>
        <w:gridCol w:w="1859"/>
        <w:gridCol w:w="1544"/>
        <w:gridCol w:w="1245"/>
        <w:gridCol w:w="896"/>
      </w:tblGrid>
      <w:tr>
        <w:trPr/>
        <w:tc>
          <w:tcPr>
            <w:tcW w:w="820" w:type="dxa"/>
            <w:vAlign w:val="center"/>
            <w:textDirection w:val="lrTb"/>
            <w:noWrap w:val="false"/>
          </w:tcPr>
          <w:p>
            <w:pPr>
              <w:pStyle w:val="935"/>
              <w:ind w:left="0" w:firstLine="0"/>
              <w:jc w:val="center"/>
              <w:keepLines w:val="0"/>
              <w:keepNext w:val="0"/>
              <w:pageBreakBefore w:val="0"/>
              <w:spacing w:line="308" w:lineRule="auto"/>
              <w:rPr>
                <w:rFonts w:hint="eastAsia" w:ascii="宋体" w:hAnsi="宋体" w:eastAsia="宋体" w:cs="宋体"/>
                <w:color w:val="000000" w:themeColor="text1"/>
                <w:sz w:val="23"/>
                <w:szCs w:val="23"/>
                <w:highlight w:val="none"/>
                <w:lang w:val="en-US" w:eastAsia="zh-CN"/>
                <w14:textFill>
                  <w14:solidFill>
                    <w14:schemeClr w14:val="tx1"/>
                  </w14:solidFill>
                </w14:textFill>
              </w:rPr>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序号</w:t>
            </w:r>
            <w:r/>
          </w:p>
        </w:tc>
        <w:tc>
          <w:tcPr>
            <w:tcW w:w="2250"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单一来源采购文件条目号</w:t>
            </w:r>
            <w:r/>
          </w:p>
        </w:tc>
        <w:tc>
          <w:tcPr>
            <w:tcW w:w="1860"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单一来源采购文件要求</w:t>
            </w:r>
            <w:r/>
          </w:p>
        </w:tc>
        <w:tc>
          <w:tcPr>
            <w:tcW w:w="1545"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响应内容</w:t>
            </w:r>
            <w:r/>
          </w:p>
        </w:tc>
        <w:tc>
          <w:tcPr>
            <w:tcW w:w="1245"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偏离情况</w:t>
            </w:r>
            <w:r/>
          </w:p>
        </w:tc>
        <w:tc>
          <w:tcPr>
            <w:tcW w:w="896" w:type="dxa"/>
            <w:vAlign w:val="center"/>
            <w:textDirection w:val="lrTb"/>
            <w:noWrap w:val="false"/>
          </w:tcPr>
          <w:p>
            <w:pPr>
              <w:jc w:val="center"/>
              <w:keepLines w:val="0"/>
              <w:keepNext w:val="0"/>
              <w:pageBreakBefore w:val="0"/>
              <w:spacing w:line="308" w:lineRule="auto"/>
              <w:widowControl/>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说明</w:t>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r>
        <w:trPr/>
        <w:tc>
          <w:tcPr>
            <w:tcW w:w="82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225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860"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5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1245"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c>
          <w:tcPr>
            <w:tcW w:w="896" w:type="dxa"/>
            <w:textDirection w:val="lrTb"/>
            <w:noWrap w:val="false"/>
          </w:tcPr>
          <w:p>
            <w:pPr>
              <w:pStyle w:val="935"/>
              <w:keepLines w:val="0"/>
              <w:keepNext w:val="0"/>
              <w:pageBreakBefore w:val="0"/>
              <w:spacing w:line="308" w:lineRule="auto"/>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3"/>
                <w:szCs w:val="23"/>
                <w:highlight w:val="none"/>
                <w:vertAlign w:val="baseline"/>
                <w:lang w:val="en-US" w:eastAsia="zh-CN"/>
                <w14:textFill>
                  <w14:solidFill>
                    <w14:schemeClr w14:val="tx1"/>
                  </w14:solidFill>
                </w14:textFill>
              </w:rPr>
            </w:r>
            <w:r/>
          </w:p>
        </w:tc>
      </w:tr>
    </w:tbl>
    <w:p>
      <w:pPr>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注：1. 对单一来源采购文件中的所有商务、技术要求进行偏离说明，除本表所列明的所有偏离外，均视作供应商已对之理解和响应。此表中若无任何文字说明，内容为空白的，响应无效。 </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2.“偏离情况”列应据实填写“无偏离”“正偏离” 或“负偏离”。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供应商名称（盖章）：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pStyle w:val="919"/>
        <w:rPr>
          <w:rFonts w:hint="eastAsia"/>
          <w:color w:val="000000" w:themeColor="text1"/>
          <w:highlight w:val="none"/>
          <w:lang w:val="en-US" w:eastAsia="zh-CN"/>
          <w14:textFill>
            <w14:solidFill>
              <w14:schemeClr w14:val="tx1"/>
            </w14:solidFill>
          </w14:textFill>
        </w:rPr>
        <w:outlineLvl w:val="9"/>
      </w:pPr>
      <w:r>
        <w:rPr>
          <w:rFonts w:hint="eastAsia"/>
          <w:color w:val="000000" w:themeColor="text1"/>
          <w:highlight w:val="none"/>
          <w:lang w:val="en-US" w:eastAsia="zh-CN"/>
          <w14:textFill>
            <w14:solidFill>
              <w14:schemeClr w14:val="tx1"/>
            </w14:solidFill>
          </w14:textFill>
        </w:rPr>
      </w:r>
      <w:r/>
    </w:p>
    <w:p>
      <w:r/>
      <w:r/>
    </w:p>
    <w:sectPr>
      <w:headerReference w:type="default" r:id="rId10"/>
      <w:footerReference w:type="default" r:id="rId12"/>
      <w:footnotePr/>
      <w:endnotePr/>
      <w:type w:val="nextPage"/>
      <w:pgSz w:w="11906" w:h="16838" w:orient="portrait"/>
      <w:pgMar w:top="1440" w:right="1706" w:bottom="1440" w:left="180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9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92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v:textbox inset="0,0,0,0">
                <w:txbxContent>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17"/>
    <w:link w:val="914"/>
    <w:uiPriority w:val="9"/>
    <w:rPr>
      <w:rFonts w:ascii="Arial" w:hAnsi="Arial" w:eastAsia="Arial" w:cs="Arial"/>
      <w:sz w:val="40"/>
      <w:szCs w:val="40"/>
    </w:rPr>
  </w:style>
  <w:style w:type="character" w:styleId="748">
    <w:name w:val="Heading 2 Char"/>
    <w:basedOn w:val="917"/>
    <w:link w:val="915"/>
    <w:uiPriority w:val="9"/>
    <w:rPr>
      <w:rFonts w:ascii="Arial" w:hAnsi="Arial" w:eastAsia="Arial" w:cs="Arial"/>
      <w:sz w:val="34"/>
    </w:rPr>
  </w:style>
  <w:style w:type="character" w:styleId="749">
    <w:name w:val="Heading 3 Char"/>
    <w:basedOn w:val="917"/>
    <w:link w:val="959"/>
    <w:uiPriority w:val="9"/>
    <w:rPr>
      <w:rFonts w:ascii="Arial" w:hAnsi="Arial" w:eastAsia="Arial" w:cs="Arial"/>
      <w:sz w:val="30"/>
      <w:szCs w:val="30"/>
    </w:rPr>
  </w:style>
  <w:style w:type="character" w:styleId="750">
    <w:name w:val="Heading 4 Char"/>
    <w:basedOn w:val="917"/>
    <w:link w:val="961"/>
    <w:uiPriority w:val="9"/>
    <w:rPr>
      <w:rFonts w:ascii="Arial" w:hAnsi="Arial" w:eastAsia="Arial" w:cs="Arial"/>
      <w:b/>
      <w:bCs/>
      <w:sz w:val="26"/>
      <w:szCs w:val="26"/>
    </w:rPr>
  </w:style>
  <w:style w:type="character" w:styleId="751">
    <w:name w:val="Heading 5 Char"/>
    <w:basedOn w:val="917"/>
    <w:link w:val="916"/>
    <w:uiPriority w:val="9"/>
    <w:rPr>
      <w:rFonts w:ascii="Arial" w:hAnsi="Arial" w:eastAsia="Arial" w:cs="Arial"/>
      <w:b/>
      <w:bCs/>
      <w:sz w:val="24"/>
      <w:szCs w:val="24"/>
    </w:rPr>
  </w:style>
  <w:style w:type="paragraph" w:styleId="752">
    <w:name w:val="Heading 6"/>
    <w:basedOn w:val="913"/>
    <w:next w:val="913"/>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7"/>
    <w:link w:val="752"/>
    <w:uiPriority w:val="9"/>
    <w:rPr>
      <w:rFonts w:ascii="Arial" w:hAnsi="Arial" w:eastAsia="Arial" w:cs="Arial"/>
      <w:b/>
      <w:bCs/>
      <w:sz w:val="22"/>
      <w:szCs w:val="22"/>
    </w:rPr>
  </w:style>
  <w:style w:type="paragraph" w:styleId="754">
    <w:name w:val="Heading 7"/>
    <w:basedOn w:val="913"/>
    <w:next w:val="913"/>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7"/>
    <w:link w:val="754"/>
    <w:uiPriority w:val="9"/>
    <w:rPr>
      <w:rFonts w:ascii="Arial" w:hAnsi="Arial" w:eastAsia="Arial" w:cs="Arial"/>
      <w:b/>
      <w:bCs/>
      <w:i/>
      <w:iCs/>
      <w:sz w:val="22"/>
      <w:szCs w:val="22"/>
    </w:rPr>
  </w:style>
  <w:style w:type="paragraph" w:styleId="756">
    <w:name w:val="Heading 8"/>
    <w:basedOn w:val="913"/>
    <w:next w:val="913"/>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7"/>
    <w:link w:val="756"/>
    <w:uiPriority w:val="9"/>
    <w:rPr>
      <w:rFonts w:ascii="Arial" w:hAnsi="Arial" w:eastAsia="Arial" w:cs="Arial"/>
      <w:i/>
      <w:iCs/>
      <w:sz w:val="22"/>
      <w:szCs w:val="22"/>
    </w:rPr>
  </w:style>
  <w:style w:type="paragraph" w:styleId="758">
    <w:name w:val="Heading 9"/>
    <w:basedOn w:val="913"/>
    <w:next w:val="913"/>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7"/>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3"/>
    <w:next w:val="913"/>
    <w:link w:val="762"/>
    <w:uiPriority w:val="10"/>
    <w:qFormat/>
    <w:pPr>
      <w:contextualSpacing/>
      <w:spacing w:before="300" w:after="200"/>
    </w:pPr>
    <w:rPr>
      <w:sz w:val="48"/>
      <w:szCs w:val="48"/>
    </w:rPr>
  </w:style>
  <w:style w:type="character" w:styleId="762">
    <w:name w:val="Title Char"/>
    <w:basedOn w:val="917"/>
    <w:link w:val="761"/>
    <w:uiPriority w:val="10"/>
    <w:rPr>
      <w:sz w:val="48"/>
      <w:szCs w:val="48"/>
    </w:rPr>
  </w:style>
  <w:style w:type="paragraph" w:styleId="763">
    <w:name w:val="Subtitle"/>
    <w:basedOn w:val="913"/>
    <w:next w:val="913"/>
    <w:link w:val="764"/>
    <w:uiPriority w:val="11"/>
    <w:qFormat/>
    <w:pPr>
      <w:spacing w:before="200" w:after="200"/>
    </w:pPr>
    <w:rPr>
      <w:sz w:val="24"/>
      <w:szCs w:val="24"/>
    </w:rPr>
  </w:style>
  <w:style w:type="character" w:styleId="764">
    <w:name w:val="Subtitle Char"/>
    <w:basedOn w:val="917"/>
    <w:link w:val="763"/>
    <w:uiPriority w:val="11"/>
    <w:rPr>
      <w:sz w:val="24"/>
      <w:szCs w:val="24"/>
    </w:rPr>
  </w:style>
  <w:style w:type="paragraph" w:styleId="765">
    <w:name w:val="Quote"/>
    <w:basedOn w:val="913"/>
    <w:next w:val="913"/>
    <w:link w:val="766"/>
    <w:uiPriority w:val="29"/>
    <w:qFormat/>
    <w:pPr>
      <w:ind w:left="720" w:right="720"/>
    </w:pPr>
    <w:rPr>
      <w:i/>
    </w:rPr>
  </w:style>
  <w:style w:type="character" w:styleId="766">
    <w:name w:val="Quote Char"/>
    <w:link w:val="765"/>
    <w:uiPriority w:val="29"/>
    <w:rPr>
      <w:i/>
    </w:rPr>
  </w:style>
  <w:style w:type="paragraph" w:styleId="767">
    <w:name w:val="Intense Quote"/>
    <w:basedOn w:val="913"/>
    <w:next w:val="913"/>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7"/>
    <w:link w:val="930"/>
    <w:uiPriority w:val="99"/>
  </w:style>
  <w:style w:type="character" w:styleId="770">
    <w:name w:val="Footer Char"/>
    <w:basedOn w:val="917"/>
    <w:link w:val="928"/>
    <w:uiPriority w:val="99"/>
  </w:style>
  <w:style w:type="paragraph" w:styleId="771">
    <w:name w:val="Caption"/>
    <w:basedOn w:val="913"/>
    <w:next w:val="913"/>
    <w:uiPriority w:val="35"/>
    <w:semiHidden/>
    <w:unhideWhenUsed/>
    <w:qFormat/>
    <w:pPr>
      <w:spacing w:line="276" w:lineRule="auto"/>
    </w:pPr>
    <w:rPr>
      <w:b/>
      <w:bCs/>
      <w:color w:val="4f81bd" w:themeColor="accent1"/>
      <w:sz w:val="18"/>
      <w:szCs w:val="18"/>
    </w:rPr>
  </w:style>
  <w:style w:type="character" w:styleId="772">
    <w:name w:val="Caption Char"/>
    <w:basedOn w:val="771"/>
    <w:link w:val="928"/>
    <w:uiPriority w:val="99"/>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3"/>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7"/>
    <w:uiPriority w:val="99"/>
    <w:unhideWhenUsed/>
    <w:rPr>
      <w:vertAlign w:val="superscript"/>
    </w:rPr>
  </w:style>
  <w:style w:type="paragraph" w:styleId="901">
    <w:name w:val="endnote text"/>
    <w:basedOn w:val="913"/>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7"/>
    <w:uiPriority w:val="99"/>
    <w:semiHidden/>
    <w:unhideWhenUsed/>
    <w:rPr>
      <w:vertAlign w:val="superscript"/>
    </w:r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4">
    <w:name w:val="Heading 1"/>
    <w:basedOn w:val="913"/>
    <w:next w:val="913"/>
    <w:uiPriority w:val="0"/>
    <w:qFormat/>
    <w:pPr>
      <w:keepNext/>
      <w:outlineLvl w:val="0"/>
    </w:pPr>
    <w:rPr>
      <w:rFonts w:ascii="楷体_GB2312" w:eastAsia="楷体_GB2312"/>
      <w:sz w:val="28"/>
      <w:szCs w:val="20"/>
    </w:rPr>
  </w:style>
  <w:style w:type="paragraph" w:styleId="915">
    <w:name w:val="Heading 2"/>
    <w:basedOn w:val="913"/>
    <w:next w:val="913"/>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16">
    <w:name w:val="Heading 5"/>
    <w:basedOn w:val="913"/>
    <w:next w:val="913"/>
    <w:uiPriority w:val="0"/>
    <w:unhideWhenUsed/>
    <w:qFormat/>
    <w:pPr>
      <w:keepLines/>
      <w:keepNext/>
      <w:spacing w:before="280" w:beforeAutospacing="0" w:after="290" w:afterAutospacing="0" w:line="372" w:lineRule="auto"/>
      <w:outlineLvl w:val="4"/>
    </w:pPr>
    <w:rPr>
      <w:b/>
      <w:sz w:val="28"/>
    </w:rPr>
  </w:style>
  <w:style w:type="character" w:styleId="917" w:default="1">
    <w:name w:val="Default Paragraph Font"/>
    <w:uiPriority w:val="0"/>
    <w:semiHidden/>
    <w:qFormat/>
  </w:style>
  <w:style w:type="table" w:styleId="918" w:default="1">
    <w:name w:val="Normal Table"/>
    <w:uiPriority w:val="0"/>
    <w:semiHidden/>
    <w:qFormat/>
    <w:tblPr>
      <w:tblCellMar>
        <w:left w:w="108" w:type="dxa"/>
        <w:top w:w="0" w:type="dxa"/>
        <w:right w:w="108" w:type="dxa"/>
        <w:bottom w:w="0" w:type="dxa"/>
      </w:tblCellMar>
    </w:tblPr>
  </w:style>
  <w:style w:type="paragraph" w:styleId="919" w:customStyle="1">
    <w:name w:val="Heading 3_0"/>
    <w:basedOn w:val="913"/>
    <w:next w:val="920"/>
    <w:uiPriority w:val="0"/>
    <w:unhideWhenUsed/>
    <w:qFormat/>
    <w:pPr>
      <w:keepLines/>
      <w:keepNext/>
      <w:spacing w:before="260" w:beforeAutospacing="0" w:after="260" w:afterAutospacing="0" w:line="413" w:lineRule="auto"/>
      <w:outlineLvl w:val="2"/>
    </w:pPr>
    <w:rPr>
      <w:b/>
      <w:sz w:val="32"/>
    </w:rPr>
  </w:style>
  <w:style w:type="paragraph" w:styleId="920" w:customStyle="1">
    <w:name w:val="Heading 4_0"/>
    <w:basedOn w:val="913"/>
    <w:next w:val="913"/>
    <w:uiPriority w:val="0"/>
    <w:qFormat/>
    <w:pPr>
      <w:keepLines/>
      <w:keepNext/>
      <w:spacing w:before="280" w:after="290" w:line="376" w:lineRule="auto"/>
      <w:outlineLvl w:val="3"/>
    </w:pPr>
    <w:rPr>
      <w:rFonts w:ascii="Arial" w:hAnsi="Arial" w:eastAsia="黑体"/>
      <w:b/>
      <w:bCs/>
      <w:sz w:val="28"/>
      <w:szCs w:val="28"/>
    </w:rPr>
  </w:style>
  <w:style w:type="paragraph" w:styleId="921">
    <w:name w:val="Normal Indent"/>
    <w:basedOn w:val="913"/>
    <w:next w:val="913"/>
    <w:uiPriority w:val="0"/>
    <w:qFormat/>
    <w:pPr>
      <w:ind w:firstLine="420"/>
      <w:jc w:val="both"/>
      <w:spacing w:after="0" w:line="360" w:lineRule="atLeast"/>
      <w:widowControl w:val="off"/>
    </w:pPr>
    <w:rPr>
      <w:rFonts w:ascii="Times New Roman" w:hAnsi="Times New Roman" w:cs="Times New Roman"/>
      <w:color w:val="auto"/>
      <w:szCs w:val="20"/>
    </w:rPr>
  </w:style>
  <w:style w:type="paragraph" w:styleId="922">
    <w:name w:val="Document Map"/>
    <w:basedOn w:val="913"/>
    <w:next w:val="921"/>
    <w:uiPriority w:val="0"/>
    <w:semiHidden/>
    <w:qFormat/>
    <w:pPr>
      <w:shd w:val="clear" w:color="auto" w:fill="000080"/>
    </w:pPr>
    <w:rPr>
      <w:rFonts w:ascii="Times New Roman" w:hAnsi="Times New Roman" w:eastAsia="宋体" w:cs="Times New Roman"/>
      <w:szCs w:val="21"/>
    </w:rPr>
  </w:style>
  <w:style w:type="paragraph" w:styleId="923">
    <w:name w:val="Body Text"/>
    <w:basedOn w:val="913"/>
    <w:uiPriority w:val="0"/>
    <w:qFormat/>
    <w:rPr>
      <w:rFonts w:ascii="楷体_GB2312" w:hAnsi="Arial" w:eastAsia="楷体_GB2312"/>
      <w:sz w:val="28"/>
      <w:szCs w:val="20"/>
      <w:lang w:val="zh-CN" w:eastAsia="zh-CN"/>
    </w:rPr>
  </w:style>
  <w:style w:type="paragraph" w:styleId="924">
    <w:name w:val="Body Text Indent"/>
    <w:basedOn w:val="913"/>
    <w:uiPriority w:val="99"/>
    <w:qFormat/>
    <w:pPr>
      <w:ind w:firstLine="645"/>
    </w:pPr>
    <w:rPr>
      <w:rFonts w:ascii="楷体_GB2312" w:eastAsia="楷体_GB2312"/>
      <w:sz w:val="32"/>
      <w:szCs w:val="20"/>
    </w:rPr>
  </w:style>
  <w:style w:type="paragraph" w:styleId="925">
    <w:name w:val="Plain Text"/>
    <w:basedOn w:val="913"/>
    <w:uiPriority w:val="99"/>
    <w:qFormat/>
    <w:rPr>
      <w:rFonts w:ascii="宋体" w:hAnsi="Courier New"/>
      <w:sz w:val="20"/>
      <w:szCs w:val="20"/>
      <w:lang w:val="zh-CN"/>
    </w:rPr>
  </w:style>
  <w:style w:type="paragraph" w:styleId="926">
    <w:name w:val="Date"/>
    <w:basedOn w:val="913"/>
    <w:next w:val="913"/>
    <w:uiPriority w:val="0"/>
    <w:qFormat/>
    <w:rPr>
      <w:sz w:val="24"/>
      <w:szCs w:val="20"/>
    </w:rPr>
  </w:style>
  <w:style w:type="paragraph" w:styleId="927">
    <w:name w:val="Body Text Indent 2"/>
    <w:basedOn w:val="913"/>
    <w:uiPriority w:val="0"/>
    <w:qFormat/>
    <w:pPr>
      <w:ind w:firstLine="560"/>
    </w:pPr>
    <w:rPr>
      <w:rFonts w:ascii="宋体" w:hAnsi="宋体"/>
      <w:sz w:val="28"/>
    </w:rPr>
  </w:style>
  <w:style w:type="paragraph" w:styleId="928">
    <w:name w:val="Footer"/>
    <w:basedOn w:val="913"/>
    <w:uiPriority w:val="0"/>
    <w:qFormat/>
    <w:pPr>
      <w:jc w:val="left"/>
      <w:tabs>
        <w:tab w:val="center" w:pos="4153" w:leader="none"/>
        <w:tab w:val="right" w:pos="8306" w:leader="none"/>
      </w:tabs>
    </w:pPr>
    <w:rPr>
      <w:sz w:val="18"/>
    </w:rPr>
  </w:style>
  <w:style w:type="paragraph" w:styleId="929">
    <w:name w:val="envelope return"/>
    <w:basedOn w:val="913"/>
    <w:uiPriority w:val="99"/>
    <w:unhideWhenUsed/>
    <w:qFormat/>
    <w:rPr>
      <w:rFonts w:ascii="Arial" w:hAnsi="Arial"/>
    </w:rPr>
  </w:style>
  <w:style w:type="paragraph" w:styleId="930">
    <w:name w:val="Header"/>
    <w:basedOn w:val="9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31">
    <w:name w:val="toc 1"/>
    <w:basedOn w:val="913"/>
    <w:next w:val="913"/>
    <w:uiPriority w:val="0"/>
    <w:qFormat/>
  </w:style>
  <w:style w:type="paragraph" w:styleId="932">
    <w:name w:val="toc 2"/>
    <w:basedOn w:val="913"/>
    <w:next w:val="913"/>
    <w:uiPriority w:val="0"/>
    <w:qFormat/>
    <w:pPr>
      <w:ind w:left="420"/>
    </w:pPr>
  </w:style>
  <w:style w:type="paragraph" w:styleId="933">
    <w:name w:val="HTML Preformatted"/>
    <w:basedOn w:val="913"/>
    <w:uiPriority w:val="0"/>
    <w:unhideWhenUsed/>
    <w:qFormat/>
    <w:rPr>
      <w:rFonts w:ascii="Courier New" w:hAnsi="Courier New" w:cs="Courier New"/>
      <w:sz w:val="20"/>
      <w:szCs w:val="20"/>
    </w:rPr>
  </w:style>
  <w:style w:type="paragraph" w:styleId="934">
    <w:name w:val="Normal (Web)"/>
    <w:basedOn w:val="913"/>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rPr>
  </w:style>
  <w:style w:type="paragraph" w:styleId="935">
    <w:name w:val="Body Text First Indent 2"/>
    <w:basedOn w:val="924"/>
    <w:uiPriority w:val="0"/>
    <w:unhideWhenUsed/>
    <w:qFormat/>
    <w:pPr>
      <w:ind w:left="420" w:firstLine="420"/>
      <w:spacing w:after="120"/>
    </w:pPr>
    <w:rPr>
      <w:rFonts w:ascii="Times New Roman" w:eastAsia="宋体"/>
      <w:sz w:val="21"/>
      <w:szCs w:val="24"/>
    </w:rPr>
  </w:style>
  <w:style w:type="table" w:styleId="936">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basedOn w:val="917"/>
    <w:uiPriority w:val="0"/>
    <w:qFormat/>
  </w:style>
  <w:style w:type="character" w:styleId="938">
    <w:name w:val="page number"/>
    <w:basedOn w:val="917"/>
    <w:uiPriority w:val="0"/>
    <w:qFormat/>
  </w:style>
  <w:style w:type="character" w:styleId="939">
    <w:name w:val="FollowedHyperlink"/>
    <w:basedOn w:val="917"/>
    <w:uiPriority w:val="0"/>
    <w:qFormat/>
    <w:rPr>
      <w:rFonts w:hint="eastAsia" w:ascii="微软雅黑" w:hAnsi="微软雅黑" w:eastAsia="微软雅黑" w:cs="微软雅黑"/>
      <w:color w:val="333333"/>
      <w:u w:val="none"/>
    </w:rPr>
  </w:style>
  <w:style w:type="character" w:styleId="940">
    <w:name w:val="Emphasis"/>
    <w:basedOn w:val="917"/>
    <w:uiPriority w:val="0"/>
    <w:qFormat/>
  </w:style>
  <w:style w:type="character" w:styleId="941">
    <w:name w:val="HTML Definition"/>
    <w:basedOn w:val="917"/>
    <w:uiPriority w:val="0"/>
    <w:qFormat/>
  </w:style>
  <w:style w:type="character" w:styleId="942">
    <w:name w:val="HTML Typewriter"/>
    <w:basedOn w:val="917"/>
    <w:uiPriority w:val="0"/>
    <w:qFormat/>
    <w:rPr>
      <w:rFonts w:hint="default" w:ascii="monospace" w:hAnsi="monospace" w:eastAsia="monospace" w:cs="monospace"/>
      <w:sz w:val="20"/>
    </w:rPr>
  </w:style>
  <w:style w:type="character" w:styleId="943">
    <w:name w:val="HTML Acronym"/>
    <w:basedOn w:val="917"/>
    <w:uiPriority w:val="0"/>
    <w:qFormat/>
  </w:style>
  <w:style w:type="character" w:styleId="944">
    <w:name w:val="HTML Variable"/>
    <w:basedOn w:val="917"/>
    <w:uiPriority w:val="0"/>
    <w:qFormat/>
  </w:style>
  <w:style w:type="character" w:styleId="945">
    <w:name w:val="Hyperlink"/>
    <w:uiPriority w:val="0"/>
    <w:qFormat/>
    <w:rPr>
      <w:color w:val="0000ff"/>
      <w:u w:val="single"/>
    </w:rPr>
  </w:style>
  <w:style w:type="character" w:styleId="946">
    <w:name w:val="HTML Code"/>
    <w:basedOn w:val="917"/>
    <w:uiPriority w:val="0"/>
    <w:qFormat/>
    <w:rPr>
      <w:rFonts w:hint="default" w:ascii="monospace" w:hAnsi="monospace" w:eastAsia="monospace" w:cs="monospace"/>
      <w:sz w:val="20"/>
    </w:rPr>
  </w:style>
  <w:style w:type="character" w:styleId="947">
    <w:name w:val="HTML Cite"/>
    <w:basedOn w:val="917"/>
    <w:uiPriority w:val="0"/>
    <w:qFormat/>
  </w:style>
  <w:style w:type="character" w:styleId="948">
    <w:name w:val="HTML Keyboard"/>
    <w:basedOn w:val="917"/>
    <w:uiPriority w:val="0"/>
    <w:qFormat/>
    <w:rPr>
      <w:rFonts w:ascii="monospace" w:hAnsi="monospace" w:eastAsia="monospace" w:cs="monospace"/>
      <w:sz w:val="20"/>
    </w:rPr>
  </w:style>
  <w:style w:type="character" w:styleId="949">
    <w:name w:val="HTML Sample"/>
    <w:basedOn w:val="917"/>
    <w:uiPriority w:val="0"/>
    <w:qFormat/>
    <w:rPr>
      <w:rFonts w:hint="default" w:ascii="monospace" w:hAnsi="monospace" w:eastAsia="monospace" w:cs="monospace"/>
    </w:rPr>
  </w:style>
  <w:style w:type="paragraph" w:styleId="950" w:customStyle="1">
    <w:name w:val="DAS正文"/>
    <w:basedOn w:val="913"/>
    <w:uiPriority w:val="0"/>
    <w:qFormat/>
    <w:pPr>
      <w:ind w:right="181" w:firstLine="480"/>
      <w:spacing w:line="360" w:lineRule="auto"/>
    </w:pPr>
    <w:rPr>
      <w:rFonts w:ascii="Verdana" w:hAnsi="Verdana"/>
    </w:rPr>
  </w:style>
  <w:style w:type="paragraph" w:styleId="951" w:customStyle="1">
    <w:name w:val="列出段落1"/>
    <w:basedOn w:val="913"/>
    <w:uiPriority w:val="0"/>
    <w:qFormat/>
    <w:pPr>
      <w:contextualSpacing/>
      <w:ind w:left="720"/>
      <w:jc w:val="left"/>
      <w:widowControl/>
    </w:pPr>
    <w:rPr>
      <w:rFonts w:ascii="Calibri" w:hAnsi="Calibri"/>
      <w:sz w:val="24"/>
      <w:lang w:eastAsia="en-US" w:bidi="en-US"/>
    </w:rPr>
  </w:style>
  <w:style w:type="paragraph" w:styleId="952" w:customStyle="1">
    <w:name w:val="注释标题11"/>
    <w:basedOn w:val="913"/>
    <w:next w:val="913"/>
    <w:uiPriority w:val="99"/>
    <w:unhideWhenUsed/>
    <w:qFormat/>
    <w:pPr>
      <w:jc w:val="center"/>
    </w:pPr>
  </w:style>
  <w:style w:type="paragraph" w:styleId="953" w:customStyle="1">
    <w:name w:val="普通正文"/>
    <w:basedOn w:val="913"/>
    <w:uiPriority w:val="0"/>
    <w:qFormat/>
    <w:pPr>
      <w:ind w:firstLine="480"/>
      <w:jc w:val="left"/>
      <w:spacing w:before="120" w:after="120" w:line="360" w:lineRule="auto"/>
    </w:pPr>
    <w:rPr>
      <w:rFonts w:ascii="Arial" w:hAnsi="Arial"/>
      <w:sz w:val="24"/>
    </w:rPr>
  </w:style>
  <w:style w:type="paragraph" w:styleId="954">
    <w:name w:val="List Paragraph"/>
    <w:basedOn w:val="913"/>
    <w:uiPriority w:val="99"/>
    <w:qFormat/>
    <w:pPr>
      <w:ind w:firstLine="420"/>
    </w:pPr>
    <w:rPr>
      <w:rFonts w:ascii="Calibri" w:hAnsi="Calibri"/>
      <w:szCs w:val="22"/>
    </w:rPr>
  </w:style>
  <w:style w:type="paragraph" w:styleId="955" w:customStyle="1">
    <w:name w:val="BodyTextIndent"/>
    <w:basedOn w:val="913"/>
    <w:next w:val="954"/>
    <w:uiPriority w:val="0"/>
    <w:qFormat/>
    <w:pPr>
      <w:ind w:firstLine="645"/>
    </w:pPr>
    <w:rPr>
      <w:rFonts w:ascii="楷体_GB2312" w:eastAsia="楷体_GB2312"/>
      <w:sz w:val="32"/>
      <w:szCs w:val="20"/>
    </w:rPr>
  </w:style>
  <w:style w:type="paragraph" w:styleId="956" w:customStyle="1">
    <w:name w:val="EnvelopeReturn"/>
    <w:basedOn w:val="913"/>
    <w:uiPriority w:val="0"/>
    <w:qFormat/>
    <w:pPr>
      <w:ind w:firstLine="200"/>
      <w:spacing w:line="360" w:lineRule="auto"/>
    </w:pPr>
    <w:rPr>
      <w:rFonts w:ascii="Arial" w:hAnsi="Arial"/>
      <w:sz w:val="24"/>
    </w:rPr>
  </w:style>
  <w:style w:type="paragraph" w:styleId="95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正文"/>
    <w:basedOn w:val="913"/>
    <w:uiPriority w:val="0"/>
    <w:qFormat/>
    <w:pPr>
      <w:spacing w:line="360" w:lineRule="auto"/>
    </w:pPr>
    <w:rPr>
      <w:sz w:val="24"/>
    </w:rPr>
  </w:style>
  <w:style w:type="paragraph" w:styleId="959" w:customStyle="1">
    <w:name w:val="Heading 3"/>
    <w:basedOn w:val="960"/>
    <w:next w:val="958"/>
    <w:uiPriority w:val="0"/>
    <w:qFormat/>
    <w:pPr>
      <w:jc w:val="both"/>
      <w:keepLines/>
      <w:keepNext/>
      <w:spacing w:before="260" w:after="260" w:line="413" w:lineRule="auto"/>
      <w:widowControl w:val="off"/>
      <w:outlineLvl w:val="2"/>
    </w:pPr>
    <w:rPr>
      <w:b/>
      <w:sz w:val="32"/>
    </w:rPr>
  </w:style>
  <w:style w:type="paragraph" w:styleId="960" w:customStyle="1">
    <w:name w:val="正文11"/>
    <w:uiPriority w:val="0"/>
    <w:qFormat/>
    <w:rPr>
      <w:rFonts w:ascii="Times New Roman" w:hAnsi="Times New Roman" w:eastAsia="宋体" w:cs="Times New Roman"/>
      <w:lang w:val="en-US" w:eastAsia="zh-CN" w:bidi="ar-SA"/>
    </w:rPr>
  </w:style>
  <w:style w:type="paragraph" w:styleId="961" w:customStyle="1">
    <w:name w:val="Heading 4"/>
    <w:basedOn w:val="960"/>
    <w:next w:val="958"/>
    <w:uiPriority w:val="0"/>
    <w:qFormat/>
    <w:pPr>
      <w:jc w:val="both"/>
      <w:keepLines/>
      <w:keepNext/>
      <w:spacing w:before="280" w:after="290" w:line="372" w:lineRule="auto"/>
      <w:widowControl w:val="off"/>
      <w:outlineLvl w:val="3"/>
    </w:pPr>
    <w:rPr>
      <w:rFonts w:ascii="Arial" w:hAnsi="Arial" w:eastAsia="黑体"/>
      <w:b/>
      <w:sz w:val="28"/>
    </w:rPr>
  </w:style>
  <w:style w:type="paragraph" w:styleId="962" w:customStyle="1">
    <w:name w:val="Blockquote"/>
    <w:basedOn w:val="913"/>
    <w:uiPriority w:val="0"/>
    <w:qFormat/>
    <w:pPr>
      <w:ind w:left="360" w:right="360"/>
      <w:spacing w:before="100" w:after="100"/>
    </w:pPr>
    <w:rPr>
      <w:sz w:val="24"/>
      <w:szCs w:val="20"/>
    </w:rPr>
  </w:style>
  <w:style w:type="paragraph" w:styleId="96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65" w:customStyle="1">
    <w:name w:val="__正文"/>
    <w:basedOn w:val="958"/>
    <w:next w:val="956"/>
    <w:uiPriority w:val="0"/>
    <w:qFormat/>
    <w:rPr>
      <w:sz w:val="21"/>
    </w:rPr>
  </w:style>
  <w:style w:type="character" w:styleId="966" w:customStyle="1">
    <w:name w:val="first-child"/>
    <w:basedOn w:val="917"/>
    <w:uiPriority w:val="0"/>
    <w:qFormat/>
  </w:style>
  <w:style w:type="character" w:styleId="967" w:customStyle="1">
    <w:name w:val="hover"/>
    <w:basedOn w:val="917"/>
    <w:uiPriority w:val="0"/>
    <w:qFormat/>
    <w:rPr>
      <w:color w:val="5fb878"/>
    </w:rPr>
  </w:style>
  <w:style w:type="character" w:styleId="968" w:customStyle="1">
    <w:name w:val="hover1"/>
    <w:basedOn w:val="917"/>
    <w:uiPriority w:val="0"/>
    <w:qFormat/>
    <w:rPr>
      <w:color w:val="5fb878"/>
    </w:rPr>
  </w:style>
  <w:style w:type="character" w:styleId="969" w:customStyle="1">
    <w:name w:val="hover2"/>
    <w:basedOn w:val="917"/>
    <w:uiPriority w:val="0"/>
    <w:qFormat/>
    <w:rPr>
      <w:color w:val="ffffff"/>
    </w:rPr>
  </w:style>
  <w:style w:type="character" w:styleId="970" w:customStyle="1">
    <w:name w:val="layui-this4"/>
    <w:basedOn w:val="917"/>
    <w:uiPriority w:val="0"/>
    <w:qFormat/>
    <w:rPr>
      <w:shd w:val="clear" w:color="auto" w:fill="ffffff"/>
    </w:rPr>
  </w:style>
  <w:style w:type="character" w:styleId="971" w:customStyle="1">
    <w:name w:val="layui-laypage-curr"/>
    <w:basedOn w:val="917"/>
    <w:uiPriority w:val="0"/>
    <w:qFormat/>
  </w:style>
  <w:style w:type="character" w:styleId="972" w:customStyle="1">
    <w:name w:val="hour_pm"/>
    <w:basedOn w:val="917"/>
    <w:uiPriority w:val="0"/>
    <w:qFormat/>
  </w:style>
  <w:style w:type="character" w:styleId="973" w:customStyle="1">
    <w:name w:val="hover3"/>
    <w:basedOn w:val="917"/>
    <w:uiPriority w:val="0"/>
    <w:qFormat/>
    <w:rPr>
      <w:color w:val="5fb878"/>
    </w:rPr>
  </w:style>
  <w:style w:type="character" w:styleId="974" w:customStyle="1">
    <w:name w:val="old"/>
    <w:basedOn w:val="917"/>
    <w:uiPriority w:val="0"/>
    <w:qFormat/>
    <w:rPr>
      <w:color w:val="999999"/>
    </w:rPr>
  </w:style>
  <w:style w:type="character" w:styleId="975" w:customStyle="1">
    <w:name w:val="glyphicon"/>
    <w:basedOn w:val="917"/>
    <w:uiPriority w:val="0"/>
    <w:qFormat/>
  </w:style>
  <w:style w:type="character" w:styleId="976" w:customStyle="1">
    <w:name w:val="hour_am"/>
    <w:basedOn w:val="917"/>
    <w:uiPriority w:val="0"/>
    <w:qFormat/>
  </w:style>
  <w:style w:type="character" w:styleId="977" w:customStyle="1">
    <w:name w:val="font11"/>
    <w:basedOn w:val="917"/>
    <w:uiPriority w:val="0"/>
    <w:qFormat/>
    <w:rPr>
      <w:rFonts w:hint="eastAsia" w:ascii="宋体" w:hAnsi="宋体" w:eastAsia="宋体" w:cs="宋体"/>
      <w:color w:val="000000"/>
      <w:sz w:val="22"/>
      <w:szCs w:val="22"/>
      <w:u w:val="none"/>
    </w:rPr>
  </w:style>
  <w:style w:type="character" w:styleId="978" w:customStyle="1">
    <w:name w:val="font51"/>
    <w:basedOn w:val="917"/>
    <w:uiPriority w:val="0"/>
    <w:qFormat/>
    <w:rPr>
      <w:rFonts w:hint="eastAsia" w:ascii="宋体" w:hAnsi="宋体" w:eastAsia="宋体" w:cs="宋体"/>
      <w:b/>
      <w:bCs/>
      <w:color w:val="000000"/>
      <w:sz w:val="22"/>
      <w:szCs w:val="22"/>
      <w:u w:val="none"/>
    </w:rPr>
  </w:style>
  <w:style w:type="character" w:styleId="979" w:customStyle="1">
    <w:name w:val="font41"/>
    <w:basedOn w:val="917"/>
    <w:uiPriority w:val="0"/>
    <w:qFormat/>
    <w:rPr>
      <w:rFonts w:ascii="Symbol" w:hAnsi="Symbol" w:cs="Symbol"/>
      <w:color w:val="000000"/>
      <w:sz w:val="22"/>
      <w:szCs w:val="22"/>
      <w:u w:val="none"/>
    </w:rPr>
  </w:style>
  <w:style w:type="table" w:styleId="980" w:customStyle="1">
    <w:name w:val="Table Normal"/>
    <w:uiPriority w:val="0"/>
    <w:semiHidden/>
    <w:unhideWhenUsed/>
    <w:qFormat/>
    <w:tblPr>
      <w:tblCellMar>
        <w:left w:w="0" w:type="dxa"/>
        <w:top w:w="0" w:type="dxa"/>
        <w:right w:w="0" w:type="dxa"/>
        <w:bottom w:w="0" w:type="dxa"/>
      </w:tblCellMar>
    </w:tblPr>
  </w:style>
  <w:style w:type="paragraph" w:styleId="981" w:customStyle="1">
    <w:name w:val="Table Text"/>
    <w:basedOn w:val="913"/>
    <w:uiPriority w:val="0"/>
    <w:semiHidden/>
    <w:qFormat/>
    <w:rPr>
      <w:rFonts w:ascii="Arial" w:hAnsi="Arial" w:eastAsia="Arial" w:cs="Arial"/>
      <w:sz w:val="21"/>
      <w:szCs w:val="21"/>
      <w:lang w:val="en-US" w:eastAsia="en-US" w:bidi="ar-SA"/>
    </w:rPr>
  </w:style>
  <w:style w:type="character" w:styleId="982" w:customStyle="1">
    <w:name w:val="NormalCharacter"/>
    <w:uiPriority w:val="0"/>
    <w:qFormat/>
  </w:style>
  <w:style w:type="paragraph" w:styleId="983" w:customStyle="1">
    <w:name w:val="WPSOffice手动目录 1"/>
    <w:uiPriority w:val="0"/>
    <w:qFormat/>
    <w:rPr>
      <w:rFonts w:ascii="Times New Roman" w:hAnsi="Times New Roman" w:eastAsia="宋体" w:cs="Times New Roman"/>
      <w:sz w:val="20"/>
      <w:szCs w:val="20"/>
    </w:rPr>
  </w:style>
  <w:style w:type="paragraph" w:styleId="984" w:customStyle="1">
    <w:name w:val="WPSOffice手动目录 2"/>
    <w:uiPriority w:val="0"/>
    <w:qFormat/>
    <w:rPr>
      <w:rFonts w:ascii="Times New Roman" w:hAnsi="Times New Roman" w:eastAsia="宋体" w:cs="Times New Roman"/>
      <w:sz w:val="20"/>
      <w:szCs w:val="20"/>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WPS_1681966517</cp:lastModifiedBy>
  <cp:revision>1</cp:revision>
  <dcterms:created xsi:type="dcterms:W3CDTF">2023-09-09T13:41:00Z</dcterms:created>
  <dcterms:modified xsi:type="dcterms:W3CDTF">2025-12-17T01:20:42Z</dcterms:modified>
</cp:coreProperties>
</file>

<file path=customXml/item3.xml><?xml version="1.0" encoding="utf-8"?>
<Properties xmlns:vt="http://schemas.openxmlformats.org/officeDocument/2006/docPropsVTypes" xmlns="http://schemas.openxmlformats.org/officeDocument/2006/extended-properties">
  <Template>Normal.dotm</Template>
  <TotalTime>2</TotalTime>
  <Pages>49</Pages>
  <Words>3628</Words>
  <Characters>4358</Characters>
  <Application>WPS Office_12.1.0.24034_F1E327BC-269C-435d-A152-05C5408002CA</Application>
  <DocSecurity>0</DocSecurity>
  <Lines>0</Lines>
  <Paragraphs>0</Paragraphs>
  <CharactersWithSpaces>4707</CharactersWithSpaces>
  <AppVersion>14.0000</AppVersion>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2052-12.1.0.24034</vt:lpwstr>
  </property>
  <property fmtid="{D5CDD505-2E9C-101B-9397-08002B2CF9AE}" pid="3" name="ICV">
    <vt:lpwstr>D1BE1BD30DC243AE963A640FFD05837C_13</vt:lpwstr>
  </property>
  <property fmtid="{D5CDD505-2E9C-101B-9397-08002B2CF9AE}" pid="4" name="KSOTemplateDocerSaveRecord">
    <vt:lpwstr>eyJoZGlkIjoiMDQ5NjczODhkOGQ4MzI4ZTEzYjMyZDQwNDA3YTY2OGQiLCJ1c2VySWQiOiIxNDkwMDY3MzgxIn0_x003D_</vt:lpwstr>
  </proper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2023-09-09T13:41:00Z</dcterms:created>
  <dc:creator>土豆</dc:creator>
  <cp:lastModifiedBy>WPS_1681966517</cp:lastModifiedBy>
  <dcterms:modified xsi:type="dcterms:W3CDTF">2025-12-16T03:30:55Z</dcterms:modified>
  <cp:revision>1</cp:revision>
</cp:coreProperties>
</file>

<file path=customXml/item6.xml><?xml version="1.0" encoding="utf-8"?>
<Properties xmlns="http://schemas.openxmlformats.org/officeDocument/2006/extended-properties" xmlns:vt="http://schemas.openxmlformats.org/officeDocument/2006/docPropsVTypes">
  <Template>Normal.dotm</Template>
  <Pages>49</Pages>
  <Words>3628</Words>
  <Characters>4358</Characters>
  <Lines>0</Lines>
  <Paragraphs>0</Paragraphs>
  <TotalTime>2</TotalTime>
  <ScaleCrop>false</ScaleCrop>
  <LinksUpToDate>false</LinksUpToDate>
  <CharactersWithSpaces>4707</CharactersWithSpaces>
  <Application>WPS Office_12.1.0.24034_F1E327BC-269C-435d-A152-05C5408002CA</Application>
  <DocSecurity>0</DocSecurity>
</Properties>
</file>

<file path=customXml/item7.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D1BE1BD30DC243AE963A640FFD05837C_13</vt:lpwstr>
  </property>
  <property fmtid="{D5CDD505-2E9C-101B-9397-08002B2CF9AE}" pid="4" name="KSOTemplateDocerSaveRecord">
    <vt:lpwstr>eyJoZGlkIjoiMDQ5NjczODhkOGQ4MzI4ZTEzYjMyZDQwNDA3YTY2OGQiLCJ1c2VySWQiOiIxNDkwMDY3MzgxIn0=</vt:lpwstr>
  </property>
</Properties>
</file>

<file path=customXml/item8.xml><?xml version="1.0" encoding="utf-8"?>
<contractReview xmlns="http://schemas.wps.cn/vas-ai-hub/contract-review">
  <reviewItems>
    <reviewItem>
      <errorID>f88577bf-0031-4c4d-8be8-5138698d834a</errorID>
      <errorWord>二○二五</errorWord>
      <group>L1_Knowledge</group>
      <groupName>知识性问题</groupName>
      <ability>L2_Knowledge</ability>
      <abilityName>其他知识</abilityName>
      <candidateList>
        <item>二〇二五</item>
      </candidateList>
      <explain/>
      <paraID>314ED1CF</paraID>
      <start>0</start>
      <end>4</end>
      <status>unmodified</status>
      <modifiedWord/>
      <trackRevisions>false</trackRevisions>
    </reviewItem>
    <reviewItem>
      <errorID>abdd98c7-92f9-4a7a-ba55-97e1d0496ee2</errorID>
      <errorWord>。</errorWord>
      <group>L1_Format</group>
      <groupName>格式问题</groupName>
      <ability>L2_HalfPunc</ability>
      <abilityName>全半角检查</abilityName>
      <candidateList>
        <item>.</item>
      </candidateList>
      <explain>文本全半角错误。</explain>
      <paraID>5DA743C7</paraID>
      <start>84</start>
      <end>85</end>
      <status>unmodified</status>
      <modifiedWord/>
      <trackRevisions>false</trackRevisions>
    </reviewItem>
    <reviewItem>
      <errorID>7293c966-8765-4e9e-bbbc-065d8f0df660</errorID>
      <errorWord>评审中</errorWord>
      <group>L1_Word</group>
      <groupName>字词问题</groupName>
      <ability>L2_Typo</ability>
      <abilityName>字词错误</abilityName>
      <candidateList>
        <item>评审</item>
      </candidateList>
      <explain/>
      <paraID>5E7843BF</paraID>
      <start>35</start>
      <end>38</end>
      <status>unmodified</status>
      <modifiedWord/>
      <trackRevisions>false</trackRevisions>
    </reviewItem>
    <reviewItem>
      <errorID>9992d0a3-b0c6-459d-9fd6-068456e584a5</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537A3621</paraID>
      <start>83</start>
      <end>85</end>
      <status>unmodified</status>
      <modifiedWord/>
      <trackRevisions>false</trackRevisions>
    </reviewItem>
    <reviewItem>
      <errorID>21f7231a-99c8-4f2f-8571-712e6274d8bc</errorID>
      <errorWord>当本</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4B011D47</paraID>
      <start>0</start>
      <end>2</end>
      <status>unmodified</status>
      <modifiedWord/>
      <trackRevisions>false</trackRevisions>
    </reviewItem>
    <reviewItem>
      <errorID>e595e005-d31f-497c-a0f3-509e5a3c0b18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2100E86C</paraID>
      <start>0</start>
      <end>2</end>
      <status>unmodified</status>
      <modifiedWord/>
      <trackRevisions>false</trackRevisions>
    </reviewItem>
    <reviewItem>
      <errorID>bddb8d4c-09f3-46ea-b9ac-eae7709c5869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36481D83</paraID>
      <start>0</start>
      <end>2</end>
      <status>unmodified</status>
      <modifiedWord/>
      <trackRevisions>false</trackRevisions>
    </reviewItem>
    <reviewItem>
      <errorID>bb80339e-621e-42b6-9167-3189964045a4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6ED9CEAF</paraID>
      <start>3</start>
      <end>5</end>
      <status>unmodified</status>
      <modifiedWord/>
      <trackRevisions>false</trackRevisions>
    </reviewItem>
    <reviewItem>
      <errorID>c34df527-baab-40a0-9f6f-c6a6b042f6ad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462C10B4</paraID>
      <start>0</start>
      <end>2</end>
      <status>unmodified</status>
      <modifiedWord/>
      <trackRevisions>false</trackRevisions>
    </reviewItem>
    <reviewItem>
      <errorID>32c39768-05ec-45d2-b707-0ff64dbdcf4b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53B5B57F</paraID>
      <start>0</start>
      <end>2</end>
      <status>unmodified</status>
      <modifiedWord/>
      <trackRevisions>false</trackRevisions>
    </reviewItem>
    <reviewItem>
      <errorID>567e3cb2-a8a6-4db3-adbc-e677070d6b3f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605EE793</paraID>
      <start>0</start>
      <end>2</end>
      <status>unmodified</status>
      <modifiedWord/>
      <trackRevisions>false</trackRevisions>
    </reviewItem>
    <reviewItem>
      <errorID>8c5f3663-2cab-4470-8a6f-a8df5b031c46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3995A76E</paraID>
      <start>0</start>
      <end>2</end>
      <status>unmodified</status>
      <modifiedWord/>
      <trackRevisions>false</trackRevisions>
    </reviewItem>
    <reviewItem>
      <errorID>65753d9c-962f-4294-8f88-5a0e6a41a099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B527A3C</paraID>
      <start>0</start>
      <end>2</end>
      <status>unmodified</status>
      <modifiedWord/>
      <trackRevisions>false</trackRevisions>
    </reviewItem>
    <reviewItem>
      <errorID>edea0af1-d114-4399-96c4-ed56cd8d288d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27353A78</paraID>
      <start>0</start>
      <end>2</end>
      <status>unmodified</status>
      <modifiedWord/>
      <trackRevisions>false</trackRevisions>
    </reviewItem>
    <reviewItem>
      <errorID>e81aa88a-28e1-4fa2-bc9b-871c985d8649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52E4BA66</paraID>
      <start>0</start>
      <end>2</end>
      <status>unmodified</status>
      <modifiedWord/>
      <trackRevisions>false</trackRevisions>
    </reviewItem>
    <reviewItem>
      <errorID>9c0b864e-cb91-4189-840f-10bb581a8865</errorID>
      <errorWord>,</errorWord>
      <group>L1_Format</group>
      <groupName>格式问题</groupName>
      <ability>L2_HalfPunc</ability>
      <abilityName>全半角检查</abilityName>
      <candidateList>
        <item>，</item>
      </candidateList>
      <explain>文本全半角错误。</explain>
      <paraID>71D9555B</paraID>
      <start>83</start>
      <end>84</end>
      <status>unmodified</status>
      <modifiedWord/>
      <trackRevisions>false</trackRevisions>
    </reviewItem>
    <reviewItem>
      <errorID>46baff79-2ae7-4055-be8f-e382b2b686ec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51CEE1DB</paraID>
      <start>0</start>
      <end>2</end>
      <status>unmodified</status>
      <modifiedWord/>
      <trackRevisions>false</trackRevisions>
    </reviewItem>
    <reviewItem>
      <errorID>c615266f-08c5-43eb-8f86-9af92c66b4dd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173D1BC3</paraID>
      <start>0</start>
      <end>2</end>
      <status>unmodified</status>
      <modifiedWord/>
      <trackRevisions>false</trackRevisions>
    </reviewItem>
    <reviewItem>
      <errorID>ecdaa6b4-0adb-433a-92d9-898d4464f1ad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64060E1E</paraID>
      <start>0</start>
      <end>2</end>
      <status>unmodified</status>
      <modifiedWord/>
      <trackRevisions>false</trackRevisions>
    </reviewItem>
    <reviewItem>
      <errorID>2c439e62-6d4a-421a-a5c1-82c0ca592e40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223AABDA</paraID>
      <start>0</start>
      <end>2</end>
      <status>unmodified</status>
      <modifiedWord/>
      <trackRevisions>false</trackRevisions>
    </reviewItem>
    <reviewItem>
      <errorID>a3fbd0d1-2f2e-4926-8ffc-c80cb769d25a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60B81760</paraID>
      <start>0</start>
      <end>2</end>
      <status>unmodified</status>
      <modifiedWord/>
      <trackRevisions>false</trackRevisions>
    </reviewItem>
    <reviewItem>
      <errorID>e2f85622-5eae-4bbb-8628-a490c9ee4545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515DF135</paraID>
      <start>0</start>
      <end>2</end>
      <status>unmodified</status>
      <modifiedWord/>
      <trackRevisions>false</trackRevisions>
    </reviewItem>
    <reviewItem>
      <errorID>1dcb56c2-085d-4de8-a11f-716aabe9eddd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522C47C2</paraID>
      <start>0</start>
      <end>2</end>
      <status>unmodified</status>
      <modifiedWord/>
      <trackRevisions>false</trackRevisions>
    </reviewItem>
    <reviewItem>
      <errorID>8493c652-67db-4e52-a588-9c65e5262905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139B8A00</paraID>
      <start>0</start>
      <end>2</end>
      <status>unmodified</status>
      <modifiedWord/>
      <trackRevisions>false</trackRevisions>
    </reviewItem>
    <reviewItem>
      <errorID>16094a3d-1235-413f-898f-904565d9771a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16C0E0BE</paraID>
      <start>0</start>
      <end>2</end>
      <status>unmodified</status>
      <modifiedWord/>
      <trackRevisions>false</trackRevisions>
    </reviewItem>
    <reviewItem>
      <errorID>9e9944d5-2217-486f-8c93-aaa821492711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DB4D3F9</paraID>
      <start>0</start>
      <end>2</end>
      <status>unmodified</status>
      <modifiedWord/>
      <trackRevisions>false</trackRevisions>
    </reviewItem>
    <reviewItem>
      <errorID>4720a14f-daf3-451f-86de-13362de1e6a9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75158B0E</paraID>
      <start>0</start>
      <end>2</end>
      <status>unmodified</status>
      <modifiedWord/>
      <trackRevisions>false</trackRevisions>
    </reviewItem>
    <reviewItem>
      <errorID>194e5deb-fbe6-43f8-a949-a2a57aedbcb1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1C13FD1D</paraID>
      <start>0</start>
      <end>2</end>
      <status>unmodified</status>
      <modifiedWord/>
      <trackRevisions>false</trackRevisions>
    </reviewItem>
    <reviewItem>
      <errorID>baaa16ec-58c7-4a0f-a15a-5bdba2b60216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714C84D3</paraID>
      <start>0</start>
      <end>2</end>
      <status>unmodified</status>
      <modifiedWord/>
      <trackRevisions>false</trackRevisions>
    </reviewItem>
    <reviewItem>
      <errorID>41c75a80-a03d-4b3b-8f9d-b67aba0ef017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49F7661</paraID>
      <start>0</start>
      <end>2</end>
      <status>unmodified</status>
      <modifiedWord/>
      <trackRevisions>false</trackRevisions>
    </reviewItem>
    <reviewItem>
      <errorID>7b5c275e-7347-4701-85d8-e230265753d4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345F1259</paraID>
      <start>0</start>
      <end>2</end>
      <status>unmodified</status>
      <modifiedWord/>
      <trackRevisions>false</trackRevisions>
    </reviewItem>
    <reviewItem>
      <errorID>d9f22da7-f31a-4ec6-96bd-948b3b6edd01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5EBBC984</paraID>
      <start>0</start>
      <end>2</end>
      <status>unmodified</status>
      <modifiedWord/>
      <trackRevisions>false</trackRevisions>
    </reviewItem>
    <reviewItem>
      <errorID>10df0560-dd35-44ee-824a-fe8b2fb9ff92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76150877</paraID>
      <start>0</start>
      <end>2</end>
      <status>unmodified</status>
      <modifiedWord/>
      <trackRevisions>false</trackRevisions>
    </reviewItem>
    <reviewItem>
      <errorID>fdf61dbc-03ea-4055-be0a-6690e12040ea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D52ED95</paraID>
      <start>0</start>
      <end>2</end>
      <status>unmodified</status>
      <modifiedWord/>
      <trackRevisions>false</trackRevisions>
    </reviewItem>
    <reviewItem>
      <errorID>fe0da575-db1b-4d2d-9881-8900ed0e2106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7BFF3F78</paraID>
      <start>0</start>
      <end>2</end>
      <status>unmodified</status>
      <modifiedWord/>
      <trackRevisions>false</trackRevisions>
    </reviewItem>
    <reviewItem>
      <errorID>22b65a75-c2ed-4b2b-a2a9-0ea6628642fa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748822E6</paraID>
      <start>0</start>
      <end>2</end>
      <status>unmodified</status>
      <modifiedWord/>
      <trackRevisions>false</trackRevisions>
    </reviewItem>
    <reviewItem>
      <errorID>33e904b6-7987-4782-aa60-ce20cb0d8a40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4C884A35</paraID>
      <start>0</start>
      <end>2</end>
      <status>unmodified</status>
      <modifiedWord/>
      <trackRevisions>false</trackRevisions>
    </reviewItem>
    <reviewItem>
      <errorID>be03a7cc-24ca-4683-b05e-d7e772346a2d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5AA758B5</paraID>
      <start>0</start>
      <end>2</end>
      <status>unmodified</status>
      <modifiedWord/>
      <trackRevisions>false</trackRevisions>
    </reviewItem>
    <reviewItem>
      <errorID>94820d7d-fe74-46cd-a661-37d9afbab4bf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5D926F0B</paraID>
      <start>0</start>
      <end>2</end>
      <status>unmodified</status>
      <modifiedWord/>
      <trackRevisions>false</trackRevisions>
    </reviewItem>
    <reviewItem>
      <errorID>44b9cbef-5e2e-43fa-99e8-b7646468cd82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5A4BB79E</paraID>
      <start>0</start>
      <end>2</end>
      <status>unmodified</status>
      <modifiedWord/>
      <trackRevisions>false</trackRevisions>
    </reviewItem>
    <reviewItem>
      <errorID>ca0bb2b4-8984-4ed1-bf04-4ec24c49423e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2FBA4D3E</paraID>
      <start>0</start>
      <end>2</end>
      <status>unmodified</status>
      <modifiedWord/>
      <trackRevisions>false</trackRevisions>
    </reviewItem>
    <reviewItem>
      <errorID>d9637a5d-0178-4a4d-8791-c82a788a1e79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668BF71F</paraID>
      <start>0</start>
      <end>2</end>
      <status>unmodified</status>
      <modifiedWord/>
      <trackRevisions>false</trackRevisions>
    </reviewItem>
    <reviewItem>
      <errorID>137e9d29-d302-44f6-b46d-4559d91c98da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AA15798</paraID>
      <start>0</start>
      <end>2</end>
      <status>unmodified</status>
      <modifiedWord/>
      <trackRevisions>false</trackRevisions>
    </reviewItem>
    <reviewItem>
      <errorID>ce77fd94-a2a2-4f6a-8f6b-a73a2ab7786e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77A2EDF0</paraID>
      <start>0</start>
      <end>2</end>
      <status>unmodified</status>
      <modifiedWord/>
      <trackRevisions>false</trackRevisions>
    </reviewItem>
    <reviewItem>
      <errorID>77608cd0-396e-4979-9297-56af741f6bf4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2F5662DD</paraID>
      <start>0</start>
      <end>2</end>
      <status>unmodified</status>
      <modifiedWord/>
      <trackRevisions>false</trackRevisions>
    </reviewItem>
    <reviewItem>
      <errorID>61720857-76fc-4b47-ae02-0ebc4dd12ab6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9A729E1</paraID>
      <start>0</start>
      <end>2</end>
      <status>unmodified</status>
      <modifiedWord/>
      <trackRevisions>false</trackRevisions>
    </reviewItem>
    <reviewItem>
      <errorID>f8cebce6-2658-4789-8a0d-39e74fa8bd69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5F7AA39C</paraID>
      <start>0</start>
      <end>3</end>
      <status>unmodified</status>
      <modifiedWord/>
      <trackRevisions>false</trackRevisions>
    </reviewItem>
    <reviewItem>
      <errorID>6ae54c21-87f9-4ba7-92fe-2634cc15fa96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5C8AC5D2</paraID>
      <start>0</start>
      <end>2</end>
      <status>unmodified</status>
      <modifiedWord/>
      <trackRevisions>false</trackRevisions>
    </reviewItem>
    <reviewItem>
      <errorID>0581c07e-c3a6-4091-8842-03179fc49cea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6EE11C13</paraID>
      <start>0</start>
      <end>2</end>
      <status>unmodified</status>
      <modifiedWord/>
      <trackRevisions>false</trackRevisions>
    </reviewItem>
    <reviewItem>
      <errorID>b71e96ba-52c6-4808-95d0-b3244168ac60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237005A6</paraID>
      <start>0</start>
      <end>2</end>
      <status>unmodified</status>
      <modifiedWord/>
      <trackRevisions>false</trackRevisions>
    </reviewItem>
    <reviewItem>
      <errorID>6f8c4514-4139-465b-9729-0a89eb07ace0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1FAA3E19</paraID>
      <start>0</start>
      <end>2</end>
      <status>unmodified</status>
      <modifiedWord/>
      <trackRevisions>false</trackRevisions>
    </reviewItem>
    <reviewItem>
      <errorID>84756d4f-9944-4e3b-8a51-f05cbc481afa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408A60F1</paraID>
      <start>0</start>
      <end>2</end>
      <status>unmodified</status>
      <modifiedWord/>
      <trackRevisions>false</trackRevisions>
    </reviewItem>
    <reviewItem>
      <errorID>ef0d6fab-5f9e-49cb-9ebf-a95f64d27eb7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546A61EC</paraID>
      <start>0</start>
      <end>2</end>
      <status>unmodified</status>
      <modifiedWord/>
      <trackRevisions>false</trackRevisions>
    </reviewItem>
    <reviewItem>
      <errorID>1737c7ab-ea07-4124-b255-ffa68c3c8fc8</errorID>
      <errorWord>，</errorWord>
      <group>L1_Word</group>
      <groupName>字词问题</groupName>
      <ability>L2_Typo</ability>
      <abilityName>字词错误</abilityName>
      <candidateList>
        <item>，在</item>
      </candidateList>
      <explain/>
      <paraID>128B198F</paraID>
      <start>57</start>
      <end>58</end>
      <status>unmodified</status>
      <modifiedWord/>
      <trackRevisions>false</trackRevisions>
    </reviewItem>
    <reviewItem>
      <errorID>e6841502-8400-414b-8bef-07450f5b2b1d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566D6739</paraID>
      <start>0</start>
      <end>2</end>
      <status>unmodified</status>
      <modifiedWord/>
      <trackRevisions>false</trackRevisions>
    </reviewItem>
    <reviewItem>
      <errorID>d13d66fb-72e6-4ed6-8658-d2d1221d9083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42496309</paraID>
      <start>0</start>
      <end>2</end>
      <status>unmodified</status>
      <modifiedWord/>
      <trackRevisions>false</trackRevisions>
    </reviewItem>
    <reviewItem>
      <errorID>ba88e054-4bfd-42e8-97dc-08a46a846928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3B552466</paraID>
      <start>0</start>
      <end>2</end>
      <status>unmodified</status>
      <modifiedWord/>
      <trackRevisions>false</trackRevisions>
    </reviewItem>
    <reviewItem>
      <errorID>f67b7d26-e260-4de3-b3fe-19caae4c3ed2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40A01987</paraID>
      <start>0</start>
      <end>2</end>
      <status>unmodified</status>
      <modifiedWord/>
      <trackRevisions>false</trackRevisions>
    </reviewItem>
    <reviewItem>
      <errorID>eb279b08-873d-4598-a691-1049d6cfad6e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1BC1197A</paraID>
      <start>0</start>
      <end>2</end>
      <status>unmodified</status>
      <modifiedWord/>
      <trackRevisions>false</trackRevisions>
    </reviewItem>
    <reviewItem>
      <errorID>1d4bf943-cf50-4896-86af-c6176febc9d3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21B70A35</paraID>
      <start>0</start>
      <end>2</end>
      <status>unmodified</status>
      <modifiedWord/>
      <trackRevisions>false</trackRevisions>
    </reviewItem>
    <reviewItem>
      <errorID>eae2a3a0-9a3a-45b8-b06a-894dd74f3dd2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5FE0133C</paraID>
      <start>0</start>
      <end>2</end>
      <status>unmodified</status>
      <modifiedWord/>
      <trackRevisions>false</trackRevisions>
    </reviewItem>
    <reviewItem>
      <errorID>e12723eb-1303-44e2-afd5-5e60426e97b1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4006927A</paraID>
      <start>0</start>
      <end>2</end>
      <status>unmodified</status>
      <modifiedWord/>
      <trackRevisions>false</trackRevisions>
    </reviewItem>
    <reviewItem>
      <errorID>ea2ad4be-5f2f-4dbc-b527-592cdd4c51bb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66085F0A</paraID>
      <start>0</start>
      <end>2</end>
      <status>unmodified</status>
      <modifiedWord/>
      <trackRevisions>false</trackRevisions>
    </reviewItem>
    <reviewItem>
      <errorID>64a1801b-7e61-4a3e-8adf-fed0e45d7507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10EC7DFD</paraID>
      <start>0</start>
      <end>2</end>
      <status>unmodified</status>
      <modifiedWord/>
      <trackRevisions>false</trackRevisions>
    </reviewItem>
    <reviewItem>
      <errorID>f537d53f-b026-4f53-b461-9ae152bb4186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643E5B39</paraID>
      <start>0</start>
      <end>2</end>
      <status>unmodified</status>
      <modifiedWord/>
      <trackRevisions>false</trackRevisions>
    </reviewItem>
    <reviewItem>
      <errorID>10653a32-5166-4a18-808e-ddc853dacfd5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60191F3</paraID>
      <start>0</start>
      <end>2</end>
      <status>unmodified</status>
      <modifiedWord/>
      <trackRevisions>false</trackRevisions>
    </reviewItem>
    <reviewItem>
      <errorID>3a8db5c3-f020-4cba-b37f-3a250a93a26f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6E1E0E93</paraID>
      <start>0</start>
      <end>2</end>
      <status>unmodified</status>
      <modifiedWord/>
      <trackRevisions>false</trackRevisions>
    </reviewItem>
    <reviewItem>
      <errorID>7fe9d5ae-11c2-4d7d-8c65-a4f510236d19</errorID>
      <errorWord>(</errorWord>
      <group>L1_Format</group>
      <groupName>格式问题</groupName>
      <ability>L2_HalfPunc</ability>
      <abilityName>全半角检查</abilityName>
      <candidateList>
        <item>（</item>
      </candidateList>
      <explain>文本全半角错误。</explain>
      <paraID>6E1E0E93</paraID>
      <start>45</start>
      <end>46</end>
      <status>unmodified</status>
      <modifiedWord/>
      <trackRevisions>false</trackRevisions>
    </reviewItem>
    <reviewItem>
      <errorID>1a1a795f-150b-4e74-a7c5-8d091a365be0</errorID>
      <errorWord>)</errorWord>
      <group>L1_Format</group>
      <groupName>格式问题</groupName>
      <ability>L2_HalfPunc</ability>
      <abilityName>全半角检查</abilityName>
      <candidateList>
        <item>）</item>
      </candidateList>
      <explain>文本全半角错误。</explain>
      <paraID>6E1E0E93</paraID>
      <start>56</start>
      <end>57</end>
      <status>unmodified</status>
      <modifiedWord/>
      <trackRevisions>false</trackRevisions>
    </reviewItem>
    <reviewItem>
      <errorID>32e4a188-0d8b-476b-b3d9-37835872515b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3E8D9A4</paraID>
      <start>0</start>
      <end>2</end>
      <status>unmodified</status>
      <modifiedWord/>
      <trackRevisions>false</trackRevisions>
    </reviewItem>
    <reviewItem>
      <errorID>34b6df4b-279f-4c47-bcc5-6f4b7f0bbc83</errorID>
      <errorWord>“</errorWord>
      <group>L1_Punc</group>
      <groupName>标点问题</groupName>
      <ability>L2_Punc</ability>
      <abilityName>标点符号检查</abilityName>
      <candidateList/>
      <explain/>
      <paraID> 3E8D9A4</paraID>
      <start>16</start>
      <end>17</end>
      <status>unmodified</status>
      <modifiedWord/>
      <trackRevisions>false</trackRevisions>
    </reviewItem>
    <reviewItem>
      <errorID>9c5d7cd2-13e1-455c-a5ca-c93ff07a960f</errorID>
      <errorWord>"</errorWord>
      <group>L1_Format</group>
      <groupName>格式问题</groupName>
      <ability>L2_HalfPunc</ability>
      <abilityName>全半角检查</abilityName>
      <candidateList>
        <item>”</item>
      </candidateList>
      <explain>文本全半角错误。</explain>
      <paraID> 3E8D9A4</paraID>
      <start>22</start>
      <end>23</end>
      <status>unmodified</status>
      <modifiedWord/>
      <trackRevisions>false</trackRevisions>
    </reviewItem>
    <reviewItem>
      <errorID>408a2610-d88a-44fd-9912-bbd2117afcd4</errorID>
      <errorWord>,</errorWord>
      <group>L1_Format</group>
      <groupName>格式问题</groupName>
      <ability>L2_HalfPunc</ability>
      <abilityName>全半角检查</abilityName>
      <candidateList>
        <item>，</item>
      </candidateList>
      <explain>文本全半角错误。</explain>
      <paraID> 3E8D9A4</paraID>
      <start>26</start>
      <end>27</end>
      <status>unmodified</status>
      <modifiedWord/>
      <trackRevisions>false</trackRevisions>
    </reviewItem>
    <reviewItem>
      <errorID>ed03c2c3-3f38-4f03-b7f2-40d0bd0c4cf4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7ECEB476</paraID>
      <start>0</start>
      <end>2</end>
      <status>unmodified</status>
      <modifiedWord/>
      <trackRevisions>false</trackRevisions>
    </reviewItem>
    <reviewItem>
      <errorID>62223db1-2c2b-45ab-9700-e09867c0f93c</errorID>
      <errorWord>二○二</errorWord>
      <group>L1_Knowledge</group>
      <groupName>知识性问题</groupName>
      <ability>L2_Knowledge</ability>
      <abilityName>其他知识</abilityName>
      <candidateList>
        <item>二〇二</item>
      </candidateList>
      <explain/>
      <paraID>19CE49FE</paraID>
      <start>0</start>
      <end>3</end>
      <status>unmodified</status>
      <modifiedWord/>
      <trackRevisions>false</trackRevisions>
    </reviewItem>
    <reviewItem>
      <errorID>662272ca-dd33-4327-94b4-7dcea0bf2c54</errorID>
      <errorWord>审</errorWord>
      <group>L1_Word</group>
      <groupName>字词问题</groupName>
      <ability>L2_Typo</ability>
      <abilityName>字词错误</abilityName>
      <candidateList>
        <item>审计</item>
      </candidateList>
      <explain/>
      <paraID>1A5C7013</paraID>
      <start>67</start>
      <end>68</end>
      <status>unmodified</status>
      <modifiedWord/>
      <trackRevisions>false</trackRevisions>
    </reviewItem>
    <reviewItem>
      <errorID>f49b401e-acf2-4faf-bc2c-4176bef2f787</errorID>
      <errorWord>(</errorWord>
      <group>L1_Format</group>
      <groupName>格式问题</groupName>
      <ability>L2_HalfPunc</ability>
      <abilityName>全半角检查</abilityName>
      <candidateList>
        <item>（</item>
      </candidateList>
      <explain>文本全半角错误。</explain>
      <paraID>29903252</paraID>
      <start>115</start>
      <end>116</end>
      <status>unmodified</status>
      <modifiedWord/>
      <trackRevisions>false</trackRevisions>
    </reviewItem>
    <reviewItem>
      <errorID>ae523889-3956-43e0-9ce6-3f4416f59d84</errorID>
      <errorWord>)</errorWord>
      <group>L1_Format</group>
      <groupName>格式问题</groupName>
      <ability>L2_HalfPunc</ability>
      <abilityName>全半角检查</abilityName>
      <candidateList>
        <item>）</item>
      </candidateList>
      <explain>文本全半角错误。</explain>
      <paraID>29903252</paraID>
      <start>137</start>
      <end>138</end>
      <status>unmodified</status>
      <modifiedWord/>
      <trackRevisions>false</trackRevisions>
    </reviewItem>
    <reviewItem>
      <errorID>c3428252-b8df-4236-9eaa-7a64dc67d7d7</errorID>
      <errorWord>(</errorWord>
      <group>L1_Format</group>
      <groupName>格式问题</groupName>
      <ability>L2_HalfPunc</ability>
      <abilityName>全半角检查</abilityName>
      <candidateList>
        <item>（</item>
      </candidateList>
      <explain>文本全半角错误。</explain>
      <paraID>29903252</paraID>
      <start>143</start>
      <end>144</end>
      <status>unmodified</status>
      <modifiedWord/>
      <trackRevisions>false</trackRevisions>
    </reviewItem>
    <reviewItem>
      <errorID>0d32a65a-f575-4818-8d83-24b89bca74cf</errorID>
      <errorWord>)</errorWord>
      <group>L1_Format</group>
      <groupName>格式问题</groupName>
      <ability>L2_HalfPunc</ability>
      <abilityName>全半角检查</abilityName>
      <candidateList>
        <item>）</item>
      </candidateList>
      <explain>文本全半角错误。</explain>
      <paraID>29903252</paraID>
      <start>168</start>
      <end>169</end>
      <status>unmodified</status>
      <modifiedWord/>
      <trackRevisions>false</trackRevisions>
    </reviewItem>
    <reviewItem>
      <errorID>fbb1a5d7-c547-4a0d-8268-04d99944a0ac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2937646</paraID>
      <start>0</start>
      <end>2</end>
      <status>unmodified</status>
      <modifiedWord/>
      <trackRevisions>false</trackRevisions>
    </reviewItem>
    <reviewItem>
      <errorID>8e99a640-35f3-4aaa-a352-41d602bae4eb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15FC2939</paraID>
      <start>0</start>
      <end>2</end>
      <status>unmodified</status>
      <modifiedWord/>
      <trackRevisions>false</trackRevisions>
    </reviewItem>
    <reviewItem>
      <errorID>ddd3e741-e555-448a-8a8e-5e7cde58124d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7C85D348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7FAAE2-B73A-4A40-A8AD-E8F01FCFA28B}"/>
</file>

<file path=customXml/itemProps3.xml><?xml version="1.0" encoding="utf-8"?>
<ds:datastoreItem xmlns:ds="http://schemas.openxmlformats.org/officeDocument/2006/customXml" ds:itemID="{27D7C9BC-57D3-4565-9AAC-ABBDA6456340}"/>
</file>

<file path=customXml/itemProps4.xml><?xml version="1.0" encoding="utf-8"?>
<ds:datastoreItem xmlns:ds="http://schemas.openxmlformats.org/officeDocument/2006/customXml" ds:itemID="{B9F7C4B2-E1A4-46F6-A8A2-BA5FC533ED33}"/>
</file>

<file path=customXml/itemProps5.xml><?xml version="1.0" encoding="utf-8"?>
<ds:datastoreItem xmlns:ds="http://schemas.openxmlformats.org/officeDocument/2006/customXml" ds:itemID="{392A1B19-E732-4FFD-9A1E-5F59D6D73FB0}"/>
</file>

<file path=customXml/itemProps6.xml><?xml version="1.0" encoding="utf-8"?>
<ds:datastoreItem xmlns:ds="http://schemas.openxmlformats.org/officeDocument/2006/customXml" ds:itemID="{5121F913-6677-44C5-B66F-0217573908EE}"/>
</file>

<file path=customXml/itemProps7.xml><?xml version="1.0" encoding="utf-8"?>
<ds:datastoreItem xmlns:ds="http://schemas.openxmlformats.org/officeDocument/2006/customXml" ds:itemID="{11FEAD55-B9B0-4536-9FA6-B539DE945126}"/>
</file>

<file path=customXml/itemProps8.xml><?xml version="1.0" encoding="utf-8"?>
<ds:datastoreItem xmlns:ds="http://schemas.openxmlformats.org/officeDocument/2006/customXml" ds:itemID="{555D5A2C-8E0E-41BA-89BD-6FC9974CD2E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王美华</cp:lastModifiedBy>
  <cp:revision>6</cp:revision>
  <dcterms:created xsi:type="dcterms:W3CDTF">2023-09-09T13:41:00Z</dcterms:created>
  <dcterms:modified xsi:type="dcterms:W3CDTF">2025-12-24T09:37:33Z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D1BE1BD30DC243AE963A640FFD05837C_13</vt:lpwstr>
  </property>
  <property fmtid="{D5CDD505-2E9C-101B-9397-08002B2CF9AE}" pid="4" name="KSOTemplateDocerSaveRecord">
    <vt:lpwstr>eyJoZGlkIjoiMDQ5NjczODhkOGQ4MzI4ZTEzYjMyZDQwNDA3YTY2OGQiLCJ1c2VySWQiOiIxNDkwMDY3MzgxIn0=</vt:lpwstr>
  </property>
  <property fmtid="{D5CDD505-2E9C-101B-9397-08002B2CF9AE}" pid="5" name="AIGC">
    <vt:lpwstr>{"ContentType":"Report-word","Producer":"蜜度-校对通","TaskID":"JDT_20251217_1a4839b95a764e15a5d3ae8c0739b458","Timestamp":1765934482030,"Version":"wenxiu_v4.0"}</vt:lpwstr>
  </property>
</Properties>
</file>