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5"/>
        <w:ind w:firstLine="0"/>
        <w:jc w:val="center"/>
        <w:tabs>
          <w:tab w:val="left" w:pos="2100" w:leader="none"/>
        </w:tabs>
        <w:rPr>
          <w:rFonts w:hint="eastAsia" w:ascii="Times New Roman" w:hAnsi="Times New Roman" w:eastAsia="宋体"/>
          <w:b/>
          <w:bCs/>
          <w:color w:val="auto"/>
          <w:sz w:val="52"/>
          <w:szCs w:val="52"/>
          <w:highlight w:val="none"/>
          <w:lang w:eastAsia="zh-CN"/>
        </w:rPr>
      </w:pPr>
      <w:r>
        <w:rPr>
          <w:rFonts w:hint="eastAsia" w:ascii="Times New Roman" w:hAnsi="Times New Roman"/>
          <w:b/>
          <w:bCs/>
          <w:color w:val="auto"/>
          <w:sz w:val="52"/>
          <w:szCs w:val="52"/>
          <w:highlight w:val="none"/>
          <w:lang w:eastAsia="zh-CN"/>
        </w:rPr>
        <w:t xml:space="preserve">江苏省财政管理信息化平台泰州市本级驻场运维</w:t>
      </w:r>
      <w:r/>
    </w:p>
    <w:p>
      <w:pPr>
        <w:pStyle w:val="1245"/>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245"/>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t xml:space="preserve">竞争性磋商文件</w:t>
      </w:r>
      <w:r/>
    </w:p>
    <w:p>
      <w:pPr>
        <w:pStyle w:val="1245"/>
        <w:ind w:firstLine="0"/>
        <w:jc w:val="center"/>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w:t>
      </w:r>
      <w:r>
        <w:rPr>
          <w:rFonts w:ascii="Times New Roman" w:hAnsi="Times New Roman"/>
          <w:color w:val="auto"/>
          <w:sz w:val="28"/>
          <w:szCs w:val="28"/>
          <w:highlight w:val="none"/>
        </w:rPr>
        <w:t xml:space="preserve">全流程电子化不见面开标）</w:t>
      </w:r>
      <w:r/>
    </w:p>
    <w:p>
      <w:pPr>
        <w:pStyle w:val="1245"/>
        <w:ind w:firstLine="0"/>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245"/>
        <w:ind w:firstLine="0"/>
        <w:rPr>
          <w:rFonts w:ascii="Times New Roman" w:hAnsi="Times New Roman"/>
          <w:b/>
          <w:bCs/>
          <w:color w:val="auto"/>
          <w:sz w:val="32"/>
          <w:highlight w:val="none"/>
        </w:rPr>
      </w:pPr>
      <w:r>
        <w:rPr>
          <w:rFonts w:ascii="Times New Roman" w:hAnsi="Times New Roman"/>
          <w:b/>
          <w:bCs/>
          <w:color w:val="auto"/>
          <w:sz w:val="32"/>
          <w:highlight w:val="none"/>
        </w:rPr>
      </w:r>
      <w:r/>
    </w:p>
    <w:p>
      <w:pPr>
        <w:pStyle w:val="1245"/>
        <w:ind w:firstLine="0"/>
        <w:jc w:val="center"/>
        <w:rPr>
          <w:rFonts w:ascii="Times New Roman" w:hAnsi="Times New Roman"/>
          <w:b/>
          <w:bCs/>
          <w:color w:val="auto"/>
          <w:sz w:val="32"/>
          <w:highlight w:val="none"/>
        </w:rPr>
      </w:pPr>
      <w:r>
        <w:rPr>
          <w:rFonts w:ascii="Times New Roman" w:hAnsi="Times New Roman"/>
          <w:b/>
          <w:bCs/>
          <w:color w:val="auto"/>
          <w:sz w:val="32"/>
          <w:highlight w:val="none"/>
        </w:rPr>
      </w:r>
      <w:r/>
    </w:p>
    <w:p>
      <w:pPr>
        <w:pStyle w:val="1245"/>
        <w:ind w:firstLine="0"/>
        <w:jc w:val="both"/>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采购人：泰州市财政局</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代理机构：江苏经纬资产土地房地产评估测绘工程咨询有限公司</w:t>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hint="eastAsia" w:ascii="宋体" w:hAnsi="宋体" w:cs="宋体"/>
          <w:b/>
          <w:bCs/>
          <w:color w:val="auto"/>
          <w:sz w:val="36"/>
          <w:szCs w:val="36"/>
          <w:highlight w:val="none"/>
        </w:rPr>
        <w:t xml:space="preserve">年二月</w:t>
      </w:r>
      <w:r/>
    </w:p>
    <w:p>
      <w:pPr>
        <w:jc w:val="center"/>
        <w:spacing w:line="360" w:lineRule="auto"/>
        <w:rPr>
          <w:rFonts w:hint="eastAsia" w:ascii="宋体" w:hAnsi="宋体" w:cs="宋体"/>
          <w:b/>
          <w:bCs/>
          <w:color w:val="auto"/>
          <w:sz w:val="30"/>
          <w:szCs w:val="30"/>
          <w:highlight w:val="none"/>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auto"/>
          <w:sz w:val="30"/>
          <w:szCs w:val="30"/>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目  录</w:t>
      </w:r>
      <w:r/>
    </w:p>
    <w:p>
      <w:pPr>
        <w:pStyle w:val="1238"/>
        <w:ind w:firstLine="301"/>
        <w:rPr>
          <w:rFonts w:ascii="宋体" w:hAnsi="宋体" w:cs="宋体"/>
          <w:b/>
          <w:bCs/>
          <w:color w:val="auto"/>
          <w:sz w:val="30"/>
          <w:szCs w:val="30"/>
          <w:highlight w:val="none"/>
        </w:rPr>
      </w:pPr>
      <w:r>
        <w:rPr>
          <w:rFonts w:ascii="宋体" w:hAnsi="宋体" w:cs="宋体"/>
          <w:b/>
          <w:bCs/>
          <w:color w:val="auto"/>
          <w:sz w:val="30"/>
          <w:szCs w:val="30"/>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"_Toc16887"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"_Toc28896" </w:instrText>
      </w:r>
      <w:r>
        <w:rPr>
          <w:color w:val="auto"/>
          <w:highlight w:val="none"/>
        </w:rPr>
        <w:fldChar w:fldCharType="separate"/>
      </w:r>
      <w:r>
        <w:rPr>
          <w:rFonts w:hint="eastAsia" w:ascii="宋体" w:hAnsi="宋体" w:cs="宋体"/>
          <w:color w:val="auto"/>
          <w:sz w:val="28"/>
          <w:szCs w:val="28"/>
          <w:highlight w:val="none"/>
        </w:rPr>
        <w:t xml:space="preserve">第二章  参加磋商的供应商须知</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"_Toc20325" </w:instrText>
      </w:r>
      <w:r>
        <w:rPr>
          <w:color w:val="auto"/>
          <w:highlight w:val="none"/>
        </w:rPr>
        <w:fldChar w:fldCharType="separate"/>
      </w:r>
      <w:r>
        <w:rPr>
          <w:rFonts w:hint="eastAsia" w:ascii="宋体" w:hAnsi="宋体" w:cs="宋体"/>
          <w:color w:val="auto"/>
          <w:sz w:val="28"/>
          <w:szCs w:val="28"/>
          <w:highlight w:val="none"/>
        </w:rPr>
        <w:t xml:space="preserve">第三章  合同条款及格式</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"_Toc32522"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"_Toc10158" </w:instrText>
      </w:r>
      <w:r>
        <w:rPr>
          <w:color w:val="auto"/>
          <w:highlight w:val="none"/>
        </w:rPr>
        <w:fldChar w:fldCharType="separate"/>
      </w:r>
      <w:r>
        <w:rPr>
          <w:rFonts w:hint="eastAsia" w:ascii="宋体" w:hAnsi="宋体" w:cs="宋体"/>
          <w:color w:val="auto"/>
          <w:sz w:val="28"/>
          <w:szCs w:val="28"/>
          <w:highlight w:val="none"/>
        </w:rPr>
        <w:t xml:space="preserve">第五章  评审方法和评审标准</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"_Toc31610" </w:instrText>
      </w:r>
      <w:r>
        <w:rPr>
          <w:color w:val="auto"/>
          <w:highlight w:val="none"/>
        </w:rPr>
        <w:fldChar w:fldCharType="separate"/>
      </w:r>
      <w:r>
        <w:rPr>
          <w:rFonts w:hint="eastAsia" w:ascii="宋体" w:hAnsi="宋体" w:cs="宋体"/>
          <w:color w:val="auto"/>
          <w:sz w:val="28"/>
          <w:szCs w:val="28"/>
          <w:highlight w:val="none"/>
        </w:rPr>
        <w:t xml:space="preserve">第六章  响应文件的组成和格式</w:t>
      </w:r>
      <w:r>
        <w:rPr>
          <w:rFonts w:hint="eastAsia" w:ascii="宋体" w:hAnsi="宋体" w:cs="宋体"/>
          <w:color w:val="auto"/>
          <w:sz w:val="28"/>
          <w:szCs w:val="28"/>
          <w:highlight w:val="none"/>
        </w:rPr>
        <w:fldChar w:fldCharType="end"/>
      </w:r>
      <w:r/>
    </w:p>
    <w:p>
      <w:pPr>
        <w:rPr>
          <w:color w:val="auto"/>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szCs w:val="28"/>
          <w:highlight w:val="none"/>
        </w:rPr>
        <w:fldChar w:fldCharType="end"/>
      </w:r>
      <w:r/>
    </w:p>
    <w:p>
      <w:pPr>
        <w:pStyle w:val="1218"/>
        <w:numPr>
          <w:ilvl w:val="0"/>
          <w:numId w:val="2"/>
        </w:numPr>
        <w:spacing w:line="480" w:lineRule="auto"/>
        <w:rPr>
          <w:color w:val="auto"/>
          <w:sz w:val="32"/>
          <w:szCs w:val="32"/>
          <w:highlight w:val="none"/>
        </w:rPr>
      </w:pPr>
      <w:r>
        <w:rPr>
          <w:color w:val="auto"/>
          <w:sz w:val="32"/>
          <w:szCs w:val="32"/>
          <w:highlight w:val="none"/>
        </w:rPr>
        <w:t xml:space="preserve"> </w:t>
      </w:r>
      <w:bookmarkStart w:id="0" w:name="_Toc16887"/>
      <w:r>
        <w:rPr>
          <w:color w:val="auto"/>
          <w:sz w:val="32"/>
          <w:szCs w:val="32"/>
          <w:highlight w:val="none"/>
        </w:rPr>
        <w:t xml:space="preserve">竞争性磋商</w:t>
      </w:r>
      <w:r>
        <w:rPr>
          <w:rFonts w:hint="eastAsia"/>
          <w:color w:val="auto"/>
          <w:sz w:val="32"/>
          <w:szCs w:val="32"/>
          <w:highlight w:val="none"/>
        </w:rPr>
        <w:t xml:space="preserve">公告</w:t>
      </w:r>
      <w:bookmarkEnd w:id="0"/>
      <w:r/>
      <w:r/>
    </w:p>
    <w:p>
      <w:pPr>
        <w:spacing w:line="420" w:lineRule="exact"/>
        <w:rPr>
          <w:rFonts w:ascii="宋体" w:hAnsi="宋体" w:cs="宋体"/>
          <w:color w:val="auto"/>
          <w:spacing w:val="-2"/>
          <w:sz w:val="24"/>
          <w:highlight w:val="none"/>
        </w:rPr>
        <w:pBdr>
          <w:top w:val="single" w:color="auto" w:sz="4" w:space="1"/>
          <w:left w:val="single" w:color="auto" w:sz="4" w:space="4"/>
          <w:bottom w:val="single" w:color="auto" w:sz="4" w:space="1"/>
          <w:right w:val="single" w:color="auto" w:sz="4" w:space="4"/>
        </w:pBdr>
      </w:pPr>
      <w:r/>
      <w:bookmarkStart w:id="1" w:name="_Toc61149549"/>
      <w:r/>
      <w:bookmarkStart w:id="2" w:name="_Toc14577347"/>
      <w:r/>
      <w:bookmarkStart w:id="3" w:name="_Toc513029209"/>
      <w:r>
        <w:rPr>
          <w:rFonts w:hint="eastAsia" w:ascii="宋体" w:hAnsi="宋体" w:cs="宋体"/>
          <w:color w:val="auto"/>
          <w:spacing w:val="-2"/>
          <w:sz w:val="24"/>
          <w:highlight w:val="none"/>
        </w:rPr>
        <w:t xml:space="preserve">项目概况</w:t>
      </w:r>
      <w:r/>
    </w:p>
    <w:p>
      <w:pPr>
        <w:ind w:firstLine="480"/>
        <w:spacing w:line="420" w:lineRule="exact"/>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4" w:name="_Toc28359012"/>
      <w:r/>
      <w:bookmarkStart w:id="5" w:name="_Toc35393798"/>
      <w:r/>
      <w:bookmarkStart w:id="6" w:name="_Toc28359089"/>
      <w:r/>
      <w:bookmarkStart w:id="7" w:name="_Toc35393629"/>
      <w:r>
        <w:rPr>
          <w:rFonts w:hint="eastAsia" w:ascii="宋体" w:hAnsi="宋体" w:cs="宋体"/>
          <w:color w:val="auto"/>
          <w:sz w:val="24"/>
          <w:highlight w:val="none"/>
          <w:lang w:eastAsia="zh-CN"/>
        </w:rPr>
        <w:t xml:space="preserve">江苏省财政管理信息化平台泰州市本级驻场运维JSZC-321200-JWPG-C2026-0003</w:t>
      </w:r>
      <w:r>
        <w:rPr>
          <w:rFonts w:hint="eastAsia" w:ascii="宋体" w:hAnsi="宋体" w:cs="宋体"/>
          <w:color w:val="auto"/>
          <w:sz w:val="24"/>
          <w:highlight w:val="none"/>
        </w:rPr>
        <w:t xml:space="preserve">采购项目的潜在供应商应在江苏政府采购“苏采云”系统获取采购文件，并于202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 </w:t>
      </w:r>
      <w:bookmarkStart w:id="147" w:name="_GoBack"/>
      <w:r/>
      <w:bookmarkEnd w:id="147"/>
      <w:r>
        <w:rPr>
          <w:rFonts w:hint="eastAsia" w:ascii="宋体" w:hAnsi="宋体" w:cs="宋体"/>
          <w:color w:val="auto"/>
          <w:sz w:val="24"/>
          <w:highlight w:val="none"/>
          <w:lang w:val="en-US" w:eastAsia="zh-CN"/>
        </w:rPr>
        <w:t xml:space="preserve">14：30</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pStyle w:val="1219"/>
        <w:jc w:val="both"/>
        <w:keepLines w:val="0"/>
        <w:keepNext w:val="0"/>
        <w:spacing w:before="0" w:after="0"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JSZC-321200-JWPG-C2026-0003</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江苏省财政管理信息化平台泰州市本级驻场运维</w:t>
      </w:r>
      <w:r/>
    </w:p>
    <w:p>
      <w:pPr>
        <w:ind w:firstLine="480"/>
        <w:spacing w:line="360" w:lineRule="auto"/>
        <w:rPr>
          <w:rFonts w:eastAsia="楷体_GB2312"/>
          <w:color w:val="auto"/>
          <w:sz w:val="24"/>
          <w:highlight w:val="none"/>
        </w:rPr>
      </w:pPr>
      <w:r>
        <w:rPr>
          <w:rFonts w:hint="eastAsia" w:ascii="宋体" w:hAnsi="宋体" w:cs="宋体"/>
          <w:color w:val="auto"/>
          <w:sz w:val="24"/>
          <w:highlight w:val="none"/>
        </w:rPr>
        <w:t xml:space="preserve">采购方式：竞争性磋商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114.4</w:t>
      </w:r>
      <w:r>
        <w:rPr>
          <w:rFonts w:hint="eastAsia" w:ascii="宋体" w:hAnsi="宋体" w:cs="宋体"/>
          <w:color w:val="auto"/>
          <w:sz w:val="24"/>
          <w:highlight w:val="none"/>
        </w:rPr>
        <w:t xml:space="preserve">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最高限价：采购包1:</w:t>
      </w:r>
      <w:r>
        <w:rPr>
          <w:rFonts w:hint="eastAsia" w:ascii="宋体" w:hAnsi="宋体" w:cs="宋体"/>
          <w:color w:val="auto"/>
          <w:sz w:val="24"/>
          <w:highlight w:val="none"/>
          <w:lang w:val="en-US" w:eastAsia="zh-CN"/>
        </w:rPr>
        <w:t xml:space="preserve">70.9</w:t>
      </w:r>
      <w:r>
        <w:rPr>
          <w:rFonts w:hint="eastAsia" w:ascii="宋体" w:hAnsi="宋体" w:cs="宋体"/>
          <w:color w:val="auto"/>
          <w:sz w:val="24"/>
          <w:highlight w:val="none"/>
        </w:rPr>
        <w:t xml:space="preserve">万元，采购包2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43.5</w:t>
      </w:r>
      <w:r>
        <w:rPr>
          <w:rFonts w:hint="eastAsia" w:ascii="宋体" w:hAnsi="宋体" w:cs="宋体"/>
          <w:color w:val="auto"/>
          <w:sz w:val="24"/>
          <w:highlight w:val="none"/>
        </w:rPr>
        <w:t xml:space="preserve">万元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采购需求：本项目共分两个包。采购包一：</w:t>
      </w:r>
      <w:r>
        <w:rPr>
          <w:rFonts w:hint="eastAsia" w:ascii="宋体" w:hAnsi="宋体" w:cs="宋体"/>
          <w:color w:val="auto"/>
          <w:spacing w:val="-2"/>
          <w:sz w:val="24"/>
          <w:highlight w:val="none"/>
        </w:rPr>
        <w:t xml:space="preserve">江苏省预算管理一体化平台泰州市本级驻场运维服务</w:t>
      </w:r>
      <w:r>
        <w:rPr>
          <w:rFonts w:hint="eastAsia" w:ascii="宋体" w:hAnsi="宋体" w:cs="宋体"/>
          <w:color w:val="auto"/>
          <w:sz w:val="24"/>
          <w:highlight w:val="none"/>
        </w:rPr>
        <w:t xml:space="preserve">；采购包二：江苏省政府采购交易平台泰州市本级运维服务；详见采购文件第四章</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szCs w:val="20"/>
          <w:highlight w:val="none"/>
          <w:lang w:val="en-US" w:eastAsia="zh-CN"/>
        </w:rPr>
      </w:pPr>
      <w:r>
        <w:rPr>
          <w:rFonts w:hint="eastAsia" w:ascii="宋体" w:hAnsi="宋体" w:cs="宋体"/>
          <w:color w:val="auto"/>
          <w:sz w:val="24"/>
          <w:highlight w:val="none"/>
          <w:shd w:val="clear" w:color="auto" w:fill="ffffff"/>
        </w:rPr>
        <w:t xml:space="preserve">合同履行期限</w:t>
      </w:r>
      <w:r>
        <w:rPr>
          <w:rFonts w:hint="eastAsia" w:ascii="宋体" w:hAnsi="宋体" w:cs="宋体"/>
          <w:color w:val="auto"/>
          <w:sz w:val="24"/>
          <w:szCs w:val="20"/>
          <w:highlight w:val="none"/>
        </w:rPr>
        <w:t xml:space="preserve">：自合同签订之日</w:t>
      </w:r>
      <w:r>
        <w:rPr>
          <w:rFonts w:hint="eastAsia" w:ascii="宋体" w:hAnsi="宋体" w:cs="宋体"/>
          <w:color w:val="auto"/>
          <w:sz w:val="24"/>
          <w:szCs w:val="20"/>
          <w:highlight w:val="none"/>
          <w:lang w:val="en-US" w:eastAsia="zh-CN"/>
        </w:rPr>
        <w:t xml:space="preserve">起1年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p>
      <w:pPr>
        <w:pStyle w:val="1219"/>
        <w:jc w:val="both"/>
        <w:keepLines w:val="0"/>
        <w:keepNext w:val="0"/>
        <w:spacing w:before="0" w:after="0" w:line="480" w:lineRule="auto"/>
        <w:rPr>
          <w:rFonts w:ascii="宋体" w:hAnsi="宋体" w:eastAsia="宋体" w:cs="宋体"/>
          <w:color w:val="auto"/>
          <w:sz w:val="24"/>
          <w:szCs w:val="24"/>
          <w:highlight w:val="none"/>
        </w:rPr>
      </w:pPr>
      <w:r/>
      <w:bookmarkStart w:id="8" w:name="_Toc28359013"/>
      <w:r/>
      <w:bookmarkStart w:id="9" w:name="_Toc35393630"/>
      <w:r/>
      <w:bookmarkStart w:id="10" w:name="_Toc28359090"/>
      <w:r/>
      <w:bookmarkStart w:id="11" w:name="_Toc35393799"/>
      <w:r>
        <w:rPr>
          <w:rFonts w:hint="eastAsia" w:ascii="宋体" w:hAnsi="宋体" w:eastAsia="宋体" w:cs="宋体"/>
          <w:color w:val="auto"/>
          <w:sz w:val="24"/>
          <w:szCs w:val="24"/>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（二）落实政府采购政策需满足的资格要求：本项目专门面向中小企业，供应商应为中小微企业、监狱企业、残疾人福利性单位。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（三）本项目的特定资格要求：无。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（四）未被“信用中国”网站（www.creditchina.gov.cn）列入失信被执行人、重大税收违法案件当事人名单、政府采购严重违法失信行为记录名单；</w:t>
      </w:r>
      <w:r/>
    </w:p>
    <w:p>
      <w:pPr>
        <w:ind w:firstLine="480"/>
        <w:spacing w:line="360" w:lineRule="auto"/>
        <w:rPr>
          <w:rFonts w:ascii="宋体" w:hAnsi="宋体" w:cs="宋体"/>
          <w:color w:val="auto"/>
          <w:sz w:val="24"/>
          <w:highlight w:val="none"/>
        </w:rPr>
      </w:pPr>
      <w:r/>
      <w:bookmarkStart w:id="12" w:name="_Toc35393631"/>
      <w:r/>
      <w:bookmarkStart w:id="13" w:name="_Toc28359014"/>
      <w:r/>
      <w:bookmarkStart w:id="14" w:name="_Toc28359091"/>
      <w:r/>
      <w:bookmarkStart w:id="15" w:name="_Toc35393800"/>
      <w:r>
        <w:rPr>
          <w:rFonts w:hint="eastAsia" w:ascii="宋体" w:hAnsi="宋体" w:cs="宋体"/>
          <w:color w:val="auto"/>
          <w:sz w:val="24"/>
          <w:highlight w:val="none"/>
        </w:rPr>
        <w:t xml:space="preserve">注：1.凡为本采购项目提供整体设计、规范编制或者项目管理、监理、检测等服务的供应商，不得再参加本采购项目的其他采购活动；</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2.单位法定代表人/负责人为同一人或者存在直接控股、管理关系的不同供应商，不得参加同一合同项下的政府采购活动。</w:t>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三、获取采购文件</w:t>
      </w:r>
      <w:bookmarkEnd w:id="12"/>
      <w:r/>
      <w:bookmarkEnd w:id="13"/>
      <w:r/>
      <w:bookmarkEnd w:id="14"/>
      <w:r/>
      <w:bookmarkEnd w:id="15"/>
      <w:r/>
      <w:r/>
    </w:p>
    <w:p>
      <w:pPr>
        <w:ind w:firstLine="480"/>
        <w:spacing w:line="360" w:lineRule="auto"/>
        <w:rPr>
          <w:rFonts w:ascii="宋体" w:hAnsi="宋体" w:cs="宋体"/>
          <w:color w:val="auto"/>
          <w:sz w:val="24"/>
          <w:highlight w:val="none"/>
        </w:rPr>
      </w:pPr>
      <w:r/>
      <w:bookmarkStart w:id="16" w:name="_Toc35393632"/>
      <w:r/>
      <w:bookmarkStart w:id="17" w:name="_Toc28359092"/>
      <w:r/>
      <w:bookmarkStart w:id="18" w:name="_Toc35393801"/>
      <w:r/>
      <w:bookmarkStart w:id="19" w:name="_Toc28359015"/>
      <w:r>
        <w:rPr>
          <w:rFonts w:hint="eastAsia" w:ascii="宋体" w:hAnsi="宋体" w:cs="宋体"/>
          <w:color w:val="auto"/>
          <w:sz w:val="24"/>
          <w:highlight w:val="none"/>
        </w:rPr>
        <w:t xml:space="preserve">时间：自公告发布之日起5个工作日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方式：供应商完成注册并办理CA证书后登录江苏政府采购“苏采云”系统下载本项目采购文件。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bookmarkEnd w:id="16"/>
      <w:r/>
      <w:bookmarkEnd w:id="17"/>
      <w:r/>
      <w:bookmarkEnd w:id="18"/>
      <w:r/>
      <w:bookmarkEnd w:id="19"/>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四、响应文件提交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02 </w:t>
      </w:r>
      <w:r>
        <w:rPr>
          <w:rFonts w:hint="eastAsia" w:ascii="宋体" w:hAnsi="宋体" w:cs="宋体"/>
          <w:color w:val="auto"/>
          <w:sz w:val="24"/>
          <w:highlight w:val="none"/>
          <w:lang w:eastAsia="zh-CN"/>
        </w:rPr>
        <w:t xml:space="preserve">14：30</w:t>
      </w:r>
      <w:r>
        <w:rPr>
          <w:rFonts w:hint="eastAsia" w:ascii="宋体" w:hAnsi="宋体" w:cs="宋体"/>
          <w:color w:val="auto"/>
          <w:sz w:val="24"/>
          <w:highlight w:val="none"/>
        </w:rPr>
        <w:t xml:space="preserve">（北京时间）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地点：江苏政府采购“苏采云”系统不见面开标大厅</w:t>
      </w:r>
      <w:r/>
    </w:p>
    <w:p>
      <w:pPr>
        <w:spacing w:line="360" w:lineRule="auto"/>
        <w:rPr>
          <w:rFonts w:ascii="宋体" w:hAnsi="宋体" w:cs="宋体"/>
          <w:b/>
          <w:bCs/>
          <w:color w:val="auto"/>
          <w:sz w:val="24"/>
          <w:highlight w:val="none"/>
        </w:rPr>
      </w:pPr>
      <w:r/>
      <w:bookmarkStart w:id="20" w:name="_Toc28359093"/>
      <w:r/>
      <w:bookmarkStart w:id="21" w:name="_Toc35393802"/>
      <w:r/>
      <w:bookmarkStart w:id="22" w:name="_Toc35393633"/>
      <w:r/>
      <w:bookmarkStart w:id="23" w:name="_Toc28359016"/>
      <w:r>
        <w:rPr>
          <w:rFonts w:hint="eastAsia" w:ascii="宋体" w:hAnsi="宋体" w:cs="宋体"/>
          <w:b/>
          <w:bCs/>
          <w:color w:val="auto"/>
          <w:sz w:val="24"/>
          <w:highlight w:val="none"/>
        </w:rPr>
        <w:t xml:space="preserve">五、开启</w:t>
      </w:r>
      <w:bookmarkEnd w:id="20"/>
      <w:r/>
      <w:bookmarkEnd w:id="21"/>
      <w:r/>
      <w:bookmarkEnd w:id="22"/>
      <w:r/>
      <w:bookmarkEnd w:id="23"/>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14：30</w:t>
      </w:r>
      <w:r>
        <w:rPr>
          <w:rFonts w:hint="eastAsia" w:ascii="宋体" w:hAnsi="宋体" w:cs="宋体"/>
          <w:color w:val="auto"/>
          <w:sz w:val="24"/>
          <w:highlight w:val="none"/>
        </w:rPr>
        <w:t xml:space="preserve">（北京时间）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地点：江苏政府采购“苏采云”系统不见面开标大厅</w:t>
      </w:r>
      <w:r/>
    </w:p>
    <w:p>
      <w:pPr>
        <w:spacing w:line="360" w:lineRule="auto"/>
        <w:rPr>
          <w:rFonts w:ascii="宋体" w:hAnsi="宋体" w:cs="宋体"/>
          <w:b/>
          <w:bCs/>
          <w:color w:val="auto"/>
          <w:sz w:val="24"/>
          <w:highlight w:val="none"/>
        </w:rPr>
      </w:pPr>
      <w:r/>
      <w:bookmarkStart w:id="24" w:name="_Toc35393803"/>
      <w:r/>
      <w:bookmarkStart w:id="25" w:name="_Toc28359094"/>
      <w:r/>
      <w:bookmarkStart w:id="26" w:name="_Toc28359017"/>
      <w:r/>
      <w:bookmarkStart w:id="27" w:name="_Toc35393634"/>
      <w:r>
        <w:rPr>
          <w:rFonts w:hint="eastAsia" w:ascii="宋体" w:hAnsi="宋体" w:cs="宋体"/>
          <w:b/>
          <w:bCs/>
          <w:color w:val="auto"/>
          <w:sz w:val="24"/>
          <w:highlight w:val="none"/>
        </w:rPr>
        <w:t xml:space="preserve">六、公告期限</w:t>
      </w:r>
      <w:bookmarkEnd w:id="24"/>
      <w:r/>
      <w:bookmarkEnd w:id="25"/>
      <w:r/>
      <w:bookmarkEnd w:id="26"/>
      <w:r/>
      <w:bookmarkEnd w:id="2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8" w:name="_Toc35393805"/>
      <w:r/>
      <w:bookmarkStart w:id="29" w:name="_Toc28359018"/>
      <w:r/>
      <w:bookmarkStart w:id="30" w:name="_Toc35393636"/>
      <w:r/>
      <w:bookmarkStart w:id="31" w:name="_Toc28359095"/>
      <w:r/>
      <w:r/>
    </w:p>
    <w:p>
      <w:pPr>
        <w:numPr>
          <w:ilvl w:val="0"/>
          <w:numId w:val="3"/>
        </w:numPr>
        <w:jc w:val="left"/>
        <w:spacing w:line="360" w:lineRule="auto"/>
        <w:widowControl/>
        <w:rPr>
          <w:b/>
          <w:bCs/>
          <w:color w:val="auto"/>
          <w:sz w:val="24"/>
          <w:highlight w:val="none"/>
        </w:rPr>
      </w:pPr>
      <w:r>
        <w:rPr>
          <w:b/>
          <w:bCs/>
          <w:color w:val="auto"/>
          <w:sz w:val="24"/>
          <w:highlight w:val="none"/>
        </w:rPr>
        <w:t xml:space="preserve">其他补充事项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1.采购项目需要落实的政府采购政策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政府采购促进中小企业发展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政府采购支持监狱企业发展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政府采购促进残疾人就业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政府采购鼓励采购绿色节能环保产品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商品包装环保要求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2.本项目采用网上注册登记方式。潜在投标供应商访问电子招标投标交易平台的网络地址和方法：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（1）登录http://www.ccgp-jiangsu.gov.cn/，点击“苏采云”进入系统。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（2）“CA数字证书”的获取：投标人需办理CA锁（原国信CA</w:t>
      </w:r>
      <w:r>
        <w:rPr>
          <w:rFonts w:hint="eastAsia" w:ascii="宋体" w:hAnsi="宋体" w:cs="宋体"/>
          <w:color w:val="auto"/>
          <w:sz w:val="24"/>
          <w:highlight w:val="none"/>
          <w:lang w:eastAsia="zh-CN"/>
        </w:rPr>
        <w:t xml:space="preserve">需</w:t>
      </w:r>
      <w:r>
        <w:rPr>
          <w:rFonts w:hint="eastAsia" w:ascii="宋体" w:hAnsi="宋体" w:cs="宋体"/>
          <w:color w:val="auto"/>
          <w:sz w:val="24"/>
          <w:highlight w:val="none"/>
        </w:rPr>
        <w:t xml:space="preserve">更换新CA,详见http://jsxcmm.com/help/gys.html）。投标客户端工具及投标人操作手册可访问江苏政府采购网，“资料下载”进行下载《江苏省政府采购管理交易系统（苏采云）供应商操作手册及政府采购客户端》。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3.领取CA和办理电子签章请至（泰州市高港区泰州大道388号（原中国医药城会展交易中心W3馆西南角）泰州市公共资源交易中心一楼大厅CA办理窗口，电话：0523-81568158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4.采购代理机构将数据电文形式的采购文件加载至电子招标投标交易平台，供潜在投标人下载或者查阅。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5.有关本次采购的事项若存在变动或修改，敬请及时关注“江苏政府采购网”“泰州市政府采购网”发布的更正公告。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6.如潜在投标供应商未按上述要求操作，将自行承担所产生的一切风险。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7.在评标结束前，各投标人授权代表应保持手机畅通，以便及时澄清答疑、磋商。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8.投标供应商可以同时参与两个包的投标，可同时中两个包。开标、评标、定标按一包、二包的顺序进行。</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ascii="宋体" w:hAnsi="宋体" w:cs="宋体"/>
          <w:color w:val="auto"/>
          <w:sz w:val="24"/>
          <w:highlight w:val="none"/>
        </w:rPr>
      </w:pPr>
      <w:r/>
      <w:bookmarkStart w:id="32" w:name="_Toc28359086"/>
      <w:r/>
      <w:bookmarkStart w:id="33" w:name="_Toc28359009"/>
      <w:r>
        <w:rPr>
          <w:rFonts w:hint="eastAsia" w:ascii="宋体" w:hAnsi="宋体" w:cs="宋体"/>
          <w:color w:val="auto"/>
          <w:sz w:val="24"/>
          <w:highlight w:val="none"/>
        </w:rPr>
        <w:t xml:space="preserve">1.采购人</w:t>
      </w:r>
      <w:r/>
    </w:p>
    <w:p>
      <w:pPr>
        <w:ind w:firstLine="480"/>
        <w:jc w:val="left"/>
        <w:spacing w:line="360" w:lineRule="auto"/>
        <w:shd w:val="clear" w:color="auto" w:fill="ffffff"/>
        <w:widowControl/>
        <w:rPr>
          <w:rFonts w:ascii="宋体" w:hAnsi="宋体" w:cs="宋体"/>
          <w:color w:val="auto"/>
          <w:sz w:val="24"/>
          <w:szCs w:val="20"/>
          <w:highlight w:val="none"/>
        </w:rPr>
      </w:pPr>
      <w:r>
        <w:rPr>
          <w:rFonts w:hint="eastAsia" w:ascii="宋体" w:hAnsi="宋体" w:cs="宋体"/>
          <w:color w:val="auto"/>
          <w:sz w:val="24"/>
          <w:highlight w:val="none"/>
        </w:rPr>
        <w:t xml:space="preserve">单</w:t>
      </w:r>
      <w:r>
        <w:rPr>
          <w:rFonts w:hint="eastAsia" w:ascii="宋体" w:hAnsi="宋体" w:cs="宋体"/>
          <w:color w:val="auto"/>
          <w:sz w:val="24"/>
          <w:szCs w:val="20"/>
          <w:highlight w:val="none"/>
        </w:rPr>
        <w:t xml:space="preserve">位名称：泰州市财政局</w:t>
      </w:r>
      <w:r/>
    </w:p>
    <w:p>
      <w:pPr>
        <w:ind w:firstLine="480"/>
        <w:jc w:val="left"/>
        <w:spacing w:line="360" w:lineRule="auto"/>
        <w:shd w:val="clear" w:color="auto" w:fill="ffffff"/>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联系地址：泰州市海陵南路302号</w:t>
      </w:r>
      <w:r/>
    </w:p>
    <w:p>
      <w:pPr>
        <w:ind w:firstLine="480"/>
        <w:jc w:val="left"/>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联 系 人：叶先生 </w:t>
      </w:r>
      <w:r/>
    </w:p>
    <w:p>
      <w:pPr>
        <w:ind w:firstLine="480"/>
        <w:jc w:val="left"/>
        <w:spacing w:line="360" w:lineRule="auto"/>
        <w:shd w:val="clear" w:color="auto" w:fill="ffffff"/>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联系电话：0523-86888086</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2"/>
      <w:r/>
      <w:bookmarkEnd w:id="33"/>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名 称：江苏经纬资产土地房地产评估测绘工程咨询有限公司</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址：泰州市海陵区莲花6号小区A幢-8室</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联系人：万工、王工</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联系方式：0523-86330779</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项目联系人：万工、王工</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电话：0523-86330779</w:t>
      </w:r>
      <w:r/>
    </w:p>
    <w:p>
      <w:pPr>
        <w:rPr>
          <w:color w:val="auto"/>
          <w:highlight w:val="none"/>
        </w:rPr>
      </w:pPr>
      <w:r/>
      <w:bookmarkStart w:id="34" w:name="_Toc28896"/>
      <w:r/>
      <w:bookmarkEnd w:id="1"/>
      <w:r/>
      <w:bookmarkEnd w:id="2"/>
      <w:r/>
      <w:bookmarkEnd w:id="3"/>
      <w:r/>
      <w:bookmarkEnd w:id="34"/>
      <w:r/>
      <w:r/>
    </w:p>
    <w:p>
      <w:pPr>
        <w:rPr>
          <w:rFonts w:ascii="宋体" w:hAnsi="宋体" w:cs="宋体"/>
          <w:b/>
          <w:color w:val="auto"/>
          <w:sz w:val="32"/>
          <w:szCs w:val="32"/>
          <w:highlight w:val="none"/>
        </w:rPr>
      </w:pPr>
      <w:r/>
      <w:bookmarkStart w:id="35" w:name="_Toc20325"/>
      <w:r>
        <w:rPr>
          <w:rFonts w:hint="eastAsia" w:ascii="宋体" w:hAnsi="宋体" w:cs="宋体"/>
          <w:b/>
          <w:color w:val="auto"/>
          <w:sz w:val="32"/>
          <w:szCs w:val="32"/>
          <w:highlight w:val="none"/>
        </w:rPr>
        <w:br w:type="page" w:clear="all"/>
      </w:r>
      <w:r/>
    </w:p>
    <w:p>
      <w:pPr>
        <w:jc w:val="center"/>
        <w:spacing w:line="360" w:lineRule="auto"/>
        <w:tabs>
          <w:tab w:val="left" w:pos="1515"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参加磋商的供应商须知</w:t>
      </w:r>
      <w:r/>
    </w:p>
    <w:p>
      <w:pPr>
        <w:ind w:firstLine="480"/>
        <w:jc w:val="center"/>
        <w:spacing w:line="360" w:lineRule="auto"/>
        <w:rPr>
          <w:rFonts w:ascii="宋体" w:hAnsi="宋体"/>
          <w:b/>
          <w:bCs/>
          <w:color w:val="auto"/>
          <w:sz w:val="24"/>
          <w:highlight w:val="none"/>
        </w:rPr>
      </w:pPr>
      <w:r>
        <w:rPr>
          <w:rFonts w:hint="eastAsia" w:ascii="宋体" w:hAnsi="宋体"/>
          <w:bCs/>
          <w:color w:val="auto"/>
          <w:sz w:val="24"/>
          <w:highlight w:val="none"/>
        </w:rPr>
        <w:t xml:space="preserve">（参加竞争性磋商的供应商以下简称“磋商供应商”）</w:t>
      </w:r>
      <w:r/>
    </w:p>
    <w:p>
      <w:pPr>
        <w:ind w:firstLine="480"/>
        <w:spacing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一、总则</w:t>
      </w:r>
      <w:r/>
    </w:p>
    <w:p>
      <w:pPr>
        <w:ind w:firstLine="480"/>
        <w:spacing w:line="360" w:lineRule="auto"/>
        <w:tabs>
          <w:tab w:val="left" w:pos="900" w:leader="none"/>
          <w:tab w:val="center" w:pos="4873" w:leader="none"/>
        </w:tabs>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适用范围</w:t>
      </w:r>
      <w:r>
        <w:rPr>
          <w:rFonts w:hint="eastAsia" w:ascii="宋体" w:hAnsi="宋体"/>
          <w:color w:val="auto"/>
          <w:sz w:val="24"/>
          <w:highlight w:val="none"/>
        </w:rPr>
        <w:tab/>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本磋商文件仅适用于</w:t>
      </w:r>
      <w:r>
        <w:rPr>
          <w:rFonts w:hint="eastAsia" w:ascii="宋体" w:hAnsi="宋体" w:cs="宋体"/>
          <w:color w:val="auto"/>
          <w:sz w:val="24"/>
          <w:highlight w:val="none"/>
          <w:lang w:eastAsia="zh-CN"/>
        </w:rPr>
        <w:t xml:space="preserve">江苏省财政管理信息化平台泰州市本级驻场运维</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项目采购方式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本次采购采取竞争性磋商的方式。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合格的磋商供应商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3.1满足本磋商文件“竞争性磋商采购公告”中合格磋商供应商资格要求的规定。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3.2满足本磋商文件实质性要求和条件的规定。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参加磋商的费用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4.1参加磋商的供应商应自行承担所有与参加磋商有关的费用。不论最终的成交结果如何，</w:t>
      </w:r>
      <w:r>
        <w:rPr>
          <w:rFonts w:hint="eastAsia"/>
          <w:color w:val="auto"/>
          <w:sz w:val="24"/>
          <w:highlight w:val="none"/>
        </w:rPr>
        <w:t xml:space="preserve">江苏经纬资产土地房地产评估测绘工程咨询有限公司</w:t>
      </w:r>
      <w:r>
        <w:rPr>
          <w:rFonts w:hint="eastAsia" w:ascii="宋体" w:hAnsi="宋体"/>
          <w:color w:val="auto"/>
          <w:sz w:val="24"/>
          <w:highlight w:val="none"/>
        </w:rPr>
        <w:t xml:space="preserve">（以下简称代理机构）在任何情况下均无义务和责任承担这些费用。</w:t>
      </w:r>
      <w:r/>
    </w:p>
    <w:p>
      <w:pPr>
        <w:ind w:firstLine="480"/>
        <w:spacing w:line="360" w:lineRule="auto"/>
        <w:rPr>
          <w:color w:val="auto"/>
          <w:sz w:val="24"/>
          <w:highlight w:val="none"/>
        </w:rPr>
      </w:pPr>
      <w:r>
        <w:rPr>
          <w:rFonts w:hint="eastAsia"/>
          <w:color w:val="auto"/>
          <w:sz w:val="24"/>
          <w:highlight w:val="none"/>
        </w:rPr>
        <w:t xml:space="preserve">4.2本项目招标代理服务费由成交供应商支付。招标代理服务费参照国家计委计价格〔2002〕1980号文件收取。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磋商文件的约束力</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ascii="宋体" w:hAnsi="宋体"/>
          <w:color w:val="auto"/>
          <w:sz w:val="24"/>
          <w:highlight w:val="none"/>
        </w:rPr>
      </w:pPr>
      <w:r/>
      <w:bookmarkStart w:id="36" w:name="_Hlt26954832"/>
      <w:r/>
      <w:bookmarkEnd w:id="36"/>
      <w:r/>
      <w:bookmarkStart w:id="37" w:name="_Hlt26954830"/>
      <w:r/>
      <w:bookmarkEnd w:id="37"/>
      <w:r/>
      <w:bookmarkStart w:id="38" w:name="_Hlt26670354"/>
      <w:r/>
      <w:bookmarkEnd w:id="38"/>
      <w:r/>
      <w:bookmarkStart w:id="39" w:name="_Hlt26670348"/>
      <w:r/>
      <w:bookmarkEnd w:id="39"/>
      <w:r/>
      <w:bookmarkStart w:id="40" w:name="_Hlt26954828"/>
      <w:r/>
      <w:bookmarkEnd w:id="40"/>
      <w:r/>
      <w:bookmarkStart w:id="41" w:name="_Hlt26670345"/>
      <w:r/>
      <w:bookmarkEnd w:id="41"/>
      <w:r/>
      <w:bookmarkStart w:id="42" w:name="_Hlt26668969"/>
      <w:r/>
      <w:bookmarkEnd w:id="42"/>
      <w:r/>
      <w:bookmarkStart w:id="43" w:name="_Toc61149553"/>
      <w:r/>
      <w:bookmarkStart w:id="44" w:name="_Toc462564072"/>
      <w:r/>
      <w:bookmarkStart w:id="45" w:name="_Toc513029213"/>
      <w:r/>
      <w:bookmarkStart w:id="46" w:name="_Toc14577351"/>
      <w:r>
        <w:rPr>
          <w:rFonts w:hint="eastAsia" w:ascii="宋体" w:hAnsi="宋体"/>
          <w:color w:val="auto"/>
          <w:sz w:val="24"/>
          <w:highlight w:val="none"/>
        </w:rPr>
        <w:t xml:space="preserve">6.磋商文件的解释</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磋商文件需求部分（供应商资格要求、项目需求、商务技术评分标准</w:t>
      </w:r>
      <w:r>
        <w:rPr>
          <w:rFonts w:hint="eastAsia" w:ascii="宋体" w:hAnsi="宋体"/>
          <w:color w:val="auto"/>
          <w:sz w:val="24"/>
          <w:highlight w:val="none"/>
          <w:lang w:val="en-US" w:eastAsia="zh-CN"/>
        </w:rPr>
        <w:t xml:space="preserve">等</w:t>
      </w:r>
      <w:r>
        <w:rPr>
          <w:rFonts w:hint="eastAsia" w:ascii="宋体" w:hAnsi="宋体"/>
          <w:color w:val="auto"/>
          <w:sz w:val="24"/>
          <w:highlight w:val="none"/>
        </w:rPr>
        <w:t xml:space="preserve">）由采购人解释，其他部分由采购代理机构解释。</w:t>
      </w:r>
      <w:r/>
    </w:p>
    <w:p>
      <w:pPr>
        <w:ind w:firstLine="480"/>
        <w:spacing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二、磋商响应文件的编制</w:t>
      </w:r>
      <w:bookmarkEnd w:id="43"/>
      <w:r/>
      <w:bookmarkEnd w:id="44"/>
      <w:r/>
      <w:bookmarkEnd w:id="45"/>
      <w:r/>
      <w:bookmarkEnd w:id="46"/>
      <w:r/>
      <w:r/>
    </w:p>
    <w:p>
      <w:pPr>
        <w:ind w:firstLine="480"/>
        <w:spacing w:line="360" w:lineRule="auto"/>
        <w:tabs>
          <w:tab w:val="left" w:pos="900" w:leader="none"/>
        </w:tabs>
        <w:rPr>
          <w:rFonts w:ascii="宋体" w:hAnsi="宋体"/>
          <w:color w:val="auto"/>
          <w:sz w:val="24"/>
          <w:highlight w:val="none"/>
        </w:rPr>
      </w:pPr>
      <w:r/>
      <w:bookmarkStart w:id="47" w:name="_Hlt26954836"/>
      <w:r/>
      <w:bookmarkEnd w:id="47"/>
      <w:r/>
      <w:bookmarkStart w:id="48" w:name="_Hlt26670357"/>
      <w:r/>
      <w:bookmarkEnd w:id="48"/>
      <w:r/>
      <w:bookmarkStart w:id="49" w:name="_Toc513029210"/>
      <w:r/>
      <w:bookmarkStart w:id="50" w:name="_Toc16938526"/>
      <w:r/>
      <w:bookmarkStart w:id="51" w:name="_Toc20823282"/>
      <w:r/>
      <w:bookmarkStart w:id="52" w:name="_Toc20823309"/>
      <w:r/>
      <w:bookmarkStart w:id="53" w:name="_Toc16938553"/>
      <w:r/>
      <w:bookmarkStart w:id="54" w:name="_Toc513029237"/>
      <w:r>
        <w:rPr>
          <w:rFonts w:hint="eastAsia" w:ascii="宋体" w:hAnsi="宋体"/>
          <w:color w:val="auto"/>
          <w:sz w:val="24"/>
          <w:highlight w:val="none"/>
        </w:rPr>
        <w:t xml:space="preserve">1.磋商文件的构成</w:t>
      </w:r>
      <w:bookmarkEnd w:id="49"/>
      <w:r/>
      <w:bookmarkEnd w:id="50"/>
      <w:r/>
      <w:bookmarkEnd w:id="51"/>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 磋商文件由以下部分组成：</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（1）竞争性磋商公告</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（5）评审方法和评审标准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（6）响应文件组成和格式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请仔细检查磋商文件是否齐全，如有缺漏请立即与采购人或采购代理机构联系解决。</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ascii="宋体" w:hAnsi="宋体"/>
          <w:color w:val="auto"/>
          <w:sz w:val="24"/>
          <w:highlight w:val="none"/>
        </w:rPr>
      </w:pPr>
      <w:r/>
      <w:bookmarkStart w:id="55" w:name="_Toc513029211"/>
      <w:r/>
      <w:bookmarkStart w:id="56" w:name="_Toc462564070"/>
      <w:r/>
      <w:bookmarkStart w:id="57" w:name="_Toc20823283"/>
      <w:r/>
      <w:bookmarkStart w:id="58" w:name="_Toc16938527"/>
      <w:r>
        <w:rPr>
          <w:rFonts w:hint="eastAsia" w:ascii="宋体" w:hAnsi="宋体"/>
          <w:color w:val="auto"/>
          <w:sz w:val="24"/>
          <w:highlight w:val="none"/>
        </w:rPr>
        <w:t xml:space="preserve">2.磋商文件的澄清</w:t>
      </w:r>
      <w:bookmarkEnd w:id="55"/>
      <w:r/>
      <w:bookmarkEnd w:id="56"/>
      <w:r/>
      <w:bookmarkEnd w:id="57"/>
      <w:r/>
      <w:bookmarkEnd w:id="58"/>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ascii="宋体" w:hAnsi="宋体"/>
          <w:color w:val="auto"/>
          <w:sz w:val="24"/>
          <w:highlight w:val="none"/>
        </w:rPr>
      </w:pPr>
      <w:r/>
      <w:bookmarkStart w:id="59" w:name="_Toc20823284"/>
      <w:r/>
      <w:bookmarkStart w:id="60" w:name="_Toc462564071"/>
      <w:r/>
      <w:bookmarkStart w:id="61" w:name="_Toc513029212"/>
      <w:r/>
      <w:bookmarkStart w:id="62" w:name="_Toc16938528"/>
      <w:r>
        <w:rPr>
          <w:rFonts w:hint="eastAsia" w:ascii="宋体" w:hAnsi="宋体"/>
          <w:color w:val="auto"/>
          <w:sz w:val="24"/>
          <w:highlight w:val="none"/>
        </w:rPr>
        <w:t xml:space="preserve">3.磋商文件的修改</w:t>
      </w:r>
      <w:bookmarkEnd w:id="59"/>
      <w:r/>
      <w:bookmarkEnd w:id="60"/>
      <w:r/>
      <w:bookmarkEnd w:id="61"/>
      <w:r/>
      <w:bookmarkEnd w:id="62"/>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3.1在响应文件提交截止时</w:t>
      </w:r>
      <w:r>
        <w:rPr>
          <w:rFonts w:hint="eastAsia" w:ascii="宋体" w:hAnsi="宋体"/>
          <w:color w:val="auto"/>
          <w:sz w:val="24"/>
          <w:highlight w:val="none"/>
          <w:lang w:eastAsia="zh-CN"/>
        </w:rPr>
        <w:t xml:space="preserve">间之</w:t>
      </w:r>
      <w:r>
        <w:rPr>
          <w:rFonts w:hint="eastAsia" w:ascii="宋体" w:hAnsi="宋体"/>
          <w:color w:val="auto"/>
          <w:sz w:val="24"/>
          <w:highlight w:val="none"/>
        </w:rPr>
        <w:t xml:space="preserve">前，采购人或采购代理机构可以对磋商文件进行修改</w:t>
      </w:r>
      <w:r>
        <w:rPr>
          <w:rFonts w:hint="eastAsia" w:ascii="宋体" w:hAnsi="宋体"/>
          <w:color w:val="auto"/>
          <w:sz w:val="24"/>
          <w:highlight w:val="none"/>
          <w:lang w:val="zh-CN"/>
        </w:rPr>
        <w:t xml:space="preserve">， 澄清或者修改的</w:t>
      </w:r>
      <w:r>
        <w:rPr>
          <w:rFonts w:hint="eastAsia" w:ascii="宋体" w:hAnsi="宋体"/>
          <w:color w:val="auto"/>
          <w:sz w:val="24"/>
          <w:highlight w:val="none"/>
        </w:rPr>
        <w:t xml:space="preserve">内容</w:t>
      </w:r>
      <w:r>
        <w:rPr>
          <w:rFonts w:hint="eastAsia" w:ascii="宋体" w:hAnsi="宋体"/>
          <w:color w:val="auto"/>
          <w:sz w:val="24"/>
          <w:highlight w:val="none"/>
          <w:lang w:val="zh-CN"/>
        </w:rPr>
        <w:t xml:space="preserve">作为磋商文件的组成部分。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3.2采购人或采购代理机构有权按照法定的要求推迟响应文件提交截止日期和磋商日期。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kedt”），离线编制响应文件，否则，将自行承担相应的风险。</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ascii="宋体" w:hAnsi="宋体"/>
          <w:color w:val="auto"/>
          <w:sz w:val="24"/>
          <w:highlight w:val="none"/>
        </w:rPr>
      </w:pPr>
      <w:r/>
      <w:bookmarkStart w:id="63" w:name="_Toc16938529"/>
      <w:r/>
      <w:bookmarkStart w:id="64" w:name="_Toc20823285"/>
      <w:r/>
      <w:bookmarkStart w:id="65" w:name="_Toc120614216"/>
      <w:r>
        <w:rPr>
          <w:rFonts w:hint="eastAsia" w:ascii="宋体" w:hAnsi="宋体"/>
          <w:color w:val="auto"/>
          <w:sz w:val="24"/>
          <w:highlight w:val="none"/>
        </w:rPr>
        <w:t xml:space="preserve">三、响应文件的编制</w:t>
      </w:r>
      <w:bookmarkEnd w:id="63"/>
      <w:r/>
      <w:bookmarkEnd w:id="64"/>
      <w:r/>
      <w:bookmarkEnd w:id="65"/>
      <w:r/>
      <w:r/>
    </w:p>
    <w:p>
      <w:pPr>
        <w:ind w:firstLine="480"/>
        <w:spacing w:line="360" w:lineRule="auto"/>
        <w:tabs>
          <w:tab w:val="left" w:pos="900" w:leader="none"/>
        </w:tabs>
        <w:rPr>
          <w:rFonts w:ascii="宋体" w:hAnsi="宋体"/>
          <w:color w:val="auto"/>
          <w:sz w:val="24"/>
          <w:highlight w:val="none"/>
        </w:rPr>
      </w:pPr>
      <w:r/>
      <w:bookmarkStart w:id="66" w:name="_Toc20823286"/>
      <w:r/>
      <w:bookmarkStart w:id="67" w:name="_Toc462564073"/>
      <w:r/>
      <w:bookmarkStart w:id="68" w:name="_Toc513029214"/>
      <w:r/>
      <w:bookmarkStart w:id="69" w:name="_Toc16938530"/>
      <w:r>
        <w:rPr>
          <w:rFonts w:hint="eastAsia" w:ascii="宋体" w:hAnsi="宋体"/>
          <w:color w:val="auto"/>
          <w:sz w:val="24"/>
          <w:highlight w:val="none"/>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1.2除技术性能另有规定外，响应文件所使用的度量衡单位，均须采用国家法定计量单位。</w:t>
      </w:r>
      <w:r/>
    </w:p>
    <w:p>
      <w:pPr>
        <w:ind w:firstLine="480"/>
        <w:spacing w:line="360" w:lineRule="auto"/>
        <w:tabs>
          <w:tab w:val="left" w:pos="900" w:leader="none"/>
        </w:tabs>
        <w:rPr>
          <w:rFonts w:ascii="宋体" w:hAnsi="宋体"/>
          <w:color w:val="auto"/>
          <w:sz w:val="24"/>
          <w:highlight w:val="none"/>
        </w:rPr>
      </w:pPr>
      <w:r/>
      <w:bookmarkStart w:id="70" w:name="_Toc513029215"/>
      <w:r/>
      <w:bookmarkStart w:id="71" w:name="_Toc20823287"/>
      <w:r/>
      <w:bookmarkStart w:id="72" w:name="_Toc16938531"/>
      <w:r/>
      <w:bookmarkStart w:id="73" w:name="_Toc462564074"/>
      <w:r>
        <w:rPr>
          <w:rFonts w:hint="eastAsia" w:ascii="宋体" w:hAnsi="宋体"/>
          <w:color w:val="auto"/>
          <w:sz w:val="24"/>
          <w:highlight w:val="none"/>
        </w:rPr>
        <w:t xml:space="preserve">2.响应文件构成</w:t>
      </w:r>
      <w:bookmarkEnd w:id="70"/>
      <w:r/>
      <w:bookmarkEnd w:id="71"/>
      <w:r/>
      <w:bookmarkEnd w:id="72"/>
      <w:r/>
      <w:bookmarkEnd w:id="73"/>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2.1供应商编写的响应文件应包括资格审查文件、商务技术响应文件、报价响应文件</w:t>
      </w:r>
      <w:r>
        <w:rPr>
          <w:rFonts w:hint="eastAsia" w:ascii="宋体" w:hAnsi="宋体"/>
          <w:color w:val="auto"/>
          <w:sz w:val="24"/>
          <w:highlight w:val="none"/>
          <w:lang w:val="en-US" w:eastAsia="zh-CN"/>
        </w:rPr>
        <w:t xml:space="preserve">等</w:t>
      </w:r>
      <w:r>
        <w:rPr>
          <w:rFonts w:hint="eastAsia" w:ascii="宋体" w:hAnsi="宋体"/>
          <w:color w:val="auto"/>
          <w:sz w:val="24"/>
          <w:highlight w:val="none"/>
        </w:rPr>
        <w:t xml:space="preserve">。供应商按第六章响应文件的组成和格式要求编写响应文件。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3.磋商响应报价</w:t>
      </w:r>
      <w:bookmarkStart w:id="74" w:name="_Hlt26670373"/>
      <w:r/>
      <w:bookmarkEnd w:id="74"/>
      <w:r>
        <w:rPr>
          <w:rFonts w:hint="eastAsia" w:ascii="宋体" w:hAnsi="宋体"/>
          <w:color w:val="auto"/>
          <w:sz w:val="24"/>
          <w:highlight w:val="none"/>
        </w:rPr>
        <w:t xml:space="preserve">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3.2标的物</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详见项目需求。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3.3有关费用的处理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磋商文件未列明，而磋商供应商认为必需的费用也须列入报价。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3.4报价采用的货币</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3.5磋商响应报价表上的价格应按磋商文件规定填写。</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4.磋商保证金：无</w:t>
      </w:r>
      <w:r/>
    </w:p>
    <w:p>
      <w:pPr>
        <w:ind w:firstLine="480"/>
        <w:spacing w:line="360" w:lineRule="auto"/>
        <w:tabs>
          <w:tab w:val="left" w:pos="900" w:leader="none"/>
        </w:tabs>
        <w:rPr>
          <w:rFonts w:ascii="宋体" w:hAnsi="宋体"/>
          <w:color w:val="auto"/>
          <w:sz w:val="24"/>
          <w:highlight w:val="none"/>
        </w:rPr>
      </w:pPr>
      <w:r/>
      <w:bookmarkStart w:id="75" w:name="_Hlt26670360"/>
      <w:r/>
      <w:bookmarkEnd w:id="75"/>
      <w:r/>
      <w:bookmarkStart w:id="76" w:name="_Hlt26954838"/>
      <w:r/>
      <w:bookmarkEnd w:id="76"/>
      <w:r/>
      <w:bookmarkStart w:id="77" w:name="_Hlt26668975"/>
      <w:r/>
      <w:bookmarkEnd w:id="77"/>
      <w:r/>
      <w:bookmarkStart w:id="78" w:name="_Toc14577360"/>
      <w:r/>
      <w:bookmarkStart w:id="79" w:name="_Toc49090511"/>
      <w:r>
        <w:rPr>
          <w:rFonts w:hint="eastAsia" w:ascii="宋体" w:hAnsi="宋体"/>
          <w:color w:val="auto"/>
          <w:sz w:val="24"/>
          <w:highlight w:val="none"/>
        </w:rPr>
        <w:t xml:space="preserve">5.</w:t>
      </w:r>
      <w:bookmarkEnd w:id="78"/>
      <w:r/>
      <w:bookmarkEnd w:id="79"/>
      <w:r>
        <w:rPr>
          <w:rFonts w:hint="eastAsia" w:ascii="宋体" w:hAnsi="宋体"/>
          <w:color w:val="auto"/>
          <w:sz w:val="24"/>
          <w:highlight w:val="none"/>
        </w:rPr>
        <w:t xml:space="preserve">磋商响应有效期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 磋商响应有效期的延长</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ascii="宋体" w:hAnsi="宋体"/>
          <w:color w:val="auto"/>
          <w:sz w:val="24"/>
          <w:highlight w:val="none"/>
        </w:rPr>
      </w:pPr>
      <w:r/>
      <w:bookmarkStart w:id="80" w:name="_Hlt26954852"/>
      <w:r/>
      <w:bookmarkEnd w:id="80"/>
      <w:r/>
      <w:bookmarkStart w:id="81" w:name="_Hlt26954739"/>
      <w:r/>
      <w:bookmarkEnd w:id="81"/>
      <w:r/>
      <w:bookmarkStart w:id="82" w:name="_Toc120614217"/>
      <w:r/>
      <w:bookmarkStart w:id="83" w:name="_Toc513029224"/>
      <w:r/>
      <w:bookmarkStart w:id="84" w:name="_Toc20823296"/>
      <w:r/>
      <w:bookmarkStart w:id="85" w:name="_Toc16938540"/>
      <w:r>
        <w:rPr>
          <w:rFonts w:hint="eastAsia" w:ascii="宋体" w:hAnsi="宋体"/>
          <w:color w:val="auto"/>
          <w:sz w:val="24"/>
          <w:highlight w:val="none"/>
        </w:rPr>
        <w:t xml:space="preserve">7.电子响应文件其他要求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7.1电子招标投标交易平台（即“苏采云”系统）相关要求是本采购文件的组成部分。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7.2供应商应对CA证书妥善保管，如被他人盗用投标，因此带来的后果均由供应商自行承担。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7.3供应商应当对采购文件提出的实质性要求和条件作出实质性响应，并在电子投标系统</w:t>
      </w:r>
      <w:r>
        <w:rPr>
          <w:rFonts w:hint="eastAsia" w:ascii="宋体" w:hAnsi="宋体"/>
          <w:color w:val="auto"/>
          <w:sz w:val="24"/>
          <w:highlight w:val="none"/>
          <w:lang w:eastAsia="zh-CN"/>
        </w:rPr>
        <w:t xml:space="preserve">中</w:t>
      </w:r>
      <w:r>
        <w:rPr>
          <w:rFonts w:hint="eastAsia" w:ascii="宋体" w:hAnsi="宋体"/>
          <w:color w:val="auto"/>
          <w:sz w:val="24"/>
          <w:highlight w:val="none"/>
        </w:rPr>
        <w:t xml:space="preserve">逐条应答。</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四、响应文件的提交</w:t>
      </w:r>
      <w:bookmarkEnd w:id="82"/>
      <w:r/>
      <w:bookmarkEnd w:id="83"/>
      <w:r/>
      <w:bookmarkEnd w:id="84"/>
      <w:r/>
      <w:bookmarkEnd w:id="85"/>
      <w:r/>
      <w:r/>
    </w:p>
    <w:p>
      <w:pPr>
        <w:ind w:firstLine="480"/>
        <w:spacing w:line="360" w:lineRule="auto"/>
        <w:tabs>
          <w:tab w:val="left" w:pos="900" w:leader="none"/>
        </w:tabs>
        <w:rPr>
          <w:rFonts w:ascii="宋体" w:hAnsi="宋体"/>
          <w:color w:val="auto"/>
          <w:sz w:val="24"/>
          <w:highlight w:val="none"/>
        </w:rPr>
      </w:pPr>
      <w:r/>
      <w:bookmarkStart w:id="86" w:name="_Toc513029225"/>
      <w:r/>
      <w:bookmarkStart w:id="87" w:name="_Toc462564084"/>
      <w:r/>
      <w:bookmarkStart w:id="88" w:name="_Toc16938541"/>
      <w:r/>
      <w:bookmarkStart w:id="89" w:name="_Toc20823297"/>
      <w:r/>
      <w:bookmarkStart w:id="90" w:name="_Toc120614218"/>
      <w:r/>
      <w:bookmarkStart w:id="91" w:name="_Toc20823301"/>
      <w:r/>
      <w:bookmarkStart w:id="92" w:name="_Toc513029229"/>
      <w:r/>
      <w:bookmarkStart w:id="93" w:name="_Toc16938545"/>
      <w:r>
        <w:rPr>
          <w:rFonts w:hint="eastAsia" w:ascii="宋体" w:hAnsi="宋体"/>
          <w:color w:val="auto"/>
          <w:sz w:val="24"/>
          <w:highlight w:val="none"/>
        </w:rPr>
        <w:t xml:space="preserve">1.响应文件</w:t>
      </w:r>
      <w:bookmarkEnd w:id="86"/>
      <w:r/>
      <w:bookmarkEnd w:id="87"/>
      <w:r/>
      <w:bookmarkEnd w:id="88"/>
      <w:r/>
      <w:bookmarkEnd w:id="89"/>
      <w:r>
        <w:rPr>
          <w:rFonts w:hint="eastAsia" w:ascii="宋体" w:hAnsi="宋体"/>
          <w:color w:val="auto"/>
          <w:sz w:val="24"/>
          <w:highlight w:val="none"/>
        </w:rPr>
        <w:t xml:space="preserve">的提交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线上提交与接收地点：供应商应当通过“苏采云”系统提交数据电文形式的响应文件（即电子投标</w:t>
      </w:r>
      <w:r>
        <w:rPr>
          <w:rFonts w:hint="eastAsia" w:ascii="宋体" w:hAnsi="宋体"/>
          <w:color w:val="auto"/>
          <w:sz w:val="24"/>
          <w:highlight w:val="none"/>
          <w:lang w:val="en-US" w:eastAsia="zh-CN"/>
        </w:rPr>
        <w:t xml:space="preserve">文件</w:t>
      </w:r>
      <w:r>
        <w:rPr>
          <w:rFonts w:hint="eastAsia" w:ascii="宋体" w:hAnsi="宋体"/>
          <w:color w:val="auto"/>
          <w:sz w:val="24"/>
          <w:highlight w:val="none"/>
        </w:rPr>
        <w:t xml:space="preserve">），“苏采云”系统自动接收。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2.提交响应文件截止日期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2.1供应商上传电子响应文件的时间不得迟于竞争性磋商公告中规定的响应文件提交截止时间。</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3.响应文件的密封（加密）要求：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3.2供应商须通过“苏采云”系统提供的政府采购客户端工具（使用“CA数字证书”）加盖电子签章。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3.3供应商未按规定加密的响应文件，“苏采云”系统将拒收并提示。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4.响应文件的拒收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“苏采云”系统拒绝接收在规定的响应文件提交截止时间后上传的任何响应文件。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 响应文件的撤回和修改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 响应文件的撤回</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5.1.1电子响应文件的撤回</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5.1.2供应商撤回电子响应文件，则视为其不再参与本项目竞争性磋商活动。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5.2响应文件的修改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5.3在响应文件提交截止时间之后，供应商不得对其电子响应文件做任何修改。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五</w:t>
      </w:r>
      <w:bookmarkEnd w:id="90"/>
      <w:r/>
      <w:bookmarkEnd w:id="91"/>
      <w:r/>
      <w:bookmarkEnd w:id="92"/>
      <w:r/>
      <w:bookmarkEnd w:id="93"/>
      <w:r/>
      <w:bookmarkStart w:id="94" w:name="_Toc16938546"/>
      <w:r/>
      <w:bookmarkStart w:id="95" w:name="_Toc513029230"/>
      <w:r/>
      <w:bookmarkStart w:id="96" w:name="_Toc20823302"/>
      <w:r>
        <w:rPr>
          <w:rFonts w:hint="eastAsia" w:ascii="宋体" w:hAnsi="宋体"/>
          <w:color w:val="auto"/>
          <w:sz w:val="24"/>
          <w:highlight w:val="none"/>
        </w:rPr>
        <w:t xml:space="preserve">、磋商与评审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1.磋商仪式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1.1采购人或采购代理机构将在磋商公告中规定的时间和地点组织磋商开标仪式。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开标当天</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各供应商及时登录不见面开标大厅，响应文件提交截止时间后，采购代理机构将在系统</w:t>
      </w:r>
      <w:r>
        <w:rPr>
          <w:rFonts w:hint="eastAsia" w:ascii="宋体" w:hAnsi="宋体"/>
          <w:color w:val="auto"/>
          <w:sz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1.2磋商活动的文件解密工作由采购代理机构组织。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注：各供应商请关注开标大厅交流区，在开标结束后，请勿离开开标大厅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2.磋商小组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2.1磋商开始仪式结束后，采购人或采购代理机构将立即组织磋商小组进行评审。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2.4磋商小组独立工作，负责评审所有响应文件并确定成交候选人。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3.磋商评审过程的保密与公正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3.5在评审期间，采购人或采购代理机构将设专门人员与供应商联系。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4.评审过程中的澄清</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4.1</w:t>
      </w:r>
      <w:r>
        <w:rPr>
          <w:rFonts w:hint="eastAsia" w:ascii="宋体" w:hAnsi="宋体"/>
          <w:color w:val="auto"/>
          <w:sz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4.2</w:t>
      </w:r>
      <w:r>
        <w:rPr>
          <w:rFonts w:hint="eastAsia" w:ascii="宋体" w:hAnsi="宋体"/>
          <w:color w:val="auto"/>
          <w:sz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4.3接到磋商小组</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要求的供应商应按磋商小组规定的时间和格式作出</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的内容作为响应文件的补充部分，但实质性的内容不得作任何更改。</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5.对响应文件的审查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5.1响应文件初审分为资格性审查和符合性审查。</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5.1.1资格性检查：</w:t>
      </w:r>
      <w:r>
        <w:rPr>
          <w:rFonts w:hint="eastAsia" w:ascii="宋体" w:hAnsi="宋体"/>
          <w:color w:val="auto"/>
          <w:sz w:val="24"/>
          <w:highlight w:val="none"/>
          <w:lang w:val="zh-CN"/>
        </w:rPr>
        <w:t xml:space="preserve">依据法律法规和磋商文件的规定，由</w:t>
      </w:r>
      <w:r>
        <w:rPr>
          <w:rFonts w:hint="eastAsia" w:ascii="宋体" w:hAnsi="宋体"/>
          <w:color w:val="auto"/>
          <w:sz w:val="24"/>
          <w:highlight w:val="none"/>
          <w:lang w:val="en-US" w:eastAsia="zh-CN"/>
        </w:rPr>
        <w:t xml:space="preserve">评标委员会</w:t>
      </w:r>
      <w:r>
        <w:rPr>
          <w:rFonts w:hint="eastAsia" w:ascii="宋体" w:hAnsi="宋体"/>
          <w:color w:val="auto"/>
          <w:sz w:val="24"/>
          <w:highlight w:val="none"/>
          <w:lang w:val="zh-CN"/>
        </w:rPr>
        <w:t xml:space="preserve">对响应文件中的资格审查文件进行审查。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评标委员会</w:t>
      </w:r>
      <w:r>
        <w:rPr>
          <w:rFonts w:hint="eastAsia" w:ascii="宋体" w:hAnsi="宋体"/>
          <w:color w:val="auto"/>
          <w:sz w:val="24"/>
          <w:highlight w:val="none"/>
        </w:rPr>
        <w:t xml:space="preserve">在进行资格审查的同时，将在“信用中国”网站查询供应商的信用记录，以确定供应商是否具备磋商资格。</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5.1.3未通过资格审查或符合性审查的供应商，</w:t>
      </w:r>
      <w:r>
        <w:rPr>
          <w:rFonts w:hint="eastAsia" w:ascii="宋体" w:hAnsi="宋体"/>
          <w:color w:val="auto"/>
          <w:sz w:val="24"/>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w:t>
      </w:r>
      <w:r>
        <w:rPr>
          <w:rFonts w:hint="eastAsia" w:ascii="宋体" w:hAnsi="宋体"/>
          <w:color w:val="auto"/>
          <w:sz w:val="24"/>
          <w:highlight w:val="none"/>
          <w:lang w:val="zh-CN"/>
        </w:rPr>
        <w:t xml:space="preserve">在正式磋商之前</w:t>
      </w:r>
      <w:r>
        <w:rPr>
          <w:rFonts w:hint="eastAsia" w:ascii="宋体" w:hAnsi="宋体"/>
          <w:color w:val="auto"/>
          <w:sz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所谓重大负偏离或保留是指与磋商文件规定的实质性要求存在负偏离，或者在实质上与磋商文件不一致，并且限制了合同中买方和见证方的权利或供应商的义务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（1）响应文件中报价总表内容与响应文件中</w:t>
      </w:r>
      <w:r>
        <w:rPr>
          <w:rFonts w:hint="eastAsia" w:ascii="宋体" w:hAnsi="宋体"/>
          <w:color w:val="auto"/>
          <w:sz w:val="24"/>
          <w:highlight w:val="none"/>
          <w:lang w:eastAsia="zh-CN"/>
        </w:rPr>
        <w:t xml:space="preserve">响应</w:t>
      </w:r>
      <w:r>
        <w:rPr>
          <w:rFonts w:hint="eastAsia" w:ascii="宋体" w:hAnsi="宋体"/>
          <w:color w:val="auto"/>
          <w:sz w:val="24"/>
          <w:highlight w:val="none"/>
        </w:rPr>
        <w:t xml:space="preserve">内容不一致的，以报价总表为准。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（3）单价金额小数点或者百分比有明显错位的，以报价总表的总价为准，并修改单价。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5.8启动异常低价投标（响应）审查的情形和具体要求</w:t>
      </w:r>
      <w:r/>
    </w:p>
    <w:p>
      <w:pPr>
        <w:ind w:firstLine="480"/>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（3）投标（响应）报价低于采购项目最高限价45%的，即投标（响应）报价&lt;采购项目最高限价×45%；</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（4）评标委员会基于专业判断，认为供应商报价过低，有可能影响产品质量或者不能诚信履约的其他情形。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20"/>
        <w:spacing w:line="360" w:lineRule="auto"/>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20"/>
        <w:spacing w:line="360" w:lineRule="auto"/>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 响应文件线上格式要求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6.1供应商应当通过“苏采云”系统提交数据电文形式的响应文件（即电子投标</w:t>
      </w:r>
      <w:r>
        <w:rPr>
          <w:rFonts w:hint="eastAsia" w:ascii="宋体" w:hAnsi="宋体"/>
          <w:color w:val="auto"/>
          <w:sz w:val="24"/>
          <w:highlight w:val="none"/>
          <w:lang w:val="en-US" w:eastAsia="zh-CN"/>
        </w:rPr>
        <w:t xml:space="preserve">文件</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6.2通过“苏采云”系统提交政府采购客户端工具导出加密的响应文件（后缀名为zip）。</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6.3本项目采用线上投标，即供应商响应文件从政府采购客户端工具制作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通过“苏采云”系统提交，未提供线上响应文件的，投标无效。</w:t>
      </w:r>
      <w:bookmarkEnd w:id="94"/>
      <w:r/>
      <w:bookmarkEnd w:id="95"/>
      <w:r/>
      <w:bookmarkEnd w:id="96"/>
      <w:r/>
      <w:bookmarkStart w:id="97" w:name="_Toc120614219"/>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 被认定为未实质性响应磋商文件的情形：</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7.1出现下列情形之一的，作无效响应处理，并视情况报监管部门调查其相互串通投标嫌疑；</w:t>
      </w:r>
      <w:r>
        <w:rPr>
          <w:rFonts w:hint="eastAsia" w:ascii="宋体" w:hAnsi="宋体"/>
          <w:color w:val="auto"/>
          <w:sz w:val="24"/>
          <w:highlight w:val="none"/>
        </w:rPr>
        <w:tab/>
      </w:r>
      <w:r>
        <w:rPr>
          <w:rFonts w:hint="eastAsia" w:ascii="宋体" w:hAnsi="宋体"/>
          <w:color w:val="auto"/>
          <w:sz w:val="24"/>
          <w:highlight w:val="none"/>
        </w:rPr>
        <w:tab/>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7.1.1供应商在规定的时间内未在苏采云系统内成功提交磋商响应文件的；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bCs/>
          <w:color w:val="auto"/>
          <w:sz w:val="24"/>
          <w:szCs w:val="21"/>
          <w:highlight w:val="none"/>
        </w:rPr>
        <w:t xml:space="preserve">供应商未按照磋商文件要求上传电子响应文件的；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供应商不具备磋商文件中规定的资格要求的；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供应商在系统规定的时间内未成功解密电子响应文件的；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未完整上传响应文件电子文档的，或上传的文件打不开的；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小组认为供应商的报价明显低于其他通过符合性审查供应商的报价，有可能影响产品质量或者不能诚信履约的，应当要求其在规定时间内提供书面说明，必要时提交相关证明材料；供应商不能证明其报价合理性的，磋商小组应当将其作为无效响应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响应报价超过了采购预算或最高限价；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未通过符合性检查的；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不符合法律法规和磋商文件中规定的其他实质性要求的；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供应商被“信用中国”网站（www.creditchina.gov.cn）列入失信被执行人、</w:t>
      </w:r>
      <w:r>
        <w:rPr>
          <w:rFonts w:hint="eastAsia" w:ascii="宋体" w:hAnsi="宋体" w:cs="宋体"/>
          <w:color w:val="auto"/>
          <w:sz w:val="24"/>
          <w:highlight w:val="none"/>
        </w:rPr>
        <w:t xml:space="preserve">重大税收违法案件当事人名单</w:t>
      </w:r>
      <w:r>
        <w:rPr>
          <w:rFonts w:hint="eastAsia" w:ascii="宋体" w:hAnsi="宋体"/>
          <w:color w:val="auto"/>
          <w:sz w:val="24"/>
          <w:highlight w:val="none"/>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响应文件含有采购人不能接受的附加条件的；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响应文件未按照磋商文件要求加盖电子签章或签署；</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w:t>
      </w:r>
      <w:r>
        <w:rPr>
          <w:rFonts w:hint="eastAsia" w:ascii="宋体" w:hAnsi="宋体" w:cs="宋体"/>
          <w:color w:val="auto"/>
          <w:sz w:val="24"/>
          <w:highlight w:val="none"/>
        </w:rPr>
        <w:t xml:space="preserve">未在规定时间内提交最后报价的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不同供应商的响应文件由同一单位或者个人编制的；不同供应商的磋商响应文件相互混传；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不同供应商委托同一单位或者个人办理磋商事宜；不同供应商的磋商响应文件错漏之处雷同；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不同供应商的响应文件载明的项目管理成员或者联系人员为同一人；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不同供应商的响应文件异常一致或者响应报价呈规律性差异。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19</w:t>
      </w:r>
      <w:r>
        <w:rPr>
          <w:rFonts w:hint="eastAsia" w:ascii="宋体" w:hAnsi="宋体"/>
          <w:color w:val="auto"/>
          <w:sz w:val="24"/>
          <w:highlight w:val="none"/>
        </w:rPr>
        <w:t xml:space="preserve">供应商之间相互约定，一致抬高或压低投标报价；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供应商之间相互约定，在招标项目中轮流以高价位或低价位成交；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开标前已有举报，开标后发现各投标单位的报价情况与举报情况相吻合的；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磋商小组一致认定判为无效响应的；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不同的供应商响应文件制作机器码、文件创建标识码一致的；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其他法律法规及本磋商文件规定的属于无效响应的情形：</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7.2.1法人授权委托书或投标函未加盖投标供应商公章（或电子印章）的；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7.2.2未按采购文件规定的格式填写，内容不全或关键字迹模糊、无法辨认的；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7.2.4磋商响应文件载明的项目完成期限超过采购文件规定的期限；</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7.2.5明显不符合技术规范、技术标准的要求，或者对采购文件质量要求未明确响应的；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7.2.6投标报价低于成本；</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7.2.7磋商响应文件载明的货物包装方式、检验标准和方法等不符合采购文件的要求；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7.2.8组成联合体参加磋商活动的，磋商响应文件未附联合体各方共同投标协议的；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7.2.9在同一采购项目中，联合体成员以自己名义单独参加磋商或者参加其他联合体磋商活动的；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7.2.10未按采购文件要求提供磋商响应文件内容不全的；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7.2.11以他人的名义投标、串通投标、以行贿手段谋取中标或者以其他弄虚作假方式投标的；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7.3出现下列情形之一的，磋商失败。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7.3.2出现影响采购公正性的违法违规行为的；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7.3.3因重大变故，采购任务取消的。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7.3.4磋商小组认定磋商文件存在歧义、重大缺陷导致评审工作无法进行。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7.3.5因系统故障原因造成磋商无法继续进行的（适用于不见面磋商模式）。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 响应文件提交截止时间结束后参加磋商的供应商不足三家的处理：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六</w:t>
      </w:r>
      <w:bookmarkEnd w:id="97"/>
      <w:r>
        <w:rPr>
          <w:rFonts w:hint="eastAsia" w:ascii="宋体" w:hAnsi="宋体"/>
          <w:color w:val="auto"/>
          <w:sz w:val="24"/>
          <w:highlight w:val="none"/>
        </w:rPr>
        <w:t xml:space="preserve">、成交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1.确定成交单位</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1.1成交候选供应商的选取原则和数量见磋商文件第四部分规定。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1.2采购人授权磋商小组在成交候选供应商中直接确定成交供应商。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1.3采购代理机构将在“江苏政府采购网”发布成交结果公告，公告期限为1个工作日。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1.4若有充分证据证明，成交供应商出现下列情况之一的，一经查实，将被取消成交资格：</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1.4.1提供虚假材料谋取成交的。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1.4.2向采购人或采购代理机构行贿或者为评审专家提供其他不正当利益的。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1.4.3恶意竞争，最后报价明显低于其自身合理成本且又无法提供证明的。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1.4.4属于本文件规定的无效条件，但在评审过程中又未被磋商小组发现的。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1.4.5</w:t>
      </w:r>
      <w:r>
        <w:rPr>
          <w:rFonts w:hint="eastAsia" w:ascii="宋体" w:hAnsi="宋体"/>
          <w:color w:val="auto"/>
          <w:sz w:val="24"/>
          <w:highlight w:val="none"/>
          <w:lang w:val="zh-CN"/>
        </w:rPr>
        <w:t xml:space="preserve">与评审专家、采购人、</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供应商或者采购中心工作人员恶意串通的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1.4.6采取不正当手段诋毁、排挤其他供应商的。</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1.4.7</w:t>
      </w:r>
      <w:r>
        <w:rPr>
          <w:rFonts w:hint="eastAsia" w:ascii="宋体" w:hAnsi="宋体"/>
          <w:color w:val="auto"/>
          <w:sz w:val="24"/>
          <w:highlight w:val="none"/>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1.4.8</w:t>
      </w:r>
      <w:r>
        <w:rPr>
          <w:rFonts w:hint="eastAsia" w:ascii="宋体" w:hAnsi="宋体"/>
          <w:color w:val="auto"/>
          <w:sz w:val="24"/>
          <w:highlight w:val="none"/>
          <w:lang w:val="zh-CN"/>
        </w:rPr>
        <w:t xml:space="preserve">将政府采购合同转包的。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1.5.有下列情形之一的，视为供应商串通参与磋商，响应无效：</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1.5.1不同供应商的响应文件由同一单位或者个人编制；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1.5.2不同供应商委托同一单位或者个人办理磋商事宜；</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1.5.3不同供应商的响应文件载明的项目管理成员或者联系人员为同一人；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1.5.4不同供应商的响应文件异常一致或者响应报价呈规律性差异。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2.质疑处理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2.2.1对可以质疑的磋商文件提出质疑的，为收到磋商文件之日或者磋商文件公告期限届满之日；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2.2.2对采购过程提出质疑的，为各采购程序环节结束之日；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2.2.3对成交结果提出质疑的，为成交结果公告期限届满之日。</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供应商应当在法定质疑期内一次性提出针对同一采购程序环节的质疑。</w:t>
      </w:r>
      <w:r>
        <w:rPr>
          <w:rFonts w:hint="eastAsia" w:ascii="宋体" w:hAnsi="宋体"/>
          <w:color w:val="auto"/>
          <w:sz w:val="24"/>
          <w:highlight w:val="none"/>
          <w:lang w:val="zh-CN"/>
        </w:rPr>
        <w:t xml:space="preserve">供应商如在法定期限内对同一采购程序环节提出多次质疑的，采购人、</w:t>
      </w:r>
      <w:r>
        <w:rPr>
          <w:rFonts w:hint="eastAsia" w:ascii="宋体" w:hAnsi="宋体"/>
          <w:color w:val="auto"/>
          <w:sz w:val="24"/>
          <w:highlight w:val="none"/>
        </w:rPr>
        <w:t xml:space="preserve">采购代理机构</w:t>
      </w:r>
      <w:r>
        <w:rPr>
          <w:rFonts w:hint="eastAsia" w:ascii="宋体" w:hAnsi="宋体"/>
          <w:color w:val="auto"/>
          <w:sz w:val="24"/>
          <w:highlight w:val="none"/>
          <w:lang w:val="zh-CN"/>
        </w:rPr>
        <w:t xml:space="preserve">将只对供应商第一次质疑作出答复。</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2.4质疑答复依据《政府采购质疑和投诉办法》（财政部令第94号）。</w:t>
      </w:r>
      <w:r>
        <w:rPr>
          <w:rFonts w:hint="eastAsia" w:ascii="宋体" w:hAnsi="宋体" w:cs="宋体"/>
          <w:color w:val="auto"/>
          <w:sz w:val="24"/>
          <w:highlight w:val="none"/>
        </w:rPr>
        <w:t xml:space="preserve">采购人只接收以纸质原件形式送达的质疑，</w:t>
      </w:r>
      <w:r>
        <w:rPr>
          <w:rFonts w:hint="eastAsia" w:ascii="宋体" w:hAnsi="宋体"/>
          <w:color w:val="auto"/>
          <w:sz w:val="24"/>
          <w:highlight w:val="none"/>
        </w:rPr>
        <w:t xml:space="preserve">采购人或采购代理机构质疑接收人及联系方式，见磋商文件第一章。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 以下情形的质疑不予受理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2.5.1内容不符合《政府采购质疑和投诉办法》第十二条规定的质疑。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2.5.2超出政府采购法定期限的质疑。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2.5.3</w:t>
      </w:r>
      <w:r>
        <w:rPr>
          <w:rFonts w:hint="eastAsia" w:ascii="宋体" w:hAnsi="宋体" w:cs="宋体"/>
          <w:color w:val="auto"/>
          <w:sz w:val="24"/>
          <w:highlight w:val="none"/>
        </w:rPr>
        <w:t xml:space="preserve">以传真、电子邮件等方式递交的非原件形式的质疑。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2.5.4未参加磋商活动的供应商或在磋商活动中自身权益未受到损害的供应商所提出的质疑。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2.5.5供应商组成联合体参加磋商，联合体中任何一方或多方未按要求签字、盖章、加盖公章的质疑。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七、成交通知书</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八、授予合同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1.签订合同</w:t>
      </w:r>
      <w:r/>
    </w:p>
    <w:p>
      <w:pPr>
        <w:ind w:firstLine="477"/>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1.2磋商文件、成交供应商的响应文件及磋商过程中有关澄清、承诺文件均应作为合同附件。</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1.3签订合同后，成交供应商不得将合同标的进行转包。未经采购人同意，</w:t>
      </w:r>
      <w:r>
        <w:rPr>
          <w:rFonts w:hint="eastAsia" w:ascii="宋体" w:hAnsi="宋体"/>
          <w:color w:val="auto"/>
          <w:sz w:val="24"/>
          <w:highlight w:val="none"/>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2. 合同追加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w:t>
      </w:r>
      <w:r>
        <w:rPr>
          <w:rFonts w:ascii="宋体" w:hAnsi="宋体"/>
          <w:color w:val="auto"/>
          <w:sz w:val="24"/>
          <w:highlight w:val="none"/>
        </w:rPr>
        <w:t xml:space="preserve">因重大决策变化，导致采购任务取消的。除退还</w:t>
      </w:r>
      <w:r>
        <w:rPr>
          <w:rFonts w:hint="eastAsia" w:ascii="宋体" w:hAnsi="宋体"/>
          <w:color w:val="auto"/>
          <w:sz w:val="24"/>
          <w:highlight w:val="none"/>
        </w:rPr>
        <w:t xml:space="preserve">成交供应商</w:t>
      </w:r>
      <w:r>
        <w:rPr>
          <w:rFonts w:ascii="宋体" w:hAnsi="宋体"/>
          <w:color w:val="auto"/>
          <w:sz w:val="24"/>
          <w:highlight w:val="none"/>
        </w:rPr>
        <w:t xml:space="preserve">实际已支付费用外，</w:t>
      </w:r>
      <w:r>
        <w:rPr>
          <w:rFonts w:hint="eastAsia" w:ascii="宋体" w:hAnsi="宋体"/>
          <w:color w:val="auto"/>
          <w:sz w:val="24"/>
          <w:highlight w:val="none"/>
        </w:rPr>
        <w:t xml:space="preserve">采购人</w:t>
      </w:r>
      <w:r>
        <w:rPr>
          <w:rFonts w:ascii="宋体" w:hAnsi="宋体"/>
          <w:color w:val="auto"/>
          <w:sz w:val="24"/>
          <w:highlight w:val="none"/>
        </w:rPr>
        <w:t xml:space="preserve">不承担其他任何费用及损失。若因</w:t>
      </w:r>
      <w:r>
        <w:rPr>
          <w:rFonts w:hint="eastAsia" w:ascii="宋体" w:hAnsi="宋体"/>
          <w:color w:val="auto"/>
          <w:sz w:val="24"/>
          <w:highlight w:val="none"/>
        </w:rPr>
        <w:t xml:space="preserve">成交供应商</w:t>
      </w:r>
      <w:r>
        <w:rPr>
          <w:rFonts w:ascii="宋体" w:hAnsi="宋体"/>
          <w:color w:val="auto"/>
          <w:sz w:val="24"/>
          <w:highlight w:val="none"/>
        </w:rPr>
        <w:t xml:space="preserve">原因导致项目无法完成，因此产生的损失将由</w:t>
      </w:r>
      <w:r>
        <w:rPr>
          <w:rFonts w:hint="eastAsia" w:ascii="宋体" w:hAnsi="宋体"/>
          <w:color w:val="auto"/>
          <w:sz w:val="24"/>
          <w:highlight w:val="none"/>
        </w:rPr>
        <w:t xml:space="preserve">成交供应商承担</w:t>
      </w:r>
      <w:r>
        <w:rPr>
          <w:rFonts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九、电子招标投标交易平台</w:t>
      </w:r>
      <w:r/>
    </w:p>
    <w:p>
      <w:pPr>
        <w:ind w:firstLine="480"/>
        <w:spacing w:line="360" w:lineRule="auto"/>
        <w:tabs>
          <w:tab w:val="left" w:pos="900" w:leader="none"/>
        </w:tabs>
        <w:rPr>
          <w:rFonts w:ascii="宋体" w:hAnsi="宋体"/>
          <w:color w:val="auto"/>
          <w:sz w:val="24"/>
          <w:highlight w:val="none"/>
          <w:lang w:eastAsia="en-US"/>
        </w:rPr>
      </w:pPr>
      <w:r>
        <w:rPr>
          <w:rFonts w:hint="eastAsia" w:ascii="宋体" w:hAnsi="宋体"/>
          <w:color w:val="auto"/>
          <w:sz w:val="24"/>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olor w:val="auto"/>
          <w:sz w:val="24"/>
          <w:highlight w:val="none"/>
          <w:lang w:eastAsia="en-US"/>
        </w:rPr>
        <w:t xml:space="preserve">http://jszfcg.jsczt.cn/）相关要求是本采购文件的组成部分。</w:t>
      </w:r>
      <w:r>
        <w:rPr>
          <w:rFonts w:hint="eastAsia" w:ascii="宋体" w:hAnsi="宋体"/>
          <w:color w:val="auto"/>
          <w:sz w:val="24"/>
          <w:highlight w:val="none"/>
          <w:lang w:eastAsia="en-US"/>
        </w:rPr>
        <w:fldChar w:fldCharType="end"/>
      </w:r>
      <w:r/>
    </w:p>
    <w:p>
      <w:pPr>
        <w:numPr>
          <w:ilvl w:val="0"/>
          <w:numId w:val="4"/>
        </w:num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履约保证金</w:t>
      </w:r>
      <w:r/>
    </w:p>
    <w:p>
      <w:pPr>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    本项目不收</w:t>
      </w:r>
      <w:r>
        <w:rPr>
          <w:rFonts w:hint="eastAsia" w:ascii="宋体" w:hAnsi="宋体"/>
          <w:color w:val="auto"/>
          <w:sz w:val="24"/>
          <w:highlight w:val="none"/>
          <w:lang w:val="en-US" w:eastAsia="zh-CN"/>
        </w:rPr>
        <w:t xml:space="preserve">取</w:t>
      </w:r>
      <w:r>
        <w:rPr>
          <w:rFonts w:hint="eastAsia" w:ascii="宋体" w:hAnsi="宋体"/>
          <w:color w:val="auto"/>
          <w:sz w:val="24"/>
          <w:highlight w:val="none"/>
        </w:rPr>
        <w:t xml:space="preserve">履约保证金。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十一、政府采购政策：</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5.根据《商品包装政府采购需求标准（试行）》《快递包装政府采购需求标准（试行）》的通知（财办库〔2020〕123号要求，商品使用的塑料、纸质、木材等包装需达到环保要求。</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7.成交供应商可凭政府采购合同办理融资贷款，详情详见江苏政府采购网“政采贷”专栏。</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9.专门面向中小微企业采购的项目，小微企业不再享受价格扣除优惠政策。</w:t>
      </w:r>
      <w:r/>
    </w:p>
    <w:p>
      <w:pPr>
        <w:pStyle w:val="1251"/>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10.未按要求提供相关材料的，不享受相关政策。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十二、</w:t>
      </w:r>
      <w:r>
        <w:rPr>
          <w:rFonts w:hint="eastAsia" w:ascii="宋体" w:hAnsi="宋体" w:cs="宋体"/>
          <w:color w:val="auto"/>
          <w:sz w:val="24"/>
          <w:highlight w:val="none"/>
        </w:rPr>
        <w:t xml:space="preserve">其他说明</w:t>
      </w:r>
      <w:r>
        <w:rPr>
          <w:rFonts w:hint="eastAsia" w:ascii="宋体" w:hAnsi="宋体"/>
          <w:color w:val="auto"/>
          <w:sz w:val="24"/>
          <w:highlight w:val="none"/>
        </w:rPr>
        <w:t xml:space="preserve">：</w:t>
      </w:r>
      <w:r/>
    </w:p>
    <w:p>
      <w:pPr>
        <w:contextualSpacing/>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1.响应文件格式中需签字或盖章处均可以用电子签名或电子章代替。</w:t>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r/>
    </w:p>
    <w:p>
      <w:pPr>
        <w:pStyle w:val="1251"/>
        <w:ind w:firstLine="431"/>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bookmarkEnd w:id="52"/>
      <w:r/>
      <w:bookmarkEnd w:id="53"/>
      <w:r/>
      <w:bookmarkEnd w:id="54"/>
      <w:r/>
      <w:r/>
    </w:p>
    <w:p>
      <w:pPr>
        <w:jc w:val="cente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br w:type="page" w:clear="all"/>
      </w:r>
      <w:r>
        <w:rPr>
          <w:rStyle w:val="1246"/>
          <w:rFonts w:hint="eastAsia" w:cs="宋体" w:asciiTheme="minorEastAsia" w:hAnsiTheme="minorEastAsia" w:eastAsiaTheme="minorEastAsia"/>
          <w:color w:val="auto"/>
          <w:sz w:val="32"/>
          <w:szCs w:val="32"/>
          <w:highlight w:val="none"/>
        </w:rPr>
        <w:t xml:space="preserve">第三章  </w:t>
      </w:r>
      <w:bookmarkEnd w:id="35"/>
      <w:r/>
      <w:bookmarkStart w:id="98" w:name="_Hlt16619369"/>
      <w:r/>
      <w:bookmarkEnd w:id="98"/>
      <w:r/>
      <w:bookmarkStart w:id="99" w:name="_Toc481071969"/>
      <w:r/>
      <w:bookmarkStart w:id="100" w:name="_Toc3383091"/>
      <w:r/>
      <w:bookmarkStart w:id="101" w:name="_Toc20823346"/>
      <w:r/>
      <w:bookmarkStart w:id="102" w:name="_Toc481072015"/>
      <w:r/>
      <w:bookmarkStart w:id="103" w:name="_Toc475009299"/>
      <w:r/>
      <w:bookmarkStart w:id="104" w:name="_Toc16938590"/>
      <w:r/>
      <w:bookmarkStart w:id="105" w:name="_Toc120614244"/>
      <w:r/>
      <w:bookmarkStart w:id="106" w:name="_Toc511305209"/>
      <w:r/>
      <w:bookmarkStart w:id="107" w:name="_Hlt16619350"/>
      <w:r>
        <w:rPr>
          <w:rFonts w:hint="eastAsia" w:ascii="宋体" w:hAnsi="宋体" w:cs="宋体" w:eastAsiaTheme="minorEastAsia"/>
          <w:b/>
          <w:color w:val="auto"/>
          <w:sz w:val="30"/>
          <w:highlight w:val="none"/>
          <w:lang w:val="en-US" w:eastAsia="zh-CN"/>
        </w:rPr>
        <w:t xml:space="preserve">合同条款及格式</w:t>
      </w:r>
      <w:r>
        <w:rPr>
          <w:rFonts w:ascii="宋体" w:hAnsi="宋体" w:cs="宋体"/>
          <w:b/>
          <w:color w:val="auto"/>
          <w:sz w:val="30"/>
          <w:highlight w:val="none"/>
        </w:rPr>
        <w:t xml:space="preserve">（</w:t>
      </w:r>
      <w:r>
        <w:rPr>
          <w:rFonts w:hint="eastAsia" w:ascii="宋体" w:hAnsi="宋体" w:cs="宋体"/>
          <w:b/>
          <w:color w:val="auto"/>
          <w:sz w:val="30"/>
          <w:highlight w:val="none"/>
        </w:rPr>
        <w:t xml:space="preserve">参考</w:t>
      </w:r>
      <w:r>
        <w:rPr>
          <w:rFonts w:ascii="宋体" w:hAnsi="宋体" w:cs="宋体"/>
          <w:b/>
          <w:color w:val="auto"/>
          <w:sz w:val="30"/>
          <w:highlight w:val="none"/>
        </w:rPr>
        <w:t xml:space="preserve">）</w:t>
      </w:r>
      <w:r/>
    </w:p>
    <w:p>
      <w:pPr>
        <w:jc w:val="left"/>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甲方：（买方）_________</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乙方：（卖方）_________</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甲、乙双方根据</w:t>
      </w:r>
      <w:r>
        <w:rPr>
          <w:rFonts w:ascii="宋体" w:hAnsi="宋体" w:cs="宋体"/>
          <w:color w:val="auto"/>
          <w:sz w:val="24"/>
          <w:highlight w:val="none"/>
          <w:u w:val="single"/>
        </w:rPr>
        <w:t xml:space="preserve">         </w:t>
      </w:r>
      <w:r>
        <w:rPr>
          <w:rFonts w:ascii="宋体" w:hAnsi="宋体" w:cs="宋体"/>
          <w:color w:val="auto"/>
          <w:sz w:val="24"/>
          <w:highlight w:val="none"/>
        </w:rPr>
        <w:t xml:space="preserve">项目竞争性磋商的结果，签署本合同。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标的名称：</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标的质量：</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标的数量（规模）：</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履行时间（期限）：</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 履行地点：</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 履行方式：</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2.1本合同金额为（大写）：____________________________________</w:t>
      </w:r>
      <w:r>
        <w:rPr>
          <w:rFonts w:hint="eastAsia" w:ascii="宋体" w:hAnsi="宋体" w:cs="宋体"/>
          <w:color w:val="auto"/>
          <w:sz w:val="24"/>
          <w:highlight w:val="none"/>
          <w:lang w:val="en-US" w:eastAsia="zh-CN"/>
        </w:rPr>
        <w:t xml:space="preserve">元</w:t>
      </w:r>
      <w:r>
        <w:rPr>
          <w:rFonts w:ascii="宋体" w:hAnsi="宋体" w:cs="宋体"/>
          <w:color w:val="auto"/>
          <w:sz w:val="24"/>
          <w:highlight w:val="none"/>
        </w:rPr>
        <w:t xml:space="preserve">（_______________元）人民币或其他币种。</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3.1乙方应按磋商文件规定的时间向甲方提供与合同标的有关的技术资料。</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3.2没有甲方事先书面同意，乙方不得将由甲方提供的有关合同或任何合同条文、规格、计划、图纸、样品或资料提供给</w:t>
      </w:r>
      <w:r>
        <w:rPr>
          <w:rFonts w:hint="eastAsia" w:ascii="宋体" w:hAnsi="宋体" w:cs="宋体"/>
          <w:color w:val="auto"/>
          <w:sz w:val="24"/>
          <w:highlight w:val="none"/>
          <w:lang w:val="en-US" w:eastAsia="zh-CN"/>
        </w:rPr>
        <w:t xml:space="preserve">予</w:t>
      </w:r>
      <w:r>
        <w:rPr>
          <w:rFonts w:ascii="宋体" w:hAnsi="宋体" w:cs="宋体"/>
          <w:color w:val="auto"/>
          <w:sz w:val="24"/>
          <w:highlight w:val="none"/>
        </w:rPr>
        <w:t xml:space="preserve">履行本合同无关的任何其他人。即使向履行本合同有关的人员提供，也应注意保密并限于履行合同的必需范围。</w:t>
      </w:r>
      <w:r/>
    </w:p>
    <w:p>
      <w:pPr>
        <w:ind w:left="412" w:hanging="412"/>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四、知识产权</w:t>
      </w:r>
      <w:r/>
    </w:p>
    <w:p>
      <w:pPr>
        <w:ind w:left="408" w:hanging="408"/>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五、产权担保</w:t>
      </w:r>
      <w:r/>
    </w:p>
    <w:p>
      <w:pPr>
        <w:ind w:left="408" w:hanging="408"/>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5.1乙方保证所交付的合同标的的所有权完全属于乙方且无任何抵押、查封等产权瑕疵。</w:t>
      </w:r>
      <w:r/>
    </w:p>
    <w:p>
      <w:pPr>
        <w:numPr>
          <w:ilvl w:val="0"/>
          <w:numId w:val="5"/>
        </w:numPr>
        <w:ind w:left="410" w:hanging="410"/>
        <w:spacing w:before="120" w:after="120" w:line="40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履约保证金</w:t>
      </w:r>
      <w:r/>
    </w:p>
    <w:p>
      <w:pPr>
        <w:ind w:left="408" w:hanging="408"/>
        <w:spacing w:before="120" w:after="120"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本项目不收取履约保证金</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七、合同转包或分包</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7.3乙方如有转包或未经甲方同意的分包行为，甲方有权解除合同。</w:t>
      </w:r>
      <w:r/>
    </w:p>
    <w:p>
      <w:pPr>
        <w:numPr>
          <w:ilvl w:val="0"/>
          <w:numId w:val="3"/>
        </w:numPr>
        <w:spacing w:before="120" w:after="120" w:line="40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合同款项支付</w:t>
      </w:r>
      <w:r/>
    </w:p>
    <w:p>
      <w:pPr>
        <w:spacing w:before="120" w:after="120" w:line="40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十、项目验收</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10.1甲方依法组织履约验收工作。</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10.3对于实际使用人和甲方分离的项目，甲方邀请实际使用人参与验收。</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10.4如有必要，甲方邀请参加本项目的其他供应商或第三方专业机构及专家参与验收，相关意见将作为验收书的参考资料。</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highlight w:val="none"/>
        </w:rPr>
        <w:t xml:space="preserve">中华人民共和国民法典</w:t>
      </w:r>
      <w:r>
        <w:rPr>
          <w:rFonts w:ascii="宋体" w:hAnsi="宋体" w:cs="宋体"/>
          <w:color w:val="auto"/>
          <w:sz w:val="24"/>
          <w:highlight w:val="none"/>
        </w:rPr>
        <w:t xml:space="preserve">》。乙方在履约过程中有政府采购法律法规规定的违法违规情形的,甲方将及时报告本级财政部门。</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十一、违约责任</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甲方无正当理由拒绝接受乙方提供的合同标的的，甲方向乙方偿付拒绝接受合同价款总值</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11.2甲方无故逾期验收和办理合同款项支付手续的,甲方应按逾期付款总额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每日向乙方支付违约金。</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11.4乙方交付合同标的的标准不符合合同规定及磋商文件规定标准的，甲方有权拒绝接受合同标的，并可单方面解除合同。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十二、不可抗力事件处理</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12.1在合同有效期内，任何一方因不可抗力事件导致不能履行合同，则合同履行期可延长，其延长期与不可抗力影响期相同。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12.2不可抗力事件发生后，应立即通知对方，并寄送有关权威机构出具的证明。</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12.3不可抗力事件延续120天以上，双方应通过友好协商，确定是否继续履行合同。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十三、解决争议的方法</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13.1双方在签订、履行合同中所发生的一切争议，应通过友好协商解决。如协商不成，由甲方住所地人民法院管辖。</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十四、合同生效及其</w:t>
      </w:r>
      <w:r>
        <w:rPr>
          <w:rFonts w:hint="eastAsia" w:ascii="宋体" w:hAnsi="宋体" w:cs="宋体"/>
          <w:b/>
          <w:color w:val="auto"/>
          <w:sz w:val="24"/>
          <w:highlight w:val="none"/>
        </w:rPr>
        <w:t xml:space="preserve">他</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14.1合同经双方法定代表人或授权委托代表人签字并加盖单位公章后生效。</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14.2本合同未尽事宜，遵照中华人民共和国现行法律法规有关条文执行。</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 本合同正本一式三份，具有同等法律效力，甲方、乙方及财政监管部门各执一份。</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甲方：                            乙方：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地址：                             地址：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法定代表人或授权代表：             法定代表人或授权代表：</w:t>
      </w:r>
      <w:r/>
    </w:p>
    <w:p>
      <w:pPr>
        <w:ind w:firstLine="240"/>
        <w:jc w:val="both"/>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rPr>
          <w:rFonts w:ascii="宋体" w:hAnsi="宋体" w:cs="宋体"/>
          <w:color w:val="auto"/>
          <w:sz w:val="24"/>
          <w:highlight w:val="none"/>
        </w:rPr>
        <w:t xml:space="preserve">  签订日期：      年    月   日</w:t>
      </w:r>
      <w:r/>
      <w:r>
        <w:rPr>
          <w:rFonts w:cs="宋体" w:asciiTheme="minorEastAsia" w:hAnsiTheme="minorEastAsia" w:eastAsiaTheme="minorEastAsia"/>
          <w:bCs/>
          <w:color w:val="auto"/>
          <w:sz w:val="24"/>
          <w:highlight w:val="none"/>
        </w:rPr>
      </w:r>
      <w:r/>
      <w:r>
        <w:rPr>
          <w:color w:val="auto"/>
          <w:highlight w:val="none"/>
        </w:rPr>
      </w:r>
    </w:p>
    <w:p>
      <w:pPr>
        <w:pStyle w:val="1218"/>
        <w:rPr>
          <w:color w:val="auto"/>
          <w:sz w:val="24"/>
          <w:szCs w:val="24"/>
          <w:highlight w:val="none"/>
        </w:rPr>
      </w:pPr>
      <w:r>
        <w:rPr>
          <w:rFonts w:hint="eastAsia" w:ascii="宋体" w:hAnsi="宋体" w:cs="宋体"/>
          <w:bCs/>
          <w:color w:val="auto"/>
          <w:sz w:val="24"/>
          <w:szCs w:val="24"/>
          <w:highlight w:val="none"/>
        </w:rPr>
        <w:br w:type="page" w:clear="all"/>
      </w:r>
      <w:bookmarkEnd w:id="99"/>
      <w:r/>
      <w:bookmarkEnd w:id="100"/>
      <w:r/>
      <w:bookmarkEnd w:id="101"/>
      <w:r/>
      <w:bookmarkEnd w:id="102"/>
      <w:r/>
      <w:bookmarkEnd w:id="103"/>
      <w:r/>
      <w:bookmarkEnd w:id="104"/>
      <w:r/>
      <w:bookmarkEnd w:id="105"/>
      <w:r/>
      <w:bookmarkEnd w:id="106"/>
      <w:r/>
      <w:bookmarkEnd w:id="107"/>
      <w:r/>
      <w:r/>
    </w:p>
    <w:p>
      <w:pPr>
        <w:pStyle w:val="1218"/>
        <w:numPr>
          <w:ilvl w:val="0"/>
          <w:numId w:val="6"/>
        </w:numPr>
        <w:rPr>
          <w:color w:val="auto"/>
          <w:sz w:val="32"/>
          <w:szCs w:val="32"/>
          <w:highlight w:val="none"/>
        </w:rPr>
      </w:pPr>
      <w:r/>
      <w:bookmarkStart w:id="108" w:name="_Toc32522"/>
      <w:r/>
      <w:bookmarkStart w:id="109" w:name="_Toc304379119"/>
      <w:r/>
      <w:bookmarkStart w:id="110" w:name="_Toc262789432"/>
      <w:r/>
      <w:bookmarkStart w:id="111" w:name="_Toc61149622"/>
      <w:r/>
      <w:bookmarkStart w:id="112" w:name="_Toc23828480"/>
      <w:r/>
      <w:bookmarkStart w:id="113" w:name="_Toc26554097"/>
      <w:r>
        <w:rPr>
          <w:rFonts w:hint="eastAsia"/>
          <w:color w:val="auto"/>
          <w:sz w:val="32"/>
          <w:szCs w:val="32"/>
          <w:highlight w:val="none"/>
        </w:rPr>
        <w:t xml:space="preserve"> 采购需求</w:t>
      </w:r>
      <w:bookmarkEnd w:id="108"/>
      <w:r/>
      <w:r/>
    </w:p>
    <w:p>
      <w:pPr>
        <w:spacing w:line="360" w:lineRule="auto"/>
        <w:rPr>
          <w:rFonts w:hint="eastAsia" w:ascii="宋体" w:hAnsi="宋体" w:cs="仿宋"/>
          <w:b/>
          <w:bCs/>
          <w:color w:val="auto"/>
          <w:sz w:val="24"/>
          <w:highlight w:val="none"/>
        </w:rPr>
      </w:pPr>
      <w:r>
        <w:rPr>
          <w:rFonts w:hint="eastAsia" w:ascii="宋体" w:hAnsi="宋体" w:cs="仿宋"/>
          <w:b/>
          <w:bCs/>
          <w:color w:val="auto"/>
          <w:sz w:val="24"/>
          <w:highlight w:val="none"/>
        </w:rPr>
        <w:t xml:space="preserve">采购包一：</w:t>
      </w:r>
      <w:r/>
    </w:p>
    <w:p>
      <w:pPr>
        <w:ind w:right="99"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一、项目背景及依据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2019年，财政部提出财政预算管理一体化改革目标：以建设预算编制、预算执行（含会计核算）、决算和财务报告管理等核心业务一体化系统为基础，逐步纳入资产管理和债务管理等，形成预算管理一体化。2020年3月，财政部出台预算管理一体化业务规范和技术标准，江苏省财政厅遵循财政部的标准规范，相应制定了《江苏省预算管理一体化规范（试行）》（苏财办﹝2020﹞41号），启动江苏省预算管理一体化系统的建设，我市根据省财政厅统一部署实施江苏省预算管理一体化平台。</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二、项目建设目标</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做好江苏省预算管理一体化平台运维服务，通过</w:t>
      </w:r>
      <w:r>
        <w:rPr>
          <w:rFonts w:hint="eastAsia" w:ascii="宋体" w:hAnsi="宋体" w:cs="仿宋"/>
          <w:color w:val="auto"/>
          <w:sz w:val="24"/>
          <w:highlight w:val="none"/>
          <w:shd w:val="clear" w:color="auto" w:fill="ffffff"/>
        </w:rPr>
        <w:t xml:space="preserve">科学、标准、专业、安全的运维服务，</w:t>
      </w:r>
      <w:r>
        <w:rPr>
          <w:rFonts w:hint="eastAsia" w:ascii="宋体" w:hAnsi="宋体" w:cs="仿宋"/>
          <w:color w:val="auto"/>
          <w:sz w:val="24"/>
          <w:highlight w:val="none"/>
          <w:shd w:val="clear" w:color="auto" w:fill="ffffff"/>
          <w:lang w:eastAsia="zh-CN"/>
        </w:rPr>
        <w:t xml:space="preserve">提高</w:t>
      </w:r>
      <w:r>
        <w:rPr>
          <w:rFonts w:hint="eastAsia" w:ascii="宋体" w:hAnsi="宋体" w:cs="仿宋"/>
          <w:color w:val="auto"/>
          <w:sz w:val="24"/>
          <w:highlight w:val="none"/>
        </w:rPr>
        <w:t xml:space="preserve">我市财政管理水平，保障财政部门及预算单位开展各项财政业务工作，确保财政资金安全。</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三、运维实施服务范围及服务对象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1.运维实施服务范围：</w:t>
      </w:r>
      <w:r/>
    </w:p>
    <w:p>
      <w:pPr>
        <w:pStyle w:val="1249"/>
        <w:numPr>
          <w:ilvl w:val="0"/>
          <w:numId w:val="7"/>
        </w:num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江苏省预算一体化系统（包含但不限于预算编制板块、绩效板块、预算执行板块）。</w:t>
      </w:r>
      <w:r/>
    </w:p>
    <w:p>
      <w:pPr>
        <w:pStyle w:val="1249"/>
        <w:numPr>
          <w:ilvl w:val="0"/>
          <w:numId w:val="7"/>
        </w:num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省厅数据回流平台</w:t>
      </w:r>
      <w:r/>
    </w:p>
    <w:p>
      <w:pPr>
        <w:pStyle w:val="1249"/>
        <w:numPr>
          <w:ilvl w:val="0"/>
          <w:numId w:val="7"/>
        </w:num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泰州财政一体化信息管理系统（1.0版本、2.0版本及账务管理系统）</w:t>
      </w:r>
      <w:r/>
    </w:p>
    <w:p>
      <w:pPr>
        <w:pStyle w:val="1249"/>
        <w:numPr>
          <w:ilvl w:val="0"/>
          <w:numId w:val="7"/>
        </w:num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泰州财政统一报表平台</w:t>
      </w:r>
      <w:r/>
    </w:p>
    <w:p>
      <w:pPr>
        <w:ind w:firstLine="420"/>
        <w:spacing w:line="360" w:lineRule="auto"/>
        <w:rPr>
          <w:rFonts w:ascii="宋体" w:hAnsi="宋体" w:cs="仿宋"/>
          <w:color w:val="auto"/>
          <w:sz w:val="24"/>
          <w:highlight w:val="none"/>
        </w:rPr>
      </w:pPr>
      <w:r>
        <w:rPr>
          <w:rFonts w:hint="eastAsia" w:ascii="宋体" w:hAnsi="宋体" w:cs="仿宋"/>
          <w:color w:val="auto"/>
          <w:sz w:val="24"/>
          <w:highlight w:val="none"/>
        </w:rPr>
        <w:t xml:space="preserve">2. 运维实施服务对象：</w:t>
      </w:r>
      <w:r/>
    </w:p>
    <w:p>
      <w:pPr>
        <w:pStyle w:val="1249"/>
        <w:numPr>
          <w:ilvl w:val="0"/>
          <w:numId w:val="7"/>
        </w:num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泰州市本级财政用户</w:t>
      </w:r>
      <w:r/>
    </w:p>
    <w:p>
      <w:pPr>
        <w:pStyle w:val="1249"/>
        <w:numPr>
          <w:ilvl w:val="0"/>
          <w:numId w:val="7"/>
        </w:num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泰州市本级预算单位用户</w:t>
      </w:r>
      <w:r/>
    </w:p>
    <w:p>
      <w:pPr>
        <w:pStyle w:val="1249"/>
        <w:numPr>
          <w:ilvl w:val="0"/>
          <w:numId w:val="7"/>
        </w:num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银行用户</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四、项目建设要求及内容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1、技术及业务层面要求</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（1）系统总体认识和理解：</w:t>
      </w:r>
      <w:r>
        <w:rPr>
          <w:rFonts w:hint="eastAsia" w:ascii="宋体" w:hAnsi="宋体" w:cs="仿宋"/>
          <w:color w:val="auto"/>
          <w:sz w:val="24"/>
          <w:highlight w:val="none"/>
          <w:lang w:val="zh-CN"/>
        </w:rPr>
        <w:t xml:space="preserve">供应商结合《预算管理一体化业务规范》以及财政相关业务，提供对市本级预算管理一体化系统总体认识和理解。</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（2）系统逻辑框架、技术框架、数据框架认识和理解：供应商结合《预算管理一体化系统技术标准》，提供对市本级预算管理一体化系统逻辑框架、技术框架、数据框架认识和理解。</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3</w:t>
      </w:r>
      <w:r>
        <w:rPr>
          <w:rFonts w:hint="eastAsia" w:ascii="宋体" w:hAnsi="宋体" w:cs="仿宋"/>
          <w:color w:val="auto"/>
          <w:sz w:val="24"/>
          <w:highlight w:val="none"/>
          <w:lang w:val="zh-CN"/>
        </w:rPr>
        <w:t xml:space="preserve">）预算编制和绩效板块年度工作理解：供应商结合《泰州市预算管理一体化系统（预算编制板块）需求规格说明书》《泰州市预算管理一体化系统（绩效管理板块）需求规格说明书》，提供年度工作和理解，内容包括基础数据整理、基础信息库流程配置、项目库流程配置、预算编制流程配置、绩效流程配置、支出试算配置、报表编制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4</w:t>
      </w:r>
      <w:r>
        <w:rPr>
          <w:rFonts w:hint="eastAsia" w:ascii="宋体" w:hAnsi="宋体" w:cs="仿宋"/>
          <w:color w:val="auto"/>
          <w:sz w:val="24"/>
          <w:highlight w:val="none"/>
          <w:lang w:val="zh-CN"/>
        </w:rPr>
        <w:t xml:space="preserve">）预算执行板块年度工作理解：供应商结合《泰州市预算管理一体化系统（预算执行板块）需求规格说明书》，提供年度工作和理解，内容包括基础数据整理、预算调整调剂、预算执行流程配置、会计核算、报表编制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5</w:t>
      </w: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与其他财政业务系统对接</w:t>
      </w:r>
      <w:r>
        <w:rPr>
          <w:rFonts w:hint="eastAsia" w:ascii="宋体" w:hAnsi="宋体" w:cs="仿宋"/>
          <w:color w:val="auto"/>
          <w:sz w:val="24"/>
          <w:highlight w:val="none"/>
          <w:lang w:val="zh-CN"/>
        </w:rPr>
        <w:t xml:space="preserve">熟悉程度</w:t>
      </w:r>
      <w:r>
        <w:rPr>
          <w:rFonts w:hint="eastAsia" w:ascii="宋体" w:hAnsi="宋体" w:cs="仿宋"/>
          <w:color w:val="auto"/>
          <w:sz w:val="24"/>
          <w:highlight w:val="none"/>
        </w:rPr>
        <w:t xml:space="preserve">要求：</w:t>
      </w:r>
      <w:r>
        <w:rPr>
          <w:rFonts w:hint="eastAsia" w:ascii="宋体" w:hAnsi="宋体" w:cs="仿宋"/>
          <w:color w:val="auto"/>
          <w:sz w:val="24"/>
          <w:highlight w:val="none"/>
          <w:lang w:val="zh-CN"/>
        </w:rPr>
        <w:t xml:space="preserve">供应商根据项目运维实施部署要求，结合江苏省统一公共支付平台现状，制定预算管理一体化系统与统一公共支付平台关于非税一体化过账的业务熟悉程度方案，方案包含需求分析、流程衔接等内容。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val="zh-CN"/>
        </w:rPr>
        <w:t xml:space="preserve">（6）其他财政业务系统熟悉程度要求： 供应商根据项目运维实施部署要求，制定</w:t>
      </w:r>
      <w:r>
        <w:rPr>
          <w:rFonts w:hint="eastAsia" w:ascii="宋体" w:hAnsi="宋体" w:cs="仿宋"/>
          <w:color w:val="auto"/>
          <w:sz w:val="24"/>
          <w:highlight w:val="none"/>
        </w:rPr>
        <w:t xml:space="preserve">泰州财政一体化信息管理系统</w:t>
      </w: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泰州财政统一报表平台、省厅数据回流平台</w:t>
      </w:r>
      <w:r>
        <w:rPr>
          <w:rFonts w:hint="eastAsia" w:ascii="宋体" w:hAnsi="宋体" w:cs="仿宋"/>
          <w:color w:val="auto"/>
          <w:sz w:val="24"/>
          <w:highlight w:val="none"/>
          <w:lang w:val="zh-CN"/>
        </w:rPr>
        <w:t xml:space="preserve">业务熟悉程度方案。</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lang w:val="zh-CN"/>
        </w:rPr>
        <w:t xml:space="preserve">系统日常维护要求</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系统日常维护相关工作主要包括：</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w:t>
      </w:r>
      <w:r>
        <w:rPr>
          <w:rFonts w:hint="eastAsia" w:ascii="宋体" w:hAnsi="宋体" w:cs="仿宋"/>
          <w:color w:val="auto"/>
          <w:sz w:val="24"/>
          <w:highlight w:val="none"/>
          <w:lang w:val="zh-CN"/>
        </w:rPr>
        <w:t xml:space="preserve">提供日常操作业务咨询，修复异常业务操作。</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（2）</w:t>
      </w:r>
      <w:r>
        <w:rPr>
          <w:rFonts w:hint="eastAsia" w:ascii="宋体" w:hAnsi="宋体" w:cs="仿宋"/>
          <w:color w:val="auto"/>
          <w:sz w:val="24"/>
          <w:highlight w:val="none"/>
          <w:lang w:val="zh-CN"/>
        </w:rPr>
        <w:t xml:space="preserve">编制查询报表，以及报表模板调整。</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（3）</w:t>
      </w:r>
      <w:r>
        <w:rPr>
          <w:rFonts w:hint="eastAsia" w:ascii="宋体" w:hAnsi="宋体" w:cs="仿宋"/>
          <w:color w:val="auto"/>
          <w:sz w:val="24"/>
          <w:highlight w:val="none"/>
          <w:lang w:val="zh-CN"/>
        </w:rPr>
        <w:t xml:space="preserve">对系统进行初始化和日常调整、配置工作，如配置系统参数、业务参数、凭单格式、打印设置、计算公式、视图和查询报表等。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（4）配合</w:t>
      </w:r>
      <w:r>
        <w:rPr>
          <w:rFonts w:hint="eastAsia" w:ascii="宋体" w:hAnsi="宋体" w:cs="仿宋"/>
          <w:color w:val="auto"/>
          <w:sz w:val="24"/>
          <w:highlight w:val="none"/>
          <w:lang w:val="zh-CN"/>
        </w:rPr>
        <w:t xml:space="preserve">省预算管理一体化系统开发团队</w:t>
      </w:r>
      <w:r>
        <w:rPr>
          <w:rFonts w:hint="eastAsia" w:ascii="宋体" w:hAnsi="宋体" w:cs="仿宋"/>
          <w:color w:val="auto"/>
          <w:sz w:val="24"/>
          <w:highlight w:val="none"/>
        </w:rPr>
        <w:t xml:space="preserve">进行</w:t>
      </w:r>
      <w:r>
        <w:rPr>
          <w:rFonts w:hint="eastAsia" w:ascii="宋体" w:hAnsi="宋体" w:cs="仿宋"/>
          <w:color w:val="auto"/>
          <w:sz w:val="24"/>
          <w:highlight w:val="none"/>
          <w:lang w:val="zh-CN"/>
        </w:rPr>
        <w:t xml:space="preserve">版本升级、打补丁，调整中间件、插件等相关设置，排除系统运行中出现的故障等。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（5）</w:t>
      </w:r>
      <w:r>
        <w:rPr>
          <w:rFonts w:hint="eastAsia" w:ascii="宋体" w:hAnsi="宋体" w:cs="仿宋"/>
          <w:color w:val="auto"/>
          <w:sz w:val="24"/>
          <w:highlight w:val="none"/>
          <w:lang w:val="zh-CN"/>
        </w:rPr>
        <w:t xml:space="preserve">收集整理各类系统故障记录，分析具体原因并改进。</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（6）</w:t>
      </w:r>
      <w:r>
        <w:rPr>
          <w:rFonts w:hint="eastAsia" w:ascii="宋体" w:hAnsi="宋体" w:cs="仿宋"/>
          <w:color w:val="auto"/>
          <w:sz w:val="24"/>
          <w:highlight w:val="none"/>
          <w:lang w:val="zh-CN"/>
        </w:rPr>
        <w:t xml:space="preserve">做好系统数据备份服务，确保数据安全性。</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（7）</w:t>
      </w:r>
      <w:r>
        <w:rPr>
          <w:rFonts w:hint="eastAsia" w:ascii="宋体" w:hAnsi="宋体" w:cs="仿宋"/>
          <w:color w:val="auto"/>
          <w:sz w:val="24"/>
          <w:highlight w:val="none"/>
          <w:lang w:val="zh-CN"/>
        </w:rPr>
        <w:t xml:space="preserve">提供上述4个系统运行维护文档，包括且不限于用户手册、系统手册、应急预案、故障紧急处理措施等。</w:t>
      </w:r>
      <w:r/>
    </w:p>
    <w:p>
      <w:pPr>
        <w:ind w:firstLine="480"/>
        <w:spacing w:line="360" w:lineRule="auto"/>
        <w:rPr>
          <w:rFonts w:ascii="宋体" w:hAnsi="宋体" w:cs="仿宋"/>
          <w:color w:val="auto"/>
          <w:sz w:val="24"/>
          <w:highlight w:val="none"/>
        </w:rPr>
      </w:pPr>
      <w:r/>
      <w:bookmarkStart w:id="114" w:name="_Toc23416"/>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系统功能完善</w:t>
      </w:r>
      <w:bookmarkEnd w:id="114"/>
      <w:r/>
      <w:r/>
    </w:p>
    <w:p>
      <w:pPr>
        <w:pStyle w:val="1272"/>
        <w:rPr>
          <w:rFonts w:ascii="宋体" w:hAnsi="宋体" w:cs="仿宋"/>
          <w:color w:val="auto"/>
          <w:highlight w:val="none"/>
        </w:rPr>
      </w:pPr>
      <w:r>
        <w:rPr>
          <w:rFonts w:hint="eastAsia" w:ascii="宋体" w:hAnsi="宋体" w:cs="仿宋"/>
          <w:color w:val="auto"/>
          <w:highlight w:val="none"/>
        </w:rPr>
        <w:t xml:space="preserve">根据泰州市的需求，与省预算管理一体化系统开发团队对接，对省预算管理一体化系统进行功能拓展开发和功能优化，实现更好应用操作友好性。主要包括：</w:t>
      </w:r>
      <w:r/>
    </w:p>
    <w:p>
      <w:pPr>
        <w:pStyle w:val="1273"/>
        <w:ind w:left="0" w:firstLine="480"/>
        <w:rPr>
          <w:rFonts w:cs="仿宋"/>
          <w:color w:val="auto"/>
          <w:szCs w:val="24"/>
          <w:highlight w:val="none"/>
        </w:rPr>
      </w:pPr>
      <w:r>
        <w:rPr>
          <w:rFonts w:hint="eastAsia" w:cs="仿宋"/>
          <w:color w:val="auto"/>
          <w:szCs w:val="24"/>
          <w:highlight w:val="none"/>
        </w:rPr>
        <w:t xml:space="preserve">（1）收集、梳理泰州市财政局优化系统操作的合理需求，积极与省厅开发团队对接；</w:t>
      </w:r>
      <w:r/>
    </w:p>
    <w:p>
      <w:pPr>
        <w:pStyle w:val="1273"/>
        <w:ind w:left="0" w:firstLine="480"/>
        <w:rPr>
          <w:rFonts w:cs="仿宋"/>
          <w:color w:val="auto"/>
          <w:szCs w:val="24"/>
          <w:highlight w:val="none"/>
        </w:rPr>
      </w:pPr>
      <w:r>
        <w:rPr>
          <w:rFonts w:hint="eastAsia" w:cs="仿宋"/>
          <w:color w:val="auto"/>
          <w:szCs w:val="24"/>
          <w:highlight w:val="none"/>
        </w:rPr>
        <w:t xml:space="preserve">（2）根据财政业务管理模式的微调和变更等需求，对接配合省厅开发团队，进行需求的调研，调整方案的制定，并完成测试及更新上线。</w:t>
      </w:r>
      <w:r/>
    </w:p>
    <w:p>
      <w:pPr>
        <w:pStyle w:val="1273"/>
        <w:ind w:left="0" w:firstLine="480"/>
        <w:rPr>
          <w:rFonts w:cs="仿宋"/>
          <w:color w:val="auto"/>
          <w:szCs w:val="24"/>
          <w:highlight w:val="none"/>
        </w:rPr>
      </w:pPr>
      <w:r>
        <w:rPr>
          <w:rFonts w:hint="eastAsia" w:cs="仿宋"/>
          <w:color w:val="auto"/>
          <w:szCs w:val="24"/>
          <w:highlight w:val="none"/>
        </w:rPr>
        <w:t xml:space="preserve">（3）对系统运行中发现的系统设计缺陷进行收集并与省厅开发团队沟通。</w:t>
      </w:r>
      <w:r/>
    </w:p>
    <w:p>
      <w:pPr>
        <w:pStyle w:val="1273"/>
        <w:ind w:left="0" w:firstLine="480"/>
        <w:rPr>
          <w:rFonts w:cs="仿宋"/>
          <w:color w:val="auto"/>
          <w:szCs w:val="24"/>
          <w:highlight w:val="none"/>
        </w:rPr>
      </w:pPr>
      <w:r>
        <w:rPr>
          <w:rFonts w:hint="eastAsia" w:cs="仿宋"/>
          <w:color w:val="auto"/>
          <w:szCs w:val="24"/>
          <w:highlight w:val="none"/>
        </w:rPr>
        <w:t xml:space="preserve">（4）根据用户需求，配合省厅开发团队完成软件性能的优化，提高系统的运行效率。</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lang w:val="zh-CN"/>
        </w:rPr>
        <w:t xml:space="preserve">系统培训服务</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对系统用户提供咨询、操作指导和培训服务。系统培训包括两种：</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w:t>
      </w:r>
      <w:r>
        <w:rPr>
          <w:rFonts w:hint="eastAsia" w:ascii="宋体" w:hAnsi="宋体" w:cs="仿宋"/>
          <w:color w:val="auto"/>
          <w:sz w:val="24"/>
          <w:highlight w:val="none"/>
          <w:lang w:val="zh-CN"/>
        </w:rPr>
        <w:t xml:space="preserve">最终用户培训：针对预算单位或财政业务人员的操作培训，侧重业务管理与系统的管理操作。不限于集中培训和上门辅导培训服务等方式。</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(2)</w:t>
      </w:r>
      <w:r>
        <w:rPr>
          <w:rFonts w:hint="eastAsia" w:ascii="宋体" w:hAnsi="宋体" w:cs="仿宋"/>
          <w:color w:val="auto"/>
          <w:sz w:val="24"/>
          <w:highlight w:val="none"/>
          <w:lang w:val="zh-CN"/>
        </w:rPr>
        <w:t xml:space="preserve">系统管理用户培训：针对系统管理人员的培训，侧重系统管理、配置、维护的培训，包括基础数据管理、用户角色授权、工作流管理、报表管理、银行接口交换中心、安全认证管理等。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5.</w:t>
      </w:r>
      <w:r>
        <w:rPr>
          <w:rFonts w:hint="eastAsia" w:ascii="宋体" w:hAnsi="宋体" w:cs="仿宋"/>
          <w:color w:val="auto"/>
          <w:sz w:val="24"/>
          <w:highlight w:val="none"/>
          <w:lang w:val="zh-CN"/>
        </w:rPr>
        <w:t xml:space="preserve">系统应急服务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提供系统应急服务，主要包括：</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w:t>
      </w:r>
      <w:r>
        <w:rPr>
          <w:rFonts w:hint="eastAsia" w:ascii="宋体" w:hAnsi="宋体" w:cs="仿宋"/>
          <w:color w:val="auto"/>
          <w:sz w:val="24"/>
          <w:highlight w:val="none"/>
          <w:lang w:val="zh-CN"/>
        </w:rPr>
        <w:t xml:space="preserve">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（2）</w:t>
      </w:r>
      <w:r>
        <w:rPr>
          <w:rFonts w:hint="eastAsia" w:ascii="宋体" w:hAnsi="宋体" w:cs="仿宋"/>
          <w:color w:val="auto"/>
          <w:sz w:val="24"/>
          <w:highlight w:val="none"/>
          <w:lang w:val="zh-CN"/>
        </w:rPr>
        <w:t xml:space="preserve">为保障业务高峰期内系统平稳运行，需根据财政业务周期性特点，加大运维保障力度，增加驻场服务，以缓解业务高峰期间的系统压力风险。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6.</w:t>
      </w:r>
      <w:r>
        <w:rPr>
          <w:rFonts w:hint="eastAsia" w:ascii="宋体" w:hAnsi="宋体" w:cs="仿宋"/>
          <w:color w:val="auto"/>
          <w:sz w:val="24"/>
          <w:highlight w:val="none"/>
        </w:rPr>
        <w:t xml:space="preserve">应用优化服务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年度结转服务，建立</w:t>
      </w:r>
      <w:r>
        <w:rPr>
          <w:rFonts w:hint="eastAsia" w:ascii="宋体" w:hAnsi="宋体" w:cs="仿宋"/>
          <w:color w:val="auto"/>
          <w:sz w:val="24"/>
          <w:highlight w:val="none"/>
          <w:lang w:eastAsia="zh-CN"/>
        </w:rPr>
        <w:t xml:space="preserve">新年度账</w:t>
      </w:r>
      <w:r>
        <w:rPr>
          <w:rFonts w:hint="eastAsia" w:ascii="宋体" w:hAnsi="宋体" w:cs="仿宋"/>
          <w:color w:val="auto"/>
          <w:sz w:val="24"/>
          <w:highlight w:val="none"/>
        </w:rPr>
        <w:t xml:space="preserve">、年底业务数据调整、数据结转等。基于业务应用的定制优化服务。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7.</w:t>
      </w:r>
      <w:r>
        <w:rPr>
          <w:rFonts w:hint="eastAsia" w:ascii="宋体" w:hAnsi="宋体" w:cs="仿宋"/>
          <w:color w:val="auto"/>
          <w:sz w:val="24"/>
          <w:highlight w:val="none"/>
        </w:rPr>
        <w:t xml:space="preserve">专业增值服务</w:t>
      </w:r>
      <w:r/>
    </w:p>
    <w:p>
      <w:pPr>
        <w:ind w:firstLine="480"/>
        <w:spacing w:line="360" w:lineRule="auto"/>
        <w:rPr>
          <w:rFonts w:ascii="宋体" w:hAnsi="宋体" w:cs="仿宋"/>
          <w:b/>
          <w:color w:val="auto"/>
          <w:sz w:val="24"/>
          <w:highlight w:val="none"/>
        </w:rPr>
      </w:pPr>
      <w:r>
        <w:rPr>
          <w:rFonts w:hint="eastAsia" w:ascii="宋体" w:hAnsi="宋体" w:cs="仿宋"/>
          <w:b/>
          <w:color w:val="auto"/>
          <w:sz w:val="24"/>
          <w:highlight w:val="none"/>
        </w:rPr>
        <w:t xml:space="preserve">运维公司定期进行优化，使系统运行效率更高。同时根据实际业务的微调或业务管理模式的变更，运维公司配合省厅开发团队进行需求调研，重新制定流程方案，对相关模块进行测试及更新。</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8.</w:t>
      </w:r>
      <w:r>
        <w:rPr>
          <w:rFonts w:hint="eastAsia" w:ascii="宋体" w:hAnsi="宋体" w:cs="仿宋"/>
          <w:color w:val="auto"/>
          <w:sz w:val="24"/>
          <w:highlight w:val="none"/>
        </w:rPr>
        <w:t xml:space="preserve">其他服务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由于业务需要，需要运维公司对省厅数据回流平台、泰州财政一体化信息管理系统</w:t>
      </w: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泰州财政统一报表平台进行必要的技术支持和运维服务，保证上述系统的稳定。</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五、运维服务要求</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一</w:t>
      </w: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运维</w:t>
      </w:r>
      <w:r>
        <w:rPr>
          <w:rFonts w:hint="eastAsia" w:ascii="宋体" w:hAnsi="宋体" w:cs="仿宋"/>
          <w:color w:val="auto"/>
          <w:sz w:val="24"/>
          <w:highlight w:val="none"/>
          <w:lang w:val="zh-CN"/>
        </w:rPr>
        <w:t xml:space="preserve">服务的工作要求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运维服务要充分考虑容错、应急、负载等要求，依托运维服务平台，结合严谨的测试管理，以保证系统的高可用性。运维服务模式包括现场支持、电话咨询、Email等。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lang w:val="zh-CN"/>
        </w:rPr>
        <w:t xml:space="preserve">现场服务：</w:t>
      </w:r>
      <w:r>
        <w:rPr>
          <w:rFonts w:hint="eastAsia" w:ascii="宋体" w:hAnsi="宋体" w:cs="仿宋"/>
          <w:color w:val="auto"/>
          <w:sz w:val="24"/>
          <w:highlight w:val="none"/>
        </w:rPr>
        <w:t xml:space="preserve">运维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lang w:val="zh-CN"/>
        </w:rPr>
        <w:t xml:space="preserve">电话服务标准：</w:t>
      </w:r>
      <w:r>
        <w:rPr>
          <w:rFonts w:hint="eastAsia" w:ascii="宋体" w:hAnsi="宋体" w:cs="仿宋"/>
          <w:color w:val="auto"/>
          <w:sz w:val="24"/>
          <w:highlight w:val="none"/>
        </w:rPr>
        <w:t xml:space="preserve">运维服务商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lang w:val="zh-CN"/>
        </w:rPr>
        <w:t xml:space="preserve">故障响应标准：</w:t>
      </w:r>
      <w:r>
        <w:rPr>
          <w:rFonts w:hint="eastAsia" w:ascii="宋体" w:hAnsi="宋体" w:cs="仿宋"/>
          <w:color w:val="auto"/>
          <w:sz w:val="24"/>
          <w:highlight w:val="none"/>
        </w:rPr>
        <w:t xml:space="preserve">对一般故障，在半小时内响应并在2小时内解决；重大故障在24小时内解决。</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lang w:val="zh-CN"/>
        </w:rPr>
        <w:t xml:space="preserve">服务人员要求：</w:t>
      </w:r>
      <w:r>
        <w:rPr>
          <w:rFonts w:hint="eastAsia" w:ascii="宋体" w:hAnsi="宋体" w:cs="仿宋"/>
          <w:color w:val="auto"/>
          <w:sz w:val="24"/>
          <w:highlight w:val="none"/>
        </w:rPr>
        <w:t xml:space="preserve">为保障运维服务质量，需提供充足的人力资源，组建至少</w:t>
      </w:r>
      <w:r>
        <w:rPr>
          <w:rFonts w:hint="eastAsia" w:ascii="宋体" w:hAnsi="宋体" w:cs="仿宋"/>
          <w:b/>
          <w:bCs/>
          <w:color w:val="auto"/>
          <w:sz w:val="24"/>
          <w:highlight w:val="none"/>
        </w:rPr>
        <w:t xml:space="preserve">8</w:t>
      </w:r>
      <w:r>
        <w:rPr>
          <w:rFonts w:hint="eastAsia" w:ascii="宋体" w:hAnsi="宋体" w:cs="仿宋"/>
          <w:color w:val="auto"/>
          <w:sz w:val="24"/>
          <w:highlight w:val="none"/>
        </w:rPr>
        <w:t xml:space="preserve">人的服务团队，其中市本级一体化运维本地驻场运维人员</w:t>
      </w:r>
      <w:r>
        <w:rPr>
          <w:rFonts w:hint="eastAsia" w:ascii="宋体" w:hAnsi="宋体" w:cs="仿宋"/>
          <w:b/>
          <w:bCs/>
          <w:color w:val="auto"/>
          <w:sz w:val="24"/>
          <w:highlight w:val="none"/>
        </w:rPr>
        <w:t xml:space="preserve">不少于4人</w:t>
      </w:r>
      <w:r>
        <w:rPr>
          <w:rFonts w:hint="eastAsia" w:ascii="宋体" w:hAnsi="宋体" w:cs="仿宋"/>
          <w:color w:val="auto"/>
          <w:sz w:val="24"/>
          <w:highlight w:val="none"/>
        </w:rPr>
        <w:t xml:space="preserve">。并设计人力资源保障解决方案，要求服务人员配备充足、分工合理，计划科学。驻场服务人员在泰州市财政局的统一领导下开展运维服务工作。</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服务人员能力要求：参与本地维护的技术人员必须具有承担过财政一体化</w:t>
      </w:r>
      <w:r>
        <w:rPr>
          <w:rFonts w:hint="eastAsia" w:ascii="宋体" w:hAnsi="宋体" w:cs="仿宋"/>
          <w:color w:val="auto"/>
          <w:sz w:val="24"/>
          <w:highlight w:val="none"/>
          <w:lang w:eastAsia="zh-CN"/>
        </w:rPr>
        <w:t xml:space="preserve">系统</w:t>
      </w:r>
      <w:r>
        <w:rPr>
          <w:rFonts w:hint="eastAsia" w:ascii="宋体" w:hAnsi="宋体" w:cs="仿宋"/>
          <w:color w:val="auto"/>
          <w:sz w:val="24"/>
          <w:highlight w:val="none"/>
        </w:rPr>
        <w:t xml:space="preserve">的业务经验（</w:t>
      </w:r>
      <w:r>
        <w:rPr>
          <w:rFonts w:hint="eastAsia" w:ascii="宋体" w:hAnsi="宋体" w:cs="仿宋"/>
          <w:color w:val="auto"/>
          <w:sz w:val="24"/>
          <w:highlight w:val="none"/>
          <w:lang w:eastAsia="zh-CN"/>
        </w:rPr>
        <w:t xml:space="preserve">至少3年</w:t>
      </w:r>
      <w:r>
        <w:rPr>
          <w:rFonts w:hint="eastAsia" w:ascii="宋体" w:hAnsi="宋体" w:cs="仿宋"/>
          <w:color w:val="auto"/>
          <w:sz w:val="24"/>
          <w:highlight w:val="none"/>
        </w:rPr>
        <w:t xml:space="preserve">），能够与用户进行良好沟通，具备相关产品维护能力。</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培训：为持续提升运维服务人员服务管理水平及业务技能，供应商应遵照采购人的培训计划及要求，按时参加由采购人指定的系统相关的信息技术及项目管理的培训，供应商承担由此发生的与供应商驻场服务人员的相关费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人员变更：供应商保证项目经理和驻场服务人员的稳定，响应文件中指定的项目经理及驻场服务人员必须与合同中的人员一致，不得擅自更换项目经理及驻场服务人员，擅自更换项目经理及驻场服务人员的视为供应商主动终止合同，并承担相应责任。如确实因特殊原因需更换项目经理及驻场服务人员，供应商应提前1个月向财政局报备确认后方可变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（二）安全保障及保密要求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rPr>
        <w:t xml:space="preserve">安全运维管理要求。供应商必须规范日常的安全操作，符合财政部总体安全策略，通过</w:t>
      </w:r>
      <w:r>
        <w:rPr>
          <w:rFonts w:hint="eastAsia" w:ascii="宋体" w:hAnsi="宋体" w:cs="仿宋"/>
          <w:color w:val="auto"/>
          <w:sz w:val="24"/>
          <w:highlight w:val="none"/>
          <w:lang w:val="en-US" w:eastAsia="zh-CN"/>
        </w:rPr>
        <w:t xml:space="preserve">采取</w:t>
      </w:r>
      <w:r>
        <w:rPr>
          <w:rFonts w:hint="eastAsia" w:ascii="宋体" w:hAnsi="宋体" w:cs="仿宋"/>
          <w:color w:val="auto"/>
          <w:sz w:val="24"/>
          <w:highlight w:val="none"/>
        </w:rPr>
        <w:t xml:space="preserve">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rPr>
        <w:t xml:space="preserve">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人员配置错误、操作错误，造成系统、设备、资金损失，追究相关公司责任。</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（三）项目管理要求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rPr>
        <w:t xml:space="preserve">供应商必须成立合理的维护团队，建立健全保障项目维护的各项管理制度和质量保证体系。</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rPr>
        <w:t xml:space="preserve">供应商必须指定专职于本地维护的人员，配置相应的项目维护、系统分析、开发、测试、集成、培训、质量保证等人员，保证有足够的高素质人员参加本地维护。</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供应商应对上述内容列出详细人员计划，包括人员姓名、经验、学历和在维护中的职责分工等。</w:t>
      </w:r>
      <w:r/>
    </w:p>
    <w:p>
      <w:pPr>
        <w:ind w:firstLine="480"/>
        <w:spacing w:line="360" w:lineRule="auto"/>
        <w:rPr>
          <w:color w:val="auto"/>
          <w:sz w:val="24"/>
          <w:highlight w:val="none"/>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rPr>
        <w:t xml:space="preserve">供应商应根据维护的具体内容和要求，向采购人提交切实可行的维护工作方案。</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（四）服务质量</w:t>
      </w:r>
      <w:r>
        <w:rPr>
          <w:rFonts w:ascii="宋体" w:hAnsi="宋体" w:cs="仿宋"/>
          <w:color w:val="auto"/>
          <w:sz w:val="24"/>
          <w:highlight w:val="none"/>
        </w:rPr>
        <w:t xml:space="preserve">考核</w:t>
      </w:r>
      <w:r/>
    </w:p>
    <w:p>
      <w:pPr>
        <w:ind w:firstLine="480"/>
        <w:spacing w:line="360" w:lineRule="auto"/>
        <w:rPr>
          <w:rFonts w:ascii="宋体" w:hAnsi="宋体" w:cs="仿宋"/>
          <w:color w:val="auto"/>
          <w:sz w:val="24"/>
          <w:highlight w:val="none"/>
        </w:rPr>
      </w:pPr>
      <w:r>
        <w:rPr>
          <w:rFonts w:ascii="宋体" w:hAnsi="宋体" w:cs="仿宋"/>
          <w:color w:val="auto"/>
          <w:sz w:val="24"/>
          <w:highlight w:val="none"/>
        </w:rPr>
        <w:t xml:space="preserve">中标供应商需保障采购人该项目涉及的财政信息系统安全平稳运行，高质量满足系统使用者的运维需求。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1.驻场人员工作日按照采购人工作时间要求打卡下班，不得无故迟到早退。</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2.无故迟到早退5次以上的，用户有权要求中标供应商更换驻场人员。</w:t>
      </w:r>
      <w:r/>
    </w:p>
    <w:p>
      <w:pPr>
        <w:ind w:firstLine="480"/>
        <w:spacing w:line="360" w:lineRule="auto"/>
        <w:rPr>
          <w:color w:val="auto"/>
          <w:highlight w:val="none"/>
        </w:rPr>
      </w:pPr>
      <w:r>
        <w:rPr>
          <w:rFonts w:hint="eastAsia" w:ascii="宋体" w:hAnsi="宋体" w:cs="仿宋"/>
          <w:color w:val="auto"/>
          <w:sz w:val="24"/>
          <w:highlight w:val="none"/>
          <w:lang w:eastAsia="zh-CN"/>
        </w:rPr>
        <w:t xml:space="preserve">注：</w:t>
      </w:r>
      <w:r>
        <w:rPr>
          <w:rFonts w:hint="eastAsia" w:ascii="宋体" w:hAnsi="宋体" w:cs="仿宋"/>
          <w:color w:val="auto"/>
          <w:sz w:val="24"/>
          <w:highlight w:val="none"/>
          <w:lang w:val="en-US" w:eastAsia="zh-CN"/>
        </w:rPr>
        <w:t xml:space="preserve">中标供应商</w:t>
      </w:r>
      <w:r>
        <w:rPr>
          <w:rFonts w:hint="eastAsia" w:ascii="宋体" w:hAnsi="宋体" w:cs="仿宋"/>
          <w:color w:val="auto"/>
          <w:sz w:val="24"/>
          <w:highlight w:val="none"/>
          <w:lang w:eastAsia="zh-CN"/>
        </w:rPr>
        <w:t xml:space="preserve">在服务期限内无故停止服务或</w:t>
      </w:r>
      <w:r>
        <w:rPr>
          <w:rFonts w:hint="eastAsia" w:ascii="宋体" w:hAnsi="宋体" w:cs="仿宋"/>
          <w:color w:val="auto"/>
          <w:sz w:val="24"/>
          <w:highlight w:val="none"/>
          <w:lang w:val="en-US" w:eastAsia="zh-CN"/>
        </w:rPr>
        <w:t xml:space="preserve">严重违反采购人运维要求</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lang w:val="en-US" w:eastAsia="zh-CN"/>
        </w:rPr>
        <w:t xml:space="preserve">采购人认为其无法履约的，采购人有权提前终止与该供应商的合作。</w:t>
      </w:r>
      <w:r/>
    </w:p>
    <w:p>
      <w:pPr>
        <w:ind w:firstLine="482"/>
        <w:spacing w:line="360" w:lineRule="auto"/>
        <w:rPr>
          <w:rFonts w:ascii="宋体" w:hAnsi="宋体" w:cs="仿宋"/>
          <w:b/>
          <w:bCs/>
          <w:color w:val="auto"/>
          <w:sz w:val="24"/>
          <w:highlight w:val="none"/>
          <w:lang w:val="zh-CN"/>
        </w:rPr>
      </w:pPr>
      <w:r>
        <w:rPr>
          <w:rFonts w:hint="eastAsia" w:ascii="宋体" w:hAnsi="宋体" w:cs="仿宋"/>
          <w:b/>
          <w:bCs/>
          <w:color w:val="auto"/>
          <w:sz w:val="24"/>
          <w:highlight w:val="none"/>
        </w:rPr>
        <w:t xml:space="preserve">六</w:t>
      </w:r>
      <w:r>
        <w:rPr>
          <w:rFonts w:hint="eastAsia" w:ascii="宋体" w:hAnsi="宋体" w:cs="仿宋"/>
          <w:b/>
          <w:bCs/>
          <w:color w:val="auto"/>
          <w:sz w:val="24"/>
          <w:highlight w:val="none"/>
          <w:lang w:val="zh-CN"/>
        </w:rPr>
        <w:t xml:space="preserve">、</w:t>
      </w:r>
      <w:r>
        <w:rPr>
          <w:rFonts w:hint="eastAsia" w:ascii="宋体" w:hAnsi="宋体" w:cs="仿宋"/>
          <w:b/>
          <w:bCs/>
          <w:color w:val="auto"/>
          <w:sz w:val="24"/>
          <w:highlight w:val="none"/>
        </w:rPr>
        <w:t xml:space="preserve">服务时间和地点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val="zh-CN"/>
        </w:rPr>
        <w:t xml:space="preserve">（一）</w:t>
      </w:r>
      <w:r>
        <w:rPr>
          <w:rFonts w:hint="eastAsia" w:ascii="宋体" w:hAnsi="宋体" w:cs="仿宋"/>
          <w:color w:val="auto"/>
          <w:sz w:val="24"/>
          <w:highlight w:val="none"/>
        </w:rPr>
        <w:t xml:space="preserve">服务时间</w:t>
      </w:r>
      <w:r/>
    </w:p>
    <w:p>
      <w:pPr>
        <w:ind w:firstLine="600"/>
        <w:spacing w:line="360" w:lineRule="auto"/>
        <w:rPr>
          <w:rFonts w:ascii="宋体" w:hAnsi="宋体" w:cs="仿宋"/>
          <w:color w:val="auto"/>
          <w:sz w:val="24"/>
          <w:highlight w:val="none"/>
        </w:rPr>
      </w:pPr>
      <w:r>
        <w:rPr>
          <w:rFonts w:hint="eastAsia" w:ascii="宋体" w:hAnsi="宋体" w:cs="仿宋"/>
          <w:color w:val="auto"/>
          <w:sz w:val="24"/>
          <w:highlight w:val="none"/>
        </w:rPr>
        <w:t xml:space="preserve">自合同签订之日起</w:t>
      </w:r>
      <w:r>
        <w:rPr>
          <w:rFonts w:hint="eastAsia" w:ascii="宋体" w:hAnsi="宋体" w:cs="仿宋"/>
          <w:color w:val="auto"/>
          <w:sz w:val="24"/>
          <w:highlight w:val="none"/>
          <w:lang w:val="en-US" w:eastAsia="zh-CN"/>
        </w:rPr>
        <w:t xml:space="preserve">1</w:t>
      </w:r>
      <w:r>
        <w:rPr>
          <w:rFonts w:hint="eastAsia" w:ascii="宋体" w:hAnsi="宋体" w:cs="仿宋"/>
          <w:color w:val="auto"/>
          <w:sz w:val="24"/>
          <w:highlight w:val="none"/>
        </w:rPr>
        <w:t xml:space="preserve">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（二）服务地点</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     供应商驻场服务人员不少于4人，采购人负责安排场地。</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七、</w:t>
      </w:r>
      <w:r>
        <w:rPr>
          <w:rFonts w:hint="eastAsia" w:ascii="宋体" w:hAnsi="宋体" w:cs="仿宋"/>
          <w:b/>
          <w:bCs/>
          <w:color w:val="auto"/>
          <w:sz w:val="24"/>
          <w:highlight w:val="none"/>
          <w:lang w:val="zh-CN"/>
        </w:rPr>
        <w:t xml:space="preserve">付款</w:t>
      </w:r>
      <w:r>
        <w:rPr>
          <w:rFonts w:hint="eastAsia" w:ascii="宋体" w:hAnsi="宋体" w:cs="仿宋"/>
          <w:b/>
          <w:bCs/>
          <w:color w:val="auto"/>
          <w:sz w:val="24"/>
          <w:highlight w:val="none"/>
        </w:rPr>
        <w:t xml:space="preserve">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合同签订生效后，30日内支付合同总金额的30%，2026年6月支付合同总金额的30%，2026年12月支付合同总金额的30%，运维服务验收合格后一次性支付尾款。</w:t>
      </w:r>
      <w:r/>
    </w:p>
    <w:p>
      <w:pPr>
        <w:spacing w:line="360" w:lineRule="auto"/>
        <w:rPr>
          <w:rFonts w:ascii="宋体" w:hAnsi="宋体" w:cs="仿宋"/>
          <w:color w:val="auto"/>
          <w:sz w:val="24"/>
          <w:highlight w:val="none"/>
        </w:rPr>
      </w:pPr>
      <w:r>
        <w:rPr>
          <w:rFonts w:hint="eastAsia" w:ascii="宋体" w:hAnsi="宋体" w:cs="仿宋"/>
          <w:b/>
          <w:bCs/>
          <w:color w:val="auto"/>
          <w:sz w:val="24"/>
          <w:highlight w:val="none"/>
        </w:rPr>
        <w:t xml:space="preserve">采购包二：</w:t>
      </w:r>
      <w:r/>
    </w:p>
    <w:p>
      <w:pPr>
        <w:ind w:firstLine="482"/>
        <w:spacing w:line="360" w:lineRule="auto"/>
        <w:rPr>
          <w:rFonts w:hint="eastAsia" w:ascii="宋体" w:hAnsi="宋体" w:cs="仿宋"/>
          <w:b/>
          <w:bCs/>
          <w:color w:val="auto"/>
          <w:sz w:val="24"/>
          <w:highlight w:val="none"/>
        </w:rPr>
      </w:pPr>
      <w:r>
        <w:rPr>
          <w:rFonts w:hint="eastAsia" w:ascii="宋体" w:hAnsi="宋体" w:cs="仿宋"/>
          <w:b/>
          <w:bCs/>
          <w:color w:val="auto"/>
          <w:sz w:val="24"/>
          <w:highlight w:val="none"/>
        </w:rPr>
        <w:t xml:space="preserve">一、项目概况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省财政厅推进苏采云平台建设部署要求，2021年8月份起苏采云平台已经进入全省全面部署阶段。按照省财政厅统筹建设原则，省财政厅负责系统的顶层设计规划和相关功能开发，地市财政负责本区域系统实施部署运维服务工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2021年4月14日，省财政厅下发了《关于进一步加强政府采购预算编制和执行管理的通知》（苏财购〔2021〕36号），结合“一体化系统”建设在全省推广应用“苏采云”。根据苏财购〔2023〕35号《关于启用江苏省政府采购框架协议电子采购平台的通知》文件要求：自2023年3月15日起，框架协议电子采购平台在全省正式启</w:t>
      </w:r>
      <w:r>
        <w:rPr>
          <w:rFonts w:hint="eastAsia" w:ascii="宋体" w:hAnsi="宋体" w:cs="宋体"/>
          <w:bCs/>
          <w:color w:val="auto"/>
          <w:sz w:val="24"/>
          <w:szCs w:val="24"/>
          <w:highlight w:val="none"/>
          <w:lang w:val="en-US" w:eastAsia="zh-CN"/>
        </w:rPr>
        <w:t xml:space="preserve">用</w:t>
      </w:r>
      <w:r>
        <w:rPr>
          <w:rFonts w:hint="eastAsia" w:ascii="宋体" w:hAnsi="宋体" w:cs="宋体"/>
          <w:bCs/>
          <w:color w:val="auto"/>
          <w:sz w:val="24"/>
          <w:szCs w:val="24"/>
          <w:highlight w:val="none"/>
        </w:rPr>
        <w:t xml:space="preserve">，使用“苏采云”系统的市、县，均应当通过此平台开展框架协议采购活动。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2023年10月9日，省财政厅联合江苏省政务服务管理办公室下发了《关于在全省推广应用“苏采云”政府集中采购交易系统的通知》（苏财购〔2023〕130号），文件要求：2023年年底前全省政府集中采购业务全部纳入“苏采云”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泰州市、县、区于2022年1月上线“苏采云”平台，202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年需持续保障苏采云平台运维服务和根据省厅统一规划升级“苏采云”平台应用。</w:t>
      </w:r>
      <w:r/>
    </w:p>
    <w:p>
      <w:pPr>
        <w:ind w:firstLine="482"/>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二、苏采云运维服务工作</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zh-CN"/>
        </w:rPr>
        <w:t xml:space="preserve">“苏采云”年度运维服务工作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平台日常运维保障（包括解答财政监管部门、采购人、代理机构、供应商用户使用过程中出现的咨询、指导用户操作、问题排查、协助数据整理校对、网络异常、服务器异常、省网公告异常协调、数据对接异常协调处理等），详细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（1）7种采购方式的项目业务流转过程中出现的问题处理包括：项目管理流程问题、开评标过程中指导。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（2）系统控件指导：账号和密码登录咨询、浏览器版本登录指导、系统控件安装指导。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（3）系统填写规范咨询、业务流程调整。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（4）协助解决因用户计算机、网络环境、操作系统导致系统无法正常使用的问题。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（5）供应商：供应商注册咨询、投标流程咨询、投标文件下载\导入问题、制作投标文件、投标文件解密。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（6）评审专家：资格审查、符合审查、综合评审打分、折扣报价确认操作指导。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（7）系统接口保障：采购公告接口、专家库接口、中征平台接口、财政一体化接口等运维保障，相关问题排查解决。</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CA及控件运维：涵盖各采购主体业务使用过程中的CA问题处理，各采购环节涉及的Word编辑器日常控件加载显示问题处理，各采购环节涉及的需签章内容PDF显示及电子签章问题处理以及处理由于帆软导致的系统问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（9）系统培训：对采购人、代理机构、财政监管部门等相关人员进行系统运行管理、日常维护、使用操作等方面的培训。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（10）为了保证系统更好</w:t>
      </w:r>
      <w:r>
        <w:rPr>
          <w:rFonts w:hint="eastAsia" w:ascii="宋体" w:hAnsi="宋体" w:cs="宋体"/>
          <w:color w:val="auto"/>
          <w:sz w:val="24"/>
          <w:szCs w:val="24"/>
          <w:highlight w:val="none"/>
          <w:lang w:eastAsia="zh-CN"/>
        </w:rPr>
        <w:t xml:space="preserve">地</w:t>
      </w:r>
      <w:r>
        <w:rPr>
          <w:rFonts w:hint="eastAsia" w:ascii="宋体" w:hAnsi="宋体" w:cs="宋体"/>
          <w:color w:val="auto"/>
          <w:sz w:val="24"/>
          <w:szCs w:val="24"/>
          <w:highlight w:val="none"/>
        </w:rPr>
        <w:t xml:space="preserve">适应业务需要，支持工程师在解决问题的过程中要记录各类用户针对系统提出的新需求和修改建议。同时从技术的角度协助地方用户进行需求分析，筛选出其中能够提高系统易用性或业务适应性的需求提出解决方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（11）为了保证系统能够更好</w:t>
      </w:r>
      <w:r>
        <w:rPr>
          <w:rFonts w:hint="eastAsia" w:ascii="宋体" w:hAnsi="宋体" w:cs="宋体"/>
          <w:color w:val="auto"/>
          <w:sz w:val="24"/>
          <w:szCs w:val="24"/>
          <w:highlight w:val="none"/>
          <w:lang w:eastAsia="zh-CN"/>
        </w:rPr>
        <w:t xml:space="preserve">地</w:t>
      </w:r>
      <w:r>
        <w:rPr>
          <w:rFonts w:hint="eastAsia" w:ascii="宋体" w:hAnsi="宋体" w:cs="宋体"/>
          <w:color w:val="auto"/>
          <w:sz w:val="24"/>
          <w:szCs w:val="24"/>
          <w:highlight w:val="none"/>
        </w:rPr>
        <w:t xml:space="preserve">与其他财政业务进行衔接，工程师在系统维护过程中协助地市用户挖掘系统与其他财政系统的业务接口，并从技术角度分析系统与其他业务系统进行衔接的可行性，设计数据接口解决方案。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（12）重大项目或紧急情况下，提供现场技术支持服务。</w:t>
      </w:r>
      <w:r/>
    </w:p>
    <w:p>
      <w:pPr>
        <w:pStyle w:val="1250"/>
        <w:numPr>
          <w:ilvl w:val="0"/>
          <w:numId w:val="0"/>
        </w:numPr>
        <w:ind w:firstLine="482"/>
        <w:spacing w:before="0" w:after="0" w:line="360" w:lineRule="auto"/>
        <w:rPr>
          <w:rFonts w:hint="eastAsia" w:ascii="宋体" w:hAnsi="宋体" w:eastAsia="宋体" w:cs="宋体"/>
          <w:b/>
          <w:bCs w:val="0"/>
          <w:color w:val="auto"/>
          <w:sz w:val="24"/>
          <w:szCs w:val="24"/>
          <w:highlight w:val="none"/>
          <w:lang w:val="zh-CN" w:eastAsia="zh-CN" w:bidi="ar-SA"/>
        </w:rPr>
        <w:outlineLvl w:val="2"/>
      </w:pPr>
      <w:r/>
      <w:bookmarkStart w:id="115" w:name="_Toc173764537"/>
      <w:r>
        <w:rPr>
          <w:rFonts w:hint="eastAsia" w:ascii="宋体" w:hAnsi="宋体" w:eastAsia="宋体" w:cs="宋体"/>
          <w:b/>
          <w:bCs w:val="0"/>
          <w:color w:val="auto"/>
          <w:sz w:val="24"/>
          <w:szCs w:val="24"/>
          <w:highlight w:val="none"/>
          <w:lang w:val="zh-CN" w:eastAsia="zh-CN" w:bidi="ar-SA"/>
        </w:rPr>
        <w:t xml:space="preserve">2</w:t>
      </w:r>
      <w:r>
        <w:rPr>
          <w:rFonts w:hint="eastAsia" w:ascii="宋体" w:hAnsi="宋体" w:eastAsia="宋体" w:cs="宋体"/>
          <w:b/>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zh-CN" w:eastAsia="zh-CN" w:bidi="ar-SA"/>
        </w:rPr>
        <w:t xml:space="preserve">智能服务平台保障</w:t>
      </w:r>
      <w:bookmarkEnd w:id="11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智能客服平台为采购人、代理机构、供应商、评审专家、监管部门均提供一对一专属服务通道以及便捷的自助服务窗口，通过统一在线服务入口、智能分发、多渠道智能协同服务进一步优化运维服务能力，提升问题处理效率，提高用户满意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（1）智能问答服务：用户输入咨询内容后，系统可根据输入内容的语境、语义，推送与之匹配度最高的相关问题的解决方案，实现7*24小时全天候服务。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（2）人工客服服务：用户可申请人工客服服务，后台客服接受用户请求并提供相应服务，可实现跨地区问题转接，有效避免用户重复咨询，提高咨询效率。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（3）自助服务：提供客服热线查询以及系统公告、常见问题、操作手册在线查看等，方便用户快速查看并了解相关信息。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（4）服务评价：用户咨询结束后，可以对智能客服提供的解决方案进行评价，也可以对人工客服提供的服务进行星级评分。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（5）预约回访：若因人工客服接入超时未响应，用户可进行在线留言，预约人工客服进行回访并解决相关问题。</w:t>
      </w:r>
      <w:r/>
    </w:p>
    <w:p>
      <w:pPr>
        <w:pStyle w:val="1250"/>
        <w:numPr>
          <w:ilvl w:val="0"/>
          <w:numId w:val="0"/>
        </w:numPr>
        <w:ind w:firstLine="482"/>
        <w:spacing w:before="0" w:after="0" w:line="360" w:lineRule="auto"/>
        <w:rPr>
          <w:rFonts w:hint="eastAsia" w:ascii="宋体" w:hAnsi="宋体" w:eastAsia="宋体" w:cs="宋体"/>
          <w:b/>
          <w:bCs/>
          <w:color w:val="auto"/>
          <w:sz w:val="24"/>
          <w:szCs w:val="24"/>
          <w:highlight w:val="none"/>
          <w:lang w:val="zh-CN"/>
        </w:rPr>
        <w:outlineLvl w:val="2"/>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“苏采云”按省厅统一规划升级服务需求</w:t>
      </w:r>
      <w:r/>
    </w:p>
    <w:p>
      <w:pPr>
        <w:ind w:firstLine="480"/>
        <w:spacing w:line="360" w:lineRule="auto"/>
        <w:rPr>
          <w:rFonts w:ascii="宋体" w:hAnsi="宋体" w:cs="宋体"/>
          <w:color w:val="auto"/>
          <w:sz w:val="24"/>
          <w:szCs w:val="24"/>
          <w:highlight w:val="none"/>
        </w:rPr>
      </w:pPr>
      <w:r/>
      <w:bookmarkStart w:id="116" w:name="_Toc205813424"/>
      <w:r/>
      <w:bookmarkStart w:id="117" w:name="OLE_LINK4"/>
      <w:r/>
      <w:bookmarkStart w:id="118" w:name="OLE_LINK5"/>
      <w:r/>
      <w:bookmarkStart w:id="119" w:name="_Toc15281"/>
      <w:r/>
      <w:bookmarkStart w:id="120" w:name="_Toc194329603"/>
      <w:r>
        <w:rPr>
          <w:rFonts w:hint="eastAsia" w:ascii="宋体" w:hAnsi="宋体" w:cs="宋体"/>
          <w:color w:val="auto"/>
          <w:sz w:val="24"/>
          <w:szCs w:val="24"/>
          <w:highlight w:val="none"/>
        </w:rPr>
        <w:t xml:space="preserve">苏采云系统在使用过程中，根据财政部新规、省厅工作要求及各市县区用户提出的优化建议，会定期进行更新迭代，以完善其功能。</w:t>
      </w:r>
      <w:r/>
    </w:p>
    <w:p>
      <w:pPr>
        <w:pStyle w:val="1250"/>
        <w:numPr>
          <w:ilvl w:val="0"/>
          <w:numId w:val="0"/>
        </w:numPr>
        <w:ind w:firstLine="480"/>
        <w:spacing w:before="0" w:after="0" w:line="360" w:lineRule="auto"/>
        <w:rPr>
          <w:rFonts w:hint="eastAsia" w:ascii="宋体" w:hAnsi="宋体" w:eastAsia="宋体" w:cs="宋体"/>
          <w:b w:val="0"/>
          <w:bCs w:val="0"/>
          <w:color w:val="auto"/>
          <w:sz w:val="24"/>
          <w:szCs w:val="24"/>
          <w:highlight w:val="none"/>
          <w:lang w:val="zh-CN" w:eastAsia="zh-CN" w:bidi="ar-SA"/>
        </w:rPr>
        <w:outlineLvl w:val="2"/>
      </w:pPr>
      <w:r>
        <w:rPr>
          <w:rFonts w:hint="eastAsia" w:ascii="宋体" w:hAnsi="宋体" w:eastAsia="宋体" w:cs="宋体"/>
          <w:b w:val="0"/>
          <w:bCs w:val="0"/>
          <w:color w:val="auto"/>
          <w:sz w:val="24"/>
          <w:szCs w:val="24"/>
          <w:highlight w:val="none"/>
          <w:lang w:val="en-US" w:eastAsia="zh-CN" w:bidi="ar-SA"/>
        </w:rPr>
        <w:t xml:space="preserve">在新功能正式上线前，苏采云项目团队会预先通知财政监管部门更新细节，确保功能上线后，监管部门能够立即新掌握功能的具体信息。根据系统优化计划，以下列出了即</w:t>
      </w:r>
      <w:r>
        <w:rPr>
          <w:rFonts w:hint="eastAsia" w:ascii="宋体" w:hAnsi="宋体" w:eastAsia="宋体" w:cs="宋体"/>
          <w:b w:val="0"/>
          <w:bCs w:val="0"/>
          <w:color w:val="auto"/>
          <w:sz w:val="24"/>
          <w:szCs w:val="24"/>
          <w:highlight w:val="none"/>
          <w:lang w:val="zh-CN" w:eastAsia="zh-CN" w:bidi="ar-SA"/>
        </w:rPr>
        <w:t xml:space="preserve">将上线的一些重大功能。</w:t>
      </w:r>
      <w:bookmarkEnd w:id="116"/>
      <w:r/>
      <w:bookmarkEnd w:id="117"/>
      <w:r/>
      <w:bookmarkEnd w:id="118"/>
      <w:r/>
      <w:bookmarkEnd w:id="119"/>
      <w:r/>
      <w:bookmarkEnd w:id="120"/>
      <w:r/>
      <w:r/>
    </w:p>
    <w:p>
      <w:pPr>
        <w:pStyle w:val="1250"/>
        <w:numPr>
          <w:ilvl w:val="0"/>
          <w:numId w:val="0"/>
        </w:numPr>
        <w:ind w:firstLine="482"/>
        <w:spacing w:before="0" w:after="0" w:line="360" w:lineRule="auto"/>
        <w:rPr>
          <w:rFonts w:hint="eastAsia" w:ascii="宋体" w:hAnsi="宋体" w:eastAsia="宋体" w:cs="宋体"/>
          <w:b/>
          <w:bCs/>
          <w:color w:val="auto"/>
          <w:sz w:val="24"/>
          <w:szCs w:val="24"/>
          <w:highlight w:val="none"/>
          <w:lang w:val="zh-CN"/>
        </w:rPr>
        <w:outlineLvl w:val="2"/>
      </w:pPr>
      <w:r/>
      <w:bookmarkStart w:id="121" w:name="_Toc194329605"/>
      <w:r/>
      <w:bookmarkStart w:id="122" w:name="_Toc205813426"/>
      <w:r/>
      <w:bookmarkStart w:id="123" w:name="_Toc30527"/>
      <w:r>
        <w:rPr>
          <w:rFonts w:hint="eastAsia" w:ascii="宋体" w:hAnsi="宋体" w:eastAsia="宋体" w:cs="宋体"/>
          <w:b/>
          <w:bCs/>
          <w:color w:val="auto"/>
          <w:sz w:val="24"/>
          <w:szCs w:val="24"/>
          <w:highlight w:val="none"/>
          <w:lang w:val="zh-CN"/>
        </w:rPr>
        <w:t xml:space="preserve">3.1预警监督功能</w:t>
      </w:r>
      <w:bookmarkEnd w:id="121"/>
      <w:r/>
      <w:bookmarkEnd w:id="122"/>
      <w:r/>
      <w:bookmarkEnd w:id="123"/>
      <w:r>
        <w:rPr>
          <w:rFonts w:hint="eastAsia" w:ascii="宋体" w:hAnsi="宋体" w:eastAsia="宋体" w:cs="宋体"/>
          <w:b/>
          <w:bCs/>
          <w:color w:val="auto"/>
          <w:sz w:val="24"/>
          <w:szCs w:val="24"/>
          <w:highlight w:val="none"/>
          <w:lang w:val="zh-CN"/>
        </w:rPr>
        <w:t xml:space="preserve">优化</w:t>
      </w:r>
      <w:r/>
    </w:p>
    <w:p>
      <w:pPr>
        <w:numPr>
          <w:ilvl w:val="255"/>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系统使用过程中，由于政策规定，某些流程受到时间限制，且在业务流程中，我们注意到有用户未能及时完成这些流程。因此设计开发了预警监督功能，为各用户单位（包括代理机构、采购单位等）及监管机构提供实时监督和预警。当相关流程接近时限时，系统会提醒用户；监管机构可以实时监控各项目的预警状态，并对相关项目或单位采取针对性措施。</w:t>
      </w:r>
      <w:r/>
    </w:p>
    <w:p>
      <w:pPr>
        <w:numPr>
          <w:ilvl w:val="255"/>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苏采云项目团队根据实际项目需求，对各流程节点进行了预警设置，确保系统能在时限到来前提前通知用户，并在时限过后立即发出预警。此外，我们将在后续使用过程中继续收集用户对预警监督功能的反馈，以便进一步优化和完善该功能。</w:t>
      </w:r>
      <w:r/>
    </w:p>
    <w:p>
      <w:pPr>
        <w:pStyle w:val="1250"/>
        <w:numPr>
          <w:ilvl w:val="0"/>
          <w:numId w:val="0"/>
        </w:numPr>
        <w:ind w:firstLine="482"/>
        <w:spacing w:before="0" w:after="0" w:line="360" w:lineRule="auto"/>
        <w:rPr>
          <w:rFonts w:hint="eastAsia" w:ascii="宋体" w:hAnsi="宋体" w:eastAsia="宋体" w:cs="宋体"/>
          <w:b/>
          <w:bCs/>
          <w:color w:val="auto"/>
          <w:sz w:val="24"/>
          <w:szCs w:val="24"/>
          <w:highlight w:val="none"/>
          <w:lang w:val="zh-CN"/>
        </w:rPr>
        <w:outlineLvl w:val="2"/>
      </w:pPr>
      <w:r/>
      <w:bookmarkStart w:id="124" w:name="_Toc21774"/>
      <w:r/>
      <w:bookmarkStart w:id="125" w:name="_Toc205813428"/>
      <w:r/>
      <w:bookmarkStart w:id="126" w:name="_Toc194329607"/>
      <w:r>
        <w:rPr>
          <w:rFonts w:hint="eastAsia" w:ascii="宋体" w:hAnsi="宋体" w:eastAsia="宋体" w:cs="宋体"/>
          <w:b/>
          <w:bCs/>
          <w:color w:val="auto"/>
          <w:sz w:val="24"/>
          <w:szCs w:val="24"/>
          <w:highlight w:val="none"/>
          <w:lang w:val="zh-CN"/>
        </w:rPr>
        <w:t xml:space="preserve">3.2服务类框架协议</w:t>
      </w:r>
      <w:bookmarkEnd w:id="124"/>
      <w:r/>
      <w:bookmarkEnd w:id="125"/>
      <w:r/>
      <w:bookmarkEnd w:id="126"/>
      <w:r>
        <w:rPr>
          <w:rFonts w:hint="eastAsia" w:ascii="宋体" w:hAnsi="宋体" w:eastAsia="宋体" w:cs="宋体"/>
          <w:b/>
          <w:bCs/>
          <w:color w:val="auto"/>
          <w:sz w:val="24"/>
          <w:szCs w:val="24"/>
          <w:highlight w:val="none"/>
          <w:lang w:val="zh-CN"/>
        </w:rPr>
        <w:t xml:space="preserve">优化</w:t>
      </w:r>
      <w:r/>
    </w:p>
    <w:p>
      <w:pPr>
        <w:ind w:firstLine="482"/>
        <w:spacing w:line="360" w:lineRule="auto"/>
        <w:rPr>
          <w:color w:val="auto"/>
          <w:sz w:val="24"/>
          <w:szCs w:val="24"/>
          <w:highlight w:val="none"/>
        </w:rPr>
      </w:pPr>
      <w:r>
        <w:rPr>
          <w:rFonts w:hint="eastAsia"/>
          <w:color w:val="auto"/>
          <w:sz w:val="24"/>
          <w:szCs w:val="24"/>
          <w:highlight w:val="none"/>
        </w:rPr>
        <w:t xml:space="preserve">根据泰州市对服务类框架协议采购要求的细致性，苏采云项目组根据用户相关要求，完成了服务类框架协议二阶段需求的优化。各采购单位在采购过程中可按照详细分项进行明细报价，确保订单金额的准确性。</w:t>
      </w:r>
      <w:r/>
    </w:p>
    <w:p>
      <w:pPr>
        <w:ind w:firstLine="482"/>
        <w:spacing w:line="360" w:lineRule="auto"/>
        <w:rPr>
          <w:color w:val="auto"/>
          <w:sz w:val="24"/>
          <w:szCs w:val="24"/>
          <w:highlight w:val="none"/>
        </w:rPr>
      </w:pPr>
      <w:r>
        <w:rPr>
          <w:rFonts w:hint="eastAsia"/>
          <w:color w:val="auto"/>
          <w:sz w:val="24"/>
          <w:szCs w:val="24"/>
          <w:highlight w:val="none"/>
        </w:rPr>
        <w:t xml:space="preserve">苏采云项目组</w:t>
      </w:r>
      <w:r>
        <w:rPr>
          <w:rFonts w:hint="eastAsia"/>
          <w:color w:val="auto"/>
          <w:sz w:val="24"/>
          <w:szCs w:val="24"/>
          <w:highlight w:val="none"/>
          <w:lang w:eastAsia="zh-CN"/>
        </w:rPr>
        <w:t xml:space="preserve">将</w:t>
      </w:r>
      <w:r>
        <w:rPr>
          <w:rFonts w:hint="eastAsia"/>
          <w:color w:val="auto"/>
          <w:sz w:val="24"/>
          <w:szCs w:val="24"/>
          <w:highlight w:val="none"/>
        </w:rPr>
        <w:t xml:space="preserve">协助相关用户完成分项报价的配置，并开展培训工作，引导相关用户快速熟悉相关功能。</w:t>
      </w:r>
      <w:r/>
    </w:p>
    <w:p>
      <w:pPr>
        <w:pStyle w:val="1250"/>
        <w:numPr>
          <w:ilvl w:val="0"/>
          <w:numId w:val="0"/>
        </w:numPr>
        <w:ind w:firstLine="482"/>
        <w:spacing w:before="0" w:after="0" w:line="360" w:lineRule="auto"/>
        <w:rPr>
          <w:rFonts w:hint="eastAsia" w:ascii="宋体" w:hAnsi="宋体" w:eastAsia="宋体" w:cs="宋体"/>
          <w:b/>
          <w:bCs/>
          <w:color w:val="auto"/>
          <w:sz w:val="24"/>
          <w:szCs w:val="24"/>
          <w:highlight w:val="none"/>
          <w:lang w:val="zh-CN"/>
        </w:rPr>
        <w:outlineLvl w:val="2"/>
      </w:pPr>
      <w:r>
        <w:rPr>
          <w:rFonts w:hint="eastAsia" w:ascii="宋体" w:hAnsi="宋体" w:eastAsia="宋体" w:cs="宋体"/>
          <w:b/>
          <w:bCs/>
          <w:color w:val="auto"/>
          <w:sz w:val="24"/>
          <w:szCs w:val="24"/>
          <w:highlight w:val="none"/>
          <w:lang w:val="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服务响应要求</w:t>
      </w:r>
      <w:r/>
    </w:p>
    <w:p>
      <w:pPr>
        <w:ind w:firstLine="482"/>
        <w:spacing w:line="360" w:lineRule="auto"/>
        <w:rPr>
          <w:color w:val="auto"/>
          <w:sz w:val="24"/>
          <w:szCs w:val="24"/>
          <w:highlight w:val="none"/>
        </w:rPr>
      </w:pPr>
      <w:r>
        <w:rPr>
          <w:rFonts w:hint="eastAsia"/>
          <w:color w:val="auto"/>
          <w:sz w:val="24"/>
          <w:szCs w:val="24"/>
          <w:highlight w:val="none"/>
        </w:rPr>
        <w:t xml:space="preserve">系统日常运行期间提供7*24小时电话或电子邮件，接收到服务请求后，在15分钟内给予响应，1小时内做出明确的响应安排，2小时内应由具有解决故障能力的工程师做出故障诊断报告。对于一般问题4小时内给予解决，复杂问题1天内给出解决办法。</w:t>
      </w:r>
      <w:r/>
    </w:p>
    <w:p>
      <w:pPr>
        <w:ind w:firstLine="482"/>
        <w:spacing w:line="360" w:lineRule="auto"/>
        <w:rPr>
          <w:rFonts w:hint="eastAsia"/>
          <w:color w:val="auto"/>
          <w:sz w:val="24"/>
          <w:szCs w:val="24"/>
          <w:highlight w:val="none"/>
        </w:rPr>
      </w:pPr>
      <w:r>
        <w:rPr>
          <w:rFonts w:hint="eastAsia"/>
          <w:color w:val="auto"/>
          <w:sz w:val="24"/>
          <w:szCs w:val="24"/>
          <w:highlight w:val="none"/>
        </w:rPr>
        <w:t xml:space="preserve">运维服务要求：提供人员现场服务保障工作。</w:t>
      </w:r>
      <w:r/>
    </w:p>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三、服务期限与项目进度安排</w:t>
      </w:r>
      <w:r/>
    </w:p>
    <w:p>
      <w:pPr>
        <w:ind w:firstLine="482"/>
        <w:spacing w:line="360" w:lineRule="auto"/>
        <w:rPr>
          <w:rFonts w:hint="eastAsia"/>
          <w:color w:val="auto"/>
          <w:sz w:val="24"/>
          <w:szCs w:val="24"/>
          <w:highlight w:val="none"/>
        </w:rPr>
      </w:pPr>
      <w:r>
        <w:rPr>
          <w:rFonts w:hint="eastAsia"/>
          <w:color w:val="auto"/>
          <w:sz w:val="24"/>
          <w:szCs w:val="24"/>
          <w:highlight w:val="none"/>
        </w:rPr>
        <w:t xml:space="preserve">服务期限：自合同签订之日起</w:t>
      </w:r>
      <w:r>
        <w:rPr>
          <w:rFonts w:hint="eastAsia"/>
          <w:color w:val="auto"/>
          <w:sz w:val="24"/>
          <w:szCs w:val="24"/>
          <w:highlight w:val="none"/>
          <w:lang w:val="en-US" w:eastAsia="zh-CN"/>
        </w:rPr>
        <w:t xml:space="preserve">1</w:t>
      </w:r>
      <w:r>
        <w:rPr>
          <w:rFonts w:hint="eastAsia"/>
          <w:color w:val="auto"/>
          <w:sz w:val="24"/>
          <w:szCs w:val="24"/>
          <w:highlight w:val="none"/>
        </w:rPr>
        <w:t xml:space="preserve">年。</w:t>
      </w:r>
      <w:r/>
    </w:p>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四、付款方式与履约保证金</w:t>
      </w:r>
      <w:r/>
    </w:p>
    <w:p>
      <w:pPr>
        <w:ind w:firstLine="480"/>
        <w:spacing w:line="360" w:lineRule="auto"/>
        <w:rPr>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付款方式</w:t>
      </w:r>
      <w:r/>
    </w:p>
    <w:p>
      <w:pPr>
        <w:ind w:firstLine="482"/>
        <w:spacing w:line="360" w:lineRule="auto"/>
        <w:rPr>
          <w:rFonts w:hint="eastAsia"/>
          <w:b w:val="0"/>
          <w:bCs w:val="0"/>
          <w:color w:val="auto"/>
          <w:sz w:val="24"/>
          <w:szCs w:val="24"/>
          <w:highlight w:val="none"/>
        </w:rPr>
      </w:pPr>
      <w:r>
        <w:rPr>
          <w:rFonts w:hint="eastAsia"/>
          <w:b w:val="0"/>
          <w:bCs w:val="0"/>
          <w:color w:val="auto"/>
          <w:sz w:val="24"/>
          <w:szCs w:val="24"/>
          <w:highlight w:val="none"/>
        </w:rPr>
        <w:t xml:space="preserve">合同签订生效后，30日内支付合同总金额的30%，2026年6月支付合同总金额的30%，2026年12月支付合同总金额的30%，运维服务验收合格后一次性支付尾款。</w:t>
      </w:r>
      <w:bookmarkEnd w:id="109"/>
      <w:r/>
      <w:bookmarkEnd w:id="110"/>
      <w:r/>
      <w:r/>
    </w:p>
    <w:p>
      <w:pPr>
        <w:rPr>
          <w:b/>
          <w:bCs/>
          <w:color w:val="auto"/>
          <w:sz w:val="32"/>
          <w:szCs w:val="32"/>
          <w:highlight w:val="none"/>
        </w:rPr>
      </w:pPr>
      <w:r/>
      <w:bookmarkStart w:id="127" w:name="_Toc10158"/>
      <w:r>
        <w:rPr>
          <w:b/>
          <w:bCs/>
          <w:color w:val="auto"/>
          <w:sz w:val="32"/>
          <w:szCs w:val="32"/>
          <w:highlight w:val="none"/>
        </w:rPr>
        <w:br w:type="page" w:clear="all"/>
      </w:r>
      <w:r/>
    </w:p>
    <w:p>
      <w:pPr>
        <w:jc w:val="center"/>
        <w:rPr>
          <w:b/>
          <w:bCs/>
          <w:color w:val="auto"/>
          <w:sz w:val="32"/>
          <w:szCs w:val="32"/>
          <w:highlight w:val="none"/>
        </w:rPr>
      </w:pPr>
      <w:r>
        <w:rPr>
          <w:b/>
          <w:bCs/>
          <w:color w:val="auto"/>
          <w:sz w:val="32"/>
          <w:szCs w:val="32"/>
          <w:highlight w:val="none"/>
        </w:rPr>
        <w:t xml:space="preserve">第五章 评审方法和评审标准</w:t>
      </w:r>
      <w:bookmarkEnd w:id="127"/>
      <w:r/>
      <w:r/>
    </w:p>
    <w:p>
      <w:pPr>
        <w:ind w:firstLine="482"/>
        <w:spacing w:line="440" w:lineRule="exact"/>
        <w:rPr>
          <w:rFonts w:ascii="宋体" w:hAnsi="宋体" w:cs="宋体"/>
          <w:b/>
          <w:bCs/>
          <w:color w:val="auto"/>
          <w:sz w:val="24"/>
          <w:highlight w:val="none"/>
        </w:rPr>
      </w:pPr>
      <w:r/>
      <w:bookmarkStart w:id="128" w:name="_Toc31610"/>
      <w:r>
        <w:rPr>
          <w:rFonts w:hint="eastAsia" w:ascii="宋体" w:hAnsi="宋体" w:cs="宋体"/>
          <w:b/>
          <w:bCs/>
          <w:color w:val="auto"/>
          <w:sz w:val="24"/>
          <w:highlight w:val="none"/>
        </w:rPr>
        <w:t xml:space="preserve">一、评审方法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1.评审方法采用综合评分法，总分值为100分。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3.评标结果按评审后得分由高到低顺序排列。得分相同的，按投标报价由低到高顺序排列。得分且投标报价相同的</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。投标文件满足</w:t>
      </w:r>
      <w:r>
        <w:rPr>
          <w:rFonts w:hint="eastAsia"/>
          <w:color w:val="auto"/>
          <w:sz w:val="24"/>
          <w:highlight w:val="none"/>
        </w:rPr>
        <w:t xml:space="preserve">磋商</w:t>
      </w:r>
      <w:r>
        <w:rPr>
          <w:rFonts w:hint="eastAsia" w:ascii="宋体" w:hAnsi="宋体" w:cs="宋体"/>
          <w:color w:val="auto"/>
          <w:sz w:val="24"/>
          <w:highlight w:val="none"/>
        </w:rPr>
        <w:t xml:space="preserve">文件全部实质性要求，且按照评审因素的量化指标评审得分最高的投标供应商为成交供应商。如上述因素均相同，则采用抽签方式确定成交候选顺序。</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二、评分标准（总分100分）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采购包一：</w:t>
      </w:r>
      <w:r/>
    </w:p>
    <w:tbl>
      <w:tblPr>
        <w:tblStyle w:val="1223"/>
        <w:tblW w:w="9018" w:type="dxa"/>
        <w:tblInd w:w="93" w:type="dxa"/>
        <w:tblLayout w:type="fixed"/>
        <w:tblCellMar>
          <w:left w:w="108" w:type="dxa"/>
          <w:top w:w="0" w:type="dxa"/>
          <w:right w:w="108" w:type="dxa"/>
          <w:bottom w:w="0" w:type="dxa"/>
        </w:tblCellMar>
        <w:tblLook w:val="04A0" w:firstRow="1" w:lastRow="0" w:firstColumn="1" w:lastColumn="0" w:noHBand="0" w:noVBand="1"/>
      </w:tblPr>
      <w:tblGrid>
        <w:gridCol w:w="1218"/>
        <w:gridCol w:w="6735"/>
        <w:gridCol w:w="1065"/>
      </w:tblGrid>
      <w:tr>
        <w:trPr>
          <w:trHeight w:val="993"/>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评分点</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价格分采用低价优先法计算，即满足磋商文件要求且最终报价最低的为评标基准价，其价格分为满分。其他供应商的价格分统一按照下列公式计算（小数点保留两位）：报价得分=(评标基准价／最终报价)×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r>
      <w:tr>
        <w:trPr>
          <w:trHeight w:val="829"/>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1.企业实力</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（1）具有质量管理体系认证证书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（2）具有职业健康安全管理体系认证证书,得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rPr>
              <w:br/>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具有知识产权管理体系认证证书的得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注：响应文件提供有效期内的证书扫描件并加盖供应商公章，未提供不得分。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2.企业业绩</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年1月1日（以合同签订时间为准）至今，承担过类似项目案例的，每</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一个得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注：响应文件中同时提供合同关键页（含合同服务内容、合同金额、合同盖章页）和验收证明（或服务确认单）</w:t>
            </w:r>
            <w:r>
              <w:rPr>
                <w:rFonts w:hint="eastAsia" w:ascii="宋体" w:hAnsi="宋体" w:cs="宋体"/>
                <w:b/>
                <w:bCs/>
                <w:color w:val="auto"/>
                <w:szCs w:val="21"/>
                <w:highlight w:val="none"/>
                <w:lang w:val="en-US" w:eastAsia="zh-CN"/>
              </w:rPr>
              <w:t xml:space="preserve">原件扫描</w:t>
            </w:r>
            <w:r>
              <w:rPr>
                <w:rFonts w:hint="eastAsia" w:ascii="宋体" w:hAnsi="宋体" w:cs="宋体"/>
                <w:b/>
                <w:bCs/>
                <w:color w:val="auto"/>
                <w:szCs w:val="21"/>
                <w:highlight w:val="none"/>
              </w:rPr>
              <w:t xml:space="preserve">件，未提供或提供不全的不得分。同一个采购人的业绩不累计得分。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19分</w:t>
            </w:r>
            <w:r/>
          </w:p>
        </w:tc>
      </w:tr>
      <w:tr>
        <w:trPr>
          <w:trHeight w:val="90"/>
        </w:trPr>
        <w:tc>
          <w:tcPr>
            <w:tcBorders>
              <w:top w:val="single" w:color="auto" w:sz="4" w:space="0"/>
              <w:left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拟投入人员</w:t>
            </w:r>
            <w:r/>
          </w:p>
        </w:tc>
        <w:tc>
          <w:tcPr>
            <w:tcBorders>
              <w:top w:val="single" w:color="auto" w:sz="4" w:space="0"/>
              <w:left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为本项目配备的项目经理：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供应商为本项目配备的项目经理具有</w:t>
            </w:r>
            <w:r>
              <w:rPr>
                <w:rFonts w:hint="eastAsia" w:ascii="宋体" w:hAnsi="宋体" w:cs="宋体"/>
                <w:color w:val="auto"/>
                <w:szCs w:val="21"/>
                <w:highlight w:val="none"/>
                <w:lang w:eastAsia="zh-CN"/>
              </w:rPr>
              <w:t xml:space="preserve">高级</w:t>
            </w:r>
            <w:r>
              <w:rPr>
                <w:rFonts w:hint="eastAsia" w:ascii="宋体" w:hAnsi="宋体" w:cs="宋体"/>
                <w:color w:val="auto"/>
                <w:szCs w:val="21"/>
                <w:highlight w:val="none"/>
              </w:rPr>
              <w:t xml:space="preserve">信息系统项目管理师证书的得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或</w:t>
            </w:r>
            <w:r>
              <w:rPr>
                <w:rFonts w:hint="eastAsia" w:ascii="宋体" w:hAnsi="宋体" w:cs="宋体"/>
                <w:color w:val="auto"/>
                <w:szCs w:val="21"/>
                <w:highlight w:val="none"/>
              </w:rPr>
              <w:t xml:space="preserve">具有</w:t>
            </w:r>
            <w:r>
              <w:rPr>
                <w:rFonts w:hint="eastAsia" w:ascii="宋体" w:hAnsi="宋体" w:cs="宋体"/>
                <w:color w:val="auto"/>
                <w:szCs w:val="21"/>
                <w:highlight w:val="none"/>
                <w:lang w:eastAsia="zh-CN"/>
              </w:rPr>
              <w:t xml:space="preserve">中级</w:t>
            </w:r>
            <w:r>
              <w:rPr>
                <w:rFonts w:hint="eastAsia" w:ascii="宋体" w:hAnsi="宋体" w:cs="宋体"/>
                <w:color w:val="auto"/>
                <w:szCs w:val="21"/>
                <w:highlight w:val="none"/>
              </w:rPr>
              <w:t xml:space="preserve">信息系统项目管理师证书</w:t>
            </w:r>
            <w:r>
              <w:rPr>
                <w:rFonts w:hint="eastAsia" w:ascii="宋体" w:hAnsi="宋体" w:cs="宋体"/>
                <w:color w:val="auto"/>
                <w:szCs w:val="21"/>
                <w:highlight w:val="none"/>
                <w:lang w:eastAsia="zh-CN"/>
              </w:rPr>
              <w:t xml:space="preserve">的得</w:t>
            </w:r>
            <w:r>
              <w:rPr>
                <w:rFonts w:hint="eastAsia" w:ascii="宋体" w:hAnsi="宋体" w:cs="宋体"/>
                <w:color w:val="auto"/>
                <w:szCs w:val="21"/>
                <w:highlight w:val="none"/>
                <w:lang w:val="en-US" w:eastAsia="zh-CN"/>
              </w:rPr>
              <w:t xml:space="preserve">1分，</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供应商为本项目配备</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项目经理</w:t>
            </w:r>
            <w:r>
              <w:rPr>
                <w:rFonts w:hint="eastAsia" w:ascii="宋体" w:hAnsi="宋体" w:cs="宋体"/>
                <w:color w:val="auto"/>
                <w:szCs w:val="21"/>
                <w:highlight w:val="none"/>
                <w:lang w:eastAsia="zh-CN"/>
              </w:rPr>
              <w:t xml:space="preserve">具备</w:t>
            </w:r>
            <w:r>
              <w:rPr>
                <w:rFonts w:hint="eastAsia" w:ascii="宋体" w:hAnsi="宋体" w:cs="宋体"/>
                <w:color w:val="auto"/>
                <w:szCs w:val="21"/>
                <w:highlight w:val="none"/>
              </w:rPr>
              <w:t xml:space="preserve">信息系统项目管理师证书</w:t>
            </w:r>
            <w:r>
              <w:rPr>
                <w:rFonts w:hint="eastAsia" w:ascii="宋体" w:hAnsi="宋体" w:cs="宋体"/>
                <w:color w:val="auto"/>
                <w:szCs w:val="21"/>
                <w:highlight w:val="none"/>
                <w:lang w:eastAsia="zh-CN"/>
              </w:rPr>
              <w:t xml:space="preserve">且担任</w:t>
            </w:r>
            <w:r>
              <w:rPr>
                <w:rFonts w:hint="eastAsia" w:ascii="宋体" w:hAnsi="宋体" w:cs="宋体"/>
                <w:color w:val="auto"/>
                <w:szCs w:val="21"/>
                <w:highlight w:val="none"/>
              </w:rPr>
              <w:t xml:space="preserve">过软件运维服务项目</w:t>
            </w:r>
            <w:r>
              <w:rPr>
                <w:rFonts w:hint="eastAsia" w:ascii="宋体" w:hAnsi="宋体" w:cs="宋体"/>
                <w:color w:val="auto"/>
                <w:szCs w:val="21"/>
                <w:highlight w:val="none"/>
                <w:lang w:eastAsia="zh-CN"/>
              </w:rPr>
              <w:t xml:space="preserve">经理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每参加过1个项目</w:t>
            </w:r>
            <w:r>
              <w:rPr>
                <w:rFonts w:hint="eastAsia" w:ascii="宋体" w:hAnsi="宋体" w:cs="宋体"/>
                <w:color w:val="auto"/>
                <w:szCs w:val="21"/>
                <w:highlight w:val="none"/>
                <w:lang w:eastAsia="zh-CN"/>
              </w:rPr>
              <w:t xml:space="preserve">且提供的证明材料真实有效的</w:t>
            </w:r>
            <w:r>
              <w:rPr>
                <w:rFonts w:hint="eastAsia" w:ascii="宋体" w:hAnsi="宋体" w:cs="宋体"/>
                <w:color w:val="auto"/>
                <w:szCs w:val="21"/>
                <w:highlight w:val="none"/>
              </w:rPr>
              <w:t xml:space="preserve">得1分，最高得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为本项目配备的项目成员：</w:t>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数据库系统工程师证书</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具有国产数据库技术认证的，得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（3）具有信创规划管理师认证证书的，得2分；</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同一人员多证书不重复得分。</w:t>
            </w:r>
            <w:r/>
          </w:p>
          <w:p>
            <w:pPr>
              <w:jc w:val="left"/>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注：响应文件中应提供上述人员相关证书证明及供应商为其缴纳的近</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个月内（不含投标当月）任意一个月的社保证明，未提供的不得分。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13分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对本项目需求的理解</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对本</w:t>
            </w:r>
            <w:r>
              <w:rPr>
                <w:rFonts w:hint="eastAsia" w:ascii="宋体" w:hAnsi="宋体" w:cs="宋体"/>
                <w:color w:val="auto"/>
                <w:szCs w:val="21"/>
                <w:highlight w:val="none"/>
                <w:lang w:eastAsia="zh-CN"/>
              </w:rPr>
              <w:t xml:space="preserve">项目</w:t>
            </w:r>
            <w:r>
              <w:rPr>
                <w:rFonts w:hint="eastAsia" w:ascii="宋体" w:hAnsi="宋体" w:cs="宋体"/>
                <w:color w:val="auto"/>
                <w:szCs w:val="21"/>
                <w:highlight w:val="none"/>
              </w:rPr>
              <w:t xml:space="preserve">业务需求梳理、系统业务的理解、分析及方案响应情况：</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方案内容完整</w:t>
            </w:r>
            <w:r>
              <w:rPr>
                <w:rFonts w:hint="eastAsia" w:ascii="宋体" w:hAnsi="宋体" w:cs="宋体"/>
                <w:color w:val="auto"/>
                <w:szCs w:val="21"/>
                <w:highlight w:val="none"/>
                <w:lang w:val="en-US" w:eastAsia="zh-CN"/>
              </w:rPr>
              <w:t xml:space="preserve">准确</w:t>
            </w:r>
            <w:r>
              <w:rPr>
                <w:rFonts w:hint="eastAsia" w:ascii="宋体" w:hAnsi="宋体" w:cs="宋体"/>
                <w:color w:val="auto"/>
                <w:szCs w:val="21"/>
                <w:highlight w:val="none"/>
              </w:rPr>
              <w:t xml:space="preserve">，项目要求分析准确得当、能够针对采购项目内容要求而细化制定，得10分；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方案内容完整、项目要求分析表述较好、但不影响实质性意思表达、能够满足采购需求，得7分；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项目要求分析内容笼统，针对本项目制定</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细致</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，得4分。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10分</w:t>
            </w:r>
            <w:r/>
          </w:p>
        </w:tc>
      </w:tr>
      <w:tr>
        <w:trPr>
          <w:trHeight w:val="90"/>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对系统熟悉程度</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根据供应商提供的业务方案，包括但不限于：省预算管理一体化系统中预算编制、绩效管理与预算执行业务方案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与其他财政业务系统对接</w:t>
            </w:r>
            <w:r>
              <w:rPr>
                <w:rFonts w:hint="eastAsia" w:ascii="宋体" w:hAnsi="宋体" w:cs="宋体"/>
                <w:color w:val="auto"/>
                <w:szCs w:val="21"/>
                <w:highlight w:val="none"/>
                <w:lang w:val="zh-CN"/>
              </w:rPr>
              <w:t xml:space="preserve">熟悉程度</w:t>
            </w:r>
            <w:r>
              <w:rPr>
                <w:rFonts w:hint="eastAsia" w:ascii="宋体" w:hAnsi="宋体" w:cs="宋体"/>
                <w:color w:val="auto"/>
                <w:szCs w:val="21"/>
                <w:highlight w:val="none"/>
                <w:lang w:val="en-US" w:eastAsia="zh-CN"/>
              </w:rPr>
              <w:t xml:space="preserve">方案，</w:t>
            </w:r>
            <w:r>
              <w:rPr>
                <w:rFonts w:hint="eastAsia" w:ascii="宋体" w:hAnsi="宋体" w:cs="宋体"/>
                <w:color w:val="auto"/>
                <w:szCs w:val="21"/>
                <w:highlight w:val="none"/>
                <w:lang w:val="zh-CN"/>
              </w:rPr>
              <w:t xml:space="preserve">其他财政业务系统熟悉程度方案（</w:t>
            </w:r>
            <w:r>
              <w:rPr>
                <w:rFonts w:hint="eastAsia" w:ascii="宋体" w:hAnsi="宋体" w:cs="宋体"/>
                <w:color w:val="auto"/>
                <w:szCs w:val="21"/>
                <w:highlight w:val="none"/>
                <w:lang w:val="en-US" w:eastAsia="zh-CN"/>
              </w:rPr>
              <w:t xml:space="preserve">其他系统包括</w:t>
            </w:r>
            <w:r>
              <w:rPr>
                <w:rFonts w:hint="eastAsia" w:ascii="宋体" w:hAnsi="宋体" w:cs="宋体"/>
                <w:color w:val="auto"/>
                <w:szCs w:val="21"/>
                <w:highlight w:val="none"/>
              </w:rPr>
              <w:t xml:space="preserve">泰州财政一体化信息管理系统</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泰州财政统一报表平台、省厅数据回流平台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理解准确、描述清晰的得10分；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理解较准确、描述较清晰的得7分；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理解基本准确、描述基本清晰的得4分；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10分</w:t>
            </w:r>
            <w:r/>
          </w:p>
        </w:tc>
      </w:tr>
      <w:tr>
        <w:trPr>
          <w:trHeight w:val="617"/>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重点难点分析</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bookmarkStart w:id="129" w:name="OLE_LINK30"/>
            <w:r/>
            <w:bookmarkEnd w:id="129"/>
            <w:r>
              <w:rPr>
                <w:rFonts w:hint="eastAsia" w:ascii="宋体" w:hAnsi="宋体" w:cs="宋体"/>
                <w:color w:val="auto"/>
                <w:szCs w:val="21"/>
                <w:highlight w:val="none"/>
              </w:rPr>
              <w:t xml:space="preserve">供应商分析梳理项目实施运维过程中的重难点内容，包括不仅限于：网络角度、业务角度、数据角度。</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重点难点分析准确得当，提供的解决策略合理可行，针对性、可操作性强的得10分；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重点难点分析较准确得当，提供的解决策略较合理可行，针对性、可操作性较强的得7分；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重点难点分析基本准确，提供的解决策略基本合理可行的，得4分；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10分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运维及</w:t>
            </w:r>
            <w:r>
              <w:rPr>
                <w:rFonts w:hint="eastAsia" w:ascii="宋体" w:hAnsi="宋体" w:cs="宋体"/>
                <w:color w:val="auto"/>
                <w:szCs w:val="21"/>
                <w:highlight w:val="none"/>
              </w:rPr>
              <w:t xml:space="preserve">实施部署方案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运维及</w:t>
            </w:r>
            <w:r>
              <w:rPr>
                <w:rFonts w:hint="eastAsia" w:ascii="宋体" w:hAnsi="宋体" w:cs="宋体"/>
                <w:color w:val="auto"/>
                <w:szCs w:val="21"/>
                <w:highlight w:val="none"/>
              </w:rPr>
              <w:t xml:space="preserve">实施部署方案包括但不限于：</w:t>
            </w:r>
            <w:r>
              <w:rPr>
                <w:rFonts w:hint="eastAsia" w:ascii="宋体" w:hAnsi="宋体" w:cs="宋体"/>
                <w:color w:val="auto"/>
                <w:szCs w:val="21"/>
                <w:highlight w:val="none"/>
                <w:lang w:val="en-US" w:eastAsia="zh-CN"/>
              </w:rPr>
              <w:t xml:space="preserve">上述4个系统日常维护方案，</w:t>
            </w:r>
            <w:r>
              <w:rPr>
                <w:rFonts w:hint="eastAsia" w:ascii="宋体" w:hAnsi="宋体" w:cs="宋体"/>
                <w:color w:val="auto"/>
                <w:szCs w:val="21"/>
                <w:highlight w:val="none"/>
              </w:rPr>
              <w:t xml:space="preserve">一体化平台的实施计划与进度、完善可行的项目实施方案、质量保证、工期管理，风险预防及控制措施方案等。</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方案结构严谨、内容完整</w:t>
            </w:r>
            <w:r>
              <w:rPr>
                <w:rFonts w:hint="eastAsia" w:ascii="宋体" w:hAnsi="宋体" w:cs="宋体"/>
                <w:color w:val="auto"/>
                <w:szCs w:val="21"/>
                <w:highlight w:val="none"/>
                <w:lang w:eastAsia="zh-CN"/>
              </w:rPr>
              <w:t xml:space="preserve">准确</w:t>
            </w:r>
            <w:r>
              <w:rPr>
                <w:rFonts w:hint="eastAsia" w:ascii="宋体" w:hAnsi="宋体" w:cs="宋体"/>
                <w:color w:val="auto"/>
                <w:szCs w:val="21"/>
                <w:highlight w:val="none"/>
              </w:rPr>
              <w:t xml:space="preserve">、能够针对采购项目内容要求而细化制定</w:t>
            </w:r>
            <w:r>
              <w:rPr>
                <w:rFonts w:hint="eastAsia" w:ascii="宋体" w:hAnsi="宋体" w:cs="宋体"/>
                <w:color w:val="auto"/>
                <w:szCs w:val="21"/>
                <w:highlight w:val="none"/>
                <w:lang w:eastAsia="zh-CN"/>
              </w:rPr>
              <w:t xml:space="preserve">、具</w:t>
            </w:r>
            <w:r>
              <w:rPr>
                <w:rFonts w:hint="eastAsia" w:ascii="宋体" w:hAnsi="宋体" w:cs="宋体"/>
                <w:color w:val="auto"/>
                <w:szCs w:val="21"/>
                <w:highlight w:val="none"/>
              </w:rPr>
              <w:t xml:space="preserve">有明确的时间节点和进度安排、项目管理运行机制健全且优于采购需求，得 </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方案完整、制定的措施较齐全、方案表述有偏差、但不影响实质性意思表达、能够满足采购需求，得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有项目实施方案、但方案内容笼统、针对本项目制定未细致、但承诺经过优化可实现采购需求，得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8分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根据供应商提供的售后服务方案（包括但不限于服务承诺、服务体系、服务内容、方式、专业的技术服务团队及其他资源保障等内容）进行综合打分。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方案完整，服务承诺详细、具体，故障响应及时能满足用户要求的，得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方案较完整，服务承诺比较详细、具体，故障响应比较能满足用户要求的，得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方案基本完整，服务承诺、故障响应基本满足用户要求的，得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不提供</w:t>
            </w:r>
            <w:r>
              <w:rPr>
                <w:rFonts w:hint="eastAsia" w:ascii="宋体" w:hAnsi="宋体" w:cs="宋体"/>
                <w:color w:val="auto"/>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Cs w:val="21"/>
                <w:highlight w:val="none"/>
                <w:lang w:val="en-US" w:eastAsia="zh-CN"/>
              </w:rPr>
              <w:t xml:space="preserve">5分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应急方案包括但不限于：应急抢修及重大节假日、重大活动期间的保障措施。</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方案完整严谨、合理可行、解决措施得当得5分；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方案较完整严谨、较为合理可行、解决措施比较得当得3分；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方案基本满足采购人需求的，得1分；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5分</w:t>
            </w:r>
            <w:r/>
          </w:p>
        </w:tc>
      </w:tr>
      <w:tr>
        <w:trPr>
          <w:trHeight w:val="3190"/>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制定</w:t>
            </w:r>
            <w:r>
              <w:rPr>
                <w:rFonts w:hint="eastAsia" w:ascii="宋体" w:hAnsi="宋体" w:cs="宋体"/>
                <w:color w:val="auto"/>
                <w:szCs w:val="21"/>
                <w:highlight w:val="none"/>
              </w:rPr>
              <w:t xml:space="preserve">培训计划和工作方案（包括但不限于本地实施手册编写方案、系统培训计划、培训质量保证措施等）。</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方案内容</w:t>
            </w:r>
            <w:r>
              <w:rPr>
                <w:rFonts w:hint="eastAsia" w:ascii="宋体" w:hAnsi="宋体" w:cs="宋体"/>
                <w:color w:val="auto"/>
                <w:szCs w:val="21"/>
                <w:highlight w:val="none"/>
                <w:lang w:val="en-US" w:eastAsia="zh-CN"/>
              </w:rPr>
              <w:t xml:space="preserve">详细</w:t>
            </w:r>
            <w:r>
              <w:rPr>
                <w:rFonts w:hint="eastAsia" w:ascii="宋体" w:hAnsi="宋体" w:cs="宋体"/>
                <w:color w:val="auto"/>
                <w:szCs w:val="21"/>
                <w:highlight w:val="none"/>
                <w:lang w:eastAsia="zh-CN"/>
              </w:rPr>
              <w:t xml:space="preserve">准确</w:t>
            </w:r>
            <w:r>
              <w:rPr>
                <w:rFonts w:hint="eastAsia" w:ascii="宋体" w:hAnsi="宋体" w:cs="宋体"/>
                <w:color w:val="auto"/>
                <w:szCs w:val="21"/>
                <w:highlight w:val="none"/>
              </w:rPr>
              <w:t xml:space="preserve">，方案表述全面、相关措施可操作性强且优于采购需求，得5分；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方案内容基本</w:t>
            </w:r>
            <w:r>
              <w:rPr>
                <w:rFonts w:hint="eastAsia" w:ascii="宋体" w:hAnsi="宋体" w:cs="宋体"/>
                <w:color w:val="auto"/>
                <w:szCs w:val="21"/>
                <w:highlight w:val="none"/>
                <w:lang w:val="en-US" w:eastAsia="zh-CN"/>
              </w:rPr>
              <w:t xml:space="preserve">详细准确的</w:t>
            </w:r>
            <w:r>
              <w:rPr>
                <w:rFonts w:hint="eastAsia" w:ascii="宋体" w:hAnsi="宋体" w:cs="宋体"/>
                <w:color w:val="auto"/>
                <w:szCs w:val="21"/>
                <w:highlight w:val="none"/>
              </w:rPr>
              <w:t xml:space="preserve">、相关措施具</w:t>
            </w:r>
            <w:r>
              <w:rPr>
                <w:rFonts w:hint="eastAsia" w:ascii="宋体" w:hAnsi="宋体" w:cs="宋体"/>
                <w:color w:val="auto"/>
                <w:szCs w:val="21"/>
                <w:highlight w:val="none"/>
                <w:lang w:eastAsia="zh-CN"/>
              </w:rPr>
              <w:t xml:space="preserve">有可</w:t>
            </w:r>
            <w:r>
              <w:rPr>
                <w:rFonts w:hint="eastAsia" w:ascii="宋体" w:hAnsi="宋体" w:cs="宋体"/>
                <w:color w:val="auto"/>
                <w:szCs w:val="21"/>
                <w:highlight w:val="none"/>
              </w:rPr>
              <w:t xml:space="preserve">操作性、能够满足采购需求，得3分；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方案内容有所欠缺、但承诺经过优化可实现采购需求，得 1分；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Cs w:val="21"/>
                <w:highlight w:val="none"/>
                <w:lang w:val="en-US" w:eastAsia="zh-CN"/>
              </w:rPr>
              <w:t xml:space="preserve">5分</w:t>
            </w:r>
            <w:r/>
          </w:p>
        </w:tc>
      </w:tr>
    </w:tbl>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采购包二：</w:t>
      </w:r>
      <w:r/>
    </w:p>
    <w:tbl>
      <w:tblPr>
        <w:tblStyle w:val="1223"/>
        <w:tblW w:w="9087" w:type="dxa"/>
        <w:tblInd w:w="93" w:type="dxa"/>
        <w:tblLayout w:type="fixed"/>
        <w:tblCellMar>
          <w:left w:w="108" w:type="dxa"/>
          <w:top w:w="0" w:type="dxa"/>
          <w:right w:w="108" w:type="dxa"/>
          <w:bottom w:w="0" w:type="dxa"/>
        </w:tblCellMar>
        <w:tblLook w:val="04A0" w:firstRow="1" w:lastRow="0" w:firstColumn="1" w:lastColumn="0" w:noHBand="0" w:noVBand="1"/>
      </w:tblPr>
      <w:tblGrid>
        <w:gridCol w:w="1069"/>
        <w:gridCol w:w="7120"/>
        <w:gridCol w:w="898"/>
      </w:tblGrid>
      <w:tr>
        <w:trPr>
          <w:trHeight w:val="993"/>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评分点</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jc w:val="left"/>
              <w:spacing w:line="360" w:lineRule="auto"/>
              <w:widowControl/>
              <w:rPr>
                <w:color w:val="auto"/>
                <w:szCs w:val="21"/>
                <w:highlight w:val="none"/>
              </w:rPr>
            </w:pPr>
            <w:r>
              <w:rPr>
                <w:rFonts w:hint="eastAsia" w:ascii="宋体" w:hAnsi="宋体" w:cs="宋体"/>
                <w:color w:val="auto"/>
                <w:szCs w:val="21"/>
                <w:highlight w:val="none"/>
              </w:rPr>
              <w:t xml:space="preserve">价格分采用低价优先法计算，即满足磋商文件要求且最终报价最低的为评标基准价，其价格分为满分。其他供应商的价格分统一按照下列公式计算（小数点保留两位）：报价得分=(评标基准价／最终报价)×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r>
      <w:tr>
        <w:trPr>
          <w:trHeight w:val="1447"/>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1.企业实力</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相关的软件产品认证证书，得5分，没有不得分。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质量管理体系认证证书，得5分，没有不得分。</w:t>
            </w:r>
            <w:r/>
          </w:p>
          <w:p>
            <w:pPr>
              <w:jc w:val="left"/>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注：响应文件提供有效期内的证书扫描件并加盖供应商公章，未提供不得分。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2.企业业绩</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供应商提供202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年1月1日至今（时间以合同签订时间为准）类似平台实施服务运维项目的业绩，每提供一个得4分，最高得12分。</w:t>
            </w:r>
            <w:r/>
          </w:p>
          <w:p>
            <w:pPr>
              <w:jc w:val="left"/>
              <w:spacing w:line="360" w:lineRule="auto"/>
              <w:widowControl/>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提供合同复印件（含合同主要要素：合同内容、甲乙双方、金额、签订日期等主要内容）加盖供应商公章，未提供不得分。同一个采购人的业绩不累计得分。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分</w:t>
            </w:r>
            <w:r/>
          </w:p>
        </w:tc>
      </w:tr>
      <w:tr>
        <w:trPr>
          <w:trHeight w:val="90"/>
        </w:trPr>
        <w:tc>
          <w:tcPr>
            <w:tcBorders>
              <w:top w:val="single" w:color="auto" w:sz="4" w:space="0"/>
              <w:left w:val="single" w:color="auto" w:sz="4" w:space="0"/>
              <w:right w:val="single" w:color="auto" w:sz="4" w:space="0"/>
            </w:tcBorders>
            <w:tcW w:w="1069" w:type="dxa"/>
            <w:vAlign w:val="center"/>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widowControl/>
              <w:rPr>
                <w:rFonts w:ascii="宋体" w:hAnsi="宋体" w:cs="宋体"/>
                <w:b w:val="0"/>
                <w:bCs w:val="0"/>
                <w:color w:val="auto"/>
                <w:szCs w:val="21"/>
                <w:highlight w:val="none"/>
              </w:rPr>
            </w:pPr>
            <w:r>
              <w:rPr>
                <w:rFonts w:ascii="宋体" w:hAnsi="宋体" w:cs="宋体"/>
                <w:b w:val="0"/>
                <w:bCs w:val="0"/>
                <w:color w:val="auto"/>
                <w:szCs w:val="21"/>
                <w:highlight w:val="none"/>
              </w:rPr>
            </w:r>
            <w:r/>
          </w:p>
          <w:p>
            <w:pPr>
              <w:jc w:val="center"/>
              <w:spacing w:line="360" w:lineRule="auto"/>
              <w:widowControl/>
              <w:rPr>
                <w:rFonts w:ascii="宋体" w:hAnsi="宋体" w:cs="宋体"/>
                <w:b w:val="0"/>
                <w:bCs w:val="0"/>
                <w:color w:val="auto"/>
                <w:szCs w:val="21"/>
                <w:highlight w:val="none"/>
              </w:rPr>
            </w:pPr>
            <w:r>
              <w:rPr>
                <w:rFonts w:ascii="宋体" w:hAnsi="宋体" w:cs="宋体"/>
                <w:b w:val="0"/>
                <w:bCs w:val="0"/>
                <w:color w:val="auto"/>
                <w:szCs w:val="21"/>
                <w:highlight w:val="none"/>
              </w:rPr>
            </w:r>
            <w:r/>
          </w:p>
          <w:p>
            <w:pPr>
              <w:jc w:val="center"/>
              <w:spacing w:line="360" w:lineRule="auto"/>
              <w:widowControl/>
              <w:rPr>
                <w:rFonts w:ascii="宋体" w:hAnsi="宋体" w:cs="宋体"/>
                <w:b/>
                <w:color w:val="auto"/>
                <w:szCs w:val="21"/>
                <w:highlight w:val="none"/>
              </w:rPr>
            </w:pPr>
            <w:r>
              <w:rPr>
                <w:rFonts w:hint="eastAsia" w:ascii="宋体" w:hAnsi="宋体" w:cs="宋体"/>
                <w:b w:val="0"/>
                <w:bCs w:val="0"/>
                <w:color w:val="auto"/>
                <w:szCs w:val="21"/>
                <w:highlight w:val="none"/>
              </w:rPr>
              <w:t xml:space="preserve">拟投入人员</w:t>
            </w:r>
            <w:r/>
          </w:p>
        </w:tc>
        <w:tc>
          <w:tcPr>
            <w:tcBorders>
              <w:top w:val="single" w:color="auto" w:sz="4" w:space="0"/>
              <w:left w:val="single" w:color="auto" w:sz="4" w:space="0"/>
              <w:right w:val="single" w:color="auto" w:sz="4" w:space="0"/>
            </w:tcBorders>
            <w:tcW w:w="712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ascii="宋体" w:hAnsi="宋体" w:cs="宋体"/>
                <w:color w:val="auto"/>
                <w:szCs w:val="21"/>
                <w:highlight w:val="none"/>
              </w:rPr>
              <w:t xml:space="preserve">为本项目配备的项目经理：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供应商为本项目配备的项目经理具有项目管理专业资格认证【PMP】证书，得3分，</w:t>
            </w:r>
            <w:r/>
          </w:p>
          <w:p>
            <w:pPr>
              <w:spacing w:line="400" w:lineRule="atLeast"/>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注：响应文件提供有效期内的证书扫描件并加盖供应商公章，并提供供应商为其缴纳的近三个月内（不含投标当月）任意一个月的社保证明，未提供的不得分。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为本项目配备的项目成员(不含项目经理）：</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具有系统集成项目管理工程师</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，得3分，</w:t>
            </w:r>
            <w:r/>
          </w:p>
          <w:p>
            <w:pPr>
              <w:spacing w:line="400" w:lineRule="atLeast"/>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具有数据库系统工程师</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，得3分</w:t>
            </w:r>
            <w:r>
              <w:rPr>
                <w:rFonts w:hint="eastAsia" w:ascii="宋体" w:hAnsi="宋体" w:cs="宋体"/>
                <w:color w:val="auto"/>
                <w:szCs w:val="21"/>
                <w:highlight w:val="none"/>
                <w:lang w:eastAsia="zh-CN"/>
              </w:rPr>
              <w:t xml:space="preserve">；</w:t>
            </w:r>
            <w:r/>
          </w:p>
          <w:p>
            <w:pPr>
              <w:spacing w:line="400" w:lineRule="atLeast"/>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同一人员多证书不重复得分。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注：响应文件中应提供上述人员相关证书证明及供应商为其缴纳的近</w:t>
            </w:r>
            <w:r>
              <w:rPr>
                <w:rFonts w:hint="eastAsia" w:ascii="宋体" w:hAnsi="宋体" w:cs="宋体"/>
                <w:b/>
                <w:color w:val="auto"/>
                <w:highlight w:val="none"/>
              </w:rPr>
              <w:t xml:space="preserve">三</w:t>
            </w:r>
            <w:r>
              <w:rPr>
                <w:rFonts w:ascii="宋体" w:hAnsi="宋体" w:cs="宋体"/>
                <w:b/>
                <w:color w:val="auto"/>
                <w:highlight w:val="none"/>
              </w:rPr>
              <w:t xml:space="preserve">个月内</w:t>
            </w:r>
            <w:r>
              <w:rPr>
                <w:rFonts w:hint="eastAsia" w:ascii="宋体" w:hAnsi="宋体" w:cs="宋体"/>
                <w:b/>
                <w:bCs/>
                <w:color w:val="auto"/>
                <w:szCs w:val="21"/>
                <w:highlight w:val="none"/>
              </w:rPr>
              <w:t xml:space="preserve">（不含投标当月）</w:t>
            </w:r>
            <w:r>
              <w:rPr>
                <w:rFonts w:hint="eastAsia" w:ascii="宋体" w:hAnsi="宋体" w:cs="宋体"/>
                <w:b/>
                <w:color w:val="auto"/>
                <w:highlight w:val="none"/>
              </w:rPr>
              <w:t xml:space="preserve">任意</w:t>
            </w:r>
            <w:r>
              <w:rPr>
                <w:rFonts w:ascii="宋体" w:hAnsi="宋体" w:cs="宋体"/>
                <w:b/>
                <w:color w:val="auto"/>
                <w:highlight w:val="none"/>
              </w:rPr>
              <w:t xml:space="preserve">一个月的社保证明，未提供的不得分。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360" w:lineRule="auto"/>
              <w:widowControl/>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系统实施技术认证</w:t>
            </w:r>
            <w:r/>
          </w:p>
          <w:p>
            <w:pP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spacing w:line="400" w:lineRule="atLeas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具有政府采购相关软件著作权登记证书的，每提供一个得2分，最多得4分，没有不得分。</w:t>
            </w:r>
            <w:r/>
          </w:p>
          <w:p>
            <w:pPr>
              <w:spacing w:line="400" w:lineRule="atLeas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注：响应文件需提供有效的证书复印件并加盖供应商公章，未提供不得分。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对本项目需求的理解</w:t>
            </w:r>
            <w:r/>
          </w:p>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对本项目中业务需求</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梳理、系统业务的理解、分析及方案响应情况：</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方案内容完整</w:t>
            </w:r>
            <w:r>
              <w:rPr>
                <w:rFonts w:hint="eastAsia" w:ascii="宋体" w:hAnsi="宋体" w:cs="宋体"/>
                <w:color w:val="auto"/>
                <w:szCs w:val="21"/>
                <w:highlight w:val="none"/>
                <w:lang w:val="en-US" w:eastAsia="zh-CN"/>
              </w:rPr>
              <w:t xml:space="preserve">准确</w:t>
            </w:r>
            <w:r>
              <w:rPr>
                <w:rFonts w:hint="eastAsia" w:ascii="宋体" w:hAnsi="宋体" w:cs="宋体"/>
                <w:color w:val="auto"/>
                <w:szCs w:val="21"/>
                <w:highlight w:val="none"/>
              </w:rPr>
              <w:t xml:space="preserve">，项目要求分析准确得当、能够针对采购项目内容要求而细化制定，得1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方案内容完整、项目要求分析表述较好、但不影响实质性意思表达、能够满足采购需求，得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项目要求分析内容笼统，针对本项目制定未细致，得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 </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1512"/>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对系统</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熟悉程度</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根据供应商提供的业务方案，包括但不限于：</w:t>
            </w:r>
            <w:r>
              <w:rPr>
                <w:rFonts w:hint="eastAsia" w:ascii="宋体" w:hAnsi="宋体" w:cs="宋体"/>
                <w:color w:val="auto"/>
                <w:szCs w:val="21"/>
                <w:highlight w:val="none"/>
                <w:lang w:val="en-US" w:eastAsia="zh-CN"/>
              </w:rPr>
              <w:t xml:space="preserve">对</w:t>
            </w:r>
            <w:r>
              <w:rPr>
                <w:rFonts w:hint="eastAsia" w:ascii="宋体" w:hAnsi="宋体" w:cs="宋体"/>
                <w:color w:val="auto"/>
                <w:szCs w:val="21"/>
                <w:highlight w:val="none"/>
              </w:rPr>
              <w:t xml:space="preserve">苏采云系统的技术路线、数据架构和业务流程的熟悉程度。</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理解准确、描述清晰的得1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理解较准确、描述较清晰的得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理解基本准确、描述基本清晰的得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r>
      <w:tr>
        <w:trPr>
          <w:trHeight w:val="4022"/>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实施部署方案</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实施部署方案包括但不限于：“苏采云”平台的实施计划与进度、完善可行的项目实施方案、质量保证、工期管理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风险预防及控制措施方案等。</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方案结构严谨、内容完整</w:t>
            </w:r>
            <w:r>
              <w:rPr>
                <w:rFonts w:hint="eastAsia" w:ascii="宋体" w:hAnsi="宋体" w:cs="宋体"/>
                <w:color w:val="auto"/>
                <w:szCs w:val="21"/>
                <w:highlight w:val="none"/>
                <w:lang w:eastAsia="zh-CN"/>
              </w:rPr>
              <w:t xml:space="preserve">准确</w:t>
            </w:r>
            <w:r>
              <w:rPr>
                <w:rFonts w:hint="eastAsia" w:ascii="宋体" w:hAnsi="宋体" w:cs="宋体"/>
                <w:color w:val="auto"/>
                <w:szCs w:val="21"/>
                <w:highlight w:val="none"/>
              </w:rPr>
              <w:t xml:space="preserve">、能够针对采购项目内容要求而细化制定、有明确的时间节点和进度安排、项目管理运行机制健全且优于采购需求，得 </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方案完整、制定的措施较齐全、方案表述有偏差、但不影响实质性意思表达、能够满足采购需求，得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有项目实施方案、但方案内容笼统、针对本项目制定未细致、但承诺经过优化可实现采购需求，得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根据供应商提供的售后服务方案（包括但不限于服务承诺、服务体系、服务内容、方式、专业的技术服务团队及其他资源保障等内容）进行综合打分。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方案完整，服务承诺详细、具体，故障响应及时</w:t>
            </w:r>
            <w:r>
              <w:rPr>
                <w:rFonts w:hint="eastAsia" w:ascii="宋体" w:hAnsi="宋体" w:cs="宋体"/>
                <w:color w:val="auto"/>
                <w:szCs w:val="21"/>
                <w:highlight w:val="none"/>
                <w:lang w:val="en-US" w:eastAsia="zh-CN"/>
              </w:rPr>
              <w:t xml:space="preserve">且</w:t>
            </w:r>
            <w:r>
              <w:rPr>
                <w:rFonts w:hint="eastAsia" w:ascii="宋体" w:hAnsi="宋体" w:cs="宋体"/>
                <w:color w:val="auto"/>
                <w:szCs w:val="21"/>
                <w:highlight w:val="none"/>
              </w:rPr>
              <w:t xml:space="preserve">能满足用户要求的，得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方案较完整，服务承诺比较详细、具体，故障响应比较能满足用户要求的，得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方案基本完整，服务承诺、故障响应基本满足用户要求的，得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不提供</w:t>
            </w:r>
            <w:r>
              <w:rPr>
                <w:rFonts w:hint="eastAsia" w:ascii="宋体" w:hAnsi="宋体" w:cs="宋体"/>
                <w:color w:val="auto"/>
                <w:szCs w:val="21"/>
                <w:highlight w:val="none"/>
              </w:rPr>
              <w:t xml:space="preserve">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7120" w:type="dxa"/>
            <w:vAlign w:val="center"/>
            <w:textDirection w:val="lrTb"/>
            <w:noWrap w:val="false"/>
          </w:tcPr>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针对本项目准备培训计划和工作方案（包括但不限于本地实施手册编写方案、系统培训计划、培训质量保证措施等）。</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w:t>
            </w:r>
            <w:r>
              <w:rPr>
                <w:rFonts w:hint="eastAsia" w:ascii="宋体" w:hAnsi="宋体" w:cs="宋体"/>
                <w:color w:val="auto"/>
                <w:szCs w:val="21"/>
                <w:highlight w:val="none"/>
                <w:lang w:val="en-US" w:eastAsia="zh-CN"/>
              </w:rPr>
              <w:t xml:space="preserve">完整准确</w:t>
            </w:r>
            <w:r>
              <w:rPr>
                <w:rFonts w:hint="eastAsia" w:ascii="宋体" w:hAnsi="宋体" w:cs="宋体"/>
                <w:color w:val="auto"/>
                <w:szCs w:val="21"/>
                <w:highlight w:val="none"/>
              </w:rPr>
              <w:t xml:space="preserve">，方案表述全面、相关措施可操作性强且优于采购需求，得5分；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方案内容基本</w:t>
            </w:r>
            <w:r>
              <w:rPr>
                <w:rFonts w:hint="eastAsia" w:ascii="宋体" w:hAnsi="宋体" w:cs="宋体"/>
                <w:color w:val="auto"/>
                <w:szCs w:val="21"/>
                <w:highlight w:val="none"/>
                <w:lang w:val="en-US" w:eastAsia="zh-CN"/>
              </w:rPr>
              <w:t xml:space="preserve">完整准确</w:t>
            </w:r>
            <w:r>
              <w:rPr>
                <w:rFonts w:hint="eastAsia" w:ascii="宋体" w:hAnsi="宋体" w:cs="宋体"/>
                <w:color w:val="auto"/>
                <w:szCs w:val="21"/>
                <w:highlight w:val="none"/>
              </w:rPr>
              <w:t xml:space="preserve">、相关措施具</w:t>
            </w:r>
            <w:r>
              <w:rPr>
                <w:rFonts w:hint="eastAsia" w:ascii="宋体" w:hAnsi="宋体" w:cs="宋体"/>
                <w:color w:val="auto"/>
                <w:szCs w:val="21"/>
                <w:highlight w:val="none"/>
                <w:lang w:eastAsia="zh-CN"/>
              </w:rPr>
              <w:t xml:space="preserve">有可</w:t>
            </w:r>
            <w:r>
              <w:rPr>
                <w:rFonts w:hint="eastAsia" w:ascii="宋体" w:hAnsi="宋体" w:cs="宋体"/>
                <w:color w:val="auto"/>
                <w:szCs w:val="21"/>
                <w:highlight w:val="none"/>
              </w:rPr>
              <w:t xml:space="preserve">操作性、能够满足采购需求，得3分；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方案内容有所欠缺、但承诺经过优化可实现采购需求，得 1分；</w:t>
            </w:r>
            <w:r/>
          </w:p>
          <w:p>
            <w:pP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00"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bl>
    <w:p>
      <w:pPr>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hint="eastAsia" w:ascii="宋体" w:hAnsi="宋体"/>
          <w:bCs/>
          <w:color w:val="auto"/>
          <w:sz w:val="24"/>
          <w:highlight w:val="none"/>
        </w:rPr>
      </w:pPr>
      <w:r>
        <w:rPr>
          <w:rFonts w:hint="eastAsia" w:ascii="宋体" w:hAnsi="宋体" w:cs="宋体"/>
          <w:color w:val="auto"/>
          <w:sz w:val="24"/>
          <w:highlight w:val="none"/>
        </w:rPr>
        <w:t xml:space="preserve">说明</w:t>
      </w:r>
      <w:r>
        <w:rPr>
          <w:rFonts w:hint="eastAsia" w:ascii="宋体" w:hAnsi="宋体"/>
          <w:bCs/>
          <w:color w:val="auto"/>
          <w:sz w:val="24"/>
          <w:highlight w:val="none"/>
        </w:rPr>
        <w:t xml:space="preserve">：</w:t>
      </w:r>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1.如采购包1和采购包2配备的人员为同一人员，则只计分一次。</w:t>
      </w:r>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2.上述评分标准中须提供相关的各种资格、资质、证书、证明材料等提供扫描件并加盖公章，供应商必须保证所提供资料的真实性和完整性，如发现存在骗取成交等虚假行为，将依据法律规定取消其中标资格。</w:t>
      </w:r>
      <w:r/>
    </w:p>
    <w:p>
      <w:pPr>
        <w:spacing w:line="6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ascii="宋体" w:hAnsi="宋体" w:cs="宋体"/>
          <w:b/>
          <w:bCs/>
          <w:color w:val="auto"/>
          <w:sz w:val="24"/>
          <w:highlight w:val="none"/>
        </w:rPr>
        <w:t xml:space="preserve">本办法未尽事宜，经</w:t>
      </w:r>
      <w:r>
        <w:rPr>
          <w:rFonts w:hint="eastAsia" w:ascii="宋体" w:hAnsi="宋体" w:cs="宋体"/>
          <w:b/>
          <w:bCs/>
          <w:color w:val="auto"/>
          <w:sz w:val="24"/>
          <w:highlight w:val="none"/>
        </w:rPr>
        <w:t xml:space="preserve">磋商小组</w:t>
      </w:r>
      <w:r>
        <w:rPr>
          <w:rFonts w:ascii="宋体" w:hAnsi="宋体" w:cs="宋体"/>
          <w:b/>
          <w:bCs/>
          <w:color w:val="auto"/>
          <w:sz w:val="24"/>
          <w:highlight w:val="none"/>
        </w:rPr>
        <w:t xml:space="preserve">集体通过后，形成书面材料，作为本</w:t>
      </w:r>
      <w:r>
        <w:rPr>
          <w:rFonts w:hint="eastAsia" w:ascii="宋体" w:hAnsi="宋体" w:cs="宋体"/>
          <w:b/>
          <w:bCs/>
          <w:color w:val="auto"/>
          <w:sz w:val="24"/>
          <w:highlight w:val="none"/>
        </w:rPr>
        <w:t xml:space="preserve">磋商</w:t>
      </w:r>
      <w:r>
        <w:rPr>
          <w:rFonts w:ascii="宋体" w:hAnsi="宋体" w:cs="宋体"/>
          <w:b/>
          <w:bCs/>
          <w:color w:val="auto"/>
          <w:sz w:val="24"/>
          <w:highlight w:val="none"/>
        </w:rPr>
        <w:t xml:space="preserve">办法的补充条款，并按</w:t>
      </w:r>
      <w:r>
        <w:rPr>
          <w:rFonts w:hint="eastAsia" w:ascii="宋体" w:hAnsi="宋体" w:cs="宋体"/>
          <w:b/>
          <w:bCs/>
          <w:color w:val="auto"/>
          <w:sz w:val="24"/>
          <w:highlight w:val="none"/>
        </w:rPr>
        <w:t xml:space="preserve">磋商</w:t>
      </w:r>
      <w:r>
        <w:rPr>
          <w:rFonts w:ascii="宋体" w:hAnsi="宋体" w:cs="宋体"/>
          <w:b/>
          <w:bCs/>
          <w:color w:val="auto"/>
          <w:sz w:val="24"/>
          <w:highlight w:val="none"/>
        </w:rPr>
        <w:t xml:space="preserve">办法及补充条款</w:t>
      </w:r>
      <w:r>
        <w:rPr>
          <w:rFonts w:hint="eastAsia" w:ascii="宋体" w:hAnsi="宋体" w:cs="宋体"/>
          <w:b/>
          <w:bCs/>
          <w:color w:val="auto"/>
          <w:sz w:val="24"/>
          <w:highlight w:val="none"/>
        </w:rPr>
        <w:t xml:space="preserve">进行磋商</w:t>
      </w:r>
      <w:r>
        <w:rPr>
          <w:rFonts w:ascii="宋体" w:hAnsi="宋体" w:cs="宋体"/>
          <w:b/>
          <w:bCs/>
          <w:color w:val="auto"/>
          <w:sz w:val="24"/>
          <w:highlight w:val="none"/>
        </w:rPr>
        <w:t xml:space="preserve">。</w:t>
      </w:r>
      <w:r/>
    </w:p>
    <w:p>
      <w:pPr>
        <w:rPr>
          <w:color w:val="auto"/>
          <w:sz w:val="32"/>
          <w:szCs w:val="32"/>
          <w:highlight w:val="none"/>
        </w:rPr>
      </w:pPr>
      <w:r>
        <w:rPr>
          <w:color w:val="auto"/>
          <w:sz w:val="32"/>
          <w:szCs w:val="32"/>
          <w:highlight w:val="none"/>
        </w:rPr>
        <w:br w:type="page" w:clear="all"/>
      </w:r>
      <w:r/>
    </w:p>
    <w:p>
      <w:pPr>
        <w:rPr>
          <w:color w:val="auto"/>
          <w:highlight w:val="none"/>
        </w:rPr>
      </w:pPr>
      <w:r>
        <w:rPr>
          <w:color w:val="auto"/>
          <w:highlight w:val="none"/>
        </w:rPr>
      </w:r>
      <w:r/>
    </w:p>
    <w:p>
      <w:pPr>
        <w:pStyle w:val="1218"/>
        <w:rPr>
          <w:color w:val="auto"/>
          <w:sz w:val="32"/>
          <w:szCs w:val="32"/>
          <w:highlight w:val="none"/>
        </w:rPr>
      </w:pPr>
      <w:r>
        <w:rPr>
          <w:color w:val="auto"/>
          <w:sz w:val="32"/>
          <w:szCs w:val="32"/>
          <w:highlight w:val="none"/>
        </w:rPr>
        <w:t xml:space="preserve">第六章  响应文件的组成和格式</w:t>
      </w:r>
      <w:bookmarkEnd w:id="128"/>
      <w:r/>
      <w:r/>
    </w:p>
    <w:p>
      <w:pPr>
        <w:rPr>
          <w:color w:val="auto"/>
          <w:highlight w:val="none"/>
        </w:rPr>
      </w:pPr>
      <w:r>
        <w:rPr>
          <w:color w:val="auto"/>
          <w:highlight w:val="none"/>
        </w:rPr>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一、资格审查文件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1.法定代表人资格证明书及法定代表人身份证原件扫描件；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2.法定代表人授权委托书及授权委托人身份证原件扫描件（法定代表人亲自参加投标的除外）；</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3.投标供应商具有法人或者其他组织的营业执照原件扫描件；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参加政府采购活动前 3 年内在经营活动中没有重大违法记录的书面声明原件；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8.供应商具备履行合同所必需的设备和专业技术能力的书面声明（格式自拟）；</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9.《中小企业声明函》或《残疾人福利性单位声明函》或监狱和戒毒企业证明材料。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注：上述1—9中任何一条不符合要求，则资格性审查不通过，按无效响应文件处理。</w:t>
      </w:r>
      <w:r/>
    </w:p>
    <w:p>
      <w:pPr>
        <w:jc w:val="left"/>
        <w:spacing w:line="360" w:lineRule="auto"/>
        <w:rPr>
          <w:rFonts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w:t>
      </w:r>
      <w:r>
        <w:rPr>
          <w:rFonts w:hint="eastAsia" w:asciiTheme="minorEastAsia" w:hAnsiTheme="minorEastAsia" w:eastAsiaTheme="minorEastAsia"/>
          <w:bCs/>
          <w:color w:val="auto"/>
          <w:sz w:val="24"/>
          <w:highlight w:val="none"/>
        </w:rPr>
        <w:t xml:space="preserve">磋商</w:t>
      </w:r>
      <w:r>
        <w:rPr>
          <w:rFonts w:hint="eastAsia" w:asciiTheme="minorEastAsia" w:hAnsiTheme="minorEastAsia" w:eastAsiaTheme="minorEastAsia"/>
          <w:bCs/>
          <w:color w:val="auto"/>
          <w:sz w:val="24"/>
          <w:highlight w:val="none"/>
          <w:lang w:val="zh-CN"/>
        </w:rPr>
        <w:t xml:space="preserve">文件要求提供的资格审查证明材料中如没有对应的接口上传资料的，可以在其他材料的接口中上传。）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二、商务技术文件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1.磋商响应函（格式参见第六章）；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2.首次磋商报价表、</w:t>
      </w:r>
      <w:r>
        <w:rPr>
          <w:rFonts w:hint="eastAsia" w:asciiTheme="minorEastAsia" w:hAnsiTheme="minorEastAsia" w:eastAsiaTheme="minorEastAsia"/>
          <w:bCs/>
          <w:color w:val="auto"/>
          <w:sz w:val="24"/>
          <w:highlight w:val="none"/>
          <w:lang w:val="en-US" w:eastAsia="zh-CN"/>
        </w:rPr>
        <w:t xml:space="preserve">分项报价表</w:t>
      </w:r>
      <w:r>
        <w:rPr>
          <w:rFonts w:hint="eastAsia" w:asciiTheme="minorEastAsia" w:hAnsiTheme="minorEastAsia" w:eastAsiaTheme="minorEastAsia"/>
          <w:bCs/>
          <w:color w:val="auto"/>
          <w:sz w:val="24"/>
          <w:highlight w:val="none"/>
        </w:rPr>
        <w:t xml:space="preserve">（格式参见第六章）；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3.采购需求响应及偏离表、商务条款响应及偏离表（格式参见第六章）；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4.拟派本项目人员一览表；</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5.供应商近</w:t>
      </w:r>
      <w:r>
        <w:rPr>
          <w:rFonts w:hint="eastAsia" w:asciiTheme="minorEastAsia" w:hAnsiTheme="minorEastAsia" w:eastAsiaTheme="minorEastAsia"/>
          <w:bCs/>
          <w:color w:val="auto"/>
          <w:sz w:val="24"/>
          <w:highlight w:val="none"/>
          <w:lang w:eastAsia="zh-CN"/>
        </w:rPr>
        <w:t xml:space="preserve">年来</w:t>
      </w:r>
      <w:r>
        <w:rPr>
          <w:rFonts w:hint="eastAsia" w:asciiTheme="minorEastAsia" w:hAnsiTheme="minorEastAsia" w:eastAsiaTheme="minorEastAsia"/>
          <w:bCs/>
          <w:color w:val="auto"/>
          <w:sz w:val="24"/>
          <w:highlight w:val="none"/>
        </w:rPr>
        <w:t xml:space="preserve">类似业绩情况表及相关证明材料；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6.承诺书；</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7.技术方案、服务承诺；</w:t>
      </w:r>
      <w:r/>
    </w:p>
    <w:p>
      <w:pPr>
        <w:spacing w:line="360" w:lineRule="auto"/>
        <w:tabs>
          <w:tab w:val="left" w:pos="90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w:t>
      </w:r>
      <w:r>
        <w:rPr>
          <w:rFonts w:hint="eastAsia" w:asciiTheme="minorEastAsia" w:hAnsiTheme="minorEastAsia" w:eastAsiaTheme="minorEastAsia"/>
          <w:color w:val="auto"/>
          <w:sz w:val="24"/>
          <w:highlight w:val="none"/>
        </w:rPr>
        <w:t xml:space="preserve">根据项目需求和评审方法以及评审标准，供应商为使自身处于有利评审地位，应当提交的其他文件和证明资料；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9.供应商认为需要提交的其他资料。</w:t>
      </w:r>
      <w:r/>
    </w:p>
    <w:p>
      <w:pPr>
        <w:jc w:val="left"/>
        <w:spacing w:line="360" w:lineRule="auto"/>
        <w:rPr>
          <w:bCs/>
          <w:color w:val="auto"/>
          <w:sz w:val="24"/>
          <w:highlight w:val="none"/>
        </w:rPr>
        <w:sectPr>
          <w:footerReference w:type="default" r:id="rId14"/>
          <w:footnotePr/>
          <w:endnotePr/>
          <w:type w:val="nextPage"/>
          <w:pgSz w:w="11907" w:h="16840" w:orient="portrait"/>
          <w:pgMar w:top="1134" w:right="1134" w:bottom="1134" w:left="1560" w:header="851" w:footer="851" w:gutter="0"/>
          <w:pgNumType w:start="1"/>
          <w:cols w:num="1" w:sep="0" w:space="720" w:equalWidth="1"/>
          <w:docGrid w:linePitch="360"/>
        </w:sectPr>
      </w:pPr>
      <w:r>
        <w:rPr>
          <w:bCs/>
          <w:color w:val="auto"/>
          <w:sz w:val="24"/>
          <w:highlight w:val="none"/>
        </w:rPr>
      </w:r>
      <w:r/>
    </w:p>
    <w:p>
      <w:pPr>
        <w:jc w:val="center"/>
        <w:spacing w:line="360" w:lineRule="auto"/>
        <w:rPr>
          <w:b/>
          <w:color w:val="auto"/>
          <w:sz w:val="44"/>
          <w:szCs w:val="44"/>
          <w:highlight w:val="none"/>
        </w:rPr>
        <w:outlineLvl w:val="0"/>
      </w:pPr>
      <w:r/>
      <w:bookmarkStart w:id="130" w:name="_Toc2523"/>
      <w:r/>
      <w:bookmarkStart w:id="131" w:name="_Toc31132"/>
      <w:r/>
      <w:r/>
    </w:p>
    <w:p>
      <w:pPr>
        <w:jc w:val="center"/>
        <w:spacing w:line="360" w:lineRule="auto"/>
        <w:rPr>
          <w:b/>
          <w:color w:val="auto"/>
          <w:sz w:val="44"/>
          <w:szCs w:val="44"/>
          <w:highlight w:val="none"/>
        </w:rPr>
        <w:outlineLvl w:val="0"/>
      </w:pPr>
      <w:r>
        <w:rPr>
          <w:b/>
          <w:color w:val="auto"/>
          <w:sz w:val="44"/>
          <w:szCs w:val="44"/>
          <w:highlight w:val="none"/>
        </w:rPr>
      </w:r>
      <w:r/>
    </w:p>
    <w:p>
      <w:pPr>
        <w:jc w:val="center"/>
        <w:spacing w:line="360" w:lineRule="auto"/>
        <w:rPr>
          <w:b/>
          <w:color w:val="auto"/>
          <w:sz w:val="44"/>
          <w:szCs w:val="44"/>
          <w:highlight w:val="none"/>
        </w:rPr>
        <w:outlineLvl w:val="0"/>
      </w:pPr>
      <w:r>
        <w:rPr>
          <w:b/>
          <w:color w:val="auto"/>
          <w:sz w:val="44"/>
          <w:szCs w:val="44"/>
          <w:highlight w:val="none"/>
        </w:rPr>
        <w:t xml:space="preserve">竞争性磋商响应文件</w:t>
      </w:r>
      <w:bookmarkEnd w:id="130"/>
      <w:r/>
      <w:bookmarkEnd w:id="131"/>
      <w:r/>
      <w:r/>
    </w:p>
    <w:p>
      <w:pPr>
        <w:pStyle w:val="1245"/>
        <w:ind w:firstLine="0"/>
        <w:jc w:val="center"/>
        <w:spacing w:before="0" w:after="0"/>
        <w:rPr>
          <w:rFonts w:ascii="Times New Roman" w:hAnsi="Times New Roman"/>
          <w:b/>
          <w:bCs/>
          <w:color w:val="auto"/>
          <w:sz w:val="21"/>
          <w:szCs w:val="21"/>
          <w:highlight w:val="none"/>
        </w:rPr>
      </w:pPr>
      <w:r>
        <w:rPr>
          <w:rFonts w:ascii="Times New Roman" w:hAnsi="Times New Roman"/>
          <w:b/>
          <w:bCs/>
          <w:color w:val="auto"/>
          <w:sz w:val="21"/>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843"/>
        <w:spacing w:line="360" w:lineRule="auto"/>
        <w:rPr>
          <w:b/>
          <w:color w:val="auto"/>
          <w:sz w:val="28"/>
          <w:szCs w:val="28"/>
          <w:highlight w:val="none"/>
        </w:rPr>
      </w:pPr>
      <w:r>
        <w:rPr>
          <w:b/>
          <w:color w:val="auto"/>
          <w:sz w:val="28"/>
          <w:szCs w:val="28"/>
          <w:highlight w:val="none"/>
        </w:rPr>
        <w:t xml:space="preserve">项 目 名 称：</w:t>
      </w:r>
      <w:r/>
    </w:p>
    <w:p>
      <w:pPr>
        <w:ind w:firstLine="843"/>
        <w:spacing w:line="360" w:lineRule="auto"/>
        <w:rPr>
          <w:b/>
          <w:color w:val="auto"/>
          <w:sz w:val="28"/>
          <w:szCs w:val="28"/>
          <w:highlight w:val="none"/>
          <w:u w:val="single"/>
        </w:rPr>
      </w:pPr>
      <w:r>
        <w:rPr>
          <w:b/>
          <w:color w:val="auto"/>
          <w:sz w:val="28"/>
          <w:szCs w:val="28"/>
          <w:highlight w:val="none"/>
        </w:rPr>
        <w:t xml:space="preserve">项 目 编 号：</w:t>
      </w:r>
      <w:r/>
    </w:p>
    <w:p>
      <w:pPr>
        <w:ind w:firstLine="843"/>
        <w:spacing w:line="360" w:lineRule="auto"/>
        <w:rPr>
          <w:b/>
          <w:color w:val="auto"/>
          <w:sz w:val="28"/>
          <w:szCs w:val="28"/>
          <w:highlight w:val="none"/>
        </w:rPr>
      </w:pPr>
      <w:r>
        <w:rPr>
          <w:b/>
          <w:color w:val="auto"/>
          <w:sz w:val="28"/>
          <w:szCs w:val="28"/>
          <w:highlight w:val="none"/>
        </w:rPr>
        <w:t xml:space="preserve">磋商供应商名称： （加盖CA电子公章）              </w:t>
      </w:r>
      <w:r/>
    </w:p>
    <w:p>
      <w:pPr>
        <w:spacing w:line="360" w:lineRule="auto"/>
        <w:rPr>
          <w:b/>
          <w:color w:val="auto"/>
          <w:sz w:val="28"/>
          <w:szCs w:val="28"/>
          <w:highlight w:val="none"/>
        </w:rPr>
      </w:pPr>
      <w:r>
        <w:rPr>
          <w:b/>
          <w:color w:val="auto"/>
          <w:sz w:val="28"/>
          <w:szCs w:val="28"/>
          <w:highlight w:val="none"/>
        </w:rPr>
        <w:t xml:space="preserve">      日       期：</w:t>
      </w:r>
      <w:bookmarkEnd w:id="111"/>
      <w:r/>
      <w:bookmarkEnd w:id="112"/>
      <w:r/>
      <w:bookmarkEnd w:id="113"/>
      <w:r/>
      <w:r/>
    </w:p>
    <w:p>
      <w:pPr>
        <w:pStyle w:val="1224"/>
        <w:ind w:firstLine="0"/>
        <w:spacing w:line="360" w:lineRule="auto"/>
        <w:rPr>
          <w:b/>
          <w:color w:val="auto"/>
          <w:szCs w:val="21"/>
          <w:highlight w:val="none"/>
        </w:rPr>
      </w:pPr>
      <w:r/>
      <w:bookmarkStart w:id="132" w:name="_Toc456102499"/>
      <w:r/>
      <w:bookmarkStart w:id="133" w:name="_Toc456102676"/>
      <w:r/>
      <w:bookmarkStart w:id="134" w:name="_Toc456102122"/>
      <w:r/>
      <w:bookmarkStart w:id="135" w:name="_Toc337816640"/>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r/>
    </w:p>
    <w:p>
      <w:pPr>
        <w:pStyle w:val="1224"/>
        <w:ind w:firstLine="0"/>
        <w:spacing w:line="360" w:lineRule="auto"/>
        <w:rPr>
          <w:b/>
          <w:color w:val="auto"/>
          <w:szCs w:val="21"/>
          <w:highlight w:val="none"/>
        </w:rPr>
      </w:pPr>
      <w:r>
        <w:rPr>
          <w:b/>
          <w:color w:val="auto"/>
          <w:szCs w:val="21"/>
          <w:highlight w:val="none"/>
        </w:rPr>
      </w:r>
      <w:bookmarkEnd w:id="132"/>
      <w:r/>
      <w:bookmarkEnd w:id="133"/>
      <w:r/>
      <w:bookmarkEnd w:id="134"/>
      <w:r/>
      <w:bookmarkEnd w:id="135"/>
      <w:r/>
      <w:r/>
    </w:p>
    <w:p>
      <w:pPr>
        <w:keepNext/>
        <w:spacing w:before="240" w:after="60" w:line="360" w:lineRule="auto"/>
        <w:rPr>
          <w:rFonts w:ascii="宋体" w:hAnsi="宋体"/>
          <w:color w:val="auto"/>
          <w:sz w:val="44"/>
          <w:szCs w:val="44"/>
          <w:highlight w:val="none"/>
        </w:rPr>
        <w:outlineLvl w:val="1"/>
      </w:pPr>
      <w:r>
        <w:rPr>
          <w:rFonts w:hint="eastAsia" w:ascii="宋体" w:hAnsi="宋体"/>
          <w:b/>
          <w:bCs/>
          <w:color w:val="auto"/>
          <w:szCs w:val="21"/>
          <w:highlight w:val="none"/>
        </w:rPr>
        <w:t xml:space="preserve">附件1 ：                             </w:t>
      </w:r>
      <w:r>
        <w:rPr>
          <w:rFonts w:hint="eastAsia" w:ascii="宋体" w:hAnsi="宋体"/>
          <w:b/>
          <w:bCs/>
          <w:color w:val="auto"/>
          <w:sz w:val="28"/>
          <w:szCs w:val="28"/>
          <w:highlight w:val="none"/>
        </w:rPr>
        <w:t xml:space="preserve">磋商响应函（格式）</w:t>
      </w:r>
      <w:r>
        <w:rPr>
          <w:rFonts w:hint="eastAsia" w:ascii="宋体" w:hAnsi="宋体"/>
          <w:color w:val="auto"/>
          <w:sz w:val="28"/>
          <w:szCs w:val="28"/>
          <w:highlight w:val="none"/>
        </w:rPr>
        <w:t xml:space="preserve"> </w:t>
      </w:r>
      <w:r/>
    </w:p>
    <w:p>
      <w:pPr>
        <w:keepNext/>
        <w:spacing w:before="240" w:after="60" w:line="360" w:lineRule="auto"/>
        <w:rPr>
          <w:rFonts w:ascii="宋体" w:hAnsi="宋体" w:cs="宋体"/>
          <w:color w:val="auto"/>
          <w:szCs w:val="21"/>
          <w:highlight w:val="none"/>
        </w:rPr>
        <w:outlineLvl w:val="1"/>
      </w:pPr>
      <w:r>
        <w:rPr>
          <w:rFonts w:hint="eastAsia" w:ascii="宋体" w:hAnsi="宋体" w:cs="宋体"/>
          <w:b/>
          <w:bCs/>
          <w:color w:val="auto"/>
          <w:szCs w:val="21"/>
          <w:highlight w:val="none"/>
        </w:rPr>
        <w:t xml:space="preserve">致：</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根据贵方为 </w:t>
      </w:r>
      <w:r>
        <w:rPr>
          <w:rFonts w:hint="eastAsia" w:ascii="宋体" w:hAnsi="宋体" w:cs="宋体"/>
          <w:color w:val="auto"/>
          <w:szCs w:val="21"/>
          <w:highlight w:val="none"/>
          <w:u w:val="single"/>
        </w:rPr>
        <w:t xml:space="preserve">  （项 目 名 称）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项目编号为：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据此函，签字代表宣布同意如下：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（1）按磋商文件规定的各项要求，向</w:t>
      </w:r>
      <w:r>
        <w:rPr>
          <w:rFonts w:hint="eastAsia" w:ascii="宋体" w:hAnsi="宋体" w:cs="宋体"/>
          <w:color w:val="auto"/>
          <w:szCs w:val="21"/>
          <w:highlight w:val="none"/>
          <w:u w:val="single"/>
        </w:rPr>
        <w:t xml:space="preserve">    采购单位名称     </w:t>
      </w:r>
      <w:r>
        <w:rPr>
          <w:rFonts w:hint="eastAsia" w:ascii="宋体" w:hAnsi="宋体" w:cs="宋体"/>
          <w:color w:val="auto"/>
          <w:szCs w:val="21"/>
          <w:highlight w:val="none"/>
        </w:rPr>
        <w:t xml:space="preserve">提供所需相关服务，总报价为（大写）__________________人民币。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（2）我们完全理解贵方不一定将合同授予最低报价的供应商。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（3）我们已详细审核全部磋商文件及其有效补充文件，我们知道必须放弃提出含糊不清或误解问题的权利。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（4）我们同意从规定的响应文件开启之日起遵循本响应文件，并在规定的有效期期满之前均具有约束力。</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（6）同意向贵方提供贵方可能另外要求的与磋商有关的任何证据或资料，并保证我方已提供和将要提供的文件是真实的、准确的。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（7）一旦我方中标，我方将根据磋商文件的规定，严格履行合同的责任和义务，并保证于规定的时</w:t>
      </w:r>
      <w:r>
        <w:rPr>
          <w:rFonts w:hint="eastAsia" w:ascii="宋体" w:hAnsi="宋体" w:cs="宋体"/>
          <w:color w:val="auto"/>
          <w:szCs w:val="21"/>
          <w:highlight w:val="none"/>
          <w:lang w:eastAsia="zh-CN"/>
        </w:rPr>
        <w:t xml:space="preserve">间内</w:t>
      </w:r>
      <w:r>
        <w:rPr>
          <w:rFonts w:hint="eastAsia" w:ascii="宋体" w:hAnsi="宋体" w:cs="宋体"/>
          <w:color w:val="auto"/>
          <w:szCs w:val="21"/>
          <w:highlight w:val="none"/>
        </w:rPr>
        <w:t xml:space="preserve">完成</w:t>
      </w: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项目，交付买方验收。保证不将项目全部或者部分转包给第三方。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（8）我们郑重声明：本单位未为此次项目提供过整体设计、规范编制或者项目管理、监理、检测等服务。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（9）遵守磋商文件中要求的收费项目和标准。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（10）与本次磋商有关的正式通讯地址为：</w:t>
      </w:r>
      <w:r/>
    </w:p>
    <w:p>
      <w:pPr>
        <w:ind w:firstLine="5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供应商（加盖CA电子公章）：</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法定代表人或授权代表（签字或盖章）：</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单位地址：</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单位开户银行及账户：</w:t>
      </w:r>
      <w:r>
        <w:rPr>
          <w:rFonts w:hint="eastAsia" w:ascii="宋体" w:hAnsi="宋体" w:cs="宋体"/>
          <w:color w:val="auto"/>
          <w:szCs w:val="21"/>
          <w:highlight w:val="none"/>
          <w:u w:val="single"/>
        </w:rPr>
        <w:t xml:space="preserve">                </w:t>
      </w:r>
      <w:r/>
    </w:p>
    <w:p>
      <w:pPr>
        <w:ind w:firstLine="515"/>
        <w:spacing w:line="440" w:lineRule="exact"/>
        <w:rPr>
          <w:rFonts w:ascii="楷体_GB2312"/>
          <w:color w:val="auto"/>
          <w:sz w:val="32"/>
          <w:szCs w:val="32"/>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keepNext/>
        <w:spacing w:before="240" w:after="60" w:line="360" w:lineRule="auto"/>
        <w:rPr>
          <w:rFonts w:ascii="宋体" w:hAnsi="宋体"/>
          <w:b/>
          <w:bCs/>
          <w:color w:val="auto"/>
          <w:szCs w:val="21"/>
          <w:highlight w:val="none"/>
        </w:rPr>
        <w:outlineLvl w:val="1"/>
      </w:pPr>
      <w:r/>
      <w:bookmarkStart w:id="136" w:name="_Toc32686"/>
      <w:r/>
      <w:bookmarkEnd w:id="136"/>
      <w:r/>
      <w:r/>
    </w:p>
    <w:p>
      <w:pPr>
        <w:pStyle w:val="1226"/>
        <w:rPr>
          <w:color w:val="auto"/>
          <w:highlight w:val="none"/>
        </w:rPr>
      </w:pPr>
      <w:r>
        <w:rPr>
          <w:color w:val="auto"/>
          <w:highlight w:val="none"/>
        </w:rPr>
      </w:r>
      <w:r/>
    </w:p>
    <w:p>
      <w:pPr>
        <w:pStyle w:val="1231"/>
        <w:rPr>
          <w:color w:val="auto"/>
          <w:highlight w:val="none"/>
        </w:rPr>
      </w:pPr>
      <w:r>
        <w:rPr>
          <w:color w:val="auto"/>
          <w:highlight w:val="none"/>
        </w:rPr>
      </w:r>
      <w:r/>
    </w:p>
    <w:p>
      <w:pPr>
        <w:pStyle w:val="1231"/>
        <w:rPr>
          <w:color w:val="auto"/>
          <w:highlight w:val="none"/>
        </w:rPr>
      </w:pPr>
      <w:r>
        <w:rPr>
          <w:color w:val="auto"/>
          <w:highlight w:val="none"/>
        </w:rPr>
      </w:r>
      <w:r/>
    </w:p>
    <w:p>
      <w:pPr>
        <w:keepNext/>
        <w:spacing w:before="240" w:after="60" w:line="360" w:lineRule="auto"/>
        <w:rPr>
          <w:rFonts w:ascii="宋体" w:hAnsi="宋体"/>
          <w:b/>
          <w:bCs/>
          <w:color w:val="auto"/>
          <w:szCs w:val="21"/>
          <w:highlight w:val="none"/>
        </w:rPr>
        <w:outlineLvl w:val="1"/>
      </w:pPr>
      <w:r>
        <w:rPr>
          <w:rFonts w:hint="eastAsia" w:ascii="宋体" w:hAnsi="宋体"/>
          <w:b/>
          <w:bCs/>
          <w:color w:val="auto"/>
          <w:szCs w:val="21"/>
          <w:highlight w:val="none"/>
        </w:rPr>
        <w:t xml:space="preserve">附件2：                              </w:t>
      </w:r>
      <w:r>
        <w:rPr>
          <w:rFonts w:hint="eastAsia" w:ascii="宋体" w:hAnsi="宋体"/>
          <w:b/>
          <w:bCs/>
          <w:color w:val="auto"/>
          <w:sz w:val="28"/>
          <w:szCs w:val="28"/>
          <w:highlight w:val="none"/>
        </w:rPr>
        <w:t xml:space="preserve">法定代表人资格证明书</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u w:val="single"/>
        </w:rPr>
        <w:t xml:space="preserve">（法定代表人姓名）</w:t>
      </w:r>
      <w:r>
        <w:rPr>
          <w:rFonts w:hint="eastAsia" w:ascii="宋体" w:hAnsi="宋体" w:cs="宋体"/>
          <w:color w:val="auto"/>
          <w:szCs w:val="21"/>
          <w:highlight w:val="none"/>
        </w:rPr>
        <w:t xml:space="preserve">在</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lang w:val="en-US" w:eastAsia="zh-CN"/>
        </w:rPr>
        <w:t xml:space="preserve">担</w:t>
      </w:r>
      <w:r>
        <w:rPr>
          <w:rFonts w:hint="eastAsia" w:ascii="宋体" w:hAnsi="宋体" w:cs="宋体"/>
          <w:color w:val="auto"/>
          <w:szCs w:val="21"/>
          <w:highlight w:val="none"/>
        </w:rPr>
        <w:t xml:space="preserve">任</w:t>
      </w:r>
      <w:r>
        <w:rPr>
          <w:rFonts w:hint="eastAsia" w:ascii="宋体" w:hAnsi="宋体" w:cs="宋体"/>
          <w:color w:val="auto"/>
          <w:szCs w:val="21"/>
          <w:highlight w:val="none"/>
          <w:u w:val="single"/>
        </w:rPr>
        <w:t xml:space="preserve">（职务名称）</w:t>
      </w:r>
      <w:r>
        <w:rPr>
          <w:rFonts w:hint="eastAsia" w:ascii="宋体" w:hAnsi="宋体" w:cs="宋体"/>
          <w:color w:val="auto"/>
          <w:szCs w:val="21"/>
          <w:highlight w:val="none"/>
        </w:rPr>
        <w:t xml:space="preserve">职务，是</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jc w:val="lef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日期：年 月 日</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法定代表人身份证扫描件（正反两面）：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223"/>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法定代表人身份证正面扫描件</w:t>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法定代表人身份证反面扫描件</w:t>
            </w:r>
            <w:r/>
          </w:p>
          <w:p>
            <w:pPr>
              <w:ind w:firstLine="1417"/>
              <w:rPr>
                <w:rFonts w:ascii="宋体" w:hAnsi="宋体"/>
                <w:color w:val="auto"/>
                <w:szCs w:val="21"/>
                <w:highlight w:val="none"/>
              </w:rPr>
            </w:pPr>
            <w:r>
              <w:rPr>
                <w:rFonts w:ascii="宋体" w:hAnsi="宋体"/>
                <w:color w:val="auto"/>
                <w:szCs w:val="21"/>
                <w:highlight w:val="none"/>
              </w:rPr>
            </w:r>
            <w:r/>
          </w:p>
        </w:tc>
      </w:tr>
    </w:tbl>
    <w:p>
      <w:pPr>
        <w:jc w:val="left"/>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Cs w:val="21"/>
          <w:highlight w:val="none"/>
        </w:rPr>
        <w:outlineLvl w:val="0"/>
      </w:pPr>
      <w:r>
        <w:rPr>
          <w:rFonts w:hint="eastAsia" w:ascii="宋体" w:hAnsi="宋体" w:cs="宋体"/>
          <w:color w:val="auto"/>
          <w:szCs w:val="21"/>
          <w:highlight w:val="none"/>
        </w:rPr>
        <w:br w:type="page" w:clear="all"/>
      </w:r>
      <w:bookmarkStart w:id="137" w:name="_Toc31117"/>
      <w:r/>
      <w:bookmarkEnd w:id="137"/>
      <w:r>
        <w:rPr>
          <w:rFonts w:hint="eastAsia" w:ascii="宋体" w:hAnsi="宋体" w:cs="宋体"/>
          <w:color w:val="auto"/>
          <w:szCs w:val="21"/>
          <w:highlight w:val="none"/>
        </w:rPr>
        <w:t xml:space="preserve"> </w:t>
      </w:r>
      <w:r/>
    </w:p>
    <w:p>
      <w:pPr>
        <w:rPr>
          <w:rFonts w:ascii="宋体" w:hAnsi="宋体" w:cs="宋体"/>
          <w:b/>
          <w:bCs/>
          <w:color w:val="auto"/>
          <w:sz w:val="28"/>
          <w:szCs w:val="28"/>
          <w:highlight w:val="none"/>
        </w:rPr>
        <w:outlineLvl w:val="0"/>
      </w:pPr>
      <w:r>
        <w:rPr>
          <w:rFonts w:hint="eastAsia" w:ascii="宋体" w:hAnsi="宋体" w:cs="宋体"/>
          <w:b/>
          <w:bCs/>
          <w:color w:val="auto"/>
          <w:szCs w:val="21"/>
          <w:highlight w:val="none"/>
        </w:rPr>
        <w:t xml:space="preserve">附件3：                             </w:t>
      </w:r>
      <w:r>
        <w:rPr>
          <w:rFonts w:hint="eastAsia" w:ascii="宋体" w:hAnsi="宋体" w:cs="宋体"/>
          <w:b/>
          <w:bCs/>
          <w:color w:val="auto"/>
          <w:sz w:val="28"/>
          <w:szCs w:val="28"/>
          <w:highlight w:val="none"/>
        </w:rPr>
        <w:t xml:space="preserve"> 法定代表人授权书</w:t>
      </w: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__________________（采购人名称）：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本授权声明：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（供应商单位名称）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（法定代表人姓名、职务）授权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（被委托代理人姓名、职务）为我方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项目磋商活动的合法代表，以我方名义全权处理该项目有关磋商、签订合同以及执行合同等一切事宜。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特此声明。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olor w:val="auto"/>
          <w:sz w:val="24"/>
          <w:highlight w:val="none"/>
        </w:rPr>
      </w:pPr>
      <w:r>
        <w:rPr>
          <w:rFonts w:hint="eastAsia" w:ascii="宋体" w:hAnsi="宋体" w:cs="宋体"/>
          <w:color w:val="auto"/>
          <w:szCs w:val="21"/>
          <w:highlight w:val="none"/>
        </w:rPr>
        <w:t xml:space="preserve">法定代表人或授权代表（签字或盖章</w:t>
      </w:r>
      <w:r>
        <w:rPr>
          <w:rFonts w:hint="eastAsia" w:ascii="宋体" w:hAnsi="宋体"/>
          <w:color w:val="auto"/>
          <w:sz w:val="24"/>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一、上述证明文件在响应文件中附有代理人身份证扫描件时才能生效；</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rPr>
          <w:rFonts w:ascii="宋体" w:hAnsi="宋体"/>
          <w:color w:val="auto"/>
          <w:szCs w:val="21"/>
          <w:highlight w:val="none"/>
        </w:rPr>
      </w:pPr>
      <w:r>
        <w:rPr>
          <w:rFonts w:hint="eastAsia" w:ascii="宋体" w:hAnsi="宋体"/>
          <w:color w:val="auto"/>
          <w:szCs w:val="21"/>
          <w:highlight w:val="none"/>
        </w:rPr>
        <w:t xml:space="preserve">授权代表身份证扫描件（正反两面）：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223"/>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hint="eastAsia" w:ascii="宋体" w:hAnsi="宋体"/>
                <w:color w:val="auto"/>
                <w:szCs w:val="21"/>
                <w:highlight w:val="none"/>
              </w:rPr>
              <w:t xml:space="preserve">被委托代理人身份证正面扫描件</w:t>
            </w:r>
            <w:r/>
          </w:p>
          <w:p>
            <w:pPr>
              <w:ind w:firstLine="480"/>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ascii="宋体" w:hAnsi="宋体" w:cs="宋体"/>
                <w:color w:val="auto"/>
                <w:szCs w:val="21"/>
                <w:highlight w:val="none"/>
              </w:rPr>
            </w:pPr>
            <w:r>
              <w:rPr>
                <w:rFonts w:hint="eastAsia" w:ascii="宋体" w:hAnsi="宋体"/>
                <w:color w:val="auto"/>
                <w:szCs w:val="21"/>
                <w:highlight w:val="none"/>
              </w:rPr>
              <w:t xml:space="preserve"> </w:t>
            </w:r>
            <w:r/>
          </w:p>
          <w:p>
            <w:pPr>
              <w:ind w:firstLine="480"/>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被委托代理人身份证反面扫描件</w:t>
            </w:r>
            <w:r/>
          </w:p>
          <w:p>
            <w:pPr>
              <w:ind w:firstLine="1417"/>
              <w:rPr>
                <w:rFonts w:ascii="宋体" w:hAnsi="宋体"/>
                <w:color w:val="auto"/>
                <w:szCs w:val="21"/>
                <w:highlight w:val="none"/>
              </w:rPr>
            </w:pPr>
            <w:r>
              <w:rPr>
                <w:rFonts w:ascii="宋体" w:hAnsi="宋体"/>
                <w:color w:val="auto"/>
                <w:szCs w:val="21"/>
                <w:highlight w:val="none"/>
              </w:rPr>
            </w:r>
            <w:r/>
          </w:p>
        </w:tc>
      </w:tr>
    </w:tbl>
    <w:p>
      <w:pPr>
        <w:ind w:right="105" w:firstLine="420"/>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5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jc w:val="center"/>
        <w:spacing w:line="360" w:lineRule="auto"/>
        <w:rPr>
          <w:rFonts w:ascii="宋体" w:hAnsi="宋体"/>
          <w:b/>
          <w:bCs/>
          <w:color w:val="auto"/>
          <w:szCs w:val="21"/>
          <w:highlight w:val="none"/>
        </w:rPr>
      </w:pPr>
      <w:r>
        <w:rPr>
          <w:rFonts w:ascii="宋体" w:hAnsi="宋体"/>
          <w:b/>
          <w:bCs/>
          <w:color w:val="auto"/>
          <w:szCs w:val="21"/>
          <w:highlight w:val="none"/>
        </w:rPr>
      </w:r>
      <w:r/>
    </w:p>
    <w:p>
      <w:pPr>
        <w:ind w:firstLine="480"/>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 </w:t>
      </w:r>
      <w:r/>
    </w:p>
    <w:p>
      <w:pPr>
        <w:rPr>
          <w:rFonts w:ascii="宋体" w:hAnsi="宋体" w:cs="宋体"/>
          <w:b/>
          <w:bCs/>
          <w:color w:val="auto"/>
          <w:szCs w:val="21"/>
          <w:highlight w:val="none"/>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auto"/>
          <w:szCs w:val="21"/>
          <w:highlight w:val="none"/>
        </w:rPr>
        <w:t xml:space="preserve"> </w:t>
      </w:r>
      <w:bookmarkStart w:id="138" w:name="_Toc25362"/>
      <w:r/>
      <w:bookmarkEnd w:id="138"/>
      <w:r/>
      <w:r/>
    </w:p>
    <w:p>
      <w:pPr>
        <w:spacing w:before="100" w:beforeAutospacing="1" w:line="360" w:lineRule="auto"/>
        <w:widowControl/>
        <w:rPr>
          <w:rFonts w:ascii="宋体" w:hAnsi="宋体"/>
          <w:b/>
          <w:bCs/>
          <w:color w:val="auto"/>
          <w:szCs w:val="21"/>
          <w:highlight w:val="none"/>
        </w:rPr>
        <w:outlineLvl w:val="0"/>
      </w:pPr>
      <w:r>
        <w:rPr>
          <w:rFonts w:hint="eastAsia" w:ascii="宋体" w:hAnsi="宋体"/>
          <w:b/>
          <w:bCs/>
          <w:color w:val="auto"/>
          <w:szCs w:val="21"/>
          <w:highlight w:val="none"/>
        </w:rPr>
        <w:t xml:space="preserve">附件4：                    </w:t>
      </w:r>
      <w:r>
        <w:rPr>
          <w:rFonts w:hint="eastAsia" w:ascii="宋体" w:hAnsi="宋体"/>
          <w:b/>
          <w:bCs/>
          <w:color w:val="auto"/>
          <w:sz w:val="28"/>
          <w:szCs w:val="28"/>
          <w:highlight w:val="none"/>
        </w:rPr>
        <w:t xml:space="preserve">    商务条款响应及偏离表</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rPr>
          <w:rFonts w:hint="eastAsia" w:ascii="宋体" w:hAnsi="宋体" w:cs="宋体"/>
          <w:color w:val="auto"/>
          <w:szCs w:val="21"/>
          <w:highlight w:val="none"/>
        </w:rPr>
        <w:t xml:space="preserve"> </w:t>
      </w:r>
      <w:r/>
    </w:p>
    <w:tbl>
      <w:tblPr>
        <w:tblStyle w:val="12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pacing w:val="15"/>
                <w:szCs w:val="21"/>
                <w:highlight w:val="none"/>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hanging="105"/>
        <w:spacing w:line="500" w:lineRule="exact"/>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s="宋体"/>
          <w:color w:val="auto"/>
          <w:szCs w:val="21"/>
          <w:highlight w:val="none"/>
        </w:rPr>
      </w:pPr>
      <w:r>
        <w:rPr>
          <w:rFonts w:ascii="宋体" w:hAnsi="宋体" w:cs="宋体"/>
          <w:color w:val="auto"/>
          <w:szCs w:val="21"/>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1.按照基本要求详细填列；</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1226"/>
        <w:rPr>
          <w:color w:val="auto"/>
          <w:highlight w:val="none"/>
        </w:rPr>
      </w:pPr>
      <w:r>
        <w:rPr>
          <w:color w:val="auto"/>
          <w:highlight w:val="none"/>
        </w:rPr>
      </w:r>
      <w:r/>
    </w:p>
    <w:p>
      <w:pPr>
        <w:pStyle w:val="1226"/>
        <w:rPr>
          <w:color w:val="auto"/>
          <w:highlight w:val="none"/>
        </w:rPr>
      </w:pPr>
      <w:r>
        <w:rPr>
          <w:color w:val="auto"/>
          <w:highlight w:val="none"/>
        </w:rPr>
      </w:r>
      <w:r/>
    </w:p>
    <w:p>
      <w:pPr>
        <w:pStyle w:val="1226"/>
        <w:rPr>
          <w:color w:val="auto"/>
          <w:highlight w:val="none"/>
        </w:rPr>
      </w:pPr>
      <w:r>
        <w:rPr>
          <w:color w:val="auto"/>
          <w:highlight w:val="none"/>
        </w:rPr>
      </w:r>
      <w:r/>
    </w:p>
    <w:p>
      <w:pPr>
        <w:pStyle w:val="1226"/>
        <w:rPr>
          <w:color w:val="auto"/>
          <w:highlight w:val="none"/>
        </w:rPr>
      </w:pPr>
      <w:r>
        <w:rPr>
          <w:color w:val="auto"/>
          <w:highlight w:val="none"/>
        </w:rPr>
      </w:r>
      <w:r/>
    </w:p>
    <w:p>
      <w:pPr>
        <w:pStyle w:val="1226"/>
        <w:rPr>
          <w:color w:val="auto"/>
          <w:highlight w:val="none"/>
        </w:rPr>
      </w:pPr>
      <w:r>
        <w:rPr>
          <w:color w:val="auto"/>
          <w:highlight w:val="none"/>
        </w:rPr>
      </w:r>
      <w:r/>
    </w:p>
    <w:p>
      <w:pPr>
        <w:pStyle w:val="1226"/>
        <w:rPr>
          <w:color w:val="auto"/>
          <w:highlight w:val="none"/>
        </w:rPr>
      </w:pPr>
      <w:r>
        <w:rPr>
          <w:color w:val="auto"/>
          <w:highlight w:val="none"/>
        </w:rPr>
      </w:r>
      <w:r/>
    </w:p>
    <w:p>
      <w:pPr>
        <w:pStyle w:val="1226"/>
        <w:rPr>
          <w:color w:val="auto"/>
          <w:highlight w:val="none"/>
        </w:rPr>
      </w:pPr>
      <w:r>
        <w:rPr>
          <w:color w:val="auto"/>
          <w:highlight w:val="none"/>
        </w:rPr>
      </w:r>
      <w:r/>
    </w:p>
    <w:p>
      <w:pPr>
        <w:pStyle w:val="1231"/>
        <w:rPr>
          <w:color w:val="auto"/>
          <w:highlight w:val="none"/>
        </w:rPr>
      </w:pPr>
      <w:r>
        <w:rPr>
          <w:color w:val="auto"/>
          <w:highlight w:val="none"/>
        </w:rPr>
      </w:r>
      <w:r>
        <w:rPr>
          <w:color w:val="auto"/>
          <w:highlight w:val="none"/>
        </w:rPr>
      </w:r>
    </w:p>
    <w:p>
      <w:pPr>
        <w:pStyle w:val="1231"/>
        <w:rPr>
          <w:color w:val="auto"/>
          <w:highlight w:val="none"/>
        </w:rPr>
      </w:pPr>
      <w:r>
        <w:rPr>
          <w:color w:val="auto"/>
          <w:highlight w:val="none"/>
        </w:rPr>
      </w:r>
      <w:r>
        <w:rPr>
          <w:color w:val="auto"/>
          <w:highlight w:val="none"/>
        </w:rPr>
      </w:r>
    </w:p>
    <w:p>
      <w:pPr>
        <w:pStyle w:val="1231"/>
        <w:rPr>
          <w:color w:val="auto"/>
          <w:highlight w:val="none"/>
        </w:rPr>
      </w:pPr>
      <w:r>
        <w:rPr>
          <w:color w:val="auto"/>
          <w:highlight w:val="none"/>
        </w:rPr>
      </w:r>
      <w:r>
        <w:rPr>
          <w:color w:val="auto"/>
          <w:highlight w:val="none"/>
        </w:rPr>
      </w:r>
    </w:p>
    <w:p>
      <w:pPr>
        <w:pStyle w:val="1231"/>
        <w:rPr>
          <w:color w:val="auto"/>
          <w:highlight w:val="none"/>
        </w:rPr>
      </w:pPr>
      <w:r>
        <w:rPr>
          <w:color w:val="auto"/>
          <w:highlight w:val="none"/>
        </w:rPr>
      </w:r>
      <w:r>
        <w:rPr>
          <w:color w:val="auto"/>
          <w:highlight w:val="none"/>
        </w:rPr>
      </w:r>
    </w:p>
    <w:p>
      <w:pPr>
        <w:pStyle w:val="1231"/>
        <w:rPr>
          <w:color w:val="auto"/>
          <w:highlight w:val="none"/>
        </w:rPr>
      </w:pPr>
      <w:r>
        <w:rPr>
          <w:color w:val="auto"/>
          <w:highlight w:val="none"/>
        </w:rPr>
      </w:r>
      <w:r/>
    </w:p>
    <w:p>
      <w:pPr>
        <w:pStyle w:val="1220"/>
        <w:spacing w:line="360" w:lineRule="exact"/>
        <w:rPr>
          <w:rFonts w:ascii="宋体" w:hAnsi="宋体"/>
          <w:color w:val="auto"/>
          <w:sz w:val="21"/>
          <w:szCs w:val="21"/>
          <w:highlight w:val="none"/>
        </w:rPr>
      </w:pPr>
      <w:r>
        <w:rPr>
          <w:rFonts w:hint="eastAsia" w:ascii="宋体" w:hAnsi="宋体"/>
          <w:b/>
          <w:bCs/>
          <w:color w:val="auto"/>
          <w:sz w:val="21"/>
          <w:szCs w:val="21"/>
          <w:highlight w:val="none"/>
        </w:rPr>
        <w:t xml:space="preserve">附件5：</w:t>
      </w:r>
      <w:r/>
    </w:p>
    <w:p>
      <w:pPr>
        <w:pStyle w:val="1220"/>
        <w:jc w:val="center"/>
        <w:spacing w:line="3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采购需求响应及偏离表</w:t>
      </w:r>
      <w:r/>
    </w:p>
    <w:p>
      <w:pPr>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p>
    <w:tbl>
      <w:tblPr>
        <w:tblStyle w:val="12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852" w:type="dxa"/>
            <w:vAlign w:val="center"/>
            <w:textDirection w:val="lrTb"/>
            <w:noWrap w:val="false"/>
          </w:tcPr>
          <w:p>
            <w:pPr>
              <w:rPr>
                <w:rFonts w:ascii="宋体" w:hAnsi="宋体" w:cs="宋体"/>
                <w:color w:val="auto"/>
                <w:szCs w:val="21"/>
                <w:highlight w:val="none"/>
              </w:rPr>
            </w:pPr>
            <w:r>
              <w:rPr>
                <w:rFonts w:hint="eastAsia" w:ascii="宋体" w:hAnsi="宋体" w:cs="宋体"/>
                <w:color w:val="auto"/>
                <w:spacing w:val="15"/>
                <w:szCs w:val="21"/>
                <w:highlight w:val="none"/>
              </w:rPr>
              <w:t xml:space="preserve">磋商文件采购需求</w:t>
            </w:r>
            <w:r/>
          </w:p>
        </w:tc>
        <w:tc>
          <w:tcPr>
            <w:tcW w:w="2852" w:type="dxa"/>
            <w:vAlign w:val="center"/>
            <w:textDirection w:val="lrTb"/>
            <w:noWrap w:val="false"/>
          </w:tcPr>
          <w:p>
            <w:pPr>
              <w:ind w:firstLine="120"/>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W w:w="130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超出、</w:t>
            </w:r>
            <w:r/>
          </w:p>
          <w:p>
            <w:pP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1231"/>
        <w:rPr>
          <w:color w:val="auto"/>
          <w:highlight w:val="none"/>
        </w:rPr>
      </w:pPr>
      <w:r>
        <w:rPr>
          <w:color w:val="auto"/>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pStyle w:val="1220"/>
        <w:spacing w:line="36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bookmarkStart w:id="139" w:name="_Toc7415"/>
      <w:r/>
      <w:bookmarkEnd w:id="139"/>
      <w:r>
        <w:rPr>
          <w:rFonts w:hint="eastAsia" w:ascii="宋体" w:hAnsi="宋体"/>
          <w:b/>
          <w:bCs/>
          <w:color w:val="auto"/>
          <w:sz w:val="21"/>
          <w:szCs w:val="21"/>
          <w:highlight w:val="none"/>
        </w:rPr>
        <w:t xml:space="preserve">附件6：</w:t>
      </w:r>
      <w:r/>
    </w:p>
    <w:p>
      <w:pPr>
        <w:pStyle w:val="1226"/>
        <w:ind w:firstLine="3654"/>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t xml:space="preserve">磋商报价表</w:t>
      </w:r>
      <w:r/>
    </w:p>
    <w:p>
      <w:pPr>
        <w:pStyle w:val="1226"/>
        <w:jc w:val="center"/>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pStyle w:val="1226"/>
        <w:ind w:firstLine="0"/>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本次为首次报价  </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 xml:space="preserve">货币单位：人民币元</w:t>
      </w:r>
      <w:r/>
    </w:p>
    <w:p>
      <w:pPr>
        <w:pStyle w:val="1226"/>
        <w:ind w:firstLine="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项目编号：  </w:t>
      </w:r>
      <w:r/>
    </w:p>
    <w:tbl>
      <w:tblPr>
        <w:tblStyle w:val="1223"/>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金额大写 </w:t>
            </w:r>
            <w:r/>
          </w:p>
        </w:tc>
      </w:tr>
    </w:tbl>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报价说明：</w:t>
      </w:r>
      <w:r/>
    </w:p>
    <w:p>
      <w:pPr>
        <w:pStyle w:val="1226"/>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1.</w:t>
      </w:r>
      <w:r>
        <w:rPr>
          <w:rFonts w:cs="宋体" w:asciiTheme="minorEastAsia" w:hAnsiTheme="minorEastAsia" w:eastAsiaTheme="minorEastAsia"/>
          <w:color w:val="auto"/>
          <w:sz w:val="24"/>
          <w:szCs w:val="24"/>
          <w:highlight w:val="none"/>
        </w:rPr>
        <w:t xml:space="preserve">报价包括完成项目的所有费用。采购人不再支付报价以外的任何费用。</w:t>
      </w:r>
      <w:r/>
    </w:p>
    <w:p>
      <w:pPr>
        <w:pStyle w:val="1226"/>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2.</w:t>
      </w:r>
      <w:r>
        <w:rPr>
          <w:rFonts w:cs="宋体" w:asciiTheme="minorEastAsia" w:hAnsiTheme="minorEastAsia" w:eastAsiaTheme="minorEastAsia"/>
          <w:color w:val="auto"/>
          <w:sz w:val="24"/>
          <w:szCs w:val="24"/>
          <w:highlight w:val="none"/>
        </w:rPr>
        <w:t xml:space="preserve">报价以总价为准，大小写不一致以大写为准；</w:t>
      </w:r>
      <w:r/>
    </w:p>
    <w:p>
      <w:pPr>
        <w:pStyle w:val="1226"/>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3.</w:t>
      </w:r>
      <w:r>
        <w:rPr>
          <w:rFonts w:cs="宋体" w:asciiTheme="minorEastAsia" w:hAnsiTheme="minorEastAsia" w:eastAsiaTheme="minorEastAsia"/>
          <w:color w:val="auto"/>
          <w:sz w:val="24"/>
          <w:szCs w:val="24"/>
          <w:highlight w:val="none"/>
        </w:rPr>
        <w:t xml:space="preserve">偏离说明：详见《偏离表》；</w:t>
      </w:r>
      <w:r/>
    </w:p>
    <w:p>
      <w:pPr>
        <w:pStyle w:val="1226"/>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4.</w:t>
      </w:r>
      <w:r>
        <w:rPr>
          <w:rFonts w:cs="宋体" w:asciiTheme="minorEastAsia" w:hAnsiTheme="minorEastAsia" w:eastAsiaTheme="minorEastAsia"/>
          <w:color w:val="auto"/>
          <w:sz w:val="24"/>
          <w:szCs w:val="24"/>
          <w:highlight w:val="none"/>
        </w:rPr>
        <w:t xml:space="preserve">如最后报价未列明单价，则最后所报各项单价计算方法为：（最后报价/ 最初报价）* 各项最初报价的单价。</w:t>
      </w:r>
      <w:r/>
    </w:p>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供应商（电子签章）：</w:t>
      </w:r>
      <w:r/>
    </w:p>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pStyle w:val="1226"/>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日期：  年  月   日</w:t>
      </w:r>
      <w:r/>
    </w:p>
    <w:p>
      <w:pPr>
        <w:pStyle w:val="1226"/>
        <w:rPr>
          <w:color w:val="auto"/>
          <w:highlight w:val="none"/>
        </w:rPr>
      </w:pPr>
      <w:r>
        <w:rPr>
          <w:color w:val="auto"/>
          <w:highlight w:val="none"/>
        </w:rPr>
      </w:r>
      <w:r/>
    </w:p>
    <w:p>
      <w:pPr>
        <w:rPr>
          <w:color w:val="auto"/>
          <w:highlight w:val="none"/>
        </w:rPr>
      </w:pPr>
      <w:r>
        <w:rPr>
          <w:color w:val="auto"/>
          <w:highlight w:val="none"/>
        </w:rPr>
        <w:br w:type="page" w:clear="all"/>
      </w:r>
      <w:r/>
    </w:p>
    <w:p>
      <w:pPr>
        <w:pStyle w:val="1231"/>
        <w:rPr>
          <w:color w:val="auto"/>
          <w:highlight w:val="none"/>
        </w:rPr>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Pr>
          <w:color w:val="auto"/>
          <w:highlight w:val="none"/>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分项报价表（格式自拟）</w:t>
      </w:r>
      <w:r/>
    </w:p>
    <w:p>
      <w:pPr>
        <w:ind w:firstLine="210"/>
        <w:jc w:val="left"/>
        <w:spacing w:line="360" w:lineRule="auto"/>
        <w:widowControl/>
        <w:rPr>
          <w:rFonts w:ascii="宋体" w:hAnsi="宋体"/>
          <w:color w:val="auto"/>
          <w:szCs w:val="21"/>
          <w:highlight w:val="none"/>
        </w:rPr>
      </w:pPr>
      <w:r>
        <w:rPr>
          <w:rFonts w:ascii="宋体" w:hAnsi="宋体"/>
          <w:color w:val="auto"/>
          <w:szCs w:val="21"/>
          <w:highlight w:val="none"/>
        </w:rPr>
      </w:r>
      <w:r/>
    </w:p>
    <w:p>
      <w:pPr>
        <w:pStyle w:val="1239"/>
        <w:spacing w:line="360" w:lineRule="auto"/>
        <w:rPr>
          <w:color w:val="auto"/>
          <w:highlight w:val="none"/>
        </w:rPr>
      </w:pPr>
      <w:r>
        <w:rPr>
          <w:color w:val="auto"/>
          <w:highlight w:val="none"/>
        </w:rPr>
      </w:r>
      <w:r/>
    </w:p>
    <w:p>
      <w:pPr>
        <w:jc w:val="center"/>
        <w:tabs>
          <w:tab w:val="center" w:pos="4725" w:leader="none"/>
        </w:tabs>
        <w:rPr>
          <w:rFonts w:ascii="宋体" w:hAnsi="宋体"/>
          <w:color w:val="auto"/>
          <w:sz w:val="28"/>
          <w:highlight w:val="none"/>
        </w:rPr>
      </w:pPr>
      <w:r>
        <w:rPr>
          <w:rFonts w:ascii="宋体" w:hAnsi="宋体"/>
          <w:color w:val="auto"/>
          <w:sz w:val="28"/>
          <w:highlight w:val="none"/>
        </w:rPr>
      </w:r>
      <w:r/>
    </w:p>
    <w:p>
      <w:pPr>
        <w:jc w:val="center"/>
        <w:tabs>
          <w:tab w:val="center" w:pos="4725" w:leader="none"/>
        </w:tabs>
        <w:rPr>
          <w:rFonts w:ascii="宋体" w:hAnsi="宋体"/>
          <w:color w:val="auto"/>
          <w:sz w:val="28"/>
          <w:highlight w:val="none"/>
        </w:rPr>
      </w:pPr>
      <w:r>
        <w:rPr>
          <w:rFonts w:ascii="宋体" w:hAnsi="宋体"/>
          <w:color w:val="auto"/>
          <w:sz w:val="28"/>
          <w:highlight w:val="none"/>
        </w:rPr>
      </w:r>
      <w:r/>
    </w:p>
    <w:p>
      <w:pPr>
        <w:jc w:val="center"/>
        <w:tabs>
          <w:tab w:val="center" w:pos="4725" w:leader="none"/>
        </w:tabs>
        <w:rPr>
          <w:rFonts w:ascii="宋体" w:hAnsi="宋体"/>
          <w:color w:val="auto"/>
          <w:sz w:val="28"/>
          <w:highlight w:val="none"/>
        </w:rPr>
      </w:pPr>
      <w:r>
        <w:rPr>
          <w:rFonts w:hint="eastAsia" w:ascii="宋体" w:hAnsi="宋体"/>
          <w:color w:val="auto"/>
          <w:sz w:val="28"/>
          <w:highlight w:val="none"/>
        </w:rPr>
        <w:t xml:space="preserve">二次响应报价表（参考）</w:t>
      </w:r>
      <w:r/>
    </w:p>
    <w:p>
      <w:pPr>
        <w:jc w:val="center"/>
        <w:rPr>
          <w:rFonts w:ascii="宋体" w:hAnsi="宋体"/>
          <w:color w:val="auto"/>
          <w:sz w:val="44"/>
          <w:szCs w:val="44"/>
          <w:highlight w:val="none"/>
        </w:rPr>
      </w:pPr>
      <w:r>
        <w:rPr>
          <w:rFonts w:ascii="宋体" w:hAnsi="宋体"/>
          <w:color w:val="auto"/>
          <w:sz w:val="44"/>
          <w:szCs w:val="44"/>
          <w:highlight w:val="none"/>
        </w:rPr>
      </w:r>
      <w:r/>
    </w:p>
    <w:p>
      <w:pPr>
        <w:pStyle w:val="1229"/>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1223"/>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auto"/>
                <w:szCs w:val="21"/>
                <w:highlight w:val="none"/>
              </w:rPr>
            </w:pPr>
            <w:r>
              <w:rPr>
                <w:rFonts w:hint="eastAsia"/>
                <w:color w:val="auto"/>
                <w:szCs w:val="21"/>
                <w:highlight w:val="none"/>
              </w:rPr>
              <w:t xml:space="preserve">总</w:t>
            </w:r>
            <w:r>
              <w:rPr>
                <w:color w:val="auto"/>
                <w:szCs w:val="21"/>
                <w:highlight w:val="none"/>
              </w:rPr>
              <w:t xml:space="preserve">投标报价</w:t>
            </w:r>
            <w:r/>
          </w:p>
          <w:p>
            <w:pPr>
              <w:jc w:val="center"/>
              <w:spacing w:before="120" w:after="120"/>
              <w:rPr>
                <w:color w:val="auto"/>
                <w:szCs w:val="21"/>
                <w:highlight w:val="none"/>
                <w:shd w:val="clear" w:color="auto" w:fill="ffffff"/>
              </w:rPr>
            </w:pPr>
            <w:r>
              <w:rPr>
                <w:color w:val="auto"/>
                <w:szCs w:val="21"/>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auto"/>
                <w:szCs w:val="21"/>
                <w:highlight w:val="none"/>
              </w:rPr>
            </w:pPr>
            <w:r>
              <w:rPr>
                <w:color w:val="auto"/>
                <w:szCs w:val="21"/>
                <w:highlight w:val="none"/>
              </w:rPr>
              <w:t xml:space="preserve">人民币</w:t>
            </w:r>
            <w:r>
              <w:rPr>
                <w:rFonts w:hint="eastAsia"/>
                <w:color w:val="auto"/>
                <w:szCs w:val="21"/>
                <w:highlight w:val="none"/>
              </w:rPr>
              <w:t xml:space="preserve">（</w:t>
            </w:r>
            <w:r>
              <w:rPr>
                <w:color w:val="auto"/>
                <w:szCs w:val="21"/>
                <w:highlight w:val="none"/>
              </w:rPr>
              <w:t xml:space="preserve">大写</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元</w:t>
            </w:r>
            <w:r/>
          </w:p>
          <w:p>
            <w:pPr>
              <w:spacing w:before="120" w:after="120"/>
              <w:rPr>
                <w:color w:val="auto"/>
                <w:szCs w:val="21"/>
                <w:highlight w:val="none"/>
              </w:rPr>
            </w:pPr>
            <w:r>
              <w:rPr>
                <w:color w:val="auto"/>
                <w:szCs w:val="21"/>
                <w:highlight w:val="none"/>
              </w:rPr>
              <w:t xml:space="preserve">人民币</w:t>
            </w:r>
            <w:r>
              <w:rPr>
                <w:rFonts w:hint="eastAsia"/>
                <w:color w:val="auto"/>
                <w:szCs w:val="21"/>
                <w:highlight w:val="none"/>
              </w:rPr>
              <w:t xml:space="preserve">（小</w:t>
            </w:r>
            <w:r>
              <w:rPr>
                <w:color w:val="auto"/>
                <w:szCs w:val="21"/>
                <w:highlight w:val="none"/>
              </w:rPr>
              <w:t xml:space="preserve">写</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ascii="宋体" w:hAnsi="宋体" w:cs="宋体"/>
                <w:color w:val="auto"/>
                <w:szCs w:val="21"/>
                <w:highlight w:val="none"/>
                <w:shd w:val="clear" w:color="auto" w:fill="ffffff"/>
              </w:rPr>
            </w:pPr>
            <w:r>
              <w:rPr>
                <w:rFonts w:hint="eastAsia"/>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磋商供应商全称（加盖CA电子公章）：</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spacing w:line="500" w:lineRule="exact"/>
        <w:rPr>
          <w:rFonts w:ascii="宋体" w:hAnsi="宋体"/>
          <w:color w:val="auto"/>
          <w:szCs w:val="21"/>
          <w:highlight w:val="none"/>
        </w:rPr>
      </w:pPr>
      <w:r>
        <w:rPr>
          <w:rFonts w:hint="eastAsia" w:ascii="宋体" w:hAnsi="宋体"/>
          <w:b/>
          <w:color w:val="auto"/>
          <w:szCs w:val="21"/>
          <w:highlight w:val="none"/>
        </w:rPr>
        <w:t xml:space="preserve">注：</w:t>
      </w:r>
      <w:r>
        <w:rPr>
          <w:rFonts w:hint="eastAsia" w:ascii="宋体" w:hAnsi="宋体"/>
          <w:b/>
          <w:bCs/>
          <w:color w:val="auto"/>
          <w:szCs w:val="21"/>
          <w:highlight w:val="none"/>
        </w:rPr>
        <w:t xml:space="preserve">其中各分项报价按照初次响应文件的投标总价与最终承诺报价同比例下浮。</w:t>
      </w:r>
      <w:r/>
    </w:p>
    <w:p>
      <w:pPr>
        <w:rPr>
          <w:rFonts w:ascii="宋体" w:hAnsi="宋体"/>
          <w:b/>
          <w:bCs/>
          <w:color w:val="auto"/>
          <w:szCs w:val="21"/>
          <w:highlight w:val="none"/>
        </w:rPr>
      </w:pPr>
      <w:r>
        <w:rPr>
          <w:rFonts w:hint="eastAsia" w:ascii="宋体" w:hAnsi="宋体"/>
          <w:b/>
          <w:bCs/>
          <w:color w:val="auto"/>
          <w:szCs w:val="21"/>
          <w:highlight w:val="none"/>
        </w:rPr>
        <w:br w:type="page" w:clear="all"/>
      </w:r>
      <w:r/>
    </w:p>
    <w:p>
      <w:pPr>
        <w:rPr>
          <w:rFonts w:ascii="宋体" w:hAnsi="宋体"/>
          <w:color w:val="auto"/>
          <w:szCs w:val="21"/>
          <w:highlight w:val="none"/>
        </w:rPr>
      </w:pPr>
      <w:r>
        <w:rPr>
          <w:rFonts w:hint="eastAsia" w:ascii="宋体" w:hAnsi="宋体"/>
          <w:b/>
          <w:bCs/>
          <w:color w:val="auto"/>
          <w:szCs w:val="21"/>
          <w:highlight w:val="none"/>
        </w:rPr>
        <w:t xml:space="preserve">附件7：</w:t>
      </w:r>
      <w:r>
        <w:rPr>
          <w:rFonts w:hint="eastAsia" w:ascii="宋体" w:hAnsi="宋体"/>
          <w:color w:val="auto"/>
          <w:szCs w:val="21"/>
          <w:highlight w:val="none"/>
        </w:rPr>
        <w:t xml:space="preserve">        </w:t>
      </w:r>
      <w:r/>
    </w:p>
    <w:p>
      <w:pPr>
        <w:rPr>
          <w:rFonts w:ascii="宋体" w:hAnsi="宋体"/>
          <w:color w:val="auto"/>
          <w:szCs w:val="21"/>
          <w:highlight w:val="none"/>
        </w:rPr>
      </w:pPr>
      <w:r>
        <w:rPr>
          <w:rFonts w:hint="eastAsia" w:ascii="宋体" w:hAnsi="宋体"/>
          <w:b/>
          <w:bCs/>
          <w:color w:val="auto"/>
          <w:sz w:val="28"/>
          <w:szCs w:val="28"/>
          <w:highlight w:val="none"/>
        </w:rPr>
        <w:t xml:space="preserve">具备履行合同所必需的设备和专业技术能力的证明材料（格式自定）</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 w:val="28"/>
          <w:szCs w:val="28"/>
          <w:highlight w:val="none"/>
        </w:rPr>
      </w:pPr>
      <w:r/>
      <w:bookmarkStart w:id="140" w:name="_Toc12582"/>
      <w:r/>
      <w:bookmarkEnd w:id="140"/>
      <w:r>
        <w:rPr>
          <w:rFonts w:hint="eastAsia" w:ascii="宋体" w:hAnsi="宋体"/>
          <w:b/>
          <w:bCs/>
          <w:color w:val="auto"/>
          <w:szCs w:val="21"/>
          <w:highlight w:val="none"/>
        </w:rPr>
        <w:t xml:space="preserve">附件8：</w:t>
      </w:r>
      <w:r>
        <w:rPr>
          <w:rFonts w:hint="eastAsia" w:ascii="宋体" w:hAnsi="宋体" w:cs="宋体"/>
          <w:color w:val="auto"/>
          <w:szCs w:val="21"/>
          <w:highlight w:val="none"/>
        </w:rPr>
        <w:t xml:space="preserve"> </w:t>
      </w:r>
      <w:r>
        <w:rPr>
          <w:rFonts w:hint="eastAsia" w:ascii="宋体" w:hAnsi="宋体" w:cs="宋体"/>
          <w:color w:val="auto"/>
          <w:sz w:val="28"/>
          <w:szCs w:val="28"/>
          <w:highlight w:val="none"/>
        </w:rPr>
        <w:t xml:space="preserve"> </w:t>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参加政府采购活动前3年内在经营活动中没有重大违法记录的书面声明(参考格式)</w:t>
      </w:r>
      <w:r/>
    </w:p>
    <w:p>
      <w:pPr>
        <w:jc w:val="lef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b/>
          <w:bCs/>
          <w:color w:val="auto"/>
          <w:szCs w:val="21"/>
          <w:highlight w:val="none"/>
        </w:rPr>
      </w:pPr>
      <w:r>
        <w:rPr>
          <w:rFonts w:hint="eastAsia" w:ascii="宋体" w:hAnsi="宋体"/>
          <w:b/>
          <w:bCs/>
          <w:color w:val="auto"/>
          <w:szCs w:val="21"/>
          <w:highlight w:val="none"/>
        </w:rPr>
        <w:t xml:space="preserve">声 明</w:t>
      </w:r>
      <w:r/>
    </w:p>
    <w:p>
      <w:pPr>
        <w:ind w:firstLine="415"/>
        <w:jc w:val="left"/>
        <w:spacing w:line="420" w:lineRule="exact"/>
        <w:rPr>
          <w:rFonts w:ascii="宋体" w:hAnsi="宋体"/>
          <w:color w:val="auto"/>
          <w:szCs w:val="21"/>
          <w:highlight w:val="none"/>
        </w:rPr>
      </w:pPr>
      <w:r>
        <w:rPr>
          <w:rFonts w:hint="eastAsia" w:ascii="宋体" w:hAnsi="宋体"/>
          <w:color w:val="auto"/>
          <w:szCs w:val="21"/>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color w:val="auto"/>
          <w:szCs w:val="21"/>
          <w:highlight w:val="none"/>
        </w:rPr>
      </w:pPr>
      <w:r>
        <w:rPr>
          <w:rFonts w:hint="eastAsia" w:ascii="宋体" w:hAnsi="宋体"/>
          <w:color w:val="auto"/>
          <w:szCs w:val="21"/>
          <w:highlight w:val="none"/>
        </w:rPr>
        <w:t xml:space="preserve">                供应商名称（加盖CA电子公章）：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ind w:right="600" w:firstLine="3675"/>
        <w:jc w:val="left"/>
        <w:spacing w:line="42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right"/>
        <w:spacing w:line="420" w:lineRule="exact"/>
        <w:rPr>
          <w:rFonts w:ascii="宋体" w:hAnsi="宋体"/>
          <w:color w:val="auto"/>
          <w:sz w:val="24"/>
          <w:highlight w:val="none"/>
        </w:rPr>
      </w:pPr>
      <w:r>
        <w:rPr>
          <w:rFonts w:hint="eastAsia" w:ascii="宋体" w:hAnsi="宋体"/>
          <w:color w:val="auto"/>
          <w:szCs w:val="21"/>
          <w:highlight w:val="none"/>
        </w:rPr>
        <w:t xml:space="preserve">日    期：       年    月    日 </w:t>
      </w:r>
      <w:r>
        <w:rPr>
          <w:rFonts w:hint="eastAsia" w:ascii="宋体" w:hAnsi="宋体"/>
          <w:color w:val="auto"/>
          <w:sz w:val="24"/>
          <w:highlight w:val="none"/>
        </w:rPr>
        <w:t xml:space="preserve">                       </w:t>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pStyle w:val="1239"/>
        <w:rPr>
          <w:color w:val="auto"/>
          <w:highlight w:val="none"/>
        </w:rPr>
      </w:pPr>
      <w:r>
        <w:rPr>
          <w:color w:val="auto"/>
          <w:highlight w:val="none"/>
        </w:rPr>
      </w:r>
      <w:r>
        <w:rPr>
          <w:color w:val="auto"/>
          <w:highlight w:val="none"/>
        </w:rPr>
      </w:r>
    </w:p>
    <w:p>
      <w:pPr>
        <w:pStyle w:val="1239"/>
        <w:rPr>
          <w:color w:val="auto"/>
          <w:highlight w:val="none"/>
        </w:rPr>
      </w:pPr>
      <w:r>
        <w:rPr>
          <w:color w:val="auto"/>
          <w:highlight w:val="none"/>
        </w:rPr>
      </w:r>
      <w:r>
        <w:rPr>
          <w:color w:val="auto"/>
          <w:highlight w:val="none"/>
        </w:rPr>
      </w:r>
    </w:p>
    <w:p>
      <w:pPr>
        <w:pStyle w:val="1239"/>
        <w:rPr>
          <w:color w:val="auto"/>
          <w:highlight w:val="none"/>
        </w:rPr>
      </w:pPr>
      <w:r>
        <w:rPr>
          <w:color w:val="auto"/>
          <w:highlight w:val="none"/>
        </w:rPr>
      </w:r>
      <w:r>
        <w:rPr>
          <w:color w:val="auto"/>
          <w:highlight w:val="none"/>
        </w:rPr>
      </w:r>
    </w:p>
    <w:p>
      <w:pPr>
        <w:pStyle w:val="1239"/>
        <w:rPr>
          <w:color w:val="auto"/>
          <w:highlight w:val="none"/>
        </w:rPr>
      </w:pPr>
      <w:r>
        <w:rPr>
          <w:color w:val="auto"/>
          <w:highlight w:val="none"/>
        </w:rPr>
      </w:r>
      <w:r>
        <w:rPr>
          <w:color w:val="auto"/>
          <w:highlight w:val="none"/>
        </w:rPr>
      </w:r>
    </w:p>
    <w:p>
      <w:pPr>
        <w:pStyle w:val="1239"/>
        <w:rPr>
          <w:color w:val="auto"/>
          <w:highlight w:val="none"/>
        </w:rPr>
      </w:pPr>
      <w:r>
        <w:rPr>
          <w:color w:val="auto"/>
          <w:highlight w:val="none"/>
        </w:rPr>
      </w:r>
      <w:r>
        <w:rPr>
          <w:color w:val="auto"/>
          <w:highlight w:val="none"/>
        </w:rPr>
      </w:r>
    </w:p>
    <w:p>
      <w:pPr>
        <w:pStyle w:val="1239"/>
        <w:rPr>
          <w:color w:val="auto"/>
          <w:highlight w:val="none"/>
        </w:rPr>
      </w:pPr>
      <w:r>
        <w:rPr>
          <w:color w:val="auto"/>
          <w:highlight w:val="none"/>
        </w:rPr>
      </w:r>
      <w:r>
        <w:rPr>
          <w:color w:val="auto"/>
          <w:highlight w:val="none"/>
        </w:rPr>
      </w:r>
    </w:p>
    <w:p>
      <w:pPr>
        <w:pStyle w:val="1239"/>
        <w:rPr>
          <w:color w:val="auto"/>
          <w:highlight w:val="none"/>
        </w:rPr>
      </w:pPr>
      <w:r>
        <w:rPr>
          <w:color w:val="auto"/>
          <w:highlight w:val="none"/>
        </w:rPr>
      </w:r>
      <w:r/>
    </w:p>
    <w:p>
      <w:pPr>
        <w:spacing w:line="440" w:lineRule="exact"/>
        <w:rPr>
          <w:rFonts w:ascii="宋体" w:hAnsi="宋体"/>
          <w:b/>
          <w:bCs/>
          <w:color w:val="auto"/>
          <w:szCs w:val="21"/>
          <w:highlight w:val="none"/>
        </w:rPr>
        <w:outlineLvl w:val="0"/>
      </w:pPr>
      <w:r/>
      <w:bookmarkStart w:id="141" w:name="_Toc8291"/>
      <w:r/>
      <w:bookmarkEnd w:id="141"/>
      <w:r>
        <w:rPr>
          <w:rFonts w:hint="eastAsia" w:ascii="宋体" w:hAnsi="宋体"/>
          <w:b/>
          <w:bCs/>
          <w:color w:val="auto"/>
          <w:szCs w:val="21"/>
          <w:highlight w:val="none"/>
        </w:rPr>
        <w:t xml:space="preserve">附件</w:t>
      </w:r>
      <w:bookmarkStart w:id="142" w:name="_Toc528398513"/>
      <w:r/>
      <w:bookmarkEnd w:id="142"/>
      <w:r>
        <w:rPr>
          <w:rFonts w:hint="eastAsia" w:ascii="宋体" w:hAnsi="宋体"/>
          <w:b/>
          <w:bCs/>
          <w:color w:val="auto"/>
          <w:szCs w:val="21"/>
          <w:highlight w:val="none"/>
        </w:rPr>
        <w:t xml:space="preserve">9：</w:t>
      </w:r>
      <w:r/>
    </w:p>
    <w:p>
      <w:pPr>
        <w:jc w:val="center"/>
        <w:spacing w:line="440" w:lineRule="exact"/>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中小企业声明函</w:t>
      </w:r>
      <w:r/>
    </w:p>
    <w:p>
      <w:pPr>
        <w:ind w:firstLine="645"/>
        <w:rPr>
          <w:rFonts w:ascii="宋体" w:hAnsi="宋体"/>
          <w:color w:val="auto"/>
          <w:sz w:val="32"/>
          <w:szCs w:val="32"/>
          <w:highlight w:val="none"/>
        </w:rPr>
      </w:pPr>
      <w:r>
        <w:rPr>
          <w:rFonts w:ascii="宋体" w:hAnsi="宋体"/>
          <w:color w:val="auto"/>
          <w:sz w:val="32"/>
          <w:szCs w:val="32"/>
          <w:highlight w:val="none"/>
        </w:rPr>
      </w:r>
      <w:r/>
    </w:p>
    <w:p>
      <w:pPr>
        <w:ind w:firstLine="720"/>
        <w:jc w:val="left"/>
        <w:spacing w:line="480" w:lineRule="auto"/>
        <w:rPr>
          <w:rFonts w:eastAsia="仿宋"/>
          <w:color w:val="auto"/>
          <w:sz w:val="24"/>
          <w:highlight w:val="none"/>
        </w:rPr>
      </w:pPr>
      <w:r>
        <w:rPr>
          <w:rFonts w:hAnsi="仿宋" w:eastAsia="仿宋"/>
          <w:color w:val="auto"/>
          <w:sz w:val="24"/>
          <w:highlight w:val="none"/>
        </w:rPr>
        <w:t xml:space="preserve">本公司</w:t>
      </w:r>
      <w:r>
        <w:rPr>
          <w:rFonts w:hint="eastAsia" w:hAnsi="仿宋" w:eastAsia="仿宋"/>
          <w:color w:val="auto"/>
          <w:sz w:val="24"/>
          <w:highlight w:val="none"/>
        </w:rPr>
        <w:t xml:space="preserve">（联合体）</w:t>
      </w:r>
      <w:r>
        <w:rPr>
          <w:rFonts w:hAnsi="仿宋" w:eastAsia="仿宋"/>
          <w:color w:val="auto"/>
          <w:sz w:val="24"/>
          <w:highlight w:val="none"/>
        </w:rPr>
        <w:t xml:space="preserve">郑重声明，根据《政府采购促进中小企业发展管理办法》（财库﹝</w:t>
      </w:r>
      <w:r>
        <w:rPr>
          <w:rFonts w:eastAsia="仿宋"/>
          <w:color w:val="auto"/>
          <w:sz w:val="24"/>
          <w:highlight w:val="none"/>
        </w:rPr>
        <w:t xml:space="preserve">2020</w:t>
      </w:r>
      <w:r>
        <w:rPr>
          <w:rFonts w:hAnsi="仿宋" w:eastAsia="仿宋"/>
          <w:color w:val="auto"/>
          <w:sz w:val="24"/>
          <w:highlight w:val="none"/>
        </w:rPr>
        <w:t xml:space="preserve">﹞</w:t>
      </w:r>
      <w:r>
        <w:rPr>
          <w:rFonts w:eastAsia="仿宋"/>
          <w:color w:val="auto"/>
          <w:sz w:val="24"/>
          <w:highlight w:val="none"/>
        </w:rPr>
        <w:t xml:space="preserve">46 </w:t>
      </w:r>
      <w:r>
        <w:rPr>
          <w:rFonts w:hAnsi="仿宋" w:eastAsia="仿宋"/>
          <w:color w:val="auto"/>
          <w:sz w:val="24"/>
          <w:highlight w:val="none"/>
        </w:rPr>
        <w:t xml:space="preserve">号）的规定，本公司</w:t>
      </w:r>
      <w:r>
        <w:rPr>
          <w:rFonts w:hint="eastAsia" w:hAnsi="仿宋" w:eastAsia="仿宋"/>
          <w:color w:val="auto"/>
          <w:sz w:val="24"/>
          <w:highlight w:val="none"/>
        </w:rPr>
        <w:t xml:space="preserve">(联合体)</w:t>
      </w:r>
      <w:r>
        <w:rPr>
          <w:rFonts w:hAnsi="仿宋" w:eastAsia="仿宋"/>
          <w:color w:val="auto"/>
          <w:sz w:val="24"/>
          <w:highlight w:val="none"/>
        </w:rPr>
        <w:t xml:space="preserve">参加</w:t>
      </w:r>
      <w:r>
        <w:rPr>
          <w:rFonts w:hAnsi="仿宋" w:eastAsia="仿宋"/>
          <w:color w:val="auto"/>
          <w:sz w:val="24"/>
          <w:highlight w:val="none"/>
          <w:u w:val="single"/>
        </w:rPr>
        <w:t xml:space="preserve">（单位名称）</w:t>
      </w:r>
      <w:r>
        <w:rPr>
          <w:rFonts w:hAnsi="仿宋" w:eastAsia="仿宋"/>
          <w:color w:val="auto"/>
          <w:sz w:val="24"/>
          <w:highlight w:val="none"/>
        </w:rPr>
        <w:t xml:space="preserve">的</w:t>
      </w:r>
      <w:r>
        <w:rPr>
          <w:rFonts w:hAnsi="仿宋" w:eastAsia="仿宋"/>
          <w:color w:val="auto"/>
          <w:sz w:val="24"/>
          <w:highlight w:val="none"/>
          <w:u w:val="single"/>
        </w:rPr>
        <w:t xml:space="preserve">（项目名称）</w:t>
      </w:r>
      <w:r>
        <w:rPr>
          <w:rFonts w:hAnsi="仿宋" w:eastAsia="仿宋"/>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auto"/>
          <w:sz w:val="24"/>
          <w:highlight w:val="none"/>
          <w:u w:val="single"/>
        </w:rPr>
      </w:pPr>
      <w:r>
        <w:rPr>
          <w:rFonts w:eastAsia="仿宋"/>
          <w:color w:val="auto"/>
          <w:sz w:val="24"/>
          <w:highlight w:val="none"/>
        </w:rPr>
        <w:t xml:space="preserve">1. </w:t>
      </w:r>
      <w:r>
        <w:rPr>
          <w:rFonts w:hAnsi="仿宋" w:eastAsia="仿宋"/>
          <w:color w:val="auto"/>
          <w:sz w:val="24"/>
          <w:highlight w:val="none"/>
          <w:u w:val="single"/>
        </w:rPr>
        <w:t xml:space="preserve">（标的名称）</w:t>
      </w:r>
      <w:r>
        <w:rPr>
          <w:rFonts w:hAnsi="仿宋" w:eastAsia="仿宋"/>
          <w:color w:val="auto"/>
          <w:sz w:val="24"/>
          <w:highlight w:val="none"/>
        </w:rPr>
        <w:t xml:space="preserve">，属于</w:t>
      </w:r>
      <w:r>
        <w:rPr>
          <w:rFonts w:hAnsi="仿宋" w:eastAsia="仿宋"/>
          <w:color w:val="auto"/>
          <w:sz w:val="24"/>
          <w:highlight w:val="none"/>
          <w:u w:val="single"/>
        </w:rPr>
        <w:t xml:space="preserve">（采购文件中明确的所属行业）</w:t>
      </w:r>
      <w:r>
        <w:rPr>
          <w:rFonts w:hAnsi="仿宋" w:eastAsia="仿宋"/>
          <w:color w:val="auto"/>
          <w:sz w:val="24"/>
          <w:highlight w:val="none"/>
        </w:rPr>
        <w:t xml:space="preserve">；承建（承接）企业为</w:t>
      </w:r>
      <w:r>
        <w:rPr>
          <w:rFonts w:hAnsi="仿宋" w:eastAsia="仿宋"/>
          <w:color w:val="auto"/>
          <w:sz w:val="24"/>
          <w:highlight w:val="none"/>
          <w:u w:val="single"/>
        </w:rPr>
        <w:t xml:space="preserve">（企业名称）</w:t>
      </w:r>
      <w:r>
        <w:rPr>
          <w:rFonts w:hAnsi="仿宋" w:eastAsia="仿宋"/>
          <w:color w:val="auto"/>
          <w:sz w:val="24"/>
          <w:highlight w:val="none"/>
        </w:rPr>
        <w:t xml:space="preserve">，从业人员</w:t>
      </w:r>
      <w:r>
        <w:rPr>
          <w:rFonts w:hint="eastAsia" w:hAnsi="仿宋" w:eastAsia="仿宋"/>
          <w:color w:val="auto"/>
          <w:sz w:val="24"/>
          <w:highlight w:val="none"/>
          <w:u w:val="single"/>
        </w:rPr>
        <w:t xml:space="preserve">    </w:t>
      </w:r>
      <w:r>
        <w:rPr>
          <w:rFonts w:hAnsi="仿宋" w:eastAsia="仿宋"/>
          <w:color w:val="auto"/>
          <w:sz w:val="24"/>
          <w:highlight w:val="none"/>
        </w:rPr>
        <w:t xml:space="preserve">人，营业收入为</w:t>
      </w:r>
      <w:r>
        <w:rPr>
          <w:rFonts w:hint="eastAsia" w:hAnsi="仿宋" w:eastAsia="仿宋"/>
          <w:color w:val="auto"/>
          <w:sz w:val="24"/>
          <w:highlight w:val="none"/>
          <w:u w:val="single"/>
        </w:rPr>
        <w:t xml:space="preserve">    </w:t>
      </w:r>
      <w:r>
        <w:rPr>
          <w:rFonts w:hAnsi="仿宋" w:eastAsia="仿宋"/>
          <w:color w:val="auto"/>
          <w:sz w:val="24"/>
          <w:highlight w:val="none"/>
        </w:rPr>
        <w:t xml:space="preserve">万元，资产总额为</w:t>
      </w:r>
      <w:r>
        <w:rPr>
          <w:rFonts w:hint="eastAsia" w:hAnsi="仿宋" w:eastAsia="仿宋"/>
          <w:color w:val="auto"/>
          <w:sz w:val="24"/>
          <w:highlight w:val="none"/>
          <w:u w:val="single"/>
        </w:rPr>
        <w:t xml:space="preserve">    </w:t>
      </w:r>
      <w:r>
        <w:rPr>
          <w:rFonts w:hAnsi="仿宋" w:eastAsia="仿宋"/>
          <w:color w:val="auto"/>
          <w:sz w:val="24"/>
          <w:highlight w:val="none"/>
        </w:rPr>
        <w:t xml:space="preserve">万元</w:t>
      </w:r>
      <w:r>
        <w:rPr>
          <w:rFonts w:hint="eastAsia" w:hAnsi="仿宋" w:eastAsia="仿宋"/>
          <w:color w:val="auto"/>
          <w:sz w:val="24"/>
          <w:highlight w:val="none"/>
          <w:vertAlign w:val="superscript"/>
        </w:rPr>
        <w:t xml:space="preserve">1</w:t>
      </w:r>
      <w:r>
        <w:rPr>
          <w:rFonts w:hAnsi="仿宋" w:eastAsia="仿宋"/>
          <w:color w:val="auto"/>
          <w:sz w:val="24"/>
          <w:highlight w:val="none"/>
        </w:rPr>
        <w:t xml:space="preserve">，属于</w:t>
      </w:r>
      <w:r>
        <w:rPr>
          <w:rFonts w:hAnsi="仿宋" w:eastAsia="仿宋"/>
          <w:color w:val="auto"/>
          <w:sz w:val="24"/>
          <w:highlight w:val="none"/>
          <w:u w:val="single"/>
        </w:rPr>
        <w:t xml:space="preserve">（中型企业、小型企业、微型企业）</w:t>
      </w:r>
      <w:r>
        <w:rPr>
          <w:rFonts w:hAnsi="仿宋" w:eastAsia="仿宋"/>
          <w:color w:val="auto"/>
          <w:sz w:val="24"/>
          <w:highlight w:val="none"/>
        </w:rPr>
        <w:t xml:space="preserve">；</w:t>
      </w:r>
      <w:r/>
    </w:p>
    <w:p>
      <w:pPr>
        <w:ind w:firstLine="480"/>
        <w:jc w:val="left"/>
        <w:spacing w:line="480" w:lineRule="auto"/>
        <w:rPr>
          <w:rFonts w:eastAsia="仿宋"/>
          <w:color w:val="auto"/>
          <w:sz w:val="24"/>
          <w:highlight w:val="none"/>
        </w:rPr>
      </w:pPr>
      <w:r>
        <w:rPr>
          <w:rFonts w:hAnsi="仿宋" w:eastAsia="仿宋"/>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auto"/>
          <w:sz w:val="24"/>
          <w:highlight w:val="none"/>
        </w:rPr>
      </w:pPr>
      <w:r>
        <w:rPr>
          <w:rFonts w:hAnsi="仿宋" w:eastAsia="仿宋"/>
          <w:color w:val="auto"/>
          <w:sz w:val="24"/>
          <w:highlight w:val="none"/>
        </w:rPr>
        <w:t xml:space="preserve">本企业对上述声明内容的真实性负责。如有虚假，将依法承担相应责任。</w:t>
      </w:r>
      <w:r/>
    </w:p>
    <w:p>
      <w:pPr>
        <w:jc w:val="left"/>
        <w:spacing w:line="480" w:lineRule="auto"/>
        <w:rPr>
          <w:rFonts w:eastAsia="仿宋"/>
          <w:color w:val="auto"/>
          <w:sz w:val="24"/>
          <w:highlight w:val="none"/>
        </w:rPr>
      </w:pPr>
      <w:r>
        <w:rPr>
          <w:rFonts w:eastAsia="仿宋"/>
          <w:color w:val="auto"/>
          <w:sz w:val="24"/>
          <w:highlight w:val="none"/>
        </w:rPr>
      </w:r>
      <w:r/>
    </w:p>
    <w:p>
      <w:pPr>
        <w:ind w:firstLine="3840"/>
        <w:jc w:val="left"/>
        <w:spacing w:line="480" w:lineRule="auto"/>
        <w:rPr>
          <w:rFonts w:eastAsia="仿宋"/>
          <w:color w:val="auto"/>
          <w:sz w:val="24"/>
          <w:highlight w:val="none"/>
        </w:rPr>
      </w:pPr>
      <w:r>
        <w:rPr>
          <w:rFonts w:hAnsi="仿宋" w:eastAsia="仿宋"/>
          <w:color w:val="auto"/>
          <w:sz w:val="24"/>
          <w:highlight w:val="none"/>
        </w:rPr>
        <w:t xml:space="preserve">企业名称（</w:t>
      </w:r>
      <w:r>
        <w:rPr>
          <w:rFonts w:hint="eastAsia" w:ascii="宋体" w:hAnsi="宋体"/>
          <w:color w:val="auto"/>
          <w:szCs w:val="21"/>
          <w:highlight w:val="none"/>
        </w:rPr>
        <w:t xml:space="preserve">加盖CA电子公章</w:t>
      </w:r>
      <w:r>
        <w:rPr>
          <w:rFonts w:hAnsi="仿宋" w:eastAsia="仿宋"/>
          <w:color w:val="auto"/>
          <w:sz w:val="24"/>
          <w:highlight w:val="none"/>
        </w:rPr>
        <w:t xml:space="preserve">）：</w:t>
      </w:r>
      <w:r/>
    </w:p>
    <w:p>
      <w:pPr>
        <w:jc w:val="center"/>
        <w:spacing w:line="480" w:lineRule="auto"/>
        <w:rPr>
          <w:rFonts w:hAnsi="仿宋" w:eastAsia="仿宋"/>
          <w:color w:val="auto"/>
          <w:sz w:val="24"/>
          <w:highlight w:val="none"/>
        </w:rPr>
      </w:pPr>
      <w:r>
        <w:rPr>
          <w:rFonts w:hAnsi="仿宋" w:eastAsia="仿宋"/>
          <w:color w:val="auto"/>
          <w:sz w:val="24"/>
          <w:highlight w:val="none"/>
        </w:rPr>
        <w:t xml:space="preserve">日期：</w:t>
      </w:r>
      <w:r/>
    </w:p>
    <w:p>
      <w:pPr>
        <w:ind w:firstLine="480"/>
        <w:spacing w:line="320" w:lineRule="exact"/>
        <w:rPr>
          <w:rFonts w:hAnsi="仿宋" w:eastAsia="仿宋"/>
          <w:color w:val="auto"/>
          <w:sz w:val="24"/>
          <w:highlight w:val="none"/>
        </w:rPr>
      </w:pPr>
      <w:r>
        <w:rPr>
          <w:rFonts w:hint="eastAsia" w:hAnsi="仿宋" w:eastAsia="仿宋"/>
          <w:color w:val="auto"/>
          <w:sz w:val="24"/>
          <w:highlight w:val="none"/>
        </w:rPr>
        <w:t xml:space="preserve">（备注：</w:t>
      </w:r>
      <w:r>
        <w:rPr>
          <w:rFonts w:hAnsi="仿宋" w:eastAsia="仿宋"/>
          <w:color w:val="auto"/>
          <w:sz w:val="24"/>
          <w:highlight w:val="none"/>
        </w:rPr>
        <w:t xml:space="preserve">1</w:t>
      </w:r>
      <w:r>
        <w:rPr>
          <w:rFonts w:hint="eastAsia" w:hAnsi="仿宋" w:eastAsia="仿宋"/>
          <w:color w:val="auto"/>
          <w:sz w:val="24"/>
          <w:highlight w:val="none"/>
        </w:rPr>
        <w:t xml:space="preserve">、参照《关于印发中小企业划型标准规定的通知》（工信部联企业〔2011〕300号）文件，</w:t>
      </w:r>
      <w:r>
        <w:rPr>
          <w:rFonts w:hAnsi="仿宋" w:eastAsia="仿宋"/>
          <w:color w:val="auto"/>
          <w:sz w:val="24"/>
          <w:highlight w:val="none"/>
        </w:rPr>
        <w:t xml:space="preserve">本项目所属行业为</w:t>
      </w:r>
      <w:r>
        <w:rPr>
          <w:rFonts w:ascii="宋体" w:hAnsi="宋体" w:cs="宋体"/>
          <w:color w:val="auto"/>
          <w:sz w:val="24"/>
          <w:highlight w:val="none"/>
          <w:u w:val="single"/>
        </w:rPr>
        <w:t xml:space="preserve">软件和信息技术服务业</w:t>
      </w:r>
      <w:r>
        <w:rPr>
          <w:rFonts w:hint="eastAsia" w:hAnsi="仿宋" w:eastAsia="仿宋"/>
          <w:color w:val="auto"/>
          <w:sz w:val="24"/>
          <w:highlight w:val="none"/>
        </w:rPr>
        <w:t xml:space="preserve">。2、请如实填写属于</w:t>
      </w:r>
      <w:r>
        <w:rPr>
          <w:rFonts w:hAnsi="仿宋" w:eastAsia="仿宋"/>
          <w:color w:val="auto"/>
          <w:sz w:val="24"/>
          <w:highlight w:val="none"/>
        </w:rPr>
        <w:t xml:space="preserve">中型企业</w:t>
      </w:r>
      <w:r>
        <w:rPr>
          <w:rFonts w:hint="eastAsia" w:hAnsi="仿宋" w:eastAsia="仿宋"/>
          <w:color w:val="auto"/>
          <w:sz w:val="24"/>
          <w:highlight w:val="none"/>
        </w:rPr>
        <w:t xml:space="preserve">或</w:t>
      </w:r>
      <w:r>
        <w:rPr>
          <w:rFonts w:hAnsi="仿宋" w:eastAsia="仿宋"/>
          <w:color w:val="auto"/>
          <w:sz w:val="24"/>
          <w:highlight w:val="none"/>
        </w:rPr>
        <w:t xml:space="preserve">小型企业</w:t>
      </w:r>
      <w:r>
        <w:rPr>
          <w:rFonts w:hint="eastAsia" w:hAnsi="仿宋" w:eastAsia="仿宋"/>
          <w:color w:val="auto"/>
          <w:sz w:val="24"/>
          <w:highlight w:val="none"/>
        </w:rPr>
        <w:t xml:space="preserve">或</w:t>
      </w:r>
      <w:r>
        <w:rPr>
          <w:rFonts w:hAnsi="仿宋" w:eastAsia="仿宋"/>
          <w:color w:val="auto"/>
          <w:sz w:val="24"/>
          <w:highlight w:val="none"/>
        </w:rPr>
        <w:t xml:space="preserve">微型企业</w:t>
      </w:r>
      <w:r>
        <w:rPr>
          <w:rFonts w:hint="eastAsia" w:hAnsi="仿宋" w:eastAsia="仿宋"/>
          <w:color w:val="auto"/>
          <w:sz w:val="24"/>
          <w:highlight w:val="none"/>
        </w:rPr>
        <w:t xml:space="preserve">。3、</w:t>
      </w:r>
      <w:r>
        <w:rPr>
          <w:rFonts w:hint="eastAsia" w:hAnsi="仿宋" w:eastAsia="仿宋"/>
          <w:color w:val="auto"/>
          <w:sz w:val="24"/>
          <w:highlight w:val="none"/>
          <w:vertAlign w:val="superscript"/>
        </w:rPr>
        <w:t xml:space="preserve">1</w:t>
      </w:r>
      <w:r>
        <w:rPr>
          <w:rFonts w:hint="eastAsia" w:hAnsi="仿宋" w:eastAsia="仿宋"/>
          <w:color w:val="auto"/>
          <w:sz w:val="24"/>
          <w:highlight w:val="none"/>
        </w:rPr>
        <w:t xml:space="preserve">从业人员、营业收入、资产总额填报上一年度数据，无上一年度数据的新成立企业可不填报。）</w:t>
      </w:r>
      <w:r/>
    </w:p>
    <w:p>
      <w:pPr>
        <w:rPr>
          <w:color w:val="auto"/>
          <w:highlight w:val="none"/>
        </w:rPr>
      </w:pPr>
      <w:r>
        <w:rPr>
          <w:color w:val="auto"/>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olor w:val="auto"/>
          <w:sz w:val="32"/>
          <w:szCs w:val="32"/>
          <w:highlight w:val="none"/>
        </w:rPr>
      </w:pPr>
      <w:r>
        <w:rPr>
          <w:rFonts w:hint="eastAsia" w:ascii="宋体" w:hAnsi="宋体" w:cs="宋体"/>
          <w:color w:val="auto"/>
          <w:szCs w:val="21"/>
          <w:highlight w:val="none"/>
        </w:rPr>
        <w:t xml:space="preserve"> </w:t>
      </w:r>
      <w:r/>
    </w:p>
    <w:p>
      <w:pPr>
        <w:ind w:firstLine="645"/>
        <w:rPr>
          <w:rFonts w:ascii="宋体" w:hAnsi="宋体"/>
          <w:color w:val="auto"/>
          <w:sz w:val="32"/>
          <w:szCs w:val="32"/>
          <w:highlight w:val="none"/>
        </w:rPr>
      </w:pPr>
      <w:r>
        <w:rPr>
          <w:rFonts w:hint="eastAsia" w:ascii="宋体" w:hAnsi="宋体"/>
          <w:color w:val="auto"/>
          <w:sz w:val="32"/>
          <w:szCs w:val="32"/>
          <w:highlight w:val="none"/>
        </w:rPr>
        <w:t xml:space="preserve"> </w:t>
      </w:r>
      <w:r/>
    </w:p>
    <w:p>
      <w:pPr>
        <w:pStyle w:val="1226"/>
        <w:rPr>
          <w:rFonts w:ascii="宋体" w:hAnsi="宋体" w:eastAsia="宋体"/>
          <w:color w:val="auto"/>
          <w:szCs w:val="32"/>
          <w:highlight w:val="none"/>
        </w:rPr>
      </w:pPr>
      <w:r>
        <w:rPr>
          <w:rFonts w:ascii="宋体" w:hAnsi="宋体" w:eastAsia="宋体"/>
          <w:color w:val="auto"/>
          <w:szCs w:val="32"/>
          <w:highlight w:val="none"/>
        </w:rPr>
      </w:r>
      <w:r/>
    </w:p>
    <w:p>
      <w:pPr>
        <w:pStyle w:val="1226"/>
        <w:rPr>
          <w:rFonts w:ascii="宋体" w:hAnsi="宋体" w:eastAsia="宋体"/>
          <w:color w:val="auto"/>
          <w:szCs w:val="32"/>
          <w:highlight w:val="none"/>
        </w:rPr>
      </w:pPr>
      <w:r>
        <w:rPr>
          <w:rFonts w:ascii="宋体" w:hAnsi="宋体" w:eastAsia="宋体"/>
          <w:color w:val="auto"/>
          <w:szCs w:val="32"/>
          <w:highlight w:val="none"/>
        </w:rPr>
      </w:r>
      <w:r/>
    </w:p>
    <w:p>
      <w:pPr>
        <w:spacing w:line="440" w:lineRule="exact"/>
        <w:rPr>
          <w:rFonts w:ascii="宋体" w:hAnsi="宋体" w:cs="宋体"/>
          <w:b/>
          <w:bCs/>
          <w:color w:val="auto"/>
          <w:szCs w:val="21"/>
          <w:highlight w:val="none"/>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ascii="宋体" w:hAnsi="宋体" w:cs="宋体"/>
          <w:b/>
          <w:bCs/>
          <w:color w:val="auto"/>
          <w:szCs w:val="21"/>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供应商全称（加盖CA电子公章）：</w:t>
      </w:r>
      <w:r/>
    </w:p>
    <w:p>
      <w:pPr>
        <w:spacing w:line="440" w:lineRule="exact"/>
        <w:rPr>
          <w:rFonts w:ascii="宋体" w:hAnsi="宋体"/>
          <w:color w:val="auto"/>
          <w:szCs w:val="21"/>
          <w:highlight w:val="none"/>
        </w:rPr>
        <w:outlineLvl w:val="0"/>
      </w:pPr>
      <w:r>
        <w:rPr>
          <w:rFonts w:hint="eastAsia" w:ascii="宋体" w:hAnsi="宋体"/>
          <w:color w:val="auto"/>
          <w:szCs w:val="21"/>
          <w:highlight w:val="none"/>
        </w:rPr>
        <w:t xml:space="preserve">                                              日  期</w:t>
      </w:r>
      <w:r/>
    </w:p>
    <w:p>
      <w:pPr>
        <w:pStyle w:val="1239"/>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属于监狱企业的证明文件</w:t>
      </w:r>
      <w:r/>
    </w:p>
    <w:p>
      <w:pPr>
        <w:pStyle w:val="1225"/>
        <w:rPr>
          <w:color w:val="auto"/>
          <w:highlight w:val="none"/>
        </w:rPr>
      </w:pPr>
      <w:r>
        <w:rPr>
          <w:color w:val="auto"/>
          <w:highlight w:val="none"/>
        </w:rPr>
      </w:r>
      <w:r/>
    </w:p>
    <w:p>
      <w:pPr>
        <w:pStyle w:val="1225"/>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（提供由省级以上监狱管理局、戒毒管理局(含新疆生产建设兵团)出具的属于监狱企业的证明文件）</w:t>
      </w:r>
      <w:r/>
    </w:p>
    <w:p>
      <w:pPr>
        <w:pStyle w:val="1239"/>
        <w:rPr>
          <w:color w:val="auto"/>
          <w:highlight w:val="none"/>
        </w:rPr>
      </w:pPr>
      <w:r>
        <w:rPr>
          <w:color w:val="auto"/>
          <w:highlight w:val="none"/>
        </w:rPr>
      </w:r>
      <w:r/>
    </w:p>
    <w:p>
      <w:pPr>
        <w:pStyle w:val="1239"/>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节能产品认证证书</w:t>
      </w:r>
      <w:r/>
    </w:p>
    <w:p>
      <w:pPr>
        <w:pStyle w:val="1228"/>
        <w:rPr>
          <w:color w:val="auto"/>
          <w:highlight w:val="none"/>
        </w:rPr>
      </w:pPr>
      <w:r>
        <w:rPr>
          <w:color w:val="auto"/>
          <w:highlight w:val="none"/>
        </w:rPr>
      </w:r>
      <w:r/>
    </w:p>
    <w:p>
      <w:pPr>
        <w:ind w:firstLine="720"/>
        <w:jc w:val="left"/>
        <w:rPr>
          <w:rFonts w:hAnsi="仿宋" w:eastAsia="仿宋"/>
          <w:color w:val="auto"/>
          <w:sz w:val="24"/>
          <w:highlight w:val="none"/>
        </w:rPr>
      </w:pPr>
      <w:r>
        <w:rPr>
          <w:rFonts w:hint="eastAsia" w:hAnsi="仿宋" w:eastAsia="仿宋"/>
          <w:color w:val="auto"/>
          <w:sz w:val="24"/>
          <w:highlight w:val="none"/>
        </w:rPr>
        <w:t xml:space="preserve">（提供国家确定的认证机构出具的、处于有效期之内的产品认证证书）</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pStyle w:val="1228"/>
        <w:rPr>
          <w:color w:val="auto"/>
          <w:highlight w:val="none"/>
        </w:rPr>
      </w:pPr>
      <w:r>
        <w:rPr>
          <w:color w:val="auto"/>
          <w:highlight w:val="none"/>
        </w:rPr>
      </w:r>
      <w:r/>
    </w:p>
    <w:p>
      <w:pPr>
        <w:pStyle w:val="1224"/>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环境标志产品认证证书</w:t>
      </w:r>
      <w:r/>
    </w:p>
    <w:p>
      <w:pPr>
        <w:ind w:firstLine="720"/>
        <w:spacing w:line="560" w:lineRule="exact"/>
        <w:rPr>
          <w:rFonts w:hAnsi="仿宋" w:eastAsia="仿宋"/>
          <w:color w:val="auto"/>
          <w:sz w:val="24"/>
          <w:highlight w:val="none"/>
        </w:rPr>
      </w:pPr>
      <w:r>
        <w:rPr>
          <w:rFonts w:hint="eastAsia" w:hAnsi="仿宋" w:eastAsia="仿宋"/>
          <w:color w:val="auto"/>
          <w:sz w:val="24"/>
          <w:highlight w:val="none"/>
        </w:rPr>
        <w:t xml:space="preserve">（提供国家确定的认证机构出具的、处于有效期之内的产品认证证书）</w:t>
      </w:r>
      <w:r/>
    </w:p>
    <w:p>
      <w:pPr>
        <w:pStyle w:val="1239"/>
        <w:rPr>
          <w:color w:val="auto"/>
          <w:highlight w:val="none"/>
        </w:rPr>
        <w:sectPr>
          <w:footerReference w:type="first" r:id="rId21"/>
          <w:footnotePr/>
          <w:endnotePr/>
          <w:type w:val="nextPage"/>
          <w:pgSz w:w="11906" w:h="16838" w:orient="portrait"/>
          <w:pgMar w:top="1015" w:right="1196" w:bottom="868" w:left="1259" w:header="851" w:footer="907" w:gutter="0"/>
          <w:cols w:num="1" w:sep="0" w:space="720" w:equalWidth="1"/>
          <w:docGrid w:linePitch="360"/>
          <w:titlePg/>
        </w:sectPr>
      </w:pPr>
      <w:r>
        <w:rPr>
          <w:color w:val="auto"/>
          <w:highlight w:val="none"/>
        </w:rPr>
      </w:r>
      <w:r/>
    </w:p>
    <w:p>
      <w:pPr>
        <w:spacing w:line="440" w:lineRule="exact"/>
        <w:rPr>
          <w:rFonts w:ascii="宋体" w:hAnsi="宋体"/>
          <w:b/>
          <w:bCs/>
          <w:color w:val="auto"/>
          <w:szCs w:val="21"/>
          <w:highlight w:val="none"/>
        </w:rPr>
        <w:outlineLvl w:val="0"/>
      </w:pPr>
      <w:r>
        <w:rPr>
          <w:rFonts w:hint="eastAsia" w:ascii="宋体" w:hAnsi="宋体"/>
          <w:b/>
          <w:bCs/>
          <w:color w:val="auto"/>
          <w:szCs w:val="21"/>
          <w:highlight w:val="none"/>
        </w:rPr>
        <w:t xml:space="preserve">附件10：</w:t>
      </w:r>
      <w:r/>
    </w:p>
    <w:p>
      <w:pPr>
        <w:ind w:firstLine="3092"/>
        <w:spacing w:line="50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拟派本项目人员一览表</w:t>
      </w:r>
      <w:r/>
    </w:p>
    <w:p>
      <w:pPr>
        <w:pStyle w:val="1224"/>
        <w:rPr>
          <w:rFonts w:ascii="宋体" w:hAnsi="宋体" w:cs="宋体"/>
          <w:color w:val="auto"/>
          <w:szCs w:val="21"/>
          <w:highlight w:val="none"/>
        </w:rPr>
      </w:pPr>
      <w:r>
        <w:rPr>
          <w:rFonts w:ascii="宋体" w:hAnsi="宋体" w:cs="宋体"/>
          <w:color w:val="auto"/>
          <w:szCs w:val="21"/>
          <w:highlight w:val="none"/>
        </w:rPr>
      </w:r>
      <w:r/>
    </w:p>
    <w:tbl>
      <w:tblPr>
        <w:tblStyle w:val="122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1167"/>
        <w:gridCol w:w="595"/>
        <w:gridCol w:w="582"/>
        <w:gridCol w:w="1741"/>
        <w:gridCol w:w="1583"/>
        <w:gridCol w:w="930"/>
        <w:gridCol w:w="932"/>
        <w:gridCol w:w="810"/>
        <w:gridCol w:w="798"/>
      </w:tblGrid>
      <w:tr>
        <w:trPr>
          <w:jc w:val="center"/>
          <w:trHeight w:val="682"/>
        </w:trPr>
        <w:tc>
          <w:tcPr>
            <w:tcW w:w="266" w:type="pct"/>
            <w:vAlign w:val="center"/>
            <w:textDirection w:val="lrTb"/>
            <w:noWrap w:val="false"/>
          </w:tcPr>
          <w:p>
            <w:pP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604"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姓  名</w:t>
            </w:r>
            <w:r/>
          </w:p>
        </w:tc>
        <w:tc>
          <w:tcPr>
            <w:tcW w:w="308"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性别</w:t>
            </w:r>
            <w:r/>
          </w:p>
        </w:tc>
        <w:tc>
          <w:tcPr>
            <w:tcW w:w="301"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年龄</w:t>
            </w:r>
            <w:r/>
          </w:p>
        </w:tc>
        <w:tc>
          <w:tcPr>
            <w:tcW w:w="901" w:type="pct"/>
            <w:vAlign w:val="center"/>
            <w:textDirection w:val="lrTb"/>
            <w:noWrap w:val="false"/>
          </w:tcPr>
          <w:p>
            <w:pPr>
              <w:ind w:firstLine="422"/>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身份证号码</w:t>
            </w:r>
            <w:r/>
          </w:p>
        </w:tc>
        <w:tc>
          <w:tcPr>
            <w:tcW w:w="819"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资格证书</w:t>
            </w:r>
            <w:r/>
          </w:p>
        </w:tc>
        <w:tc>
          <w:tcPr>
            <w:tcW w:w="481" w:type="pct"/>
            <w:vAlign w:val="center"/>
            <w:textDirection w:val="lrTb"/>
            <w:noWrap w:val="false"/>
          </w:tcPr>
          <w:p>
            <w:pPr>
              <w:jc w:val="center"/>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学历</w:t>
            </w:r>
            <w:r/>
          </w:p>
        </w:tc>
        <w:tc>
          <w:tcPr>
            <w:tcW w:w="482" w:type="pct"/>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本项目中的岗位</w:t>
            </w:r>
            <w:r/>
          </w:p>
        </w:tc>
        <w:tc>
          <w:tcPr>
            <w:tcW w:w="419" w:type="pct"/>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是否缴纳社保</w:t>
            </w:r>
            <w:r/>
          </w:p>
        </w:tc>
        <w:tc>
          <w:tcPr>
            <w:tcW w:w="413" w:type="pct"/>
            <w:vAlign w:val="center"/>
            <w:textDirection w:val="lrTb"/>
            <w:noWrap w:val="false"/>
          </w:tcPr>
          <w:p>
            <w:pP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经验</w:t>
            </w:r>
            <w:r/>
          </w:p>
        </w:tc>
      </w:tr>
      <w:tr>
        <w:trPr>
          <w:jc w:val="center"/>
          <w:trHeight w:val="567"/>
        </w:trPr>
        <w:tc>
          <w:tcPr>
            <w:tcW w:w="266"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0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308"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30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0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19"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8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82"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19"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13"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vAlign w:val="center"/>
            <w:textDirection w:val="lrTb"/>
            <w:noWrap w:val="false"/>
          </w:tcPr>
          <w:p>
            <w:pPr>
              <w:jc w:val="center"/>
              <w:widowControl/>
              <w:rPr>
                <w:rFonts w:ascii="宋体" w:hAnsi="宋体" w:cs="宋体"/>
                <w:color w:val="auto"/>
                <w:sz w:val="20"/>
                <w:szCs w:val="21"/>
                <w:highlight w:val="none"/>
              </w:rPr>
            </w:pPr>
            <w:r>
              <w:rPr>
                <w:rFonts w:hint="eastAsia" w:ascii="宋体" w:hAnsi="宋体" w:cs="宋体"/>
                <w:color w:val="auto"/>
                <w:szCs w:val="21"/>
                <w:highlight w:val="none"/>
              </w:rPr>
              <w:t xml:space="preserve">…</w:t>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bl>
    <w:p>
      <w:pPr>
        <w:ind w:firstLine="400"/>
        <w:jc w:val="left"/>
        <w:widowControl/>
        <w:rPr>
          <w:rFonts w:ascii="宋体" w:hAnsi="宋体" w:cs="宋体"/>
          <w:color w:val="auto"/>
          <w:sz w:val="20"/>
          <w:szCs w:val="21"/>
          <w:highlight w:val="none"/>
        </w:rPr>
      </w:pPr>
      <w:r>
        <w:rPr>
          <w:rFonts w:ascii="宋体" w:hAnsi="宋体" w:cs="宋体"/>
          <w:color w:val="auto"/>
          <w:sz w:val="20"/>
          <w:szCs w:val="21"/>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1.按照采购需求详细填列；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3.相关证明材料附后。</w:t>
      </w:r>
      <w:r/>
    </w:p>
    <w:p>
      <w:pPr>
        <w:ind w:firstLine="480"/>
        <w:spacing w:line="500" w:lineRule="atLeast"/>
        <w:widowControl/>
        <w:rPr>
          <w:rFonts w:ascii="宋体" w:hAnsi="宋体"/>
          <w:bCs/>
          <w:color w:val="auto"/>
          <w:sz w:val="24"/>
          <w:highlight w:val="none"/>
        </w:rPr>
      </w:pPr>
      <w:r>
        <w:rPr>
          <w:rFonts w:ascii="宋体" w:hAnsi="宋体"/>
          <w:bCs/>
          <w:color w:val="auto"/>
          <w:sz w:val="24"/>
          <w:highlight w:val="none"/>
        </w:rPr>
      </w:r>
      <w:r/>
    </w:p>
    <w:p>
      <w:pPr>
        <w:ind w:firstLine="480"/>
        <w:spacing w:line="500" w:lineRule="atLeast"/>
        <w:widowControl/>
        <w:rPr>
          <w:rFonts w:ascii="宋体" w:hAnsi="宋体"/>
          <w:bCs/>
          <w:color w:val="auto"/>
          <w:sz w:val="24"/>
          <w:highlight w:val="none"/>
        </w:rPr>
      </w:pPr>
      <w:r>
        <w:rPr>
          <w:rFonts w:hint="eastAsia" w:ascii="宋体" w:hAnsi="宋体"/>
          <w:color w:val="auto"/>
          <w:szCs w:val="21"/>
          <w:highlight w:val="none"/>
        </w:rPr>
        <w:t xml:space="preserve">供应商名称（加盖CA电子公章）：</w:t>
      </w:r>
      <w:r>
        <w:rPr>
          <w:rFonts w:hint="eastAsia" w:ascii="宋体" w:hAnsi="宋体"/>
          <w:bCs/>
          <w:color w:val="auto"/>
          <w:sz w:val="24"/>
          <w:highlight w:val="none"/>
        </w:rPr>
        <w:t xml:space="preserve">      </w:t>
      </w:r>
      <w:r/>
    </w:p>
    <w:p>
      <w:pPr>
        <w:ind w:firstLine="840"/>
        <w:spacing w:line="500" w:lineRule="atLeast"/>
        <w:widowControl/>
        <w:rPr>
          <w:rFonts w:ascii="宋体" w:hAnsi="宋体"/>
          <w:bCs/>
          <w:color w:val="auto"/>
          <w:sz w:val="24"/>
          <w:highlight w:val="none"/>
        </w:rPr>
      </w:pPr>
      <w:r>
        <w:rPr>
          <w:rFonts w:hint="eastAsia" w:ascii="宋体" w:hAnsi="宋体" w:cs="宋体"/>
          <w:color w:val="auto"/>
          <w:szCs w:val="21"/>
          <w:highlight w:val="none"/>
        </w:rPr>
        <w:t xml:space="preserve">日   期：     </w:t>
      </w:r>
      <w:r>
        <w:rPr>
          <w:rFonts w:hint="eastAsia" w:ascii="宋体" w:hAnsi="宋体"/>
          <w:bCs/>
          <w:color w:val="auto"/>
          <w:sz w:val="24"/>
          <w:highlight w:val="none"/>
        </w:rPr>
        <w:t xml:space="preserve"> </w:t>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highlight w:val="none"/>
        </w:rPr>
      </w:pPr>
      <w:r>
        <w:rPr>
          <w:rFonts w:ascii="宋体" w:hAnsi="宋体"/>
          <w:b/>
          <w:bCs/>
          <w:color w:val="auto"/>
          <w:szCs w:val="21"/>
          <w:highlight w:val="none"/>
        </w:rPr>
      </w:r>
      <w:r>
        <w:rPr>
          <w:rFonts w:ascii="宋体" w:hAnsi="宋体"/>
          <w:b/>
          <w:bCs/>
          <w:color w:val="auto"/>
          <w:szCs w:val="21"/>
          <w:highlight w:val="none"/>
        </w:rPr>
      </w:r>
    </w:p>
    <w:p>
      <w:pPr>
        <w:jc w:val="left"/>
        <w:spacing w:line="360" w:lineRule="auto"/>
        <w:rPr>
          <w:rFonts w:ascii="宋体" w:hAnsi="宋体"/>
          <w:b/>
          <w:bCs/>
          <w:color w:val="auto"/>
          <w:highlight w:val="none"/>
        </w:rPr>
      </w:pPr>
      <w:r>
        <w:rPr>
          <w:rFonts w:ascii="宋体" w:hAnsi="宋体"/>
          <w:b/>
          <w:bCs/>
          <w:color w:val="auto"/>
          <w:szCs w:val="21"/>
          <w:highlight w:val="none"/>
        </w:rPr>
      </w:r>
      <w:r/>
    </w:p>
    <w:p>
      <w:pPr>
        <w:jc w:val="left"/>
        <w:spacing w:line="360" w:lineRule="auto"/>
        <w:rPr>
          <w:rFonts w:ascii="宋体" w:hAnsi="宋体"/>
          <w:b/>
          <w:color w:val="auto"/>
          <w:szCs w:val="21"/>
          <w:highlight w:val="none"/>
        </w:rPr>
      </w:pPr>
      <w:r>
        <w:rPr>
          <w:rFonts w:hint="eastAsia" w:ascii="宋体" w:hAnsi="宋体"/>
          <w:b/>
          <w:bCs/>
          <w:color w:val="auto"/>
          <w:szCs w:val="21"/>
          <w:highlight w:val="none"/>
        </w:rPr>
        <w:t xml:space="preserve">附件11：</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供应商近年类似业绩情况表</w:t>
      </w:r>
      <w:r/>
    </w:p>
    <w:p>
      <w:pPr>
        <w:pStyle w:val="1243"/>
        <w:rPr>
          <w:color w:val="auto"/>
          <w:highlight w:val="none"/>
        </w:rPr>
      </w:pPr>
      <w:r>
        <w:rPr>
          <w:color w:val="auto"/>
          <w:highlight w:val="none"/>
        </w:rPr>
      </w:r>
      <w:r/>
    </w:p>
    <w:tbl>
      <w:tblPr>
        <w:tblStyle w:val="1223"/>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5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41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业主单位及联系方式</w:t>
            </w:r>
            <w:r/>
          </w:p>
        </w:tc>
        <w:tc>
          <w:tcPr>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项目合同价</w:t>
            </w:r>
            <w:r/>
          </w:p>
        </w:tc>
        <w:tc>
          <w:tcPr>
            <w:tcW w:w="15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项目概况</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项目实施期限</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firstLine="120"/>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注：1.提供上述表格中业绩相应证明材料的原件扫描件</w:t>
      </w:r>
      <w:r>
        <w:rPr>
          <w:rFonts w:hint="eastAsia" w:ascii="宋体" w:hAnsi="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96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2.如有需要说明的事项，请在备注中列明。</w:t>
      </w:r>
      <w:r/>
    </w:p>
    <w:p>
      <w:pPr>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pStyle w:val="1238"/>
        <w:ind w:firstLine="0"/>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cs="宋体"/>
          <w:b/>
          <w:bCs/>
          <w:color w:val="auto"/>
          <w:highlight w:val="none"/>
        </w:rPr>
      </w:pPr>
      <w:r>
        <w:rPr>
          <w:rFonts w:ascii="宋体" w:hAnsi="宋体" w:cs="宋体"/>
          <w:b/>
          <w:bCs/>
          <w:color w:val="auto"/>
          <w:szCs w:val="21"/>
          <w:highlight w:val="none"/>
        </w:rPr>
      </w:r>
      <w:r>
        <w:rPr>
          <w:rFonts w:ascii="宋体" w:hAnsi="宋体" w:cs="宋体"/>
          <w:b/>
          <w:bCs/>
          <w:color w:val="auto"/>
          <w:szCs w:val="21"/>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rPr>
          <w:rFonts w:ascii="宋体" w:hAnsi="宋体" w:cs="宋体"/>
          <w:b/>
          <w:bCs/>
          <w:color w:val="auto"/>
          <w:highlight w:val="none"/>
        </w:rPr>
      </w:pPr>
      <w:r>
        <w:rPr>
          <w:rFonts w:ascii="宋体" w:hAnsi="宋体" w:cs="宋体"/>
          <w:b/>
          <w:bCs/>
          <w:color w:val="auto"/>
          <w:szCs w:val="21"/>
          <w:highlight w:val="none"/>
        </w:rPr>
      </w:r>
      <w:r/>
    </w:p>
    <w:p>
      <w:pPr>
        <w:rPr>
          <w:rFonts w:ascii="宋体" w:hAnsi="宋体"/>
          <w:b/>
          <w:bCs/>
          <w:color w:val="auto"/>
          <w:szCs w:val="21"/>
          <w:highlight w:val="none"/>
        </w:rPr>
      </w:pPr>
      <w:r>
        <w:rPr>
          <w:rFonts w:hint="eastAsia" w:ascii="宋体" w:hAnsi="宋体" w:cs="宋体"/>
          <w:b/>
          <w:bCs/>
          <w:color w:val="auto"/>
          <w:szCs w:val="21"/>
          <w:highlight w:val="none"/>
        </w:rPr>
        <w:t xml:space="preserve"> </w:t>
      </w:r>
      <w:bookmarkStart w:id="143" w:name="_Toc433707803"/>
      <w:r/>
      <w:bookmarkStart w:id="144" w:name="_Toc456102501"/>
      <w:r/>
      <w:bookmarkStart w:id="145" w:name="_Toc456102678"/>
      <w:r/>
      <w:bookmarkStart w:id="146" w:name="_Toc456102124"/>
      <w:r>
        <w:rPr>
          <w:rFonts w:hint="eastAsia" w:ascii="宋体" w:hAnsi="宋体"/>
          <w:b/>
          <w:color w:val="auto"/>
          <w:szCs w:val="21"/>
          <w:highlight w:val="none"/>
        </w:rPr>
        <w:t xml:space="preserve">附件12：</w:t>
      </w:r>
      <w:bookmarkEnd w:id="143"/>
      <w:r/>
      <w:bookmarkEnd w:id="144"/>
      <w:r/>
      <w:bookmarkEnd w:id="145"/>
      <w:r/>
      <w:bookmarkEnd w:id="146"/>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2"/>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w:t>
      </w:r>
      <w:r/>
    </w:p>
    <w:p>
      <w:pPr>
        <w:spacing w:line="400" w:lineRule="exact"/>
        <w:rPr>
          <w:rFonts w:ascii="宋体" w:hAnsi="宋体" w:cs="宋体"/>
          <w:color w:val="auto"/>
          <w:highlight w:val="none"/>
        </w:rPr>
      </w:pPr>
      <w:r>
        <w:rPr>
          <w:rFonts w:hint="eastAsia" w:ascii="宋体" w:hAnsi="宋体" w:cs="宋体"/>
          <w:color w:val="auto"/>
          <w:highlight w:val="none"/>
          <w:u w:val="single"/>
        </w:rPr>
        <w:t xml:space="preserve">采购人名称</w:t>
      </w:r>
      <w:r>
        <w:rPr>
          <w:rFonts w:hint="eastAsia" w:ascii="宋体" w:hAnsi="宋体" w:cs="宋体"/>
          <w:color w:val="auto"/>
          <w:highlight w:val="none"/>
        </w:rPr>
        <w:t xml:space="preserve">：</w:t>
      </w:r>
      <w:r/>
    </w:p>
    <w:p>
      <w:pPr>
        <w:ind w:firstLine="520"/>
        <w:spacing w:line="500" w:lineRule="exact"/>
        <w:rPr>
          <w:rFonts w:ascii="宋体" w:hAnsi="宋体" w:cs="宋体"/>
          <w:color w:val="auto"/>
          <w:highlight w:val="none"/>
        </w:rPr>
      </w:pPr>
      <w:r>
        <w:rPr>
          <w:rFonts w:hint="eastAsia" w:ascii="宋体" w:hAnsi="宋体" w:cs="宋体"/>
          <w:color w:val="auto"/>
          <w:highlight w:val="none"/>
        </w:rPr>
        <w:t xml:space="preserve">我单位郑重承诺以下事项：</w:t>
      </w:r>
      <w:r/>
    </w:p>
    <w:p>
      <w:pPr>
        <w:ind w:firstLine="420"/>
        <w:spacing w:line="500" w:lineRule="exact"/>
        <w:rPr>
          <w:rFonts w:ascii="宋体" w:hAnsi="宋体" w:cs="宋体"/>
          <w:color w:val="auto"/>
          <w:highlight w:val="none"/>
        </w:rPr>
      </w:pPr>
      <w:r>
        <w:rPr>
          <w:rFonts w:hint="eastAsia" w:ascii="宋体" w:hAnsi="宋体" w:cs="宋体"/>
          <w:color w:val="auto"/>
          <w:highlight w:val="none"/>
        </w:rPr>
        <w:t xml:space="preserve">一、我单位同意并响应</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项目（项目编号为：</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）招标磋商文件的所有内容。</w:t>
      </w:r>
      <w:r/>
    </w:p>
    <w:p>
      <w:pPr>
        <w:spacing w:line="360" w:lineRule="auto"/>
        <w:rPr>
          <w:rFonts w:ascii="宋体" w:hAnsi="宋体" w:cs="宋体"/>
          <w:color w:val="auto"/>
          <w:highlight w:val="none"/>
        </w:rPr>
      </w:pPr>
      <w:r>
        <w:rPr>
          <w:rFonts w:hint="eastAsia" w:ascii="宋体" w:hAnsi="宋体" w:cs="宋体"/>
          <w:color w:val="auto"/>
          <w:highlight w:val="none"/>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三、我单位未被“信用中国”网站（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 xml:space="preserve">www.creditchina.gov.cn</w:t>
      </w:r>
      <w:r>
        <w:rPr>
          <w:rFonts w:hint="eastAsia" w:ascii="宋体" w:hAnsi="宋体" w:cs="宋体"/>
          <w:color w:val="auto"/>
          <w:highlight w:val="none"/>
        </w:rPr>
        <w:fldChar w:fldCharType="end"/>
      </w:r>
      <w:r>
        <w:rPr>
          <w:rFonts w:hint="eastAsia" w:ascii="宋体" w:hAnsi="宋体" w:cs="宋体"/>
          <w:color w:val="auto"/>
          <w:highlight w:val="none"/>
        </w:rPr>
        <w:t xml:space="preserve">）列入失信被执行人、重大税收违法案件当事人名单、政府采购严重违法失信行为记录名单。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四、如在履约过程中造成任何损失，由我方全部承担赔偿。</w:t>
      </w:r>
      <w:r/>
    </w:p>
    <w:p>
      <w:pPr>
        <w:spacing w:line="400" w:lineRule="exac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         特此承诺</w:t>
      </w:r>
      <w:r/>
    </w:p>
    <w:p>
      <w:pPr>
        <w:pStyle w:val="1238"/>
        <w:ind w:firstLine="422"/>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238"/>
        <w:ind w:firstLine="422"/>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239"/>
        <w:rPr>
          <w:color w:val="auto"/>
          <w:highlight w:val="none"/>
        </w:rPr>
      </w:pPr>
      <w:r>
        <w:rPr>
          <w:color w:val="auto"/>
          <w:highlight w:val="none"/>
        </w:rPr>
      </w:r>
      <w:r/>
    </w:p>
    <w:p>
      <w:pPr>
        <w:pStyle w:val="1238"/>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供应商（加盖CA电子公章）：</w:t>
      </w:r>
      <w:r/>
    </w:p>
    <w:p>
      <w:pPr>
        <w:pStyle w:val="1238"/>
        <w:jc w:val="righ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238"/>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法定代表人或授权代表（签字或盖章）：</w:t>
      </w:r>
      <w:r/>
    </w:p>
    <w:p>
      <w:pPr>
        <w:pStyle w:val="1238"/>
        <w:jc w:val="righ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238"/>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p>
    <w:p>
      <w:pPr>
        <w:rPr>
          <w:b/>
          <w:bCs/>
          <w:color w:val="auto"/>
          <w:highlight w:val="none"/>
        </w:rPr>
      </w:pPr>
      <w:r>
        <w:rPr>
          <w:rFonts w:hint="eastAsia" w:ascii="宋体" w:hAnsi="宋体"/>
          <w:b/>
          <w:color w:val="auto"/>
          <w:szCs w:val="21"/>
          <w:highlight w:val="none"/>
        </w:rPr>
        <w:t xml:space="preserve">附件13：</w:t>
      </w:r>
      <w:r>
        <w:rPr>
          <w:b/>
          <w:bCs/>
          <w:color w:val="auto"/>
          <w:highlight w:val="none"/>
        </w:rPr>
        <w:t xml:space="preserve">本项目要求的其他资料</w:t>
      </w:r>
      <w:r/>
    </w:p>
    <w:p>
      <w:pPr>
        <w:ind w:firstLine="630"/>
        <w:rPr>
          <w:color w:val="auto"/>
          <w:highlight w:val="none"/>
        </w:rPr>
      </w:pPr>
      <w:r>
        <w:rPr>
          <w:color w:val="auto"/>
          <w:highlight w:val="none"/>
        </w:rPr>
      </w:r>
      <w:r/>
    </w:p>
    <w:p>
      <w:pPr>
        <w:ind w:firstLine="630"/>
        <w:spacing w:line="360" w:lineRule="auto"/>
        <w:rPr>
          <w:rFonts w:ascii="宋体" w:hAnsi="宋体"/>
          <w:color w:val="auto"/>
          <w:highlight w:val="none"/>
        </w:rPr>
      </w:pPr>
      <w:r>
        <w:rPr>
          <w:rFonts w:hint="eastAsia" w:ascii="宋体" w:hAnsi="宋体"/>
          <w:color w:val="auto"/>
          <w:highlight w:val="none"/>
        </w:rPr>
        <w:t xml:space="preserve">1.供应商认为有必要提供的其他证明材料（如有自拟并自行添加）。</w:t>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p>
    <w:p>
      <w:pPr>
        <w:pStyle w:val="1270"/>
        <w:jc w:val="center"/>
        <w:rPr>
          <w:b/>
          <w:bCs/>
          <w:color w:val="auto"/>
          <w:highlight w:val="none"/>
        </w:rPr>
      </w:pPr>
      <w:r>
        <w:rPr>
          <w:b/>
          <w:bCs/>
          <w:color w:val="auto"/>
          <w:highlight w:val="none"/>
        </w:rPr>
        <w:t xml:space="preserve">质疑函范本</w:t>
      </w:r>
      <w:r/>
    </w:p>
    <w:p>
      <w:pPr>
        <w:pStyle w:val="1270"/>
        <w:rPr>
          <w:color w:val="auto"/>
          <w:highlight w:val="none"/>
        </w:rPr>
      </w:pPr>
      <w:r>
        <w:rPr>
          <w:color w:val="auto"/>
          <w:highlight w:val="none"/>
        </w:rPr>
        <w:t xml:space="preserve">一、质疑供应商基本信息</w:t>
      </w:r>
      <w:r/>
    </w:p>
    <w:p>
      <w:pPr>
        <w:pStyle w:val="1270"/>
        <w:rPr>
          <w:color w:val="auto"/>
          <w:highlight w:val="none"/>
        </w:rPr>
      </w:pPr>
      <w:r>
        <w:rPr>
          <w:color w:val="auto"/>
          <w:highlight w:val="none"/>
        </w:rPr>
        <w:t xml:space="preserve">质疑供应商：                                                              </w:t>
      </w:r>
      <w:r/>
    </w:p>
    <w:p>
      <w:pPr>
        <w:pStyle w:val="1270"/>
        <w:rPr>
          <w:color w:val="auto"/>
          <w:highlight w:val="none"/>
        </w:rPr>
      </w:pPr>
      <w:r>
        <w:rPr>
          <w:color w:val="auto"/>
          <w:highlight w:val="none"/>
        </w:rPr>
        <w:t xml:space="preserve">地址：                             邮编：                                    </w:t>
      </w:r>
      <w:r/>
    </w:p>
    <w:p>
      <w:pPr>
        <w:pStyle w:val="1270"/>
        <w:rPr>
          <w:color w:val="auto"/>
          <w:highlight w:val="none"/>
        </w:rPr>
      </w:pPr>
      <w:r>
        <w:rPr>
          <w:color w:val="auto"/>
          <w:highlight w:val="none"/>
        </w:rPr>
        <w:t xml:space="preserve">联系人：                      联系电话：                                       </w:t>
      </w:r>
      <w:r/>
    </w:p>
    <w:p>
      <w:pPr>
        <w:pStyle w:val="1270"/>
        <w:rPr>
          <w:color w:val="auto"/>
          <w:highlight w:val="none"/>
        </w:rPr>
      </w:pPr>
      <w:r>
        <w:rPr>
          <w:color w:val="auto"/>
          <w:highlight w:val="none"/>
        </w:rPr>
        <w:t xml:space="preserve">授权代表：                                                                 </w:t>
      </w:r>
      <w:r/>
    </w:p>
    <w:p>
      <w:pPr>
        <w:pStyle w:val="1270"/>
        <w:rPr>
          <w:color w:val="auto"/>
          <w:highlight w:val="none"/>
        </w:rPr>
      </w:pPr>
      <w:r>
        <w:rPr>
          <w:color w:val="auto"/>
          <w:highlight w:val="none"/>
        </w:rPr>
        <w:t xml:space="preserve">联系电话：                                                                </w:t>
      </w:r>
      <w:r/>
    </w:p>
    <w:p>
      <w:pPr>
        <w:pStyle w:val="1270"/>
        <w:rPr>
          <w:color w:val="auto"/>
          <w:highlight w:val="none"/>
        </w:rPr>
      </w:pPr>
      <w:r>
        <w:rPr>
          <w:color w:val="auto"/>
          <w:highlight w:val="none"/>
        </w:rPr>
        <w:t xml:space="preserve">地址：                         邮编：                                     </w:t>
      </w:r>
      <w:r/>
    </w:p>
    <w:p>
      <w:pPr>
        <w:pStyle w:val="1270"/>
        <w:rPr>
          <w:color w:val="auto"/>
          <w:highlight w:val="none"/>
        </w:rPr>
      </w:pPr>
      <w:r>
        <w:rPr>
          <w:color w:val="auto"/>
          <w:highlight w:val="none"/>
        </w:rPr>
        <w:t xml:space="preserve">二、质疑项目基本情况</w:t>
      </w:r>
      <w:r/>
    </w:p>
    <w:p>
      <w:pPr>
        <w:pStyle w:val="1270"/>
        <w:rPr>
          <w:color w:val="auto"/>
          <w:highlight w:val="none"/>
        </w:rPr>
      </w:pPr>
      <w:r>
        <w:rPr>
          <w:color w:val="auto"/>
          <w:highlight w:val="none"/>
        </w:rPr>
        <w:t xml:space="preserve">质疑项目的名称：                                                          </w:t>
      </w:r>
      <w:r/>
    </w:p>
    <w:p>
      <w:pPr>
        <w:pStyle w:val="1270"/>
        <w:rPr>
          <w:color w:val="auto"/>
          <w:highlight w:val="none"/>
        </w:rPr>
      </w:pPr>
      <w:r>
        <w:rPr>
          <w:color w:val="auto"/>
          <w:highlight w:val="none"/>
        </w:rPr>
        <w:t xml:space="preserve">质疑项目的编号：                         包号：                           </w:t>
      </w:r>
      <w:r/>
    </w:p>
    <w:p>
      <w:pPr>
        <w:pStyle w:val="1270"/>
        <w:rPr>
          <w:color w:val="auto"/>
          <w:highlight w:val="none"/>
        </w:rPr>
      </w:pPr>
      <w:r>
        <w:rPr>
          <w:color w:val="auto"/>
          <w:highlight w:val="none"/>
        </w:rPr>
        <w:t xml:space="preserve">采购人名称：                                                              </w:t>
      </w:r>
      <w:r/>
    </w:p>
    <w:p>
      <w:pPr>
        <w:pStyle w:val="1270"/>
        <w:rPr>
          <w:color w:val="auto"/>
          <w:highlight w:val="none"/>
        </w:rPr>
      </w:pPr>
      <w:r>
        <w:rPr>
          <w:color w:val="auto"/>
          <w:highlight w:val="none"/>
        </w:rPr>
        <w:t xml:space="preserve">采购文件获取日期：                                                        </w:t>
      </w:r>
      <w:r/>
    </w:p>
    <w:p>
      <w:pPr>
        <w:pStyle w:val="1270"/>
        <w:rPr>
          <w:color w:val="auto"/>
          <w:highlight w:val="none"/>
        </w:rPr>
      </w:pPr>
      <w:r>
        <w:rPr>
          <w:color w:val="auto"/>
          <w:highlight w:val="none"/>
        </w:rPr>
        <w:t xml:space="preserve">三、质疑事项具体内容</w:t>
      </w:r>
      <w:r/>
    </w:p>
    <w:p>
      <w:pPr>
        <w:pStyle w:val="1270"/>
        <w:rPr>
          <w:color w:val="auto"/>
          <w:highlight w:val="none"/>
        </w:rPr>
      </w:pPr>
      <w:r>
        <w:rPr>
          <w:color w:val="auto"/>
          <w:highlight w:val="none"/>
        </w:rPr>
        <w:t xml:space="preserve">质疑事项1：                                                              </w:t>
      </w:r>
      <w:r/>
    </w:p>
    <w:p>
      <w:pPr>
        <w:pStyle w:val="1270"/>
        <w:rPr>
          <w:color w:val="auto"/>
          <w:highlight w:val="none"/>
        </w:rPr>
      </w:pPr>
      <w:r>
        <w:rPr>
          <w:color w:val="auto"/>
          <w:highlight w:val="none"/>
        </w:rPr>
        <w:t xml:space="preserve">事实依据：                                                                                                                                        </w:t>
      </w:r>
      <w:r/>
    </w:p>
    <w:p>
      <w:pPr>
        <w:pStyle w:val="1270"/>
        <w:rPr>
          <w:color w:val="auto"/>
          <w:highlight w:val="none"/>
        </w:rPr>
      </w:pPr>
      <w:r>
        <w:rPr>
          <w:color w:val="auto"/>
          <w:highlight w:val="none"/>
        </w:rPr>
        <w:t xml:space="preserve">法律依据：                                                                                                                                          </w:t>
      </w:r>
      <w:r/>
    </w:p>
    <w:p>
      <w:pPr>
        <w:pStyle w:val="1270"/>
        <w:rPr>
          <w:color w:val="auto"/>
          <w:highlight w:val="none"/>
        </w:rPr>
      </w:pPr>
      <w:r>
        <w:rPr>
          <w:color w:val="auto"/>
          <w:highlight w:val="none"/>
        </w:rPr>
        <w:t xml:space="preserve">质疑事项2</w:t>
      </w:r>
      <w:r/>
    </w:p>
    <w:p>
      <w:pPr>
        <w:pStyle w:val="1270"/>
        <w:rPr>
          <w:color w:val="auto"/>
          <w:highlight w:val="none"/>
        </w:rPr>
      </w:pPr>
      <w:r>
        <w:rPr>
          <w:color w:val="auto"/>
          <w:highlight w:val="none"/>
        </w:rPr>
        <w:t xml:space="preserve">……</w:t>
      </w:r>
      <w:r/>
    </w:p>
    <w:p>
      <w:pPr>
        <w:pStyle w:val="1270"/>
        <w:rPr>
          <w:color w:val="auto"/>
          <w:highlight w:val="none"/>
        </w:rPr>
      </w:pPr>
      <w:r>
        <w:rPr>
          <w:color w:val="auto"/>
          <w:highlight w:val="none"/>
        </w:rPr>
        <w:t xml:space="preserve">四、与质疑事项相关的质疑请求</w:t>
      </w:r>
      <w:r/>
    </w:p>
    <w:p>
      <w:pPr>
        <w:pStyle w:val="1270"/>
        <w:rPr>
          <w:color w:val="auto"/>
          <w:highlight w:val="none"/>
        </w:rPr>
      </w:pPr>
      <w:r>
        <w:rPr>
          <w:color w:val="auto"/>
          <w:highlight w:val="none"/>
        </w:rPr>
        <w:t xml:space="preserve">请求：                                                                     </w:t>
      </w:r>
      <w:r/>
    </w:p>
    <w:p>
      <w:pPr>
        <w:pStyle w:val="1270"/>
        <w:rPr>
          <w:color w:val="auto"/>
          <w:highlight w:val="none"/>
        </w:rPr>
      </w:pPr>
      <w:r>
        <w:rPr>
          <w:color w:val="auto"/>
          <w:highlight w:val="none"/>
        </w:rPr>
        <w:t xml:space="preserve">签字(</w:t>
      </w:r>
      <w:r>
        <w:rPr>
          <w:rFonts w:hint="eastAsia"/>
          <w:color w:val="auto"/>
          <w:highlight w:val="none"/>
        </w:rPr>
        <w:t xml:space="preserve">签字或盖章</w:t>
      </w:r>
      <w:r>
        <w:rPr>
          <w:color w:val="auto"/>
          <w:highlight w:val="none"/>
        </w:rPr>
        <w:t xml:space="preserve">)：                   公章：                      </w:t>
      </w:r>
      <w:r/>
    </w:p>
    <w:p>
      <w:pPr>
        <w:pStyle w:val="1270"/>
        <w:rPr>
          <w:color w:val="auto"/>
          <w:highlight w:val="none"/>
        </w:rPr>
      </w:pPr>
      <w:r>
        <w:rPr>
          <w:color w:val="auto"/>
          <w:highlight w:val="none"/>
        </w:rPr>
        <w:t xml:space="preserve">日期：    </w:t>
      </w:r>
      <w:r/>
    </w:p>
    <w:p>
      <w:pPr>
        <w:pStyle w:val="1270"/>
        <w:rPr>
          <w:color w:val="auto"/>
          <w:highlight w:val="none"/>
        </w:rPr>
      </w:pPr>
      <w:r>
        <w:rPr>
          <w:color w:val="auto"/>
          <w:highlight w:val="none"/>
        </w:rPr>
      </w:r>
      <w:r/>
    </w:p>
    <w:p>
      <w:pPr>
        <w:pStyle w:val="1270"/>
        <w:rPr>
          <w:color w:val="auto"/>
          <w:highlight w:val="none"/>
        </w:rPr>
      </w:pPr>
      <w:r>
        <w:rPr>
          <w:color w:val="auto"/>
          <w:highlight w:val="none"/>
        </w:rPr>
        <w:t xml:space="preserve">质疑函制作说明：</w:t>
      </w:r>
      <w:r/>
    </w:p>
    <w:p>
      <w:pPr>
        <w:pStyle w:val="1270"/>
        <w:rPr>
          <w:color w:val="auto"/>
          <w:highlight w:val="none"/>
        </w:rPr>
      </w:pPr>
      <w:r>
        <w:rPr>
          <w:color w:val="auto"/>
          <w:highlight w:val="none"/>
        </w:rPr>
        <w:t xml:space="preserve">1.供应商提出质疑时，应提交质疑函和必要的证明材料。</w:t>
      </w:r>
      <w:r/>
    </w:p>
    <w:p>
      <w:pPr>
        <w:pStyle w:val="1270"/>
        <w:rPr>
          <w:color w:val="auto"/>
          <w:highlight w:val="none"/>
        </w:rPr>
      </w:pPr>
      <w:r>
        <w:rPr>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70"/>
        <w:rPr>
          <w:color w:val="auto"/>
          <w:highlight w:val="none"/>
        </w:rPr>
      </w:pPr>
      <w:r>
        <w:rPr>
          <w:color w:val="auto"/>
          <w:highlight w:val="none"/>
        </w:rPr>
        <w:t xml:space="preserve">3.质疑供应商若对项目的某一分包进行质疑，质疑函中应列明具体分包号。</w:t>
      </w:r>
      <w:r/>
    </w:p>
    <w:p>
      <w:pPr>
        <w:pStyle w:val="1270"/>
        <w:rPr>
          <w:color w:val="auto"/>
          <w:highlight w:val="none"/>
        </w:rPr>
      </w:pPr>
      <w:r>
        <w:rPr>
          <w:color w:val="auto"/>
          <w:highlight w:val="none"/>
        </w:rPr>
        <w:t xml:space="preserve">4.质疑函的质疑事项应具体、明确，并有必要的事实依据和法律依据。</w:t>
      </w:r>
      <w:r/>
    </w:p>
    <w:p>
      <w:pPr>
        <w:pStyle w:val="1270"/>
        <w:rPr>
          <w:color w:val="auto"/>
          <w:highlight w:val="none"/>
        </w:rPr>
      </w:pPr>
      <w:r>
        <w:rPr>
          <w:color w:val="auto"/>
          <w:highlight w:val="none"/>
        </w:rPr>
        <w:t xml:space="preserve">5.质疑函的质疑请求应与质疑事项相关。</w:t>
      </w:r>
      <w:r/>
    </w:p>
    <w:p>
      <w:pPr>
        <w:pStyle w:val="1270"/>
        <w:rPr>
          <w:color w:val="auto"/>
          <w:highlight w:val="none"/>
        </w:rPr>
      </w:pPr>
      <w:r>
        <w:rPr>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auto"/>
          <w:highlight w:val="none"/>
        </w:rPr>
      </w:pPr>
      <w:r>
        <w:rPr>
          <w:color w:val="auto"/>
          <w:highlight w:val="none"/>
        </w:rPr>
      </w:r>
      <w:r/>
    </w:p>
    <w:sectPr>
      <w:footerReference w:type="default" r:id="rId22"/>
      <w:footerReference w:type="first" r:id="rId23"/>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pPr>
    <w:r/>
    <w:r/>
  </w:p>
  <w:p>
    <w:pPr>
      <w:pStyle w:val="12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pPr>
    <w:r/>
    <w:r/>
  </w:p>
  <w:p>
    <w:pPr>
      <w:pStyle w:val="12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938"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7938"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8322" cy="131433"/>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38322"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42</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0601" cy="131433"/>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120601"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9.5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7"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8"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38322" cy="131433"/>
              <wp:effectExtent l="6350" t="6350" r="6350" b="6350"/>
              <wp:wrapNone/>
              <wp:docPr id="9" name=""/>
              <wp:cNvGraphicFramePr/>
              <a:graphic xmlns:a="http://schemas.openxmlformats.org/drawingml/2006/main">
                <a:graphicData uri="http://schemas.microsoft.com/office/word/2010/wordprocessingShape">
                  <wps:wsp>
                    <wps:cNvPr id="0" name=""/>
                    <wps:cNvSpPr txBox="1"/>
                    <wps:spPr bwMode="auto">
                      <a:xfrm flipH="0" flipV="0">
                        <a:off x="0" y="0"/>
                        <a:ext cx="138322"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0.9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10"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30"/>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3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122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bullet"/>
      <w:isLgl w:val="false"/>
      <w:suff w:val="tab"/>
      <w:lvlText w:val=""/>
      <w:lvlJc w:val="left"/>
      <w:pPr>
        <w:ind w:left="1280" w:hanging="440"/>
      </w:pPr>
      <w:rPr>
        <w:rFonts w:hint="default" w:ascii="Wingdings" w:hAnsi="Wingdings"/>
      </w:rPr>
    </w:lvl>
    <w:lvl w:ilvl="1">
      <w:start w:val="1"/>
      <w:numFmt w:val="bullet"/>
      <w:isLgl w:val="false"/>
      <w:suff w:val="tab"/>
      <w:lvlText w:val=""/>
      <w:lvlJc w:val="left"/>
      <w:pPr>
        <w:ind w:left="1720" w:hanging="440"/>
      </w:pPr>
      <w:rPr>
        <w:rFonts w:hint="default" w:ascii="Wingdings" w:hAnsi="Wingdings"/>
      </w:rPr>
    </w:lvl>
    <w:lvl w:ilvl="2">
      <w:start w:val="1"/>
      <w:numFmt w:val="bullet"/>
      <w:isLgl w:val="false"/>
      <w:suff w:val="tab"/>
      <w:lvlText w:val=""/>
      <w:lvlJc w:val="left"/>
      <w:pPr>
        <w:ind w:left="2160" w:hanging="440"/>
      </w:pPr>
      <w:rPr>
        <w:rFonts w:hint="default" w:ascii="Wingdings" w:hAnsi="Wingdings"/>
      </w:rPr>
    </w:lvl>
    <w:lvl w:ilvl="3">
      <w:start w:val="1"/>
      <w:numFmt w:val="bullet"/>
      <w:isLgl w:val="false"/>
      <w:suff w:val="tab"/>
      <w:lvlText w:val=""/>
      <w:lvlJc w:val="left"/>
      <w:pPr>
        <w:ind w:left="2600" w:hanging="440"/>
      </w:pPr>
      <w:rPr>
        <w:rFonts w:hint="default" w:ascii="Wingdings" w:hAnsi="Wingdings"/>
      </w:rPr>
    </w:lvl>
    <w:lvl w:ilvl="4">
      <w:start w:val="1"/>
      <w:numFmt w:val="bullet"/>
      <w:isLgl w:val="false"/>
      <w:suff w:val="tab"/>
      <w:lvlText w:val=""/>
      <w:lvlJc w:val="left"/>
      <w:pPr>
        <w:ind w:left="3040" w:hanging="440"/>
      </w:pPr>
      <w:rPr>
        <w:rFonts w:hint="default" w:ascii="Wingdings" w:hAnsi="Wingdings"/>
      </w:rPr>
    </w:lvl>
    <w:lvl w:ilvl="5">
      <w:start w:val="1"/>
      <w:numFmt w:val="bullet"/>
      <w:isLgl w:val="false"/>
      <w:suff w:val="tab"/>
      <w:lvlText w:val=""/>
      <w:lvlJc w:val="left"/>
      <w:pPr>
        <w:ind w:left="3480" w:hanging="440"/>
      </w:pPr>
      <w:rPr>
        <w:rFonts w:hint="default" w:ascii="Wingdings" w:hAnsi="Wingdings"/>
      </w:rPr>
    </w:lvl>
    <w:lvl w:ilvl="6">
      <w:start w:val="1"/>
      <w:numFmt w:val="bullet"/>
      <w:isLgl w:val="false"/>
      <w:suff w:val="tab"/>
      <w:lvlText w:val=""/>
      <w:lvlJc w:val="left"/>
      <w:pPr>
        <w:ind w:left="3920" w:hanging="440"/>
      </w:pPr>
      <w:rPr>
        <w:rFonts w:hint="default" w:ascii="Wingdings" w:hAnsi="Wingdings"/>
      </w:rPr>
    </w:lvl>
    <w:lvl w:ilvl="7">
      <w:start w:val="1"/>
      <w:numFmt w:val="bullet"/>
      <w:isLgl w:val="false"/>
      <w:suff w:val="tab"/>
      <w:lvlText w:val=""/>
      <w:lvlJc w:val="left"/>
      <w:pPr>
        <w:ind w:left="4360" w:hanging="440"/>
      </w:pPr>
      <w:rPr>
        <w:rFonts w:hint="default" w:ascii="Wingdings" w:hAnsi="Wingdings"/>
      </w:rPr>
    </w:lvl>
    <w:lvl w:ilvl="8">
      <w:start w:val="1"/>
      <w:numFmt w:val="bullet"/>
      <w:isLgl w:val="false"/>
      <w:suff w:val="tab"/>
      <w:lvlText w:val=""/>
      <w:lvlJc w:val="left"/>
      <w:pPr>
        <w:ind w:left="4800" w:hanging="440"/>
      </w:pPr>
      <w:rPr>
        <w:rFonts w:hint="default" w:ascii="Wingdings" w:hAnsi="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5"/>
  </w:num>
  <w:num w:numId="4">
    <w:abstractNumId w:val="0"/>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50">
    <w:name w:val="Heading 1 Char"/>
    <w:basedOn w:val="1222"/>
    <w:link w:val="1218"/>
    <w:uiPriority w:val="9"/>
    <w:rPr>
      <w:rFonts w:ascii="Arial" w:hAnsi="Arial" w:eastAsia="Arial" w:cs="Arial"/>
      <w:sz w:val="40"/>
      <w:szCs w:val="40"/>
    </w:rPr>
  </w:style>
  <w:style w:type="character" w:styleId="1051">
    <w:name w:val="Heading 2 Char"/>
    <w:basedOn w:val="1222"/>
    <w:link w:val="1219"/>
    <w:uiPriority w:val="9"/>
    <w:rPr>
      <w:rFonts w:ascii="Arial" w:hAnsi="Arial" w:eastAsia="Arial" w:cs="Arial"/>
      <w:sz w:val="34"/>
    </w:rPr>
  </w:style>
  <w:style w:type="character" w:styleId="1052">
    <w:name w:val="Heading 3 Char"/>
    <w:basedOn w:val="1222"/>
    <w:link w:val="1220"/>
    <w:uiPriority w:val="9"/>
    <w:rPr>
      <w:rFonts w:ascii="Arial" w:hAnsi="Arial" w:eastAsia="Arial" w:cs="Arial"/>
      <w:sz w:val="30"/>
      <w:szCs w:val="30"/>
    </w:rPr>
  </w:style>
  <w:style w:type="character" w:styleId="1053">
    <w:name w:val="Heading 4 Char"/>
    <w:basedOn w:val="1222"/>
    <w:link w:val="1221"/>
    <w:uiPriority w:val="9"/>
    <w:rPr>
      <w:rFonts w:ascii="Arial" w:hAnsi="Arial" w:eastAsia="Arial" w:cs="Arial"/>
      <w:b/>
      <w:bCs/>
      <w:sz w:val="26"/>
      <w:szCs w:val="26"/>
    </w:rPr>
  </w:style>
  <w:style w:type="paragraph" w:styleId="1054">
    <w:name w:val="Heading 5"/>
    <w:basedOn w:val="1217"/>
    <w:next w:val="1217"/>
    <w:link w:val="1055"/>
    <w:uiPriority w:val="9"/>
    <w:unhideWhenUsed/>
    <w:qFormat/>
    <w:pPr>
      <w:keepLines/>
      <w:keepNext/>
      <w:spacing w:before="320" w:after="200"/>
      <w:outlineLvl w:val="4"/>
    </w:pPr>
    <w:rPr>
      <w:rFonts w:ascii="Arial" w:hAnsi="Arial" w:eastAsia="Arial" w:cs="Arial"/>
      <w:b/>
      <w:bCs/>
      <w:sz w:val="24"/>
      <w:szCs w:val="24"/>
    </w:rPr>
  </w:style>
  <w:style w:type="character" w:styleId="1055">
    <w:name w:val="Heading 5 Char"/>
    <w:basedOn w:val="1222"/>
    <w:link w:val="1054"/>
    <w:uiPriority w:val="9"/>
    <w:rPr>
      <w:rFonts w:ascii="Arial" w:hAnsi="Arial" w:eastAsia="Arial" w:cs="Arial"/>
      <w:b/>
      <w:bCs/>
      <w:sz w:val="24"/>
      <w:szCs w:val="24"/>
    </w:rPr>
  </w:style>
  <w:style w:type="paragraph" w:styleId="1056">
    <w:name w:val="Heading 6"/>
    <w:basedOn w:val="1217"/>
    <w:next w:val="1217"/>
    <w:link w:val="1057"/>
    <w:uiPriority w:val="9"/>
    <w:unhideWhenUsed/>
    <w:qFormat/>
    <w:pPr>
      <w:keepLines/>
      <w:keepNext/>
      <w:spacing w:before="320" w:after="200"/>
      <w:outlineLvl w:val="5"/>
    </w:pPr>
    <w:rPr>
      <w:rFonts w:ascii="Arial" w:hAnsi="Arial" w:eastAsia="Arial" w:cs="Arial"/>
      <w:b/>
      <w:bCs/>
      <w:sz w:val="22"/>
      <w:szCs w:val="22"/>
    </w:rPr>
  </w:style>
  <w:style w:type="character" w:styleId="1057">
    <w:name w:val="Heading 6 Char"/>
    <w:basedOn w:val="1222"/>
    <w:link w:val="1056"/>
    <w:uiPriority w:val="9"/>
    <w:rPr>
      <w:rFonts w:ascii="Arial" w:hAnsi="Arial" w:eastAsia="Arial" w:cs="Arial"/>
      <w:b/>
      <w:bCs/>
      <w:sz w:val="22"/>
      <w:szCs w:val="22"/>
    </w:rPr>
  </w:style>
  <w:style w:type="paragraph" w:styleId="1058">
    <w:name w:val="Heading 7"/>
    <w:basedOn w:val="1217"/>
    <w:next w:val="1217"/>
    <w:link w:val="1059"/>
    <w:uiPriority w:val="9"/>
    <w:unhideWhenUsed/>
    <w:qFormat/>
    <w:pPr>
      <w:keepLines/>
      <w:keepNext/>
      <w:spacing w:before="320" w:after="200"/>
      <w:outlineLvl w:val="6"/>
    </w:pPr>
    <w:rPr>
      <w:rFonts w:ascii="Arial" w:hAnsi="Arial" w:eastAsia="Arial" w:cs="Arial"/>
      <w:b/>
      <w:bCs/>
      <w:i/>
      <w:iCs/>
      <w:sz w:val="22"/>
      <w:szCs w:val="22"/>
    </w:rPr>
  </w:style>
  <w:style w:type="character" w:styleId="1059">
    <w:name w:val="Heading 7 Char"/>
    <w:basedOn w:val="1222"/>
    <w:link w:val="1058"/>
    <w:uiPriority w:val="9"/>
    <w:rPr>
      <w:rFonts w:ascii="Arial" w:hAnsi="Arial" w:eastAsia="Arial" w:cs="Arial"/>
      <w:b/>
      <w:bCs/>
      <w:i/>
      <w:iCs/>
      <w:sz w:val="22"/>
      <w:szCs w:val="22"/>
    </w:rPr>
  </w:style>
  <w:style w:type="paragraph" w:styleId="1060">
    <w:name w:val="Heading 8"/>
    <w:basedOn w:val="1217"/>
    <w:next w:val="1217"/>
    <w:link w:val="1061"/>
    <w:uiPriority w:val="9"/>
    <w:unhideWhenUsed/>
    <w:qFormat/>
    <w:pPr>
      <w:keepLines/>
      <w:keepNext/>
      <w:spacing w:before="320" w:after="200"/>
      <w:outlineLvl w:val="7"/>
    </w:pPr>
    <w:rPr>
      <w:rFonts w:ascii="Arial" w:hAnsi="Arial" w:eastAsia="Arial" w:cs="Arial"/>
      <w:i/>
      <w:iCs/>
      <w:sz w:val="22"/>
      <w:szCs w:val="22"/>
    </w:rPr>
  </w:style>
  <w:style w:type="character" w:styleId="1061">
    <w:name w:val="Heading 8 Char"/>
    <w:basedOn w:val="1222"/>
    <w:link w:val="1060"/>
    <w:uiPriority w:val="9"/>
    <w:rPr>
      <w:rFonts w:ascii="Arial" w:hAnsi="Arial" w:eastAsia="Arial" w:cs="Arial"/>
      <w:i/>
      <w:iCs/>
      <w:sz w:val="22"/>
      <w:szCs w:val="22"/>
    </w:rPr>
  </w:style>
  <w:style w:type="paragraph" w:styleId="1062">
    <w:name w:val="Heading 9"/>
    <w:basedOn w:val="1217"/>
    <w:next w:val="1217"/>
    <w:link w:val="1063"/>
    <w:uiPriority w:val="9"/>
    <w:unhideWhenUsed/>
    <w:qFormat/>
    <w:pPr>
      <w:keepLines/>
      <w:keepNext/>
      <w:spacing w:before="320" w:after="200"/>
      <w:outlineLvl w:val="8"/>
    </w:pPr>
    <w:rPr>
      <w:rFonts w:ascii="Arial" w:hAnsi="Arial" w:eastAsia="Arial" w:cs="Arial"/>
      <w:i/>
      <w:iCs/>
      <w:sz w:val="21"/>
      <w:szCs w:val="21"/>
    </w:rPr>
  </w:style>
  <w:style w:type="character" w:styleId="1063">
    <w:name w:val="Heading 9 Char"/>
    <w:basedOn w:val="1222"/>
    <w:link w:val="1062"/>
    <w:uiPriority w:val="9"/>
    <w:rPr>
      <w:rFonts w:ascii="Arial" w:hAnsi="Arial" w:eastAsia="Arial" w:cs="Arial"/>
      <w:i/>
      <w:iCs/>
      <w:sz w:val="21"/>
      <w:szCs w:val="21"/>
    </w:rPr>
  </w:style>
  <w:style w:type="paragraph" w:styleId="1064">
    <w:name w:val="No Spacing"/>
    <w:uiPriority w:val="1"/>
    <w:qFormat/>
    <w:pPr>
      <w:spacing w:before="0" w:after="0" w:line="240" w:lineRule="auto"/>
    </w:pPr>
  </w:style>
  <w:style w:type="character" w:styleId="1065">
    <w:name w:val="Title Char"/>
    <w:basedOn w:val="1222"/>
    <w:link w:val="1237"/>
    <w:uiPriority w:val="10"/>
    <w:rPr>
      <w:sz w:val="48"/>
      <w:szCs w:val="48"/>
    </w:rPr>
  </w:style>
  <w:style w:type="paragraph" w:styleId="1066">
    <w:name w:val="Subtitle"/>
    <w:basedOn w:val="1217"/>
    <w:next w:val="1217"/>
    <w:link w:val="1067"/>
    <w:uiPriority w:val="11"/>
    <w:qFormat/>
    <w:pPr>
      <w:spacing w:before="200" w:after="200"/>
    </w:pPr>
    <w:rPr>
      <w:sz w:val="24"/>
      <w:szCs w:val="24"/>
    </w:rPr>
  </w:style>
  <w:style w:type="character" w:styleId="1067">
    <w:name w:val="Subtitle Char"/>
    <w:basedOn w:val="1222"/>
    <w:link w:val="1066"/>
    <w:uiPriority w:val="11"/>
    <w:rPr>
      <w:sz w:val="24"/>
      <w:szCs w:val="24"/>
    </w:rPr>
  </w:style>
  <w:style w:type="paragraph" w:styleId="1068">
    <w:name w:val="Quote"/>
    <w:basedOn w:val="1217"/>
    <w:next w:val="1217"/>
    <w:link w:val="1069"/>
    <w:uiPriority w:val="29"/>
    <w:qFormat/>
    <w:pPr>
      <w:ind w:left="720" w:right="720"/>
    </w:pPr>
    <w:rPr>
      <w:i/>
    </w:rPr>
  </w:style>
  <w:style w:type="character" w:styleId="1069">
    <w:name w:val="Quote Char"/>
    <w:link w:val="1068"/>
    <w:uiPriority w:val="29"/>
    <w:rPr>
      <w:i/>
    </w:rPr>
  </w:style>
  <w:style w:type="paragraph" w:styleId="1070">
    <w:name w:val="Intense Quote"/>
    <w:basedOn w:val="1217"/>
    <w:next w:val="1217"/>
    <w:link w:val="1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1">
    <w:name w:val="Intense Quote Char"/>
    <w:link w:val="1070"/>
    <w:uiPriority w:val="30"/>
    <w:rPr>
      <w:i/>
    </w:rPr>
  </w:style>
  <w:style w:type="character" w:styleId="1072">
    <w:name w:val="Header Char"/>
    <w:basedOn w:val="1222"/>
    <w:link w:val="1232"/>
    <w:uiPriority w:val="99"/>
  </w:style>
  <w:style w:type="character" w:styleId="1073">
    <w:name w:val="Footer Char"/>
    <w:basedOn w:val="1222"/>
    <w:link w:val="1230"/>
    <w:uiPriority w:val="99"/>
  </w:style>
  <w:style w:type="paragraph" w:styleId="1074">
    <w:name w:val="Caption"/>
    <w:basedOn w:val="1217"/>
    <w:next w:val="1217"/>
    <w:uiPriority w:val="35"/>
    <w:semiHidden/>
    <w:unhideWhenUsed/>
    <w:qFormat/>
    <w:pPr>
      <w:spacing w:line="276" w:lineRule="auto"/>
    </w:pPr>
    <w:rPr>
      <w:b/>
      <w:bCs/>
      <w:color w:val="4f81bd" w:themeColor="accent1"/>
      <w:sz w:val="18"/>
      <w:szCs w:val="18"/>
    </w:rPr>
  </w:style>
  <w:style w:type="character" w:styleId="1075">
    <w:name w:val="Caption Char"/>
    <w:basedOn w:val="1074"/>
    <w:link w:val="1230"/>
    <w:uiPriority w:val="99"/>
  </w:style>
  <w:style w:type="table" w:styleId="1076">
    <w:name w:val="Table Grid Light"/>
    <w:basedOn w:val="12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7">
    <w:name w:val="Plain Table 1"/>
    <w:basedOn w:val="12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name w:val="Plain Table 2"/>
    <w:basedOn w:val="12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name w:val="Plain Table 3"/>
    <w:basedOn w:val="12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name w:val="Plain Table 4"/>
    <w:basedOn w:val="12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name w:val="Plain Table 5"/>
    <w:basedOn w:val="12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2">
    <w:name w:val="Grid Table 1 Light"/>
    <w:basedOn w:val="12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3">
    <w:name w:val="Grid Table 1 Light - Accent 1"/>
    <w:basedOn w:val="12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4">
    <w:name w:val="Grid Table 1 Light - Accent 2"/>
    <w:basedOn w:val="12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5">
    <w:name w:val="Grid Table 1 Light - Accent 3"/>
    <w:basedOn w:val="12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6">
    <w:name w:val="Grid Table 1 Light - Accent 4"/>
    <w:basedOn w:val="12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7">
    <w:name w:val="Grid Table 1 Light - Accent 5"/>
    <w:basedOn w:val="12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8">
    <w:name w:val="Grid Table 1 Light - Accent 6"/>
    <w:basedOn w:val="12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9">
    <w:name w:val="Grid Table 2"/>
    <w:basedOn w:val="12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0">
    <w:name w:val="Grid Table 2 - Accent 1"/>
    <w:basedOn w:val="12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91">
    <w:name w:val="Grid Table 2 - Accent 2"/>
    <w:basedOn w:val="12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2">
    <w:name w:val="Grid Table 2 - Accent 3"/>
    <w:basedOn w:val="12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3">
    <w:name w:val="Grid Table 2 - Accent 4"/>
    <w:basedOn w:val="12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4">
    <w:name w:val="Grid Table 2 - Accent 5"/>
    <w:basedOn w:val="12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5">
    <w:name w:val="Grid Table 2 - Accent 6"/>
    <w:basedOn w:val="12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6">
    <w:name w:val="Grid Table 3"/>
    <w:basedOn w:val="12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1"/>
    <w:basedOn w:val="12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2"/>
    <w:basedOn w:val="12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3 - Accent 3"/>
    <w:basedOn w:val="12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3 - Accent 4"/>
    <w:basedOn w:val="12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1">
    <w:name w:val="Grid Table 3 - Accent 5"/>
    <w:basedOn w:val="12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2">
    <w:name w:val="Grid Table 3 - Accent 6"/>
    <w:basedOn w:val="12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3">
    <w:name w:val="Grid Table 4"/>
    <w:basedOn w:val="12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4">
    <w:name w:val="Grid Table 4 - Accent 1"/>
    <w:basedOn w:val="12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5">
    <w:name w:val="Grid Table 4 - Accent 2"/>
    <w:basedOn w:val="12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6">
    <w:name w:val="Grid Table 4 - Accent 3"/>
    <w:basedOn w:val="12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7">
    <w:name w:val="Grid Table 4 - Accent 4"/>
    <w:basedOn w:val="12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8">
    <w:name w:val="Grid Table 4 - Accent 5"/>
    <w:basedOn w:val="12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9">
    <w:name w:val="Grid Table 4 - Accent 6"/>
    <w:basedOn w:val="12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10">
    <w:name w:val="Grid Table 5 Dark"/>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1">
    <w:name w:val="Grid Table 5 Dark- Accent 1"/>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12">
    <w:name w:val="Grid Table 5 Dark - Accent 2"/>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13">
    <w:name w:val="Grid Table 5 Dark - Accent 3"/>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14">
    <w:name w:val="Grid Table 5 Dark- Accent 4"/>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15">
    <w:name w:val="Grid Table 5 Dark - Accent 5"/>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16">
    <w:name w:val="Grid Table 5 Dark - Accent 6"/>
    <w:basedOn w:val="12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17">
    <w:name w:val="Grid Table 6 Colorful"/>
    <w:basedOn w:val="12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8">
    <w:name w:val="Grid Table 6 Colorful - Accent 1"/>
    <w:basedOn w:val="12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19">
    <w:name w:val="Grid Table 6 Colorful - Accent 2"/>
    <w:basedOn w:val="12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20">
    <w:name w:val="Grid Table 6 Colorful - Accent 3"/>
    <w:basedOn w:val="12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21">
    <w:name w:val="Grid Table 6 Colorful - Accent 4"/>
    <w:basedOn w:val="12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22">
    <w:name w:val="Grid Table 6 Colorful - Accent 5"/>
    <w:basedOn w:val="12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23">
    <w:name w:val="Grid Table 6 Colorful - Accent 6"/>
    <w:basedOn w:val="12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24">
    <w:name w:val="Grid Table 7 Colorful"/>
    <w:basedOn w:val="12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5">
    <w:name w:val="Grid Table 7 Colorful - Accent 1"/>
    <w:basedOn w:val="12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6">
    <w:name w:val="Grid Table 7 Colorful - Accent 2"/>
    <w:basedOn w:val="12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7">
    <w:name w:val="Grid Table 7 Colorful - Accent 3"/>
    <w:basedOn w:val="12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8">
    <w:name w:val="Grid Table 7 Colorful - Accent 4"/>
    <w:basedOn w:val="12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9">
    <w:name w:val="Grid Table 7 Colorful - Accent 5"/>
    <w:basedOn w:val="12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30">
    <w:name w:val="Grid Table 7 Colorful - Accent 6"/>
    <w:basedOn w:val="12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31">
    <w:name w:val="List Table 1 Light"/>
    <w:basedOn w:val="12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2">
    <w:name w:val="List Table 1 Light - Accent 1"/>
    <w:basedOn w:val="12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3">
    <w:name w:val="List Table 1 Light - Accent 2"/>
    <w:basedOn w:val="12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4">
    <w:name w:val="List Table 1 Light - Accent 3"/>
    <w:basedOn w:val="12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5">
    <w:name w:val="List Table 1 Light - Accent 4"/>
    <w:basedOn w:val="12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6">
    <w:name w:val="List Table 1 Light - Accent 5"/>
    <w:basedOn w:val="12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7">
    <w:name w:val="List Table 1 Light - Accent 6"/>
    <w:basedOn w:val="12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8">
    <w:name w:val="List Table 2"/>
    <w:basedOn w:val="12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9">
    <w:name w:val="List Table 2 - Accent 1"/>
    <w:basedOn w:val="12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0">
    <w:name w:val="List Table 2 - Accent 2"/>
    <w:basedOn w:val="12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1">
    <w:name w:val="List Table 2 - Accent 3"/>
    <w:basedOn w:val="12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2">
    <w:name w:val="List Table 2 - Accent 4"/>
    <w:basedOn w:val="12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3">
    <w:name w:val="List Table 2 - Accent 5"/>
    <w:basedOn w:val="12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4">
    <w:name w:val="List Table 2 - Accent 6"/>
    <w:basedOn w:val="12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5">
    <w:name w:val="List Table 3"/>
    <w:basedOn w:val="12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6">
    <w:name w:val="List Table 3 - Accent 1"/>
    <w:basedOn w:val="12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47">
    <w:name w:val="List Table 3 - Accent 2"/>
    <w:basedOn w:val="12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48">
    <w:name w:val="List Table 3 - Accent 3"/>
    <w:basedOn w:val="12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49">
    <w:name w:val="List Table 3 - Accent 4"/>
    <w:basedOn w:val="12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50">
    <w:name w:val="List Table 3 - Accent 5"/>
    <w:basedOn w:val="12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51">
    <w:name w:val="List Table 3 - Accent 6"/>
    <w:basedOn w:val="12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52">
    <w:name w:val="List Table 4"/>
    <w:basedOn w:val="12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3">
    <w:name w:val="List Table 4 - Accent 1"/>
    <w:basedOn w:val="12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54">
    <w:name w:val="List Table 4 - Accent 2"/>
    <w:basedOn w:val="12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55">
    <w:name w:val="List Table 4 - Accent 3"/>
    <w:basedOn w:val="12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56">
    <w:name w:val="List Table 4 - Accent 4"/>
    <w:basedOn w:val="12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57">
    <w:name w:val="List Table 4 - Accent 5"/>
    <w:basedOn w:val="12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58">
    <w:name w:val="List Table 4 - Accent 6"/>
    <w:basedOn w:val="12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59">
    <w:name w:val="List Table 5 Dark"/>
    <w:basedOn w:val="12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1"/>
    <w:basedOn w:val="12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2"/>
    <w:basedOn w:val="12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5 Dark - Accent 3"/>
    <w:basedOn w:val="12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5 Dark - Accent 4"/>
    <w:basedOn w:val="12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4">
    <w:name w:val="List Table 5 Dark - Accent 5"/>
    <w:basedOn w:val="12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5">
    <w:name w:val="List Table 5 Dark - Accent 6"/>
    <w:basedOn w:val="12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6">
    <w:name w:val="List Table 6 Colorful"/>
    <w:basedOn w:val="12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7">
    <w:name w:val="List Table 6 Colorful - Accent 1"/>
    <w:basedOn w:val="12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68">
    <w:name w:val="List Table 6 Colorful - Accent 2"/>
    <w:basedOn w:val="12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69">
    <w:name w:val="List Table 6 Colorful - Accent 3"/>
    <w:basedOn w:val="12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70">
    <w:name w:val="List Table 6 Colorful - Accent 4"/>
    <w:basedOn w:val="12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71">
    <w:name w:val="List Table 6 Colorful - Accent 5"/>
    <w:basedOn w:val="12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172">
    <w:name w:val="List Table 6 Colorful - Accent 6"/>
    <w:basedOn w:val="12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73">
    <w:name w:val="List Table 7 Colorful"/>
    <w:basedOn w:val="12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4">
    <w:name w:val="List Table 7 Colorful - Accent 1"/>
    <w:basedOn w:val="12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175">
    <w:name w:val="List Table 7 Colorful - Accent 2"/>
    <w:basedOn w:val="12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76">
    <w:name w:val="List Table 7 Colorful - Accent 3"/>
    <w:basedOn w:val="12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77">
    <w:name w:val="List Table 7 Colorful - Accent 4"/>
    <w:basedOn w:val="12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78">
    <w:name w:val="List Table 7 Colorful - Accent 5"/>
    <w:basedOn w:val="12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179">
    <w:name w:val="List Table 7 Colorful - Accent 6"/>
    <w:basedOn w:val="12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80">
    <w:name w:val="Lined - Accent"/>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1">
    <w:name w:val="Lined - Accent 1"/>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82">
    <w:name w:val="Lined - Accent 2"/>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83">
    <w:name w:val="Lined - Accent 3"/>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84">
    <w:name w:val="Lined - Accent 4"/>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85">
    <w:name w:val="Lined - Accent 5"/>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86">
    <w:name w:val="Lined - Accent 6"/>
    <w:basedOn w:val="12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87">
    <w:name w:val="Bordered &amp; Lined - Accent"/>
    <w:basedOn w:val="12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8">
    <w:name w:val="Bordered &amp; Lined - Accent 1"/>
    <w:basedOn w:val="12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89">
    <w:name w:val="Bordered &amp; Lined - Accent 2"/>
    <w:basedOn w:val="12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90">
    <w:name w:val="Bordered &amp; Lined - Accent 3"/>
    <w:basedOn w:val="12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91">
    <w:name w:val="Bordered &amp; Lined - Accent 4"/>
    <w:basedOn w:val="12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92">
    <w:name w:val="Bordered &amp; Lined - Accent 5"/>
    <w:basedOn w:val="12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93">
    <w:name w:val="Bordered &amp; Lined - Accent 6"/>
    <w:basedOn w:val="12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94">
    <w:name w:val="Bordered"/>
    <w:basedOn w:val="12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5">
    <w:name w:val="Bordered - Accent 1"/>
    <w:basedOn w:val="12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6">
    <w:name w:val="Bordered - Accent 2"/>
    <w:basedOn w:val="12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7">
    <w:name w:val="Bordered - Accent 3"/>
    <w:basedOn w:val="12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8">
    <w:name w:val="Bordered - Accent 4"/>
    <w:basedOn w:val="12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9">
    <w:name w:val="Bordered - Accent 5"/>
    <w:basedOn w:val="12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00">
    <w:name w:val="Bordered - Accent 6"/>
    <w:basedOn w:val="12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01">
    <w:name w:val="Hyperlink"/>
    <w:uiPriority w:val="99"/>
    <w:unhideWhenUsed/>
    <w:rPr>
      <w:color w:val="0000ff" w:themeColor="hyperlink"/>
      <w:u w:val="single"/>
    </w:rPr>
  </w:style>
  <w:style w:type="paragraph" w:styleId="1202">
    <w:name w:val="footnote text"/>
    <w:basedOn w:val="1217"/>
    <w:link w:val="1203"/>
    <w:uiPriority w:val="99"/>
    <w:semiHidden/>
    <w:unhideWhenUsed/>
    <w:pPr>
      <w:spacing w:after="40" w:line="240" w:lineRule="auto"/>
    </w:pPr>
    <w:rPr>
      <w:sz w:val="18"/>
    </w:rPr>
  </w:style>
  <w:style w:type="character" w:styleId="1203">
    <w:name w:val="Footnote Text Char"/>
    <w:link w:val="1202"/>
    <w:uiPriority w:val="99"/>
    <w:rPr>
      <w:sz w:val="18"/>
    </w:rPr>
  </w:style>
  <w:style w:type="character" w:styleId="1204">
    <w:name w:val="footnote reference"/>
    <w:basedOn w:val="1222"/>
    <w:uiPriority w:val="99"/>
    <w:unhideWhenUsed/>
    <w:rPr>
      <w:vertAlign w:val="superscript"/>
    </w:rPr>
  </w:style>
  <w:style w:type="paragraph" w:styleId="1205">
    <w:name w:val="endnote text"/>
    <w:basedOn w:val="1217"/>
    <w:link w:val="1206"/>
    <w:uiPriority w:val="99"/>
    <w:semiHidden/>
    <w:unhideWhenUsed/>
    <w:pPr>
      <w:spacing w:after="0" w:line="240" w:lineRule="auto"/>
    </w:pPr>
    <w:rPr>
      <w:sz w:val="20"/>
    </w:rPr>
  </w:style>
  <w:style w:type="character" w:styleId="1206">
    <w:name w:val="Endnote Text Char"/>
    <w:link w:val="1205"/>
    <w:uiPriority w:val="99"/>
    <w:rPr>
      <w:sz w:val="20"/>
    </w:rPr>
  </w:style>
  <w:style w:type="character" w:styleId="1207">
    <w:name w:val="endnote reference"/>
    <w:basedOn w:val="1222"/>
    <w:uiPriority w:val="99"/>
    <w:semiHidden/>
    <w:unhideWhenUsed/>
    <w:rPr>
      <w:vertAlign w:val="superscript"/>
    </w:rPr>
  </w:style>
  <w:style w:type="paragraph" w:styleId="1208">
    <w:name w:val="toc 3"/>
    <w:basedOn w:val="1217"/>
    <w:next w:val="1217"/>
    <w:uiPriority w:val="39"/>
    <w:unhideWhenUsed/>
    <w:pPr>
      <w:ind w:left="567" w:right="0" w:firstLine="0"/>
      <w:spacing w:after="57"/>
    </w:pPr>
  </w:style>
  <w:style w:type="paragraph" w:styleId="1209">
    <w:name w:val="toc 4"/>
    <w:basedOn w:val="1217"/>
    <w:next w:val="1217"/>
    <w:uiPriority w:val="39"/>
    <w:unhideWhenUsed/>
    <w:pPr>
      <w:ind w:left="850" w:right="0" w:firstLine="0"/>
      <w:spacing w:after="57"/>
    </w:pPr>
  </w:style>
  <w:style w:type="paragraph" w:styleId="1210">
    <w:name w:val="toc 5"/>
    <w:basedOn w:val="1217"/>
    <w:next w:val="1217"/>
    <w:uiPriority w:val="39"/>
    <w:unhideWhenUsed/>
    <w:pPr>
      <w:ind w:left="1134" w:right="0" w:firstLine="0"/>
      <w:spacing w:after="57"/>
    </w:pPr>
  </w:style>
  <w:style w:type="paragraph" w:styleId="1211">
    <w:name w:val="toc 6"/>
    <w:basedOn w:val="1217"/>
    <w:next w:val="1217"/>
    <w:uiPriority w:val="39"/>
    <w:unhideWhenUsed/>
    <w:pPr>
      <w:ind w:left="1417" w:right="0" w:firstLine="0"/>
      <w:spacing w:after="57"/>
    </w:pPr>
  </w:style>
  <w:style w:type="paragraph" w:styleId="1212">
    <w:name w:val="toc 7"/>
    <w:basedOn w:val="1217"/>
    <w:next w:val="1217"/>
    <w:uiPriority w:val="39"/>
    <w:unhideWhenUsed/>
    <w:pPr>
      <w:ind w:left="1701" w:right="0" w:firstLine="0"/>
      <w:spacing w:after="57"/>
    </w:pPr>
  </w:style>
  <w:style w:type="paragraph" w:styleId="1213">
    <w:name w:val="toc 8"/>
    <w:basedOn w:val="1217"/>
    <w:next w:val="1217"/>
    <w:uiPriority w:val="39"/>
    <w:unhideWhenUsed/>
    <w:pPr>
      <w:ind w:left="1984" w:right="0" w:firstLine="0"/>
      <w:spacing w:after="57"/>
    </w:pPr>
  </w:style>
  <w:style w:type="paragraph" w:styleId="1214">
    <w:name w:val="toc 9"/>
    <w:basedOn w:val="1217"/>
    <w:next w:val="1217"/>
    <w:uiPriority w:val="39"/>
    <w:unhideWhenUsed/>
    <w:pPr>
      <w:ind w:left="2268" w:right="0" w:firstLine="0"/>
      <w:spacing w:after="57"/>
    </w:pPr>
  </w:style>
  <w:style w:type="paragraph" w:styleId="1215">
    <w:name w:val="TOC Heading"/>
    <w:uiPriority w:val="39"/>
    <w:unhideWhenUsed/>
  </w:style>
  <w:style w:type="paragraph" w:styleId="1216">
    <w:name w:val="table of figures"/>
    <w:basedOn w:val="1217"/>
    <w:next w:val="1217"/>
    <w:uiPriority w:val="99"/>
    <w:unhideWhenUsed/>
    <w:pPr>
      <w:spacing w:after="0" w:afterAutospacing="0"/>
    </w:pPr>
  </w:style>
  <w:style w:type="paragraph" w:styleId="12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218">
    <w:name w:val="Heading 1"/>
    <w:basedOn w:val="1217"/>
    <w:next w:val="1217"/>
    <w:link w:val="1246"/>
    <w:uiPriority w:val="0"/>
    <w:qFormat/>
    <w:pPr>
      <w:jc w:val="center"/>
      <w:keepNext/>
      <w:outlineLvl w:val="0"/>
    </w:pPr>
    <w:rPr>
      <w:rFonts w:ascii="楷体_GB2312" w:hAnsi="楷体_GB2312"/>
      <w:b/>
      <w:szCs w:val="20"/>
    </w:rPr>
  </w:style>
  <w:style w:type="paragraph" w:styleId="1219">
    <w:name w:val="Heading 2"/>
    <w:basedOn w:val="1217"/>
    <w:next w:val="1224"/>
    <w:uiPriority w:val="0"/>
    <w:qFormat/>
    <w:pPr>
      <w:jc w:val="center"/>
      <w:keepLines/>
      <w:keepNext/>
      <w:spacing w:before="260" w:after="260" w:line="416" w:lineRule="auto"/>
      <w:outlineLvl w:val="1"/>
    </w:pPr>
    <w:rPr>
      <w:rFonts w:ascii="Arial" w:hAnsi="Arial" w:eastAsia="幼圆"/>
      <w:b/>
      <w:sz w:val="44"/>
      <w:szCs w:val="20"/>
    </w:rPr>
  </w:style>
  <w:style w:type="paragraph" w:styleId="1220">
    <w:name w:val="Heading 3"/>
    <w:basedOn w:val="1217"/>
    <w:next w:val="1217"/>
    <w:uiPriority w:val="0"/>
    <w:qFormat/>
    <w:pPr>
      <w:keepLines/>
      <w:keepNext/>
      <w:spacing w:before="260" w:after="260" w:line="415" w:lineRule="auto"/>
      <w:outlineLvl w:val="2"/>
    </w:pPr>
    <w:rPr>
      <w:sz w:val="32"/>
      <w:szCs w:val="32"/>
    </w:rPr>
  </w:style>
  <w:style w:type="paragraph" w:styleId="1221">
    <w:name w:val="Heading 4"/>
    <w:basedOn w:val="1217"/>
    <w:next w:val="1217"/>
    <w:link w:val="1274"/>
    <w:uiPriority w:val="0"/>
    <w:qFormat/>
    <w:pPr>
      <w:numPr>
        <w:ilvl w:val="3"/>
        <w:numId w:val="1"/>
      </w:numPr>
      <w:ind w:firstLine="200"/>
      <w:spacing w:before="120" w:line="360" w:lineRule="auto"/>
      <w:outlineLvl w:val="3"/>
    </w:pPr>
    <w:rPr>
      <w:rFonts w:ascii="Arial" w:eastAsia="黑体"/>
      <w:sz w:val="28"/>
      <w:szCs w:val="20"/>
    </w:rPr>
  </w:style>
  <w:style w:type="character" w:styleId="1222" w:default="1">
    <w:name w:val="Default Paragraph Font"/>
    <w:uiPriority w:val="1"/>
    <w:semiHidden/>
    <w:unhideWhenUsed/>
    <w:qFormat/>
  </w:style>
  <w:style w:type="table" w:styleId="1223" w:default="1">
    <w:name w:val="Normal Table"/>
    <w:uiPriority w:val="99"/>
    <w:semiHidden/>
    <w:unhideWhenUsed/>
    <w:qFormat/>
    <w:tblPr>
      <w:tblCellMar>
        <w:left w:w="108" w:type="dxa"/>
        <w:top w:w="0" w:type="dxa"/>
        <w:right w:w="108" w:type="dxa"/>
        <w:bottom w:w="0" w:type="dxa"/>
      </w:tblCellMar>
    </w:tblPr>
  </w:style>
  <w:style w:type="paragraph" w:styleId="1224">
    <w:name w:val="Normal Indent"/>
    <w:basedOn w:val="1217"/>
    <w:link w:val="1268"/>
    <w:uiPriority w:val="0"/>
    <w:qFormat/>
    <w:pPr>
      <w:ind w:firstLine="420"/>
    </w:pPr>
    <w:rPr>
      <w:szCs w:val="20"/>
    </w:rPr>
  </w:style>
  <w:style w:type="paragraph" w:styleId="1225">
    <w:name w:val="Body Text"/>
    <w:basedOn w:val="1217"/>
    <w:next w:val="1217"/>
    <w:link w:val="1264"/>
    <w:uiPriority w:val="0"/>
    <w:qFormat/>
    <w:rPr>
      <w:rFonts w:ascii="楷体_GB2312" w:hAnsi="Arial" w:eastAsia="楷体_GB2312"/>
      <w:sz w:val="28"/>
      <w:szCs w:val="20"/>
    </w:rPr>
  </w:style>
  <w:style w:type="paragraph" w:styleId="1226">
    <w:name w:val="Body Text Indent"/>
    <w:basedOn w:val="1217"/>
    <w:uiPriority w:val="0"/>
    <w:qFormat/>
    <w:pPr>
      <w:ind w:firstLine="645"/>
    </w:pPr>
    <w:rPr>
      <w:rFonts w:ascii="楷体_GB2312" w:eastAsia="楷体_GB2312"/>
      <w:sz w:val="32"/>
      <w:szCs w:val="20"/>
    </w:rPr>
  </w:style>
  <w:style w:type="paragraph" w:styleId="1227">
    <w:name w:val="Block Text"/>
    <w:basedOn w:val="1217"/>
    <w:uiPriority w:val="99"/>
    <w:unhideWhenUsed/>
    <w:qFormat/>
    <w:pPr>
      <w:ind w:left="1440" w:right="1440"/>
      <w:spacing w:after="120"/>
    </w:pPr>
  </w:style>
  <w:style w:type="paragraph" w:styleId="1228">
    <w:name w:val="Plain Text"/>
    <w:basedOn w:val="1217"/>
    <w:next w:val="1224"/>
    <w:link w:val="1266"/>
    <w:uiPriority w:val="99"/>
    <w:qFormat/>
    <w:rPr>
      <w:rFonts w:ascii="宋体" w:hAnsi="Courier New"/>
      <w:szCs w:val="20"/>
    </w:rPr>
  </w:style>
  <w:style w:type="paragraph" w:styleId="1229">
    <w:name w:val="Date"/>
    <w:basedOn w:val="1217"/>
    <w:next w:val="1217"/>
    <w:uiPriority w:val="0"/>
    <w:qFormat/>
    <w:rPr>
      <w:sz w:val="24"/>
      <w:szCs w:val="20"/>
    </w:rPr>
  </w:style>
  <w:style w:type="paragraph" w:styleId="1230">
    <w:name w:val="Footer"/>
    <w:basedOn w:val="1217"/>
    <w:uiPriority w:val="99"/>
    <w:qFormat/>
    <w:pPr>
      <w:jc w:val="left"/>
      <w:tabs>
        <w:tab w:val="center" w:pos="4153" w:leader="none"/>
        <w:tab w:val="right" w:pos="8306" w:leader="none"/>
      </w:tabs>
    </w:pPr>
    <w:rPr>
      <w:sz w:val="18"/>
      <w:szCs w:val="20"/>
    </w:rPr>
  </w:style>
  <w:style w:type="paragraph" w:styleId="1231">
    <w:name w:val="envelope return"/>
    <w:basedOn w:val="1217"/>
    <w:uiPriority w:val="0"/>
    <w:qFormat/>
    <w:rPr>
      <w:rFonts w:ascii="Arial" w:hAnsi="Arial"/>
    </w:rPr>
  </w:style>
  <w:style w:type="paragraph" w:styleId="1232">
    <w:name w:val="Header"/>
    <w:basedOn w:val="1217"/>
    <w:uiPriority w:val="0"/>
    <w:qFormat/>
    <w:pPr>
      <w:jc w:val="center"/>
      <w:tabs>
        <w:tab w:val="center" w:pos="4153" w:leader="none"/>
        <w:tab w:val="right" w:pos="8306" w:leader="none"/>
      </w:tabs>
      <w:pBdr>
        <w:bottom w:val="single" w:color="auto" w:sz="6" w:space="1"/>
      </w:pBdr>
    </w:pPr>
    <w:rPr>
      <w:sz w:val="18"/>
      <w:szCs w:val="18"/>
    </w:rPr>
  </w:style>
  <w:style w:type="paragraph" w:styleId="1233">
    <w:name w:val="toc 1"/>
    <w:basedOn w:val="1217"/>
    <w:next w:val="1217"/>
    <w:uiPriority w:val="0"/>
    <w:qFormat/>
  </w:style>
  <w:style w:type="paragraph" w:styleId="1234">
    <w:name w:val="toc 2"/>
    <w:basedOn w:val="1217"/>
    <w:next w:val="1217"/>
    <w:uiPriority w:val="39"/>
    <w:qFormat/>
    <w:pPr>
      <w:ind w:left="210"/>
      <w:jc w:val="left"/>
    </w:pPr>
    <w:rPr>
      <w:smallCaps/>
    </w:rPr>
  </w:style>
  <w:style w:type="paragraph" w:styleId="1235">
    <w:name w:val="Body Text 2"/>
    <w:basedOn w:val="1217"/>
    <w:uiPriority w:val="99"/>
    <w:qFormat/>
    <w:rPr>
      <w:rFonts w:eastAsia="仿宋_GB2312"/>
      <w:color w:val="000000"/>
    </w:rPr>
  </w:style>
  <w:style w:type="paragraph" w:styleId="1236">
    <w:name w:val="Normal (Web)"/>
    <w:basedOn w:val="1217"/>
    <w:uiPriority w:val="0"/>
    <w:unhideWhenUsed/>
    <w:qFormat/>
    <w:pPr>
      <w:jc w:val="left"/>
      <w:spacing w:before="100" w:beforeAutospacing="1" w:after="100" w:afterAutospacing="1"/>
      <w:widowControl/>
    </w:pPr>
    <w:rPr>
      <w:rFonts w:ascii="宋体" w:hAnsi="宋体" w:cs="宋体"/>
      <w:sz w:val="24"/>
    </w:rPr>
  </w:style>
  <w:style w:type="paragraph" w:styleId="1237">
    <w:name w:val="Title"/>
    <w:basedOn w:val="1217"/>
    <w:next w:val="1217"/>
    <w:uiPriority w:val="0"/>
    <w:qFormat/>
    <w:pPr>
      <w:jc w:val="center"/>
      <w:spacing w:before="240" w:after="60"/>
      <w:outlineLvl w:val="0"/>
    </w:pPr>
    <w:rPr>
      <w:rFonts w:ascii="等线 Light" w:hAnsi="等线 Light"/>
      <w:b/>
      <w:bCs/>
      <w:sz w:val="32"/>
      <w:szCs w:val="32"/>
    </w:rPr>
  </w:style>
  <w:style w:type="paragraph" w:styleId="1238">
    <w:name w:val="Body Text First Indent"/>
    <w:basedOn w:val="1225"/>
    <w:link w:val="1265"/>
    <w:uiPriority w:val="99"/>
    <w:unhideWhenUsed/>
    <w:qFormat/>
    <w:pPr>
      <w:ind w:firstLine="420"/>
    </w:pPr>
  </w:style>
  <w:style w:type="paragraph" w:styleId="1239">
    <w:name w:val="Body Text First Indent 2"/>
    <w:basedOn w:val="1226"/>
    <w:uiPriority w:val="0"/>
    <w:unhideWhenUsed/>
    <w:qFormat/>
    <w:pPr>
      <w:ind w:left="420" w:firstLine="420"/>
      <w:spacing w:after="120"/>
    </w:pPr>
    <w:rPr>
      <w:rFonts w:ascii="Times New Roman" w:eastAsia="宋体"/>
      <w:sz w:val="21"/>
      <w:szCs w:val="24"/>
    </w:rPr>
  </w:style>
  <w:style w:type="table" w:styleId="1240">
    <w:name w:val="Table Grid"/>
    <w:basedOn w:val="1223"/>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1">
    <w:name w:val="page number"/>
    <w:uiPriority w:val="0"/>
    <w:qFormat/>
  </w:style>
  <w:style w:type="paragraph" w:styleId="1242" w:customStyle="1">
    <w:name w:val="DAS正文"/>
    <w:basedOn w:val="1217"/>
    <w:uiPriority w:val="0"/>
    <w:qFormat/>
    <w:pPr>
      <w:ind w:right="181" w:firstLine="480"/>
      <w:spacing w:line="360" w:lineRule="auto"/>
    </w:pPr>
    <w:rPr>
      <w:rFonts w:ascii="Verdana" w:hAnsi="Verdana"/>
    </w:rPr>
  </w:style>
  <w:style w:type="paragraph" w:styleId="1243" w:customStyle="1">
    <w:name w:val="正文文本缩进1"/>
    <w:basedOn w:val="1217"/>
    <w:next w:val="1244"/>
    <w:uiPriority w:val="0"/>
    <w:qFormat/>
    <w:pPr>
      <w:ind w:left="420"/>
      <w:spacing w:after="120"/>
    </w:pPr>
    <w:rPr>
      <w:szCs w:val="21"/>
    </w:rPr>
  </w:style>
  <w:style w:type="paragraph" w:styleId="1244" w:customStyle="1">
    <w:name w:val="寄信人地址1"/>
    <w:basedOn w:val="1217"/>
    <w:uiPriority w:val="0"/>
    <w:qFormat/>
    <w:rPr>
      <w:rFonts w:ascii="Arial" w:hAnsi="Arial"/>
    </w:rPr>
  </w:style>
  <w:style w:type="paragraph" w:styleId="1245" w:customStyle="1">
    <w:name w:val="普通正文"/>
    <w:basedOn w:val="1217"/>
    <w:uiPriority w:val="0"/>
    <w:qFormat/>
    <w:pPr>
      <w:ind w:firstLine="480"/>
      <w:jc w:val="left"/>
      <w:spacing w:before="120" w:after="120" w:line="360" w:lineRule="auto"/>
    </w:pPr>
    <w:rPr>
      <w:rFonts w:ascii="Arial" w:hAnsi="Arial"/>
      <w:sz w:val="24"/>
    </w:rPr>
  </w:style>
  <w:style w:type="character" w:styleId="1246" w:customStyle="1">
    <w:name w:val="标题 1 Char"/>
    <w:link w:val="1218"/>
    <w:uiPriority w:val="0"/>
    <w:qFormat/>
    <w:rPr>
      <w:rFonts w:ascii="楷体_GB2312" w:hAnsi="楷体_GB2312"/>
      <w:b/>
      <w:szCs w:val="20"/>
    </w:rPr>
  </w:style>
  <w:style w:type="character" w:styleId="1247" w:customStyle="1">
    <w:name w:val="apple-style-span"/>
    <w:uiPriority w:val="0"/>
    <w:qFormat/>
  </w:style>
  <w:style w:type="paragraph" w:styleId="1248" w:customStyle="1">
    <w:name w:val="格式３"/>
    <w:basedOn w:val="1217"/>
    <w:uiPriority w:val="99"/>
    <w:qFormat/>
    <w:pPr>
      <w:ind w:left="600" w:hanging="600"/>
      <w:spacing w:line="420" w:lineRule="exact"/>
    </w:pPr>
    <w:rPr>
      <w:rFonts w:ascii="宋体" w:hAnsi="宋体"/>
      <w:color w:val="000000"/>
      <w:sz w:val="24"/>
      <w:szCs w:val="20"/>
    </w:rPr>
  </w:style>
  <w:style w:type="paragraph" w:styleId="1249">
    <w:name w:val="List Paragraph"/>
    <w:basedOn w:val="1217"/>
    <w:uiPriority w:val="99"/>
    <w:qFormat/>
    <w:pPr>
      <w:ind w:firstLine="420"/>
    </w:pPr>
    <w:rPr>
      <w:rFonts w:ascii="Calibri" w:hAnsi="Calibri"/>
      <w:szCs w:val="22"/>
    </w:rPr>
  </w:style>
  <w:style w:type="paragraph" w:styleId="1250" w:customStyle="1">
    <w:name w:val="标题 41"/>
    <w:basedOn w:val="1217"/>
    <w:next w:val="1217"/>
    <w:uiPriority w:val="0"/>
    <w:qFormat/>
    <w:pPr>
      <w:keepLines/>
      <w:keepNext/>
      <w:spacing w:before="280" w:after="290" w:line="376" w:lineRule="auto"/>
      <w:outlineLvl w:val="3"/>
    </w:pPr>
    <w:rPr>
      <w:rFonts w:ascii="Arial" w:hAnsi="Arial" w:eastAsia="黑体" w:cs="Arial"/>
      <w:b/>
      <w:bCs/>
      <w:sz w:val="28"/>
      <w:szCs w:val="28"/>
    </w:rPr>
  </w:style>
  <w:style w:type="paragraph" w:styleId="1251" w:customStyle="1">
    <w:name w:val="正文缩进1"/>
    <w:basedOn w:val="1217"/>
    <w:uiPriority w:val="0"/>
    <w:qFormat/>
    <w:pPr>
      <w:ind w:firstLine="420"/>
    </w:pPr>
    <w:rPr>
      <w:szCs w:val="21"/>
    </w:rPr>
  </w:style>
  <w:style w:type="paragraph" w:styleId="1252" w:customStyle="1">
    <w:name w:val="标题 11"/>
    <w:basedOn w:val="1217"/>
    <w:next w:val="1217"/>
    <w:uiPriority w:val="0"/>
    <w:qFormat/>
    <w:pPr>
      <w:jc w:val="center"/>
      <w:keepNext/>
      <w:outlineLvl w:val="0"/>
    </w:pPr>
    <w:rPr>
      <w:rFonts w:ascii="楷体_GB2312" w:eastAsia="楷体_GB2312"/>
      <w:sz w:val="28"/>
      <w:szCs w:val="28"/>
    </w:rPr>
  </w:style>
  <w:style w:type="paragraph" w:styleId="125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54" w:customStyle="1">
    <w:name w:val="列出段落1"/>
    <w:basedOn w:val="1217"/>
    <w:uiPriority w:val="0"/>
    <w:qFormat/>
    <w:pPr>
      <w:contextualSpacing/>
      <w:ind w:left="720"/>
      <w:jc w:val="left"/>
      <w:widowControl/>
    </w:pPr>
    <w:rPr>
      <w:rFonts w:ascii="Calibri" w:hAnsi="Calibri"/>
      <w:sz w:val="24"/>
      <w:lang w:eastAsia="en-US" w:bidi="en-US"/>
    </w:rPr>
  </w:style>
  <w:style w:type="paragraph" w:styleId="1255" w:customStyle="1">
    <w:name w:val="纯文本1"/>
    <w:basedOn w:val="1217"/>
    <w:uiPriority w:val="0"/>
    <w:qFormat/>
    <w:rPr>
      <w:rFonts w:ascii="宋体" w:hAnsi="Courier New" w:cs="Courier New"/>
      <w:szCs w:val="21"/>
    </w:rPr>
  </w:style>
  <w:style w:type="paragraph" w:styleId="1256" w:customStyle="1">
    <w:name w:val="二级目录"/>
    <w:next w:val="1217"/>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paragraph" w:styleId="1257" w:customStyle="1">
    <w:name w:val="页脚1"/>
    <w:basedOn w:val="1217"/>
    <w:uiPriority w:val="0"/>
    <w:qFormat/>
    <w:pPr>
      <w:jc w:val="left"/>
      <w:tabs>
        <w:tab w:val="center" w:pos="4153" w:leader="none"/>
        <w:tab w:val="right" w:pos="8306" w:leader="none"/>
      </w:tabs>
    </w:pPr>
    <w:rPr>
      <w:sz w:val="18"/>
    </w:rPr>
  </w:style>
  <w:style w:type="character" w:styleId="1258" w:customStyle="1">
    <w:name w:val="页码1"/>
    <w:uiPriority w:val="0"/>
    <w:qFormat/>
  </w:style>
  <w:style w:type="paragraph" w:styleId="1259" w:customStyle="1">
    <w:name w:val="标题 21"/>
    <w:basedOn w:val="1217"/>
    <w:next w:val="12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60" w:customStyle="1">
    <w:name w:val="简单回函地址"/>
    <w:basedOn w:val="1217"/>
    <w:uiPriority w:val="0"/>
    <w:qFormat/>
    <w:rPr>
      <w:rFonts w:cs="宋体"/>
      <w:szCs w:val="21"/>
    </w:rPr>
  </w:style>
  <w:style w:type="table" w:styleId="1261" w:customStyle="1">
    <w:name w:val="Table Normal"/>
    <w:uiPriority w:val="0"/>
    <w:semiHidden/>
    <w:unhideWhenUsed/>
    <w:qFormat/>
    <w:tblPr>
      <w:tblCellMar>
        <w:left w:w="0" w:type="dxa"/>
        <w:top w:w="0" w:type="dxa"/>
        <w:right w:w="0" w:type="dxa"/>
        <w:bottom w:w="0" w:type="dxa"/>
      </w:tblCellMar>
    </w:tblPr>
  </w:style>
  <w:style w:type="paragraph" w:styleId="1262" w:customStyle="1">
    <w:name w:val="Table Paragraph"/>
    <w:basedOn w:val="1217"/>
    <w:uiPriority w:val="1"/>
    <w:qFormat/>
    <w:pPr>
      <w:jc w:val="left"/>
    </w:pPr>
    <w:rPr>
      <w:sz w:val="22"/>
      <w:lang w:eastAsia="en-US"/>
    </w:rPr>
  </w:style>
  <w:style w:type="paragraph" w:styleId="1263" w:customStyle="1">
    <w:name w:val="sh4"/>
    <w:basedOn w:val="1217"/>
    <w:uiPriority w:val="0"/>
    <w:qFormat/>
    <w:pPr>
      <w:ind w:firstLine="420"/>
      <w:spacing w:line="460" w:lineRule="exact"/>
    </w:pPr>
    <w:rPr>
      <w:rFonts w:ascii="宋体" w:hAnsi="宋体"/>
      <w:szCs w:val="21"/>
      <w:lang w:eastAsia="en-US"/>
    </w:rPr>
  </w:style>
  <w:style w:type="character" w:styleId="1264" w:customStyle="1">
    <w:name w:val="正文文本 Char"/>
    <w:basedOn w:val="1222"/>
    <w:link w:val="1225"/>
    <w:uiPriority w:val="0"/>
    <w:qFormat/>
    <w:rPr>
      <w:rFonts w:ascii="楷体_GB2312" w:hAnsi="Arial" w:eastAsia="楷体_GB2312"/>
      <w:sz w:val="28"/>
    </w:rPr>
  </w:style>
  <w:style w:type="character" w:styleId="1265" w:customStyle="1">
    <w:name w:val="正文首行缩进 Char"/>
    <w:basedOn w:val="1264"/>
    <w:link w:val="1238"/>
    <w:uiPriority w:val="99"/>
    <w:qFormat/>
    <w:rPr>
      <w:rFonts w:ascii="楷体_GB2312" w:hAnsi="Arial" w:eastAsia="楷体_GB2312"/>
      <w:sz w:val="28"/>
    </w:rPr>
  </w:style>
  <w:style w:type="character" w:styleId="1266" w:customStyle="1">
    <w:name w:val="纯文本 Char"/>
    <w:link w:val="1228"/>
    <w:uiPriority w:val="99"/>
    <w:qFormat/>
    <w:rPr>
      <w:rFonts w:ascii="宋体" w:hAnsi="Courier New"/>
      <w:sz w:val="21"/>
    </w:rPr>
  </w:style>
  <w:style w:type="character" w:styleId="1267" w:customStyle="1">
    <w:name w:val="标题 1 字符1"/>
    <w:basedOn w:val="1222"/>
    <w:uiPriority w:val="0"/>
    <w:qFormat/>
    <w:rPr>
      <w:rFonts w:ascii="宋体" w:hAnsi="宋体" w:cs="宋体"/>
      <w:b/>
      <w:sz w:val="28"/>
      <w:szCs w:val="28"/>
    </w:rPr>
  </w:style>
  <w:style w:type="character" w:styleId="1268" w:customStyle="1">
    <w:name w:val="正文缩进 Char"/>
    <w:link w:val="1224"/>
    <w:uiPriority w:val="0"/>
    <w:qFormat/>
    <w:rPr>
      <w:sz w:val="21"/>
    </w:rPr>
  </w:style>
  <w:style w:type="paragraph" w:styleId="1269" w:customStyle="1">
    <w:name w:val="正文11"/>
    <w:next w:val="1217"/>
    <w:uiPriority w:val="0"/>
    <w:qFormat/>
    <w:pPr>
      <w:ind w:right="-91"/>
      <w:jc w:val="both"/>
      <w:spacing w:line="360" w:lineRule="auto"/>
    </w:pPr>
    <w:rPr>
      <w:rFonts w:ascii="Times New Roman" w:hAnsi="Times New Roman" w:eastAsia="宋体" w:cs="Times New Roman"/>
      <w:sz w:val="21"/>
      <w:szCs w:val="24"/>
      <w:lang w:val="en-US" w:eastAsia="zh-CN" w:bidi="ar-SA"/>
    </w:rPr>
  </w:style>
  <w:style w:type="paragraph" w:styleId="1270" w:customStyle="1">
    <w:name w:val="msonormal"/>
    <w:basedOn w:val="1217"/>
    <w:uiPriority w:val="0"/>
    <w:qFormat/>
    <w:pPr>
      <w:jc w:val="left"/>
      <w:spacing w:before="100" w:beforeAutospacing="1" w:after="100" w:afterAutospacing="1"/>
      <w:widowControl/>
    </w:pPr>
    <w:rPr>
      <w:rFonts w:ascii="宋体" w:hAnsi="宋体" w:cs="宋体"/>
      <w:sz w:val="24"/>
    </w:rPr>
  </w:style>
  <w:style w:type="paragraph" w:styleId="1271" w:customStyle="1">
    <w:name w:val="段"/>
    <w:next w:val="1217"/>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1272" w:customStyle="1">
    <w:name w:val="9-正文"/>
    <w:basedOn w:val="1217"/>
    <w:uiPriority w:val="0"/>
    <w:qFormat/>
    <w:pPr>
      <w:ind w:firstLine="480"/>
      <w:spacing w:line="360" w:lineRule="auto"/>
    </w:pPr>
    <w:rPr>
      <w:sz w:val="24"/>
    </w:rPr>
  </w:style>
  <w:style w:type="paragraph" w:styleId="1273" w:customStyle="1">
    <w:name w:val="9-正文编号"/>
    <w:basedOn w:val="1272"/>
    <w:uiPriority w:val="0"/>
    <w:qFormat/>
    <w:pPr>
      <w:ind w:left="846" w:hanging="422"/>
    </w:pPr>
    <w:rPr>
      <w:rFonts w:ascii="宋体" w:hAnsi="宋体"/>
      <w:szCs w:val="21"/>
    </w:rPr>
  </w:style>
  <w:style w:type="character" w:styleId="1274" w:customStyle="1">
    <w:name w:val="标题 4 Char"/>
    <w:basedOn w:val="1222"/>
    <w:link w:val="1221"/>
    <w:uiPriority w:val="0"/>
    <w:qFormat/>
    <w:rPr>
      <w:rFonts w:ascii="Arial" w:eastAsia="黑体"/>
      <w:sz w:val="28"/>
      <w:szCs w:val="20"/>
    </w:rPr>
  </w:style>
  <w:style w:type="numbering" w:styleId="1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624f47f0-e004-46ab-b861-b4af744a1abe</errorID>
      <errorWord>：</errorWord>
      <group>L1_Format</group>
      <groupName>格式问题</groupName>
      <ability>L2_HalfPunc</ability>
      <abilityName>全半角检查</abilityName>
      <candidateList>
        <item>:</item>
      </candidateList>
      <explain>文本全半角错误。</explain>
      <paraID>553F0C1A</paraID>
      <start>21</start>
      <end>22</end>
      <status>modified</status>
      <modifiedWord>:</modifiedWord>
      <trackRevisions>false</trackRevisions>
    </reviewItem>
    <reviewItem>
      <errorID>767166cb-38ba-4aac-8fb7-741e3ad575fc</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4551b0cf-7e85-42fb-8e47-39e23950a066</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4d86cb5b-ab6c-44b3-a6ec-612da3781dd6</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4131739a-bc60-490d-848d-355c6eaaa01e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702DFEF0</paraID>
      <start>0</start>
      <end>2</end>
      <status>modified</status>
      <modifiedWord>1.</modifiedWord>
      <trackRevisions>false</trackRevisions>
    </reviewItem>
    <reviewItem>
      <errorID>a8e1cc84-b5ff-4467-bb63-156426be3e55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5BDE8249</paraID>
      <start>0</start>
      <end>2</end>
      <status>modified</status>
      <modifiedWord>2.</modifiedWord>
      <trackRevisions>false</trackRevisions>
    </reviewItem>
    <reviewItem>
      <errorID>ac90e59f-ad99-427f-a389-4d47e091a6a8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507E7E4C</paraID>
      <start>0</start>
      <end>2</end>
      <status>modified</status>
      <modifiedWord>3.</modifiedWord>
      <trackRevisions>false</trackRevisions>
    </reviewItem>
    <reviewItem>
      <errorID>d1719e8b-a503-41a8-8304-b9c350516084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69D6B339</paraID>
      <start>0</start>
      <end>2</end>
      <status>modified</status>
      <modifiedWord>4.</modifiedWord>
      <trackRevisions>false</trackRevisions>
    </reviewItem>
    <reviewItem>
      <errorID>0e4a1573-0225-44f6-af0e-7d2b438064b5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301700DE</paraID>
      <start>0</start>
      <end>2</end>
      <status>modified</status>
      <modifiedWord>5.</modifiedWord>
      <trackRevisions>false</trackRevisions>
    </reviewItem>
    <reviewItem>
      <errorID>a7ae35b9-9616-401f-97b4-df43c6df27f9</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10441213</paraID>
      <start>20</start>
      <end>22</end>
      <status>modified</status>
      <modifiedWord>响应</modifiedWord>
      <trackRevisions>false</trackRevisions>
    </reviewItem>
    <reviewItem>
      <errorID>0b65c43b-aaf8-4e5f-81b1-d6837abde8d7</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91831106-a92b-48dc-977a-7cdef7db581d</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7c3aef5e-1e07-4053-85da-cb7e046f32a6</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f6a78795-0cf1-460e-ada9-0f92db756992</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e7aba4b1-9339-4bcc-bf0c-1467cda52060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3F91E847</paraID>
      <start>34</start>
      <end>35</end>
      <status>unmodified</status>
      <modifiedWord/>
      <trackRevisions>false</trackRevisions>
    </reviewItem>
    <reviewItem>
      <errorID>6ab0deb4-7d4b-4f2c-aa47-60101a755d9d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B37A6CA</paraID>
      <start>43</start>
      <end>44</end>
      <status>unmodified</status>
      <modifiedWord/>
      <trackRevisions>false</trackRevisions>
    </reviewItem>
    <reviewItem>
      <errorID>9fe3dbad-4b27-4ffc-8aea-e3769e72c358</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d8a80591-bb61-48c5-9cc7-f199ff4136a2</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0df563a4-e83a-43cc-a86a-5e582ea7fe6c</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35654b22-3da0-4132-baac-a6ba40589f67</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079e4cb8-5ff2-437d-8a1d-4f4c553675dc</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acc14426-7305-4207-8889-0845b14bee6a</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5e64b9a3-48c3-4ac8-bd1f-0b670b962a9c</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cddd5156-f494-4972-a753-76af54157eeb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7C0A033D</paraID>
      <start>0</start>
      <end>2</end>
      <status>unmodified</status>
      <modifiedWord/>
      <trackRevisions>false</trackRevisions>
    </reviewItem>
    <reviewItem>
      <errorID>c01ab4d5-f114-4173-bca1-b178dcf4d9fa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42F5C3FD</paraID>
      <start>52</start>
      <end>54</end>
      <status>modified</status>
      <modifiedWord>》《</modifiedWord>
      <trackRevisions>false</trackRevisions>
    </reviewItem>
    <reviewItem>
      <errorID>55131bf0-5da0-40b7-93c9-236814864a9a</errorID>
      <errorWord>:</errorWord>
      <group>L1_Format</group>
      <groupName>格式问题</groupName>
      <ability>L2_HalfPunc</ability>
      <abilityName>全半角检查</abilityName>
      <candidateList>
        <item>：</item>
      </candidateList>
      <explain>文本全半角错误。</explain>
      <paraID>33542F91</paraID>
      <start>17</start>
      <end>18</end>
      <status>modified</status>
      <modifiedWord>：</modifiedWord>
      <trackRevisions>false</trackRevisions>
    </reviewItem>
    <reviewItem>
      <errorID>a6f46f73-b2b4-412d-9c9a-efca95f107cc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694F4B96</paraID>
      <start>0</start>
      <end>2</end>
      <status>modified</status>
      <modifiedWord>2.</modifiedWord>
      <trackRevisions>false</trackRevisions>
    </reviewItem>
    <reviewItem>
      <errorID>067576e0-6255-4138-b445-8c27d2c80576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58365EED</paraID>
      <start>0</start>
      <end>2</end>
      <status>modified</status>
      <modifiedWord>3.</modifiedWord>
      <trackRevisions>false</trackRevisions>
    </reviewItem>
    <reviewItem>
      <errorID>e31b0bce-4ee3-4dfa-b0a3-3ade48374569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7FABCCD4</paraID>
      <start>0</start>
      <end>2</end>
      <status>modified</status>
      <modifiedWord>4.</modifiedWord>
      <trackRevisions>false</trackRevisions>
    </reviewItem>
    <reviewItem>
      <errorID>0519f6dc-308d-4385-a616-aaaa437625a0</errorID>
      <errorWord>(</errorWord>
      <group>L1_Format</group>
      <groupName>格式问题</groupName>
      <ability>L2_HalfPunc</ability>
      <abilityName>全半角检查</abilityName>
      <candidateList>
        <item>（</item>
      </candidateList>
      <explain>文本全半角错误。</explain>
      <paraID>3E6D80E1</paraID>
      <start>0</start>
      <end>1</end>
      <status>unmodified</status>
      <modifiedWord/>
      <trackRevisions>false</trackRevisions>
    </reviewItem>
    <reviewItem>
      <errorID>e14149ad-5abf-4709-976e-c5eff8ffd088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5931A45</paraID>
      <start>0</start>
      <end>3</end>
      <status>unmodified</status>
      <modifiedWord/>
      <trackRevisions>false</trackRevisions>
    </reviewItem>
    <reviewItem>
      <errorID>afd66469-9f89-4f3f-bf8e-df759e8c490c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3596ABC9</paraID>
      <start>0</start>
      <end>2</end>
      <status>modified</status>
      <modifiedWord>5.</modifiedWord>
      <trackRevisions>false</trackRevisions>
    </reviewItem>
    <reviewItem>
      <errorID>985ee3a5-3a90-4132-a7a1-2ed8f1da42ff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69973FD</paraID>
      <start>0</start>
      <end>2</end>
      <status>modified</status>
      <modifiedWord>6.</modifiedWord>
      <trackRevisions>false</trackRevisions>
    </reviewItem>
    <reviewItem>
      <errorID>d0716ebc-994a-4448-9211-31fab657435a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100E7382</paraID>
      <start>0</start>
      <end>2</end>
      <status>modified</status>
      <modifiedWord>7.</modifiedWord>
      <trackRevisions>false</trackRevisions>
    </reviewItem>
    <reviewItem>
      <errorID>d048cf89-8877-40c2-a695-93691767c58a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609BAF43</paraID>
      <start>0</start>
      <end>2</end>
      <status>modified</status>
      <modifiedWord>8.</modifiedWord>
      <trackRevisions>false</trackRevisions>
    </reviewItem>
    <reviewItem>
      <errorID>77adac25-de8b-4876-8f07-9818e1ab9005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238F012C</paraID>
      <start>0</start>
      <end>2</end>
      <status>modified</status>
      <modifiedWord>1.</modifiedWord>
      <trackRevisions>false</trackRevisions>
    </reviewItem>
    <reviewItem>
      <errorID>41f21332-2924-4a21-a478-4997238d55c2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6AD7D286</paraID>
      <start>0</start>
      <end>2</end>
      <status>modified</status>
      <modifiedWord>2.</modifiedWord>
      <trackRevisions>false</trackRevisions>
    </reviewItem>
    <reviewItem>
      <errorID>e33cef6e-ce42-4861-9235-663ec8da7260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49F7EE0E</paraID>
      <start>0</start>
      <end>2</end>
      <status>modified</status>
      <modifiedWord>3.</modifiedWord>
      <trackRevisions>false</trackRevisions>
    </reviewItem>
    <reviewItem>
      <errorID>8a739764-73ac-41ee-8df6-fa41cf275153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70ABC7F6</paraID>
      <start>0</start>
      <end>2</end>
      <status>modified</status>
      <modifiedWord>4.</modifiedWord>
      <trackRevisions>false</trackRevisions>
    </reviewItem>
    <reviewItem>
      <errorID>a12bec35-93a5-4cb9-8821-ecc750313272</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8EAC65F</paraID>
      <start>32</start>
      <end>34</end>
      <status>modified</status>
      <modifiedWord>系统</modifiedWord>
      <trackRevisions>false</trackRevisions>
    </reviewItem>
    <reviewItem>
      <errorID>03de3bae-7e70-4c2d-9282-f2b7b49a5e61</errorID>
      <errorWord>至少3年以上</errorWord>
      <group>L1_Grammar</group>
      <groupName>语法问题</groupName>
      <ability>L2_Grammar</ability>
      <abilityName>语法错误</abilityName>
      <candidateList>
        <item>至少3年</item>
      </candidateList>
      <explain/>
      <paraID> 8EAC65F</paraID>
      <start>40</start>
      <end>44</end>
      <status>modified</status>
      <modifiedWord>至少3年</modifiedWord>
      <trackRevisions>false</trackRevisions>
    </reviewItem>
    <reviewItem>
      <errorID>3e3dcc5a-016e-4958-9d9b-56a872033683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5302F71A</paraID>
      <start>0</start>
      <end>2</end>
      <status>modified</status>
      <modifiedWord>1.</modifiedWord>
      <trackRevisions>false</trackRevisions>
    </reviewItem>
    <reviewItem>
      <errorID>e74532d5-f6a3-4c2e-a9bb-3bdb4ad5cec3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E124E04</paraID>
      <start>0</start>
      <end>2</end>
      <status>modified</status>
      <modifiedWord>2.</modifiedWord>
      <trackRevisions>false</trackRevisions>
    </reviewItem>
    <reviewItem>
      <errorID>fc6290a3-2270-4131-bb58-e744b424895d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7E0230DA</paraID>
      <start>0</start>
      <end>2</end>
      <status>modified</status>
      <modifiedWord>3.</modifiedWord>
      <trackRevisions>false</trackRevisions>
    </reviewItem>
    <reviewItem>
      <errorID>00edee0c-408f-4c2f-8db3-0376fed9131d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52268DAD</paraID>
      <start>0</start>
      <end>2</end>
      <status>modified</status>
      <modifiedWord>1.</modifiedWord>
      <trackRevisions>false</trackRevisions>
    </reviewItem>
    <reviewItem>
      <errorID>e16e4320-db5e-4d48-9cd3-42567283830c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18A27A93</paraID>
      <start>0</start>
      <end>2</end>
      <status>modified</status>
      <modifiedWord>2.</modifiedWord>
      <trackRevisions>false</trackRevisions>
    </reviewItem>
    <reviewItem>
      <errorID>8fa6c7db-5a33-4579-91b2-628872a3f2bb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355D9EFA</paraID>
      <start>0</start>
      <end>2</end>
      <status>modified</status>
      <modifiedWord>3.</modifiedWord>
      <trackRevisions>false</trackRevisions>
    </reviewItem>
    <reviewItem>
      <errorID>18afe588-44cc-4f4e-b6e3-ed79e7deb10a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7023A21C</paraID>
      <start>0</start>
      <end>2</end>
      <status>modified</status>
      <modifiedWord>4.</modifiedWord>
      <trackRevisions>false</trackRevisions>
    </reviewItem>
    <reviewItem>
      <errorID>22ef0bc8-9e9d-40ed-ab65-56275bf7f206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2310C480</paraID>
      <start>12</start>
      <end>13</end>
      <status>modified</status>
      <modifiedWord>地</modifiedWord>
      <trackRevisions>false</trackRevisions>
    </reviewItem>
    <reviewItem>
      <errorID>424b6e44-7486-45a8-9601-f3fa08908c47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3DDDCBE7</paraID>
      <start>14</start>
      <end>15</end>
      <status>modified</status>
      <modifiedWord>地</modifiedWord>
      <trackRevisions>false</trackRevisions>
    </reviewItem>
    <reviewItem>
      <errorID>d11a1fa1-0a53-4d9e-b0cf-49a6a1d1c109</errorID>
      <errorWord>接受</errorWord>
      <group>L1_Word</group>
      <groupName>字词问题</groupName>
      <ability>L2_Typo</ability>
      <abilityName>字词错误</abilityName>
      <candidateList>
        <item>接收</item>
      </candidateList>
      <explain>存在发音相同字词的误用。</explain>
      <paraID>22DCF0AF</paraID>
      <start>26</start>
      <end>28</end>
      <status>unmodified</status>
      <modifiedWord/>
      <trackRevisions>false</trackRevisions>
    </reviewItem>
    <reviewItem>
      <errorID>b1666fa8-03c7-4d98-b56a-bd67e102921c</errorID>
      <errorWord>将会</errorWord>
      <group>L1_Word</group>
      <groupName>字词问题</groupName>
      <ability>L2_Typo</ability>
      <abilityName>字词错误</abilityName>
      <candidateList>
        <item>将</item>
      </candidateList>
      <explain>（jiāng）将要；（jiàng）勇将、上将、游泳健将；（qiāng）请求，将子无怒。</explain>
      <paraID>701A0E72</paraID>
      <start>6</start>
      <end>7</end>
      <status>modified</status>
      <modifiedWord>将</modifiedWord>
      <trackRevisions>false</trackRevisions>
    </reviewItem>
    <reviewItem>
      <errorID>fbf4927a-a2d5-4889-a37c-b77c275d3a63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30254508</paraID>
      <start>0</start>
      <end>2</end>
      <status>modified</status>
      <modifiedWord>1.</modifiedWord>
      <trackRevisions>false</trackRevisions>
    </reviewItem>
    <reviewItem>
      <errorID>97a63c9d-95b9-48bb-ada0-0623e62b9138</errorID>
      <errorWord>(</errorWord>
      <group>L1_Format</group>
      <groupName>格式问题</groupName>
      <ability>L2_HalfPunc</ability>
      <abilityName>全半角检查</abilityName>
      <candidateList>
        <item>（</item>
      </candidateList>
      <explain>文本全半角错误。</explain>
      <paraID>38B1A776</paraID>
      <start>79</start>
      <end>80</end>
      <status>unmodified</status>
      <modifiedWord/>
      <trackRevisions>false</trackRevisions>
    </reviewItem>
    <reviewItem>
      <errorID>a575f37f-8752-4ef4-9f7b-fc522fa099cb</errorID>
      <errorWord>)</errorWord>
      <group>L1_Format</group>
      <groupName>格式问题</groupName>
      <ability>L2_HalfPunc</ability>
      <abilityName>全半角检查</abilityName>
      <candidateList>
        <item>）</item>
      </candidateList>
      <explain>文本全半角错误。</explain>
      <paraID>38B1A776</paraID>
      <start>90</start>
      <end>91</end>
      <status>unmodified</status>
      <modifiedWord/>
      <trackRevisions>false</trackRevisions>
    </reviewItem>
    <reviewItem>
      <errorID>7afc407e-887f-45ae-9849-1f8f67edd4be</errorID>
      <errorWord>,</errorWord>
      <group>L1_Format</group>
      <groupName>格式问题</groupName>
      <ability>L2_HalfPunc</ability>
      <abilityName>全半角检查</abilityName>
      <candidateList>
        <item>，</item>
      </candidateList>
      <explain>文本全半角错误。</explain>
      <paraID>102B1D11</paraID>
      <start>19</start>
      <end>20</end>
      <status>unmodified</status>
      <modifiedWord/>
      <trackRevisions>false</trackRevisions>
    </reviewItem>
    <reviewItem>
      <errorID>d94d72ae-72a1-4f97-b295-3b040140d31c</errorID>
      <errorWord>详实</errorWord>
      <group>L1_Word</group>
      <groupName>字词问题</groupName>
      <ability>L2_Typo</ability>
      <abilityName>字词错误</abilityName>
      <candidateList>
        <item>翔实</item>
      </candidateList>
      <explain/>
      <paraID>53FADDDB</paraID>
      <start>6</start>
      <end>8</end>
      <status>unmodified</status>
      <modifiedWord/>
      <trackRevisions>false</trackRevisions>
    </reviewItem>
    <reviewItem>
      <errorID>5d512e43-be3b-4d6d-9187-d942693df2b8</errorID>
      <errorWord>详实</errorWord>
      <group>L1_Word</group>
      <groupName>字词问题</groupName>
      <ability>L2_Typo</ability>
      <abilityName>字词错误</abilityName>
      <candidateList>
        <item>翔实</item>
      </candidateList>
      <explain/>
      <paraID>3AD8BA00</paraID>
      <start>11</start>
      <end>13</end>
      <status>unmodified</status>
      <modifiedWord/>
      <trackRevisions>false</trackRevisions>
    </reviewItem>
    <reviewItem>
      <errorID>455c2e0a-a11d-41e7-a743-0998d0300b86</errorID>
      <errorWord>详实</errorWord>
      <group>L1_Word</group>
      <groupName>字词问题</groupName>
      <ability>L2_Typo</ability>
      <abilityName>字词错误</abilityName>
      <candidateList>
        <item>翔实</item>
      </candidateList>
      <explain/>
      <paraID>7483FF7D</paraID>
      <start>4</start>
      <end>6</end>
      <status>unmodified</status>
      <modifiedWord/>
      <trackRevisions>false</trackRevisions>
    </reviewItem>
    <reviewItem>
      <errorID>39454e51-5ad3-4fa5-9cb2-c9a0f4bb2e34</errorID>
      <errorWord>详实</errorWord>
      <group>L1_Word</group>
      <groupName>字词问题</groupName>
      <ability>L2_Typo</ability>
      <abilityName>字词错误</abilityName>
      <candidateList>
        <item>翔实</item>
      </candidateList>
      <explain/>
      <paraID>1C6ACE7A</paraID>
      <start>6</start>
      <end>8</end>
      <status>unmodified</status>
      <modifiedWord/>
      <trackRevisions>false</trackRevisions>
    </reviewItem>
    <reviewItem>
      <errorID>602b3224-96f6-4b34-8286-928fa05d530d</errorID>
      <errorWord>(</errorWord>
      <group>L1_Format</group>
      <groupName>格式问题</groupName>
      <ability>L2_HalfPunc</ability>
      <abilityName>全半角检查</abilityName>
      <candidateList>
        <item>（</item>
      </candidateList>
      <explain>文本全半角错误。</explain>
      <paraID>227E68C3</paraID>
      <start>79</start>
      <end>80</end>
      <status>unmodified</status>
      <modifiedWord/>
      <trackRevisions>false</trackRevisions>
    </reviewItem>
    <reviewItem>
      <errorID>1ffa51e1-08fc-44f1-8181-a5375deb8b7b</errorID>
      <errorWord>)</errorWord>
      <group>L1_Format</group>
      <groupName>格式问题</groupName>
      <ability>L2_HalfPunc</ability>
      <abilityName>全半角检查</abilityName>
      <candidateList>
        <item>）</item>
      </candidateList>
      <explain>文本全半角错误。</explain>
      <paraID>227E68C3</paraID>
      <start>90</start>
      <end>91</end>
      <status>unmodified</status>
      <modifiedWord/>
      <trackRevisions>false</trackRevisions>
    </reviewItem>
    <reviewItem>
      <errorID>feda245f-8252-425e-ba5b-1229efe7022f</errorID>
      <errorWord>(</errorWord>
      <group>L1_Format</group>
      <groupName>格式问题</groupName>
      <ability>L2_HalfPunc</ability>
      <abilityName>全半角检查</abilityName>
      <candidateList>
        <item>（</item>
      </candidateList>
      <explain>文本全半角错误。</explain>
      <paraID>  B9A26C</paraID>
      <start>13</start>
      <end>14</end>
      <status>unmodified</status>
      <modifiedWord/>
      <trackRevisions>false</trackRevisions>
    </reviewItem>
    <reviewItem>
      <errorID>38407e7d-279d-40f4-9029-ec3273176aff</errorID>
      <errorWord>详实</errorWord>
      <group>L1_Word</group>
      <groupName>字词问题</groupName>
      <ability>L2_Typo</ability>
      <abilityName>字词错误</abilityName>
      <candidateList>
        <item>翔实</item>
      </candidateList>
      <explain/>
      <paraID>76B45527</paraID>
      <start>6</start>
      <end>8</end>
      <status>unmodified</status>
      <modifiedWord/>
      <trackRevisions>false</trackRevisions>
    </reviewItem>
    <reviewItem>
      <errorID>f4c0fdad-a92f-4552-b7ac-c91e953d3886</errorID>
      <errorWord>详实</errorWord>
      <group>L1_Word</group>
      <groupName>字词问题</groupName>
      <ability>L2_Typo</ability>
      <abilityName>字词错误</abilityName>
      <candidateList>
        <item>翔实</item>
      </candidateList>
      <explain/>
      <paraID>252231B7</paraID>
      <start>11</start>
      <end>13</end>
      <status>unmodified</status>
      <modifiedWord/>
      <trackRevisions>false</trackRevisions>
    </reviewItem>
    <reviewItem>
      <errorID>b2d2c010-9642-40b8-8449-d3720d39e1d8</errorID>
      <errorWord>详实</errorWord>
      <group>L1_Word</group>
      <groupName>字词问题</groupName>
      <ability>L2_Typo</ability>
      <abilityName>字词错误</abilityName>
      <candidateList>
        <item>翔实</item>
      </candidateList>
      <explain/>
      <paraID>79AA03A1</paraID>
      <start>4</start>
      <end>6</end>
      <status>unmodified</status>
      <modifiedWord/>
      <trackRevisions>false</trackRevisions>
    </reviewItem>
    <reviewItem>
      <errorID>229fb75a-619f-4bcf-bf37-48987c35aef9</errorID>
      <errorWord>详实</errorWord>
      <group>L1_Word</group>
      <groupName>字词问题</groupName>
      <ability>L2_Typo</ability>
      <abilityName>字词错误</abilityName>
      <candidateList>
        <item>翔实</item>
      </candidateList>
      <explain/>
      <paraID>154A3487</paraID>
      <start>6</start>
      <end>8</end>
      <status>unmodified</status>
      <modifiedWord/>
      <trackRevisions>false</trackRevisions>
    </reviewItem>
    <reviewItem>
      <errorID>59e89ca4-2fc2-4789-9e72-6c88b8de6bc6</errorID>
      <errorWord>有</errorWord>
      <group>L1_Word</group>
      <groupName>字词问题</groupName>
      <ability>L2_Typo</ability>
      <abilityName>字词错误</abilityName>
      <candidateList>
        <item>有可</item>
      </candidateList>
      <explain/>
      <paraID>154A3487</paraID>
      <start>14</start>
      <end>16</end>
      <status>modified</status>
      <modifiedWord>有可</modifiedWord>
      <trackRevisions>false</trackRevisions>
    </reviewItem>
    <reviewItem>
      <errorID>c137fe6b-43b9-4b12-8cda-9605e63f5729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8c0e1a19-d299-48e7-9a6a-3aab4b7ece1c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4bc592ba-ae01-4c40-b009-d55029a3a2d5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f3a462a9-e859-4c71-923e-58d6ccda68cc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1adac26c-6bc5-499b-8ad9-799b3fdb6632</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a5afba66-3237-4118-9c77-569e6e552169</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8f5c8b83-7a0c-4b46-9a43-72c5cfd039b5</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697b34cf-ebc9-425e-9221-a00e8d0c36a0</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50c29bbc-9b7d-47ca-af01-870efa1f429e</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5130f8fa-8844-44af-8e89-aa1740b4da15</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1e4f263c-916e-4eed-a801-31ea0f6de8ba</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f2e2cd56-0491-4b3f-af3e-edc5237605ab</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ef7b97dd-7fcf-4ea7-877b-54bdcd1bf4fb</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865c3bc4-2ac0-4cbf-a472-fd77916a1d23</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f1925dac-016e-4c32-9967-eb04087d574d</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e6a912b2-2c1f-4255-8476-8ce886cdc091</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bfa40259-01af-4e1e-8715-907db8c37d51</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9" textRotate="1"/>
    <customShpInfo spid="_x0000_s4098" textRotate="1"/>
    <customShpInfo spid="_x0000_s4101" textRotate="1"/>
    <customShpInfo spid="_x0000_s4100" textRotate="1"/>
    <customShpInfo spid="_x0000_s4103" textRotate="1"/>
    <customShpInfo spid="_x0000_s4102" textRotate="1"/>
    <customShpInfo spid="_x0000_s4104" textRotate="1"/>
    <customShpInfo spid="_x0000_s4106" textRotate="1"/>
    <customShpInfo spid="_x0000_s4105" textRotate="1"/>
  </customShpExts>
</s:customData>
</file>

<file path=customXml/itemProps1.xml><?xml version="1.0" encoding="utf-8"?>
<ds:datastoreItem xmlns:ds="http://schemas.openxmlformats.org/officeDocument/2006/customXml" ds:itemID="{695A6567-20D5-452A-ADBD-42B1B5B6B0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125</cp:revision>
  <dcterms:created xsi:type="dcterms:W3CDTF">2023-03-28T01:23:00Z</dcterms:created>
  <dcterms:modified xsi:type="dcterms:W3CDTF">2026-02-10T06:46:10Z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