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rPr>
      </w:pPr>
      <w:r/>
      <w:bookmarkStart w:id="0" w:name="_Hlk192713327"/>
      <w:r>
        <w:rPr>
          <w:rFonts w:hint="eastAsia" w:ascii="宋体" w:hAnsi="宋体" w:eastAsia="宋体" w:cs="宋体"/>
          <w:b/>
          <w:color w:val="auto"/>
          <w:sz w:val="72"/>
        </w:rPr>
        <w:tab/>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eastAsia="宋体" w:cs="宋体"/>
          <w:b/>
          <w:color w:val="auto"/>
          <w:spacing w:val="20"/>
          <w:sz w:val="72"/>
          <w:szCs w:val="72"/>
        </w:rPr>
      </w:pPr>
      <w:r/>
      <w:bookmarkStart w:id="1" w:name="_Hlk192713293"/>
      <w:r>
        <w:rPr>
          <w:rFonts w:hint="eastAsia" w:ascii="宋体" w:hAnsi="宋体" w:eastAsia="宋体" w:cs="宋体"/>
          <w:b/>
          <w:color w:val="auto"/>
          <w:spacing w:val="20"/>
          <w:sz w:val="72"/>
          <w:szCs w:val="72"/>
        </w:rPr>
        <w:t xml:space="preserve">泰州市政府采购</w:t>
      </w:r>
      <w:r/>
    </w:p>
    <w:p>
      <w:pPr>
        <w:jc w:val="center"/>
        <w:spacing w:line="360" w:lineRule="auto"/>
        <w:rPr>
          <w:rFonts w:hint="eastAsia" w:ascii="宋体" w:hAnsi="宋体" w:eastAsia="宋体" w:cs="宋体"/>
          <w:b/>
          <w:color w:val="auto"/>
          <w:spacing w:val="20"/>
          <w:sz w:val="52"/>
          <w:szCs w:val="52"/>
        </w:rPr>
      </w:pPr>
      <w:r>
        <w:rPr>
          <w:rFonts w:hint="eastAsia" w:ascii="宋体" w:hAnsi="宋体" w:eastAsia="宋体" w:cs="宋体"/>
          <w:b/>
          <w:color w:val="auto"/>
          <w:spacing w:val="20"/>
          <w:sz w:val="52"/>
          <w:szCs w:val="52"/>
        </w:rPr>
        <w:t xml:space="preserve">公开</w:t>
      </w:r>
      <w:bookmarkEnd w:id="1"/>
      <w:r/>
      <w:r/>
    </w:p>
    <w:p>
      <w:pPr>
        <w:jc w:val="center"/>
        <w:spacing w:line="360" w:lineRule="auto"/>
        <w:rPr>
          <w:rFonts w:hint="eastAsia" w:ascii="宋体" w:hAnsi="宋体" w:eastAsia="宋体" w:cs="宋体"/>
          <w:b/>
          <w:color w:val="auto"/>
          <w:spacing w:val="20"/>
          <w:sz w:val="52"/>
          <w:szCs w:val="52"/>
        </w:rPr>
      </w:pPr>
      <w:r>
        <w:rPr>
          <w:rFonts w:hint="eastAsia" w:ascii="宋体" w:hAnsi="宋体" w:eastAsia="宋体" w:cs="宋体"/>
          <w:b/>
          <w:color w:val="auto"/>
          <w:spacing w:val="20"/>
          <w:sz w:val="52"/>
          <w:szCs w:val="52"/>
        </w:rPr>
        <w:tab/>
      </w:r>
      <w:r>
        <w:rPr>
          <w:rFonts w:hint="eastAsia" w:ascii="宋体" w:hAnsi="宋体" w:eastAsia="宋体" w:cs="宋体"/>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rPr>
        <w:t xml:space="preserve">招标文件</w:t>
      </w:r>
      <w:r/>
    </w:p>
    <w:p>
      <w:pPr>
        <w:jc w:val="center"/>
        <w:rPr>
          <w:rFonts w:hint="eastAsia" w:ascii="宋体" w:hAnsi="宋体" w:eastAsia="宋体" w:cs="宋体"/>
          <w:b/>
          <w:color w:val="auto"/>
          <w:sz w:val="72"/>
          <w:szCs w:val="72"/>
        </w:rPr>
      </w:pPr>
      <w:r>
        <w:rPr>
          <w:rFonts w:hint="eastAsia" w:ascii="宋体" w:hAnsi="宋体" w:eastAsia="宋体" w:cs="宋体"/>
          <w:b/>
          <w:color w:val="auto"/>
          <w:sz w:val="30"/>
        </w:rPr>
        <w:t xml:space="preserve">（全流程电子化不见面开标）</w:t>
      </w:r>
      <w:r/>
    </w:p>
    <w:p>
      <w:pPr>
        <w:rPr>
          <w:rFonts w:hint="eastAsia" w:ascii="宋体" w:hAnsi="宋体" w:eastAsia="宋体" w:cs="宋体"/>
          <w:b/>
          <w:color w:val="auto"/>
          <w:sz w:val="72"/>
        </w:rPr>
      </w:pPr>
      <w:r>
        <w:rPr>
          <w:rFonts w:hint="eastAsia" w:ascii="宋体" w:hAnsi="宋体" w:eastAsia="宋体" w:cs="宋体"/>
          <w:b/>
          <w:color w:val="auto"/>
          <w:sz w:val="72"/>
        </w:rPr>
      </w:r>
      <w:r/>
    </w:p>
    <w:p>
      <w:pPr>
        <w:pStyle w:val="1024"/>
        <w:ind w:firstLine="568"/>
        <w:rPr>
          <w:rFonts w:hint="eastAsia" w:hAnsi="宋体" w:cs="宋体"/>
          <w:color w:val="auto"/>
        </w:rPr>
      </w:pPr>
      <w:r>
        <w:rPr>
          <w:rFonts w:hint="eastAsia" w:hAnsi="宋体" w:cs="宋体"/>
          <w:color w:val="auto"/>
        </w:rPr>
      </w:r>
      <w:r/>
    </w:p>
    <w:p>
      <w:pPr>
        <w:pStyle w:val="1024"/>
        <w:ind w:firstLine="568"/>
        <w:rPr>
          <w:rFonts w:hint="eastAsia" w:hAnsi="宋体" w:cs="宋体"/>
          <w:color w:val="auto"/>
        </w:rPr>
      </w:pPr>
      <w:r>
        <w:rPr>
          <w:rFonts w:hint="eastAsia" w:hAnsi="宋体" w:cs="宋体"/>
          <w:color w:val="auto"/>
        </w:rPr>
      </w:r>
      <w:r/>
    </w:p>
    <w:p>
      <w:pPr>
        <w:ind w:firstLine="419"/>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项目编号：JSZC-321200-JTTZ-G2026-0005</w:t>
      </w:r>
      <w:r/>
    </w:p>
    <w:p>
      <w:pPr>
        <w:ind w:left="1960" w:hanging="1541"/>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项目名称：泰州市人民医院中央空调及锅炉系统运维服务</w:t>
      </w:r>
      <w:r/>
    </w:p>
    <w:p>
      <w:pPr>
        <w:ind w:left="1960" w:hanging="1541"/>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采购项目</w:t>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52"/>
        <w:rPr>
          <w:rFonts w:hint="eastAsia" w:ascii="宋体" w:hAnsi="宋体" w:eastAsia="宋体" w:cs="宋体"/>
          <w:b/>
          <w:bCs/>
          <w:color w:val="auto"/>
          <w:szCs w:val="28"/>
        </w:rPr>
      </w:pPr>
      <w:r>
        <w:rPr>
          <w:rFonts w:hint="eastAsia" w:ascii="宋体" w:hAnsi="宋体" w:eastAsia="宋体" w:cs="宋体"/>
          <w:b/>
          <w:bCs/>
          <w:color w:val="auto"/>
          <w:szCs w:val="28"/>
        </w:rPr>
      </w:r>
      <w:r/>
    </w:p>
    <w:p>
      <w:pPr>
        <w:rPr>
          <w:rFonts w:hint="eastAsia" w:ascii="宋体" w:hAnsi="宋体" w:eastAsia="宋体" w:cs="宋体"/>
          <w:color w:val="auto"/>
        </w:rPr>
      </w:pPr>
      <w:r>
        <w:rPr>
          <w:rFonts w:hint="eastAsia" w:ascii="宋体" w:hAnsi="宋体" w:eastAsia="宋体" w:cs="宋体"/>
          <w:color w:val="auto"/>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采购人：泰州市人民医院</w:t>
      </w:r>
      <w:r/>
    </w:p>
    <w:p>
      <w:pPr>
        <w:ind w:firstLine="419"/>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采购代理机构：江苏建泰工程项目管理有限公司</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2026年4月</w:t>
      </w:r>
      <w:r/>
    </w:p>
    <w:p>
      <w:pPr>
        <w:ind w:right="840"/>
        <w:jc w:val="center"/>
        <w:spacing w:line="360" w:lineRule="auto"/>
        <w:widowControl/>
        <w:rPr>
          <w:rFonts w:hint="eastAsia" w:ascii="宋体" w:hAnsi="宋体" w:eastAsia="宋体" w:cs="宋体"/>
          <w:b/>
          <w:color w:val="auto"/>
          <w:sz w:val="36"/>
          <w:szCs w:val="36"/>
        </w:rPr>
      </w:pPr>
      <w:r>
        <w:rPr>
          <w:rFonts w:hint="eastAsia" w:ascii="宋体" w:hAnsi="宋体" w:eastAsia="宋体" w:cs="宋体"/>
          <w:b/>
          <w:color w:val="auto"/>
          <w:sz w:val="28"/>
          <w:szCs w:val="28"/>
        </w:rPr>
        <w:br w:type="page" w:clear="all"/>
      </w:r>
      <w:r>
        <w:rPr>
          <w:rFonts w:hint="eastAsia" w:ascii="宋体" w:hAnsi="宋体" w:eastAsia="宋体" w:cs="宋体"/>
          <w:b/>
          <w:color w:val="auto"/>
          <w:sz w:val="36"/>
          <w:szCs w:val="36"/>
        </w:rPr>
        <w:t xml:space="preserve">目  录</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fldChar w:fldCharType="begin"/>
      </w:r>
      <w:r>
        <w:rPr>
          <w:rFonts w:hint="eastAsia" w:ascii="宋体" w:hAnsi="宋体" w:eastAsia="宋体" w:cs="宋体"/>
          <w:b/>
          <w:color w:val="auto"/>
        </w:rPr>
        <w:instrText xml:space="preserve">TOC  \* MERGEFORMAT</w:instrText>
      </w:r>
      <w:r>
        <w:rPr>
          <w:rFonts w:hint="eastAsia" w:ascii="宋体" w:hAnsi="宋体" w:eastAsia="宋体" w:cs="宋体"/>
          <w:b/>
          <w:color w:val="auto"/>
        </w:rPr>
        <w:fldChar w:fldCharType="separate"/>
      </w:r>
      <w:r>
        <w:rPr>
          <w:rFonts w:hint="eastAsia" w:ascii="宋体" w:hAnsi="宋体" w:eastAsia="宋体" w:cs="宋体"/>
          <w:b/>
          <w:color w:val="auto"/>
        </w:rPr>
        <w:t xml:space="preserve">第一章 招标公告</w:t>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t xml:space="preserve">第二章 投标人须知</w:t>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t xml:space="preserve">第三章 采购需求</w:t>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t xml:space="preserve">第四章 评标办法及评标标准</w:t>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t xml:space="preserve">第五章 合同条款</w:t>
      </w:r>
      <w:r/>
    </w:p>
    <w:p>
      <w:pPr>
        <w:pStyle w:val="1010"/>
        <w:spacing w:line="480" w:lineRule="auto"/>
        <w:tabs>
          <w:tab w:val="right" w:pos="9344" w:leader="dot"/>
        </w:tabs>
        <w:rPr>
          <w:rFonts w:hint="eastAsia" w:ascii="宋体" w:hAnsi="宋体" w:eastAsia="宋体" w:cs="宋体"/>
          <w:b/>
          <w:color w:val="auto"/>
        </w:rPr>
      </w:pPr>
      <w:r>
        <w:rPr>
          <w:rFonts w:hint="eastAsia" w:ascii="宋体" w:hAnsi="宋体" w:eastAsia="宋体" w:cs="宋体"/>
          <w:b/>
          <w:color w:val="auto"/>
        </w:rPr>
        <w:fldChar w:fldCharType="end"/>
      </w:r>
      <w:r>
        <w:rPr>
          <w:rFonts w:hint="eastAsia" w:ascii="宋体" w:hAnsi="宋体" w:eastAsia="宋体" w:cs="宋体"/>
          <w:b/>
          <w:color w:val="auto"/>
        </w:rPr>
        <w:t xml:space="preserve">第六章 投标文件格式</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center"/>
        <w:spacing w:line="360" w:lineRule="auto"/>
        <w:widowControl/>
        <w:rPr>
          <w:rFonts w:hint="eastAsia" w:ascii="宋体" w:hAnsi="宋体" w:eastAsia="宋体" w:cs="宋体"/>
          <w:b/>
          <w:color w:val="auto"/>
          <w:spacing w:val="15"/>
          <w:sz w:val="32"/>
          <w:szCs w:val="32"/>
        </w:rPr>
      </w:pPr>
      <w:r>
        <w:rPr>
          <w:rFonts w:hint="eastAsia" w:ascii="宋体" w:hAnsi="宋体" w:eastAsia="宋体" w:cs="宋体"/>
          <w:color w:val="auto"/>
          <w:sz w:val="21"/>
          <w:szCs w:val="21"/>
        </w:rPr>
        <w:br w:type="page" w:clear="all"/>
      </w:r>
      <w:bookmarkStart w:id="2" w:name="_Toc409438817"/>
      <w:r/>
      <w:bookmarkStart w:id="3" w:name="_Toc388026584"/>
      <w:r>
        <w:rPr>
          <w:rFonts w:hint="eastAsia" w:ascii="宋体" w:hAnsi="宋体" w:eastAsia="宋体" w:cs="宋体"/>
          <w:b/>
          <w:color w:val="auto"/>
          <w:spacing w:val="15"/>
          <w:sz w:val="32"/>
          <w:szCs w:val="32"/>
        </w:rPr>
        <w:t xml:space="preserve">第一章</w:t>
      </w:r>
      <w:r>
        <w:rPr>
          <w:rFonts w:hint="eastAsia" w:ascii="宋体" w:hAnsi="宋体" w:eastAsia="宋体" w:cs="宋体"/>
          <w:color w:val="auto"/>
          <w:sz w:val="24"/>
          <w:szCs w:val="24"/>
        </w:rPr>
        <w:t xml:space="preserve"> </w:t>
      </w:r>
      <w:bookmarkStart w:id="4" w:name="_Toc417477665"/>
      <w:r/>
      <w:bookmarkEnd w:id="4"/>
      <w:r/>
      <w:bookmarkStart w:id="5" w:name="_Toc258329824"/>
      <w:r/>
      <w:bookmarkEnd w:id="5"/>
      <w:r/>
      <w:bookmarkStart w:id="6" w:name="_Toc228679947"/>
      <w:r/>
      <w:bookmarkEnd w:id="6"/>
      <w:r>
        <w:rPr>
          <w:rFonts w:hint="eastAsia" w:ascii="宋体" w:hAnsi="宋体" w:eastAsia="宋体" w:cs="宋体"/>
          <w:b/>
          <w:color w:val="auto"/>
          <w:spacing w:val="15"/>
          <w:sz w:val="32"/>
          <w:szCs w:val="32"/>
        </w:rPr>
        <w:t xml:space="preserve">招标公告</w:t>
      </w:r>
      <w:r/>
    </w:p>
    <w:p>
      <w:pPr>
        <w:spacing w:line="480" w:lineRule="exact"/>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8"/>
        <w:spacing w:line="480" w:lineRule="exact"/>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泰州市人民医院中央空调及锅炉系统运维服务采购项目</w:t>
      </w:r>
      <w:r>
        <w:rPr>
          <w:rFonts w:hint="eastAsia" w:ascii="宋体" w:hAnsi="宋体" w:eastAsia="宋体" w:cs="宋体"/>
          <w:color w:val="auto"/>
          <w:sz w:val="24"/>
          <w:szCs w:val="24"/>
        </w:rPr>
        <w:t xml:space="preserve">的潜在投标人应在江苏政府采购“苏采云”系统获取招标文件，并于</w:t>
      </w:r>
      <w:r>
        <w:rPr>
          <w:rFonts w:hint="eastAsia" w:ascii="宋体" w:hAnsi="宋体" w:eastAsia="宋体" w:cs="宋体"/>
          <w:color w:val="auto"/>
          <w:sz w:val="24"/>
          <w:szCs w:val="24"/>
          <w:u w:val="single"/>
        </w:rPr>
        <w:t xml:space="preserve">2026年</w:t>
      </w:r>
      <w:r>
        <w:rPr>
          <w:rFonts w:hint="eastAsia" w:ascii="宋体" w:hAnsi="宋体" w:eastAsia="宋体" w:cs="宋体"/>
          <w:color w:val="auto"/>
          <w:sz w:val="24"/>
          <w:szCs w:val="24"/>
          <w:u w:val="single"/>
          <w:lang w:val="en-US" w:eastAsia="zh-CN"/>
        </w:rPr>
        <w:t xml:space="preserve">5</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25</w:t>
      </w:r>
      <w:r>
        <w:rPr>
          <w:rFonts w:hint="eastAsia" w:ascii="宋体" w:hAnsi="宋体" w:eastAsia="宋体" w:cs="宋体"/>
          <w:color w:val="auto"/>
          <w:sz w:val="24"/>
          <w:szCs w:val="24"/>
          <w:u w:val="single"/>
        </w:rPr>
        <w:t xml:space="preserve">日09:00</w:t>
      </w:r>
      <w:r>
        <w:rPr>
          <w:rFonts w:hint="eastAsia" w:ascii="宋体" w:hAnsi="宋体" w:eastAsia="宋体" w:cs="宋体"/>
          <w:bCs/>
          <w:color w:val="auto"/>
          <w:sz w:val="24"/>
          <w:szCs w:val="24"/>
        </w:rPr>
        <w:t xml:space="preserve">（北京时间）前递交投标文件</w:t>
      </w:r>
      <w:r>
        <w:rPr>
          <w:rFonts w:hint="eastAsia" w:ascii="宋体" w:hAnsi="宋体" w:eastAsia="宋体" w:cs="宋体"/>
          <w:color w:val="auto"/>
          <w:sz w:val="24"/>
          <w:szCs w:val="24"/>
        </w:rPr>
        <w:t xml:space="preserve">。</w:t>
      </w:r>
      <w:r/>
    </w:p>
    <w:p>
      <w:pPr>
        <w:pStyle w:val="972"/>
        <w:spacing w:before="0" w:after="0" w:line="480" w:lineRule="exact"/>
        <w:rPr>
          <w:rFonts w:hint="eastAsia" w:ascii="宋体" w:hAnsi="宋体" w:cs="宋体"/>
          <w:b w:val="0"/>
          <w:color w:val="auto"/>
          <w:sz w:val="24"/>
          <w:szCs w:val="24"/>
        </w:rPr>
        <w:outlineLvl w:val="9"/>
      </w:pPr>
      <w:r/>
      <w:bookmarkStart w:id="7" w:name="_Toc35393621"/>
      <w:r/>
      <w:bookmarkStart w:id="8" w:name="_Toc35393790"/>
      <w:r/>
      <w:bookmarkStart w:id="9" w:name="_Toc28359079"/>
      <w:r/>
      <w:bookmarkStart w:id="10" w:name="_Toc28359002"/>
      <w:r/>
      <w:bookmarkStart w:id="11" w:name="_Hlk24379207"/>
      <w:r>
        <w:rPr>
          <w:rFonts w:hint="eastAsia" w:ascii="宋体" w:hAnsi="宋体" w:cs="宋体"/>
          <w:b w:val="0"/>
          <w:color w:val="auto"/>
          <w:sz w:val="24"/>
          <w:szCs w:val="24"/>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项目编号：JSZC-321200-JTTZ-G2026-0005</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bookmarkEnd w:id="11"/>
      <w:r>
        <w:rPr>
          <w:rFonts w:hint="eastAsia" w:ascii="宋体" w:hAnsi="宋体" w:eastAsia="宋体" w:cs="宋体"/>
          <w:color w:val="auto"/>
          <w:sz w:val="24"/>
          <w:szCs w:val="24"/>
        </w:rPr>
        <w:t xml:space="preserve">泰州市人民医院中央空调及锅炉系统运维服务采购项目</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预算金额：818.25万元</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最高限价：818.25万元</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提供总院、海陵院区和妇幼中央空调及锅炉系统的运维服务，包括冷冻机房和锅炉的值班，冷水机组、净化机组和锅炉设备的维保，中央空调末端的维修、清洗和消毒，空调机组的过滤器更换等。具体要求详见招标文件。</w:t>
      </w:r>
      <w:r/>
    </w:p>
    <w:p>
      <w:pPr>
        <w:pStyle w:val="803"/>
        <w:ind w:firstLine="480"/>
        <w:jc w:val="both"/>
        <w:spacing w:line="480" w:lineRule="exact"/>
        <w:rPr>
          <w:rFonts w:hint="eastAsia" w:ascii="宋体" w:hAnsi="宋体" w:eastAsia="宋体" w:cs="宋体"/>
          <w:color w:val="auto"/>
        </w:rPr>
      </w:pPr>
      <w:r>
        <w:rPr>
          <w:rFonts w:hint="eastAsia" w:ascii="宋体" w:hAnsi="宋体" w:eastAsia="宋体" w:cs="宋体"/>
          <w:color w:val="auto"/>
        </w:rPr>
        <w:t xml:space="preserve">合同履行期限：三年。</w:t>
      </w:r>
      <w:r/>
    </w:p>
    <w:p>
      <w:pPr>
        <w:pStyle w:val="803"/>
        <w:ind w:firstLine="480"/>
        <w:jc w:val="both"/>
        <w:spacing w:line="480" w:lineRule="exact"/>
        <w:rPr>
          <w:rFonts w:hint="eastAsia" w:ascii="宋体" w:hAnsi="宋体" w:eastAsia="宋体" w:cs="宋体"/>
          <w:color w:val="auto"/>
        </w:rPr>
      </w:pPr>
      <w:r>
        <w:rPr>
          <w:rFonts w:hint="eastAsia" w:ascii="宋体" w:hAnsi="宋体" w:eastAsia="宋体" w:cs="宋体"/>
          <w:color w:val="auto"/>
        </w:rPr>
        <w:t xml:space="preserve">本项目（是/否）接受联合体投标：否</w:t>
      </w:r>
      <w:r/>
    </w:p>
    <w:p>
      <w:pPr>
        <w:pStyle w:val="972"/>
        <w:spacing w:before="0" w:after="0" w:line="480" w:lineRule="exact"/>
        <w:rPr>
          <w:rFonts w:hint="eastAsia" w:ascii="宋体" w:hAnsi="宋体" w:cs="宋体"/>
          <w:b w:val="0"/>
          <w:color w:val="auto"/>
          <w:sz w:val="24"/>
          <w:szCs w:val="24"/>
        </w:rPr>
        <w:outlineLvl w:val="9"/>
      </w:pPr>
      <w:r/>
      <w:bookmarkStart w:id="12" w:name="_Toc35393622"/>
      <w:r/>
      <w:bookmarkStart w:id="13" w:name="_Toc35393791"/>
      <w:r/>
      <w:bookmarkStart w:id="14" w:name="_Toc28359003"/>
      <w:r/>
      <w:bookmarkStart w:id="15" w:name="_Toc28359080"/>
      <w:r>
        <w:rPr>
          <w:rFonts w:hint="eastAsia" w:ascii="宋体" w:hAnsi="宋体" w:cs="宋体"/>
          <w:b w:val="0"/>
          <w:color w:val="auto"/>
          <w:sz w:val="24"/>
          <w:szCs w:val="24"/>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rPr>
      </w:pPr>
      <w:r/>
      <w:bookmarkStart w:id="16" w:name="_Hlk227768296"/>
      <w:r>
        <w:rPr>
          <w:rFonts w:hint="eastAsia" w:ascii="宋体" w:hAnsi="宋体" w:eastAsia="宋体" w:cs="宋体"/>
          <w:color w:val="auto"/>
          <w:sz w:val="24"/>
          <w:szCs w:val="24"/>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rPr>
      </w:pPr>
      <w:r/>
      <w:bookmarkStart w:id="17" w:name="_Toc28359004"/>
      <w:r/>
      <w:bookmarkStart w:id="18" w:name="_Toc28359081"/>
      <w:r>
        <w:rPr>
          <w:rFonts w:hint="eastAsia" w:ascii="宋体" w:hAnsi="宋体" w:eastAsia="宋体" w:cs="宋体"/>
          <w:color w:val="auto"/>
          <w:sz w:val="24"/>
          <w:szCs w:val="24"/>
        </w:rPr>
        <w:t xml:space="preserve">（二）落实政府采购政策需满足的资格要求：</w:t>
      </w:r>
      <w:r>
        <w:rPr>
          <w:rFonts w:hint="eastAsia" w:ascii="宋体" w:hAnsi="宋体" w:eastAsia="宋体" w:cs="宋体"/>
          <w:color w:val="auto"/>
          <w:sz w:val="24"/>
          <w:u w:val="singl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eastAsia="宋体" w:cs="宋体"/>
          <w:color w:val="auto"/>
          <w:sz w:val="24"/>
          <w:szCs w:val="24"/>
          <w:u w:val="single"/>
        </w:rPr>
        <w:t xml:space="preserve">本项目支持和适用节能环保产品（财库〔2019〕9号）、（财库〔2019〕19号）、（财库〔2019〕18号）；支持中小微企业（财库〔2020〕46号）、（苏财购〔2020〕52号）、（工信部联企业〔2011〕300号）；支持监狱企业（财库〔2014〕68号）；促进残疾人就业（财库〔2017〕141号）等政策。中小企业划分标准见《关于印发中小企业划型标准规定的通知》（工信部联企业〔2011〕300号）。 </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1.投标人须具有有效的《中华人民共和国特种设备生产许可证》（许可项目包含锅炉安装</w:t>
      </w:r>
      <w:bookmarkStart w:id="106" w:name="_GoBack"/>
      <w:r>
        <w:rPr>
          <w:rFonts w:hint="eastAsia" w:ascii="宋体" w:hAnsi="宋体" w:eastAsia="宋体" w:cs="宋体"/>
          <w:color w:val="auto"/>
          <w:sz w:val="24"/>
          <w:szCs w:val="24"/>
        </w:rPr>
        <w:t xml:space="preserve">（</w:t>
      </w:r>
      <w:bookmarkEnd w:id="106"/>
      <w:r>
        <w:rPr>
          <w:rFonts w:hint="eastAsia" w:ascii="宋体" w:hAnsi="宋体" w:eastAsia="宋体" w:cs="宋体"/>
          <w:color w:val="auto"/>
          <w:sz w:val="24"/>
          <w:szCs w:val="24"/>
        </w:rPr>
        <w:t xml:space="preserve">含修理改造）B级及以上）；</w:t>
      </w:r>
      <w:r/>
    </w:p>
    <w:p>
      <w:pPr>
        <w:ind w:firstLine="48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2.投标人拟派驻本项目的运维人员中至少有8名须具备有效的特种设备作业人员证书（锅炉G1证），同时提供供应商为其缴纳的近三个月以内任意一个月（不含投标当月）的养老保险证明材料。</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（四）未被列入“信用中国”网站（www.creditchina.gov.cn）失信被执行人名单、重大税收违法失信主体、政府采购严重违法失信行为记录名单。</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972"/>
        <w:spacing w:before="0" w:after="0" w:line="480" w:lineRule="exact"/>
        <w:rPr>
          <w:rFonts w:hint="eastAsia" w:ascii="宋体" w:hAnsi="宋体" w:cs="宋体"/>
          <w:b w:val="0"/>
          <w:color w:val="auto"/>
          <w:sz w:val="24"/>
          <w:szCs w:val="24"/>
        </w:rPr>
        <w:outlineLvl w:val="9"/>
      </w:pPr>
      <w:r/>
      <w:bookmarkStart w:id="19" w:name="_Toc35393623"/>
      <w:r/>
      <w:bookmarkStart w:id="20" w:name="_Toc35393792"/>
      <w:r>
        <w:rPr>
          <w:rFonts w:hint="eastAsia" w:ascii="宋体" w:hAnsi="宋体" w:cs="宋体"/>
          <w:b w:val="0"/>
          <w:color w:val="auto"/>
          <w:sz w:val="24"/>
          <w:szCs w:val="24"/>
        </w:rPr>
        <w:t xml:space="preserve">三、获取招标文件</w:t>
      </w:r>
      <w:bookmarkEnd w:id="17"/>
      <w:r/>
      <w:bookmarkEnd w:id="18"/>
      <w:r/>
      <w:bookmarkEnd w:id="19"/>
      <w:r/>
      <w:bookmarkEnd w:id="20"/>
      <w:r>
        <w:rPr>
          <w:rFonts w:hint="eastAsia" w:ascii="宋体" w:hAnsi="宋体" w:cs="宋体"/>
          <w:b w:val="0"/>
          <w:color w:val="auto"/>
          <w:sz w:val="24"/>
          <w:szCs w:val="24"/>
        </w:rPr>
        <w:t xml:space="preserve">：</w:t>
      </w:r>
      <w:r/>
    </w:p>
    <w:p>
      <w:pPr>
        <w:ind w:firstLine="480"/>
        <w:spacing w:line="48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时间：2026年</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日0:00-2026年</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日0:00</w:t>
      </w:r>
      <w:r/>
    </w:p>
    <w:p>
      <w:pPr>
        <w:pStyle w:val="972"/>
        <w:ind w:firstLine="480"/>
        <w:spacing w:before="0" w:after="0" w:line="480" w:lineRule="exact"/>
        <w:rPr>
          <w:rFonts w:hint="eastAsia" w:ascii="宋体" w:hAnsi="宋体" w:cs="宋体"/>
          <w:b w:val="0"/>
          <w:bCs w:val="0"/>
          <w:color w:val="auto"/>
          <w:sz w:val="24"/>
          <w:szCs w:val="24"/>
        </w:rPr>
        <w:outlineLvl w:val="9"/>
      </w:pPr>
      <w:r/>
      <w:bookmarkStart w:id="21" w:name="_Toc28359005"/>
      <w:r/>
      <w:bookmarkStart w:id="22" w:name="_Toc28359082"/>
      <w:r/>
      <w:bookmarkStart w:id="23" w:name="_Toc35393793"/>
      <w:r/>
      <w:bookmarkStart w:id="24" w:name="_Toc35393624"/>
      <w:r>
        <w:rPr>
          <w:rFonts w:hint="eastAsia" w:ascii="宋体" w:hAnsi="宋体" w:cs="宋体"/>
          <w:b w:val="0"/>
          <w:bCs w:val="0"/>
          <w:color w:val="auto"/>
          <w:sz w:val="24"/>
          <w:szCs w:val="24"/>
        </w:rPr>
        <w:t xml:space="preserve">地点：江苏政府采购“苏采云”系统</w:t>
      </w:r>
      <w:r/>
    </w:p>
    <w:p>
      <w:pPr>
        <w:pStyle w:val="972"/>
        <w:ind w:firstLine="480"/>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方式：供应商完成注册并办理CA证书后登录江苏政府采购“苏采云”系统下载本项目招标文件</w:t>
      </w:r>
      <w:r/>
    </w:p>
    <w:p>
      <w:pPr>
        <w:pStyle w:val="972"/>
        <w:ind w:firstLine="480"/>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售价：0.00元</w:t>
      </w:r>
      <w:r/>
    </w:p>
    <w:p>
      <w:pPr>
        <w:pStyle w:val="972"/>
        <w:spacing w:before="0" w:after="0" w:line="48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四、提交投标文件</w:t>
      </w:r>
      <w:bookmarkEnd w:id="21"/>
      <w:r/>
      <w:bookmarkEnd w:id="22"/>
      <w:r>
        <w:rPr>
          <w:rFonts w:hint="eastAsia" w:ascii="宋体" w:hAnsi="宋体" w:cs="宋体"/>
          <w:b w:val="0"/>
          <w:color w:val="auto"/>
          <w:sz w:val="24"/>
          <w:szCs w:val="24"/>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时间：2026年</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日9点00分（北京时间）</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w:t>
      </w:r>
      <w:r/>
    </w:p>
    <w:p>
      <w:pPr>
        <w:pStyle w:val="972"/>
        <w:spacing w:before="0" w:after="0" w:line="480" w:lineRule="exact"/>
        <w:rPr>
          <w:rFonts w:hint="eastAsia" w:ascii="宋体" w:hAnsi="宋体" w:cs="宋体"/>
          <w:b w:val="0"/>
          <w:color w:val="auto"/>
          <w:sz w:val="24"/>
          <w:szCs w:val="24"/>
        </w:rPr>
        <w:outlineLvl w:val="9"/>
      </w:pPr>
      <w:r/>
      <w:bookmarkStart w:id="25" w:name="_Toc35393625"/>
      <w:r/>
      <w:bookmarkStart w:id="26" w:name="_Toc28359007"/>
      <w:r/>
      <w:bookmarkStart w:id="27" w:name="_Toc28359084"/>
      <w:r/>
      <w:bookmarkStart w:id="28" w:name="_Toc35393794"/>
      <w:r>
        <w:rPr>
          <w:rFonts w:hint="eastAsia" w:ascii="宋体" w:hAnsi="宋体" w:cs="宋体"/>
          <w:b w:val="0"/>
          <w:color w:val="auto"/>
          <w:sz w:val="24"/>
          <w:szCs w:val="24"/>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972"/>
        <w:spacing w:before="0" w:after="0" w:line="480" w:lineRule="exact"/>
        <w:rPr>
          <w:rFonts w:hint="eastAsia" w:ascii="宋体" w:hAnsi="宋体" w:cs="宋体"/>
          <w:b w:val="0"/>
          <w:color w:val="auto"/>
          <w:sz w:val="24"/>
          <w:szCs w:val="24"/>
        </w:rPr>
        <w:outlineLvl w:val="9"/>
      </w:pPr>
      <w:r/>
      <w:bookmarkStart w:id="29" w:name="_Toc35393626"/>
      <w:r/>
      <w:bookmarkStart w:id="30" w:name="_Toc35393795"/>
      <w:r>
        <w:rPr>
          <w:rFonts w:hint="eastAsia" w:ascii="宋体" w:hAnsi="宋体" w:cs="宋体"/>
          <w:b w:val="0"/>
          <w:color w:val="auto"/>
          <w:sz w:val="24"/>
          <w:szCs w:val="24"/>
        </w:rPr>
        <w:t xml:space="preserve">六、其他补充事宜</w:t>
      </w:r>
      <w:bookmarkEnd w:id="29"/>
      <w:r/>
      <w:bookmarkEnd w:id="30"/>
      <w:r/>
      <w:r/>
    </w:p>
    <w:p>
      <w:pPr>
        <w:ind w:firstLine="480"/>
        <w:spacing w:line="480" w:lineRule="exact"/>
        <w:rPr>
          <w:rFonts w:hint="eastAsia" w:ascii="宋体" w:hAnsi="宋体" w:eastAsia="宋体" w:cs="宋体"/>
          <w:color w:val="auto"/>
          <w:sz w:val="24"/>
          <w:szCs w:val="24"/>
        </w:rPr>
      </w:pPr>
      <w:r/>
      <w:bookmarkStart w:id="31" w:name="_Toc28359085"/>
      <w:r/>
      <w:bookmarkStart w:id="32" w:name="_Toc35393627"/>
      <w:r/>
      <w:bookmarkStart w:id="33" w:name="_Toc28359008"/>
      <w:r/>
      <w:bookmarkStart w:id="34" w:name="_Toc35393796"/>
      <w:r>
        <w:rPr>
          <w:rFonts w:hint="eastAsia" w:ascii="宋体" w:hAnsi="宋体" w:eastAsia="宋体" w:cs="宋体"/>
          <w:color w:val="auto"/>
          <w:sz w:val="24"/>
          <w:szCs w:val="24"/>
        </w:rPr>
        <w:t xml:space="preserve">1.本项目采用网上注册登记方式。潜在投标人访问电子招标投标交易平台的网络地址和方法如下：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（1）登录http://jszfcg.jsczt.cn/，点击“苏采云”进入系统。</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3.有关本次招标的事项若存在变动或修改，敬请及时关注“江苏政府采购网”发布的更正公告。</w:t>
      </w:r>
      <w:r/>
    </w:p>
    <w:p>
      <w:pPr>
        <w:pStyle w:val="972"/>
        <w:ind w:firstLine="480"/>
        <w:keepLines w:val="0"/>
        <w:keepNext w:val="0"/>
        <w:spacing w:before="0" w:after="0" w:line="480" w:lineRule="exact"/>
        <w:rPr>
          <w:rFonts w:hint="eastAsia" w:ascii="宋体" w:hAnsi="宋体" w:cs="宋体"/>
          <w:b w:val="0"/>
          <w:bCs w:val="0"/>
          <w:color w:val="auto"/>
          <w:sz w:val="24"/>
          <w:szCs w:val="24"/>
        </w:rPr>
        <w:outlineLvl w:val="9"/>
      </w:pPr>
      <w:r>
        <w:rPr>
          <w:rFonts w:hint="eastAsia" w:ascii="宋体" w:hAnsi="宋体" w:cs="宋体"/>
          <w:b w:val="0"/>
          <w:color w:val="auto"/>
          <w:sz w:val="24"/>
          <w:szCs w:val="24"/>
        </w:rPr>
        <w:t xml:space="preserve">4.</w:t>
      </w:r>
      <w:r>
        <w:rPr>
          <w:rFonts w:hint="eastAsia" w:ascii="宋体" w:hAnsi="宋体" w:cs="宋体"/>
          <w:b w:val="0"/>
          <w:bCs w:val="0"/>
          <w:color w:val="auto"/>
          <w:sz w:val="24"/>
          <w:szCs w:val="24"/>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5.如潜在投标人未按上述要求操作，将自行承担所产生的风险。</w:t>
      </w:r>
      <w:r/>
    </w:p>
    <w:p>
      <w:pPr>
        <w:pStyle w:val="972"/>
        <w:spacing w:before="0" w:after="0" w:line="480" w:lineRule="exact"/>
        <w:rPr>
          <w:rFonts w:hint="eastAsia" w:ascii="宋体" w:hAnsi="宋体" w:cs="宋体"/>
          <w:b w:val="0"/>
          <w:color w:val="auto"/>
          <w:sz w:val="24"/>
          <w:szCs w:val="24"/>
        </w:rPr>
        <w:outlineLvl w:val="9"/>
      </w:pPr>
      <w:r>
        <w:rPr>
          <w:rFonts w:hint="eastAsia" w:ascii="宋体" w:hAnsi="宋体" w:cs="宋体"/>
          <w:b w:val="0"/>
          <w:bCs w:val="0"/>
          <w:color w:val="auto"/>
          <w:sz w:val="24"/>
          <w:szCs w:val="24"/>
        </w:rPr>
        <w:t xml:space="preserve">七、对本次招标</w:t>
      </w:r>
      <w:r>
        <w:rPr>
          <w:rFonts w:hint="eastAsia" w:ascii="宋体" w:hAnsi="宋体" w:cs="宋体"/>
          <w:b w:val="0"/>
          <w:color w:val="auto"/>
          <w:sz w:val="24"/>
          <w:szCs w:val="24"/>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bCs/>
          <w:color w:val="auto"/>
          <w:sz w:val="24"/>
          <w:szCs w:val="24"/>
        </w:rPr>
        <w:t xml:space="preserve">泰州市人民医院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单位地址：泰州市医药高新区太湖路366号</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联系人：孙</w:t>
      </w:r>
      <w:r>
        <w:rPr>
          <w:rFonts w:hint="eastAsia" w:ascii="宋体" w:hAnsi="宋体" w:eastAsia="宋体" w:cs="宋体"/>
          <w:bCs/>
          <w:color w:val="auto"/>
          <w:sz w:val="24"/>
          <w:szCs w:val="24"/>
        </w:rPr>
        <w:t xml:space="preserve">先生</w:t>
      </w:r>
      <w:r>
        <w:rPr>
          <w:rFonts w:hint="eastAsia" w:ascii="宋体" w:hAnsi="宋体" w:eastAsia="宋体" w:cs="宋体"/>
          <w:color w:val="auto"/>
          <w:sz w:val="24"/>
          <w:szCs w:val="24"/>
        </w:rPr>
        <w:t xml:space="preserve">  </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5" w:name="_Toc28359086"/>
      <w:r/>
      <w:bookmarkStart w:id="36" w:name="_Toc28359009"/>
      <w:r>
        <w:rPr>
          <w:rFonts w:hint="eastAsia" w:ascii="宋体" w:hAnsi="宋体" w:eastAsia="宋体" w:cs="宋体"/>
          <w:color w:val="auto"/>
          <w:sz w:val="24"/>
          <w:szCs w:val="24"/>
        </w:rPr>
        <w:t xml:space="preserve">0523-89890040</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单位名称：江苏建泰工程项目管理有限公司</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单位地址：泰州市海陵区华润万象城双子塔东塔52楼5203室</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联系人：周女士</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7" w:name="_Toc28359087"/>
      <w:r/>
      <w:bookmarkStart w:id="38" w:name="_Toc28359010"/>
      <w:r>
        <w:rPr>
          <w:rFonts w:hint="eastAsia" w:ascii="宋体" w:hAnsi="宋体" w:eastAsia="宋体" w:cs="宋体"/>
          <w:color w:val="auto"/>
          <w:sz w:val="24"/>
          <w:szCs w:val="24"/>
        </w:rPr>
        <w:t xml:space="preserve">0523-81908859</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bookmarkEnd w:id="37"/>
      <w:r/>
      <w:bookmarkEnd w:id="38"/>
      <w:r/>
      <w:r/>
    </w:p>
    <w:p>
      <w:pPr>
        <w:pStyle w:val="995"/>
        <w:ind w:firstLine="480"/>
        <w:spacing w:line="480" w:lineRule="exact"/>
        <w:rPr>
          <w:rFonts w:hint="eastAsia" w:hAnsi="宋体" w:eastAsia="宋体" w:cs="宋体"/>
          <w:color w:val="auto"/>
          <w:sz w:val="24"/>
          <w:szCs w:val="24"/>
        </w:rPr>
      </w:pPr>
      <w:r>
        <w:rPr>
          <w:rFonts w:hint="eastAsia" w:hAnsi="宋体" w:eastAsia="宋体" w:cs="宋体"/>
          <w:color w:val="auto"/>
          <w:sz w:val="24"/>
          <w:szCs w:val="24"/>
        </w:rPr>
        <w:t xml:space="preserve">项目联系人：周女士</w:t>
      </w:r>
      <w:r/>
    </w:p>
    <w:p>
      <w:pPr>
        <w:pStyle w:val="995"/>
        <w:ind w:firstLine="480"/>
        <w:spacing w:line="480" w:lineRule="exact"/>
        <w:rPr>
          <w:rFonts w:hint="eastAsia" w:hAnsi="宋体" w:eastAsia="宋体" w:cs="宋体"/>
          <w:color w:val="auto"/>
        </w:rPr>
      </w:pPr>
      <w:r>
        <w:rPr>
          <w:rFonts w:hint="eastAsia" w:hAnsi="宋体" w:eastAsia="宋体" w:cs="宋体"/>
          <w:color w:val="auto"/>
          <w:sz w:val="24"/>
          <w:szCs w:val="24"/>
        </w:rPr>
        <w:t xml:space="preserve">电　话：0523-81908859</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b/>
          <w:color w:val="auto"/>
          <w:spacing w:val="15"/>
          <w:sz w:val="32"/>
          <w:szCs w:val="32"/>
        </w:rPr>
      </w:pPr>
      <w:r>
        <w:rPr>
          <w:rFonts w:hint="eastAsia" w:ascii="宋体" w:hAnsi="宋体" w:eastAsia="宋体" w:cs="宋体"/>
          <w:b/>
          <w:color w:val="auto"/>
          <w:spacing w:val="15"/>
          <w:sz w:val="32"/>
          <w:szCs w:val="32"/>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rPr>
      </w:pPr>
      <w:r>
        <w:rPr>
          <w:rFonts w:hint="eastAsia" w:ascii="宋体" w:hAnsi="宋体" w:eastAsia="宋体" w:cs="宋体"/>
          <w:b/>
          <w:color w:val="auto"/>
          <w:szCs w:val="22"/>
        </w:rPr>
        <w:t xml:space="preserve">    投标人须知前附表</w:t>
      </w:r>
      <w:r/>
    </w:p>
    <w:tbl>
      <w:tblPr>
        <w:tblStyle w:val="75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633"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7395"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内容</w:t>
            </w:r>
            <w:r/>
          </w:p>
        </w:tc>
      </w:tr>
      <w:tr>
        <w:trPr>
          <w:jc w:val="center"/>
          <w:trHeight w:val="670"/>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泰州市人民医院中央空调及锅炉系统运维服务采购项目</w:t>
            </w:r>
            <w:r/>
          </w:p>
        </w:tc>
      </w:tr>
      <w:tr>
        <w:trPr>
          <w:jc w:val="center"/>
          <w:trHeight w:val="1461"/>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招标内容</w:t>
            </w:r>
            <w:r/>
          </w:p>
        </w:tc>
        <w:tc>
          <w:tcPr>
            <w:tcW w:w="7395" w:type="dxa"/>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 w:val="24"/>
                <w:szCs w:val="24"/>
              </w:rPr>
              <w:t xml:space="preserve">提供总院、海陵院区和妇幼中央空调及锅炉系统的运维服务，包括冷冻机房和锅炉的值班，冷水机组、净化机组和锅炉设备的维保，中央空调末端的维修、清洗和消毒，空调机组的过滤器更换等。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服务期限</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三年</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最高投标限价</w:t>
            </w:r>
            <w:r/>
          </w:p>
        </w:tc>
        <w:tc>
          <w:tcPr>
            <w:tcW w:w="7395" w:type="dxa"/>
            <w:vAlign w:val="center"/>
            <w:textDirection w:val="lrTb"/>
            <w:noWrap w:val="false"/>
          </w:tcPr>
          <w:p>
            <w:pPr>
              <w:rPr>
                <w:rFonts w:hint="eastAsia" w:ascii="宋体" w:hAnsi="宋体" w:eastAsia="宋体" w:cs="宋体"/>
                <w:color w:val="auto"/>
              </w:rPr>
            </w:pPr>
            <w:r>
              <w:rPr>
                <w:rFonts w:hint="eastAsia" w:ascii="宋体" w:hAnsi="宋体" w:eastAsia="宋体" w:cs="宋体"/>
                <w:iCs/>
                <w:color w:val="auto"/>
                <w:sz w:val="24"/>
                <w:szCs w:val="24"/>
              </w:rPr>
              <w:t xml:space="preserve">818.25万元（272.75万元/年），各投标人的投标报价不得超过招标文件规定的最高投标限价，否则按无效投标文件处理。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合格投标人资格要求</w:t>
            </w:r>
            <w:r/>
          </w:p>
        </w:tc>
        <w:tc>
          <w:tcPr>
            <w:tcW w:w="7395" w:type="dxa"/>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联合体投标</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☑不接受，招标文件中有关联合体的规定均不适用。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现场考察</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☑不组织，自行考察；如投标人需自行考察，费用自理。联系人：张先生  联系电话：0523-89890612</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□组织，考察时间：/年/月/日/时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集合地点：/</w:t>
            </w:r>
            <w:r/>
          </w:p>
          <w:p>
            <w:pPr>
              <w:ind w:firstLine="975"/>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投标答疑会</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☑不召开</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口召开，召开时间：年月日时</w:t>
            </w:r>
            <w:r/>
          </w:p>
          <w:p>
            <w:pPr>
              <w:ind w:firstLine="975"/>
              <w:rPr>
                <w:rFonts w:hint="eastAsia" w:ascii="宋体" w:hAnsi="宋体" w:eastAsia="宋体" w:cs="宋体"/>
                <w:color w:val="auto"/>
                <w:sz w:val="24"/>
                <w:szCs w:val="24"/>
              </w:rPr>
            </w:pPr>
            <w:r>
              <w:rPr>
                <w:rFonts w:hint="eastAsia" w:ascii="宋体" w:hAnsi="宋体" w:eastAsia="宋体" w:cs="宋体"/>
                <w:color w:val="auto"/>
                <w:sz w:val="24"/>
                <w:szCs w:val="24"/>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合同方式</w:t>
            </w:r>
            <w:r/>
          </w:p>
        </w:tc>
        <w:tc>
          <w:tcPr>
            <w:tcW w:w="7395" w:type="dxa"/>
            <w:vAlign w:val="center"/>
            <w:textDirection w:val="lrTb"/>
            <w:noWrap w:val="false"/>
          </w:tcPr>
          <w:p>
            <w:pPr>
              <w:rPr>
                <w:rFonts w:hint="eastAsia" w:ascii="宋体" w:hAnsi="宋体" w:eastAsia="宋体" w:cs="宋体"/>
                <w:color w:val="auto"/>
                <w:szCs w:val="24"/>
              </w:rPr>
            </w:pPr>
            <w:r>
              <w:rPr>
                <w:rFonts w:hint="eastAsia" w:ascii="宋体" w:hAnsi="宋体" w:eastAsia="宋体" w:cs="宋体"/>
                <w:color w:val="auto"/>
                <w:sz w:val="24"/>
                <w:szCs w:val="24"/>
              </w:rPr>
              <w:t xml:space="preserve">☑固定单价合同，最终按实结算</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□固定总价合同</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7395"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投标文件有效期</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60 </w:t>
            </w:r>
            <w:r>
              <w:rPr>
                <w:rFonts w:hint="eastAsia" w:ascii="宋体" w:hAnsi="宋体" w:eastAsia="宋体" w:cs="宋体"/>
                <w:color w:val="auto"/>
                <w:sz w:val="24"/>
                <w:szCs w:val="24"/>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25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投标地点</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开标时间和地点</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25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7395" w:type="dxa"/>
            <w:vAlign w:val="center"/>
            <w:textDirection w:val="lrTb"/>
            <w:noWrap w:val="false"/>
          </w:tcPr>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☑综合评分法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□最低评标价法  </w:t>
            </w:r>
            <w:r>
              <w:rPr>
                <w:rFonts w:hint="eastAsia" w:ascii="宋体" w:hAnsi="宋体" w:eastAsia="宋体" w:cs="宋体"/>
                <w:color w:val="auto"/>
                <w:sz w:val="24"/>
                <w:szCs w:val="24"/>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定标办法</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采购人根据评标委员会推荐的中标候选投标人顺序确定中标人。</w:t>
            </w:r>
            <w:r/>
          </w:p>
        </w:tc>
      </w:tr>
      <w:tr>
        <w:trPr>
          <w:jc w:val="center"/>
          <w:trHeight w:val="2319"/>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□不提交，招标文件中有关履约保证金的规定均不适用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金额：中标价的10%计取。</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形式：</w:t>
            </w:r>
            <w:r>
              <w:rPr>
                <w:rFonts w:hint="eastAsia" w:ascii="宋体" w:hAnsi="宋体" w:eastAsia="宋体" w:cs="宋体"/>
                <w:color w:val="auto"/>
                <w:szCs w:val="24"/>
              </w:rPr>
              <w:t xml:space="preserve">电汇、转账、支票、汇票、本票（限泰州同城）、保函</w:t>
            </w:r>
            <w:r>
              <w:rPr>
                <w:rFonts w:hint="eastAsia" w:ascii="宋体" w:hAnsi="宋体" w:eastAsia="宋体" w:cs="宋体"/>
                <w:color w:val="auto"/>
                <w:szCs w:val="24"/>
              </w:rPr>
              <w:t xml:space="preserve">等非现金形式</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提交时间：收到中标通知书后签订合同前</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退还时间：服务期满后退还（无息）</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w:t>
            </w:r>
            <w:r/>
          </w:p>
        </w:tc>
        <w:tc>
          <w:tcPr>
            <w:tcW w:w="739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中标通知书发出之日起</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日内</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签订合同地点：泰州市人民医院</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付款方式</w:t>
            </w:r>
            <w:r/>
          </w:p>
        </w:tc>
        <w:tc>
          <w:tcPr>
            <w:tcW w:w="7395" w:type="dxa"/>
            <w:vAlign w:val="center"/>
            <w:textDirection w:val="lrTb"/>
            <w:noWrap w:val="false"/>
          </w:tcPr>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合同签订后，中标人开始按计划运维，运维费用分成三部分支付，其中人员费用按月支付，设备维保费用按月支付，过滤器耗材费用按季支付，具体支付方式如下：</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（1）运维人员费用：每月运维服务结束后，采购人根据当月实际到岗人数及考核结果核算人员费用；中标人开具相应金额的月度发票，按采购人财务制度支付。</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2）设备维保费用：每月运维服务结束后，采购人根据当月实际维保机组数量、冷冻油等维保耗材用量及考核结果核算设备维保费用；中标人开具相应金额的月度发票，按采购人财务制度支付。如遇采购人设备换新，则相应核减相应设备的维保费用。</w:t>
            </w:r>
            <w:r/>
          </w:p>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（3）过滤器耗材费用：每季度运维服务结束后，采购人根据当季实际更换过滤器数量及考核结果核算耗材费用；中标人开具相应金额的季度发票，按采购人财务制度支付。</w:t>
            </w:r>
            <w:r/>
          </w:p>
        </w:tc>
      </w:tr>
      <w:tr>
        <w:trPr>
          <w:jc w:val="center"/>
          <w:trHeight w:val="136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中标服务费</w:t>
            </w:r>
            <w:r/>
          </w:p>
        </w:tc>
        <w:tc>
          <w:tcPr>
            <w:tcW w:w="7395" w:type="dxa"/>
            <w:vAlign w:val="center"/>
            <w:textDirection w:val="lrTb"/>
            <w:noWrap w:val="false"/>
          </w:tcPr>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招标代理费</w:t>
            </w:r>
            <w:r>
              <w:rPr>
                <w:rFonts w:hint="eastAsia" w:ascii="宋体" w:hAnsi="宋体" w:eastAsia="宋体" w:cs="宋体"/>
                <w:color w:val="auto"/>
              </w:rPr>
              <w:t xml:space="preserve">按照《关于印发&lt;江苏省政府采购代理服务收费指导意见&gt;的通知》（苏政采协〔2024〕20号）文件规定的收费标准的10%计取</w:t>
            </w:r>
            <w:r>
              <w:rPr>
                <w:rFonts w:hint="eastAsia" w:ascii="宋体" w:hAnsi="宋体" w:eastAsia="宋体" w:cs="宋体"/>
                <w:color w:val="auto"/>
                <w:szCs w:val="24"/>
              </w:rPr>
              <w:t xml:space="preserve">，上述费用考虑在本次投标报价中，由中标人在中标后领取中标通知书前缴纳给招标代理机构。</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6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W w:w="7395" w:type="dxa"/>
            <w:vAlign w:val="center"/>
            <w:textDirection w:val="lrTb"/>
            <w:noWrap w:val="false"/>
          </w:tcPr>
          <w:p>
            <w:pPr>
              <w:pStyle w:val="98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解释：本文件的解释权属于采购人（或代理机构）。</w:t>
            </w:r>
            <w:r/>
          </w:p>
        </w:tc>
      </w:tr>
    </w:tbl>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一、说明和释义</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1.说明  </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1.1本招标文件仅适用于江苏建泰工程项目管理有限公司组织的招标活动。</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1.2本次招标活动及因本次招标产生的合同受中国法律制约和保护。</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1.3本招标文件的解释权属于采购人（或代理机构）。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2.词语释义</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2.1采购人：指依法进行采购的国家机关、事业单位、团体组织。</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2.4招标采购单位：采购人及采购代理机构的统称。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2.8天：日历天。</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二、投标人</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3.合格投标人资格要求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（一）满足《中华人民共和国政府采购法》第二十二条规定：</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（二）落实政府采购政策需满足的资格要求：本项目不专门面向中小微企业、监狱企业、残疾人福利</w:t>
      </w:r>
      <w:r>
        <w:rPr>
          <w:rFonts w:hint="eastAsia" w:ascii="宋体" w:hAnsi="宋体" w:eastAsia="宋体" w:cs="宋体"/>
          <w:color w:val="auto"/>
          <w:sz w:val="24"/>
          <w:szCs w:val="24"/>
        </w:rPr>
        <w:t xml:space="preserve">性单位，对符合条件的小型和微型企业、残疾人福利单位、监狱企业给予10%的扣除价格，用扣除后的价格参与评审。本项目支持和适用节能环保产品（财库〔2019〕9号）、（财库〔2019〕19号）、（财库〔2019〕18号）；支持中小微企业（财库〔2020〕46号）、（苏财购〔2020〕52号）、（工信部联企业〔2011〕300号）；支持监狱企业（财库〔2014〕68号）；促进残疾人就业（财库〔2017〕141号）等政策。中小企业划分标准见《关于印发中小企业划型标准规定的通知》（工信部联企业〔2011〕300号）。 </w:t>
      </w:r>
      <w:r/>
    </w:p>
    <w:p>
      <w:pPr>
        <w:ind w:firstLine="48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1.投标人须具有有效的《中华人民共和国特种设备生产许可证》（许可项目包含锅炉安装（含修理改造）B级及以上）；</w:t>
      </w:r>
      <w:r/>
    </w:p>
    <w:p>
      <w:pPr>
        <w:ind w:firstLine="48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2.投标人拟派驻本项目的运维人员中至少有8名须具备有效的特种设备作业人员证书（锅炉G1证），同时提供供应商为其缴纳的近三个月以内任意一个月（不含投标当月）的养老保险证明材料。</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（四）未被列入“信用中国”网站（www.creditchina.gov.cn）失信被执行人名单、重大税收违法失信主体、政府采购严重违法失信行为记录名单。</w:t>
      </w:r>
      <w:r/>
    </w:p>
    <w:p>
      <w:pPr>
        <w:ind w:firstLine="480"/>
        <w:spacing w:line="520" w:lineRule="exact"/>
        <w:rPr>
          <w:rFonts w:hint="eastAsia" w:ascii="宋体" w:hAnsi="宋体" w:eastAsia="宋体" w:cs="宋体"/>
          <w:color w:val="auto"/>
        </w:rPr>
      </w:pPr>
      <w:r>
        <w:rPr>
          <w:rFonts w:hint="eastAsia" w:ascii="宋体" w:hAnsi="宋体" w:eastAsia="宋体" w:cs="宋体"/>
          <w:color w:val="auto"/>
          <w:sz w:val="24"/>
          <w:szCs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5.投标人代表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6.不接受联合体投标。</w:t>
      </w:r>
      <w:r/>
    </w:p>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（4）被责令停业的；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（5）被暂停或取消投标资格的；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（6）财产被接管或冻结的；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（9）违反法律法规相关规定的。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三、招标文件说明</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8.招标文件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9.现场考察 </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9.1投标人应按</w:t>
      </w:r>
      <w:r>
        <w:rPr>
          <w:rFonts w:hint="eastAsia" w:ascii="宋体" w:hAnsi="宋体" w:eastAsia="宋体" w:cs="宋体"/>
          <w:bCs/>
          <w:color w:val="auto"/>
          <w:sz w:val="24"/>
          <w:szCs w:val="24"/>
        </w:rPr>
        <w:t xml:space="preserve">招标文件中所述时间</w:t>
      </w:r>
      <w:r>
        <w:rPr>
          <w:rFonts w:hint="eastAsia" w:ascii="宋体" w:hAnsi="宋体" w:eastAsia="宋体" w:cs="宋体"/>
          <w:color w:val="auto"/>
          <w:sz w:val="24"/>
          <w:szCs w:val="24"/>
        </w:rPr>
        <w:t xml:space="preserve">对有关现场和周围环境进行认真充分的考察，以获取编制投标文件和签署合同所需的信息。考察现场所发生的费用由投标人自己承担。</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10.招标文件的澄清和修改</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四、投标文件说明</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11.投标文件计量单位和使用文字</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95"/>
        <w:ind w:firstLine="480"/>
        <w:spacing w:line="520" w:lineRule="exact"/>
        <w:rPr>
          <w:rFonts w:hint="eastAsia" w:hAnsi="宋体" w:eastAsia="宋体" w:cs="宋体"/>
          <w:color w:val="auto"/>
          <w:sz w:val="24"/>
          <w:szCs w:val="24"/>
        </w:rPr>
      </w:pPr>
      <w:r>
        <w:rPr>
          <w:rFonts w:hint="eastAsia" w:hAnsi="宋体" w:eastAsia="宋体" w:cs="宋体"/>
          <w:color w:val="auto"/>
          <w:sz w:val="24"/>
          <w:szCs w:val="24"/>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w:t>
      </w:r>
      <w:bookmarkStart w:id="39" w:name="_Toc217446047"/>
      <w:r>
        <w:rPr>
          <w:rFonts w:hint="eastAsia" w:ascii="宋体" w:hAnsi="宋体" w:eastAsia="宋体" w:cs="宋体"/>
          <w:b/>
          <w:color w:val="auto"/>
          <w:sz w:val="24"/>
          <w:szCs w:val="24"/>
        </w:rPr>
        <w:t xml:space="preserve">2.知识产权</w:t>
      </w:r>
      <w:bookmarkEnd w:id="39"/>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w:t>
      </w:r>
      <w:r>
        <w:rPr>
          <w:rFonts w:hint="eastAsia" w:ascii="宋体" w:hAnsi="宋体" w:eastAsia="宋体" w:cs="宋体"/>
          <w:b/>
          <w:bCs/>
          <w:color w:val="auto"/>
          <w:sz w:val="24"/>
          <w:szCs w:val="24"/>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2.资格、资信等证明文件：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（1）关于资格的声明函</w:t>
      </w:r>
      <w:r>
        <w:rPr>
          <w:rFonts w:hint="eastAsia" w:ascii="宋体" w:hAnsi="宋体" w:eastAsia="宋体" w:cs="宋体"/>
          <w:b/>
          <w:bCs/>
          <w:color w:val="auto"/>
          <w:sz w:val="24"/>
          <w:szCs w:val="24"/>
        </w:rPr>
        <w:t xml:space="preserve">（格式见附件）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bCs/>
          <w:color w:val="auto"/>
          <w:sz w:val="24"/>
          <w:szCs w:val="24"/>
        </w:rPr>
        <w:t xml:space="preserve">具有独立承担民事责任的能力：</w:t>
      </w:r>
      <w:r>
        <w:rPr>
          <w:rFonts w:hint="eastAsia" w:ascii="宋体" w:hAnsi="宋体" w:eastAsia="宋体" w:cs="宋体"/>
          <w:color w:val="auto"/>
          <w:sz w:val="24"/>
          <w:szCs w:val="24"/>
        </w:rPr>
        <w:t xml:space="preserve">法人或其他组织的营业执照或相关部门的登记证明文件扫描件； </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bCs/>
          <w:color w:val="auto"/>
          <w:sz w:val="24"/>
          <w:szCs w:val="24"/>
        </w:rPr>
        <w:t xml:space="preserve">具有良好的商业信誉和健全的财务会计制度：</w:t>
      </w:r>
      <w:r>
        <w:rPr>
          <w:rFonts w:hint="eastAsia" w:ascii="宋体" w:hAnsi="宋体" w:eastAsia="宋体" w:cs="宋体"/>
          <w:color w:val="auto"/>
          <w:sz w:val="24"/>
          <w:szCs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bCs/>
          <w:color w:val="auto"/>
          <w:sz w:val="24"/>
          <w:szCs w:val="24"/>
        </w:rPr>
        <w:t xml:space="preserve">有依法缴纳税收和社会保障资金的良好记录：</w:t>
      </w:r>
      <w:r>
        <w:rPr>
          <w:rFonts w:hint="eastAsia" w:ascii="宋体" w:hAnsi="宋体" w:eastAsia="宋体" w:cs="宋体"/>
          <w:color w:val="auto"/>
          <w:sz w:val="24"/>
          <w:szCs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（6）具备履行合同所必需的设备和专业技术能力的书面声明</w:t>
      </w:r>
      <w:r>
        <w:rPr>
          <w:rFonts w:hint="eastAsia" w:ascii="宋体" w:hAnsi="宋体" w:eastAsia="宋体" w:cs="宋体"/>
          <w:b/>
          <w:bCs/>
          <w:color w:val="auto"/>
          <w:sz w:val="24"/>
          <w:szCs w:val="24"/>
        </w:rPr>
        <w:t xml:space="preserve">（格式自拟）</w:t>
      </w:r>
      <w:r>
        <w:rPr>
          <w:rFonts w:hint="eastAsia" w:ascii="宋体" w:hAnsi="宋体" w:eastAsia="宋体" w:cs="宋体"/>
          <w:color w:val="auto"/>
          <w:sz w:val="24"/>
          <w:szCs w:val="24"/>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（7）参加政府采购活动前3年内在经营活动中没有重大违法记录的书面声明</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（8）投标人具有《中华人民共和国特种设备生产许可证》（许可项目包含锅炉安装（含修理改造）B级及以上）；</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eastAsia="宋体" w:cs="宋体"/>
          <w:color w:val="auto"/>
          <w:sz w:val="24"/>
          <w:szCs w:val="24"/>
        </w:rPr>
        <w:t xml:space="preserve">投标人</w:t>
      </w:r>
      <w:r>
        <w:rPr>
          <w:rFonts w:hint="eastAsia" w:ascii="宋体" w:hAnsi="宋体" w:eastAsia="宋体" w:cs="宋体"/>
          <w:color w:val="auto"/>
          <w:sz w:val="24"/>
        </w:rPr>
        <w:t xml:space="preserve">拟派驻本项目的运维人员中至少8名人员的有效的特种设备作业人员证书（锅炉G1证），同时提供供应商为其缴纳的近三个月以内任意一个月（不含投标当月）的养老保险证明材料。</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rPr>
        <w:t xml:space="preserve">（10）中小企业声明函或残疾人福利性单位声明函或监狱企业的证明资料（各投标人视情况自行决定是否提供）</w:t>
      </w:r>
      <w:r>
        <w:rPr>
          <w:rFonts w:hint="eastAsia" w:ascii="宋体" w:hAnsi="宋体" w:eastAsia="宋体" w:cs="宋体"/>
          <w:bCs/>
          <w:color w:val="auto"/>
          <w:sz w:val="24"/>
        </w:rPr>
        <w:t xml:space="preserve">（</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（11）承诺书（格式见附件）。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5.过滤器单价一览表（格式见附件）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8.拟投入本项目的项目组人员配置表（格式见附件）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u w:val="single"/>
        </w:rPr>
      </w:pPr>
      <w:r>
        <w:rPr>
          <w:rFonts w:hint="eastAsia" w:ascii="宋体" w:hAnsi="宋体" w:eastAsia="宋体" w:cs="宋体"/>
          <w:color w:val="auto"/>
          <w:sz w:val="24"/>
          <w:szCs w:val="24"/>
        </w:rPr>
        <w:t xml:space="preserve">上述1-8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14.投标文件编制及递交要求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14.5投标费用自理。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15.投标报价（编制）要求的说明</w:t>
      </w:r>
      <w:r/>
    </w:p>
    <w:p>
      <w:pPr>
        <w:pStyle w:val="984"/>
        <w:ind w:firstLine="480"/>
        <w:jc w:val="both"/>
        <w:spacing w:line="520" w:lineRule="exact"/>
        <w:rPr>
          <w:rFonts w:hint="eastAsia" w:ascii="宋体" w:hAnsi="宋体" w:eastAsia="宋体" w:cs="宋体"/>
          <w:b/>
          <w:bCs/>
          <w:color w:val="auto"/>
          <w:szCs w:val="24"/>
        </w:rPr>
      </w:pPr>
      <w:r>
        <w:rPr>
          <w:rFonts w:hint="eastAsia" w:ascii="宋体" w:hAnsi="宋体" w:eastAsia="宋体" w:cs="宋体"/>
          <w:color w:val="auto"/>
          <w:szCs w:val="24"/>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15.2投标人应对招标文件内所要采购的全部内容进行报价，只投其中部分内容者，其标书将被拒绝。</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15.3一项投标内容只允许一个报价，采购单位不接受任何有选择性的投标报价。</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16.投标保证金</w:t>
      </w:r>
      <w:r/>
    </w:p>
    <w:p>
      <w:pPr>
        <w:pStyle w:val="973"/>
        <w:ind w:firstLine="480"/>
        <w:keepLines w:val="0"/>
        <w:keepNext w:val="0"/>
        <w:spacing w:before="0" w:after="0" w:line="520" w:lineRule="exact"/>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依据苏财购</w:t>
      </w:r>
      <w:r>
        <w:rPr>
          <w:rFonts w:hint="eastAsia" w:ascii="宋体" w:hAnsi="宋体" w:eastAsia="宋体" w:cs="宋体"/>
          <w:color w:val="auto"/>
          <w:sz w:val="24"/>
          <w:szCs w:val="24"/>
        </w:rPr>
        <w:t xml:space="preserve">〔2020〕</w:t>
      </w:r>
      <w:r>
        <w:rPr>
          <w:rFonts w:hint="eastAsia" w:ascii="宋体" w:hAnsi="宋体" w:eastAsia="宋体" w:cs="宋体"/>
          <w:b w:val="0"/>
          <w:bCs w:val="0"/>
          <w:color w:val="auto"/>
          <w:sz w:val="24"/>
          <w:szCs w:val="24"/>
        </w:rPr>
        <w:t xml:space="preserve">52号文件精神，本项目免收投标保证金。 </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17.投标文件的有效期</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18.投标文件的拒收</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五、投标文件的递交</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19.投标文件的递交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19.1电子投标文件的递交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20.投标截止日期</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21.投标文件的修改和撤回</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21.1投标文件的撤回</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 投标文件的修改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六、开标和评标</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22.开标</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23.评标委员会</w:t>
      </w:r>
      <w:r>
        <w:rPr>
          <w:rFonts w:hint="eastAsia" w:ascii="宋体" w:hAnsi="宋体" w:eastAsia="宋体" w:cs="宋体"/>
          <w:b/>
          <w:color w:val="auto"/>
          <w:sz w:val="24"/>
          <w:szCs w:val="24"/>
        </w:rPr>
        <w:tab/>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23.1评标委员会由招标采购单位依法组建，负责本项目的评标事务。</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23.2评标委员会应当独立履行下列职责：</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23.2.1审查投标文件是否符合招标文件的要求，并作出评价；</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23.2.2可以要求投标供应商对投标文件有关事项作出解释或澄清；</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23.2.3推荐中标候选供应商名单，或者受采购人委托按照事先确定的办法直接确定中标供应商；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23.2.4向招标采购单位或者有关部门报告非法干预评标工作的行为。</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23.3评标委员会成员应当履行下列义务：</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23.3.1遵纪守法，客观、公正、廉洁地履行职责；</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23.3.2按照招标文件规定的评标办法和评标标准进行评标，对评审意见承担个人责任；</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23.3.3对评标过程和结果，以及投标人的商业秘密保密；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23.3.4参与评标报告的起草；</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23.3.5配合相关部门的投诉处理工作；</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24.评标内容的保密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24.1公开开标后，直到宣布授予中标人合同为止，凡属于审查、澄清、评价和比较投标的所有资料，有关授予合同的信息都不应向投标人或与评标无关的其他人泄露。</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24.2在投标文件的审查、澄清、评价和比较以及授予合同的过程中，投标人对招标采购单位和评标委员会成员施加影响的任何行为，都将取消其投标资格。</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25.对投标文件进行初审</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25.1投标文件初审分为资格性检查和符合性检查。</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投标人有下列情况之一的，投标文件无效：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bookmarkStart w:id="40" w:name="_Hlk193034237"/>
      <w:r>
        <w:rPr>
          <w:rFonts w:hint="eastAsia" w:ascii="宋体" w:hAnsi="宋体" w:eastAsia="宋体" w:cs="宋体"/>
          <w:color w:val="auto"/>
          <w:sz w:val="24"/>
          <w:szCs w:val="24"/>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bookmarkStart w:id="42" w:name="OLE_LINK10"/>
      <w:r>
        <w:rPr>
          <w:rFonts w:hint="eastAsia" w:ascii="宋体" w:hAnsi="宋体" w:eastAsia="宋体" w:cs="宋体"/>
          <w:color w:val="auto"/>
          <w:sz w:val="24"/>
          <w:szCs w:val="24"/>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17）投标文件含有采购人不能接受的附加条件的；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21）改变招标文件中规定的应急措施处置费的；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23）提供虚假材料的；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24）法律、法规和招标文件规定的其他无效情形。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26.投标文件的澄清</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26.1对投标文件中含义不明确、</w:t>
      </w:r>
      <w:r>
        <w:rPr>
          <w:rFonts w:hint="eastAsia" w:ascii="宋体" w:hAnsi="宋体" w:eastAsia="宋体" w:cs="宋体"/>
          <w:color w:val="auto"/>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27.废标</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 在招标采购中，出现下列情形之一的，应予废标：</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28.投标文件的评价和比较</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28.1评标委员会按招标文件规定的评标方法和标准，对符合性检查合格的投标文件进行商务和技术评估，综合比较与评价。</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28.2最低的投标报价或最高的折扣比例是中标的重要条件，但不是唯一条件。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29.质疑处理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29.1 提出质疑的投标人应当是参与所质疑项目采购活动的供应商。潜在供应商依法获取其可质疑的采购文件的，可以对采购文件提出质疑。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29.2.1对可以质疑的采购文件提出质疑的，为收到采购文件之日或者采购文件公告期限届满之日；</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29.2.2对采购过程提出质疑的，为各采购程序环节结束之日；</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29.2.3对中标结果提出质疑的，为中标结果公告期限届满之日。</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29.4采购人及采购代理机构只接受以纸质原件形式送达的质疑。质疑接收人及联系方式见招标文件第一章。</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 以下情形的质疑不予受理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29.5.1内容不符合《政府采购质疑和投诉办法》第十二条规定的质疑。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29.5.2超出政府采购法定期限的质疑。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29.5.3以传真、电子邮件等方式递交的非原件形式的质疑。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29.5.4未参加投标活动的供应商或在投标活动中自身权益未受到损害的供应商所提出的质疑。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29.5.5供应商组成联合体参加投标，联合体中任何一方或多方未按要求签字、盖章、加盖公章的质疑。</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七、授予合同</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30.中标人的确认</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30.2中标无效的确认：</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（1）提供虚假材料谋取中标的；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（2）采取不正当手段诋毁、排挤其他投标人的；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（3）与招标采购单位、其他投标人恶意串通的；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（4）向招标采购单位行贿或者提供其他不正当利益的；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（5）在招标过程中与招标采购单位进行协商谈判、不按照招标文件和中标供应商的投标文件订立合同，或者与采购人另行订立背离合同实质性内容的协议的；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（6）拒绝有关部门监督检查或者提供虚假情况的。</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30.3经评标委员</w:t>
      </w:r>
      <w:r>
        <w:rPr>
          <w:rFonts w:hint="eastAsia" w:ascii="宋体" w:hAnsi="宋体" w:eastAsia="宋体" w:cs="宋体"/>
          <w:color w:val="auto"/>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31.合同授予标准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32.中标通知书</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32.2中标通知书将成为合同的组成部分。</w:t>
      </w:r>
      <w:r/>
    </w:p>
    <w:p>
      <w:pPr>
        <w:pStyle w:val="98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33.履约保证金</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33.1中标人应按规定提交履约保证金。</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33.2中标人必须在合同签订前按规定向采购人缴纳履约保证金。中标人未按招标文件要求提交履约保证金的，采购人可取消其中标资格。</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34.合同的签订</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34.1中标人应按中标通知书中规定的时间和地点，由法定代表人或委托代理人与采购人代表签订合同。</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（4）残疾人福利单位、监狱企业属于小型、微型企业的，不重复享受政策。</w:t>
      </w:r>
      <w:r/>
    </w:p>
    <w:p>
      <w:pPr>
        <w:pStyle w:val="984"/>
        <w:ind w:firstLine="482"/>
        <w:jc w:val="both"/>
        <w:spacing w:line="500" w:lineRule="exact"/>
        <w:rPr>
          <w:rFonts w:hint="eastAsia" w:ascii="宋体" w:hAnsi="宋体" w:eastAsia="宋体" w:cs="宋体"/>
          <w:b/>
          <w:bCs/>
          <w:color w:val="auto"/>
        </w:rPr>
      </w:pPr>
      <w:r>
        <w:rPr>
          <w:rFonts w:hint="eastAsia" w:ascii="宋体" w:hAnsi="宋体" w:eastAsia="宋体" w:cs="宋体"/>
          <w:b/>
          <w:bCs/>
          <w:color w:val="auto"/>
          <w:szCs w:val="24"/>
        </w:rPr>
        <w:t xml:space="preserve">35.3本项目所属行业为</w:t>
      </w:r>
      <w:r>
        <w:rPr>
          <w:rFonts w:hint="eastAsia" w:ascii="宋体" w:hAnsi="宋体" w:eastAsia="宋体" w:cs="宋体"/>
          <w:b/>
          <w:bCs/>
          <w:color w:val="auto"/>
          <w:szCs w:val="24"/>
          <w:u w:val="single"/>
        </w:rPr>
        <w:t xml:space="preserve">  其他未列明行业  </w:t>
      </w:r>
      <w:r>
        <w:rPr>
          <w:rFonts w:hint="eastAsia" w:ascii="宋体" w:hAnsi="宋体" w:eastAsia="宋体" w:cs="宋体"/>
          <w:b/>
          <w:bCs/>
          <w:color w:val="auto"/>
          <w:szCs w:val="24"/>
        </w:rPr>
        <w:t xml:space="preserve">。</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35.4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35.5若供应商提供的《中小企业声明函》、《残疾人福利性单位声明函》及监狱企业认定证明等材料为虚假材料，按《中华人民共和国政府采购法》相关规定处理并报请政府采购监管部门给予行政处罚。</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36.特别提醒</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36.1投标单位如有提供不实评审材料，弄虚作假者，一律作废标处理，该不良行为将予以公示。</w:t>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36.2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8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36.3投标文件中需签字或盖章处均可以用电子签名或电子章代替。</w:t>
      </w:r>
      <w:r/>
    </w:p>
    <w:p>
      <w:pPr>
        <w:pStyle w:val="984"/>
        <w:ind w:firstLine="431"/>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84"/>
        <w:ind w:firstLine="431"/>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r>
      <w:bookmarkEnd w:id="43"/>
      <w:r/>
      <w:r/>
    </w:p>
    <w:p>
      <w:pPr>
        <w:jc w:val="center"/>
        <w:spacing w:line="360" w:lineRule="auto"/>
        <w:widowControl/>
        <w:rPr>
          <w:rFonts w:hint="eastAsia" w:ascii="宋体" w:hAnsi="宋体" w:eastAsia="宋体" w:cs="宋体"/>
          <w:b/>
          <w:color w:val="auto"/>
          <w:spacing w:val="15"/>
          <w:sz w:val="32"/>
          <w:szCs w:val="32"/>
        </w:rPr>
      </w:pPr>
      <w:r/>
      <w:bookmarkStart w:id="44" w:name="_Toc388026586"/>
      <w:r>
        <w:rPr>
          <w:rFonts w:hint="eastAsia" w:ascii="宋体" w:hAnsi="宋体" w:eastAsia="宋体" w:cs="宋体"/>
          <w:b/>
          <w:color w:val="auto"/>
          <w:spacing w:val="15"/>
          <w:sz w:val="32"/>
          <w:szCs w:val="32"/>
        </w:rPr>
        <w:t xml:space="preserve">第三章 采购需求</w:t>
      </w:r>
      <w:r/>
    </w:p>
    <w:p>
      <w:pPr>
        <w:ind w:firstLine="482"/>
        <w:spacing w:line="520" w:lineRule="exact"/>
        <w:rPr>
          <w:rFonts w:hint="eastAsia" w:ascii="宋体" w:hAnsi="宋体" w:eastAsia="宋体" w:cs="宋体"/>
          <w:b/>
          <w:bCs/>
          <w:color w:val="auto"/>
          <w:sz w:val="24"/>
          <w:szCs w:val="24"/>
        </w:rPr>
      </w:pPr>
      <w:r/>
      <w:bookmarkStart w:id="45" w:name="OLE_LINK29"/>
      <w:r>
        <w:rPr>
          <w:rFonts w:hint="eastAsia" w:ascii="宋体" w:hAnsi="宋体" w:eastAsia="宋体" w:cs="宋体"/>
          <w:b/>
          <w:bCs/>
          <w:color w:val="auto"/>
          <w:sz w:val="24"/>
          <w:szCs w:val="24"/>
        </w:rPr>
        <w:t xml:space="preserve">一、主要设备清单：</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本次招标涉及总院、海陵院区及妇幼院区多个机房的重点设备，包括承压蒸汽/热水锅炉（特种设备）、负压热水锅炉、冷水机组、磁悬浮机组及各类净化/风冷热泵机组，明细如下（包含不限于）：</w:t>
      </w:r>
      <w:r/>
    </w:p>
    <w:tbl>
      <w:tblPr>
        <w:tblStyle w:val="784"/>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501"/>
        <w:gridCol w:w="1403"/>
        <w:gridCol w:w="846"/>
        <w:gridCol w:w="1779"/>
        <w:gridCol w:w="851"/>
        <w:gridCol w:w="850"/>
        <w:gridCol w:w="1262"/>
      </w:tblGrid>
      <w:tr>
        <w:trPr>
          <w:trHeight w:val="844"/>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序号</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院区</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名称</w:t>
            </w:r>
            <w:r/>
          </w:p>
        </w:tc>
        <w:tc>
          <w:tcPr>
            <w:tcW w:w="846"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用途</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品牌</w:t>
            </w:r>
            <w:r/>
          </w:p>
        </w:tc>
        <w:tc>
          <w:tcPr>
            <w:tcW w:w="850"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使用</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年限</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备注</w:t>
            </w:r>
            <w:r/>
          </w:p>
        </w:tc>
      </w:tr>
      <w:tr>
        <w:trPr>
          <w:trHeight w:val="97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总院蒸汽锅炉房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蒸汽锅炉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供应蒸汽（消毒供应中心、洗衣房、制剂室）</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承压锅炉特种设备</w:t>
            </w:r>
            <w:r/>
          </w:p>
        </w:tc>
      </w:tr>
      <w:tr>
        <w:trPr>
          <w:trHeight w:val="661"/>
        </w:trPr>
        <w:tc>
          <w:tcPr>
            <w:tcW w:w="703" w:type="dxa"/>
            <w:vAlign w:val="center"/>
            <w:vMerge w:val="restart"/>
            <w:textDirection w:val="lrTb"/>
            <w:noWrap w:val="false"/>
          </w:tcPr>
          <w:p>
            <w:pPr>
              <w:jc w:val="center"/>
              <w:rPr>
                <w:rFonts w:hint="eastAsia" w:ascii="宋体" w:hAnsi="宋体" w:eastAsia="宋体" w:cs="宋体"/>
                <w:color w:val="auto"/>
                <w:sz w:val="21"/>
                <w:szCs w:val="21"/>
              </w:rPr>
            </w:pPr>
            <w:r/>
            <w:bookmarkStart w:id="46" w:name="_Hlk223425834"/>
            <w:r>
              <w:rPr>
                <w:rFonts w:hint="eastAsia" w:ascii="宋体" w:hAnsi="宋体" w:eastAsia="宋体" w:cs="宋体"/>
                <w:color w:val="auto"/>
                <w:sz w:val="21"/>
                <w:szCs w:val="21"/>
              </w:rPr>
              <w:t xml:space="preserve">2</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总院热水锅炉房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供应洗澡热水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承压锅炉特种设备</w:t>
            </w:r>
            <w:r/>
          </w:p>
        </w:tc>
      </w:tr>
      <w:tr>
        <w:trPr>
          <w:trHeight w:val="330"/>
        </w:trPr>
        <w:tc>
          <w:tcPr>
            <w:tcW w:w="70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供应空调热水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负压锅炉</w:t>
            </w:r>
            <w:bookmarkEnd w:id="46"/>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总院冷冻机房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供应总院中央空调冷水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海陵院区住院部地下机房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供应病房楼空调热水、生活热水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18年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负压锅炉</w:t>
            </w:r>
            <w:r/>
          </w:p>
        </w:tc>
      </w:tr>
      <w:tr>
        <w:trPr>
          <w:trHeight w:val="661"/>
        </w:trPr>
        <w:tc>
          <w:tcPr>
            <w:tcW w:w="70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供应病房楼中央空调冷冻水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18年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1"/>
        </w:trPr>
        <w:tc>
          <w:tcPr>
            <w:tcW w:w="70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海陵院区门诊地下机房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供应门急诊楼空调热水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18年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负压锅炉</w:t>
            </w:r>
            <w:r/>
          </w:p>
        </w:tc>
      </w:tr>
      <w:tr>
        <w:trPr>
          <w:trHeight w:val="661"/>
        </w:trPr>
        <w:tc>
          <w:tcPr>
            <w:tcW w:w="70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供应门诊中央空调冷水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18年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海陵院区8号楼机房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磁悬浮冷水机组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供应8号楼中央空调冷冻水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95"/>
        </w:trPr>
        <w:tc>
          <w:tcPr>
            <w:tcW w:w="70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妇幼锅炉房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供应洗澡热水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2年</w:t>
            </w:r>
            <w:r/>
          </w:p>
        </w:tc>
        <w:tc>
          <w:tcPr>
            <w:tcW w:w="1262"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负压锅炉</w:t>
            </w:r>
            <w:r/>
          </w:p>
        </w:tc>
      </w:tr>
      <w:tr>
        <w:trPr>
          <w:trHeight w:val="506"/>
        </w:trPr>
        <w:tc>
          <w:tcPr>
            <w:tcW w:w="70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热水锅炉</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供应空调热水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负压锅炉</w:t>
            </w:r>
            <w:r/>
          </w:p>
        </w:tc>
      </w:tr>
      <w:tr>
        <w:trPr>
          <w:trHeight w:val="645"/>
        </w:trPr>
        <w:tc>
          <w:tcPr>
            <w:tcW w:w="70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妇幼冷冻机房</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供应妇幼1-4楼中央空调冷水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供应妇幼5-12楼中央空调冷水</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2年</w:t>
            </w:r>
            <w:r/>
          </w:p>
        </w:tc>
        <w:tc>
          <w:tcPr>
            <w:tcW w:w="12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1"/>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501"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总院门诊五楼顶</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螺杆冷水机组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供应总院手术室冷热源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净化机组</w:t>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1501"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风冷热泵机组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2组</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供应总院DSA冷热源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雅士</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总院后勤楼楼顶</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风冷热泵机组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2组</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供应总院制剂室冷热源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雅士</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总院住院部北侧</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风冷热泵机组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供应静配中心冷热源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天佳</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10年</w:t>
            </w:r>
            <w:r/>
          </w:p>
        </w:tc>
        <w:tc>
          <w:tcPr>
            <w:tcW w:w="12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bookmarkStart w:id="47" w:name="_Hlk223437293"/>
            <w:r>
              <w:rPr>
                <w:rFonts w:hint="eastAsia" w:ascii="宋体" w:hAnsi="宋体" w:eastAsia="宋体" w:cs="宋体"/>
                <w:color w:val="auto"/>
                <w:sz w:val="21"/>
                <w:szCs w:val="21"/>
              </w:rPr>
              <w:t xml:space="preserve">13</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妇幼5楼顶</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风冷热泵机组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5台</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供应净化区域冷热源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维克</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1年</w:t>
            </w:r>
            <w:r/>
          </w:p>
        </w:tc>
        <w:tc>
          <w:tcPr>
            <w:tcW w:w="12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bookmarkEnd w:id="47"/>
            <w:r/>
            <w:r/>
          </w:p>
        </w:tc>
      </w:tr>
      <w:tr>
        <w:trPr>
          <w:trHeight w:val="645"/>
        </w:trPr>
        <w:tc>
          <w:tcPr>
            <w:tcW w:w="7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二期科研科楼顶</w:t>
            </w:r>
            <w:r/>
          </w:p>
        </w:tc>
        <w:tc>
          <w:tcPr>
            <w:tcW w:w="14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模块机组</w:t>
            </w:r>
            <w:r/>
          </w:p>
        </w:tc>
        <w:tc>
          <w:tcPr>
            <w:tcW w:w="8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3组</w:t>
            </w:r>
            <w:r/>
          </w:p>
        </w:tc>
        <w:tc>
          <w:tcPr>
            <w:tcW w:w="17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供应二期净化区域冷热源</w:t>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W w:w="85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1年</w:t>
            </w:r>
            <w:r/>
          </w:p>
        </w:tc>
        <w:tc>
          <w:tcPr>
            <w:tcW w:w="12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二、运维内容</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1.机房值班</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根据《特种设备使用管理规则》及《医疗和疾控机构后勤安全生产工作管理指南》等相关要求，须安排人员定时巡视设备运行的情况，具体安排如下：</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总院蒸汽锅炉房：2台蒸汽锅炉为承压锅炉（特种设备），须安排单人单岗24小时值班，值班人员需持有效的特种设备作业证（G1）上岗，每2小时巡视设备的运行，合计需4人，其中至少有1人须同时持有有效的锅炉水处理证（G3）；</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总院住院部热水锅炉房及冷冻机房：2台生活热水锅炉为承压锅炉（特种设备）和3台负压热水锅炉，须安排单人单岗24小时值班，值班人员需持有效的特种设备作业证（G1）上岗，每2小时巡视设备的运行。考虑热水锅炉房和冷冻机房距离较近，优化整合值班工作，夏季冷水机组运行和净化机组运行由锅炉房人员兼顾巡查，合计需4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（3）海陵院区机房：住院部地下室机房、门诊地下室机房及8号楼机房，须安排单人单岗全天24小时值班，每2小时巡视冷水机组及热水锅炉，合计需4人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（4）妇幼院区机房：锅炉房、冷冻机房、换热机房和净化机组，须安排单人单岗全天24小时值班，每2小时巡视冷水机组、热水锅炉及净化机组，合计需4人。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综上，各院区机房值班共需16人。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 </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（1）供应商进场运维1个月内配全相关运维人员，提前一个月报送运维值班表，如需更换运维人员，须以书面形式向采购人申请，经采购人同意后方可更换。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（2）采购人每月不定期检查，如无正当理由，值班表与当班人员不符时，每次扣除当月维保费用1000元，并按照当月实际到岗人员数量结算当月费用，合同期内累计3次不符，采购人有权单方面终止合同。</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执行期内，如遇采购人根据实际情况需要增岗或减岗的，成交供应商应无条件配合，采购人依据成交供应商报价作为费用标准，按实际核定人员数量调整结算费用。如服务地点发生变更，供应商亦应无条件配合。</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2.设备维保</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2.1锅炉维保</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2.1.1锅炉本体保养内容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工作范围：总院、妇幼和海陵院区所有锅炉。</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定期对锅炉本体进行外部检查及内部检查，保持锅炉本体的清洁；定期校验压力表、安全阀；检查锅炉进出水压、水温，根据情况及时调整运行状态；对锅炉内部的烟气管道定期进行清扫；检查炉膛完好情况、内部耐火材料的保温情况，检查布水器的补水情况及内部管道的积垢情况；负压锅炉开炉前检查真空度和排空（如不达标），锅炉运行期间定期检查真空度，确保锅炉真空度达标后运行；燃烧器风机</w:t>
      </w:r>
      <w:r>
        <w:rPr>
          <w:rFonts w:hint="eastAsia" w:ascii="宋体" w:hAnsi="宋体" w:eastAsia="宋体" w:cs="宋体"/>
          <w:color w:val="auto"/>
          <w:sz w:val="24"/>
          <w:szCs w:val="24"/>
        </w:rPr>
        <w:t xml:space="preserve">及风门、伺服电机清洁润滑紧固及调整；检查火焰、控制、保护系统的可靠性，定期对安全保护联锁系统、燃烧器控制参数进行校对、调整；定期对烟气排放进行检测，及时调整，确保排放达标；能熟练掌握锅炉操作技能，特别是对锅炉控制柜操作屏显示的各种符号、代码等熟悉其代表的含义，司炉工上岗前需组织学习、理论考试及现场操作考核，达标后方可上岗。确保系统运行正常，高效节能；明确各机组的维保操作流程，巡检内容、制定应急预案、人员培训计划等，应急预案演练每年不少于1次，内容包含演练时间、地点、参加人员、演练方案、演练过程、演练总结等。</w:t>
      </w:r>
      <w:r/>
    </w:p>
    <w:tbl>
      <w:tblPr>
        <w:tblStyle w:val="751"/>
        <w:tblW w:w="900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673"/>
        <w:gridCol w:w="5352"/>
        <w:gridCol w:w="1982"/>
      </w:tblGrid>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保养项目</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保养内容、方法及要求</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周期</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restart"/>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锅炉外部检查</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安全阀试验、压力表冲洗</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压力表检查、水位表检查冲洗</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锅炉烟﹑火﹑气﹑水系统、电眼的密封检查；确保密封良好</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对锅炉承压部件密封性检查，如人孔﹑手孔﹑与锅炉本体连接的第一道阀门﹑法兰仪表接口等；必要时更换密封垫，确保无跑冒滴漏</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管线阀门检查，无跑冒滴漏</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外保温﹑油漆，必要时修补处理</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检查锅炉进出水压、水温，及时调整锅炉负载</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锅炉内部检查</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对锅炉的内部检查，烟，火管通灰清洁，炉内耐火材料及保温材料的检查，必要时修补处理。</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锅炉真空度检查</w:t>
            </w:r>
            <w:r/>
          </w:p>
        </w:tc>
        <w:tc>
          <w:tcPr>
            <w:tcBorders>
              <w:top w:val="single" w:color="auto" w:sz="2" w:space="0"/>
              <w:left w:val="single" w:color="auto" w:sz="2" w:space="0"/>
              <w:bottom w:val="single" w:color="auto" w:sz="2" w:space="0"/>
              <w:right w:val="single" w:color="auto" w:sz="2" w:space="0"/>
            </w:tcBorders>
            <w:tcW w:w="5352" w:type="dxa"/>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负压锅炉开炉之前必须进行真空度检查和排空（如有必要），锅炉运行期间定期检查真空度，确保锅炉真空度达标后运行</w:t>
            </w:r>
            <w:r/>
          </w:p>
        </w:tc>
        <w:tc>
          <w:tcPr>
            <w:tcBorders>
              <w:top w:val="single" w:color="auto" w:sz="2" w:space="0"/>
              <w:left w:val="single" w:color="auto" w:sz="2" w:space="0"/>
              <w:bottom w:val="single" w:color="auto" w:sz="2" w:space="0"/>
              <w:right w:val="single" w:color="auto" w:sz="2" w:space="0"/>
            </w:tcBorders>
            <w:tcW w:w="1982" w:type="dxa"/>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restart"/>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燃烧器</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烧器各部件工况检查：如燃烧头﹑配风盘﹑扩散筒﹑进气管﹑喷嘴﹑点火电极﹑电火变压器﹑风机叶轮﹑电机﹑风压开关﹑电眼﹑伺服机构﹑进气阀﹑油泵﹑回油压力开关﹑回油调节阀﹑油压调节器﹑电磁阀﹑油过滤器等﹑确保工作正常消除隐患；</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燃气燃烧器天然气供气阀组检测：如供气压力﹑低气压保护﹑检漏开关﹑检漏仪﹑双电磁阀﹑点火电磁阀﹑稳压阀﹑过滤器的清理等</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燃油回路的检查：如油压调整﹑油阀﹑油管﹑过滤器清理﹑密封件的密封等﹑做到油路畅通，无跑冒滴漏；</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燃烧工况的检测及调整：如燃烧火焰的检查﹑观测﹑确保燃烧器工作在最优状态，必要时调整，对油﹑气两用型燃烧器要油气转换可靠，燃油燃气要两者兼顾，都能在最优点工作；</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燃烧器安全性检测：燃气泄漏，熄火保护，低气压保护，油压开关保护，风压保护，门限安全锁定，与控制柜的联锁保护；</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燃烧器工作时噪音﹑震动﹑外观等检查；</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每天</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restart"/>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控制系统</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控制柜本体及内部电器元件的检查；</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主回路和控制回路电压；电流﹑电阻等各信号源的检查；</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压力回路检测:对锅炉压力开关信号检查，做到起停﹑大小火转换﹑超压保护工作正常，锅炉超压报警停机联锁。对燃烧器的气压﹑油压信号检测；</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水位控制检测：对水位进行手﹑自动功能检测，高低水位自动报警，极低水位停机联锁，正常高低水位自动补水正常；</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right w:val="single" w:color="auto" w:sz="2" w:space="0"/>
            </w:tcBorders>
            <w:tcW w:w="1673" w:type="dxa"/>
            <w:vAlign w:val="center"/>
            <w:vMerge w:val="restart"/>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其它</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定期对油气2用设备进行调试、保养，确保油气2用锅炉运行正常</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每季</w:t>
            </w:r>
            <w:r/>
          </w:p>
        </w:tc>
      </w:tr>
      <w:tr>
        <w:trPr>
          <w:jc w:val="center"/>
          <w:trHeight w:val="425"/>
        </w:trPr>
        <w:tc>
          <w:tcPr>
            <w:tcBorders>
              <w:left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按照规定需要强检的压力表、安全阀的检测及年检</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半年/一年</w:t>
            </w:r>
            <w:r/>
          </w:p>
        </w:tc>
      </w:tr>
      <w:tr>
        <w:trPr>
          <w:jc w:val="center"/>
          <w:trHeight w:val="425"/>
        </w:trPr>
        <w:tc>
          <w:tcPr>
            <w:tcBorders>
              <w:left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制定锅炉应急演练预案并付诸实施，每年不少于1次</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425"/>
        </w:trPr>
        <w:tc>
          <w:tcPr>
            <w:tcBorders>
              <w:left w:val="single" w:color="auto" w:sz="2" w:space="0"/>
              <w:bottom w:val="single" w:color="auto" w:sz="2" w:space="0"/>
              <w:right w:val="single" w:color="auto" w:sz="2" w:space="0"/>
            </w:tcBorders>
            <w:tcW w:w="16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配合特检院做好锅炉的检验工作</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425"/>
        </w:trPr>
        <w:tc>
          <w:tcPr>
            <w:tcBorders>
              <w:top w:val="single" w:color="auto" w:sz="2" w:space="0"/>
              <w:left w:val="single" w:color="auto" w:sz="2" w:space="0"/>
              <w:right w:val="single" w:color="auto" w:sz="2" w:space="0"/>
            </w:tcBorders>
            <w:tcW w:w="1673" w:type="dxa"/>
            <w:vAlign w:val="center"/>
            <w:vMerge w:val="restart"/>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计划和记录</w:t>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提供锅炉的维保计划和相关记录、现场维保影像资料</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right w:val="single" w:color="auto" w:sz="2" w:space="0"/>
            </w:tcBorders>
            <w:tcW w:w="1673" w:type="dxa"/>
            <w:vAlign w:val="center"/>
            <w:vMerge w:val="continue"/>
            <w:textDirection w:val="lrTb"/>
            <w:noWrap w:val="false"/>
          </w:tcPr>
          <w:p>
            <w:pP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每季度一次锅炉运行质量分析，提供运行分析报告及改进措施。</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每季</w:t>
            </w:r>
            <w:r/>
          </w:p>
        </w:tc>
      </w:tr>
      <w:tr>
        <w:trPr>
          <w:jc w:val="center"/>
          <w:trHeight w:val="425"/>
        </w:trPr>
        <w:tc>
          <w:tcPr>
            <w:tcBorders>
              <w:left w:val="single" w:color="auto" w:sz="2" w:space="0"/>
              <w:bottom w:val="single" w:color="auto" w:sz="2" w:space="0"/>
              <w:right w:val="single" w:color="auto" w:sz="2" w:space="0"/>
            </w:tcBorders>
            <w:tcW w:w="1673" w:type="dxa"/>
            <w:vAlign w:val="center"/>
            <w:vMerge w:val="continue"/>
            <w:textDirection w:val="lrTb"/>
            <w:noWrap w:val="false"/>
          </w:tcPr>
          <w:p>
            <w:pP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2" w:space="0"/>
              <w:left w:val="single" w:color="auto" w:sz="2" w:space="0"/>
              <w:bottom w:val="single" w:color="auto" w:sz="2" w:space="0"/>
              <w:right w:val="single" w:color="auto" w:sz="2" w:space="0"/>
            </w:tcBorders>
            <w:tcW w:w="535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每年提供锅炉的年度维保计划和相关记录</w:t>
            </w:r>
            <w:r/>
          </w:p>
        </w:tc>
        <w:tc>
          <w:tcPr>
            <w:tcBorders>
              <w:top w:val="single" w:color="auto" w:sz="2" w:space="0"/>
              <w:left w:val="single" w:color="auto" w:sz="2" w:space="0"/>
              <w:bottom w:val="single" w:color="auto" w:sz="2" w:space="0"/>
              <w:right w:val="single" w:color="auto" w:sz="2" w:space="0"/>
            </w:tcBorders>
            <w:tcW w:w="198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bl>
    <w:p>
      <w:pPr>
        <w:pStyle w:val="1105"/>
        <w:ind w:firstLine="482"/>
        <w:spacing w:line="520" w:lineRule="exact"/>
        <w:rPr>
          <w:rFonts w:hint="eastAsia" w:ascii="宋体"/>
          <w:b/>
          <w:bCs/>
          <w:color w:val="auto"/>
        </w:rPr>
      </w:pPr>
      <w:r>
        <w:rPr>
          <w:rFonts w:hint="eastAsia" w:ascii="宋体"/>
          <w:b/>
          <w:bCs/>
          <w:color w:val="auto"/>
        </w:rPr>
        <w:t xml:space="preserve">2.1.2配电柜及水泵保养</w:t>
      </w:r>
      <w:r/>
    </w:p>
    <w:p>
      <w:pPr>
        <w:pStyle w:val="1105"/>
        <w:spacing w:line="520" w:lineRule="exact"/>
        <w:rPr>
          <w:rFonts w:hint="eastAsia" w:ascii="宋体"/>
          <w:color w:val="auto"/>
        </w:rPr>
      </w:pPr>
      <w:r>
        <w:rPr>
          <w:rFonts w:hint="eastAsia" w:ascii="宋体"/>
          <w:color w:val="auto"/>
        </w:rPr>
        <w:t xml:space="preserve">工作范围：涉及中央空调及锅炉配套所有的配电柜和水泵。</w:t>
      </w:r>
      <w:r/>
    </w:p>
    <w:p>
      <w:pPr>
        <w:pStyle w:val="1105"/>
        <w:spacing w:line="520" w:lineRule="exact"/>
        <w:rPr>
          <w:rFonts w:hint="eastAsia" w:ascii="宋体"/>
          <w:color w:val="auto"/>
        </w:rPr>
      </w:pPr>
      <w:r>
        <w:rPr>
          <w:rFonts w:hint="eastAsia" w:ascii="宋体"/>
          <w:color w:val="auto"/>
        </w:rPr>
        <w:t xml:space="preserve">按照行业规范进行配电柜和水泵的保养，工作内容：视运行情况更换轴承；检查及更换紧固螺栓及连接件；联轴器检查或更换缓冲垫及紧固螺丝的检查更换；机械密封检查、停机期间保养；对电机控制系统，启动等常规检查；断路器、热继工作情况检查；对电压、连接线、连接端子、接地、绝缘检查；泵体除尘清洁；散热叶轮清洁或更换；对泵体、避震座除锈刷漆；电机电流运行测试记录；接线盒螺栓检查紧固；接到报修后，随时完成故障维修工作。水泵及配套控制柜的维修保养见下表：</w:t>
      </w:r>
      <w:r/>
    </w:p>
    <w:p>
      <w:pPr>
        <w:pStyle w:val="1105"/>
        <w:spacing w:line="520" w:lineRule="exact"/>
        <w:rPr>
          <w:rFonts w:hint="eastAsia" w:ascii="宋体"/>
          <w:color w:val="auto"/>
        </w:rPr>
      </w:pPr>
      <w:r>
        <w:rPr>
          <w:rFonts w:hint="eastAsia" w:ascii="宋体"/>
          <w:color w:val="auto"/>
        </w:rPr>
        <w:t xml:space="preserve">配电柜保养内容</w:t>
      </w:r>
      <w:r/>
    </w:p>
    <w:tbl>
      <w:tblPr>
        <w:tblStyle w:val="751"/>
        <w:tblW w:w="862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58"/>
        <w:gridCol w:w="5379"/>
        <w:gridCol w:w="1688"/>
      </w:tblGrid>
      <w:tr>
        <w:trPr>
          <w:jc w:val="center"/>
          <w:trHeight w:val="576"/>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保养项目</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保养内容、方法及要求</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周期</w:t>
            </w:r>
            <w:r/>
          </w:p>
        </w:tc>
      </w:tr>
      <w:tr>
        <w:trPr>
          <w:jc w:val="center"/>
          <w:trHeight w:val="425"/>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母线</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检查螺栓螺母有无松动；工作温度；有无变形；</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25"/>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指示灯</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是否过热、烧毁、环境温度过高</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636"/>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辅助接触器</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检查螺栓螺母有无松动、是否积灰、有无变形；触头是否烧毁松动、接触不良、温度过高</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646"/>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时间继电器</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检查螺栓螺母有无松动、是否积灰、有无变形；触头是否烧毁松动、接触不良、是否温度过高</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941"/>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控制变压器</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检查螺栓螺母有无松动、是否积灰、有无变形；触头是否烧毁松动、是否接触不良、是否温度过高，定期检查变压器的输出电压及输出电流</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909"/>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电流表</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检查螺栓螺母有无松动、是否积灰、有无变形；触头是否烧毁松动、是否接触不良、是否温度过高，定期调整和整定</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690"/>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仪用互感器</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检查螺栓螺母有无松动、是否积灰、有无变形；触头是否烧毁松动、是否接触不良、是否温度过高</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1009"/>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其它元器件</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检查螺栓螺母有无松动、是否积灰、有无变形；触头是否烧毁松动；是否接触不良；是否温度过高 电路有无松脱或过热现象，必要时作相应之处理</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733"/>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端子座</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检查螺栓螺母有无松动、积灰；是否接触不良；是否温度过高</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738"/>
        </w:trPr>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箱体</w:t>
            </w:r>
            <w:r/>
          </w:p>
        </w:tc>
        <w:tc>
          <w:tcPr>
            <w:tcBorders>
              <w:top w:val="single" w:color="auto" w:sz="2" w:space="0"/>
              <w:left w:val="single" w:color="auto" w:sz="2" w:space="0"/>
              <w:bottom w:val="single" w:color="auto" w:sz="2" w:space="0"/>
              <w:right w:val="single" w:color="auto" w:sz="2" w:space="0"/>
            </w:tcBorders>
            <w:tcW w:w="5384"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是否积灰、有无变形、是否存在油漆脱落，根据需要随时补修或刷漆处理。 </w:t>
            </w:r>
            <w:r/>
          </w:p>
        </w:tc>
        <w:tc>
          <w:tcPr>
            <w:tcBorders>
              <w:top w:val="single" w:color="auto" w:sz="2" w:space="0"/>
              <w:left w:val="single" w:color="auto" w:sz="2" w:space="0"/>
              <w:bottom w:val="single" w:color="auto" w:sz="2" w:space="0"/>
              <w:right w:val="single" w:color="auto" w:sz="2" w:space="0"/>
            </w:tcBorders>
            <w:tcW w:w="1689"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bl>
    <w:p>
      <w:pPr>
        <w:pStyle w:val="1105"/>
        <w:spacing w:line="520" w:lineRule="exact"/>
        <w:rPr>
          <w:rFonts w:hint="eastAsia" w:ascii="宋体"/>
          <w:color w:val="auto"/>
        </w:rPr>
      </w:pPr>
      <w:r>
        <w:rPr>
          <w:rFonts w:hint="eastAsia" w:ascii="宋体"/>
          <w:color w:val="auto"/>
        </w:rPr>
      </w:r>
      <w:r/>
    </w:p>
    <w:p>
      <w:pPr>
        <w:pStyle w:val="1105"/>
        <w:spacing w:line="520" w:lineRule="exact"/>
        <w:rPr>
          <w:rFonts w:hint="eastAsia" w:ascii="宋体"/>
          <w:color w:val="auto"/>
        </w:rPr>
      </w:pPr>
      <w:r>
        <w:rPr>
          <w:rFonts w:hint="eastAsia" w:ascii="宋体"/>
          <w:color w:val="auto"/>
        </w:rPr>
        <w:t xml:space="preserve">水泵保养内容</w:t>
      </w:r>
      <w:r/>
    </w:p>
    <w:tbl>
      <w:tblPr>
        <w:tblStyle w:val="751"/>
        <w:tblW w:w="87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48"/>
        <w:gridCol w:w="4797"/>
        <w:gridCol w:w="1755"/>
      </w:tblGrid>
      <w:tr>
        <w:trPr>
          <w:jc w:val="center"/>
          <w:trHeight w:val="600"/>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保养项目</w:t>
            </w:r>
            <w:r/>
          </w:p>
        </w:tc>
        <w:tc>
          <w:tcPr>
            <w:tcBorders>
              <w:top w:val="single" w:color="auto"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保养内容、方法及要求</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周期</w:t>
            </w:r>
            <w:r/>
          </w:p>
        </w:tc>
      </w:tr>
      <w:tr>
        <w:trPr>
          <w:jc w:val="center"/>
          <w:trHeight w:val="600"/>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电气接线</w:t>
            </w:r>
            <w:r/>
          </w:p>
        </w:tc>
        <w:tc>
          <w:tcPr>
            <w:tcBorders>
              <w:top w:val="single" w:color="auto"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电气接线有无松动，接线端子上是否有电蚀和氧化现象，清洁控制柜</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559"/>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电机线圈</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用摇表测量电机绕组绝缘，检查外壳接地情况，检测三相阻值</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58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电机轴承</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检查电机轴承的磨损情况，有无噪音，检查是否要加注润滑脂，每月加注一次润滑脂</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52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运行电流</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检测三相电流的大小和平衡情况</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99"/>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水泵和电机固定</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检查地脚螺栓是否紧固</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439"/>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机械密封</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检查密封是否严密，如出现渗漏则需更换</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46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震动和噪音</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水泵运行无异常，有异响即更换轴承</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480"/>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启动</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检查控制柜启动是否正常</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58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联轴器</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联轴器平衡调整，螺栓及减震橡胶磨损是否正常，发现磨损则需立即更换</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480"/>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压力表</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检查读数，更换有故障的压力表</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r>
        <w:trPr>
          <w:jc w:val="center"/>
          <w:trHeight w:val="52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软连接</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检查软连接的使用情况，有无破损开裂现象</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52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电机、水泵机组外壳</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根据需要，定期除锈、刷漆</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52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水泵</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检查水泵水封的密封情况、轴承的润滑情况，定期加注润滑油，定期检查叶轮的完好及配合间隙情况，根据需要及时维修或更换。</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jc w:val="center"/>
              <w:spacing w:line="240" w:lineRule="auto"/>
              <w:rPr>
                <w:rFonts w:hint="eastAsia" w:ascii="宋体"/>
                <w:color w:val="auto"/>
                <w:sz w:val="21"/>
                <w:szCs w:val="21"/>
              </w:rPr>
            </w:pPr>
            <w:r>
              <w:rPr>
                <w:rFonts w:hint="eastAsia" w:ascii="宋体"/>
                <w:color w:val="auto"/>
                <w:sz w:val="21"/>
                <w:szCs w:val="21"/>
              </w:rPr>
            </w:r>
            <w:r/>
          </w:p>
        </w:tc>
      </w:tr>
      <w:tr>
        <w:trPr>
          <w:jc w:val="center"/>
          <w:trHeight w:val="522"/>
        </w:trPr>
        <w:tc>
          <w:tcPr>
            <w:tcBorders>
              <w:top w:val="none" w:color="000000" w:sz="4" w:space="0"/>
              <w:left w:val="single" w:color="auto" w:sz="4" w:space="0"/>
              <w:bottom w:val="single" w:color="auto" w:sz="4" w:space="0"/>
              <w:right w:val="single" w:color="auto" w:sz="4" w:space="0"/>
            </w:tcBorders>
            <w:tcW w:w="2148"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单向截止阀，法兰过滤器</w:t>
            </w:r>
            <w:r/>
          </w:p>
        </w:tc>
        <w:tc>
          <w:tcPr>
            <w:tcBorders>
              <w:top w:val="none" w:color="000000" w:sz="4" w:space="0"/>
              <w:left w:val="none" w:color="000000" w:sz="4" w:space="0"/>
              <w:bottom w:val="single" w:color="auto" w:sz="4" w:space="0"/>
              <w:right w:val="single" w:color="auto" w:sz="4" w:space="0"/>
            </w:tcBorders>
            <w:tcW w:w="4797"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检查法兰过滤器单向阀的开闭是否正常，定期检查污垢情况，并及时清理</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每月</w:t>
            </w:r>
            <w:r/>
          </w:p>
        </w:tc>
      </w:tr>
    </w:tbl>
    <w:p>
      <w:pPr>
        <w:pStyle w:val="1105"/>
        <w:ind w:firstLine="482"/>
        <w:spacing w:line="520" w:lineRule="exact"/>
        <w:rPr>
          <w:rFonts w:hint="eastAsia" w:ascii="宋体"/>
          <w:b/>
          <w:bCs/>
          <w:color w:val="auto"/>
        </w:rPr>
      </w:pPr>
      <w:r>
        <w:rPr>
          <w:rFonts w:hint="eastAsia" w:ascii="宋体"/>
          <w:b/>
          <w:bCs/>
          <w:color w:val="auto"/>
        </w:rPr>
        <w:t xml:space="preserve">2.1.3管路阀门维护保养</w:t>
      </w:r>
      <w:r/>
    </w:p>
    <w:p>
      <w:pPr>
        <w:pStyle w:val="1105"/>
        <w:spacing w:line="520" w:lineRule="exact"/>
        <w:rPr>
          <w:rFonts w:hint="eastAsia" w:ascii="宋体"/>
          <w:color w:val="auto"/>
        </w:rPr>
      </w:pPr>
      <w:r>
        <w:rPr>
          <w:rFonts w:hint="eastAsia" w:ascii="宋体"/>
          <w:color w:val="auto"/>
        </w:rPr>
        <w:t xml:space="preserve">按照行业规范对锅炉所有供水、供气管道</w:t>
      </w:r>
      <w:r>
        <w:rPr>
          <w:rFonts w:hint="eastAsia" w:ascii="宋体"/>
          <w:color w:val="auto"/>
        </w:rPr>
        <w:t xml:space="preserve">和蒸汽冷凝水排水管道（以具体用气设备的软管为界）进行维护保养，工作内容：检查管路中阀门及电磁阀工作情况并及时调整；对压力表数据校对及检修或更换；按规定要求除锈刷补漆保温；锅炉所有供水、供气管道（包含蒸汽冷凝水排水管道）管道检查修补；检查阀门开启度、并检测启闭灵活性；阀杆涂油保养；定期对管道中阀门进行润滑；阀芯渗水检查维修；分水器与集水器底部排污；按照运行周期和要求拆卸清洗；视实际工作情况和进出水压差变化清洗相关滤网；水位调整，排污阀、液位计的冲洗检查、疏水器的检修和更换等；接到报修后，随时完成故障维修工作。</w:t>
      </w:r>
      <w:r/>
    </w:p>
    <w:tbl>
      <w:tblPr>
        <w:tblStyle w:val="751"/>
        <w:tblW w:w="86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56"/>
        <w:gridCol w:w="5382"/>
        <w:gridCol w:w="1672"/>
      </w:tblGrid>
      <w:tr>
        <w:trPr>
          <w:jc w:val="center"/>
          <w:trHeight w:val="496"/>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保养项目</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保养内容、方法及要求</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b/>
                <w:color w:val="auto"/>
                <w:sz w:val="21"/>
                <w:szCs w:val="21"/>
              </w:rPr>
            </w:pPr>
            <w:r>
              <w:rPr>
                <w:rFonts w:hint="eastAsia" w:ascii="宋体"/>
                <w:b/>
                <w:color w:val="auto"/>
                <w:sz w:val="21"/>
                <w:szCs w:val="21"/>
              </w:rPr>
              <w:t xml:space="preserve">周期</w:t>
            </w:r>
            <w:r/>
          </w:p>
        </w:tc>
      </w:tr>
      <w:tr>
        <w:trPr>
          <w:jc w:val="center"/>
          <w:trHeight w:val="399"/>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自动排气阀</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检查工作情况，根据情况及时更换</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每季度</w:t>
            </w:r>
            <w:r/>
          </w:p>
        </w:tc>
      </w:tr>
      <w:tr>
        <w:trPr>
          <w:jc w:val="center"/>
          <w:trHeight w:val="732"/>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管道除锈补漆及保温</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按规定要求除锈刷补漆和保温。定期检查管道补偿设备的完好情况，根据需要及时调整和更换</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930"/>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输水检查</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1.检查输水管及支管安装质量及排水通畅</w:t>
            </w:r>
            <w:r/>
          </w:p>
          <w:p>
            <w:pPr>
              <w:pStyle w:val="1105"/>
              <w:ind w:firstLine="0"/>
              <w:spacing w:line="240" w:lineRule="auto"/>
              <w:rPr>
                <w:rFonts w:hint="eastAsia" w:ascii="宋体"/>
                <w:color w:val="auto"/>
                <w:sz w:val="21"/>
                <w:szCs w:val="21"/>
              </w:rPr>
            </w:pPr>
            <w:r>
              <w:rPr>
                <w:rFonts w:hint="eastAsia" w:ascii="宋体"/>
                <w:color w:val="auto"/>
                <w:sz w:val="21"/>
                <w:szCs w:val="21"/>
              </w:rPr>
              <w:t xml:space="preserve">2.检查疏水器水管微生物及结垢情况，根据需要进行清理或更换；</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962"/>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阀门除锈补漆</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1.按规定要求除锈补漆；</w:t>
            </w:r>
            <w:r/>
          </w:p>
          <w:p>
            <w:pPr>
              <w:pStyle w:val="1105"/>
              <w:ind w:firstLine="0"/>
              <w:spacing w:line="240" w:lineRule="auto"/>
              <w:rPr>
                <w:rFonts w:hint="eastAsia" w:ascii="宋体"/>
                <w:color w:val="auto"/>
                <w:sz w:val="21"/>
                <w:szCs w:val="21"/>
              </w:rPr>
            </w:pPr>
            <w:r>
              <w:rPr>
                <w:rFonts w:hint="eastAsia" w:ascii="宋体"/>
                <w:color w:val="auto"/>
                <w:sz w:val="21"/>
                <w:szCs w:val="21"/>
              </w:rPr>
              <w:t xml:space="preserve">2.检查开启度；</w:t>
            </w:r>
            <w:r/>
          </w:p>
          <w:p>
            <w:pPr>
              <w:pStyle w:val="1105"/>
              <w:ind w:firstLine="0"/>
              <w:spacing w:line="240" w:lineRule="auto"/>
              <w:rPr>
                <w:rFonts w:hint="eastAsia" w:ascii="宋体"/>
                <w:color w:val="auto"/>
                <w:sz w:val="21"/>
                <w:szCs w:val="21"/>
              </w:rPr>
            </w:pPr>
            <w:r>
              <w:rPr>
                <w:rFonts w:hint="eastAsia" w:ascii="宋体"/>
                <w:color w:val="auto"/>
                <w:sz w:val="21"/>
                <w:szCs w:val="21"/>
              </w:rPr>
              <w:t xml:space="preserve">3.检查完好情况。</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r>
        <w:trPr>
          <w:jc w:val="center"/>
          <w:trHeight w:val="425"/>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阀杆涂油</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按规定要求涂油，并检测启闭灵活性。</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425"/>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冷热水过滤器清洗</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按照运行要求拆卸清洗或更换。</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每半年</w:t>
            </w:r>
            <w:r/>
          </w:p>
        </w:tc>
      </w:tr>
      <w:tr>
        <w:trPr>
          <w:jc w:val="center"/>
          <w:trHeight w:val="604"/>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电子阀</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定期检查相关电子阀的运行情况，随时保证电子阀处于完好状态</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每周</w:t>
            </w:r>
            <w:r/>
          </w:p>
        </w:tc>
      </w:tr>
      <w:tr>
        <w:trPr>
          <w:jc w:val="center"/>
          <w:trHeight w:val="425"/>
        </w:trPr>
        <w:tc>
          <w:tcPr>
            <w:tcBorders>
              <w:top w:val="single" w:color="auto" w:sz="2" w:space="0"/>
              <w:left w:val="single" w:color="auto" w:sz="2" w:space="0"/>
              <w:bottom w:val="single" w:color="auto" w:sz="2" w:space="0"/>
              <w:right w:val="single" w:color="auto" w:sz="2" w:space="0"/>
            </w:tcBorders>
            <w:tcW w:w="1556"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支承件除锈补漆</w:t>
            </w:r>
            <w:r/>
          </w:p>
        </w:tc>
        <w:tc>
          <w:tcPr>
            <w:tcBorders>
              <w:top w:val="single" w:color="auto" w:sz="2" w:space="0"/>
              <w:left w:val="single" w:color="auto" w:sz="2" w:space="0"/>
              <w:bottom w:val="single" w:color="auto" w:sz="2" w:space="0"/>
              <w:right w:val="single" w:color="auto" w:sz="2" w:space="0"/>
            </w:tcBorders>
            <w:tcW w:w="5382" w:type="dxa"/>
            <w:vAlign w:val="center"/>
            <w:textDirection w:val="lrTb"/>
            <w:noWrap w:val="false"/>
          </w:tcPr>
          <w:p>
            <w:pPr>
              <w:pStyle w:val="1105"/>
              <w:ind w:firstLine="0"/>
              <w:spacing w:line="240" w:lineRule="auto"/>
              <w:rPr>
                <w:rFonts w:hint="eastAsia" w:ascii="宋体"/>
                <w:color w:val="auto"/>
                <w:sz w:val="21"/>
                <w:szCs w:val="21"/>
              </w:rPr>
            </w:pPr>
            <w:r>
              <w:rPr>
                <w:rFonts w:hint="eastAsia" w:ascii="宋体"/>
                <w:color w:val="auto"/>
                <w:sz w:val="21"/>
                <w:szCs w:val="21"/>
              </w:rPr>
              <w:t xml:space="preserve">按规定要求对支承件除锈补漆。</w:t>
            </w:r>
            <w:r/>
          </w:p>
        </w:tc>
        <w:tc>
          <w:tcPr>
            <w:tcBorders>
              <w:top w:val="single" w:color="auto" w:sz="2" w:space="0"/>
              <w:left w:val="single" w:color="auto" w:sz="2" w:space="0"/>
              <w:bottom w:val="single" w:color="auto" w:sz="2" w:space="0"/>
              <w:right w:val="single" w:color="auto" w:sz="2" w:space="0"/>
            </w:tcBorders>
            <w:tcW w:w="1672" w:type="dxa"/>
            <w:vAlign w:val="center"/>
            <w:textDirection w:val="lrTb"/>
            <w:noWrap w:val="false"/>
          </w:tcPr>
          <w:p>
            <w:pPr>
              <w:pStyle w:val="1105"/>
              <w:ind w:firstLine="0"/>
              <w:jc w:val="center"/>
              <w:spacing w:line="240" w:lineRule="auto"/>
              <w:rPr>
                <w:rFonts w:hint="eastAsia" w:ascii="宋体"/>
                <w:color w:val="auto"/>
                <w:sz w:val="21"/>
                <w:szCs w:val="21"/>
              </w:rPr>
            </w:pPr>
            <w:r>
              <w:rPr>
                <w:rFonts w:hint="eastAsia" w:ascii="宋体"/>
                <w:color w:val="auto"/>
                <w:sz w:val="21"/>
                <w:szCs w:val="21"/>
              </w:rPr>
              <w:t xml:space="preserve">每年</w:t>
            </w:r>
            <w:r/>
          </w:p>
        </w:tc>
      </w:tr>
    </w:tbl>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2.1.4水处理交换器维护保养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定期对水处理设备进行维护保养：定期检查交换器进出水压，电子阀等，保障供水系统正常运行；软水自动控制系统定期检测，包含再生、反洗、吸盐、注水、正洗等过程的测试调整；检查控制系统输入电流、电压的稳定性、外部设备的密封性，保证再生效果；定期检查树脂或海绵体的损耗量及交换能力，根据实际使用情况进行调整。</w:t>
      </w:r>
      <w:r/>
    </w:p>
    <w:p>
      <w:pPr>
        <w:pStyle w:val="1105"/>
        <w:ind w:firstLine="482"/>
        <w:spacing w:line="520" w:lineRule="exact"/>
        <w:rPr>
          <w:rFonts w:hint="eastAsia" w:ascii="宋体"/>
          <w:b/>
          <w:color w:val="auto"/>
        </w:rPr>
      </w:pPr>
      <w:r>
        <w:rPr>
          <w:rFonts w:hint="eastAsia" w:ascii="宋体"/>
          <w:b/>
          <w:bCs/>
          <w:color w:val="auto"/>
        </w:rPr>
        <w:t xml:space="preserve">2.1.5燃油供油设备维修保养</w:t>
      </w:r>
      <w:r/>
    </w:p>
    <w:p>
      <w:pPr>
        <w:pStyle w:val="1105"/>
        <w:spacing w:line="520" w:lineRule="exact"/>
        <w:rPr>
          <w:rFonts w:hint="eastAsia" w:ascii="宋体"/>
          <w:color w:val="auto"/>
        </w:rPr>
      </w:pPr>
      <w:r>
        <w:rPr>
          <w:rFonts w:hint="eastAsia" w:ascii="宋体"/>
          <w:color w:val="auto"/>
        </w:rPr>
        <w:t xml:space="preserve">检查燃油供给设备的油罐、油管等，定期除锈刷漆，日用油泵及配电箱的保养参照水泵及配电箱的保养要求进行。定期对油气二用锅炉进行油气转换调试，保证油气二用锅炉设备处于正常运行状态。</w:t>
      </w:r>
      <w:r/>
    </w:p>
    <w:p>
      <w:pPr>
        <w:pStyle w:val="1105"/>
        <w:ind w:firstLine="482"/>
        <w:spacing w:line="520" w:lineRule="exact"/>
        <w:rPr>
          <w:rFonts w:hint="eastAsia" w:ascii="宋体"/>
          <w:b/>
          <w:color w:val="auto"/>
        </w:rPr>
      </w:pPr>
      <w:r>
        <w:rPr>
          <w:rFonts w:hint="eastAsia" w:ascii="宋体"/>
          <w:b/>
          <w:color w:val="auto"/>
        </w:rPr>
        <w:t xml:space="preserve">2.1.6不锈钢补水箱、分（集）水器、分气缸保养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补水箱定期巡查、定期清洗，水箱清洗次数每年不少于1次，水箱液位表每周冲洗一次；定期检查水箱液位控制浮球，根据使用负荷及时调整水箱液位，满足运行需要。对相关设备进行定期除锈、刷漆处理。对分气缸、分（集）水器需定期检查，定期分气缸、分（集）水器的阀门进行保养（定期检修、定期排污、定期除锈、刷漆、保温处理），并保持相关区域的标识标牌清晰、完好。  </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2.1.7安全附件</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负责全院安全阀（每年至少一次）和压力表（每半年至少一次）拆装和送检。</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锅炉运行期间，每月一次对各台锅炉的报警系统进行测试，包括锅炉的超温报警、超压报警、水位报警等。</w:t>
      </w:r>
      <w:r/>
    </w:p>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2.1.8锅炉水质化验</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按照行业规范，每班对锅炉软水、炉水进行化验分析（硬度、碱度和PH值等指标），正确填写水质化验记录，确保锅炉水质满足《工业锅炉水质》标准，保证锅炉无垢（＜0.5毫米/年）。</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注：锅炉水质化验所需的仪器和试剂由供应商承担。</w:t>
      </w:r>
      <w:r/>
    </w:p>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2.1.9热交换机房</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每两小时巡视换热机房和蒸汽锅炉房的储水罐、供水管道、阀门和电气控制系统。按照行业规范进行维护保养。</w:t>
      </w:r>
      <w:r/>
    </w:p>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2.1.10其他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（1）如因供应商未按规范进行锅炉维保或值班人员未按照规范作业，导致设备损坏或锅炉结垢（经特检院年检不合格），由供应商承担全部责任和损失。</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（2）每班冲洗水位计至少一次，蒸汽锅炉每班至少排污一次；热水锅炉每周至少排污一次，按规范进行排污。</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（3）每班进行燃气管道检漏，及时记录燃气管道情况，发现漏点应及时上报。</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（4）每月定期检查真空锅炉水位指示刻度，若缺水应及时添加纯净水或除氧水（窥视孔3/5处），加水后及时抽真空。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（5）每台锅炉每年至少清理炉膛烟灰1次，提供清理的书面报告和相关现场影像资料。</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（6）如遇影响锅炉系统运行的紧急事件，供应商维保人员应在接到通知10分钟内到达现场处理故障。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（7）制定锅炉应急演练预案并实施，每年不少于1次，留有演练记录。</w:t>
      </w:r>
      <w:r/>
    </w:p>
    <w:p>
      <w:pPr>
        <w:ind w:firstLine="480"/>
        <w:spacing w:line="52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（8）服从采购人安排，配合特检院做好锅炉的年度检验工作。</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2.2冷水机组维保</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2.2.1冷水机组维保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按照行业规范对所有冷水机组进行维护保养，具体机组维保内容和要求详见附件一，每月定期提供机组的维保报告和相关维保影像资料。</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2.2.2 管道维保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按照行业规范对中央空调供水管道进行维修维保，包含不限于管道的保温、压力表、温度计、分水器、阀门和过滤器等。每个季度定期清理管道过滤器。</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2.2.3水泵维保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按照行业规范对中央空调循环水泵进行维保，参照锅炉水泵的维保要求进行。</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2.2.4冷却塔维保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（1）按照行业规范对冷却塔进行维护保养，包含不限于冷却塔的电机、减速器、浮球、阀门和皮带等；</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（2）每年在冷水机组开机前，对冷却塔进行全面清洗消毒，停机后排空冷却塔，做好冷却水循环管道的防冻工作；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（3）冷却塔运行期间，每周至少一次清理冷却塔的藻类、杂物等垃圾，确保冷却塔正常运行；</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（4）冷却塔运行期间，每天定期巡视，做好冷却塔之间水平衡，杜绝溢流。</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2.2.5冷凝器清洗</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年开机前，对医院所有冷水机组冷凝器进行清洗，使用专用通炮刷清除铜管表面的软垢及污泥，若铜管内壁仍有硬垢影响运行，则采用化学清洗方法，清洗后中和残酸并钝化处理。化学清洗药剂以有机酸为主，辅以高效缓蚀剂，化学试剂由供应商提供。</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2.2.6冷冻油和过滤器更换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按照行业规范更换机组的冷冻油和过滤器，更换的冷冻油、过滤器和辅材均由供应商提供（须提供详细的采购渠道证明（合同、支付发票等可溯源文件）），更换所需的耗材规格和所需数量如下：</w:t>
      </w:r>
      <w:r/>
    </w:p>
    <w:tbl>
      <w:tblPr>
        <w:tblStyle w:val="751"/>
        <w:tblW w:w="9892" w:type="dxa"/>
        <w:tblInd w:w="-263" w:type="dxa"/>
        <w:tblLayout w:type="fixed"/>
        <w:tblCellMar>
          <w:left w:w="108" w:type="dxa"/>
          <w:top w:w="0" w:type="dxa"/>
          <w:right w:w="108" w:type="dxa"/>
          <w:bottom w:w="0" w:type="dxa"/>
        </w:tblCellMar>
        <w:tblLook w:val="04A0" w:firstRow="1" w:lastRow="0" w:firstColumn="1" w:lastColumn="0" w:noHBand="0" w:noVBand="1"/>
      </w:tblPr>
      <w:tblGrid>
        <w:gridCol w:w="612"/>
        <w:gridCol w:w="892"/>
        <w:gridCol w:w="731"/>
        <w:gridCol w:w="1010"/>
        <w:gridCol w:w="903"/>
        <w:gridCol w:w="1494"/>
        <w:gridCol w:w="1644"/>
        <w:gridCol w:w="1456"/>
        <w:gridCol w:w="1150"/>
      </w:tblGrid>
      <w:tr>
        <w:trPr>
          <w:trHeight w:val="566"/>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机组型号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机组</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耗材名称</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耗材型号</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耗材数量</w:t>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离心机组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19XR</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PP23BZ103005C</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桶（5加仑/桶）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02XR05009501 </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KH42ME060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KH45LE120 </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螺杆机组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30XW</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PP23BZ110005C</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桶（5加仑/桶）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00PPY010012800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XW12EA0031</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离心机组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YKCECEQ75COF</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冷冻K油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011-00533-000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桶（5加仑/桶）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螺杆机组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YSEBEAS45CKE</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冷冻S油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011-00922-000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桶（5加仑/桶）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026-32841-000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026-32839-000</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56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离心机组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WSC100MAWNOF -E3312</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桶（5L/桶）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56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离心机组</w:t>
            </w:r>
            <w:r/>
          </w:p>
        </w:tc>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Borders>
              <w:top w:val="single" w:color="auto" w:sz="4" w:space="0"/>
              <w:left w:val="single" w:color="auto" w:sz="4" w:space="0"/>
              <w:bottom w:val="single" w:color="auto" w:sz="4" w:space="0"/>
              <w:right w:val="single" w:color="auto" w:sz="4" w:space="0"/>
            </w:tcBorders>
            <w:tcW w:w="101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WSC079LAQ29-2609</w:t>
            </w:r>
            <w:r/>
          </w:p>
        </w:tc>
        <w:tc>
          <w:tcPr>
            <w:tcBorders>
              <w:top w:val="single" w:color="auto" w:sz="4" w:space="0"/>
              <w:left w:val="single" w:color="auto" w:sz="4" w:space="0"/>
              <w:bottom w:val="single" w:color="auto" w:sz="4" w:space="0"/>
              <w:right w:val="single" w:color="auto" w:sz="4" w:space="0"/>
            </w:tcBorders>
            <w:tcW w:w="9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桶（5L/桶）</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bl>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2.2.7其他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（1）如因供应商未按规范和要求进行冷水机组维保或值班人员未按照规范作业，导致设备损坏，由供应商承担全部责任和损失。</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（2）如遇影响中央空调系统运行的紧急事件，供应商维保人员应在接到通知10分钟内到达现场处理故障。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（3）服从采购人安排，配合特检院做好冷水机组的定期检验工作。</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2.3净化机组维保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按照行业规范进行所有净化机组维保，包括合同期内采购人新装机组（免费质保期后），建立设备维保档案，每月提交维保工作报告，维保内容包含不限于以下：</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2.3.1净化系统室外机组保养</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（1）每个季度定期清洗换热器的翅片上的异物和灰垢；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（2）每月定期检查机内有无泄漏、各控制（含安全保护装置）是否灵敏好用、机组运行有无不正常的响声。必要时予以调整修理。检测压缩机运转电流是否正常。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（3）检查主机空气开关是否正常，交流接触器、热保护器是否良好。</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（4）检查感温探头的阻值是否正常。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（5）检查空调主机制冷系统制冷剂的高压、低压是否正常。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（6）检查压缩机油位、颜色是否正常。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（7）检查水流压差开关工作是否正常。</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2.3.2空气净化处理机组：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（1）检查新风机组内部卫生情况并清洁维护。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（2）空气处理机组箱门、壁板密封性检查维护。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（3）冷、热水盘管检查保养： </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（4）机组皮带松动情况及张力的检查及维护。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（5）检查风机各连接螺栓的紧固情况、风叶的焊接情况、调节三角皮带，必要时更换。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（6）空气处理机组压差感应计的检测以及维护。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（7）空气处理机组温湿度传感计检测以及维护。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（8）冷凝水系统处理：净化空调内接水盘及冷凝水路清洁，及时维修更换老化或受损配件，净化机组不得有水渗漏，净化空调进出口与风管间软接头检查，清洗冷凝水排水口，保证不得有污物，死水。</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（9）加湿器运行期间，每月定期清理加湿桶水垢，及时更换故障的电极，提供清理的影像资料。</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2.3.3管道维保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按照行业规范对净化空调水管道进行维护保养，包含不限于管道的保温、压力表、温度计、阀门和过滤器。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每个季度定期清理管道过滤器。</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2.3.4水泵维保</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按照行业规范对净化空调机组循环水泵进行维保，参照锅炉水泵的维保要求进行。</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2.3.5电气系统</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按照行业规范对净化空调机组电气系统进行，参照锅炉水泵的维保要求进行。</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2.4中央空调末端维护及过滤器更换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行业规范，对总院、海陵院区及妇幼院区（启用区域）中央空调末端风口的清洗消毒和维保保养，对总院、海陵院区、二期、妇幼院区（启用区域）初效、中效和高效过滤器更换，包含合同期内医院新装空调机组（不超过20套）。过滤器的数据详见附件二。</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根据《医院中央空调系统运行管理》规范要求，具体频次如下：</w:t>
      </w:r>
      <w:r/>
    </w:p>
    <w:tbl>
      <w:tblPr>
        <w:tblStyle w:val="1026"/>
        <w:tblW w:w="911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3756"/>
        <w:gridCol w:w="4060"/>
      </w:tblGrid>
      <w:tr>
        <w:trPr>
          <w:trHeight w:val="484"/>
        </w:trPr>
        <w:tc>
          <w:tcPr>
            <w:tcW w:w="129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375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406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频次</w:t>
            </w:r>
            <w:r/>
          </w:p>
        </w:tc>
      </w:tr>
      <w:tr>
        <w:trPr>
          <w:trHeight w:val="620"/>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末端维修</w:t>
            </w:r>
            <w:r/>
          </w:p>
        </w:tc>
        <w:tc>
          <w:tcPr>
            <w:tcW w:w="4060" w:type="dxa"/>
            <w:vAlign w:val="center"/>
            <w:textDirection w:val="lrTb"/>
            <w:noWrap w:val="false"/>
          </w:tcPr>
          <w:p>
            <w:pPr>
              <w:ind w:left="720" w:hanging="720"/>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（1）每月巡视空调末端1次；</w:t>
            </w:r>
            <w:r/>
          </w:p>
          <w:p>
            <w:pPr>
              <w:ind w:left="720" w:hanging="720"/>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（2）接报修立即处理</w:t>
            </w:r>
            <w:r/>
          </w:p>
        </w:tc>
      </w:tr>
      <w:tr>
        <w:trPr>
          <w:trHeight w:val="589"/>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末端风口清洗消毒</w:t>
            </w:r>
            <w:r/>
          </w:p>
        </w:tc>
        <w:tc>
          <w:tcPr>
            <w:tcW w:w="406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1次/半年</w:t>
            </w:r>
            <w:r/>
          </w:p>
        </w:tc>
      </w:tr>
      <w:tr>
        <w:trPr>
          <w:trHeight w:val="651"/>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手术室、ICU、NICU、静配中心回风口清洗消毒</w:t>
            </w:r>
            <w:r/>
          </w:p>
        </w:tc>
        <w:tc>
          <w:tcPr>
            <w:tcW w:w="406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1次/周</w:t>
            </w:r>
            <w:r/>
          </w:p>
        </w:tc>
      </w:tr>
      <w:tr>
        <w:trPr>
          <w:trHeight w:val="575"/>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净化机组</w:t>
            </w:r>
            <w:bookmarkStart w:id="48" w:name="OLE_LINK12"/>
            <w:r>
              <w:rPr>
                <w:rFonts w:hint="eastAsia" w:ascii="宋体" w:hAnsi="宋体" w:eastAsia="宋体" w:cs="宋体"/>
                <w:color w:val="auto"/>
                <w:sz w:val="21"/>
                <w:szCs w:val="21"/>
              </w:rPr>
              <w:t xml:space="preserve">初效、中效过滤器更换</w:t>
            </w:r>
            <w:bookmarkEnd w:id="48"/>
            <w:r/>
            <w:r/>
          </w:p>
        </w:tc>
        <w:tc>
          <w:tcPr>
            <w:tcW w:w="406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1次/季度</w:t>
            </w:r>
            <w:r/>
          </w:p>
        </w:tc>
      </w:tr>
      <w:tr>
        <w:trPr>
          <w:trHeight w:val="629"/>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公共区域机组初效、中效过滤器更换</w:t>
            </w:r>
            <w:r/>
          </w:p>
        </w:tc>
        <w:tc>
          <w:tcPr>
            <w:tcW w:w="406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1次/半年</w:t>
            </w:r>
            <w:r/>
          </w:p>
        </w:tc>
      </w:tr>
      <w:tr>
        <w:trPr>
          <w:trHeight w:val="559"/>
        </w:trPr>
        <w:tc>
          <w:tcPr>
            <w:tcW w:w="129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高效过滤器更换</w:t>
            </w:r>
            <w:r/>
          </w:p>
        </w:tc>
        <w:tc>
          <w:tcPr>
            <w:tcW w:w="406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1次/三年</w:t>
            </w:r>
            <w:r/>
          </w:p>
        </w:tc>
      </w:tr>
    </w:tbl>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总院、海陵院区及妇幼院区中央空调末端维护及过滤器更换人工和材料均由供应商承担，其中总院、海陵院区每个院区至少安排4人驻场，妇幼院区至少安排1人驻场，中央空调运行期间，总院和妇幼院区至少安排1人24小时值班，海陵院区至少安排1人24小时值班，负责医院中央空调末端的维修和突发事件的处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（2）维修人员接到报修电话后15分钟内到达现场处理，如因中央空调末端未及时处理被投诉，扣除当月维保费用200元/次。</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（3）每季度提供总院、海陵院区、妇幼院区和二期中央空调末端清洗消毒记录和初效中效过滤器更换记录和相关影像资料；每个季度根据采购人确认更换的实际数量和投标单价进行结算。</w:t>
      </w:r>
      <w:r/>
    </w:p>
    <w:p>
      <w:pPr>
        <w:pStyle w:val="752"/>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（4）更换的过滤器若属于医疗垃圾，须按照医院的相关规定进行处理。</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三、规章制度</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1.运维人员应严格执行采购人制定的各项规章制度和相关行业规范，不得离岗、脱岗；不得从事与工作无关的事。如有违反造成事故，一切责任由供应商承担。</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2.运维人员必须按规程操作，供应商每月进行安全培训，加强运维人员的安全管理，运维人员值班期间的安全责任全部由供应商负责。</w:t>
      </w:r>
      <w:r/>
    </w:p>
    <w:p>
      <w:pPr>
        <w:pStyle w:val="752"/>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四、安全责任要求</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履行安全培训和教育的责任及义务，对拟上岗的员工进行岗前培训，在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pStyle w:val="752"/>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五、应急处置</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1.组织运维人员定期开展应急演练，每年至少演练1次，保存相关演练记录。</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2.发生突发情况时，值班人员按照应急预案采取紧急措施，维保人员10钟内赶到现场处理，并向上级汇报。</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3.突发情况发生后，对突发事件原因进行调查，形成事件处理报告，并采取有效措施，防止再次发生。</w:t>
      </w:r>
      <w:r/>
    </w:p>
    <w:p>
      <w:pPr>
        <w:pStyle w:val="752"/>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六、其他说明</w:t>
      </w:r>
      <w:r/>
    </w:p>
    <w:p>
      <w:pPr>
        <w:pStyle w:val="752"/>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应及时处理设备故障和缺陷，如未能在4小时内（如需配件更换，配件采购时间不计）处理设备故障并恢复机组运行，以及原厂工程师6个小时内未到达现场处理故障。采购人可以委托有资质的第三方或原厂工程师修理，维修费用（包括人工和1000元以内配件）从当月设备维保费内扣减</w:t>
      </w:r>
      <w:r>
        <w:rPr>
          <w:rFonts w:hint="eastAsia" w:ascii="宋体" w:hAnsi="宋体" w:eastAsia="宋体" w:cs="宋体"/>
          <w:color w:val="auto"/>
          <w:sz w:val="24"/>
          <w:szCs w:val="24"/>
        </w:rPr>
        <w:t xml:space="preserve">。</w:t>
      </w:r>
      <w:r/>
    </w:p>
    <w:p>
      <w:pPr>
        <w:pStyle w:val="752"/>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以上单次单项单个设备维修维保项目，所有1000元以内的材料费用（不允许多个设备多个配件累计叠加进行计价）均不得再次收费，材料价格由采购人自行询价或根据政府采购平台价格确定，供应商须无条件认可采购人询价结果，如有超过1000元的配件需更换，采购人自行采购，供应商需免费负责安装，不得收取任何费用。更换的配件必须为设备配套的原厂全新合格件，如发现更换配件并非原厂全新合格件，考核扣除当月设备费用1000元/次，并立即免费更换为原厂全新合格件。</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3.项目需求中未提及的但与本项目相关的服务，供应商无条件免费提供（项目服务的范围解释权为采购人）。</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4.供应商配备质量合格、数量满足本项目运维需求的安全工器具。</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5.供应商每月下旬提供本月工作总结和下月工作计划，按计划开展工作，对未完成的工作提供情况说明。</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6.供应商必须全力配合医院各种的迎检和三甲复评工作。</w:t>
      </w:r>
      <w:r/>
    </w:p>
    <w:p>
      <w:pPr>
        <w:pStyle w:val="752"/>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7.如由于医院服务需求变更或政策调整，与本项目有关的服务内容发生变更，供应商必须无条件服从，核减相关变更的服务费用。</w:t>
      </w:r>
      <w:r/>
    </w:p>
    <w:p>
      <w:pPr>
        <w:pStyle w:val="752"/>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七、考核细则</w:t>
      </w:r>
      <w:r/>
    </w:p>
    <w:p>
      <w:pPr>
        <w:jc w:val="center"/>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8"/>
          <w:szCs w:val="28"/>
        </w:rPr>
        <w:t xml:space="preserve">泰州市人民医院中央空调及锅炉系统运维考核细则</w:t>
      </w:r>
      <w:r/>
    </w:p>
    <w:p>
      <w:pPr>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甲方：泰州市人民医院                 乙方：</w:t>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考核时间：</w:t>
      </w:r>
      <w:r/>
    </w:p>
    <w:tbl>
      <w:tblPr>
        <w:tblStyle w:val="751"/>
        <w:tblW w:w="9510"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519"/>
        <w:gridCol w:w="2754"/>
        <w:gridCol w:w="1745"/>
        <w:gridCol w:w="677"/>
        <w:gridCol w:w="1956"/>
        <w:gridCol w:w="741"/>
      </w:tblGrid>
      <w:tr>
        <w:trPr>
          <w:trHeight w:val="434"/>
        </w:trPr>
        <w:tc>
          <w:tcPr>
            <w:tcW w:w="111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gridSpan w:val="3"/>
            <w:tcW w:w="501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考核要点</w:t>
            </w:r>
            <w:r/>
          </w:p>
        </w:tc>
        <w:tc>
          <w:tcPr>
            <w:tcW w:w="67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满分</w:t>
            </w:r>
            <w:r/>
          </w:p>
        </w:tc>
        <w:tc>
          <w:tcPr>
            <w:tcW w:w="1956"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扣分依据</w:t>
            </w:r>
            <w:r/>
          </w:p>
        </w:tc>
        <w:tc>
          <w:tcPr>
            <w:tcW w:w="74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扣分</w:t>
            </w:r>
            <w:r/>
          </w:p>
        </w:tc>
      </w:tr>
      <w:tr>
        <w:trPr>
          <w:trHeight w:val="144"/>
        </w:trPr>
        <w:tc>
          <w:tcPr>
            <w:tcW w:w="111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值班管理（30分）</w:t>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按合同要求合理配置人员，人员持证上岗。</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不符合要求，每人扣1分。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统一着装，佩戴工号牌上岗。</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一项不符扣1分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熟悉自己的岗位职责，熟悉各设备的性能及具体位置。</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严格按照排班表值班，不擅自调班，不迟到早退，不得擅自离开值班岗位或进行与工作无关的其他活动。</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95"/>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严格按照机组的操作规程进行作业，按照要求定时巡检，发现故障和隐患及时处理并汇报。</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机组运行记录完整规范，交接班记录完整规范，台账清晰。</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按要求定期召开班组会议、业务学习和安全分析会，记录完整规范。</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建立机房来访登记，严禁不相关人员进入机房</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机房干净、整洁，无杂物，机房内严禁烟火，严禁堆放易燃、易爆等危化品。</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一项不符扣1分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1"/>
        </w:trPr>
        <w:tc>
          <w:tcPr>
            <w:tcW w:w="111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维保管理</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（30分）</w:t>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每月下旬提供本月工作总结和下月工作计划，按计划开展工作，对未完成的工作提供情况说明。</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1"/>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按合同要求对系统进行定期保养，同时提供系统的保养报告。</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1"/>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设备正常运行，设备维修时挂有相关警示标识，</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不符合要求，扣4分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1"/>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司炉工每班定期检测燃气管道情况，并留有相关记录。</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1"/>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做好系统设备和相关安全附件的定期检验工作（安全阀和压力表送检和拆装），并留有相关安全阀和压力表更换记录。</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不符合要求，扣4分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4"/>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文明施工，工完场清，保持周围环境的干净整洁。</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定期对机房内设备进行清灰除尘。</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33"/>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按照计划清洗空调回风口，更换过滤器，并提供相关记录和影像资料。</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33"/>
        </w:trPr>
        <w:tc>
          <w:tcPr>
            <w:tcW w:w="111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维修管理</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c>
          <w:tcPr>
            <w:tcW w:w="5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接到报修后15分钟内赶到现场处理故障</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33"/>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乙方现场若不能及时修复，需做好应急处理，耐心向科室、病区做好解释并报告相关人员。</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如有投诉，一次扣5 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2"/>
        </w:trPr>
        <w:tc>
          <w:tcPr>
            <w:tcW w:w="111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安全管理</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（20分）</w:t>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制定相应的安全应急预案，每年至少组织1次应急演练，有演练记录，应急演练结束后，有总结，有持续性改进措施。</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1"/>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对重大、突发事件有详细记录（发生时间、问题、原因、过程、处理人员签字、上报情况）。对重大事件有分析、讨论、反馈、改进措施、总结。台账详细、清晰。</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各类应急救援物品和系统设备及安全附件在检验有效期内。</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4"/>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各类人员知晓消防安全设施的位置及使用，定期检查消防器材，熟悉安全逃生的线路。</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一项不符扣2分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2"/>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安全保障有序、到位，无安全事故。</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有安全事故发生扣5分。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42"/>
        </w:trPr>
        <w:tc>
          <w:tcPr>
            <w:tcW w:w="111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服从甲方安排的与维保项目相关的其他任务。</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57"/>
        </w:trPr>
        <w:tc>
          <w:tcPr>
            <w:tcW w:w="11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1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4499"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配合甲方做好各项检查工作</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不符合要求，扣5分</w:t>
            </w:r>
            <w:r/>
          </w:p>
        </w:tc>
        <w:tc>
          <w:tcPr>
            <w:tcW w:w="74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2"/>
        </w:trPr>
        <w:tc>
          <w:tcPr>
            <w:gridSpan w:val="5"/>
            <w:tcW w:w="68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得分：</w:t>
            </w:r>
            <w:r/>
          </w:p>
        </w:tc>
        <w:tc>
          <w:tcPr>
            <w:gridSpan w:val="2"/>
            <w:tcW w:w="26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183"/>
        </w:trPr>
        <w:tc>
          <w:tcPr>
            <w:gridSpan w:val="7"/>
            <w:tcW w:w="95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注：90分以上为合格分，89-80分，低于90分的部分每降低1分扣除当月维保费用200元； 79-65分，低于90分的部分每降低1分扣除当月维保费用400元；65分以下视情况严重扣除当月维保费用10%，如连续三月或累计6个月得分65分以下，甲方有权单方面终止合同。</w:t>
            </w:r>
            <w:r/>
          </w:p>
        </w:tc>
      </w:tr>
      <w:tr>
        <w:trPr>
          <w:trHeight w:val="807"/>
        </w:trPr>
        <w:tc>
          <w:tcPr>
            <w:gridSpan w:val="3"/>
            <w:tcW w:w="439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甲方（签名）：</w:t>
            </w:r>
            <w:r/>
          </w:p>
        </w:tc>
        <w:tc>
          <w:tcPr>
            <w:gridSpan w:val="4"/>
            <w:tcW w:w="51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乙方（签名）：</w:t>
            </w:r>
            <w:r/>
          </w:p>
        </w:tc>
      </w:tr>
    </w:tbl>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八、商务要求：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1.合同履行期限：自合同签订之日起三年。</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2.质量标准：合格。</w:t>
      </w:r>
      <w:r/>
    </w:p>
    <w:p>
      <w:pPr>
        <w:ind w:firstLine="48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3.本项目总价最高限价为</w:t>
      </w:r>
      <w:r>
        <w:rPr>
          <w:rFonts w:hint="eastAsia" w:ascii="宋体" w:hAnsi="宋体" w:eastAsia="宋体" w:cs="宋体"/>
          <w:b/>
          <w:bCs/>
          <w:color w:val="auto"/>
          <w:sz w:val="24"/>
          <w:szCs w:val="24"/>
          <w:u w:val="single"/>
        </w:rPr>
        <w:t xml:space="preserve">818.25</w:t>
      </w:r>
      <w:r>
        <w:rPr>
          <w:rFonts w:hint="eastAsia" w:ascii="宋体" w:hAnsi="宋体" w:eastAsia="宋体" w:cs="宋体"/>
          <w:b/>
          <w:bCs/>
          <w:color w:val="auto"/>
          <w:sz w:val="24"/>
          <w:szCs w:val="24"/>
        </w:rPr>
        <w:t xml:space="preserve">万元，单价最高限价见下表</w:t>
      </w:r>
      <w:r>
        <w:rPr>
          <w:rFonts w:hint="eastAsia" w:ascii="宋体" w:hAnsi="宋体" w:eastAsia="宋体" w:cs="宋体"/>
          <w:color w:val="auto"/>
          <w:sz w:val="24"/>
          <w:szCs w:val="24"/>
        </w:rPr>
        <w:t xml:space="preserve">，各投标人的报价（单价及总价）不得高于最高限价，否则作无效投标处理。</w:t>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52"/>
        <w:rPr>
          <w:color w:val="auto"/>
        </w:rPr>
      </w:pPr>
      <w:r>
        <w:rPr>
          <w:color w:val="auto"/>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总价最高限价表</w:t>
      </w:r>
      <w:r/>
    </w:p>
    <w:tbl>
      <w:tblPr>
        <w:tblStyle w:val="75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4727"/>
        <w:gridCol w:w="2562"/>
      </w:tblGrid>
      <w:tr>
        <w:trPr>
          <w:jc w:val="center"/>
          <w:trHeight w:val="999"/>
        </w:trPr>
        <w:tc>
          <w:tcPr>
            <w:tcW w:w="108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472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费用（万元）</w:t>
            </w:r>
            <w:r/>
          </w:p>
        </w:tc>
      </w:tr>
      <w:tr>
        <w:trPr>
          <w:jc w:val="center"/>
          <w:trHeight w:val="470"/>
        </w:trPr>
        <w:tc>
          <w:tcPr>
            <w:tcW w:w="108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w:t>
            </w:r>
            <w:r/>
          </w:p>
        </w:tc>
        <w:tc>
          <w:tcPr>
            <w:tcW w:w="472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机房值班费用</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345.6</w:t>
            </w:r>
            <w:r/>
          </w:p>
        </w:tc>
      </w:tr>
      <w:tr>
        <w:trPr>
          <w:jc w:val="center"/>
          <w:trHeight w:val="419"/>
        </w:trPr>
        <w:tc>
          <w:tcPr>
            <w:tcW w:w="108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2.1</w:t>
            </w:r>
            <w:r/>
          </w:p>
        </w:tc>
        <w:tc>
          <w:tcPr>
            <w:tcW w:w="472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设备维保费用</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73.2</w:t>
            </w:r>
            <w:r/>
          </w:p>
        </w:tc>
      </w:tr>
      <w:tr>
        <w:trPr>
          <w:jc w:val="center"/>
          <w:trHeight w:val="419"/>
        </w:trPr>
        <w:tc>
          <w:tcPr>
            <w:tcW w:w="108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w:t>
            </w:r>
            <w:r/>
          </w:p>
        </w:tc>
        <w:tc>
          <w:tcPr>
            <w:tcW w:w="472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冷冻油、过滤器及辅材</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29.7</w:t>
            </w:r>
            <w:r/>
          </w:p>
        </w:tc>
      </w:tr>
      <w:tr>
        <w:trPr>
          <w:jc w:val="center"/>
          <w:trHeight w:val="550"/>
        </w:trPr>
        <w:tc>
          <w:tcPr>
            <w:tcW w:w="1080" w:type="dxa"/>
            <w:vAlign w:val="center"/>
            <w:textDirection w:val="lrTb"/>
            <w:noWrap w:val="false"/>
          </w:tcPr>
          <w:p>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w:t>
            </w:r>
            <w:r/>
          </w:p>
        </w:tc>
        <w:tc>
          <w:tcPr>
            <w:tcW w:w="472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中央空调末端维护及过滤器更换费用</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369.75</w:t>
            </w:r>
            <w:r/>
          </w:p>
        </w:tc>
      </w:tr>
      <w:tr>
        <w:trPr>
          <w:jc w:val="center"/>
          <w:trHeight w:val="469"/>
        </w:trPr>
        <w:tc>
          <w:tcPr>
            <w:gridSpan w:val="2"/>
            <w:tcW w:w="580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最高限价总价</w:t>
            </w:r>
            <w:r/>
          </w:p>
        </w:tc>
        <w:tc>
          <w:tcPr>
            <w:tcW w:w="256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u w:val="single"/>
              </w:rPr>
              <w:t xml:space="preserve">  818.25 </w:t>
            </w:r>
            <w:r>
              <w:rPr>
                <w:rFonts w:hint="eastAsia" w:ascii="宋体" w:hAnsi="宋体" w:eastAsia="宋体" w:cs="宋体"/>
                <w:b/>
                <w:color w:val="auto"/>
                <w:sz w:val="21"/>
                <w:szCs w:val="21"/>
              </w:rPr>
              <w:t xml:space="preserve">万元</w:t>
            </w:r>
            <w:r/>
          </w:p>
        </w:tc>
      </w:tr>
    </w:tbl>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单价最高限价表</w:t>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1.机房值班</w:t>
      </w:r>
      <w:r/>
    </w:p>
    <w:tbl>
      <w:tblPr>
        <w:tblStyle w:val="751"/>
        <w:tblW w:w="8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49"/>
        <w:gridCol w:w="1843"/>
        <w:gridCol w:w="709"/>
        <w:gridCol w:w="1302"/>
        <w:gridCol w:w="1182"/>
        <w:gridCol w:w="1187"/>
      </w:tblGrid>
      <w:tr>
        <w:trPr>
          <w:jc w:val="center"/>
          <w:trHeight w:val="699"/>
        </w:trPr>
        <w:tc>
          <w:tcPr>
            <w:tcW w:w="65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174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机房</w:t>
            </w:r>
            <w:r/>
          </w:p>
        </w:tc>
        <w:tc>
          <w:tcPr>
            <w:tcW w:w="184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工作内容</w:t>
            </w:r>
            <w:r/>
          </w:p>
        </w:tc>
        <w:tc>
          <w:tcPr>
            <w:tcW w:w="70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tcW w:w="1302" w:type="dxa"/>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单价最高限价（万元/人/月）</w:t>
            </w:r>
            <w:r/>
          </w:p>
        </w:tc>
        <w:tc>
          <w:tcPr>
            <w:tcW w:w="118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时间（月）</w:t>
            </w:r>
            <w:r/>
          </w:p>
        </w:tc>
        <w:tc>
          <w:tcPr>
            <w:tcW w:w="11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小计（元）</w:t>
            </w:r>
            <w:r/>
          </w:p>
        </w:tc>
      </w:tr>
      <w:tr>
        <w:trPr>
          <w:jc w:val="center"/>
          <w:trHeight w:val="786"/>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总院蒸汽锅炉房</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每2小时巡视蒸汽锅炉运行</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0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1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1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总院热水锅炉房、换热机房、冷冻机房、净化机组</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每2小时巡视热水锅炉、换热设备、冷水机组、楼顶净化机组、5楼净化机房等</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0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1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1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09"/>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海陵院区住院部空调机房、门诊空调机房、8号楼机房</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每2小时巡视住院部、门诊、8号楼空调机房设备</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0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1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1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4"/>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妇幼锅炉房、冷冻机房、换热机房、5楼顶净化机组、4楼设备层</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每2小时巡视锅炉房、冷冻机房、换热设备、净化机组等</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0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1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1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92"/>
        </w:trPr>
        <w:tc>
          <w:tcPr>
            <w:gridSpan w:val="7"/>
            <w:tcW w:w="8628"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三年合计（最高限价345.6万元）</w:t>
            </w:r>
            <w:r/>
          </w:p>
        </w:tc>
      </w:tr>
    </w:tbl>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2.1设备维保</w:t>
      </w:r>
      <w:r/>
    </w:p>
    <w:tbl>
      <w:tblPr>
        <w:tblStyle w:val="751"/>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062"/>
        <w:gridCol w:w="2217"/>
        <w:gridCol w:w="948"/>
        <w:gridCol w:w="948"/>
        <w:gridCol w:w="1147"/>
        <w:gridCol w:w="852"/>
        <w:gridCol w:w="1525"/>
      </w:tblGrid>
      <w:tr>
        <w:trPr>
          <w:jc w:val="center"/>
          <w:trHeight w:val="718"/>
        </w:trPr>
        <w:tc>
          <w:tcPr>
            <w:tcW w:w="45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062"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tcW w:w="2217"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品牌型号</w:t>
            </w:r>
            <w:r/>
          </w:p>
        </w:tc>
        <w:tc>
          <w:tcPr>
            <w:tcW w:w="94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数量（台）</w:t>
            </w:r>
            <w:r/>
          </w:p>
        </w:tc>
        <w:tc>
          <w:tcPr>
            <w:tcW w:w="94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时间</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（年）</w:t>
            </w:r>
            <w:r/>
          </w:p>
        </w:tc>
        <w:tc>
          <w:tcPr>
            <w:tcW w:w="1147"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（万元/台/年）</w:t>
            </w:r>
            <w:r/>
          </w:p>
        </w:tc>
        <w:tc>
          <w:tcPr>
            <w:tcW w:w="852"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w:t>
            </w:r>
            <w:r/>
          </w:p>
        </w:tc>
        <w:tc>
          <w:tcPr>
            <w:tcW w:w="1525"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WNS2-1.0-Y/Q</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承压蒸汽锅炉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WNS2.8-0.7/95/70-Y/Q</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ZKS300-60/50-10</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KDV-N120AK</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KDV-H300AD</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BOV-1600NG</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BOV-3000NG</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总院冷水机组</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19XR</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30XW</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82"/>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海陵院区冷水机组</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YSEBEAS45CKE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原厂冷冻油（4桶/台）、过滤器，每三年更换一次</w:t>
            </w:r>
            <w:r/>
          </w:p>
        </w:tc>
      </w:tr>
      <w:tr>
        <w:trPr>
          <w:jc w:val="center"/>
          <w:trHeight w:val="82"/>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YKCECEQ75COF</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原厂冷冻油（2/台）、过滤器，每三年更换一次</w:t>
            </w:r>
            <w:r/>
          </w:p>
        </w:tc>
      </w:tr>
      <w:tr>
        <w:trPr>
          <w:jc w:val="center"/>
          <w:trHeight w:val="82"/>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磁悬浮机组无需更换冷冻油</w:t>
            </w:r>
            <w:r/>
          </w:p>
        </w:tc>
      </w:tr>
      <w:tr>
        <w:trPr>
          <w:jc w:val="center"/>
          <w:trHeight w:val="737"/>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妇幼冷水机组维保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WSC100MAWNOF -E3312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737"/>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WSC079LAQ29</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-2609</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847"/>
        </w:trPr>
        <w:tc>
          <w:tcPr>
            <w:tcW w:w="45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0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净化机组维保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总院、海陵院区、妇幼、二期所有净化机组</w:t>
            </w:r>
            <w:r/>
          </w:p>
        </w:tc>
      </w:tr>
      <w:tr>
        <w:trPr>
          <w:jc w:val="center"/>
          <w:trHeight w:val="364"/>
        </w:trPr>
        <w:tc>
          <w:tcPr>
            <w:gridSpan w:val="8"/>
            <w:tcW w:w="915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三年合计（最高限价73.2万元）</w:t>
            </w:r>
            <w:r/>
          </w:p>
        </w:tc>
      </w:tr>
    </w:tbl>
    <w:p>
      <w:pPr>
        <w:pStyle w:val="752"/>
        <w:jc w:val="center"/>
        <w:rPr>
          <w:rFonts w:hint="eastAsia" w:ascii="宋体" w:hAnsi="宋体" w:eastAsia="宋体" w:cs="宋体"/>
          <w:b/>
          <w:bCs/>
          <w:color w:val="auto"/>
        </w:rPr>
      </w:pPr>
      <w:r>
        <w:rPr>
          <w:rFonts w:hint="eastAsia" w:ascii="宋体" w:hAnsi="宋体" w:eastAsia="宋体" w:cs="宋体"/>
          <w:b/>
          <w:bCs/>
          <w:color w:val="auto"/>
        </w:rPr>
      </w:r>
      <w:r/>
    </w:p>
    <w:p>
      <w:pPr>
        <w:pStyle w:val="752"/>
        <w:jc w:val="center"/>
        <w:rPr>
          <w:rFonts w:hint="eastAsia" w:ascii="宋体" w:hAnsi="宋体" w:eastAsia="宋体" w:cs="宋体"/>
          <w:b/>
          <w:bCs/>
          <w:color w:val="auto"/>
        </w:rPr>
      </w:pPr>
      <w:r>
        <w:rPr>
          <w:rFonts w:hint="eastAsia" w:ascii="宋体" w:hAnsi="宋体" w:eastAsia="宋体" w:cs="宋体"/>
          <w:b/>
          <w:bCs/>
          <w:color w:val="auto"/>
        </w:rPr>
      </w:r>
      <w:r/>
    </w:p>
    <w:p>
      <w:pPr>
        <w:pStyle w:val="752"/>
        <w:jc w:val="center"/>
        <w:rPr>
          <w:rFonts w:hint="eastAsia" w:ascii="宋体" w:hAnsi="宋体" w:eastAsia="宋体" w:cs="宋体"/>
          <w:b/>
          <w:bCs/>
          <w:color w:val="auto"/>
        </w:rPr>
      </w:pPr>
      <w:r>
        <w:rPr>
          <w:rFonts w:hint="eastAsia" w:ascii="宋体" w:hAnsi="宋体" w:eastAsia="宋体" w:cs="宋体"/>
          <w:b/>
          <w:bCs/>
          <w:color w:val="auto"/>
        </w:rPr>
        <w:t xml:space="preserve">2.2冷冻油、过滤器及辅材</w:t>
      </w:r>
      <w:r/>
    </w:p>
    <w:tbl>
      <w:tblPr>
        <w:tblStyle w:val="751"/>
        <w:tblW w:w="9473" w:type="dxa"/>
        <w:tblInd w:w="-263" w:type="dxa"/>
        <w:tblLayout w:type="fixed"/>
        <w:tblCellMar>
          <w:left w:w="108" w:type="dxa"/>
          <w:top w:w="0" w:type="dxa"/>
          <w:right w:w="108" w:type="dxa"/>
          <w:bottom w:w="0" w:type="dxa"/>
        </w:tblCellMar>
        <w:tblLook w:val="04A0" w:firstRow="1" w:lastRow="0" w:firstColumn="1" w:lastColumn="0" w:noHBand="0" w:noVBand="1"/>
      </w:tblPr>
      <w:tblGrid>
        <w:gridCol w:w="612"/>
        <w:gridCol w:w="922"/>
        <w:gridCol w:w="667"/>
        <w:gridCol w:w="851"/>
        <w:gridCol w:w="1698"/>
        <w:gridCol w:w="1644"/>
        <w:gridCol w:w="952"/>
        <w:gridCol w:w="709"/>
        <w:gridCol w:w="709"/>
        <w:gridCol w:w="709"/>
      </w:tblGrid>
      <w:tr>
        <w:trPr>
          <w:trHeight w:val="566"/>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机组型号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机组</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（台）</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耗材名称</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耗材型号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w:t>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开利离心机组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19XR</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PP23BZ103005C</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4300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02XR05009501 </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KH42ME060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KH45LE120 </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开利螺杆机组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30XW</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PP23BZ110005C</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00PPY010012800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XW12EA0031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约克离心机组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YKCECEQ75COF</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冷冻K油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011-00533-000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12000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约克螺杆机组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YSEBEAS45CKE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冷冻S油</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011-00922-000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026-32841-000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026-32839-000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麦克维尔离心机组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WSC100MAWNOF -E3312</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（5L/桶）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6"/>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麦克维尔离心机组</w:t>
            </w:r>
            <w:r/>
          </w:p>
        </w:tc>
        <w:tc>
          <w:tcPr>
            <w:tcBorders>
              <w:top w:val="single" w:color="auto" w:sz="4" w:space="0"/>
              <w:left w:val="single" w:color="auto" w:sz="4" w:space="0"/>
              <w:bottom w:val="single" w:color="auto" w:sz="4" w:space="0"/>
              <w:right w:val="single" w:color="auto" w:sz="4" w:space="0"/>
            </w:tcBorders>
            <w:tcW w:w="6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WSC079LAQ29-2609</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（5L/桶）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6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8"/>
        </w:trPr>
        <w:tc>
          <w:tcPr>
            <w:gridSpan w:val="10"/>
            <w:tcBorders>
              <w:top w:val="single" w:color="auto" w:sz="4" w:space="0"/>
              <w:left w:val="single" w:color="auto" w:sz="4" w:space="0"/>
              <w:bottom w:val="single" w:color="auto" w:sz="4" w:space="0"/>
              <w:right w:val="single" w:color="auto" w:sz="4" w:space="0"/>
            </w:tcBorders>
            <w:tcW w:w="947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三年合计（最高限价29.7万元）</w:t>
            </w:r>
            <w:r/>
          </w:p>
        </w:tc>
      </w:tr>
    </w:tbl>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3.中央空调末端维护及过滤器更换</w:t>
      </w:r>
      <w:r/>
    </w:p>
    <w:tbl>
      <w:tblPr>
        <w:tblStyle w:val="751"/>
        <w:tblW w:w="8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671"/>
        <w:gridCol w:w="1091"/>
        <w:gridCol w:w="1310"/>
        <w:gridCol w:w="890"/>
        <w:gridCol w:w="1276"/>
      </w:tblGrid>
      <w:tr>
        <w:trPr>
          <w:jc w:val="center"/>
          <w:trHeight w:val="454"/>
        </w:trPr>
        <w:tc>
          <w:tcPr>
            <w:tcW w:w="89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67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109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tcW w:w="1310" w:type="dxa"/>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单价最高限价（万元/人/月）</w:t>
            </w:r>
            <w:r/>
          </w:p>
        </w:tc>
        <w:tc>
          <w:tcPr>
            <w:tcW w:w="8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时间（月）</w:t>
            </w:r>
            <w:r/>
          </w:p>
        </w:tc>
        <w:tc>
          <w:tcPr>
            <w:tcW w:w="127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小计</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（万元）</w:t>
            </w:r>
            <w:r/>
          </w:p>
        </w:tc>
      </w:tr>
      <w:tr>
        <w:trPr>
          <w:jc w:val="center"/>
          <w:trHeight w:val="854"/>
        </w:trPr>
        <w:tc>
          <w:tcPr>
            <w:tcW w:w="89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67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总院中央空调末端维修、清洗、过滤器更换人工</w:t>
            </w:r>
            <w:r/>
          </w:p>
        </w:tc>
        <w:tc>
          <w:tcPr>
            <w:tcW w:w="10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8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854"/>
        </w:trPr>
        <w:tc>
          <w:tcPr>
            <w:tcW w:w="89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67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海陵院区中央空调末端维修、清洗、过滤器更换人工</w:t>
            </w:r>
            <w:r/>
          </w:p>
        </w:tc>
        <w:tc>
          <w:tcPr>
            <w:tcW w:w="10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3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8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854"/>
        </w:trPr>
        <w:tc>
          <w:tcPr>
            <w:tcW w:w="89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67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妇幼院区中央空调末端维修、清洗、过滤器更换人工</w:t>
            </w:r>
            <w:r/>
          </w:p>
        </w:tc>
        <w:tc>
          <w:tcPr>
            <w:tcW w:w="10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1人</w:t>
            </w:r>
            <w:r/>
          </w:p>
        </w:tc>
        <w:tc>
          <w:tcPr>
            <w:tcW w:w="13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8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92"/>
        </w:trPr>
        <w:tc>
          <w:tcPr>
            <w:gridSpan w:val="6"/>
            <w:tcW w:w="8137"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三年合计（最高限价194.4万元）</w:t>
            </w:r>
            <w:r/>
          </w:p>
        </w:tc>
      </w:tr>
    </w:tbl>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6"/>
        <w:jc w:val="center"/>
        <w:rPr>
          <w:rFonts w:hint="eastAsia" w:ascii="宋体" w:hAnsi="宋体" w:eastAsia="宋体" w:cs="宋体"/>
          <w:b/>
          <w:color w:val="auto"/>
          <w:sz w:val="36"/>
          <w:szCs w:val="36"/>
          <w:lang w:bidi="ar"/>
        </w:rPr>
      </w:pPr>
      <w:r>
        <w:rPr>
          <w:rFonts w:hint="eastAsia" w:ascii="宋体" w:hAnsi="宋体" w:eastAsia="宋体" w:cs="宋体"/>
          <w:b/>
          <w:color w:val="auto"/>
          <w:sz w:val="36"/>
          <w:szCs w:val="36"/>
          <w:lang w:bidi="ar"/>
        </w:rPr>
        <w:t xml:space="preserve">过滤器单价一览表</w:t>
      </w:r>
      <w:r/>
    </w:p>
    <w:p>
      <w:pPr>
        <w:pStyle w:val="996"/>
        <w:rPr>
          <w:rFonts w:hint="eastAsia" w:ascii="宋体" w:hAnsi="宋体" w:eastAsia="宋体" w:cs="宋体"/>
          <w:b/>
          <w:color w:val="auto"/>
        </w:rPr>
      </w:pPr>
      <w:r>
        <w:rPr>
          <w:rFonts w:hint="eastAsia" w:ascii="宋体" w:hAnsi="宋体" w:eastAsia="宋体" w:cs="宋体"/>
          <w:b/>
          <w:color w:val="auto"/>
        </w:rPr>
        <w:t xml:space="preserve">（包含不限于，具体尺寸以现场实际测量为准）</w:t>
      </w:r>
      <w:r/>
    </w:p>
    <w:p>
      <w:pPr>
        <w:pStyle w:val="996"/>
        <w:ind w:firstLine="0"/>
        <w:rPr>
          <w:rFonts w:hint="eastAsia" w:ascii="宋体" w:hAnsi="宋体" w:eastAsia="宋体" w:cs="宋体"/>
          <w:b/>
          <w:color w:val="auto"/>
        </w:rPr>
      </w:pPr>
      <w:r>
        <w:rPr>
          <w:rFonts w:hint="eastAsia" w:ascii="宋体" w:hAnsi="宋体" w:eastAsia="宋体" w:cs="宋体"/>
          <w:b/>
          <w:bCs/>
          <w:color w:val="auto"/>
          <w:sz w:val="28"/>
          <w:szCs w:val="28"/>
        </w:rPr>
        <w:t xml:space="preserve">1.1总院初中效过滤器统计</w:t>
      </w:r>
      <w:r/>
    </w:p>
    <w:tbl>
      <w:tblPr>
        <w:tblStyle w:val="751"/>
        <w:tblpPr w:horzAnchor="page" w:tblpX="1258" w:vertAnchor="text" w:tblpY="333" w:leftFromText="180" w:topFromText="0" w:rightFromText="180" w:bottomFromText="0"/>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850"/>
        <w:gridCol w:w="1134"/>
        <w:gridCol w:w="2162"/>
        <w:gridCol w:w="892"/>
        <w:gridCol w:w="1177"/>
        <w:gridCol w:w="1338"/>
        <w:gridCol w:w="1075"/>
      </w:tblGrid>
      <w:tr>
        <w:trPr>
          <w:trHeight w:val="299"/>
        </w:trPr>
        <w:tc>
          <w:tcPr>
            <w:tcW w:w="1001"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85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W w:w="113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216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89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（个）</w:t>
            </w:r>
            <w:r/>
          </w:p>
        </w:tc>
        <w:tc>
          <w:tcPr>
            <w:shd w:val="clear" w:color="000000" w:fill="ffffff"/>
            <w:tcW w:w="1177"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shd w:val="clear" w:color="000000" w:fill="ffffff"/>
            <w:tcW w:w="133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更换频次（次/1年）</w:t>
            </w:r>
            <w:r/>
          </w:p>
        </w:tc>
        <w:tc>
          <w:tcPr>
            <w:shd w:val="clear" w:color="000000" w:fill="ffffff"/>
            <w:tcW w:w="107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299"/>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5F机房（4F手术室）</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AHU-01</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AHU-03</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AHU-04</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AHU-05</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AHU-06</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AHU-07</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7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AHU-08</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AHU-09</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AHU-13</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AHU-14</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AHU-15</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AHU-XF</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4F（病理科）</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3F（DSA）西北</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1AHU-XF</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1AHU-01</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1AHU-04</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3F（DSA）西南</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CXBS489*594*46-G4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ZXDS487*287*380-5-F8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ZXDS487*592*380-5-F8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1AHU-03</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制剂室</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w:t>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1F机组1（吊顶）</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592*592*534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287*592*534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1F机组2（吊顶）</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2F机组1</w:t>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3F机组2</w:t>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门诊地下室</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  西大厅</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2#机 1#电房</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3#机  2#电房</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住院部二楼东</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住院部二楼西</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M1#、2#</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LG（门诊4F1、2）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132</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M3#</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LG（门诊4F3）</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M4#</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LG（门诊4F4）</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M7#</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LG（门诊3F通道西侧）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M8#</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LG（门诊3F中医科）</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M9#</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LG（门诊3F体检中心）</w:t>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M16#</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LG（门诊2F检验科入口）</w:t>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M20#</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AHU-1（门诊2楼检验科西侧机房）</w:t>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M21#</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LG（门诊2F通道入口西侧）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M22#</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LG（门诊2F超声北侧）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M23#、24#、25#</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LG（门诊2F内镜中心、大厅空调）</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ffffcc"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2#、3#机</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23"/>
        </w:trPr>
        <w:tc>
          <w:tcPr>
            <w:tcW w:w="10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shd w:val="clear" w:color="000000" w:fill="ffffff"/>
            <w:tcW w:w="13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8"/>
            <w:tcW w:w="96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每年费用小计（单价×数量×更换频次）（最高限价32.8968万元）， 三年合计（最高限价98.6904万元）</w:t>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1.2总院手术室回风过滤器统计</w:t>
      </w:r>
      <w:r/>
    </w:p>
    <w:tbl>
      <w:tblPr>
        <w:tblStyle w:val="751"/>
        <w:tblW w:w="9124" w:type="dxa"/>
        <w:tblInd w:w="0" w:type="dxa"/>
        <w:tblLayout w:type="fixed"/>
        <w:tblCellMar>
          <w:left w:w="108" w:type="dxa"/>
          <w:top w:w="0" w:type="dxa"/>
          <w:right w:w="108" w:type="dxa"/>
          <w:bottom w:w="0" w:type="dxa"/>
        </w:tblCellMar>
        <w:tblLook w:val="04A0" w:firstRow="1" w:lastRow="0" w:firstColumn="1" w:lastColumn="0" w:noHBand="0" w:noVBand="1"/>
      </w:tblPr>
      <w:tblGrid>
        <w:gridCol w:w="1502"/>
        <w:gridCol w:w="1757"/>
        <w:gridCol w:w="955"/>
        <w:gridCol w:w="1772"/>
        <w:gridCol w:w="1515"/>
        <w:gridCol w:w="1623"/>
      </w:tblGrid>
      <w:tr>
        <w:trPr>
          <w:trHeight w:val="616"/>
        </w:trPr>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Borders>
              <w:top w:val="single" w:color="auto"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Borders>
              <w:top w:val="single" w:color="auto"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更换频次（2次/1年）</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4F</w:t>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89</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435*385*40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82</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185*185*20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305*235*20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1235*335*20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209</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785*305*20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585*305*20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w:t>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Borders>
              <w:top w:val="none" w:color="000000" w:sz="4" w:space="0"/>
              <w:left w:val="single" w:color="auto" w:sz="4" w:space="0"/>
              <w:bottom w:val="single" w:color="auto" w:sz="4" w:space="0"/>
              <w:right w:val="single" w:color="auto" w:sz="4" w:space="0"/>
            </w:tcBorders>
            <w:tcW w:w="1502"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6"/>
            <w:tcBorders>
              <w:top w:val="none" w:color="000000" w:sz="4" w:space="0"/>
              <w:left w:val="single" w:color="auto" w:sz="4" w:space="0"/>
              <w:bottom w:val="single" w:color="auto" w:sz="4" w:space="0"/>
              <w:right w:val="single" w:color="auto" w:sz="4" w:space="0"/>
            </w:tcBorders>
            <w:tcW w:w="9124" w:type="dxa"/>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每年费用小计（单价×数量×更换频次）（最高限价4.3626万元）， 三年合计（最高限价13.0878万元）</w:t>
            </w:r>
            <w:r/>
          </w:p>
        </w:tc>
      </w:tr>
    </w:tbl>
    <w:p>
      <w:pPr>
        <w:pStyle w:val="996"/>
        <w:jc w:val="center"/>
        <w:rPr>
          <w:rFonts w:hint="eastAsia" w:ascii="宋体" w:hAnsi="宋体" w:eastAsia="宋体" w:cs="宋体"/>
          <w:b/>
          <w:color w:val="auto"/>
        </w:rPr>
      </w:pPr>
      <w:r>
        <w:rPr>
          <w:rFonts w:hint="eastAsia" w:ascii="宋体" w:hAnsi="宋体" w:eastAsia="宋体" w:cs="宋体"/>
          <w:b/>
          <w:color w:val="auto"/>
        </w:rPr>
      </w:r>
      <w:r/>
    </w:p>
    <w:p>
      <w:pPr>
        <w:pStyle w:val="996"/>
        <w:jc w:val="cente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1.3总院高效过滤器更换预算（</w:t>
      </w:r>
      <w:r>
        <w:rPr>
          <w:rFonts w:hint="eastAsia" w:ascii="宋体" w:hAnsi="宋体" w:eastAsia="宋体" w:cs="宋体"/>
          <w:b/>
          <w:bCs/>
          <w:color w:val="auto"/>
          <w:sz w:val="24"/>
          <w:szCs w:val="24"/>
        </w:rPr>
        <w:t xml:space="preserve">三年更换一次</w:t>
      </w:r>
      <w:r>
        <w:rPr>
          <w:rFonts w:hint="eastAsia" w:ascii="宋体" w:hAnsi="宋体" w:eastAsia="宋体" w:cs="宋体"/>
          <w:b/>
          <w:bCs/>
          <w:color w:val="auto"/>
          <w:sz w:val="28"/>
          <w:szCs w:val="28"/>
        </w:rPr>
        <w:t xml:space="preserve">）</w:t>
      </w:r>
      <w:r/>
    </w:p>
    <w:tbl>
      <w:tblPr>
        <w:tblStyle w:val="751"/>
        <w:tblW w:w="9049" w:type="dxa"/>
        <w:tblInd w:w="0" w:type="dxa"/>
        <w:tblLayout w:type="fixed"/>
        <w:tblCellMar>
          <w:left w:w="108" w:type="dxa"/>
          <w:top w:w="0" w:type="dxa"/>
          <w:right w:w="108" w:type="dxa"/>
          <w:bottom w:w="0" w:type="dxa"/>
        </w:tblCellMar>
        <w:tblLook w:val="04A0" w:firstRow="1" w:lastRow="0" w:firstColumn="1" w:lastColumn="0" w:noHBand="0" w:noVBand="1"/>
      </w:tblPr>
      <w:tblGrid>
        <w:gridCol w:w="1268"/>
        <w:gridCol w:w="1418"/>
        <w:gridCol w:w="1559"/>
        <w:gridCol w:w="992"/>
        <w:gridCol w:w="2049"/>
        <w:gridCol w:w="1763"/>
      </w:tblGrid>
      <w:tr>
        <w:trPr>
          <w:trHeight w:val="459"/>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类型</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小计（元/三年）</w:t>
            </w:r>
            <w:r/>
          </w:p>
        </w:tc>
      </w:tr>
      <w:tr>
        <w:trPr>
          <w:trHeight w:val="640"/>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中心手术室1-16#、20、21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290*690*100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中心手术室17-19#/22/23</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910*420*70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451</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1010*747*70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840</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磁体间</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4"/>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中心手术室科室</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32</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门诊手术室</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3"/>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手术室连廊</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341</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4"/>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DSA科室</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4"/>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DSA1#</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1630*545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852</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695*345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275</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345*145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DSA2#</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408*508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308</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508*368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291</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住院楼4F东、西区ICU</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50</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01"/>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住院楼23F西区</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341</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600*600*45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253</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住院楼1F西一区静配中心</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572</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484</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门诊楼4F病理科</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726*484*90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726</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检验科PCR1期高效</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430</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顶液槽高效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1"/>
        </w:trPr>
        <w:tc>
          <w:tcPr>
            <w:tcBorders>
              <w:top w:val="none" w:color="000000"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检验科PCR2期高效</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430</w:t>
            </w:r>
            <w:r/>
          </w:p>
        </w:tc>
        <w:tc>
          <w:tcPr>
            <w:tcBorders>
              <w:top w:val="none" w:color="000000" w:sz="4" w:space="0"/>
              <w:left w:val="single" w:color="auto" w:sz="4" w:space="0"/>
              <w:bottom w:val="single" w:color="auto" w:sz="4" w:space="0"/>
              <w:right w:val="single" w:color="auto" w:sz="4" w:space="0"/>
            </w:tcBorders>
            <w:tcW w:w="17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1"/>
        </w:trPr>
        <w:tc>
          <w:tcPr>
            <w:gridSpan w:val="6"/>
            <w:tcBorders>
              <w:top w:val="none" w:color="000000" w:sz="4" w:space="0"/>
              <w:left w:val="single" w:color="auto" w:sz="4" w:space="0"/>
              <w:bottom w:val="single" w:color="auto" w:sz="4" w:space="0"/>
              <w:right w:val="single" w:color="auto" w:sz="4" w:space="0"/>
            </w:tcBorders>
            <w:tcW w:w="904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三年合计（最高限价15.4772万元）</w:t>
            </w:r>
            <w:r/>
          </w:p>
        </w:tc>
      </w:tr>
    </w:tbl>
    <w:p>
      <w:pPr>
        <w:pStyle w:val="996"/>
        <w:jc w:val="cente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2.1海陵院区初中效过滤器更换预算</w:t>
      </w:r>
      <w:r/>
    </w:p>
    <w:tbl>
      <w:tblPr>
        <w:tblStyle w:val="751"/>
        <w:tblW w:w="88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3"/>
        <w:gridCol w:w="986"/>
        <w:gridCol w:w="764"/>
        <w:gridCol w:w="1600"/>
        <w:gridCol w:w="942"/>
        <w:gridCol w:w="1001"/>
        <w:gridCol w:w="1053"/>
        <w:gridCol w:w="914"/>
      </w:tblGrid>
      <w:tr>
        <w:trPr>
          <w:trHeight w:val="620"/>
        </w:trPr>
        <w:tc>
          <w:tcPr>
            <w:tcW w:w="156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tcW w:w="98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W w:w="76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160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94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shd w:val="clear" w:color="000000" w:fill="ffffff"/>
            <w:tcW w:w="100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105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更换频次（4次/年）</w:t>
            </w:r>
            <w:r/>
          </w:p>
        </w:tc>
        <w:tc>
          <w:tcPr>
            <w:tcW w:w="91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502"/>
        </w:trPr>
        <w:tc>
          <w:tcPr>
            <w:tcW w:w="15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生殖中心（北附楼顶）</w:t>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JKS-1</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JKS-2</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JKS-4</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JKS-3</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AHU301</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62</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287×592×600-3</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287×287×600-3</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AHU302</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AHU303</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AHU304</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9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静配中心</w:t>
            </w:r>
            <w:r/>
          </w:p>
        </w:tc>
        <w:tc>
          <w:tcPr>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414×657×46-8</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176</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吊顶</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95"/>
        </w:trPr>
        <w:tc>
          <w:tcPr>
            <w:tcW w:w="1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W w:w="98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510×510×550-3</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tcW w:w="1563"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W w:w="98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AHU101</w:t>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590×590×50</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490×590×35</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21"/>
        </w:trPr>
        <w:tc>
          <w:tcPr>
            <w:tcW w:w="15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8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595×595×35</w:t>
            </w:r>
            <w:r/>
          </w:p>
        </w:tc>
        <w:tc>
          <w:tcPr>
            <w:tcW w:w="94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10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21"/>
        </w:trPr>
        <w:tc>
          <w:tcPr>
            <w:gridSpan w:val="8"/>
            <w:tcW w:w="882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每年费用小计（单价×数量×更换频次）（最高限价5.9148万元）， 三年合计（最高限价17.7444万元）</w:t>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2.2海陵院区手术室回风过滤器统计</w:t>
      </w:r>
      <w:r/>
    </w:p>
    <w:tbl>
      <w:tblPr>
        <w:tblStyle w:val="751"/>
        <w:tblW w:w="8769" w:type="dxa"/>
        <w:tblInd w:w="0" w:type="dxa"/>
        <w:tblLayout w:type="fixed"/>
        <w:tblCellMar>
          <w:left w:w="108" w:type="dxa"/>
          <w:top w:w="0" w:type="dxa"/>
          <w:right w:w="108" w:type="dxa"/>
          <w:bottom w:w="0" w:type="dxa"/>
        </w:tblCellMar>
        <w:tblLook w:val="04A0" w:firstRow="1" w:lastRow="0" w:firstColumn="1" w:lastColumn="0" w:noHBand="0" w:noVBand="1"/>
      </w:tblPr>
      <w:tblGrid>
        <w:gridCol w:w="869"/>
        <w:gridCol w:w="1264"/>
        <w:gridCol w:w="1650"/>
        <w:gridCol w:w="989"/>
        <w:gridCol w:w="1268"/>
        <w:gridCol w:w="1440"/>
        <w:gridCol w:w="1289"/>
      </w:tblGrid>
      <w:tr>
        <w:trPr>
          <w:trHeight w:val="857"/>
        </w:trPr>
        <w:tc>
          <w:tcPr>
            <w:tcBorders>
              <w:top w:val="single" w:color="auto" w:sz="4" w:space="0"/>
              <w:left w:val="single" w:color="auto" w:sz="4" w:space="0"/>
              <w:bottom w:val="single" w:color="auto" w:sz="4" w:space="0"/>
              <w:right w:val="single" w:color="auto" w:sz="4" w:space="0"/>
            </w:tcBorders>
            <w:tcW w:w="86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Borders>
              <w:top w:val="single" w:color="auto"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板式回风过滤器型号</w:t>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更换频次（次/1年）</w:t>
            </w:r>
            <w:r/>
          </w:p>
        </w:tc>
        <w:tc>
          <w:tcPr>
            <w:tcBorders>
              <w:top w:val="single" w:color="auto"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690×290×90</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290×580×96</w:t>
            </w:r>
            <w:r/>
          </w:p>
        </w:tc>
        <w:tc>
          <w:tcPr>
            <w:tcBorders>
              <w:top w:val="none" w:color="000000" w:sz="4" w:space="0"/>
              <w:left w:val="none" w:color="000000" w:sz="4" w:space="0"/>
              <w:bottom w:val="single" w:color="auto" w:sz="4" w:space="0"/>
              <w:right w:val="single" w:color="auto" w:sz="4" w:space="0"/>
            </w:tcBorders>
            <w:tcW w:w="9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gridSpan w:val="7"/>
            <w:tcBorders>
              <w:top w:val="single" w:color="auto" w:sz="4" w:space="0"/>
              <w:left w:val="single" w:color="auto" w:sz="4" w:space="0"/>
              <w:bottom w:val="single" w:color="auto" w:sz="4" w:space="0"/>
              <w:right w:val="single" w:color="auto" w:sz="4" w:space="0"/>
            </w:tcBorders>
            <w:tcW w:w="87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每年费用小计（单价×数量×更换频次）（最高限价0.5214万元）， 三年合计（最高限价1.5642万元）</w:t>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2.3海陵院区高效过滤器更换预算（</w:t>
      </w:r>
      <w:r>
        <w:rPr>
          <w:rFonts w:hint="eastAsia" w:ascii="宋体" w:hAnsi="宋体" w:eastAsia="宋体" w:cs="宋体"/>
          <w:b/>
          <w:bCs/>
          <w:color w:val="auto"/>
          <w:sz w:val="24"/>
          <w:szCs w:val="24"/>
        </w:rPr>
        <w:t xml:space="preserve">三年更换一次</w:t>
      </w:r>
      <w:r>
        <w:rPr>
          <w:rFonts w:hint="eastAsia" w:ascii="宋体" w:hAnsi="宋体" w:eastAsia="宋体" w:cs="宋体"/>
          <w:b/>
          <w:bCs/>
          <w:color w:val="auto"/>
          <w:sz w:val="28"/>
          <w:szCs w:val="28"/>
        </w:rPr>
        <w:t xml:space="preserve">）</w:t>
      </w:r>
      <w:r/>
    </w:p>
    <w:tbl>
      <w:tblPr>
        <w:tblStyle w:val="751"/>
        <w:tblW w:w="8748" w:type="dxa"/>
        <w:tblInd w:w="0" w:type="dxa"/>
        <w:tblLayout w:type="fixed"/>
        <w:tblCellMar>
          <w:left w:w="108" w:type="dxa"/>
          <w:top w:w="0" w:type="dxa"/>
          <w:right w:w="108" w:type="dxa"/>
          <w:bottom w:w="0" w:type="dxa"/>
        </w:tblCellMar>
        <w:tblLook w:val="04A0" w:firstRow="1" w:lastRow="0" w:firstColumn="1" w:lastColumn="0" w:noHBand="0" w:noVBand="1"/>
      </w:tblPr>
      <w:tblGrid>
        <w:gridCol w:w="1346"/>
        <w:gridCol w:w="1263"/>
        <w:gridCol w:w="2270"/>
        <w:gridCol w:w="1010"/>
        <w:gridCol w:w="1397"/>
        <w:gridCol w:w="1462"/>
      </w:tblGrid>
      <w:tr>
        <w:trPr>
          <w:trHeight w:val="500"/>
        </w:trPr>
        <w:tc>
          <w:tcPr>
            <w:tcBorders>
              <w:top w:val="single" w:color="auto" w:sz="4" w:space="0"/>
              <w:left w:val="single" w:color="auto" w:sz="4" w:space="0"/>
              <w:bottom w:val="single" w:color="auto" w:sz="4" w:space="0"/>
              <w:right w:val="single" w:color="auto" w:sz="4" w:space="0"/>
            </w:tcBorders>
            <w:tcW w:w="134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Borders>
              <w:top w:val="single" w:color="auto"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高效送风过滤器型号</w:t>
            </w:r>
            <w:r/>
          </w:p>
        </w:tc>
        <w:tc>
          <w:tcPr>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小计（元/三年）</w:t>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264</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264</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Borders>
              <w:top w:val="none" w:color="000000" w:sz="4" w:space="0"/>
              <w:left w:val="single" w:color="auto" w:sz="4" w:space="0"/>
              <w:bottom w:val="single" w:color="auto" w:sz="4" w:space="0"/>
              <w:right w:val="single" w:color="auto" w:sz="4" w:space="0"/>
            </w:tcBorders>
            <w:tcW w:w="13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南院静配中心</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550*550*90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462</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600*600*150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528</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400*400*90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352</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Borders>
              <w:top w:val="none" w:color="000000" w:sz="4" w:space="0"/>
              <w:left w:val="single" w:color="auto" w:sz="4" w:space="0"/>
              <w:bottom w:val="single" w:color="auto" w:sz="4" w:space="0"/>
              <w:right w:val="single" w:color="auto" w:sz="4" w:space="0"/>
            </w:tcBorders>
            <w:tcW w:w="134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510*510*80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616</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Borders>
              <w:top w:val="none" w:color="000000"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480×480×210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528</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320×320×210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462</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390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Borders>
              <w:top w:val="none" w:color="000000"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Borders>
              <w:top w:val="none" w:color="000000"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w:t>
            </w:r>
            <w:r/>
          </w:p>
        </w:tc>
        <w:tc>
          <w:tcPr>
            <w:tcBorders>
              <w:top w:val="none" w:color="000000" w:sz="4" w:space="0"/>
              <w:left w:val="single" w:color="auto" w:sz="4" w:space="0"/>
              <w:bottom w:val="single" w:color="auto" w:sz="4" w:space="0"/>
              <w:right w:val="single" w:color="auto" w:sz="4" w:space="0"/>
            </w:tcBorders>
            <w:tcW w:w="14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gridSpan w:val="6"/>
            <w:tcBorders>
              <w:top w:val="single" w:color="auto" w:sz="4" w:space="0"/>
              <w:left w:val="single" w:color="auto" w:sz="4" w:space="0"/>
              <w:bottom w:val="single" w:color="auto" w:sz="4" w:space="0"/>
              <w:right w:val="single" w:color="auto" w:sz="4" w:space="0"/>
            </w:tcBorders>
            <w:tcW w:w="874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三年合计（最高限价5.1076万元）</w:t>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52"/>
        <w:rPr>
          <w:rFonts w:hint="eastAsia" w:ascii="宋体" w:hAnsi="宋体" w:eastAsia="宋体" w:cs="宋体"/>
          <w:b/>
          <w:bCs/>
          <w:color w:val="auto"/>
          <w:szCs w:val="28"/>
        </w:rPr>
      </w:pPr>
      <w:r>
        <w:rPr>
          <w:rFonts w:hint="eastAsia" w:ascii="宋体" w:hAnsi="宋体" w:eastAsia="宋体" w:cs="宋体"/>
          <w:b/>
          <w:bCs/>
          <w:color w:val="auto"/>
          <w:szCs w:val="28"/>
        </w:rPr>
      </w:r>
      <w:r/>
    </w:p>
    <w:p>
      <w:pPr>
        <w:pStyle w:val="752"/>
        <w:rPr>
          <w:rFonts w:hint="eastAsia" w:ascii="宋体" w:hAnsi="宋体" w:eastAsia="宋体" w:cs="宋体"/>
          <w:b/>
          <w:bCs/>
          <w:color w:val="auto"/>
          <w:szCs w:val="28"/>
        </w:rPr>
      </w:pPr>
      <w:r>
        <w:rPr>
          <w:rFonts w:hint="eastAsia" w:ascii="宋体" w:hAnsi="宋体" w:eastAsia="宋体" w:cs="宋体"/>
          <w:b/>
          <w:bCs/>
          <w:color w:val="auto"/>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3妇幼初中效过滤器统计</w:t>
      </w:r>
      <w:r/>
    </w:p>
    <w:tbl>
      <w:tblPr>
        <w:tblStyle w:val="751"/>
        <w:tblW w:w="9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064"/>
        <w:gridCol w:w="1171"/>
        <w:gridCol w:w="1713"/>
        <w:gridCol w:w="963"/>
        <w:gridCol w:w="1075"/>
        <w:gridCol w:w="892"/>
        <w:gridCol w:w="1064"/>
      </w:tblGrid>
      <w:tr>
        <w:trPr>
          <w:trHeight w:val="313"/>
        </w:trPr>
        <w:tc>
          <w:tcPr>
            <w:tcW w:w="1150"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1064"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W w:w="1171"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1713"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963"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shd w:val="clear" w:color="000000" w:fill="ffffff"/>
            <w:tcW w:w="1075"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892"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更换频次（次/年）</w:t>
            </w:r>
            <w:r/>
          </w:p>
        </w:tc>
        <w:tc>
          <w:tcPr>
            <w:tcW w:w="1064"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门诊楼1层（公共区域）</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PAU1-1</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PAU1-2</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门诊楼2层（公共区域）</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AHU-2-1</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AHU-2-2</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PAU2-1</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PAU2-2</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住院楼5楼设备层（NICU）</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AHU-ICU-03</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AHU-ICU-04</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住院楼5层设备层（产房）</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AHU-4F-CF1</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AHU-4F-CF2</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5C</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5B</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5A</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住院楼6层</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6C</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6B</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6A</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住院楼7层</w:t>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7C</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4"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7A</w:t>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71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9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6"/>
        </w:trPr>
        <w:tc>
          <w:tcPr>
            <w:gridSpan w:val="8"/>
            <w:tcW w:w="90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每年费用小计（单价×数量×更换频次）（最高限价7.8928万元）， 三年合计（最高限价23.6784万元）</w:t>
            </w:r>
            <w:r/>
          </w:p>
        </w:tc>
      </w:tr>
    </w:tbl>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报价中应包含人工费、材料费、施工机具使用费、企业管理费、利润、措施项目费（含单价措施项目费和总价措施项目费）、其它项目费、规费、税金、有关文件规定的政策性调价等以及各种可能发生的风险费用以及招标文件约定的其他等各项费用。投标人要认真阅读清单，慎重报价，采购人不再支付报价以外的任何费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5.合同形式：固定单价合同。</w:t>
      </w:r>
      <w:r/>
    </w:p>
    <w:p>
      <w:pPr>
        <w:ind w:firstLine="480"/>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6.付款方式：</w:t>
      </w:r>
      <w:r>
        <w:rPr>
          <w:rFonts w:hint="eastAsia" w:ascii="宋体" w:hAnsi="宋体" w:eastAsia="宋体" w:cs="宋体"/>
          <w:color w:val="auto"/>
          <w:sz w:val="24"/>
          <w:szCs w:val="24"/>
          <w:lang w:val="zh-CN"/>
        </w:rPr>
        <w:t xml:space="preserve">合同签订后，中标人开始按计划运维，运维费用分成三部分支付，其中人员费用按月支付，设备维保费用按月支付，过滤器耗材费用按季支付，具体支付方式如下：</w:t>
      </w:r>
      <w:r/>
    </w:p>
    <w:p>
      <w:pPr>
        <w:ind w:firstLine="480"/>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（1）运维人员费用：每月运维服务结束后，采购人根据当月实际到岗人数及考核结果核算人员费用；中标人开具相应金额的月度发票，按采购人财务制度支付。</w:t>
      </w:r>
      <w:r/>
    </w:p>
    <w:p>
      <w:pPr>
        <w:ind w:firstLine="480"/>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设备维保费用：每月运维服务结束后，采购人根据当月实际维保机组数量、冷冻油等维保耗材用量及考核结果核算设备维保费用；中标人开具相应金额的月度发票，按采购人财务制度支付。如遇采购人设备换新，则相应核减相应设备的维保费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（3）过滤器耗材费用：每季度运维服务结束后，采购人根据当季实际更换过滤器数量及考核结果核算耗材费用；中标人开具相应金额的季度发票，按采购人财务制度支付。</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7.履约保证金：</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按照中标价的10%计取，履约保证金在</w:t>
      </w:r>
      <w:r>
        <w:rPr>
          <w:rFonts w:hint="eastAsia" w:ascii="宋体" w:hAnsi="宋体" w:eastAsia="宋体" w:cs="宋体"/>
          <w:bCs/>
          <w:color w:val="auto"/>
          <w:sz w:val="24"/>
          <w:szCs w:val="24"/>
        </w:rPr>
        <w:t xml:space="preserve">中标后签订合同前中标人</w:t>
      </w:r>
      <w:r>
        <w:rPr>
          <w:rFonts w:hint="eastAsia" w:ascii="宋体" w:hAnsi="宋体" w:eastAsia="宋体" w:cs="宋体"/>
          <w:color w:val="auto"/>
          <w:sz w:val="24"/>
          <w:szCs w:val="24"/>
        </w:rPr>
        <w:t xml:space="preserve">自主选择</w:t>
      </w:r>
      <w:r>
        <w:rPr>
          <w:rFonts w:hint="eastAsia" w:ascii="宋体" w:hAnsi="宋体" w:eastAsia="宋体" w:cs="宋体"/>
          <w:color w:val="auto"/>
          <w:sz w:val="24"/>
          <w:szCs w:val="24"/>
        </w:rPr>
        <w:t xml:space="preserve">电汇、转账、支票、汇票、本票（限泰州同城）、保函</w:t>
      </w:r>
      <w:r>
        <w:rPr>
          <w:rFonts w:hint="eastAsia" w:ascii="宋体" w:hAnsi="宋体" w:eastAsia="宋体" w:cs="宋体"/>
          <w:color w:val="auto"/>
          <w:szCs w:val="24"/>
        </w:rPr>
        <w:t xml:space="preserve">等非现金形式</w:t>
      </w:r>
      <w:r>
        <w:rPr>
          <w:rFonts w:hint="eastAsia" w:ascii="宋体" w:hAnsi="宋体" w:eastAsia="宋体" w:cs="宋体"/>
          <w:color w:val="auto"/>
          <w:sz w:val="24"/>
          <w:szCs w:val="24"/>
        </w:rPr>
        <w:t xml:space="preserve">缴纳或提交至采购人指定账户，在项目服务期满后一次性退还（无息）。</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6"/>
        <w:ind w:firstLine="0"/>
        <w:spacing w:line="520" w:lineRule="exact"/>
        <w:shd w:val="clear" w:color="auto" w:fill="ffffff"/>
        <w:tabs>
          <w:tab w:val="left" w:pos="525" w:leader="none"/>
        </w:tabs>
        <w:rPr>
          <w:rFonts w:hint="eastAsia" w:ascii="宋体" w:hAnsi="宋体" w:cs="宋体"/>
          <w:b/>
          <w:bCs/>
          <w:color w:val="auto"/>
          <w:sz w:val="24"/>
          <w:szCs w:val="20"/>
        </w:rPr>
      </w:pPr>
      <w:r>
        <w:rPr>
          <w:rFonts w:hint="eastAsia" w:ascii="宋体" w:hAnsi="宋体" w:cs="宋体"/>
          <w:b/>
          <w:bCs/>
          <w:color w:val="auto"/>
          <w:sz w:val="24"/>
          <w:szCs w:val="20"/>
        </w:rPr>
        <w:t xml:space="preserve">附件一 冷水机组主要维保内容和要求（包含不限于）</w:t>
      </w:r>
      <w:r/>
    </w:p>
    <w:p>
      <w:pPr>
        <w:pStyle w:val="826"/>
        <w:ind w:firstLine="482"/>
        <w:spacing w:line="520" w:lineRule="exact"/>
        <w:shd w:val="clear" w:color="auto" w:fill="ffffff"/>
        <w:tabs>
          <w:tab w:val="left" w:pos="525" w:leader="none"/>
        </w:tabs>
        <w:rPr>
          <w:rFonts w:hint="eastAsia" w:ascii="宋体" w:hAnsi="宋体" w:cs="宋体"/>
          <w:b/>
          <w:bCs/>
          <w:color w:val="auto"/>
          <w:sz w:val="24"/>
        </w:rPr>
      </w:pPr>
      <w:r>
        <w:rPr>
          <w:rFonts w:hint="eastAsia" w:ascii="宋体" w:hAnsi="宋体" w:cs="宋体"/>
          <w:b/>
          <w:bCs/>
          <w:color w:val="auto"/>
          <w:sz w:val="24"/>
          <w:szCs w:val="20"/>
        </w:rPr>
        <w:t xml:space="preserve">一、</w:t>
      </w:r>
      <w:r>
        <w:rPr>
          <w:rFonts w:hint="eastAsia" w:ascii="宋体" w:hAnsi="宋体" w:cs="宋体"/>
          <w:b/>
          <w:bCs/>
          <w:color w:val="auto"/>
          <w:sz w:val="24"/>
        </w:rPr>
        <w:t xml:space="preserve">开利离心机组年度预防性保养内容（1次/年）：</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隔离机组高低压区，使用泵氟机将制冷剂从低压区转移到冷凝器（无隔离阀或隔离阀无法关闭除外）；</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排出润滑油油槽中的润滑油；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更换油过滤器；</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更换润滑油；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检查油回路，更换吸气回油过滤器；</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检查冷却回路，更换冷媒过滤器；</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rPr>
        <w:t xml:space="preserve">冷凝器物理清洗（拆盖、除垢、除锈等，必要时进行化学清洗）</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rPr>
        <w:t xml:space="preserve">对低压区进行检漏并保压；</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w:t>
      </w:r>
      <w:r>
        <w:rPr>
          <w:rFonts w:hint="eastAsia" w:ascii="宋体" w:hAnsi="宋体" w:eastAsia="宋体" w:cs="宋体"/>
          <w:bCs/>
          <w:color w:val="auto"/>
          <w:sz w:val="24"/>
          <w:szCs w:val="24"/>
        </w:rPr>
        <w:t xml:space="preserve">平衡高低压制冷剂压力；</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rPr>
          <w:rFonts w:hint="eastAsia" w:ascii="宋体" w:hAnsi="宋体" w:eastAsia="宋体" w:cs="宋体"/>
          <w:bCs/>
          <w:color w:val="auto"/>
          <w:sz w:val="24"/>
          <w:szCs w:val="24"/>
        </w:rPr>
        <w:t xml:space="preserve">检测压缩机电机及油泵电机的绝缘性能；</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w:t>
      </w:r>
      <w:r>
        <w:rPr>
          <w:rFonts w:hint="eastAsia" w:ascii="宋体" w:hAnsi="宋体" w:eastAsia="宋体" w:cs="宋体"/>
          <w:bCs/>
          <w:color w:val="auto"/>
          <w:sz w:val="24"/>
          <w:szCs w:val="24"/>
        </w:rPr>
        <w:t xml:space="preserve">检查导叶执行机构工作情况；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检查和清理启动柜、控制柜及动力箱；</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w:t>
      </w:r>
      <w:r>
        <w:rPr>
          <w:rFonts w:hint="eastAsia" w:ascii="宋体" w:hAnsi="宋体" w:eastAsia="宋体" w:cs="宋体"/>
          <w:bCs/>
          <w:color w:val="auto"/>
          <w:sz w:val="24"/>
          <w:szCs w:val="24"/>
        </w:rPr>
        <w:t xml:space="preserve">按需更新或者升级ICVC控制程序；</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w:t>
      </w:r>
      <w:r>
        <w:rPr>
          <w:rFonts w:hint="eastAsia" w:ascii="宋体" w:hAnsi="宋体" w:eastAsia="宋体" w:cs="宋体"/>
          <w:bCs/>
          <w:color w:val="auto"/>
          <w:sz w:val="24"/>
          <w:szCs w:val="24"/>
        </w:rPr>
        <w:t xml:space="preserve">通过ICVC模块检查机组各控制点和设定点；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w:t>
      </w:r>
      <w:r>
        <w:rPr>
          <w:rFonts w:hint="eastAsia" w:ascii="宋体" w:hAnsi="宋体" w:eastAsia="宋体" w:cs="宋体"/>
          <w:bCs/>
          <w:color w:val="auto"/>
          <w:sz w:val="24"/>
          <w:szCs w:val="24"/>
        </w:rPr>
        <w:t xml:space="preserve">通过ICVC模块检查机组对运行报警记录作出分析并作相应处理；</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w:t>
      </w:r>
      <w:r>
        <w:rPr>
          <w:rFonts w:hint="eastAsia" w:ascii="宋体" w:hAnsi="宋体" w:eastAsia="宋体" w:cs="宋体"/>
          <w:bCs/>
          <w:color w:val="auto"/>
          <w:sz w:val="24"/>
          <w:szCs w:val="24"/>
        </w:rPr>
        <w:t xml:space="preserve">通过测量温度传感器的电压和电阻确定其准确性；</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w:t>
      </w:r>
      <w:r>
        <w:rPr>
          <w:rFonts w:hint="eastAsia" w:ascii="宋体" w:hAnsi="宋体" w:eastAsia="宋体" w:cs="宋体"/>
          <w:bCs/>
          <w:color w:val="auto"/>
          <w:sz w:val="24"/>
          <w:szCs w:val="24"/>
        </w:rPr>
        <w:t xml:space="preserve">检查并校正压力传感器的准确性；</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w:t>
      </w:r>
      <w:r>
        <w:rPr>
          <w:rFonts w:hint="eastAsia" w:ascii="宋体" w:hAnsi="宋体" w:eastAsia="宋体" w:cs="宋体"/>
          <w:bCs/>
          <w:color w:val="auto"/>
          <w:sz w:val="24"/>
          <w:szCs w:val="24"/>
        </w:rPr>
        <w:t xml:space="preserve">进行自动控制测试：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rPr>
        <w:t xml:space="preserve">电脑模块测试；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rPr>
        <w:t xml:space="preserve">各压力和温度传感器；</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w:t>
      </w:r>
      <w:r>
        <w:rPr>
          <w:rFonts w:hint="eastAsia" w:ascii="宋体" w:hAnsi="宋体" w:eastAsia="宋体" w:cs="宋体"/>
          <w:bCs/>
          <w:color w:val="auto"/>
          <w:sz w:val="24"/>
          <w:szCs w:val="24"/>
        </w:rPr>
        <w:t xml:space="preserve">油泵和水泵（如接入主机）自动控制；</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w:t>
      </w:r>
      <w:r>
        <w:rPr>
          <w:rFonts w:hint="eastAsia" w:ascii="宋体" w:hAnsi="宋体" w:eastAsia="宋体" w:cs="宋体"/>
          <w:bCs/>
          <w:color w:val="auto"/>
          <w:sz w:val="24"/>
          <w:szCs w:val="24"/>
        </w:rPr>
        <w:t xml:space="preserve">导叶/扩压墙启闭测试及校正；</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e）</w:t>
      </w:r>
      <w:r>
        <w:rPr>
          <w:rFonts w:hint="eastAsia" w:ascii="宋体" w:hAnsi="宋体" w:eastAsia="宋体" w:cs="宋体"/>
          <w:bCs/>
          <w:color w:val="auto"/>
          <w:sz w:val="24"/>
          <w:szCs w:val="24"/>
        </w:rPr>
        <w:t xml:space="preserve">数字量输出测试。</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w:t>
      </w:r>
      <w:r>
        <w:rPr>
          <w:rFonts w:hint="eastAsia" w:ascii="宋体" w:hAnsi="宋体" w:eastAsia="宋体" w:cs="宋体"/>
          <w:bCs/>
          <w:color w:val="auto"/>
          <w:sz w:val="24"/>
          <w:szCs w:val="24"/>
        </w:rPr>
        <w:t xml:space="preserve">如情况许可，机组进行试运行；</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w:t>
      </w:r>
      <w:r>
        <w:rPr>
          <w:rFonts w:hint="eastAsia" w:ascii="宋体" w:hAnsi="宋体" w:eastAsia="宋体" w:cs="宋体"/>
          <w:bCs/>
          <w:color w:val="auto"/>
          <w:sz w:val="24"/>
          <w:szCs w:val="24"/>
        </w:rPr>
        <w:t xml:space="preserve">机组运行后，按需使用红外热成像仪检测启动柜中电气元件是否正常；</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rPr>
          <w:rFonts w:hint="eastAsia" w:ascii="宋体" w:hAnsi="宋体" w:eastAsia="宋体" w:cs="宋体"/>
          <w:bCs/>
          <w:color w:val="auto"/>
          <w:sz w:val="24"/>
          <w:szCs w:val="24"/>
        </w:rPr>
        <w:t xml:space="preserve">提供机组年度保养报告。</w:t>
      </w:r>
      <w:r/>
    </w:p>
    <w:p>
      <w:pPr>
        <w:pStyle w:val="826"/>
        <w:ind w:firstLine="482"/>
        <w:spacing w:line="520" w:lineRule="exact"/>
        <w:shd w:val="clear" w:color="auto" w:fill="ffffff"/>
        <w:tabs>
          <w:tab w:val="left" w:pos="525" w:leader="none"/>
        </w:tabs>
        <w:rPr>
          <w:rFonts w:hint="eastAsia" w:ascii="宋体" w:hAnsi="宋体" w:cs="宋体"/>
          <w:b/>
          <w:bCs/>
          <w:color w:val="auto"/>
          <w:sz w:val="24"/>
        </w:rPr>
      </w:pPr>
      <w:r>
        <w:rPr>
          <w:rFonts w:hint="eastAsia" w:ascii="宋体" w:hAnsi="宋体" w:cs="宋体"/>
          <w:b/>
          <w:bCs/>
          <w:color w:val="auto"/>
          <w:sz w:val="24"/>
          <w:szCs w:val="20"/>
        </w:rPr>
        <w:t xml:space="preserve">二、</w:t>
      </w:r>
      <w:r>
        <w:rPr>
          <w:rFonts w:hint="eastAsia" w:ascii="宋体" w:hAnsi="宋体" w:cs="宋体"/>
          <w:b/>
          <w:bCs/>
          <w:color w:val="auto"/>
          <w:sz w:val="24"/>
        </w:rPr>
        <w:t xml:space="preserve">开利离心式机组定期巡检工作内容（1次/月）</w:t>
      </w:r>
      <w:r/>
    </w:p>
    <w:p>
      <w:pPr>
        <w:pStyle w:val="826"/>
        <w:ind w:firstLine="480"/>
        <w:spacing w:line="520" w:lineRule="exact"/>
        <w:shd w:val="clear" w:color="auto" w:fill="ffffff"/>
        <w:tabs>
          <w:tab w:val="left" w:pos="525" w:leader="none"/>
        </w:tabs>
        <w:rPr>
          <w:rFonts w:hint="eastAsia" w:ascii="宋体" w:hAnsi="宋体" w:cs="宋体"/>
          <w:bCs/>
          <w:color w:val="auto"/>
          <w:sz w:val="24"/>
        </w:rPr>
      </w:pPr>
      <w:r>
        <w:rPr>
          <w:rFonts w:hint="eastAsia" w:ascii="宋体" w:hAnsi="宋体" w:cs="宋体"/>
          <w:color w:val="auto"/>
          <w:sz w:val="24"/>
        </w:rPr>
        <w:t xml:space="preserve">每月定期进行下列各项检查调试，确保机组在整个供冷季节都运行高效，可靠：</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检查机组运行情况，记录分析运行工况；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检查机组的各设定点是否准确；</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检查压缩机润滑油的油位及颜色；</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检查供油油压、油压差、油温及油冷却膨胀阀工作情况，如有必要补充润滑油；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检查油泵工作情况及其与主机起、停时差；</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检测压缩机电机及油泵电机的绝缘性能；</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rPr>
        <w:t xml:space="preserve">检查机组供电电压；</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rPr>
        <w:t xml:space="preserve">检查机组参数设定；</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w:t>
      </w:r>
      <w:r>
        <w:rPr>
          <w:rFonts w:hint="eastAsia" w:ascii="宋体" w:hAnsi="宋体" w:eastAsia="宋体" w:cs="宋体"/>
          <w:bCs/>
          <w:color w:val="auto"/>
          <w:sz w:val="24"/>
          <w:szCs w:val="24"/>
        </w:rPr>
        <w:t xml:space="preserve">检查和清理启动柜、控制柜及动力箱；</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rPr>
          <w:rFonts w:hint="eastAsia" w:ascii="宋体" w:hAnsi="宋体" w:eastAsia="宋体" w:cs="宋体"/>
          <w:bCs/>
          <w:color w:val="auto"/>
          <w:sz w:val="24"/>
          <w:szCs w:val="24"/>
        </w:rPr>
        <w:t xml:space="preserve">进行自动控制测试：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rPr>
        <w:t xml:space="preserve">电脑模块测试；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rPr>
        <w:t xml:space="preserve">各压力和温度传感器；</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w:t>
      </w:r>
      <w:r>
        <w:rPr>
          <w:rFonts w:hint="eastAsia" w:ascii="宋体" w:hAnsi="宋体" w:eastAsia="宋体" w:cs="宋体"/>
          <w:bCs/>
          <w:color w:val="auto"/>
          <w:sz w:val="24"/>
          <w:szCs w:val="24"/>
        </w:rPr>
        <w:t xml:space="preserve">油泵和水泵（如接入主机）自动控制；</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w:t>
      </w:r>
      <w:r>
        <w:rPr>
          <w:rFonts w:hint="eastAsia" w:ascii="宋体" w:hAnsi="宋体" w:eastAsia="宋体" w:cs="宋体"/>
          <w:bCs/>
          <w:color w:val="auto"/>
          <w:sz w:val="24"/>
          <w:szCs w:val="24"/>
        </w:rPr>
        <w:t xml:space="preserve">导叶/扩压墙启闭测试及校正；</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e）</w:t>
      </w:r>
      <w:r>
        <w:rPr>
          <w:rFonts w:hint="eastAsia" w:ascii="宋体" w:hAnsi="宋体" w:eastAsia="宋体" w:cs="宋体"/>
          <w:bCs/>
          <w:color w:val="auto"/>
          <w:sz w:val="24"/>
          <w:szCs w:val="24"/>
        </w:rPr>
        <w:t xml:space="preserve">数字量输出测试。</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w:t>
      </w:r>
      <w:r>
        <w:rPr>
          <w:rFonts w:hint="eastAsia" w:ascii="宋体" w:hAnsi="宋体" w:eastAsia="宋体" w:cs="宋体"/>
          <w:bCs/>
          <w:color w:val="auto"/>
          <w:sz w:val="24"/>
          <w:szCs w:val="24"/>
        </w:rPr>
        <w:t xml:space="preserve">对历史报警记录进行分析并作相应处理；</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检查机组是否有异常噪音及震动；</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w:t>
      </w:r>
      <w:r>
        <w:rPr>
          <w:rFonts w:hint="eastAsia" w:ascii="宋体" w:hAnsi="宋体" w:eastAsia="宋体" w:cs="宋体"/>
          <w:bCs/>
          <w:color w:val="auto"/>
          <w:sz w:val="24"/>
          <w:szCs w:val="24"/>
        </w:rPr>
        <w:t xml:space="preserve">检查冷却水、冷冻水温度ICVC显示与实际进出水温度是否符合；</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w:t>
      </w:r>
      <w:r>
        <w:rPr>
          <w:rFonts w:hint="eastAsia" w:ascii="宋体" w:hAnsi="宋体" w:eastAsia="宋体" w:cs="宋体"/>
          <w:bCs/>
          <w:color w:val="auto"/>
          <w:sz w:val="24"/>
          <w:szCs w:val="24"/>
        </w:rPr>
        <w:t xml:space="preserve">检查冷却水、冷冻水压力ICVC显示与实际进出水压力是否符合；</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w:t>
      </w:r>
      <w:r>
        <w:rPr>
          <w:rFonts w:hint="eastAsia" w:ascii="宋体" w:hAnsi="宋体" w:eastAsia="宋体" w:cs="宋体"/>
          <w:bCs/>
          <w:color w:val="auto"/>
          <w:sz w:val="24"/>
          <w:szCs w:val="24"/>
        </w:rPr>
        <w:t xml:space="preserve">检查蒸发温度、冷凝温度与对应的冷冻水和冷却水进出水温差情况；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w:t>
      </w:r>
      <w:r>
        <w:rPr>
          <w:rFonts w:hint="eastAsia" w:ascii="宋体" w:hAnsi="宋体" w:eastAsia="宋体" w:cs="宋体"/>
          <w:bCs/>
          <w:color w:val="auto"/>
          <w:sz w:val="24"/>
          <w:szCs w:val="24"/>
        </w:rPr>
        <w:t xml:space="preserve">检查压缩机电机实际电流并与ICVC显示电流进行比较，是否正常；</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w:t>
      </w:r>
      <w:r>
        <w:rPr>
          <w:rFonts w:hint="eastAsia" w:ascii="宋体" w:hAnsi="宋体" w:eastAsia="宋体" w:cs="宋体"/>
          <w:bCs/>
          <w:color w:val="auto"/>
          <w:sz w:val="24"/>
          <w:szCs w:val="24"/>
        </w:rPr>
        <w:t xml:space="preserve">检查导叶执行机构工作情况；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w:t>
      </w:r>
      <w:r>
        <w:rPr>
          <w:rFonts w:hint="eastAsia" w:ascii="宋体" w:hAnsi="宋体" w:eastAsia="宋体" w:cs="宋体"/>
          <w:bCs/>
          <w:color w:val="auto"/>
          <w:sz w:val="24"/>
          <w:szCs w:val="24"/>
        </w:rPr>
        <w:t xml:space="preserve">检查电机冷却工作情况；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w:t>
      </w:r>
      <w:r>
        <w:rPr>
          <w:rFonts w:hint="eastAsia" w:ascii="宋体" w:hAnsi="宋体" w:eastAsia="宋体" w:cs="宋体"/>
          <w:bCs/>
          <w:color w:val="auto"/>
          <w:sz w:val="24"/>
          <w:szCs w:val="24"/>
        </w:rPr>
        <w:t xml:space="preserve">如有需要检查热气旁通机构的工作情况；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w:t>
      </w:r>
      <w:r>
        <w:rPr>
          <w:rFonts w:hint="eastAsia" w:ascii="宋体" w:hAnsi="宋体" w:eastAsia="宋体" w:cs="宋体"/>
          <w:bCs/>
          <w:color w:val="auto"/>
          <w:sz w:val="24"/>
          <w:szCs w:val="24"/>
        </w:rPr>
        <w:t xml:space="preserve">使用红外热成像仪检测启动柜中电气元件是否正常；</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rPr>
          <w:rFonts w:hint="eastAsia" w:ascii="宋体" w:hAnsi="宋体" w:eastAsia="宋体" w:cs="宋体"/>
          <w:bCs/>
          <w:color w:val="auto"/>
          <w:sz w:val="24"/>
          <w:szCs w:val="24"/>
        </w:rPr>
        <w:t xml:space="preserve">提供机组定期巡检报告。</w:t>
      </w:r>
      <w:r/>
    </w:p>
    <w:p>
      <w:pPr>
        <w:ind w:firstLine="482"/>
        <w:spacing w:line="520" w:lineRule="exact"/>
        <w:shd w:val="clear" w:color="auto" w:fill="ffffff"/>
        <w:tabs>
          <w:tab w:val="left" w:pos="525" w:leader="none"/>
        </w:tabs>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三、开利</w:t>
      </w:r>
      <w:r>
        <w:rPr>
          <w:rFonts w:hint="eastAsia" w:ascii="宋体" w:hAnsi="宋体" w:eastAsia="宋体" w:cs="宋体"/>
          <w:b/>
          <w:bCs/>
          <w:color w:val="auto"/>
          <w:sz w:val="24"/>
          <w:szCs w:val="24"/>
        </w:rPr>
        <w:t xml:space="preserve">螺杆机组年度预防性保养内容（1次/年）</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通过Pro-Dialog显示面板检查机组运行情况，记录分析运行数据：</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rPr>
        <w:t xml:space="preserve">蒸发器及冷凝器进出水水温，进出水水压</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rPr>
        <w:t xml:space="preserve">回路吸气、排气压力、经济器压力及压缩机油压</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w:t>
      </w:r>
      <w:r>
        <w:rPr>
          <w:rFonts w:hint="eastAsia" w:ascii="宋体" w:hAnsi="宋体" w:eastAsia="宋体" w:cs="宋体"/>
          <w:bCs/>
          <w:color w:val="auto"/>
          <w:sz w:val="24"/>
          <w:szCs w:val="24"/>
        </w:rPr>
        <w:t xml:space="preserve">回路排气温度、电机温度</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w:t>
      </w:r>
      <w:r>
        <w:rPr>
          <w:rFonts w:hint="eastAsia" w:ascii="宋体" w:hAnsi="宋体" w:eastAsia="宋体" w:cs="宋体"/>
          <w:bCs/>
          <w:color w:val="auto"/>
          <w:sz w:val="24"/>
          <w:szCs w:val="24"/>
        </w:rPr>
        <w:t xml:space="preserve">压缩机三相电压及电流</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通过Pro-Dialog显示面板对机组各部件进行控制测试：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rPr>
        <w:t xml:space="preserve">检查各温度测量点的显示是否与实际值相符</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rPr>
        <w:t xml:space="preserve">检查各压力测量点的显示是否与实际值相符</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w:t>
      </w:r>
      <w:r>
        <w:rPr>
          <w:rFonts w:hint="eastAsia" w:ascii="宋体" w:hAnsi="宋体" w:eastAsia="宋体" w:cs="宋体"/>
          <w:bCs/>
          <w:color w:val="auto"/>
          <w:sz w:val="24"/>
          <w:szCs w:val="24"/>
        </w:rPr>
        <w:t xml:space="preserve">上载电磁阀测试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w:t>
      </w:r>
      <w:r>
        <w:rPr>
          <w:rFonts w:hint="eastAsia" w:ascii="宋体" w:hAnsi="宋体" w:eastAsia="宋体" w:cs="宋体"/>
          <w:bCs/>
          <w:color w:val="auto"/>
          <w:sz w:val="24"/>
          <w:szCs w:val="24"/>
        </w:rPr>
        <w:t xml:space="preserve">A/B回路电机冷却电磁阀测试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e）</w:t>
      </w:r>
      <w:r>
        <w:rPr>
          <w:rFonts w:hint="eastAsia" w:ascii="宋体" w:hAnsi="宋体" w:eastAsia="宋体" w:cs="宋体"/>
          <w:bCs/>
          <w:color w:val="auto"/>
          <w:sz w:val="24"/>
          <w:szCs w:val="24"/>
        </w:rPr>
        <w:t xml:space="preserve">压缩机供油电磁阀测试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f）</w:t>
      </w:r>
      <w:r>
        <w:rPr>
          <w:rFonts w:hint="eastAsia" w:ascii="宋体" w:hAnsi="宋体" w:eastAsia="宋体" w:cs="宋体"/>
          <w:bCs/>
          <w:color w:val="auto"/>
          <w:sz w:val="24"/>
          <w:szCs w:val="24"/>
        </w:rPr>
        <w:t xml:space="preserve">A/B回路油泵测试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w:t>
      </w:r>
      <w:r>
        <w:rPr>
          <w:rFonts w:hint="eastAsia" w:ascii="宋体" w:hAnsi="宋体" w:eastAsia="宋体" w:cs="宋体"/>
          <w:bCs/>
          <w:color w:val="auto"/>
          <w:sz w:val="24"/>
          <w:szCs w:val="24"/>
        </w:rPr>
        <w:t xml:space="preserve">报警输出状态测试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h）</w:t>
      </w:r>
      <w:r>
        <w:rPr>
          <w:rFonts w:hint="eastAsia" w:ascii="宋体" w:hAnsi="宋体" w:eastAsia="宋体" w:cs="宋体"/>
          <w:bCs/>
          <w:color w:val="auto"/>
          <w:sz w:val="24"/>
          <w:szCs w:val="24"/>
        </w:rPr>
        <w:t xml:space="preserve">A/B回路电子膨胀阀状态测试</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i）</w:t>
      </w:r>
      <w:r>
        <w:rPr>
          <w:rFonts w:hint="eastAsia" w:ascii="宋体" w:hAnsi="宋体" w:eastAsia="宋体" w:cs="宋体"/>
          <w:bCs/>
          <w:color w:val="auto"/>
          <w:sz w:val="24"/>
          <w:szCs w:val="24"/>
        </w:rPr>
        <w:t xml:space="preserve">操作面板测试</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检查机组是否存在渗油等泄漏现象，紧固连接螺栓；</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检查机组各连接点/面是否有油迹及泄漏点；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更换内置油过滤器及其密封圈；</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更换外置油过滤器</w:t>
      </w:r>
      <w:r>
        <w:rPr>
          <w:rFonts w:hint="eastAsia" w:ascii="宋体" w:hAnsi="宋体" w:eastAsia="宋体" w:cs="宋体"/>
          <w:bCs/>
          <w:color w:val="auto"/>
          <w:sz w:val="24"/>
          <w:szCs w:val="24"/>
        </w:rPr>
        <w:tab/>
      </w:r>
      <w:r>
        <w:rPr>
          <w:rFonts w:hint="eastAsia" w:ascii="宋体" w:hAnsi="宋体" w:eastAsia="宋体" w:cs="宋体"/>
          <w:bCs/>
          <w:color w:val="auto"/>
          <w:sz w:val="24"/>
          <w:szCs w:val="24"/>
        </w:rPr>
        <w:t xml:space="preserve">；</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rPr>
        <w:t xml:space="preserve">更换干燥过滤器；</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rPr>
        <w:t xml:space="preserve">更换润滑油；</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w:t>
      </w:r>
      <w:r>
        <w:rPr>
          <w:rFonts w:hint="eastAsia" w:ascii="宋体" w:hAnsi="宋体" w:eastAsia="宋体" w:cs="宋体"/>
          <w:bCs/>
          <w:color w:val="auto"/>
          <w:sz w:val="24"/>
          <w:szCs w:val="24"/>
        </w:rPr>
        <w:t xml:space="preserve">冷凝器物理清洗（拆盖、除垢、除锈等，必要时进行化学清洗）；</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rPr>
          <w:rFonts w:hint="eastAsia" w:ascii="宋体" w:hAnsi="宋体" w:eastAsia="宋体" w:cs="宋体"/>
          <w:bCs/>
          <w:color w:val="auto"/>
          <w:sz w:val="24"/>
          <w:szCs w:val="24"/>
        </w:rPr>
        <w:t xml:space="preserve">按需更新或者升级控制程序；</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w:t>
      </w:r>
      <w:r>
        <w:rPr>
          <w:rFonts w:hint="eastAsia" w:ascii="宋体" w:hAnsi="宋体" w:eastAsia="宋体" w:cs="宋体"/>
          <w:bCs/>
          <w:color w:val="auto"/>
          <w:sz w:val="24"/>
          <w:szCs w:val="24"/>
        </w:rPr>
        <w:t xml:space="preserve">检查机组流量开关工作情况；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测试压缩机电机绝缘；</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w:t>
      </w:r>
      <w:r>
        <w:rPr>
          <w:rFonts w:hint="eastAsia" w:ascii="宋体" w:hAnsi="宋体" w:eastAsia="宋体" w:cs="宋体"/>
          <w:bCs/>
          <w:color w:val="auto"/>
          <w:sz w:val="24"/>
          <w:szCs w:val="24"/>
        </w:rPr>
        <w:t xml:space="preserve">机组运行后，按需使用红外热成像仪检测启动柜中电气元件是否正常；</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14.提供机组年度保养报告。</w:t>
      </w:r>
      <w:r/>
    </w:p>
    <w:p>
      <w:pPr>
        <w:ind w:firstLine="482"/>
        <w:spacing w:line="520" w:lineRule="exact"/>
        <w:shd w:val="clear" w:color="auto" w:fill="ffffff"/>
        <w:tabs>
          <w:tab w:val="left" w:pos="525" w:leader="none"/>
        </w:tabs>
        <w:rPr>
          <w:rFonts w:hint="eastAsia" w:ascii="宋体" w:hAnsi="宋体" w:eastAsia="宋体" w:cs="宋体"/>
          <w:b/>
          <w:bCs/>
          <w:color w:val="auto"/>
          <w:sz w:val="24"/>
        </w:rPr>
      </w:pPr>
      <w:r>
        <w:rPr>
          <w:rFonts w:hint="eastAsia" w:ascii="宋体" w:hAnsi="宋体" w:eastAsia="宋体" w:cs="宋体"/>
          <w:b/>
          <w:bCs/>
          <w:color w:val="auto"/>
          <w:sz w:val="24"/>
          <w:szCs w:val="24"/>
        </w:rPr>
        <w:t xml:space="preserve">四、开利螺杆机组定期巡检工作内容（1次/月）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每月定期进行下列各项检查调试，确保机组在整个供冷季节都运行高效，可靠：</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通过Pro-Dialog显示面板检查机组运行情况，记录分析运行数据。包括：</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w:t>
      </w:r>
      <w:r>
        <w:rPr>
          <w:rFonts w:hint="eastAsia" w:ascii="宋体" w:hAnsi="宋体" w:eastAsia="宋体" w:cs="宋体"/>
          <w:bCs/>
          <w:color w:val="auto"/>
          <w:sz w:val="24"/>
          <w:szCs w:val="24"/>
        </w:rPr>
        <w:t xml:space="preserve">蒸发器及冷凝器进出水水温，进出水水压；</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w:t>
      </w:r>
      <w:r>
        <w:rPr>
          <w:rFonts w:hint="eastAsia" w:ascii="宋体" w:hAnsi="宋体" w:eastAsia="宋体" w:cs="宋体"/>
          <w:bCs/>
          <w:color w:val="auto"/>
          <w:sz w:val="24"/>
          <w:szCs w:val="24"/>
        </w:rPr>
        <w:t xml:space="preserve">回路吸气、排气压力、经济器压力及压缩机油压等；</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w:t>
      </w:r>
      <w:r>
        <w:rPr>
          <w:rFonts w:hint="eastAsia" w:ascii="宋体" w:hAnsi="宋体" w:eastAsia="宋体" w:cs="宋体"/>
          <w:bCs/>
          <w:color w:val="auto"/>
          <w:sz w:val="24"/>
          <w:szCs w:val="24"/>
        </w:rPr>
        <w:t xml:space="preserve">回路排气温度、电机定子温度及蒸发器液位；</w:t>
      </w:r>
      <w:r/>
    </w:p>
    <w:p>
      <w:pPr>
        <w:numPr>
          <w:ilvl w:val="1"/>
          <w:numId w:val="0"/>
        </w:num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w:t>
      </w:r>
      <w:r>
        <w:rPr>
          <w:rFonts w:hint="eastAsia" w:ascii="宋体" w:hAnsi="宋体" w:eastAsia="宋体" w:cs="宋体"/>
          <w:bCs/>
          <w:color w:val="auto"/>
          <w:sz w:val="24"/>
          <w:szCs w:val="24"/>
        </w:rPr>
        <w:t xml:space="preserve">压缩机三相电压及电流。</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检查液路视镜的颜色，判别制冷回路的干燥情况；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检查电子膨胀阀开关工作情况；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检查机组流量开关工作情况；</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检查电控系统的动作程序，并清理启动柜；</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通过Pro-Dialog显示面板对机组各部件进行控制测试；</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rPr>
        <w:t xml:space="preserve">检查机组是否存在渗油等泄漏现象，紧固连接螺栓；</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rPr>
        <w:t xml:space="preserve">使用红外热成像仪检测启动柜中电气元件是否正常；</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w:t>
      </w:r>
      <w:r>
        <w:rPr>
          <w:rFonts w:hint="eastAsia" w:ascii="宋体" w:hAnsi="宋体" w:eastAsia="宋体" w:cs="宋体"/>
          <w:bCs/>
          <w:color w:val="auto"/>
          <w:sz w:val="24"/>
          <w:szCs w:val="24"/>
        </w:rPr>
        <w:t xml:space="preserve">提供机组巡检报告。</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五、约克</w:t>
      </w:r>
      <w:r>
        <w:rPr>
          <w:rFonts w:hint="eastAsia" w:ascii="宋体" w:hAnsi="宋体" w:eastAsia="宋体" w:cs="宋体"/>
          <w:b/>
          <w:bCs/>
          <w:color w:val="auto"/>
          <w:sz w:val="24"/>
          <w:szCs w:val="24"/>
        </w:rPr>
        <w:t xml:space="preserve">机组年度预防性保养内容（1次/年）</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1.测量电机绕组绝缘度，并记录好；</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2.检查压缩机的油位，按要求建议用户补充或更换润滑油；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3.进行泄漏测试，并修理泄漏部位，如有必要，按要求建议用户补充制冷剂；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4.检查油加热器，油温和润滑系统，确认工作正常；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5.根据情况建议用户更换干燥过滤器及油过滤器；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6.检查并拧紧接触器和电机端子箱内的电源线及所有控制线；</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7.检查并紧固所有连接接头，如发现接头不满足要求，则建议甲方更换；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8.根据用户机房情况，建议甲方进行相应的冬季防冻保护工作；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9.检查机组控制中心密封情况，建议甲方做好相应的防潮工作；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10.检查确认压缩机运行状态是否正常；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11.检查及润滑电机轴承；</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12.检查机组联轴器工作情况；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13.检查确认电压符合要求和启动器工作正常；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14.检查控制系统和变送器工作情况；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15.机组运行稳定后，记录运行参数，分析机组运行状态；</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16.检漏并处理漏点、检查水温、油温探头，电气控制柜密封情况。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17.分析冷凝器铜管是否有结垢现象和堵塞； </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18.冷凝器物理清洗（拆盖、除垢、除锈等，必要时进行化学清洗）；</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19.检查电机的运行状态；</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20.检查机组上载卸载工作情况是否正常；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21.机组运行后，使用红外热成像仪检测启动柜中电气元件是否正常；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22.提供机组年度保养报告。</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六、约克</w:t>
      </w:r>
      <w:r>
        <w:rPr>
          <w:rFonts w:hint="eastAsia" w:ascii="宋体" w:hAnsi="宋体" w:eastAsia="宋体" w:cs="宋体"/>
          <w:b/>
          <w:bCs/>
          <w:color w:val="auto"/>
          <w:sz w:val="24"/>
          <w:szCs w:val="24"/>
        </w:rPr>
        <w:t xml:space="preserve">机组定期巡检工作内容（1次/月）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每月定期进行下列各项检查调试，确保机组在整个供冷季节都运行高效，可靠：</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1.检查确认辅助设备运行条件和运行状态；</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2.检查机组冷冻水，冷却水量是否符合要求；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3.检查机组是否有泄露的地方，并处理漏点；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4.检查机组控制系统和传感器有无偏差；</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5.检查机组运行故障记录，并分析故障原因；</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6.记录运行状态，并进行数据分析，找出不合理的地方；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7.按要求调节机组运行参数；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8.检查确认油位是否正常和制冷剂量是否充足；</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9.检查油温和油加热器工作是否正常；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10.检查启动器、继电器和控制元件；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11.检查电机运行状态；</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12.检查轴封泄漏情况是否在正常范围以内；</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13.检查压缩机轴承是否有异常声响；</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14.机组油引射器是否工作正常，过滤器是否有堵塞现象；</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15.检查油冷却器工作情况；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16.检查油压降是否正常；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17.上载卸载动作是否灵活；</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18.蒸发器和冷凝器有无结垢现象；</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19.与操作人员一起温习操作步骤，查看用户记录，分析机组运行状态；</w:t>
      </w:r>
      <w:r/>
    </w:p>
    <w:p>
      <w:pPr>
        <w:ind w:firstLine="480"/>
        <w:spacing w:line="520" w:lineRule="exact"/>
        <w:shd w:val="clear" w:color="auto" w:fill="ffffff"/>
        <w:widowControl/>
        <w:tabs>
          <w:tab w:val="left" w:pos="52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20.使用红外热成像仪检测启动柜中电气元件是否正常；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21.提供机组巡检报告。</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七、麦克维尔</w:t>
      </w:r>
      <w:r>
        <w:rPr>
          <w:rFonts w:hint="eastAsia" w:ascii="宋体" w:hAnsi="宋体" w:eastAsia="宋体" w:cs="宋体"/>
          <w:b/>
          <w:color w:val="auto"/>
          <w:sz w:val="24"/>
        </w:rPr>
        <w:t xml:space="preserve">机组</w:t>
      </w:r>
      <w:r>
        <w:rPr>
          <w:rFonts w:hint="eastAsia" w:ascii="宋体" w:hAnsi="宋体" w:eastAsia="宋体" w:cs="宋体"/>
          <w:b/>
          <w:bCs/>
          <w:color w:val="auto"/>
          <w:sz w:val="24"/>
          <w:szCs w:val="24"/>
        </w:rPr>
        <w:t xml:space="preserve">年度预防性保养内容（1次/年）</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1.检查起动柜和微电脑（MicroTech）控制盘、能量调节和系统控制盘、远程监控系统控制盘的元器件是否符合机组正常工作的要求。</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2.检查压缩机的绝缘情况。</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3.检查机组热交换器、水压降。检查机组水系统、氟利昂系统的各个部件的状态。</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4.检查电磁器（工作状态）是否符合要求。</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5.校正悬浮轴，定位装置监测校正。</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6.检查所有操作和安全保护装置是否能正常工作。</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7.检查吸气导叶控制设定及工作情况。</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8.检查冷水机组系统控制器</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检查机组所有信息采集点的状态是否正常。</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9.季节性的机组关机保养和开机检查。</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rPr>
        <w:t xml:space="preserve">冷凝器物理清洗（拆盖、除垢、除锈等，必要时进行化学清洗）</w:t>
      </w:r>
      <w:r>
        <w:rPr>
          <w:rFonts w:hint="eastAsia" w:ascii="宋体" w:hAnsi="宋体" w:eastAsia="宋体" w:cs="宋体"/>
          <w:color w:val="auto"/>
          <w:sz w:val="24"/>
          <w:szCs w:val="24"/>
        </w:rPr>
        <w:t xml:space="preserve">。</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11.检查机组氟利昂容量是否满足额定制冷量的要求。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12.机组运行后，使用红外热成像仪检测启动柜中电气元件是否正常；</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13.提交所有机组检查维修记录、所有机组运行状况、安全控制设定、报警记录等的复印件给甲方监管人员。</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八、麦克维尔</w:t>
      </w:r>
      <w:r>
        <w:rPr>
          <w:rFonts w:hint="eastAsia" w:ascii="宋体" w:hAnsi="宋体" w:eastAsia="宋体" w:cs="宋体"/>
          <w:b/>
          <w:bCs/>
          <w:color w:val="auto"/>
          <w:sz w:val="24"/>
          <w:szCs w:val="24"/>
        </w:rPr>
        <w:t xml:space="preserve">机组定期巡检工作内容（1次/月）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每月定期进行下列各项检查调试，确保机组在整个供冷季节都运行高效，可靠：</w:t>
      </w:r>
      <w:r/>
    </w:p>
    <w:p>
      <w:pPr>
        <w:ind w:firstLine="480"/>
        <w:spacing w:line="520" w:lineRule="exact"/>
        <w:tabs>
          <w:tab w:val="left" w:pos="709" w:leader="none"/>
          <w:tab w:val="left" w:pos="2410" w:leader="none"/>
          <w:tab w:val="left" w:pos="42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1.检查供电电压。</w:t>
      </w:r>
      <w:r/>
    </w:p>
    <w:p>
      <w:pPr>
        <w:ind w:firstLine="480"/>
        <w:spacing w:line="520" w:lineRule="exact"/>
        <w:tabs>
          <w:tab w:val="left" w:pos="709" w:leader="none"/>
          <w:tab w:val="left" w:pos="2410" w:leader="none"/>
          <w:tab w:val="left" w:pos="42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2.检查所有外部电气联动的工作情况。</w:t>
      </w:r>
      <w:r/>
    </w:p>
    <w:p>
      <w:pPr>
        <w:ind w:firstLine="480"/>
        <w:spacing w:line="520" w:lineRule="exact"/>
        <w:tabs>
          <w:tab w:val="left" w:pos="709" w:leader="none"/>
          <w:tab w:val="left" w:pos="2410" w:leader="none"/>
          <w:tab w:val="left" w:pos="42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3.检查冷水机组运行状态，以及各个部件的工作状态。</w:t>
      </w:r>
      <w:r/>
    </w:p>
    <w:p>
      <w:pPr>
        <w:ind w:firstLine="480"/>
        <w:spacing w:line="520" w:lineRule="exact"/>
        <w:tabs>
          <w:tab w:val="left" w:pos="709" w:leader="none"/>
          <w:tab w:val="left" w:pos="2410" w:leader="none"/>
          <w:tab w:val="left" w:pos="42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4.对制冷剂系统检漏处理。</w:t>
      </w:r>
      <w:r/>
    </w:p>
    <w:p>
      <w:pPr>
        <w:ind w:firstLine="480"/>
        <w:spacing w:line="520" w:lineRule="exact"/>
        <w:tabs>
          <w:tab w:val="left" w:pos="709" w:leader="none"/>
          <w:tab w:val="left" w:pos="2410" w:leader="none"/>
          <w:tab w:val="left" w:pos="42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5.检查压缩机工作是否正常。</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6.检查冷却塔并仅告知其运行状况。</w:t>
      </w:r>
      <w:r/>
    </w:p>
    <w:p>
      <w:pPr>
        <w:ind w:firstLine="480"/>
        <w:spacing w:line="520" w:lineRule="exact"/>
        <w:tabs>
          <w:tab w:val="left" w:pos="1254" w:leader="none"/>
          <w:tab w:val="left" w:pos="4788" w:leader="none"/>
          <w:tab w:val="left" w:pos="5358" w:leader="none"/>
          <w:tab w:val="left" w:pos="6954"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bCs/>
          <w:color w:val="auto"/>
          <w:sz w:val="24"/>
          <w:szCs w:val="24"/>
        </w:rPr>
        <w:t xml:space="preserve">使用红外热成像仪检测启动柜中电气元件是否正常。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8.提供机组巡检报告。</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5"/>
        <w:ind w:firstLine="0"/>
        <w:jc w:val="both"/>
        <w:spacing w:line="520" w:lineRule="exact"/>
        <w:rPr>
          <w:rFonts w:hint="eastAsia" w:ascii="宋体" w:hAnsi="宋体" w:eastAsia="宋体" w:cs="宋体"/>
          <w:b/>
          <w:color w:val="auto"/>
        </w:rPr>
      </w:pPr>
      <w:r>
        <w:rPr>
          <w:rFonts w:hint="eastAsia" w:ascii="宋体" w:hAnsi="宋体" w:eastAsia="宋体" w:cs="宋体"/>
          <w:b/>
          <w:color w:val="auto"/>
        </w:rPr>
        <w:t xml:space="preserve">附件二 过滤器数据（包含不限于，具体尺寸以现场实际测量为准）</w:t>
      </w:r>
      <w:r/>
    </w:p>
    <w:p>
      <w:pPr>
        <w:pStyle w:val="752"/>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1.1总院初中效过滤器</w:t>
      </w:r>
      <w:r/>
    </w:p>
    <w:tbl>
      <w:tblPr>
        <w:tblStyle w:val="75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1197"/>
        <w:gridCol w:w="1211"/>
        <w:gridCol w:w="2139"/>
        <w:gridCol w:w="1367"/>
        <w:gridCol w:w="1559"/>
      </w:tblGrid>
      <w:tr>
        <w:trPr>
          <w:jc w:val="center"/>
          <w:trHeight w:val="299"/>
        </w:trPr>
        <w:tc>
          <w:tcPr>
            <w:tcW w:w="1736"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机房位置</w:t>
            </w:r>
            <w:r/>
          </w:p>
        </w:tc>
        <w:tc>
          <w:tcPr>
            <w:shd w:val="clear" w:color="000000" w:fill="ffffff"/>
            <w:tcW w:w="119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编号</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产品名称</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数量（个）</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更换频次（次/1年）</w:t>
            </w:r>
            <w:r/>
          </w:p>
        </w:tc>
      </w:tr>
      <w:tr>
        <w:trPr>
          <w:jc w:val="center"/>
          <w:trHeight w:val="299"/>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5F机房（4F手术室）</w:t>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AHU-01</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AHU-03</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AHU-04</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AHU-05</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AHU-06</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AHU-07</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7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AHU-08</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AHU-09</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AHU-13</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AHU-14</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AHU-15</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AHU-XF</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4F（病理科）</w:t>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311"/>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3F（DSA）西北</w:t>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1AHU-XF</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1AHU-01</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1AHU-04</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3F（DSA）西南</w:t>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CXBS489*289*46-G4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CXBS489*594*46-G4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ZXDS487*287*380-5-F8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ZXDS487*592*380-5-F8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1AHU-03</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制剂室</w:t>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w:t>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99"/>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1F机组1（吊顶）</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592*592*534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287*592*534</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1F机组2（吊顶）</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592*490*20</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2F机组1</w:t>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3F机组2</w:t>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门诊地下室</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  西大厅</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2#机 1#电房</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3#机  2#电房</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住院部二楼东</w:t>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住院部二楼西</w:t>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M1#、2#</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LG（门诊4F1、2）</w:t>
            </w:r>
            <w:r/>
          </w:p>
        </w:tc>
        <w:tc>
          <w:tcPr>
            <w:shd w:val="clear" w:color="000000"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M3#</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LG（门诊4F3）</w:t>
            </w:r>
            <w:r/>
          </w:p>
        </w:tc>
        <w:tc>
          <w:tcPr>
            <w:shd w:val="clear" w:color="000000"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M4#</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LG（门诊4F4）</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M7#</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LG（门诊3F通道西侧）</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M8#</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LG（门诊3F中医科）</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M9#</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LG（门诊3F体检中心）</w:t>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M16#</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LG（门诊2F检验科入口）</w:t>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M20#</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AHU-1（门诊2楼检验科西侧机房）</w:t>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M21#</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LG（门诊2F通道入口西侧）</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M22#</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LG（门诊2F超声北侧）</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M23#、24#、25#</w:t>
            </w:r>
            <w:r/>
          </w:p>
        </w:tc>
        <w:tc>
          <w:tcPr>
            <w:tcW w:w="1197"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LG（门诊2F内镜中心、大厅空调）</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jc w:val="center"/>
          <w:trHeight w:val="284"/>
        </w:trPr>
        <w:tc>
          <w:tcPr>
            <w:tcW w:w="1736"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w:t>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ffffcc"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2#、3#机</w:t>
            </w:r>
            <w:r/>
          </w:p>
        </w:tc>
        <w:tc>
          <w:tcPr>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21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284"/>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jc w:val="center"/>
          <w:trHeight w:val="423"/>
        </w:trPr>
        <w:tc>
          <w:tcPr>
            <w:tcW w:w="1736"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97"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1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1367"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559"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bl>
    <w:p>
      <w:pPr>
        <w:pStyle w:val="752"/>
        <w:rPr>
          <w:rFonts w:hint="eastAsia" w:ascii="宋体" w:hAnsi="宋体" w:eastAsia="宋体" w:cs="宋体"/>
          <w:b/>
          <w:bCs/>
          <w:color w:val="auto"/>
          <w:sz w:val="24"/>
          <w:szCs w:val="24"/>
        </w:rPr>
      </w:pPr>
      <w:r/>
      <w:bookmarkStart w:id="49" w:name="OLE_LINK85"/>
      <w:r/>
      <w:bookmarkStart w:id="50" w:name="OLE_LINK88"/>
      <w:r/>
      <w:r/>
    </w:p>
    <w:p>
      <w:pPr>
        <w:pStyle w:val="75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1.2总院手术室回风过滤器</w:t>
      </w:r>
      <w:bookmarkEnd w:id="49"/>
      <w:r/>
      <w:bookmarkEnd w:id="50"/>
      <w:r/>
      <w:r/>
    </w:p>
    <w:tbl>
      <w:tblPr>
        <w:tblStyle w:val="751"/>
        <w:tblW w:w="9209" w:type="dxa"/>
        <w:tblInd w:w="0" w:type="dxa"/>
        <w:tblLayout w:type="autofit"/>
        <w:tblCellMar>
          <w:left w:w="108" w:type="dxa"/>
          <w:top w:w="0" w:type="dxa"/>
          <w:right w:w="108" w:type="dxa"/>
          <w:bottom w:w="0" w:type="dxa"/>
        </w:tblCellMar>
        <w:tblLook w:val="04A0" w:firstRow="1" w:lastRow="0" w:firstColumn="1" w:lastColumn="0" w:noHBand="0" w:noVBand="1"/>
      </w:tblPr>
      <w:tblGrid>
        <w:gridCol w:w="1862"/>
        <w:gridCol w:w="2006"/>
        <w:gridCol w:w="2506"/>
        <w:gridCol w:w="2835"/>
      </w:tblGrid>
      <w:tr>
        <w:trPr>
          <w:trHeight w:val="511"/>
        </w:trPr>
        <w:tc>
          <w:tcPr>
            <w:tcBorders>
              <w:top w:val="single" w:color="auto" w:sz="4" w:space="0"/>
              <w:left w:val="single" w:color="auto" w:sz="4" w:space="0"/>
              <w:bottom w:val="single" w:color="auto" w:sz="4" w:space="0"/>
              <w:right w:val="single" w:color="auto" w:sz="4" w:space="0"/>
            </w:tcBorders>
            <w:tcW w:w="1862"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Borders>
              <w:top w:val="single" w:color="auto"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Borders>
              <w:top w:val="single" w:color="auto"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更换频次（2次/1年）</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4F</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89</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435*385*40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185*185*20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305*235*20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1235*335*20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785*305*20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585*305*20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DSA</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627"/>
        </w:trPr>
        <w:tc>
          <w:tcPr>
            <w:tcBorders>
              <w:top w:val="none" w:color="000000" w:sz="4" w:space="0"/>
              <w:left w:val="single" w:color="auto" w:sz="4" w:space="0"/>
              <w:bottom w:val="single" w:color="auto" w:sz="4" w:space="0"/>
              <w:right w:val="single" w:color="auto" w:sz="4" w:space="0"/>
            </w:tcBorders>
            <w:tcW w:w="186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bl>
    <w:p>
      <w:pPr>
        <w:pStyle w:val="752"/>
        <w:spacing w:line="520" w:lineRule="exact"/>
        <w:rPr>
          <w:rFonts w:hint="eastAsia" w:ascii="宋体" w:hAnsi="宋体" w:eastAsia="宋体" w:cs="宋体"/>
          <w:b/>
          <w:bCs/>
          <w:color w:val="auto"/>
          <w:sz w:val="24"/>
          <w:szCs w:val="24"/>
        </w:rPr>
      </w:pPr>
      <w:r/>
      <w:bookmarkStart w:id="51" w:name="OLE_LINK89"/>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1.3总院高效过滤器</w:t>
      </w:r>
      <w:bookmarkEnd w:id="51"/>
      <w:r/>
      <w:r/>
    </w:p>
    <w:tbl>
      <w:tblPr>
        <w:tblStyle w:val="751"/>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4"/>
        <w:gridCol w:w="1902"/>
        <w:gridCol w:w="2448"/>
        <w:gridCol w:w="2835"/>
      </w:tblGrid>
      <w:tr>
        <w:trPr>
          <w:trHeight w:val="459"/>
        </w:trPr>
        <w:tc>
          <w:tcPr>
            <w:tcW w:w="2024"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W w:w="1902"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类型</w:t>
            </w:r>
            <w:r/>
          </w:p>
        </w:tc>
        <w:tc>
          <w:tcPr>
            <w:tcW w:w="2448"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W w:w="2835"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r>
      <w:tr>
        <w:trPr>
          <w:trHeight w:val="640"/>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中心手术室1-16#、20、21</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290*690*100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38</w:t>
            </w:r>
            <w:r/>
          </w:p>
        </w:tc>
      </w:tr>
      <w:tr>
        <w:trPr>
          <w:trHeight w:val="361"/>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中心手术室17-19#/22/23</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910*420*70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trHeight w:val="420"/>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1010*747*70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r>
      <w:tr>
        <w:trPr>
          <w:trHeight w:val="625"/>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磁体间</w:t>
            </w:r>
            <w:r/>
          </w:p>
        </w:tc>
        <w:tc>
          <w:tcPr>
            <w:tcW w:w="190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r>
      <w:tr>
        <w:trPr>
          <w:trHeight w:val="614"/>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中心手术室科室</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579"/>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r>
      <w:tr>
        <w:trPr>
          <w:trHeight w:val="579"/>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r>
      <w:tr>
        <w:trPr>
          <w:trHeight w:val="361"/>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门诊手术室</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61"/>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p>
        </w:tc>
      </w:tr>
      <w:tr>
        <w:trPr>
          <w:trHeight w:val="553"/>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手术室连廊</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614"/>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r>
      <w:tr>
        <w:trPr>
          <w:trHeight w:val="459"/>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trHeight w:val="590"/>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DSA科室</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r>
      <w:tr>
        <w:trPr>
          <w:trHeight w:val="564"/>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r>
      <w:tr>
        <w:trPr>
          <w:trHeight w:val="590"/>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DSA1#</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1630*545</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459"/>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695*345</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459"/>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345*145</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r>
      <w:tr>
        <w:trPr>
          <w:trHeight w:val="590"/>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DSA2#</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408*508</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r>
      <w:tr>
        <w:trPr>
          <w:trHeight w:val="590"/>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508*368</w:t>
            </w:r>
            <w:r/>
          </w:p>
        </w:tc>
        <w:tc>
          <w:tcPr>
            <w:tcW w:w="2835"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590"/>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DSA3#</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361"/>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住院楼4F东、西区ICU</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r>
      <w:tr>
        <w:trPr>
          <w:trHeight w:val="361"/>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601"/>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住院楼23F西区</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61"/>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600*600*45</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361"/>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r>
      <w:tr>
        <w:trPr>
          <w:trHeight w:val="579"/>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住院楼1F西一区静配中心</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550*550*80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r>
      <w:tr>
        <w:trPr>
          <w:trHeight w:val="625"/>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400*400*80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61"/>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门诊楼4F病理科</w:t>
            </w:r>
            <w:r/>
          </w:p>
        </w:tc>
        <w:tc>
          <w:tcPr>
            <w:tcW w:w="1902"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r>
      <w:tr>
        <w:trPr>
          <w:trHeight w:val="361"/>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r>
      <w:tr>
        <w:trPr>
          <w:trHeight w:val="361"/>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726*484*90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361"/>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trHeight w:val="316"/>
        </w:trPr>
        <w:tc>
          <w:tcPr>
            <w:tcW w:w="2024"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检验科PCR1期高效</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trHeight w:val="316"/>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316"/>
        </w:trPr>
        <w:tc>
          <w:tcPr>
            <w:tcW w:w="202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顶液槽高效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320*320*95</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r>
      <w:tr>
        <w:trPr>
          <w:trHeight w:val="571"/>
        </w:trPr>
        <w:tc>
          <w:tcPr>
            <w:tcW w:w="2024"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检验科PCR2期高效</w:t>
            </w:r>
            <w:r/>
          </w:p>
        </w:tc>
        <w:tc>
          <w:tcPr>
            <w:tcW w:w="19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244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W w:w="283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bl>
    <w:p>
      <w:pPr>
        <w:pStyle w:val="752"/>
        <w:spacing w:line="520" w:lineRule="exact"/>
        <w:rPr>
          <w:rFonts w:hint="eastAsia" w:ascii="宋体" w:hAnsi="宋体" w:eastAsia="宋体" w:cs="宋体"/>
          <w:b/>
          <w:bCs/>
          <w:color w:val="auto"/>
          <w:sz w:val="24"/>
          <w:szCs w:val="24"/>
        </w:rPr>
      </w:pPr>
      <w:r/>
      <w:bookmarkStart w:id="52" w:name="OLE_LINK90"/>
      <w:r>
        <w:rPr>
          <w:rFonts w:hint="eastAsia" w:ascii="宋体" w:hAnsi="宋体" w:eastAsia="宋体" w:cs="宋体"/>
          <w:b/>
          <w:bCs/>
          <w:color w:val="auto"/>
          <w:sz w:val="24"/>
          <w:szCs w:val="24"/>
        </w:rPr>
        <w:t xml:space="preserve">2.1海陵院区初中效过滤器</w:t>
      </w:r>
      <w:bookmarkEnd w:id="52"/>
      <w:r/>
      <w:r/>
    </w:p>
    <w:tbl>
      <w:tblPr>
        <w:tblStyle w:val="751"/>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0"/>
        <w:gridCol w:w="1484"/>
        <w:gridCol w:w="1276"/>
        <w:gridCol w:w="2268"/>
        <w:gridCol w:w="1013"/>
        <w:gridCol w:w="1538"/>
      </w:tblGrid>
      <w:tr>
        <w:trPr>
          <w:trHeight w:val="269"/>
        </w:trPr>
        <w:tc>
          <w:tcPr>
            <w:tcW w:w="1630" w:type="dxa"/>
            <w:vAlign w:val="center"/>
            <w:vMerge w:val="restart"/>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gridSpan w:val="4"/>
            <w:shd w:val="clear" w:color="000000" w:fill="ffffff"/>
            <w:tcW w:w="6095"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过滤器</w:t>
            </w:r>
            <w:r/>
          </w:p>
        </w:tc>
      </w:tr>
      <w:tr>
        <w:trPr>
          <w:trHeight w:val="620"/>
        </w:trPr>
        <w:tc>
          <w:tcPr>
            <w:tcW w:w="1630" w:type="dxa"/>
            <w:vAlign w:val="center"/>
            <w:vMerge w:val="continue"/>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2268"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1013"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tcW w:w="1538"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更换频次（4次/年）</w:t>
            </w:r>
            <w:r/>
          </w:p>
        </w:tc>
      </w:tr>
      <w:tr>
        <w:trPr>
          <w:trHeight w:val="502"/>
        </w:trPr>
        <w:tc>
          <w:tcPr>
            <w:tcW w:w="1630"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生殖中心（北附楼顶）</w:t>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JKS-1</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JKS-2</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JKS-4</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JKS-3</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AHU301</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37"/>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37"/>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287×592×600-3</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37"/>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287×287×600-3</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37"/>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37"/>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AHU302</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AHU303</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AHU304</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1013"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静配中心</w:t>
            </w:r>
            <w:r/>
          </w:p>
        </w:tc>
        <w:tc>
          <w:tcPr>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80"/>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414×657×46-8</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吊顶</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69"/>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795"/>
        </w:trPr>
        <w:tc>
          <w:tcPr>
            <w:tcW w:w="1630"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W w:w="148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510×510×550-3</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56"/>
        </w:trPr>
        <w:tc>
          <w:tcPr>
            <w:tcW w:w="1630"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W w:w="1484"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AHU101</w:t>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56"/>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590×590×50</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56"/>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490×590×35</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56"/>
        </w:trPr>
        <w:tc>
          <w:tcPr>
            <w:tcW w:w="1630"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4"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268"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595×595×35</w:t>
            </w:r>
            <w:r/>
          </w:p>
        </w:tc>
        <w:tc>
          <w:tcPr>
            <w:tcW w:w="1013"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3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bl>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2.2海陵院区手术室回风过滤器</w:t>
      </w:r>
      <w:r/>
    </w:p>
    <w:tbl>
      <w:tblPr>
        <w:tblStyle w:val="751"/>
        <w:tblW w:w="9146" w:type="dxa"/>
        <w:tblInd w:w="0" w:type="dxa"/>
        <w:tblLayout w:type="autofit"/>
        <w:tblCellMar>
          <w:left w:w="108" w:type="dxa"/>
          <w:top w:w="0" w:type="dxa"/>
          <w:right w:w="108" w:type="dxa"/>
          <w:bottom w:w="0" w:type="dxa"/>
        </w:tblCellMar>
        <w:tblLook w:val="04A0" w:firstRow="1" w:lastRow="0" w:firstColumn="1" w:lastColumn="0" w:noHBand="0" w:noVBand="1"/>
      </w:tblPr>
      <w:tblGrid>
        <w:gridCol w:w="1971"/>
        <w:gridCol w:w="2256"/>
        <w:gridCol w:w="2304"/>
        <w:gridCol w:w="1330"/>
        <w:gridCol w:w="1285"/>
      </w:tblGrid>
      <w:tr>
        <w:trPr>
          <w:trHeight w:val="566"/>
        </w:trPr>
        <w:tc>
          <w:tcPr>
            <w:tcBorders>
              <w:top w:val="single" w:color="auto" w:sz="4" w:space="0"/>
              <w:left w:val="single" w:color="auto" w:sz="4" w:space="0"/>
              <w:bottom w:val="single" w:color="auto" w:sz="4" w:space="0"/>
              <w:right w:val="single" w:color="auto" w:sz="4" w:space="0"/>
            </w:tcBorders>
            <w:tcW w:w="197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Borders>
              <w:top w:val="single" w:color="auto" w:sz="4" w:space="0"/>
              <w:left w:val="none" w:color="000000" w:sz="4" w:space="0"/>
              <w:bottom w:val="single" w:color="auto" w:sz="4" w:space="0"/>
              <w:right w:val="single" w:color="auto" w:sz="4" w:space="0"/>
            </w:tcBorders>
            <w:tcW w:w="2304"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板式回风过滤器型号</w:t>
            </w:r>
            <w:r/>
          </w:p>
        </w:tc>
        <w:tc>
          <w:tcPr>
            <w:tcBorders>
              <w:top w:val="single" w:color="auto" w:sz="4" w:space="0"/>
              <w:left w:val="none" w:color="000000" w:sz="4" w:space="0"/>
              <w:bottom w:val="single" w:color="auto" w:sz="4" w:space="0"/>
              <w:right w:val="single" w:color="auto" w:sz="4" w:space="0"/>
            </w:tcBorders>
            <w:tcW w:w="1330"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690×290×90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44"/>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1"/>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1"/>
        </w:trPr>
        <w:tc>
          <w:tcPr>
            <w:tcBorders>
              <w:top w:val="none" w:color="000000" w:sz="4" w:space="0"/>
              <w:left w:val="single" w:color="auto" w:sz="4" w:space="0"/>
              <w:bottom w:val="single" w:color="auto" w:sz="4" w:space="0"/>
              <w:right w:val="single" w:color="auto" w:sz="4" w:space="0"/>
            </w:tcBorders>
            <w:tcW w:w="1971"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256"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Borders>
              <w:top w:val="none" w:color="000000" w:sz="4" w:space="0"/>
              <w:left w:val="none" w:color="000000" w:sz="4" w:space="0"/>
              <w:bottom w:val="single" w:color="auto" w:sz="4" w:space="0"/>
              <w:right w:val="single" w:color="auto" w:sz="4" w:space="0"/>
            </w:tcBorders>
            <w:tcW w:w="2304"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290×580×96</w:t>
            </w: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bl>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2.3海陵院区高效过滤器</w:t>
      </w:r>
      <w:r/>
    </w:p>
    <w:tbl>
      <w:tblPr>
        <w:tblStyle w:val="751"/>
        <w:tblW w:w="9209" w:type="dxa"/>
        <w:tblInd w:w="0" w:type="dxa"/>
        <w:tblLayout w:type="autofit"/>
        <w:tblCellMar>
          <w:left w:w="108" w:type="dxa"/>
          <w:top w:w="0" w:type="dxa"/>
          <w:right w:w="108" w:type="dxa"/>
          <w:bottom w:w="0" w:type="dxa"/>
        </w:tblCellMar>
        <w:tblLook w:val="04A0" w:firstRow="1" w:lastRow="0" w:firstColumn="1" w:lastColumn="0" w:noHBand="0" w:noVBand="1"/>
      </w:tblPr>
      <w:tblGrid>
        <w:gridCol w:w="2245"/>
        <w:gridCol w:w="2570"/>
        <w:gridCol w:w="3192"/>
        <w:gridCol w:w="1202"/>
      </w:tblGrid>
      <w:tr>
        <w:trPr>
          <w:trHeight w:val="594"/>
        </w:trPr>
        <w:tc>
          <w:tcPr>
            <w:tcBorders>
              <w:top w:val="single" w:color="auto" w:sz="4" w:space="0"/>
              <w:left w:val="single" w:color="auto" w:sz="4" w:space="0"/>
              <w:bottom w:val="single" w:color="auto" w:sz="4" w:space="0"/>
              <w:right w:val="single" w:color="auto" w:sz="4" w:space="0"/>
            </w:tcBorders>
            <w:tcW w:w="2245"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Borders>
              <w:top w:val="single" w:color="auto"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高效送风过滤器型号</w:t>
            </w:r>
            <w:r/>
          </w:p>
        </w:tc>
        <w:tc>
          <w:tcPr>
            <w:tcBorders>
              <w:top w:val="single" w:color="auto"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0"/>
        </w:trPr>
        <w:tc>
          <w:tcPr>
            <w:tcBorders>
              <w:top w:val="none" w:color="000000" w:sz="4" w:space="0"/>
              <w:left w:val="single" w:color="auto" w:sz="4" w:space="0"/>
              <w:bottom w:val="single" w:color="auto" w:sz="4" w:space="0"/>
              <w:right w:val="single" w:color="auto" w:sz="4" w:space="0"/>
            </w:tcBorders>
            <w:tcW w:w="2245" w:type="dxa"/>
            <w:vAlign w:val="center"/>
            <w:vMerge w:val="restart"/>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南院静配中心</w:t>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550*550*90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310"/>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600*600*150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310"/>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400*400*90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324"/>
        </w:trPr>
        <w:tc>
          <w:tcPr>
            <w:tcBorders>
              <w:top w:val="none" w:color="000000" w:sz="4" w:space="0"/>
              <w:left w:val="single" w:color="auto" w:sz="4" w:space="0"/>
              <w:bottom w:val="single" w:color="auto" w:sz="4" w:space="0"/>
              <w:right w:val="single" w:color="auto" w:sz="4" w:space="0"/>
            </w:tcBorders>
            <w:tcW w:w="2245"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w:t>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510*510*80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42</w:t>
            </w:r>
            <w:r/>
          </w:p>
        </w:tc>
      </w:tr>
      <w:tr>
        <w:trPr>
          <w:trHeight w:val="324"/>
        </w:trPr>
        <w:tc>
          <w:tcPr>
            <w:tcBorders>
              <w:top w:val="none" w:color="000000" w:sz="4" w:space="0"/>
              <w:left w:val="single" w:color="auto" w:sz="4" w:space="0"/>
              <w:bottom w:val="single" w:color="auto" w:sz="4" w:space="0"/>
              <w:right w:val="single" w:color="auto" w:sz="4" w:space="0"/>
            </w:tcBorders>
            <w:tcW w:w="2245"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480×480×210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2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320×320×210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294"/>
        </w:trPr>
        <w:tc>
          <w:tcPr>
            <w:tcBorders>
              <w:top w:val="none" w:color="000000" w:sz="4" w:space="0"/>
              <w:left w:val="single" w:color="auto" w:sz="4" w:space="0"/>
              <w:bottom w:val="single" w:color="auto" w:sz="4" w:space="0"/>
              <w:right w:val="single" w:color="auto" w:sz="4" w:space="0"/>
            </w:tcBorders>
            <w:tcW w:w="2245"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257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319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bl>
    <w:p>
      <w:pPr>
        <w:pStyle w:val="75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3.1妇幼初中效过滤器更换</w:t>
      </w:r>
      <w:r/>
    </w:p>
    <w:tbl>
      <w:tblPr>
        <w:tblStyle w:val="751"/>
        <w:tblW w:w="9198" w:type="dxa"/>
        <w:tblInd w:w="0" w:type="dxa"/>
        <w:tblLayout w:type="autofit"/>
        <w:tblCellMar>
          <w:left w:w="108" w:type="dxa"/>
          <w:top w:w="0" w:type="dxa"/>
          <w:right w:w="108" w:type="dxa"/>
          <w:bottom w:w="0" w:type="dxa"/>
        </w:tblCellMar>
        <w:tblLook w:val="04A0" w:firstRow="1" w:lastRow="0" w:firstColumn="1" w:lastColumn="0" w:noHBand="0" w:noVBand="1"/>
      </w:tblPr>
      <w:tblGrid>
        <w:gridCol w:w="1279"/>
        <w:gridCol w:w="2078"/>
        <w:gridCol w:w="1910"/>
        <w:gridCol w:w="1932"/>
        <w:gridCol w:w="1018"/>
        <w:gridCol w:w="981"/>
      </w:tblGrid>
      <w:tr>
        <w:trPr>
          <w:trHeight w:val="432"/>
        </w:trPr>
        <w:tc>
          <w:tcPr>
            <w:tcBorders>
              <w:top w:val="single" w:color="auto"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Borders>
              <w:top w:val="single" w:color="auto" w:sz="4" w:space="0"/>
              <w:left w:val="single" w:color="auto" w:sz="4" w:space="0"/>
              <w:bottom w:val="single" w:color="auto" w:sz="4" w:space="0"/>
              <w:right w:val="single" w:color="auto" w:sz="4" w:space="0"/>
            </w:tcBorders>
            <w:tcW w:w="2078" w:type="dxa"/>
            <w:vAlign w:val="center"/>
            <w:vMerge w:val="restart"/>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Borders>
              <w:top w:val="single" w:color="auto" w:sz="4" w:space="0"/>
              <w:left w:val="single" w:color="auto" w:sz="4" w:space="0"/>
              <w:bottom w:val="single" w:color="auto" w:sz="4" w:space="0"/>
              <w:right w:val="single" w:color="auto" w:sz="4" w:space="0"/>
            </w:tcBorders>
            <w:tcW w:w="1910" w:type="dxa"/>
            <w:vAlign w:val="center"/>
            <w:vMerge w:val="restart"/>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Borders>
              <w:top w:val="single" w:color="auto" w:sz="4" w:space="0"/>
              <w:left w:val="single" w:color="auto" w:sz="4" w:space="0"/>
              <w:bottom w:val="single" w:color="auto" w:sz="4" w:space="0"/>
              <w:right w:val="single" w:color="auto" w:sz="4" w:space="0"/>
            </w:tcBorders>
            <w:tcW w:w="1932" w:type="dxa"/>
            <w:vAlign w:val="center"/>
            <w:vMerge w:val="restart"/>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Borders>
              <w:top w:val="single" w:color="auto" w:sz="4" w:space="0"/>
              <w:left w:val="single" w:color="auto" w:sz="4" w:space="0"/>
              <w:bottom w:val="single" w:color="auto" w:sz="4" w:space="0"/>
              <w:right w:val="single" w:color="auto" w:sz="4" w:space="0"/>
            </w:tcBorders>
            <w:tcW w:w="1018" w:type="dxa"/>
            <w:vAlign w:val="center"/>
            <w:vMerge w:val="restart"/>
            <w:textDirection w:val="lrTb"/>
            <w:noWrap/>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tcBorders>
              <w:top w:val="single" w:color="auto" w:sz="4" w:space="0"/>
              <w:left w:val="single" w:color="auto" w:sz="4" w:space="0"/>
              <w:bottom w:val="single" w:color="auto" w:sz="4" w:space="0"/>
              <w:right w:val="single" w:color="auto" w:sz="4" w:space="0"/>
            </w:tcBorders>
            <w:tcW w:w="981" w:type="dxa"/>
            <w:vAlign w:val="center"/>
            <w:vMerge w:val="restart"/>
            <w:textDirection w:val="lrTb"/>
            <w:noWrap w:val="false"/>
          </w:tcPr>
          <w:p>
            <w:pPr>
              <w:pStyle w:val="752"/>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更换频次（次/年）</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门诊楼1层（公共区域）</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PAU1-1</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PAU1-2</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门诊楼2层（公共区域）</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AHU-2-1</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AHU-2-2</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PAU2-1</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PAU2-2</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住院楼5楼设备层（NICU）</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AHU-ICU-03</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AHU-ICU-04</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住院楼5层设备层（产房）</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AHU-4F-CF1</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AHU-4F-CF2</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5C</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5B</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5A</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住院楼6层</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6C</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6B</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6A</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住院楼7层</w:t>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7C</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single" w:color="auto" w:sz="4" w:space="0"/>
              <w:bottom w:val="single" w:color="auto" w:sz="4" w:space="0"/>
              <w:right w:val="single" w:color="auto" w:sz="4" w:space="0"/>
            </w:tcBorders>
            <w:tcW w:w="2078" w:type="dxa"/>
            <w:vAlign w:val="center"/>
            <w:vMerge w:val="restart"/>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7A</w:t>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316"/>
        </w:trPr>
        <w:tc>
          <w:tcPr>
            <w:tcBorders>
              <w:top w:val="none" w:color="000000" w:sz="4" w:space="0"/>
              <w:left w:val="single" w:color="auto" w:sz="4" w:space="0"/>
              <w:bottom w:val="single" w:color="auto" w:sz="4" w:space="0"/>
              <w:right w:val="single" w:color="auto" w:sz="4" w:space="0"/>
            </w:tcBorders>
            <w:tcW w:w="1279"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2078" w:type="dxa"/>
            <w:vAlign w:val="center"/>
            <w:vMerge w:val="continue"/>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910"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Borders>
              <w:top w:val="none" w:color="000000" w:sz="4" w:space="0"/>
              <w:left w:val="none" w:color="000000" w:sz="4" w:space="0"/>
              <w:bottom w:val="single" w:color="auto" w:sz="4" w:space="0"/>
              <w:right w:val="single" w:color="auto" w:sz="4" w:space="0"/>
            </w:tcBorders>
            <w:tcW w:w="1018"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81" w:type="dxa"/>
            <w:vAlign w:val="center"/>
            <w:textDirection w:val="lrTb"/>
            <w:noWrap/>
          </w:tcPr>
          <w:p>
            <w:pPr>
              <w:pStyle w:val="752"/>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bl>
    <w:p>
      <w:pPr>
        <w:pStyle w:val="75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r>
      <w:bookmarkEnd w:id="45"/>
      <w:r/>
      <w:r/>
    </w:p>
    <w:p>
      <w:pPr>
        <w:rPr>
          <w:rFonts w:hint="eastAsia" w:ascii="宋体" w:hAnsi="宋体" w:eastAsia="宋体" w:cs="宋体"/>
          <w:color w:val="auto"/>
        </w:rPr>
      </w:pPr>
      <w:r>
        <w:rPr>
          <w:rFonts w:hint="eastAsia" w:ascii="宋体" w:hAnsi="宋体" w:eastAsia="宋体" w:cs="宋体"/>
          <w:color w:val="auto"/>
        </w:rPr>
      </w:r>
      <w:bookmarkEnd w:id="44"/>
      <w:r/>
      <w:r/>
    </w:p>
    <w:p>
      <w:pPr>
        <w:pStyle w:val="971"/>
        <w:jc w:val="center"/>
        <w:spacing w:before="0" w:after="0" w:line="360" w:lineRule="auto"/>
        <w:rPr>
          <w:rFonts w:hint="eastAsia" w:ascii="宋体" w:hAnsi="宋体" w:eastAsia="宋体" w:cs="宋体"/>
          <w:color w:val="auto"/>
          <w:sz w:val="32"/>
          <w:szCs w:val="32"/>
        </w:rPr>
      </w:pPr>
      <w:r/>
      <w:bookmarkStart w:id="53" w:name="_Toc388026588"/>
      <w:r/>
      <w:bookmarkStart w:id="54" w:name="_Toc409438821"/>
      <w:r/>
      <w:bookmarkStart w:id="55" w:name="OLE_LINK32"/>
      <w:r>
        <w:rPr>
          <w:rFonts w:hint="eastAsia" w:ascii="宋体" w:hAnsi="宋体" w:eastAsia="宋体" w:cs="宋体"/>
          <w:color w:val="auto"/>
          <w:sz w:val="32"/>
          <w:szCs w:val="32"/>
        </w:rPr>
        <w:t xml:space="preserve">第四章  评标办法及标准</w:t>
      </w:r>
      <w:bookmarkEnd w:id="53"/>
      <w:r/>
      <w:bookmarkEnd w:id="54"/>
      <w:r/>
      <w:bookmarkEnd w:id="55"/>
      <w:r/>
      <w:r/>
    </w:p>
    <w:p>
      <w:pPr>
        <w:pStyle w:val="1040"/>
        <w:ind w:firstLine="480"/>
        <w:spacing w:line="520" w:lineRule="exact"/>
        <w:rPr>
          <w:rFonts w:hint="eastAsia" w:hAnsi="宋体" w:eastAsia="宋体" w:cs="宋体"/>
          <w:color w:val="auto"/>
          <w:sz w:val="24"/>
          <w:szCs w:val="18"/>
        </w:rPr>
      </w:pPr>
      <w:r>
        <w:rPr>
          <w:rFonts w:hint="eastAsia" w:hAnsi="宋体" w:eastAsia="宋体" w:cs="宋体"/>
          <w:color w:val="auto"/>
          <w:sz w:val="24"/>
          <w:szCs w:val="24"/>
        </w:rPr>
        <w:t xml:space="preserve">1.本次招标评标采用</w:t>
      </w:r>
      <w:r>
        <w:rPr>
          <w:rFonts w:hint="eastAsia" w:hAnsi="宋体" w:eastAsia="宋体" w:cs="宋体"/>
          <w:color w:val="auto"/>
          <w:sz w:val="24"/>
          <w:szCs w:val="24"/>
          <w:u w:val="single"/>
        </w:rPr>
        <w:t xml:space="preserve">综合评分法</w:t>
      </w:r>
      <w:r>
        <w:rPr>
          <w:rFonts w:hint="eastAsia" w:hAnsi="宋体" w:eastAsia="宋体" w:cs="宋体"/>
          <w:color w:val="auto"/>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3.评分标准：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（1）评标采用综合评分法。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（2）评标考虑的主要因素及其权值：详见评分细则。</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4.价格扣除：供应商为小微企业或监狱企业或残疾人福利性单位的，享受10%价格扣除。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按要求填写或未提交则不享受相关小微企业价格扣除政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按要求填写或未提交则不享受相关价格扣除政策。</w:t>
      </w:r>
      <w:r/>
    </w:p>
    <w:p>
      <w:pPr>
        <w:pStyle w:val="763"/>
        <w:ind w:firstLine="480"/>
        <w:spacing w:line="520" w:lineRule="exact"/>
        <w:rPr>
          <w:rFonts w:hint="eastAsia" w:hAnsi="宋体" w:eastAsia="宋体" w:cs="宋体"/>
          <w:b/>
          <w:bCs/>
          <w:color w:val="auto"/>
          <w:sz w:val="24"/>
          <w:szCs w:val="28"/>
        </w:rPr>
      </w:pPr>
      <w:r>
        <w:rPr>
          <w:rFonts w:hint="eastAsia" w:hAnsi="宋体" w:eastAsia="宋体" w:cs="宋体"/>
          <w:color w:val="auto"/>
          <w:sz w:val="24"/>
          <w:szCs w:val="24"/>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按要求填写或未提交则不享受相关价格扣除政策。监狱企业属于小型、微型企业的，不重复享受政策。</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szCs w:val="28"/>
        </w:rPr>
        <w:t xml:space="preserve">5.</w:t>
      </w:r>
      <w:r>
        <w:rPr>
          <w:rFonts w:hint="eastAsia" w:ascii="宋体" w:hAnsi="宋体" w:eastAsia="宋体" w:cs="宋体"/>
          <w:color w:val="auto"/>
          <w:sz w:val="24"/>
        </w:rPr>
        <w:t xml:space="preserve">关于异常低价的审查</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3"/>
        <w:ind w:firstLine="480"/>
        <w:spacing w:line="520" w:lineRule="exact"/>
        <w:rPr>
          <w:rFonts w:hint="eastAsia" w:hAnsi="宋体" w:eastAsia="宋体" w:cs="宋体"/>
          <w:b/>
          <w:bCs/>
          <w:color w:val="auto"/>
          <w:sz w:val="24"/>
          <w:szCs w:val="28"/>
        </w:rPr>
      </w:pPr>
      <w:r>
        <w:rPr>
          <w:rFonts w:hint="eastAsia"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7.确定中标候选人：根据各投标人的排序，评标委员会应在评标报告中推选前3名作为中标候选人。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63"/>
        <w:ind w:firstLine="480"/>
        <w:spacing w:line="520" w:lineRule="exact"/>
        <w:rPr>
          <w:rFonts w:hint="eastAsia" w:hAnsi="宋体" w:eastAsia="宋体" w:cs="宋体"/>
          <w:b/>
          <w:bCs/>
          <w:color w:val="auto"/>
          <w:sz w:val="24"/>
          <w:szCs w:val="28"/>
        </w:rPr>
      </w:pPr>
      <w:r>
        <w:rPr>
          <w:rFonts w:hint="eastAsia" w:hAnsi="宋体" w:eastAsia="宋体" w:cs="宋体"/>
          <w:color w:val="auto"/>
          <w:sz w:val="24"/>
          <w:szCs w:val="24"/>
        </w:rPr>
        <w:t xml:space="preserve">9.本办法未尽事宜，由评标委员会依据有关法规研究解决。</w:t>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r>
      <w:r/>
    </w:p>
    <w:p>
      <w:pPr>
        <w:pStyle w:val="755"/>
        <w:rPr>
          <w:rFonts w:hint="eastAsia" w:hAnsi="宋体" w:eastAsia="宋体" w:cs="宋体"/>
          <w:b/>
          <w:bCs/>
          <w:color w:val="auto"/>
          <w:sz w:val="24"/>
          <w:szCs w:val="28"/>
        </w:rPr>
      </w:pPr>
      <w:r>
        <w:rPr>
          <w:rFonts w:hint="eastAsia" w:hAnsi="宋体" w:eastAsia="宋体" w:cs="宋体"/>
          <w:b/>
          <w:bCs/>
          <w:color w:val="auto"/>
          <w:sz w:val="24"/>
          <w:szCs w:val="28"/>
        </w:rPr>
      </w:r>
      <w:r/>
    </w:p>
    <w:p>
      <w:pPr>
        <w:pStyle w:val="755"/>
        <w:rPr>
          <w:rFonts w:hint="eastAsia" w:hAnsi="宋体" w:eastAsia="宋体" w:cs="宋体"/>
          <w:b/>
          <w:bCs/>
          <w:color w:val="auto"/>
          <w:sz w:val="24"/>
          <w:szCs w:val="28"/>
        </w:rPr>
      </w:pPr>
      <w:r>
        <w:rPr>
          <w:rFonts w:hint="eastAsia" w:hAnsi="宋体" w:eastAsia="宋体" w:cs="宋体"/>
          <w:b/>
          <w:bCs/>
          <w:color w:val="auto"/>
          <w:sz w:val="24"/>
          <w:szCs w:val="28"/>
        </w:rPr>
      </w:r>
      <w:r/>
    </w:p>
    <w:p>
      <w:pPr>
        <w:pStyle w:val="755"/>
        <w:rPr>
          <w:rFonts w:hint="eastAsia" w:hAnsi="宋体" w:eastAsia="宋体" w:cs="宋体"/>
          <w:b/>
          <w:bCs/>
          <w:color w:val="auto"/>
          <w:sz w:val="24"/>
          <w:szCs w:val="28"/>
        </w:rPr>
      </w:pPr>
      <w:r>
        <w:rPr>
          <w:rFonts w:hint="eastAsia" w:hAnsi="宋体" w:eastAsia="宋体" w:cs="宋体"/>
          <w:b/>
          <w:bCs/>
          <w:color w:val="auto"/>
          <w:sz w:val="24"/>
          <w:szCs w:val="28"/>
        </w:rPr>
      </w:r>
      <w:r/>
    </w:p>
    <w:p>
      <w:pPr>
        <w:pStyle w:val="755"/>
        <w:ind w:firstLine="0"/>
        <w:rPr>
          <w:rFonts w:hint="eastAsia" w:ascii="宋体" w:hAnsi="宋体" w:eastAsia="宋体" w:cs="宋体"/>
          <w:color w:val="auto"/>
        </w:rPr>
      </w:pPr>
      <w:r>
        <w:rPr>
          <w:rFonts w:hint="eastAsia" w:ascii="宋体" w:hAnsi="宋体" w:eastAsia="宋体" w:cs="宋体"/>
          <w:color w:val="auto"/>
        </w:rPr>
        <w:t xml:space="preserve">  </w:t>
      </w:r>
      <w:r/>
    </w:p>
    <w:p>
      <w:pPr>
        <w:pStyle w:val="763"/>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t xml:space="preserve">评分细则：</w:t>
      </w:r>
      <w:r/>
    </w:p>
    <w:tbl>
      <w:tblPr>
        <w:tblStyle w:val="751"/>
        <w:tblW w:w="10192"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242"/>
        <w:gridCol w:w="811"/>
        <w:gridCol w:w="7516"/>
      </w:tblGrid>
      <w:tr>
        <w:trPr>
          <w:cantSplit/>
          <w:trHeight w:val="87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评审</w:t>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项目</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分值</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评审细则</w:t>
            </w:r>
            <w:r/>
          </w:p>
        </w:tc>
      </w:tr>
      <w:tr>
        <w:trPr>
          <w:cantSplit/>
          <w:trHeight w:val="1346"/>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rPr>
                <w:rFonts w:hint="eastAsia" w:ascii="宋体" w:hAnsi="宋体" w:eastAsia="宋体" w:cs="宋体"/>
                <w:color w:val="auto"/>
              </w:rPr>
            </w:pPr>
            <w:r>
              <w:rPr>
                <w:rFonts w:hint="eastAsia" w:ascii="宋体" w:hAnsi="宋体" w:eastAsia="宋体" w:cs="宋体"/>
                <w:color w:val="auto"/>
                <w:sz w:val="24"/>
                <w:szCs w:val="24"/>
              </w:rPr>
              <w:t xml:space="preserve">（30分）</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采用低价优先法计算，即满足招标文件要求且投标价格最低的投标报价为评标基准价，其价格分为满分。其他投标人的价格部分统一按照下列公式计算：投标报价得分=（评标基准价／投标报价）×30%×100。</w:t>
            </w:r>
            <w:r/>
          </w:p>
        </w:tc>
      </w:tr>
      <w:tr>
        <w:trPr>
          <w:cantSplit/>
          <w:trHeight w:val="2058"/>
        </w:trPr>
        <w:tc>
          <w:tcPr>
            <w:tcBorders>
              <w:top w:val="single" w:color="auto" w:sz="4" w:space="0"/>
              <w:left w:val="single" w:color="auto" w:sz="4" w:space="0"/>
              <w:right w:val="single" w:color="auto" w:sz="4" w:space="0"/>
            </w:tcBorders>
            <w:tcW w:w="623"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242"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企业实力</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（15分）</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供应商持有有效的中国制冷空调行业维修安装企业的能力等级：</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A类I级得6分；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A类II级得4分；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其他证书不得分，本项最高得6分。</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注：发证单位须为中国制冷协会或者中国国家标准化管理委员会，所</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有证书提供原件扫描件加盖公章，未提供证书或者其他发证单位的证书不得分。</w:t>
            </w:r>
            <w:r/>
          </w:p>
        </w:tc>
      </w:tr>
      <w:tr>
        <w:trPr>
          <w:cantSplit/>
          <w:trHeight w:val="1693"/>
        </w:trPr>
        <w:tc>
          <w:tcPr>
            <w:tcBorders>
              <w:left w:val="single" w:color="auto" w:sz="4" w:space="0"/>
              <w:bottom w:val="single" w:color="auto" w:sz="4" w:space="0"/>
              <w:right w:val="single" w:color="auto" w:sz="4" w:space="0"/>
            </w:tcBorders>
            <w:tcW w:w="62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9分</w:t>
            </w:r>
            <w:r/>
          </w:p>
        </w:tc>
        <w:tc>
          <w:tcPr>
            <w:tcBorders>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供应商具有有效的质量管理体系认证证书、环境管理体系认证证书、职业健康安全管理体系认证证书的，有一项得3分，提供3项得9分，本项最高得9分。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注：所有证书提供原件扫描件</w:t>
            </w:r>
            <w:r>
              <w:rPr>
                <w:rFonts w:hint="eastAsia" w:ascii="宋体" w:hAnsi="宋体" w:eastAsia="宋体" w:cs="宋体"/>
                <w:b/>
                <w:bCs/>
                <w:color w:val="auto"/>
                <w:sz w:val="24"/>
                <w:szCs w:val="24"/>
              </w:rPr>
              <w:t xml:space="preserve">及国家认证认可监督管理委员会官方网站：http://www.cnca.gov.cn查询截图</w:t>
            </w:r>
            <w:r>
              <w:rPr>
                <w:rFonts w:hint="eastAsia" w:ascii="宋体" w:hAnsi="宋体" w:eastAsia="宋体" w:cs="宋体"/>
                <w:color w:val="auto"/>
                <w:sz w:val="24"/>
                <w:szCs w:val="24"/>
              </w:rPr>
              <w:t xml:space="preserve">加盖公章，未提供不得分。</w:t>
            </w:r>
            <w:r/>
          </w:p>
        </w:tc>
      </w:tr>
      <w:tr>
        <w:trPr>
          <w:cantSplit/>
          <w:trHeight w:val="4669"/>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（16分）</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16分</w:t>
            </w:r>
            <w:r/>
          </w:p>
        </w:tc>
        <w:tc>
          <w:tcPr>
            <w:tcBorders>
              <w:top w:val="single" w:color="auto" w:sz="4" w:space="0"/>
              <w:left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1.投标人2023年1月1日具有机关企事业单位的中央空调维保服务业绩的，每提供一个得2分，最高得8分。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2.投标人自2023年1月1日以来，具有机关企事业单位的锅炉（2吨蒸汽锅炉及以上）维保服务业绩的，每提供一个得2分，最高得8分。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（1）中央空调合同服务内容须包含离心式冷水机组维保或者螺杆式冷水机组维保或者磁悬浮冷水机组维保，锅炉业绩须注明2吨及以上蒸汽锅炉，同一份合同中包含上述多种设备的，仍按一个有效业绩计算。</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须提供合同原件扫描件并加盖公章，以及合同履行期间任意一次费用支付发票，上述两项材料作为业绩加分的佐证材料，缺一不可。业绩佐证材料中不能体现服务内容的不予认可。同一单位的多个项目或同一项目续签的业绩仅计一次分，一份合同最高得2分。</w:t>
            </w:r>
            <w:r/>
          </w:p>
        </w:tc>
      </w:tr>
      <w:tr>
        <w:trPr>
          <w:cantSplit/>
          <w:trHeight w:val="1529"/>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人员配备</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（18分）</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1.拟派项目经理具有以下证件的，每提供一个证件得1分，本项最多得3分：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（1）具有有效的特种设备安全管理和作业人员证（特种设备安全管理A证）；</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（2）有效的机电工程专业二级（含）以上建造师证（须注册在投标单位，提供注册证）；</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（3）具备有效的安全生产考核合格证书（B证）。</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2.拟派驻人员具有以下证件的得分如下，本项最多得15分（同一人持有多个特种作业操作证或特种设备安全管理和作业人员证的，最多得2分）：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（1）具有特种设备安全管理和作业人员证（特种设备焊接作业），每提供1人得2分，本小项最多得2分；</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（2）具有应急管理厅颁发的特种作业操作证（制冷与空调作业），每提供1人得2分，本小项最多得8分；</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（3）具有应急管理厅颁发的特种作业操作证（电工作业），每提供1人得2分，本小项最多得4分；</w:t>
            </w:r>
            <w:r/>
          </w:p>
          <w:p>
            <w:pPr>
              <w:pStyle w:val="752"/>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（4）具有应急管理厅颁发的特种作业操作证（焊接与热切割作业），每提供1人得1分，本小项最多得1分；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（1）提供相关人员证书原件扫描件加盖公章，以及供应商为其缴纳的近三个月（不含投标当月）中任意一个月的养老保险证明，未提供不得分。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（2）供应商不得擅自更换拟派驻人员，如需更换人员，须提前一个月向采购人申请，经同意后方可更换。</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服务周期计划方案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服务周期计划方案：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服务周期计划科学、严密、合理，描述详细且具有针对性的得3分；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服务周期计划较合理、严密、描述较为详细，不存在实施难度的得2分；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服务周期计划基本合理、描述一般、存在可操作性的得1分；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w:t>
            </w:r>
            <w:r/>
          </w:p>
        </w:tc>
      </w:tr>
      <w:tr>
        <w:trPr>
          <w:cantSplit/>
          <w:trHeight w:val="1786"/>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lang w:eastAsia="zh-Hans"/>
              </w:rPr>
            </w:pPr>
            <w:r>
              <w:rPr>
                <w:rFonts w:hint="eastAsia" w:ascii="宋体" w:hAnsi="宋体" w:eastAsia="宋体" w:cs="宋体"/>
                <w:bCs/>
                <w:color w:val="auto"/>
                <w:sz w:val="24"/>
                <w:szCs w:val="24"/>
              </w:rPr>
              <w:t xml:space="preserve">锅炉和中央空调系统维保运行方案</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锅炉和中央空调系统维保运行方案：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方案详细完整，针对性强、可操作性强，思路合理得3分；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方案较详细，针对性、可操作性较强，思路较合理得2分；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方案简单，针对性、可操作性一般，思路一般得1分</w:t>
            </w:r>
            <w:r>
              <w:rPr>
                <w:rFonts w:hint="eastAsia" w:ascii="宋体" w:hAnsi="宋体" w:eastAsia="宋体" w:cs="宋体"/>
                <w:color w:val="auto"/>
                <w:sz w:val="24"/>
                <w:szCs w:val="24"/>
                <w:lang w:eastAsia="zh-CN"/>
              </w:rPr>
              <w:t xml:space="preserve">；</w:t>
            </w:r>
            <w:r/>
          </w:p>
          <w:p>
            <w:pPr>
              <w:pStyle w:val="752"/>
              <w:rPr>
                <w:rFonts w:hint="eastAsia"/>
                <w:lang w:eastAsia="zh-CN"/>
              </w:rPr>
            </w:pPr>
            <w:r>
              <w:rPr>
                <w:rFonts w:hint="eastAsia" w:ascii="宋体" w:hAnsi="宋体" w:eastAsia="宋体" w:cs="宋体"/>
                <w:color w:val="auto"/>
                <w:sz w:val="24"/>
                <w:szCs w:val="24"/>
              </w:rPr>
              <w:t xml:space="preserve">未提供不得分。</w:t>
            </w:r>
            <w:r/>
          </w:p>
        </w:tc>
      </w:tr>
      <w:tr>
        <w:trPr>
          <w:cantSplit/>
          <w:trHeight w:val="1678"/>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lang w:eastAsia="zh-Hans"/>
              </w:rPr>
            </w:pPr>
            <w:r>
              <w:rPr>
                <w:rFonts w:hint="eastAsia" w:ascii="宋体" w:hAnsi="宋体" w:eastAsia="宋体" w:cs="宋体"/>
                <w:color w:val="auto"/>
                <w:sz w:val="24"/>
                <w:szCs w:val="24"/>
              </w:rPr>
              <w:t xml:space="preserve">应急预案措施</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夏季高温期、冬季取暖期、特殊情况的应急预案措施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预措施详细完整，针对性强、可操作性强，思路合理得3分；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措施较详细，针对性、可操作性较强，思路较合理得2分；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措施简单，针对性、可操作性一般，思路可行性不高得1分；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未提供措施，不得分。</w:t>
            </w:r>
            <w:r/>
          </w:p>
        </w:tc>
      </w:tr>
      <w:tr>
        <w:trPr>
          <w:cantSplit/>
          <w:trHeight w:val="1495"/>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培训方案</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供应商针对本项目的培训方案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方案科学、严密、合理，描述详细且具有针对性的得3分；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方案较合理、严密、描述较为详细，不存在实施难度的得2分；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方案基本合理、描述一般、存在可操作性的得1分；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w:t>
            </w:r>
            <w:r/>
          </w:p>
        </w:tc>
      </w:tr>
      <w:tr>
        <w:trPr>
          <w:cantSplit/>
          <w:trHeight w:val="1989"/>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维保服务的及时性</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为确保本项目维保服务的及时性，供应商针对本项目维护响应时间、配件更换及时性的方案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方案科学、严密、合理，描述详细且具有针对性的得3分；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方案较合理、严密、描述较为详细，不存在实施难度的得2分；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方案基本合理、描述一般、存在可操作性的得1分；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w:t>
            </w:r>
            <w:r/>
          </w:p>
        </w:tc>
      </w:tr>
      <w:tr>
        <w:trPr>
          <w:cantSplit/>
          <w:trHeight w:val="1635"/>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原厂配件保障</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供应商针对本项目提供维修配件、冷冻油及过滤器为原厂全新合格品且同时提供详细的采购渠道证明（合同、支付发票等可溯源文件）的承诺函。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提供承诺函得3分；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w:t>
            </w:r>
            <w:r/>
          </w:p>
        </w:tc>
      </w:tr>
      <w:tr>
        <w:trPr>
          <w:cantSplit/>
          <w:trHeight w:val="1452"/>
        </w:trPr>
        <w:tc>
          <w:tcPr>
            <w:tcBorders>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left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原厂售后保障</w:t>
            </w:r>
            <w:r/>
          </w:p>
        </w:tc>
        <w:tc>
          <w:tcPr>
            <w:tcBorders>
              <w:left w:val="single" w:color="auto" w:sz="4" w:space="0"/>
              <w:right w:val="single" w:color="auto" w:sz="4" w:space="0"/>
            </w:tcBorders>
            <w:tcW w:w="81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供应商针对本项目如遇长时间（4小时）无法排除的机组故障，提供原厂工程师6个小时内到达现场排除故障的承诺函。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提供承诺函得3分；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w:t>
            </w:r>
            <w:r/>
          </w:p>
        </w:tc>
      </w:tr>
    </w:tbl>
    <w:p>
      <w:pPr>
        <w:ind w:firstLine="482"/>
        <w:spacing w:line="500" w:lineRule="exact"/>
        <w:rPr>
          <w:rFonts w:hint="eastAsia" w:ascii="宋体" w:hAnsi="宋体" w:eastAsia="宋体" w:cs="宋体"/>
          <w:b/>
          <w:color w:val="auto"/>
          <w:sz w:val="24"/>
          <w:szCs w:val="24"/>
        </w:rPr>
      </w:pPr>
      <w:r>
        <w:rPr>
          <w:rFonts w:hint="eastAsia" w:ascii="宋体" w:hAnsi="宋体" w:eastAsia="宋体" w:cs="宋体"/>
          <w:b/>
          <w:bCs/>
          <w:color w:val="auto"/>
          <w:sz w:val="24"/>
          <w:szCs w:val="28"/>
        </w:rPr>
        <w:t xml:space="preserve">注：1.</w:t>
      </w:r>
      <w:r>
        <w:rPr>
          <w:rFonts w:hint="eastAsia" w:ascii="宋体" w:hAnsi="宋体" w:eastAsia="宋体" w:cs="宋体"/>
          <w:b/>
          <w:color w:val="auto"/>
          <w:sz w:val="24"/>
          <w:szCs w:val="24"/>
        </w:rPr>
        <w:t xml:space="preserve">投标人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2.项目经理如提供一级注册建造师证书的，请投标人认真阅读《住房和城乡建设部办公厅关于全面实行一级建造师电子注册证书的通知》（建办市〔2021〕40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根据《省住房和城乡建设厅关于我省二级建造师、二级造价工程师、二级注册建筑师、二级注册结构工程师注册证书电子证照换发的公告》（2023第26号）文件要求，2024年3月9日起，旧版电子证照停止使用，因拟派项目经理二级建造师注册证书作废、无效引起的一切后果由投标人承担。</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4.根据省住房和城乡建设厅关于部分调整我省建筑施工企业安管人员、建筑施工特种作业人员考核、延期复核及证书管理有关事项的公告〔2023〕第 5 号，项目负责人安全生产考核合格证书（B 证）需提供新版电子证照，因拟派项目经理安全生产考核合格证书（B 证）作废、无效引起的一切后果由投标人承担。</w:t>
      </w:r>
      <w:r/>
    </w:p>
    <w:p>
      <w:pPr>
        <w:jc w:val="center"/>
        <w:spacing w:line="300" w:lineRule="auto"/>
        <w:rPr>
          <w:rFonts w:hint="eastAsia" w:ascii="宋体" w:hAnsi="宋体" w:eastAsia="宋体" w:cs="宋体"/>
          <w:b/>
          <w:color w:val="auto"/>
          <w:sz w:val="32"/>
          <w:szCs w:val="32"/>
        </w:rPr>
        <w:outlineLvl w:val="0"/>
      </w:pPr>
      <w:r>
        <w:rPr>
          <w:rFonts w:hint="eastAsia" w:ascii="宋体" w:hAnsi="宋体" w:eastAsia="宋体" w:cs="宋体"/>
          <w:b/>
          <w:color w:val="auto"/>
          <w:sz w:val="32"/>
          <w:szCs w:val="32"/>
        </w:rPr>
        <w:t xml:space="preserve">第五章 合同条款</w:t>
      </w:r>
      <w:r/>
    </w:p>
    <w:p>
      <w:pPr>
        <w:pStyle w:val="1010"/>
        <w:jc w:val="center"/>
        <w:spacing w:line="500" w:lineRule="exact"/>
        <w:rPr>
          <w:rFonts w:hint="eastAsia" w:ascii="宋体" w:hAnsi="宋体" w:eastAsia="宋体" w:cs="宋体"/>
          <w:color w:val="auto"/>
        </w:rPr>
      </w:pPr>
      <w:r>
        <w:rPr>
          <w:rFonts w:hint="eastAsia" w:ascii="宋体" w:hAnsi="宋体" w:eastAsia="宋体" w:cs="宋体"/>
          <w:color w:val="auto"/>
          <w:sz w:val="21"/>
          <w:szCs w:val="21"/>
        </w:rPr>
        <w:t xml:space="preserve">（参考文本，具体内容以招标文件为准）</w:t>
      </w:r>
      <w:r/>
    </w:p>
    <w:p>
      <w:pPr>
        <w:pStyle w:val="995"/>
        <w:rPr>
          <w:rFonts w:hint="eastAsia" w:hAnsi="宋体" w:eastAsia="宋体" w:cs="宋体"/>
          <w:color w:val="auto"/>
          <w:szCs w:val="21"/>
        </w:rPr>
      </w:pPr>
      <w:r>
        <w:rPr>
          <w:rFonts w:hint="eastAsia" w:hAnsi="宋体" w:eastAsia="宋体" w:cs="宋体"/>
          <w:color w:val="auto"/>
          <w:szCs w:val="21"/>
        </w:rPr>
      </w:r>
      <w:r/>
    </w:p>
    <w:p>
      <w:pPr>
        <w:ind w:firstLine="526"/>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以下为采购人与中标人签订本项目合同的通用条款，中标人不得提出实质性的修改，关于专用条款将由采购人与中标人结合本项目具体情况协商后签订。</w:t>
      </w:r>
      <w:r/>
    </w:p>
    <w:p>
      <w:pPr>
        <w:ind w:firstLine="526"/>
        <w:jc w:val="center"/>
        <w:keepLines/>
        <w:keepNext/>
        <w:spacing w:line="360" w:lineRule="auto"/>
        <w:rPr>
          <w:rFonts w:hint="eastAsia" w:ascii="宋体" w:hAnsi="宋体" w:eastAsia="宋体" w:cs="宋体"/>
          <w:color w:val="auto"/>
          <w:szCs w:val="21"/>
        </w:rPr>
        <w:outlineLvl w:val="1"/>
      </w:pPr>
      <w:r/>
      <w:bookmarkStart w:id="56" w:name="_Toc421698221"/>
      <w:r/>
      <w:bookmarkStart w:id="57" w:name="_Toc445472039"/>
      <w:r/>
      <w:bookmarkStart w:id="58" w:name="_Toc24771"/>
      <w:r>
        <w:rPr>
          <w:rFonts w:hint="eastAsia" w:ascii="宋体" w:hAnsi="宋体" w:eastAsia="宋体" w:cs="宋体"/>
          <w:color w:val="auto"/>
          <w:szCs w:val="21"/>
        </w:rPr>
        <w:t xml:space="preserve">合 同 条 款</w:t>
      </w:r>
      <w:bookmarkEnd w:id="56"/>
      <w:r/>
      <w:bookmarkEnd w:id="57"/>
      <w:r/>
      <w:bookmarkEnd w:id="58"/>
      <w:r/>
      <w:r/>
    </w:p>
    <w:p>
      <w:pPr>
        <w:ind w:firstLine="480"/>
        <w:spacing w:line="520" w:lineRule="exact"/>
        <w:widowControl/>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甲方</w:t>
      </w:r>
      <w:bookmarkStart w:id="59" w:name="purchase_start"/>
      <w:r/>
      <w:bookmarkEnd w:id="59"/>
      <w:r>
        <w:rPr>
          <w:rFonts w:hint="eastAsia" w:ascii="宋体" w:hAnsi="宋体" w:eastAsia="宋体" w:cs="宋体"/>
          <w:color w:val="auto"/>
          <w:sz w:val="24"/>
          <w:szCs w:val="24"/>
        </w:rPr>
        <w:t xml:space="preserve">：   </w:t>
      </w:r>
      <w:bookmarkStart w:id="60" w:name="purchase_end"/>
      <w:r/>
      <w:bookmarkEnd w:id="60"/>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乙方</w:t>
      </w:r>
      <w:bookmarkStart w:id="61" w:name="suppliers_name"/>
      <w:r/>
      <w:bookmarkEnd w:id="61"/>
      <w:r>
        <w:rPr>
          <w:rFonts w:hint="eastAsia" w:ascii="宋体" w:hAnsi="宋体" w:eastAsia="宋体" w:cs="宋体"/>
          <w:color w:val="auto"/>
          <w:sz w:val="24"/>
          <w:szCs w:val="24"/>
        </w:rPr>
        <w:t xml:space="preserve">：</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甲乙双方根据</w:t>
      </w:r>
      <w:r>
        <w:rPr>
          <w:rFonts w:hint="eastAsia" w:ascii="宋体" w:hAnsi="宋体" w:eastAsia="宋体" w:cs="宋体"/>
          <w:bCs/>
          <w:color w:val="auto"/>
          <w:sz w:val="24"/>
          <w:szCs w:val="24"/>
        </w:rPr>
        <w:t xml:space="preserve">泰州市人民医院中央空调及锅炉系统运维服务采购项目</w:t>
      </w:r>
      <w:r>
        <w:rPr>
          <w:rFonts w:hint="eastAsia" w:ascii="宋体" w:hAnsi="宋体" w:eastAsia="宋体" w:cs="宋体"/>
          <w:color w:val="auto"/>
          <w:sz w:val="24"/>
          <w:szCs w:val="24"/>
        </w:rPr>
        <w:t xml:space="preserve">招标采购结果及采购文件的要求，经协商一致，达成如下采购服务合同：</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一、</w:t>
      </w:r>
      <w:r>
        <w:rPr>
          <w:rFonts w:hint="eastAsia" w:ascii="宋体" w:hAnsi="宋体" w:eastAsia="宋体" w:cs="宋体"/>
          <w:b/>
          <w:bCs/>
          <w:color w:val="auto"/>
          <w:sz w:val="24"/>
          <w:szCs w:val="24"/>
        </w:rPr>
        <w:t xml:space="preserve">采购标的</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1.服务名称：</w:t>
      </w:r>
      <w:r>
        <w:rPr>
          <w:rFonts w:hint="eastAsia" w:ascii="宋体" w:hAnsi="宋体" w:eastAsia="宋体" w:cs="宋体"/>
          <w:bCs/>
          <w:color w:val="auto"/>
          <w:sz w:val="24"/>
          <w:szCs w:val="24"/>
        </w:rPr>
        <w:t xml:space="preserve">泰州市人民医院中央空调及锅炉系统运维服务采购项目</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2.服务内容：参照采购文件的具体要求。</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3.服务期限：合同签订之日起三年</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4.补充条款：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二、合同价款</w:t>
      </w:r>
      <w:r/>
    </w:p>
    <w:p>
      <w:pPr>
        <w:pStyle w:val="978"/>
        <w:ind w:right="0"/>
        <w:spacing w:line="520" w:lineRule="exact"/>
        <w:rPr>
          <w:rFonts w:hint="eastAsia" w:ascii="宋体" w:hAnsi="宋体" w:eastAsia="宋体" w:cs="宋体"/>
          <w:color w:val="auto"/>
        </w:rPr>
      </w:pPr>
      <w:r>
        <w:rPr>
          <w:rFonts w:hint="eastAsia" w:ascii="宋体" w:hAnsi="宋体" w:eastAsia="宋体" w:cs="宋体"/>
          <w:color w:val="auto"/>
        </w:rPr>
        <w:t xml:space="preserve">人民币</w:t>
      </w:r>
      <w:r>
        <w:rPr>
          <w:rFonts w:hint="eastAsia" w:ascii="宋体" w:hAnsi="宋体" w:eastAsia="宋体" w:cs="宋体"/>
          <w:color w:val="auto"/>
          <w:u w:val="single"/>
        </w:rPr>
        <w:t xml:space="preserve">        </w:t>
      </w:r>
      <w:r>
        <w:rPr>
          <w:rFonts w:hint="eastAsia" w:ascii="宋体" w:hAnsi="宋体" w:eastAsia="宋体" w:cs="宋体"/>
          <w:color w:val="auto"/>
        </w:rPr>
        <w:t xml:space="preserve">万元/年</w:t>
      </w:r>
      <w:r/>
    </w:p>
    <w:p>
      <w:pPr>
        <w:ind w:firstLine="482"/>
        <w:spacing w:line="520" w:lineRule="exact"/>
        <w:widowControl/>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三、合同履行</w:t>
      </w:r>
      <w:r>
        <w:rPr>
          <w:rFonts w:hint="eastAsia" w:ascii="宋体" w:hAnsi="宋体" w:eastAsia="宋体" w:cs="宋体"/>
          <w:color w:val="auto"/>
          <w:sz w:val="24"/>
          <w:szCs w:val="24"/>
        </w:rPr>
        <w:t xml:space="preserve">：本合同项下服务的提供参照采购文件的具体要求履行，甲乙双方通过补充条款进行特殊约定的从其约定。</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补充条款：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2"/>
        <w:spacing w:line="520" w:lineRule="exact"/>
        <w:widowControl/>
        <w:rPr>
          <w:rFonts w:hint="eastAsia" w:ascii="宋体" w:hAnsi="宋体" w:eastAsia="宋体" w:cs="宋体"/>
          <w:color w:val="auto"/>
          <w:sz w:val="24"/>
          <w:szCs w:val="24"/>
          <w:u w:val="single"/>
        </w:rPr>
      </w:pPr>
      <w:r>
        <w:rPr>
          <w:rFonts w:hint="eastAsia" w:ascii="宋体" w:hAnsi="宋体" w:eastAsia="宋体" w:cs="宋体"/>
          <w:b/>
          <w:bCs/>
          <w:color w:val="auto"/>
          <w:sz w:val="24"/>
          <w:szCs w:val="24"/>
        </w:rPr>
        <w:t xml:space="preserve">四、验收</w:t>
      </w:r>
      <w:r>
        <w:rPr>
          <w:rFonts w:hint="eastAsia" w:ascii="宋体" w:hAnsi="宋体" w:eastAsia="宋体" w:cs="宋体"/>
          <w:color w:val="auto"/>
          <w:sz w:val="24"/>
          <w:szCs w:val="24"/>
        </w:rPr>
        <w:t xml:space="preserve">：甲方在合同履行期间，有权依照采购文件相关要求对乙方提供的相关服务或交付的工作成果进行阶段性验收及总体验收。如需委托第三方验收，第三方指：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，验收费用由甲方承担。因乙方提供的服务不符合标准导致甲方重复支出的验收费用，重复支付的费用由乙方承担。</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82"/>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五、合同责任</w:t>
      </w:r>
      <w:r>
        <w:rPr>
          <w:rFonts w:hint="eastAsia" w:ascii="宋体" w:hAnsi="宋体" w:eastAsia="宋体" w:cs="宋体"/>
          <w:color w:val="auto"/>
          <w:sz w:val="24"/>
          <w:szCs w:val="24"/>
        </w:rPr>
        <w:t xml:space="preserve">：</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1.甲方应当为乙方履行合同提供必要的支持。</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3.乙方在履行合同中产生的一切非因甲方过错导致的损失，均由乙方自行承担责任。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甲方指定联络人：</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w:t>
      </w:r>
      <w:bookmarkStart w:id="62" w:name="purchase_relation_name"/>
      <w:r/>
      <w:bookmarkEnd w:id="62"/>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bookmarkStart w:id="63" w:name="purchase_relation_tel"/>
      <w:r/>
      <w:bookmarkEnd w:id="63"/>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乙方指定联络人：</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w:t>
      </w:r>
      <w:bookmarkStart w:id="64" w:name="supplier_relation_name"/>
      <w:r/>
      <w:bookmarkEnd w:id="64"/>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bookmarkStart w:id="65" w:name="supplier_relation_tel"/>
      <w:r/>
      <w:bookmarkEnd w:id="65"/>
      <w:r/>
      <w:r/>
    </w:p>
    <w:p>
      <w:pPr>
        <w:ind w:firstLine="482"/>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六、履约保证金</w:t>
      </w:r>
      <w:r>
        <w:rPr>
          <w:rFonts w:hint="eastAsia" w:ascii="宋体" w:hAnsi="宋体" w:eastAsia="宋体" w:cs="宋体"/>
          <w:color w:val="auto"/>
          <w:sz w:val="24"/>
          <w:szCs w:val="24"/>
        </w:rPr>
        <w:t xml:space="preserve">：</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中标价的10%，合同签订前汇入采购人指定账户，服务期满最终验收合格后不计利息退还。</w:t>
      </w:r>
      <w:r/>
    </w:p>
    <w:p>
      <w:pPr>
        <w:ind w:firstLine="482"/>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七、付款：</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1135"/>
        <w:ind w:firstLine="482"/>
        <w:jc w:val="both"/>
        <w:spacing w:line="520" w:lineRule="exact"/>
        <w:rPr>
          <w:rFonts w:hint="eastAsia" w:ascii="宋体" w:hAnsi="宋体" w:cs="宋体"/>
          <w:b/>
          <w:bCs/>
          <w:color w:val="auto"/>
          <w:sz w:val="24"/>
          <w:lang w:val="en-US"/>
        </w:rPr>
      </w:pPr>
      <w:r>
        <w:rPr>
          <w:rFonts w:hint="eastAsia" w:ascii="宋体" w:hAnsi="宋体" w:cs="宋体"/>
          <w:b/>
          <w:bCs/>
          <w:color w:val="auto"/>
          <w:sz w:val="24"/>
          <w:lang w:val="en-US"/>
        </w:rPr>
        <w:t xml:space="preserve">八、违约责任：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1.有下列情况之一的，甲方有权终止协议：</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1.1乙方未能按要求或未能按进度保质完成甲方委托任务的。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1.2乙方违反从业道德，影响甲方声誉或投诉查实的。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2.因解除而终止</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2.3合同一方依据本合同约定行使解除权的，合同自解除通知送达另一方之日起终止。违约方应当按本合同约定支付违约金或赔偿损失。</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2.4合同终止后，不妨碍守约方向违约方追究违约责任。</w:t>
      </w:r>
      <w:r/>
    </w:p>
    <w:p>
      <w:pPr>
        <w:pStyle w:val="1135"/>
        <w:ind w:firstLine="482"/>
        <w:jc w:val="both"/>
        <w:spacing w:line="520" w:lineRule="exact"/>
        <w:rPr>
          <w:rFonts w:hint="eastAsia" w:ascii="宋体" w:hAnsi="宋体" w:cs="宋体"/>
          <w:color w:val="auto"/>
          <w:sz w:val="24"/>
        </w:rPr>
      </w:pPr>
      <w:r>
        <w:rPr>
          <w:rFonts w:hint="eastAsia" w:ascii="宋体" w:hAnsi="宋体" w:cs="宋体"/>
          <w:b/>
          <w:color w:val="auto"/>
          <w:sz w:val="24"/>
          <w:lang w:val="en-US"/>
        </w:rPr>
        <w:t xml:space="preserve">九</w:t>
      </w:r>
      <w:r>
        <w:rPr>
          <w:rFonts w:hint="eastAsia" w:ascii="宋体" w:hAnsi="宋体" w:cs="宋体"/>
          <w:b/>
          <w:color w:val="auto"/>
          <w:sz w:val="24"/>
        </w:rPr>
        <w:t xml:space="preserve">、保密条款</w:t>
      </w:r>
      <w:r>
        <w:rPr>
          <w:rFonts w:hint="eastAsia" w:ascii="宋体" w:hAnsi="宋体" w:cs="宋体"/>
          <w:color w:val="auto"/>
          <w:sz w:val="24"/>
        </w:rPr>
        <w:t xml:space="preserve">：乙方不得将在履行本合同中知悉的甲方任何信息随意泄露、擅自使用。</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如违反本条款规定，乙方应当承担如下责任：</w:t>
      </w:r>
      <w:r>
        <w:rPr>
          <w:rFonts w:hint="eastAsia" w:ascii="宋体" w:hAnsi="宋体" w:eastAsia="宋体" w:cs="宋体"/>
          <w:color w:val="auto"/>
          <w:sz w:val="24"/>
          <w:szCs w:val="24"/>
          <w:u w:val="single"/>
        </w:rPr>
        <w:t xml:space="preserve">乙方需承担因此给甲方造成的所有直接和间接损失</w:t>
      </w:r>
      <w:r>
        <w:rPr>
          <w:rFonts w:hint="eastAsia" w:ascii="宋体" w:hAnsi="宋体" w:eastAsia="宋体" w:cs="宋体"/>
          <w:color w:val="auto"/>
          <w:sz w:val="24"/>
          <w:szCs w:val="24"/>
        </w:rPr>
        <w:t xml:space="preserve">。</w:t>
      </w:r>
      <w:r/>
    </w:p>
    <w:p>
      <w:pPr>
        <w:ind w:firstLine="482"/>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十、合同纠纷处理：</w:t>
      </w:r>
      <w:r>
        <w:rPr>
          <w:rFonts w:hint="eastAsia" w:ascii="宋体" w:hAnsi="宋体" w:eastAsia="宋体" w:cs="宋体"/>
          <w:color w:val="auto"/>
          <w:sz w:val="24"/>
          <w:szCs w:val="24"/>
        </w:rPr>
        <w:t xml:space="preserve">本合同执行过程中发生纠纷，由甲乙双方协商处理，若协商不成，双方一致同意作如下第</w:t>
      </w:r>
      <w:r>
        <w:rPr>
          <w:rFonts w:hint="eastAsia" w:ascii="宋体" w:hAnsi="宋体" w:eastAsia="宋体" w:cs="宋体"/>
          <w:color w:val="auto"/>
          <w:sz w:val="24"/>
          <w:szCs w:val="24"/>
          <w:u w:val="single"/>
        </w:rPr>
        <w:t xml:space="preserve">    方式</w:t>
      </w:r>
      <w:r>
        <w:rPr>
          <w:rFonts w:hint="eastAsia" w:ascii="宋体" w:hAnsi="宋体" w:eastAsia="宋体" w:cs="宋体"/>
          <w:color w:val="auto"/>
          <w:sz w:val="24"/>
          <w:szCs w:val="24"/>
        </w:rPr>
        <w:t xml:space="preserve">处理：</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1.申请仲裁。选定仲裁机构为泰州市仲裁委员会。</w:t>
      </w:r>
      <w:r/>
    </w:p>
    <w:p>
      <w:pPr>
        <w:ind w:firstLine="480"/>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2.提起诉讼。约定由采购人所在地法院管辖。</w:t>
      </w:r>
      <w:r/>
    </w:p>
    <w:p>
      <w:pPr>
        <w:ind w:firstLine="482"/>
        <w:spacing w:line="520" w:lineRule="exact"/>
        <w:widowControl/>
        <w:tabs>
          <w:tab w:val="left" w:pos="198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十一、合同生效：</w:t>
      </w:r>
      <w:r>
        <w:rPr>
          <w:rFonts w:hint="eastAsia" w:ascii="宋体" w:hAnsi="宋体" w:eastAsia="宋体" w:cs="宋体"/>
          <w:color w:val="auto"/>
          <w:sz w:val="24"/>
          <w:szCs w:val="24"/>
        </w:rPr>
        <w:t xml:space="preserve">本合同由甲乙双方签字盖章后生效。</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十二、组成本合同的文件包括：</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1.合同通用条款和专用条款；</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2.采购文件和乙方的投标文件；</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3.中标（成交）通知书；</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4.甲乙双方商定的其他必要文件。</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上述合同文件内容互为补充，如有不明确，由甲方负责解释。</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十三、合同备案</w:t>
      </w:r>
      <w:r/>
    </w:p>
    <w:p>
      <w:pPr>
        <w:ind w:firstLine="480"/>
        <w:spacing w:line="520" w:lineRule="exact"/>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本合同一式四份，中文书写。甲乙双方各执贰份。</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widowControl/>
        <w:rPr>
          <w:rFonts w:hint="eastAsia" w:ascii="宋体" w:hAnsi="宋体" w:eastAsia="宋体" w:cs="宋体"/>
          <w:b/>
          <w:color w:val="auto"/>
          <w:sz w:val="24"/>
          <w:szCs w:val="24"/>
          <w:u w:val="single"/>
        </w:rPr>
      </w:pPr>
      <w:r>
        <w:rPr>
          <w:rFonts w:hint="eastAsia" w:ascii="宋体" w:hAnsi="宋体" w:eastAsia="宋体" w:cs="宋体"/>
          <w:b/>
          <w:color w:val="auto"/>
          <w:sz w:val="24"/>
          <w:szCs w:val="24"/>
        </w:rPr>
        <w:t xml:space="preserve">甲方：</w:t>
      </w:r>
      <w:r>
        <w:rPr>
          <w:rFonts w:hint="eastAsia" w:ascii="宋体" w:hAnsi="宋体" w:eastAsia="宋体" w:cs="宋体"/>
          <w:b/>
          <w:color w:val="auto"/>
          <w:sz w:val="24"/>
          <w:szCs w:val="24"/>
          <w:u w:val="single"/>
        </w:rPr>
        <w:t xml:space="preserve">泰州市人民医院（盖章）</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泰州市医药高新区太湖路366号</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法定（授权）代表人：</w:t>
      </w:r>
      <w:r>
        <w:rPr>
          <w:rFonts w:hint="eastAsia" w:ascii="宋体" w:hAnsi="宋体" w:eastAsia="宋体" w:cs="宋体"/>
          <w:color w:val="auto"/>
          <w:sz w:val="24"/>
          <w:szCs w:val="24"/>
          <w:u w:val="single"/>
        </w:rPr>
        <w:t xml:space="preserve">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二〇二六年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乙方：</w:t>
      </w:r>
      <w:bookmarkStart w:id="66" w:name="suppliers_name_one"/>
      <w:r/>
      <w:bookmarkEnd w:id="66"/>
      <w:r>
        <w:rPr>
          <w:rFonts w:hint="eastAsia" w:ascii="宋体" w:hAnsi="宋体" w:eastAsia="宋体" w:cs="宋体"/>
          <w:b/>
          <w:color w:val="auto"/>
          <w:sz w:val="24"/>
          <w:szCs w:val="24"/>
          <w:u w:val="single"/>
        </w:rPr>
        <w:t xml:space="preserve">    （盖章）</w:t>
      </w:r>
      <w:r/>
    </w:p>
    <w:p>
      <w:pPr>
        <w:ind w:firstLine="480"/>
        <w:spacing w:line="520" w:lineRule="exac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法定（授权）代表人：</w:t>
      </w:r>
      <w:r>
        <w:rPr>
          <w:rFonts w:hint="eastAsia" w:ascii="宋体" w:hAnsi="宋体" w:eastAsia="宋体" w:cs="宋体"/>
          <w:color w:val="auto"/>
          <w:sz w:val="24"/>
          <w:szCs w:val="24"/>
          <w:u w:val="single"/>
        </w:rPr>
        <w:t xml:space="preserve">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二〇二六年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户名：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4"/>
          <w:u w:val="single"/>
        </w:rPr>
        <w:t xml:space="preserve">                     </w:t>
      </w:r>
      <w:r/>
    </w:p>
    <w:p>
      <w:pPr>
        <w:ind w:firstLine="480"/>
        <w:spacing w:line="52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4"/>
          <w:szCs w:val="24"/>
        </w:rPr>
        <w:t xml:space="preserve">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1"/>
          <w:szCs w:val="21"/>
          <w:u w:val="single"/>
        </w:rPr>
        <w:t xml:space="preserve">              </w:t>
      </w:r>
      <w:r/>
    </w:p>
    <w:p>
      <w:pPr>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Style w:val="971"/>
        <w:jc w:val="center"/>
        <w:spacing w:before="0"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71"/>
        <w:jc w:val="center"/>
        <w:spacing w:before="0"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71"/>
        <w:jc w:val="center"/>
        <w:spacing w:before="0"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第六章 投标文件格式</w:t>
      </w:r>
      <w:r/>
    </w:p>
    <w:p>
      <w:pPr>
        <w:pStyle w:val="984"/>
        <w:ind w:firstLine="240"/>
        <w:spacing w:line="360" w:lineRule="auto"/>
        <w:rPr>
          <w:rFonts w:hint="eastAsia" w:ascii="宋体" w:hAnsi="宋体" w:eastAsia="宋体" w:cs="宋体"/>
          <w:color w:val="auto"/>
          <w:sz w:val="32"/>
          <w:szCs w:val="32"/>
        </w:rPr>
      </w:pPr>
      <w:r>
        <w:rPr>
          <w:rFonts w:hint="eastAsia" w:ascii="宋体" w:hAnsi="宋体" w:eastAsia="宋体" w:cs="宋体"/>
          <w:color w:val="auto"/>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rPr>
      </w:pPr>
      <w:r>
        <w:rPr>
          <w:rFonts w:hint="eastAsia" w:ascii="宋体" w:hAnsi="宋体" w:eastAsia="宋体" w:cs="宋体"/>
          <w:color w:val="auto"/>
          <w:sz w:val="24"/>
        </w:rPr>
        <w:t xml:space="preserve">  2.投标人应按采购包准备投标文件并清楚注明采购包名称，否则造成的一切后果由投标人自行承担。</w:t>
      </w:r>
      <w:r>
        <w:rPr>
          <w:rFonts w:hint="eastAsia" w:ascii="宋体" w:hAnsi="宋体" w:eastAsia="宋体" w:cs="宋体"/>
          <w:color w:val="auto"/>
          <w:sz w:val="32"/>
          <w:szCs w:val="32"/>
        </w:rPr>
        <w:br w:type="page" w:clear="all"/>
      </w:r>
      <w:bookmarkStart w:id="67" w:name="_Toc256175382"/>
      <w:r/>
      <w:bookmarkStart w:id="68" w:name="_Toc263768864"/>
      <w:r/>
      <w:bookmarkStart w:id="69" w:name="_Toc297204985"/>
      <w:r/>
      <w:bookmarkStart w:id="70" w:name="_Toc217446085"/>
      <w:r/>
      <w:bookmarkStart w:id="71" w:name="_Toc263753600"/>
      <w:r/>
      <w:bookmarkStart w:id="72" w:name="_Toc250041691"/>
      <w:r/>
      <w:bookmarkStart w:id="73" w:name="_Toc237145385"/>
      <w:r/>
      <w:r/>
    </w:p>
    <w:p>
      <w:pPr>
        <w:jc w:val="center"/>
        <w:rPr>
          <w:rFonts w:hint="eastAsia" w:ascii="宋体" w:hAnsi="宋体" w:eastAsia="宋体" w:cs="宋体"/>
          <w:bCs/>
          <w:color w:val="auto"/>
          <w:sz w:val="52"/>
          <w:szCs w:val="52"/>
        </w:rPr>
      </w:pPr>
      <w:r/>
      <w:bookmarkStart w:id="74" w:name="_Toc13296_WPSOffice_Level1"/>
      <w:r/>
      <w:bookmarkStart w:id="75" w:name="_Toc217446086"/>
      <w:r/>
      <w:r/>
    </w:p>
    <w:p>
      <w:pPr>
        <w:jc w:val="center"/>
        <w:rPr>
          <w:rFonts w:hint="eastAsia" w:ascii="宋体" w:hAnsi="宋体" w:eastAsia="宋体" w:cs="宋体"/>
          <w:bCs/>
          <w:color w:val="auto"/>
          <w:sz w:val="52"/>
          <w:szCs w:val="52"/>
        </w:rPr>
      </w:pPr>
      <w:r>
        <w:rPr>
          <w:rFonts w:hint="eastAsia" w:ascii="宋体" w:hAnsi="宋体" w:eastAsia="宋体" w:cs="宋体"/>
          <w:bCs/>
          <w:color w:val="auto"/>
          <w:sz w:val="52"/>
          <w:szCs w:val="52"/>
        </w:rPr>
      </w:r>
      <w:r/>
    </w:p>
    <w:p>
      <w:pPr>
        <w:jc w:val="center"/>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投</w:t>
      </w:r>
      <w:bookmarkEnd w:id="74"/>
      <w:r/>
      <w:r/>
    </w:p>
    <w:p>
      <w:pPr>
        <w:jc w:val="center"/>
        <w:rPr>
          <w:rFonts w:hint="eastAsia" w:ascii="宋体" w:hAnsi="宋体" w:eastAsia="宋体" w:cs="宋体"/>
          <w:bCs/>
          <w:color w:val="auto"/>
          <w:sz w:val="72"/>
        </w:rPr>
      </w:pPr>
      <w:r>
        <w:rPr>
          <w:rFonts w:hint="eastAsia" w:ascii="宋体" w:hAnsi="宋体" w:eastAsia="宋体" w:cs="宋体"/>
          <w:bCs/>
          <w:color w:val="auto"/>
          <w:sz w:val="72"/>
        </w:rPr>
      </w:r>
      <w:r/>
    </w:p>
    <w:p>
      <w:pPr>
        <w:jc w:val="center"/>
        <w:rPr>
          <w:rFonts w:hint="eastAsia" w:ascii="宋体" w:hAnsi="宋体" w:eastAsia="宋体" w:cs="宋体"/>
          <w:bCs/>
          <w:color w:val="auto"/>
          <w:sz w:val="52"/>
          <w:szCs w:val="52"/>
        </w:rPr>
      </w:pPr>
      <w:r/>
      <w:bookmarkStart w:id="76" w:name="_Toc677_WPSOffice_Level1"/>
      <w:r>
        <w:rPr>
          <w:rFonts w:hint="eastAsia" w:ascii="宋体" w:hAnsi="宋体" w:eastAsia="宋体" w:cs="宋体"/>
          <w:bCs/>
          <w:color w:val="auto"/>
          <w:sz w:val="52"/>
          <w:szCs w:val="52"/>
        </w:rPr>
        <w:t xml:space="preserve">标</w:t>
      </w:r>
      <w:bookmarkEnd w:id="76"/>
      <w:r/>
      <w:r/>
    </w:p>
    <w:p>
      <w:pPr>
        <w:jc w:val="center"/>
        <w:rPr>
          <w:rFonts w:hint="eastAsia" w:ascii="宋体" w:hAnsi="宋体" w:eastAsia="宋体" w:cs="宋体"/>
          <w:bCs/>
          <w:color w:val="auto"/>
          <w:sz w:val="72"/>
        </w:rPr>
      </w:pPr>
      <w:r>
        <w:rPr>
          <w:rFonts w:hint="eastAsia" w:ascii="宋体" w:hAnsi="宋体" w:eastAsia="宋体" w:cs="宋体"/>
          <w:bCs/>
          <w:color w:val="auto"/>
          <w:sz w:val="72"/>
        </w:rPr>
      </w:r>
      <w:r/>
    </w:p>
    <w:p>
      <w:pPr>
        <w:jc w:val="center"/>
        <w:rPr>
          <w:rFonts w:hint="eastAsia" w:ascii="宋体" w:hAnsi="宋体" w:eastAsia="宋体" w:cs="宋体"/>
          <w:bCs/>
          <w:color w:val="auto"/>
          <w:sz w:val="52"/>
          <w:szCs w:val="52"/>
        </w:rPr>
      </w:pPr>
      <w:r/>
      <w:bookmarkStart w:id="77" w:name="_Toc2949_WPSOffice_Level1"/>
      <w:r>
        <w:rPr>
          <w:rFonts w:hint="eastAsia" w:ascii="宋体" w:hAnsi="宋体" w:eastAsia="宋体" w:cs="宋体"/>
          <w:bCs/>
          <w:color w:val="auto"/>
          <w:sz w:val="52"/>
          <w:szCs w:val="52"/>
        </w:rPr>
        <w:t xml:space="preserve">文</w:t>
      </w:r>
      <w:bookmarkEnd w:id="77"/>
      <w:r/>
      <w:r/>
    </w:p>
    <w:p>
      <w:pPr>
        <w:rPr>
          <w:rFonts w:hint="eastAsia" w:ascii="宋体" w:hAnsi="宋体" w:eastAsia="宋体" w:cs="宋体"/>
          <w:bCs/>
          <w:color w:val="auto"/>
          <w:sz w:val="72"/>
          <w:szCs w:val="72"/>
        </w:rPr>
      </w:pPr>
      <w:r>
        <w:rPr>
          <w:rFonts w:hint="eastAsia" w:ascii="宋体" w:hAnsi="宋体" w:eastAsia="宋体" w:cs="宋体"/>
          <w:bCs/>
          <w:color w:val="auto"/>
          <w:sz w:val="72"/>
          <w:szCs w:val="72"/>
        </w:rPr>
      </w:r>
      <w:r/>
    </w:p>
    <w:p>
      <w:pPr>
        <w:jc w:val="center"/>
        <w:rPr>
          <w:rFonts w:hint="eastAsia" w:ascii="宋体" w:hAnsi="宋体" w:eastAsia="宋体" w:cs="宋体"/>
          <w:bCs/>
          <w:color w:val="auto"/>
          <w:sz w:val="52"/>
          <w:szCs w:val="52"/>
        </w:rPr>
      </w:pPr>
      <w:r/>
      <w:bookmarkStart w:id="78" w:name="_Toc31964_WPSOffice_Level1"/>
      <w:r>
        <w:rPr>
          <w:rFonts w:hint="eastAsia" w:ascii="宋体" w:hAnsi="宋体" w:eastAsia="宋体" w:cs="宋体"/>
          <w:bCs/>
          <w:color w:val="auto"/>
          <w:sz w:val="52"/>
          <w:szCs w:val="52"/>
        </w:rPr>
        <w:t xml:space="preserve">件</w:t>
      </w:r>
      <w:bookmarkEnd w:id="78"/>
      <w:r/>
      <w:r/>
    </w:p>
    <w:p>
      <w:pPr>
        <w:rPr>
          <w:rFonts w:hint="eastAsia" w:ascii="宋体" w:hAnsi="宋体" w:eastAsia="宋体" w:cs="宋体"/>
          <w:bCs/>
          <w:color w:val="auto"/>
          <w:sz w:val="72"/>
        </w:rPr>
      </w:pPr>
      <w:r>
        <w:rPr>
          <w:rFonts w:hint="eastAsia" w:ascii="宋体" w:hAnsi="宋体" w:eastAsia="宋体" w:cs="宋体"/>
          <w:bCs/>
          <w:color w:val="auto"/>
          <w:sz w:val="72"/>
        </w:rPr>
      </w:r>
      <w:r/>
    </w:p>
    <w:p>
      <w:pPr>
        <w:spacing w:line="360" w:lineRule="auto"/>
        <w:rPr>
          <w:rFonts w:hint="eastAsia" w:ascii="宋体" w:hAnsi="宋体" w:eastAsia="宋体" w:cs="宋体"/>
          <w:bCs/>
          <w:color w:val="auto"/>
          <w:sz w:val="28"/>
          <w:szCs w:val="28"/>
        </w:rPr>
      </w:pPr>
      <w:r/>
      <w:bookmarkStart w:id="79" w:name="_Toc1060_WPSOffice_Level1"/>
      <w:r>
        <w:rPr>
          <w:rFonts w:hint="eastAsia" w:ascii="宋体" w:hAnsi="宋体" w:eastAsia="宋体" w:cs="宋体"/>
          <w:bCs/>
          <w:color w:val="auto"/>
          <w:sz w:val="28"/>
          <w:szCs w:val="28"/>
        </w:rPr>
        <w:t xml:space="preserve">采购项目编号：</w:t>
      </w:r>
      <w:bookmarkEnd w:id="79"/>
      <w:r/>
      <w:r/>
    </w:p>
    <w:p>
      <w:pPr>
        <w:spacing w:line="360" w:lineRule="auto"/>
        <w:rPr>
          <w:rFonts w:hint="eastAsia" w:ascii="宋体" w:hAnsi="宋体" w:eastAsia="宋体" w:cs="宋体"/>
          <w:bCs/>
          <w:color w:val="auto"/>
          <w:sz w:val="28"/>
          <w:szCs w:val="28"/>
        </w:rPr>
      </w:pPr>
      <w:r/>
      <w:bookmarkStart w:id="80" w:name="_Toc7891_WPSOffice_Level1"/>
      <w:r>
        <w:rPr>
          <w:rFonts w:hint="eastAsia" w:ascii="宋体" w:hAnsi="宋体" w:eastAsia="宋体" w:cs="宋体"/>
          <w:bCs/>
          <w:color w:val="auto"/>
          <w:sz w:val="28"/>
          <w:szCs w:val="28"/>
        </w:rPr>
        <w:t xml:space="preserve">采购项目名称：</w:t>
      </w:r>
      <w:bookmarkEnd w:id="80"/>
      <w:r/>
      <w:bookmarkStart w:id="81" w:name="_Toc13794_WPSOffice_Level1"/>
      <w:r/>
      <w:r/>
    </w:p>
    <w:p>
      <w:pPr>
        <w:spacing w:line="360" w:lineRule="auto"/>
        <w:rPr>
          <w:rFonts w:hint="eastAsia" w:ascii="宋体" w:hAnsi="宋体" w:eastAsia="宋体" w:cs="宋体"/>
          <w:bCs/>
          <w:color w:val="auto"/>
          <w:sz w:val="30"/>
          <w:szCs w:val="30"/>
        </w:rPr>
      </w:pPr>
      <w:r>
        <w:rPr>
          <w:rFonts w:hint="eastAsia" w:ascii="宋体" w:hAnsi="宋体" w:eastAsia="宋体" w:cs="宋体"/>
          <w:bCs/>
          <w:color w:val="auto"/>
          <w:sz w:val="28"/>
          <w:szCs w:val="28"/>
        </w:rPr>
        <w:t xml:space="preserve">采购包号：</w:t>
      </w:r>
      <w:r>
        <w:rPr>
          <w:rFonts w:hint="eastAsia" w:ascii="宋体" w:hAnsi="宋体" w:eastAsia="宋体" w:cs="宋体"/>
          <w:bCs/>
          <w:color w:val="auto"/>
          <w:sz w:val="30"/>
          <w:szCs w:val="30"/>
        </w:rPr>
        <w:t xml:space="preserve"> </w:t>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投标人：</w:t>
      </w:r>
      <w:bookmarkEnd w:id="81"/>
      <w:r/>
      <w:r/>
    </w:p>
    <w:p>
      <w:pPr>
        <w:rPr>
          <w:rFonts w:hint="eastAsia" w:ascii="宋体" w:hAnsi="宋体" w:eastAsia="宋体" w:cs="宋体"/>
          <w:bCs/>
          <w:color w:val="auto"/>
          <w:sz w:val="32"/>
        </w:rPr>
      </w:pPr>
      <w:r>
        <w:rPr>
          <w:rFonts w:hint="eastAsia" w:ascii="宋体" w:hAnsi="宋体" w:eastAsia="宋体" w:cs="宋体"/>
          <w:bCs/>
          <w:color w:val="auto"/>
          <w:sz w:val="32"/>
        </w:rPr>
      </w:r>
      <w:r/>
    </w:p>
    <w:p>
      <w:pPr>
        <w:jc w:val="center"/>
        <w:rPr>
          <w:rFonts w:hint="eastAsia" w:ascii="宋体" w:hAnsi="宋体" w:eastAsia="宋体" w:cs="宋体"/>
          <w:bCs/>
          <w:color w:val="auto"/>
          <w:sz w:val="36"/>
          <w:szCs w:val="36"/>
        </w:rPr>
      </w:pPr>
      <w:r/>
      <w:bookmarkStart w:id="82" w:name="_Toc4431_WPSOffice_Level1"/>
      <w:r>
        <w:rPr>
          <w:rFonts w:hint="eastAsia" w:ascii="宋体" w:hAnsi="宋体" w:eastAsia="宋体" w:cs="宋体"/>
          <w:bCs/>
          <w:color w:val="auto"/>
          <w:sz w:val="36"/>
          <w:szCs w:val="36"/>
        </w:rPr>
        <w:t xml:space="preserve">   年  月  日</w:t>
      </w:r>
      <w:bookmarkEnd w:id="82"/>
      <w:r/>
      <w:r/>
    </w:p>
    <w:p>
      <w:pPr>
        <w:jc w:val="left"/>
        <w:rPr>
          <w:rStyle w:val="1027"/>
          <w:rFonts w:hint="eastAsia" w:ascii="宋体" w:hAnsi="宋体" w:eastAsia="宋体" w:cs="宋体"/>
          <w:b w:val="0"/>
          <w:color w:val="auto"/>
        </w:rPr>
      </w:pPr>
      <w:r>
        <w:rPr>
          <w:rFonts w:hint="eastAsia" w:ascii="宋体" w:hAnsi="宋体" w:eastAsia="宋体" w:cs="宋体"/>
          <w:color w:val="auto"/>
          <w:sz w:val="32"/>
          <w:szCs w:val="32"/>
        </w:rPr>
        <w:br w:type="page" w:clear="all"/>
      </w:r>
      <w:r/>
    </w:p>
    <w:p>
      <w:pPr>
        <w:jc w:val="center"/>
        <w:keepLines/>
        <w:keepNext/>
        <w:spacing w:line="600" w:lineRule="exact"/>
        <w:rPr>
          <w:rFonts w:hint="eastAsia" w:ascii="宋体" w:hAnsi="宋体" w:eastAsia="宋体" w:cs="宋体"/>
          <w:b/>
          <w:bCs/>
          <w:color w:val="auto"/>
          <w:sz w:val="24"/>
        </w:rPr>
        <w:outlineLvl w:val="1"/>
      </w:pPr>
      <w:r>
        <w:rPr>
          <w:rFonts w:hint="eastAsia" w:ascii="宋体" w:hAnsi="宋体" w:eastAsia="宋体" w:cs="宋体"/>
          <w:b/>
          <w:bCs/>
          <w:color w:val="auto"/>
          <w:sz w:val="32"/>
          <w:szCs w:val="32"/>
        </w:rPr>
        <w:t xml:space="preserve">开标一览表</w:t>
      </w:r>
      <w:r/>
    </w:p>
    <w:p>
      <w:pPr>
        <w:pStyle w:val="1015"/>
        <w:rPr>
          <w:rFonts w:hint="eastAsia" w:eastAsia="宋体"/>
          <w:color w:val="auto"/>
          <w:sz w:val="27"/>
          <w:szCs w:val="27"/>
        </w:rPr>
      </w:pPr>
      <w:r>
        <w:rPr>
          <w:rFonts w:hint="eastAsia" w:eastAsia="宋体"/>
          <w:color w:val="auto"/>
          <w:sz w:val="27"/>
          <w:szCs w:val="27"/>
        </w:rPr>
        <w:t xml:space="preserve">项目编号：</w:t>
      </w:r>
      <w:r>
        <w:rPr>
          <w:rFonts w:hint="eastAsia" w:eastAsia="宋体"/>
          <w:color w:val="auto"/>
          <w:sz w:val="27"/>
          <w:szCs w:val="27"/>
          <w:shd w:val="clear" w:color="auto" w:fill="ffffff"/>
        </w:rPr>
        <w:t xml:space="preserve">项目编号</w:t>
      </w:r>
      <w:r>
        <w:rPr>
          <w:rFonts w:hint="eastAsia" w:eastAsia="宋体"/>
          <w:color w:val="auto"/>
          <w:sz w:val="27"/>
          <w:szCs w:val="27"/>
        </w:rPr>
        <w:t xml:space="preserve"> </w:t>
      </w:r>
      <w:r/>
    </w:p>
    <w:p>
      <w:pPr>
        <w:pStyle w:val="1015"/>
        <w:rPr>
          <w:rFonts w:hint="eastAsia" w:eastAsia="宋体"/>
          <w:color w:val="auto"/>
          <w:sz w:val="27"/>
          <w:szCs w:val="27"/>
        </w:rPr>
      </w:pPr>
      <w:r>
        <w:rPr>
          <w:rFonts w:hint="eastAsia" w:eastAsia="宋体"/>
          <w:color w:val="auto"/>
          <w:sz w:val="27"/>
          <w:szCs w:val="27"/>
        </w:rPr>
        <w:t xml:space="preserve">货币单位：人民币元</w:t>
      </w:r>
      <w:r/>
    </w:p>
    <w:tbl>
      <w:tblPr>
        <w:tblStyle w:val="75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项目名称</w:t>
            </w:r>
            <w:r/>
          </w:p>
        </w:tc>
        <w:tc>
          <w:tcPr>
            <w:tcW w:w="2700"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项目内容</w:t>
            </w:r>
            <w:r/>
          </w:p>
        </w:tc>
        <w:tc>
          <w:tcPr>
            <w:tcW w:w="3927"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 总价（小写）</w:t>
            </w:r>
            <w:r/>
          </w:p>
        </w:tc>
      </w:tr>
      <w:tr>
        <w:trPr/>
        <w:tc>
          <w:tcPr>
            <w:tcW w:w="2270" w:type="dxa"/>
            <w:vAlign w:val="center"/>
            <w:textDirection w:val="lrTb"/>
            <w:noWrap w:val="false"/>
          </w:tcPr>
          <w:p>
            <w:pPr>
              <w:pStyle w:val="1015"/>
              <w:rPr>
                <w:rFonts w:hint="eastAsia" w:eastAsia="宋体"/>
                <w:color w:val="auto"/>
              </w:rPr>
            </w:pPr>
            <w:r>
              <w:rPr>
                <w:rFonts w:hint="eastAsia" w:eastAsia="宋体"/>
                <w:color w:val="auto"/>
                <w:sz w:val="27"/>
                <w:szCs w:val="27"/>
                <w:shd w:val="clear" w:color="auto" w:fill="ffffff"/>
              </w:rPr>
              <w:t xml:space="preserve">项目名称</w:t>
            </w:r>
            <w:r>
              <w:rPr>
                <w:rFonts w:hint="eastAsia" w:eastAsia="宋体"/>
                <w:color w:val="auto"/>
                <w:sz w:val="27"/>
                <w:szCs w:val="27"/>
              </w:rPr>
              <w:t xml:space="preserve"> </w:t>
            </w:r>
            <w:r/>
          </w:p>
        </w:tc>
        <w:tc>
          <w:tcPr>
            <w:tcW w:w="2700"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详见投标文件</w:t>
            </w:r>
            <w:r/>
          </w:p>
        </w:tc>
        <w:tc>
          <w:tcPr>
            <w:tcW w:w="3927" w:type="dxa"/>
            <w:vAlign w:val="center"/>
            <w:textDirection w:val="lrTb"/>
            <w:noWrap w:val="false"/>
          </w:tcPr>
          <w:p>
            <w:pPr>
              <w:pStyle w:val="1015"/>
              <w:rPr>
                <w:rFonts w:hint="eastAsia" w:eastAsia="宋体"/>
                <w:color w:val="auto"/>
              </w:rPr>
            </w:pPr>
            <w:r/>
            <w:bookmarkStart w:id="83" w:name="_1742295356"/>
            <w:r/>
            <w:bookmarkEnd w:id="83"/>
            <w:r>
              <w:rPr>
                <w:rFonts w:hint="eastAsia" w:eastAsia="宋体"/>
                <w:color w:val="auto"/>
                <w:sz w:val="27"/>
                <w:szCs w:val="27"/>
                <w:shd w:val="clear" w:color="auto" w:fill="ffffff"/>
              </w:rPr>
              <w:fldChar w:fldCharType="begin"/>
            </w:r>
            <w:r>
              <w:rPr>
                <w:rFonts w:hint="eastAsia" w:eastAsia="宋体"/>
                <w:color w:val="auto"/>
                <w:sz w:val="27"/>
                <w:szCs w:val="27"/>
                <w:shd w:val="clear" w:color="auto" w:fill="ffffff"/>
              </w:rPr>
              <w:instrText xml:space="preserve"> CONTROL Forms.HTML:Text.1 \s </w:instrText>
            </w:r>
            <w:r>
              <w:rPr>
                <w:rFonts w:hint="eastAsia" w:eastAsia="宋体"/>
                <w:color w:val="auto"/>
                <w:sz w:val="27"/>
                <w:szCs w:val="27"/>
                <w:shd w:val="clear" w:color="auto" w:fill="ffffff"/>
              </w:rPr>
              <w:fldChar w:fldCharType="separate"/>
            </w:r>
            <w:r>
              <w:rPr>
                <w:rFonts w:hint="eastAsia" w:eastAsia="宋体"/>
                <w:color w:val="auto"/>
                <w:sz w:val="27"/>
                <w:szCs w:val="27"/>
                <w:shd w:val="clear" w:color="auto" w:fill="ffffff"/>
              </w:rPr>
              <mc:AlternateContent>
                <mc:Choice Requires="wpg">
                  <w:drawing>
                    <wp:inline xmlns:wp="http://schemas.openxmlformats.org/drawingml/2006/wordprocessingDrawing" distT="0" distB="0" distL="0" distR="0">
                      <wp:extent cx="609600" cy="22860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eastAsia="宋体"/>
                <w:color w:val="auto"/>
                <w:sz w:val="27"/>
                <w:szCs w:val="27"/>
                <w:shd w:val="clear" w:color="auto" w:fill="ffffff"/>
              </w:rPr>
              <w:fldChar w:fldCharType="end"/>
            </w:r>
            <w:r>
              <w:rPr>
                <w:rFonts w:hint="eastAsia" w:eastAsia="宋体"/>
                <w:color w:val="auto"/>
                <w:sz w:val="27"/>
                <w:szCs w:val="27"/>
              </w:rPr>
              <w:t xml:space="preserve"> 元</w:t>
            </w:r>
            <w:r/>
          </w:p>
        </w:tc>
      </w:tr>
      <w:tr>
        <w:trPr/>
        <w:tc>
          <w:tcPr>
            <w:tcW w:w="2270"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总价（大写）：</w:t>
            </w:r>
            <w:r/>
          </w:p>
        </w:tc>
        <w:tc>
          <w:tcPr>
            <w:gridSpan w:val="2"/>
            <w:tcW w:w="6627" w:type="dxa"/>
            <w:vAlign w:val="center"/>
            <w:textDirection w:val="lrTb"/>
            <w:noWrap w:val="false"/>
          </w:tcPr>
          <w:p>
            <w:pPr>
              <w:pStyle w:val="1015"/>
              <w:rPr>
                <w:rFonts w:hint="eastAsia" w:eastAsia="宋体"/>
                <w:color w:val="auto"/>
              </w:rPr>
            </w:pPr>
            <w:r>
              <w:rPr>
                <w:rFonts w:hint="eastAsia" w:eastAsia="宋体"/>
                <w:color w:val="auto"/>
                <w:sz w:val="27"/>
                <w:szCs w:val="27"/>
              </w:rPr>
              <w:t xml:space="preserve">金额大写 </w:t>
            </w:r>
            <w:r/>
          </w:p>
        </w:tc>
      </w:tr>
    </w:tbl>
    <w:p>
      <w:pPr>
        <w:pStyle w:val="1015"/>
        <w:rPr>
          <w:rFonts w:hint="eastAsia" w:eastAsia="宋体"/>
          <w:color w:val="auto"/>
          <w:sz w:val="27"/>
          <w:szCs w:val="27"/>
        </w:rPr>
      </w:pPr>
      <w:r>
        <w:rPr>
          <w:rFonts w:hint="eastAsia" w:eastAsia="宋体"/>
          <w:color w:val="auto"/>
          <w:sz w:val="27"/>
          <w:szCs w:val="27"/>
        </w:rPr>
      </w:r>
      <w:r/>
    </w:p>
    <w:p>
      <w:pPr>
        <w:pStyle w:val="1015"/>
        <w:rPr>
          <w:rFonts w:hint="eastAsia" w:eastAsia="宋体"/>
          <w:color w:val="auto"/>
          <w:sz w:val="27"/>
          <w:szCs w:val="27"/>
        </w:rPr>
      </w:pPr>
      <w:r>
        <w:rPr>
          <w:rFonts w:hint="eastAsia" w:eastAsia="宋体"/>
          <w:color w:val="auto"/>
          <w:sz w:val="27"/>
          <w:szCs w:val="27"/>
        </w:rPr>
      </w:r>
      <w:r/>
    </w:p>
    <w:p>
      <w:pPr>
        <w:pStyle w:val="1015"/>
        <w:rPr>
          <w:rFonts w:hint="eastAsia" w:eastAsia="宋体"/>
          <w:color w:val="auto"/>
          <w:sz w:val="27"/>
          <w:szCs w:val="27"/>
        </w:rPr>
      </w:pPr>
      <w:r>
        <w:rPr>
          <w:rFonts w:hint="eastAsia" w:eastAsia="宋体"/>
          <w:color w:val="auto"/>
          <w:sz w:val="27"/>
          <w:szCs w:val="27"/>
        </w:rPr>
      </w:r>
      <w:r/>
    </w:p>
    <w:p>
      <w:pPr>
        <w:pStyle w:val="1015"/>
        <w:rPr>
          <w:rFonts w:hint="eastAsia" w:eastAsia="宋体"/>
          <w:color w:val="auto"/>
          <w:sz w:val="27"/>
          <w:szCs w:val="27"/>
        </w:rPr>
      </w:pPr>
      <w:r>
        <w:rPr>
          <w:rFonts w:hint="eastAsia" w:eastAsia="宋体"/>
          <w:color w:val="auto"/>
          <w:sz w:val="27"/>
          <w:szCs w:val="27"/>
        </w:rPr>
        <w:t xml:space="preserve">投标人公章： （电子签章）</w:t>
      </w:r>
      <w:r/>
    </w:p>
    <w:p>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w:t>
      </w:r>
      <w:r>
        <w:rPr>
          <w:rFonts w:hint="eastAsia" w:ascii="宋体" w:hAnsi="宋体" w:eastAsia="宋体" w:cs="宋体"/>
          <w:color w:val="auto"/>
          <w:sz w:val="24"/>
          <w:szCs w:val="24"/>
          <w:u w:val="single"/>
        </w:rPr>
        <w:t xml:space="preserve"> </w:t>
      </w:r>
      <w:bookmarkStart w:id="84" w:name="NF"/>
      <w:r/>
      <w:bookmarkEnd w:id="84"/>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bookmarkStart w:id="85" w:name="YF"/>
      <w:r/>
      <w:bookmarkEnd w:id="85"/>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bookmarkStart w:id="86" w:name="RI"/>
      <w:r/>
      <w:bookmarkEnd w:id="86"/>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spacing w:line="400" w:lineRule="exact"/>
        <w:rPr>
          <w:rFonts w:hint="eastAsia" w:ascii="宋体" w:hAnsi="宋体" w:eastAsia="宋体" w:cs="宋体"/>
          <w:bCs/>
          <w:color w:val="auto"/>
          <w:sz w:val="32"/>
        </w:rPr>
      </w:pPr>
      <w:r>
        <w:rPr>
          <w:rFonts w:hint="eastAsia" w:ascii="宋体" w:hAnsi="宋体" w:eastAsia="宋体" w:cs="宋体"/>
          <w:bCs/>
          <w:color w:val="auto"/>
          <w:sz w:val="32"/>
        </w:rPr>
      </w:r>
      <w:r/>
    </w:p>
    <w:p>
      <w:pPr>
        <w:spacing w:line="400" w:lineRule="exact"/>
        <w:rPr>
          <w:rFonts w:hint="eastAsia" w:ascii="宋体" w:hAnsi="宋体" w:eastAsia="宋体" w:cs="宋体"/>
          <w:bCs/>
          <w:color w:val="auto"/>
          <w:sz w:val="32"/>
        </w:rPr>
      </w:pPr>
      <w:r>
        <w:rPr>
          <w:rFonts w:hint="eastAsia" w:ascii="宋体" w:hAnsi="宋体" w:eastAsia="宋体" w:cs="宋体"/>
          <w:bCs/>
          <w:color w:val="auto"/>
          <w:sz w:val="32"/>
        </w:rPr>
      </w:r>
      <w:r/>
    </w:p>
    <w:p>
      <w:pPr>
        <w:ind w:left="720" w:hanging="72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pStyle w:val="763"/>
        <w:rPr>
          <w:rFonts w:hint="eastAsia" w:hAnsi="宋体" w:eastAsia="宋体" w:cs="宋体"/>
          <w:color w:val="auto"/>
        </w:rPr>
      </w:pPr>
      <w:r>
        <w:rPr>
          <w:rFonts w:hint="eastAsia" w:hAnsi="宋体" w:eastAsia="宋体" w:cs="宋体"/>
          <w:color w:val="auto"/>
        </w:rPr>
      </w:r>
      <w:r/>
    </w:p>
    <w:p>
      <w:pPr>
        <w:pStyle w:val="75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41"/>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ind w:firstLine="0"/>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pStyle w:val="760"/>
        <w:rPr>
          <w:rFonts w:hint="eastAsia" w:ascii="宋体" w:hAnsi="宋体" w:eastAsia="宋体" w:cs="宋体"/>
          <w:color w:val="auto"/>
        </w:rPr>
      </w:pPr>
      <w:r>
        <w:rPr>
          <w:rFonts w:hint="eastAsia" w:ascii="宋体" w:hAnsi="宋体" w:eastAsia="宋体" w:cs="宋体"/>
          <w:color w:val="auto"/>
        </w:rPr>
      </w:r>
      <w:bookmarkEnd w:id="75"/>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投 标 函</w:t>
      </w:r>
      <w:r/>
    </w:p>
    <w:p>
      <w:pPr>
        <w:ind w:left="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0"/>
        <w:ind w:left="0"/>
        <w:spacing w:after="0" w:line="360"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u w:val="single"/>
        </w:rPr>
        <w:t xml:space="preserve">泰州市人民医院</w:t>
      </w:r>
      <w:r>
        <w:rPr>
          <w:rFonts w:hint="eastAsia" w:ascii="宋体" w:hAnsi="宋体" w:eastAsia="宋体" w:cs="宋体"/>
          <w:bCs/>
          <w:iCs/>
          <w:color w:val="auto"/>
          <w:sz w:val="24"/>
          <w:szCs w:val="24"/>
        </w:rPr>
        <w:t xml:space="preserve">：</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iCs/>
          <w:color w:val="auto"/>
          <w:sz w:val="24"/>
          <w:szCs w:val="24"/>
        </w:rPr>
        <w:t xml:space="preserve">我方全面研究了 </w:t>
      </w:r>
      <w:r>
        <w:rPr>
          <w:rFonts w:hint="eastAsia" w:ascii="宋体" w:hAnsi="宋体" w:eastAsia="宋体" w:cs="宋体"/>
          <w:b/>
          <w:bCs/>
          <w:iCs/>
          <w:color w:val="auto"/>
          <w:sz w:val="24"/>
          <w:szCs w:val="24"/>
          <w:u w:val="single"/>
        </w:rPr>
        <w:t xml:space="preserve">                      </w:t>
      </w:r>
      <w:r>
        <w:rPr>
          <w:rFonts w:hint="eastAsia" w:ascii="宋体" w:hAnsi="宋体" w:eastAsia="宋体" w:cs="宋体"/>
          <w:bCs/>
          <w:color w:val="auto"/>
          <w:sz w:val="24"/>
          <w:szCs w:val="24"/>
        </w:rPr>
        <w:t xml:space="preserve">项目招标文件，决定参加贵单位组织的本项目投标。</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1.我方自愿按照招标文件规定的各项要求向采购人提供所需货物及服务。</w:t>
      </w:r>
      <w:r/>
    </w:p>
    <w:p>
      <w:pPr>
        <w:pStyle w:val="1000"/>
        <w:ind w:left="0" w:firstLine="600"/>
        <w:spacing w:after="0"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2.一旦我方中标，</w:t>
      </w:r>
      <w:r>
        <w:rPr>
          <w:rFonts w:hint="eastAsia" w:ascii="宋体" w:hAnsi="宋体" w:eastAsia="宋体" w:cs="宋体"/>
          <w:color w:val="auto"/>
          <w:sz w:val="24"/>
          <w:szCs w:val="24"/>
        </w:rPr>
        <w:t xml:space="preserve">我们将严格履行招标文件中规定的每一项要求，按期、按质、按量履行合同的义务。</w:t>
      </w:r>
      <w:r/>
    </w:p>
    <w:p>
      <w:pPr>
        <w:pStyle w:val="110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3.我们已详细审查全部招标文件，包括更正文件（如有），对招标文件及更正公告（如有）无任何异议。我们完全理解并同意放弃对这方面有不明及误解的权利。</w:t>
      </w:r>
      <w:r/>
    </w:p>
    <w:p>
      <w:pPr>
        <w:pStyle w:val="110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4.我们同意按照招标文件中的规定，本投标书的有效期限为自投标截止之日起60天。</w:t>
      </w:r>
      <w:r/>
    </w:p>
    <w:p>
      <w:pPr>
        <w:pStyle w:val="110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5.我们愿意提供招标采购单位在招标文件中要求的所有资料。</w:t>
      </w:r>
      <w:r/>
    </w:p>
    <w:p>
      <w:pPr>
        <w:pStyle w:val="110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6.我们愿意遵守招标文件中所列的收费标准。</w:t>
      </w:r>
      <w:r/>
    </w:p>
    <w:p>
      <w:pPr>
        <w:pStyle w:val="110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7.我们承诺该项投标在开标后的全过程中保持有效，不作任何更改和变动。</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8.我方愿意提供贵单位可能另外要求的，与投标有关的文件资料，并保证我方已提供和将要提供的文件资料是真实、准确的。</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投标人名称： （</w:t>
      </w:r>
      <w:r>
        <w:rPr>
          <w:rFonts w:hint="eastAsia" w:ascii="宋体" w:hAnsi="宋体" w:eastAsia="宋体" w:cs="宋体"/>
          <w:bCs/>
          <w:color w:val="auto"/>
          <w:sz w:val="24"/>
        </w:rPr>
        <w:t xml:space="preserve">加盖CA电子公章</w:t>
      </w:r>
      <w:r>
        <w:rPr>
          <w:rFonts w:hint="eastAsia" w:ascii="宋体" w:hAnsi="宋体" w:eastAsia="宋体" w:cs="宋体"/>
          <w:bCs/>
          <w:color w:val="auto"/>
          <w:sz w:val="24"/>
          <w:szCs w:val="24"/>
        </w:rPr>
        <w:t xml:space="preserve">）</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rPr>
        <w:t xml:space="preserve">法定代表人或授权代表</w:t>
      </w:r>
      <w:r>
        <w:rPr>
          <w:rFonts w:hint="eastAsia" w:ascii="宋体" w:hAnsi="宋体" w:eastAsia="宋体" w:cs="宋体"/>
          <w:bCs/>
          <w:color w:val="auto"/>
          <w:sz w:val="24"/>
          <w:szCs w:val="24"/>
        </w:rPr>
        <w:t xml:space="preserve">（签字或盖章）：</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邮政编码：</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p>
      <w:pPr>
        <w:pStyle w:val="100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    期：</w:t>
      </w:r>
      <w:r/>
    </w:p>
    <w:p>
      <w:pPr>
        <w:jc w:val="cente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br w:type="page" w:clear="all"/>
      </w:r>
      <w:r/>
    </w:p>
    <w:p>
      <w:pPr>
        <w:jc w:val="center"/>
        <w:rPr>
          <w:rFonts w:hint="eastAsia" w:ascii="宋体" w:hAnsi="宋体" w:eastAsia="宋体" w:cs="宋体"/>
          <w:b/>
          <w:color w:val="auto"/>
          <w:sz w:val="32"/>
          <w:szCs w:val="32"/>
        </w:rPr>
        <w:outlineLvl w:val="0"/>
      </w:pPr>
      <w:r>
        <w:rPr>
          <w:rFonts w:hint="eastAsia" w:ascii="宋体" w:hAnsi="宋体" w:eastAsia="宋体" w:cs="宋体"/>
          <w:b/>
          <w:color w:val="auto"/>
          <w:sz w:val="32"/>
          <w:szCs w:val="32"/>
        </w:rPr>
        <w:t xml:space="preserve">关于资格的声明函</w:t>
      </w:r>
      <w:r/>
    </w:p>
    <w:p>
      <w:pPr>
        <w:jc w:val="center"/>
        <w:rPr>
          <w:rFonts w:hint="eastAsia" w:ascii="宋体" w:hAnsi="宋体" w:eastAsia="宋体" w:cs="宋体"/>
          <w:bCs/>
          <w:color w:val="auto"/>
          <w:sz w:val="32"/>
        </w:rPr>
      </w:pPr>
      <w:r>
        <w:rPr>
          <w:rFonts w:hint="eastAsia" w:ascii="宋体" w:hAnsi="宋体" w:eastAsia="宋体" w:cs="宋体"/>
          <w:bCs/>
          <w:color w:val="auto"/>
          <w:sz w:val="32"/>
        </w:rPr>
      </w:r>
      <w:r/>
    </w:p>
    <w:p>
      <w:pPr>
        <w:spacing w:line="480" w:lineRule="auto"/>
        <w:rPr>
          <w:rFonts w:hint="eastAsia" w:ascii="宋体" w:hAnsi="宋体" w:eastAsia="宋体" w:cs="宋体"/>
          <w:bCs/>
          <w:iCs/>
          <w:color w:val="auto"/>
          <w:sz w:val="28"/>
          <w:szCs w:val="28"/>
        </w:rPr>
      </w:pPr>
      <w:r>
        <w:rPr>
          <w:rFonts w:hint="eastAsia" w:ascii="宋体" w:hAnsi="宋体" w:eastAsia="宋体" w:cs="宋体"/>
          <w:bCs/>
          <w:iCs/>
          <w:color w:val="auto"/>
          <w:sz w:val="24"/>
          <w:szCs w:val="24"/>
          <w:u w:val="single"/>
        </w:rPr>
        <w:t xml:space="preserve">泰州市人民医院</w:t>
      </w:r>
      <w:r>
        <w:rPr>
          <w:rFonts w:hint="eastAsia" w:ascii="宋体" w:hAnsi="宋体" w:eastAsia="宋体" w:cs="宋体"/>
          <w:bCs/>
          <w:iCs/>
          <w:color w:val="auto"/>
          <w:sz w:val="24"/>
          <w:szCs w:val="24"/>
        </w:rPr>
        <w:t xml:space="preserve">：</w:t>
      </w:r>
      <w:r/>
    </w:p>
    <w:p>
      <w:pPr>
        <w:pStyle w:val="102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按照采购文件的要求，我方（投标供应商）提交的资格证明文件及有关资料，用于你方（采购人）审查我方参加</w:t>
      </w:r>
      <w:r>
        <w:rPr>
          <w:rFonts w:hint="eastAsia" w:ascii="宋体" w:hAnsi="宋体" w:cs="宋体"/>
          <w:bCs/>
          <w:color w:val="auto"/>
          <w:sz w:val="24"/>
          <w:szCs w:val="24"/>
          <w:u w:val="single"/>
        </w:rPr>
        <w:t xml:space="preserve">          （项目名称）</w:t>
      </w:r>
      <w:r>
        <w:rPr>
          <w:rFonts w:hint="eastAsia" w:ascii="宋体" w:hAnsi="宋体" w:cs="宋体"/>
          <w:bCs/>
          <w:color w:val="auto"/>
          <w:sz w:val="24"/>
          <w:szCs w:val="24"/>
        </w:rPr>
        <w:t xml:space="preserve">政府采购活动的投标资格。我方在此声明：</w:t>
      </w:r>
      <w:r/>
    </w:p>
    <w:p>
      <w:pPr>
        <w:pStyle w:val="102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1.所提交的资格证明文件及有关资料内容完整、真实和准确。</w:t>
      </w:r>
      <w:r/>
    </w:p>
    <w:p>
      <w:pPr>
        <w:pStyle w:val="102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2.我方未以他人名义投标、串标或以其他方式弄虚作假投标。</w:t>
      </w:r>
      <w:r/>
    </w:p>
    <w:p>
      <w:pPr>
        <w:pStyle w:val="102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9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ind w:firstLine="56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8"/>
          <w:szCs w:val="28"/>
        </w:rPr>
        <w:t xml:space="preserve">                        </w:t>
      </w: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hint="eastAsia" w:ascii="宋体" w:hAnsi="宋体" w:eastAsia="宋体" w:cs="宋体"/>
          <w:bCs/>
          <w:color w:val="auto"/>
          <w:sz w:val="24"/>
        </w:rPr>
      </w:pPr>
      <w:r/>
      <w:bookmarkStart w:id="87" w:name="OLE_LINK21"/>
      <w:r>
        <w:rPr>
          <w:rFonts w:hint="eastAsia" w:ascii="宋体" w:hAnsi="宋体" w:eastAsia="宋体" w:cs="宋体"/>
          <w:bCs/>
          <w:color w:val="auto"/>
          <w:sz w:val="24"/>
        </w:rPr>
        <w:t xml:space="preserve">单位名称：（加盖CA电子公章）</w:t>
      </w:r>
      <w:r/>
    </w:p>
    <w:p>
      <w:pPr>
        <w:ind w:firstLine="56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bookmarkEnd w:id="87"/>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480"/>
        <w:rPr>
          <w:rFonts w:hint="eastAsia" w:hAnsi="宋体" w:cs="宋体"/>
          <w:color w:val="auto"/>
          <w:sz w:val="24"/>
          <w:szCs w:val="24"/>
        </w:rPr>
      </w:pPr>
      <w:r>
        <w:rPr>
          <w:rFonts w:hint="eastAsia" w:hAnsi="宋体" w:cs="宋体"/>
          <w:color w:val="auto"/>
          <w:sz w:val="24"/>
          <w:szCs w:val="24"/>
        </w:rPr>
      </w:r>
      <w:r/>
    </w:p>
    <w:p>
      <w:pPr>
        <w:pStyle w:val="1024"/>
        <w:ind w:firstLine="0"/>
        <w:jc w:val="center"/>
        <w:tabs>
          <w:tab w:val="left" w:pos="3884" w:leader="none"/>
        </w:tabs>
        <w:rPr>
          <w:rFonts w:hint="eastAsia" w:hAnsi="宋体" w:cs="宋体"/>
          <w:b/>
          <w:color w:val="auto"/>
          <w:sz w:val="32"/>
          <w:szCs w:val="32"/>
        </w:rPr>
      </w:pPr>
      <w:r>
        <w:rPr>
          <w:rFonts w:hint="eastAsia" w:hAnsi="宋体" w:cs="宋体"/>
          <w:b/>
          <w:color w:val="auto"/>
          <w:sz w:val="32"/>
          <w:szCs w:val="32"/>
        </w:rPr>
        <w:t xml:space="preserve">法定代表人授权委托书</w:t>
      </w:r>
      <w:r/>
    </w:p>
    <w:p>
      <w:pPr>
        <w:pStyle w:val="984"/>
        <w:rPr>
          <w:rFonts w:hint="eastAsia" w:ascii="宋体" w:hAnsi="宋体" w:eastAsia="宋体" w:cs="宋体"/>
          <w:color w:val="auto"/>
          <w:szCs w:val="24"/>
        </w:rPr>
      </w:pPr>
      <w:r>
        <w:rPr>
          <w:rFonts w:hint="eastAsia" w:ascii="宋体" w:hAnsi="宋体" w:eastAsia="宋体" w:cs="宋体"/>
          <w:color w:val="auto"/>
          <w:szCs w:val="24"/>
        </w:rPr>
      </w:r>
      <w:r/>
    </w:p>
    <w:p>
      <w:pPr>
        <w:pStyle w:val="984"/>
        <w:rPr>
          <w:rFonts w:hint="eastAsia" w:ascii="宋体" w:hAnsi="宋体" w:eastAsia="宋体" w:cs="宋体"/>
          <w:bCs/>
          <w:iCs/>
          <w:color w:val="auto"/>
          <w:szCs w:val="24"/>
          <w:u w:val="single"/>
        </w:rPr>
      </w:pPr>
      <w:r>
        <w:rPr>
          <w:rFonts w:hint="eastAsia" w:ascii="宋体" w:hAnsi="宋体" w:eastAsia="宋体" w:cs="宋体"/>
          <w:bCs/>
          <w:iCs/>
          <w:color w:val="auto"/>
          <w:szCs w:val="24"/>
          <w:u w:val="single"/>
        </w:rPr>
      </w:r>
      <w:r/>
    </w:p>
    <w:p>
      <w:pPr>
        <w:pStyle w:val="984"/>
        <w:ind w:firstLine="0"/>
        <w:rPr>
          <w:rFonts w:hint="eastAsia" w:ascii="宋体" w:hAnsi="宋体" w:eastAsia="宋体" w:cs="宋体"/>
          <w:color w:val="auto"/>
          <w:szCs w:val="24"/>
        </w:rPr>
      </w:pPr>
      <w:r>
        <w:rPr>
          <w:rFonts w:hint="eastAsia" w:ascii="宋体" w:hAnsi="宋体" w:eastAsia="宋体" w:cs="宋体"/>
          <w:bCs/>
          <w:iCs/>
          <w:color w:val="auto"/>
          <w:szCs w:val="24"/>
          <w:u w:val="single"/>
        </w:rPr>
        <w:t xml:space="preserve">泰州市人民医院</w:t>
      </w:r>
      <w:r>
        <w:rPr>
          <w:rFonts w:hint="eastAsia" w:ascii="宋体" w:hAnsi="宋体" w:eastAsia="宋体" w:cs="宋体"/>
          <w:bCs/>
          <w:iCs/>
          <w:color w:val="auto"/>
          <w:szCs w:val="24"/>
        </w:rPr>
        <w:t xml:space="preserve">：</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代表我公司（单位）全权办理针对本项目（</w:t>
      </w:r>
      <w:r>
        <w:rPr>
          <w:rFonts w:hint="eastAsia" w:ascii="宋体" w:hAnsi="宋体" w:eastAsia="宋体" w:cs="宋体"/>
          <w:color w:val="auto"/>
          <w:sz w:val="24"/>
          <w:szCs w:val="24"/>
        </w:rPr>
        <w:t xml:space="preserve">项目编号：                 </w:t>
      </w:r>
      <w:r>
        <w:rPr>
          <w:rFonts w:hint="eastAsia" w:ascii="宋体" w:hAnsi="宋体" w:eastAsia="宋体" w:cs="宋体"/>
          <w:bCs/>
          <w:color w:val="auto"/>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我公司（单位）对被授权代表的签名负全部责任。</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被授权代表情况：</w:t>
      </w:r>
      <w:r/>
    </w:p>
    <w:p>
      <w:pPr>
        <w:ind w:firstLine="480"/>
        <w:spacing w:line="580" w:lineRule="exact"/>
        <w:rPr>
          <w:rFonts w:hint="eastAsia" w:ascii="宋体" w:hAnsi="宋体" w:eastAsia="宋体" w:cs="宋体"/>
          <w:color w:val="auto"/>
          <w:sz w:val="21"/>
          <w:szCs w:val="21"/>
        </w:rPr>
      </w:pPr>
      <w:r>
        <w:rPr>
          <w:rFonts w:hint="eastAsia" w:ascii="宋体" w:hAnsi="宋体" w:eastAsia="宋体" w:cs="宋体"/>
          <w:bCs/>
          <w:color w:val="auto"/>
          <w:sz w:val="24"/>
        </w:rPr>
        <w:t xml:space="preserve">姓名：         性别：       电话：</w:t>
      </w:r>
      <w:r/>
    </w:p>
    <w:p>
      <w:pPr>
        <w:pStyle w:val="984"/>
        <w:jc w:val="righ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84"/>
        <w:jc w:val="right"/>
        <w:rPr>
          <w:rFonts w:hint="eastAsia" w:ascii="宋体" w:hAnsi="宋体" w:eastAsia="宋体" w:cs="宋体"/>
          <w:color w:val="auto"/>
          <w:szCs w:val="24"/>
        </w:rPr>
      </w:pPr>
      <w:r>
        <w:rPr>
          <w:rFonts w:hint="eastAsia" w:ascii="宋体" w:hAnsi="宋体" w:eastAsia="宋体" w:cs="宋体"/>
          <w:color w:val="auto"/>
          <w:szCs w:val="24"/>
        </w:rPr>
      </w:r>
      <w:r/>
    </w:p>
    <w:p>
      <w:pPr>
        <w:pStyle w:val="984"/>
        <w:jc w:val="center"/>
        <w:rPr>
          <w:rFonts w:hint="eastAsia" w:ascii="宋体" w:hAnsi="宋体" w:eastAsia="宋体" w:cs="宋体"/>
          <w:color w:val="auto"/>
          <w:szCs w:val="24"/>
        </w:rPr>
      </w:pPr>
      <w:r>
        <w:rPr>
          <w:rFonts w:hint="eastAsia" w:ascii="宋体" w:hAnsi="宋体" w:eastAsia="宋体" w:cs="宋体"/>
          <w:color w:val="auto"/>
          <w:szCs w:val="24"/>
        </w:rPr>
        <w:t xml:space="preserve">                                        </w:t>
      </w:r>
      <w:r/>
    </w:p>
    <w:p>
      <w:pPr>
        <w:pStyle w:val="984"/>
        <w:jc w:val="center"/>
        <w:rPr>
          <w:rFonts w:hint="eastAsia" w:ascii="宋体" w:hAnsi="宋体" w:eastAsia="宋体" w:cs="宋体"/>
          <w:color w:val="auto"/>
          <w:szCs w:val="24"/>
        </w:rPr>
      </w:pPr>
      <w:r>
        <w:rPr>
          <w:rFonts w:hint="eastAsia" w:ascii="宋体" w:hAnsi="宋体" w:eastAsia="宋体" w:cs="宋体"/>
          <w:color w:val="auto"/>
          <w:szCs w:val="24"/>
        </w:rPr>
      </w:r>
      <w:r/>
    </w:p>
    <w:p>
      <w:pPr>
        <w:pStyle w:val="984"/>
        <w:jc w:val="center"/>
        <w:rPr>
          <w:rFonts w:hint="eastAsia" w:ascii="宋体" w:hAnsi="宋体" w:eastAsia="宋体" w:cs="宋体"/>
          <w:color w:val="auto"/>
          <w:szCs w:val="24"/>
        </w:rPr>
      </w:pPr>
      <w:r>
        <w:rPr>
          <w:rFonts w:hint="eastAsia" w:ascii="宋体" w:hAnsi="宋体" w:eastAsia="宋体" w:cs="宋体"/>
          <w:color w:val="auto"/>
          <w:szCs w:val="24"/>
        </w:rPr>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单位名称：（加盖CA电子公章）</w:t>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日    期：</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84"/>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jc w:val="center"/>
        <w:rPr>
          <w:rFonts w:hint="eastAsia" w:ascii="宋体" w:hAnsi="宋体" w:eastAsia="宋体" w:cs="宋体"/>
          <w:color w:val="auto"/>
          <w:sz w:val="28"/>
          <w:u w:val="single"/>
        </w:rPr>
      </w:pPr>
      <w:r>
        <w:rPr>
          <w:rFonts w:hint="eastAsia" w:ascii="宋体" w:hAnsi="宋体" w:eastAsia="宋体" w:cs="宋体"/>
          <w:color w:val="auto"/>
          <w:sz w:val="28"/>
          <w:u w:val="single"/>
        </w:rPr>
        <w:br w:type="page" w:clear="all"/>
      </w:r>
      <w:bookmarkEnd w:id="67"/>
      <w:r/>
      <w:bookmarkEnd w:id="68"/>
      <w:r/>
      <w:bookmarkEnd w:id="69"/>
      <w:r/>
      <w:bookmarkEnd w:id="70"/>
      <w:r/>
      <w:bookmarkEnd w:id="71"/>
      <w:r/>
      <w:bookmarkEnd w:id="72"/>
      <w:r/>
      <w:bookmarkEnd w:id="73"/>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无重大违法记录声明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本公司参与贵方组织</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 xml:space="preserve">作出如下声明：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759"/>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投标人：</w:t>
      </w:r>
      <w:r>
        <w:rPr>
          <w:rFonts w:hint="eastAsia" w:ascii="宋体" w:hAnsi="宋体" w:eastAsia="宋体" w:cs="宋体"/>
          <w:color w:val="auto"/>
          <w:sz w:val="24"/>
          <w:szCs w:val="24"/>
        </w:rPr>
        <w:t xml:space="preserve">（</w:t>
      </w:r>
      <w:r>
        <w:rPr>
          <w:rFonts w:hint="eastAsia" w:ascii="宋体" w:hAnsi="宋体" w:eastAsia="宋体" w:cs="宋体"/>
          <w:color w:val="auto"/>
          <w:sz w:val="24"/>
        </w:rPr>
        <w:t xml:space="preserve">加盖CA电子公章</w:t>
      </w:r>
      <w:r>
        <w:rPr>
          <w:rFonts w:hint="eastAsia" w:ascii="宋体" w:hAnsi="宋体" w:eastAsia="宋体" w:cs="宋体"/>
          <w:color w:val="auto"/>
          <w:sz w:val="24"/>
          <w:szCs w:val="24"/>
        </w:rPr>
        <w:t xml:space="preserve">）</w:t>
      </w:r>
      <w:r/>
    </w:p>
    <w:p>
      <w:pPr>
        <w:ind w:firstLine="48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日期：</w:t>
      </w:r>
      <w:r/>
    </w:p>
    <w:p>
      <w:pPr>
        <w:pStyle w:val="755"/>
        <w:ind w:firstLine="0"/>
        <w:rPr>
          <w:rFonts w:hint="eastAsia" w:ascii="宋体" w:hAnsi="宋体" w:eastAsia="宋体" w:cs="宋体"/>
          <w:bCs/>
          <w:color w:val="auto"/>
          <w:szCs w:val="24"/>
        </w:rPr>
      </w:pPr>
      <w:r>
        <w:rPr>
          <w:rFonts w:hint="eastAsia" w:ascii="宋体" w:hAnsi="宋体" w:eastAsia="宋体" w:cs="宋体"/>
          <w:bCs/>
          <w:color w:val="auto"/>
          <w:szCs w:val="24"/>
        </w:rPr>
      </w:r>
      <w:r/>
    </w:p>
    <w:p>
      <w:pPr>
        <w:pStyle w:val="755"/>
        <w:ind w:firstLine="0"/>
        <w:rPr>
          <w:rFonts w:hint="eastAsia" w:ascii="宋体" w:hAnsi="宋体" w:eastAsia="宋体" w:cs="宋体"/>
          <w:bCs/>
          <w:color w:val="auto"/>
          <w:szCs w:val="24"/>
        </w:rPr>
      </w:pPr>
      <w:r>
        <w:rPr>
          <w:rFonts w:hint="eastAsia" w:ascii="宋体" w:hAnsi="宋体" w:eastAsia="宋体" w:cs="宋体"/>
          <w:bCs/>
          <w:color w:val="auto"/>
          <w:szCs w:val="24"/>
        </w:rPr>
      </w:r>
      <w:r/>
    </w:p>
    <w:p>
      <w:pPr>
        <w:pStyle w:val="1129"/>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8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pStyle w:val="78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pStyle w:val="782"/>
        <w:rPr>
          <w:rFonts w:hint="eastAsia" w:ascii="宋体" w:hAnsi="宋体" w:eastAsia="宋体" w:cs="宋体"/>
          <w:color w:val="auto"/>
          <w:lang w:eastAsia="zh-CN"/>
        </w:rPr>
      </w:pPr>
      <w:r>
        <w:rPr>
          <w:rFonts w:hint="eastAsia" w:ascii="宋体" w:hAnsi="宋体" w:eastAsia="宋体" w:cs="宋体"/>
          <w:color w:val="auto"/>
          <w:lang w:eastAsia="zh-CN"/>
        </w:rPr>
      </w:r>
      <w:r/>
    </w:p>
    <w:p>
      <w:pPr>
        <w:pStyle w:val="755"/>
        <w:ind w:firstLine="0"/>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pStyle w:val="755"/>
        <w:ind w:firstLine="0"/>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t xml:space="preserve">具备履行合同所必需的设备和专业技术能力的书面声明（格式自拟）</w:t>
      </w:r>
      <w:r/>
    </w:p>
    <w:p>
      <w:pPr>
        <w:jc w:val="center"/>
        <w:rPr>
          <w:rFonts w:hint="eastAsia" w:ascii="宋体" w:hAnsi="宋体" w:eastAsia="宋体" w:cs="宋体"/>
          <w:color w:val="auto"/>
          <w:sz w:val="28"/>
          <w:u w:val="single"/>
        </w:rPr>
      </w:pPr>
      <w:r>
        <w:rPr>
          <w:rFonts w:hint="eastAsia" w:ascii="宋体" w:hAnsi="宋体" w:eastAsia="宋体" w:cs="宋体"/>
          <w:color w:val="auto"/>
          <w:sz w:val="28"/>
          <w:u w:val="single"/>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color w:val="auto"/>
          <w:sz w:val="32"/>
          <w:szCs w:val="32"/>
        </w:rPr>
      </w:pPr>
      <w:r>
        <w:rPr>
          <w:rFonts w:hint="eastAsia" w:ascii="宋体" w:hAnsi="宋体" w:eastAsia="宋体" w:cs="宋体"/>
          <w:b/>
          <w:color w:val="auto"/>
          <w:spacing w:val="20"/>
          <w:sz w:val="32"/>
          <w:szCs w:val="32"/>
        </w:rPr>
        <w:t xml:space="preserve">承诺书</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1.本公司（单位）对本项目（项目编号：              ）所提供的服务不低于采购文件要求的标准。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3.本公司承诺响应招标文件所有内容。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4.本公司承诺，对招标文件中所提及的相关维保要求、验收要求、服务要求等条款，本公司将严格按照条款要求执行。</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6.如违背上述承诺，本公司（单位）将承担一切法律责任。  </w:t>
      </w:r>
      <w:r/>
    </w:p>
    <w:p>
      <w:pPr>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16"/>
        <w:jc w:val="right"/>
        <w:spacing w:line="400" w:lineRule="exact"/>
        <w:rPr>
          <w:rFonts w:hint="eastAsia" w:ascii="宋体" w:hAnsi="宋体" w:eastAsia="宋体" w:cs="宋体"/>
          <w:color w:val="auto"/>
        </w:rPr>
      </w:pPr>
      <w:r>
        <w:rPr>
          <w:rFonts w:hint="eastAsia" w:ascii="宋体" w:hAnsi="宋体" w:eastAsia="宋体" w:cs="宋体"/>
          <w:color w:val="auto"/>
        </w:rPr>
        <w:t xml:space="preserve">投标人：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bCs/>
          <w:color w:val="auto"/>
          <w:sz w:val="24"/>
        </w:rPr>
        <w:t xml:space="preserve">加盖CA电子公章</w:t>
      </w:r>
      <w:r>
        <w:rPr>
          <w:rFonts w:hint="eastAsia" w:ascii="宋体" w:hAnsi="宋体" w:eastAsia="宋体" w:cs="宋体"/>
          <w:color w:val="auto"/>
        </w:rPr>
        <w:t xml:space="preserve">）</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p>
    <w:p>
      <w:pPr>
        <w:spacing w:line="40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jc w:val="center"/>
        <w:spacing w:line="50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br w:type="page" w:clear="all"/>
      </w:r>
      <w:r/>
    </w:p>
    <w:p>
      <w:pPr>
        <w:pStyle w:val="752"/>
        <w:jc w:val="center"/>
        <w:rPr>
          <w:rFonts w:hint="eastAsia" w:ascii="宋体" w:hAnsi="宋体" w:eastAsia="宋体" w:cs="宋体"/>
          <w:color w:val="auto"/>
        </w:rPr>
      </w:pPr>
      <w:r>
        <w:rPr>
          <w:rFonts w:hint="eastAsia" w:ascii="宋体" w:hAnsi="宋体" w:eastAsia="宋体" w:cs="宋体"/>
          <w:color w:val="auto"/>
        </w:rPr>
        <w:t xml:space="preserve">特定资格条件证书（《中华人民共和国特种设备生产许可证》（许可项目包含锅炉安装（含修理改造）B级及以上））扫描件加盖公章；</w:t>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2"/>
          <w:szCs w:val="32"/>
        </w:rPr>
      </w:pPr>
      <w:r/>
      <w:bookmarkStart w:id="88" w:name="_Toc22881_WPSOffice_Level1"/>
      <w:r/>
      <w:bookmarkStart w:id="89" w:name="_Toc22143_WPSOffice_Level1"/>
      <w:r/>
      <w:bookmarkStart w:id="90" w:name="_Toc1623_WPSOffice_Level1"/>
      <w:r/>
      <w:bookmarkStart w:id="91" w:name="_Toc32173"/>
      <w:r>
        <w:rPr>
          <w:rFonts w:hint="eastAsia" w:ascii="宋体" w:hAnsi="宋体" w:eastAsia="宋体" w:cs="宋体"/>
          <w:b/>
          <w:color w:val="auto"/>
          <w:spacing w:val="20"/>
          <w:sz w:val="32"/>
          <w:szCs w:val="32"/>
        </w:rPr>
        <w:t xml:space="preserve">承诺函（一）</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1.本公司（单位）对本项目（项目编号：              ）所提供的维修配件、冷冻油及过滤器为原厂全新合格品，同时提供详细的采购渠道证明（合同、支付发票等可溯源文件）。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3.如违背上述承诺，本公司（单位）将承担一切法律责任。  </w:t>
      </w:r>
      <w:r/>
    </w:p>
    <w:p>
      <w:pPr>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16"/>
        <w:jc w:val="right"/>
        <w:spacing w:line="400" w:lineRule="exact"/>
        <w:rPr>
          <w:rFonts w:hint="eastAsia" w:ascii="宋体" w:hAnsi="宋体" w:eastAsia="宋体" w:cs="宋体"/>
          <w:color w:val="auto"/>
        </w:rPr>
      </w:pPr>
      <w:r>
        <w:rPr>
          <w:rFonts w:hint="eastAsia" w:ascii="宋体" w:hAnsi="宋体" w:eastAsia="宋体" w:cs="宋体"/>
          <w:color w:val="auto"/>
        </w:rPr>
        <w:t xml:space="preserve">投标人：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bCs/>
          <w:color w:val="auto"/>
          <w:sz w:val="24"/>
        </w:rPr>
        <w:t xml:space="preserve">加盖CA电子公章</w:t>
      </w:r>
      <w:r>
        <w:rPr>
          <w:rFonts w:hint="eastAsia" w:ascii="宋体" w:hAnsi="宋体" w:eastAsia="宋体" w:cs="宋体"/>
          <w:color w:val="auto"/>
        </w:rPr>
        <w:t xml:space="preserve">）</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2"/>
          <w:szCs w:val="32"/>
        </w:rPr>
      </w:pPr>
      <w:r>
        <w:rPr>
          <w:rFonts w:hint="eastAsia" w:ascii="宋体" w:hAnsi="宋体" w:eastAsia="宋体" w:cs="宋体"/>
          <w:b/>
          <w:color w:val="auto"/>
          <w:spacing w:val="20"/>
          <w:sz w:val="32"/>
          <w:szCs w:val="32"/>
        </w:rPr>
        <w:t xml:space="preserve">承诺函（二）</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1.本公司（单位）对本项目（项目编号：              ）如遇长时间（4小时）无法排除的机组故障，联系原厂工程师6个小时内到达现场，排除故障。</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3.如违背上述承诺，本公司（单位）将承担一切法律责任。  </w:t>
      </w:r>
      <w:r/>
    </w:p>
    <w:p>
      <w:pPr>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16"/>
        <w:jc w:val="right"/>
        <w:spacing w:line="400" w:lineRule="exact"/>
        <w:rPr>
          <w:rFonts w:hint="eastAsia" w:ascii="宋体" w:hAnsi="宋体" w:eastAsia="宋体" w:cs="宋体"/>
          <w:color w:val="auto"/>
        </w:rPr>
      </w:pPr>
      <w:r>
        <w:rPr>
          <w:rFonts w:hint="eastAsia" w:ascii="宋体" w:hAnsi="宋体" w:eastAsia="宋体" w:cs="宋体"/>
          <w:color w:val="auto"/>
        </w:rPr>
        <w:t xml:space="preserve">投标人：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bCs/>
          <w:color w:val="auto"/>
          <w:sz w:val="24"/>
        </w:rPr>
        <w:t xml:space="preserve">加盖CA电子公章</w:t>
      </w:r>
      <w:r>
        <w:rPr>
          <w:rFonts w:hint="eastAsia" w:ascii="宋体" w:hAnsi="宋体" w:eastAsia="宋体" w:cs="宋体"/>
          <w:color w:val="auto"/>
        </w:rPr>
        <w:t xml:space="preserve">）</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p>
    <w:p>
      <w:pPr>
        <w:spacing w:line="40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keepLines/>
        <w:keepNext/>
        <w:spacing w:before="120" w:after="120"/>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商务偏离表</w:t>
      </w:r>
      <w:bookmarkEnd w:id="88"/>
      <w:r/>
      <w:bookmarkEnd w:id="89"/>
      <w:r/>
      <w:bookmarkEnd w:id="90"/>
      <w:r/>
      <w:bookmarkEnd w:id="91"/>
      <w:r/>
      <w:r/>
    </w:p>
    <w:tbl>
      <w:tblPr>
        <w:tblStyle w:val="75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bl>
    <w:p>
      <w:pPr>
        <w:ind w:firstLine="482"/>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若无偏离，在“有无偏离”栏中填写“无”；若有偏离在“有无偏离”栏中填写“有”并在“偏离内容及原因”栏中作出说明。</w:t>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法定代表人或法定代表人授权代表（签字或盖章）：</w:t>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日期：</w:t>
      </w:r>
      <w:r/>
    </w:p>
    <w:p>
      <w:pPr>
        <w:rPr>
          <w:rFonts w:hint="eastAsia" w:ascii="宋体" w:hAnsi="宋体" w:eastAsia="宋体" w:cs="宋体"/>
          <w:color w:val="auto"/>
        </w:rPr>
      </w:pPr>
      <w:r>
        <w:rPr>
          <w:rFonts w:hint="eastAsia" w:ascii="宋体" w:hAnsi="宋体" w:eastAsia="宋体" w:cs="宋体"/>
          <w:color w:val="auto"/>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rPr>
      </w:pPr>
      <w:r>
        <w:rPr>
          <w:rFonts w:hint="eastAsia" w:ascii="宋体" w:hAnsi="宋体" w:eastAsia="宋体" w:cs="宋体"/>
          <w:b/>
          <w:color w:val="auto"/>
        </w:rPr>
      </w:r>
      <w:r/>
    </w:p>
    <w:tbl>
      <w:tblPr>
        <w:tblStyle w:val="75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注：</w:t>
      </w:r>
      <w:r/>
    </w:p>
    <w:p>
      <w:pPr>
        <w:ind w:firstLine="482"/>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若无偏离，在“有无偏离”栏中填写“无”；若有偏离在“有无偏离”栏中填写“有”并在“偏离内容及原因”栏中作出说明，未填写内容的视为全部响应 。</w:t>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法定代表人或法定代表人授权代表（签字或盖章）：</w:t>
      </w:r>
      <w:r/>
    </w:p>
    <w:p>
      <w:pPr>
        <w:pStyle w:val="1015"/>
        <w:spacing w:before="0" w:beforeAutospacing="0" w:after="0" w:afterAutospacing="0"/>
        <w:rPr>
          <w:rFonts w:hint="eastAsia" w:eastAsia="宋体"/>
          <w:color w:val="auto"/>
          <w:szCs w:val="24"/>
        </w:rPr>
      </w:pPr>
      <w:r>
        <w:rPr>
          <w:rFonts w:hint="eastAsia" w:eastAsia="宋体"/>
          <w:color w:val="auto"/>
          <w:szCs w:val="24"/>
        </w:rPr>
        <w:t xml:space="preserve">日期：</w:t>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1015"/>
        <w:spacing w:before="0" w:beforeAutospacing="0" w:after="0" w:afterAutospacing="0"/>
        <w:rPr>
          <w:rFonts w:hint="eastAsia" w:eastAsia="宋体"/>
          <w:color w:val="auto"/>
          <w:szCs w:val="24"/>
        </w:rPr>
      </w:pPr>
      <w:r>
        <w:rPr>
          <w:rFonts w:hint="eastAsia" w:eastAsia="宋体"/>
          <w:color w:val="auto"/>
          <w:szCs w:val="24"/>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pStyle w:val="752"/>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u w:val="single"/>
        </w:rPr>
      </w:pPr>
      <w:r>
        <w:rPr>
          <w:rFonts w:hint="eastAsia" w:ascii="宋体" w:hAnsi="宋体" w:eastAsia="宋体" w:cs="宋体"/>
          <w:b/>
          <w:color w:val="auto"/>
          <w:sz w:val="28"/>
          <w:szCs w:val="28"/>
        </w:rPr>
        <w:t xml:space="preserve">拟投入本项目的项目组人员配置表</w:t>
      </w:r>
      <w:r/>
    </w:p>
    <w:tbl>
      <w:tblPr>
        <w:tblStyle w:val="751"/>
        <w:tblpPr w:horzAnchor="margin" w:tblpXSpec="left" w:vertAnchor="page" w:tblpY="1924" w:leftFromText="180" w:topFromText="0" w:rightFromText="180" w:bottomFromText="0"/>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1621"/>
        <w:gridCol w:w="1305"/>
        <w:gridCol w:w="1620"/>
        <w:gridCol w:w="3960"/>
        <w:gridCol w:w="6"/>
      </w:tblGrid>
      <w:tr>
        <w:trPr>
          <w:gridAfter w:val="1"/>
          <w:trHeight w:val="692"/>
        </w:trPr>
        <w:tc>
          <w:tcPr>
            <w:tcW w:w="833" w:type="dxa"/>
            <w:vAlign w:val="center"/>
            <w:textDirection w:val="lrTb"/>
            <w:noWrap w:val="false"/>
          </w:tcPr>
          <w:p>
            <w:pPr>
              <w:jc w:val="center"/>
              <w:rPr>
                <w:rFonts w:hint="eastAsia" w:ascii="宋体" w:hAnsi="宋体" w:eastAsia="宋体" w:cs="宋体"/>
                <w:color w:val="auto"/>
                <w:sz w:val="36"/>
              </w:rPr>
            </w:pPr>
            <w:r>
              <w:rPr>
                <w:rFonts w:hint="eastAsia" w:ascii="宋体" w:hAnsi="宋体" w:eastAsia="宋体" w:cs="宋体"/>
                <w:color w:val="auto"/>
                <w:sz w:val="24"/>
              </w:rPr>
              <w:t xml:space="preserve">序号</w:t>
            </w:r>
            <w:r/>
          </w:p>
        </w:tc>
        <w:tc>
          <w:tcPr>
            <w:tcW w:w="1621" w:type="dxa"/>
            <w:vAlign w:val="center"/>
            <w:textDirection w:val="lrTb"/>
            <w:noWrap w:val="false"/>
          </w:tcPr>
          <w:p>
            <w:pPr>
              <w:jc w:val="center"/>
              <w:rPr>
                <w:rFonts w:hint="eastAsia" w:ascii="宋体" w:hAnsi="宋体" w:eastAsia="宋体" w:cs="宋体"/>
                <w:color w:val="auto"/>
                <w:sz w:val="36"/>
              </w:rPr>
            </w:pPr>
            <w:r>
              <w:rPr>
                <w:rFonts w:hint="eastAsia" w:ascii="宋体" w:hAnsi="宋体" w:eastAsia="宋体" w:cs="宋体"/>
                <w:color w:val="auto"/>
                <w:sz w:val="24"/>
              </w:rPr>
              <w:t xml:space="preserve">姓名</w:t>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年龄</w:t>
            </w:r>
            <w:r/>
          </w:p>
        </w:tc>
        <w:tc>
          <w:tcPr>
            <w:tcW w:w="1620" w:type="dxa"/>
            <w:vAlign w:val="center"/>
            <w:textDirection w:val="lrTb"/>
            <w:noWrap w:val="false"/>
          </w:tcPr>
          <w:p>
            <w:pPr>
              <w:jc w:val="center"/>
              <w:rPr>
                <w:rFonts w:hint="eastAsia" w:ascii="宋体" w:hAnsi="宋体" w:eastAsia="宋体" w:cs="宋体"/>
                <w:color w:val="auto"/>
                <w:sz w:val="36"/>
              </w:rPr>
            </w:pPr>
            <w:r>
              <w:rPr>
                <w:rFonts w:hint="eastAsia" w:ascii="宋体" w:hAnsi="宋体" w:eastAsia="宋体" w:cs="宋体"/>
                <w:color w:val="auto"/>
                <w:sz w:val="24"/>
              </w:rPr>
              <w:t xml:space="preserve">执业证书</w:t>
            </w:r>
            <w:r/>
          </w:p>
        </w:tc>
        <w:tc>
          <w:tcPr>
            <w:tcW w:w="3960" w:type="dxa"/>
            <w:vAlign w:val="center"/>
            <w:textDirection w:val="lrTb"/>
            <w:noWrap w:val="false"/>
          </w:tcPr>
          <w:p>
            <w:pPr>
              <w:jc w:val="center"/>
              <w:rPr>
                <w:rFonts w:hint="eastAsia" w:ascii="宋体" w:hAnsi="宋体" w:eastAsia="宋体" w:cs="宋体"/>
                <w:color w:val="auto"/>
                <w:sz w:val="36"/>
              </w:rPr>
            </w:pPr>
            <w:r>
              <w:rPr>
                <w:rFonts w:hint="eastAsia" w:ascii="宋体" w:hAnsi="宋体" w:eastAsia="宋体" w:cs="宋体"/>
                <w:color w:val="auto"/>
                <w:sz w:val="24"/>
                <w:szCs w:val="24"/>
              </w:rPr>
              <w:t xml:space="preserve">岗位</w:t>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gridAfter w:val="1"/>
          <w:trHeight w:val="573"/>
        </w:trPr>
        <w:tc>
          <w:tcPr>
            <w:tcW w:w="83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62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396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049"/>
        </w:trPr>
        <w:tc>
          <w:tcPr>
            <w:gridSpan w:val="6"/>
            <w:tcW w:w="9345" w:type="dxa"/>
            <w:vAlign w:val="center"/>
            <w:textDirection w:val="lrTb"/>
            <w:noWrap w:val="false"/>
          </w:tcPr>
          <w:p>
            <w:pPr>
              <w:ind w:firstLine="720"/>
              <w:rPr>
                <w:rFonts w:hint="eastAsia" w:ascii="宋体" w:hAnsi="宋体" w:eastAsia="宋体" w:cs="宋体"/>
                <w:color w:val="auto"/>
                <w:sz w:val="36"/>
              </w:rPr>
            </w:pPr>
            <w:r>
              <w:rPr>
                <w:rFonts w:hint="eastAsia" w:ascii="宋体" w:hAnsi="宋体" w:eastAsia="宋体" w:cs="宋体"/>
                <w:color w:val="auto"/>
                <w:sz w:val="24"/>
              </w:rPr>
              <w:t xml:space="preserve">投标人：（电子签章）</w:t>
            </w:r>
            <w:r/>
          </w:p>
          <w:p>
            <w:pPr>
              <w:jc w:val="center"/>
              <w:rPr>
                <w:rFonts w:hint="eastAsia" w:ascii="宋体" w:hAnsi="宋体" w:eastAsia="宋体" w:cs="宋体"/>
                <w:color w:val="auto"/>
                <w:sz w:val="36"/>
              </w:rPr>
            </w:pPr>
            <w:r>
              <w:rPr>
                <w:rFonts w:hint="eastAsia" w:ascii="宋体" w:hAnsi="宋体" w:eastAsia="宋体" w:cs="宋体"/>
                <w:color w:val="auto"/>
                <w:sz w:val="36"/>
              </w:rPr>
            </w:r>
            <w:r/>
          </w:p>
          <w:p>
            <w:pPr>
              <w:ind w:firstLine="3000"/>
              <w:rPr>
                <w:rFonts w:hint="eastAsia" w:ascii="宋体" w:hAnsi="宋体" w:eastAsia="宋体" w:cs="宋体"/>
                <w:color w:val="auto"/>
                <w:sz w:val="36"/>
              </w:rPr>
            </w:pPr>
            <w:r>
              <w:rPr>
                <w:rFonts w:hint="eastAsia" w:ascii="宋体" w:hAnsi="宋体" w:eastAsia="宋体" w:cs="宋体"/>
                <w:color w:val="auto"/>
                <w:sz w:val="24"/>
              </w:rPr>
              <w:t xml:space="preserve">年   月    日</w:t>
            </w:r>
            <w:r/>
          </w:p>
        </w:tc>
      </w:tr>
    </w:tbl>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注：1.本表后附拟投入本项目的项目组人员证书、身份证、供应商为拟派人员交纳</w:t>
      </w:r>
      <w:r>
        <w:rPr>
          <w:rFonts w:hint="eastAsia" w:ascii="宋体" w:hAnsi="宋体" w:eastAsia="宋体" w:cs="宋体"/>
          <w:bCs/>
          <w:color w:val="auto"/>
          <w:sz w:val="24"/>
          <w:szCs w:val="24"/>
        </w:rPr>
        <w:t xml:space="preserve">近三个月（不含响应文件递交截止时间当月）中任意一个月的养老保险证明材料，加盖公章</w:t>
      </w:r>
      <w:r>
        <w:rPr>
          <w:rFonts w:hint="eastAsia" w:ascii="宋体" w:hAnsi="宋体" w:eastAsia="宋体" w:cs="宋体"/>
          <w:color w:val="auto"/>
          <w:sz w:val="24"/>
          <w:szCs w:val="24"/>
        </w:rPr>
        <w:t xml:space="preserve">。</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2.投标人不按实填写本表的，以弄虚作假处理。</w:t>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w:t>
      </w:r>
      <w:r/>
    </w:p>
    <w:p>
      <w:pPr>
        <w:ind w:firstLine="72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（项目名称和标段）</w:t>
      </w:r>
      <w:r>
        <w:rPr>
          <w:rFonts w:hint="eastAsia" w:ascii="宋体" w:hAnsi="宋体" w:eastAsia="宋体" w:cs="宋体"/>
          <w:color w:val="auto"/>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其他未列明行业 </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（中型企业、小型企业、微型企业）</w:t>
      </w:r>
      <w:r>
        <w:rPr>
          <w:rFonts w:hint="eastAsia" w:ascii="宋体" w:hAnsi="宋体" w:eastAsia="宋体" w:cs="宋体"/>
          <w:color w:val="auto"/>
          <w:sz w:val="24"/>
          <w:szCs w:val="24"/>
        </w:rPr>
        <w:t xml:space="preserve">；</w:t>
      </w:r>
      <w:r/>
    </w:p>
    <w:p>
      <w:pPr>
        <w:ind w:firstLine="48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8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4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jc w:val="cente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pStyle w:val="995"/>
        <w:spacing w:line="360" w:lineRule="auto"/>
        <w:rPr>
          <w:rFonts w:hint="eastAsia" w:hAnsi="宋体" w:eastAsia="宋体" w:cs="宋体"/>
          <w:color w:val="auto"/>
          <w:sz w:val="24"/>
          <w:szCs w:val="24"/>
        </w:rPr>
      </w:pPr>
      <w:r>
        <w:rPr>
          <w:rFonts w:hint="eastAsia" w:hAnsi="宋体" w:eastAsia="宋体" w:cs="宋体"/>
          <w:color w:val="auto"/>
          <w:sz w:val="24"/>
          <w:szCs w:val="24"/>
        </w:rPr>
      </w:r>
      <w:r/>
    </w:p>
    <w:p>
      <w:pPr>
        <w:pStyle w:val="995"/>
        <w:spacing w:line="360" w:lineRule="auto"/>
        <w:rPr>
          <w:rFonts w:hint="eastAsia" w:hAnsi="宋体" w:eastAsia="宋体" w:cs="宋体"/>
          <w:color w:val="auto"/>
        </w:rPr>
      </w:pPr>
      <w:r>
        <w:rPr>
          <w:rFonts w:hint="eastAsia" w:hAnsi="宋体" w:eastAsia="宋体" w:cs="宋体"/>
          <w:color w:val="auto"/>
          <w:sz w:val="24"/>
          <w:szCs w:val="24"/>
        </w:rPr>
        <w:t xml:space="preserve">（备注：1、参照《关于印发中小企业划型标准规定的通知》（工信部联企业〔2011〕300号）文件，</w:t>
      </w:r>
      <w:bookmarkStart w:id="92" w:name="OLE_LINK6"/>
      <w:r>
        <w:rPr>
          <w:rFonts w:hint="eastAsia" w:hAnsi="宋体" w:eastAsia="宋体" w:cs="宋体"/>
          <w:color w:val="auto"/>
          <w:sz w:val="24"/>
          <w:szCs w:val="24"/>
        </w:rPr>
        <w:t xml:space="preserve">本项目所属行业为</w:t>
      </w:r>
      <w:bookmarkEnd w:id="92"/>
      <w:r>
        <w:rPr>
          <w:rFonts w:hint="eastAsia" w:hAnsi="宋体" w:eastAsia="宋体" w:cs="宋体"/>
          <w:b/>
          <w:bCs/>
          <w:color w:val="auto"/>
          <w:sz w:val="24"/>
          <w:szCs w:val="24"/>
          <w:u w:val="single"/>
        </w:rPr>
        <w:t xml:space="preserve">  其他未列明行业  </w:t>
      </w:r>
      <w:r>
        <w:rPr>
          <w:rFonts w:hint="eastAsia" w:hAnsi="宋体" w:eastAsia="宋体" w:cs="宋体"/>
          <w:color w:val="auto"/>
          <w:sz w:val="24"/>
          <w:szCs w:val="24"/>
        </w:rPr>
        <w:t xml:space="preserve">。2、请如实填写属于中型企业或小型企业或微型企业。3、</w:t>
      </w:r>
      <w:r>
        <w:rPr>
          <w:rFonts w:hint="eastAsia" w:hAnsi="宋体" w:eastAsia="宋体" w:cs="宋体"/>
          <w:color w:val="auto"/>
          <w:sz w:val="24"/>
          <w:szCs w:val="24"/>
          <w:vertAlign w:val="superscript"/>
        </w:rPr>
        <w:t xml:space="preserve">1</w:t>
      </w:r>
      <w:r>
        <w:rPr>
          <w:rFonts w:hint="eastAsia" w:hAnsi="宋体" w:eastAsia="宋体" w:cs="宋体"/>
          <w:color w:val="auto"/>
          <w:sz w:val="24"/>
          <w:szCs w:val="24"/>
        </w:rPr>
        <w:t xml:space="preserve">从业人员、营业收入、资产总额填报上一年度数据，无上一年度数据的新成立企业可不填报。）</w:t>
      </w:r>
      <w:r>
        <w:rPr>
          <w:rFonts w:hint="eastAsia" w:hAnsi="宋体" w:eastAsia="宋体" w:cs="宋体"/>
          <w:color w:val="auto"/>
        </w:rPr>
        <w:br w:type="page" w:clear="all"/>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残疾人福利性单位声明函</w:t>
      </w:r>
      <w:r/>
    </w:p>
    <w:p>
      <w:pPr>
        <w:ind w:firstLine="624"/>
        <w:spacing w:line="588"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480"/>
        <w:spacing w:line="588" w:lineRule="exact"/>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88" w:lineRule="exact"/>
        <w:rPr>
          <w:rFonts w:hint="eastAsia" w:ascii="宋体" w:hAnsi="宋体" w:eastAsia="宋体" w:cs="宋体"/>
          <w:color w:val="auto"/>
          <w:sz w:val="24"/>
        </w:rPr>
      </w:pPr>
      <w:r>
        <w:rPr>
          <w:rFonts w:hint="eastAsia" w:ascii="宋体" w:hAnsi="宋体" w:eastAsia="宋体" w:cs="宋体"/>
          <w:color w:val="auto"/>
          <w:sz w:val="24"/>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left="3380" w:firstLine="936"/>
        <w:jc w:val="left"/>
        <w:spacing w:line="480" w:lineRule="auto"/>
        <w:rPr>
          <w:rFonts w:hint="eastAsia" w:ascii="宋体" w:hAnsi="宋体" w:eastAsia="宋体" w:cs="宋体"/>
          <w:color w:val="auto"/>
          <w:sz w:val="24"/>
          <w:szCs w:val="24"/>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szCs w:val="24"/>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rPr>
      </w:pPr>
      <w:r>
        <w:rPr>
          <w:rFonts w:hint="eastAsia" w:ascii="宋体" w:hAnsi="宋体" w:eastAsia="宋体" w:cs="宋体"/>
          <w:color w:val="auto"/>
          <w:sz w:val="24"/>
        </w:rPr>
        <w:t xml:space="preserve">                           日  期：</w:t>
      </w:r>
      <w:r/>
    </w:p>
    <w:p>
      <w:pPr>
        <w:ind w:firstLine="480"/>
        <w:spacing w:line="500" w:lineRule="exact"/>
        <w:rPr>
          <w:rFonts w:hint="eastAsia" w:ascii="宋体" w:hAnsi="宋体" w:eastAsia="宋体" w:cs="宋体"/>
          <w:bCs/>
          <w:color w:val="auto"/>
          <w:sz w:val="24"/>
        </w:rPr>
        <w:outlineLvl w:val="0"/>
      </w:pPr>
      <w:r>
        <w:rPr>
          <w:rFonts w:hint="eastAsia" w:ascii="宋体" w:hAnsi="宋体" w:eastAsia="宋体" w:cs="宋体"/>
          <w:bCs/>
          <w:color w:val="auto"/>
          <w:sz w:val="24"/>
        </w:rPr>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属于监狱企业的证明文件</w:t>
      </w:r>
      <w:r/>
    </w:p>
    <w:p>
      <w:pPr>
        <w:jc w:val="center"/>
        <w:spacing w:line="5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投标报价明细表</w:t>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投标报价总价</w:t>
      </w:r>
      <w:r/>
    </w:p>
    <w:tbl>
      <w:tblPr>
        <w:tblStyle w:val="75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4727"/>
        <w:gridCol w:w="2562"/>
      </w:tblGrid>
      <w:tr>
        <w:trPr>
          <w:jc w:val="center"/>
          <w:trHeight w:val="999"/>
        </w:trPr>
        <w:tc>
          <w:tcPr>
            <w:tcW w:w="1080"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4727"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W w:w="2562"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费用（万元）</w:t>
            </w:r>
            <w:r/>
          </w:p>
        </w:tc>
      </w:tr>
      <w:tr>
        <w:trPr>
          <w:jc w:val="center"/>
          <w:trHeight w:val="470"/>
        </w:trPr>
        <w:tc>
          <w:tcPr>
            <w:tcW w:w="108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p>
        </w:tc>
        <w:tc>
          <w:tcPr>
            <w:tcW w:w="4727"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机房值班费用</w:t>
            </w:r>
            <w:r/>
          </w:p>
        </w:tc>
        <w:tc>
          <w:tcPr>
            <w:tcW w:w="2562"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tc>
      </w:tr>
      <w:tr>
        <w:trPr>
          <w:jc w:val="center"/>
          <w:trHeight w:val="419"/>
        </w:trPr>
        <w:tc>
          <w:tcPr>
            <w:tcW w:w="108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w:t>
            </w:r>
            <w:r/>
          </w:p>
        </w:tc>
        <w:tc>
          <w:tcPr>
            <w:tcW w:w="4727"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设备维保费用</w:t>
            </w:r>
            <w:r/>
          </w:p>
        </w:tc>
        <w:tc>
          <w:tcPr>
            <w:tcW w:w="2562"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tc>
      </w:tr>
      <w:tr>
        <w:trPr>
          <w:jc w:val="center"/>
          <w:trHeight w:val="419"/>
        </w:trPr>
        <w:tc>
          <w:tcPr>
            <w:tcW w:w="108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w:t>
            </w:r>
            <w:r/>
          </w:p>
        </w:tc>
        <w:tc>
          <w:tcPr>
            <w:tcW w:w="4727"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冷冻油、过滤器及辅材</w:t>
            </w:r>
            <w:r/>
          </w:p>
        </w:tc>
        <w:tc>
          <w:tcPr>
            <w:tcW w:w="2562"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tc>
      </w:tr>
      <w:tr>
        <w:trPr>
          <w:jc w:val="center"/>
          <w:trHeight w:val="550"/>
        </w:trPr>
        <w:tc>
          <w:tcPr>
            <w:tcW w:w="1080" w:type="dxa"/>
            <w:vAlign w:val="center"/>
            <w:textDirection w:val="lrTb"/>
            <w:noWrap w:val="false"/>
          </w:tcPr>
          <w:p>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w:t>
            </w:r>
            <w:r/>
          </w:p>
        </w:tc>
        <w:tc>
          <w:tcPr>
            <w:tcW w:w="4727"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中央空调末端维护及过滤器更换费用</w:t>
            </w:r>
            <w:r/>
          </w:p>
        </w:tc>
        <w:tc>
          <w:tcPr>
            <w:tcW w:w="2562"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tc>
      </w:tr>
      <w:tr>
        <w:trPr>
          <w:jc w:val="center"/>
          <w:trHeight w:val="469"/>
        </w:trPr>
        <w:tc>
          <w:tcPr>
            <w:gridSpan w:val="2"/>
            <w:tcW w:w="5807"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投标报价总价</w:t>
            </w:r>
            <w:r/>
          </w:p>
        </w:tc>
        <w:tc>
          <w:tcPr>
            <w:tcW w:w="2562" w:type="dxa"/>
            <w:vAlign w:val="center"/>
            <w:textDirection w:val="lrTb"/>
            <w:noWrap w:val="false"/>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 xml:space="preserve">万元</w:t>
            </w:r>
            <w:r/>
          </w:p>
        </w:tc>
      </w:tr>
    </w:tbl>
    <w:p>
      <w:pPr>
        <w:jc w:val="right"/>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hint="eastAsia"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pStyle w:val="752"/>
        <w:rPr>
          <w:rFonts w:hint="eastAsia" w:ascii="宋体" w:hAnsi="宋体" w:eastAsia="宋体" w:cs="宋体"/>
          <w:b/>
          <w:color w:val="auto"/>
          <w:szCs w:val="28"/>
        </w:rPr>
      </w:pPr>
      <w:r>
        <w:rPr>
          <w:rFonts w:hint="eastAsia" w:ascii="宋体" w:hAnsi="宋体" w:eastAsia="宋体" w:cs="宋体"/>
          <w:b/>
          <w:color w:val="auto"/>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1.机房值班</w:t>
      </w:r>
      <w:r/>
    </w:p>
    <w:tbl>
      <w:tblPr>
        <w:tblStyle w:val="751"/>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49"/>
        <w:gridCol w:w="1843"/>
        <w:gridCol w:w="709"/>
        <w:gridCol w:w="1134"/>
        <w:gridCol w:w="1009"/>
        <w:gridCol w:w="892"/>
        <w:gridCol w:w="1501"/>
      </w:tblGrid>
      <w:tr>
        <w:trPr>
          <w:jc w:val="center"/>
          <w:trHeight w:val="699"/>
        </w:trPr>
        <w:tc>
          <w:tcPr>
            <w:tcW w:w="656" w:type="dxa"/>
            <w:vAlign w:val="center"/>
            <w:textDirection w:val="lrTb"/>
            <w:noWrap w:val="false"/>
          </w:tcPr>
          <w:p>
            <w:pPr>
              <w:jc w:val="center"/>
              <w:rPr>
                <w:rFonts w:hint="eastAsia" w:ascii="宋体" w:hAnsi="宋体" w:eastAsia="宋体" w:cs="宋体"/>
                <w:b/>
                <w:color w:val="auto"/>
                <w:sz w:val="21"/>
                <w:szCs w:val="21"/>
              </w:rPr>
            </w:pPr>
            <w:r/>
            <w:bookmarkStart w:id="93" w:name="_Hlk127781446"/>
            <w:r>
              <w:rPr>
                <w:rFonts w:hint="eastAsia" w:ascii="宋体" w:hAnsi="宋体" w:eastAsia="宋体" w:cs="宋体"/>
                <w:b/>
                <w:color w:val="auto"/>
                <w:sz w:val="21"/>
                <w:szCs w:val="21"/>
              </w:rPr>
              <w:t xml:space="preserve">序号</w:t>
            </w:r>
            <w:r/>
          </w:p>
        </w:tc>
        <w:tc>
          <w:tcPr>
            <w:tcW w:w="174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机房</w:t>
            </w:r>
            <w:r/>
          </w:p>
        </w:tc>
        <w:tc>
          <w:tcPr>
            <w:tcW w:w="184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工作内容</w:t>
            </w:r>
            <w:r/>
          </w:p>
        </w:tc>
        <w:tc>
          <w:tcPr>
            <w:tcW w:w="70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tcW w:w="1134" w:type="dxa"/>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单价最高限价（万元/人/月）</w:t>
            </w:r>
            <w:r/>
          </w:p>
        </w:tc>
        <w:tc>
          <w:tcPr>
            <w:tcW w:w="100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（万元/人/月）</w:t>
            </w:r>
            <w:r/>
          </w:p>
        </w:tc>
        <w:tc>
          <w:tcPr>
            <w:tcW w:w="892"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时间（月）</w:t>
            </w:r>
            <w:r/>
          </w:p>
        </w:tc>
        <w:tc>
          <w:tcPr>
            <w:tcW w:w="150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小计（万元）</w:t>
            </w:r>
            <w:bookmarkEnd w:id="93"/>
            <w:r/>
            <w:r/>
          </w:p>
        </w:tc>
      </w:tr>
      <w:tr>
        <w:trPr>
          <w:jc w:val="center"/>
          <w:trHeight w:val="786"/>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总院蒸汽锅炉房</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每2小时巡视蒸汽锅炉运行</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0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总院热水锅炉房、换热机房、冷冻机房、净化机组</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每2小时巡视热水锅炉、换热设备、冷水机组、楼顶净化机组、5楼净化机房等</w:t>
            </w:r>
            <w:r/>
          </w:p>
        </w:tc>
        <w:tc>
          <w:tcPr>
            <w:tcW w:w="709"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0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09"/>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海陵院区住院部空调机房、门诊空调机房、8号楼机房</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每2小时巡视住院部、门诊、8号楼空调机房设备</w:t>
            </w:r>
            <w:r/>
          </w:p>
        </w:tc>
        <w:tc>
          <w:tcPr>
            <w:tcW w:w="709"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0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4"/>
        </w:trPr>
        <w:tc>
          <w:tcPr>
            <w:tcW w:w="6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7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妇幼锅炉房、冷冻机房、换热机房、5楼顶净化机组、4楼设备层</w:t>
            </w:r>
            <w:r/>
          </w:p>
        </w:tc>
        <w:tc>
          <w:tcPr>
            <w:tcW w:w="184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每2小时巡视锅炉房、冷冻机房、换热设备、净化机组等</w:t>
            </w:r>
            <w:r/>
          </w:p>
        </w:tc>
        <w:tc>
          <w:tcPr>
            <w:tcW w:w="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10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50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92"/>
        </w:trPr>
        <w:tc>
          <w:tcPr>
            <w:gridSpan w:val="6"/>
            <w:tcW w:w="710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合计（最高限价345.6万元）</w:t>
            </w:r>
            <w:r/>
          </w:p>
        </w:tc>
        <w:tc>
          <w:tcPr>
            <w:gridSpan w:val="2"/>
            <w:tcW w:w="239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元</w:t>
            </w:r>
            <w:r/>
          </w:p>
        </w:tc>
      </w:tr>
    </w:tbl>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2.1设备维保</w:t>
      </w:r>
      <w:r/>
    </w:p>
    <w:tbl>
      <w:tblPr>
        <w:tblStyle w:val="75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062"/>
        <w:gridCol w:w="2217"/>
        <w:gridCol w:w="948"/>
        <w:gridCol w:w="948"/>
        <w:gridCol w:w="1147"/>
        <w:gridCol w:w="903"/>
        <w:gridCol w:w="852"/>
        <w:gridCol w:w="1525"/>
      </w:tblGrid>
      <w:tr>
        <w:trPr>
          <w:jc w:val="center"/>
          <w:trHeight w:val="718"/>
        </w:trPr>
        <w:tc>
          <w:tcPr>
            <w:tcW w:w="45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062"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tcW w:w="2217"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品牌型号</w:t>
            </w:r>
            <w:r/>
          </w:p>
        </w:tc>
        <w:tc>
          <w:tcPr>
            <w:tcW w:w="94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数量（台）</w:t>
            </w:r>
            <w:r/>
          </w:p>
        </w:tc>
        <w:tc>
          <w:tcPr>
            <w:tcW w:w="948"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时间</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（年）</w:t>
            </w:r>
            <w:r/>
          </w:p>
        </w:tc>
        <w:tc>
          <w:tcPr>
            <w:tcW w:w="1147"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（万元/台/年）</w:t>
            </w:r>
            <w:r/>
          </w:p>
        </w:tc>
        <w:tc>
          <w:tcPr>
            <w:tcW w:w="903"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（万元/台/年）</w:t>
            </w:r>
            <w:r/>
          </w:p>
        </w:tc>
        <w:tc>
          <w:tcPr>
            <w:tcW w:w="852"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w:t>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w:t>
            </w:r>
            <w:r/>
          </w:p>
        </w:tc>
        <w:tc>
          <w:tcPr>
            <w:tcW w:w="1525"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WNS2-1.0-Y/Q</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bookmarkStart w:id="94" w:name="OLE_LINK33"/>
            <w:r>
              <w:rPr>
                <w:rFonts w:hint="eastAsia" w:ascii="宋体" w:hAnsi="宋体" w:eastAsia="宋体" w:cs="宋体"/>
                <w:color w:val="auto"/>
                <w:sz w:val="21"/>
                <w:szCs w:val="21"/>
              </w:rPr>
              <w:t xml:space="preserve">承压蒸汽锅炉</w:t>
            </w:r>
            <w:bookmarkEnd w:id="94"/>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WNS2.8-0.7/95/70-Y/Q</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法罗力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ZKS300-60/50-10</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KDV-N120AK</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庆东</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KDV-H300AD</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妇幼锅炉维保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BOV-1600NG</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富士特</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BOV-3000NG</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0.5</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负压热水锅炉</w:t>
            </w:r>
            <w:r/>
          </w:p>
        </w:tc>
      </w:tr>
      <w:tr>
        <w:trPr>
          <w:jc w:val="center"/>
          <w:trHeight w:val="233"/>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总院冷水机组</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w:t>
            </w:r>
            <w:bookmarkStart w:id="95" w:name="OLE_LINK30"/>
            <w:r>
              <w:rPr>
                <w:rFonts w:hint="eastAsia" w:ascii="宋体" w:hAnsi="宋体" w:eastAsia="宋体" w:cs="宋体"/>
                <w:color w:val="auto"/>
                <w:sz w:val="21"/>
                <w:szCs w:val="21"/>
              </w:rPr>
              <w:t xml:space="preserve">利</w:t>
            </w:r>
            <w:bookmarkEnd w:id="95"/>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19XR</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bookmarkStart w:id="96" w:name="OLE_LINK31"/>
            <w:r>
              <w:rPr>
                <w:rFonts w:hint="eastAsia" w:ascii="宋体" w:hAnsi="宋体" w:eastAsia="宋体" w:cs="宋体"/>
                <w:color w:val="auto"/>
                <w:sz w:val="21"/>
                <w:szCs w:val="21"/>
              </w:rPr>
              <w:t xml:space="preserve">原厂冷冻油（3桶/台）、过滤器，</w:t>
            </w:r>
            <w:bookmarkEnd w:id="96"/>
            <w:r>
              <w:rPr>
                <w:rFonts w:hint="eastAsia" w:ascii="宋体" w:hAnsi="宋体" w:eastAsia="宋体" w:cs="宋体"/>
                <w:color w:val="auto"/>
                <w:sz w:val="21"/>
                <w:szCs w:val="21"/>
              </w:rPr>
              <w:t xml:space="preserve">每三年更换一次</w:t>
            </w:r>
            <w:r/>
          </w:p>
        </w:tc>
      </w:tr>
      <w:tr>
        <w:trPr>
          <w:jc w:val="center"/>
          <w:trHeight w:val="233"/>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30XW</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82"/>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海陵院区冷水机组</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YSEBEAS45CKE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bookmarkStart w:id="97" w:name="OLE_LINK26"/>
            <w:r>
              <w:rPr>
                <w:rFonts w:hint="eastAsia" w:ascii="宋体" w:hAnsi="宋体" w:eastAsia="宋体" w:cs="宋体"/>
                <w:color w:val="auto"/>
                <w:sz w:val="21"/>
                <w:szCs w:val="21"/>
              </w:rPr>
              <w:t xml:space="preserve">原厂冷冻油（4桶/台）、过滤器</w:t>
            </w:r>
            <w:bookmarkEnd w:id="97"/>
            <w:r>
              <w:rPr>
                <w:rFonts w:hint="eastAsia" w:ascii="宋体" w:hAnsi="宋体" w:eastAsia="宋体" w:cs="宋体"/>
                <w:color w:val="auto"/>
                <w:sz w:val="21"/>
                <w:szCs w:val="21"/>
              </w:rPr>
              <w:t xml:space="preserve">，每三年更换一次</w:t>
            </w:r>
            <w:r/>
          </w:p>
        </w:tc>
      </w:tr>
      <w:tr>
        <w:trPr>
          <w:jc w:val="center"/>
          <w:trHeight w:val="82"/>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w:t>
            </w:r>
            <w:r/>
          </w:p>
          <w:p>
            <w:pPr>
              <w:jc w:val="center"/>
              <w:rPr>
                <w:rFonts w:hint="eastAsia" w:ascii="宋体" w:hAnsi="宋体" w:eastAsia="宋体" w:cs="宋体"/>
                <w:color w:val="auto"/>
                <w:sz w:val="21"/>
                <w:szCs w:val="21"/>
              </w:rPr>
            </w:pPr>
            <w:r/>
            <w:bookmarkStart w:id="98" w:name="OLE_LINK44"/>
            <w:r>
              <w:rPr>
                <w:rFonts w:hint="eastAsia" w:ascii="宋体" w:hAnsi="宋体" w:eastAsia="宋体" w:cs="宋体"/>
                <w:color w:val="auto"/>
                <w:sz w:val="21"/>
                <w:szCs w:val="21"/>
              </w:rPr>
              <w:t xml:space="preserve">YKCECEQ75COF</w:t>
            </w:r>
            <w:bookmarkEnd w:id="98"/>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原厂冷冻油（2/台）、过滤器，</w:t>
            </w:r>
            <w:bookmarkStart w:id="99" w:name="OLE_LINK100"/>
            <w:r>
              <w:rPr>
                <w:rFonts w:hint="eastAsia" w:ascii="宋体" w:hAnsi="宋体" w:eastAsia="宋体" w:cs="宋体"/>
                <w:color w:val="auto"/>
                <w:sz w:val="21"/>
                <w:szCs w:val="21"/>
              </w:rPr>
              <w:t xml:space="preserve">每三年更换一次</w:t>
            </w:r>
            <w:bookmarkEnd w:id="99"/>
            <w:r/>
            <w:r/>
          </w:p>
        </w:tc>
      </w:tr>
      <w:tr>
        <w:trPr>
          <w:jc w:val="center"/>
          <w:trHeight w:val="82"/>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bookmarkStart w:id="100" w:name="OLE_LINK34"/>
            <w:r>
              <w:rPr>
                <w:rFonts w:hint="eastAsia" w:ascii="宋体" w:hAnsi="宋体" w:eastAsia="宋体" w:cs="宋体"/>
                <w:color w:val="auto"/>
                <w:sz w:val="21"/>
                <w:szCs w:val="21"/>
              </w:rPr>
              <w:t xml:space="preserve">麦克维尔</w:t>
            </w:r>
            <w:bookmarkEnd w:id="100"/>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磁悬浮机组无需更换冷冻油</w:t>
            </w:r>
            <w:r/>
          </w:p>
        </w:tc>
      </w:tr>
      <w:tr>
        <w:trPr>
          <w:jc w:val="center"/>
          <w:trHeight w:val="737"/>
        </w:trPr>
        <w:tc>
          <w:tcPr>
            <w:tcW w:w="458"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062"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妇幼冷水机组维保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WSC100MAWNOF -E3312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737"/>
        </w:trPr>
        <w:tc>
          <w:tcPr>
            <w:tcW w:w="458"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w:t>
            </w:r>
            <w:r/>
          </w:p>
          <w:p>
            <w:pPr>
              <w:jc w:val="center"/>
              <w:rPr>
                <w:rFonts w:hint="eastAsia" w:ascii="宋体" w:hAnsi="宋体" w:eastAsia="宋体" w:cs="宋体"/>
                <w:color w:val="auto"/>
                <w:sz w:val="21"/>
                <w:szCs w:val="21"/>
              </w:rPr>
            </w:pPr>
            <w:r/>
            <w:bookmarkStart w:id="101" w:name="OLE_LINK35"/>
            <w:r>
              <w:rPr>
                <w:rFonts w:hint="eastAsia" w:ascii="宋体" w:hAnsi="宋体" w:eastAsia="宋体" w:cs="宋体"/>
                <w:color w:val="auto"/>
                <w:sz w:val="21"/>
                <w:szCs w:val="21"/>
              </w:rPr>
              <w:t xml:space="preserve">WSC079LAQ29</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-2609</w:t>
            </w:r>
            <w:bookmarkEnd w:id="101"/>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0.8</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原厂冷冻油（3桶/台）、过滤器，每三年更换一次</w:t>
            </w:r>
            <w:r/>
          </w:p>
        </w:tc>
      </w:tr>
      <w:tr>
        <w:trPr>
          <w:jc w:val="center"/>
          <w:trHeight w:val="847"/>
        </w:trPr>
        <w:tc>
          <w:tcPr>
            <w:tcW w:w="45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0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净化机组维保</w:t>
            </w:r>
            <w:r/>
          </w:p>
        </w:tc>
        <w:tc>
          <w:tcPr>
            <w:tcW w:w="221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94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2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总院、海陵院区、妇幼、二期所有净化机组</w:t>
            </w:r>
            <w:r/>
          </w:p>
        </w:tc>
      </w:tr>
      <w:tr>
        <w:trPr>
          <w:jc w:val="center"/>
          <w:trHeight w:val="364"/>
        </w:trPr>
        <w:tc>
          <w:tcPr>
            <w:gridSpan w:val="7"/>
            <w:tcW w:w="76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三年合计（最高限价73.2万元）</w:t>
            </w:r>
            <w:r/>
          </w:p>
        </w:tc>
        <w:tc>
          <w:tcPr>
            <w:gridSpan w:val="2"/>
            <w:tcW w:w="237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万元</w:t>
            </w:r>
            <w:r>
              <w:rPr>
                <w:rFonts w:hint="eastAsia" w:ascii="宋体" w:hAnsi="宋体" w:eastAsia="宋体" w:cs="宋体"/>
                <w:color w:val="auto"/>
                <w:sz w:val="21"/>
                <w:szCs w:val="21"/>
              </w:rPr>
              <w:t xml:space="preserve"> </w:t>
            </w:r>
            <w:r/>
          </w:p>
        </w:tc>
      </w:tr>
    </w:tbl>
    <w:p>
      <w:pPr>
        <w:pStyle w:val="752"/>
        <w:rPr>
          <w:rFonts w:hint="eastAsia" w:ascii="宋体" w:hAnsi="宋体" w:eastAsia="宋体" w:cs="宋体"/>
          <w:color w:val="auto"/>
        </w:rPr>
      </w:pPr>
      <w:r>
        <w:rPr>
          <w:rFonts w:hint="eastAsia" w:ascii="宋体" w:hAnsi="宋体" w:eastAsia="宋体" w:cs="宋体"/>
          <w:color w:val="auto"/>
        </w:rPr>
      </w:r>
      <w:r/>
    </w:p>
    <w:p>
      <w:pPr>
        <w:pStyle w:val="752"/>
        <w:jc w:val="center"/>
        <w:rPr>
          <w:rFonts w:hint="eastAsia" w:ascii="宋体" w:hAnsi="宋体" w:eastAsia="宋体" w:cs="宋体"/>
          <w:b/>
          <w:bCs/>
          <w:color w:val="auto"/>
        </w:rPr>
      </w:pPr>
      <w:r>
        <w:rPr>
          <w:rFonts w:hint="eastAsia" w:ascii="宋体" w:hAnsi="宋体" w:eastAsia="宋体" w:cs="宋体"/>
          <w:b/>
          <w:bCs/>
          <w:color w:val="auto"/>
        </w:rPr>
        <w:t xml:space="preserve">2.2冷冻油、过滤器及辅材</w:t>
      </w:r>
      <w:r/>
    </w:p>
    <w:tbl>
      <w:tblPr>
        <w:tblStyle w:val="751"/>
        <w:tblW w:w="10563" w:type="dxa"/>
        <w:tblInd w:w="-526" w:type="dxa"/>
        <w:tblLayout w:type="fixed"/>
        <w:tblCellMar>
          <w:left w:w="108" w:type="dxa"/>
          <w:top w:w="0" w:type="dxa"/>
          <w:right w:w="108" w:type="dxa"/>
          <w:bottom w:w="0" w:type="dxa"/>
        </w:tblCellMar>
        <w:tblLook w:val="04A0" w:firstRow="1" w:lastRow="0" w:firstColumn="1" w:lastColumn="0" w:noHBand="0" w:noVBand="1"/>
      </w:tblPr>
      <w:tblGrid>
        <w:gridCol w:w="666"/>
        <w:gridCol w:w="763"/>
        <w:gridCol w:w="763"/>
        <w:gridCol w:w="892"/>
        <w:gridCol w:w="1461"/>
        <w:gridCol w:w="1440"/>
        <w:gridCol w:w="785"/>
        <w:gridCol w:w="902"/>
        <w:gridCol w:w="935"/>
        <w:gridCol w:w="946"/>
        <w:gridCol w:w="1010"/>
      </w:tblGrid>
      <w:tr>
        <w:trPr>
          <w:trHeight w:val="566"/>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机组型号</w:t>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机组</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（台）</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耗材型号</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耗材数量</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（元）</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w:t>
            </w:r>
            <w:r>
              <w:rPr>
                <w:rFonts w:hint="eastAsia" w:ascii="宋体" w:hAnsi="宋体" w:eastAsia="宋体" w:cs="宋体"/>
                <w:b/>
                <w:color w:val="auto"/>
                <w:sz w:val="21"/>
                <w:szCs w:val="21"/>
              </w:rPr>
              <w:t xml:space="preserve">（万元）</w:t>
            </w:r>
            <w:r/>
          </w:p>
        </w:tc>
      </w:tr>
      <w:tr>
        <w:trPr>
          <w:trHeight w:val="59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开利离心机组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19XR</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PP23BZ103005C</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4300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02XR05009501</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KH42ME060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KH45LE120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开利螺杆机组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30XW</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PP23BZ110005C</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4500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00PPY010012800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1450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XW12EA0031</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约克离心机组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YKCECEQ75COF</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冷冻K油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011-00533-000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12000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约克螺杆机组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YSEBEAS45CKE</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冷冻S油</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011-00922-000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（5加仑/桶）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026W32831-000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回油过滤器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026-32841-000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干燥过滤器</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026-32839-000</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O圈</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026W32000-001</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麦克维尔离心机组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WSC100MAWNOF -E3312</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（5L/桶）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WSC100</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6"/>
        </w:trPr>
        <w:tc>
          <w:tcPr>
            <w:tcBorders>
              <w:top w:val="single" w:color="auto"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麦克维尔离心机组</w:t>
            </w:r>
            <w:r/>
          </w:p>
        </w:tc>
        <w:tc>
          <w:tcPr>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WSC079LAQ29-2609</w:t>
            </w:r>
            <w:r/>
          </w:p>
        </w:tc>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冷冻油A油</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桶</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（5L/桶）</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油过滤器</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3"/>
        </w:trPr>
        <w:tc>
          <w:tcPr>
            <w:tcBorders>
              <w:top w:val="single" w:color="auto" w:sz="4" w:space="0"/>
              <w:left w:val="single" w:color="auto" w:sz="4" w:space="0"/>
              <w:bottom w:val="single" w:color="auto" w:sz="4" w:space="0"/>
              <w:right w:val="single" w:color="auto" w:sz="4" w:space="0"/>
            </w:tcBorders>
            <w:tcW w:w="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垫片</w:t>
            </w:r>
            <w:r/>
          </w:p>
        </w:tc>
        <w:tc>
          <w:tcPr>
            <w:shd w:val="clear" w:color="000000" w:fill="ffffff"/>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WSC079</w:t>
            </w:r>
            <w:r/>
          </w:p>
        </w:tc>
        <w:tc>
          <w:tcPr>
            <w:shd w:val="clear" w:color="000000" w:fill="ffffff"/>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8"/>
        </w:trPr>
        <w:tc>
          <w:tcPr>
            <w:gridSpan w:val="8"/>
            <w:tcBorders>
              <w:top w:val="single" w:color="auto" w:sz="4" w:space="0"/>
              <w:left w:val="single" w:color="auto" w:sz="4" w:space="0"/>
              <w:bottom w:val="single" w:color="auto" w:sz="4" w:space="0"/>
              <w:right w:val="single" w:color="auto" w:sz="4" w:space="0"/>
            </w:tcBorders>
            <w:tcW w:w="76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合计（最高限价29.7万元）</w:t>
            </w:r>
            <w:r/>
          </w:p>
        </w:tc>
        <w:tc>
          <w:tcPr>
            <w:gridSpan w:val="3"/>
            <w:tcBorders>
              <w:top w:val="single" w:color="auto" w:sz="4" w:space="0"/>
              <w:left w:val="single" w:color="auto" w:sz="4" w:space="0"/>
              <w:bottom w:val="single" w:color="auto" w:sz="4" w:space="0"/>
              <w:right w:val="single" w:color="auto" w:sz="4" w:space="0"/>
            </w:tcBorders>
            <w:tcW w:w="2891" w:type="dxa"/>
            <w:vAlign w:val="center"/>
            <w:textDirection w:val="lrTb"/>
            <w:noWrap w:val="false"/>
          </w:tcPr>
          <w:p>
            <w:pPr>
              <w:jc w:val="center"/>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万元</w:t>
            </w:r>
            <w:r/>
          </w:p>
        </w:tc>
      </w:tr>
    </w:tbl>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20" w:lineRule="exact"/>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3.中央空调末端维护及过滤器更换</w:t>
      </w:r>
      <w:bookmarkStart w:id="102" w:name="_Hlk127866222"/>
      <w:r/>
      <w:bookmarkEnd w:id="102"/>
      <w:r/>
      <w:r/>
    </w:p>
    <w:tbl>
      <w:tblPr>
        <w:tblStyle w:val="751"/>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785"/>
        <w:gridCol w:w="794"/>
        <w:gridCol w:w="1494"/>
        <w:gridCol w:w="941"/>
        <w:gridCol w:w="1276"/>
        <w:gridCol w:w="1276"/>
      </w:tblGrid>
      <w:tr>
        <w:trPr>
          <w:jc w:val="center"/>
          <w:trHeight w:val="454"/>
        </w:trPr>
        <w:tc>
          <w:tcPr>
            <w:tcW w:w="785"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785"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79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tcW w:w="149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单价最高限价（万元/人/月）</w:t>
            </w:r>
            <w:r/>
          </w:p>
        </w:tc>
        <w:tc>
          <w:tcPr>
            <w:tcW w:w="94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单价</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（万元/人/月）</w:t>
            </w:r>
            <w:r/>
          </w:p>
        </w:tc>
        <w:tc>
          <w:tcPr>
            <w:tcW w:w="127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时间（月）</w:t>
            </w:r>
            <w:r/>
          </w:p>
        </w:tc>
        <w:tc>
          <w:tcPr>
            <w:tcW w:w="127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小计</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（万元）</w:t>
            </w:r>
            <w:r/>
          </w:p>
        </w:tc>
      </w:tr>
      <w:tr>
        <w:trPr>
          <w:jc w:val="center"/>
          <w:trHeight w:val="790"/>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总院中央空调末端维修、清洗、过滤器更换人工</w:t>
            </w:r>
            <w:r/>
          </w:p>
        </w:tc>
        <w:tc>
          <w:tcPr>
            <w:tcW w:w="7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4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9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48"/>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海陵院区中央空调末端维修、清洗、过滤器更换人工</w:t>
            </w:r>
            <w:r/>
          </w:p>
        </w:tc>
        <w:tc>
          <w:tcPr>
            <w:tcW w:w="7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4人</w:t>
            </w:r>
            <w:r/>
          </w:p>
        </w:tc>
        <w:tc>
          <w:tcPr>
            <w:tcW w:w="14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9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36"/>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妇幼院区中央空调末端维修、清洗、过滤器更换人工</w:t>
            </w:r>
            <w:r/>
          </w:p>
        </w:tc>
        <w:tc>
          <w:tcPr>
            <w:tcW w:w="7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1人</w:t>
            </w:r>
            <w:r/>
          </w:p>
        </w:tc>
        <w:tc>
          <w:tcPr>
            <w:tcW w:w="149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0.6</w:t>
            </w:r>
            <w:r/>
          </w:p>
        </w:tc>
        <w:tc>
          <w:tcPr>
            <w:tcW w:w="9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69"/>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5"/>
            <w:tcW w:w="72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总院初效、中效、高效过滤器更换材料费用</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868"/>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5"/>
            <w:tcW w:w="72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海陵院区初效、中效、高效过滤器更换材料费用</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868"/>
        </w:trPr>
        <w:tc>
          <w:tcPr>
            <w:tcW w:w="78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5"/>
            <w:tcW w:w="72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妇幼院区初效、中效、高效过滤器更换材料费用</w:t>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08"/>
        </w:trPr>
        <w:tc>
          <w:tcPr>
            <w:gridSpan w:val="2"/>
            <w:tcW w:w="357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gridSpan w:val="5"/>
            <w:tcW w:w="5781" w:type="dxa"/>
            <w:vAlign w:val="center"/>
            <w:textDirection w:val="lrTb"/>
            <w:noWrap w:val="false"/>
          </w:tcPr>
          <w:p>
            <w:pPr>
              <w:jc w:val="center"/>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万元</w:t>
            </w:r>
            <w:r/>
          </w:p>
        </w:tc>
      </w:tr>
    </w:tbl>
    <w:p>
      <w:pPr>
        <w:pStyle w:val="996"/>
        <w:jc w:val="center"/>
        <w:rPr>
          <w:rFonts w:hint="eastAsia" w:ascii="宋体" w:hAnsi="宋体" w:eastAsia="宋体" w:cs="宋体"/>
          <w:b/>
          <w:color w:val="auto"/>
          <w:sz w:val="36"/>
          <w:szCs w:val="36"/>
          <w:lang w:bidi="ar"/>
        </w:rPr>
      </w:pPr>
      <w:r>
        <w:rPr>
          <w:rFonts w:hint="eastAsia" w:ascii="宋体" w:hAnsi="宋体" w:eastAsia="宋体" w:cs="宋体"/>
          <w:b/>
          <w:color w:val="auto"/>
          <w:sz w:val="36"/>
          <w:szCs w:val="36"/>
          <w:lang w:bidi="ar"/>
        </w:rPr>
        <w:br w:type="page" w:clear="all"/>
      </w:r>
      <w:r>
        <w:rPr>
          <w:rFonts w:hint="eastAsia" w:ascii="宋体" w:hAnsi="宋体" w:eastAsia="宋体" w:cs="宋体"/>
          <w:b/>
          <w:color w:val="auto"/>
          <w:sz w:val="36"/>
          <w:szCs w:val="36"/>
          <w:lang w:bidi="ar"/>
        </w:rPr>
        <w:t xml:space="preserve">过滤器单价一览表</w:t>
      </w:r>
      <w:r/>
    </w:p>
    <w:p>
      <w:pPr>
        <w:pStyle w:val="996"/>
        <w:jc w:val="center"/>
        <w:rPr>
          <w:rFonts w:hint="eastAsia" w:ascii="宋体" w:hAnsi="宋体" w:eastAsia="宋体" w:cs="宋体"/>
          <w:b/>
          <w:color w:val="auto"/>
        </w:rPr>
      </w:pPr>
      <w:r>
        <w:rPr>
          <w:rFonts w:hint="eastAsia" w:ascii="宋体" w:hAnsi="宋体" w:eastAsia="宋体" w:cs="宋体"/>
          <w:b/>
          <w:color w:val="auto"/>
        </w:rPr>
        <w:t xml:space="preserve">（包含不限于，具体尺寸以现场实际测量为准）</w:t>
      </w:r>
      <w:r/>
    </w:p>
    <w:p>
      <w:pPr>
        <w:pStyle w:val="996"/>
        <w:rPr>
          <w:rFonts w:hint="eastAsia" w:ascii="宋体" w:hAnsi="宋体" w:eastAsia="宋体" w:cs="宋体"/>
          <w:b/>
          <w:color w:val="auto"/>
        </w:rPr>
      </w:pPr>
      <w:r>
        <w:rPr>
          <w:rFonts w:hint="eastAsia" w:ascii="宋体" w:hAnsi="宋体" w:eastAsia="宋体" w:cs="宋体"/>
          <w:b/>
          <w:bCs/>
          <w:color w:val="auto"/>
          <w:sz w:val="28"/>
          <w:szCs w:val="28"/>
        </w:rPr>
        <w:t xml:space="preserve">1.1总院初中效过滤器统计</w:t>
      </w:r>
      <w:r/>
    </w:p>
    <w:tbl>
      <w:tblPr>
        <w:tblStyle w:val="751"/>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2"/>
        <w:gridCol w:w="850"/>
        <w:gridCol w:w="1134"/>
        <w:gridCol w:w="2162"/>
        <w:gridCol w:w="892"/>
        <w:gridCol w:w="915"/>
        <w:gridCol w:w="709"/>
        <w:gridCol w:w="907"/>
        <w:gridCol w:w="1042"/>
      </w:tblGrid>
      <w:tr>
        <w:trPr>
          <w:trHeight w:val="299"/>
        </w:trPr>
        <w:tc>
          <w:tcPr>
            <w:gridSpan w:val="2"/>
            <w:tcW w:w="84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85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W w:w="113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216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89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（个）</w:t>
            </w:r>
            <w:r/>
          </w:p>
        </w:tc>
        <w:tc>
          <w:tcPr>
            <w:shd w:val="clear" w:color="000000" w:fill="ffffff"/>
            <w:tcW w:w="91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shd w:val="clear" w:color="000000" w:fill="ffffff"/>
            <w:tcW w:w="70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（元）</w:t>
            </w:r>
            <w:r/>
          </w:p>
        </w:tc>
        <w:tc>
          <w:tcPr>
            <w:shd w:val="clear" w:color="000000" w:fill="ffffff"/>
            <w:tcW w:w="907"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更换频次（次/1年）</w:t>
            </w:r>
            <w:r/>
          </w:p>
        </w:tc>
        <w:tc>
          <w:tcPr>
            <w:shd w:val="clear" w:color="000000" w:fill="ffffff"/>
            <w:tcW w:w="104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299"/>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5F机房（4F手术室）</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AHU-01</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AHU-03</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AHU-04</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AHU-05</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AHU-06</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AHU-07</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7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AHU-08</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CXBS594*490*95-G4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ZXDS592*490*534-8-F8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AHU-09</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w:t>
            </w:r>
            <w:r>
              <w:rPr>
                <w:rFonts w:hint="eastAsia" w:ascii="宋体" w:hAnsi="宋体" w:eastAsia="宋体" w:cs="宋体"/>
                <w:b/>
                <w:bCs/>
                <w:color w:val="auto"/>
                <w:sz w:val="21"/>
                <w:szCs w:val="21"/>
                <w:u w:val="single"/>
              </w:rPr>
              <w:t xml:space="preserve">490</w:t>
            </w:r>
            <w:r>
              <w:rPr>
                <w:rFonts w:hint="eastAsia" w:ascii="宋体" w:hAnsi="宋体" w:eastAsia="宋体" w:cs="宋体"/>
                <w:color w:val="auto"/>
                <w:sz w:val="21"/>
                <w:szCs w:val="21"/>
              </w:rPr>
              <w:t xml:space="preserve">*534-8-F8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AHU-13</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48</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AHU-14</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AHU-15</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AHU-XF</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4F（病理科）</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1"/>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3F（DSA）西北</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1AHU-XF</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1AHU-01</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ZXDS592*287*534-8-F8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1AHU-04</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3F(DSA）西南</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CXBS489*289*46-G4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CXBS489*594*46-G4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ZXDS487*287*380-5-F8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ZXDS487*592*380-5-F8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CXBS594*594*95-G4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w:t>
            </w:r>
            <w:r>
              <w:rPr>
                <w:rFonts w:hint="eastAsia" w:ascii="宋体" w:hAnsi="宋体" w:eastAsia="宋体" w:cs="宋体"/>
                <w:b/>
                <w:bCs/>
                <w:color w:val="auto"/>
                <w:sz w:val="21"/>
                <w:szCs w:val="21"/>
              </w:rPr>
              <w:t xml:space="preserve">287</w:t>
            </w:r>
            <w:r>
              <w:rPr>
                <w:rFonts w:hint="eastAsia" w:ascii="宋体" w:hAnsi="宋体" w:eastAsia="宋体" w:cs="宋体"/>
                <w:color w:val="auto"/>
                <w:sz w:val="21"/>
                <w:szCs w:val="21"/>
              </w:rPr>
              <w:t xml:space="preserve">*592*534-</w:t>
            </w:r>
            <w:r>
              <w:rPr>
                <w:rFonts w:hint="eastAsia" w:ascii="宋体" w:hAnsi="宋体" w:eastAsia="宋体" w:cs="宋体"/>
                <w:b/>
                <w:bCs/>
                <w:color w:val="auto"/>
                <w:sz w:val="21"/>
                <w:szCs w:val="21"/>
                <w:u w:val="single"/>
              </w:rPr>
              <w:t xml:space="preserve">4</w:t>
            </w:r>
            <w:r>
              <w:rPr>
                <w:rFonts w:hint="eastAsia" w:ascii="宋体" w:hAnsi="宋体" w:eastAsia="宋体" w:cs="宋体"/>
                <w:color w:val="auto"/>
                <w:sz w:val="21"/>
                <w:szCs w:val="21"/>
              </w:rPr>
              <w:t xml:space="preserve">-F8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ZXDS592*592*534-8-F8</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1AHU-03</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CXBS594*289*</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CXBS594*594*</w:t>
            </w:r>
            <w:r>
              <w:rPr>
                <w:rFonts w:hint="eastAsia" w:ascii="宋体" w:hAnsi="宋体" w:eastAsia="宋体" w:cs="宋体"/>
                <w:b/>
                <w:bCs/>
                <w:color w:val="auto"/>
                <w:sz w:val="21"/>
                <w:szCs w:val="21"/>
                <w:u w:val="single"/>
              </w:rPr>
              <w:t xml:space="preserve">46</w:t>
            </w:r>
            <w:r>
              <w:rPr>
                <w:rFonts w:hint="eastAsia" w:ascii="宋体" w:hAnsi="宋体" w:eastAsia="宋体" w:cs="宋体"/>
                <w:color w:val="auto"/>
                <w:sz w:val="21"/>
                <w:szCs w:val="21"/>
              </w:rPr>
              <w:t xml:space="preserve">-G4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WWSP592*287*292-H10-F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W型过滤器</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WWSP592*592*292-H10-F</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制剂室</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9"/>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1F机组1（吊顶）</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592*592*534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287*592*534</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1F机组2（吊顶）</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592*490*534</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594*490*46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2F机组1</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3F机组2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594*289*46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592*287*20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门诊地下室</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  西大厅</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2#机 1#电房</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3#机  2#电房</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住院部二楼东</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150</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住院部二楼西</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M1#、2#</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LG（门诊4F1、2）</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132</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M3#</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LG（门诊4F3）</w:t>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M4#</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LG（门诊4F4）</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M7#</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LG（门诊3F通道西侧）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M8#</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LG（门诊3F中医科）</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M9#</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LG（门诊3F体检中心）</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M16#</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LG（门诊2F检验科入口）</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M20#</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AHU-1（门诊2楼检验科西侧机房）</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480*455*18</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M21#</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LG（门诊2F通道入口西侧）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M22#</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LG（门诊2F超声北侧）</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487*285*20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M23#、24#、25#</w:t>
            </w:r>
            <w:r/>
          </w:p>
        </w:tc>
        <w:tc>
          <w:tcPr>
            <w:tcW w:w="8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LG（门诊2F内镜中心、大厅空调）</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590*487*45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95</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487*487*20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590*487*20</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w:t>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1#机</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shd w:val="clear" w:color="ffffcc" w:fill="ffffff"/>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2#、3#机</w:t>
            </w:r>
            <w:r/>
          </w:p>
        </w:tc>
        <w:tc>
          <w:tcPr>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初效过滤器</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287*590*46</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ffffcc" w:fill="ffffff"/>
            <w:tcW w:w="1134"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176</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490*490*25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23"/>
        </w:trPr>
        <w:tc>
          <w:tcPr>
            <w:gridSpan w:val="2"/>
            <w:tcW w:w="8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287*590*25</w:t>
            </w:r>
            <w:r/>
          </w:p>
        </w:tc>
        <w:tc>
          <w:tcPr>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1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w:t>
            </w:r>
            <w:r/>
          </w:p>
        </w:tc>
        <w:tc>
          <w:tcPr>
            <w:tcW w:w="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0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72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8"/>
            <w:tcW w:w="769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每年费用小计（单价×数量×更换频次）</w:t>
            </w:r>
            <w:r/>
          </w:p>
        </w:tc>
        <w:tc>
          <w:tcPr>
            <w:shd w:val="clear" w:color="000000" w:fill="ffffff"/>
            <w:tcW w:w="104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tcW w:w="72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9"/>
            <w:tcW w:w="873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bookmarkStart w:id="103" w:name="OLE_LINK82"/>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元/年，三年共计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bookmarkEnd w:id="103"/>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1.2总院手术室回风过滤器统计</w:t>
      </w:r>
      <w:r/>
    </w:p>
    <w:tbl>
      <w:tblPr>
        <w:tblStyle w:val="751"/>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280"/>
        <w:gridCol w:w="1757"/>
        <w:gridCol w:w="955"/>
        <w:gridCol w:w="1288"/>
        <w:gridCol w:w="1020"/>
        <w:gridCol w:w="1538"/>
        <w:gridCol w:w="1139"/>
      </w:tblGrid>
      <w:tr>
        <w:trPr>
          <w:trHeight w:val="851"/>
        </w:trPr>
        <w:tc>
          <w:tcPr>
            <w:gridSpan w:val="2"/>
            <w:tcW w:w="150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W w:w="1757"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W w:w="95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128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102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单价（元）</w:t>
            </w:r>
            <w:r/>
          </w:p>
        </w:tc>
        <w:tc>
          <w:tcPr>
            <w:tcW w:w="1538"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更换频次（2次/1年）</w:t>
            </w:r>
            <w:r/>
          </w:p>
        </w:tc>
        <w:tc>
          <w:tcPr>
            <w:tcW w:w="113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548"/>
        </w:trPr>
        <w:tc>
          <w:tcPr>
            <w:gridSpan w:val="2"/>
            <w:tcW w:w="150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4F</w:t>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89</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435*385*40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82</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185*185*20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305*235*20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1235*335*20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209</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785*305*20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585*305*20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w:t>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785*335*20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235*235*20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485*305*20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385*385*20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80</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gridSpan w:val="2"/>
            <w:tcW w:w="1502"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5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485*235*20</w:t>
            </w:r>
            <w:r/>
          </w:p>
        </w:tc>
        <w:tc>
          <w:tcPr>
            <w:tcW w:w="9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8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84</w:t>
            </w:r>
            <w:r/>
          </w:p>
        </w:tc>
        <w:tc>
          <w:tcPr>
            <w:tcW w:w="102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8"/>
        </w:trPr>
        <w:tc>
          <w:tcPr>
            <w:tcW w:w="122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6"/>
            <w:tcW w:w="683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每年费用小计（单价×数量×更换频次）</w:t>
            </w:r>
            <w:r/>
          </w:p>
        </w:tc>
        <w:tc>
          <w:tcPr>
            <w:tcW w:w="113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6"/>
        </w:trPr>
        <w:tc>
          <w:tcPr>
            <w:tcW w:w="122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7"/>
            <w:tcW w:w="7977" w:type="dxa"/>
            <w:vAlign w:val="center"/>
            <w:textDirection w:val="lrTb"/>
            <w:noWrap/>
          </w:tcPr>
          <w:p>
            <w:pPr>
              <w:jc w:val="center"/>
              <w:widowControl/>
              <w:rPr>
                <w:rFonts w:hint="eastAsia" w:ascii="宋体" w:hAnsi="宋体" w:eastAsia="宋体" w:cs="宋体"/>
                <w:color w:val="auto"/>
                <w:sz w:val="21"/>
                <w:szCs w:val="21"/>
              </w:rPr>
            </w:pPr>
            <w:r/>
            <w:bookmarkStart w:id="104" w:name="OLE_LINK84"/>
            <w:r>
              <w:rPr>
                <w:rFonts w:hint="eastAsia" w:ascii="宋体" w:hAnsi="宋体" w:eastAsia="宋体" w:cs="宋体"/>
                <w:color w:val="auto"/>
                <w:sz w:val="21"/>
                <w:szCs w:val="21"/>
              </w:rPr>
              <w:t xml:space="preserve">合计：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元/年，三年共计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bookmarkEnd w:id="104"/>
            <w:r/>
            <w:r/>
          </w:p>
        </w:tc>
      </w:tr>
    </w:tbl>
    <w:p>
      <w:pPr>
        <w:pStyle w:val="996"/>
        <w:jc w:val="center"/>
        <w:rPr>
          <w:rFonts w:hint="eastAsia" w:ascii="宋体" w:hAnsi="宋体" w:eastAsia="宋体" w:cs="宋体"/>
          <w:b/>
          <w:color w:val="auto"/>
        </w:rPr>
      </w:pPr>
      <w:r>
        <w:rPr>
          <w:rFonts w:hint="eastAsia" w:ascii="宋体" w:hAnsi="宋体" w:eastAsia="宋体" w:cs="宋体"/>
          <w:b/>
          <w:color w:val="auto"/>
        </w:rPr>
      </w:r>
      <w:r/>
    </w:p>
    <w:p>
      <w:pPr>
        <w:pStyle w:val="996"/>
        <w:jc w:val="cente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1.3总院高效过滤器更换预算（</w:t>
      </w:r>
      <w:r>
        <w:rPr>
          <w:rFonts w:hint="eastAsia" w:ascii="宋体" w:hAnsi="宋体" w:eastAsia="宋体" w:cs="宋体"/>
          <w:b/>
          <w:bCs/>
          <w:color w:val="auto"/>
          <w:sz w:val="24"/>
          <w:szCs w:val="24"/>
        </w:rPr>
        <w:t xml:space="preserve">三年更换一次</w:t>
      </w:r>
      <w:r>
        <w:rPr>
          <w:rFonts w:hint="eastAsia" w:ascii="宋体" w:hAnsi="宋体" w:eastAsia="宋体" w:cs="宋体"/>
          <w:b/>
          <w:bCs/>
          <w:color w:val="auto"/>
          <w:sz w:val="28"/>
          <w:szCs w:val="28"/>
        </w:rPr>
        <w:t xml:space="preserve">）</w:t>
      </w:r>
      <w:r/>
    </w:p>
    <w:tbl>
      <w:tblPr>
        <w:tblStyle w:val="751"/>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6"/>
        <w:gridCol w:w="1601"/>
        <w:gridCol w:w="1505"/>
        <w:gridCol w:w="655"/>
        <w:gridCol w:w="1268"/>
        <w:gridCol w:w="1000"/>
        <w:gridCol w:w="1289"/>
      </w:tblGrid>
      <w:tr>
        <w:trPr>
          <w:trHeight w:val="459"/>
        </w:trPr>
        <w:tc>
          <w:tcPr>
            <w:tcW w:w="166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区域</w:t>
            </w:r>
            <w:r/>
          </w:p>
        </w:tc>
        <w:tc>
          <w:tcPr>
            <w:tcW w:w="160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类型</w:t>
            </w:r>
            <w:r/>
          </w:p>
        </w:tc>
        <w:tc>
          <w:tcPr>
            <w:tcW w:w="150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w:t>
            </w:r>
            <w:r/>
          </w:p>
        </w:tc>
        <w:tc>
          <w:tcPr>
            <w:tcW w:w="655"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1268"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100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单价（元）</w:t>
            </w:r>
            <w:r/>
          </w:p>
        </w:tc>
        <w:tc>
          <w:tcPr>
            <w:tcW w:w="128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小计（元/三年）</w:t>
            </w:r>
            <w:r/>
          </w:p>
        </w:tc>
      </w:tr>
      <w:tr>
        <w:trPr>
          <w:trHeight w:val="640"/>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中心手术室1-16#、20、21</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290*690*100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中心手术室17-19#/22/23</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910*420*70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451</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1010*747*70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840</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磁体间</w:t>
            </w:r>
            <w:r/>
          </w:p>
        </w:tc>
        <w:tc>
          <w:tcPr>
            <w:tcW w:w="16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290*690</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4"/>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中心手术室科室</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门诊手术室</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3"/>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手术室连廊</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341</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4"/>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DSA科室</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4"/>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DSA1#</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1630*545</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852</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695*345</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275</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9"/>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345*145</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DSA2#</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408*508</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308</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508*368</w:t>
            </w:r>
            <w:r/>
          </w:p>
        </w:tc>
        <w:tc>
          <w:tcPr>
            <w:tcW w:w="6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291</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90"/>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DSA3#</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住院楼4F东、西区ICU</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01"/>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住院楼23F西区</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341</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600*600*45</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253</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209</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9"/>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住院楼1F西一区静配中心</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550*550*80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572</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400*400*80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484</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门诊楼4F病理科</w:t>
            </w:r>
            <w:r/>
          </w:p>
        </w:tc>
        <w:tc>
          <w:tcPr>
            <w:tcW w:w="160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折叠式中效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286</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264</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726*484*90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726</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61"/>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tcW w:w="126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66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检验科PCR1期高效</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430</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297</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tcW w:w="166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顶液槽高效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320*320*95</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363</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1"/>
        </w:trPr>
        <w:tc>
          <w:tcPr>
            <w:tcW w:w="16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检验科PCR2期高效</w:t>
            </w:r>
            <w:r/>
          </w:p>
        </w:tc>
        <w:tc>
          <w:tcPr>
            <w:tcW w:w="16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无隔板亚高效</w:t>
            </w:r>
            <w:r/>
          </w:p>
        </w:tc>
        <w:tc>
          <w:tcPr>
            <w:tcW w:w="150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630*630*70</w:t>
            </w:r>
            <w:r/>
          </w:p>
        </w:tc>
        <w:tc>
          <w:tcPr>
            <w:tcW w:w="65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26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430</w:t>
            </w:r>
            <w:r/>
          </w:p>
        </w:tc>
        <w:tc>
          <w:tcPr>
            <w:tcW w:w="10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1"/>
        </w:trPr>
        <w:tc>
          <w:tcPr>
            <w:gridSpan w:val="6"/>
            <w:tcW w:w="769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三年合计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元（单价×数量）</w:t>
            </w:r>
            <w:r/>
          </w:p>
        </w:tc>
        <w:tc>
          <w:tcPr>
            <w:tcW w:w="128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996"/>
        <w:jc w:val="cente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2.1海陵院区初中效过滤器更换预算</w:t>
      </w:r>
      <w:r/>
    </w:p>
    <w:tbl>
      <w:tblPr>
        <w:tblStyle w:val="751"/>
        <w:tblW w:w="9671"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368"/>
        <w:gridCol w:w="977"/>
        <w:gridCol w:w="1062"/>
        <w:gridCol w:w="1883"/>
        <w:gridCol w:w="892"/>
        <w:gridCol w:w="870"/>
        <w:gridCol w:w="677"/>
        <w:gridCol w:w="1075"/>
        <w:gridCol w:w="870"/>
      </w:tblGrid>
      <w:tr>
        <w:trPr>
          <w:trHeight w:val="391"/>
        </w:trPr>
        <w:tc>
          <w:tcPr>
            <w:gridSpan w:val="2"/>
            <w:tcW w:w="1365"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977"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gridSpan w:val="7"/>
            <w:shd w:val="clear" w:color="000000" w:fill="ffffff"/>
            <w:tcW w:w="732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过滤网</w:t>
            </w:r>
            <w:r/>
          </w:p>
        </w:tc>
      </w:tr>
      <w:tr>
        <w:trPr>
          <w:trHeight w:val="620"/>
        </w:trPr>
        <w:tc>
          <w:tcPr>
            <w:gridSpan w:val="2"/>
            <w:tcW w:w="1365" w:type="dxa"/>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188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892"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shd w:val="clear" w:color="000000" w:fill="ffffff"/>
            <w:tcW w:w="87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67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tc>
        <w:tc>
          <w:tcPr>
            <w:tcW w:w="107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更换频次（4次/年）</w:t>
            </w:r>
            <w:r/>
          </w:p>
        </w:tc>
        <w:tc>
          <w:tcPr>
            <w:tcW w:w="87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502"/>
        </w:trPr>
        <w:tc>
          <w:tcPr>
            <w:gridSpan w:val="2"/>
            <w:tcW w:w="1365"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生殖中心（北附楼顶）</w:t>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JKS-1</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JKS-2</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JKS-4</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525×525×381-5</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JKS-3</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290×590×50</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490×590×381-5</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290×590×381-3</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AHU301</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62</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287×592×600-3</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287×287×600-3</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7"/>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AHU302</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AHU303</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AHU304</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592×592×600-6</w:t>
            </w:r>
            <w:r/>
          </w:p>
        </w:tc>
        <w:tc>
          <w:tcPr>
            <w:shd w:val="clear" w:color="000000" w:fill="ffffff"/>
            <w:tcW w:w="89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静配中心</w:t>
            </w:r>
            <w:r/>
          </w:p>
        </w:tc>
        <w:tc>
          <w:tcPr>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0"/>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新风机房</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414×657×46-8</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176</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吊顶</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9"/>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594×594×85-8</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95"/>
        </w:trPr>
        <w:tc>
          <w:tcPr>
            <w:gridSpan w:val="2"/>
            <w:tcW w:w="136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W w:w="977"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510×510×550-3</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gridSpan w:val="2"/>
            <w:tcW w:w="1365"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W w:w="977"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AHU101</w:t>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490×590×50</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590×590×50</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062"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490×590×35</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21"/>
        </w:trPr>
        <w:tc>
          <w:tcPr>
            <w:gridSpan w:val="2"/>
            <w:tcW w:w="1365"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7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6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88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595×595×35</w:t>
            </w:r>
            <w:r/>
          </w:p>
        </w:tc>
        <w:tc>
          <w:tcPr>
            <w:tcW w:w="89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67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7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tcW w:w="99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8"/>
            <w:tcW w:w="780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每年费用小计（单价×数量×更换频次）</w:t>
            </w:r>
            <w:r/>
          </w:p>
        </w:tc>
        <w:tc>
          <w:tcPr>
            <w:tcW w:w="87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56"/>
        </w:trPr>
        <w:tc>
          <w:tcPr>
            <w:tcW w:w="997" w:type="dxa"/>
            <w:vAlign w:val="center"/>
            <w:textDirection w:val="lrTb"/>
            <w:noWrap w:val="false"/>
          </w:tcPr>
          <w:p>
            <w:pPr>
              <w:ind w:firstLine="210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9"/>
            <w:tcW w:w="8674" w:type="dxa"/>
            <w:vAlign w:val="center"/>
            <w:textDirection w:val="lrTb"/>
            <w:noWrap/>
          </w:tcPr>
          <w:p>
            <w:pPr>
              <w:ind w:firstLine="210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元/年，三年共计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tc>
      </w:tr>
    </w:tbl>
    <w:p>
      <w:pPr>
        <w:pStyle w:val="996"/>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2.2海陵院区手术室回风过滤器统计</w:t>
      </w:r>
      <w:r/>
    </w:p>
    <w:tbl>
      <w:tblPr>
        <w:tblStyle w:val="751"/>
        <w:tblW w:w="9253" w:type="dxa"/>
        <w:tblInd w:w="0" w:type="dxa"/>
        <w:tblLayout w:type="autofit"/>
        <w:tblCellMar>
          <w:left w:w="108" w:type="dxa"/>
          <w:top w:w="0" w:type="dxa"/>
          <w:right w:w="108" w:type="dxa"/>
          <w:bottom w:w="0" w:type="dxa"/>
        </w:tblCellMar>
        <w:tblLook w:val="04A0" w:firstRow="1" w:lastRow="0" w:firstColumn="1" w:lastColumn="0" w:noHBand="0" w:noVBand="1"/>
      </w:tblPr>
      <w:tblGrid>
        <w:gridCol w:w="869"/>
        <w:gridCol w:w="539"/>
        <w:gridCol w:w="725"/>
        <w:gridCol w:w="1476"/>
        <w:gridCol w:w="752"/>
        <w:gridCol w:w="1111"/>
        <w:gridCol w:w="1247"/>
        <w:gridCol w:w="1373"/>
        <w:gridCol w:w="1161"/>
      </w:tblGrid>
      <w:tr>
        <w:trPr>
          <w:trHeight w:val="750"/>
        </w:trPr>
        <w:tc>
          <w:tcPr>
            <w:tcBorders>
              <w:top w:val="single" w:color="auto" w:sz="4" w:space="0"/>
              <w:left w:val="single" w:color="auto" w:sz="4" w:space="0"/>
              <w:bottom w:val="single" w:color="auto" w:sz="4" w:space="0"/>
              <w:right w:val="single" w:color="auto" w:sz="4" w:space="0"/>
            </w:tcBorders>
            <w:tcW w:w="86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板式回风过滤器型号</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（元）</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更换频次（次/1年）</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690×290×90</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154</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320×290×90</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3"/>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290×290×96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tcBorders>
              <w:top w:val="single" w:color="auto"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290×580×96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gridSpan w:val="2"/>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6"/>
            <w:tcBorders>
              <w:top w:val="single" w:color="auto" w:sz="4" w:space="0"/>
              <w:left w:val="single" w:color="auto" w:sz="4" w:space="0"/>
              <w:bottom w:val="single" w:color="auto" w:sz="4" w:space="0"/>
              <w:right w:val="single" w:color="auto" w:sz="4" w:space="0"/>
            </w:tcBorders>
            <w:tcW w:w="66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每年费用小计（单价×数量×更换频次）</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1"/>
        </w:trPr>
        <w:tc>
          <w:tcPr>
            <w:gridSpan w:val="2"/>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7"/>
            <w:tcBorders>
              <w:top w:val="single" w:color="auto" w:sz="4" w:space="0"/>
              <w:left w:val="single" w:color="auto" w:sz="4" w:space="0"/>
              <w:bottom w:val="single" w:color="auto" w:sz="4" w:space="0"/>
              <w:right w:val="single" w:color="auto" w:sz="4" w:space="0"/>
            </w:tcBorders>
            <w:tcW w:w="784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元/年，三年共计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2.3海陵院区高效过滤器更换预算（</w:t>
      </w:r>
      <w:r>
        <w:rPr>
          <w:rFonts w:hint="eastAsia" w:ascii="宋体" w:hAnsi="宋体" w:eastAsia="宋体" w:cs="宋体"/>
          <w:b/>
          <w:bCs/>
          <w:color w:val="auto"/>
          <w:sz w:val="24"/>
          <w:szCs w:val="24"/>
        </w:rPr>
        <w:t xml:space="preserve">三年更换一次</w:t>
      </w:r>
      <w:r>
        <w:rPr>
          <w:rFonts w:hint="eastAsia" w:ascii="宋体" w:hAnsi="宋体" w:eastAsia="宋体" w:cs="宋体"/>
          <w:b/>
          <w:bCs/>
          <w:color w:val="auto"/>
          <w:sz w:val="28"/>
          <w:szCs w:val="28"/>
        </w:rPr>
        <w:t xml:space="preserve">）</w:t>
      </w:r>
      <w:r/>
    </w:p>
    <w:tbl>
      <w:tblPr>
        <w:tblStyle w:val="75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1263"/>
        <w:gridCol w:w="1709"/>
        <w:gridCol w:w="871"/>
        <w:gridCol w:w="1431"/>
        <w:gridCol w:w="1060"/>
        <w:gridCol w:w="1380"/>
      </w:tblGrid>
      <w:tr>
        <w:trPr>
          <w:trHeight w:val="500"/>
        </w:trPr>
        <w:tc>
          <w:tcPr>
            <w:tcW w:w="134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位置</w:t>
            </w:r>
            <w:r/>
          </w:p>
        </w:tc>
        <w:tc>
          <w:tcPr>
            <w:tcW w:w="1709"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高效送风过滤器型号</w:t>
            </w:r>
            <w:r/>
          </w:p>
        </w:tc>
        <w:tc>
          <w:tcPr>
            <w:tcW w:w="87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143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1060"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单价（元）</w:t>
            </w:r>
            <w:r/>
          </w:p>
        </w:tc>
        <w:tc>
          <w:tcPr>
            <w:tcW w:w="138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小计（元/三年</w:t>
            </w:r>
            <w:r/>
          </w:p>
        </w:tc>
      </w:tr>
      <w:tr>
        <w:trPr>
          <w:trHeight w:val="285"/>
        </w:trPr>
        <w:tc>
          <w:tcPr>
            <w:tcW w:w="13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手术室</w:t>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1#手术室</w:t>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2#手术室</w:t>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3#手术室</w:t>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4#手术室</w:t>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W型610×305×292</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腔镜清洗间</w:t>
            </w:r>
            <w:r/>
          </w:p>
        </w:tc>
        <w:tc>
          <w:tcPr>
            <w:tcW w:w="170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264</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洗涤间</w:t>
            </w:r>
            <w:r/>
          </w:p>
        </w:tc>
        <w:tc>
          <w:tcPr>
            <w:tcW w:w="170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475×475×69</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264</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W w:w="1346"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南院静配中心</w:t>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550*550*90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462</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600*600*150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528</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00"/>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400*400*90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352</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W w:w="134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生殖中心</w:t>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510*510*80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42</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616</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W w:w="13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南院中心实验室细胞培养室</w:t>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480×480×210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528</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320×320×210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3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462</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动物房</w:t>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320*320*90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484*484*90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390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tcW w:w="1346"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630*630*90</w:t>
            </w:r>
            <w:r/>
          </w:p>
        </w:tc>
        <w:tc>
          <w:tcPr>
            <w:tcW w:w="87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4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550</w:t>
            </w:r>
            <w:r/>
          </w:p>
        </w:tc>
        <w:tc>
          <w:tcPr>
            <w:tcW w:w="106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8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5"/>
        </w:trPr>
        <w:tc>
          <w:tcPr>
            <w:gridSpan w:val="5"/>
            <w:tcW w:w="662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三年合计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元（单价×数量）</w:t>
            </w:r>
            <w:r/>
          </w:p>
        </w:tc>
        <w:tc>
          <w:tcPr>
            <w:gridSpan w:val="2"/>
            <w:tcW w:w="244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3妇幼初中效过滤器统计</w:t>
      </w:r>
      <w:r/>
    </w:p>
    <w:tbl>
      <w:tblPr>
        <w:tblStyle w:val="75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00"/>
        <w:gridCol w:w="967"/>
        <w:gridCol w:w="1311"/>
        <w:gridCol w:w="1670"/>
        <w:gridCol w:w="851"/>
        <w:gridCol w:w="850"/>
        <w:gridCol w:w="851"/>
        <w:gridCol w:w="850"/>
        <w:gridCol w:w="851"/>
      </w:tblGrid>
      <w:tr>
        <w:trPr>
          <w:trHeight w:val="313"/>
        </w:trPr>
        <w:tc>
          <w:tcPr>
            <w:gridSpan w:val="2"/>
            <w:tcW w:w="1150"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机房位置</w:t>
            </w:r>
            <w:r/>
          </w:p>
        </w:tc>
        <w:tc>
          <w:tcPr>
            <w:shd w:val="clear" w:color="000000" w:fill="ffffff"/>
            <w:tcW w:w="967"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编号</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shd w:val="clear" w:color="000000" w:fill="ffffff"/>
            <w:tcW w:w="1670"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规格型号</w:t>
            </w:r>
            <w:r/>
          </w:p>
        </w:tc>
        <w:tc>
          <w:tcPr>
            <w:shd w:val="clear" w:color="000000" w:fill="ffffff"/>
            <w:tcW w:w="851"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数量（个）</w:t>
            </w:r>
            <w:r/>
          </w:p>
        </w:tc>
        <w:tc>
          <w:tcPr>
            <w:shd w:val="clear" w:color="000000" w:fill="ffffff"/>
            <w:tcW w:w="850"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单价最高限价（元）</w:t>
            </w:r>
            <w:r/>
          </w:p>
        </w:tc>
        <w:tc>
          <w:tcPr>
            <w:tcW w:w="851"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单价（元）</w:t>
            </w:r>
            <w:r/>
          </w:p>
        </w:tc>
        <w:tc>
          <w:tcPr>
            <w:tcW w:w="850" w:type="dxa"/>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更换频次（次/年）</w:t>
            </w:r>
            <w:r/>
          </w:p>
        </w:tc>
        <w:tc>
          <w:tcPr>
            <w:tcW w:w="851" w:type="dxa"/>
            <w:vAlign w:val="center"/>
            <w:vMerge w:val="restart"/>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小计（元/每年）</w:t>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门诊楼1层（公共区域）</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AHU-1-1</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AHU-1-2</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PAU1-1</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PAU1-2</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门诊楼2层（公共区域）</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AHU-2-1</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AHU-2-2</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595×595×45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PAU2-1</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PAU2-2</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595×493×45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住院楼5楼设备层（NICU）</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AHU-ICU-03</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AHU-ICU-04</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592×592×46</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289×592×46</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592×592×381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165</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289×592×381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箱式亚高效过滤器</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592×592×292</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住院楼5层设备层（产房）</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AHU-4F-CF1</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AHU-4F-CF2</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77</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592×490×45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143</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592×290×45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106</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住院楼5层</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5C</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5B</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PAU5-3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5A</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住院楼6层</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6C</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6B</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PAU6-3</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6A</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住院楼7层</w:t>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PAU7-1</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7C</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967"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PAU7-2</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7A</w:t>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198</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初效板式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510×1020×21</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6"/>
        </w:trPr>
        <w:tc>
          <w:tcPr>
            <w:gridSpan w:val="2"/>
            <w:tcW w:w="115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67"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131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中效袋式</w:t>
            </w:r>
            <w:r/>
          </w:p>
        </w:tc>
        <w:tc>
          <w:tcPr>
            <w:tcW w:w="167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510×845×95</w:t>
            </w:r>
            <w:r/>
          </w:p>
        </w:tc>
        <w:tc>
          <w:tcPr>
            <w:shd w:val="clear" w:color="000000" w:fill="ffffff"/>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280</w:t>
            </w:r>
            <w:r/>
          </w:p>
        </w:tc>
        <w:tc>
          <w:tcPr>
            <w:tcW w:w="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6"/>
        </w:trPr>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8"/>
            <w:tcW w:w="765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每年费用小计（单价×数量×更换频次）</w:t>
            </w:r>
            <w:r/>
          </w:p>
        </w:tc>
        <w:tc>
          <w:tcPr>
            <w:tcW w:w="85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6"/>
        </w:trPr>
        <w:tc>
          <w:tcPr>
            <w:tcW w:w="8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9"/>
            <w:tcW w:w="8501" w:type="dxa"/>
            <w:vAlign w:val="center"/>
            <w:textDirection w:val="lrTb"/>
            <w:noWrap/>
          </w:tcPr>
          <w:p>
            <w:pPr>
              <w:jc w:val="center"/>
              <w:widowControl/>
              <w:rPr>
                <w:rFonts w:hint="eastAsia" w:ascii="宋体" w:hAnsi="宋体" w:eastAsia="宋体" w:cs="宋体"/>
                <w:color w:val="auto"/>
                <w:sz w:val="21"/>
                <w:szCs w:val="21"/>
              </w:rPr>
            </w:pPr>
            <w:r/>
            <w:bookmarkStart w:id="105" w:name="OLE_LINK91"/>
            <w:r>
              <w:rPr>
                <w:rFonts w:hint="eastAsia" w:ascii="宋体" w:hAnsi="宋体" w:eastAsia="宋体" w:cs="宋体"/>
                <w:color w:val="auto"/>
                <w:sz w:val="21"/>
                <w:szCs w:val="21"/>
              </w:rPr>
              <w:t xml:space="preserve">合计：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元/年，三年共计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bookmarkEnd w:id="105"/>
            <w:r/>
            <w:r/>
          </w:p>
        </w:tc>
      </w:tr>
    </w:tbl>
    <w:p>
      <w:pPr>
        <w:jc w:val="right"/>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hint="eastAsia"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78"/>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一、质疑供应商基本信息</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质疑供应商：</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地址：邮编：</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联系人：联系电话：</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授权代表：</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联系电话：</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地址：邮编：</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二、质疑项目基本情况</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质疑项目的名称：</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质疑项目的编号：包号：</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采购人名称：</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采购文件获取日期：</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三、质疑事项具体内容</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质疑事项1：</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事实依据：</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法律依据：</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质疑事项2</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四、与质疑事项相关的质疑请求</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请求：</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签字（签字或盖章）：    公章：</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日期：</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质疑函制作说明：</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1.供应商质疑时，应提交质疑函和必要的证明材料。</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3.质疑供应商若对项目的某一分包进行质疑，质疑函中应列明具体分包号。</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4.质疑函的质疑事项应具体、明确，并有必要的事实依据和法律依据。</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5.质疑函的质疑请求应与质疑事项相关。</w:t>
      </w:r>
      <w:r/>
    </w:p>
    <w:p>
      <w:pPr>
        <w:pStyle w:val="778"/>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sectPr>
      <w:headerReference w:type="default" r:id="rId8"/>
      <w:footerReference w:type="default" r:id="rId9"/>
      <w:footerReference w:type="first" r:id="rId10"/>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next w:val="752"/>
    <w:uiPriority w:val="0"/>
    <w:qFormat/>
    <w:pPr>
      <w:jc w:val="both"/>
      <w:widowControl w:val="off"/>
    </w:pPr>
    <w:rPr>
      <w:rFonts w:ascii="Times New Roman" w:hAnsi="Times New Roman" w:eastAsia="楷体_GB2312" w:cs="Times New Roman"/>
      <w:sz w:val="26"/>
      <w:lang w:val="en-US" w:eastAsia="zh-CN" w:bidi="ar-SA"/>
    </w:rPr>
  </w:style>
  <w:style w:type="paragraph" w:styleId="741">
    <w:name w:val="Heading 1"/>
    <w:basedOn w:val="740"/>
    <w:next w:val="740"/>
    <w:link w:val="979"/>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4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4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47"/>
    <w:uiPriority w:val="9"/>
    <w:unhideWhenUsed/>
    <w:qFormat/>
    <w:pPr>
      <w:keepLines/>
      <w:keepNext/>
      <w:spacing w:before="320" w:after="200"/>
      <w:outlineLvl w:val="3"/>
    </w:pPr>
    <w:rPr>
      <w:rFonts w:ascii="Arial" w:hAnsi="Arial" w:eastAsia="Arial" w:cs="Arial"/>
      <w:b/>
      <w:bCs/>
      <w:szCs w:val="26"/>
    </w:rPr>
  </w:style>
  <w:style w:type="paragraph" w:styleId="745">
    <w:name w:val="Heading 5"/>
    <w:basedOn w:val="740"/>
    <w:next w:val="740"/>
    <w:link w:val="84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Body Text"/>
    <w:basedOn w:val="740"/>
    <w:uiPriority w:val="0"/>
    <w:qFormat/>
    <w:rPr>
      <w:rFonts w:ascii="楷体_GB2312" w:hAnsi="Arial"/>
      <w:sz w:val="28"/>
    </w:rPr>
  </w:style>
  <w:style w:type="paragraph" w:styleId="753">
    <w:name w:val="toc 7"/>
    <w:basedOn w:val="740"/>
    <w:next w:val="740"/>
    <w:uiPriority w:val="39"/>
    <w:unhideWhenUsed/>
    <w:qFormat/>
    <w:pPr>
      <w:ind w:left="1701"/>
      <w:spacing w:after="57"/>
    </w:pPr>
  </w:style>
  <w:style w:type="paragraph" w:styleId="754">
    <w:name w:val="table of authorities"/>
    <w:basedOn w:val="740"/>
    <w:next w:val="740"/>
    <w:uiPriority w:val="99"/>
    <w:qFormat/>
    <w:pPr>
      <w:jc w:val="center"/>
      <w:spacing w:after="200"/>
    </w:pPr>
    <w:rPr>
      <w:rFonts w:eastAsia="黑体"/>
      <w:b/>
      <w:sz w:val="18"/>
    </w:rPr>
  </w:style>
  <w:style w:type="paragraph" w:styleId="755">
    <w:name w:val="Normal Indent"/>
    <w:basedOn w:val="740"/>
    <w:link w:val="1125"/>
    <w:uiPriority w:val="0"/>
    <w:unhideWhenUsed/>
    <w:qFormat/>
    <w:pPr>
      <w:ind w:firstLine="420"/>
      <w:jc w:val="left"/>
    </w:pPr>
    <w:rPr>
      <w:sz w:val="24"/>
    </w:rPr>
  </w:style>
  <w:style w:type="paragraph" w:styleId="756">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Document Map"/>
    <w:basedOn w:val="740"/>
    <w:uiPriority w:val="0"/>
    <w:unhideWhenUsed/>
    <w:qFormat/>
    <w:pPr>
      <w:shd w:val="clear" w:color="auto" w:fill="000080"/>
    </w:pPr>
    <w:rPr>
      <w:rFonts w:eastAsia="宋体"/>
      <w:sz w:val="21"/>
      <w:szCs w:val="24"/>
    </w:rPr>
  </w:style>
  <w:style w:type="paragraph" w:styleId="758">
    <w:name w:val="annotation text"/>
    <w:basedOn w:val="740"/>
    <w:uiPriority w:val="0"/>
    <w:qFormat/>
    <w:pPr>
      <w:jc w:val="left"/>
    </w:pPr>
  </w:style>
  <w:style w:type="paragraph" w:styleId="759">
    <w:name w:val="Body Text Indent"/>
    <w:basedOn w:val="740"/>
    <w:link w:val="1166"/>
    <w:uiPriority w:val="0"/>
    <w:qFormat/>
    <w:pPr>
      <w:ind w:firstLine="645"/>
    </w:pPr>
    <w:rPr>
      <w:rFonts w:ascii="楷体_GB2312" w:hAnsiTheme="minorHAnsi" w:cstheme="minorBidi"/>
      <w:sz w:val="32"/>
      <w:szCs w:val="22"/>
    </w:rPr>
  </w:style>
  <w:style w:type="paragraph" w:styleId="760">
    <w:name w:val="index 4"/>
    <w:basedOn w:val="740"/>
    <w:next w:val="740"/>
    <w:uiPriority w:val="0"/>
    <w:semiHidden/>
    <w:qFormat/>
    <w:pPr>
      <w:ind w:left="1260"/>
    </w:pPr>
  </w:style>
  <w:style w:type="paragraph" w:styleId="761">
    <w:name w:val="toc 5"/>
    <w:basedOn w:val="740"/>
    <w:next w:val="740"/>
    <w:uiPriority w:val="39"/>
    <w:unhideWhenUsed/>
    <w:qFormat/>
    <w:pPr>
      <w:ind w:left="1134"/>
      <w:spacing w:after="57"/>
    </w:pPr>
  </w:style>
  <w:style w:type="paragraph" w:styleId="762">
    <w:name w:val="toc 3"/>
    <w:basedOn w:val="740"/>
    <w:next w:val="740"/>
    <w:uiPriority w:val="39"/>
    <w:unhideWhenUsed/>
    <w:qFormat/>
    <w:pPr>
      <w:ind w:left="567"/>
      <w:spacing w:after="57"/>
    </w:pPr>
  </w:style>
  <w:style w:type="paragraph" w:styleId="763">
    <w:name w:val="Plain Text"/>
    <w:basedOn w:val="740"/>
    <w:next w:val="755"/>
    <w:link w:val="1119"/>
    <w:uiPriority w:val="0"/>
    <w:unhideWhenUsed/>
    <w:qFormat/>
    <w:rPr>
      <w:rFonts w:ascii="宋体" w:hAnsi="Courier New"/>
    </w:rPr>
  </w:style>
  <w:style w:type="paragraph" w:styleId="764">
    <w:name w:val="toc 8"/>
    <w:basedOn w:val="740"/>
    <w:next w:val="740"/>
    <w:uiPriority w:val="39"/>
    <w:unhideWhenUsed/>
    <w:qFormat/>
    <w:pPr>
      <w:ind w:left="1984"/>
      <w:spacing w:after="57"/>
    </w:pPr>
  </w:style>
  <w:style w:type="paragraph" w:styleId="765">
    <w:name w:val="endnote text"/>
    <w:basedOn w:val="740"/>
    <w:link w:val="969"/>
    <w:uiPriority w:val="99"/>
    <w:semiHidden/>
    <w:unhideWhenUsed/>
    <w:qFormat/>
    <w:rPr>
      <w:sz w:val="20"/>
    </w:rPr>
  </w:style>
  <w:style w:type="paragraph" w:styleId="766">
    <w:name w:val="Footer"/>
    <w:basedOn w:val="740"/>
    <w:link w:val="861"/>
    <w:uiPriority w:val="99"/>
    <w:unhideWhenUsed/>
    <w:qFormat/>
    <w:pPr>
      <w:tabs>
        <w:tab w:val="center" w:pos="7143" w:leader="none"/>
        <w:tab w:val="right" w:pos="14287" w:leader="none"/>
      </w:tabs>
    </w:pPr>
  </w:style>
  <w:style w:type="paragraph" w:styleId="767">
    <w:name w:val="envelope return"/>
    <w:basedOn w:val="740"/>
    <w:uiPriority w:val="0"/>
    <w:unhideWhenUsed/>
    <w:qFormat/>
    <w:rPr>
      <w:rFonts w:ascii="Arial" w:hAnsi="Arial"/>
    </w:rPr>
  </w:style>
  <w:style w:type="paragraph" w:styleId="768">
    <w:name w:val="Header"/>
    <w:basedOn w:val="740"/>
    <w:link w:val="859"/>
    <w:uiPriority w:val="99"/>
    <w:unhideWhenUsed/>
    <w:qFormat/>
    <w:pPr>
      <w:tabs>
        <w:tab w:val="center" w:pos="7143" w:leader="none"/>
        <w:tab w:val="right" w:pos="14287" w:leader="none"/>
      </w:tabs>
    </w:pPr>
  </w:style>
  <w:style w:type="paragraph" w:styleId="769">
    <w:name w:val="toc 1"/>
    <w:basedOn w:val="740"/>
    <w:next w:val="740"/>
    <w:uiPriority w:val="39"/>
    <w:unhideWhenUsed/>
    <w:qFormat/>
    <w:pPr>
      <w:spacing w:after="57"/>
    </w:pPr>
  </w:style>
  <w:style w:type="paragraph" w:styleId="770">
    <w:name w:val="toc 4"/>
    <w:basedOn w:val="740"/>
    <w:next w:val="740"/>
    <w:uiPriority w:val="39"/>
    <w:unhideWhenUsed/>
    <w:qFormat/>
    <w:pPr>
      <w:ind w:left="850"/>
      <w:spacing w:after="57"/>
    </w:pPr>
  </w:style>
  <w:style w:type="paragraph" w:styleId="771">
    <w:name w:val="Subtitle"/>
    <w:basedOn w:val="740"/>
    <w:next w:val="740"/>
    <w:link w:val="854"/>
    <w:uiPriority w:val="11"/>
    <w:qFormat/>
    <w:pPr>
      <w:spacing w:before="200" w:after="200"/>
    </w:pPr>
    <w:rPr>
      <w:sz w:val="24"/>
      <w:szCs w:val="24"/>
    </w:rPr>
  </w:style>
  <w:style w:type="paragraph" w:styleId="772">
    <w:name w:val="footnote text"/>
    <w:basedOn w:val="740"/>
    <w:link w:val="968"/>
    <w:uiPriority w:val="99"/>
    <w:semiHidden/>
    <w:unhideWhenUsed/>
    <w:qFormat/>
    <w:pPr>
      <w:spacing w:after="40"/>
    </w:pPr>
    <w:rPr>
      <w:sz w:val="18"/>
    </w:rPr>
  </w:style>
  <w:style w:type="paragraph" w:styleId="773">
    <w:name w:val="toc 6"/>
    <w:basedOn w:val="740"/>
    <w:next w:val="740"/>
    <w:uiPriority w:val="39"/>
    <w:unhideWhenUsed/>
    <w:qFormat/>
    <w:pPr>
      <w:ind w:left="1417"/>
      <w:spacing w:after="57"/>
    </w:pPr>
  </w:style>
  <w:style w:type="paragraph" w:styleId="774">
    <w:name w:val="table of figures"/>
    <w:basedOn w:val="740"/>
    <w:next w:val="740"/>
    <w:uiPriority w:val="99"/>
    <w:unhideWhenUsed/>
    <w:qFormat/>
  </w:style>
  <w:style w:type="paragraph" w:styleId="775">
    <w:name w:val="toc 2"/>
    <w:basedOn w:val="740"/>
    <w:next w:val="740"/>
    <w:uiPriority w:val="39"/>
    <w:unhideWhenUsed/>
    <w:qFormat/>
    <w:pPr>
      <w:ind w:left="283"/>
      <w:spacing w:after="57"/>
    </w:pPr>
  </w:style>
  <w:style w:type="paragraph" w:styleId="776">
    <w:name w:val="toc 9"/>
    <w:basedOn w:val="740"/>
    <w:next w:val="740"/>
    <w:uiPriority w:val="39"/>
    <w:unhideWhenUsed/>
    <w:qFormat/>
    <w:pPr>
      <w:ind w:left="2268"/>
      <w:spacing w:after="57"/>
    </w:pPr>
  </w:style>
  <w:style w:type="paragraph" w:styleId="777">
    <w:name w:val="Body Text 2"/>
    <w:basedOn w:val="740"/>
    <w:uiPriority w:val="0"/>
    <w:qFormat/>
    <w:pPr>
      <w:jc w:val="center"/>
    </w:pPr>
    <w:rPr>
      <w:rFonts w:ascii="仿宋_GB2312" w:eastAsia="仿宋_GB2312"/>
      <w:sz w:val="44"/>
    </w:rPr>
  </w:style>
  <w:style w:type="paragraph" w:styleId="778">
    <w:name w:val="Normal (Web)"/>
    <w:basedOn w:val="740"/>
    <w:uiPriority w:val="0"/>
    <w:unhideWhenUsed/>
    <w:qFormat/>
    <w:pPr>
      <w:jc w:val="left"/>
      <w:spacing w:beforeAutospacing="1" w:afterAutospacing="1"/>
    </w:pPr>
    <w:rPr>
      <w:sz w:val="24"/>
    </w:rPr>
  </w:style>
  <w:style w:type="paragraph" w:styleId="779">
    <w:name w:val="Title"/>
    <w:basedOn w:val="740"/>
    <w:next w:val="740"/>
    <w:link w:val="853"/>
    <w:uiPriority w:val="10"/>
    <w:qFormat/>
    <w:pPr>
      <w:contextualSpacing/>
      <w:spacing w:before="300" w:after="200"/>
    </w:pPr>
    <w:rPr>
      <w:sz w:val="48"/>
      <w:szCs w:val="48"/>
    </w:rPr>
  </w:style>
  <w:style w:type="paragraph" w:styleId="780">
    <w:name w:val="annotation subject"/>
    <w:basedOn w:val="758"/>
    <w:next w:val="781"/>
    <w:uiPriority w:val="0"/>
    <w:qFormat/>
    <w:rPr>
      <w:b/>
      <w:bCs/>
    </w:rPr>
  </w:style>
  <w:style w:type="paragraph" w:styleId="781" w:customStyle="1">
    <w:name w:val="Plain Text1"/>
    <w:basedOn w:val="740"/>
    <w:next w:val="753"/>
    <w:uiPriority w:val="0"/>
    <w:qFormat/>
    <w:pPr>
      <w:ind w:firstLine="3584"/>
      <w:spacing w:line="360" w:lineRule="auto"/>
    </w:pPr>
  </w:style>
  <w:style w:type="paragraph" w:styleId="782">
    <w:name w:val="Body Text First Indent"/>
    <w:basedOn w:val="752"/>
    <w:uiPriority w:val="0"/>
    <w:qFormat/>
    <w:pPr>
      <w:ind w:firstLine="420"/>
    </w:pPr>
    <w:rPr>
      <w:rFonts w:ascii="Verdana" w:hAnsi="Verdana"/>
      <w:szCs w:val="28"/>
      <w:lang w:eastAsia="en-US"/>
    </w:rPr>
  </w:style>
  <w:style w:type="paragraph" w:styleId="783">
    <w:name w:val="Body Text First Indent 2"/>
    <w:basedOn w:val="759"/>
    <w:uiPriority w:val="99"/>
    <w:unhideWhenUsed/>
    <w:qFormat/>
    <w:pPr>
      <w:ind w:firstLine="200"/>
    </w:p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0"/>
    <w:uiPriority w:val="0"/>
    <w:qFormat/>
    <w:rPr>
      <w:b/>
      <w:bCs/>
    </w:rPr>
  </w:style>
  <w:style w:type="character" w:styleId="786">
    <w:name w:val="endnote reference"/>
    <w:uiPriority w:val="99"/>
    <w:semiHidden/>
    <w:unhideWhenUsed/>
    <w:qFormat/>
    <w:rPr>
      <w:vertAlign w:val="superscript"/>
    </w:rPr>
  </w:style>
  <w:style w:type="character" w:styleId="787">
    <w:name w:val="FollowedHyperlink"/>
    <w:basedOn w:val="750"/>
    <w:uiPriority w:val="99"/>
    <w:semiHidden/>
    <w:unhideWhenUsed/>
    <w:qFormat/>
    <w:rPr>
      <w:color w:val="5c5c5c"/>
      <w:u w:val="none"/>
    </w:rPr>
  </w:style>
  <w:style w:type="character" w:styleId="788">
    <w:name w:val="Emphasis"/>
    <w:basedOn w:val="750"/>
    <w:uiPriority w:val="20"/>
    <w:qFormat/>
    <w:rPr>
      <w:b/>
      <w:bCs/>
    </w:rPr>
  </w:style>
  <w:style w:type="character" w:styleId="789">
    <w:name w:val="HTML Definition"/>
    <w:basedOn w:val="750"/>
    <w:uiPriority w:val="99"/>
    <w:semiHidden/>
    <w:unhideWhenUsed/>
    <w:qFormat/>
  </w:style>
  <w:style w:type="character" w:styleId="790">
    <w:name w:val="HTML Typewriter"/>
    <w:basedOn w:val="750"/>
    <w:uiPriority w:val="99"/>
    <w:semiHidden/>
    <w:unhideWhenUsed/>
    <w:qFormat/>
    <w:rPr>
      <w:rFonts w:ascii="monospace" w:hAnsi="monospace" w:eastAsia="monospace" w:cs="monospace"/>
      <w:sz w:val="20"/>
    </w:rPr>
  </w:style>
  <w:style w:type="character" w:styleId="791">
    <w:name w:val="HTML Acronym"/>
    <w:basedOn w:val="750"/>
    <w:uiPriority w:val="99"/>
    <w:semiHidden/>
    <w:unhideWhenUsed/>
    <w:qFormat/>
  </w:style>
  <w:style w:type="character" w:styleId="792">
    <w:name w:val="HTML Variable"/>
    <w:basedOn w:val="750"/>
    <w:uiPriority w:val="99"/>
    <w:semiHidden/>
    <w:unhideWhenUsed/>
    <w:qFormat/>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HTML Code"/>
    <w:basedOn w:val="750"/>
    <w:uiPriority w:val="99"/>
    <w:semiHidden/>
    <w:unhideWhenUsed/>
    <w:qFormat/>
    <w:rPr>
      <w:rFonts w:hint="default" w:ascii="monospace" w:hAnsi="monospace" w:eastAsia="monospace" w:cs="monospace"/>
      <w:vanish/>
      <w:sz w:val="20"/>
    </w:rPr>
  </w:style>
  <w:style w:type="character" w:styleId="795">
    <w:name w:val="HTML Cite"/>
    <w:basedOn w:val="750"/>
    <w:uiPriority w:val="99"/>
    <w:semiHidden/>
    <w:unhideWhenUsed/>
    <w:qFormat/>
  </w:style>
  <w:style w:type="character" w:styleId="796">
    <w:name w:val="footnote reference"/>
    <w:uiPriority w:val="99"/>
    <w:unhideWhenUsed/>
    <w:qFormat/>
    <w:rPr>
      <w:vertAlign w:val="superscript"/>
    </w:rPr>
  </w:style>
  <w:style w:type="character" w:styleId="797">
    <w:name w:val="HTML Keyboard"/>
    <w:basedOn w:val="750"/>
    <w:uiPriority w:val="99"/>
    <w:semiHidden/>
    <w:unhideWhenUsed/>
    <w:qFormat/>
    <w:rPr>
      <w:rFonts w:hint="default" w:ascii="monospace" w:hAnsi="monospace" w:eastAsia="monospace" w:cs="monospace"/>
      <w:sz w:val="20"/>
    </w:rPr>
  </w:style>
  <w:style w:type="character" w:styleId="798">
    <w:name w:val="HTML Sample"/>
    <w:basedOn w:val="750"/>
    <w:uiPriority w:val="99"/>
    <w:semiHidden/>
    <w:unhideWhenUsed/>
    <w:qFormat/>
    <w:rPr>
      <w:rFonts w:hint="default" w:ascii="monospace" w:hAnsi="monospace" w:eastAsia="monospace" w:cs="monospace"/>
    </w:rPr>
  </w:style>
  <w:style w:type="paragraph" w:styleId="799" w:customStyle="1">
    <w:name w:val="正文文本1"/>
    <w:basedOn w:val="740"/>
    <w:next w:val="740"/>
    <w:link w:val="992"/>
    <w:uiPriority w:val="0"/>
    <w:unhideWhenUsed/>
    <w:qFormat/>
    <w:rPr>
      <w:rFonts w:ascii="楷体_GB2312"/>
      <w:b/>
      <w:bCs/>
      <w:sz w:val="28"/>
    </w:rPr>
  </w:style>
  <w:style w:type="paragraph" w:styleId="800" w:customStyle="1">
    <w:name w:val="正文文本缩进1"/>
    <w:basedOn w:val="740"/>
    <w:next w:val="801"/>
    <w:link w:val="993"/>
    <w:uiPriority w:val="0"/>
    <w:unhideWhenUsed/>
    <w:qFormat/>
    <w:pPr>
      <w:ind w:firstLine="570"/>
    </w:pPr>
    <w:rPr>
      <w:rFonts w:ascii="宋体" w:eastAsia="宋体"/>
      <w:sz w:val="28"/>
    </w:rPr>
  </w:style>
  <w:style w:type="paragraph" w:styleId="801" w:customStyle="1">
    <w:name w:val="寄信人地址1"/>
    <w:basedOn w:val="740"/>
    <w:uiPriority w:val="99"/>
    <w:unhideWhenUsed/>
    <w:qFormat/>
    <w:rPr>
      <w:rFonts w:ascii="Arial" w:hAnsi="Arial"/>
    </w:rPr>
  </w:style>
  <w:style w:type="paragraph" w:styleId="802" w:customStyle="1">
    <w:name w:val="列出段落1"/>
    <w:basedOn w:val="740"/>
    <w:uiPriority w:val="0"/>
    <w:qFormat/>
    <w:pPr>
      <w:ind w:firstLine="420"/>
    </w:pPr>
    <w:rPr>
      <w:rFonts w:ascii="Calibri" w:hAnsi="Calibri" w:eastAsia="宋体"/>
      <w:sz w:val="21"/>
      <w:szCs w:val="22"/>
    </w:rPr>
  </w:style>
  <w:style w:type="paragraph" w:styleId="80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04" w:customStyle="1">
    <w:name w:val="正文文本11"/>
    <w:basedOn w:val="740"/>
    <w:next w:val="740"/>
    <w:uiPriority w:val="0"/>
    <w:qFormat/>
    <w:rPr>
      <w:rFonts w:ascii="楷体_GB2312" w:hAnsi="Arial"/>
      <w:sz w:val="28"/>
    </w:rPr>
  </w:style>
  <w:style w:type="table" w:styleId="805"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5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TOC 标题112"/>
    <w:uiPriority w:val="39"/>
    <w:unhideWhenUsed/>
    <w:qFormat/>
    <w:rPr>
      <w:rFonts w:ascii="Times New Roman" w:hAnsi="Times New Roman" w:eastAsia="宋体" w:cs="Times New Roman"/>
      <w:lang w:val="en-US" w:eastAsia="zh-CN" w:bidi="ar-SA"/>
    </w:rPr>
  </w:style>
  <w:style w:type="paragraph" w:styleId="826">
    <w:name w:val="List Paragraph"/>
    <w:basedOn w:val="740"/>
    <w:uiPriority w:val="34"/>
    <w:qFormat/>
    <w:pPr>
      <w:ind w:firstLine="420"/>
    </w:pPr>
    <w:rPr>
      <w:rFonts w:ascii="Calibri" w:hAnsi="Calibri" w:eastAsia="宋体"/>
      <w:sz w:val="21"/>
      <w:szCs w:val="22"/>
    </w:rPr>
  </w:style>
  <w:style w:type="character" w:styleId="827" w:customStyle="1">
    <w:name w:val="Heading 2 Char"/>
    <w:basedOn w:val="750"/>
    <w:uiPriority w:val="9"/>
    <w:qFormat/>
    <w:rPr>
      <w:rFonts w:ascii="Arial" w:hAnsi="Arial" w:eastAsia="Arial" w:cs="Arial"/>
      <w:sz w:val="34"/>
    </w:rPr>
  </w:style>
  <w:style w:type="character" w:styleId="828" w:customStyle="1">
    <w:name w:val="Heading 3 Char"/>
    <w:basedOn w:val="750"/>
    <w:uiPriority w:val="9"/>
    <w:qFormat/>
    <w:rPr>
      <w:rFonts w:ascii="Arial" w:hAnsi="Arial" w:eastAsia="Arial" w:cs="Arial"/>
      <w:sz w:val="30"/>
      <w:szCs w:val="30"/>
    </w:rPr>
  </w:style>
  <w:style w:type="character" w:styleId="829" w:customStyle="1">
    <w:name w:val="Heading 4 Char"/>
    <w:basedOn w:val="750"/>
    <w:uiPriority w:val="9"/>
    <w:qFormat/>
    <w:rPr>
      <w:rFonts w:ascii="Arial" w:hAnsi="Arial" w:eastAsia="Arial" w:cs="Arial"/>
      <w:b/>
      <w:bCs/>
      <w:sz w:val="26"/>
      <w:szCs w:val="26"/>
    </w:rPr>
  </w:style>
  <w:style w:type="character" w:styleId="830" w:customStyle="1">
    <w:name w:val="Heading 5 Char"/>
    <w:basedOn w:val="750"/>
    <w:uiPriority w:val="9"/>
    <w:qFormat/>
    <w:rPr>
      <w:rFonts w:ascii="Arial" w:hAnsi="Arial" w:eastAsia="Arial" w:cs="Arial"/>
      <w:b/>
      <w:bCs/>
      <w:sz w:val="24"/>
      <w:szCs w:val="24"/>
    </w:rPr>
  </w:style>
  <w:style w:type="character" w:styleId="831" w:customStyle="1">
    <w:name w:val="Heading 6 Char"/>
    <w:basedOn w:val="750"/>
    <w:uiPriority w:val="9"/>
    <w:qFormat/>
    <w:rPr>
      <w:rFonts w:ascii="Arial" w:hAnsi="Arial" w:eastAsia="Arial" w:cs="Arial"/>
      <w:b/>
      <w:bCs/>
      <w:sz w:val="22"/>
      <w:szCs w:val="22"/>
    </w:rPr>
  </w:style>
  <w:style w:type="character" w:styleId="832" w:customStyle="1">
    <w:name w:val="Heading 7 Char"/>
    <w:basedOn w:val="750"/>
    <w:uiPriority w:val="9"/>
    <w:qFormat/>
    <w:rPr>
      <w:rFonts w:ascii="Arial" w:hAnsi="Arial" w:eastAsia="Arial" w:cs="Arial"/>
      <w:b/>
      <w:bCs/>
      <w:i/>
      <w:iCs/>
      <w:sz w:val="22"/>
      <w:szCs w:val="22"/>
    </w:rPr>
  </w:style>
  <w:style w:type="character" w:styleId="833" w:customStyle="1">
    <w:name w:val="Heading 8 Char"/>
    <w:basedOn w:val="750"/>
    <w:uiPriority w:val="9"/>
    <w:qFormat/>
    <w:rPr>
      <w:rFonts w:ascii="Arial" w:hAnsi="Arial" w:eastAsia="Arial" w:cs="Arial"/>
      <w:i/>
      <w:iCs/>
      <w:sz w:val="22"/>
      <w:szCs w:val="22"/>
    </w:rPr>
  </w:style>
  <w:style w:type="character" w:styleId="834" w:customStyle="1">
    <w:name w:val="Heading 9 Char"/>
    <w:basedOn w:val="750"/>
    <w:uiPriority w:val="9"/>
    <w:qFormat/>
    <w:rPr>
      <w:rFonts w:ascii="Arial" w:hAnsi="Arial" w:eastAsia="Arial" w:cs="Arial"/>
      <w:i/>
      <w:iCs/>
      <w:sz w:val="21"/>
      <w:szCs w:val="21"/>
    </w:rPr>
  </w:style>
  <w:style w:type="character" w:styleId="835" w:customStyle="1">
    <w:name w:val="Title Char"/>
    <w:basedOn w:val="750"/>
    <w:uiPriority w:val="10"/>
    <w:qFormat/>
    <w:rPr>
      <w:sz w:val="48"/>
      <w:szCs w:val="48"/>
    </w:rPr>
  </w:style>
  <w:style w:type="character" w:styleId="836" w:customStyle="1">
    <w:name w:val="Subtitle Char"/>
    <w:basedOn w:val="750"/>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50"/>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Calibri" w:hAnsi="Calibri" w:eastAsia="宋体" w:cs="Calibri"/>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标题 2 字符"/>
    <w:link w:val="742"/>
    <w:uiPriority w:val="9"/>
    <w:qFormat/>
    <w:rPr>
      <w:rFonts w:ascii="Arial" w:hAnsi="Arial" w:eastAsia="Arial" w:cs="Arial"/>
      <w:sz w:val="34"/>
    </w:rPr>
  </w:style>
  <w:style w:type="character" w:styleId="846" w:customStyle="1">
    <w:name w:val="标题 3 字符"/>
    <w:link w:val="743"/>
    <w:uiPriority w:val="9"/>
    <w:qFormat/>
    <w:rPr>
      <w:rFonts w:ascii="Arial" w:hAnsi="Arial" w:eastAsia="Arial" w:cs="Arial"/>
      <w:sz w:val="30"/>
      <w:szCs w:val="30"/>
    </w:rPr>
  </w:style>
  <w:style w:type="character" w:styleId="847" w:customStyle="1">
    <w:name w:val="标题 4 字符"/>
    <w:link w:val="744"/>
    <w:uiPriority w:val="9"/>
    <w:qFormat/>
    <w:rPr>
      <w:rFonts w:ascii="Arial" w:hAnsi="Arial" w:eastAsia="Arial" w:cs="Arial"/>
      <w:b/>
      <w:bCs/>
      <w:sz w:val="26"/>
      <w:szCs w:val="26"/>
    </w:rPr>
  </w:style>
  <w:style w:type="character" w:styleId="848" w:customStyle="1">
    <w:name w:val="标题 5 字符"/>
    <w:link w:val="745"/>
    <w:uiPriority w:val="9"/>
    <w:qFormat/>
    <w:rPr>
      <w:rFonts w:ascii="Arial" w:hAnsi="Arial" w:eastAsia="Arial" w:cs="Arial"/>
      <w:b/>
      <w:bCs/>
      <w:sz w:val="24"/>
      <w:szCs w:val="24"/>
    </w:rPr>
  </w:style>
  <w:style w:type="character" w:styleId="849" w:customStyle="1">
    <w:name w:val="标题 6 字符"/>
    <w:link w:val="746"/>
    <w:uiPriority w:val="9"/>
    <w:qFormat/>
    <w:rPr>
      <w:rFonts w:ascii="Arial" w:hAnsi="Arial" w:eastAsia="Arial" w:cs="Arial"/>
      <w:b/>
      <w:bCs/>
      <w:sz w:val="22"/>
      <w:szCs w:val="22"/>
    </w:rPr>
  </w:style>
  <w:style w:type="character" w:styleId="850" w:customStyle="1">
    <w:name w:val="标题 7 字符"/>
    <w:link w:val="747"/>
    <w:uiPriority w:val="9"/>
    <w:qFormat/>
    <w:rPr>
      <w:rFonts w:ascii="Arial" w:hAnsi="Arial" w:eastAsia="Arial" w:cs="Arial"/>
      <w:b/>
      <w:bCs/>
      <w:i/>
      <w:iCs/>
      <w:sz w:val="22"/>
      <w:szCs w:val="22"/>
    </w:rPr>
  </w:style>
  <w:style w:type="character" w:styleId="851" w:customStyle="1">
    <w:name w:val="标题 8 字符"/>
    <w:link w:val="748"/>
    <w:uiPriority w:val="9"/>
    <w:qFormat/>
    <w:rPr>
      <w:rFonts w:ascii="Arial" w:hAnsi="Arial" w:eastAsia="Arial" w:cs="Arial"/>
      <w:i/>
      <w:iCs/>
      <w:sz w:val="22"/>
      <w:szCs w:val="22"/>
    </w:rPr>
  </w:style>
  <w:style w:type="character" w:styleId="852" w:customStyle="1">
    <w:name w:val="标题 9 字符"/>
    <w:link w:val="749"/>
    <w:uiPriority w:val="9"/>
    <w:qFormat/>
    <w:rPr>
      <w:rFonts w:ascii="Arial" w:hAnsi="Arial" w:eastAsia="Arial" w:cs="Arial"/>
      <w:i/>
      <w:iCs/>
      <w:sz w:val="21"/>
      <w:szCs w:val="21"/>
    </w:rPr>
  </w:style>
  <w:style w:type="character" w:styleId="853" w:customStyle="1">
    <w:name w:val="标题 字符"/>
    <w:link w:val="779"/>
    <w:uiPriority w:val="10"/>
    <w:qFormat/>
    <w:rPr>
      <w:sz w:val="48"/>
      <w:szCs w:val="48"/>
    </w:rPr>
  </w:style>
  <w:style w:type="character" w:styleId="854" w:customStyle="1">
    <w:name w:val="副标题 字符"/>
    <w:link w:val="771"/>
    <w:uiPriority w:val="11"/>
    <w:qFormat/>
    <w:rPr>
      <w:sz w:val="24"/>
      <w:szCs w:val="24"/>
    </w:rPr>
  </w:style>
  <w:style w:type="paragraph" w:styleId="855">
    <w:name w:val="Quote"/>
    <w:basedOn w:val="740"/>
    <w:next w:val="74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40"/>
    <w:next w:val="74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68"/>
    <w:uiPriority w:val="99"/>
    <w:qFormat/>
  </w:style>
  <w:style w:type="character" w:styleId="860" w:customStyle="1">
    <w:name w:val="Footer Char"/>
    <w:uiPriority w:val="99"/>
    <w:qFormat/>
  </w:style>
  <w:style w:type="character" w:styleId="861" w:customStyle="1">
    <w:name w:val="页脚 字符"/>
    <w:link w:val="766"/>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2"/>
    <w:uiPriority w:val="99"/>
    <w:qFormat/>
    <w:rPr>
      <w:sz w:val="18"/>
    </w:rPr>
  </w:style>
  <w:style w:type="character" w:styleId="969" w:customStyle="1">
    <w:name w:val="尾注文本 字符"/>
    <w:link w:val="765"/>
    <w:uiPriority w:val="99"/>
    <w:qFormat/>
    <w:rPr>
      <w:sz w:val="20"/>
    </w:rPr>
  </w:style>
  <w:style w:type="paragraph" w:styleId="970" w:customStyle="1">
    <w:name w:val="TOC 标题11"/>
    <w:uiPriority w:val="39"/>
    <w:unhideWhenUsed/>
    <w:qFormat/>
    <w:rPr>
      <w:rFonts w:ascii="Times New Roman" w:hAnsi="Times New Roman" w:eastAsia="宋体" w:cs="Times New Roman"/>
      <w:lang w:val="en-US" w:eastAsia="zh-CN" w:bidi="ar-SA"/>
    </w:rPr>
  </w:style>
  <w:style w:type="paragraph" w:styleId="971" w:customStyle="1">
    <w:name w:val="标题 11"/>
    <w:basedOn w:val="740"/>
    <w:next w:val="740"/>
    <w:uiPriority w:val="0"/>
    <w:qFormat/>
    <w:pPr>
      <w:keepLines/>
      <w:keepNext/>
      <w:spacing w:before="340" w:after="330" w:line="578" w:lineRule="auto"/>
      <w:outlineLvl w:val="0"/>
    </w:pPr>
    <w:rPr>
      <w:b/>
      <w:sz w:val="44"/>
    </w:rPr>
  </w:style>
  <w:style w:type="paragraph" w:styleId="972" w:customStyle="1">
    <w:name w:val="标题 21"/>
    <w:basedOn w:val="740"/>
    <w:next w:val="740"/>
    <w:link w:val="980"/>
    <w:uiPriority w:val="0"/>
    <w:qFormat/>
    <w:pPr>
      <w:keepLines/>
      <w:keepNext/>
      <w:spacing w:before="260" w:after="260" w:line="416" w:lineRule="auto"/>
      <w:outlineLvl w:val="1"/>
    </w:pPr>
    <w:rPr>
      <w:rFonts w:ascii="Cambria" w:hAnsi="Cambria" w:eastAsia="宋体"/>
      <w:b/>
      <w:bCs/>
      <w:sz w:val="32"/>
      <w:szCs w:val="32"/>
    </w:rPr>
  </w:style>
  <w:style w:type="paragraph" w:styleId="973" w:customStyle="1">
    <w:name w:val="标题 31"/>
    <w:basedOn w:val="740"/>
    <w:next w:val="740"/>
    <w:link w:val="981"/>
    <w:uiPriority w:val="0"/>
    <w:qFormat/>
    <w:pPr>
      <w:keepLines/>
      <w:keepNext/>
      <w:spacing w:before="260" w:after="260" w:line="416" w:lineRule="auto"/>
      <w:outlineLvl w:val="2"/>
    </w:pPr>
    <w:rPr>
      <w:b/>
      <w:bCs/>
      <w:sz w:val="32"/>
      <w:szCs w:val="32"/>
    </w:rPr>
  </w:style>
  <w:style w:type="paragraph" w:styleId="974" w:customStyle="1">
    <w:name w:val="标题 41"/>
    <w:basedOn w:val="740"/>
    <w:next w:val="740"/>
    <w:link w:val="982"/>
    <w:uiPriority w:val="0"/>
    <w:qFormat/>
    <w:pPr>
      <w:keepLines/>
      <w:keepNext/>
      <w:spacing w:before="280" w:after="290" w:line="376" w:lineRule="auto"/>
      <w:outlineLvl w:val="3"/>
    </w:pPr>
    <w:rPr>
      <w:rFonts w:ascii="Cambria" w:hAnsi="Cambria" w:eastAsia="宋体"/>
      <w:b/>
      <w:bCs/>
      <w:sz w:val="28"/>
      <w:szCs w:val="28"/>
    </w:rPr>
  </w:style>
  <w:style w:type="paragraph" w:styleId="975" w:customStyle="1">
    <w:name w:val="标题 51"/>
    <w:basedOn w:val="740"/>
    <w:next w:val="740"/>
    <w:link w:val="983"/>
    <w:uiPriority w:val="0"/>
    <w:qFormat/>
    <w:pPr>
      <w:jc w:val="center"/>
      <w:keepLines/>
      <w:keepNext/>
      <w:outlineLvl w:val="4"/>
    </w:pPr>
    <w:rPr>
      <w:rFonts w:eastAsia="宋体"/>
      <w:b/>
      <w:bCs/>
      <w:sz w:val="28"/>
      <w:szCs w:val="28"/>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DAS正文"/>
    <w:basedOn w:val="740"/>
    <w:uiPriority w:val="0"/>
    <w:qFormat/>
    <w:pPr>
      <w:ind w:right="181" w:firstLine="480"/>
      <w:spacing w:line="360" w:lineRule="auto"/>
    </w:pPr>
    <w:rPr>
      <w:rFonts w:ascii="Verdana" w:hAnsi="Verdana"/>
      <w:sz w:val="24"/>
      <w:szCs w:val="24"/>
    </w:rPr>
  </w:style>
  <w:style w:type="character" w:styleId="979" w:customStyle="1">
    <w:name w:val="标题 1 字符"/>
    <w:basedOn w:val="750"/>
    <w:link w:val="741"/>
    <w:uiPriority w:val="9"/>
    <w:qFormat/>
    <w:rPr>
      <w:rFonts w:eastAsia="楷体_GB2312"/>
      <w:b/>
      <w:sz w:val="44"/>
    </w:rPr>
  </w:style>
  <w:style w:type="character" w:styleId="980" w:customStyle="1">
    <w:name w:val="标题 2 Char"/>
    <w:link w:val="972"/>
    <w:uiPriority w:val="0"/>
    <w:qFormat/>
    <w:rPr>
      <w:rFonts w:ascii="Cambria" w:hAnsi="Cambria" w:eastAsia="宋体" w:cs="Times New Roman"/>
      <w:b/>
      <w:bCs/>
      <w:sz w:val="32"/>
      <w:szCs w:val="32"/>
    </w:rPr>
  </w:style>
  <w:style w:type="character" w:styleId="981" w:customStyle="1">
    <w:name w:val="标题 3 Char"/>
    <w:link w:val="973"/>
    <w:uiPriority w:val="0"/>
    <w:qFormat/>
    <w:rPr>
      <w:rFonts w:eastAsia="楷体_GB2312"/>
      <w:b/>
      <w:bCs/>
      <w:sz w:val="32"/>
      <w:szCs w:val="32"/>
    </w:rPr>
  </w:style>
  <w:style w:type="character" w:styleId="982" w:customStyle="1">
    <w:name w:val="标题 4 Char"/>
    <w:link w:val="974"/>
    <w:uiPriority w:val="0"/>
    <w:qFormat/>
    <w:rPr>
      <w:rFonts w:ascii="Cambria" w:hAnsi="Cambria" w:eastAsia="宋体" w:cs="Times New Roman"/>
      <w:b/>
      <w:bCs/>
      <w:sz w:val="28"/>
      <w:szCs w:val="28"/>
    </w:rPr>
  </w:style>
  <w:style w:type="character" w:styleId="983" w:customStyle="1">
    <w:name w:val="标题 5 Char"/>
    <w:link w:val="975"/>
    <w:uiPriority w:val="0"/>
    <w:qFormat/>
    <w:rPr>
      <w:b/>
      <w:bCs/>
      <w:sz w:val="28"/>
      <w:szCs w:val="28"/>
    </w:rPr>
  </w:style>
  <w:style w:type="paragraph" w:styleId="984" w:customStyle="1">
    <w:name w:val="正文缩进1"/>
    <w:basedOn w:val="740"/>
    <w:link w:val="985"/>
    <w:uiPriority w:val="0"/>
    <w:unhideWhenUsed/>
    <w:qFormat/>
    <w:pPr>
      <w:ind w:firstLine="420"/>
      <w:jc w:val="left"/>
    </w:pPr>
    <w:rPr>
      <w:sz w:val="24"/>
    </w:rPr>
  </w:style>
  <w:style w:type="character" w:styleId="985" w:customStyle="1">
    <w:name w:val="正文缩进 Char"/>
    <w:link w:val="984"/>
    <w:uiPriority w:val="0"/>
    <w:qFormat/>
    <w:rPr>
      <w:rFonts w:eastAsia="楷体_GB2312"/>
      <w:sz w:val="24"/>
    </w:rPr>
  </w:style>
  <w:style w:type="paragraph" w:styleId="986" w:customStyle="1">
    <w:name w:val="文档结构图1"/>
    <w:basedOn w:val="740"/>
    <w:link w:val="987"/>
    <w:uiPriority w:val="0"/>
    <w:unhideWhenUsed/>
    <w:qFormat/>
    <w:pPr>
      <w:shd w:val="clear" w:color="auto" w:fill="000080"/>
    </w:pPr>
    <w:rPr>
      <w:rFonts w:eastAsia="宋体"/>
      <w:sz w:val="21"/>
      <w:szCs w:val="24"/>
    </w:r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40"/>
    <w:link w:val="989"/>
    <w:uiPriority w:val="0"/>
    <w:qFormat/>
    <w:pPr>
      <w:jc w:val="left"/>
    </w:pPr>
  </w:style>
  <w:style w:type="character" w:styleId="989" w:customStyle="1">
    <w:name w:val="批注文字 Char"/>
    <w:link w:val="988"/>
    <w:uiPriority w:val="0"/>
    <w:qFormat/>
    <w:rPr>
      <w:rFonts w:eastAsia="楷体_GB2312"/>
      <w:sz w:val="26"/>
    </w:rPr>
  </w:style>
  <w:style w:type="paragraph" w:styleId="990" w:customStyle="1">
    <w:name w:val="正文文本 31"/>
    <w:basedOn w:val="740"/>
    <w:link w:val="991"/>
    <w:uiPriority w:val="0"/>
    <w:unhideWhenUsed/>
    <w:qFormat/>
    <w:pPr>
      <w:jc w:val="center"/>
    </w:pPr>
    <w:rPr>
      <w:rFonts w:ascii="宋体" w:hAnsi="宋体"/>
    </w:rPr>
  </w:style>
  <w:style w:type="character" w:styleId="991" w:customStyle="1">
    <w:name w:val="正文文本 3 Char"/>
    <w:link w:val="990"/>
    <w:uiPriority w:val="0"/>
    <w:qFormat/>
    <w:rPr>
      <w:rFonts w:ascii="宋体" w:hAnsi="宋体" w:eastAsia="楷体_GB2312"/>
      <w:sz w:val="26"/>
    </w:rPr>
  </w:style>
  <w:style w:type="character" w:styleId="992" w:customStyle="1">
    <w:name w:val="正文文本 Char1"/>
    <w:link w:val="799"/>
    <w:uiPriority w:val="0"/>
    <w:qFormat/>
    <w:rPr>
      <w:rFonts w:ascii="楷体_GB2312" w:eastAsia="楷体_GB2312"/>
      <w:b/>
      <w:bCs/>
      <w:sz w:val="28"/>
    </w:rPr>
  </w:style>
  <w:style w:type="character" w:styleId="993" w:customStyle="1">
    <w:name w:val="正文文本缩进 Char"/>
    <w:link w:val="800"/>
    <w:uiPriority w:val="0"/>
    <w:qFormat/>
    <w:rPr>
      <w:rFonts w:ascii="宋体"/>
      <w:sz w:val="28"/>
    </w:rPr>
  </w:style>
  <w:style w:type="paragraph" w:styleId="994" w:customStyle="1">
    <w:name w:val="目录 31"/>
    <w:basedOn w:val="740"/>
    <w:next w:val="740"/>
    <w:uiPriority w:val="0"/>
    <w:qFormat/>
    <w:pPr>
      <w:ind w:left="359"/>
      <w:tabs>
        <w:tab w:val="right" w:pos="8302" w:leader="dot"/>
      </w:tabs>
    </w:pPr>
    <w:rPr>
      <w:rFonts w:eastAsia="宋体"/>
      <w:sz w:val="21"/>
      <w:szCs w:val="24"/>
    </w:rPr>
  </w:style>
  <w:style w:type="paragraph" w:styleId="995" w:customStyle="1">
    <w:name w:val="纯文本1111"/>
    <w:basedOn w:val="740"/>
    <w:next w:val="996"/>
    <w:link w:val="997"/>
    <w:uiPriority w:val="0"/>
    <w:unhideWhenUsed/>
    <w:qFormat/>
    <w:rPr>
      <w:rFonts w:ascii="宋体" w:hAnsi="Courier New"/>
    </w:rPr>
  </w:style>
  <w:style w:type="paragraph" w:styleId="996" w:customStyle="1">
    <w:name w:val="正文缩进11"/>
    <w:basedOn w:val="740"/>
    <w:uiPriority w:val="0"/>
    <w:unhideWhenUsed/>
    <w:qFormat/>
    <w:pPr>
      <w:ind w:firstLine="420"/>
      <w:jc w:val="left"/>
    </w:pPr>
    <w:rPr>
      <w:sz w:val="24"/>
    </w:rPr>
  </w:style>
  <w:style w:type="character" w:styleId="997" w:customStyle="1">
    <w:name w:val="纯文本 Char"/>
    <w:link w:val="995"/>
    <w:uiPriority w:val="0"/>
    <w:qFormat/>
    <w:rPr>
      <w:rFonts w:ascii="宋体" w:hAnsi="Courier New" w:eastAsia="楷体_GB2312"/>
      <w:sz w:val="26"/>
    </w:rPr>
  </w:style>
  <w:style w:type="paragraph" w:styleId="998" w:customStyle="1">
    <w:name w:val="日期1"/>
    <w:basedOn w:val="740"/>
    <w:next w:val="740"/>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正文文本缩进 21"/>
    <w:basedOn w:val="740"/>
    <w:link w:val="1001"/>
    <w:uiPriority w:val="0"/>
    <w:unhideWhenUsed/>
    <w:qFormat/>
    <w:pPr>
      <w:ind w:left="420"/>
      <w:spacing w:after="120" w:line="480" w:lineRule="auto"/>
    </w:pPr>
  </w:style>
  <w:style w:type="character" w:styleId="1001" w:customStyle="1">
    <w:name w:val="正文文本缩进 2 Char"/>
    <w:link w:val="1000"/>
    <w:uiPriority w:val="0"/>
    <w:qFormat/>
    <w:rPr>
      <w:rFonts w:eastAsia="楷体_GB2312"/>
      <w:sz w:val="26"/>
    </w:rPr>
  </w:style>
  <w:style w:type="paragraph" w:styleId="1002" w:customStyle="1">
    <w:name w:val="尾注文本1"/>
    <w:basedOn w:val="740"/>
    <w:link w:val="1003"/>
    <w:uiPriority w:val="0"/>
    <w:unhideWhenUsed/>
    <w:qFormat/>
    <w:pPr>
      <w:jc w:val="left"/>
    </w:pPr>
    <w:rPr>
      <w:rFonts w:ascii="宋体" w:hAnsi="宋体" w:eastAsia="宋体"/>
      <w:sz w:val="21"/>
      <w:szCs w:val="24"/>
    </w:rPr>
  </w:style>
  <w:style w:type="character" w:styleId="1003" w:customStyle="1">
    <w:name w:val="尾注文本 Char"/>
    <w:link w:val="1002"/>
    <w:uiPriority w:val="0"/>
    <w:qFormat/>
    <w:rPr>
      <w:rFonts w:ascii="宋体" w:hAnsi="宋体"/>
      <w:sz w:val="21"/>
      <w:szCs w:val="24"/>
    </w:rPr>
  </w:style>
  <w:style w:type="paragraph" w:styleId="1004" w:customStyle="1">
    <w:name w:val="批注框文本1"/>
    <w:basedOn w:val="740"/>
    <w:link w:val="1005"/>
    <w:uiPriority w:val="0"/>
    <w:qFormat/>
    <w:rPr>
      <w:sz w:val="18"/>
      <w:szCs w:val="18"/>
    </w:rPr>
  </w:style>
  <w:style w:type="character" w:styleId="1005" w:customStyle="1">
    <w:name w:val="批注框文本 Char"/>
    <w:link w:val="1004"/>
    <w:uiPriority w:val="0"/>
    <w:qFormat/>
    <w:rPr>
      <w:rFonts w:eastAsia="楷体_GB2312"/>
      <w:sz w:val="18"/>
      <w:szCs w:val="18"/>
    </w:rPr>
  </w:style>
  <w:style w:type="paragraph" w:styleId="1006" w:customStyle="1">
    <w:name w:val="页脚1"/>
    <w:basedOn w:val="740"/>
    <w:link w:val="1007"/>
    <w:uiPriority w:val="0"/>
    <w:unhideWhenUsed/>
    <w:qFormat/>
    <w:pPr>
      <w:jc w:val="left"/>
      <w:tabs>
        <w:tab w:val="center" w:pos="4153" w:leader="none"/>
        <w:tab w:val="right" w:pos="8306" w:leader="none"/>
      </w:tabs>
    </w:pPr>
    <w:rPr>
      <w:sz w:val="18"/>
    </w:rPr>
  </w:style>
  <w:style w:type="character" w:styleId="1007" w:customStyle="1">
    <w:name w:val="页脚 Char"/>
    <w:link w:val="1006"/>
    <w:uiPriority w:val="0"/>
    <w:qFormat/>
    <w:rPr>
      <w:rFonts w:eastAsia="楷体_GB2312"/>
      <w:sz w:val="18"/>
    </w:rPr>
  </w:style>
  <w:style w:type="paragraph" w:styleId="1008" w:customStyle="1">
    <w:name w:val="页眉1"/>
    <w:basedOn w:val="740"/>
    <w:link w:val="1009"/>
    <w:uiPriority w:val="0"/>
    <w:unhideWhenUsed/>
    <w:qFormat/>
    <w:pPr>
      <w:jc w:val="center"/>
      <w:tabs>
        <w:tab w:val="center" w:pos="4153" w:leader="none"/>
        <w:tab w:val="right" w:pos="8306" w:leader="none"/>
      </w:tabs>
      <w:pBdr>
        <w:bottom w:val="single" w:color="000000" w:sz="6" w:space="1"/>
      </w:pBdr>
    </w:pPr>
    <w:rPr>
      <w:sz w:val="18"/>
    </w:rPr>
  </w:style>
  <w:style w:type="character" w:styleId="1009" w:customStyle="1">
    <w:name w:val="页眉 Char"/>
    <w:link w:val="1008"/>
    <w:uiPriority w:val="0"/>
    <w:qFormat/>
    <w:rPr>
      <w:rFonts w:eastAsia="楷体_GB2312"/>
      <w:sz w:val="18"/>
    </w:rPr>
  </w:style>
  <w:style w:type="paragraph" w:styleId="1010" w:customStyle="1">
    <w:name w:val="目录 11"/>
    <w:basedOn w:val="740"/>
    <w:next w:val="740"/>
    <w:uiPriority w:val="0"/>
    <w:unhideWhenUsed/>
    <w:qFormat/>
    <w:pPr>
      <w:jc w:val="left"/>
    </w:pPr>
    <w:rPr>
      <w:sz w:val="24"/>
    </w:rPr>
  </w:style>
  <w:style w:type="paragraph" w:styleId="1011" w:customStyle="1">
    <w:name w:val="副标题1"/>
    <w:basedOn w:val="740"/>
    <w:link w:val="1012"/>
    <w:uiPriority w:val="0"/>
    <w:qFormat/>
    <w:pPr>
      <w:jc w:val="center"/>
      <w:spacing w:before="240" w:after="60" w:line="312" w:lineRule="auto"/>
      <w:outlineLvl w:val="1"/>
    </w:pPr>
    <w:rPr>
      <w:rFonts w:ascii="Arial" w:hAnsi="Arial" w:eastAsia="宋体"/>
      <w:b/>
      <w:bCs/>
      <w:sz w:val="32"/>
      <w:szCs w:val="32"/>
    </w:rPr>
  </w:style>
  <w:style w:type="character" w:styleId="1012" w:customStyle="1">
    <w:name w:val="副标题 Char"/>
    <w:link w:val="1011"/>
    <w:uiPriority w:val="0"/>
    <w:qFormat/>
    <w:rPr>
      <w:rFonts w:ascii="Arial" w:hAnsi="Arial" w:cs="Arial"/>
      <w:b/>
      <w:bCs/>
      <w:sz w:val="32"/>
      <w:szCs w:val="32"/>
    </w:rPr>
  </w:style>
  <w:style w:type="paragraph" w:styleId="1013" w:customStyle="1">
    <w:name w:val="目录 21"/>
    <w:basedOn w:val="740"/>
    <w:next w:val="740"/>
    <w:uiPriority w:val="0"/>
    <w:unhideWhenUsed/>
    <w:qFormat/>
    <w:pPr>
      <w:ind w:left="420"/>
    </w:pPr>
  </w:style>
  <w:style w:type="paragraph" w:styleId="1014" w:customStyle="1">
    <w:name w:val="目录 91"/>
    <w:basedOn w:val="740"/>
    <w:next w:val="740"/>
    <w:uiPriority w:val="0"/>
    <w:semiHidden/>
    <w:qFormat/>
    <w:pPr>
      <w:ind w:left="3360"/>
    </w:pPr>
  </w:style>
  <w:style w:type="paragraph" w:styleId="1015" w:customStyle="1">
    <w:name w:val="普通(网站)1"/>
    <w:basedOn w:val="740"/>
    <w:uiPriority w:val="0"/>
    <w:unhideWhenUsed/>
    <w:qFormat/>
    <w:pPr>
      <w:jc w:val="left"/>
      <w:spacing w:before="100" w:beforeAutospacing="1" w:after="100" w:afterAutospacing="1"/>
      <w:widowControl/>
    </w:pPr>
    <w:rPr>
      <w:rFonts w:ascii="宋体" w:hAnsi="宋体" w:cs="宋体"/>
      <w:sz w:val="24"/>
    </w:rPr>
  </w:style>
  <w:style w:type="paragraph" w:styleId="1016" w:customStyle="1">
    <w:name w:val="索引 11"/>
    <w:basedOn w:val="740"/>
    <w:next w:val="740"/>
    <w:uiPriority w:val="0"/>
    <w:unhideWhenUsed/>
    <w:qFormat/>
    <w:pPr>
      <w:jc w:val="center"/>
      <w:spacing w:line="220" w:lineRule="exact"/>
    </w:pPr>
    <w:rPr>
      <w:rFonts w:ascii="仿宋_GB2312" w:eastAsia="仿宋_GB2312"/>
      <w:szCs w:val="21"/>
    </w:rPr>
  </w:style>
  <w:style w:type="paragraph" w:styleId="1017" w:customStyle="1">
    <w:name w:val="标题1"/>
    <w:basedOn w:val="740"/>
    <w:link w:val="1018"/>
    <w:uiPriority w:val="10"/>
    <w:qFormat/>
    <w:pPr>
      <w:jc w:val="center"/>
      <w:spacing w:before="240" w:after="60"/>
      <w:outlineLvl w:val="0"/>
    </w:pPr>
    <w:rPr>
      <w:rFonts w:ascii="Arial" w:hAnsi="Arial" w:eastAsia="宋体"/>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88"/>
    <w:next w:val="988"/>
    <w:link w:val="1020"/>
    <w:uiPriority w:val="99"/>
    <w:qFormat/>
    <w:rPr>
      <w:b/>
      <w:bCs/>
    </w:rPr>
  </w:style>
  <w:style w:type="character" w:styleId="1020" w:customStyle="1">
    <w:name w:val="批注主题 Char"/>
    <w:link w:val="1019"/>
    <w:uiPriority w:val="99"/>
    <w:qFormat/>
    <w:rPr>
      <w:b/>
      <w:bCs/>
    </w:rPr>
  </w:style>
  <w:style w:type="paragraph" w:styleId="1021" w:customStyle="1">
    <w:name w:val="正文首行缩进1"/>
    <w:basedOn w:val="799"/>
    <w:link w:val="1022"/>
    <w:uiPriority w:val="0"/>
    <w:unhideWhenUsed/>
    <w:qFormat/>
    <w:pPr>
      <w:ind w:firstLine="420"/>
      <w:spacing w:after="120"/>
    </w:pPr>
    <w:rPr>
      <w:rFonts w:ascii="Times New Roman" w:eastAsia="宋体"/>
      <w:b w:val="0"/>
      <w:bCs w:val="0"/>
      <w:sz w:val="21"/>
      <w:szCs w:val="24"/>
    </w:rPr>
  </w:style>
  <w:style w:type="character" w:styleId="1022" w:customStyle="1">
    <w:name w:val="正文首行缩进 Char"/>
    <w:link w:val="1021"/>
    <w:uiPriority w:val="0"/>
    <w:qFormat/>
  </w:style>
  <w:style w:type="character" w:styleId="1023" w:customStyle="1">
    <w:name w:val="正文文本 Char"/>
    <w:uiPriority w:val="0"/>
    <w:qFormat/>
    <w:rPr>
      <w:sz w:val="21"/>
      <w:szCs w:val="24"/>
    </w:rPr>
  </w:style>
  <w:style w:type="paragraph" w:styleId="1024" w:customStyle="1">
    <w:name w:val="正文首行缩进 21"/>
    <w:basedOn w:val="800"/>
    <w:next w:val="1025"/>
    <w:uiPriority w:val="99"/>
    <w:unhideWhenUsed/>
    <w:qFormat/>
    <w:pPr>
      <w:ind w:firstLine="420"/>
    </w:pPr>
  </w:style>
  <w:style w:type="paragraph" w:styleId="1025" w:customStyle="1">
    <w:name w:val="正文11"/>
    <w:next w:val="1024"/>
    <w:uiPriority w:val="0"/>
    <w:qFormat/>
    <w:pPr>
      <w:jc w:val="both"/>
      <w:widowControl w:val="off"/>
    </w:pPr>
    <w:rPr>
      <w:rFonts w:ascii="Times New Roman" w:hAnsi="Times New Roman" w:eastAsia="宋体" w:cs="Times New Roman"/>
      <w:sz w:val="21"/>
      <w:szCs w:val="22"/>
      <w:lang w:val="en-US" w:eastAsia="zh-CN" w:bidi="ar-SA"/>
    </w:rPr>
  </w:style>
  <w:style w:type="table" w:styleId="1026" w:customStyle="1">
    <w:name w:val="网格型1"/>
    <w:basedOn w:val="977"/>
    <w:uiPriority w:val="0"/>
    <w:unhideWhenUsed/>
    <w:qFormat/>
    <w:pPr>
      <w:jc w:val="both"/>
      <w:widowControl w:val="off"/>
    </w:pPr>
    <w:tblPr/>
  </w:style>
  <w:style w:type="character" w:styleId="1027" w:customStyle="1">
    <w:name w:val="要点1"/>
    <w:uiPriority w:val="0"/>
    <w:qFormat/>
    <w:rPr>
      <w:b/>
      <w:bCs/>
    </w:rPr>
  </w:style>
  <w:style w:type="character" w:styleId="1028" w:customStyle="1">
    <w:name w:val="页码1"/>
    <w:uiPriority w:val="0"/>
    <w:unhideWhenUsed/>
    <w:qFormat/>
  </w:style>
  <w:style w:type="character" w:styleId="1029" w:customStyle="1">
    <w:name w:val="访问过的超链接1"/>
    <w:uiPriority w:val="0"/>
    <w:qFormat/>
    <w:rPr>
      <w:rFonts w:ascii="微软雅黑" w:hAnsi="微软雅黑" w:eastAsia="微软雅黑" w:cs="微软雅黑"/>
      <w:color w:val="3d3d3d"/>
      <w:u w:val="none"/>
    </w:rPr>
  </w:style>
  <w:style w:type="character" w:styleId="1030" w:customStyle="1">
    <w:name w:val="超链接1"/>
    <w:uiPriority w:val="99"/>
    <w:unhideWhenUsed/>
    <w:qFormat/>
    <w:rPr>
      <w:rFonts w:hint="eastAsia" w:ascii="微软雅黑" w:hAnsi="微软雅黑" w:eastAsia="微软雅黑" w:cs="微软雅黑"/>
      <w:color w:val="3d3d3d"/>
      <w:u w:val="none"/>
    </w:rPr>
  </w:style>
  <w:style w:type="character" w:styleId="1031" w:customStyle="1">
    <w:name w:val="批注引用1"/>
    <w:uiPriority w:val="0"/>
    <w:qFormat/>
    <w:rPr>
      <w:sz w:val="21"/>
      <w:szCs w:val="21"/>
    </w:rPr>
  </w:style>
  <w:style w:type="character" w:styleId="1032" w:customStyle="1">
    <w:name w:val="font11"/>
    <w:uiPriority w:val="0"/>
    <w:qFormat/>
    <w:rPr>
      <w:rFonts w:hint="eastAsia" w:ascii="宋体" w:hAnsi="宋体" w:eastAsia="宋体" w:cs="宋体"/>
      <w:color w:val="000000"/>
      <w:sz w:val="20"/>
      <w:szCs w:val="20"/>
      <w:u w:val="none"/>
    </w:rPr>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740"/>
    <w:next w:val="740"/>
    <w:link w:val="1033"/>
    <w:uiPriority w:val="0"/>
    <w:unhideWhenUsed/>
    <w:qFormat/>
    <w:pPr>
      <w:jc w:val="center"/>
      <w:pBdr>
        <w:top w:val="single" w:color="000000" w:sz="6" w:space="1"/>
      </w:pBdr>
    </w:pPr>
    <w:rPr>
      <w:rFonts w:ascii="Arial" w:hAnsi="Arial" w:eastAsia="宋体" w:cs="Arial"/>
      <w:vanish/>
      <w:sz w:val="16"/>
      <w:szCs w:val="16"/>
    </w:rPr>
  </w:style>
  <w:style w:type="character" w:styleId="1035" w:customStyle="1">
    <w:name w:val="Char Char Char"/>
    <w:uiPriority w:val="0"/>
    <w:qFormat/>
    <w:rPr>
      <w:rFonts w:hint="eastAsia" w:ascii="黑体" w:hAnsi="黑体" w:eastAsia="黑体"/>
      <w:bCs/>
      <w:sz w:val="28"/>
      <w:szCs w:val="32"/>
      <w:lang w:val="en-US" w:eastAsia="zh-CN" w:bidi="ar-SA"/>
    </w:rPr>
  </w:style>
  <w:style w:type="character" w:styleId="1036" w:customStyle="1">
    <w:name w:val="尾注文本 Char1"/>
    <w:uiPriority w:val="99"/>
    <w:semiHidden/>
    <w:qFormat/>
    <w:rPr>
      <w:rFonts w:eastAsia="楷体_GB2312"/>
      <w:sz w:val="26"/>
    </w:rPr>
  </w:style>
  <w:style w:type="character" w:styleId="1037" w:customStyle="1">
    <w:name w:val="font01"/>
    <w:uiPriority w:val="0"/>
    <w:qFormat/>
    <w:rPr>
      <w:rFonts w:ascii="Calibri" w:hAnsi="Calibri" w:cs="Calibri"/>
      <w:color w:val="000000"/>
      <w:sz w:val="20"/>
      <w:szCs w:val="20"/>
      <w:u w:val="none"/>
    </w:rPr>
  </w:style>
  <w:style w:type="character" w:styleId="1038" w:customStyle="1">
    <w:name w:val="纯文本 Char Char"/>
    <w:uiPriority w:val="0"/>
    <w:qFormat/>
    <w:rPr>
      <w:rFonts w:ascii="宋体" w:hAnsi="Courier New" w:eastAsia="宋体" w:cs="Courier New"/>
      <w:sz w:val="21"/>
      <w:szCs w:val="21"/>
      <w:lang w:val="en-US" w:eastAsia="zh-CN" w:bidi="ar-SA"/>
    </w:rPr>
  </w:style>
  <w:style w:type="character" w:styleId="1039" w:customStyle="1">
    <w:name w:val="Plain Text Char Char"/>
    <w:link w:val="1040"/>
    <w:uiPriority w:val="0"/>
    <w:qFormat/>
    <w:rPr>
      <w:rFonts w:ascii="宋体" w:hAnsi="Courier New" w:eastAsia="楷体_GB2312"/>
      <w:sz w:val="26"/>
      <w:lang w:val="en-US" w:eastAsia="zh-CN" w:bidi="ar-SA"/>
    </w:rPr>
  </w:style>
  <w:style w:type="paragraph" w:styleId="1040" w:customStyle="1">
    <w:name w:val="纯文本1"/>
    <w:basedOn w:val="740"/>
    <w:link w:val="1039"/>
    <w:uiPriority w:val="0"/>
    <w:qFormat/>
    <w:rPr>
      <w:rFonts w:ascii="宋体" w:hAnsi="Courier New"/>
    </w:rPr>
  </w:style>
  <w:style w:type="character" w:styleId="1041" w:customStyle="1">
    <w:name w:val="样式 粉红"/>
    <w:uiPriority w:val="0"/>
    <w:qFormat/>
    <w:rPr>
      <w:color w:val="000000"/>
      <w:u w:val="none"/>
    </w:rPr>
  </w:style>
  <w:style w:type="character" w:styleId="1042" w:customStyle="1">
    <w:name w:val="Char Char5"/>
    <w:uiPriority w:val="0"/>
    <w:qFormat/>
    <w:rPr>
      <w:rFonts w:hint="eastAsia" w:ascii="黑体" w:hAnsi="黑体" w:eastAsia="黑体"/>
      <w:b/>
      <w:bCs/>
      <w:sz w:val="72"/>
      <w:szCs w:val="44"/>
      <w:lang w:val="en-US" w:eastAsia="zh-CN" w:bidi="ar-SA"/>
    </w:rPr>
  </w:style>
  <w:style w:type="character" w:styleId="1043" w:customStyle="1">
    <w:name w:val="文档结构图 Char1"/>
    <w:uiPriority w:val="99"/>
    <w:semiHidden/>
    <w:qFormat/>
    <w:rPr>
      <w:rFonts w:ascii="宋体"/>
      <w:sz w:val="18"/>
      <w:szCs w:val="18"/>
    </w:rPr>
  </w:style>
  <w:style w:type="character" w:styleId="1044" w:customStyle="1">
    <w:name w:val="font112"/>
    <w:uiPriority w:val="0"/>
    <w:qFormat/>
    <w:rPr>
      <w:rFonts w:hint="eastAsia" w:ascii="宋体" w:hAnsi="宋体" w:eastAsia="宋体" w:cs="宋体"/>
      <w:color w:val="000000"/>
      <w:sz w:val="20"/>
      <w:szCs w:val="20"/>
      <w:u w:val="none"/>
    </w:rPr>
  </w:style>
  <w:style w:type="character" w:styleId="1045" w:customStyle="1">
    <w:name w:val="Char Char1"/>
    <w:uiPriority w:val="0"/>
    <w:qFormat/>
    <w:rPr>
      <w:rFonts w:ascii="Arial" w:hAnsi="Arial" w:eastAsia="黑体"/>
      <w:b/>
      <w:bCs/>
      <w:sz w:val="32"/>
      <w:szCs w:val="32"/>
      <w:lang w:val="en-US" w:eastAsia="zh-CN" w:bidi="ar-SA"/>
    </w:rPr>
  </w:style>
  <w:style w:type="character" w:styleId="1046" w:customStyle="1">
    <w:name w:val="z-窗体顶端 Char1"/>
    <w:link w:val="1047"/>
    <w:uiPriority w:val="0"/>
    <w:qFormat/>
    <w:rPr>
      <w:rFonts w:ascii="Arial" w:hAnsi="Arial" w:cs="Arial"/>
      <w:vanish/>
      <w:sz w:val="16"/>
      <w:szCs w:val="16"/>
    </w:rPr>
  </w:style>
  <w:style w:type="paragraph" w:styleId="1047" w:customStyle="1">
    <w:name w:val="z-窗体顶端1"/>
    <w:basedOn w:val="740"/>
    <w:next w:val="740"/>
    <w:link w:val="1046"/>
    <w:uiPriority w:val="0"/>
    <w:qFormat/>
    <w:pPr>
      <w:jc w:val="center"/>
      <w:pBdr>
        <w:bottom w:val="single" w:color="000000" w:sz="6" w:space="1"/>
      </w:pBdr>
    </w:pPr>
    <w:rPr>
      <w:rFonts w:ascii="Arial" w:hAnsi="Arial" w:eastAsia="宋体" w:cs="Arial"/>
      <w:vanish/>
      <w:sz w:val="16"/>
      <w:szCs w:val="16"/>
    </w:rPr>
  </w:style>
  <w:style w:type="character" w:styleId="1048" w:customStyle="1">
    <w:name w:val="grame"/>
    <w:uiPriority w:val="0"/>
    <w:qFormat/>
  </w:style>
  <w:style w:type="character" w:styleId="1049" w:customStyle="1">
    <w:name w:val="Heading #1|1_"/>
    <w:link w:val="1050"/>
    <w:uiPriority w:val="0"/>
    <w:qFormat/>
    <w:rPr>
      <w:rFonts w:ascii="宋体" w:hAnsi="宋体" w:eastAsia="宋体" w:cs="宋体"/>
      <w:color w:val="fc5c77"/>
      <w:sz w:val="138"/>
      <w:szCs w:val="138"/>
      <w:lang w:val="zh-TW" w:eastAsia="zh-TW" w:bidi="zh-TW"/>
    </w:rPr>
  </w:style>
  <w:style w:type="paragraph" w:styleId="1050" w:customStyle="1">
    <w:name w:val="Heading #1|1"/>
    <w:basedOn w:val="740"/>
    <w:link w:val="104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1" w:customStyle="1">
    <w:name w:val="font21"/>
    <w:uiPriority w:val="0"/>
    <w:qFormat/>
    <w:rPr>
      <w:rFonts w:hint="eastAsia" w:ascii="宋体" w:hAnsi="宋体" w:eastAsia="宋体" w:cs="宋体"/>
      <w:color w:val="000000"/>
      <w:sz w:val="20"/>
      <w:szCs w:val="20"/>
      <w:u w:val="none"/>
    </w:rPr>
  </w:style>
  <w:style w:type="character" w:styleId="1052" w:customStyle="1">
    <w:name w:val="z-窗体顶端 Char"/>
    <w:link w:val="1053"/>
    <w:uiPriority w:val="0"/>
    <w:qFormat/>
    <w:rPr>
      <w:rFonts w:ascii="Arial" w:hAnsi="Arial" w:cs="Arial"/>
      <w:vanish/>
      <w:sz w:val="16"/>
      <w:szCs w:val="16"/>
    </w:rPr>
  </w:style>
  <w:style w:type="paragraph" w:styleId="1053" w:customStyle="1">
    <w:name w:val="z-窗体顶端11"/>
    <w:basedOn w:val="740"/>
    <w:next w:val="740"/>
    <w:link w:val="1052"/>
    <w:uiPriority w:val="0"/>
    <w:unhideWhenUsed/>
    <w:qFormat/>
    <w:pPr>
      <w:jc w:val="center"/>
      <w:pBdr>
        <w:bottom w:val="single" w:color="000000" w:sz="6" w:space="1"/>
      </w:pBdr>
    </w:pPr>
    <w:rPr>
      <w:rFonts w:ascii="Arial" w:hAnsi="Arial" w:eastAsia="宋体" w:cs="Arial"/>
      <w:vanish/>
      <w:sz w:val="16"/>
      <w:szCs w:val="16"/>
    </w:rPr>
  </w:style>
  <w:style w:type="character" w:styleId="1054" w:customStyle="1">
    <w:name w:val="标题 Char1"/>
    <w:uiPriority w:val="10"/>
    <w:qFormat/>
    <w:rPr>
      <w:rFonts w:ascii="Cambria" w:hAnsi="Cambria" w:cs="Times New Roman"/>
      <w:b/>
      <w:bCs/>
      <w:sz w:val="32"/>
      <w:szCs w:val="32"/>
    </w:rPr>
  </w:style>
  <w:style w:type="character" w:styleId="1055" w:customStyle="1">
    <w:name w:val="Char Char3"/>
    <w:uiPriority w:val="0"/>
    <w:qFormat/>
    <w:rPr>
      <w:b/>
      <w:bCs/>
      <w:sz w:val="32"/>
      <w:szCs w:val="32"/>
    </w:rPr>
  </w:style>
  <w:style w:type="character" w:styleId="1056" w:customStyle="1">
    <w:name w:val="Blockquote Char Char"/>
    <w:link w:val="1057"/>
    <w:uiPriority w:val="0"/>
    <w:qFormat/>
    <w:rPr>
      <w:rFonts w:cs="宋体"/>
      <w:sz w:val="24"/>
      <w:szCs w:val="24"/>
    </w:rPr>
  </w:style>
  <w:style w:type="paragraph" w:styleId="1057" w:customStyle="1">
    <w:name w:val="Blockquote"/>
    <w:basedOn w:val="740"/>
    <w:link w:val="1056"/>
    <w:uiPriority w:val="0"/>
    <w:qFormat/>
    <w:pPr>
      <w:ind w:left="360" w:right="360"/>
      <w:jc w:val="left"/>
      <w:spacing w:before="100" w:after="100"/>
    </w:pPr>
    <w:rPr>
      <w:rFonts w:eastAsia="宋体" w:cs="宋体"/>
      <w:sz w:val="24"/>
      <w:szCs w:val="24"/>
    </w:rPr>
  </w:style>
  <w:style w:type="character" w:styleId="1058" w:customStyle="1">
    <w:name w:val="Char Char4"/>
    <w:uiPriority w:val="0"/>
    <w:qFormat/>
    <w:rPr>
      <w:rFonts w:ascii="Arial" w:hAnsi="Arial" w:eastAsia="黑体" w:cs="Arial"/>
      <w:bCs/>
      <w:sz w:val="24"/>
      <w:szCs w:val="28"/>
      <w:lang w:val="en-US" w:eastAsia="zh-CN" w:bidi="ar-SA"/>
    </w:rPr>
  </w:style>
  <w:style w:type="character" w:styleId="1059" w:customStyle="1">
    <w:name w:val="Other|1_"/>
    <w:link w:val="1060"/>
    <w:uiPriority w:val="0"/>
    <w:qFormat/>
    <w:rPr>
      <w:rFonts w:ascii="宋体" w:hAnsi="宋体" w:eastAsia="宋体" w:cs="宋体"/>
      <w:color w:val="4e4a50"/>
      <w:lang w:val="zh-TW" w:eastAsia="zh-TW" w:bidi="zh-TW"/>
    </w:rPr>
  </w:style>
  <w:style w:type="paragraph" w:styleId="1060" w:customStyle="1">
    <w:name w:val="Other|1"/>
    <w:basedOn w:val="740"/>
    <w:link w:val="1059"/>
    <w:uiPriority w:val="0"/>
    <w:qFormat/>
    <w:pPr>
      <w:jc w:val="center"/>
      <w:spacing w:line="308" w:lineRule="exact"/>
    </w:pPr>
    <w:rPr>
      <w:rFonts w:ascii="宋体" w:hAnsi="宋体" w:eastAsia="宋体" w:cs="宋体"/>
      <w:color w:val="4e4a50"/>
      <w:sz w:val="20"/>
      <w:lang w:val="zh-TW" w:eastAsia="zh-TW" w:bidi="zh-TW"/>
    </w:rPr>
  </w:style>
  <w:style w:type="character" w:styleId="1061" w:customStyle="1">
    <w:name w:val="z-窗体底端 Char2"/>
    <w:uiPriority w:val="99"/>
    <w:semiHidden/>
    <w:qFormat/>
    <w:rPr>
      <w:rFonts w:ascii="Arial" w:hAnsi="Arial" w:eastAsia="楷体_GB2312" w:cs="Arial"/>
      <w:vanish/>
      <w:sz w:val="16"/>
      <w:szCs w:val="16"/>
    </w:rPr>
  </w:style>
  <w:style w:type="character" w:styleId="1062" w:customStyle="1">
    <w:name w:val="font61"/>
    <w:uiPriority w:val="0"/>
    <w:qFormat/>
    <w:rPr>
      <w:rFonts w:ascii="Calibri" w:hAnsi="Calibri" w:cs="Calibri"/>
      <w:color w:val="000000"/>
      <w:sz w:val="20"/>
      <w:szCs w:val="20"/>
      <w:u w:val="none"/>
    </w:rPr>
  </w:style>
  <w:style w:type="character" w:styleId="1063" w:customStyle="1">
    <w:name w:val="Body text|3_"/>
    <w:link w:val="1064"/>
    <w:uiPriority w:val="0"/>
    <w:qFormat/>
    <w:rPr>
      <w:color w:val="5c575b"/>
      <w:sz w:val="26"/>
      <w:szCs w:val="26"/>
      <w:lang w:val="zh-TW" w:eastAsia="zh-TW" w:bidi="zh-TW"/>
    </w:rPr>
  </w:style>
  <w:style w:type="paragraph" w:styleId="1064" w:customStyle="1">
    <w:name w:val="Body text|3"/>
    <w:basedOn w:val="740"/>
    <w:link w:val="1063"/>
    <w:uiPriority w:val="0"/>
    <w:qFormat/>
    <w:pPr>
      <w:jc w:val="left"/>
    </w:pPr>
    <w:rPr>
      <w:rFonts w:eastAsia="宋体"/>
      <w:color w:val="5c575b"/>
      <w:szCs w:val="26"/>
      <w:lang w:val="zh-TW" w:eastAsia="zh-TW" w:bidi="zh-TW"/>
    </w:rPr>
  </w:style>
  <w:style w:type="character" w:styleId="1065" w:customStyle="1">
    <w:name w:val="Char Char2"/>
    <w:uiPriority w:val="0"/>
    <w:qFormat/>
    <w:rPr>
      <w:rFonts w:ascii="Arial" w:hAnsi="Arial" w:eastAsia="黑体" w:cs="Arial"/>
      <w:b/>
      <w:bCs/>
      <w:sz w:val="32"/>
      <w:szCs w:val="32"/>
      <w:lang w:val="en-US" w:eastAsia="zh-CN" w:bidi="ar-SA"/>
    </w:rPr>
  </w:style>
  <w:style w:type="character" w:styleId="1066" w:customStyle="1">
    <w:name w:val="z-窗体顶端 Char2"/>
    <w:uiPriority w:val="99"/>
    <w:semiHidden/>
    <w:qFormat/>
    <w:rPr>
      <w:rFonts w:ascii="Arial" w:hAnsi="Arial" w:eastAsia="楷体_GB2312" w:cs="Arial"/>
      <w:vanish/>
      <w:sz w:val="16"/>
      <w:szCs w:val="16"/>
    </w:rPr>
  </w:style>
  <w:style w:type="character" w:styleId="1067" w:customStyle="1">
    <w:name w:val="Header or footer|2_"/>
    <w:link w:val="1068"/>
    <w:uiPriority w:val="0"/>
    <w:qFormat/>
    <w:rPr>
      <w:lang w:val="zh-TW" w:eastAsia="zh-TW" w:bidi="zh-TW"/>
    </w:rPr>
  </w:style>
  <w:style w:type="paragraph" w:styleId="1068" w:customStyle="1">
    <w:name w:val="Header or footer|2"/>
    <w:basedOn w:val="740"/>
    <w:link w:val="1067"/>
    <w:uiPriority w:val="0"/>
    <w:qFormat/>
    <w:pPr>
      <w:jc w:val="left"/>
    </w:pPr>
    <w:rPr>
      <w:rFonts w:eastAsia="宋体"/>
      <w:sz w:val="20"/>
      <w:lang w:val="zh-TW" w:eastAsia="zh-TW" w:bidi="zh-TW"/>
    </w:rPr>
  </w:style>
  <w:style w:type="character" w:styleId="1069" w:customStyle="1">
    <w:name w:val="正文首行缩进 Char1"/>
    <w:uiPriority w:val="0"/>
    <w:qFormat/>
  </w:style>
  <w:style w:type="character" w:styleId="1070" w:customStyle="1">
    <w:name w:val="Body text|1_"/>
    <w:link w:val="1071"/>
    <w:uiPriority w:val="0"/>
    <w:qFormat/>
    <w:rPr>
      <w:rFonts w:ascii="宋体" w:hAnsi="宋体" w:eastAsia="宋体" w:cs="宋体"/>
      <w:color w:val="4e4a50"/>
      <w:sz w:val="26"/>
      <w:szCs w:val="26"/>
      <w:lang w:val="zh-TW" w:eastAsia="zh-TW" w:bidi="zh-TW"/>
    </w:rPr>
  </w:style>
  <w:style w:type="paragraph" w:styleId="1071" w:customStyle="1">
    <w:name w:val="Body text|1"/>
    <w:basedOn w:val="740"/>
    <w:link w:val="107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2" w:customStyle="1">
    <w:name w:val="Picture caption|1_"/>
    <w:link w:val="1073"/>
    <w:uiPriority w:val="0"/>
    <w:qFormat/>
    <w:rPr>
      <w:rFonts w:ascii="宋体" w:hAnsi="宋体" w:eastAsia="宋体" w:cs="宋体"/>
      <w:color w:val="4e4a50"/>
      <w:sz w:val="26"/>
      <w:szCs w:val="26"/>
      <w:lang w:val="zh-TW" w:eastAsia="zh-TW" w:bidi="zh-TW"/>
    </w:rPr>
  </w:style>
  <w:style w:type="paragraph" w:styleId="1073" w:customStyle="1">
    <w:name w:val="Picture caption|1"/>
    <w:basedOn w:val="740"/>
    <w:link w:val="1072"/>
    <w:uiPriority w:val="0"/>
    <w:qFormat/>
    <w:pPr>
      <w:jc w:val="left"/>
    </w:pPr>
    <w:rPr>
      <w:rFonts w:ascii="宋体" w:hAnsi="宋体" w:eastAsia="宋体" w:cs="宋体"/>
      <w:color w:val="4e4a50"/>
      <w:szCs w:val="26"/>
      <w:lang w:val="zh-TW" w:eastAsia="zh-TW" w:bidi="zh-TW"/>
    </w:rPr>
  </w:style>
  <w:style w:type="character" w:styleId="1074" w:customStyle="1">
    <w:name w:val="Char Char"/>
    <w:uiPriority w:val="0"/>
    <w:qFormat/>
    <w:rPr>
      <w:rFonts w:eastAsia="黑体"/>
      <w:bCs/>
      <w:sz w:val="28"/>
      <w:szCs w:val="32"/>
      <w:lang w:val="en-US" w:eastAsia="zh-CN" w:bidi="ar-SA"/>
    </w:rPr>
  </w:style>
  <w:style w:type="character" w:styleId="1075" w:customStyle="1">
    <w:name w:val="Heading #2|1_"/>
    <w:link w:val="1076"/>
    <w:uiPriority w:val="0"/>
    <w:qFormat/>
    <w:rPr>
      <w:rFonts w:ascii="宋体" w:hAnsi="宋体" w:eastAsia="宋体" w:cs="宋体"/>
      <w:color w:val="4e4a50"/>
      <w:sz w:val="40"/>
      <w:szCs w:val="40"/>
      <w:lang w:val="zh-TW" w:eastAsia="zh-TW" w:bidi="zh-TW"/>
    </w:rPr>
  </w:style>
  <w:style w:type="paragraph" w:styleId="1076" w:customStyle="1">
    <w:name w:val="Heading #2|1"/>
    <w:basedOn w:val="740"/>
    <w:link w:val="107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7" w:customStyle="1">
    <w:name w:val="font51"/>
    <w:uiPriority w:val="0"/>
    <w:qFormat/>
    <w:rPr>
      <w:rFonts w:hint="eastAsia" w:ascii="宋体" w:hAnsi="宋体" w:eastAsia="宋体" w:cs="宋体"/>
      <w:color w:val="000000"/>
      <w:sz w:val="20"/>
      <w:szCs w:val="20"/>
      <w:u w:val="none"/>
    </w:rPr>
  </w:style>
  <w:style w:type="character" w:styleId="1078" w:customStyle="1">
    <w:name w:val="z-窗体底端 Char1"/>
    <w:link w:val="1079"/>
    <w:uiPriority w:val="0"/>
    <w:qFormat/>
    <w:rPr>
      <w:rFonts w:ascii="Arial" w:hAnsi="Arial" w:cs="Arial"/>
      <w:vanish/>
      <w:sz w:val="16"/>
      <w:szCs w:val="16"/>
    </w:rPr>
  </w:style>
  <w:style w:type="paragraph" w:styleId="1079" w:customStyle="1">
    <w:name w:val="z-窗体底端2"/>
    <w:basedOn w:val="740"/>
    <w:next w:val="740"/>
    <w:link w:val="1078"/>
    <w:uiPriority w:val="0"/>
    <w:qFormat/>
    <w:pPr>
      <w:jc w:val="center"/>
      <w:pBdr>
        <w:top w:val="single" w:color="000000" w:sz="6" w:space="1"/>
      </w:pBdr>
    </w:pPr>
    <w:rPr>
      <w:rFonts w:ascii="Arial" w:hAnsi="Arial" w:eastAsia="宋体" w:cs="Arial"/>
      <w:vanish/>
      <w:sz w:val="16"/>
      <w:szCs w:val="16"/>
    </w:rPr>
  </w:style>
  <w:style w:type="paragraph" w:styleId="1080" w:customStyle="1">
    <w:name w:val="样式 标题 2 + Times New Roman 四号 非加粗 段前: 5 磅 段后: 0 磅 行距: 固定值 20..."/>
    <w:basedOn w:val="972"/>
    <w:uiPriority w:val="0"/>
    <w:qFormat/>
    <w:pPr>
      <w:jc w:val="center"/>
      <w:spacing w:before="100" w:after="0" w:line="400" w:lineRule="exact"/>
    </w:pPr>
    <w:rPr>
      <w:rFonts w:ascii="Times New Roman" w:hAnsi="Times New Roman" w:cs="宋体"/>
      <w:b w:val="0"/>
      <w:bCs w:val="0"/>
      <w:sz w:val="28"/>
      <w:szCs w:val="20"/>
    </w:rPr>
  </w:style>
  <w:style w:type="paragraph" w:styleId="1081" w:customStyle="1">
    <w:name w:val="正文首行缩进两字符"/>
    <w:basedOn w:val="740"/>
    <w:uiPriority w:val="0"/>
    <w:qFormat/>
    <w:pPr>
      <w:ind w:firstLine="200"/>
      <w:spacing w:line="360" w:lineRule="auto"/>
    </w:pPr>
    <w:rPr>
      <w:rFonts w:eastAsia="宋体"/>
      <w:sz w:val="21"/>
      <w:szCs w:val="24"/>
    </w:rPr>
  </w:style>
  <w:style w:type="paragraph" w:styleId="1082" w:customStyle="1">
    <w:name w:val="red"/>
    <w:basedOn w:val="740"/>
    <w:uiPriority w:val="0"/>
    <w:qFormat/>
    <w:pPr>
      <w:jc w:val="left"/>
      <w:spacing w:before="100" w:beforeAutospacing="1" w:after="100" w:afterAutospacing="1"/>
      <w:widowControl/>
    </w:pPr>
    <w:rPr>
      <w:rFonts w:ascii="宋体" w:hAnsi="宋体" w:eastAsia="宋体" w:cs="宋体"/>
      <w:sz w:val="21"/>
      <w:szCs w:val="21"/>
    </w:rPr>
  </w:style>
  <w:style w:type="paragraph" w:styleId="1083" w:customStyle="1">
    <w:name w:val="z-窗体底端3"/>
    <w:basedOn w:val="740"/>
    <w:next w:val="740"/>
    <w:uiPriority w:val="0"/>
    <w:unhideWhenUsed/>
    <w:qFormat/>
    <w:pPr>
      <w:jc w:val="center"/>
      <w:pBdr>
        <w:top w:val="single" w:color="000000" w:sz="6" w:space="1"/>
      </w:pBdr>
    </w:pPr>
    <w:rPr>
      <w:rFonts w:ascii="Arial" w:hAnsi="Arial" w:eastAsia="宋体" w:cs="Arial"/>
      <w:vanish/>
      <w:sz w:val="16"/>
      <w:szCs w:val="16"/>
    </w:rPr>
  </w:style>
  <w:style w:type="paragraph" w:styleId="1084" w:customStyle="1">
    <w:name w:val="_Style 4"/>
    <w:basedOn w:val="740"/>
    <w:next w:val="740"/>
    <w:uiPriority w:val="0"/>
    <w:qFormat/>
    <w:pPr>
      <w:ind w:firstLine="420"/>
    </w:pPr>
    <w:rPr>
      <w:rFonts w:ascii="Calibri" w:hAnsi="Calibri" w:eastAsia="宋体"/>
      <w:sz w:val="21"/>
      <w:szCs w:val="22"/>
    </w:rPr>
  </w:style>
  <w:style w:type="paragraph" w:styleId="108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默认段落字体 Para Char Char Char Char Char Char Char"/>
    <w:basedOn w:val="740"/>
    <w:uiPriority w:val="0"/>
    <w:qFormat/>
    <w:rPr>
      <w:rFonts w:ascii="Tahoma" w:hAnsi="Tahoma" w:eastAsia="宋体"/>
      <w:sz w:val="24"/>
    </w:rPr>
  </w:style>
  <w:style w:type="paragraph" w:styleId="1088" w:customStyle="1">
    <w:name w:val="Char"/>
    <w:basedOn w:val="740"/>
    <w:uiPriority w:val="0"/>
    <w:qFormat/>
    <w:rPr>
      <w:rFonts w:ascii="Tahoma" w:hAnsi="Tahoma" w:eastAsia="宋体"/>
      <w:sz w:val="24"/>
    </w:rPr>
  </w:style>
  <w:style w:type="paragraph" w:styleId="1089" w:customStyle="1">
    <w:name w:val="样式1"/>
    <w:basedOn w:val="974"/>
    <w:uiPriority w:val="0"/>
    <w:qFormat/>
    <w:pPr>
      <w:jc w:val="left"/>
      <w:spacing w:before="0" w:after="0" w:line="240" w:lineRule="auto"/>
    </w:pPr>
    <w:rPr>
      <w:rFonts w:ascii="黑体" w:hAnsi="宋体" w:eastAsia="黑体" w:cs="黑体"/>
      <w:b w:val="0"/>
      <w:color w:val="000000"/>
      <w:sz w:val="21"/>
    </w:rPr>
  </w:style>
  <w:style w:type="paragraph" w:styleId="1090" w:customStyle="1">
    <w:name w:val="修订1"/>
    <w:uiPriority w:val="99"/>
    <w:unhideWhenUsed/>
    <w:qFormat/>
    <w:rPr>
      <w:rFonts w:ascii="Times New Roman" w:hAnsi="Times New Roman" w:eastAsia="楷体_GB2312" w:cs="Times New Roman"/>
      <w:sz w:val="26"/>
      <w:lang w:val="en-US" w:eastAsia="zh-CN" w:bidi="ar-SA"/>
    </w:rPr>
  </w:style>
  <w:style w:type="paragraph" w:styleId="1091" w:customStyle="1">
    <w:name w:val="列出段落"/>
    <w:basedOn w:val="740"/>
    <w:uiPriority w:val="0"/>
    <w:qFormat/>
    <w:pPr>
      <w:ind w:firstLine="420"/>
    </w:pPr>
  </w:style>
  <w:style w:type="paragraph" w:styleId="1092" w:customStyle="1">
    <w:name w:val="样式 样式 宋体 + 首行缩进:  1 字符"/>
    <w:basedOn w:val="1093"/>
    <w:uiPriority w:val="0"/>
    <w:qFormat/>
    <w:pPr>
      <w:spacing w:line="240" w:lineRule="auto"/>
    </w:pPr>
  </w:style>
  <w:style w:type="paragraph" w:styleId="1093" w:customStyle="1">
    <w:name w:val="样式 宋体"/>
    <w:basedOn w:val="740"/>
    <w:uiPriority w:val="0"/>
    <w:qFormat/>
    <w:pPr>
      <w:ind w:firstLine="100"/>
      <w:spacing w:line="360" w:lineRule="auto"/>
    </w:pPr>
    <w:rPr>
      <w:rFonts w:ascii="宋体" w:hAnsi="宋体" w:eastAsia="宋体" w:cs="宋体"/>
      <w:sz w:val="21"/>
    </w:rPr>
  </w:style>
  <w:style w:type="paragraph" w:styleId="1094" w:customStyle="1">
    <w:name w:val="正文1"/>
    <w:basedOn w:val="74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5" w:customStyle="1">
    <w:name w:val="正文 + 黑体"/>
    <w:basedOn w:val="740"/>
    <w:uiPriority w:val="0"/>
    <w:qFormat/>
    <w:pPr>
      <w:jc w:val="left"/>
    </w:pPr>
    <w:rPr>
      <w:rFonts w:ascii="黑体" w:hAnsi="宋体" w:eastAsia="黑体" w:cs="TimesNewRomanPSMT"/>
      <w:sz w:val="24"/>
      <w:szCs w:val="24"/>
    </w:rPr>
  </w:style>
  <w:style w:type="paragraph" w:styleId="1096" w:customStyle="1">
    <w:name w:val="1"/>
    <w:basedOn w:val="740"/>
    <w:uiPriority w:val="0"/>
    <w:qFormat/>
    <w:rPr>
      <w:rFonts w:eastAsia="宋体"/>
      <w:sz w:val="21"/>
      <w:szCs w:val="24"/>
    </w:rPr>
  </w:style>
  <w:style w:type="paragraph" w:styleId="1097" w:customStyle="1">
    <w:name w:val="[基本段落]"/>
    <w:basedOn w:val="740"/>
    <w:uiPriority w:val="99"/>
    <w:qFormat/>
    <w:pPr>
      <w:jc w:val="left"/>
      <w:spacing w:line="288" w:lineRule="auto"/>
    </w:pPr>
    <w:rPr>
      <w:rFonts w:ascii="Myriad Roman" w:hAnsi="Myriad Roman" w:cs="Myriad Roman"/>
      <w:color w:val="000000"/>
      <w:sz w:val="24"/>
    </w:rPr>
  </w:style>
  <w:style w:type="paragraph" w:styleId="1098" w:customStyle="1">
    <w:name w:val="纯文本4"/>
    <w:basedOn w:val="740"/>
    <w:uiPriority w:val="0"/>
    <w:qFormat/>
    <w:rPr>
      <w:rFonts w:ascii="宋体" w:hAnsi="Courier New" w:eastAsia="宋体"/>
      <w:sz w:val="28"/>
      <w:szCs w:val="24"/>
    </w:rPr>
  </w:style>
  <w:style w:type="paragraph" w:styleId="1099" w:customStyle="1">
    <w:name w:val="Address"/>
    <w:basedOn w:val="740"/>
    <w:uiPriority w:val="0"/>
    <w:qFormat/>
    <w:pPr>
      <w:jc w:val="left"/>
      <w:spacing w:line="249" w:lineRule="auto"/>
      <w:widowControl/>
    </w:pPr>
    <w:rPr>
      <w:rFonts w:ascii="Centaur" w:hAnsi="Centaur"/>
      <w:sz w:val="20"/>
      <w:lang w:eastAsia="en-US"/>
    </w:rPr>
  </w:style>
  <w:style w:type="paragraph" w:styleId="1100" w:customStyle="1">
    <w:name w:val="金安桥正文"/>
    <w:basedOn w:val="800"/>
    <w:uiPriority w:val="0"/>
    <w:qFormat/>
    <w:pPr>
      <w:ind w:firstLine="200"/>
      <w:jc w:val="left"/>
      <w:spacing w:line="300" w:lineRule="auto"/>
    </w:pPr>
    <w:rPr>
      <w:rFonts w:ascii="Times New Roman"/>
      <w:sz w:val="24"/>
    </w:rPr>
  </w:style>
  <w:style w:type="paragraph" w:styleId="1101" w:customStyle="1">
    <w:name w:val="普通正文"/>
    <w:basedOn w:val="740"/>
    <w:uiPriority w:val="0"/>
    <w:qFormat/>
    <w:pPr>
      <w:ind w:firstLine="480"/>
      <w:jc w:val="left"/>
      <w:spacing w:before="120" w:after="120" w:line="360" w:lineRule="auto"/>
    </w:pPr>
    <w:rPr>
      <w:rFonts w:ascii="Arial" w:hAnsi="Arial"/>
      <w:sz w:val="24"/>
    </w:rPr>
  </w:style>
  <w:style w:type="paragraph" w:styleId="1102" w:customStyle="1">
    <w:name w:val="纯文本11"/>
    <w:basedOn w:val="740"/>
    <w:uiPriority w:val="99"/>
    <w:qFormat/>
    <w:rPr>
      <w:rFonts w:ascii="宋体" w:hAnsi="Courier New"/>
    </w:rPr>
  </w:style>
  <w:style w:type="paragraph" w:styleId="1103" w:customStyle="1">
    <w:name w:val="WPS Plain"/>
    <w:uiPriority w:val="0"/>
    <w:qFormat/>
    <w:rPr>
      <w:rFonts w:ascii="Times New Roman" w:hAnsi="Times New Roman" w:eastAsia="宋体" w:cs="Times New Roman"/>
      <w:lang w:val="en-US" w:eastAsia="zh-CN" w:bidi="ar-SA"/>
    </w:rPr>
  </w:style>
  <w:style w:type="paragraph" w:styleId="1104" w:customStyle="1">
    <w:name w:val="p0"/>
    <w:basedOn w:val="740"/>
    <w:uiPriority w:val="0"/>
    <w:qFormat/>
    <w:pPr>
      <w:widowControl/>
    </w:pPr>
    <w:rPr>
      <w:rFonts w:ascii="黑体" w:hAnsi="黑体"/>
      <w:szCs w:val="21"/>
    </w:rPr>
  </w:style>
  <w:style w:type="paragraph" w:styleId="1105" w:customStyle="1">
    <w:name w:val="首行缩进"/>
    <w:basedOn w:val="740"/>
    <w:uiPriority w:val="0"/>
    <w:qFormat/>
    <w:pPr>
      <w:ind w:firstLine="480"/>
      <w:spacing w:line="360" w:lineRule="auto"/>
    </w:pPr>
    <w:rPr>
      <w:rFonts w:hAnsi="宋体" w:eastAsia="宋体" w:cs="宋体"/>
      <w:sz w:val="24"/>
      <w:szCs w:val="24"/>
    </w:rPr>
  </w:style>
  <w:style w:type="paragraph" w:styleId="1106" w:customStyle="1">
    <w:name w:val="Char1"/>
    <w:basedOn w:val="740"/>
    <w:uiPriority w:val="0"/>
    <w:qFormat/>
    <w:pPr>
      <w:tabs>
        <w:tab w:val="left" w:pos="360" w:leader="none"/>
      </w:tabs>
    </w:pPr>
    <w:rPr>
      <w:rFonts w:eastAsia="宋体"/>
      <w:sz w:val="24"/>
      <w:szCs w:val="24"/>
    </w:rPr>
  </w:style>
  <w:style w:type="paragraph" w:styleId="1107" w:customStyle="1">
    <w:name w:val="z-窗体顶端2"/>
    <w:basedOn w:val="740"/>
    <w:next w:val="740"/>
    <w:uiPriority w:val="0"/>
    <w:unhideWhenUsed/>
    <w:qFormat/>
    <w:pPr>
      <w:jc w:val="center"/>
      <w:pBdr>
        <w:bottom w:val="single" w:color="000000" w:sz="6" w:space="1"/>
      </w:pBdr>
    </w:pPr>
    <w:rPr>
      <w:rFonts w:ascii="Arial" w:hAnsi="Arial" w:eastAsia="宋体" w:cs="Arial"/>
      <w:vanish/>
      <w:sz w:val="16"/>
      <w:szCs w:val="16"/>
    </w:rPr>
  </w:style>
  <w:style w:type="paragraph" w:styleId="1108" w:customStyle="1">
    <w:name w:val="样式 标题 3 + (中文) 黑体 小四 非加粗 段前: 7.8 磅 段后: 0 磅 行距: 固定值 20 磅"/>
    <w:basedOn w:val="973"/>
    <w:next w:val="740"/>
    <w:uiPriority w:val="0"/>
    <w:qFormat/>
    <w:pPr>
      <w:spacing w:before="0" w:after="0" w:line="400" w:lineRule="exact"/>
    </w:pPr>
    <w:rPr>
      <w:rFonts w:eastAsia="宋体"/>
      <w:sz w:val="24"/>
      <w:szCs w:val="20"/>
    </w:rPr>
  </w:style>
  <w:style w:type="paragraph" w:styleId="110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1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Char Char Char Char Char Char Char Char Char Char"/>
    <w:basedOn w:val="740"/>
    <w:uiPriority w:val="0"/>
    <w:qFormat/>
    <w:pPr>
      <w:ind w:hanging="425"/>
      <w:keepNext/>
      <w:spacing w:before="80" w:after="80"/>
      <w:widowControl/>
      <w:tabs>
        <w:tab w:val="left" w:pos="425" w:leader="none"/>
      </w:tabs>
    </w:pPr>
    <w:rPr>
      <w:rFonts w:eastAsia="宋体"/>
      <w:sz w:val="20"/>
    </w:rPr>
  </w:style>
  <w:style w:type="paragraph" w:styleId="1112" w:customStyle="1">
    <w:name w:val="Style1"/>
    <w:basedOn w:val="740"/>
    <w:uiPriority w:val="0"/>
    <w:qFormat/>
    <w:pPr>
      <w:spacing w:after="120"/>
      <w:widowControl/>
      <w:tabs>
        <w:tab w:val="left" w:pos="-720" w:leader="none"/>
      </w:tabs>
    </w:pPr>
    <w:rPr>
      <w:spacing w:val="-3"/>
      <w:sz w:val="24"/>
      <w:lang w:val="en-AU" w:eastAsia="en-US"/>
    </w:rPr>
  </w:style>
  <w:style w:type="paragraph" w:styleId="1113" w:customStyle="1">
    <w:name w:val="样式2"/>
    <w:basedOn w:val="740"/>
    <w:next w:val="975"/>
    <w:uiPriority w:val="0"/>
    <w:qFormat/>
    <w:pPr>
      <w:jc w:val="center"/>
    </w:pPr>
    <w:rPr>
      <w:rFonts w:ascii="宋体" w:hAnsi="宋体" w:eastAsia="宋体" w:cs="Arial"/>
      <w:b/>
      <w:color w:val="000000"/>
      <w:sz w:val="21"/>
      <w:szCs w:val="21"/>
    </w:rPr>
  </w:style>
  <w:style w:type="paragraph" w:styleId="1114" w:customStyle="1">
    <w:name w:val="纯文本3"/>
    <w:basedOn w:val="740"/>
    <w:uiPriority w:val="0"/>
    <w:qFormat/>
    <w:rPr>
      <w:rFonts w:hint="eastAsia" w:ascii="宋体" w:hAnsi="Courier New"/>
      <w:sz w:val="28"/>
    </w:rPr>
  </w:style>
  <w:style w:type="paragraph" w:styleId="1115" w:customStyle="1">
    <w:name w:val="Table Paragraph"/>
    <w:basedOn w:val="740"/>
    <w:uiPriority w:val="1"/>
    <w:qFormat/>
  </w:style>
  <w:style w:type="table" w:styleId="1116" w:customStyle="1">
    <w:name w:val="Table Normal"/>
    <w:uiPriority w:val="2"/>
    <w:unhideWhenUsed/>
    <w:qFormat/>
    <w:tblPr>
      <w:tblCellMar>
        <w:left w:w="0" w:type="dxa"/>
        <w:top w:w="0" w:type="dxa"/>
        <w:right w:w="0" w:type="dxa"/>
        <w:bottom w:w="0" w:type="dxa"/>
      </w:tblCellMar>
    </w:tblPr>
  </w:style>
  <w:style w:type="paragraph" w:styleId="1117" w:customStyle="1">
    <w:name w:val="段"/>
    <w:next w:val="740"/>
    <w:uiPriority w:val="0"/>
    <w:qFormat/>
    <w:pPr>
      <w:ind w:firstLine="200"/>
      <w:jc w:val="both"/>
    </w:pPr>
    <w:rPr>
      <w:rFonts w:ascii="宋体" w:hAnsi="Times New Roman" w:eastAsia="宋体" w:cs="Times New Roman"/>
      <w:sz w:val="21"/>
      <w:szCs w:val="22"/>
      <w:lang w:val="en-US" w:eastAsia="zh-CN" w:bidi="ar-SA"/>
    </w:rPr>
  </w:style>
  <w:style w:type="paragraph" w:styleId="1118" w:customStyle="1">
    <w:name w:val="纯文本111"/>
    <w:basedOn w:val="740"/>
    <w:uiPriority w:val="0"/>
    <w:qFormat/>
    <w:rPr>
      <w:rFonts w:ascii="宋体" w:hAnsi="Courier New"/>
    </w:rPr>
  </w:style>
  <w:style w:type="character" w:styleId="1119" w:customStyle="1">
    <w:name w:val="纯文本 字符"/>
    <w:basedOn w:val="750"/>
    <w:link w:val="763"/>
    <w:uiPriority w:val="0"/>
    <w:qFormat/>
    <w:rPr>
      <w:rFonts w:hint="eastAsia" w:ascii="宋体" w:hAnsi="Courier New" w:eastAsia="宋体" w:cs="Courier New"/>
      <w:sz w:val="26"/>
    </w:rPr>
  </w:style>
  <w:style w:type="character" w:styleId="1120" w:customStyle="1">
    <w:name w:val="未处理的提及1"/>
    <w:basedOn w:val="750"/>
    <w:uiPriority w:val="99"/>
    <w:semiHidden/>
    <w:unhideWhenUsed/>
    <w:qFormat/>
    <w:rPr>
      <w:color w:val="605e5c"/>
      <w:shd w:val="clear" w:color="auto" w:fill="e1dfdd"/>
    </w:rPr>
  </w:style>
  <w:style w:type="character" w:styleId="1121" w:customStyle="1">
    <w:name w:val="未处理的提及2"/>
    <w:basedOn w:val="750"/>
    <w:uiPriority w:val="99"/>
    <w:semiHidden/>
    <w:unhideWhenUsed/>
    <w:qFormat/>
    <w:rPr>
      <w:color w:val="605e5c"/>
      <w:shd w:val="clear" w:color="auto" w:fill="e1dfdd"/>
    </w:rPr>
  </w:style>
  <w:style w:type="character" w:styleId="1122" w:customStyle="1">
    <w:name w:val="font41"/>
    <w:basedOn w:val="750"/>
    <w:uiPriority w:val="0"/>
    <w:qFormat/>
    <w:rPr>
      <w:rFonts w:ascii="黑体" w:hAnsi="宋体" w:eastAsia="黑体" w:cs="黑体"/>
      <w:color w:val="000000"/>
      <w:sz w:val="18"/>
      <w:szCs w:val="18"/>
      <w:u w:val="none"/>
    </w:rPr>
  </w:style>
  <w:style w:type="character" w:styleId="1123" w:customStyle="1">
    <w:name w:val="font31"/>
    <w:basedOn w:val="750"/>
    <w:uiPriority w:val="0"/>
    <w:qFormat/>
    <w:rPr>
      <w:rFonts w:ascii="方正仿宋_GBK" w:hAnsi="方正仿宋_GBK" w:eastAsia="方正仿宋_GBK" w:cs="方正仿宋_GBK"/>
      <w:color w:val="000000"/>
      <w:sz w:val="18"/>
      <w:szCs w:val="18"/>
      <w:u w:val="none"/>
    </w:rPr>
  </w:style>
  <w:style w:type="paragraph" w:styleId="1124" w:customStyle="1">
    <w:name w:val="Table Text"/>
    <w:basedOn w:val="740"/>
    <w:uiPriority w:val="0"/>
    <w:semiHidden/>
    <w:qFormat/>
    <w:rPr>
      <w:rFonts w:ascii="宋体" w:hAnsi="宋体" w:eastAsia="宋体" w:cs="宋体"/>
      <w:sz w:val="20"/>
      <w:lang w:eastAsia="en-US"/>
    </w:rPr>
  </w:style>
  <w:style w:type="character" w:styleId="1125" w:customStyle="1">
    <w:name w:val="正文缩进 字符"/>
    <w:link w:val="755"/>
    <w:uiPriority w:val="0"/>
    <w:qFormat/>
    <w:rPr>
      <w:rFonts w:eastAsia="楷体_GB2312"/>
      <w:sz w:val="24"/>
    </w:rPr>
  </w:style>
  <w:style w:type="paragraph" w:styleId="1126" w:customStyle="1">
    <w:name w:val="正文(其它)"/>
    <w:basedOn w:val="740"/>
    <w:uiPriority w:val="0"/>
    <w:qFormat/>
    <w:pPr>
      <w:jc w:val="center"/>
      <w:spacing w:line="312" w:lineRule="auto"/>
    </w:pPr>
    <w:rPr>
      <w:rFonts w:ascii="黑体" w:eastAsia="黑体"/>
      <w:sz w:val="32"/>
      <w:szCs w:val="32"/>
    </w:rPr>
  </w:style>
  <w:style w:type="character" w:styleId="1127" w:customStyle="1">
    <w:name w:val="jj101"/>
    <w:uiPriority w:val="0"/>
    <w:qFormat/>
    <w:rPr>
      <w:sz w:val="20"/>
      <w:szCs w:val="20"/>
      <w:u w:val="none"/>
    </w:rPr>
  </w:style>
  <w:style w:type="character" w:styleId="1128" w:customStyle="1">
    <w:name w:val="apple-style-span"/>
    <w:basedOn w:val="750"/>
    <w:uiPriority w:val="0"/>
    <w:qFormat/>
  </w:style>
  <w:style w:type="paragraph" w:styleId="1129" w:customStyle="1">
    <w:name w:val="xl31"/>
    <w:basedOn w:val="740"/>
    <w:next w:val="782"/>
    <w:uiPriority w:val="0"/>
    <w:qFormat/>
    <w:pPr>
      <w:ind w:firstLine="3584"/>
      <w:spacing w:before="280" w:after="280"/>
      <w:widowControl/>
    </w:pPr>
  </w:style>
  <w:style w:type="paragraph" w:styleId="1130" w:customStyle="1">
    <w:name w:val="样式 小四 段前: 5 磅 段后: 5 磅 首行缩进:  2 字符"/>
    <w:basedOn w:val="740"/>
    <w:uiPriority w:val="0"/>
    <w:qFormat/>
    <w:pPr>
      <w:spacing w:line="360" w:lineRule="auto"/>
    </w:pPr>
    <w:rPr>
      <w:rFonts w:ascii="宋体" w:hAnsi="宋体"/>
      <w:szCs w:val="21"/>
    </w:rPr>
  </w:style>
  <w:style w:type="character" w:styleId="1131" w:customStyle="1">
    <w:name w:val="hover"/>
    <w:basedOn w:val="750"/>
    <w:uiPriority w:val="0"/>
    <w:qFormat/>
    <w:rPr>
      <w:color w:val="2590eb"/>
      <w:shd w:val="clear" w:color="auto" w:fill="e9f4fd"/>
    </w:rPr>
  </w:style>
  <w:style w:type="character" w:styleId="1132" w:customStyle="1">
    <w:name w:val="hover1"/>
    <w:basedOn w:val="750"/>
    <w:uiPriority w:val="0"/>
    <w:qFormat/>
  </w:style>
  <w:style w:type="character" w:styleId="1133" w:customStyle="1">
    <w:name w:val="hover2"/>
    <w:basedOn w:val="750"/>
    <w:uiPriority w:val="0"/>
    <w:qFormat/>
    <w:rPr>
      <w:color w:val="2590eb"/>
    </w:rPr>
  </w:style>
  <w:style w:type="character" w:styleId="1134" w:customStyle="1">
    <w:name w:val="hover3"/>
    <w:basedOn w:val="750"/>
    <w:uiPriority w:val="0"/>
    <w:qFormat/>
    <w:rPr>
      <w:color w:val="2590eb"/>
    </w:rPr>
  </w:style>
  <w:style w:type="paragraph" w:styleId="1135" w:customStyle="1">
    <w:name w:val="注释标题1"/>
    <w:basedOn w:val="740"/>
    <w:next w:val="740"/>
    <w:uiPriority w:val="0"/>
    <w:qFormat/>
    <w:pPr>
      <w:ind w:firstLine="480"/>
      <w:jc w:val="center"/>
      <w:spacing w:line="360" w:lineRule="auto"/>
    </w:pPr>
    <w:rPr>
      <w:rFonts w:eastAsia="宋体"/>
      <w:sz w:val="21"/>
      <w:szCs w:val="24"/>
      <w:lang w:val="zh-CN"/>
    </w:rPr>
  </w:style>
  <w:style w:type="paragraph" w:styleId="1136" w:customStyle="1">
    <w:name w:val="列表段落1"/>
    <w:basedOn w:val="740"/>
    <w:uiPriority w:val="34"/>
    <w:qFormat/>
    <w:pPr>
      <w:ind w:firstLine="420"/>
    </w:pPr>
    <w:rPr>
      <w:rFonts w:eastAsia="宋体"/>
      <w:sz w:val="21"/>
      <w:szCs w:val="24"/>
    </w:rPr>
  </w:style>
  <w:style w:type="character" w:styleId="1137" w:customStyle="1">
    <w:name w:val="明显强调1"/>
    <w:basedOn w:val="750"/>
    <w:uiPriority w:val="21"/>
    <w:qFormat/>
    <w:rPr>
      <w:i/>
      <w:iCs/>
      <w:color w:val="0f4761"/>
    </w:rPr>
  </w:style>
  <w:style w:type="character" w:styleId="1138" w:customStyle="1">
    <w:name w:val="明显参考1"/>
    <w:basedOn w:val="750"/>
    <w:uiPriority w:val="32"/>
    <w:qFormat/>
    <w:rPr>
      <w:b/>
      <w:bCs/>
      <w:smallCaps/>
      <w:color w:val="0f4761"/>
      <w:spacing w:val="5"/>
    </w:rPr>
  </w:style>
  <w:style w:type="table" w:styleId="1139" w:customStyle="1">
    <w:name w:val="网格型2"/>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1"/>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msonormal"/>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font0"/>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font5"/>
    <w:basedOn w:val="740"/>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font6"/>
    <w:basedOn w:val="740"/>
    <w:uiPriority w:val="0"/>
    <w:qFormat/>
    <w:pPr>
      <w:jc w:val="left"/>
      <w:spacing w:before="100" w:beforeAutospacing="1" w:after="100" w:afterAutospacing="1"/>
      <w:widowControl/>
    </w:pPr>
    <w:rPr>
      <w:rFonts w:ascii="宋体" w:hAnsi="宋体" w:eastAsia="宋体" w:cs="宋体"/>
      <w:b/>
      <w:bCs/>
      <w:sz w:val="24"/>
      <w:szCs w:val="24"/>
    </w:rPr>
  </w:style>
  <w:style w:type="paragraph" w:styleId="1145" w:customStyle="1">
    <w:name w:val="font7"/>
    <w:basedOn w:val="74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46" w:customStyle="1">
    <w:name w:val="font8"/>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7" w:customStyle="1">
    <w:name w:val="font9"/>
    <w:basedOn w:val="74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48" w:customStyle="1">
    <w:name w:val="font10"/>
    <w:basedOn w:val="74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49" w:customStyle="1">
    <w:name w:val="xl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6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xl7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6" w:customStyle="1">
    <w:name w:val="xl7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9" w:customStyle="1">
    <w:name w:val="xl75"/>
    <w:basedOn w:val="74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7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1" w:customStyle="1">
    <w:name w:val="xl7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xl7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4" w:customStyle="1">
    <w:name w:val="xl8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5"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66" w:customStyle="1">
    <w:name w:val="正文文本缩进 字符"/>
    <w:basedOn w:val="750"/>
    <w:link w:val="759"/>
    <w:uiPriority w:val="0"/>
    <w:qFormat/>
    <w:rPr>
      <w:rFonts w:ascii="楷体_GB2312" w:eastAsia="楷体_GB2312" w:hAnsiTheme="minorHAnsi" w:cstheme="minorBidi"/>
      <w:sz w:val="32"/>
      <w:szCs w:val="22"/>
    </w:rPr>
  </w:style>
  <w:style w:type="paragraph" w:styleId="1167" w:customStyle="1">
    <w:name w:val="acbfdd8b-e11b-4d36-88ff-6049b138f862"/>
    <w:basedOn w:val="740"/>
    <w:link w:val="1168"/>
    <w:uiPriority w:val="0"/>
    <w:qFormat/>
    <w:pPr>
      <w:jc w:val="left"/>
      <w:spacing w:line="288" w:lineRule="auto"/>
    </w:pPr>
    <w:rPr>
      <w:rFonts w:ascii="微软雅黑" w:hAnsi="微软雅黑" w:eastAsia="微软雅黑"/>
      <w:color w:val="000000"/>
      <w:sz w:val="22"/>
      <w:szCs w:val="28"/>
    </w:rPr>
  </w:style>
  <w:style w:type="character" w:styleId="1168" w:customStyle="1">
    <w:name w:val="acbfdd8b-e11b-4d36-88ff-6049b138f862 字符"/>
    <w:basedOn w:val="750"/>
    <w:link w:val="1167"/>
    <w:uiPriority w:val="0"/>
    <w:qFormat/>
    <w:rPr>
      <w:rFonts w:ascii="微软雅黑" w:hAnsi="微软雅黑" w:eastAsia="微软雅黑"/>
      <w:color w:val="000000"/>
      <w:sz w:val="22"/>
      <w:szCs w:val="28"/>
    </w:rPr>
  </w:style>
  <w:style w:type="character" w:styleId="1169" w:customStyle="1">
    <w:name w:val="明显强调2"/>
    <w:basedOn w:val="750"/>
    <w:uiPriority w:val="21"/>
    <w:qFormat/>
    <w:rPr>
      <w:i/>
      <w:iCs/>
      <w:color w:val="4f81bd" w:themeColor="accent1"/>
      <w14:textFill>
        <w14:solidFill>
          <w14:schemeClr w14:val="accent1"/>
        </w14:solidFill>
      </w14:textFill>
    </w:rPr>
  </w:style>
  <w:style w:type="character" w:styleId="1170" w:customStyle="1">
    <w:name w:val="明显参考2"/>
    <w:basedOn w:val="750"/>
    <w:uiPriority w:val="32"/>
    <w:qFormat/>
    <w:rPr>
      <w:b/>
      <w:bCs/>
      <w:smallCaps/>
      <w:color w:val="4f81bd" w:themeColor="accent1"/>
      <w:spacing w:val="5"/>
      <w14:textFill>
        <w14:solidFill>
          <w14:schemeClr w14:val="accent1"/>
        </w14:solidFill>
      </w14:textFill>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a330d386-53ea-4c10-8d64-5933f686bd3a</errorID>
      <errorWord>（</errorWord>
      <group>L1_Punc</group>
      <groupName>标点问题</groupName>
      <ability>L2_Punc</ability>
      <abilityName>标点符号检查</abilityName>
      <candidateList/>
      <explain>同一形式括号套用。</explain>
      <paraID>31647A10</paraID>
      <start>40</start>
      <end>41</end>
      <status>unmodified</status>
      <modifiedWord/>
      <trackRevisions>false</trackRevisions>
    </reviewItem>
    <reviewItem>
      <errorID>7311b5fc-d52d-4eb4-9def-0e6ade8c38d9</errorID>
      <errorWord>）</errorWord>
      <group>L1_Punc</group>
      <groupName>标点问题</groupName>
      <ability>L2_Punc</ability>
      <abilityName>标点符号检查</abilityName>
      <candidateList/>
      <explain>同一形式括号套用。</explain>
      <paraID>31647A10</paraID>
      <start>46</start>
      <end>47</end>
      <status>unmodified</status>
      <modifiedWord/>
      <trackRevisions>false</trackRevisions>
    </reviewItem>
    <reviewItem>
      <errorID>522a7995-245d-40cd-858b-39275661c47f</errorID>
      <errorWord>须</errorWord>
      <group>L1_Word</group>
      <groupName>字词问题</groupName>
      <ability>L2_Typo</ability>
      <abilityName>字词错误</abilityName>
      <candidateList>
        <item>需</item>
      </candidateList>
      <explain>存在发音相同字词的误用。</explain>
      <paraID>533B2AD7</paraID>
      <start>30</start>
      <end>31</end>
      <status>unmodified</status>
      <modifiedWord/>
      <trackRevisions>false</trackRevisions>
    </reviewItem>
    <reviewItem>
      <errorID>0f861711-6442-4eb9-9607-2bcf7d65d31d</errorID>
      <errorWord>：/</errorWord>
      <group>L1_Punc</group>
      <groupName>标点问题</groupName>
      <ability>L2_Punc</ability>
      <abilityName>标点符号检查</abilityName>
      <candidateList>
        <item>：</item>
      </candidateList>
      <explain/>
      <paraID>47613126</paraID>
      <start>8</start>
      <end>10</end>
      <status>unmodified</status>
      <modifiedWord/>
      <trackRevisions>false</trackRevisions>
    </reviewItem>
    <reviewItem>
      <errorID>aef17b79-7a05-471f-87d6-184db1d7d8d4</errorID>
      <errorWord>：/</errorWord>
      <group>L1_Punc</group>
      <groupName>标点问题</groupName>
      <ability>L2_Punc</ability>
      <abilityName>标点符号检查</abilityName>
      <candidateList>
        <item>：</item>
      </candidateList>
      <explain/>
      <paraID>76A74D54</paraID>
      <start>12</start>
      <end>14</end>
      <status>unmodified</status>
      <modifiedWord/>
      <trackRevisions>false</trackRevisions>
    </reviewItem>
    <reviewItem>
      <errorID>92b6d88c-4022-4e5d-bc98-eadbd769796b</errorID>
      <errorWord>：/</errorWord>
      <group>L1_Punc</group>
      <groupName>标点问题</groupName>
      <ability>L2_Punc</ability>
      <abilityName>标点符号检查</abilityName>
      <candidateList>
        <item>：</item>
      </candidateList>
      <explain/>
      <paraID> B4E7725</paraID>
      <start>3</start>
      <end>5</end>
      <status>unmodified</status>
      <modifiedWord/>
      <trackRevisions>false</trackRevisions>
    </reviewItem>
    <reviewItem>
      <errorID>e9b1328f-8d7f-4c7b-8156-882e3fcfb1b9</errorID>
      <errorWord>：/</errorWord>
      <group>L1_Punc</group>
      <groupName>标点问题</groupName>
      <ability>L2_Punc</ability>
      <abilityName>标点符号检查</abilityName>
      <candidateList>
        <item>：</item>
      </candidateList>
      <explain/>
      <paraID> B4E7725</paraID>
      <start>9</start>
      <end>11</end>
      <status>unmodified</status>
      <modifiedWord/>
      <trackRevisions>false</trackRevisions>
    </reviewItem>
    <reviewItem>
      <errorID>5803f4f3-d1a6-46e9-9720-b2aeac82bda4</errorID>
      <errorWord>：/</errorWord>
      <group>L1_Punc</group>
      <groupName>标点问题</groupName>
      <ability>L2_Punc</ability>
      <abilityName>标点符号检查</abilityName>
      <candidateList>
        <item>：</item>
      </candidateList>
      <explain/>
      <paraID>7BACA175</paraID>
      <start>4</start>
      <end>6</end>
      <status>unmodified</status>
      <modifiedWord/>
      <trackRevisions>false</trackRevisions>
    </reviewItem>
    <reviewItem>
      <errorID>37dd5b44-6c33-4b63-acbc-7a1c2807fa7f</errorID>
      <errorWord>&lt;</errorWord>
      <group>L1_Format</group>
      <groupName>格式问题</groupName>
      <ability>L2_HalfPunc</ability>
      <abilityName>全半角检查</abilityName>
      <candidateList>
        <item>〈</item>
      </candidateList>
      <explain>文本全半角错误。</explain>
      <paraID>72E5DFC3</paraID>
      <start>12</start>
      <end>13</end>
      <status>unmodified</status>
      <modifiedWord/>
      <trackRevisions>false</trackRevisions>
    </reviewItem>
    <reviewItem>
      <errorID>04cce7e4-3830-432b-aa90-02f77be4698d</errorID>
      <errorWord>&gt;的通知》</errorWord>
      <group>L1_Punc</group>
      <groupName>标点问题</groupName>
      <ability>L2_Punc</ability>
      <abilityName>标点符号检查</abilityName>
      <candidateList>
        <item>〉的通知》</item>
      </candidateList>
      <explain/>
      <paraID>72E5DFC3</paraID>
      <start>30</start>
      <end>35</end>
      <status>unmodified</status>
      <modifiedWord/>
      <trackRevisions>false</trackRevisions>
    </reviewItem>
    <reviewItem>
      <errorID>cdbd74aa-0810-4cca-83d1-e0af14050dd2</errorID>
      <errorWord>（</errorWord>
      <group>L1_Punc</group>
      <groupName>标点问题</groupName>
      <ability>L2_Punc</ability>
      <abilityName>标点符号检查</abilityName>
      <candidateList/>
      <explain>同一形式括号套用。</explain>
      <paraID>6C258CD6</paraID>
      <start>40</start>
      <end>41</end>
      <status>unmodified</status>
      <modifiedWord/>
      <trackRevisions>false</trackRevisions>
    </reviewItem>
    <reviewItem>
      <errorID>a3c98c26-6dd8-427e-b011-0f793bb86418</errorID>
      <errorWord>）</errorWord>
      <group>L1_Punc</group>
      <groupName>标点问题</groupName>
      <ability>L2_Punc</ability>
      <abilityName>标点符号检查</abilityName>
      <candidateList/>
      <explain>同一形式括号套用。</explain>
      <paraID>6C258CD6</paraID>
      <start>46</start>
      <end>47</end>
      <status>unmodified</status>
      <modifiedWord/>
      <trackRevisions>false</trackRevisions>
    </reviewItem>
    <reviewItem>
      <errorID>09997be8-6347-408a-a9d8-4c8af10d5f68</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e1966209-efdb-4bb1-a19d-b4348bdb9549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e3c7b2c5-f306-4974-af08-f434b074be3f</errorID>
      <errorWord>（</errorWord>
      <group>L1_Punc</group>
      <groupName>标点问题</groupName>
      <ability>L2_Punc</ability>
      <abilityName>标点符号检查</abilityName>
      <candidateList/>
      <explain>同一形式括号套用。</explain>
      <paraID>2659E0EB</paraID>
      <start>37</start>
      <end>38</end>
      <status>unmodified</status>
      <modifiedWord/>
      <trackRevisions>false</trackRevisions>
    </reviewItem>
    <reviewItem>
      <errorID>36371685-aefc-425b-98be-dd4d065dfa0e</errorID>
      <errorWord>）</errorWord>
      <group>L1_Punc</group>
      <groupName>标点问题</groupName>
      <ability>L2_Punc</ability>
      <abilityName>标点符号检查</abilityName>
      <candidateList/>
      <explain>同一形式括号套用。</explain>
      <paraID>2659E0EB</paraID>
      <start>43</start>
      <end>44</end>
      <status>unmodified</status>
      <modifiedWord/>
      <trackRevisions>false</trackRevisions>
    </reviewItem>
    <reviewItem>
      <errorID>452b274b-b3b1-4f55-b1f9-e3e07a91a693</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1245fc30-87b3-4f8f-8528-490cb42c7e8e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edcff20a-3717-447a-be1a-9cfd246d02ec</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98</start>
      <end>100</end>
      <status>unmodified</status>
      <modifiedWord/>
      <trackRevisions>false</trackRevisions>
    </reviewItem>
    <reviewItem>
      <errorID>b1556cc1-096a-481f-89f5-707c806a4745</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9e22d1a5-ac72-40c5-b041-49e33b5c6a0a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c785e60e-224a-49d3-a57a-2826fdce4039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c769814d-2343-4023-b4c2-6229c2f2e704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7D83D750</paraID>
      <start>19</start>
      <end>22</end>
      <status>unmodified</status>
      <modifiedWord/>
      <trackRevisions>false</trackRevisions>
    </reviewItem>
    <reviewItem>
      <errorID>6dca1e1b-7d6e-4110-86f8-5aec0f073c18</errorID>
      <errorWord>需持</errorWord>
      <group>L1_Word</group>
      <groupName>字词问题</groupName>
      <ability>L2_Typo</ability>
      <abilityName>字词错误</abilityName>
      <candidateList>
        <item>须持</item>
      </candidateList>
      <explain>存在发音相同字词的误用。</explain>
      <paraID>6D6E7917</paraID>
      <start>47</start>
      <end>49</end>
      <status>unmodified</status>
      <modifiedWord/>
      <trackRevisions>false</trackRevisions>
    </reviewItem>
    <reviewItem>
      <errorID>8c10f516-881b-4725-aadd-c65d5e3767ef</errorID>
      <errorWord>噪音</errorWord>
      <group>L1_Word</group>
      <groupName>字词问题</groupName>
      <ability>L2_Alias</ability>
      <abilityName>也作/曾用词</abilityName>
      <candidateList>
        <item>噪声</item>
      </candidateList>
      <explain>词汇[噪音]为不规范表述或旧称，其规范书面表述为[噪声]。</explain>
      <paraID>33D65A44</paraID>
      <start>6</start>
      <end>8</end>
      <status>unmodified</status>
      <modifiedWord/>
      <trackRevisions>false</trackRevisions>
    </reviewItem>
    <reviewItem>
      <errorID>e03c578b-c8c2-43e5-bdcc-db0a70d09193</errorID>
      <errorWord>震动</errorWord>
      <group>L1_Word</group>
      <groupName>字词问题</groupName>
      <ability>L2_Typo</ability>
      <abilityName>字词错误</abilityName>
      <candidateList>
        <item>振动</item>
      </candidateList>
      <explain>存在发音相同字词的误用。</explain>
      <paraID>33D65A44</paraID>
      <start>9</start>
      <end>11</end>
      <status>unmodified</status>
      <modifiedWord/>
      <trackRevisions>false</trackRevisions>
    </reviewItem>
    <reviewItem>
      <errorID>f2e9e875-29fa-42a8-ba7f-782a630032d4</errorID>
      <errorWord>:</errorWord>
      <group>L1_Format</group>
      <groupName>格式问题</groupName>
      <ability>L2_HalfPunc</ability>
      <abilityName>全半角检查</abilityName>
      <candidateList>
        <item>：</item>
      </candidateList>
      <explain>文本全半角错误。</explain>
      <paraID>593B1AE8</paraID>
      <start>6</start>
      <end>7</end>
      <status>unmodified</status>
      <modifiedWord/>
      <trackRevisions>false</trackRevisions>
    </reviewItem>
    <reviewItem>
      <errorID>acc87d19-6e13-428b-aa29-2be45a04792c</errorID>
      <errorWord>起</errorWord>
      <group>L1_Word</group>
      <groupName>字词问题</groupName>
      <ability>L2_Typo</ability>
      <abilityName>字词错误</abilityName>
      <candidateList>
        <item>启</item>
      </candidateList>
      <explain>存在发音相同字词的误用。</explain>
      <paraID>593B1AE8</paraID>
      <start>21</start>
      <end>22</end>
      <status>unmodified</status>
      <modifiedWord/>
      <trackRevisions>false</trackRevisions>
    </reviewItem>
    <reviewItem>
      <errorID>fd07d44e-3f05-42c0-b185-e84408f1d233</errorID>
      <errorWord>其它</errorWord>
      <group>L1_Word</group>
      <groupName>字词问题</groupName>
      <ability>L2_Alias</ability>
      <abilityName>也作/曾用词</abilityName>
      <candidateList>
        <item>其他</item>
      </candidateList>
      <explain>词汇[其它]为不规范表述或旧称，其规范书面表述为[其他]。</explain>
      <paraID>155CD225</paraID>
      <start>0</start>
      <end>2</end>
      <status>unmodified</status>
      <modifiedWord/>
      <trackRevisions>false</trackRevisions>
    </reviewItem>
    <reviewItem>
      <errorID>04de8b67-ade0-474c-9757-a0c65ff2204a</errorID>
      <errorWord>查</errorWord>
      <group>L1_Word</group>
      <groupName>字词问题</groupName>
      <ability>L2_Typo</ability>
      <abilityName>字词错误</abilityName>
      <candidateList>
        <item>查和</item>
      </candidateList>
      <explain/>
      <paraID>63AE40FF</paraID>
      <start>65</start>
      <end>66</end>
      <status>unmodified</status>
      <modifiedWord/>
      <trackRevisions>false</trackRevisions>
    </reviewItem>
    <reviewItem>
      <errorID>cb3e9a5b-b82f-4372-9f0c-e847f522f8bd</errorID>
      <errorWord>其它</errorWord>
      <group>L1_Word</group>
      <groupName>字词问题</groupName>
      <ability>L2_Alias</ability>
      <abilityName>也作/曾用词</abilityName>
      <candidateList>
        <item>其他</item>
      </candidateList>
      <explain>词汇[其它]为不规范表述或旧称，其规范书面表述为[其他]。</explain>
      <paraID>67F2B344</paraID>
      <start>0</start>
      <end>2</end>
      <status>unmodified</status>
      <modifiedWord/>
      <trackRevisions>false</trackRevisions>
    </reviewItem>
    <reviewItem>
      <errorID>2023241b-6601-4812-a82a-22806347f84f</errorID>
      <errorWord>作</errorWord>
      <group>L1_Word</group>
      <groupName>字词问题</groupName>
      <ability>L2_Typo</ability>
      <abilityName>字词错误</abilityName>
      <candidateList>
        <item>做</item>
      </candidateList>
      <explain>存在发音相同字词的误用。</explain>
      <paraID>64D4265F</paraID>
      <start>59</start>
      <end>60</end>
      <status>unmodified</status>
      <modifiedWord/>
      <trackRevisions>false</trackRevisions>
    </reviewItem>
    <reviewItem>
      <errorID>dcbff170-2131-4353-817e-a1cf39d16285</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20E9D4C5</paraID>
      <start>13</start>
      <end>16</end>
      <status>unmodified</status>
      <modifiedWord/>
      <trackRevisions>false</trackRevisions>
    </reviewItem>
    <reviewItem>
      <errorID>c8613b3e-1ad3-4a0e-baa0-a70979940821</errorID>
      <errorWord>震动</errorWord>
      <group>L1_Word</group>
      <groupName>字词问题</groupName>
      <ability>L2_Typo</ability>
      <abilityName>字词错误</abilityName>
      <candidateList>
        <item>振动</item>
      </candidateList>
      <explain>存在发音相同字词的误用。</explain>
      <paraID>642E8819</paraID>
      <start>0</start>
      <end>2</end>
      <status>unmodified</status>
      <modifiedWord/>
      <trackRevisions>false</trackRevisions>
    </reviewItem>
    <reviewItem>
      <errorID>69c7035a-5ec0-47e3-9d30-23ec9f13a7a3</errorID>
      <errorWord>噪音</errorWord>
      <group>L1_Word</group>
      <groupName>字词问题</groupName>
      <ability>L2_Alias</ability>
      <abilityName>也作/曾用词</abilityName>
      <candidateList>
        <item>噪声</item>
      </candidateList>
      <explain>词汇[噪音]为不规范表述或旧称，其规范书面表述为[噪声]。</explain>
      <paraID>642E8819</paraID>
      <start>3</start>
      <end>5</end>
      <status>unmodified</status>
      <modifiedWord/>
      <trackRevisions>false</trackRevisions>
    </reviewItem>
    <reviewItem>
      <errorID>08027fc7-94eb-4bf3-b0de-ce802bb5ccc0</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196F9D67</paraID>
      <start>0</start>
      <end>2</end>
      <status>unmodified</status>
      <modifiedWord/>
      <trackRevisions>false</trackRevisions>
    </reviewItem>
    <reviewItem>
      <errorID>b673da66-5d07-44d1-bd6b-cb604d2be181</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69F62F0A</paraID>
      <start>6</start>
      <end>8</end>
      <status>unmodified</status>
      <modifiedWord/>
      <trackRevisions>false</trackRevisions>
    </reviewItem>
    <reviewItem>
      <errorID>f7fec01d-a8d4-4756-a2b2-76a6b5501dd1</errorID>
      <errorWord>PH值</errorWord>
      <group>L1_Word</group>
      <groupName>字词问题</groupName>
      <ability>L2_Typo</ability>
      <abilityName>字词错误</abilityName>
      <candidateList>
        <item>pH值</item>
      </candidateList>
      <explain/>
      <paraID>5048B5C3</paraID>
      <start>30</start>
      <end>33</end>
      <status>unmodified</status>
      <modifiedWord/>
      <trackRevisions>false</trackRevisions>
    </reviewItem>
    <reviewItem>
      <errorID>cd4dd6b6-48f9-4f71-a667-a4c1f0cd0873</errorID>
      <errorWord>（</errorWord>
      <group>L1_Punc</group>
      <groupName>标点问题</groupName>
      <ability>L2_Punc</ability>
      <abilityName>标点符号检查</abilityName>
      <candidateList/>
      <explain>同一形式括号套用。</explain>
      <paraID>4F1DF838</paraID>
      <start>52</start>
      <end>53</end>
      <status>unmodified</status>
      <modifiedWord/>
      <trackRevisions>false</trackRevisions>
    </reviewItem>
    <reviewItem>
      <errorID>899a17c8-8f7f-4a9d-b0c3-61e04390bf06</errorID>
      <errorWord>）</errorWord>
      <group>L1_Punc</group>
      <groupName>标点问题</groupName>
      <ability>L2_Punc</ability>
      <abilityName>标点符号检查</abilityName>
      <candidateList/>
      <explain>同一形式括号套用。</explain>
      <paraID>4F1DF838</paraID>
      <start>66</start>
      <end>67</end>
      <status>unmodified</status>
      <modifiedWord/>
      <trackRevisions>false</trackRevisions>
    </reviewItem>
    <reviewItem>
      <errorID>842e7567-b65c-4510-b698-5a146d4bc557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8555D67</paraID>
      <start>14</start>
      <end>15</end>
      <status>unmodified</status>
      <modifiedWord/>
      <trackRevisions>false</trackRevisions>
    </reviewItem>
    <reviewItem>
      <errorID>8485ab9c-22b5-4411-a7cb-52cd81e3f67c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8555D67</paraID>
      <start>48</start>
      <end>49</end>
      <status>unmodified</status>
      <modifiedWord/>
      <trackRevisions>false</trackRevisions>
    </reviewItem>
    <reviewItem>
      <errorID>03333308-46ab-4007-bd60-999becd491e3</errorID>
      <errorWord>其它</errorWord>
      <group>L1_Word</group>
      <groupName>字词问题</groupName>
      <ability>L2_Alias</ability>
      <abilityName>也作/曾用词</abilityName>
      <candidateList>
        <item>其他</item>
      </candidateList>
      <explain>词汇[其它]为不规范表述或旧称，其规范书面表述为[其他]。</explain>
      <paraID>4C56C12C</paraID>
      <start>59</start>
      <end>61</end>
      <status>unmodified</status>
      <modifiedWord/>
      <trackRevisions>false</trackRevisions>
    </reviewItem>
    <reviewItem>
      <errorID>290b2d6e-686d-4e4d-a7f6-f94e829e8748</errorID>
      <errorWord>作</errorWord>
      <group>L1_Word</group>
      <groupName>字词问题</groupName>
      <ability>L2_Typo</ability>
      <abilityName>字词错误</abilityName>
      <candidateList>
        <item>做</item>
      </candidateList>
      <explain>存在发音相同字词的误用。</explain>
      <paraID>2181D751</paraID>
      <start>27</start>
      <end>28</end>
      <status>unmodified</status>
      <modifiedWord/>
      <trackRevisions>false</trackRevisions>
    </reviewItem>
    <reviewItem>
      <errorID>19408613-c479-4a9c-8b1d-cef6a94f0f30</errorID>
      <errorWord>作</errorWord>
      <group>L1_Word</group>
      <groupName>字词问题</groupName>
      <ability>L2_Typo</ability>
      <abilityName>字词错误</abilityName>
      <candidateList>
        <item>做</item>
      </candidateList>
      <explain>存在发音相同字词的误用。</explain>
      <paraID>2D3292CC</paraID>
      <start>15</start>
      <end>16</end>
      <status>unmodified</status>
      <modifiedWord/>
      <trackRevisions>false</trackRevisions>
    </reviewItem>
    <reviewItem>
      <errorID>1db1d7b9-a6db-4ebe-89a4-4093f0476335</errorID>
      <errorWord>噪音</errorWord>
      <group>L1_Word</group>
      <groupName>字词问题</groupName>
      <ability>L2_Alias</ability>
      <abilityName>也作/曾用词</abilityName>
      <candidateList>
        <item>噪声</item>
      </candidateList>
      <explain>词汇[噪音]为不规范表述或旧称，其规范书面表述为[噪声]。</explain>
      <paraID> 8366AF0</paraID>
      <start>12</start>
      <end>14</end>
      <status>unmodified</status>
      <modifiedWord/>
      <trackRevisions>false</trackRevisions>
    </reviewItem>
    <reviewItem>
      <errorID>2955e8e7-c1ec-4af9-880a-7b65e6267f94</errorID>
      <errorWord>震动</errorWord>
      <group>L1_Word</group>
      <groupName>字词问题</groupName>
      <ability>L2_Typo</ability>
      <abilityName>字词错误</abilityName>
      <candidateList>
        <item>振动</item>
      </candidateList>
      <explain>存在发音相同字词的误用。</explain>
      <paraID> 8366AF0</paraID>
      <start>15</start>
      <end>17</end>
      <status>unmodified</status>
      <modifiedWord/>
      <trackRevisions>false</trackRevisions>
    </reviewItem>
    <reviewItem>
      <errorID>28bf7816-d2d0-42d2-a601-c68c6412f832</errorID>
      <errorWord>泄露</errorWord>
      <group>L1_Word</group>
      <groupName>字词问题</groupName>
      <ability>L2_Typo</ability>
      <abilityName>字词错误</abilityName>
      <candidateList>
        <item>泄漏</item>
      </candidateList>
      <explain/>
      <paraID>5FD46126</paraID>
      <start>9</start>
      <end>11</end>
      <status>unmodified</status>
      <modifiedWord/>
      <trackRevisions>false</trackRevisions>
    </reviewItem>
    <reviewItem>
      <errorID>02d65b1e-98dd-4bee-8414-0858ef958178</errorID>
      <errorWord>&lt;</errorWord>
      <group>L1_Format</group>
      <groupName>格式问题</groupName>
      <ability>L2_HalfPunc</ability>
      <abilityName>全半角检查</abilityName>
      <candidateList>
        <item>〈</item>
      </candidateList>
      <explain>文本全半角错误。</explain>
      <paraID>3573FC0F</paraID>
      <start>48</start>
      <end>49</end>
      <status>unmodified</status>
      <modifiedWord/>
      <trackRevisions>false</trackRevisions>
    </reviewItem>
    <reviewItem>
      <errorID>b087d5e8-643d-4587-8d6c-2d6d8f68f242</errorID>
      <errorWord>&lt;</errorWord>
      <group>L1_Format</group>
      <groupName>格式问题</groupName>
      <ability>L2_HalfPunc</ability>
      <abilityName>全半角检查</abilityName>
      <candidateList>
        <item>〈</item>
      </candidateList>
      <explain>文本全半角错误。</explain>
      <paraID>3D9995A1</paraID>
      <start>48</start>
      <end>49</end>
      <status>unmodified</status>
      <modifiedWord/>
      <trackRevisions>false</trackRevisions>
    </reviewItem>
    <reviewItem>
      <errorID>7d0d7a14-2ba0-441f-b32b-9b5848d2a937</errorID>
      <errorWord>&lt;</errorWord>
      <group>L1_Format</group>
      <groupName>格式问题</groupName>
      <ability>L2_HalfPunc</ability>
      <abilityName>全半角检查</abilityName>
      <candidateList>
        <item>〈</item>
      </candidateList>
      <explain>文本全半角错误。</explain>
      <paraID>480E1495</paraID>
      <start>33</start>
      <end>34</end>
      <status>unmodified</status>
      <modifiedWord/>
      <trackRevisions>false</trackRevisions>
    </reviewItem>
    <reviewItem>
      <errorID>d040b6b1-0c77-4f24-a091-96fb142c5900</errorID>
      <errorWord>II级</errorWord>
      <group>L1_Knowledge</group>
      <groupName>知识性问题</groupName>
      <ability>L2_Knowledge</ability>
      <abilityName>其他知识</abilityName>
      <candidateList>
        <item>Ⅱ级</item>
      </candidateList>
      <explain/>
      <paraID>1B95D7BB</paraID>
      <start>2</start>
      <end>5</end>
      <status>unmodified</status>
      <modifiedWord/>
      <trackRevisions>false</trackRevisions>
    </reviewItem>
    <reviewItem>
      <errorID>c1af371a-f203-449c-bbc7-69b70ed964a0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4a65b67c-ae45-479f-be9d-752e4168f187</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
      <errorID>52b63f9c-82ad-43ff-9065-7e7caca4fa14</errorID>
      <errorWord>（</errorWord>
      <group>L1_Punc</group>
      <groupName>标点问题</groupName>
      <ability>L2_Punc</ability>
      <abilityName>标点符号检查</abilityName>
      <candidateList/>
      <explain>同一形式括号套用。</explain>
      <paraID>3D985881</paraID>
      <start>27</start>
      <end>28</end>
      <status>unmodified</status>
      <modifiedWord/>
      <trackRevisions>false</trackRevisions>
    </reviewItem>
    <reviewItem>
      <errorID>6aedbba9-fb9d-47ec-aa09-9a30ffd15b1a</errorID>
      <errorWord>（</errorWord>
      <group>L1_Punc</group>
      <groupName>标点问题</groupName>
      <ability>L2_Punc</ability>
      <abilityName>标点符号检查</abilityName>
      <candidateList/>
      <explain>同一形式括号套用。</explain>
      <paraID>3D985881</paraID>
      <start>38</start>
      <end>39</end>
      <status>unmodified</status>
      <modifiedWord/>
      <trackRevisions>false</trackRevisions>
    </reviewItem>
    <reviewItem>
      <errorID>226e321e-0387-42b0-a275-1e17429f32ac</errorID>
      <errorWord>）</errorWord>
      <group>L1_Punc</group>
      <groupName>标点问题</groupName>
      <ability>L2_Punc</ability>
      <abilityName>标点符号检查</abilityName>
      <candidateList/>
      <explain>同一形式括号套用。</explain>
      <paraID>3D985881</paraID>
      <start>44</start>
      <end>45</end>
      <status>unmodified</status>
      <modifiedWord/>
      <trackRevisions>false</trackRevisions>
    </reviewItem>
    <reviewItem>
      <errorID>3c3f3fa7-3cd5-4ffb-956b-2b32edd408b3</errorID>
      <errorWord>（</errorWord>
      <group>L1_Punc</group>
      <groupName>标点问题</groupName>
      <ability>L2_Punc</ability>
      <abilityName>标点符号检查</abilityName>
      <candidateList/>
      <explain>同一形式括号套用。</explain>
      <paraID>3D472358</paraID>
      <start>27</start>
      <end>28</end>
      <status>unmodified</status>
      <modifiedWord/>
      <trackRevisions>false</trackRevisions>
    </reviewItem>
    <reviewItem>
      <errorID>a9192a01-08c9-41c6-ab6d-2c69ec4e285b</errorID>
      <errorWord>）</errorWord>
      <group>L1_Punc</group>
      <groupName>标点问题</groupName>
      <ability>L2_Punc</ability>
      <abilityName>标点符号检查</abilityName>
      <candidateList/>
      <explain>同一形式括号套用。</explain>
      <paraID>3D472358</paraID>
      <start>44</start>
      <end>45</end>
      <status>unmodified</status>
      <modifiedWord/>
      <trackRevisions>false</trackRevisions>
    </reviewItem>
    <reviewItem>
      <errorID>8c56142a-d642-4e33-828b-2b202e8370cb</errorID>
      <errorWord>（</errorWord>
      <group>L1_Punc</group>
      <groupName>标点问题</groupName>
      <ability>L2_Punc</ability>
      <abilityName>标点符号检查</abilityName>
      <candidateList/>
      <explain>同一形式括号套用。</explain>
      <paraID> A949A9D</paraID>
      <start>19</start>
      <end>20</end>
      <status>unmodified</status>
      <modifiedWord/>
      <trackRevisions>false</trackRevisions>
    </reviewItem>
    <reviewItem>
      <errorID>54a448d0-51cf-47f9-9e87-dd84e3ef2529</errorID>
      <errorWord>）</errorWord>
      <group>L1_Punc</group>
      <groupName>标点问题</groupName>
      <ability>L2_Punc</ability>
      <abilityName>标点符号检查</abilityName>
      <candidateList/>
      <explain>同一形式括号套用。</explain>
      <paraID> A949A9D</paraID>
      <start>29</start>
      <end>30</end>
      <status>unmodified</status>
      <modifiedWord/>
      <trackRevisions>false</trackRevisions>
    </reviewItem>
    <reviewItem>
      <errorID>b376889c-75a0-4c8c-b3b2-62c66cc3b8c6</errorID>
      <errorWord>(</errorWord>
      <group>L1_Format</group>
      <groupName>格式问题</groupName>
      <ability>L2_HalfPunc</ability>
      <abilityName>全半角检查</abilityName>
      <candidateList>
        <item>（</item>
      </candidateList>
      <explain>文本全半角错误。</explain>
      <paraID> FDC4250</paraID>
      <start>2</start>
      <end>3</end>
      <status>unmodified</status>
      <modifiedWord/>
      <trackRevisions>false</trackRevisions>
    </reviewItem>
    <reviewItem>
      <errorID>e6bf268e-9197-4a56-a4bb-7c63771aa366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1AE9D540</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35506AE-5FD7-460D-A558-628F210C656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9</cp:revision>
  <dcterms:created xsi:type="dcterms:W3CDTF">2026-04-28T01:04:00Z</dcterms:created>
  <dcterms:modified xsi:type="dcterms:W3CDTF">2026-04-28T06:57:48Z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BC39045215C04C96BC202B473B7EC421_13</vt:lpwstr>
  </property>
  <property fmtid="{D5CDD505-2E9C-101B-9397-08002B2CF9AE}" pid="4" name="KSOTemplateDocerSaveRecord">
    <vt:lpwstr>eyJoZGlkIjoiY2I1ZWQyMDIzMmI2OGYyYzI2YTM3OTg4YjAxOTQ1MWIiLCJ1c2VySWQiOiIzMTU1ODEyOTcifQ==</vt:lpwstr>
  </property>
</Properties>
</file>