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60"/>
          <w:szCs w:val="60"/>
          <w:highlight w:val="none"/>
        </w:rPr>
      </w:pPr>
      <w:r/>
      <w:bookmarkStart w:id="0" w:name="OLE_LINK1"/>
      <w:r/>
      <w:bookmarkStart w:id="1" w:name="OLE_LINK2"/>
      <w:r>
        <w:rPr>
          <w:rFonts w:hint="eastAsia" w:ascii="宋体" w:hAnsi="宋体" w:cs="宋体"/>
          <w:color w:val="auto"/>
          <w:sz w:val="60"/>
          <w:szCs w:val="60"/>
          <w:highlight w:val="none"/>
        </w:rPr>
        <w:t xml:space="preserve">泰州市政府采购项目</w:t>
      </w:r>
      <w:bookmarkEnd w:id="0"/>
      <w:r/>
      <w:bookmarkEnd w:id="1"/>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sz w:val="36"/>
          <w:szCs w:val="36"/>
          <w:highlight w:val="none"/>
        </w:rPr>
      </w:pPr>
      <w:r/>
      <w:bookmarkStart w:id="2" w:name="_Toc28993"/>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sz w:val="40"/>
          <w:szCs w:val="40"/>
          <w:highlight w:val="none"/>
        </w:rPr>
      </w:pPr>
      <w:r>
        <w:rPr>
          <w:rFonts w:hint="eastAsia" w:ascii="宋体" w:hAnsi="宋体" w:cs="宋体"/>
          <w:color w:val="auto"/>
          <w:sz w:val="40"/>
          <w:szCs w:val="40"/>
          <w:highlight w:val="none"/>
        </w:rPr>
        <w:t xml:space="preserve">竞争性磋商文件</w:t>
      </w:r>
      <w:bookmarkEnd w:id="2"/>
      <w:r/>
      <w: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0"/>
          <w:szCs w:val="30"/>
          <w:highlight w:val="none"/>
        </w:rPr>
      </w:pPr>
      <w:r>
        <w:rPr>
          <w:rFonts w:hint="eastAsia" w:ascii="宋体" w:hAnsi="宋体" w:cs="宋体"/>
          <w:color w:val="auto"/>
          <w:sz w:val="30"/>
          <w:szCs w:val="30"/>
          <w:highlight w:val="none"/>
        </w:rPr>
        <w:t xml:space="preserve">采购项目编号：JSZC-321200-YZNH-C2026-0002</w:t>
      </w:r>
      <w:r/>
    </w:p>
    <w:p>
      <w:pPr>
        <w:rPr>
          <w:rFonts w:ascii="宋体" w:hAnsi="宋体" w:cs="宋体"/>
          <w:color w:val="auto"/>
          <w:sz w:val="30"/>
          <w:szCs w:val="30"/>
          <w:highlight w:val="none"/>
        </w:rPr>
      </w:pPr>
      <w:r>
        <w:rPr>
          <w:rFonts w:hint="eastAsia" w:ascii="宋体" w:hAnsi="宋体" w:cs="宋体"/>
          <w:color w:val="auto"/>
          <w:sz w:val="30"/>
          <w:szCs w:val="30"/>
          <w:highlight w:val="none"/>
        </w:rPr>
        <w:t xml:space="preserve">采购项目名称：特防中心空呼火焰吞噬试验装置设备采购</w:t>
      </w:r>
      <w:r/>
    </w:p>
    <w:p>
      <w:pPr>
        <w:rPr>
          <w:rFonts w:ascii="宋体" w:hAnsi="宋体" w:cs="宋体"/>
          <w:color w:val="auto"/>
          <w:sz w:val="30"/>
          <w:szCs w:val="30"/>
          <w:highlight w:val="none"/>
        </w:rPr>
      </w:pPr>
      <w:r>
        <w:rPr>
          <w:rFonts w:hint="eastAsia" w:ascii="宋体" w:hAnsi="宋体" w:cs="宋体"/>
          <w:color w:val="auto"/>
          <w:sz w:val="30"/>
          <w:szCs w:val="30"/>
          <w:highlight w:val="none"/>
        </w:rPr>
        <w:t xml:space="preserve">采 购 单 位：泰州市纤维检验院（江苏省特种安全防护产品质量监督检验中心）</w:t>
      </w:r>
      <w:r/>
    </w:p>
    <w:p>
      <w:pPr>
        <w:rPr>
          <w:rFonts w:ascii="宋体" w:hAnsi="宋体" w:cs="宋体"/>
          <w:color w:val="auto"/>
          <w:sz w:val="30"/>
          <w:szCs w:val="30"/>
          <w:highlight w:val="none"/>
        </w:rPr>
      </w:pPr>
      <w:r>
        <w:rPr>
          <w:rFonts w:hint="eastAsia" w:ascii="宋体" w:hAnsi="宋体" w:cs="宋体"/>
          <w:color w:val="auto"/>
          <w:sz w:val="30"/>
          <w:szCs w:val="30"/>
          <w:highlight w:val="none"/>
        </w:rPr>
        <w:t xml:space="preserve">采购代理机构：扬州诺浩工程咨询有限公司</w:t>
      </w:r>
      <w:r/>
    </w:p>
    <w:p>
      <w:pPr>
        <w:jc w:val="center"/>
        <w:rPr>
          <w:rFonts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ascii="宋体" w:hAnsi="宋体" w:cs="宋体"/>
          <w:color w:val="auto"/>
          <w:sz w:val="30"/>
          <w:szCs w:val="30"/>
          <w:highlight w:val="none"/>
        </w:rPr>
        <w:t xml:space="preserve">7</w:t>
      </w:r>
      <w:r>
        <w:rPr>
          <w:rFonts w:hint="eastAsia" w:ascii="宋体" w:hAnsi="宋体" w:cs="宋体"/>
          <w:color w:val="auto"/>
          <w:sz w:val="30"/>
          <w:szCs w:val="30"/>
          <w:highlight w:val="none"/>
        </w:rPr>
        <w:t xml:space="preserve">月</w:t>
      </w:r>
      <w:r/>
    </w:p>
    <w:p>
      <w:pPr>
        <w:jc w:val="cente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882"/>
        <w:ind w:firstLine="640"/>
        <w:rPr>
          <w:rFonts w:ascii="宋体" w:hAnsi="宋体" w:eastAsia="宋体" w:cs="宋体"/>
          <w:color w:val="auto"/>
          <w:highlight w:val="none"/>
        </w:rPr>
      </w:pPr>
      <w:r>
        <w:rPr>
          <w:rFonts w:ascii="宋体" w:hAnsi="宋体" w:eastAsia="宋体" w:cs="宋体"/>
          <w:color w:val="auto"/>
          <w:highlight w:val="none"/>
        </w:rPr>
      </w:r>
      <w:r/>
    </w:p>
    <w:p>
      <w:pPr>
        <w:ind w:firstLine="640"/>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882"/>
        <w:ind w:firstLine="64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882"/>
        <w:ind w:firstLine="64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882"/>
        <w:ind w:firstLine="64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882"/>
        <w:ind w:firstLine="64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882"/>
        <w:ind w:firstLine="64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865"/>
        <w:keepNext w:val="0"/>
        <w:rPr>
          <w:rFonts w:ascii="宋体" w:hAnsi="宋体" w:eastAsia="宋体" w:cs="宋体"/>
          <w:color w:val="auto"/>
          <w:sz w:val="32"/>
          <w:szCs w:val="32"/>
          <w:highlight w:val="none"/>
        </w:rPr>
        <w:sectPr>
          <w:footnotePr/>
          <w:endnotePr/>
          <w:type w:val="nextPage"/>
          <w:pgSz w:w="11906" w:h="16838" w:orient="portrait"/>
          <w:pgMar w:top="1440" w:right="1179" w:bottom="1440" w:left="1576" w:header="851" w:footer="992" w:gutter="0"/>
          <w:cols w:num="1" w:sep="0" w:space="720" w:equalWidth="1"/>
          <w:docGrid w:linePitch="360"/>
        </w:sectPr>
      </w:pPr>
      <w:r/>
      <w:bookmarkStart w:id="3" w:name="_Toc32147"/>
      <w:r/>
      <w:bookmarkStart w:id="4" w:name="_Toc24405"/>
      <w:r/>
      <w:r/>
    </w:p>
    <w:p>
      <w:pPr>
        <w:pStyle w:val="865"/>
        <w:jc w:val="center"/>
        <w:keepNext w:val="0"/>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spacing w:line="520" w:lineRule="exact"/>
        <w:rPr>
          <w:rFonts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28359012"/>
      <w:r/>
      <w:bookmarkStart w:id="7" w:name="_Toc28359089"/>
      <w:r/>
      <w:bookmarkStart w:id="8" w:name="_Toc35393798"/>
      <w:r/>
      <w:bookmarkStart w:id="9" w:name="_Toc35393629"/>
      <w:r>
        <w:rPr>
          <w:rFonts w:hint="eastAsia" w:ascii="宋体" w:hAnsi="宋体" w:cs="宋体"/>
          <w:b/>
          <w:bCs/>
          <w:color w:val="auto"/>
          <w:szCs w:val="21"/>
          <w:highlight w:val="none"/>
        </w:rPr>
        <w:t xml:space="preserve">项目概况</w:t>
      </w:r>
      <w:r/>
    </w:p>
    <w:p>
      <w:pPr>
        <w:ind w:firstLine="420"/>
        <w:spacing w:line="520" w:lineRule="exact"/>
        <w:rPr>
          <w:rFonts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rPr>
        <w:t xml:space="preserve">特防中心空呼火焰吞噬试验装置设备采购</w:t>
      </w:r>
      <w:r>
        <w:rPr>
          <w:rFonts w:hint="eastAsia" w:ascii="宋体" w:hAnsi="宋体" w:cs="宋体"/>
          <w:color w:val="auto"/>
          <w:sz w:val="22"/>
          <w:szCs w:val="22"/>
          <w:highlight w:val="none"/>
          <w:u w:val="none"/>
        </w:rPr>
        <w:t xml:space="preserve">JSZC-321200-YZNH-C2026-0002</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江苏政府采购“苏采云”系统</w:t>
      </w:r>
      <w:r>
        <w:rPr>
          <w:rFonts w:hint="eastAsia" w:ascii="宋体" w:hAnsi="宋体" w:cs="宋体"/>
          <w:color w:val="auto"/>
          <w:szCs w:val="21"/>
          <w:highlight w:val="none"/>
        </w:rPr>
        <w:t xml:space="preserve">自行免费下载磋商文件，并于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7</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24</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点00分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项目编号：JSZC-321200-YZNH-C2026-0002</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项目名称：特防中心空呼火焰吞噬试验装置设备采购</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预算金额：11</w:t>
      </w:r>
      <w:r>
        <w:rPr>
          <w:rFonts w:ascii="宋体" w:hAnsi="宋体" w:cs="宋体"/>
          <w:color w:val="auto"/>
          <w:szCs w:val="21"/>
          <w:highlight w:val="none"/>
        </w:rPr>
        <w:t xml:space="preserve">6</w:t>
      </w:r>
      <w:r>
        <w:rPr>
          <w:rFonts w:hint="eastAsia" w:ascii="宋体" w:hAnsi="宋体" w:cs="宋体"/>
          <w:color w:val="auto"/>
          <w:szCs w:val="21"/>
          <w:highlight w:val="none"/>
        </w:rPr>
        <w:t xml:space="preserve">万元。</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最高限价：116万元，响应报价不得超过采购项目最高限价金额，否则按无效响应处理；</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采购需求：空呼火焰吞噬试验装置，至少包括高温烘箱1台，金属人体模型1个，动态人工模拟呼吸机1台，运行轨道1套，试验车装置1台，燃烧器阵列和燃气系统（8路）1套，专用计算机1台，专用操作软件1套，燃烧室烟雾排出系统1套，技术参数详见采购文件。</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合同履行期限：自合同签</w:t>
      </w:r>
      <w:r>
        <w:rPr>
          <w:rFonts w:hint="eastAsia" w:ascii="宋体" w:hAnsi="宋体" w:cs="宋体"/>
          <w:color w:val="auto"/>
          <w:szCs w:val="21"/>
          <w:highlight w:val="none"/>
          <w:lang w:eastAsia="zh-CN"/>
        </w:rPr>
        <w:t xml:space="preserve">订之</w:t>
      </w:r>
      <w:r>
        <w:rPr>
          <w:rFonts w:hint="eastAsia" w:ascii="宋体" w:hAnsi="宋体" w:cs="宋体"/>
          <w:color w:val="auto"/>
          <w:szCs w:val="21"/>
          <w:highlight w:val="none"/>
        </w:rPr>
        <w:t xml:space="preserve">日起30个工作日内完成供货并安装调试完毕。</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spacing w:line="520" w:lineRule="exact"/>
        <w:rPr>
          <w:rFonts w:ascii="宋体" w:hAnsi="宋体" w:cs="宋体"/>
          <w:b/>
          <w:color w:val="auto"/>
          <w:szCs w:val="21"/>
          <w:highlight w:val="none"/>
        </w:rPr>
      </w:pPr>
      <w:r/>
      <w:bookmarkStart w:id="10" w:name="_Toc35393799"/>
      <w:r/>
      <w:bookmarkStart w:id="11" w:name="_Toc35393630"/>
      <w:r/>
      <w:bookmarkStart w:id="12" w:name="_Toc28359090"/>
      <w:r/>
      <w:bookmarkStart w:id="13" w:name="_Toc28359013"/>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0"/>
        <w:spacing w:line="520" w:lineRule="exact"/>
        <w:rPr>
          <w:rFonts w:ascii="宋体" w:hAnsi="宋体" w:cs="宋体"/>
          <w:color w:val="auto"/>
          <w:szCs w:val="21"/>
          <w:highlight w:val="none"/>
        </w:rPr>
      </w:pPr>
      <w:r/>
      <w:bookmarkStart w:id="14" w:name="_Toc28359091"/>
      <w:r/>
      <w:bookmarkStart w:id="15" w:name="_Toc35393800"/>
      <w:r/>
      <w:bookmarkStart w:id="16" w:name="_Toc35393631"/>
      <w:r/>
      <w:bookmarkStart w:id="17" w:name="_Toc28359014"/>
      <w:r>
        <w:rPr>
          <w:rFonts w:hint="eastAsia" w:ascii="宋体" w:hAnsi="宋体" w:cs="宋体"/>
          <w:color w:val="auto"/>
          <w:szCs w:val="21"/>
          <w:highlight w:val="none"/>
        </w:rPr>
        <w:t xml:space="preserve">（一）满足《中华人民共和国政府采购法》第二十二条规定：</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spacing w:line="5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本项目专门面向中小微企业，供应商应为</w:t>
      </w:r>
      <w:bookmarkStart w:id="18" w:name="OLE_LINK15"/>
      <w:r/>
      <w:bookmarkStart w:id="19" w:name="OLE_LINK16"/>
      <w:r>
        <w:rPr>
          <w:rFonts w:hint="eastAsia" w:ascii="宋体" w:hAnsi="宋体" w:cs="宋体"/>
          <w:color w:val="auto"/>
          <w:szCs w:val="21"/>
          <w:highlight w:val="none"/>
        </w:rPr>
        <w:t xml:space="preserve">中</w:t>
      </w:r>
      <w:bookmarkStart w:id="20" w:name="OLE_LINK14"/>
      <w:r>
        <w:rPr>
          <w:rFonts w:hint="eastAsia" w:ascii="宋体" w:hAnsi="宋体" w:cs="宋体"/>
          <w:color w:val="auto"/>
          <w:szCs w:val="21"/>
          <w:highlight w:val="none"/>
        </w:rPr>
        <w:t xml:space="preserve">小微</w:t>
      </w:r>
      <w:bookmarkEnd w:id="18"/>
      <w:r/>
      <w:bookmarkEnd w:id="19"/>
      <w:r/>
      <w:bookmarkEnd w:id="20"/>
      <w:r>
        <w:rPr>
          <w:rFonts w:hint="eastAsia" w:ascii="宋体" w:hAnsi="宋体" w:cs="宋体"/>
          <w:color w:val="auto"/>
          <w:szCs w:val="21"/>
          <w:highlight w:val="none"/>
        </w:rPr>
        <w:t xml:space="preserve">企业、监狱企业、残疾人福利性单位</w:t>
      </w:r>
      <w:bookmarkStart w:id="21" w:name="OLE_LINK12"/>
      <w:r/>
      <w:bookmarkStart w:id="22" w:name="OLE_LINK11"/>
      <w:r>
        <w:rPr>
          <w:rFonts w:hint="eastAsia" w:ascii="宋体" w:hAnsi="宋体" w:cs="宋体"/>
          <w:color w:val="auto"/>
          <w:szCs w:val="21"/>
          <w:highlight w:val="none"/>
        </w:rPr>
        <w:t xml:space="preserve">之一</w:t>
      </w:r>
      <w:bookmarkEnd w:id="21"/>
      <w:r/>
      <w:bookmarkEnd w:id="22"/>
      <w:r>
        <w:rPr>
          <w:rFonts w:hint="eastAsia" w:ascii="宋体" w:hAnsi="宋体" w:cs="宋体"/>
          <w:color w:val="auto"/>
          <w:szCs w:val="21"/>
          <w:highlight w:val="none"/>
        </w:rPr>
        <w:t xml:space="preserve">。</w:t>
      </w:r>
      <w:r/>
    </w:p>
    <w:p>
      <w:pPr>
        <w:ind w:firstLine="420"/>
        <w:spacing w:line="5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（三）本项目的特定资格要求：供应商未被“信用中国”网站（www.creditchina.gov.cn）列入失信被执行人、重大税收违法失信主体、政府采购严重失信行为记录名单；</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注：1、凡为本采购项目提供整体设计、规范编制或者项目管理、监理、检测等服务的供应商，不得再参加本采购项目的其他采购活动；</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2、单位法定代表人/负责人为同一人或者存在直接控股、管理关系的不同供应商，不得参加同一合同项下的政府采购活动。</w:t>
      </w:r>
      <w:r/>
    </w:p>
    <w:p>
      <w:pPr>
        <w:ind w:firstLine="422"/>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时间：</w:t>
      </w:r>
      <w:bookmarkStart w:id="23" w:name="_Toc35393632"/>
      <w:r/>
      <w:bookmarkStart w:id="24" w:name="_Toc28359015"/>
      <w:r/>
      <w:bookmarkStart w:id="25" w:name="_Toc35393801"/>
      <w:r/>
      <w:bookmarkStart w:id="26" w:name="_Toc28359092"/>
      <w:r>
        <w:rPr>
          <w:rFonts w:hint="eastAsia" w:ascii="宋体" w:hAnsi="宋体" w:cs="宋体"/>
          <w:color w:val="auto"/>
          <w:szCs w:val="21"/>
          <w:highlight w:val="none"/>
        </w:rPr>
        <w:t xml:space="preserve">自磋商文件公告发布之日起5个工作日</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地点：供应商完成注册并办理CA证书后在“苏采云”系统下载本项目的采购文件</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方式：登录“苏采云”系统自行下载</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23"/>
      <w:r/>
      <w:bookmarkEnd w:id="24"/>
      <w:r/>
      <w:bookmarkEnd w:id="25"/>
      <w:r/>
      <w:bookmarkEnd w:id="26"/>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spacing w:line="520" w:lineRule="exact"/>
        <w:rPr>
          <w:rFonts w:ascii="宋体" w:hAnsi="宋体" w:cs="宋体"/>
          <w:bCs/>
          <w:color w:val="auto"/>
          <w:szCs w:val="21"/>
          <w:highlight w:val="none"/>
        </w:rPr>
      </w:pPr>
      <w:r>
        <w:rPr>
          <w:rFonts w:hint="eastAsia" w:ascii="宋体" w:hAnsi="宋体" w:cs="宋体"/>
          <w:color w:val="auto"/>
          <w:szCs w:val="21"/>
          <w:highlight w:val="none"/>
        </w:rPr>
        <w:t xml:space="preserve">地点：“苏采云”系统“开标大厅”</w:t>
      </w:r>
      <w:r/>
    </w:p>
    <w:p>
      <w:pPr>
        <w:ind w:firstLine="422"/>
        <w:spacing w:line="520" w:lineRule="exact"/>
        <w:rPr>
          <w:rFonts w:ascii="宋体" w:hAnsi="宋体" w:cs="宋体"/>
          <w:b/>
          <w:color w:val="auto"/>
          <w:szCs w:val="21"/>
          <w:highlight w:val="none"/>
        </w:rPr>
      </w:pPr>
      <w:r/>
      <w:bookmarkStart w:id="27" w:name="_Toc28359093"/>
      <w:r/>
      <w:bookmarkStart w:id="28" w:name="_Toc35393802"/>
      <w:r/>
      <w:bookmarkStart w:id="29" w:name="_Toc28359016"/>
      <w:r/>
      <w:bookmarkStart w:id="30" w:name="_Toc35393633"/>
      <w:r>
        <w:rPr>
          <w:rFonts w:hint="eastAsia" w:ascii="宋体" w:hAnsi="宋体" w:cs="宋体"/>
          <w:b/>
          <w:color w:val="auto"/>
          <w:szCs w:val="21"/>
          <w:highlight w:val="none"/>
        </w:rPr>
        <w:t xml:space="preserve">五、开启</w:t>
      </w:r>
      <w:bookmarkEnd w:id="27"/>
      <w:r/>
      <w:bookmarkEnd w:id="28"/>
      <w:r/>
      <w:bookmarkEnd w:id="29"/>
      <w:r/>
      <w:bookmarkEnd w:id="30"/>
      <w:r>
        <w:rPr>
          <w:rFonts w:hint="eastAsia" w:ascii="宋体" w:hAnsi="宋体" w:cs="宋体"/>
          <w:b/>
          <w:color w:val="auto"/>
          <w:szCs w:val="21"/>
          <w:highlight w:val="none"/>
        </w:rPr>
        <w:t xml:space="preserve">（开标时间）</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spacing w:line="520" w:lineRule="exact"/>
        <w:rPr>
          <w:rFonts w:ascii="宋体" w:hAnsi="宋体" w:cs="宋体"/>
          <w:bCs/>
          <w:color w:val="auto"/>
          <w:szCs w:val="21"/>
          <w:highlight w:val="none"/>
        </w:rPr>
      </w:pPr>
      <w:r>
        <w:rPr>
          <w:rFonts w:hint="eastAsia" w:ascii="宋体" w:hAnsi="宋体" w:cs="宋体"/>
          <w:color w:val="auto"/>
          <w:szCs w:val="21"/>
          <w:highlight w:val="none"/>
        </w:rPr>
        <w:t xml:space="preserve">地点：“苏采云”系统“开标大厅”</w:t>
      </w:r>
      <w:r/>
    </w:p>
    <w:p>
      <w:pPr>
        <w:ind w:firstLine="422"/>
        <w:spacing w:line="520" w:lineRule="exact"/>
        <w:rPr>
          <w:rFonts w:ascii="宋体" w:hAnsi="宋体" w:cs="宋体"/>
          <w:b/>
          <w:color w:val="auto"/>
          <w:szCs w:val="21"/>
          <w:highlight w:val="none"/>
        </w:rPr>
      </w:pPr>
      <w:r/>
      <w:bookmarkStart w:id="31" w:name="_Toc35393634"/>
      <w:r/>
      <w:bookmarkStart w:id="32" w:name="_Toc28359017"/>
      <w:r/>
      <w:bookmarkStart w:id="33" w:name="_Toc35393803"/>
      <w:r/>
      <w:bookmarkStart w:id="34" w:name="_Toc28359094"/>
      <w:r>
        <w:rPr>
          <w:rFonts w:hint="eastAsia" w:ascii="宋体" w:hAnsi="宋体" w:cs="宋体"/>
          <w:b/>
          <w:color w:val="auto"/>
          <w:szCs w:val="21"/>
          <w:highlight w:val="none"/>
        </w:rPr>
        <w:t xml:space="preserve">六、公告期限</w:t>
      </w:r>
      <w:bookmarkEnd w:id="31"/>
      <w:r/>
      <w:bookmarkEnd w:id="32"/>
      <w:r/>
      <w:bookmarkEnd w:id="33"/>
      <w:r/>
      <w:bookmarkEnd w:id="34"/>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520" w:lineRule="exact"/>
        <w:rPr>
          <w:rFonts w:ascii="宋体" w:hAnsi="宋体" w:cs="宋体"/>
          <w:b/>
          <w:color w:val="auto"/>
          <w:szCs w:val="21"/>
          <w:highlight w:val="none"/>
        </w:rPr>
      </w:pPr>
      <w:r/>
      <w:bookmarkStart w:id="35" w:name="_Toc35393635"/>
      <w:r/>
      <w:bookmarkStart w:id="36" w:name="_Toc35393804"/>
      <w:r>
        <w:rPr>
          <w:rFonts w:hint="eastAsia" w:ascii="宋体" w:hAnsi="宋体" w:cs="宋体"/>
          <w:b/>
          <w:color w:val="auto"/>
          <w:szCs w:val="21"/>
          <w:highlight w:val="none"/>
        </w:rPr>
        <w:t xml:space="preserve">七、其他补充事宜</w:t>
      </w:r>
      <w:bookmarkEnd w:id="35"/>
      <w:r/>
      <w:bookmarkEnd w:id="36"/>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2.有关本次招标的事项若存在变动或修改，敬请及时关注“江苏政府采购网”发布的更正公告。</w:t>
      </w:r>
      <w:r/>
    </w:p>
    <w:p>
      <w:pPr>
        <w:ind w:firstLine="422"/>
        <w:spacing w:line="520" w:lineRule="exact"/>
        <w:rPr>
          <w:rFonts w:ascii="宋体" w:hAnsi="宋体" w:cs="宋体"/>
          <w:b/>
          <w:color w:val="auto"/>
          <w:szCs w:val="21"/>
          <w:highlight w:val="none"/>
        </w:rPr>
      </w:pPr>
      <w:r/>
      <w:bookmarkStart w:id="37" w:name="_Toc35393636"/>
      <w:r/>
      <w:bookmarkStart w:id="38" w:name="_Toc28359018"/>
      <w:r/>
      <w:bookmarkStart w:id="39" w:name="_Toc35393805"/>
      <w:r/>
      <w:bookmarkStart w:id="40" w:name="_Toc28359095"/>
      <w:r>
        <w:rPr>
          <w:rFonts w:hint="eastAsia" w:ascii="宋体" w:hAnsi="宋体" w:cs="宋体"/>
          <w:b/>
          <w:color w:val="auto"/>
          <w:szCs w:val="21"/>
          <w:highlight w:val="none"/>
        </w:rPr>
        <w:t xml:space="preserve">八、凡对本次采购提出询问，请按以下方式联系</w:t>
      </w:r>
      <w:bookmarkEnd w:id="37"/>
      <w:r/>
      <w:bookmarkEnd w:id="38"/>
      <w:r/>
      <w:bookmarkEnd w:id="39"/>
      <w:r/>
      <w:bookmarkEnd w:id="40"/>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1.采购单位：泰州市纤维检验院</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地址：泰州市医药高新区杏林路6号</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联系人：马女士</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联系电话：0523-86989905</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2.代理机构：扬州诺浩工程咨询有限公司</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地址：泰州市创美科技产业园18栋16楼1601室</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联系人：姜女士</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联系电话：</w:t>
      </w:r>
      <w:bookmarkStart w:id="41" w:name="_Toc28359021"/>
      <w:r/>
      <w:bookmarkStart w:id="42" w:name="_Toc28359098"/>
      <w:r/>
      <w:bookmarkStart w:id="43" w:name="_Toc35393808"/>
      <w:r/>
      <w:bookmarkStart w:id="44" w:name="_Toc35393639"/>
      <w:r>
        <w:rPr>
          <w:rFonts w:hint="eastAsia" w:ascii="宋体" w:hAnsi="宋体" w:cs="宋体"/>
          <w:color w:val="auto"/>
          <w:szCs w:val="21"/>
          <w:highlight w:val="none"/>
        </w:rPr>
        <w:t xml:space="preserve">0523-86211688</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3.项目联系方式</w:t>
      </w:r>
      <w:bookmarkEnd w:id="41"/>
      <w:r/>
      <w:bookmarkEnd w:id="42"/>
      <w:r/>
      <w:bookmarkEnd w:id="43"/>
      <w:r/>
      <w:bookmarkEnd w:id="44"/>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项目联系人：姜女士</w:t>
      </w:r>
      <w:r/>
    </w:p>
    <w:p>
      <w:pPr>
        <w:ind w:firstLine="420"/>
        <w:spacing w:line="520" w:lineRule="exact"/>
        <w:rPr>
          <w:rFonts w:ascii="宋体" w:hAnsi="宋体" w:cs="宋体"/>
          <w:color w:val="auto"/>
          <w:highlight w:val="none"/>
        </w:rPr>
      </w:pPr>
      <w:r>
        <w:rPr>
          <w:rFonts w:hint="eastAsia" w:ascii="宋体" w:hAnsi="宋体" w:cs="宋体"/>
          <w:color w:val="auto"/>
          <w:szCs w:val="21"/>
          <w:highlight w:val="none"/>
        </w:rPr>
        <w:t xml:space="preserve">电话：0523-86211688</w:t>
      </w:r>
      <w:r/>
    </w:p>
    <w:p>
      <w:pPr>
        <w:pStyle w:val="865"/>
        <w:jc w:val="center"/>
        <w:keepNext w:val="0"/>
        <w:rPr>
          <w:rFonts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5" w:name="_Toc11632"/>
      <w:r/>
      <w:bookmarkStart w:id="46" w:name="_Toc13715"/>
      <w:r>
        <w:rPr>
          <w:rFonts w:hint="eastAsia" w:ascii="黑体" w:hAnsi="黑体" w:eastAsia="黑体" w:cs="黑体"/>
          <w:color w:val="auto"/>
          <w:sz w:val="32"/>
          <w:szCs w:val="32"/>
          <w:highlight w:val="none"/>
        </w:rPr>
        <w:t xml:space="preserve">第二章 参加磋商供应商须知</w:t>
      </w:r>
      <w:bookmarkEnd w:id="45"/>
      <w:r/>
      <w:bookmarkEnd w:id="46"/>
      <w:r/>
      <w:r/>
    </w:p>
    <w:p>
      <w:pPr>
        <w:jc w:val="center"/>
        <w:spacing w:line="400" w:lineRule="exact"/>
        <w:rPr>
          <w:rFonts w:ascii="宋体" w:hAnsi="宋体" w:cs="宋体"/>
          <w:b/>
          <w:color w:val="auto"/>
          <w:highlight w:val="none"/>
        </w:rPr>
      </w:pPr>
      <w:r>
        <w:rPr>
          <w:rFonts w:hint="eastAsia" w:ascii="宋体" w:hAnsi="宋体" w:cs="宋体"/>
          <w:color w:val="auto"/>
          <w:highlight w:val="none"/>
        </w:rPr>
        <w:t xml:space="preserve">（参加竞争性磋商的供应商以下简称“磋商供应商”）</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一、总则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本磋商文件仅适用于</w:t>
      </w:r>
      <w:r>
        <w:rPr>
          <w:rFonts w:hint="eastAsia" w:ascii="宋体" w:hAnsi="宋体" w:cs="宋体"/>
          <w:color w:val="auto"/>
          <w:szCs w:val="21"/>
          <w:highlight w:val="none"/>
        </w:rPr>
        <w:t xml:space="preserve">特防中心空呼火焰吞噬试验装置设备采购</w:t>
      </w:r>
      <w:r>
        <w:rPr>
          <w:rFonts w:hint="eastAsia" w:ascii="宋体" w:hAnsi="宋体" w:cs="宋体"/>
          <w:color w:val="auto"/>
          <w:highlight w:val="none"/>
        </w:rPr>
        <w:t xml:space="preserve">。</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2.项目采购方式</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3.合格的磋商供应商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3.1满足本磋商文件“竞争性磋商采购公告”中申请人的资格要求的规定。</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3.2满足本磋商文件实质性要求和条件的规定。</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4.参加磋商费用</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4.1参加磋商供应商应自行承担所有与参加磋商有关的费用。不论最终的成交结果如何，扬州诺浩工程咨询有限公司（以下简称代理机构）在任何情况下均无义务和责任承担这些费用。</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5.磋商文件的约束力</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w:t>
      </w:r>
      <w:bookmarkStart w:id="47" w:name="_Toc16938527"/>
      <w:r/>
      <w:bookmarkStart w:id="48" w:name="_Toc462564070"/>
      <w:r/>
      <w:bookmarkStart w:id="49" w:name="_Toc20823283"/>
      <w:r/>
      <w:bookmarkStart w:id="50" w:name="_Toc513029211"/>
      <w:r>
        <w:rPr>
          <w:rFonts w:hint="eastAsia" w:ascii="宋体" w:hAnsi="宋体" w:cs="宋体"/>
          <w:color w:val="auto"/>
          <w:highlight w:val="none"/>
        </w:rPr>
        <w:t xml:space="preserve">.磋商文件的澄清</w:t>
      </w:r>
      <w:bookmarkEnd w:id="47"/>
      <w:r/>
      <w:bookmarkEnd w:id="48"/>
      <w:r/>
      <w:bookmarkEnd w:id="49"/>
      <w:r/>
      <w:bookmarkEnd w:id="50"/>
      <w:r>
        <w:rPr>
          <w:rFonts w:hint="eastAsia" w:ascii="宋体" w:hAnsi="宋体" w:cs="宋体"/>
          <w:color w:val="auto"/>
          <w:highlight w:val="none"/>
        </w:rPr>
        <w:t xml:space="preserve">及修改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7.合同形式：固定总价合同</w:t>
      </w:r>
      <w:r/>
    </w:p>
    <w:p>
      <w:pPr>
        <w:ind w:firstLine="422"/>
        <w:spacing w:line="520" w:lineRule="exact"/>
        <w:rPr>
          <w:rFonts w:ascii="宋体" w:hAnsi="宋体" w:cs="宋体"/>
          <w:b/>
          <w:bCs/>
          <w:color w:val="auto"/>
          <w:highlight w:val="none"/>
        </w:rPr>
      </w:pPr>
      <w:r/>
      <w:bookmarkStart w:id="51" w:name="_Toc14577351"/>
      <w:r/>
      <w:bookmarkStart w:id="52" w:name="_Toc513029213"/>
      <w:r/>
      <w:bookmarkStart w:id="53" w:name="_Toc462564072"/>
      <w:r/>
      <w:bookmarkStart w:id="54" w:name="_Toc61149553"/>
      <w:r>
        <w:rPr>
          <w:rFonts w:hint="eastAsia" w:ascii="宋体" w:hAnsi="宋体" w:cs="宋体"/>
          <w:b/>
          <w:bCs/>
          <w:color w:val="auto"/>
          <w:highlight w:val="none"/>
        </w:rPr>
        <w:t xml:space="preserve">二、磋商响应文件的编制</w:t>
      </w:r>
      <w:bookmarkEnd w:id="51"/>
      <w:r/>
      <w:bookmarkEnd w:id="52"/>
      <w:r/>
      <w:bookmarkEnd w:id="53"/>
      <w:r/>
      <w:bookmarkEnd w:id="54"/>
      <w:r>
        <w:rPr>
          <w:rFonts w:hint="eastAsia" w:ascii="宋体" w:hAnsi="宋体" w:cs="宋体"/>
          <w:b/>
          <w:bCs/>
          <w:color w:val="auto"/>
          <w:highlight w:val="none"/>
        </w:rPr>
        <w:t xml:space="preserve">及保证金收取</w:t>
      </w:r>
      <w:r/>
    </w:p>
    <w:p>
      <w:pPr>
        <w:ind w:firstLine="420"/>
        <w:spacing w:line="520" w:lineRule="exact"/>
        <w:rPr>
          <w:rFonts w:ascii="宋体" w:hAnsi="宋体" w:cs="宋体"/>
          <w:color w:val="auto"/>
          <w:highlight w:val="none"/>
        </w:rPr>
      </w:pPr>
      <w:r/>
      <w:bookmarkStart w:id="55" w:name="_Hlt26954834"/>
      <w:r/>
      <w:bookmarkEnd w:id="55"/>
      <w:r/>
      <w:bookmarkStart w:id="56" w:name="_Toc513029215"/>
      <w:r/>
      <w:bookmarkStart w:id="57" w:name="_Toc462564074"/>
      <w:r/>
      <w:bookmarkStart w:id="58" w:name="_Toc14577353"/>
      <w:r/>
      <w:bookmarkStart w:id="59" w:name="_Toc61149555"/>
      <w:r/>
      <w:bookmarkStart w:id="60" w:name="_Toc14577352"/>
      <w:r/>
      <w:bookmarkStart w:id="61" w:name="_Toc61149554"/>
      <w:r/>
      <w:bookmarkStart w:id="62" w:name="_Toc513029214"/>
      <w:r/>
      <w:bookmarkStart w:id="63" w:name="_Toc462564073"/>
      <w:r>
        <w:rPr>
          <w:rFonts w:hint="eastAsia" w:ascii="宋体" w:hAnsi="宋体" w:cs="宋体"/>
          <w:color w:val="auto"/>
          <w:highlight w:val="none"/>
        </w:rPr>
        <w:t xml:space="preserve">1.响应文件</w:t>
      </w:r>
      <w:bookmarkEnd w:id="56"/>
      <w:r/>
      <w:bookmarkEnd w:id="57"/>
      <w:r/>
      <w:bookmarkEnd w:id="58"/>
      <w:r/>
      <w:bookmarkEnd w:id="59"/>
      <w:r>
        <w:rPr>
          <w:rFonts w:hint="eastAsia" w:ascii="宋体" w:hAnsi="宋体" w:cs="宋体"/>
          <w:color w:val="auto"/>
          <w:highlight w:val="none"/>
        </w:rPr>
        <w:t xml:space="preserve">编制要求</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1.1磋商供应商提交的响应文件以及其与代理机构及采购人就有关磋商的所有来往函电均应使用简体中文。磋商文件中既有中文也有外文的，以中文意义为准。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60"/>
      <w:r/>
      <w:bookmarkEnd w:id="61"/>
      <w:r/>
      <w:bookmarkEnd w:id="62"/>
      <w:r/>
      <w:bookmarkEnd w:id="63"/>
      <w:r/>
      <w:r/>
    </w:p>
    <w:p>
      <w:pPr>
        <w:ind w:firstLine="420"/>
        <w:spacing w:line="520" w:lineRule="exact"/>
        <w:rPr>
          <w:rFonts w:ascii="宋体" w:hAnsi="宋体" w:cs="宋体"/>
          <w:color w:val="auto"/>
          <w:highlight w:val="none"/>
        </w:rPr>
      </w:pPr>
      <w:r/>
      <w:bookmarkStart w:id="64" w:name="_Hlt26954836"/>
      <w:r/>
      <w:bookmarkEnd w:id="64"/>
      <w:r/>
      <w:bookmarkStart w:id="65" w:name="_Hlt26670357"/>
      <w:r/>
      <w:bookmarkEnd w:id="65"/>
      <w:r/>
      <w:bookmarkStart w:id="66" w:name="_Toc513029219"/>
      <w:r/>
      <w:bookmarkStart w:id="67" w:name="_Toc14577357"/>
      <w:r/>
      <w:bookmarkStart w:id="68" w:name="_Toc61149558"/>
      <w:r/>
      <w:bookmarkStart w:id="69" w:name="_Toc14577355"/>
      <w:r/>
      <w:bookmarkStart w:id="70" w:name="_Toc513029217"/>
      <w:r/>
      <w:bookmarkStart w:id="71" w:name="_Toc61149557"/>
      <w:r>
        <w:rPr>
          <w:rFonts w:hint="eastAsia" w:ascii="宋体" w:hAnsi="宋体" w:cs="宋体"/>
          <w:color w:val="auto"/>
          <w:highlight w:val="none"/>
        </w:rPr>
        <w:t xml:space="preserve">1.3响应文件构成</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1.3.1 资格证明文件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（2）★磋商供应商法定代表人资格证明书</w:t>
      </w:r>
      <w:bookmarkStart w:id="72" w:name="OLE_LINK57"/>
      <w:r/>
      <w:bookmarkStart w:id="73" w:name="OLE_LINK56"/>
      <w:r>
        <w:rPr>
          <w:rFonts w:hint="eastAsia" w:ascii="宋体" w:hAnsi="宋体" w:cs="宋体"/>
          <w:b/>
          <w:color w:val="auto"/>
          <w:highlight w:val="none"/>
        </w:rPr>
        <w:t xml:space="preserve">（格式见附件）</w:t>
      </w:r>
      <w:bookmarkEnd w:id="72"/>
      <w:r/>
      <w:bookmarkEnd w:id="73"/>
      <w:r>
        <w:rPr>
          <w:rFonts w:hint="eastAsia" w:ascii="宋体" w:hAnsi="宋体" w:cs="宋体"/>
          <w:color w:val="auto"/>
          <w:highlight w:val="none"/>
        </w:rPr>
        <w:t xml:space="preserve">；</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（3）★磋商供应商法定代表人授权委托书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（7）★供应商近六个月中任意一个月份（不含磋商当月）的依法缴纳社会保障资金的相关材料（提供相关主管部门证明或银行代扣证明）；</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（8）★参加政府采购活动前 3 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（10）★磋商供应商应提供《中小企业声明函》或《残疾人福利性单位声明函》或省级以上监狱管理局、戒毒管理局（含新疆生产建设兵团）出具的属于监狱企业的证明文件；</w:t>
      </w:r>
      <w:r/>
    </w:p>
    <w:p>
      <w:pPr>
        <w:ind w:firstLine="42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★磋商供应商应提供《关于符合本国产品标准的声明函》</w:t>
      </w:r>
      <w:r>
        <w:rPr>
          <w:rFonts w:hint="eastAsia" w:ascii="宋体" w:hAnsi="宋体" w:cs="宋体"/>
          <w:color w:val="auto"/>
          <w:highlight w:val="none"/>
          <w:lang w:eastAsia="zh-CN"/>
        </w:rPr>
        <w:t xml:space="preserve">；</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（1）★磋商响应函；</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（3）★分项报价表；</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（4）★技术响应及偏离表；</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（5）根据项目需求和评审方法以及评审标准，供应商为使自身处于有利评审地位，应当提交的其他文件和证明资料；</w:t>
      </w:r>
      <w:bookmarkEnd w:id="66"/>
      <w:r/>
      <w:bookmarkEnd w:id="67"/>
      <w:r/>
      <w:bookmarkEnd w:id="68"/>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1.3.3如标书制作工具中的格式和内容与“江苏政府采购网”发布的磋商文件不一致，请以“江苏政府采购网”发布的磋商文件为准。</w:t>
      </w:r>
      <w:r/>
    </w:p>
    <w:p>
      <w:pPr>
        <w:ind w:firstLine="420"/>
        <w:spacing w:line="520" w:lineRule="exact"/>
        <w:rPr>
          <w:rFonts w:ascii="宋体" w:hAnsi="宋体" w:cs="宋体"/>
          <w:color w:val="auto"/>
          <w:highlight w:val="none"/>
        </w:rPr>
      </w:pPr>
      <w:r/>
      <w:bookmarkStart w:id="74" w:name="_Hlt26668999"/>
      <w:r/>
      <w:bookmarkEnd w:id="74"/>
      <w:r>
        <w:rPr>
          <w:rFonts w:hint="eastAsia" w:ascii="宋体" w:hAnsi="宋体" w:cs="宋体"/>
          <w:color w:val="auto"/>
          <w:highlight w:val="none"/>
        </w:rPr>
        <w:t xml:space="preserve">2.磋商响应报价</w:t>
      </w:r>
      <w:bookmarkEnd w:id="69"/>
      <w:r/>
      <w:bookmarkEnd w:id="70"/>
      <w:r/>
      <w:bookmarkStart w:id="75" w:name="_Hlt26670373"/>
      <w:r/>
      <w:bookmarkEnd w:id="75"/>
      <w:r>
        <w:rPr>
          <w:rFonts w:hint="eastAsia" w:ascii="宋体" w:hAnsi="宋体" w:cs="宋体"/>
          <w:color w:val="auto"/>
          <w:highlight w:val="none"/>
        </w:rPr>
        <w:t xml:space="preserve">表</w:t>
      </w:r>
      <w:bookmarkEnd w:id="71"/>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2.1磋商供应商应按照磋商文件规定格式填报磋商响应报价表。每项产品或服务只允许有一个报价，任何有选择的报价将不予接受，磋商文件中另有规定的按规定执行。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2.2标的物</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详见项目需求。</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2.3有关费用的处理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本次采购磋商供应商的总报价应包括为完成本项目发生的所有费用，本磋商文件中另有规定的除外。</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磋商文件未列明，而磋商供应商认为必需的费用也须列入报价。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2.4 报价采用的货币及方式</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响应文件中的单价和总价，无特殊规定的采用人民币报价，以元为单位标注。磋商文件中另有规定的按规定执行。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 磋商响应报价表上的价格应按磋商文件规定填写。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2.6最高限价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磋商供应商报价超过最高限价的，作为无效标处理。</w:t>
      </w:r>
      <w:r/>
    </w:p>
    <w:p>
      <w:pPr>
        <w:ind w:firstLine="420"/>
        <w:spacing w:line="520" w:lineRule="exact"/>
        <w:rPr>
          <w:rFonts w:ascii="宋体" w:hAnsi="宋体" w:cs="宋体"/>
          <w:color w:val="auto"/>
          <w:highlight w:val="none"/>
        </w:rPr>
      </w:pPr>
      <w:r/>
      <w:bookmarkStart w:id="76" w:name="_Hlt26954739"/>
      <w:r/>
      <w:bookmarkEnd w:id="76"/>
      <w:r/>
      <w:bookmarkStart w:id="77" w:name="_Hlt26670403"/>
      <w:r/>
      <w:bookmarkEnd w:id="77"/>
      <w:r/>
      <w:bookmarkStart w:id="78" w:name="_Hlt26954734"/>
      <w:r/>
      <w:bookmarkEnd w:id="78"/>
      <w:r/>
      <w:bookmarkStart w:id="79" w:name="_Hlt26954846"/>
      <w:r/>
      <w:bookmarkEnd w:id="79"/>
      <w:r/>
      <w:bookmarkStart w:id="80" w:name="_Hlt26670489"/>
      <w:r/>
      <w:bookmarkEnd w:id="80"/>
      <w:r/>
      <w:bookmarkStart w:id="81" w:name="_Hlt26670486"/>
      <w:r/>
      <w:bookmarkEnd w:id="81"/>
      <w:r/>
      <w:bookmarkStart w:id="82" w:name="_Hlt26954731"/>
      <w:r/>
      <w:bookmarkEnd w:id="82"/>
      <w:r/>
      <w:bookmarkStart w:id="83" w:name="_Hlt26954842"/>
      <w:r/>
      <w:bookmarkEnd w:id="83"/>
      <w:r/>
      <w:bookmarkStart w:id="84" w:name="_Hlt26954749"/>
      <w:r/>
      <w:bookmarkEnd w:id="84"/>
      <w:r/>
      <w:bookmarkStart w:id="85" w:name="_Hlt26954844"/>
      <w:r/>
      <w:bookmarkEnd w:id="85"/>
      <w:r/>
      <w:bookmarkStart w:id="86" w:name="_Hlt26954848"/>
      <w:r/>
      <w:bookmarkEnd w:id="86"/>
      <w:r/>
      <w:bookmarkStart w:id="87" w:name="_Hlt26954854"/>
      <w:r/>
      <w:bookmarkEnd w:id="87"/>
      <w:r/>
      <w:bookmarkStart w:id="88" w:name="_Hlt26670493"/>
      <w:r/>
      <w:bookmarkEnd w:id="88"/>
      <w:r/>
      <w:bookmarkStart w:id="89" w:name="_Hlt26670425"/>
      <w:r/>
      <w:bookmarkEnd w:id="89"/>
      <w:r/>
      <w:bookmarkStart w:id="90" w:name="_Hlt26954852"/>
      <w:r/>
      <w:bookmarkEnd w:id="90"/>
      <w:r/>
      <w:bookmarkStart w:id="91" w:name="_Hlt26954850"/>
      <w:r/>
      <w:bookmarkEnd w:id="91"/>
      <w:r/>
      <w:bookmarkStart w:id="92" w:name="_Hlt26670482"/>
      <w:r/>
      <w:bookmarkEnd w:id="92"/>
      <w:r/>
      <w:bookmarkStart w:id="93" w:name="_Hlt26668983"/>
      <w:r/>
      <w:bookmarkEnd w:id="93"/>
      <w:r/>
      <w:bookmarkStart w:id="94" w:name="_Toc61149562"/>
      <w:r/>
      <w:bookmarkStart w:id="95" w:name="_Toc513029224"/>
      <w:r/>
      <w:bookmarkStart w:id="96" w:name="_Toc14577362"/>
      <w:r>
        <w:rPr>
          <w:rFonts w:hint="eastAsia" w:ascii="宋体" w:hAnsi="宋体" w:cs="宋体"/>
          <w:color w:val="auto"/>
          <w:highlight w:val="none"/>
        </w:rPr>
        <w:t xml:space="preserve">3.磋商保证金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依据《关于做好政府采购支持企业发展有关事项的通知》（苏财购〔2020〕52号）文件规定精神，本项目免收磋商保证金。磋商文件中有关磋商保证金的条款均取消。</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三、响应文件的递交</w:t>
      </w:r>
      <w:bookmarkEnd w:id="94"/>
      <w:r/>
      <w:bookmarkEnd w:id="95"/>
      <w:r/>
      <w:bookmarkEnd w:id="96"/>
      <w:r/>
      <w:r/>
    </w:p>
    <w:p>
      <w:pPr>
        <w:ind w:firstLine="420"/>
        <w:spacing w:line="520" w:lineRule="exact"/>
        <w:rPr>
          <w:rFonts w:ascii="宋体" w:hAnsi="宋体" w:cs="宋体"/>
          <w:color w:val="auto"/>
          <w:highlight w:val="none"/>
        </w:rPr>
      </w:pPr>
      <w:r/>
      <w:bookmarkStart w:id="97" w:name="_Hlt26954856"/>
      <w:r/>
      <w:bookmarkEnd w:id="97"/>
      <w:r/>
      <w:bookmarkStart w:id="98" w:name="_Toc513029225"/>
      <w:r/>
      <w:bookmarkStart w:id="99" w:name="_Toc61149563"/>
      <w:r/>
      <w:bookmarkStart w:id="100" w:name="_Toc462564084"/>
      <w:r/>
      <w:bookmarkStart w:id="101" w:name="_Toc14577363"/>
      <w:r>
        <w:rPr>
          <w:rFonts w:hint="eastAsia" w:ascii="宋体" w:hAnsi="宋体" w:cs="宋体"/>
          <w:color w:val="auto"/>
          <w:highlight w:val="none"/>
        </w:rPr>
        <w:t xml:space="preserve">1.</w:t>
      </w:r>
      <w:bookmarkEnd w:id="98"/>
      <w:r/>
      <w:bookmarkEnd w:id="99"/>
      <w:r/>
      <w:bookmarkEnd w:id="100"/>
      <w:r/>
      <w:bookmarkEnd w:id="101"/>
      <w:r>
        <w:rPr>
          <w:rFonts w:hint="eastAsia" w:ascii="宋体" w:hAnsi="宋体" w:cs="宋体"/>
          <w:color w:val="auto"/>
          <w:highlight w:val="none"/>
        </w:rPr>
        <w:t xml:space="preserve">电子磋商响应文件的递交</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2.1供应商上传电子响应文件的时间不得迟于磋商公告中规定的提交响应文件截止时间。</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供应商应充分考虑到网络环境、网络带宽等风险因素，如因供应商自身原因造成的电子响应文件上传不成功的按照本磋商文件第二章第5.3.2条规定作无效响应处理。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520" w:lineRule="exact"/>
        <w:rPr>
          <w:rFonts w:ascii="宋体" w:hAnsi="宋体" w:cs="宋体"/>
          <w:color w:val="auto"/>
          <w:highlight w:val="none"/>
        </w:rPr>
      </w:pPr>
      <w:r/>
      <w:bookmarkStart w:id="102" w:name="_Hlt26954858"/>
      <w:r/>
      <w:bookmarkEnd w:id="102"/>
      <w:r/>
      <w:bookmarkStart w:id="103" w:name="_Hlt26670496"/>
      <w:r/>
      <w:bookmarkEnd w:id="103"/>
      <w:r/>
      <w:bookmarkStart w:id="104" w:name="_Hlt26954752"/>
      <w:r/>
      <w:bookmarkEnd w:id="104"/>
      <w:r/>
      <w:bookmarkStart w:id="105" w:name="_Toc513029226"/>
      <w:r/>
      <w:bookmarkStart w:id="106" w:name="_Toc14577364"/>
      <w:r/>
      <w:bookmarkStart w:id="107" w:name="_Toc61149564"/>
      <w:r>
        <w:rPr>
          <w:rFonts w:hint="eastAsia" w:ascii="宋体" w:hAnsi="宋体" w:cs="宋体"/>
          <w:color w:val="auto"/>
          <w:highlight w:val="none"/>
        </w:rPr>
        <w:t xml:space="preserve">3.响应文件的拒收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3.1采购人拒绝接收在其规定的提交响应文件截止时间后上传的任何电子响应文件。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4.1响应文件的撤回</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4.1.1电子响应文件的撤回</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4.2响应文件的修改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4.4在提交响应文件截止时间至磋商文件中规定的磋商有效期满之间的这段时间内，供应商不得撤回其响应文件。</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1.响应文件解密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1.1供应商应当按照《操作手册》规定，在苏采云系统规定的时间内对磋商响应文件进行解密。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2.磋商小组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4.评审过程中的澄清</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5.对响应文件的审查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5.1.1资格审查：由磋商小组依据法律法规和磋商文件的规定，对响应文件中的资格证明文件进行审查，以确定供应商是否具备参加磋商的资格。</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5.3未实质性响应磋商文件的情形</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5.3.2供应商未按照磋商文件要求上传电子响应文件的；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5.3.4供应商不具备磋商文件中规定的资格要求的；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5.3.6不符合磋商文件中规定的实质性要求和条件的；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5.3.10响应文件未按照磋商文件要求加盖CA电子公章的；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5.4未实质性响应磋商文件的响应文件按无效响应处理。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5.5如果响应文件实质上没有响应磋商文件的要求，磋商小组将予以拒绝，供应商不得通过修改或撤销不符合要求的偏离或保留而使其成为实质性响应的文件。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5.6供应商在项目评审全过程中应</w:t>
      </w:r>
      <w:r>
        <w:rPr>
          <w:rFonts w:hint="eastAsia" w:ascii="宋体" w:hAnsi="宋体" w:cs="宋体"/>
          <w:color w:val="auto"/>
          <w:highlight w:val="none"/>
          <w:lang w:eastAsia="zh-CN"/>
        </w:rPr>
        <w:t xml:space="preserve">保持通信畅通</w:t>
      </w:r>
      <w:r>
        <w:rPr>
          <w:rFonts w:hint="eastAsia" w:ascii="宋体" w:hAnsi="宋体" w:cs="宋体"/>
          <w:color w:val="auto"/>
          <w:highlight w:val="none"/>
        </w:rPr>
        <w:t xml:space="preserve">，并安排专人与采购代理机构及磋商小组联系。</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6.1磋商程序</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6.1.2磋商文件能够详细列明采购标的的技术、服务要求的，磋商结束后，磋商小组将在苏采云系统要求所有实质性响应的供应商在规定时间内提交最后报价。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6.2评审方法和评审标准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6.2.2评审标准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详见本磋商文件第五章规定。</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6.3采购活动终止的情况</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6.3.3除本磋商文件第二章第6.1.2条第三款规定的情形外，在采购过程中符合要求的供应商或者最后报价未超过采购预算的供应商不足3家的。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五、成交</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1.确定成交单位</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w:t>
      </w:r>
      <w:r>
        <w:rPr>
          <w:rFonts w:hint="eastAsia" w:ascii="宋体" w:hAnsi="宋体" w:cs="宋体"/>
          <w:color w:val="auto"/>
          <w:highlight w:val="none"/>
          <w:lang w:eastAsia="zh-CN"/>
        </w:rPr>
        <w:t xml:space="preserve">人在确定成交供应商</w:t>
      </w:r>
      <w:r>
        <w:rPr>
          <w:rFonts w:hint="eastAsia" w:ascii="宋体" w:hAnsi="宋体" w:cs="宋体"/>
          <w:color w:val="auto"/>
          <w:highlight w:val="none"/>
        </w:rPr>
        <w:t xml:space="preserve">后，采购人将在“江苏政府采购网”发布成交结果公告，公告期限为1个工作日。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1.3.5不满足本磋商文件规定的实质性要求，但在评审过程中又未被磋商小组发现的。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1.3.6成交后无正当理由拒不与采购人签订政府采购合同或者未按照磋商文件确定的事项签订政府采购合同的。</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2.质疑处理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2.3质疑函必须按照本磋商文件中《质疑函范本》要求的格式和内容进行填写。</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采购人质疑接收人及联系方式见本磋商文件第一章。</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3.成交通知书</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5"/>
      <w:r/>
      <w:bookmarkEnd w:id="106"/>
      <w:r/>
      <w:bookmarkEnd w:id="107"/>
      <w:r/>
      <w:r/>
    </w:p>
    <w:p>
      <w:pPr>
        <w:ind w:firstLine="422"/>
        <w:spacing w:line="520" w:lineRule="exact"/>
        <w:rPr>
          <w:rFonts w:ascii="宋体" w:hAnsi="宋体" w:cs="宋体"/>
          <w:b/>
          <w:bCs/>
          <w:color w:val="auto"/>
          <w:highlight w:val="none"/>
        </w:rPr>
      </w:pPr>
      <w:r/>
      <w:bookmarkStart w:id="108" w:name="_Toc16938553"/>
      <w:r/>
      <w:bookmarkStart w:id="109" w:name="_Toc20823309"/>
      <w:r/>
      <w:bookmarkStart w:id="110" w:name="_Toc513029237"/>
      <w:r>
        <w:rPr>
          <w:rFonts w:hint="eastAsia" w:ascii="宋体" w:hAnsi="宋体" w:cs="宋体"/>
          <w:b/>
          <w:bCs/>
          <w:color w:val="auto"/>
          <w:highlight w:val="none"/>
        </w:rPr>
        <w:t xml:space="preserve">六、签订、履行合同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1.履约保证金：</w:t>
      </w:r>
      <w:bookmarkStart w:id="111" w:name="OLE_LINK69"/>
      <w:r/>
      <w:bookmarkStart w:id="112" w:name="OLE_LINK67"/>
      <w:r/>
      <w:bookmarkStart w:id="113" w:name="OLE_LINK68"/>
      <w:r>
        <w:rPr>
          <w:rFonts w:hint="eastAsia" w:ascii="宋体" w:hAnsi="宋体" w:cs="宋体"/>
          <w:color w:val="auto"/>
          <w:highlight w:val="none"/>
        </w:rPr>
        <w:t xml:space="preserve">无。</w:t>
      </w:r>
      <w:bookmarkEnd w:id="111"/>
      <w:r/>
      <w:bookmarkEnd w:id="112"/>
      <w:r/>
      <w:bookmarkEnd w:id="113"/>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2.签订合同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2.l成交供应商应当在成交通知书发出之日起30日内，按照磋商文件确定的事项与采购人签订政府采购合同。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2.2磋商文件、成交供应商的响应文件及磋商过程中有关澄清、承诺文件均应作为合同附件。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3.标的物的追加</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8"/>
      <w:r/>
      <w:bookmarkEnd w:id="109"/>
      <w:r/>
      <w:bookmarkEnd w:id="110"/>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（1）《政府采购促进中小企业发展管理办法》--财库〔2020〕46号。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（3）国务院办公厅关于建立政府强制采购节能产品制度的通知－国办发〔2007〕51号 </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（4）节能产品政府采购实施意见－－财库〔2004〕185号</w:t>
      </w:r>
      <w:r/>
    </w:p>
    <w:p>
      <w:p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（5）环境标志产品政府采购实施的意见－－财库〔2006〕90号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1"/>
        </w:num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《关于促进残疾人就业政府采购政策的通知》财库〔2017〕141号</w:t>
      </w:r>
      <w:r/>
    </w:p>
    <w:p>
      <w:pPr>
        <w:numPr>
          <w:ilvl w:val="0"/>
          <w:numId w:val="1"/>
        </w:numPr>
        <w:ind w:firstLine="420"/>
        <w:spacing w:line="520" w:lineRule="exact"/>
        <w:rPr>
          <w:rFonts w:hint="eastAsia" w:ascii="宋体" w:hAnsi="宋体" w:cs="宋体"/>
          <w:color w:val="auto"/>
          <w:highlight w:val="none"/>
        </w:rPr>
      </w:pPr>
      <w:r>
        <w:rPr>
          <w:rFonts w:hint="eastAsia" w:ascii="宋体" w:hAnsi="宋体" w:cs="宋体"/>
          <w:color w:val="auto"/>
          <w:highlight w:val="none"/>
        </w:rPr>
        <w:t xml:space="preserve">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）《电子履约保函（保险）关于在全省政府采购领域推行电子履约保函（保险）的通知（苏财购〔2023〕150 号）》</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）参照《关于印发中小企业划型标准规定的通知》（工信部联合企业﹝2011﹞300号）文件，本项目采购标的所属行业为</w:t>
      </w:r>
      <w:r>
        <w:rPr>
          <w:rFonts w:hint="eastAsia" w:ascii="宋体" w:hAnsi="宋体" w:cs="宋体"/>
          <w:b/>
          <w:bCs/>
          <w:color w:val="auto"/>
          <w:highlight w:val="none"/>
          <w:u w:val="single"/>
          <w:lang w:eastAsia="zh-CN"/>
        </w:rPr>
        <w:t xml:space="preserve">工业</w:t>
      </w:r>
      <w:r>
        <w:rPr>
          <w:rFonts w:hint="eastAsia" w:ascii="宋体" w:hAnsi="宋体" w:cs="宋体"/>
          <w:color w:val="auto"/>
          <w:highlight w:val="none"/>
        </w:rPr>
        <w:t xml:space="preserve">。</w:t>
      </w:r>
      <w:r/>
    </w:p>
    <w:p>
      <w:pPr>
        <w:ind w:firstLine="422"/>
        <w:spacing w:line="520" w:lineRule="exact"/>
        <w:rPr>
          <w:rFonts w:ascii="宋体" w:hAnsi="宋体" w:cs="宋体"/>
          <w:b/>
          <w:bCs/>
          <w:color w:val="auto"/>
          <w:highlight w:val="none"/>
        </w:rPr>
      </w:pPr>
      <w:r>
        <w:rPr>
          <w:rFonts w:hint="eastAsia" w:ascii="宋体" w:hAnsi="宋体" w:cs="宋体"/>
          <w:b/>
          <w:bCs/>
          <w:color w:val="auto"/>
          <w:highlight w:val="none"/>
        </w:rPr>
        <w:t xml:space="preserve">八、关于异常低价的审查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1.1投标（响应）报价低于全部通过符合性审查供应商投标（响应）报价平均值50%的，即投标（响应）报价&lt;全部通过符合性审查供应商投标（响应）报价平均值×50%；</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1.2投标（响应）报价低于通过符合性审查的次低报价供应商投标（响应）报价50%的，即投标（响应）报价&lt;通过符合性审查的次低报价供应商投标（响应）报价×50%；</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1.3投标（响应）报价低于采购项目最高限价45%的，即投标（响应）报价&lt;采购项目最高限价×45%；</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九、代理服务收费标准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招标代理服务费及评委费由采购人支付，以差额累计法收费，按江苏省政府采购代理服务收费指导意见》（苏政采〔2024〕20号）文收费标准×70%计取‌。</w:t>
      </w:r>
      <w:r/>
    </w:p>
    <w:p>
      <w:pPr>
        <w:ind w:firstLine="420"/>
        <w:spacing w:line="440" w:lineRule="exact"/>
        <w:rPr>
          <w:rFonts w:ascii="宋体" w:hAnsi="宋体" w:cs="宋体"/>
          <w:color w:val="auto"/>
          <w:highlight w:val="none"/>
        </w:rPr>
      </w:pPr>
      <w:r>
        <w:rPr>
          <w:rFonts w:ascii="宋体" w:hAnsi="宋体" w:cs="宋体"/>
          <w:color w:val="auto"/>
          <w:highlight w:val="none"/>
        </w:rPr>
      </w:r>
      <w:r/>
    </w:p>
    <w:p>
      <w:pPr>
        <w:ind w:firstLine="420"/>
        <w:spacing w:line="440" w:lineRule="exact"/>
        <w:rPr>
          <w:rFonts w:ascii="宋体" w:hAnsi="宋体" w:cs="宋体"/>
          <w:color w:val="auto"/>
          <w:highlight w:val="none"/>
        </w:rPr>
      </w:pPr>
      <w:r>
        <w:rPr>
          <w:rFonts w:ascii="宋体" w:hAnsi="宋体" w:cs="宋体"/>
          <w:color w:val="auto"/>
          <w:highlight w:val="none"/>
        </w:rPr>
      </w:r>
      <w:r/>
    </w:p>
    <w:p>
      <w:pPr>
        <w:pStyle w:val="865"/>
        <w:jc w:val="center"/>
        <w:keepNext w:val="0"/>
        <w:rPr>
          <w:rFonts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买方： </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卖方：</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一、说明：</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受买方委托，招标采购代理机构于  年  月   日组织了</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 xml:space="preserve">采购项目，经评委认真严格地评审，确定由卖方成交。</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二、合同条款：</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1.现依照采购结果，买卖双方达成如下协议：</w:t>
      </w:r>
      <w:r/>
    </w:p>
    <w:p>
      <w:pPr>
        <w:ind w:firstLine="420"/>
        <w:spacing w:after="120" w:line="520" w:lineRule="exact"/>
        <w:rPr>
          <w:rFonts w:ascii="宋体" w:hAnsi="宋体" w:cs="宋体"/>
          <w:color w:val="auto"/>
          <w:szCs w:val="21"/>
          <w:highlight w:val="none"/>
        </w:rPr>
      </w:pPr>
      <w:r>
        <w:rPr>
          <w:rFonts w:hint="eastAsia" w:ascii="宋体" w:hAnsi="宋体" w:cs="宋体"/>
          <w:color w:val="auto"/>
          <w:szCs w:val="21"/>
          <w:highlight w:val="none"/>
        </w:rPr>
        <w:t xml:space="preserve">本次设备（或服务）合同总金额含税价（或免税价）人民币（大写)     元整（¥   元），具体如下列清单所示：</w:t>
      </w:r>
      <w:r/>
    </w:p>
    <w:tbl>
      <w:tblPr>
        <w:tblStyle w:val="689"/>
        <w:tblpPr w:horzAnchor="margin" w:tblpX="133" w:vertAnchor="text" w:tblpY="43" w:leftFromText="180" w:topFromText="0" w:rightFromText="180" w:bottomFromText="0"/>
        <w:tblW w:w="52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6"/>
        <w:gridCol w:w="962"/>
        <w:gridCol w:w="1537"/>
        <w:gridCol w:w="1505"/>
        <w:gridCol w:w="858"/>
        <w:gridCol w:w="768"/>
        <w:gridCol w:w="863"/>
        <w:gridCol w:w="750"/>
      </w:tblGrid>
      <w:tr>
        <w:trPr>
          <w:cantSplit/>
          <w:trHeight w:val="641"/>
        </w:trPr>
        <w:tc>
          <w:tcPr>
            <w:tcW w:w="971"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W w:w="535"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855"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型号、配置</w:t>
            </w:r>
            <w:r/>
          </w:p>
        </w:tc>
        <w:tc>
          <w:tcPr>
            <w:tcW w:w="837"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产地/制造商名称</w:t>
            </w:r>
            <w:r/>
          </w:p>
        </w:tc>
        <w:tc>
          <w:tcPr>
            <w:tcW w:w="477"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427"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480"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金额</w:t>
            </w:r>
            <w:r/>
          </w:p>
        </w:tc>
        <w:tc>
          <w:tcPr>
            <w:tcW w:w="414" w:type="pct"/>
            <w:vAlign w:val="center"/>
            <w:textDirection w:val="lrTb"/>
            <w:noWrap w:val="false"/>
          </w:tcPr>
          <w:p>
            <w:pPr>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626"/>
        </w:trPr>
        <w:tc>
          <w:tcPr>
            <w:tcW w:w="971"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535"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855" w:type="pct"/>
            <w:vAlign w:val="center"/>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83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7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2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80"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14"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r>
      <w:tr>
        <w:trPr>
          <w:cantSplit/>
          <w:trHeight w:val="626"/>
        </w:trPr>
        <w:tc>
          <w:tcPr>
            <w:tcW w:w="971"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535"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855" w:type="pct"/>
            <w:vAlign w:val="center"/>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83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7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2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80"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14"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r>
      <w:tr>
        <w:trPr>
          <w:cantSplit/>
          <w:trHeight w:val="626"/>
        </w:trPr>
        <w:tc>
          <w:tcPr>
            <w:tcW w:w="971"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535"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855" w:type="pct"/>
            <w:vAlign w:val="center"/>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83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7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27"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80"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c>
          <w:tcPr>
            <w:tcW w:w="414" w:type="pct"/>
            <w:textDirection w:val="lrTb"/>
            <w:noWrap w:val="false"/>
          </w:tcPr>
          <w:p>
            <w:pPr>
              <w:spacing w:line="520" w:lineRule="exact"/>
              <w:widowControl/>
              <w:rPr>
                <w:rFonts w:ascii="宋体" w:hAnsi="宋体" w:cs="宋体"/>
                <w:color w:val="auto"/>
                <w:szCs w:val="21"/>
                <w:highlight w:val="none"/>
              </w:rPr>
            </w:pPr>
            <w:r>
              <w:rPr>
                <w:rFonts w:ascii="宋体" w:hAnsi="宋体" w:cs="宋体"/>
                <w:color w:val="auto"/>
                <w:szCs w:val="21"/>
                <w:highlight w:val="none"/>
              </w:rPr>
            </w:r>
            <w:r/>
          </w:p>
        </w:tc>
      </w:tr>
      <w:tr>
        <w:trPr>
          <w:cantSplit/>
          <w:trHeight w:val="967"/>
        </w:trPr>
        <w:tc>
          <w:tcPr>
            <w:tcW w:w="971" w:type="pct"/>
            <w:vAlign w:val="center"/>
            <w:textDirection w:val="lrTb"/>
            <w:noWrap w:val="false"/>
          </w:tcPr>
          <w:p>
            <w:pPr>
              <w:ind w:right="-195"/>
              <w:jc w:val="cente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合同总金额</w:t>
            </w:r>
            <w:r/>
          </w:p>
          <w:p>
            <w:pP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（含税或免税）</w:t>
            </w:r>
            <w:r/>
          </w:p>
        </w:tc>
        <w:tc>
          <w:tcPr>
            <w:gridSpan w:val="7"/>
            <w:tcW w:w="4028" w:type="pct"/>
            <w:vAlign w:val="center"/>
            <w:textDirection w:val="lrTb"/>
            <w:noWrap w:val="false"/>
          </w:tcPr>
          <w:p>
            <w:pPr>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人民币（大写）：             元整 （￥：             元整）</w:t>
            </w:r>
            <w:r/>
          </w:p>
        </w:tc>
      </w:tr>
    </w:tbl>
    <w:p>
      <w:pPr>
        <w:jc w:val="left"/>
        <w:spacing w:line="520" w:lineRule="exact"/>
        <w:tabs>
          <w:tab w:val="left" w:pos="4785" w:leader="none"/>
        </w:tabs>
        <w:rPr>
          <w:rFonts w:ascii="宋体" w:hAnsi="宋体" w:cs="宋体"/>
          <w:color w:val="auto"/>
          <w:szCs w:val="21"/>
          <w:highlight w:val="none"/>
        </w:rPr>
      </w:pPr>
      <w:r>
        <w:rPr>
          <w:rFonts w:ascii="宋体" w:hAnsi="宋体" w:cs="宋体"/>
          <w:color w:val="auto"/>
          <w:szCs w:val="21"/>
          <w:highlight w:val="none"/>
        </w:rPr>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2.1 卖方应严格按照本合同约定提供设备（或服务）及相应技术服务，上述列表清单未尽事宜，详见本合同附件所约定的设备（或服务）技术参数及要求等具体条款。</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3.交付使用时间：卖方需于本合同生效之日起    日内完成交货，交货之日起    日内完成相应的安装、调试工作，确保所供物资设备符合本合同约定的质量、数量、技术参数及要求，否则将按照合同约定承担违约责任。</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4. 收货人： </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5. 交货地点：本次采购采用下列方式供货：卖方送货，完成卸货并搬运至买方指定地点：（     ）免费安装、调试及验收合格完毕方视为交付买方，在交付买方之前所供货物毁损、灭失的责任均由卖方承担。</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6. 包装要求：全部货物的外包装，必须采用防漏、防潮、防震、防锈、防盗和考虑到可能会发生的野蛮装卸等长途内陆运输及多次装卸之需要。</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7. 付款方式：</w:t>
      </w:r>
      <w:bookmarkStart w:id="114" w:name="_Hlk234489995"/>
      <w:r>
        <w:rPr>
          <w:rFonts w:hint="eastAsia" w:ascii="宋体" w:hAnsi="宋体" w:cs="宋体"/>
          <w:color w:val="auto"/>
          <w:szCs w:val="21"/>
          <w:highlight w:val="none"/>
        </w:rPr>
        <w:t xml:space="preserve">合同签订后，付合同价款的5%；货到验收合格后，付至合同价款的80%，同时供应商提供合同全额增值税发票；验收合格12个月后，付至合同价款的100%。</w:t>
      </w:r>
      <w:bookmarkEnd w:id="114"/>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8. 验收</w:t>
      </w:r>
      <w:r/>
    </w:p>
    <w:p>
      <w:pPr>
        <w:ind w:left="8" w:firstLine="359"/>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验收标准及方式：符合相关标准，经使用部门确认填写项目验收报告。</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left="8" w:firstLine="359"/>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p>
    <w:p>
      <w:pPr>
        <w:ind w:left="8" w:firstLine="359"/>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9. 质保期及售后服务</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9.1 卖方所供设备、材料及安装的质量保证期：详见谈判文件第三部分 采购需求 </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9.3 在质保期内，因买方使用不当原因出现设备故障时，卖方在</w:t>
      </w:r>
      <w:r>
        <w:rPr>
          <w:rFonts w:hint="eastAsia" w:ascii="宋体" w:hAnsi="宋体" w:cs="宋体"/>
          <w:color w:val="auto"/>
          <w:szCs w:val="21"/>
          <w:highlight w:val="none"/>
          <w:lang w:eastAsia="zh-CN"/>
        </w:rPr>
        <w:t xml:space="preserve">接到</w:t>
      </w:r>
      <w:r>
        <w:rPr>
          <w:rFonts w:hint="eastAsia" w:ascii="宋体" w:hAnsi="宋体" w:cs="宋体"/>
          <w:color w:val="auto"/>
          <w:szCs w:val="21"/>
          <w:highlight w:val="none"/>
        </w:rPr>
        <w:t xml:space="preserve">买方通知后，应在规定的时限内赶到买方现场，帮助排除故障、修复或更换零部件，需购买零部件时，酌情收取成本费。</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9.4质保期满后，如设备出现故障，卖方在</w:t>
      </w:r>
      <w:r>
        <w:rPr>
          <w:rFonts w:hint="eastAsia" w:ascii="宋体" w:hAnsi="宋体" w:cs="宋体"/>
          <w:color w:val="auto"/>
          <w:szCs w:val="21"/>
          <w:highlight w:val="none"/>
          <w:lang w:eastAsia="zh-CN"/>
        </w:rPr>
        <w:t xml:space="preserve">接到</w:t>
      </w:r>
      <w:r>
        <w:rPr>
          <w:rFonts w:hint="eastAsia" w:ascii="宋体" w:hAnsi="宋体" w:cs="宋体"/>
          <w:color w:val="auto"/>
          <w:szCs w:val="21"/>
          <w:highlight w:val="none"/>
        </w:rPr>
        <w:t xml:space="preserve">买方通知后，仍应在上述时间内响应、派人赶到买方现场，帮助排除故障、修复或更换零部件，需购买零部件时，酌情收取成本费。</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10. 卖方的违约责任</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10.1卖方未按合同规定的质量要求交货，买方有权拒收，由此造成的直接损失和间接损失由卖方赔偿。</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10.2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10.3 本合同所有货物的制造及安装，都必须由卖方自己或响应文件中明确的单位承担，不得分包给其他单位。否则，买方有权按卖方不能交付或不能完成合同处理。</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11. 卖方供给买方的设备、材料及卖方自己的施工用具，进入买方工地现场后的保管，由卖方负责；卖方在买方工地现场安装、调试、验收人员的安全、保险、食宿、交通由卖方负责。</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12. 合同的生效：本合同一式</w:t>
      </w:r>
      <w:r>
        <w:rPr>
          <w:rFonts w:hint="eastAsia" w:ascii="宋体" w:hAnsi="宋体" w:cs="宋体"/>
          <w:color w:val="auto"/>
          <w:szCs w:val="21"/>
          <w:highlight w:val="none"/>
          <w:lang w:eastAsia="zh-CN"/>
        </w:rPr>
        <w:t xml:space="preserve">四份</w:t>
      </w:r>
      <w:r>
        <w:rPr>
          <w:rFonts w:hint="eastAsia" w:ascii="宋体" w:hAnsi="宋体" w:cs="宋体"/>
          <w:color w:val="auto"/>
          <w:szCs w:val="21"/>
          <w:highlight w:val="none"/>
        </w:rPr>
        <w:t xml:space="preserve">，自买卖双方签字、盖章之日起生效。合同签订后，任何一方无正当理由均不得单方解除合同，否则应按照本合同总价款的30%承担违约责任。</w:t>
      </w:r>
      <w:r/>
    </w:p>
    <w:p>
      <w:pPr>
        <w:ind w:left="108" w:firstLine="42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13. 未尽事宜、双方协商解决，并</w:t>
      </w:r>
      <w:r>
        <w:rPr>
          <w:rFonts w:hint="eastAsia" w:ascii="宋体" w:hAnsi="宋体" w:cs="宋体"/>
          <w:color w:val="auto"/>
          <w:szCs w:val="21"/>
          <w:highlight w:val="none"/>
          <w:lang w:eastAsia="zh-CN"/>
        </w:rPr>
        <w:t xml:space="preserve">按照《中华人民共和国</w:t>
      </w:r>
      <w:r>
        <w:rPr>
          <w:rFonts w:hint="eastAsia" w:ascii="宋体" w:hAnsi="宋体" w:cs="宋体"/>
          <w:color w:val="auto"/>
          <w:szCs w:val="21"/>
          <w:highlight w:val="none"/>
        </w:rPr>
        <w:t xml:space="preserve">民法典》调整。</w:t>
      </w:r>
      <w:r/>
    </w:p>
    <w:p>
      <w:pPr>
        <w:ind w:left="105" w:firstLine="898"/>
        <w:jc w:val="left"/>
        <w:spacing w:line="520" w:lineRule="exact"/>
        <w:tabs>
          <w:tab w:val="left" w:pos="4785" w:leader="none"/>
        </w:tabs>
        <w:rPr>
          <w:rFonts w:ascii="宋体" w:hAnsi="宋体" w:cs="宋体"/>
          <w:color w:val="auto"/>
          <w:szCs w:val="21"/>
          <w:highlight w:val="none"/>
        </w:rPr>
      </w:pPr>
      <w:r>
        <w:rPr>
          <w:rFonts w:ascii="宋体" w:hAnsi="宋体" w:cs="宋体"/>
          <w:color w:val="auto"/>
          <w:szCs w:val="21"/>
          <w:highlight w:val="none"/>
        </w:rPr>
      </w:r>
      <w:r/>
    </w:p>
    <w:p>
      <w:pPr>
        <w:ind w:firstLine="63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买方：                                     卖方：</w:t>
      </w:r>
      <w:r/>
    </w:p>
    <w:p>
      <w:pPr>
        <w:ind w:firstLine="84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（盖章）                               （盖章）</w:t>
      </w:r>
      <w:r/>
    </w:p>
    <w:p>
      <w:pPr>
        <w:ind w:firstLine="63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                             法定代表人或其委托代理人：</w:t>
      </w:r>
      <w:r/>
    </w:p>
    <w:p>
      <w:pPr>
        <w:ind w:firstLine="630"/>
        <w:jc w:val="left"/>
        <w:spacing w:line="52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签订</w:t>
      </w:r>
      <w:r>
        <w:rPr>
          <w:rFonts w:hint="eastAsia" w:ascii="宋体" w:hAnsi="宋体" w:cs="宋体"/>
          <w:color w:val="auto"/>
          <w:szCs w:val="21"/>
          <w:highlight w:val="none"/>
        </w:rPr>
        <w:t xml:space="preserve">时间：                               </w:t>
      </w:r>
      <w:r>
        <w:rPr>
          <w:rFonts w:hint="eastAsia" w:ascii="宋体" w:hAnsi="宋体" w:cs="宋体"/>
          <w:color w:val="auto"/>
          <w:szCs w:val="21"/>
          <w:highlight w:val="none"/>
          <w:lang w:eastAsia="zh-CN"/>
        </w:rPr>
        <w:t xml:space="preserve">签订</w:t>
      </w:r>
      <w:r>
        <w:rPr>
          <w:rFonts w:hint="eastAsia" w:ascii="宋体" w:hAnsi="宋体" w:cs="宋体"/>
          <w:color w:val="auto"/>
          <w:szCs w:val="21"/>
          <w:highlight w:val="none"/>
        </w:rPr>
        <w:t xml:space="preserve">时间：</w:t>
      </w:r>
      <w:r/>
    </w:p>
    <w:p>
      <w:pPr>
        <w:ind w:firstLine="630"/>
        <w:jc w:val="left"/>
        <w:spacing w:line="520" w:lineRule="exact"/>
        <w:tabs>
          <w:tab w:val="left" w:pos="4785" w:leader="none"/>
        </w:tabs>
        <w:rPr>
          <w:rFonts w:ascii="宋体" w:hAnsi="宋体" w:cs="宋体"/>
          <w:color w:val="auto"/>
          <w:szCs w:val="21"/>
          <w:highlight w:val="none"/>
        </w:rPr>
      </w:pPr>
      <w:r>
        <w:rPr>
          <w:rFonts w:hint="eastAsia" w:ascii="宋体" w:hAnsi="宋体" w:cs="宋体"/>
          <w:color w:val="auto"/>
          <w:szCs w:val="21"/>
          <w:highlight w:val="none"/>
        </w:rPr>
        <w:t xml:space="preserve">电   话：                                电   话：</w:t>
      </w:r>
      <w:r/>
    </w:p>
    <w:p>
      <w:pPr>
        <w:ind w:firstLine="63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传   真：                                传   真：</w:t>
      </w:r>
      <w:r/>
    </w:p>
    <w:p>
      <w:pPr>
        <w:ind w:firstLine="63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地   址：                                地   址：</w:t>
      </w:r>
      <w:r/>
    </w:p>
    <w:p>
      <w:pPr>
        <w:pStyle w:val="865"/>
        <w:jc w:val="center"/>
        <w:keepNext w:val="0"/>
        <w:rPr>
          <w:rFonts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5" w:name="_Toc22763"/>
      <w:r>
        <w:rPr>
          <w:rFonts w:hint="eastAsia" w:ascii="黑体" w:hAnsi="黑体" w:eastAsia="黑体" w:cs="黑体"/>
          <w:color w:val="auto"/>
          <w:sz w:val="32"/>
          <w:szCs w:val="32"/>
          <w:highlight w:val="none"/>
        </w:rPr>
        <w:t xml:space="preserve">第四章  项目需求</w:t>
      </w:r>
      <w:bookmarkEnd w:id="115"/>
      <w:r/>
      <w:r/>
    </w:p>
    <w:p>
      <w:pPr>
        <w:pStyle w:val="896"/>
        <w:spacing w:line="520" w:lineRule="exact"/>
        <w:rPr>
          <w:rFonts w:ascii="宋体" w:hAnsi="宋体" w:cs="宋体"/>
          <w:b/>
          <w:bCs/>
          <w:color w:val="auto"/>
          <w:highlight w:val="none"/>
        </w:rPr>
      </w:pPr>
      <w:r>
        <w:rPr>
          <w:rFonts w:hint="eastAsia" w:ascii="宋体" w:hAnsi="宋体" w:cs="宋体"/>
          <w:b/>
          <w:bCs/>
          <w:color w:val="auto"/>
          <w:highlight w:val="none"/>
        </w:rPr>
        <w:t xml:space="preserve">一、技术参数</w:t>
      </w:r>
      <w:r/>
    </w:p>
    <w:p>
      <w:pPr>
        <w:rPr>
          <w:rFonts w:ascii="宋体" w:hAnsi="宋体" w:cs="Arial"/>
          <w:color w:val="auto"/>
          <w:szCs w:val="21"/>
          <w:highlight w:val="none"/>
        </w:rPr>
      </w:pPr>
      <w:r>
        <w:rPr>
          <w:rFonts w:hint="eastAsia" w:ascii="宋体" w:hAnsi="宋体" w:cs="Arial"/>
          <w:b/>
          <w:color w:val="auto"/>
          <w:szCs w:val="21"/>
          <w:highlight w:val="none"/>
        </w:rPr>
        <w:t xml:space="preserve">用途：</w:t>
      </w:r>
      <w:r>
        <w:rPr>
          <w:rFonts w:hint="eastAsia" w:ascii="宋体" w:hAnsi="宋体" w:cs="Arial"/>
          <w:bCs/>
          <w:color w:val="auto"/>
          <w:szCs w:val="21"/>
          <w:highlight w:val="none"/>
        </w:rPr>
        <w:t xml:space="preserve">用于空气</w:t>
      </w:r>
      <w:r>
        <w:rPr>
          <w:rFonts w:hint="eastAsia" w:ascii="宋体" w:hAnsi="宋体" w:cs="Arial"/>
          <w:color w:val="auto"/>
          <w:szCs w:val="21"/>
          <w:highlight w:val="none"/>
        </w:rPr>
        <w:t xml:space="preserve">呼吸器面罩耐火焰吞噬性能（呼吸阻力、续燃性能等）测试；</w:t>
      </w:r>
      <w:r/>
    </w:p>
    <w:p>
      <w:pPr>
        <w:rPr>
          <w:rFonts w:ascii="宋体" w:hAnsi="宋体" w:cs="Arial"/>
          <w:color w:val="auto"/>
          <w:szCs w:val="21"/>
          <w:highlight w:val="none"/>
        </w:rPr>
      </w:pPr>
      <w:r>
        <w:rPr>
          <w:rFonts w:hint="eastAsia" w:ascii="宋体" w:hAnsi="宋体" w:cs="Arial"/>
          <w:b/>
          <w:bCs/>
          <w:color w:val="auto"/>
          <w:szCs w:val="21"/>
          <w:highlight w:val="none"/>
        </w:rPr>
        <w:t xml:space="preserve">设计依据标准：</w:t>
      </w:r>
      <w:r>
        <w:rPr>
          <w:rFonts w:hint="eastAsia" w:ascii="宋体" w:hAnsi="宋体" w:cs="Arial"/>
          <w:color w:val="auto"/>
          <w:szCs w:val="21"/>
          <w:highlight w:val="none"/>
        </w:rPr>
        <w:t xml:space="preserve">EN 137-2006：6.11.2&amp;7.4.1.4、ISO 16900-5:2016、GB 16556-2025等。</w:t>
      </w:r>
      <w:r/>
    </w:p>
    <w:p>
      <w:pPr>
        <w:rPr>
          <w:rFonts w:ascii="宋体" w:hAnsi="宋体" w:cs="Arial"/>
          <w:b/>
          <w:color w:val="auto"/>
          <w:szCs w:val="21"/>
          <w:highlight w:val="none"/>
        </w:rPr>
      </w:pPr>
      <w:r>
        <w:rPr>
          <w:rFonts w:hint="eastAsia" w:ascii="宋体" w:hAnsi="宋体" w:cs="Arial"/>
          <w:b/>
          <w:color w:val="auto"/>
          <w:szCs w:val="21"/>
          <w:highlight w:val="none"/>
        </w:rPr>
        <w:t xml:space="preserve">规格：</w:t>
      </w:r>
      <w:r/>
    </w:p>
    <w:p>
      <w:pPr>
        <w:numPr>
          <w:ilvl w:val="0"/>
          <w:numId w:val="2"/>
        </w:numPr>
        <w:ind w:left="0" w:firstLine="0"/>
        <w:rPr>
          <w:rFonts w:ascii="宋体" w:hAnsi="宋体" w:cs="Arial"/>
          <w:b/>
          <w:color w:val="auto"/>
          <w:szCs w:val="21"/>
          <w:highlight w:val="none"/>
        </w:rPr>
      </w:pPr>
      <w:r>
        <w:rPr>
          <w:rFonts w:hint="eastAsia" w:ascii="宋体" w:hAnsi="宋体" w:cs="Arial"/>
          <w:b/>
          <w:color w:val="auto"/>
          <w:szCs w:val="21"/>
          <w:highlight w:val="none"/>
        </w:rPr>
        <w:t xml:space="preserve">高温箱装置</w:t>
      </w:r>
      <w:r/>
    </w:p>
    <w:p>
      <w:pPr>
        <w:numPr>
          <w:ilvl w:val="1"/>
          <w:numId w:val="3"/>
        </w:numPr>
        <w:rPr>
          <w:rFonts w:ascii="宋体" w:hAnsi="宋体" w:cs="Arial"/>
          <w:color w:val="auto"/>
          <w:szCs w:val="21"/>
          <w:highlight w:val="none"/>
        </w:rPr>
      </w:pPr>
      <w:r>
        <w:rPr>
          <w:rFonts w:hint="eastAsia" w:ascii="宋体" w:hAnsi="宋体" w:cs="Arial"/>
          <w:color w:val="auto"/>
          <w:szCs w:val="21"/>
          <w:highlight w:val="none"/>
        </w:rPr>
        <w:t xml:space="preserve">温度范围：室温+20～150℃，内腔尺寸</w:t>
      </w:r>
      <w:r>
        <w:rPr>
          <w:rFonts w:hint="eastAsia" w:ascii="宋体" w:hAnsi="宋体" w:cs="Tahoma"/>
          <w:b/>
          <w:color w:val="auto"/>
          <w:szCs w:val="21"/>
          <w:highlight w:val="none"/>
        </w:rPr>
        <w:t xml:space="preserve">≧</w:t>
      </w:r>
      <w:r>
        <w:rPr>
          <w:rFonts w:hint="eastAsia" w:ascii="宋体" w:hAnsi="宋体" w:cs="Arial"/>
          <w:color w:val="auto"/>
          <w:szCs w:val="21"/>
          <w:highlight w:val="none"/>
        </w:rPr>
        <w:t xml:space="preserve">：宽915*深915*高1220mm；</w:t>
      </w:r>
      <w:r/>
    </w:p>
    <w:p>
      <w:pPr>
        <w:numPr>
          <w:ilvl w:val="1"/>
          <w:numId w:val="3"/>
        </w:numPr>
        <w:rPr>
          <w:rFonts w:ascii="宋体" w:hAnsi="宋体" w:cs="Arial,Bold"/>
          <w:color w:val="auto"/>
          <w:szCs w:val="21"/>
          <w:highlight w:val="none"/>
        </w:rPr>
      </w:pPr>
      <w:r>
        <w:rPr>
          <w:rFonts w:hint="eastAsia" w:ascii="宋体" w:hAnsi="宋体" w:cs="Arial"/>
          <w:color w:val="auto"/>
          <w:szCs w:val="21"/>
          <w:highlight w:val="none"/>
        </w:rPr>
        <w:t xml:space="preserve">控制：触屏控制器，可以预置测试温度，自动前双开门、自动底部门；</w:t>
      </w:r>
      <w:r/>
    </w:p>
    <w:p>
      <w:pPr>
        <w:numPr>
          <w:ilvl w:val="1"/>
          <w:numId w:val="3"/>
        </w:numPr>
        <w:rPr>
          <w:rFonts w:ascii="宋体" w:hAnsi="宋体" w:cs="Arial,Bold"/>
          <w:color w:val="auto"/>
          <w:szCs w:val="21"/>
          <w:highlight w:val="none"/>
        </w:rPr>
      </w:pPr>
      <w:r>
        <w:rPr>
          <w:rFonts w:ascii="宋体" w:hAnsi="宋体" w:cs="Arial,Bold"/>
          <w:color w:val="auto"/>
          <w:szCs w:val="21"/>
          <w:highlight w:val="none"/>
        </w:rPr>
        <w:t xml:space="preserve">烘箱关闭后温度重新达到（90±5）</w:t>
      </w:r>
      <w:r>
        <w:rPr>
          <w:rFonts w:hint="eastAsia" w:ascii="宋体" w:hAnsi="宋体" w:cs="宋体"/>
          <w:color w:val="auto"/>
          <w:szCs w:val="21"/>
          <w:highlight w:val="none"/>
        </w:rPr>
        <w:t xml:space="preserve">℃</w:t>
      </w:r>
      <w:r>
        <w:rPr>
          <w:rFonts w:ascii="宋体" w:hAnsi="宋体" w:cs="Arial,Bold"/>
          <w:color w:val="auto"/>
          <w:szCs w:val="21"/>
          <w:highlight w:val="none"/>
        </w:rPr>
        <w:t xml:space="preserve">的时间不大于1min</w:t>
      </w:r>
      <w:r>
        <w:rPr>
          <w:rFonts w:hint="eastAsia" w:ascii="宋体" w:hAnsi="宋体" w:cs="Arial"/>
          <w:color w:val="auto"/>
          <w:szCs w:val="21"/>
          <w:highlight w:val="none"/>
        </w:rPr>
        <w:t xml:space="preserve">；</w:t>
      </w:r>
      <w:r/>
    </w:p>
    <w:p>
      <w:pPr>
        <w:rPr>
          <w:rFonts w:ascii="宋体" w:hAnsi="宋体" w:cs="Arial,Bold"/>
          <w:color w:val="auto"/>
          <w:szCs w:val="21"/>
          <w:highlight w:val="none"/>
        </w:rPr>
      </w:pPr>
      <w:r>
        <w:rPr>
          <w:rFonts w:hint="eastAsia" w:ascii="宋体" w:hAnsi="宋体" w:cs="Arial"/>
          <w:bCs/>
          <w:color w:val="auto"/>
          <w:szCs w:val="21"/>
          <w:highlight w:val="none"/>
        </w:rPr>
        <w:t xml:space="preserve">★1.4 </w:t>
      </w:r>
      <w:r>
        <w:rPr>
          <w:rFonts w:hint="eastAsia" w:ascii="宋体" w:hAnsi="宋体" w:cs="Arial"/>
          <w:color w:val="auto"/>
          <w:szCs w:val="21"/>
          <w:highlight w:val="none"/>
        </w:rPr>
        <w:t xml:space="preserve">箱内空间均匀度按JJF 1101-2019 可计量偏差：</w:t>
      </w:r>
      <w:r>
        <w:rPr>
          <w:rFonts w:hint="eastAsia" w:ascii="宋体" w:hAnsi="宋体" w:cs="Tahoma"/>
          <w:b/>
          <w:color w:val="auto"/>
          <w:szCs w:val="21"/>
          <w:highlight w:val="none"/>
        </w:rPr>
        <w:t xml:space="preserve">≤</w:t>
      </w:r>
      <w:r>
        <w:rPr>
          <w:rFonts w:ascii="宋体" w:hAnsi="宋体" w:cs="Arial,Bold"/>
          <w:color w:val="auto"/>
          <w:szCs w:val="21"/>
          <w:highlight w:val="none"/>
        </w:rPr>
        <w:t xml:space="preserve">±</w:t>
      </w:r>
      <w:r>
        <w:rPr>
          <w:rFonts w:hint="eastAsia" w:ascii="宋体" w:hAnsi="宋体" w:cs="Arial,Bold"/>
          <w:color w:val="auto"/>
          <w:szCs w:val="21"/>
          <w:highlight w:val="none"/>
        </w:rPr>
        <w:t xml:space="preserve">2</w:t>
      </w:r>
      <w:r>
        <w:rPr>
          <w:rFonts w:hint="eastAsia" w:ascii="宋体" w:hAnsi="宋体" w:cs="Arial"/>
          <w:color w:val="auto"/>
          <w:szCs w:val="21"/>
          <w:highlight w:val="none"/>
        </w:rPr>
        <w:t xml:space="preserve">℃；</w:t>
      </w:r>
      <w:r>
        <w:rPr>
          <w:rFonts w:hint="eastAsia" w:ascii="宋体" w:hAnsi="宋体" w:cs="Arial"/>
          <w:b/>
          <w:bCs/>
          <w:color w:val="auto"/>
          <w:szCs w:val="21"/>
          <w:highlight w:val="none"/>
        </w:rPr>
        <w:t xml:space="preserve">（提供有效证明材料）</w:t>
      </w:r>
      <w:r/>
    </w:p>
    <w:p>
      <w:pPr>
        <w:rPr>
          <w:rFonts w:ascii="宋体" w:hAnsi="宋体" w:cs="Arial"/>
          <w:color w:val="auto"/>
          <w:szCs w:val="21"/>
          <w:highlight w:val="none"/>
        </w:rPr>
      </w:pPr>
      <w:r>
        <w:rPr>
          <w:rFonts w:hint="eastAsia" w:ascii="宋体" w:hAnsi="宋体" w:cs="Arial"/>
          <w:color w:val="auto"/>
          <w:szCs w:val="21"/>
          <w:highlight w:val="none"/>
        </w:rPr>
        <w:t xml:space="preserve">1.5 开门关门、烘烤预处理时间等接受整体系统动作程序联动控制。</w:t>
      </w:r>
      <w:r/>
    </w:p>
    <w:p>
      <w:pPr>
        <w:numPr>
          <w:ilvl w:val="0"/>
          <w:numId w:val="2"/>
        </w:numPr>
        <w:ind w:left="0" w:firstLine="0"/>
        <w:rPr>
          <w:rFonts w:ascii="宋体" w:hAnsi="宋体" w:cs="Arial"/>
          <w:b/>
          <w:color w:val="auto"/>
          <w:szCs w:val="21"/>
          <w:highlight w:val="none"/>
        </w:rPr>
      </w:pPr>
      <w:r>
        <w:rPr>
          <w:rFonts w:hint="eastAsia" w:ascii="宋体" w:hAnsi="宋体" w:cs="Arial"/>
          <w:b/>
          <w:color w:val="auto"/>
          <w:szCs w:val="21"/>
          <w:highlight w:val="none"/>
        </w:rPr>
        <w:t xml:space="preserve">人体模型：包含人体躯干、头模、内部呼吸管等装置</w:t>
      </w:r>
      <w:r/>
    </w:p>
    <w:p>
      <w:pPr>
        <w:rPr>
          <w:rFonts w:ascii="宋体" w:hAnsi="宋体" w:cs="Arial"/>
          <w:color w:val="auto"/>
          <w:szCs w:val="21"/>
          <w:highlight w:val="none"/>
        </w:rPr>
      </w:pPr>
      <w:r>
        <w:rPr>
          <w:rFonts w:hint="eastAsia" w:ascii="宋体" w:hAnsi="宋体" w:cs="Arial"/>
          <w:bCs/>
          <w:color w:val="auto"/>
          <w:szCs w:val="21"/>
          <w:highlight w:val="none"/>
        </w:rPr>
        <w:t xml:space="preserve">★</w:t>
      </w:r>
      <w:r>
        <w:rPr>
          <w:rFonts w:hint="eastAsia" w:ascii="宋体" w:hAnsi="宋体" w:cs="Arial"/>
          <w:color w:val="auto"/>
          <w:szCs w:val="21"/>
          <w:highlight w:val="none"/>
        </w:rPr>
        <w:t xml:space="preserve">2.1 人体模型为符合ISO 16900-5:2016标准要求数据库规定的RPD躯干和头部模型，尺寸中等，人体模型为纯铝金属模具制造成型，其表面应光滑、无气孔，曲面过渡平顺、无毛刺，用于并易于内衬服装及样品佩带；</w:t>
      </w:r>
      <w:r>
        <w:rPr>
          <w:rFonts w:hint="eastAsia" w:ascii="宋体" w:hAnsi="宋体" w:cs="Arial"/>
          <w:b/>
          <w:bCs/>
          <w:color w:val="auto"/>
          <w:szCs w:val="21"/>
          <w:highlight w:val="none"/>
        </w:rPr>
        <w:t xml:space="preserve">（提供有效证明材料）</w:t>
      </w:r>
      <w:r/>
    </w:p>
    <w:p>
      <w:pPr>
        <w:rPr>
          <w:rFonts w:ascii="宋体" w:hAnsi="宋体" w:cs="Arial"/>
          <w:color w:val="auto"/>
          <w:szCs w:val="21"/>
          <w:highlight w:val="none"/>
        </w:rPr>
      </w:pPr>
      <w:r>
        <w:rPr>
          <w:rFonts w:hint="eastAsia" w:ascii="宋体" w:hAnsi="宋体" w:cs="Arial"/>
          <w:bCs/>
          <w:color w:val="auto"/>
          <w:szCs w:val="21"/>
          <w:highlight w:val="none"/>
        </w:rPr>
        <w:t xml:space="preserve">★</w:t>
      </w:r>
      <w:r>
        <w:rPr>
          <w:rFonts w:hint="eastAsia" w:ascii="宋体" w:hAnsi="宋体" w:cs="Arial"/>
          <w:color w:val="auto"/>
          <w:szCs w:val="21"/>
          <w:highlight w:val="none"/>
        </w:rPr>
        <w:t xml:space="preserve">2.2 人体模型背部可打开，方便内部呼吸管组件维护。头模可以整体取下，方便后续更换。</w:t>
      </w:r>
      <w:r>
        <w:rPr>
          <w:rFonts w:hint="eastAsia" w:ascii="宋体" w:hAnsi="宋体" w:cs="Arial"/>
          <w:b/>
          <w:bCs/>
          <w:color w:val="auto"/>
          <w:szCs w:val="21"/>
          <w:highlight w:val="none"/>
        </w:rPr>
        <w:t xml:space="preserve">（提供有效证明材料）</w:t>
      </w:r>
      <w:r/>
    </w:p>
    <w:p>
      <w:pPr>
        <w:rPr>
          <w:rFonts w:ascii="宋体" w:hAnsi="宋体" w:cs="Arial"/>
          <w:b/>
          <w:color w:val="auto"/>
          <w:szCs w:val="21"/>
          <w:highlight w:val="none"/>
        </w:rPr>
      </w:pPr>
      <w:r>
        <w:rPr>
          <w:rFonts w:hint="eastAsia" w:ascii="宋体" w:hAnsi="宋体" w:cs="Arial"/>
          <w:b/>
          <w:color w:val="auto"/>
          <w:szCs w:val="21"/>
          <w:highlight w:val="none"/>
        </w:rPr>
        <w:t xml:space="preserve">3  呼吸阻力测量装置</w:t>
      </w:r>
      <w:r/>
    </w:p>
    <w:p>
      <w:pPr>
        <w:rPr>
          <w:rFonts w:ascii="宋体" w:hAnsi="宋体" w:cs="Arial"/>
          <w:color w:val="auto"/>
          <w:szCs w:val="21"/>
          <w:highlight w:val="none"/>
        </w:rPr>
      </w:pPr>
      <w:r>
        <w:rPr>
          <w:rFonts w:hint="eastAsia" w:ascii="宋体" w:hAnsi="宋体" w:cs="Arial"/>
          <w:color w:val="auto"/>
          <w:szCs w:val="21"/>
          <w:highlight w:val="none"/>
        </w:rPr>
        <w:t xml:space="preserve">3.1 呼吸阻力呼吸管单元集成至RPD头模和</w:t>
      </w:r>
      <w:r>
        <w:rPr>
          <w:rFonts w:hint="eastAsia" w:ascii="宋体" w:hAnsi="宋体" w:cs="Arial"/>
          <w:color w:val="auto"/>
          <w:szCs w:val="21"/>
          <w:highlight w:val="none"/>
          <w:lang w:eastAsia="zh-CN"/>
        </w:rPr>
        <w:t xml:space="preserve">躯干</w:t>
      </w:r>
      <w:r>
        <w:rPr>
          <w:rFonts w:hint="eastAsia" w:ascii="宋体" w:hAnsi="宋体" w:cs="Arial"/>
          <w:color w:val="auto"/>
          <w:szCs w:val="21"/>
          <w:highlight w:val="none"/>
        </w:rPr>
        <w:t xml:space="preserve">中；</w:t>
      </w:r>
      <w:r/>
    </w:p>
    <w:p>
      <w:pPr>
        <w:rPr>
          <w:rFonts w:ascii="宋体" w:hAnsi="宋体" w:cs="Arial,Bold"/>
          <w:color w:val="auto"/>
          <w:szCs w:val="21"/>
          <w:highlight w:val="none"/>
        </w:rPr>
      </w:pPr>
      <w:r>
        <w:rPr>
          <w:rFonts w:hint="eastAsia" w:ascii="宋体" w:hAnsi="宋体" w:cs="Arial"/>
          <w:color w:val="auto"/>
          <w:szCs w:val="21"/>
          <w:highlight w:val="none"/>
        </w:rPr>
        <w:t xml:space="preserve">3.2 采用知名品牌微压差传感器，量程</w:t>
      </w:r>
      <w:r>
        <w:rPr>
          <w:rFonts w:ascii="宋体" w:hAnsi="宋体" w:cs="Arial,Bold"/>
          <w:color w:val="auto"/>
          <w:szCs w:val="21"/>
          <w:highlight w:val="none"/>
        </w:rPr>
        <w:t xml:space="preserve">±</w:t>
      </w:r>
      <w:r>
        <w:rPr>
          <w:rFonts w:hint="eastAsia" w:ascii="宋体" w:hAnsi="宋体" w:cs="Arial,Bold"/>
          <w:color w:val="auto"/>
          <w:szCs w:val="21"/>
          <w:highlight w:val="none"/>
        </w:rPr>
        <w:t xml:space="preserve">2000Pa，</w:t>
      </w:r>
      <w:r>
        <w:rPr>
          <w:rFonts w:hint="eastAsia" w:ascii="宋体" w:hAnsi="宋体" w:cs="Arial"/>
          <w:color w:val="auto"/>
          <w:szCs w:val="21"/>
          <w:highlight w:val="none"/>
        </w:rPr>
        <w:t xml:space="preserve">精度</w:t>
      </w:r>
      <w:r>
        <w:rPr>
          <w:rFonts w:hint="eastAsia" w:ascii="宋体" w:hAnsi="宋体" w:cs="Tahoma"/>
          <w:b/>
          <w:color w:val="auto"/>
          <w:szCs w:val="21"/>
          <w:highlight w:val="none"/>
        </w:rPr>
        <w:t xml:space="preserve">≤</w:t>
      </w:r>
      <w:r>
        <w:rPr>
          <w:rFonts w:ascii="宋体" w:hAnsi="宋体" w:cs="Arial,Bold"/>
          <w:color w:val="auto"/>
          <w:szCs w:val="21"/>
          <w:highlight w:val="none"/>
        </w:rPr>
        <w:t xml:space="preserve">±</w:t>
      </w:r>
      <w:r>
        <w:rPr>
          <w:rFonts w:hint="eastAsia" w:ascii="宋体" w:hAnsi="宋体" w:cs="Arial,Bold"/>
          <w:color w:val="auto"/>
          <w:szCs w:val="21"/>
          <w:highlight w:val="none"/>
        </w:rPr>
        <w:t xml:space="preserve">1%F.S，</w:t>
      </w:r>
      <w:r>
        <w:rPr>
          <w:rFonts w:hint="eastAsia" w:ascii="宋体" w:hAnsi="宋体" w:cs="Arial"/>
          <w:color w:val="auto"/>
          <w:szCs w:val="21"/>
          <w:highlight w:val="none"/>
        </w:rPr>
        <w:t xml:space="preserve">能准确采集测试数据</w:t>
      </w:r>
      <w:r>
        <w:rPr>
          <w:rFonts w:hint="eastAsia" w:ascii="宋体" w:hAnsi="宋体" w:cs="Arial,Bold"/>
          <w:color w:val="auto"/>
          <w:szCs w:val="21"/>
          <w:highlight w:val="none"/>
        </w:rPr>
        <w:t xml:space="preserve">；</w:t>
      </w:r>
      <w:r/>
    </w:p>
    <w:p>
      <w:pPr>
        <w:rPr>
          <w:rFonts w:ascii="宋体" w:hAnsi="宋体" w:cs="Arial"/>
          <w:color w:val="auto"/>
          <w:szCs w:val="21"/>
          <w:highlight w:val="none"/>
        </w:rPr>
      </w:pPr>
      <w:r>
        <w:rPr>
          <w:rFonts w:hint="eastAsia" w:ascii="宋体" w:hAnsi="宋体" w:cs="Arial"/>
          <w:color w:val="auto"/>
          <w:szCs w:val="21"/>
          <w:highlight w:val="none"/>
        </w:rPr>
        <w:t xml:space="preserve">3.3 控制软件能自动采集吸气和呼气阻力数据及曲线，可实时显示。</w:t>
      </w:r>
      <w:r/>
    </w:p>
    <w:p>
      <w:pPr>
        <w:rPr>
          <w:rFonts w:ascii="宋体" w:hAnsi="宋体" w:cs="Arial"/>
          <w:b/>
          <w:color w:val="auto"/>
          <w:szCs w:val="21"/>
          <w:highlight w:val="none"/>
        </w:rPr>
      </w:pPr>
      <w:r>
        <w:rPr>
          <w:rFonts w:hint="eastAsia" w:ascii="宋体" w:hAnsi="宋体" w:cs="Arial"/>
          <w:b/>
          <w:color w:val="auto"/>
          <w:szCs w:val="21"/>
          <w:highlight w:val="none"/>
        </w:rPr>
        <w:t xml:space="preserve">4  动态人工模拟呼吸机</w:t>
      </w:r>
      <w:r/>
    </w:p>
    <w:p>
      <w:pPr>
        <w:rPr>
          <w:rFonts w:ascii="宋体" w:hAnsi="宋体" w:cs="Arial"/>
          <w:color w:val="auto"/>
          <w:szCs w:val="21"/>
          <w:highlight w:val="none"/>
        </w:rPr>
      </w:pPr>
      <w:r>
        <w:rPr>
          <w:rFonts w:hint="eastAsia" w:ascii="宋体" w:hAnsi="宋体" w:cs="Arial"/>
          <w:bCs/>
          <w:color w:val="auto"/>
          <w:szCs w:val="21"/>
          <w:highlight w:val="none"/>
        </w:rPr>
        <w:t xml:space="preserve">★</w:t>
      </w:r>
      <w:r>
        <w:rPr>
          <w:rFonts w:hint="eastAsia" w:ascii="宋体" w:hAnsi="宋体" w:cs="Arial"/>
          <w:color w:val="auto"/>
          <w:szCs w:val="21"/>
          <w:highlight w:val="none"/>
        </w:rPr>
        <w:t xml:space="preserve">4.1 安装于人体模型底部，单次呼吸频率最大40次/min、呼吸流量最大3L/min，能满足</w:t>
      </w:r>
      <w:r>
        <w:rPr>
          <w:rFonts w:hint="eastAsia" w:ascii="宋体" w:hAnsi="宋体" w:cs="Arial"/>
          <w:bCs/>
          <w:color w:val="auto"/>
          <w:szCs w:val="21"/>
          <w:highlight w:val="none"/>
        </w:rPr>
        <w:t xml:space="preserve">呼吸量30L/min、50L/min、100L/min</w:t>
      </w:r>
      <w:r>
        <w:rPr>
          <w:rFonts w:hint="eastAsia" w:ascii="宋体" w:hAnsi="宋体" w:cs="Arial"/>
          <w:color w:val="auto"/>
          <w:szCs w:val="21"/>
          <w:highlight w:val="none"/>
        </w:rPr>
        <w:t xml:space="preserve">等测试要求；</w:t>
      </w:r>
      <w:r>
        <w:rPr>
          <w:rFonts w:hint="eastAsia" w:ascii="宋体" w:hAnsi="宋体" w:cs="Arial"/>
          <w:b/>
          <w:bCs/>
          <w:color w:val="auto"/>
          <w:szCs w:val="21"/>
          <w:highlight w:val="none"/>
        </w:rPr>
        <w:t xml:space="preserve">（提供有效证明材料）</w:t>
      </w:r>
      <w:r/>
    </w:p>
    <w:p>
      <w:pPr>
        <w:rPr>
          <w:rFonts w:ascii="宋体" w:hAnsi="宋体" w:cs="Arial"/>
          <w:color w:val="auto"/>
          <w:szCs w:val="21"/>
          <w:highlight w:val="none"/>
        </w:rPr>
      </w:pPr>
      <w:r>
        <w:rPr>
          <w:rFonts w:hint="eastAsia" w:ascii="宋体" w:hAnsi="宋体" w:cs="Arial"/>
          <w:color w:val="auto"/>
          <w:szCs w:val="21"/>
          <w:highlight w:val="none"/>
        </w:rPr>
        <w:t xml:space="preserve">4.2 采用知名品牌AC伺服马达驱动、正弦波程序运行，由测试系统集成程序控制。</w:t>
      </w:r>
      <w:r/>
    </w:p>
    <w:p>
      <w:pPr>
        <w:rPr>
          <w:rFonts w:ascii="宋体" w:hAnsi="宋体" w:cs="Arial"/>
          <w:color w:val="auto"/>
          <w:szCs w:val="21"/>
          <w:highlight w:val="none"/>
        </w:rPr>
      </w:pPr>
      <w:r>
        <w:rPr>
          <w:rFonts w:hint="eastAsia" w:ascii="宋体" w:hAnsi="宋体" w:cs="Arial"/>
          <w:b/>
          <w:color w:val="auto"/>
          <w:szCs w:val="21"/>
          <w:highlight w:val="none"/>
        </w:rPr>
        <w:t xml:space="preserve">5 </w:t>
      </w:r>
      <w:r>
        <w:rPr>
          <w:rFonts w:hint="eastAsia" w:ascii="宋体" w:hAnsi="宋体" w:cs="Arial"/>
          <w:color w:val="auto"/>
          <w:szCs w:val="21"/>
          <w:highlight w:val="none"/>
        </w:rPr>
        <w:t xml:space="preserve"> 运行轨道用于试验车和人体模型在“高温箱、装样位、燃烧阵列”等位置精确定位、运行切换。</w:t>
      </w:r>
      <w:r/>
    </w:p>
    <w:p>
      <w:pPr>
        <w:rPr>
          <w:rFonts w:ascii="宋体" w:hAnsi="宋体" w:cs="Arial"/>
          <w:b/>
          <w:color w:val="auto"/>
          <w:szCs w:val="21"/>
          <w:highlight w:val="none"/>
        </w:rPr>
      </w:pPr>
      <w:r>
        <w:rPr>
          <w:rFonts w:hint="eastAsia" w:ascii="宋体" w:hAnsi="宋体" w:cs="Arial"/>
          <w:b/>
          <w:color w:val="auto"/>
          <w:szCs w:val="21"/>
          <w:highlight w:val="none"/>
        </w:rPr>
        <w:t xml:space="preserve">6  试验车装置</w:t>
      </w:r>
      <w:r/>
    </w:p>
    <w:p>
      <w:pPr>
        <w:rPr>
          <w:rFonts w:ascii="宋体" w:hAnsi="宋体" w:cs="Arial"/>
          <w:color w:val="auto"/>
          <w:szCs w:val="21"/>
          <w:highlight w:val="none"/>
        </w:rPr>
      </w:pPr>
      <w:r>
        <w:rPr>
          <w:rFonts w:hint="eastAsia" w:ascii="宋体" w:hAnsi="宋体" w:cs="Arial"/>
          <w:color w:val="auto"/>
          <w:szCs w:val="21"/>
          <w:highlight w:val="none"/>
        </w:rPr>
        <w:t xml:space="preserve">6.1 包括人体模型载运平台、跌落控制；</w:t>
      </w:r>
      <w:r/>
    </w:p>
    <w:p>
      <w:pPr>
        <w:rPr>
          <w:rFonts w:ascii="宋体" w:hAnsi="宋体" w:cs="Arial"/>
          <w:color w:val="auto"/>
          <w:szCs w:val="21"/>
          <w:highlight w:val="none"/>
        </w:rPr>
      </w:pPr>
      <w:r>
        <w:rPr>
          <w:rFonts w:hint="eastAsia" w:ascii="宋体" w:hAnsi="宋体" w:cs="Arial"/>
          <w:color w:val="auto"/>
          <w:szCs w:val="21"/>
          <w:highlight w:val="none"/>
        </w:rPr>
        <w:t xml:space="preserve">6.2 试验车装可提升155mm，并完成自由跌落和自动回位提升动作；</w:t>
      </w:r>
      <w:r/>
    </w:p>
    <w:p>
      <w:pPr>
        <w:rPr>
          <w:rStyle w:val="715"/>
          <w:rFonts w:ascii="宋体" w:hAnsi="宋体" w:cs="Arial"/>
          <w:color w:val="auto"/>
          <w:highlight w:val="none"/>
        </w:rPr>
      </w:pPr>
      <w:r>
        <w:rPr>
          <w:rFonts w:hint="eastAsia" w:ascii="宋体" w:hAnsi="宋体" w:cs="Arial"/>
          <w:color w:val="auto"/>
          <w:szCs w:val="21"/>
          <w:highlight w:val="none"/>
        </w:rPr>
        <w:t xml:space="preserve">6.3 跌落和回位由电动或气动程序自动控制。</w:t>
      </w:r>
      <w:r/>
    </w:p>
    <w:p>
      <w:pPr>
        <w:rPr>
          <w:rStyle w:val="715"/>
          <w:rFonts w:ascii="宋体" w:hAnsi="宋体" w:cs="Arial"/>
          <w:color w:val="auto"/>
          <w:highlight w:val="none"/>
        </w:rPr>
      </w:pPr>
      <w:r>
        <w:rPr>
          <w:rStyle w:val="715"/>
          <w:rFonts w:hint="eastAsia" w:ascii="宋体" w:hAnsi="宋体" w:cs="Arial"/>
          <w:color w:val="auto"/>
          <w:highlight w:val="none"/>
        </w:rPr>
        <w:t xml:space="preserve">6.4 试验车的行驶速度可满足在(30±5)s时间内完成试验车从高温箱内移动至燃烧器中心处。</w:t>
      </w:r>
      <w:r/>
    </w:p>
    <w:p>
      <w:pPr>
        <w:rPr>
          <w:rFonts w:ascii="宋体" w:hAnsi="宋体" w:cs="Arial"/>
          <w:b/>
          <w:color w:val="auto"/>
          <w:szCs w:val="21"/>
          <w:highlight w:val="none"/>
        </w:rPr>
      </w:pPr>
      <w:r>
        <w:rPr>
          <w:rFonts w:hint="eastAsia" w:ascii="宋体" w:hAnsi="宋体" w:cs="Arial"/>
          <w:b/>
          <w:color w:val="auto"/>
          <w:szCs w:val="21"/>
          <w:highlight w:val="none"/>
        </w:rPr>
        <w:t xml:space="preserve">7  </w:t>
      </w:r>
      <w:bookmarkStart w:id="116" w:name="OLE_LINK58"/>
      <w:r>
        <w:rPr>
          <w:rFonts w:hint="eastAsia" w:ascii="宋体" w:hAnsi="宋体" w:cs="Arial"/>
          <w:b/>
          <w:color w:val="auto"/>
          <w:szCs w:val="21"/>
          <w:highlight w:val="none"/>
        </w:rPr>
        <w:t xml:space="preserve">燃烧器阵列和燃气系统</w:t>
      </w:r>
      <w:bookmarkEnd w:id="116"/>
      <w:r/>
      <w:r/>
    </w:p>
    <w:p>
      <w:pPr>
        <w:rPr>
          <w:rFonts w:ascii="宋体" w:hAnsi="宋体" w:cs="Arial"/>
          <w:color w:val="auto"/>
          <w:szCs w:val="21"/>
          <w:highlight w:val="none"/>
        </w:rPr>
      </w:pPr>
      <w:r>
        <w:rPr>
          <w:rFonts w:hint="eastAsia" w:ascii="宋体" w:hAnsi="宋体" w:cs="Arial"/>
          <w:color w:val="auto"/>
          <w:szCs w:val="21"/>
          <w:highlight w:val="none"/>
        </w:rPr>
        <w:t xml:space="preserve">7.1 燃烧阵列：</w:t>
      </w:r>
      <w:r>
        <w:rPr>
          <w:rFonts w:hint="eastAsia"/>
          <w:color w:val="auto"/>
          <w:highlight w:val="none"/>
        </w:rPr>
        <w:t xml:space="preserve">每个燃烧器阵</w:t>
      </w:r>
      <w:r>
        <w:rPr>
          <w:rFonts w:hint="eastAsia" w:ascii="宋体" w:hAnsi="宋体" w:cs="Arial"/>
          <w:color w:val="auto"/>
          <w:szCs w:val="21"/>
          <w:highlight w:val="none"/>
        </w:rPr>
        <w:t xml:space="preserve">列由四排线性燃烧器组成、</w:t>
      </w:r>
      <w:r>
        <w:rPr>
          <w:rFonts w:hint="eastAsia"/>
          <w:color w:val="auto"/>
          <w:highlight w:val="none"/>
        </w:rPr>
        <w:t xml:space="preserve">共2个阵列、总共8支</w:t>
      </w:r>
      <w:r>
        <w:rPr>
          <w:rFonts w:hint="eastAsia" w:ascii="宋体" w:hAnsi="宋体" w:cs="Arial"/>
          <w:color w:val="auto"/>
          <w:szCs w:val="21"/>
          <w:highlight w:val="none"/>
        </w:rPr>
        <w:t xml:space="preserve">丙烷带状燃烧器，有效燃烧长度为900mm，燃烧器中心间距为190mm，燃烧器宽度140mm，燃烧孔直径为1mm，孔心距为1.8mm；</w:t>
      </w:r>
      <w:r/>
    </w:p>
    <w:p>
      <w:pPr>
        <w:rPr>
          <w:rFonts w:ascii="宋体" w:hAnsi="宋体" w:cs="Arial"/>
          <w:color w:val="auto"/>
          <w:szCs w:val="21"/>
          <w:highlight w:val="none"/>
        </w:rPr>
      </w:pPr>
      <w:r>
        <w:rPr>
          <w:rFonts w:hint="eastAsia" w:ascii="宋体" w:hAnsi="宋体" w:cs="Arial"/>
          <w:color w:val="auto"/>
          <w:szCs w:val="21"/>
          <w:highlight w:val="none"/>
        </w:rPr>
        <w:t xml:space="preserve">7.2 需配备8支文丘里混合气及减压控制，用于控制并调节燃气压力。燃气供应端独立设置阻火器防止管道回火；</w:t>
      </w:r>
      <w:r/>
    </w:p>
    <w:p>
      <w:pPr>
        <w:rPr>
          <w:rFonts w:ascii="宋体" w:hAnsi="宋体" w:cs="Arial"/>
          <w:color w:val="auto"/>
          <w:szCs w:val="21"/>
          <w:highlight w:val="none"/>
        </w:rPr>
      </w:pPr>
      <w:r>
        <w:rPr>
          <w:rFonts w:hint="eastAsia" w:ascii="宋体" w:hAnsi="宋体" w:cs="Arial"/>
          <w:color w:val="auto"/>
          <w:szCs w:val="21"/>
          <w:highlight w:val="none"/>
        </w:rPr>
        <w:t xml:space="preserve">7.3 需配备</w:t>
      </w:r>
      <w:r>
        <w:rPr>
          <w:rFonts w:hint="eastAsia" w:ascii="宋体" w:hAnsi="宋体" w:cs="Arial"/>
          <w:color w:val="auto"/>
          <w:szCs w:val="21"/>
          <w:highlight w:val="none"/>
          <w:u w:val="single"/>
        </w:rPr>
        <w:t xml:space="preserve">8</w:t>
      </w:r>
      <w:r>
        <w:rPr>
          <w:rFonts w:hint="eastAsia" w:ascii="宋体" w:hAnsi="宋体" w:cs="Arial"/>
          <w:color w:val="auto"/>
          <w:szCs w:val="21"/>
          <w:highlight w:val="none"/>
        </w:rPr>
        <w:t xml:space="preserve">路燃气及燃气分配流量控制系统，可通过调节阀进行燃气流量调节；</w:t>
      </w:r>
      <w:r/>
    </w:p>
    <w:p>
      <w:pPr>
        <w:rPr>
          <w:rFonts w:ascii="宋体" w:hAnsi="宋体" w:cs="Arial"/>
          <w:color w:val="auto"/>
          <w:szCs w:val="21"/>
          <w:highlight w:val="none"/>
        </w:rPr>
      </w:pPr>
      <w:r>
        <w:rPr>
          <w:rFonts w:hint="eastAsia" w:ascii="宋体" w:hAnsi="宋体" w:cs="Arial"/>
          <w:bCs/>
          <w:color w:val="auto"/>
          <w:szCs w:val="21"/>
          <w:highlight w:val="none"/>
        </w:rPr>
        <w:t xml:space="preserve">★</w:t>
      </w:r>
      <w:r>
        <w:rPr>
          <w:rFonts w:hint="eastAsia" w:ascii="宋体" w:hAnsi="宋体" w:cs="Tahoma"/>
          <w:bCs/>
          <w:color w:val="auto"/>
          <w:szCs w:val="21"/>
          <w:highlight w:val="none"/>
        </w:rPr>
        <w:t xml:space="preserve">7.4</w:t>
      </w:r>
      <w:r>
        <w:rPr>
          <w:rFonts w:hint="eastAsia" w:ascii="宋体" w:hAnsi="宋体" w:cs="Arial"/>
          <w:color w:val="auto"/>
          <w:szCs w:val="21"/>
          <w:highlight w:val="none"/>
        </w:rPr>
        <w:t xml:space="preserve">采用表面点火方式，可同时、或独立控制点燃两列燃烧器阵列，并配备电磁阀，用于自动切断燃气；</w:t>
      </w:r>
      <w:r>
        <w:rPr>
          <w:rFonts w:hint="eastAsia" w:ascii="宋体" w:hAnsi="宋体" w:cs="Arial"/>
          <w:b/>
          <w:bCs/>
          <w:color w:val="auto"/>
          <w:szCs w:val="21"/>
          <w:highlight w:val="none"/>
        </w:rPr>
        <w:t xml:space="preserve">（提供有效证明材料）</w:t>
      </w:r>
      <w:r/>
    </w:p>
    <w:p>
      <w:pPr>
        <w:rPr>
          <w:rFonts w:ascii="宋体" w:hAnsi="宋体" w:cs="Tahoma"/>
          <w:bCs/>
          <w:color w:val="auto"/>
          <w:szCs w:val="21"/>
          <w:highlight w:val="none"/>
        </w:rPr>
      </w:pPr>
      <w:r>
        <w:rPr>
          <w:rFonts w:hint="eastAsia" w:ascii="宋体" w:hAnsi="宋体" w:cs="Arial"/>
          <w:color w:val="auto"/>
          <w:szCs w:val="21"/>
          <w:highlight w:val="none"/>
        </w:rPr>
        <w:t xml:space="preserve">7.5 需配备Omega等高性能高温热电偶及显示装置，用于校准距燃烧器尖端250 mm处的（950±50）</w:t>
      </w:r>
      <w:r>
        <w:rPr>
          <w:rFonts w:hint="eastAsia" w:ascii="宋体" w:hAnsi="宋体" w:cs="Tahoma"/>
          <w:bCs/>
          <w:color w:val="auto"/>
          <w:szCs w:val="21"/>
          <w:highlight w:val="none"/>
        </w:rPr>
        <w:t xml:space="preserve">℃</w:t>
      </w:r>
      <w:r>
        <w:rPr>
          <w:rFonts w:hint="eastAsia" w:ascii="宋体" w:hAnsi="宋体" w:cs="Arial"/>
          <w:color w:val="auto"/>
          <w:szCs w:val="21"/>
          <w:highlight w:val="none"/>
        </w:rPr>
        <w:t xml:space="preserve">火焰温度</w:t>
      </w:r>
      <w:r>
        <w:rPr>
          <w:rFonts w:hint="eastAsia" w:ascii="宋体" w:hAnsi="宋体" w:cs="Tahoma"/>
          <w:bCs/>
          <w:color w:val="auto"/>
          <w:szCs w:val="21"/>
          <w:highlight w:val="none"/>
        </w:rPr>
        <w:t xml:space="preserve">；</w:t>
      </w:r>
      <w:r/>
    </w:p>
    <w:p>
      <w:pPr>
        <w:rPr>
          <w:rFonts w:ascii="宋体" w:hAnsi="宋体" w:cs="Arial"/>
          <w:color w:val="auto"/>
          <w:szCs w:val="21"/>
          <w:highlight w:val="none"/>
        </w:rPr>
      </w:pPr>
      <w:r>
        <w:rPr>
          <w:rFonts w:hint="eastAsia" w:ascii="宋体" w:hAnsi="宋体" w:cs="Arial"/>
          <w:color w:val="auto"/>
          <w:szCs w:val="21"/>
          <w:highlight w:val="none"/>
        </w:rPr>
        <w:t xml:space="preserve">7.6 提供燃烧气管路、球阀及终端二级减压器等完善气路设施。</w:t>
      </w:r>
      <w:r/>
    </w:p>
    <w:p>
      <w:pPr>
        <w:rPr>
          <w:rFonts w:ascii="宋体" w:hAnsi="宋体" w:cs="Tahoma"/>
          <w:b/>
          <w:bCs/>
          <w:color w:val="auto"/>
          <w:szCs w:val="21"/>
          <w:highlight w:val="none"/>
        </w:rPr>
      </w:pPr>
      <w:r>
        <w:rPr>
          <w:rFonts w:hint="eastAsia" w:ascii="宋体" w:hAnsi="宋体" w:cs="Tahoma"/>
          <w:b/>
          <w:bCs/>
          <w:color w:val="auto"/>
          <w:szCs w:val="21"/>
          <w:highlight w:val="none"/>
        </w:rPr>
        <w:t xml:space="preserve">8 控制系统</w:t>
      </w:r>
      <w:r/>
    </w:p>
    <w:p>
      <w:pPr>
        <w:rPr>
          <w:rFonts w:ascii="宋体" w:hAnsi="宋体" w:cs="Tahoma"/>
          <w:bCs/>
          <w:color w:val="auto"/>
          <w:szCs w:val="21"/>
          <w:highlight w:val="none"/>
        </w:rPr>
      </w:pPr>
      <w:r>
        <w:rPr>
          <w:rFonts w:hint="eastAsia" w:ascii="宋体" w:hAnsi="宋体" w:cs="Tahoma"/>
          <w:bCs/>
          <w:color w:val="auto"/>
          <w:szCs w:val="21"/>
          <w:highlight w:val="none"/>
        </w:rPr>
        <w:t xml:space="preserve">8.1 专用计算机电脑软件操作，</w:t>
      </w:r>
      <w:r>
        <w:rPr>
          <w:rFonts w:hint="eastAsia" w:ascii="宋体" w:hAnsi="宋体" w:cs="Arial"/>
          <w:color w:val="auto"/>
          <w:szCs w:val="21"/>
          <w:highlight w:val="none"/>
        </w:rPr>
        <w:t xml:space="preserve">用于监测测试过程呼吸阻力</w:t>
      </w:r>
      <w:r>
        <w:rPr>
          <w:rStyle w:val="715"/>
          <w:rFonts w:hint="eastAsia" w:ascii="宋体" w:hAnsi="宋体" w:cs="Arial"/>
          <w:color w:val="auto"/>
          <w:highlight w:val="none"/>
        </w:rPr>
        <w:t xml:space="preserve">、面罩内压力</w:t>
      </w:r>
      <w:r>
        <w:rPr>
          <w:rFonts w:hint="eastAsia" w:ascii="宋体" w:hAnsi="宋体" w:cs="Arial"/>
          <w:color w:val="auto"/>
          <w:szCs w:val="21"/>
          <w:highlight w:val="none"/>
        </w:rPr>
        <w:t xml:space="preserve">等测试数据</w:t>
      </w:r>
      <w:r>
        <w:rPr>
          <w:rFonts w:hint="eastAsia" w:ascii="宋体" w:hAnsi="宋体" w:cs="Tahoma"/>
          <w:bCs/>
          <w:color w:val="auto"/>
          <w:szCs w:val="21"/>
          <w:highlight w:val="none"/>
        </w:rPr>
        <w:t xml:space="preserve">；</w:t>
      </w:r>
      <w:r/>
    </w:p>
    <w:p>
      <w:pPr>
        <w:rPr>
          <w:rFonts w:ascii="宋体" w:hAnsi="宋体" w:cs="Arial"/>
          <w:color w:val="auto"/>
          <w:szCs w:val="21"/>
          <w:highlight w:val="none"/>
        </w:rPr>
      </w:pPr>
      <w:r>
        <w:rPr>
          <w:rFonts w:hint="eastAsia" w:ascii="宋体" w:hAnsi="宋体" w:cs="Tahoma"/>
          <w:bCs/>
          <w:color w:val="auto"/>
          <w:szCs w:val="21"/>
          <w:highlight w:val="none"/>
        </w:rPr>
        <w:t xml:space="preserve">8.2 </w:t>
      </w:r>
      <w:r>
        <w:rPr>
          <w:rFonts w:hint="eastAsia" w:ascii="宋体" w:hAnsi="宋体" w:cs="Arial"/>
          <w:color w:val="auto"/>
          <w:szCs w:val="21"/>
          <w:highlight w:val="none"/>
        </w:rPr>
        <w:t xml:space="preserve">测试过程为程序自动控制，可自动在“高温箱、装样位、燃烧阵列等位置”自动或手动运行，并完成跌落测试。</w:t>
      </w:r>
      <w:r/>
    </w:p>
    <w:p>
      <w:pPr>
        <w:rPr>
          <w:rFonts w:ascii="宋体" w:hAnsi="宋体" w:cs="Arial"/>
          <w:b/>
          <w:color w:val="auto"/>
          <w:szCs w:val="21"/>
          <w:highlight w:val="none"/>
        </w:rPr>
      </w:pPr>
      <w:r>
        <w:rPr>
          <w:rFonts w:hint="eastAsia" w:ascii="宋体" w:hAnsi="宋体" w:cs="Arial"/>
          <w:b/>
          <w:color w:val="auto"/>
          <w:szCs w:val="21"/>
          <w:highlight w:val="none"/>
        </w:rPr>
        <w:t xml:space="preserve">9 </w:t>
      </w:r>
      <w:bookmarkStart w:id="117" w:name="OLE_LINK59"/>
      <w:r>
        <w:rPr>
          <w:rFonts w:hint="eastAsia" w:ascii="宋体" w:hAnsi="宋体" w:cs="Arial"/>
          <w:b/>
          <w:color w:val="auto"/>
          <w:szCs w:val="21"/>
          <w:highlight w:val="none"/>
        </w:rPr>
        <w:t xml:space="preserve">燃烧室烟雾排出系统</w:t>
      </w:r>
      <w:bookmarkEnd w:id="117"/>
      <w:r/>
      <w:r/>
    </w:p>
    <w:p>
      <w:pPr>
        <w:rPr>
          <w:rFonts w:ascii="宋体" w:hAnsi="宋体" w:cs="Arial"/>
          <w:color w:val="auto"/>
          <w:szCs w:val="21"/>
          <w:highlight w:val="none"/>
        </w:rPr>
      </w:pPr>
      <w:r>
        <w:rPr>
          <w:rFonts w:hint="eastAsia" w:ascii="宋体" w:hAnsi="宋体" w:cs="Arial"/>
          <w:color w:val="auto"/>
          <w:szCs w:val="21"/>
          <w:highlight w:val="none"/>
        </w:rPr>
        <w:t xml:space="preserve">9.1 配备：耐高温集烟罩由不锈钢及耐高温板复合制成，外加排烟风机、排烟管道、烟道水冷却系统；</w:t>
      </w:r>
      <w:r/>
    </w:p>
    <w:p>
      <w:pPr>
        <w:rPr>
          <w:rFonts w:ascii="宋体" w:hAnsi="宋体" w:cs="Arial"/>
          <w:color w:val="auto"/>
          <w:szCs w:val="21"/>
          <w:highlight w:val="none"/>
        </w:rPr>
      </w:pPr>
      <w:r>
        <w:rPr>
          <w:rFonts w:hint="eastAsia" w:ascii="宋体" w:hAnsi="宋体" w:cs="Arial"/>
          <w:color w:val="auto"/>
          <w:szCs w:val="21"/>
          <w:highlight w:val="none"/>
        </w:rPr>
        <w:t xml:space="preserve">9.2 配备：设置2路丙烷气体报警器，用于监测燃气泄漏。</w:t>
      </w:r>
      <w:r/>
    </w:p>
    <w:p>
      <w:pPr>
        <w:rPr>
          <w:b/>
          <w:bCs/>
          <w:color w:val="auto"/>
          <w:highlight w:val="none"/>
        </w:rPr>
      </w:pPr>
      <w:r>
        <w:rPr>
          <w:rFonts w:hint="eastAsia"/>
          <w:b/>
          <w:bCs/>
          <w:color w:val="auto"/>
          <w:highlight w:val="none"/>
        </w:rPr>
        <w:t xml:space="preserve">配置</w:t>
      </w:r>
      <w:r/>
    </w:p>
    <w:p>
      <w:pPr>
        <w:ind w:left="425" w:hanging="425"/>
        <w:rPr>
          <w:color w:val="auto"/>
          <w:highlight w:val="none"/>
        </w:rPr>
      </w:pPr>
      <w:r>
        <w:rPr>
          <w:color w:val="auto"/>
          <w:highlight w:val="none"/>
        </w:rPr>
        <w:t xml:space="preserve">1.</w:t>
      </w:r>
      <w:r>
        <w:rPr>
          <w:rFonts w:hint="eastAsia"/>
          <w:color w:val="auto"/>
          <w:highlight w:val="none"/>
        </w:rPr>
        <w:t xml:space="preserve">高温烘箱1台；</w:t>
      </w:r>
      <w:r/>
    </w:p>
    <w:p>
      <w:pPr>
        <w:ind w:left="425" w:hanging="425"/>
        <w:rPr>
          <w:color w:val="auto"/>
          <w:highlight w:val="none"/>
        </w:rPr>
      </w:pPr>
      <w:r>
        <w:rPr>
          <w:color w:val="auto"/>
          <w:highlight w:val="none"/>
        </w:rPr>
        <w:t xml:space="preserve">2.</w:t>
      </w:r>
      <w:r>
        <w:rPr>
          <w:rFonts w:hint="eastAsia"/>
          <w:color w:val="auto"/>
          <w:highlight w:val="none"/>
        </w:rPr>
        <w:t xml:space="preserve">金属人体模型1个；</w:t>
      </w:r>
      <w:r/>
    </w:p>
    <w:p>
      <w:pPr>
        <w:ind w:left="425" w:hanging="425"/>
        <w:rPr>
          <w:color w:val="auto"/>
          <w:highlight w:val="none"/>
        </w:rPr>
      </w:pPr>
      <w:r>
        <w:rPr>
          <w:color w:val="auto"/>
          <w:highlight w:val="none"/>
        </w:rPr>
        <w:t xml:space="preserve">3.</w:t>
      </w:r>
      <w:r>
        <w:rPr>
          <w:rFonts w:hint="eastAsia"/>
          <w:color w:val="auto"/>
          <w:highlight w:val="none"/>
        </w:rPr>
        <w:t xml:space="preserve">动态人工模拟呼吸机（含空压机）1台；</w:t>
      </w:r>
      <w:r/>
    </w:p>
    <w:p>
      <w:pPr>
        <w:ind w:left="425" w:hanging="425"/>
        <w:rPr>
          <w:color w:val="auto"/>
          <w:highlight w:val="none"/>
        </w:rPr>
      </w:pPr>
      <w:r>
        <w:rPr>
          <w:color w:val="auto"/>
          <w:highlight w:val="none"/>
        </w:rPr>
        <w:t xml:space="preserve">4.</w:t>
      </w:r>
      <w:r>
        <w:rPr>
          <w:rFonts w:hint="eastAsia"/>
          <w:color w:val="auto"/>
          <w:highlight w:val="none"/>
        </w:rPr>
        <w:t xml:space="preserve">运行轨道1套；</w:t>
      </w:r>
      <w:r/>
    </w:p>
    <w:p>
      <w:pPr>
        <w:ind w:left="425" w:hanging="425"/>
        <w:rPr>
          <w:color w:val="auto"/>
          <w:highlight w:val="none"/>
        </w:rPr>
      </w:pPr>
      <w:r>
        <w:rPr>
          <w:color w:val="auto"/>
          <w:highlight w:val="none"/>
        </w:rPr>
        <w:t xml:space="preserve">5.</w:t>
      </w:r>
      <w:r>
        <w:rPr>
          <w:rFonts w:hint="eastAsia"/>
          <w:color w:val="auto"/>
          <w:highlight w:val="none"/>
        </w:rPr>
        <w:t xml:space="preserve">试验车装置1台；</w:t>
      </w:r>
      <w:r/>
    </w:p>
    <w:p>
      <w:pPr>
        <w:ind w:left="425" w:hanging="425"/>
        <w:rPr>
          <w:color w:val="auto"/>
          <w:highlight w:val="none"/>
        </w:rPr>
      </w:pPr>
      <w:r>
        <w:rPr>
          <w:color w:val="auto"/>
          <w:highlight w:val="none"/>
        </w:rPr>
        <w:t xml:space="preserve">6.</w:t>
      </w:r>
      <w:r>
        <w:rPr>
          <w:rFonts w:hint="eastAsia"/>
          <w:color w:val="auto"/>
          <w:highlight w:val="none"/>
        </w:rPr>
        <w:t xml:space="preserve">燃烧器阵列和燃气系统（8路）1套；</w:t>
      </w:r>
      <w:r/>
    </w:p>
    <w:p>
      <w:pPr>
        <w:ind w:left="425" w:hanging="425"/>
        <w:rPr>
          <w:color w:val="auto"/>
          <w:highlight w:val="none"/>
        </w:rPr>
      </w:pPr>
      <w:r>
        <w:rPr>
          <w:color w:val="auto"/>
          <w:highlight w:val="none"/>
        </w:rPr>
        <w:t xml:space="preserve">7.</w:t>
      </w:r>
      <w:r>
        <w:rPr>
          <w:rFonts w:hint="eastAsia"/>
          <w:color w:val="auto"/>
          <w:highlight w:val="none"/>
        </w:rPr>
        <w:t xml:space="preserve">专用计算机1台；</w:t>
      </w:r>
      <w:r/>
    </w:p>
    <w:p>
      <w:pPr>
        <w:ind w:left="425" w:hanging="425"/>
        <w:rPr>
          <w:color w:val="auto"/>
          <w:highlight w:val="none"/>
        </w:rPr>
      </w:pPr>
      <w:r>
        <w:rPr>
          <w:color w:val="auto"/>
          <w:highlight w:val="none"/>
        </w:rPr>
        <w:t xml:space="preserve">8.</w:t>
      </w:r>
      <w:r>
        <w:rPr>
          <w:rFonts w:hint="eastAsia"/>
          <w:color w:val="auto"/>
          <w:highlight w:val="none"/>
        </w:rPr>
        <w:t xml:space="preserve">专用操作软件1套；</w:t>
      </w:r>
      <w:r/>
    </w:p>
    <w:p>
      <w:pPr>
        <w:ind w:left="425" w:hanging="425"/>
        <w:rPr>
          <w:color w:val="auto"/>
          <w:highlight w:val="none"/>
        </w:rPr>
      </w:pPr>
      <w:r>
        <w:rPr>
          <w:color w:val="auto"/>
          <w:highlight w:val="none"/>
        </w:rPr>
        <w:t xml:space="preserve">9.</w:t>
      </w:r>
      <w:r>
        <w:rPr>
          <w:rFonts w:hint="eastAsia"/>
          <w:color w:val="auto"/>
          <w:highlight w:val="none"/>
        </w:rPr>
        <w:t xml:space="preserve">燃烧室烟雾排出系统1套；</w:t>
      </w:r>
      <w:r/>
    </w:p>
    <w:p>
      <w:pPr>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10.高温箱、微压差传感器、压力表、流量计、校准温度传感器CNAS第三方校准证书各1份；</w:t>
      </w:r>
      <w:r/>
    </w:p>
    <w:p>
      <w:pPr>
        <w:ind w:left="425" w:hanging="425"/>
        <w:rPr>
          <w:color w:val="auto"/>
          <w:highlight w:val="none"/>
        </w:rPr>
      </w:pPr>
      <w:r>
        <w:rPr>
          <w:color w:val="auto"/>
          <w:highlight w:val="none"/>
        </w:rPr>
        <w:t xml:space="preserve">11.</w:t>
      </w:r>
      <w:r>
        <w:rPr>
          <w:rFonts w:hint="eastAsia"/>
          <w:color w:val="auto"/>
          <w:highlight w:val="none"/>
        </w:rPr>
        <w:t xml:space="preserve">产品说明书1份。</w:t>
      </w:r>
      <w:r/>
    </w:p>
    <w:p>
      <w:pPr>
        <w:pStyle w:val="896"/>
        <w:ind w:firstLine="422"/>
        <w:spacing w:line="5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二、商务要求</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1、合同履行期限：自合同签</w:t>
      </w:r>
      <w:r>
        <w:rPr>
          <w:rFonts w:hint="eastAsia" w:ascii="宋体" w:hAnsi="宋体" w:cs="宋体"/>
          <w:color w:val="auto"/>
          <w:szCs w:val="21"/>
          <w:highlight w:val="none"/>
          <w:lang w:eastAsia="zh-CN"/>
        </w:rPr>
        <w:t xml:space="preserve">订之</w:t>
      </w:r>
      <w:r>
        <w:rPr>
          <w:rFonts w:hint="eastAsia" w:ascii="宋体" w:hAnsi="宋体" w:cs="宋体"/>
          <w:color w:val="auto"/>
          <w:szCs w:val="21"/>
          <w:highlight w:val="none"/>
        </w:rPr>
        <w:t xml:space="preserve">日起30个工作日内完成供货并安装调试完毕。</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2、质保期：3年（自验收合格之日起算），在质保期内提供免费维护和系统升级。</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投标报价中应包含设备采购、包装、运输、安装、调试、技术支持、人员培训、售后服务、必不可少的部件、标准备件、专用工具、保险、利润、税金（增值税）、政策性文件规定及合同包含的所有风险、责任等各项应有费用，采购人不再支付其他任何费用。</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4、成交供应商在收到成交通知书后，30日内签订合同。</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5、质量保证及售后服务：</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5.1成交供应商应按采购文件规定的货物性能、技术要求、质量标准向采购人提供未经使用的全新合格产品。</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5.2成交供应商提供的货物在质保期内因货物本身的质量问题发生故障，成交供应商应负责免费更换。</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5.3成交供应商须保证设备系统运行的稳定性，在设备运行中，如因安装问题造成设备损坏或故障不能正常工作需要维修的，所有因维修（包括更换设备）产生的费用由成交供应商承担。</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5.4成交供应商须支持软件全周期更新。</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6、包装及运输：</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6.1货物类必须要求满足《关于印发〈商品包装政府采购需求标准（试行）〉、〈快递包装政府采购需求标准（试行）〉的通知》（财办库﹝2020﹞123号）。</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6.2货物在交付采购人前发生的风险均由成交供应商负责。</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6.3成交供应商应保证货物是全新、未使用过的原厂商、原产地、原包装合格正品（含配件）。</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6.4货物在规定的交付期限内由成交供应商送达采购人指定的地点视为交付，成交供应商同时需通知采购人货物已送达。</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7、调试和验收：</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7.1出厂检验：成交供应商负责所提供硬件的出厂验收，保证产品原产地和技术指标的真实性、完整性，并负责将产品送达交货地点。</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7.2到货验收：设备送至采购人规定的安装现场后，采购人和成交供应商共同对货物的品牌、型号、配置、数量，原装品牌设备的证明文件或资料等进行检查、核对，即到货验收。验收合格后双方签字认可。如发现货物质量有问题或所提供货物非原装品牌产品，成交供应商应无条件免费更换整机产品</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承担由此发生的相应责任并赔偿买方的损失。如因此而影响安装使用则按合同有关条款处理。到货时，未经采购人同意，成交供应商私自开箱（或拆封）的，采购人有权拒绝进行初验收，由此产生的费用和后果由成交供应商负责。</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8、售后服务及培训：</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8.1成交供应商应针对采购单位使用人员、管理人员等提供培训，以便对设备使用、维护保养进行有效</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管理，保证验收移交后，采购人能够胜任设备的全部运行、操作、维护、故障分析处理、设备维修和保养等工作。</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8.2技术现场培训：成交供应商根据采购人要求，对采购人的技术人员进行现场安装调试培训，讲解产品的结构、安装步骤、调试方法和系统配置等。一般技术培训应该不限制人数。现场培训由采购人根据项目进展进行组织，培训讲师由原厂商提供。成交供应商根据采购人要求</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质保期内提供不少于10次现场技术应用培训，由成交供应商组织培训讲师上门开展使用培训。</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9、付款方式：合同签订后，付合同价款的5%；货到验收合格后，付至合同价款的80%，同时供应商提供合同全额增值税发票；验收合格12个月后，付至合同价款的100%。</w:t>
      </w:r>
      <w:r/>
    </w:p>
    <w:p>
      <w:pPr>
        <w:pStyle w:val="896"/>
        <w:ind w:firstLine="422"/>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10、项目实施地点：采购人指定地点。</w:t>
      </w:r>
      <w:r/>
    </w:p>
    <w:p>
      <w:pPr>
        <w:rPr>
          <w:rFonts w:ascii="宋体" w:hAnsi="宋体" w:cs="宋体"/>
          <w:color w:val="auto"/>
          <w:highlight w:val="none"/>
        </w:rPr>
      </w:pPr>
      <w:r>
        <w:rPr>
          <w:rFonts w:ascii="宋体" w:hAnsi="宋体" w:cs="宋体"/>
          <w:color w:val="auto"/>
          <w:highlight w:val="none"/>
        </w:rPr>
      </w:r>
      <w:r/>
    </w:p>
    <w:p>
      <w:pPr>
        <w:pStyle w:val="865"/>
        <w:jc w:val="center"/>
        <w:keepNext w:val="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5"/>
        <w:jc w:val="center"/>
        <w:keepNext w:val="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5"/>
        <w:jc w:val="center"/>
        <w:keepNext w:val="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865"/>
        <w:jc w:val="center"/>
        <w:keepNext w:val="0"/>
        <w:spacing w:line="520" w:lineRule="exact"/>
        <w:rPr>
          <w:rFonts w:ascii="宋体" w:hAnsi="宋体" w:eastAsia="宋体" w:cs="宋体"/>
          <w:color w:val="auto"/>
          <w:sz w:val="21"/>
          <w:szCs w:val="21"/>
          <w:highlight w:val="none"/>
        </w:rPr>
        <w:sectPr>
          <w:footerReference w:type="default" r:id="rId9"/>
          <w:footnotePr/>
          <w:endnotePr/>
          <w:type w:val="nextPage"/>
          <w:pgSz w:w="11906" w:h="16838" w:orient="portrait"/>
          <w:pgMar w:top="1440" w:right="1803" w:bottom="1440" w:left="1803" w:header="851" w:footer="992" w:gutter="0"/>
          <w:cols w:num="1" w:sep="0" w:space="0" w:equalWidth="1"/>
          <w:docGrid w:linePitch="360"/>
        </w:sectPr>
        <w:outlineLvl w:val="9"/>
      </w:pPr>
      <w:r>
        <w:rPr>
          <w:rFonts w:hint="eastAsia" w:ascii="宋体" w:hAnsi="宋体" w:eastAsia="宋体" w:cs="宋体"/>
          <w:color w:val="auto"/>
          <w:sz w:val="21"/>
          <w:szCs w:val="21"/>
          <w:highlight w:val="none"/>
        </w:rPr>
        <w:br w:type="page" w:clear="all"/>
      </w:r>
      <w:r/>
    </w:p>
    <w:p>
      <w:pPr>
        <w:pStyle w:val="865"/>
        <w:jc w:val="center"/>
        <w:keepNext w:val="0"/>
        <w:spacing w:line="520" w:lineRule="exact"/>
        <w:rPr>
          <w:rFonts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本次采购采用百分制综合评分法，即磋商供应商在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因磋商供应商自身原因，在磋商期间，不能及时、完整、有效提供相关原件以供磋商小组查询，由此导致不利于响应文件的磋商后果由磋商供应商承担。</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价格扣除：本项目为专门面向中小微企业，不享受价格扣除政策。</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评分细则详见下表：</w:t>
      </w:r>
      <w:r/>
    </w:p>
    <w:tbl>
      <w:tblPr>
        <w:tblStyle w:val="689"/>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850"/>
        <w:gridCol w:w="837"/>
        <w:gridCol w:w="6034"/>
      </w:tblGrid>
      <w:tr>
        <w:trPr>
          <w:jc w:val="center"/>
          <w:trHeight w:val="702"/>
        </w:trPr>
        <w:tc>
          <w:tcPr>
            <w:tcW w:w="622" w:type="dxa"/>
            <w:vAlign w:val="center"/>
            <w:textDirection w:val="lrTb"/>
            <w:noWrap w:val="false"/>
          </w:tcPr>
          <w:p>
            <w:pPr>
              <w:jc w:val="center"/>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850" w:type="dxa"/>
            <w:vAlign w:val="center"/>
            <w:textDirection w:val="lrTb"/>
            <w:noWrap w:val="false"/>
          </w:tcPr>
          <w:p>
            <w:pPr>
              <w:jc w:val="center"/>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评分</w:t>
            </w:r>
            <w:r/>
          </w:p>
          <w:p>
            <w:pPr>
              <w:jc w:val="center"/>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因素</w:t>
            </w:r>
            <w:r/>
          </w:p>
        </w:tc>
        <w:tc>
          <w:tcPr>
            <w:tcW w:w="837" w:type="dxa"/>
            <w:vAlign w:val="center"/>
            <w:textDirection w:val="lrTb"/>
            <w:noWrap w:val="false"/>
          </w:tcPr>
          <w:p>
            <w:pPr>
              <w:jc w:val="center"/>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W w:w="6034" w:type="dxa"/>
            <w:vAlign w:val="center"/>
            <w:textDirection w:val="lrTb"/>
            <w:noWrap w:val="false"/>
          </w:tcPr>
          <w:p>
            <w:pPr>
              <w:ind w:firstLine="480"/>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评分内容</w:t>
            </w:r>
            <w:r/>
          </w:p>
        </w:tc>
      </w:tr>
      <w:tr>
        <w:trPr>
          <w:jc w:val="center"/>
          <w:trHeight w:val="454"/>
        </w:trPr>
        <w:tc>
          <w:tcPr>
            <w:gridSpan w:val="4"/>
            <w:tcW w:w="8343" w:type="dxa"/>
            <w:vAlign w:val="center"/>
            <w:textDirection w:val="lrTb"/>
            <w:noWrap w:val="false"/>
          </w:tcPr>
          <w:p>
            <w:pPr>
              <w:jc w:val="center"/>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一、报价评审（30分）</w:t>
            </w:r>
            <w:r/>
          </w:p>
        </w:tc>
      </w:tr>
      <w:tr>
        <w:trPr>
          <w:jc w:val="center"/>
          <w:trHeight w:val="1010"/>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50"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价格分</w:t>
            </w:r>
            <w:r/>
          </w:p>
        </w:tc>
        <w:tc>
          <w:tcPr>
            <w:tcW w:w="837"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tcW w:w="6034"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满足磋商文件要求且最后报价最低的供应商的价格为磋商基准价，其价格分为满分30分。其他供应商的价格分统一按照下列公式计算：磋商报价得分＝（磋商基准价/最后磋商报价）×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分（保留两位小数，四舍五入）。</w:t>
            </w:r>
            <w:r/>
          </w:p>
        </w:tc>
      </w:tr>
      <w:tr>
        <w:trPr>
          <w:jc w:val="center"/>
          <w:trHeight w:val="477"/>
        </w:trPr>
        <w:tc>
          <w:tcPr>
            <w:gridSpan w:val="4"/>
            <w:tcW w:w="834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二、商务评审（20分）</w:t>
            </w:r>
            <w:r/>
          </w:p>
        </w:tc>
      </w:tr>
      <w:tr>
        <w:trPr>
          <w:jc w:val="center"/>
          <w:trHeight w:val="477"/>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W w:w="85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类似</w:t>
            </w:r>
            <w:r/>
          </w:p>
          <w:p>
            <w:pPr>
              <w:jc w:val="center"/>
              <w:spacing w:line="240" w:lineRule="auto"/>
              <w:rPr>
                <w:rFonts w:ascii="宋体" w:hAnsi="宋体" w:cs="宋体"/>
                <w:color w:val="auto"/>
                <w:szCs w:val="21"/>
                <w:highlight w:val="none"/>
              </w:rPr>
            </w:pPr>
            <w:r>
              <w:rPr>
                <w:rFonts w:hint="eastAsia" w:ascii="宋体" w:hAnsi="宋体" w:cs="宋体"/>
                <w:bCs/>
                <w:color w:val="auto"/>
                <w:szCs w:val="21"/>
                <w:highlight w:val="none"/>
              </w:rPr>
              <w:t xml:space="preserve">业绩</w:t>
            </w:r>
            <w:r/>
          </w:p>
        </w:tc>
        <w:tc>
          <w:tcPr>
            <w:shd w:val="clear" w:color="auto" w:fill="auto"/>
            <w:tcW w:w="837"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auto"/>
            <w:tcW w:w="6034" w:type="dxa"/>
            <w:vAlign w:val="center"/>
            <w:textDirection w:val="lrTb"/>
            <w:noWrap w:val="false"/>
          </w:tcPr>
          <w:p>
            <w:pPr>
              <w:spacing w:line="400" w:lineRule="exact"/>
              <w:rPr>
                <w:rStyle w:val="906"/>
                <w:rFonts w:ascii="宋体" w:hAnsi="宋体" w:cs="宋体"/>
                <w:color w:val="auto"/>
                <w:szCs w:val="21"/>
                <w:highlight w:val="none"/>
              </w:rPr>
            </w:pPr>
            <w:r>
              <w:rPr>
                <w:rStyle w:val="906"/>
                <w:rFonts w:hint="eastAsia" w:ascii="宋体" w:hAnsi="宋体" w:cs="宋体"/>
                <w:color w:val="auto"/>
                <w:szCs w:val="21"/>
                <w:highlight w:val="none"/>
              </w:rPr>
              <w:t xml:space="preserve">从2021年1月1日至今（以合同签订时间为准）供应商具有类似业绩</w:t>
            </w:r>
            <w:bookmarkStart w:id="153" w:name="_GoBack"/>
            <w:r/>
            <w:bookmarkEnd w:id="153"/>
            <w:r>
              <w:rPr>
                <w:rStyle w:val="906"/>
                <w:rFonts w:hint="eastAsia" w:ascii="宋体" w:hAnsi="宋体" w:cs="宋体"/>
                <w:color w:val="auto"/>
                <w:szCs w:val="21"/>
                <w:highlight w:val="none"/>
                <w:lang w:eastAsia="zh-CN"/>
              </w:rPr>
              <w:t xml:space="preserve">（个体防护装备（PPE）领域检测用专用设备）</w:t>
            </w:r>
            <w:r>
              <w:rPr>
                <w:rStyle w:val="906"/>
                <w:rFonts w:hint="eastAsia" w:ascii="宋体" w:hAnsi="宋体" w:cs="宋体"/>
                <w:color w:val="auto"/>
                <w:szCs w:val="21"/>
                <w:highlight w:val="none"/>
              </w:rPr>
              <w:t xml:space="preserve">，每提供1份得5分，最高为10分。</w:t>
            </w:r>
            <w:r/>
          </w:p>
          <w:p>
            <w:pPr>
              <w:spacing w:line="400" w:lineRule="exact"/>
              <w:rPr>
                <w:rFonts w:ascii="宋体" w:hAnsi="宋体" w:cs="宋体"/>
                <w:b/>
                <w:color w:val="auto"/>
                <w:szCs w:val="21"/>
                <w:highlight w:val="none"/>
              </w:rPr>
            </w:pPr>
            <w:r>
              <w:rPr>
                <w:rFonts w:hint="eastAsia" w:ascii="宋体" w:hAnsi="宋体" w:cs="宋体"/>
                <w:b/>
                <w:bCs/>
                <w:color w:val="auto"/>
                <w:sz w:val="22"/>
                <w:szCs w:val="22"/>
                <w:highlight w:val="none"/>
              </w:rPr>
              <w:t xml:space="preserve">注：</w:t>
            </w:r>
            <w:r>
              <w:rPr>
                <w:rStyle w:val="906"/>
                <w:rFonts w:hint="eastAsia" w:ascii="宋体" w:hAnsi="宋体" w:cs="宋体"/>
                <w:b/>
                <w:bCs/>
                <w:color w:val="auto"/>
                <w:szCs w:val="21"/>
                <w:highlight w:val="none"/>
              </w:rPr>
              <w:t xml:space="preserve">提供合同原件扫描件</w:t>
            </w:r>
            <w:r>
              <w:rPr>
                <w:rFonts w:hint="eastAsia" w:ascii="宋体" w:hAnsi="宋体" w:cs="宋体"/>
                <w:b/>
                <w:bCs/>
                <w:color w:val="auto"/>
                <w:sz w:val="22"/>
                <w:szCs w:val="22"/>
                <w:highlight w:val="none"/>
              </w:rPr>
              <w:t xml:space="preserve">及对应合同任意1次</w:t>
            </w:r>
            <w:r>
              <w:rPr>
                <w:rFonts w:hint="eastAsia"/>
                <w:b/>
                <w:bCs/>
                <w:color w:val="auto"/>
                <w:highlight w:val="none"/>
              </w:rPr>
              <w:t xml:space="preserve">合同款</w:t>
            </w:r>
            <w:r>
              <w:rPr>
                <w:rFonts w:hint="eastAsia" w:ascii="宋体" w:hAnsi="宋体" w:cs="宋体"/>
                <w:b/>
                <w:bCs/>
                <w:color w:val="auto"/>
                <w:sz w:val="22"/>
                <w:szCs w:val="22"/>
                <w:highlight w:val="none"/>
              </w:rPr>
              <w:t xml:space="preserve">发票（或</w:t>
            </w:r>
            <w:r>
              <w:rPr>
                <w:rFonts w:hint="eastAsia"/>
                <w:b/>
                <w:bCs/>
                <w:color w:val="auto"/>
                <w:highlight w:val="none"/>
              </w:rPr>
              <w:t xml:space="preserve">银行流水证明）</w:t>
            </w:r>
            <w:r>
              <w:rPr>
                <w:rFonts w:hint="eastAsia" w:ascii="宋体" w:hAnsi="宋体" w:cs="宋体"/>
                <w:b/>
                <w:bCs/>
                <w:color w:val="auto"/>
                <w:sz w:val="22"/>
                <w:szCs w:val="22"/>
                <w:highlight w:val="none"/>
              </w:rPr>
              <w:t xml:space="preserve">扫描件加盖公章上传作为得分依据</w:t>
            </w:r>
            <w:r>
              <w:rPr>
                <w:rStyle w:val="906"/>
                <w:rFonts w:hint="eastAsia" w:ascii="宋体" w:hAnsi="宋体" w:cs="宋体"/>
                <w:b/>
                <w:bCs/>
                <w:color w:val="auto"/>
                <w:szCs w:val="21"/>
                <w:highlight w:val="none"/>
              </w:rPr>
              <w:t xml:space="preserve">，如提供的合同、发票、银行流水证明不能体现业绩内容须提供合同甲方出具的证明材料，未提供或提供不全不得分。</w:t>
            </w:r>
            <w:r/>
          </w:p>
        </w:tc>
      </w:tr>
      <w:tr>
        <w:trPr>
          <w:jc w:val="center"/>
          <w:trHeight w:val="477"/>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W w:w="850" w:type="dxa"/>
            <w:vAlign w:val="center"/>
            <w:textDirection w:val="lrTb"/>
            <w:noWrap w:val="false"/>
          </w:tcPr>
          <w:p>
            <w:pPr>
              <w:jc w:val="center"/>
              <w:spacing w:line="240" w:lineRule="auto"/>
              <w:rPr>
                <w:rFonts w:ascii="宋体" w:hAnsi="宋体" w:cs="宋体"/>
                <w:bCs/>
                <w:color w:val="auto"/>
                <w:sz w:val="22"/>
                <w:szCs w:val="22"/>
                <w:highlight w:val="none"/>
              </w:rPr>
            </w:pPr>
            <w:r>
              <w:rPr>
                <w:rFonts w:hint="eastAsia" w:ascii="宋体" w:hAnsi="宋体" w:cs="宋体"/>
                <w:color w:val="auto"/>
                <w:szCs w:val="21"/>
                <w:highlight w:val="none"/>
              </w:rPr>
              <w:t xml:space="preserve">产品性能</w:t>
            </w:r>
            <w:r/>
          </w:p>
        </w:tc>
        <w:tc>
          <w:tcPr>
            <w:shd w:val="clear" w:color="auto" w:fill="auto"/>
            <w:tcW w:w="837"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auto"/>
            <w:tcW w:w="6034" w:type="dxa"/>
            <w:vAlign w:val="center"/>
            <w:textDirection w:val="lrTb"/>
            <w:noWrap w:val="false"/>
          </w:tcPr>
          <w:p>
            <w:pPr>
              <w:spacing w:line="400" w:lineRule="exact"/>
              <w:rPr>
                <w:color w:val="auto"/>
                <w:highlight w:val="none"/>
              </w:rPr>
            </w:pPr>
            <w:r>
              <w:rPr>
                <w:rFonts w:hint="eastAsia"/>
                <w:color w:val="auto"/>
                <w:highlight w:val="none"/>
              </w:rPr>
              <w:t xml:space="preserve">技术要求的符合性，即对提供货物的技术参数、配置、性能是否符合采购文件要求进行评价。完全符合技术要求的得基本分10分，带“</w:t>
            </w:r>
            <w:r>
              <w:rPr>
                <w:rFonts w:hint="eastAsia" w:ascii="宋体" w:hAnsi="宋体" w:cs="Arial"/>
                <w:bCs/>
                <w:color w:val="auto"/>
                <w:szCs w:val="21"/>
                <w:highlight w:val="none"/>
              </w:rPr>
              <w:t xml:space="preserve">★</w:t>
            </w:r>
            <w:r>
              <w:rPr>
                <w:rFonts w:hint="eastAsia"/>
                <w:color w:val="auto"/>
                <w:highlight w:val="none"/>
              </w:rPr>
              <w:t xml:space="preserve">”参数为关键参数，每有一项负偏离的，扣2分；其他参数为一般参数，每有一项负偏离的，扣1分，扣完为止。</w:t>
            </w:r>
            <w:r/>
          </w:p>
          <w:p>
            <w:pPr>
              <w:spacing w:line="400" w:lineRule="exact"/>
              <w:rPr>
                <w:color w:val="auto"/>
                <w:highlight w:val="none"/>
              </w:rPr>
            </w:pPr>
            <w:r>
              <w:rPr>
                <w:rFonts w:hint="eastAsia"/>
                <w:color w:val="auto"/>
                <w:highlight w:val="none"/>
              </w:rPr>
              <w:t xml:space="preserve">注：产品技术参数证明材料需加盖投标人公章并提供电子扫描件。</w:t>
            </w:r>
            <w:r/>
          </w:p>
        </w:tc>
      </w:tr>
      <w:tr>
        <w:trPr>
          <w:jc w:val="center"/>
          <w:trHeight w:val="454"/>
        </w:trPr>
        <w:tc>
          <w:tcPr>
            <w:gridSpan w:val="4"/>
            <w:tcW w:w="834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三、技术评审（50分）</w:t>
            </w:r>
            <w:r/>
          </w:p>
        </w:tc>
      </w:tr>
      <w:tr>
        <w:trPr>
          <w:jc w:val="center"/>
          <w:trHeight w:val="744"/>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850"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仿宋"/>
                <w:color w:val="auto"/>
                <w:highlight w:val="none"/>
              </w:rPr>
              <w:t xml:space="preserve">实施方案</w:t>
            </w:r>
            <w:r/>
          </w:p>
        </w:tc>
        <w:tc>
          <w:tcPr>
            <w:tcW w:w="837"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auto"/>
            <w:tcW w:w="6034"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项目供货方案：由评审小组根据供应商针对本项目的设备配送和安装方案在以下区间进行独立评价。</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（1）针对本项目的设备配送和安装</w:t>
            </w:r>
            <w:r>
              <w:rPr>
                <w:rFonts w:hint="eastAsia" w:ascii="宋体" w:hAnsi="宋体" w:cs="宋体"/>
                <w:color w:val="auto"/>
                <w:szCs w:val="21"/>
                <w:highlight w:val="none"/>
                <w:lang w:eastAsia="zh-CN"/>
              </w:rPr>
              <w:t xml:space="preserve">方案</w:t>
            </w:r>
            <w:r>
              <w:rPr>
                <w:rFonts w:hint="eastAsia" w:ascii="宋体" w:hAnsi="宋体" w:cs="宋体"/>
                <w:color w:val="auto"/>
                <w:szCs w:val="21"/>
                <w:highlight w:val="none"/>
              </w:rPr>
              <w:t xml:space="preserve">完整、可行、合理得10分；</w:t>
            </w:r>
            <w:r>
              <w:rPr>
                <w:rFonts w:hint="eastAsia" w:ascii="宋体" w:hAnsi="宋体" w:cs="宋体"/>
                <w:color w:val="auto"/>
                <w:szCs w:val="21"/>
                <w:highlight w:val="none"/>
              </w:rPr>
              <w:br/>
            </w:r>
            <w:r>
              <w:rPr>
                <w:rFonts w:hint="eastAsia" w:ascii="宋体" w:hAnsi="宋体" w:cs="宋体"/>
                <w:color w:val="auto"/>
                <w:szCs w:val="21"/>
                <w:highlight w:val="none"/>
              </w:rPr>
              <w:t xml:space="preserve">（2）针对本项目的设备配送和安装方案较完整、可行、合理得7分；</w:t>
            </w:r>
            <w:r>
              <w:rPr>
                <w:rFonts w:hint="eastAsia" w:ascii="宋体" w:hAnsi="宋体" w:cs="宋体"/>
                <w:color w:val="auto"/>
                <w:szCs w:val="21"/>
                <w:highlight w:val="none"/>
              </w:rPr>
              <w:br/>
            </w:r>
            <w:r>
              <w:rPr>
                <w:rFonts w:hint="eastAsia" w:ascii="宋体" w:hAnsi="宋体" w:cs="宋体"/>
                <w:color w:val="auto"/>
                <w:szCs w:val="21"/>
                <w:highlight w:val="none"/>
              </w:rPr>
              <w:t xml:space="preserve">（3）设备配送和安装方案描述简略，仅能满足项目基础要求得4分：</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（4）未提供</w:t>
            </w:r>
            <w:r>
              <w:rPr>
                <w:rFonts w:hint="eastAsia" w:ascii="宋体" w:hAnsi="宋体" w:cs="仿宋"/>
                <w:color w:val="auto"/>
                <w:highlight w:val="none"/>
              </w:rPr>
              <w:t xml:space="preserve">不得分。</w:t>
            </w:r>
            <w:r/>
          </w:p>
        </w:tc>
      </w:tr>
      <w:tr>
        <w:trPr>
          <w:jc w:val="center"/>
          <w:trHeight w:val="744"/>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ffffff"/>
            <w:tcW w:w="850" w:type="dxa"/>
            <w:vAlign w:val="center"/>
            <w:textDirection w:val="lrTb"/>
            <w:noWrap w:val="false"/>
          </w:tcPr>
          <w:p>
            <w:pPr>
              <w:jc w:val="center"/>
              <w:spacing w:line="400" w:lineRule="exact"/>
              <w:rPr>
                <w:rFonts w:ascii="宋体" w:hAnsi="宋体"/>
                <w:color w:val="auto"/>
                <w:highlight w:val="none"/>
              </w:rPr>
            </w:pPr>
            <w:r>
              <w:rPr>
                <w:rFonts w:hint="eastAsia" w:ascii="宋体" w:hAnsi="宋体" w:cs="仿宋"/>
                <w:color w:val="auto"/>
                <w:highlight w:val="none"/>
              </w:rPr>
              <w:t xml:space="preserve">质量保证措施</w:t>
            </w:r>
            <w:r/>
          </w:p>
        </w:tc>
        <w:tc>
          <w:tcPr>
            <w:shd w:val="clear" w:color="auto" w:fill="ffffff"/>
            <w:tcW w:w="837" w:type="dxa"/>
            <w:vAlign w:val="center"/>
            <w:textDirection w:val="lrTb"/>
            <w:noWrap w:val="false"/>
          </w:tcPr>
          <w:p>
            <w:pPr>
              <w:jc w:val="center"/>
              <w:spacing w:line="400" w:lineRule="exact"/>
              <w:rPr>
                <w:rFonts w:ascii="宋体" w:hAnsi="宋体" w:cs="Calibri"/>
                <w:color w:val="auto"/>
                <w:highlight w:val="none"/>
              </w:rPr>
            </w:pPr>
            <w:r>
              <w:rPr>
                <w:rFonts w:hint="eastAsia" w:ascii="宋体" w:hAnsi="宋体" w:cs="Calibri"/>
                <w:color w:val="auto"/>
                <w:highlight w:val="none"/>
              </w:rPr>
              <w:t xml:space="preserve">10分</w:t>
            </w:r>
            <w:r/>
          </w:p>
        </w:tc>
        <w:tc>
          <w:tcPr>
            <w:shd w:val="clear" w:color="auto" w:fill="ffffff"/>
            <w:tcW w:w="6034" w:type="dxa"/>
            <w:vAlign w:val="center"/>
            <w:textDirection w:val="lrTb"/>
            <w:noWrap w:val="false"/>
          </w:tcPr>
          <w:p>
            <w:pPr>
              <w:spacing w:line="400" w:lineRule="exact"/>
              <w:rPr>
                <w:rFonts w:ascii="宋体" w:hAnsi="宋体" w:cs="仿宋"/>
                <w:color w:val="auto"/>
                <w:highlight w:val="none"/>
              </w:rPr>
            </w:pPr>
            <w:r>
              <w:rPr>
                <w:rFonts w:hint="eastAsia" w:ascii="宋体" w:hAnsi="宋体" w:cs="仿宋"/>
                <w:color w:val="auto"/>
                <w:highlight w:val="none"/>
              </w:rPr>
              <w:t xml:space="preserve">由评审小组根据供应商针对本项目的质量保证措施在以下区间内进行独立评价。</w:t>
            </w:r>
            <w:r/>
          </w:p>
          <w:p>
            <w:pPr>
              <w:spacing w:line="400" w:lineRule="exact"/>
              <w:rPr>
                <w:rFonts w:ascii="宋体" w:hAnsi="宋体" w:cs="仿宋"/>
                <w:color w:val="auto"/>
                <w:highlight w:val="none"/>
              </w:rPr>
            </w:pPr>
            <w:r>
              <w:rPr>
                <w:rFonts w:hint="eastAsia" w:ascii="宋体" w:hAnsi="宋体" w:cs="仿宋"/>
                <w:color w:val="auto"/>
                <w:highlight w:val="none"/>
              </w:rPr>
              <w:t xml:space="preserve">（1）质量保证措施全面细致，有针对性、切实可行得10分；</w:t>
            </w:r>
            <w:r/>
          </w:p>
          <w:p>
            <w:pPr>
              <w:spacing w:line="400" w:lineRule="exact"/>
              <w:rPr>
                <w:rFonts w:ascii="宋体" w:hAnsi="宋体" w:cs="仿宋"/>
                <w:color w:val="auto"/>
                <w:highlight w:val="none"/>
              </w:rPr>
            </w:pPr>
            <w:r>
              <w:rPr>
                <w:rFonts w:hint="eastAsia" w:ascii="宋体" w:hAnsi="宋体" w:cs="仿宋"/>
                <w:color w:val="auto"/>
                <w:highlight w:val="none"/>
              </w:rPr>
              <w:t xml:space="preserve">（2）质量保证措施较全面细致，有针对性、切实较行得7分；</w:t>
            </w:r>
            <w:r/>
          </w:p>
          <w:p>
            <w:pPr>
              <w:spacing w:line="400" w:lineRule="exact"/>
              <w:rPr>
                <w:rFonts w:ascii="宋体" w:hAnsi="宋体" w:cs="仿宋"/>
                <w:color w:val="auto"/>
                <w:highlight w:val="none"/>
              </w:rPr>
            </w:pPr>
            <w:r>
              <w:rPr>
                <w:rFonts w:hint="eastAsia" w:ascii="宋体" w:hAnsi="宋体" w:cs="仿宋"/>
                <w:color w:val="auto"/>
                <w:highlight w:val="none"/>
              </w:rPr>
              <w:t xml:space="preserve">（3）质量保证措施描述简略，仅能满足项目实施基础要求得4分；</w:t>
            </w:r>
            <w:r/>
          </w:p>
          <w:p>
            <w:pPr>
              <w:spacing w:line="400" w:lineRule="exact"/>
              <w:rPr>
                <w:rFonts w:ascii="宋体" w:hAnsi="宋体" w:cs="仿宋"/>
                <w:color w:val="auto"/>
                <w:highlight w:val="none"/>
              </w:rPr>
            </w:pPr>
            <w:r>
              <w:rPr>
                <w:rFonts w:hint="eastAsia" w:ascii="宋体" w:hAnsi="宋体" w:cs="仿宋"/>
                <w:color w:val="auto"/>
                <w:highlight w:val="none"/>
              </w:rPr>
              <w:t xml:space="preserve">（4）</w:t>
            </w:r>
            <w:r>
              <w:rPr>
                <w:rFonts w:hint="eastAsia" w:ascii="宋体" w:hAnsi="宋体" w:cs="宋体"/>
                <w:color w:val="auto"/>
                <w:szCs w:val="21"/>
                <w:highlight w:val="none"/>
              </w:rPr>
              <w:t xml:space="preserve">未提供</w:t>
            </w:r>
            <w:r>
              <w:rPr>
                <w:rFonts w:hint="eastAsia" w:ascii="宋体" w:hAnsi="宋体" w:cs="仿宋"/>
                <w:color w:val="auto"/>
                <w:highlight w:val="none"/>
              </w:rPr>
              <w:t xml:space="preserve">不得分。</w:t>
            </w:r>
            <w:r/>
          </w:p>
        </w:tc>
      </w:tr>
      <w:tr>
        <w:trPr>
          <w:jc w:val="center"/>
          <w:trHeight w:val="744"/>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ffffff"/>
            <w:tcW w:w="850" w:type="dxa"/>
            <w:vAlign w:val="center"/>
            <w:textDirection w:val="lrTb"/>
            <w:noWrap w:val="false"/>
          </w:tcPr>
          <w:p>
            <w:pPr>
              <w:jc w:val="center"/>
              <w:spacing w:line="400" w:lineRule="exact"/>
              <w:rPr>
                <w:rFonts w:ascii="宋体" w:hAnsi="宋体" w:cs="仿宋"/>
                <w:color w:val="auto"/>
                <w:highlight w:val="none"/>
              </w:rPr>
            </w:pPr>
            <w:r>
              <w:rPr>
                <w:rFonts w:hint="eastAsia" w:ascii="宋体" w:hAnsi="宋体" w:cs="仿宋"/>
                <w:color w:val="auto"/>
                <w:highlight w:val="none"/>
              </w:rPr>
              <w:t xml:space="preserve">应急响应方案</w:t>
            </w:r>
            <w:r/>
          </w:p>
        </w:tc>
        <w:tc>
          <w:tcPr>
            <w:shd w:val="clear" w:color="auto" w:fill="ffffff"/>
            <w:tcW w:w="837" w:type="dxa"/>
            <w:vAlign w:val="center"/>
            <w:textDirection w:val="lrTb"/>
            <w:noWrap w:val="false"/>
          </w:tcPr>
          <w:p>
            <w:pPr>
              <w:jc w:val="center"/>
              <w:spacing w:line="400" w:lineRule="exact"/>
              <w:rPr>
                <w:rFonts w:ascii="宋体" w:hAnsi="宋体" w:cs="仿宋"/>
                <w:color w:val="auto"/>
                <w:highlight w:val="none"/>
              </w:rPr>
            </w:pPr>
            <w:r>
              <w:rPr>
                <w:rFonts w:hint="eastAsia" w:ascii="宋体" w:hAnsi="宋体" w:cs="仿宋"/>
                <w:color w:val="auto"/>
                <w:highlight w:val="none"/>
              </w:rPr>
              <w:t xml:space="preserve">10分</w:t>
            </w:r>
            <w:r/>
          </w:p>
        </w:tc>
        <w:tc>
          <w:tcPr>
            <w:shd w:val="clear" w:color="auto" w:fill="ffffff"/>
            <w:tcW w:w="6034" w:type="dxa"/>
            <w:vAlign w:val="center"/>
            <w:textDirection w:val="lrTb"/>
            <w:noWrap w:val="false"/>
          </w:tcPr>
          <w:p>
            <w:pPr>
              <w:pStyle w:val="693"/>
              <w:spacing w:after="0" w:line="400" w:lineRule="exact"/>
              <w:rPr>
                <w:rFonts w:ascii="宋体" w:hAnsi="宋体" w:cs="仿宋"/>
                <w:color w:val="auto"/>
                <w:highlight w:val="none"/>
              </w:rPr>
            </w:pPr>
            <w:r>
              <w:rPr>
                <w:rFonts w:hint="eastAsia" w:ascii="宋体" w:hAnsi="宋体" w:cs="仿宋"/>
                <w:color w:val="auto"/>
                <w:highlight w:val="none"/>
              </w:rPr>
              <w:t xml:space="preserve">针对本项目制定应急响应方案：方案内容能充分考虑到设备可能出现的重大故障，规划出合理的应对措施等。</w:t>
            </w:r>
            <w:r/>
          </w:p>
          <w:p>
            <w:pPr>
              <w:pStyle w:val="693"/>
              <w:spacing w:after="0" w:line="400" w:lineRule="exact"/>
              <w:rPr>
                <w:rFonts w:ascii="宋体" w:hAnsi="宋体" w:cs="仿宋"/>
                <w:color w:val="auto"/>
                <w:highlight w:val="none"/>
              </w:rPr>
            </w:pPr>
            <w:r>
              <w:rPr>
                <w:rFonts w:hint="eastAsia" w:ascii="宋体" w:hAnsi="宋体" w:cs="仿宋"/>
                <w:color w:val="auto"/>
                <w:highlight w:val="none"/>
              </w:rPr>
              <w:t xml:space="preserve">（1）应急方案全面详细，合理可行，针对性强的，得10分；</w:t>
            </w:r>
            <w:r/>
          </w:p>
          <w:p>
            <w:pPr>
              <w:pStyle w:val="693"/>
              <w:spacing w:after="0" w:line="400" w:lineRule="exact"/>
              <w:rPr>
                <w:rFonts w:ascii="宋体" w:hAnsi="宋体" w:cs="仿宋"/>
                <w:color w:val="auto"/>
                <w:highlight w:val="none"/>
              </w:rPr>
            </w:pPr>
            <w:r>
              <w:rPr>
                <w:rFonts w:hint="eastAsia" w:ascii="宋体" w:hAnsi="宋体" w:cs="仿宋"/>
                <w:color w:val="auto"/>
                <w:highlight w:val="none"/>
              </w:rPr>
              <w:t xml:space="preserve">（2）应急方案较全面详细，较合理可行，针对性较强，得7分；</w:t>
            </w:r>
            <w:r/>
          </w:p>
          <w:p>
            <w:pPr>
              <w:pStyle w:val="693"/>
              <w:spacing w:after="0" w:line="400" w:lineRule="exact"/>
              <w:rPr>
                <w:rFonts w:ascii="宋体" w:hAnsi="宋体" w:cs="仿宋"/>
                <w:color w:val="auto"/>
                <w:highlight w:val="none"/>
              </w:rPr>
            </w:pPr>
            <w:r>
              <w:rPr>
                <w:rFonts w:hint="eastAsia" w:ascii="宋体" w:hAnsi="宋体" w:cs="仿宋"/>
                <w:color w:val="auto"/>
                <w:highlight w:val="none"/>
              </w:rPr>
              <w:t xml:space="preserve">（3）应急方案合理性一般，针对性一般的，得4分；</w:t>
            </w:r>
            <w:r/>
          </w:p>
          <w:p>
            <w:pPr>
              <w:pStyle w:val="693"/>
              <w:spacing w:after="0" w:line="400" w:lineRule="exact"/>
              <w:rPr>
                <w:rFonts w:ascii="宋体" w:hAnsi="宋体" w:cs="仿宋"/>
                <w:color w:val="auto"/>
                <w:highlight w:val="none"/>
              </w:rPr>
            </w:pPr>
            <w:r>
              <w:rPr>
                <w:rFonts w:hint="eastAsia" w:ascii="宋体" w:hAnsi="宋体" w:cs="仿宋"/>
                <w:color w:val="auto"/>
                <w:highlight w:val="none"/>
              </w:rPr>
              <w:t xml:space="preserve">（4）</w:t>
            </w:r>
            <w:r>
              <w:rPr>
                <w:rFonts w:hint="eastAsia" w:ascii="宋体" w:hAnsi="宋体" w:cs="宋体"/>
                <w:color w:val="auto"/>
                <w:szCs w:val="21"/>
                <w:highlight w:val="none"/>
              </w:rPr>
              <w:t xml:space="preserve">未提供</w:t>
            </w:r>
            <w:r>
              <w:rPr>
                <w:rFonts w:hint="eastAsia" w:ascii="宋体" w:hAnsi="宋体" w:cs="仿宋"/>
                <w:color w:val="auto"/>
                <w:highlight w:val="none"/>
              </w:rPr>
              <w:t xml:space="preserve">不得分。</w:t>
            </w:r>
            <w:r/>
          </w:p>
        </w:tc>
      </w:tr>
      <w:tr>
        <w:trPr>
          <w:jc w:val="center"/>
          <w:trHeight w:val="393"/>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ffffff"/>
            <w:tcW w:w="8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培训方案</w:t>
            </w:r>
            <w:r/>
          </w:p>
        </w:tc>
        <w:tc>
          <w:tcPr>
            <w:shd w:val="clear" w:color="auto" w:fill="ffffff"/>
            <w:tcW w:w="837" w:type="dxa"/>
            <w:vAlign w:val="center"/>
            <w:textDirection w:val="lrTb"/>
            <w:noWrap w:val="false"/>
          </w:tcPr>
          <w:p>
            <w:pPr>
              <w:pStyle w:val="904"/>
              <w:jc w:val="center"/>
              <w:spacing w:before="78" w:line="241"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w:t>
            </w:r>
            <w:r/>
          </w:p>
        </w:tc>
        <w:tc>
          <w:tcPr>
            <w:shd w:val="clear" w:color="auto" w:fill="ffffff"/>
            <w:tcW w:w="6034" w:type="dxa"/>
            <w:textDirection w:val="lrTb"/>
            <w:noWrap w:val="false"/>
          </w:tcPr>
          <w:p>
            <w:pPr>
              <w:pStyle w:val="693"/>
              <w:spacing w:after="0" w:line="400" w:lineRule="exact"/>
              <w:rPr>
                <w:rFonts w:ascii="宋体" w:hAnsi="宋体" w:cs="仿宋"/>
                <w:color w:val="auto"/>
                <w:highlight w:val="none"/>
              </w:rPr>
            </w:pPr>
            <w:r>
              <w:rPr>
                <w:rFonts w:hint="eastAsia" w:ascii="宋体" w:hAnsi="宋体" w:cs="仿宋"/>
                <w:color w:val="auto"/>
                <w:highlight w:val="none"/>
              </w:rPr>
              <w:t xml:space="preserve">针对本项目制定培训方案。方案内容包含但不仅限于在同系列机器上实施新的解决方案，及时向采购人的相关技术人员做好指导或培训工作等。</w:t>
            </w:r>
            <w:r/>
          </w:p>
          <w:p>
            <w:pPr>
              <w:pStyle w:val="693"/>
              <w:spacing w:after="0"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仿宋"/>
                <w:color w:val="auto"/>
                <w:highlight w:val="none"/>
              </w:rPr>
              <w:t xml:space="preserve">方案内容完整的培训方案，合理可行的，得10分；</w:t>
            </w:r>
            <w:r/>
          </w:p>
          <w:p>
            <w:pPr>
              <w:pStyle w:val="693"/>
              <w:spacing w:after="0"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仿宋"/>
                <w:color w:val="auto"/>
                <w:highlight w:val="none"/>
              </w:rPr>
              <w:t xml:space="preserve">方案内容较完整的培训方案，较合理可行的，得7分；</w:t>
            </w:r>
            <w:r/>
          </w:p>
          <w:p>
            <w:pPr>
              <w:pStyle w:val="693"/>
              <w:spacing w:after="0"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仿宋"/>
                <w:color w:val="auto"/>
                <w:highlight w:val="none"/>
              </w:rPr>
              <w:t xml:space="preserve">方案内容一般、可行度一般的，得4分；</w:t>
            </w:r>
            <w:r/>
          </w:p>
          <w:p>
            <w:pPr>
              <w:pStyle w:val="693"/>
              <w:spacing w:after="0"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仿宋"/>
                <w:color w:val="auto"/>
                <w:highlight w:val="none"/>
              </w:rPr>
              <w:t xml:space="preserve">未提供不得分。</w:t>
            </w:r>
            <w:r/>
          </w:p>
        </w:tc>
      </w:tr>
      <w:tr>
        <w:trPr>
          <w:jc w:val="center"/>
          <w:trHeight w:val="90"/>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3.5</w:t>
            </w:r>
            <w:r/>
          </w:p>
        </w:tc>
        <w:tc>
          <w:tcPr>
            <w:shd w:val="clear" w:color="auto" w:fill="auto"/>
            <w:tcW w:w="85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售后服务质保方案</w:t>
            </w:r>
            <w:r/>
          </w:p>
        </w:tc>
        <w:tc>
          <w:tcPr>
            <w:shd w:val="clear" w:color="auto" w:fill="auto"/>
            <w:tcW w:w="837"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5分</w:t>
            </w:r>
            <w:r/>
          </w:p>
        </w:tc>
        <w:tc>
          <w:tcPr>
            <w:shd w:val="clear" w:color="auto" w:fill="auto"/>
            <w:tcW w:w="6034" w:type="dxa"/>
            <w:vAlign w:val="center"/>
            <w:textDirection w:val="lrTb"/>
            <w:noWrap w:val="false"/>
          </w:tcPr>
          <w:p>
            <w:pPr>
              <w:spacing w:line="360" w:lineRule="exact"/>
              <w:tabs>
                <w:tab w:val="left" w:pos="426" w:leader="none"/>
              </w:tabs>
              <w:rPr>
                <w:rFonts w:ascii="宋体" w:hAnsi="宋体" w:cs="宋体"/>
                <w:color w:val="auto"/>
                <w:szCs w:val="21"/>
                <w:highlight w:val="none"/>
              </w:rPr>
            </w:pPr>
            <w:r>
              <w:rPr>
                <w:rFonts w:hint="eastAsia" w:ascii="宋体" w:hAnsi="宋体" w:cs="仿宋"/>
                <w:color w:val="auto"/>
                <w:highlight w:val="none"/>
              </w:rPr>
              <w:t xml:space="preserve">评审小组</w:t>
            </w:r>
            <w:r>
              <w:rPr>
                <w:rFonts w:hint="eastAsia" w:ascii="宋体" w:hAnsi="宋体" w:cs="宋体"/>
                <w:color w:val="auto"/>
                <w:szCs w:val="21"/>
                <w:highlight w:val="none"/>
              </w:rPr>
              <w:t xml:space="preserve">根据供应商提供的</w:t>
            </w:r>
            <w:r>
              <w:rPr>
                <w:rFonts w:hint="eastAsia" w:ascii="宋体" w:hAnsi="宋体" w:cs="宋体"/>
                <w:bCs/>
                <w:color w:val="auto"/>
                <w:szCs w:val="21"/>
                <w:highlight w:val="none"/>
              </w:rPr>
              <w:t xml:space="preserve">售后服务质保方案</w:t>
            </w:r>
            <w:r>
              <w:rPr>
                <w:rFonts w:hint="eastAsia" w:ascii="宋体" w:hAnsi="宋体" w:cs="宋体"/>
                <w:color w:val="auto"/>
                <w:szCs w:val="21"/>
                <w:highlight w:val="none"/>
              </w:rPr>
              <w:t xml:space="preserve">进行综合评审。</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（1）方案完整、合理，工作内容详实的，得5分；</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（2）方案较完整、较合理，工作内容比较详实的，得4分；</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（3）方案基本完整、基本合理，工作内容基本详实的，得3分；</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（4）方案完整性、合理性较差，工作内容不太详尽的，得2分；</w:t>
            </w:r>
            <w:r/>
          </w:p>
          <w:p>
            <w:pPr>
              <w:rPr>
                <w:rFonts w:ascii="宋体" w:hAnsi="宋体" w:cs="宋体"/>
                <w:color w:val="auto"/>
                <w:szCs w:val="21"/>
                <w:highlight w:val="none"/>
                <w:lang w:val="zh-CN"/>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未提供</w:t>
            </w:r>
            <w:r>
              <w:rPr>
                <w:rFonts w:hint="eastAsia" w:ascii="宋体" w:hAnsi="宋体" w:cs="仿宋"/>
                <w:color w:val="auto"/>
                <w:highlight w:val="none"/>
              </w:rPr>
              <w:t xml:space="preserve">不得分。</w:t>
            </w:r>
            <w:r/>
          </w:p>
        </w:tc>
      </w:tr>
      <w:tr>
        <w:trPr>
          <w:jc w:val="center"/>
          <w:trHeight w:val="703"/>
        </w:trPr>
        <w:tc>
          <w:tcPr>
            <w:tcW w:w="622"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3.6</w:t>
            </w:r>
            <w:r/>
          </w:p>
        </w:tc>
        <w:tc>
          <w:tcPr>
            <w:shd w:val="clear" w:color="auto" w:fill="auto"/>
            <w:tcW w:w="85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增值服务</w:t>
            </w:r>
            <w:r/>
          </w:p>
        </w:tc>
        <w:tc>
          <w:tcPr>
            <w:shd w:val="clear" w:color="auto" w:fill="auto"/>
            <w:tcW w:w="837" w:type="dxa"/>
            <w:vAlign w:val="center"/>
            <w:textDirection w:val="lrTb"/>
            <w:noWrap w:val="false"/>
          </w:tcPr>
          <w:p>
            <w:pPr>
              <w:ind w:firstLine="28"/>
              <w:rPr>
                <w:rFonts w:ascii="宋体" w:hAnsi="宋体" w:cs="宋体"/>
                <w:color w:val="auto"/>
                <w:szCs w:val="21"/>
                <w:highlight w:val="none"/>
              </w:rPr>
            </w:pPr>
            <w:r>
              <w:rPr>
                <w:rFonts w:hint="eastAsia" w:ascii="宋体" w:hAnsi="宋体" w:cs="宋体"/>
                <w:color w:val="auto"/>
                <w:szCs w:val="21"/>
                <w:highlight w:val="none"/>
              </w:rPr>
              <w:t xml:space="preserve">5分</w:t>
            </w:r>
            <w:r/>
          </w:p>
        </w:tc>
        <w:tc>
          <w:tcPr>
            <w:shd w:val="clear" w:color="auto" w:fill="auto"/>
            <w:tcW w:w="6034" w:type="dxa"/>
            <w:vAlign w:val="center"/>
            <w:textDirection w:val="lrTb"/>
            <w:noWrap w:val="false"/>
          </w:tcPr>
          <w:p>
            <w:pPr>
              <w:spacing w:line="360" w:lineRule="exact"/>
              <w:tabs>
                <w:tab w:val="left" w:pos="426" w:leader="none"/>
              </w:tabs>
              <w:rPr>
                <w:rFonts w:ascii="宋体" w:hAnsi="宋体" w:cs="宋体"/>
                <w:color w:val="auto"/>
                <w:szCs w:val="21"/>
                <w:highlight w:val="none"/>
              </w:rPr>
            </w:pPr>
            <w:r>
              <w:rPr>
                <w:rFonts w:hint="eastAsia" w:ascii="宋体" w:hAnsi="宋体" w:cs="仿宋"/>
                <w:color w:val="auto"/>
                <w:highlight w:val="none"/>
              </w:rPr>
              <w:t xml:space="preserve">评审小组</w:t>
            </w:r>
            <w:r>
              <w:rPr>
                <w:rFonts w:hint="eastAsia" w:ascii="宋体" w:hAnsi="宋体" w:cs="宋体"/>
                <w:color w:val="auto"/>
                <w:szCs w:val="21"/>
                <w:highlight w:val="none"/>
              </w:rPr>
              <w:t xml:space="preserve">根据供应商提供的增值服务、</w:t>
            </w:r>
            <w:r>
              <w:rPr>
                <w:rFonts w:hint="eastAsia" w:ascii="宋体" w:hAnsi="宋体" w:cs="宋体"/>
                <w:bCs/>
                <w:color w:val="auto"/>
                <w:szCs w:val="21"/>
                <w:highlight w:val="none"/>
              </w:rPr>
              <w:t xml:space="preserve">服务计划及人员安排</w:t>
            </w:r>
            <w:r>
              <w:rPr>
                <w:rFonts w:hint="eastAsia" w:ascii="宋体" w:hAnsi="宋体" w:cs="宋体"/>
                <w:color w:val="auto"/>
                <w:szCs w:val="21"/>
                <w:highlight w:val="none"/>
              </w:rPr>
              <w:t xml:space="preserve">方案进行综合评审。</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（1）方案完整、合理，工作内容详实的，得5分；</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（2）方案较完整、较合理，工作内容比较详实的，得4分；</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（3）方案基本完整、基本合理，工作内容基本详实的，得3分；</w:t>
            </w:r>
            <w:r/>
          </w:p>
          <w:p>
            <w:pPr>
              <w:spacing w:line="340" w:lineRule="exact"/>
              <w:rPr>
                <w:rFonts w:ascii="宋体" w:hAnsi="宋体" w:cs="宋体"/>
                <w:bCs/>
                <w:color w:val="auto"/>
                <w:szCs w:val="21"/>
                <w:highlight w:val="none"/>
              </w:rPr>
            </w:pPr>
            <w:r>
              <w:rPr>
                <w:rFonts w:hint="eastAsia" w:ascii="宋体" w:hAnsi="宋体" w:cs="宋体"/>
                <w:bCs/>
                <w:color w:val="auto"/>
                <w:szCs w:val="21"/>
                <w:highlight w:val="none"/>
              </w:rPr>
              <w:t xml:space="preserve">（4）方案完整性、合理性较差，工作内容不太详尽的，得2分；</w:t>
            </w:r>
            <w:r/>
          </w:p>
          <w:p>
            <w:pPr>
              <w:spacing w:line="360" w:lineRule="exact"/>
              <w:tabs>
                <w:tab w:val="left" w:pos="426" w:leader="none"/>
              </w:tabs>
              <w:rPr>
                <w:rFonts w:ascii="宋体" w:hAnsi="宋体" w:cs="宋体"/>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未提供</w:t>
            </w:r>
            <w:r>
              <w:rPr>
                <w:rFonts w:hint="eastAsia" w:ascii="宋体" w:hAnsi="宋体" w:cs="仿宋"/>
                <w:color w:val="auto"/>
                <w:highlight w:val="none"/>
              </w:rPr>
              <w:t xml:space="preserve">不得分。</w:t>
            </w:r>
            <w:r/>
          </w:p>
        </w:tc>
      </w:tr>
      <w:tr>
        <w:trPr>
          <w:jc w:val="center"/>
          <w:trHeight w:val="703"/>
        </w:trPr>
        <w:tc>
          <w:tcPr>
            <w:gridSpan w:val="4"/>
            <w:tcW w:w="8343"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b/>
                <w:bCs/>
                <w:color w:val="auto"/>
                <w:sz w:val="22"/>
                <w:szCs w:val="22"/>
                <w:highlight w:val="none"/>
              </w:rPr>
              <w:t xml:space="preserve">注：3.1至3.6技术部分方案的总页数不得超过100页（不包含封面及目录），否则每超过一页扣1分（扣分分值从“增值服务”分值中扣除，扣完为止）。</w:t>
            </w:r>
            <w:r/>
          </w:p>
        </w:tc>
      </w:tr>
    </w:tbl>
    <w:p>
      <w:pPr>
        <w:spacing w:line="400" w:lineRule="exact"/>
        <w:rPr>
          <w:rFonts w:ascii="宋体" w:hAnsi="宋体" w:cs="宋体"/>
          <w:b/>
          <w:color w:val="auto"/>
          <w:highlight w:val="none"/>
        </w:rPr>
      </w:pPr>
      <w:r>
        <w:rPr>
          <w:rFonts w:hint="eastAsia" w:ascii="宋体" w:hAnsi="宋体" w:cs="宋体"/>
          <w:b/>
          <w:color w:val="auto"/>
          <w:highlight w:val="none"/>
        </w:rPr>
        <w:t xml:space="preserve">注：</w:t>
      </w:r>
      <w:r/>
    </w:p>
    <w:p>
      <w:pPr>
        <w:ind w:firstLine="420"/>
        <w:spacing w:line="520" w:lineRule="exact"/>
        <w:rPr>
          <w:rFonts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2.响应文件中如出现前后不一致时，磋商小组有权请磋商供应商澄清说明，澄清说明事项涉及评分时，该项不得分。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3.磋商供应商承诺所提供的商务、技术、业绩资料全部真实，如有伪造，视作磋商供应商自动放弃投标及成交资格，并视作磋商供应商自愿接受相关处罚。</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4.磋商报价超过最高限价的，不得进入评标程序。</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6.供应商应根据国家政策调整规律进行报价，充分考虑服务期内的市场因素和成本变化状况的风险。</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spacing w:line="520" w:lineRule="exact"/>
        <w:rPr>
          <w:rFonts w:ascii="宋体" w:hAnsi="宋体" w:cs="宋体"/>
          <w:color w:val="auto"/>
          <w:highlight w:val="none"/>
        </w:rPr>
      </w:pPr>
      <w:r>
        <w:rPr>
          <w:rFonts w:hint="eastAsia" w:ascii="宋体" w:hAnsi="宋体" w:cs="宋体"/>
          <w:color w:val="auto"/>
          <w:highlight w:val="none"/>
        </w:rPr>
        <w:t xml:space="preserve">8.本办法未尽事宜，由磋商小组依据有关法规研究解决。</w:t>
      </w:r>
      <w:r/>
    </w:p>
    <w:p>
      <w:pPr>
        <w:rPr>
          <w:rFonts w:ascii="宋体" w:hAnsi="宋体" w:cs="宋体"/>
          <w:color w:val="auto"/>
          <w:highlight w:val="none"/>
        </w:rPr>
      </w:pPr>
      <w:r>
        <w:rPr>
          <w:rFonts w:hint="eastAsia" w:ascii="宋体" w:hAnsi="宋体" w:cs="宋体"/>
          <w:color w:val="auto"/>
          <w:highlight w:val="none"/>
        </w:rPr>
        <w:br w:type="page" w:clear="all"/>
      </w:r>
      <w:r/>
    </w:p>
    <w:p>
      <w:pPr>
        <w:pStyle w:val="865"/>
        <w:jc w:val="center"/>
        <w:keepNext w:val="0"/>
        <w:rPr>
          <w:rFonts w:ascii="黑体" w:hAnsi="黑体" w:eastAsia="黑体" w:cs="黑体"/>
          <w:color w:val="auto"/>
          <w:sz w:val="32"/>
          <w:szCs w:val="32"/>
          <w:highlight w:val="none"/>
        </w:rPr>
      </w:pPr>
      <w:r/>
      <w:bookmarkStart w:id="118" w:name="_Toc29253"/>
      <w:r>
        <w:rPr>
          <w:rFonts w:hint="eastAsia" w:ascii="黑体" w:hAnsi="黑体" w:eastAsia="黑体" w:cs="黑体"/>
          <w:color w:val="auto"/>
          <w:sz w:val="32"/>
          <w:szCs w:val="32"/>
          <w:highlight w:val="none"/>
        </w:rPr>
        <w:t xml:space="preserve">第六章 响应文件的组成和格式</w:t>
      </w:r>
      <w:bookmarkEnd w:id="118"/>
      <w:r/>
      <w:r/>
    </w:p>
    <w:p>
      <w:pPr>
        <w:rPr>
          <w:rFonts w:ascii="宋体" w:hAnsi="宋体" w:cs="宋体"/>
          <w:color w:val="auto"/>
          <w:highlight w:val="none"/>
        </w:rPr>
      </w:pPr>
      <w:r>
        <w:rPr>
          <w:rFonts w:ascii="宋体" w:hAnsi="宋体" w:cs="宋体"/>
          <w:color w:val="auto"/>
          <w:highlight w:val="none"/>
        </w:rPr>
      </w:r>
      <w:r/>
    </w:p>
    <w:p>
      <w:pPr>
        <w:pStyle w:val="897"/>
        <w:rPr>
          <w:rFonts w:hAnsi="宋体" w:eastAsia="宋体"/>
          <w:color w:val="auto"/>
          <w:highlight w:val="none"/>
        </w:rPr>
      </w:pPr>
      <w:r>
        <w:rPr>
          <w:rFonts w:hAnsi="宋体" w:eastAsia="宋体"/>
          <w:color w:val="auto"/>
          <w:highlight w:val="none"/>
        </w:rPr>
      </w:r>
      <w:r/>
    </w:p>
    <w:p>
      <w:pPr>
        <w:pStyle w:val="897"/>
        <w:rPr>
          <w:rFonts w:hAnsi="宋体" w:eastAsia="宋体"/>
          <w:color w:val="auto"/>
          <w:highlight w:val="none"/>
        </w:rPr>
      </w:pPr>
      <w:r>
        <w:rPr>
          <w:rFonts w:hAnsi="宋体" w:eastAsia="宋体"/>
          <w:color w:val="auto"/>
          <w:highlight w:val="none"/>
        </w:rPr>
      </w:r>
      <w:r/>
    </w:p>
    <w:p>
      <w:pPr>
        <w:pStyle w:val="897"/>
        <w:rPr>
          <w:rFonts w:hAnsi="宋体" w:eastAsia="宋体"/>
          <w:color w:val="auto"/>
          <w:highlight w:val="none"/>
        </w:rPr>
      </w:pPr>
      <w:r>
        <w:rPr>
          <w:rFonts w:hAnsi="宋体" w:eastAsia="宋体"/>
          <w:color w:val="auto"/>
          <w:highlight w:val="none"/>
        </w:rPr>
      </w:r>
      <w:r/>
    </w:p>
    <w:p>
      <w:pPr>
        <w:pStyle w:val="897"/>
        <w:rPr>
          <w:rFonts w:hAnsi="宋体" w:eastAsia="宋体"/>
          <w:color w:val="auto"/>
          <w:highlight w:val="none"/>
        </w:rPr>
      </w:pPr>
      <w:r>
        <w:rPr>
          <w:rFonts w:hAnsi="宋体" w:eastAsia="宋体"/>
          <w:color w:val="auto"/>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889"/>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72"/>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89"/>
        <w:rPr>
          <w:rFonts w:ascii="宋体" w:hAnsi="宋体" w:cs="宋体"/>
          <w:color w:val="auto"/>
          <w:highlight w:val="none"/>
        </w:rPr>
      </w:pPr>
      <w:r>
        <w:rPr>
          <w:rFonts w:hint="eastAsia" w:ascii="宋体" w:hAnsi="宋体" w:cs="宋体"/>
          <w:color w:val="auto"/>
          <w:highlight w:val="none"/>
        </w:rPr>
        <w:t xml:space="preserve">项目名称：</w:t>
      </w:r>
      <w:r/>
    </w:p>
    <w:p>
      <w:pPr>
        <w:pStyle w:val="889"/>
        <w:rPr>
          <w:rFonts w:ascii="宋体" w:hAnsi="宋体" w:cs="宋体"/>
          <w:color w:val="auto"/>
          <w:highlight w:val="none"/>
        </w:rPr>
      </w:pPr>
      <w:r>
        <w:rPr>
          <w:rFonts w:hint="eastAsia" w:ascii="宋体" w:hAnsi="宋体" w:cs="宋体"/>
          <w:color w:val="auto"/>
          <w:highlight w:val="none"/>
        </w:rPr>
        <w:t xml:space="preserve">项目编号： </w:t>
      </w:r>
      <w:r/>
    </w:p>
    <w:p>
      <w:pPr>
        <w:pStyle w:val="889"/>
        <w:rPr>
          <w:rFonts w:ascii="宋体" w:hAnsi="宋体" w:cs="宋体"/>
          <w:color w:val="auto"/>
          <w:highlight w:val="none"/>
        </w:rPr>
      </w:pPr>
      <w:r>
        <w:rPr>
          <w:rFonts w:hint="eastAsia" w:ascii="宋体" w:hAnsi="宋体" w:cs="宋体"/>
          <w:color w:val="auto"/>
          <w:highlight w:val="none"/>
        </w:rPr>
        <w:t xml:space="preserve">供应商名称 ：（加盖CA电子公章）</w:t>
      </w:r>
      <w:r/>
    </w:p>
    <w:p>
      <w:pPr>
        <w:pStyle w:val="889"/>
        <w:rPr>
          <w:rFonts w:ascii="宋体" w:hAnsi="宋体" w:cs="宋体"/>
          <w:color w:val="auto"/>
          <w:sz w:val="21"/>
          <w:highlight w:val="none"/>
        </w:rPr>
      </w:pPr>
      <w:r>
        <w:rPr>
          <w:rFonts w:hint="eastAsia" w:ascii="宋体" w:hAnsi="宋体" w:cs="宋体"/>
          <w:color w:val="auto"/>
          <w:highlight w:val="none"/>
        </w:rPr>
        <w:t xml:space="preserve">日期 ：</w:t>
      </w:r>
      <w:r/>
    </w:p>
    <w:p>
      <w:pPr>
        <w:pStyle w:val="889"/>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32"/>
          <w:szCs w:val="32"/>
          <w:highlight w:val="none"/>
        </w:rPr>
      </w:pPr>
      <w:r>
        <w:rPr>
          <w:rFonts w:hint="eastAsia" w:ascii="宋体" w:hAnsi="宋体" w:cs="宋体"/>
          <w:color w:val="auto"/>
          <w:highlight w:val="none"/>
        </w:rPr>
        <w:br w:type="page" w:clear="all"/>
      </w:r>
      <w:r>
        <w:rPr>
          <w:rFonts w:hint="eastAsia" w:ascii="宋体" w:hAnsi="宋体" w:cs="宋体"/>
          <w:color w:val="auto"/>
          <w:sz w:val="32"/>
          <w:szCs w:val="32"/>
          <w:highlight w:val="none"/>
        </w:rPr>
        <w:t xml:space="preserve">磋商报价表</w:t>
      </w:r>
      <w:r/>
    </w:p>
    <w:p>
      <w:pPr>
        <w:pStyle w:val="898"/>
        <w:ind w:firstLine="48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98"/>
        <w:ind w:firstLine="0"/>
        <w:spacing w:before="0" w:after="0" w:line="24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本次为首次报价                          货币单位：人民币元</w:t>
      </w:r>
      <w:r/>
    </w:p>
    <w:p>
      <w:pPr>
        <w:pStyle w:val="898"/>
        <w:ind w:firstLine="0"/>
        <w:spacing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68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73"/>
        <w:gridCol w:w="2406"/>
        <w:gridCol w:w="2937"/>
      </w:tblGrid>
      <w:tr>
        <w:trPr>
          <w:cantSplit/>
          <w:jc w:val="center"/>
          <w:trHeight w:val="1182"/>
        </w:trPr>
        <w:tc>
          <w:tcPr>
            <w:tcBorders>
              <w:top w:val="single" w:color="000000" w:sz="6" w:space="0"/>
            </w:tcBorders>
            <w:tcW w:w="3293" w:type="dxa"/>
            <w:vAlign w:val="center"/>
            <w:textDirection w:val="lrTb"/>
            <w:noWrap w:val="false"/>
          </w:tcPr>
          <w:p>
            <w:pPr>
              <w:pStyle w:val="886"/>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509" w:type="dxa"/>
            <w:vAlign w:val="center"/>
            <w:textDirection w:val="lrTb"/>
            <w:noWrap w:val="false"/>
          </w:tcPr>
          <w:p>
            <w:pPr>
              <w:pStyle w:val="886"/>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3056" w:type="dxa"/>
            <w:vAlign w:val="center"/>
            <w:textDirection w:val="lrTb"/>
            <w:noWrap w:val="false"/>
          </w:tcPr>
          <w:p>
            <w:pPr>
              <w:pStyle w:val="886"/>
              <w:jc w:val="center"/>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293" w:type="dxa"/>
            <w:vAlign w:val="center"/>
            <w:textDirection w:val="lrTb"/>
            <w:noWrap w:val="false"/>
          </w:tcPr>
          <w:p>
            <w:pPr>
              <w:pStyle w:val="886"/>
              <w:jc w:val="center"/>
              <w:rPr>
                <w:rFonts w:ascii="宋体" w:hAnsi="宋体" w:cs="宋体"/>
                <w:color w:val="auto"/>
                <w:szCs w:val="21"/>
                <w:highlight w:val="none"/>
              </w:rPr>
            </w:pPr>
            <w:r>
              <w:rPr>
                <w:rFonts w:ascii="宋体" w:hAnsi="宋体" w:cs="宋体"/>
                <w:color w:val="auto"/>
                <w:szCs w:val="21"/>
                <w:highlight w:val="none"/>
              </w:rPr>
            </w:r>
            <w:r/>
          </w:p>
        </w:tc>
        <w:tc>
          <w:tcPr>
            <w:tcW w:w="2509" w:type="dxa"/>
            <w:vAlign w:val="center"/>
            <w:textDirection w:val="lrTb"/>
            <w:noWrap w:val="false"/>
          </w:tcPr>
          <w:p>
            <w:pPr>
              <w:pStyle w:val="886"/>
              <w:jc w:val="center"/>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3056" w:type="dxa"/>
            <w:vAlign w:val="center"/>
            <w:textDirection w:val="lrTb"/>
            <w:noWrap w:val="false"/>
          </w:tcPr>
          <w:p>
            <w:pPr>
              <w:pStyle w:val="886"/>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35"/>
        </w:trPr>
        <w:tc>
          <w:tcPr>
            <w:tcW w:w="3293" w:type="dxa"/>
            <w:vAlign w:val="center"/>
            <w:textDirection w:val="lrTb"/>
            <w:noWrap w:val="false"/>
          </w:tcPr>
          <w:p>
            <w:pPr>
              <w:pStyle w:val="886"/>
              <w:jc w:val="center"/>
              <w:rPr>
                <w:rFonts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565" w:type="dxa"/>
            <w:vAlign w:val="center"/>
            <w:textDirection w:val="lrTb"/>
            <w:noWrap w:val="false"/>
          </w:tcPr>
          <w:p>
            <w:pPr>
              <w:pStyle w:val="886"/>
              <w:jc w:val="center"/>
              <w:rPr>
                <w:rFonts w:ascii="宋体" w:hAnsi="宋体" w:cs="宋体"/>
                <w:color w:val="auto"/>
                <w:szCs w:val="21"/>
                <w:highlight w:val="none"/>
              </w:rPr>
            </w:pPr>
            <w:r>
              <w:rPr>
                <w:rFonts w:ascii="宋体" w:hAnsi="宋体" w:cs="宋体"/>
                <w:color w:val="auto"/>
                <w:szCs w:val="21"/>
                <w:highlight w:val="none"/>
              </w:rPr>
            </w:r>
            <w:r/>
          </w:p>
        </w:tc>
      </w:tr>
    </w:tbl>
    <w:p>
      <w:pPr>
        <w:pStyle w:val="898"/>
        <w:ind w:firstLine="420"/>
        <w:spacing w:line="360" w:lineRule="auto"/>
        <w:widowControl w:val="off"/>
        <w:rPr>
          <w:rFonts w:ascii="宋体" w:hAnsi="宋体" w:eastAsia="宋体" w:cs="宋体"/>
          <w:color w:val="auto"/>
          <w:highlight w:val="none"/>
        </w:rPr>
      </w:pPr>
      <w:r>
        <w:rPr>
          <w:rFonts w:ascii="宋体" w:hAnsi="宋体" w:eastAsia="宋体" w:cs="宋体"/>
          <w:color w:val="auto"/>
          <w:highlight w:val="none"/>
        </w:rPr>
      </w:r>
      <w:r/>
    </w:p>
    <w:p>
      <w:pPr>
        <w:pStyle w:val="898"/>
        <w:ind w:firstLine="420"/>
        <w:spacing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供应商（电子签章）：</w:t>
      </w:r>
      <w:r/>
    </w:p>
    <w:p>
      <w:pPr>
        <w:rPr>
          <w:rFonts w:ascii="宋体" w:hAnsi="宋体" w:cs="宋体"/>
          <w:color w:val="auto"/>
          <w:highlight w:val="none"/>
        </w:rPr>
      </w:pPr>
      <w:r>
        <w:rPr>
          <w:rFonts w:hint="eastAsia" w:ascii="宋体" w:hAnsi="宋体" w:cs="宋体"/>
          <w:color w:val="auto"/>
          <w:highlight w:val="none"/>
        </w:rPr>
        <w:br w:type="page" w:clear="all"/>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分项报价表</w:t>
      </w:r>
      <w:r/>
    </w:p>
    <w:p>
      <w:pPr>
        <w:pStyle w:val="710"/>
        <w:jc w:val="both"/>
        <w:spacing w:beforeAutospacing="0" w:afterAutospacing="0"/>
        <w:rPr>
          <w:rFonts w:ascii="宋体" w:hAnsi="宋体" w:cs="宋体"/>
          <w:color w:val="auto"/>
          <w:sz w:val="21"/>
          <w:szCs w:val="21"/>
          <w:highlight w:val="none"/>
        </w:rPr>
      </w:pPr>
      <w:r>
        <w:rPr>
          <w:rFonts w:hint="eastAsia" w:ascii="宋体" w:hAnsi="宋体" w:cs="宋体"/>
          <w:color w:val="auto"/>
          <w:sz w:val="21"/>
          <w:szCs w:val="21"/>
          <w:highlight w:val="none"/>
        </w:rPr>
        <w:t xml:space="preserve">采购项目编号：                                             单位：元（人民币）</w:t>
      </w:r>
      <w:r/>
    </w:p>
    <w:tbl>
      <w:tblPr>
        <w:tblStyle w:val="689"/>
        <w:tblW w:w="9295" w:type="dxa"/>
        <w:jc w:val="center"/>
        <w:tblCellSpacing w:w="0" w:type="dxa"/>
        <w:tblLayout w:type="autofit"/>
        <w:tblCellMar>
          <w:left w:w="15" w:type="dxa"/>
          <w:top w:w="15" w:type="dxa"/>
          <w:right w:w="15" w:type="dxa"/>
          <w:bottom w:w="0" w:type="dxa"/>
        </w:tblCellMar>
        <w:tblLook w:val="04A0" w:firstRow="1" w:lastRow="0" w:firstColumn="1" w:lastColumn="0" w:noHBand="0" w:noVBand="1"/>
      </w:tblPr>
      <w:tblGrid>
        <w:gridCol w:w="689"/>
        <w:gridCol w:w="675"/>
        <w:gridCol w:w="2213"/>
        <w:gridCol w:w="673"/>
        <w:gridCol w:w="944"/>
        <w:gridCol w:w="981"/>
        <w:gridCol w:w="1251"/>
        <w:gridCol w:w="1869"/>
      </w:tblGrid>
      <w:tr>
        <w:trPr>
          <w:jc w:val="center"/>
          <w:tblCellSpacing w:w="0" w:type="dxa"/>
          <w:trHeight w:val="401"/>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名称</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品牌及规格型号</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数量</w:t>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产地</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质保期</w:t>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单报价</w:t>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center"/>
              <w:spacing w:before="5" w:beforeAutospacing="0" w:afterAutospacing="0" w:line="24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分项总报价</w:t>
            </w:r>
            <w:r/>
          </w:p>
        </w:tc>
      </w:tr>
      <w:tr>
        <w:trPr>
          <w:jc w:val="center"/>
          <w:tblCellSpacing w:w="0" w:type="dxa"/>
          <w:trHeight w:val="401"/>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5" w:beforeAutospacing="0" w:afterAutospacing="0" w:line="240" w:lineRule="auto"/>
              <w:tabs>
                <w:tab w:val="left" w:pos="420" w:leader="none"/>
                <w:tab w:val="left" w:pos="4156" w:leader="none"/>
                <w:tab w:val="left" w:pos="7149" w:leader="none"/>
                <w:tab w:val="left" w:pos="8313" w:leader="none"/>
                <w:tab w:val="left" w:pos="14298"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tabs>
                <w:tab w:val="left" w:pos="420" w:leader="none"/>
                <w:tab w:val="left" w:pos="4156" w:leader="none"/>
                <w:tab w:val="left" w:pos="7149" w:leader="none"/>
                <w:tab w:val="left" w:pos="8313" w:leader="none"/>
                <w:tab w:val="left" w:pos="14298" w:leader="none"/>
              </w:tabs>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auto"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89"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5"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221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395"/>
        </w:trPr>
        <w:tc>
          <w:tcPr>
            <w:gridSpan w:val="3"/>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577"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总报价（小写）</w:t>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non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blCellSpacing w:w="0" w:type="dxa"/>
          <w:trHeight w:val="408"/>
        </w:trPr>
        <w:tc>
          <w:tcPr>
            <w:gridSpan w:val="3"/>
            <w:shd w:val="clear" w:color="auto" w:fill="auto"/>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3577"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总报价（大写）</w:t>
            </w:r>
            <w:r/>
          </w:p>
        </w:tc>
        <w:tc>
          <w:tcPr>
            <w:shd w:val="clear" w:color="auto" w:fill="auto"/>
            <w:tcBorders>
              <w:top w:val="single" w:color="000000" w:sz="4" w:space="0"/>
              <w:left w:val="single" w:color="auto" w:sz="4" w:space="0"/>
              <w:bottom w:val="single" w:color="000000" w:sz="4" w:space="0"/>
              <w:right w:val="none" w:color="000000" w:sz="4" w:space="0"/>
            </w:tcBorders>
            <w:tcMar>
              <w:left w:w="-1" w:type="dxa"/>
              <w:top w:w="-1" w:type="dxa"/>
              <w:right w:w="-1" w:type="dxa"/>
              <w:bottom w:w="-1" w:type="dxa"/>
            </w:tcMar>
            <w:tcW w:w="673"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none" w:color="000000" w:sz="4" w:space="0"/>
            </w:tcBorders>
            <w:tcMar>
              <w:left w:w="108" w:type="dxa"/>
              <w:top w:w="-1" w:type="dxa"/>
              <w:right w:w="108" w:type="dxa"/>
              <w:bottom w:w="-1" w:type="dxa"/>
            </w:tcMar>
            <w:tcW w:w="944"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none" w:color="000000" w:sz="4" w:space="0"/>
            </w:tcBorders>
            <w:tcMar>
              <w:left w:w="-1" w:type="dxa"/>
              <w:top w:w="-1" w:type="dxa"/>
              <w:right w:w="-1" w:type="dxa"/>
              <w:bottom w:w="-1" w:type="dxa"/>
            </w:tcMar>
            <w:tcW w:w="98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none" w:color="000000" w:sz="4" w:space="0"/>
            </w:tcBorders>
            <w:tcMar>
              <w:left w:w="108" w:type="dxa"/>
              <w:top w:w="-1" w:type="dxa"/>
              <w:right w:w="108" w:type="dxa"/>
              <w:bottom w:w="-1" w:type="dxa"/>
            </w:tcMar>
            <w:tcW w:w="1251" w:type="dxa"/>
            <w:vAlign w:val="center"/>
            <w:textDirection w:val="lrTb"/>
            <w:noWrap w:val="false"/>
          </w:tcPr>
          <w:p>
            <w:pPr>
              <w:pStyle w:val="710"/>
              <w:jc w:val="center"/>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 w:type="dxa"/>
              <w:right w:w="108" w:type="dxa"/>
              <w:bottom w:w="-1" w:type="dxa"/>
            </w:tcMar>
            <w:tcW w:w="1869" w:type="dxa"/>
            <w:vAlign w:val="center"/>
            <w:textDirection w:val="lrTb"/>
            <w:noWrap w:val="false"/>
          </w:tcPr>
          <w:p>
            <w:pPr>
              <w:pStyle w:val="710"/>
              <w:jc w:val="right"/>
              <w:spacing w:beforeAutospacing="0" w:afterAutospacing="0" w:line="24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867"/>
        <w:rPr>
          <w:rFonts w:ascii="宋体" w:hAnsi="宋体" w:cs="宋体"/>
          <w:color w:val="auto"/>
          <w:highlight w:val="none"/>
        </w:rPr>
      </w:pPr>
      <w:r>
        <w:rPr>
          <w:rFonts w:ascii="宋体" w:hAnsi="宋体" w:cs="宋体"/>
          <w:color w:val="auto"/>
          <w:highlight w:val="none"/>
        </w:rPr>
      </w:r>
      <w:r/>
    </w:p>
    <w:p>
      <w:pPr>
        <w:pStyle w:val="867"/>
        <w:jc w:val="right"/>
        <w:rPr>
          <w:rFonts w:ascii="宋体" w:hAnsi="宋体" w:cs="宋体"/>
          <w:color w:val="auto"/>
          <w:highlight w:val="none"/>
        </w:rPr>
      </w:pPr>
      <w:r>
        <w:rPr>
          <w:rFonts w:hint="eastAsia" w:ascii="宋体" w:hAnsi="宋体" w:cs="宋体"/>
          <w:color w:val="auto"/>
          <w:highlight w:val="none"/>
        </w:rPr>
        <w:t xml:space="preserve">供应商（加盖CA电子章）：</w:t>
      </w:r>
      <w:r/>
    </w:p>
    <w:p>
      <w:pPr>
        <w:pStyle w:val="867"/>
        <w:jc w:val="right"/>
        <w:rPr>
          <w:rFonts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867"/>
        <w:jc w:val="right"/>
        <w:rPr>
          <w:rFonts w:ascii="宋体" w:hAnsi="宋体" w:cs="宋体"/>
          <w:color w:val="auto"/>
          <w:highlight w:val="none"/>
        </w:rPr>
      </w:pPr>
      <w:r>
        <w:rPr>
          <w:rFonts w:hint="eastAsia" w:ascii="宋体" w:hAnsi="宋体" w:cs="宋体"/>
          <w:color w:val="auto"/>
          <w:highlight w:val="none"/>
        </w:rPr>
        <w:t xml:space="preserve">日  期：</w:t>
      </w:r>
      <w:r/>
    </w:p>
    <w:p>
      <w:pPr>
        <w:pStyle w:val="710"/>
        <w:jc w:val="both"/>
        <w:spacing w:beforeAutospacing="0" w:afterAutospacing="0"/>
        <w:rPr>
          <w:rFonts w:ascii="宋体" w:hAnsi="宋体" w:cs="宋体"/>
          <w:color w:val="auto"/>
          <w:sz w:val="21"/>
          <w:szCs w:val="21"/>
          <w:highlight w:val="none"/>
        </w:rPr>
      </w:pPr>
      <w:r>
        <w:rPr>
          <w:rFonts w:ascii="宋体" w:hAnsi="宋体" w:cs="宋体"/>
          <w:color w:val="auto"/>
          <w:sz w:val="21"/>
          <w:szCs w:val="21"/>
          <w:highlight w:val="none"/>
        </w:rPr>
      </w:r>
      <w:r/>
    </w:p>
    <w:p>
      <w:pPr>
        <w:pStyle w:val="710"/>
        <w:jc w:val="both"/>
        <w:spacing w:beforeAutospacing="0" w:afterAutospacing="0"/>
        <w:rPr>
          <w:rFonts w:ascii="宋体" w:hAnsi="宋体" w:cs="宋体"/>
          <w:color w:val="auto"/>
          <w:sz w:val="21"/>
          <w:szCs w:val="21"/>
          <w:highlight w:val="none"/>
        </w:rPr>
      </w:pPr>
      <w:r>
        <w:rPr>
          <w:rFonts w:hint="eastAsia" w:ascii="宋体" w:hAnsi="宋体" w:cs="宋体"/>
          <w:color w:val="auto"/>
          <w:sz w:val="21"/>
          <w:szCs w:val="21"/>
          <w:highlight w:val="none"/>
        </w:rPr>
        <w:t xml:space="preserve">备注：1.供应商的“总报价”应包括所投产品费用、安装调试费、测试验收费、培训费、运行维护费用、税金、国际国内运输保险、报关清关、开证、办理全套免税手续费用及其他有关的为完成本项目发生的所有费用，磋商文件中另有规定的除外。</w:t>
      </w:r>
      <w:r/>
    </w:p>
    <w:p>
      <w:pPr>
        <w:pStyle w:val="898"/>
        <w:ind w:firstLine="420"/>
        <w:spacing w:line="360" w:lineRule="auto"/>
        <w:widowControl w:val="off"/>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eastAsia="宋体" w:cs="宋体"/>
          <w:color w:val="auto"/>
          <w:sz w:val="24"/>
          <w:szCs w:val="24"/>
          <w:highlight w:val="none"/>
          <w:lang w:val="en-US" w:eastAsia="zh-CN" w:bidi="ar-SA"/>
        </w:rPr>
        <w:t xml:space="preserve">附件1 </w:t>
      </w:r>
      <w:r>
        <w:rPr>
          <w:rFonts w:hint="eastAsia" w:ascii="宋体" w:hAnsi="宋体" w:cs="宋体"/>
          <w:color w:val="auto"/>
          <w:highlight w:val="none"/>
        </w:rPr>
        <w:t xml:space="preserve">：</w:t>
      </w:r>
      <w:r/>
    </w:p>
    <w:p>
      <w:pPr>
        <w:jc w:val="center"/>
        <w:rPr>
          <w:rFonts w:ascii="宋体" w:hAnsi="宋体" w:cs="宋体"/>
          <w:color w:val="auto"/>
          <w:sz w:val="32"/>
          <w:szCs w:val="32"/>
          <w:highlight w:val="none"/>
        </w:rPr>
      </w:pPr>
      <w:r/>
      <w:bookmarkStart w:id="119" w:name="_Toc541"/>
      <w:r>
        <w:rPr>
          <w:rFonts w:hint="eastAsia" w:ascii="宋体" w:hAnsi="宋体" w:cs="宋体"/>
          <w:color w:val="auto"/>
          <w:sz w:val="32"/>
          <w:szCs w:val="32"/>
          <w:highlight w:val="none"/>
        </w:rPr>
        <w:t xml:space="preserve">法定代表人资格证明书</w:t>
      </w:r>
      <w:bookmarkEnd w:id="119"/>
      <w:r/>
      <w:r/>
    </w:p>
    <w:p>
      <w:pPr>
        <w:pStyle w:val="887"/>
        <w:rPr>
          <w:rFonts w:ascii="宋体" w:hAnsi="宋体" w:eastAsia="宋体"/>
          <w:color w:val="auto"/>
          <w:highlight w:val="none"/>
        </w:rPr>
      </w:pPr>
      <w:r>
        <w:rPr>
          <w:rFonts w:ascii="宋体" w:hAnsi="宋体" w:eastAsia="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887"/>
        <w:ind w:firstLine="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供应商（加盖CA电子章）：</w:t>
      </w:r>
      <w:r/>
    </w:p>
    <w:p>
      <w:pPr>
        <w:pStyle w:val="867"/>
        <w:rPr>
          <w:rFonts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867"/>
        <w:rPr>
          <w:rFonts w:ascii="宋体" w:hAnsi="宋体" w:cs="宋体"/>
          <w:color w:val="auto"/>
          <w:highlight w:val="none"/>
        </w:rPr>
      </w:pPr>
      <w:r>
        <w:rPr>
          <w:rFonts w:hint="eastAsia" w:ascii="宋体" w:hAnsi="宋体" w:cs="宋体"/>
          <w:color w:val="auto"/>
          <w:highlight w:val="none"/>
        </w:rPr>
        <w:t xml:space="preserve">日  期：</w:t>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867"/>
        <w:rPr>
          <w:rFonts w:ascii="宋体" w:hAnsi="宋体" w:cs="宋体"/>
          <w:color w:val="auto"/>
          <w:highlight w:val="none"/>
        </w:rPr>
      </w:pPr>
      <w:r>
        <w:rPr>
          <w:rFonts w:ascii="宋体" w:hAnsi="宋体" w:cs="宋体"/>
          <w:color w:val="auto"/>
          <w:highlight w:val="none"/>
        </w:rPr>
      </w:r>
      <w:r/>
    </w:p>
    <w:tbl>
      <w:tblPr>
        <w:tblStyle w:val="689"/>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加</w:t>
            </w:r>
            <w:r/>
          </w:p>
          <w:p>
            <w:pPr>
              <w:rPr>
                <w:rFonts w:ascii="宋体" w:hAnsi="宋体" w:cs="宋体"/>
                <w:color w:val="auto"/>
                <w:highlight w:val="none"/>
              </w:rPr>
            </w:pPr>
            <w:r>
              <w:rPr>
                <w:rFonts w:hint="eastAsia" w:ascii="宋体" w:hAnsi="宋体" w:cs="宋体"/>
                <w:color w:val="auto"/>
                <w:highlight w:val="none"/>
              </w:rPr>
              <w:t xml:space="preserve">盖</w:t>
            </w:r>
            <w:r/>
          </w:p>
          <w:p>
            <w:pPr>
              <w:rPr>
                <w:rFonts w:ascii="宋体" w:hAnsi="宋体" w:cs="宋体"/>
                <w:color w:val="auto"/>
                <w:highlight w:val="none"/>
              </w:rPr>
            </w:pPr>
            <w:r>
              <w:rPr>
                <w:rFonts w:hint="eastAsia" w:ascii="宋体" w:hAnsi="宋体" w:cs="宋体"/>
                <w:color w:val="auto"/>
                <w:highlight w:val="none"/>
              </w:rPr>
              <w:t xml:space="preserve">CA</w:t>
            </w:r>
            <w:r/>
          </w:p>
          <w:p>
            <w:pPr>
              <w:rPr>
                <w:rFonts w:ascii="宋体" w:hAnsi="宋体" w:cs="宋体"/>
                <w:color w:val="auto"/>
                <w:highlight w:val="none"/>
              </w:rPr>
            </w:pPr>
            <w:r>
              <w:rPr>
                <w:rFonts w:hint="eastAsia" w:ascii="宋体" w:hAnsi="宋体" w:cs="宋体"/>
                <w:color w:val="auto"/>
                <w:highlight w:val="none"/>
              </w:rPr>
              <w:t xml:space="preserve">电</w:t>
            </w:r>
            <w:r/>
          </w:p>
          <w:p>
            <w:pPr>
              <w:rPr>
                <w:rFonts w:ascii="宋体" w:hAnsi="宋体" w:cs="宋体"/>
                <w:color w:val="auto"/>
                <w:highlight w:val="none"/>
              </w:rPr>
            </w:pPr>
            <w:r>
              <w:rPr>
                <w:rFonts w:hint="eastAsia" w:ascii="宋体" w:hAnsi="宋体" w:cs="宋体"/>
                <w:color w:val="auto"/>
                <w:highlight w:val="none"/>
              </w:rPr>
              <w:t xml:space="preserve">子</w:t>
            </w:r>
            <w:r/>
          </w:p>
          <w:p>
            <w:pPr>
              <w:rPr>
                <w:rFonts w:ascii="宋体" w:hAnsi="宋体" w:cs="宋体"/>
                <w:color w:val="auto"/>
                <w:highlight w:val="none"/>
              </w:rPr>
            </w:pPr>
            <w:r>
              <w:rPr>
                <w:rFonts w:hint="eastAsia" w:ascii="宋体" w:hAnsi="宋体" w:cs="宋体"/>
                <w:color w:val="auto"/>
                <w:highlight w:val="none"/>
              </w:rPr>
              <w:t xml:space="preserve">章</w:t>
            </w:r>
            <w:r/>
          </w:p>
          <w:p>
            <w:pPr>
              <w:pStyle w:val="867"/>
              <w:rPr>
                <w:rFonts w:ascii="宋体" w:hAnsi="宋体" w:cs="宋体"/>
                <w:color w:val="auto"/>
                <w:highlight w:val="none"/>
              </w:rPr>
            </w:pPr>
            <w:r>
              <w:rPr>
                <w:rFonts w:ascii="宋体" w:hAnsi="宋体" w:cs="宋体"/>
                <w:color w:val="auto"/>
                <w:highlight w:val="none"/>
              </w:rPr>
            </w:r>
            <w:r/>
          </w:p>
        </w:tc>
        <w:tc>
          <w:tcPr>
            <w:tcW w:w="4207" w:type="dxa"/>
            <w:textDirection w:val="lrTb"/>
            <w:noWrap w:val="false"/>
          </w:tcPr>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867"/>
              <w:rPr>
                <w:rFonts w:ascii="宋体" w:hAnsi="宋体" w:cs="宋体"/>
                <w:color w:val="auto"/>
                <w:highlight w:val="none"/>
              </w:rPr>
            </w:pPr>
            <w:r>
              <w:rPr>
                <w:rFonts w:ascii="宋体" w:hAnsi="宋体" w:cs="宋体"/>
                <w:color w:val="auto"/>
                <w:highlight w:val="none"/>
              </w:rPr>
            </w:r>
            <w:r/>
          </w:p>
        </w:tc>
      </w:tr>
    </w:tbl>
    <w:p>
      <w:pPr>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873"/>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bookmarkStart w:id="120" w:name="_Toc10173"/>
      <w:r/>
      <w:bookmarkStart w:id="121" w:name="_Toc3508"/>
      <w:r/>
      <w:bookmarkStart w:id="122" w:name="_Toc27742"/>
      <w:r/>
      <w:bookmarkStart w:id="123" w:name="_Toc7422"/>
      <w:r>
        <w:rPr>
          <w:rFonts w:hint="eastAsia" w:ascii="宋体" w:hAnsi="宋体" w:cs="宋体"/>
          <w:color w:val="auto"/>
          <w:sz w:val="24"/>
          <w:highlight w:val="none"/>
        </w:rPr>
        <w:t xml:space="preserve">附件2：</w:t>
      </w:r>
      <w:bookmarkEnd w:id="120"/>
      <w:r/>
      <w:bookmarkEnd w:id="121"/>
      <w:r/>
      <w:bookmarkEnd w:id="122"/>
      <w:r/>
      <w:bookmarkEnd w:id="123"/>
      <w:r>
        <w:rPr>
          <w:rFonts w:hint="eastAsia" w:ascii="宋体" w:hAnsi="宋体" w:cs="宋体"/>
          <w:color w:val="auto"/>
          <w:sz w:val="24"/>
          <w:highlight w:val="none"/>
        </w:rPr>
        <w:t xml:space="preserve"> </w:t>
      </w:r>
      <w:r/>
    </w:p>
    <w:p>
      <w:pPr>
        <w:jc w:val="center"/>
        <w:rPr>
          <w:rFonts w:ascii="宋体" w:hAnsi="宋体" w:cs="宋体"/>
          <w:color w:val="auto"/>
          <w:sz w:val="32"/>
          <w:szCs w:val="32"/>
          <w:highlight w:val="none"/>
        </w:rPr>
      </w:pPr>
      <w:r/>
      <w:bookmarkStart w:id="124" w:name="_Toc24313"/>
      <w:r/>
      <w:bookmarkStart w:id="125" w:name="_Toc30840"/>
      <w:r/>
      <w:bookmarkStart w:id="126" w:name="_Toc17493"/>
      <w:r/>
      <w:bookmarkStart w:id="127" w:name="_Toc32139"/>
      <w:r>
        <w:rPr>
          <w:rFonts w:hint="eastAsia" w:ascii="宋体" w:hAnsi="宋体" w:cs="宋体"/>
          <w:color w:val="auto"/>
          <w:sz w:val="32"/>
          <w:szCs w:val="32"/>
          <w:highlight w:val="none"/>
        </w:rPr>
        <w:t xml:space="preserve">法定代表人授权委托书</w:t>
      </w:r>
      <w:bookmarkEnd w:id="124"/>
      <w:r/>
      <w:bookmarkEnd w:id="125"/>
      <w:r/>
      <w:bookmarkEnd w:id="126"/>
      <w:r/>
      <w:bookmarkEnd w:id="127"/>
      <w:r/>
      <w:r/>
    </w:p>
    <w:p>
      <w:pPr>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（采购人名称）</w:t>
      </w:r>
      <w:r>
        <w:rPr>
          <w:rFonts w:hint="eastAsia" w:ascii="宋体" w:hAnsi="宋体" w:cs="宋体"/>
          <w:color w:val="auto"/>
          <w:szCs w:val="21"/>
          <w:highlight w:val="none"/>
        </w:rPr>
        <w:t xml:space="preserve">：</w:t>
      </w:r>
      <w:r/>
    </w:p>
    <w:p>
      <w:pPr>
        <w:pStyle w:val="90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0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rPr>
          <w:rFonts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rPr>
          <w:rFonts w:ascii="宋体" w:hAnsi="宋体" w:cs="宋体"/>
          <w:color w:val="auto"/>
          <w:highlight w:val="none"/>
        </w:rPr>
      </w:pPr>
      <w:r>
        <w:rPr>
          <w:rFonts w:hint="eastAsia" w:ascii="宋体" w:hAnsi="宋体" w:cs="宋体"/>
          <w:color w:val="auto"/>
          <w:highlight w:val="none"/>
        </w:rPr>
        <w:t xml:space="preserve">被授权代表情况：</w:t>
      </w:r>
      <w:r/>
    </w:p>
    <w:p>
      <w:pPr>
        <w:rPr>
          <w:rFonts w:ascii="宋体" w:hAnsi="宋体" w:cs="宋体"/>
          <w:color w:val="auto"/>
          <w:highlight w:val="none"/>
        </w:rPr>
      </w:pPr>
      <w:r>
        <w:rPr>
          <w:rFonts w:hint="eastAsia" w:ascii="宋体" w:hAnsi="宋体" w:cs="宋体"/>
          <w:color w:val="auto"/>
          <w:highlight w:val="none"/>
        </w:rPr>
        <w:t xml:space="preserve">姓名：                       性别：                    电话：               </w:t>
      </w:r>
      <w:r/>
    </w:p>
    <w:p>
      <w:pPr>
        <w:rPr>
          <w:rFonts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tbl>
      <w:tblPr>
        <w:tblStyle w:val="689"/>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授权代表身份证正面复印件</w:t>
            </w:r>
            <w:r/>
          </w:p>
          <w:p>
            <w:pPr>
              <w:pStyle w:val="867"/>
              <w:rPr>
                <w:rFonts w:ascii="宋体" w:hAnsi="宋体" w:cs="宋体"/>
                <w:color w:val="auto"/>
                <w:highlight w:val="none"/>
              </w:rPr>
            </w:pPr>
            <w:r>
              <w:rPr>
                <w:rFonts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867"/>
              <w:spacing w:line="360" w:lineRule="exact"/>
              <w:rPr>
                <w:rFonts w:ascii="宋体" w:hAnsi="宋体" w:cs="宋体"/>
                <w:color w:val="auto"/>
                <w:highlight w:val="none"/>
              </w:rPr>
            </w:pPr>
            <w:r>
              <w:rPr>
                <w:rFonts w:ascii="宋体" w:hAnsi="宋体" w:cs="宋体"/>
                <w:color w:val="auto"/>
                <w:highlight w:val="none"/>
              </w:rPr>
            </w:r>
            <w:r/>
          </w:p>
          <w:p>
            <w:pPr>
              <w:spacing w:line="360" w:lineRule="exact"/>
              <w:rPr>
                <w:rFonts w:ascii="宋体" w:hAnsi="宋体" w:cs="宋体"/>
                <w:color w:val="auto"/>
                <w:highlight w:val="none"/>
              </w:rPr>
            </w:pPr>
            <w:r>
              <w:rPr>
                <w:rFonts w:hint="eastAsia" w:ascii="宋体" w:hAnsi="宋体" w:cs="宋体"/>
                <w:color w:val="auto"/>
                <w:highlight w:val="none"/>
              </w:rPr>
              <w:t xml:space="preserve">加</w:t>
            </w:r>
            <w:r/>
          </w:p>
          <w:p>
            <w:pPr>
              <w:spacing w:line="360" w:lineRule="exact"/>
              <w:rPr>
                <w:rFonts w:ascii="宋体" w:hAnsi="宋体" w:cs="宋体"/>
                <w:color w:val="auto"/>
                <w:highlight w:val="none"/>
              </w:rPr>
            </w:pPr>
            <w:r>
              <w:rPr>
                <w:rFonts w:hint="eastAsia" w:ascii="宋体" w:hAnsi="宋体" w:cs="宋体"/>
                <w:color w:val="auto"/>
                <w:highlight w:val="none"/>
              </w:rPr>
              <w:t xml:space="preserve">盖</w:t>
            </w:r>
            <w:r/>
          </w:p>
          <w:p>
            <w:pPr>
              <w:spacing w:line="360" w:lineRule="exact"/>
              <w:rPr>
                <w:rFonts w:ascii="宋体" w:hAnsi="宋体" w:cs="宋体"/>
                <w:color w:val="auto"/>
                <w:highlight w:val="none"/>
              </w:rPr>
            </w:pPr>
            <w:r>
              <w:rPr>
                <w:rFonts w:hint="eastAsia" w:ascii="宋体" w:hAnsi="宋体" w:cs="宋体"/>
                <w:color w:val="auto"/>
                <w:highlight w:val="none"/>
              </w:rPr>
              <w:t xml:space="preserve">CA</w:t>
            </w:r>
            <w:r/>
          </w:p>
          <w:p>
            <w:pPr>
              <w:spacing w:line="360" w:lineRule="exact"/>
              <w:rPr>
                <w:rFonts w:ascii="宋体" w:hAnsi="宋体" w:cs="宋体"/>
                <w:color w:val="auto"/>
                <w:highlight w:val="none"/>
              </w:rPr>
            </w:pPr>
            <w:r>
              <w:rPr>
                <w:rFonts w:hint="eastAsia" w:ascii="宋体" w:hAnsi="宋体" w:cs="宋体"/>
                <w:color w:val="auto"/>
                <w:highlight w:val="none"/>
              </w:rPr>
              <w:t xml:space="preserve">电</w:t>
            </w:r>
            <w:r/>
          </w:p>
          <w:p>
            <w:pPr>
              <w:spacing w:line="360" w:lineRule="exact"/>
              <w:rPr>
                <w:rFonts w:ascii="宋体" w:hAnsi="宋体" w:cs="宋体"/>
                <w:color w:val="auto"/>
                <w:highlight w:val="none"/>
              </w:rPr>
            </w:pPr>
            <w:r>
              <w:rPr>
                <w:rFonts w:hint="eastAsia" w:ascii="宋体" w:hAnsi="宋体" w:cs="宋体"/>
                <w:color w:val="auto"/>
                <w:highlight w:val="none"/>
              </w:rPr>
              <w:t xml:space="preserve">子</w:t>
            </w:r>
            <w:r/>
          </w:p>
          <w:p>
            <w:pPr>
              <w:spacing w:line="360" w:lineRule="exact"/>
              <w:rPr>
                <w:rFonts w:ascii="宋体" w:hAnsi="宋体" w:cs="宋体"/>
                <w:color w:val="auto"/>
                <w:highlight w:val="none"/>
              </w:rPr>
            </w:pPr>
            <w:r>
              <w:rPr>
                <w:rFonts w:hint="eastAsia" w:ascii="宋体" w:hAnsi="宋体" w:cs="宋体"/>
                <w:color w:val="auto"/>
                <w:highlight w:val="none"/>
              </w:rPr>
              <w:t xml:space="preserve">章</w:t>
            </w:r>
            <w:r/>
          </w:p>
          <w:p>
            <w:pPr>
              <w:pStyle w:val="867"/>
              <w:spacing w:line="360" w:lineRule="exact"/>
              <w:rPr>
                <w:rFonts w:ascii="宋体" w:hAnsi="宋体" w:cs="宋体"/>
                <w:color w:val="auto"/>
                <w:highlight w:val="none"/>
              </w:rPr>
            </w:pPr>
            <w:r>
              <w:rPr>
                <w:rFonts w:ascii="宋体" w:hAnsi="宋体" w:cs="宋体"/>
                <w:color w:val="auto"/>
                <w:highlight w:val="none"/>
              </w:rPr>
            </w:r>
            <w:r/>
          </w:p>
        </w:tc>
        <w:tc>
          <w:tcPr>
            <w:tcW w:w="3827" w:type="dxa"/>
            <w:textDirection w:val="lrTb"/>
            <w:noWrap w:val="false"/>
          </w:tcPr>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授权代表身份证反面复印件</w:t>
            </w:r>
            <w:r/>
          </w:p>
          <w:p>
            <w:pPr>
              <w:pStyle w:val="867"/>
              <w:rPr>
                <w:rFonts w:ascii="宋体" w:hAnsi="宋体" w:cs="宋体"/>
                <w:color w:val="auto"/>
                <w:highlight w:val="none"/>
              </w:rPr>
            </w:pPr>
            <w:r>
              <w:rPr>
                <w:rFonts w:ascii="宋体" w:hAnsi="宋体" w:cs="宋体"/>
                <w:color w:val="auto"/>
                <w:highlight w:val="none"/>
              </w:rPr>
            </w:r>
            <w:r/>
          </w:p>
        </w:tc>
      </w:tr>
    </w:tbl>
    <w:p>
      <w:pPr>
        <w:rPr>
          <w:rFonts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rPr>
          <w:rFonts w:ascii="宋体" w:hAnsi="宋体" w:cs="宋体"/>
          <w:color w:val="auto"/>
          <w:highlight w:val="none"/>
        </w:rPr>
      </w:pPr>
      <w:r>
        <w:rPr>
          <w:rFonts w:ascii="宋体" w:hAnsi="宋体" w:cs="宋体"/>
          <w:color w:val="auto"/>
          <w:highlight w:val="none"/>
        </w:rPr>
      </w:r>
      <w:r/>
    </w:p>
    <w:p>
      <w:pPr>
        <w:pStyle w:val="867"/>
        <w:rPr>
          <w:rFonts w:ascii="宋体" w:hAnsi="宋体" w:cs="宋体"/>
          <w:color w:val="auto"/>
          <w:highlight w:val="none"/>
        </w:rPr>
      </w:pPr>
      <w:r>
        <w:rPr>
          <w:rFonts w:hint="eastAsia" w:ascii="宋体" w:hAnsi="宋体" w:cs="宋体"/>
          <w:color w:val="auto"/>
          <w:highlight w:val="none"/>
        </w:rPr>
        <w:t xml:space="preserve">供应商（加盖CA电子章）：</w:t>
      </w:r>
      <w:r/>
    </w:p>
    <w:p>
      <w:pPr>
        <w:pStyle w:val="867"/>
        <w:rPr>
          <w:rFonts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867"/>
        <w:rPr>
          <w:rFonts w:ascii="宋体" w:hAnsi="宋体" w:cs="宋体"/>
          <w:color w:val="auto"/>
          <w:highlight w:val="none"/>
        </w:rPr>
      </w:pPr>
      <w:r>
        <w:rPr>
          <w:rFonts w:hint="eastAsia" w:ascii="宋体" w:hAnsi="宋体" w:cs="宋体"/>
          <w:color w:val="auto"/>
          <w:highlight w:val="none"/>
        </w:rPr>
        <w:t xml:space="preserve">日  期：</w:t>
      </w:r>
      <w:r/>
    </w:p>
    <w:p>
      <w:pPr>
        <w:rPr>
          <w:rFonts w:ascii="宋体" w:hAnsi="宋体" w:cs="宋体"/>
          <w:color w:val="auto"/>
          <w:highlight w:val="none"/>
        </w:rPr>
      </w:pPr>
      <w:r>
        <w:rPr>
          <w:rFonts w:hint="eastAsia" w:ascii="宋体" w:hAnsi="宋体" w:cs="宋体"/>
          <w:color w:val="auto"/>
          <w:highlight w:val="none"/>
        </w:rPr>
        <w:br w:type="page" w:clear="all"/>
      </w:r>
      <w:bookmarkStart w:id="128" w:name="_Toc22640"/>
      <w:r>
        <w:rPr>
          <w:rFonts w:hint="eastAsia" w:ascii="宋体" w:hAnsi="宋体" w:eastAsia="宋体" w:cs="宋体"/>
          <w:color w:val="auto"/>
          <w:sz w:val="24"/>
          <w:szCs w:val="24"/>
          <w:highlight w:val="none"/>
          <w:lang w:val="en-US" w:eastAsia="zh-CN" w:bidi="ar-SA"/>
        </w:rPr>
        <w:t xml:space="preserve">附件3 ：</w:t>
      </w:r>
      <w:bookmarkEnd w:id="128"/>
      <w:r/>
      <w:r/>
    </w:p>
    <w:p>
      <w:pPr>
        <w:pStyle w:val="900"/>
        <w:rPr>
          <w:rFonts w:ascii="宋体" w:hAnsi="宋体" w:cs="宋体"/>
          <w:color w:val="auto"/>
          <w:highlight w:val="none"/>
        </w:rPr>
      </w:pPr>
      <w:r>
        <w:rPr>
          <w:rFonts w:ascii="宋体" w:hAnsi="宋体" w:cs="宋体"/>
          <w:color w:val="auto"/>
          <w:highlight w:val="none"/>
        </w:rPr>
      </w:r>
      <w:r/>
    </w:p>
    <w:p>
      <w:pPr>
        <w:pStyle w:val="900"/>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00"/>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rPr>
          <w:rFonts w:ascii="宋体" w:hAnsi="宋体" w:cs="宋体"/>
          <w:color w:val="auto"/>
          <w:highlight w:val="none"/>
        </w:rPr>
      </w:pPr>
      <w:r>
        <w:rPr>
          <w:rFonts w:ascii="宋体" w:hAnsi="宋体" w:cs="宋体"/>
          <w:color w:val="auto"/>
          <w:highlight w:val="none"/>
        </w:rPr>
      </w:r>
      <w:r/>
    </w:p>
    <w:p>
      <w:pPr>
        <w:pStyle w:val="867"/>
        <w:jc w:val="right"/>
        <w:rPr>
          <w:rFonts w:ascii="宋体" w:hAnsi="宋体" w:cs="宋体"/>
          <w:color w:val="auto"/>
          <w:highlight w:val="none"/>
        </w:rPr>
      </w:pPr>
      <w:r>
        <w:rPr>
          <w:rFonts w:hint="eastAsia" w:ascii="宋体" w:hAnsi="宋体" w:cs="宋体"/>
          <w:color w:val="auto"/>
          <w:highlight w:val="none"/>
        </w:rPr>
        <w:t xml:space="preserve">供应商（加盖CA电子章）：</w:t>
      </w:r>
      <w:r/>
    </w:p>
    <w:p>
      <w:pPr>
        <w:pStyle w:val="867"/>
        <w:jc w:val="right"/>
        <w:rPr>
          <w:rFonts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867"/>
        <w:jc w:val="right"/>
        <w:rPr>
          <w:rFonts w:ascii="宋体" w:hAnsi="宋体" w:cs="宋体"/>
          <w:color w:val="auto"/>
          <w:highlight w:val="none"/>
        </w:rPr>
      </w:pPr>
      <w:r>
        <w:rPr>
          <w:rFonts w:hint="eastAsia" w:ascii="宋体" w:hAnsi="宋体" w:cs="宋体"/>
          <w:color w:val="auto"/>
          <w:highlight w:val="none"/>
        </w:rPr>
        <w:t xml:space="preserve">日  期：</w:t>
      </w:r>
      <w:r/>
    </w:p>
    <w:p>
      <w:pPr>
        <w:rPr>
          <w:rFonts w:ascii="宋体" w:hAnsi="宋体" w:cs="宋体"/>
          <w:color w:val="auto"/>
          <w:highlight w:val="none"/>
        </w:rPr>
      </w:pPr>
      <w:r>
        <w:rPr>
          <w:rFonts w:hint="eastAsia" w:ascii="宋体" w:hAnsi="宋体" w:cs="宋体"/>
          <w:color w:val="auto"/>
          <w:highlight w:val="none"/>
        </w:rPr>
        <w:br w:type="page" w:clear="all"/>
      </w:r>
      <w:bookmarkStart w:id="129" w:name="_Toc28534"/>
      <w:r/>
      <w:bookmarkStart w:id="130" w:name="_Toc20864"/>
      <w:r/>
      <w:bookmarkStart w:id="131" w:name="_Toc3595"/>
      <w:r/>
      <w:bookmarkStart w:id="132" w:name="_Toc14753"/>
      <w:r>
        <w:rPr>
          <w:rFonts w:hint="eastAsia" w:ascii="宋体" w:hAnsi="宋体" w:eastAsia="宋体" w:cs="宋体"/>
          <w:color w:val="auto"/>
          <w:sz w:val="24"/>
          <w:szCs w:val="24"/>
          <w:highlight w:val="none"/>
          <w:lang w:val="en-US" w:eastAsia="zh-CN" w:bidi="ar-SA"/>
        </w:rPr>
        <w:t xml:space="preserve">附件4：</w:t>
      </w:r>
      <w:bookmarkEnd w:id="129"/>
      <w:r/>
      <w:bookmarkEnd w:id="130"/>
      <w:r/>
      <w:bookmarkEnd w:id="131"/>
      <w:r/>
      <w:bookmarkEnd w:id="132"/>
      <w:r>
        <w:rPr>
          <w:rFonts w:hint="eastAsia" w:ascii="宋体" w:hAnsi="宋体" w:cs="宋体"/>
          <w:color w:val="auto"/>
          <w:highlight w:val="none"/>
        </w:rPr>
        <w:t xml:space="preserve"> </w:t>
      </w:r>
      <w:r/>
    </w:p>
    <w:p>
      <w:pPr>
        <w:pStyle w:val="880"/>
        <w:jc w:val="center"/>
        <w:widowControl w:val="off"/>
        <w:rPr>
          <w:color w:val="auto"/>
          <w:sz w:val="32"/>
          <w:szCs w:val="32"/>
          <w:highlight w:val="none"/>
        </w:rPr>
      </w:pPr>
      <w:r>
        <w:rPr>
          <w:rFonts w:hint="eastAsia"/>
          <w:color w:val="auto"/>
          <w:sz w:val="32"/>
          <w:szCs w:val="32"/>
          <w:highlight w:val="none"/>
        </w:rPr>
        <w:t xml:space="preserve">中小企业声明函(货物)</w:t>
      </w:r>
      <w:r/>
    </w:p>
    <w:p>
      <w:pPr>
        <w:ind w:firstLine="480"/>
        <w:spacing w:line="240" w:lineRule="auto"/>
        <w:rPr>
          <w:rFonts w:ascii="宋体" w:hAnsi="宋体" w:cs="楷体"/>
          <w:color w:val="auto"/>
          <w:szCs w:val="21"/>
          <w:highlight w:val="none"/>
        </w:rPr>
      </w:pPr>
      <w:r>
        <w:rPr>
          <w:rFonts w:hint="eastAsia" w:ascii="宋体" w:hAnsi="宋体" w:cs="楷体"/>
          <w:color w:val="auto"/>
          <w:szCs w:val="21"/>
          <w:highlight w:val="none"/>
        </w:rPr>
        <w:t xml:space="preserve">本公司（联合体）郑重申明,根据《政府采购促进中小企业发展管理办法》（财库</w:t>
      </w:r>
      <w:r>
        <w:rPr>
          <w:rFonts w:hint="eastAsia" w:ascii="宋体" w:hAnsi="宋体" w:cs="楷体"/>
          <w:color w:val="auto"/>
          <w:szCs w:val="21"/>
          <w:highlight w:val="none"/>
          <w:lang w:eastAsia="zh-CN"/>
        </w:rPr>
        <w:t xml:space="preserve">〔2020〕46号</w:t>
      </w:r>
      <w:r>
        <w:rPr>
          <w:rFonts w:hint="eastAsia" w:ascii="宋体" w:hAnsi="宋体" w:cs="楷体"/>
          <w:color w:val="auto"/>
          <w:szCs w:val="21"/>
          <w:highlight w:val="none"/>
        </w:rPr>
        <w:t xml:space="preserve">）的规定，本公司（联合体）参加</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 xml:space="preserve">（采购单位名称）的</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 xml:space="preserve">（项目名称）采购活动，提供的货物全部由符合政策要求的中小企业制造。相关企业（含联合体中的中小企业、签订分包意向协议的中小企业）的具体情况如下：</w:t>
      </w:r>
      <w:r/>
    </w:p>
    <w:p>
      <w:pPr>
        <w:pStyle w:val="898"/>
        <w:ind w:firstLine="480"/>
        <w:spacing w:before="0" w:after="0" w:line="240" w:lineRule="auto"/>
        <w:rPr>
          <w:rFonts w:ascii="宋体" w:hAnsi="宋体" w:eastAsia="宋体" w:cs="楷体"/>
          <w:color w:val="auto"/>
          <w:highlight w:val="none"/>
        </w:rPr>
      </w:pPr>
      <w:r>
        <w:rPr>
          <w:rFonts w:hint="eastAsia" w:ascii="宋体" w:hAnsi="宋体" w:eastAsia="宋体" w:cs="楷体"/>
          <w:color w:val="auto"/>
          <w:highlight w:val="none"/>
        </w:rPr>
        <w:t xml:space="preserve">1、</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（标的名称），属于</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（磋商文件中明确的所属行业）；制造商为</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（企业名称），从业人员</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人，营业收入为</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万元，资产总额为</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万元，属于</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（中型企业、小型企业、微型企业）。</w:t>
      </w:r>
      <w:r/>
    </w:p>
    <w:p>
      <w:pPr>
        <w:pStyle w:val="898"/>
        <w:ind w:firstLine="480"/>
        <w:spacing w:before="0" w:after="0" w:line="240" w:lineRule="auto"/>
        <w:rPr>
          <w:rFonts w:ascii="宋体" w:hAnsi="宋体" w:eastAsia="宋体" w:cs="楷体"/>
          <w:color w:val="auto"/>
          <w:highlight w:val="none"/>
        </w:rPr>
      </w:pPr>
      <w:r>
        <w:rPr>
          <w:rFonts w:hint="eastAsia" w:ascii="宋体" w:hAnsi="宋体" w:eastAsia="宋体" w:cs="楷体"/>
          <w:color w:val="auto"/>
          <w:highlight w:val="none"/>
        </w:rPr>
        <w:t xml:space="preserve">2、</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（标的名称），属于</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（磋商文件中明确的所属行业）；制造商为</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（企业名称），从业人员</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人，营业收入为</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万元，资产总额为</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万元，属于</w:t>
      </w:r>
      <w:r>
        <w:rPr>
          <w:rFonts w:hint="eastAsia" w:ascii="宋体" w:hAnsi="宋体" w:eastAsia="宋体" w:cs="楷体"/>
          <w:color w:val="auto"/>
          <w:highlight w:val="none"/>
          <w:u w:val="single"/>
        </w:rPr>
        <w:t xml:space="preserve">      </w:t>
      </w:r>
      <w:r>
        <w:rPr>
          <w:rFonts w:hint="eastAsia" w:ascii="宋体" w:hAnsi="宋体" w:eastAsia="宋体" w:cs="楷体"/>
          <w:color w:val="auto"/>
          <w:highlight w:val="none"/>
        </w:rPr>
        <w:t xml:space="preserve">（中型企业、小型企业、微型企业）。</w:t>
      </w:r>
      <w:r/>
    </w:p>
    <w:p>
      <w:pPr>
        <w:pStyle w:val="898"/>
        <w:ind w:firstLine="480"/>
        <w:spacing w:before="0" w:after="0" w:line="240" w:lineRule="auto"/>
        <w:rPr>
          <w:rFonts w:ascii="宋体" w:hAnsi="宋体" w:eastAsia="宋体" w:cs="楷体"/>
          <w:color w:val="auto"/>
          <w:highlight w:val="none"/>
        </w:rPr>
      </w:pPr>
      <w:r>
        <w:rPr>
          <w:rFonts w:hint="eastAsia" w:ascii="宋体" w:hAnsi="宋体" w:eastAsia="宋体" w:cs="楷体"/>
          <w:color w:val="auto"/>
          <w:highlight w:val="none"/>
        </w:rPr>
        <w:t xml:space="preserve">……</w:t>
      </w:r>
      <w:r/>
    </w:p>
    <w:p>
      <w:pPr>
        <w:pStyle w:val="898"/>
        <w:ind w:firstLine="480"/>
        <w:spacing w:before="0" w:after="0" w:line="240" w:lineRule="auto"/>
        <w:rPr>
          <w:rFonts w:ascii="宋体" w:hAnsi="宋体" w:eastAsia="宋体" w:cs="楷体"/>
          <w:color w:val="auto"/>
          <w:highlight w:val="none"/>
        </w:rPr>
      </w:pPr>
      <w:r>
        <w:rPr>
          <w:rFonts w:hint="eastAsia" w:ascii="宋体" w:hAnsi="宋体" w:eastAsia="宋体" w:cs="楷体"/>
          <w:color w:val="auto"/>
          <w:highlight w:val="none"/>
        </w:rPr>
        <w:t xml:space="preserve">以上企业，不属于大企业的分支机构，不存在控股股东为大型企业的情形，也不存在与大型企业的负责人为同一人的情形。</w:t>
      </w:r>
      <w:r/>
    </w:p>
    <w:p>
      <w:pPr>
        <w:ind w:firstLine="420"/>
        <w:spacing w:line="240" w:lineRule="auto"/>
        <w:rPr>
          <w:rFonts w:ascii="宋体" w:hAnsi="宋体" w:cs="宋体"/>
          <w:color w:val="auto"/>
          <w:highlight w:val="none"/>
        </w:rPr>
      </w:pPr>
      <w:r>
        <w:rPr>
          <w:rFonts w:hint="eastAsia" w:ascii="宋体" w:hAnsi="宋体" w:cs="楷体"/>
          <w:color w:val="auto"/>
          <w:szCs w:val="21"/>
          <w:highlight w:val="none"/>
        </w:rPr>
        <w:t xml:space="preserve">本企业对上述声明内容的真实性负责。如有虚假，将依法承担相应责任。</w:t>
      </w:r>
      <w:r/>
    </w:p>
    <w:p>
      <w:pPr>
        <w:spacing w:line="240" w:lineRule="auto"/>
        <w:rPr>
          <w:rFonts w:ascii="宋体" w:hAnsi="宋体" w:cs="宋体"/>
          <w:color w:val="auto"/>
          <w:highlight w:val="none"/>
        </w:rPr>
      </w:pPr>
      <w:r>
        <w:rPr>
          <w:rFonts w:ascii="宋体" w:hAnsi="宋体" w:cs="宋体"/>
          <w:color w:val="auto"/>
          <w:highlight w:val="none"/>
        </w:rPr>
      </w:r>
      <w:r/>
    </w:p>
    <w:p>
      <w:pPr>
        <w:jc w:val="right"/>
        <w:spacing w:line="240" w:lineRule="auto"/>
        <w:rPr>
          <w:rFonts w:ascii="宋体" w:hAnsi="宋体" w:cs="宋体"/>
          <w:color w:val="auto"/>
          <w:highlight w:val="none"/>
        </w:rPr>
      </w:pPr>
      <w:r>
        <w:rPr>
          <w:rFonts w:hint="eastAsia" w:ascii="宋体" w:hAnsi="宋体" w:cs="宋体"/>
          <w:color w:val="auto"/>
          <w:highlight w:val="none"/>
        </w:rPr>
        <w:t xml:space="preserve">供应商名称：（加盖CA电子公章）  </w:t>
      </w:r>
      <w:r/>
    </w:p>
    <w:p>
      <w:pPr>
        <w:jc w:val="right"/>
        <w:spacing w:line="240" w:lineRule="auto"/>
        <w:rPr>
          <w:rFonts w:ascii="宋体" w:hAnsi="宋体" w:cs="宋体"/>
          <w:color w:val="auto"/>
          <w:highlight w:val="none"/>
        </w:rPr>
      </w:pPr>
      <w:r>
        <w:rPr>
          <w:rFonts w:hint="eastAsia" w:ascii="宋体" w:hAnsi="宋体" w:cs="宋体"/>
          <w:color w:val="auto"/>
          <w:highlight w:val="none"/>
        </w:rPr>
        <w:t xml:space="preserve">日期：年 月 日</w:t>
      </w:r>
      <w:r/>
    </w:p>
    <w:p>
      <w:pPr>
        <w:spacing w:line="240" w:lineRule="auto"/>
        <w:rPr>
          <w:rFonts w:ascii="宋体" w:hAnsi="宋体" w:cs="宋体"/>
          <w:color w:val="auto"/>
          <w:highlight w:val="none"/>
        </w:rPr>
      </w:pPr>
      <w:r>
        <w:rPr>
          <w:rFonts w:hint="eastAsia" w:ascii="宋体" w:hAnsi="宋体" w:cs="宋体"/>
          <w:color w:val="auto"/>
          <w:highlight w:val="none"/>
        </w:rPr>
        <w:t xml:space="preserve">说明：</w:t>
      </w:r>
      <w:r/>
    </w:p>
    <w:p>
      <w:pPr>
        <w:ind w:firstLine="420"/>
        <w:spacing w:line="240" w:lineRule="auto"/>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spacing w:line="240" w:lineRule="auto"/>
        <w:rPr>
          <w:rFonts w:ascii="宋体" w:hAnsi="宋体" w:cs="宋体"/>
          <w:color w:val="auto"/>
          <w:szCs w:val="21"/>
          <w:highlight w:val="none"/>
        </w:rPr>
      </w:pPr>
      <w:r>
        <w:rPr>
          <w:rFonts w:hint="eastAsia" w:ascii="宋体" w:hAnsi="宋体" w:cs="宋体"/>
          <w:color w:val="auto"/>
          <w:highlight w:val="none"/>
        </w:rPr>
        <w:t xml:space="preserve">2.中小微企业划型标准请对照《关于印发中小企业划型标准规定的通知》（工信部联企业〔2011〕300号），文件网址如下：https://www.miit.gov.cn/jgsj/qyj/wjfb/art/2011/art_235af1ade45c4865957adeed23f9d949.html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p>
    <w:p>
      <w:pPr>
        <w:spacing w:line="240" w:lineRule="auto"/>
        <w:rPr>
          <w:rFonts w:ascii="宋体" w:hAnsi="宋体" w:cs="宋体"/>
          <w:color w:val="auto"/>
          <w:highlight w:val="none"/>
        </w:rPr>
      </w:pP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eastAsia="zh-CN"/>
        </w:rPr>
        <w:t xml:space="preserve">工业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spacing w:line="240" w:lineRule="auto"/>
        <w:rPr>
          <w:rFonts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880"/>
        <w:widowControl w:val="off"/>
        <w:rPr>
          <w:color w:val="auto"/>
          <w:highlight w:val="none"/>
        </w:rPr>
      </w:pPr>
      <w:r>
        <w:rPr>
          <w:rFonts w:hint="eastAsia"/>
          <w:color w:val="auto"/>
          <w:highlight w:val="none"/>
          <w:u w:val="single"/>
        </w:rPr>
        <w:br w:type="page" w:clear="all"/>
      </w:r>
      <w:r>
        <w:rPr>
          <w:rFonts w:hint="eastAsia"/>
          <w:color w:val="auto"/>
          <w:highlight w:val="none"/>
        </w:rPr>
        <w:t xml:space="preserve">附件5：</w:t>
      </w:r>
      <w:r/>
    </w:p>
    <w:p>
      <w:pPr>
        <w:pStyle w:val="880"/>
        <w:jc w:val="center"/>
        <w:widowControl w:val="off"/>
        <w:rPr>
          <w:color w:val="auto"/>
          <w:sz w:val="32"/>
          <w:szCs w:val="32"/>
          <w:highlight w:val="none"/>
        </w:rPr>
      </w:pPr>
      <w:r>
        <w:rPr>
          <w:rFonts w:hint="eastAsia"/>
          <w:color w:val="auto"/>
          <w:sz w:val="32"/>
          <w:szCs w:val="32"/>
          <w:highlight w:val="none"/>
        </w:rPr>
        <w:t xml:space="preserve">残疾人福利性单位声明函</w:t>
      </w:r>
      <w:r/>
    </w:p>
    <w:p>
      <w:pPr>
        <w:pStyle w:val="874"/>
        <w:ind w:firstLine="420"/>
        <w:rPr>
          <w:rFonts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874"/>
        <w:ind w:firstLine="420"/>
        <w:rPr>
          <w:rFonts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ascii="宋体" w:hAnsi="宋体" w:cs="宋体"/>
          <w:color w:val="auto"/>
          <w:highlight w:val="none"/>
        </w:rPr>
      </w:pPr>
      <w:r>
        <w:rPr>
          <w:rFonts w:hint="eastAsia" w:ascii="宋体" w:hAnsi="宋体" w:cs="宋体"/>
          <w:color w:val="auto"/>
          <w:highlight w:val="none"/>
        </w:rPr>
        <w:t xml:space="preserve">日 期：</w:t>
      </w:r>
      <w:r/>
    </w:p>
    <w:p>
      <w:pPr>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hint="eastAsia" w:ascii="宋体" w:hAnsi="宋体" w:cs="宋体"/>
          <w:color w:val="auto"/>
          <w:highlight w:val="none"/>
        </w:rPr>
        <w:t xml:space="preserve">说明：</w:t>
      </w:r>
      <w:r/>
    </w:p>
    <w:p>
      <w:pPr>
        <w:ind w:firstLine="420"/>
        <w:rPr>
          <w:rFonts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874"/>
        <w:rPr>
          <w:rFonts w:hAnsi="宋体" w:cs="宋体"/>
          <w:color w:val="auto"/>
          <w:highlight w:val="none"/>
        </w:rPr>
      </w:pPr>
      <w:r>
        <w:rPr>
          <w:rFonts w:hAnsi="宋体" w:cs="宋体"/>
          <w:color w:val="auto"/>
          <w:highlight w:val="none"/>
        </w:rPr>
      </w:r>
      <w:r/>
    </w:p>
    <w:p>
      <w:pPr>
        <w:pStyle w:val="874"/>
        <w:rPr>
          <w:rFonts w:hAnsi="宋体" w:cs="宋体"/>
          <w:color w:val="auto"/>
          <w:highlight w:val="none"/>
        </w:rPr>
      </w:pPr>
      <w:r>
        <w:rPr>
          <w:rFonts w:hAnsi="宋体" w:cs="宋体"/>
          <w:color w:val="auto"/>
          <w:highlight w:val="none"/>
        </w:rPr>
      </w:r>
      <w:r/>
    </w:p>
    <w:p>
      <w:pPr>
        <w:pStyle w:val="880"/>
        <w:widowControl w:val="off"/>
        <w:rPr>
          <w:color w:val="auto"/>
          <w:highlight w:val="none"/>
        </w:rPr>
      </w:pPr>
      <w:r>
        <w:rPr>
          <w:rFonts w:hint="eastAsia"/>
          <w:color w:val="auto"/>
          <w:highlight w:val="none"/>
        </w:rPr>
        <w:br w:type="page" w:clear="all"/>
      </w:r>
      <w:r>
        <w:rPr>
          <w:rFonts w:hint="eastAsia"/>
          <w:color w:val="auto"/>
          <w:highlight w:val="none"/>
        </w:rPr>
        <w:t xml:space="preserve">附件6：</w:t>
      </w:r>
      <w:r/>
    </w:p>
    <w:p>
      <w:pPr>
        <w:pStyle w:val="874"/>
        <w:jc w:val="center"/>
        <w:rPr>
          <w:rFonts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874"/>
        <w:rPr>
          <w:rFonts w:hAnsi="宋体" w:cs="宋体"/>
          <w:color w:val="auto"/>
          <w:highlight w:val="none"/>
        </w:rPr>
      </w:pPr>
      <w:r>
        <w:rPr>
          <w:rFonts w:hAnsi="宋体" w:cs="宋体"/>
          <w:color w:val="auto"/>
          <w:highlight w:val="none"/>
        </w:rPr>
      </w:r>
      <w:r/>
    </w:p>
    <w:p>
      <w:pPr>
        <w:ind w:firstLine="420"/>
        <w:rPr>
          <w:rFonts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74"/>
        <w:ind w:firstLine="420"/>
        <w:rPr>
          <w:rFonts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874"/>
        <w:ind w:firstLine="420"/>
        <w:rPr>
          <w:rFonts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874"/>
        <w:rPr>
          <w:rFonts w:hAnsi="宋体" w:cs="宋体"/>
          <w:color w:val="auto"/>
          <w:highlight w:val="none"/>
        </w:rPr>
      </w:pPr>
      <w:r>
        <w:rPr>
          <w:rFonts w:hAnsi="宋体" w:cs="宋体"/>
          <w:color w:val="auto"/>
          <w:highlight w:val="none"/>
        </w:rPr>
      </w:r>
      <w:r/>
    </w:p>
    <w:p>
      <w:pPr>
        <w:pStyle w:val="874"/>
        <w:rPr>
          <w:rFonts w:hAnsi="宋体" w:cs="宋体"/>
          <w:color w:val="auto"/>
          <w:highlight w:val="none"/>
        </w:rPr>
      </w:pPr>
      <w:r>
        <w:rPr>
          <w:rFonts w:hAnsi="宋体" w:cs="宋体"/>
          <w:color w:val="auto"/>
          <w:highlight w:val="none"/>
        </w:rPr>
      </w:r>
      <w:r/>
    </w:p>
    <w:p>
      <w:pPr>
        <w:ind w:firstLine="420"/>
        <w:rPr>
          <w:rFonts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ascii="宋体" w:hAnsi="宋体" w:cs="宋体"/>
          <w:color w:val="auto"/>
          <w:highlight w:val="none"/>
        </w:rPr>
      </w:pPr>
      <w:r>
        <w:rPr>
          <w:rFonts w:hint="eastAsia" w:ascii="宋体" w:hAnsi="宋体" w:cs="宋体"/>
          <w:color w:val="auto"/>
          <w:highlight w:val="none"/>
        </w:rPr>
        <w:t xml:space="preserve">日 期：</w:t>
      </w:r>
      <w:r/>
    </w:p>
    <w:p>
      <w:pPr>
        <w:pStyle w:val="874"/>
        <w:rPr>
          <w:rFonts w:hAnsi="宋体" w:cs="宋体"/>
          <w:color w:val="auto"/>
          <w:highlight w:val="none"/>
        </w:rPr>
      </w:pPr>
      <w:r>
        <w:rPr>
          <w:rFonts w:hAnsi="宋体" w:cs="宋体"/>
          <w:color w:val="auto"/>
          <w:highlight w:val="none"/>
        </w:rPr>
      </w:r>
      <w:r/>
    </w:p>
    <w:p>
      <w:pPr>
        <w:pStyle w:val="874"/>
        <w:ind w:firstLine="420"/>
        <w:rPr>
          <w:rFonts w:hAnsi="宋体" w:cs="宋体"/>
          <w:color w:val="auto"/>
          <w:highlight w:val="none"/>
        </w:rPr>
      </w:pPr>
      <w:r>
        <w:rPr>
          <w:rFonts w:hint="eastAsia" w:hAnsi="宋体" w:cs="宋体"/>
          <w:color w:val="auto"/>
          <w:highlight w:val="none"/>
        </w:rPr>
        <w:t xml:space="preserve">说明：</w:t>
      </w:r>
      <w:r/>
    </w:p>
    <w:p>
      <w:pPr>
        <w:ind w:firstLine="420"/>
        <w:rPr>
          <w:rFonts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80"/>
        <w:widowControl w:val="off"/>
        <w:rPr>
          <w:rFonts w:hint="default"/>
          <w:color w:val="auto"/>
          <w:highlight w:val="none"/>
          <w:lang w:val="en-US" w:eastAsia="zh-CN"/>
        </w:rPr>
      </w:pPr>
      <w:r>
        <w:rPr>
          <w:rFonts w:hint="eastAsia"/>
          <w:color w:val="auto"/>
          <w:highlight w:val="none"/>
          <w:lang w:val="en-US" w:eastAsia="zh-CN"/>
        </w:rPr>
        <w:t xml:space="preserve">附件7：</w:t>
      </w:r>
      <w:r/>
    </w:p>
    <w:p>
      <w:pPr>
        <w:pStyle w:val="880"/>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1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1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1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1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1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1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880"/>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rFonts w:ascii="宋体" w:hAnsi="宋体" w:cs="宋体"/>
          <w:color w:val="auto"/>
          <w:highlight w:val="none"/>
        </w:rPr>
      </w:pPr>
      <w:r>
        <w:rPr>
          <w:rFonts w:ascii="宋体" w:hAnsi="宋体" w:cs="宋体"/>
          <w:color w:val="auto"/>
          <w:highlight w:val="none"/>
        </w:rPr>
      </w:r>
      <w:r/>
    </w:p>
    <w:p>
      <w:pPr>
        <w:pStyle w:val="880"/>
        <w:widowControl w:val="off"/>
        <w:rPr>
          <w:color w:val="auto"/>
          <w:highlight w:val="none"/>
        </w:rPr>
      </w:pPr>
      <w:r>
        <w:rPr>
          <w:rFonts w:hint="eastAsia"/>
          <w:color w:val="auto"/>
          <w:highlight w:val="none"/>
        </w:rPr>
        <w:br w:type="page" w:clear="all"/>
      </w:r>
      <w:bookmarkStart w:id="133" w:name="_Toc56139088"/>
      <w:r/>
      <w:bookmarkStart w:id="134" w:name="_Toc56153862"/>
      <w:r/>
      <w:bookmarkStart w:id="135" w:name="_Toc56141898"/>
      <w:r/>
      <w:bookmarkStart w:id="136" w:name="_Toc434481560"/>
      <w:r/>
      <w:bookmarkStart w:id="137" w:name="_Toc59900983"/>
      <w:r/>
      <w:bookmarkStart w:id="138" w:name="_Toc55654540"/>
      <w:r/>
      <w:bookmarkStart w:id="139" w:name="_Toc439777351"/>
      <w:r/>
      <w:bookmarkStart w:id="140" w:name="_Toc56409114"/>
      <w:r/>
      <w:bookmarkStart w:id="141" w:name="_Toc440442375"/>
      <w:r/>
      <w:bookmarkStart w:id="142" w:name="_Toc59896715"/>
      <w:r/>
      <w:bookmarkStart w:id="143" w:name="_Toc54372237"/>
      <w:r/>
      <w:bookmarkStart w:id="144" w:name="_Toc55705168"/>
      <w:r/>
      <w:bookmarkStart w:id="145" w:name="_Toc55707673"/>
      <w:r/>
      <w:bookmarkStart w:id="146" w:name="_Toc54372071"/>
      <w:r/>
      <w:bookmarkStart w:id="147" w:name="_Toc439777159"/>
      <w:r/>
      <w:bookmarkStart w:id="148" w:name="_Toc55639393"/>
      <w:r/>
      <w:bookmarkStart w:id="149" w:name="_Toc54372655"/>
      <w:r>
        <w:rPr>
          <w:rFonts w:hint="eastAsia"/>
          <w:color w:val="auto"/>
          <w:highlight w:val="none"/>
        </w:rPr>
        <w:t xml:space="preserve">附件</w:t>
      </w:r>
      <w:r>
        <w:rPr>
          <w:rFonts w:hint="eastAsia"/>
          <w:color w:val="auto"/>
          <w:highlight w:val="none"/>
          <w:lang w:val="en-US" w:eastAsia="zh-CN"/>
        </w:rPr>
        <w:t xml:space="preserve">8</w:t>
      </w:r>
      <w:r>
        <w:rPr>
          <w:rFonts w:hint="eastAsia"/>
          <w:color w:val="auto"/>
          <w:highlight w:val="none"/>
        </w:rPr>
        <w:t xml:space="preserve">：</w:t>
      </w:r>
      <w:r/>
    </w:p>
    <w:p>
      <w:pPr>
        <w:pStyle w:val="874"/>
        <w:jc w:val="center"/>
        <w:rPr>
          <w:rFonts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874"/>
        <w:jc w:val="center"/>
        <w:rPr>
          <w:rFonts w:hAnsi="宋体" w:cs="宋体"/>
          <w:color w:val="auto"/>
          <w:sz w:val="32"/>
          <w:szCs w:val="32"/>
          <w:highlight w:val="none"/>
        </w:rPr>
      </w:pPr>
      <w:r>
        <w:rPr>
          <w:rFonts w:hAnsi="宋体" w:cs="宋体"/>
          <w:color w:val="auto"/>
          <w:sz w:val="32"/>
          <w:szCs w:val="32"/>
          <w:highlight w:val="none"/>
        </w:rPr>
      </w:r>
      <w:r/>
    </w:p>
    <w:p>
      <w:pPr>
        <w:pStyle w:val="900"/>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0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0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00"/>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eastAsia="宋体" w:cs="宋体"/>
          <w:color w:val="auto"/>
          <w:sz w:val="24"/>
          <w:szCs w:val="24"/>
          <w:highlight w:val="none"/>
          <w:lang w:val="en-US" w:eastAsia="zh-CN" w:bidi="ar-SA"/>
        </w:rPr>
        <w:t xml:space="preserve">附件9：</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jc w:val="center"/>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889"/>
        <w:ind w:firstLine="0"/>
        <w:spacing w:line="360" w:lineRule="exact"/>
        <w:rPr>
          <w:rFonts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（姓名和职务）代表我方______________（供应商的名称），全权处理本项目磋商采购的有关事宜。</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1.按磋商文件规定的各项要求，向采购人提供所需</w:t>
      </w:r>
      <w:r>
        <w:rPr>
          <w:rFonts w:hint="eastAsia" w:ascii="宋体" w:hAnsi="宋体" w:cs="宋体"/>
          <w:color w:val="auto"/>
          <w:sz w:val="21"/>
          <w:szCs w:val="21"/>
          <w:highlight w:val="none"/>
          <w:lang w:eastAsia="zh-CN"/>
        </w:rPr>
        <w:t xml:space="preserve">货物、</w:t>
      </w:r>
      <w:r>
        <w:rPr>
          <w:rFonts w:hint="eastAsia" w:ascii="宋体" w:hAnsi="宋体" w:cs="宋体"/>
          <w:color w:val="auto"/>
          <w:sz w:val="21"/>
          <w:szCs w:val="21"/>
          <w:highlight w:val="none"/>
        </w:rPr>
        <w:t xml:space="preserve">服务。</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s="宋体"/>
          <w:color w:val="auto"/>
          <w:sz w:val="21"/>
          <w:szCs w:val="21"/>
          <w:highlight w:val="none"/>
          <w:lang w:eastAsia="zh-CN"/>
        </w:rPr>
        <w:t xml:space="preserve">间内</w:t>
      </w:r>
      <w:r>
        <w:rPr>
          <w:rFonts w:hint="eastAsia" w:ascii="宋体" w:hAnsi="宋体" w:cs="宋体"/>
          <w:color w:val="auto"/>
          <w:sz w:val="21"/>
          <w:szCs w:val="21"/>
          <w:highlight w:val="none"/>
        </w:rPr>
        <w:t xml:space="preserve">完成项目，交付采购人验收、使用。</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7.遵守磋商文件中要求的收费项目和标准。</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8.与本磋商采购有关的正式通讯地址为：</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900"/>
        <w:ind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90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spacing w:line="360" w:lineRule="exact"/>
        <w:rPr>
          <w:rFonts w:ascii="宋体" w:hAnsi="宋体" w:cs="宋体"/>
          <w:color w:val="auto"/>
          <w:szCs w:val="21"/>
          <w:highlight w:val="none"/>
        </w:rPr>
      </w:pPr>
      <w:r>
        <w:rPr>
          <w:rFonts w:ascii="宋体" w:hAnsi="宋体" w:cs="宋体"/>
          <w:color w:val="auto"/>
          <w:szCs w:val="21"/>
          <w:highlight w:val="none"/>
        </w:rPr>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exact"/>
        <w:rPr>
          <w:rFonts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eastAsia="宋体" w:cs="宋体"/>
          <w:color w:val="auto"/>
          <w:sz w:val="24"/>
          <w:szCs w:val="24"/>
          <w:highlight w:val="none"/>
          <w:lang w:val="en-US" w:eastAsia="zh-CN" w:bidi="ar-SA"/>
        </w:rPr>
      </w:pPr>
      <w:r/>
      <w:bookmarkStart w:id="150" w:name="_Toc26371"/>
      <w:r/>
      <w:bookmarkStart w:id="151" w:name="_Toc7712"/>
      <w:r/>
      <w:bookmarkStart w:id="152" w:name="_Toc12269"/>
      <w:r>
        <w:rPr>
          <w:rFonts w:hint="eastAsia" w:ascii="宋体" w:hAnsi="宋体" w:eastAsia="宋体" w:cs="宋体"/>
          <w:color w:val="auto"/>
          <w:sz w:val="24"/>
          <w:szCs w:val="24"/>
          <w:highlight w:val="none"/>
          <w:lang w:val="en-US" w:eastAsia="zh-CN" w:bidi="ar-SA"/>
        </w:rPr>
        <w:t xml:space="preserve">附件10：</w:t>
      </w:r>
      <w:bookmarkEnd w:id="150"/>
      <w:r/>
      <w:bookmarkEnd w:id="151"/>
      <w:r/>
      <w:bookmarkEnd w:id="152"/>
      <w:r/>
      <w:r/>
    </w:p>
    <w:p>
      <w:pPr>
        <w:jc w:val="center"/>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技术响应及偏离表</w:t>
      </w:r>
      <w:r/>
    </w:p>
    <w:tbl>
      <w:tblPr>
        <w:tblStyle w:val="689"/>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rPr>
                <w:rFonts w:ascii="宋体" w:hAnsi="宋体" w:cs="黑体"/>
                <w:bCs/>
                <w:color w:val="auto"/>
                <w:szCs w:val="21"/>
                <w:highlight w:val="none"/>
              </w:rPr>
            </w:pPr>
            <w:r>
              <w:rPr>
                <w:rFonts w:hint="eastAsia" w:ascii="宋体" w:hAnsi="宋体" w:cs="黑体"/>
                <w:bCs/>
                <w:color w:val="auto"/>
                <w:szCs w:val="21"/>
                <w:highlight w:val="none"/>
              </w:rPr>
              <w:t xml:space="preserve">序号</w:t>
            </w:r>
            <w:r/>
          </w:p>
        </w:tc>
        <w:tc>
          <w:tcPr>
            <w:tcW w:w="2419" w:type="dxa"/>
            <w:vAlign w:val="center"/>
            <w:textDirection w:val="lrTb"/>
            <w:noWrap w:val="false"/>
          </w:tcPr>
          <w:p>
            <w:pPr>
              <w:ind w:firstLine="480"/>
              <w:rPr>
                <w:rFonts w:ascii="宋体" w:hAnsi="宋体" w:cs="黑体"/>
                <w:bCs/>
                <w:color w:val="auto"/>
                <w:szCs w:val="21"/>
                <w:highlight w:val="none"/>
              </w:rPr>
            </w:pPr>
            <w:r>
              <w:rPr>
                <w:rFonts w:hint="eastAsia" w:ascii="宋体" w:hAnsi="宋体" w:cs="黑体"/>
                <w:bCs/>
                <w:color w:val="auto"/>
                <w:szCs w:val="21"/>
                <w:highlight w:val="none"/>
              </w:rPr>
              <w:t xml:space="preserve">名称及内容</w:t>
            </w:r>
            <w:r/>
          </w:p>
        </w:tc>
        <w:tc>
          <w:tcPr>
            <w:tcW w:w="1559" w:type="dxa"/>
            <w:vAlign w:val="center"/>
            <w:textDirection w:val="lrTb"/>
            <w:noWrap w:val="false"/>
          </w:tcPr>
          <w:p>
            <w:pPr>
              <w:jc w:val="center"/>
              <w:rPr>
                <w:rFonts w:ascii="宋体" w:hAnsi="宋体" w:cs="黑体"/>
                <w:bCs/>
                <w:color w:val="auto"/>
                <w:szCs w:val="21"/>
                <w:highlight w:val="none"/>
              </w:rPr>
            </w:pPr>
            <w:r>
              <w:rPr>
                <w:rFonts w:hint="eastAsia" w:ascii="宋体" w:hAnsi="宋体" w:cs="黑体"/>
                <w:bCs/>
                <w:color w:val="auto"/>
                <w:szCs w:val="21"/>
                <w:highlight w:val="none"/>
              </w:rPr>
              <w:t xml:space="preserve">磋商文件技术参数</w:t>
            </w:r>
            <w:r/>
          </w:p>
        </w:tc>
        <w:tc>
          <w:tcPr>
            <w:tcW w:w="1418" w:type="dxa"/>
            <w:vAlign w:val="center"/>
            <w:textDirection w:val="lrTb"/>
            <w:noWrap w:val="false"/>
          </w:tcPr>
          <w:p>
            <w:pPr>
              <w:jc w:val="center"/>
              <w:rPr>
                <w:rFonts w:ascii="宋体" w:hAnsi="宋体" w:cs="黑体"/>
                <w:bCs/>
                <w:color w:val="auto"/>
                <w:szCs w:val="21"/>
                <w:highlight w:val="none"/>
              </w:rPr>
            </w:pPr>
            <w:r>
              <w:rPr>
                <w:rFonts w:hint="eastAsia" w:ascii="宋体" w:hAnsi="宋体" w:cs="黑体"/>
                <w:bCs/>
                <w:color w:val="auto"/>
                <w:szCs w:val="21"/>
                <w:highlight w:val="none"/>
              </w:rPr>
              <w:t xml:space="preserve">响应文件技术参数</w:t>
            </w:r>
            <w:r/>
          </w:p>
        </w:tc>
        <w:tc>
          <w:tcPr>
            <w:tcW w:w="2119" w:type="dxa"/>
            <w:vAlign w:val="center"/>
            <w:textDirection w:val="lrTb"/>
            <w:noWrap w:val="false"/>
          </w:tcPr>
          <w:p>
            <w:pPr>
              <w:ind w:firstLine="240"/>
              <w:rPr>
                <w:rFonts w:ascii="宋体" w:hAnsi="宋体" w:cs="黑体"/>
                <w:bCs/>
                <w:color w:val="auto"/>
                <w:szCs w:val="21"/>
                <w:highlight w:val="none"/>
              </w:rPr>
            </w:pPr>
            <w:r>
              <w:rPr>
                <w:rFonts w:hint="eastAsia" w:ascii="宋体" w:hAnsi="宋体" w:cs="黑体"/>
                <w:bCs/>
                <w:color w:val="auto"/>
                <w:szCs w:val="21"/>
                <w:highlight w:val="none"/>
              </w:rPr>
              <w:t xml:space="preserve">证明材料</w:t>
            </w:r>
            <w:r/>
          </w:p>
        </w:tc>
        <w:tc>
          <w:tcPr>
            <w:tcW w:w="1710" w:type="dxa"/>
            <w:vAlign w:val="center"/>
            <w:textDirection w:val="lrTb"/>
            <w:noWrap w:val="false"/>
          </w:tcPr>
          <w:p>
            <w:pPr>
              <w:ind w:firstLine="480"/>
              <w:rPr>
                <w:rFonts w:ascii="宋体" w:hAnsi="宋体" w:cs="黑体"/>
                <w:bCs/>
                <w:color w:val="auto"/>
                <w:szCs w:val="21"/>
                <w:highlight w:val="none"/>
              </w:rPr>
            </w:pPr>
            <w:r>
              <w:rPr>
                <w:rFonts w:ascii="宋体" w:hAnsi="宋体" w:cs="黑体"/>
                <w:bCs/>
                <w:color w:val="auto"/>
                <w:szCs w:val="21"/>
                <w:highlight w:val="none"/>
              </w:rPr>
            </w:r>
            <w:r/>
          </w:p>
          <w:p>
            <w:pPr>
              <w:ind w:firstLine="240"/>
              <w:rPr>
                <w:rFonts w:ascii="宋体" w:hAnsi="宋体" w:cs="黑体"/>
                <w:bCs/>
                <w:color w:val="auto"/>
                <w:szCs w:val="21"/>
                <w:highlight w:val="none"/>
              </w:rPr>
            </w:pPr>
            <w:r>
              <w:rPr>
                <w:rFonts w:hint="eastAsia" w:ascii="宋体" w:hAnsi="宋体" w:cs="黑体"/>
                <w:bCs/>
                <w:color w:val="auto"/>
                <w:szCs w:val="21"/>
                <w:highlight w:val="none"/>
              </w:rPr>
              <w:t xml:space="preserve">偏离情况</w:t>
            </w:r>
            <w:r/>
          </w:p>
          <w:p>
            <w:pPr>
              <w:rPr>
                <w:rFonts w:ascii="宋体" w:hAnsi="宋体" w:cs="黑体"/>
                <w:bCs/>
                <w:color w:val="auto"/>
                <w:szCs w:val="21"/>
                <w:highlight w:val="none"/>
              </w:rPr>
            </w:pPr>
            <w:r>
              <w:rPr>
                <w:rFonts w:ascii="宋体" w:hAnsi="宋体" w:cs="黑体"/>
                <w:bCs/>
                <w:color w:val="auto"/>
                <w:szCs w:val="21"/>
                <w:highlight w:val="none"/>
              </w:rPr>
            </w:r>
            <w:r/>
          </w:p>
        </w:tc>
      </w:tr>
      <w:tr>
        <w:trPr>
          <w:trHeight w:val="90"/>
        </w:trPr>
        <w:tc>
          <w:tcPr>
            <w:tcW w:w="728" w:type="dxa"/>
            <w:textDirection w:val="lrTb"/>
            <w:noWrap w:val="false"/>
          </w:tcPr>
          <w:p>
            <w:pPr>
              <w:ind w:firstLine="240"/>
              <w:rPr>
                <w:rFonts w:ascii="宋体" w:hAnsi="宋体" w:cs="黑体"/>
                <w:bCs/>
                <w:color w:val="auto"/>
                <w:szCs w:val="21"/>
                <w:highlight w:val="none"/>
              </w:rPr>
            </w:pPr>
            <w:r>
              <w:rPr>
                <w:rFonts w:hint="eastAsia" w:ascii="宋体" w:hAnsi="宋体" w:cs="黑体"/>
                <w:bCs/>
                <w:color w:val="auto"/>
                <w:szCs w:val="21"/>
                <w:highlight w:val="none"/>
              </w:rPr>
              <w:t xml:space="preserve">1</w:t>
            </w:r>
            <w:r/>
          </w:p>
        </w:tc>
        <w:tc>
          <w:tcPr>
            <w:tcW w:w="2419" w:type="dxa"/>
            <w:textDirection w:val="lrTb"/>
            <w:noWrap w:val="false"/>
          </w:tcPr>
          <w:p>
            <w:pPr>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40"/>
              <w:jc w:val="center"/>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240"/>
              <w:jc w:val="center"/>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r>
      <w:tr>
        <w:trPr/>
        <w:tc>
          <w:tcPr>
            <w:tcW w:w="728" w:type="dxa"/>
            <w:textDirection w:val="lrTb"/>
            <w:noWrap w:val="false"/>
          </w:tcPr>
          <w:p>
            <w:pPr>
              <w:ind w:firstLine="240"/>
              <w:rPr>
                <w:rFonts w:ascii="宋体" w:hAnsi="宋体" w:cs="黑体"/>
                <w:bCs/>
                <w:color w:val="auto"/>
                <w:szCs w:val="21"/>
                <w:highlight w:val="none"/>
              </w:rPr>
            </w:pPr>
            <w:r>
              <w:rPr>
                <w:rFonts w:hint="eastAsia" w:ascii="宋体" w:hAnsi="宋体" w:cs="黑体"/>
                <w:bCs/>
                <w:color w:val="auto"/>
                <w:szCs w:val="21"/>
                <w:highlight w:val="none"/>
              </w:rPr>
              <w:t xml:space="preserve">2</w:t>
            </w:r>
            <w:r/>
          </w:p>
        </w:tc>
        <w:tc>
          <w:tcPr>
            <w:tcW w:w="24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40"/>
              <w:jc w:val="center"/>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720"/>
              <w:jc w:val="center"/>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r>
      <w:tr>
        <w:trPr/>
        <w:tc>
          <w:tcPr>
            <w:tcW w:w="728" w:type="dxa"/>
            <w:textDirection w:val="lrTb"/>
            <w:noWrap w:val="false"/>
          </w:tcPr>
          <w:p>
            <w:pPr>
              <w:ind w:firstLine="240"/>
              <w:rPr>
                <w:rFonts w:ascii="宋体" w:hAnsi="宋体" w:cs="黑体"/>
                <w:bCs/>
                <w:color w:val="auto"/>
                <w:szCs w:val="21"/>
                <w:highlight w:val="none"/>
              </w:rPr>
            </w:pPr>
            <w:r>
              <w:rPr>
                <w:rFonts w:hint="eastAsia" w:ascii="宋体" w:hAnsi="宋体" w:cs="黑体"/>
                <w:bCs/>
                <w:color w:val="auto"/>
                <w:szCs w:val="21"/>
                <w:highlight w:val="none"/>
              </w:rPr>
              <w:t xml:space="preserve">3</w:t>
            </w:r>
            <w:r/>
          </w:p>
        </w:tc>
        <w:tc>
          <w:tcPr>
            <w:tcW w:w="24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40"/>
              <w:jc w:val="center"/>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720"/>
              <w:jc w:val="center"/>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r>
      <w:tr>
        <w:trPr>
          <w:trHeight w:val="65"/>
        </w:trPr>
        <w:tc>
          <w:tcPr>
            <w:tcW w:w="728" w:type="dxa"/>
            <w:textDirection w:val="lrTb"/>
            <w:noWrap w:val="false"/>
          </w:tcPr>
          <w:p>
            <w:pPr>
              <w:ind w:firstLine="240"/>
              <w:rPr>
                <w:rFonts w:ascii="宋体" w:hAnsi="宋体" w:cs="黑体"/>
                <w:bCs/>
                <w:color w:val="auto"/>
                <w:szCs w:val="21"/>
                <w:highlight w:val="none"/>
              </w:rPr>
            </w:pPr>
            <w:r>
              <w:rPr>
                <w:rFonts w:hint="eastAsia" w:ascii="宋体" w:hAnsi="宋体" w:cs="黑体"/>
                <w:bCs/>
                <w:color w:val="auto"/>
                <w:szCs w:val="21"/>
                <w:highlight w:val="none"/>
              </w:rPr>
              <w:t xml:space="preserve">…</w:t>
            </w:r>
            <w:r/>
          </w:p>
        </w:tc>
        <w:tc>
          <w:tcPr>
            <w:tcW w:w="24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40"/>
              <w:jc w:val="center"/>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240"/>
              <w:jc w:val="center"/>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40"/>
              <w:rPr>
                <w:rFonts w:ascii="宋体" w:hAnsi="宋体" w:cs="黑体"/>
                <w:bCs/>
                <w:color w:val="auto"/>
                <w:szCs w:val="21"/>
                <w:highlight w:val="none"/>
              </w:rPr>
            </w:pPr>
            <w:r>
              <w:rPr>
                <w:rFonts w:ascii="宋体" w:hAnsi="宋体" w:cs="黑体"/>
                <w:bCs/>
                <w:color w:val="auto"/>
                <w:szCs w:val="21"/>
                <w:highlight w:val="none"/>
              </w:rPr>
            </w:r>
            <w:r/>
          </w:p>
        </w:tc>
      </w:tr>
    </w:tbl>
    <w:p>
      <w:pPr>
        <w:pStyle w:val="710"/>
        <w:jc w:val="both"/>
        <w:spacing w:beforeAutospacing="0" w:afterAutospacing="0" w:line="52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5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5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1、请按上表格式，依照磋商文件项目要求相应内容逐项响应。</w:t>
      </w:r>
      <w:r/>
    </w:p>
    <w:p>
      <w:pPr>
        <w:ind w:firstLine="420"/>
        <w:spacing w:line="5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2、如根据磋商文件要求需提供“证明材料”的，需填写证明材料名称；磋商文件未要求提供“证明材料”的，可不填写。</w:t>
      </w:r>
      <w:r/>
    </w:p>
    <w:p>
      <w:pPr>
        <w:ind w:firstLine="420"/>
        <w:spacing w:line="520" w:lineRule="exact"/>
        <w:rPr>
          <w:rFonts w:ascii="宋体" w:hAnsi="宋体" w:cs="宋体"/>
          <w:b/>
          <w:bCs/>
          <w:color w:val="auto"/>
          <w:highlight w:val="none"/>
        </w:rPr>
      </w:pPr>
      <w:r>
        <w:rPr>
          <w:rFonts w:hint="eastAsia" w:ascii="宋体" w:hAnsi="宋体" w:cs="宋体"/>
          <w:b/>
          <w:bCs/>
          <w:color w:val="auto"/>
          <w:szCs w:val="21"/>
          <w:highlight w:val="none"/>
        </w:rPr>
        <w:t xml:space="preserve">3、如供应商提供的货物或服务与磋商文件的要求存在偏离，偏离情况可填写“正偏离”或“负偏离”；如完全满足磋商文件要求，偏离情况填写“完全满足”即可。</w:t>
      </w:r>
      <w:r/>
    </w:p>
    <w:p>
      <w:pPr>
        <w:ind w:firstLine="420"/>
        <w:jc w:val="right"/>
        <w:rPr>
          <w:rFonts w:ascii="宋体" w:hAnsi="宋体" w:cs="宋体"/>
          <w:bCs/>
          <w:color w:val="auto"/>
          <w:highlight w:val="none"/>
        </w:rPr>
      </w:pPr>
      <w:r>
        <w:rPr>
          <w:rFonts w:ascii="宋体" w:hAnsi="宋体" w:cs="宋体"/>
          <w:bCs/>
          <w:color w:val="auto"/>
          <w:highlight w:val="none"/>
        </w:rPr>
      </w:r>
      <w:r/>
    </w:p>
    <w:p>
      <w:pPr>
        <w:ind w:firstLine="420"/>
        <w:jc w:val="right"/>
        <w:rPr>
          <w:rFonts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jc w:val="right"/>
        <w:rPr>
          <w:rFonts w:ascii="宋体" w:hAnsi="宋体" w:cs="宋体"/>
          <w:color w:val="auto"/>
          <w:highlight w:val="none"/>
        </w:rPr>
      </w:pPr>
      <w:r>
        <w:rPr>
          <w:rFonts w:hint="eastAsia" w:ascii="宋体" w:hAnsi="宋体" w:cs="宋体"/>
          <w:color w:val="auto"/>
          <w:highlight w:val="none"/>
        </w:rPr>
        <w:t xml:space="preserve">法定代表人或授权代表（签字或盖章）：</w:t>
      </w:r>
      <w:r/>
    </w:p>
    <w:p>
      <w:pPr>
        <w:jc w:val="right"/>
        <w:rPr>
          <w:rFonts w:ascii="宋体" w:hAnsi="宋体" w:cs="宋体"/>
          <w:color w:val="auto"/>
          <w:highlight w:val="none"/>
        </w:rPr>
      </w:pPr>
      <w:r>
        <w:rPr>
          <w:rFonts w:hint="eastAsia" w:ascii="宋体" w:hAnsi="宋体" w:cs="宋体"/>
          <w:color w:val="auto"/>
          <w:highlight w:val="none"/>
        </w:rPr>
        <w:t xml:space="preserve">日期：  年  月  日</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Bold">
    <w:panose1 w:val="020B0604020202020204"/>
  </w:font>
  <w:font w:name="SimSun">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Courier New">
    <w:panose1 w:val="02070309020205020404"/>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a:effectLst/>
                    </wps:spPr>
                    <wps:txbx>
                      <w:txbxContent>
                        <w:p>
                          <w:pPr>
                            <w:pStyle w:val="877"/>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877"/>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11"/>
    <w:uiPriority w:val="10"/>
    <w:rPr>
      <w:sz w:val="48"/>
      <w:szCs w:val="48"/>
    </w:rPr>
  </w:style>
  <w:style w:type="character" w:styleId="36">
    <w:name w:val="Subtitle Char"/>
    <w:basedOn w:val="688"/>
    <w:link w:val="703"/>
    <w:uiPriority w:val="11"/>
    <w:rPr>
      <w:sz w:val="24"/>
      <w:szCs w:val="24"/>
    </w:rPr>
  </w:style>
  <w:style w:type="character" w:styleId="38">
    <w:name w:val="Quote Char"/>
    <w:link w:val="730"/>
    <w:uiPriority w:val="29"/>
    <w:rPr>
      <w:i/>
    </w:rPr>
  </w:style>
  <w:style w:type="character" w:styleId="40">
    <w:name w:val="Intense Quote Char"/>
    <w:link w:val="732"/>
    <w:uiPriority w:val="30"/>
    <w:rPr>
      <w:i/>
    </w:rPr>
  </w:style>
  <w:style w:type="character" w:styleId="42">
    <w:name w:val="Header Char"/>
    <w:basedOn w:val="688"/>
    <w:link w:val="700"/>
    <w:uiPriority w:val="99"/>
  </w:style>
  <w:style w:type="character" w:styleId="46">
    <w:name w:val="Caption Char"/>
    <w:basedOn w:val="691"/>
    <w:link w:val="699"/>
    <w:uiPriority w:val="99"/>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4"/>
    <w:uiPriority w:val="99"/>
    <w:rPr>
      <w:sz w:val="18"/>
    </w:rPr>
  </w:style>
  <w:style w:type="character" w:styleId="178">
    <w:name w:val="Endnote Text Char"/>
    <w:link w:val="698"/>
    <w:uiPriority w:val="99"/>
    <w:rPr>
      <w:sz w:val="20"/>
    </w:rPr>
  </w:style>
  <w:style w:type="paragraph" w:styleId="189">
    <w:name w:val="TOC Heading"/>
    <w:uiPriority w:val="39"/>
    <w:unhideWhenUsed/>
  </w:style>
  <w:style w:type="paragraph" w:styleId="678" w:default="1">
    <w:name w:val="Normal"/>
    <w:link w:val="916"/>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679">
    <w:name w:val="Heading 1"/>
    <w:basedOn w:val="678"/>
    <w:next w:val="678"/>
    <w:link w:val="71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1"/>
    <w:uiPriority w:val="9"/>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72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4"/>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5"/>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tblPr>
      <w:tblCellMar>
        <w:left w:w="108" w:type="dxa"/>
        <w:top w:w="0" w:type="dxa"/>
        <w:right w:w="108" w:type="dxa"/>
        <w:bottom w:w="0" w:type="dxa"/>
      </w:tblCellMar>
    </w:tblPr>
  </w:style>
  <w:style w:type="paragraph" w:styleId="690">
    <w:name w:val="toc 7"/>
    <w:basedOn w:val="678"/>
    <w:next w:val="678"/>
    <w:uiPriority w:val="39"/>
    <w:unhideWhenUsed/>
    <w:qFormat/>
    <w:pPr>
      <w:ind w:left="1701"/>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annotation text"/>
    <w:basedOn w:val="678"/>
    <w:uiPriority w:val="0"/>
    <w:qFormat/>
    <w:pPr>
      <w:jc w:val="left"/>
    </w:pPr>
  </w:style>
  <w:style w:type="paragraph" w:styleId="693">
    <w:name w:val="Body Text"/>
    <w:basedOn w:val="678"/>
    <w:next w:val="694"/>
    <w:uiPriority w:val="0"/>
    <w:qFormat/>
    <w:pPr>
      <w:spacing w:after="120"/>
    </w:pPr>
  </w:style>
  <w:style w:type="paragraph" w:styleId="694">
    <w:name w:val="Body Text First Indent"/>
    <w:basedOn w:val="693"/>
    <w:uiPriority w:val="0"/>
    <w:qFormat/>
    <w:pPr>
      <w:ind w:firstLine="420"/>
    </w:pPr>
  </w:style>
  <w:style w:type="paragraph" w:styleId="695">
    <w:name w:val="toc 5"/>
    <w:basedOn w:val="678"/>
    <w:next w:val="678"/>
    <w:uiPriority w:val="39"/>
    <w:unhideWhenUsed/>
    <w:qFormat/>
    <w:pPr>
      <w:ind w:left="1134"/>
      <w:spacing w:after="57"/>
    </w:pPr>
  </w:style>
  <w:style w:type="paragraph" w:styleId="696">
    <w:name w:val="toc 3"/>
    <w:basedOn w:val="678"/>
    <w:next w:val="678"/>
    <w:uiPriority w:val="39"/>
    <w:unhideWhenUsed/>
    <w:qFormat/>
    <w:pPr>
      <w:ind w:left="567"/>
      <w:spacing w:after="57"/>
    </w:pPr>
  </w:style>
  <w:style w:type="paragraph" w:styleId="697">
    <w:name w:val="toc 8"/>
    <w:basedOn w:val="678"/>
    <w:next w:val="678"/>
    <w:uiPriority w:val="39"/>
    <w:unhideWhenUsed/>
    <w:qFormat/>
    <w:pPr>
      <w:ind w:left="1984"/>
      <w:spacing w:after="57"/>
    </w:pPr>
  </w:style>
  <w:style w:type="paragraph" w:styleId="698">
    <w:name w:val="endnote text"/>
    <w:basedOn w:val="678"/>
    <w:link w:val="863"/>
    <w:uiPriority w:val="99"/>
    <w:semiHidden/>
    <w:unhideWhenUsed/>
    <w:qFormat/>
    <w:pPr>
      <w:spacing w:line="240" w:lineRule="auto"/>
    </w:pPr>
    <w:rPr>
      <w:sz w:val="20"/>
    </w:rPr>
  </w:style>
  <w:style w:type="paragraph" w:styleId="699">
    <w:name w:val="Footer"/>
    <w:basedOn w:val="678"/>
    <w:link w:val="736"/>
    <w:uiPriority w:val="99"/>
    <w:unhideWhenUsed/>
    <w:qFormat/>
    <w:pPr>
      <w:spacing w:line="240" w:lineRule="auto"/>
      <w:tabs>
        <w:tab w:val="center" w:pos="7143" w:leader="none"/>
        <w:tab w:val="right" w:pos="14287" w:leader="none"/>
      </w:tabs>
    </w:pPr>
  </w:style>
  <w:style w:type="paragraph" w:styleId="700">
    <w:name w:val="Header"/>
    <w:basedOn w:val="678"/>
    <w:link w:val="734"/>
    <w:uiPriority w:val="99"/>
    <w:unhideWhenUsed/>
    <w:qFormat/>
    <w:pPr>
      <w:spacing w:line="240" w:lineRule="auto"/>
      <w:tabs>
        <w:tab w:val="center" w:pos="7143" w:leader="none"/>
        <w:tab w:val="right" w:pos="14287" w:leader="none"/>
      </w:tabs>
    </w:pPr>
  </w:style>
  <w:style w:type="paragraph" w:styleId="701">
    <w:name w:val="toc 1"/>
    <w:basedOn w:val="678"/>
    <w:next w:val="678"/>
    <w:uiPriority w:val="39"/>
    <w:unhideWhenUsed/>
    <w:qFormat/>
    <w:pPr>
      <w:spacing w:after="57"/>
    </w:pPr>
  </w:style>
  <w:style w:type="paragraph" w:styleId="702">
    <w:name w:val="toc 4"/>
    <w:basedOn w:val="678"/>
    <w:next w:val="678"/>
    <w:uiPriority w:val="39"/>
    <w:unhideWhenUsed/>
    <w:qFormat/>
    <w:pPr>
      <w:ind w:left="850"/>
      <w:spacing w:after="57"/>
    </w:pPr>
  </w:style>
  <w:style w:type="paragraph" w:styleId="703">
    <w:name w:val="Subtitle"/>
    <w:basedOn w:val="678"/>
    <w:next w:val="678"/>
    <w:link w:val="729"/>
    <w:uiPriority w:val="11"/>
    <w:qFormat/>
    <w:pPr>
      <w:spacing w:before="200" w:after="200"/>
    </w:pPr>
    <w:rPr>
      <w:sz w:val="24"/>
    </w:rPr>
  </w:style>
  <w:style w:type="paragraph" w:styleId="704">
    <w:name w:val="footnote text"/>
    <w:basedOn w:val="678"/>
    <w:link w:val="862"/>
    <w:uiPriority w:val="99"/>
    <w:semiHidden/>
    <w:unhideWhenUsed/>
    <w:qFormat/>
    <w:pPr>
      <w:spacing w:after="40" w:line="240" w:lineRule="auto"/>
    </w:pPr>
    <w:rPr>
      <w:sz w:val="18"/>
    </w:rPr>
  </w:style>
  <w:style w:type="paragraph" w:styleId="705">
    <w:name w:val="toc 6"/>
    <w:basedOn w:val="678"/>
    <w:next w:val="678"/>
    <w:uiPriority w:val="39"/>
    <w:unhideWhenUsed/>
    <w:qFormat/>
    <w:pPr>
      <w:ind w:left="1417"/>
      <w:spacing w:after="57"/>
    </w:pPr>
  </w:style>
  <w:style w:type="paragraph" w:styleId="706">
    <w:name w:val="table of figures"/>
    <w:basedOn w:val="678"/>
    <w:next w:val="678"/>
    <w:uiPriority w:val="99"/>
    <w:unhideWhenUsed/>
    <w:qFormat/>
  </w:style>
  <w:style w:type="paragraph" w:styleId="707">
    <w:name w:val="toc 2"/>
    <w:basedOn w:val="678"/>
    <w:next w:val="678"/>
    <w:uiPriority w:val="39"/>
    <w:unhideWhenUsed/>
    <w:qFormat/>
    <w:pPr>
      <w:ind w:left="283"/>
      <w:spacing w:after="57"/>
    </w:pPr>
  </w:style>
  <w:style w:type="paragraph" w:styleId="708">
    <w:name w:val="toc 9"/>
    <w:basedOn w:val="678"/>
    <w:next w:val="678"/>
    <w:uiPriority w:val="39"/>
    <w:unhideWhenUsed/>
    <w:qFormat/>
    <w:pPr>
      <w:ind w:left="2268"/>
      <w:spacing w:after="57"/>
    </w:pPr>
  </w:style>
  <w:style w:type="paragraph" w:styleId="709">
    <w:name w:val="Body Text 2"/>
    <w:uiPriority w:val="0"/>
    <w:qFormat/>
    <w:pPr>
      <w:spacing w:after="120" w:line="480" w:lineRule="auto"/>
    </w:pPr>
    <w:rPr>
      <w:rFonts w:ascii="Arial" w:hAnsi="Arial" w:eastAsia="Arial" w:cs="Arial"/>
      <w:color w:val="000000"/>
      <w:sz w:val="21"/>
      <w:szCs w:val="21"/>
      <w:lang w:val="en-US" w:eastAsia="en-US" w:bidi="ar-SA"/>
    </w:rPr>
  </w:style>
  <w:style w:type="paragraph" w:styleId="710">
    <w:name w:val="Normal (Web)"/>
    <w:basedOn w:val="678"/>
    <w:uiPriority w:val="99"/>
    <w:semiHidden/>
    <w:unhideWhenUsed/>
    <w:qFormat/>
    <w:pPr>
      <w:jc w:val="left"/>
      <w:spacing w:beforeAutospacing="1" w:afterAutospacing="1"/>
    </w:pPr>
    <w:rPr>
      <w:sz w:val="24"/>
    </w:rPr>
  </w:style>
  <w:style w:type="paragraph" w:styleId="711">
    <w:name w:val="Title"/>
    <w:basedOn w:val="678"/>
    <w:next w:val="678"/>
    <w:link w:val="728"/>
    <w:uiPriority w:val="10"/>
    <w:qFormat/>
    <w:pPr>
      <w:contextualSpacing/>
      <w:spacing w:before="300" w:after="200"/>
    </w:pPr>
    <w:rPr>
      <w:sz w:val="48"/>
      <w:szCs w:val="48"/>
    </w:rPr>
  </w:style>
  <w:style w:type="table" w:styleId="7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uiPriority w:val="99"/>
    <w:semiHidden/>
    <w:unhideWhenUsed/>
    <w:qFormat/>
    <w:rPr>
      <w:vertAlign w:val="superscript"/>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annotation reference"/>
    <w:uiPriority w:val="0"/>
    <w:semiHidden/>
    <w:qFormat/>
    <w:rPr>
      <w:sz w:val="21"/>
      <w:szCs w:val="21"/>
    </w:rPr>
  </w:style>
  <w:style w:type="character" w:styleId="716">
    <w:name w:val="footnote reference"/>
    <w:uiPriority w:val="99"/>
    <w:unhideWhenUsed/>
    <w:qFormat/>
    <w:rPr>
      <w:vertAlign w:val="superscript"/>
    </w:rPr>
  </w:style>
  <w:style w:type="character" w:styleId="717" w:customStyle="1">
    <w:name w:val="标题 1 字符"/>
    <w:link w:val="679"/>
    <w:uiPriority w:val="9"/>
    <w:qFormat/>
    <w:rPr>
      <w:rFonts w:ascii="Arial" w:hAnsi="Arial" w:eastAsia="Arial" w:cs="Arial"/>
      <w:sz w:val="40"/>
      <w:szCs w:val="40"/>
    </w:rPr>
  </w:style>
  <w:style w:type="character" w:styleId="718" w:customStyle="1">
    <w:name w:val="标题 2 字符"/>
    <w:link w:val="680"/>
    <w:uiPriority w:val="9"/>
    <w:qFormat/>
    <w:rPr>
      <w:rFonts w:ascii="Arial" w:hAnsi="Arial" w:eastAsia="Arial" w:cs="Arial"/>
      <w:sz w:val="34"/>
    </w:rPr>
  </w:style>
  <w:style w:type="character" w:styleId="719" w:customStyle="1">
    <w:name w:val="标题 3 字符"/>
    <w:link w:val="681"/>
    <w:uiPriority w:val="9"/>
    <w:qFormat/>
    <w:rPr>
      <w:rFonts w:ascii="Arial" w:hAnsi="Arial" w:eastAsia="Arial" w:cs="Arial"/>
      <w:sz w:val="30"/>
      <w:szCs w:val="30"/>
    </w:rPr>
  </w:style>
  <w:style w:type="character" w:styleId="720" w:customStyle="1">
    <w:name w:val="标题 4 字符"/>
    <w:link w:val="682"/>
    <w:uiPriority w:val="9"/>
    <w:qFormat/>
    <w:rPr>
      <w:rFonts w:ascii="Arial" w:hAnsi="Arial" w:eastAsia="Arial" w:cs="Arial"/>
      <w:b/>
      <w:bCs/>
      <w:sz w:val="26"/>
      <w:szCs w:val="26"/>
    </w:rPr>
  </w:style>
  <w:style w:type="character" w:styleId="721" w:customStyle="1">
    <w:name w:val="标题 5 字符"/>
    <w:link w:val="683"/>
    <w:uiPriority w:val="9"/>
    <w:qFormat/>
    <w:rPr>
      <w:rFonts w:ascii="Arial" w:hAnsi="Arial" w:eastAsia="Arial" w:cs="Arial"/>
      <w:b/>
      <w:bCs/>
      <w:sz w:val="24"/>
      <w:szCs w:val="24"/>
    </w:rPr>
  </w:style>
  <w:style w:type="character" w:styleId="722" w:customStyle="1">
    <w:name w:val="标题 6 字符"/>
    <w:link w:val="684"/>
    <w:uiPriority w:val="9"/>
    <w:qFormat/>
    <w:rPr>
      <w:rFonts w:ascii="Arial" w:hAnsi="Arial" w:eastAsia="Arial" w:cs="Arial"/>
      <w:b/>
      <w:bCs/>
      <w:sz w:val="22"/>
      <w:szCs w:val="22"/>
    </w:rPr>
  </w:style>
  <w:style w:type="character" w:styleId="723" w:customStyle="1">
    <w:name w:val="标题 7 字符"/>
    <w:link w:val="685"/>
    <w:uiPriority w:val="9"/>
    <w:qFormat/>
    <w:rPr>
      <w:rFonts w:ascii="Arial" w:hAnsi="Arial" w:eastAsia="Arial" w:cs="Arial"/>
      <w:b/>
      <w:bCs/>
      <w:i/>
      <w:iCs/>
      <w:sz w:val="22"/>
      <w:szCs w:val="22"/>
    </w:rPr>
  </w:style>
  <w:style w:type="character" w:styleId="724" w:customStyle="1">
    <w:name w:val="标题 8 字符"/>
    <w:link w:val="686"/>
    <w:uiPriority w:val="9"/>
    <w:qFormat/>
    <w:rPr>
      <w:rFonts w:ascii="Arial" w:hAnsi="Arial" w:eastAsia="Arial" w:cs="Arial"/>
      <w:i/>
      <w:iCs/>
      <w:sz w:val="22"/>
      <w:szCs w:val="22"/>
    </w:rPr>
  </w:style>
  <w:style w:type="character" w:styleId="725" w:customStyle="1">
    <w:name w:val="标题 9 字符"/>
    <w:link w:val="687"/>
    <w:uiPriority w:val="9"/>
    <w:qFormat/>
    <w:rPr>
      <w:rFonts w:ascii="Arial" w:hAnsi="Arial" w:eastAsia="Arial" w:cs="Arial"/>
      <w:i/>
      <w:iCs/>
      <w:sz w:val="21"/>
      <w:szCs w:val="21"/>
    </w:rPr>
  </w:style>
  <w:style w:type="paragraph" w:styleId="726">
    <w:name w:val="List Paragraph"/>
    <w:basedOn w:val="678"/>
    <w:uiPriority w:val="34"/>
    <w:qFormat/>
    <w:pPr>
      <w:contextualSpacing/>
      <w:ind w:left="720"/>
    </w:pPr>
  </w:style>
  <w:style w:type="paragraph" w:styleId="727">
    <w:name w:val="No Spacing"/>
    <w:uiPriority w:val="1"/>
    <w:qFormat/>
    <w:rPr>
      <w:rFonts w:ascii="Times New Roman" w:hAnsi="Times New Roman" w:eastAsia="宋体" w:cs="Times New Roman"/>
      <w:lang w:val="en-US" w:eastAsia="zh-CN" w:bidi="ar-SA"/>
    </w:rPr>
  </w:style>
  <w:style w:type="character" w:styleId="728" w:customStyle="1">
    <w:name w:val="标题 字符"/>
    <w:link w:val="711"/>
    <w:uiPriority w:val="10"/>
    <w:qFormat/>
    <w:rPr>
      <w:sz w:val="48"/>
      <w:szCs w:val="48"/>
    </w:rPr>
  </w:style>
  <w:style w:type="character" w:styleId="729" w:customStyle="1">
    <w:name w:val="副标题 字符"/>
    <w:link w:val="703"/>
    <w:uiPriority w:val="11"/>
    <w:qFormat/>
    <w:rPr>
      <w:sz w:val="24"/>
      <w:szCs w:val="24"/>
    </w:rPr>
  </w:style>
  <w:style w:type="paragraph" w:styleId="730">
    <w:name w:val="Quote"/>
    <w:basedOn w:val="678"/>
    <w:next w:val="678"/>
    <w:link w:val="731"/>
    <w:uiPriority w:val="29"/>
    <w:qFormat/>
    <w:pPr>
      <w:ind w:left="720" w:right="720"/>
    </w:pPr>
    <w:rPr>
      <w:i/>
    </w:rPr>
  </w:style>
  <w:style w:type="character" w:styleId="731" w:customStyle="1">
    <w:name w:val="引用 字符"/>
    <w:link w:val="730"/>
    <w:uiPriority w:val="29"/>
    <w:qFormat/>
    <w:rPr>
      <w:i/>
    </w:rPr>
  </w:style>
  <w:style w:type="paragraph" w:styleId="732">
    <w:name w:val="Intense Quote"/>
    <w:basedOn w:val="678"/>
    <w:next w:val="678"/>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字符"/>
    <w:link w:val="732"/>
    <w:uiPriority w:val="30"/>
    <w:qFormat/>
    <w:rPr>
      <w:i/>
    </w:rPr>
  </w:style>
  <w:style w:type="character" w:styleId="734" w:customStyle="1">
    <w:name w:val="页眉 字符"/>
    <w:link w:val="700"/>
    <w:uiPriority w:val="99"/>
    <w:qFormat/>
  </w:style>
  <w:style w:type="character" w:styleId="735" w:customStyle="1">
    <w:name w:val="Footer Char"/>
    <w:uiPriority w:val="99"/>
    <w:qFormat/>
  </w:style>
  <w:style w:type="character" w:styleId="736" w:customStyle="1">
    <w:name w:val="页脚 字符"/>
    <w:link w:val="699"/>
    <w:uiPriority w:val="99"/>
    <w:qFormat/>
  </w:style>
  <w:style w:type="table" w:styleId="7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脚注文本 字符"/>
    <w:link w:val="704"/>
    <w:uiPriority w:val="99"/>
    <w:qFormat/>
    <w:rPr>
      <w:sz w:val="18"/>
    </w:rPr>
  </w:style>
  <w:style w:type="character" w:styleId="863" w:customStyle="1">
    <w:name w:val="尾注文本 字符"/>
    <w:link w:val="698"/>
    <w:uiPriority w:val="99"/>
    <w:qFormat/>
    <w:rPr>
      <w:sz w:val="20"/>
    </w:rPr>
  </w:style>
  <w:style w:type="paragraph" w:styleId="864" w:customStyle="1">
    <w:name w:val="TOC 标题1"/>
    <w:uiPriority w:val="39"/>
    <w:unhideWhenUsed/>
    <w:qFormat/>
    <w:rPr>
      <w:rFonts w:ascii="Times New Roman" w:hAnsi="Times New Roman" w:eastAsia="宋体" w:cs="Times New Roman"/>
      <w:lang w:val="en-US" w:eastAsia="zh-CN" w:bidi="ar-SA"/>
    </w:rPr>
  </w:style>
  <w:style w:type="paragraph" w:styleId="865" w:customStyle="1">
    <w:name w:val="标题 11"/>
    <w:basedOn w:val="678"/>
    <w:next w:val="678"/>
    <w:uiPriority w:val="0"/>
    <w:qFormat/>
    <w:pPr>
      <w:keepNext/>
      <w:outlineLvl w:val="0"/>
    </w:pPr>
    <w:rPr>
      <w:rFonts w:ascii="楷体_GB2312" w:eastAsia="楷体_GB2312"/>
      <w:sz w:val="28"/>
      <w:szCs w:val="20"/>
    </w:rPr>
  </w:style>
  <w:style w:type="paragraph" w:styleId="866" w:customStyle="1">
    <w:name w:val="标题 21"/>
    <w:basedOn w:val="678"/>
    <w:next w:val="867"/>
    <w:uiPriority w:val="0"/>
    <w:qFormat/>
    <w:pPr>
      <w:jc w:val="center"/>
      <w:keepLines/>
      <w:keepNext/>
      <w:spacing w:before="260" w:after="260" w:line="416" w:lineRule="auto"/>
      <w:outlineLvl w:val="1"/>
    </w:pPr>
    <w:rPr>
      <w:rFonts w:ascii="Arial" w:hAnsi="Arial" w:eastAsia="幼圆"/>
      <w:b/>
      <w:sz w:val="44"/>
      <w:szCs w:val="20"/>
    </w:rPr>
  </w:style>
  <w:style w:type="paragraph" w:styleId="867" w:customStyle="1">
    <w:name w:val="正文缩进1"/>
    <w:basedOn w:val="678"/>
    <w:next w:val="678"/>
    <w:uiPriority w:val="0"/>
    <w:qFormat/>
    <w:pPr>
      <w:ind w:firstLine="420"/>
    </w:pPr>
    <w:rPr>
      <w:szCs w:val="21"/>
    </w:rPr>
  </w:style>
  <w:style w:type="paragraph" w:styleId="868" w:customStyle="1">
    <w:name w:val="标题 41"/>
    <w:basedOn w:val="678"/>
    <w:next w:val="678"/>
    <w:uiPriority w:val="0"/>
    <w:qFormat/>
    <w:pPr>
      <w:keepLines/>
      <w:keepNext/>
      <w:spacing w:before="120" w:after="120"/>
      <w:outlineLvl w:val="3"/>
    </w:pPr>
    <w:rPr>
      <w:rFonts w:ascii="Arial" w:hAnsi="Arial" w:eastAsia="黑体"/>
      <w:b/>
      <w:sz w:val="28"/>
    </w:rPr>
  </w:style>
  <w:style w:type="character" w:styleId="869" w:customStyle="1">
    <w:name w:val="默认段落字体1"/>
    <w:uiPriority w:val="0"/>
    <w:semiHidden/>
    <w:qFormat/>
  </w:style>
  <w:style w:type="table" w:styleId="870" w:customStyle="1">
    <w:name w:val="普通表格1"/>
    <w:uiPriority w:val="0"/>
    <w:semiHidden/>
    <w:qFormat/>
    <w:tblPr>
      <w:tblCellMar>
        <w:left w:w="0" w:type="dxa"/>
        <w:top w:w="0" w:type="dxa"/>
        <w:right w:w="0" w:type="dxa"/>
        <w:bottom w:w="0" w:type="dxa"/>
      </w:tblCellMar>
    </w:tblPr>
  </w:style>
  <w:style w:type="paragraph" w:styleId="871" w:customStyle="1">
    <w:name w:val="批注文字1"/>
    <w:basedOn w:val="678"/>
    <w:uiPriority w:val="0"/>
    <w:qFormat/>
    <w:pPr>
      <w:jc w:val="left"/>
    </w:pPr>
  </w:style>
  <w:style w:type="paragraph" w:styleId="872" w:customStyle="1">
    <w:name w:val="正文文本1"/>
    <w:basedOn w:val="678"/>
    <w:uiPriority w:val="0"/>
    <w:qFormat/>
    <w:rPr>
      <w:rFonts w:ascii="楷体_GB2312" w:hAnsi="Arial" w:eastAsia="楷体_GB2312"/>
      <w:sz w:val="28"/>
      <w:szCs w:val="20"/>
    </w:rPr>
  </w:style>
  <w:style w:type="paragraph" w:styleId="873" w:customStyle="1">
    <w:name w:val="正文文本缩进1"/>
    <w:basedOn w:val="678"/>
    <w:uiPriority w:val="0"/>
    <w:qFormat/>
    <w:pPr>
      <w:ind w:firstLine="645"/>
    </w:pPr>
    <w:rPr>
      <w:rFonts w:ascii="楷体_GB2312" w:eastAsia="楷体_GB2312"/>
      <w:sz w:val="32"/>
      <w:szCs w:val="20"/>
    </w:rPr>
  </w:style>
  <w:style w:type="paragraph" w:styleId="874" w:customStyle="1">
    <w:name w:val="纯文本11"/>
    <w:basedOn w:val="678"/>
    <w:uiPriority w:val="0"/>
    <w:qFormat/>
    <w:rPr>
      <w:rFonts w:ascii="宋体" w:hAnsi="Courier New"/>
      <w:szCs w:val="21"/>
      <w:lang w:val="zh-CN"/>
    </w:rPr>
  </w:style>
  <w:style w:type="paragraph" w:styleId="875" w:customStyle="1">
    <w:name w:val="批注框文本1"/>
    <w:basedOn w:val="678"/>
    <w:link w:val="876"/>
    <w:uiPriority w:val="0"/>
    <w:qFormat/>
    <w:pPr>
      <w:spacing w:line="240" w:lineRule="auto"/>
    </w:pPr>
    <w:rPr>
      <w:sz w:val="18"/>
      <w:szCs w:val="18"/>
    </w:rPr>
  </w:style>
  <w:style w:type="character" w:styleId="876" w:customStyle="1">
    <w:name w:val="批注框文本 Char"/>
    <w:link w:val="875"/>
    <w:uiPriority w:val="0"/>
    <w:qFormat/>
    <w:rPr>
      <w:sz w:val="18"/>
      <w:szCs w:val="18"/>
    </w:rPr>
  </w:style>
  <w:style w:type="paragraph" w:styleId="877" w:customStyle="1">
    <w:name w:val="页脚1"/>
    <w:basedOn w:val="678"/>
    <w:uiPriority w:val="0"/>
    <w:qFormat/>
    <w:pPr>
      <w:jc w:val="left"/>
      <w:tabs>
        <w:tab w:val="center" w:pos="4153" w:leader="none"/>
        <w:tab w:val="right" w:pos="8306" w:leader="none"/>
      </w:tabs>
    </w:pPr>
    <w:rPr>
      <w:sz w:val="18"/>
      <w:szCs w:val="20"/>
    </w:rPr>
  </w:style>
  <w:style w:type="paragraph" w:styleId="878"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879" w:customStyle="1">
    <w:name w:val="副标题1"/>
    <w:basedOn w:val="678"/>
    <w:next w:val="678"/>
    <w:uiPriority w:val="0"/>
    <w:qFormat/>
    <w:pPr>
      <w:jc w:val="center"/>
      <w:spacing w:before="240" w:after="60" w:line="312" w:lineRule="auto"/>
      <w:outlineLvl w:val="1"/>
    </w:pPr>
    <w:rPr>
      <w:rFonts w:ascii="Cambria" w:hAnsi="Cambria"/>
      <w:b/>
      <w:sz w:val="32"/>
    </w:rPr>
  </w:style>
  <w:style w:type="paragraph" w:styleId="880" w:customStyle="1">
    <w:name w:val="普通(网站)1"/>
    <w:basedOn w:val="678"/>
    <w:uiPriority w:val="0"/>
    <w:qFormat/>
    <w:pPr>
      <w:jc w:val="left"/>
      <w:spacing w:before="100" w:beforeAutospacing="1" w:after="100" w:afterAutospacing="1"/>
      <w:widowControl/>
    </w:pPr>
    <w:rPr>
      <w:rFonts w:ascii="宋体" w:hAnsi="宋体" w:cs="宋体"/>
      <w:sz w:val="24"/>
    </w:rPr>
  </w:style>
  <w:style w:type="paragraph" w:styleId="881" w:customStyle="1">
    <w:name w:val="正文首行缩进1"/>
    <w:basedOn w:val="872"/>
    <w:uiPriority w:val="0"/>
    <w:qFormat/>
    <w:pPr>
      <w:ind w:firstLine="420"/>
      <w:spacing w:after="120"/>
    </w:pPr>
    <w:rPr>
      <w:szCs w:val="24"/>
    </w:rPr>
  </w:style>
  <w:style w:type="paragraph" w:styleId="882" w:customStyle="1">
    <w:name w:val="正文首行缩进 21"/>
    <w:basedOn w:val="873"/>
    <w:uiPriority w:val="0"/>
    <w:semiHidden/>
    <w:qFormat/>
    <w:pPr>
      <w:ind w:firstLine="420"/>
    </w:pPr>
  </w:style>
  <w:style w:type="table" w:styleId="883" w:customStyle="1">
    <w:name w:val="网格型1"/>
    <w:basedOn w:val="870"/>
    <w:uiPriority w:val="0"/>
    <w:qFormat/>
    <w:pPr>
      <w:jc w:val="both"/>
      <w:widowControl w:val="off"/>
    </w:pPr>
    <w:tblPr/>
  </w:style>
  <w:style w:type="character" w:styleId="884" w:customStyle="1">
    <w:name w:val="页码1"/>
    <w:uiPriority w:val="0"/>
    <w:qFormat/>
    <w:rPr>
      <w:rFonts w:ascii="Times New Roman" w:hAnsi="Times New Roman" w:eastAsia="宋体"/>
    </w:rPr>
  </w:style>
  <w:style w:type="paragraph" w:styleId="885" w:customStyle="1">
    <w:name w:val="段"/>
    <w:next w:val="678"/>
    <w:uiPriority w:val="0"/>
    <w:qFormat/>
    <w:pPr>
      <w:ind w:firstLine="200"/>
      <w:jc w:val="both"/>
    </w:pPr>
    <w:rPr>
      <w:rFonts w:ascii="宋体" w:hAnsi="Times New Roman" w:eastAsia="宋体" w:cs="Times New Roman"/>
      <w:sz w:val="21"/>
      <w:lang w:val="en-US" w:eastAsia="zh-CN" w:bidi="ar-SA"/>
    </w:rPr>
  </w:style>
  <w:style w:type="paragraph" w:styleId="886" w:customStyle="1">
    <w:name w:val="正文11"/>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Default"/>
    <w:basedOn w:val="678"/>
    <w:uiPriority w:val="0"/>
    <w:qFormat/>
    <w:pPr>
      <w:jc w:val="left"/>
    </w:pPr>
    <w:rPr>
      <w:rFonts w:ascii="仿宋" w:hAnsi="仿宋" w:eastAsia="仿宋" w:cs="宋体"/>
      <w:color w:val="000000"/>
      <w:sz w:val="24"/>
    </w:rPr>
  </w:style>
  <w:style w:type="paragraph" w:styleId="888" w:customStyle="1">
    <w:name w:val="TOC 71"/>
    <w:basedOn w:val="678"/>
    <w:next w:val="678"/>
    <w:uiPriority w:val="0"/>
    <w:qFormat/>
    <w:pPr>
      <w:ind w:left="2550"/>
      <w:spacing w:before="100" w:beforeAutospacing="1" w:after="100" w:afterAutospacing="1"/>
      <w:widowControl/>
    </w:pPr>
    <w:rPr>
      <w:szCs w:val="21"/>
    </w:rPr>
  </w:style>
  <w:style w:type="paragraph" w:styleId="889" w:customStyle="1">
    <w:name w:val="普通正文"/>
    <w:basedOn w:val="678"/>
    <w:uiPriority w:val="0"/>
    <w:qFormat/>
    <w:pPr>
      <w:ind w:firstLine="480"/>
      <w:jc w:val="left"/>
      <w:spacing w:before="120" w:after="120"/>
    </w:pPr>
    <w:rPr>
      <w:rFonts w:ascii="Arial" w:hAnsi="Arial"/>
      <w:sz w:val="24"/>
    </w:rPr>
  </w:style>
  <w:style w:type="paragraph" w:styleId="890" w:customStyle="1">
    <w:name w:val="WPSOffice手动目录 1"/>
    <w:uiPriority w:val="0"/>
    <w:qFormat/>
    <w:rPr>
      <w:rFonts w:ascii="Times New Roman" w:hAnsi="Times New Roman" w:eastAsia="宋体" w:cs="Times New Roman"/>
      <w:lang w:val="en-US" w:eastAsia="zh-CN" w:bidi="ar-SA"/>
    </w:rPr>
  </w:style>
  <w:style w:type="paragraph" w:styleId="891" w:customStyle="1">
    <w:name w:val="List Paragraph1"/>
    <w:basedOn w:val="678"/>
    <w:uiPriority w:val="0"/>
    <w:qFormat/>
    <w:pPr>
      <w:ind w:firstLine="420"/>
    </w:pPr>
    <w:rPr>
      <w:szCs w:val="22"/>
    </w:rPr>
  </w:style>
  <w:style w:type="paragraph" w:styleId="892" w:customStyle="1">
    <w:name w:val="_Style 21"/>
    <w:basedOn w:val="678"/>
    <w:next w:val="891"/>
    <w:uiPriority w:val="0"/>
    <w:qFormat/>
    <w:pPr>
      <w:ind w:left="890" w:firstLine="420"/>
      <w:jc w:val="left"/>
    </w:pPr>
    <w:rPr>
      <w:rFonts w:ascii="Calibri" w:hAnsi="Calibri"/>
      <w:szCs w:val="22"/>
    </w:rPr>
  </w:style>
  <w:style w:type="paragraph" w:styleId="893" w:customStyle="1">
    <w:name w:val="列出段落1"/>
    <w:basedOn w:val="678"/>
    <w:uiPriority w:val="0"/>
    <w:qFormat/>
    <w:pPr>
      <w:ind w:firstLine="420"/>
    </w:pPr>
    <w:rPr>
      <w:rFonts w:ascii="Calibri" w:hAnsi="Calibri"/>
      <w:szCs w:val="22"/>
    </w:rPr>
  </w:style>
  <w:style w:type="paragraph" w:styleId="894" w:customStyle="1">
    <w:name w:val="正文空2格  1."/>
    <w:basedOn w:val="678"/>
    <w:uiPriority w:val="0"/>
    <w:qFormat/>
    <w:pPr>
      <w:ind w:firstLine="480"/>
    </w:pPr>
    <w:rPr>
      <w:rFonts w:cs="宋体"/>
      <w:sz w:val="28"/>
      <w:szCs w:val="20"/>
    </w:rPr>
  </w:style>
  <w:style w:type="paragraph" w:styleId="895" w:customStyle="1">
    <w:name w:val="_Style 1"/>
    <w:uiPriority w:val="0"/>
    <w:qFormat/>
    <w:rPr>
      <w:rFonts w:ascii="Tahoma" w:hAnsi="Tahoma" w:eastAsia="宋体" w:cs="Times New Roman"/>
      <w:sz w:val="22"/>
      <w:szCs w:val="22"/>
      <w:lang w:val="en-US" w:eastAsia="zh-CN" w:bidi="ar-SA"/>
    </w:rPr>
  </w:style>
  <w:style w:type="paragraph" w:styleId="896" w:customStyle="1">
    <w:name w:val="注释标题1"/>
    <w:basedOn w:val="678"/>
    <w:next w:val="678"/>
    <w:uiPriority w:val="0"/>
    <w:qFormat/>
    <w:rPr>
      <w:rFonts w:ascii="Verdana" w:hAnsi="Verdana"/>
      <w:szCs w:val="20"/>
    </w:rPr>
  </w:style>
  <w:style w:type="paragraph" w:styleId="897" w:customStyle="1">
    <w:name w:val="纯文本1"/>
    <w:basedOn w:val="678"/>
    <w:uiPriority w:val="0"/>
    <w:qFormat/>
    <w:rPr>
      <w:rFonts w:ascii="宋体" w:hAnsi="Courier New" w:eastAsia="楷体_GB2312" w:cs="宋体"/>
      <w:sz w:val="28"/>
      <w:szCs w:val="21"/>
    </w:rPr>
  </w:style>
  <w:style w:type="paragraph" w:styleId="898"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99" w:customStyle="1">
    <w:name w:val="目录 11"/>
    <w:basedOn w:val="886"/>
    <w:next w:val="886"/>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00" w:customStyle="1">
    <w:name w:val="Char"/>
    <w:basedOn w:val="678"/>
    <w:uiPriority w:val="0"/>
    <w:qFormat/>
    <w:pPr>
      <w:tabs>
        <w:tab w:val="left" w:pos="360" w:leader="none"/>
      </w:tabs>
    </w:pPr>
    <w:rPr>
      <w:sz w:val="24"/>
    </w:rPr>
  </w:style>
  <w:style w:type="character" w:styleId="901" w:customStyle="1">
    <w:name w:val="font21"/>
    <w:uiPriority w:val="0"/>
    <w:qFormat/>
    <w:rPr>
      <w:rFonts w:hint="eastAsia" w:ascii="宋体" w:hAnsi="宋体" w:eastAsia="宋体" w:cs="宋体"/>
      <w:color w:val="ff0000"/>
      <w:sz w:val="22"/>
      <w:szCs w:val="22"/>
      <w:u w:val="none"/>
    </w:rPr>
  </w:style>
  <w:style w:type="paragraph" w:styleId="902" w:customStyle="1">
    <w:name w:val="列出段落2"/>
    <w:basedOn w:val="678"/>
    <w:uiPriority w:val="34"/>
    <w:qFormat/>
    <w:pPr>
      <w:ind w:firstLine="420"/>
    </w:pPr>
  </w:style>
  <w:style w:type="table" w:styleId="903" w:customStyle="1">
    <w:name w:val="Table Normal"/>
    <w:uiPriority w:val="0"/>
    <w:unhideWhenUsed/>
    <w:qFormat/>
    <w:tblPr>
      <w:tblCellMar>
        <w:left w:w="0" w:type="dxa"/>
        <w:top w:w="0" w:type="dxa"/>
        <w:right w:w="0" w:type="dxa"/>
        <w:bottom w:w="0" w:type="dxa"/>
      </w:tblCellMar>
    </w:tblPr>
  </w:style>
  <w:style w:type="paragraph" w:styleId="904" w:customStyle="1">
    <w:name w:val="Table Text"/>
    <w:basedOn w:val="678"/>
    <w:uiPriority w:val="0"/>
    <w:semiHidden/>
    <w:qFormat/>
    <w:rPr>
      <w:rFonts w:ascii="Arial" w:hAnsi="Arial" w:eastAsia="Arial" w:cs="Arial"/>
      <w:szCs w:val="21"/>
      <w:lang w:eastAsia="en-US"/>
    </w:rPr>
  </w:style>
  <w:style w:type="paragraph" w:styleId="905" w:customStyle="1">
    <w:name w:val="DAS正文"/>
    <w:basedOn w:val="678"/>
    <w:uiPriority w:val="0"/>
    <w:qFormat/>
    <w:pPr>
      <w:ind w:right="181" w:firstLine="480"/>
    </w:pPr>
    <w:rPr>
      <w:rFonts w:ascii="Verdana" w:hAnsi="Verdana"/>
    </w:rPr>
  </w:style>
  <w:style w:type="character" w:styleId="906" w:customStyle="1">
    <w:name w:val="apple-style-span"/>
    <w:basedOn w:val="688"/>
    <w:uiPriority w:val="0"/>
    <w:qFormat/>
  </w:style>
  <w:style w:type="character" w:styleId="907" w:customStyle="1">
    <w:name w:val="font41"/>
    <w:basedOn w:val="688"/>
    <w:uiPriority w:val="0"/>
    <w:qFormat/>
    <w:rPr>
      <w:rFonts w:hint="default" w:ascii="方正黑体_GBK" w:hAnsi="方正黑体_GBK" w:eastAsia="方正黑体_GBK" w:cs="方正黑体_GBK"/>
      <w:color w:val="000000"/>
      <w:sz w:val="24"/>
      <w:szCs w:val="24"/>
      <w:u w:val="none"/>
    </w:rPr>
  </w:style>
  <w:style w:type="character" w:styleId="908" w:customStyle="1">
    <w:name w:val="font71"/>
    <w:basedOn w:val="688"/>
    <w:uiPriority w:val="0"/>
    <w:qFormat/>
    <w:rPr>
      <w:rFonts w:hint="default" w:ascii="方正黑体_GBK" w:hAnsi="方正黑体_GBK" w:eastAsia="方正黑体_GBK" w:cs="方正黑体_GBK"/>
      <w:color w:val="000000"/>
      <w:sz w:val="22"/>
      <w:szCs w:val="22"/>
      <w:u w:val="none"/>
    </w:rPr>
  </w:style>
  <w:style w:type="character" w:styleId="909" w:customStyle="1">
    <w:name w:val="font51"/>
    <w:basedOn w:val="688"/>
    <w:uiPriority w:val="0"/>
    <w:qFormat/>
    <w:rPr>
      <w:rFonts w:hint="eastAsia" w:ascii="宋体" w:hAnsi="宋体" w:eastAsia="宋体" w:cs="宋体"/>
      <w:color w:val="000000"/>
      <w:sz w:val="24"/>
      <w:szCs w:val="24"/>
      <w:u w:val="none"/>
    </w:rPr>
  </w:style>
  <w:style w:type="character" w:styleId="910" w:customStyle="1">
    <w:name w:val="font81"/>
    <w:basedOn w:val="688"/>
    <w:uiPriority w:val="0"/>
    <w:qFormat/>
    <w:rPr>
      <w:rFonts w:hint="eastAsia" w:ascii="宋体" w:hAnsi="宋体" w:eastAsia="宋体" w:cs="宋体"/>
      <w:color w:val="000000"/>
      <w:sz w:val="20"/>
      <w:szCs w:val="20"/>
      <w:u w:val="none"/>
    </w:rPr>
  </w:style>
  <w:style w:type="character" w:styleId="911" w:customStyle="1">
    <w:name w:val="font61"/>
    <w:basedOn w:val="688"/>
    <w:uiPriority w:val="0"/>
    <w:qFormat/>
    <w:rPr>
      <w:rFonts w:hint="eastAsia" w:ascii="宋体" w:hAnsi="宋体" w:eastAsia="宋体" w:cs="宋体"/>
      <w:color w:val="000000"/>
      <w:sz w:val="20"/>
      <w:szCs w:val="20"/>
      <w:u w:val="none"/>
    </w:rPr>
  </w:style>
  <w:style w:type="character" w:styleId="912" w:customStyle="1">
    <w:name w:val="font01"/>
    <w:basedOn w:val="688"/>
    <w:uiPriority w:val="0"/>
    <w:qFormat/>
    <w:rPr>
      <w:rFonts w:hint="eastAsia" w:ascii="宋体" w:hAnsi="宋体" w:eastAsia="宋体" w:cs="宋体"/>
      <w:color w:val="000000"/>
      <w:sz w:val="22"/>
      <w:szCs w:val="22"/>
      <w:u w:val="none"/>
    </w:rPr>
  </w:style>
  <w:style w:type="paragraph" w:styleId="913" w:customStyle="1">
    <w:name w:val="Char1"/>
    <w:basedOn w:val="678"/>
    <w:uiPriority w:val="0"/>
    <w:qFormat/>
    <w:rPr>
      <w:szCs w:val="20"/>
    </w:rPr>
  </w:style>
  <w:style w:type="paragraph" w:styleId="914" w:customStyle="1">
    <w:name w:val="目录 111"/>
    <w:basedOn w:val="678"/>
    <w:next w:val="678"/>
    <w:uiPriority w:val="39"/>
    <w:qFormat/>
  </w:style>
  <w:style w:type="character" w:styleId="915" w:customStyle="1">
    <w:name w:val="强调1"/>
    <w:basedOn w:val="916"/>
    <w:link w:val="678"/>
    <w:uiPriority w:val="20"/>
    <w:qFormat/>
    <w:rPr>
      <w:rFonts w:ascii="Times New Roman" w:hAnsi="Times New Roman" w:eastAsia="宋体" w:cs="Times New Roman"/>
      <w:sz w:val="21"/>
      <w:szCs w:val="24"/>
      <w:lang w:val="en-US" w:eastAsia="zh-CN" w:bidi="ar-SA"/>
    </w:rPr>
  </w:style>
  <w:style w:type="character" w:styleId="916" w:customStyle="1">
    <w:name w:val="默认段落字体11"/>
    <w:link w:val="678"/>
    <w:uiPriority w:val="0"/>
    <w:semiHidden/>
    <w:qFormat/>
  </w:style>
  <w:style w:type="numbering" w:styleId="67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de50fd1c-51fe-4e79-95f3-5aad616f1a63</errorID>
      <errorWord>订</errorWord>
      <group>L1_Word</group>
      <groupName>字词问题</groupName>
      <ability>L2_Typo</ability>
      <abilityName>字词错误</abilityName>
      <candidateList>
        <item>订之</item>
      </candidateList>
      <explain/>
      <paraID>1488954C</paraID>
      <start>11</start>
      <end>13</end>
      <status>modified</status>
      <modifiedWord>订之</modifiedWord>
      <trackRevisions>false</trackRevisions>
    </reviewItem>
    <reviewItem>
      <errorID>57a8fc33-7721-4748-92b0-6c5a88ab4af6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68D732BC</paraID>
      <start>0</start>
      <end>2</end>
      <status>unmodified</status>
      <modifiedWord/>
      <trackRevisions>false</trackRevisions>
    </reviewItem>
    <reviewItem>
      <errorID>ba8e157a-d0ec-46ac-a99b-1544b0ec799a</errorID>
      <errorWord>（</errorWord>
      <group>L1_Punc</group>
      <groupName>标点问题</groupName>
      <ability>L2_Punc_CN</ability>
      <abilityName>标点符号问题</abilityName>
      <candidateList/>
      <explain>同一形式括号套用。</explain>
      <paraID>41C458C9</paraID>
      <start>128</start>
      <end>129</end>
      <status>unmodified</status>
      <modifiedWord/>
      <trackRevisions>false</trackRevisions>
    </reviewItem>
    <reviewItem>
      <errorID>bb246a6e-fe6c-4e11-b338-1112324fd5ab</errorID>
      <errorWord>）</errorWord>
      <group>L1_Punc</group>
      <groupName>标点问题</groupName>
      <ability>L2_Punc_CN</ability>
      <abilityName>标点符号问题</abilityName>
      <candidateList/>
      <explain>同一形式括号套用。</explain>
      <paraID>41C458C9</paraID>
      <start>147</start>
      <end>148</end>
      <status>unmodified</status>
      <modifiedWord/>
      <trackRevisions>false</trackRevisions>
    </reviewItem>
    <reviewItem>
      <errorID>9a92066c-fb6a-437f-a1b3-7ea1d505c961</errorID>
      <errorWord>（</errorWord>
      <group>L1_Punc</group>
      <groupName>标点问题</groupName>
      <ability>L2_Punc_CN</ability>
      <abilityName>标点符号问题</abilityName>
      <candidateList/>
      <explain>同一形式括号套用。</explain>
      <paraID>41C458C9</paraID>
      <start>188</start>
      <end>189</end>
      <status>unmodified</status>
      <modifiedWord/>
      <trackRevisions>false</trackRevisions>
    </reviewItem>
    <reviewItem>
      <errorID>bed245c9-a0c2-4001-acd7-a9213ec1a320</errorID>
      <errorWord>）</errorWord>
      <group>L1_Punc</group>
      <groupName>标点问题</groupName>
      <ability>L2_Punc_CN</ability>
      <abilityName>标点符号问题</abilityName>
      <candidateList/>
      <explain>同一形式括号套用。</explain>
      <paraID>41C458C9</paraID>
      <start>199</start>
      <end>200</end>
      <status>unmodified</status>
      <modifiedWord/>
      <trackRevisions>false</trackRevisions>
    </reviewItem>
    <reviewItem>
      <errorID>ffaedae5-1bd7-43c4-94c5-44350ed67a44</errorID>
      <errorWord>保持通讯畅通</errorWord>
      <group>L1_Word</group>
      <groupName>字词问题</groupName>
      <ability>L2_Typo</ability>
      <abilityName>字词错误</abilityName>
      <candidateList>
        <item>保持通信畅通</item>
      </candidateList>
      <explain/>
      <paraID>4D11932E</paraID>
      <start>16</start>
      <end>22</end>
      <status>modified</status>
      <modifiedWord>保持通信畅通</modifiedWord>
      <trackRevisions>false</trackRevisions>
    </reviewItem>
    <reviewItem>
      <errorID>333def5b-550d-4e72-b0eb-5a0afcc5cace</errorID>
      <errorWord>人确定成交供应商</errorWord>
      <group>L1_Word</group>
      <groupName>字词问题</groupName>
      <ability>L2_Typo</ability>
      <abilityName>字词错误</abilityName>
      <candidateList>
        <item>人在确定成交供应商</item>
      </candidateList>
      <explain/>
      <paraID>348920A4</paraID>
      <start>44</start>
      <end>53</end>
      <status>modified</status>
      <modifiedWord>人在确定成交供应商</modifiedWord>
      <trackRevisions>false</trackRevisions>
    </reviewItem>
    <reviewItem>
      <errorID>de6bd479-4198-406a-a742-719d2a0283f6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79CAEF8B</paraID>
      <start>77</start>
      <end>78</end>
      <status>ignored</status>
      <modifiedWord/>
      <trackRevisions>false</trackRevisions>
    </reviewItem>
    <reviewItem>
      <errorID>6a76ff58-5cd3-4eba-9dfe-5b7d67416034</errorID>
      <errorWord>&lt;</errorWord>
      <group>L1_Format</group>
      <groupName>格式问题</groupName>
      <ability>L2_HalfPunc_CN</ability>
      <abilityName>全半角问题</abilityName>
      <candidateList>
        <item>〈</item>
      </candidateList>
      <explain>文本全半角错误。</explain>
      <paraID> C5C0B81</paraID>
      <start>50</start>
      <end>51</end>
      <status>unmodified</status>
      <modifiedWord/>
      <trackRevisions>false</trackRevisions>
    </reviewItem>
    <reviewItem>
      <errorID>a50f372c-fc8e-49c3-9cc1-b648f0133de1</errorID>
      <errorWord>&lt;</errorWord>
      <group>L1_Format</group>
      <groupName>格式问题</groupName>
      <ability>L2_HalfPunc_CN</ability>
      <abilityName>全半角问题</abilityName>
      <candidateList>
        <item>〈</item>
      </candidateList>
      <explain>文本全半角错误。</explain>
      <paraID>14C2C5EB</paraID>
      <start>50</start>
      <end>51</end>
      <status>unmodified</status>
      <modifiedWord/>
      <trackRevisions>false</trackRevisions>
    </reviewItem>
    <reviewItem>
      <errorID>68ae044b-bb8f-495a-a551-000ed8e96e44</errorID>
      <errorWord>&lt;</errorWord>
      <group>L1_Format</group>
      <groupName>格式问题</groupName>
      <ability>L2_HalfPunc_CN</ability>
      <abilityName>全半角问题</abilityName>
      <candidateList>
        <item>〈</item>
      </candidateList>
      <explain>文本全半角错误。</explain>
      <paraID>1DF4629A</paraID>
      <start>35</start>
      <end>36</end>
      <status>unmodified</status>
      <modifiedWord/>
      <trackRevisions>false</trackRevisions>
    </reviewItem>
    <reviewItem>
      <errorID>8457bae8-1491-47bf-8c88-ea5a8a39606c</errorID>
      <errorWord>，</errorWord>
      <group>L1_Word</group>
      <groupName>字词问题</groupName>
      <ability>L2_Typo</ability>
      <abilityName>字词错误</abilityName>
      <candidateList>
        <item>，并</item>
      </candidateList>
      <explain/>
      <paraID>2C29E219</paraID>
      <start>71</start>
      <end>72</end>
      <status>unmodified</status>
      <modifiedWord/>
      <trackRevisions>false</trackRevisions>
    </reviewItem>
    <reviewItem>
      <errorID>2e3f2c81-0c7a-4adf-b02f-84b6fd546198</errorID>
      <errorWord>)</errorWord>
      <group>L1_Format</group>
      <groupName>格式问题</groupName>
      <ability>L2_HalfPunc_CN</ability>
      <abilityName>全半角问题</abilityName>
      <candidateList>
        <item>）</item>
      </candidateList>
      <explain>文本全半角错误。</explain>
      <paraID>144CA52C</paraID>
      <start>29</start>
      <end>30</end>
      <status>unmodified</status>
      <modifiedWord/>
      <trackRevisions>false</trackRevisions>
    </reviewItem>
    <reviewItem>
      <errorID>a74765bc-59b1-48f2-a586-1e24a0be2a11</errorID>
      <errorWord>)</errorWord>
      <group>L1_Format</group>
      <groupName>格式问题</groupName>
      <ability>L2_HalfPunc_CN</ability>
      <abilityName>全半角问题</abilityName>
      <candidateList>
        <item>）</item>
      </candidateList>
      <explain>文本全半角错误。</explain>
      <paraID>4737E3C8</paraID>
      <start>35</start>
      <end>36</end>
      <status>unmodified</status>
      <modifiedWord/>
      <trackRevisions>false</trackRevisions>
    </reviewItem>
    <reviewItem>
      <errorID>ad8d2c51-3a31-4bc2-ab06-a370c53bf2f6</errorID>
      <errorWord>接</errorWord>
      <group>L1_Word</group>
      <groupName>字词问题</groupName>
      <ability>L2_Typo</ability>
      <abilityName>字词错误</abilityName>
      <candidateList>
        <item>接到</item>
      </candidateList>
      <explain/>
      <paraID> AED9D98</paraID>
      <start>40</start>
      <end>41</end>
      <status>unmodified</status>
      <modifiedWord/>
      <trackRevisions>false</trackRevisions>
    </reviewItem>
    <reviewItem>
      <errorID>9c74b42a-dc43-4452-9936-8174d61e55aa</errorID>
      <errorWord>接</errorWord>
      <group>L1_Word</group>
      <groupName>字词问题</groupName>
      <ability>L2_Typo</ability>
      <abilityName>字词错误</abilityName>
      <candidateList>
        <item>接到</item>
      </candidateList>
      <explain/>
      <paraID>1986D19F</paraID>
      <start>30</start>
      <end>32</end>
      <status>modified</status>
      <modifiedWord>接到</modifiedWord>
      <trackRevisions>false</trackRevisions>
    </reviewItem>
    <reviewItem>
      <errorID>6f6b391b-b344-443c-b0cd-e80ec09c59be</errorID>
      <errorWord>接</errorWord>
      <group>L1_Word</group>
      <groupName>字词问题</groupName>
      <ability>L2_Typo</ability>
      <abilityName>字词错误</abilityName>
      <candidateList>
        <item>接到</item>
      </candidateList>
      <explain/>
      <paraID>71681E57</paraID>
      <start>20</start>
      <end>22</end>
      <status>modified</status>
      <modifiedWord>接到</modifiedWord>
      <trackRevisions>false</trackRevisions>
    </reviewItem>
    <reviewItem>
      <errorID>3299dd8d-9a42-4610-ab0c-154b4f42c1d7</errorID>
      <errorWord>肆份</errorWord>
      <group>L1_Word</group>
      <groupName>字词问题</groupName>
      <ability>L2_Typo</ability>
      <abilityName>字词错误</abilityName>
      <candidateList>
        <item>四份</item>
      </candidateList>
      <explain>存在发音相同字词的误用。</explain>
      <paraID>5D4E65CB</paraID>
      <start>15</start>
      <end>17</end>
      <status>modified</status>
      <modifiedWord>四份</modifiedWord>
      <trackRevisions>false</trackRevisions>
    </reviewItem>
    <reviewItem>
      <errorID>5fdc452c-83b7-47c6-b9c6-b3e3c40b33e4</errorID>
      <errorWord>按《中华人民共和国</errorWord>
      <group>L1_Political</group>
      <groupName>政治性问题</groupName>
      <ability>L2_Unpolitical</ability>
      <abilityName>政治敏感错误</abilityName>
      <candidateList>
        <item>按照《中华人民共和国</item>
      </candidateList>
      <explain/>
      <paraID>43EDADFA</paraID>
      <start>17</start>
      <end>27</end>
      <status>modified</status>
      <modifiedWord>按照《中华人民共和国</modifiedWord>
      <trackRevisions>false</trackRevisions>
    </reviewItem>
    <reviewItem>
      <errorID>40ab1ac7-ad43-4c49-ba4b-2fe60953ea33</errorID>
      <errorWord>签定</errorWord>
      <group>L1_Word</group>
      <groupName>字词问题</groupName>
      <ability>L2_Typo</ability>
      <abilityName>字词错误</abilityName>
      <candidateList>
        <item>签订</item>
      </candidateList>
      <explain>〈动〉订立条约或合同并签字：两国～了贸易议定书和支付协定。</explain>
      <paraID>3B049024</paraID>
      <start>0</start>
      <end>2</end>
      <status>modified</status>
      <modifiedWord>签订</modifiedWord>
      <trackRevisions>false</trackRevisions>
    </reviewItem>
    <reviewItem>
      <errorID>0ab5f4d8-5ead-46a7-971a-0e48b0ac56ac</errorID>
      <errorWord>签定</errorWord>
      <group>L1_Word</group>
      <groupName>字词问题</groupName>
      <ability>L2_Typo</ability>
      <abilityName>字词错误</abilityName>
      <candidateList>
        <item>签订</item>
      </candidateList>
      <explain>〈动〉订立条约或合同并签字：两国～了贸易议定书和支付协定。</explain>
      <paraID>3B049024</paraID>
      <start>36</start>
      <end>38</end>
      <status>modified</status>
      <modifiedWord>签订</modifiedWord>
      <trackRevisions>false</trackRevisions>
    </reviewItem>
    <reviewItem>
      <errorID>1c887c93-fd02-4d9c-9cce-967fddb0ce9e</errorID>
      <errorWord>：</errorWord>
      <group>L1_Format</group>
      <groupName>格式问题</groupName>
      <ability>L2_HalfPunc_CN</ability>
      <abilityName>全半角问题</abilityName>
      <candidateList>
        <item>:</item>
      </candidateList>
      <explain>文本全半角错误。</explain>
      <paraID>79085CB7</paraID>
      <start>18</start>
      <end>19</end>
      <status>unmodified</status>
      <modifiedWord/>
      <trackRevisions>false</trackRevisions>
    </reviewItem>
    <reviewItem>
      <errorID>d8f89832-6e6d-417d-85e4-2c5b45b93be1</errorID>
      <errorWord>佩带</errorWord>
      <group>L1_Word</group>
      <groupName>字词问题</groupName>
      <ability>L2_Typo</ability>
      <abilityName>字词错误</abilityName>
      <candidateList>
        <item>佩戴</item>
      </candidateList>
      <explain>存在发音相同字词的误用。</explain>
      <paraID>2DDAF4DB</paraID>
      <start>104</start>
      <end>106</end>
      <status>unmodified</status>
      <modifiedWord/>
      <trackRevisions>false</trackRevisions>
    </reviewItem>
    <reviewItem>
      <errorID>133c837e-f8bd-4d5d-a111-4a0000e3f6f0</errorID>
      <errorWord>驱干</errorWord>
      <group>L1_Word</group>
      <groupName>字词问题</groupName>
      <ability>L2_Typo</ability>
      <abilityName>字词错误</abilityName>
      <candidateList>
        <item>躯干</item>
      </candidateList>
      <explain/>
      <paraID>5281C90A</paraID>
      <start>22</start>
      <end>24</end>
      <status>modified</status>
      <modifiedWord>躯干</modifiedWord>
      <trackRevisions>false</trackRevisions>
    </reviewItem>
    <reviewItem>
      <errorID>b4bf2497-4506-4167-8784-467dac475169</errorID>
      <errorWord>)</errorWord>
      <group>L1_Format</group>
      <groupName>格式问题</groupName>
      <ability>L2_HalfPunc_CN</ability>
      <abilityName>全半角问题</abilityName>
      <candidateList>
        <item>）</item>
      </candidateList>
      <explain>文本全半角错误。</explain>
      <paraID>2EB0C10B</paraID>
      <start>21</start>
      <end>22</end>
      <status>unmodified</status>
      <modifiedWord/>
      <trackRevisions>false</trackRevisions>
    </reviewItem>
    <reviewItem>
      <errorID>87c15b22-f0db-45ce-8780-31d2db602fe0</errorID>
      <errorWord>、共2</errorWord>
      <group>L1_Word</group>
      <groupName>字词问题</groupName>
      <ability>L2_Typo</ability>
      <abilityName>字词错误</abilityName>
      <candidateList>
        <item>共2</item>
      </candidateList>
      <explain/>
      <paraID>1C8791CA</paraID>
      <start>26</start>
      <end>29</end>
      <status>unmodified</status>
      <modifiedWord/>
      <trackRevisions>false</trackRevisions>
    </reviewItem>
    <reviewItem>
      <errorID>0fd6c8e7-9bd9-4f11-af5b-beb99f13e6aa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106D964</paraID>
      <start>16</start>
      <end>18</end>
      <status>unmodified</status>
      <modifiedWord/>
      <trackRevisions>false</trackRevisions>
    </reviewItem>
    <reviewItem>
      <errorID>53fc6d9b-26b3-44c7-9cf5-436822f1a168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512E7C3C</paraID>
      <start>0</start>
      <end>2</end>
      <status>unmodified</status>
      <modifiedWord/>
      <trackRevisions>false</trackRevisions>
    </reviewItem>
    <reviewItem>
      <errorID>a5278a12-7e01-4203-bb8b-f9c7f33d4774</errorID>
      <errorWord>订</errorWord>
      <group>L1_Word</group>
      <groupName>字词问题</groupName>
      <ability>L2_Typo</ability>
      <abilityName>字词错误</abilityName>
      <candidateList>
        <item>订之</item>
      </candidateList>
      <explain/>
      <paraID>512E7C3C</paraID>
      <start>13</start>
      <end>15</end>
      <status>modified</status>
      <modifiedWord>订之</modifiedWord>
      <trackRevisions>false</trackRevisions>
    </reviewItem>
    <reviewItem>
      <errorID>6836332a-cf59-4599-b6c9-2fe859ad25e5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49AA0410</paraID>
      <start>0</start>
      <end>2</end>
      <status>unmodified</status>
      <modifiedWord/>
      <trackRevisions>false</trackRevisions>
    </reviewItem>
    <reviewItem>
      <errorID>8326e7ef-54d8-4c7a-b434-799ca8dd1490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6193E9D6</paraID>
      <start>0</start>
      <end>2</end>
      <status>unmodified</status>
      <modifiedWord/>
      <trackRevisions>false</trackRevisions>
    </reviewItem>
    <reviewItem>
      <errorID>3a439e55-9889-49c9-94f1-c83e89c3554a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4B3BDCD1</paraID>
      <start>0</start>
      <end>2</end>
      <status>unmodified</status>
      <modifiedWord/>
      <trackRevisions>false</trackRevisions>
    </reviewItem>
    <reviewItem>
      <errorID>b35f1238-11fc-4b54-bb2f-af1fdfc2d6d2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7848FDBB</paraID>
      <start>0</start>
      <end>2</end>
      <status>unmodified</status>
      <modifiedWord/>
      <trackRevisions>false</trackRevisions>
    </reviewItem>
    <reviewItem>
      <errorID>766d0a1e-a6df-4b5e-b698-5b1485ab23a7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74B1CEA5</paraID>
      <start>0</start>
      <end>2</end>
      <status>unmodified</status>
      <modifiedWord/>
      <trackRevisions>false</trackRevisions>
    </reviewItem>
    <reviewItem>
      <errorID>f8e9a22b-999d-4bfc-82fc-b9c8afcd50b8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4D234E84</paraID>
      <start>0</start>
      <end>2</end>
      <status>unmodified</status>
      <modifiedWord/>
      <trackRevisions>false</trackRevisions>
    </reviewItem>
    <reviewItem>
      <errorID>5df8a671-9319-4d93-9aad-4d24a5ea2097</errorID>
      <errorWord>，</errorWord>
      <group>L1_Word</group>
      <groupName>字词问题</groupName>
      <ability>L2_Typo</ability>
      <abilityName>字词错误</abilityName>
      <candidateList>
        <item>，并</item>
      </candidateList>
      <explain/>
      <paraID>6FD31EA4</paraID>
      <start>133</start>
      <end>135</end>
      <status>modified</status>
      <modifiedWord>，并</modifiedWord>
      <trackRevisions>false</trackRevisions>
    </reviewItem>
    <reviewItem>
      <errorID>588b6e48-98d1-4f4b-80cd-154638f456a6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8C444A</paraID>
      <start>0</start>
      <end>2</end>
      <status>unmodified</status>
      <modifiedWord/>
      <trackRevisions>false</trackRevisions>
    </reviewItem>
    <reviewItem>
      <errorID>5e25b8c2-7d1d-476f-8bb7-4eb7b178cf7e</errorID>
      <errorWord>地</errorWord>
      <group>L1_Word</group>
      <groupName>字词问题</groupName>
      <ability>L2_DDD</ability>
      <abilityName>的地得用法</abilityName>
      <candidateList>
        <item>的</item>
      </candidateList>
      <explain>“的”常用于连接修饰语与名词性中心语，表示属性、所属或描述。</explain>
      <paraID>5B01FA6A</paraID>
      <start>46</start>
      <end>47</end>
      <status>modified</status>
      <modifiedWord>的</modifiedWord>
      <trackRevisions>false</trackRevisions>
    </reviewItem>
    <reviewItem>
      <errorID>f82eccbf-77fc-4faf-868a-229f055f9cce</errorID>
      <errorWord>，</errorWord>
      <group>L1_Word</group>
      <groupName>字词问题</groupName>
      <ability>L2_Typo</ability>
      <abilityName>字词错误</abilityName>
      <candidateList>
        <item>，在</item>
      </candidateList>
      <explain/>
      <paraID>1794A94B</paraID>
      <start>123</start>
      <end>125</end>
      <status>modified</status>
      <modifiedWord>，在</modifiedWord>
      <trackRevisions>false</trackRevisions>
    </reviewItem>
    <reviewItem>
      <errorID>b42766b4-0bbb-4697-8b96-600bba96829b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677DFF73</paraID>
      <start>0</start>
      <end>2</end>
      <status>unmodified</status>
      <modifiedWord/>
      <trackRevisions>false</trackRevisions>
    </reviewItem>
    <reviewItem>
      <errorID>b92ae4a3-ee83-4b86-82b0-6878038bfa0f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C326319</paraID>
      <start>0</start>
      <end>3</end>
      <status>unmodified</status>
      <modifiedWord/>
      <trackRevisions>false</trackRevisions>
    </reviewItem>
    <reviewItem>
      <errorID>6bafa2ee-4e35-4967-b3f0-d827c1c60772</errorID>
      <errorWord>项目为</errorWord>
      <group>L1_Word</group>
      <groupName>字词问题</groupName>
      <ability>L2_Typo</ability>
      <abilityName>字词错误</abilityName>
      <candidateList>
        <item>项目</item>
      </candidateList>
      <explain>〈名〉事物分成的门类：服务～｜体育～｜建设～。</explain>
      <paraID>1B128F56</paraID>
      <start>6</start>
      <end>9</end>
      <status>unmodified</status>
      <modifiedWord/>
      <trackRevisions>false</trackRevisions>
    </reviewItem>
    <reviewItem>
      <errorID>be945e35-6db3-4ef6-bf3c-c549f05c9f38</errorID>
      <errorWord>方案方案</errorWord>
      <group>L1_Word</group>
      <groupName>字词问题</groupName>
      <ability>L2_Typo</ability>
      <abilityName>字词错误</abilityName>
      <candidateList>
        <item>方案</item>
      </candidateList>
      <explain/>
      <paraID>604234B9</paraID>
      <start>16</start>
      <end>18</end>
      <status>modified</status>
      <modifiedWord>方案</modifiedWord>
      <trackRevisions>false</trackRevisions>
    </reviewItem>
    <reviewItem>
      <errorID>b858b66c-9df8-4eb4-bf07-b80c37b13103</errorID>
      <errorWord>详实</errorWord>
      <group>L1_Word</group>
      <groupName>字词问题</groupName>
      <ability>L2_Typo</ability>
      <abilityName>字词错误</abilityName>
      <candidateList>
        <item>翔实</item>
      </candidateList>
      <explain/>
      <paraID> 5787DE5</paraID>
      <start>15</start>
      <end>17</end>
      <status>unmodified</status>
      <modifiedWord/>
      <trackRevisions>false</trackRevisions>
    </reviewItem>
    <reviewItem>
      <errorID>03a27329-d345-48d6-9ad3-4d09cdea888e</errorID>
      <errorWord>详实</errorWord>
      <group>L1_Word</group>
      <groupName>字词问题</groupName>
      <ability>L2_Typo</ability>
      <abilityName>字词错误</abilityName>
      <candidateList>
        <item>翔实</item>
      </candidateList>
      <explain>存在发音相同字词的误用。</explain>
      <paraID>4A88F9C5</paraID>
      <start>19</start>
      <end>21</end>
      <status>unmodified</status>
      <modifiedWord/>
      <trackRevisions>false</trackRevisions>
    </reviewItem>
    <reviewItem>
      <errorID>4b61e9c1-ba55-4562-abd4-3a6aaa974084</errorID>
      <errorWord>详实</errorWord>
      <group>L1_Word</group>
      <groupName>字词问题</groupName>
      <ability>L2_Typo</ability>
      <abilityName>字词错误</abilityName>
      <candidateList>
        <item>翔实</item>
      </candidateList>
      <explain/>
      <paraID>7F6F8F12</paraID>
      <start>21</start>
      <end>23</end>
      <status>unmodified</status>
      <modifiedWord/>
      <trackRevisions>false</trackRevisions>
    </reviewItem>
    <reviewItem>
      <errorID>c695bbab-c2ec-4759-b0b1-d9b61a938233</errorID>
      <errorWord>详实</errorWord>
      <group>L1_Word</group>
      <groupName>字词问题</groupName>
      <ability>L2_Typo</ability>
      <abilityName>字词错误</abilityName>
      <candidateList>
        <item>翔实</item>
      </candidateList>
      <explain/>
      <paraID>7C3621F7</paraID>
      <start>15</start>
      <end>17</end>
      <status>unmodified</status>
      <modifiedWord/>
      <trackRevisions>false</trackRevisions>
    </reviewItem>
    <reviewItem>
      <errorID>e14c8dc2-ad29-4678-a213-3460be15c955</errorID>
      <errorWord>详实</errorWord>
      <group>L1_Word</group>
      <groupName>字词问题</groupName>
      <ability>L2_Typo</ability>
      <abilityName>字词错误</abilityName>
      <candidateList>
        <item>翔实</item>
      </candidateList>
      <explain>存在发音相同字词的误用。</explain>
      <paraID>11A701E2</paraID>
      <start>19</start>
      <end>21</end>
      <status>unmodified</status>
      <modifiedWord/>
      <trackRevisions>false</trackRevisions>
    </reviewItem>
    <reviewItem>
      <errorID>388ffd8f-3a00-4749-90ce-65a548aa1844</errorID>
      <errorWord>详实</errorWord>
      <group>L1_Word</group>
      <groupName>字词问题</groupName>
      <ability>L2_Typo</ability>
      <abilityName>字词错误</abilityName>
      <candidateList>
        <item>翔实</item>
      </candidateList>
      <explain/>
      <paraID>2FB09986</paraID>
      <start>21</start>
      <end>23</end>
      <status>unmodified</status>
      <modifiedWord/>
      <trackRevisions>false</trackRevisions>
    </reviewItem>
    <reviewItem>
      <errorID>6518a3c5-317b-4b8e-bc00-1f70b5e9a664</errorID>
      <errorWord>)</errorWord>
      <group>L1_Format</group>
      <groupName>格式问题</groupName>
      <ability>L2_HalfPunc_CN</ability>
      <abilityName>全半角问题</abilityName>
      <candidateList>
        <item>）</item>
      </candidateList>
      <explain>文本全半角错误。</explain>
      <paraID>6889901F</paraID>
      <start>10</start>
      <end>11</end>
      <status>unmodified</status>
      <modifiedWord/>
      <trackRevisions>false</trackRevisions>
    </reviewItem>
    <reviewItem>
      <errorID>310f6b3a-6688-4975-ad8c-61a0c8f02a81</errorID>
      <errorWord>,</errorWord>
      <group>L1_Format</group>
      <groupName>格式问题</groupName>
      <ability>L2_HalfPunc_CN</ability>
      <abilityName>全半角问题</abilityName>
      <candidateList>
        <item>，</item>
      </candidateList>
      <explain>文本全半角错误。</explain>
      <paraID>674F95D9</paraID>
      <start>12</start>
      <end>13</end>
      <status>unmodified</status>
      <modifiedWord/>
      <trackRevisions>false</trackRevisions>
    </reviewItem>
    <reviewItem>
      <errorID>8dd231b2-2050-429f-a32e-317b23c79b50</errorID>
      <errorWord>【2020】46号</errorWord>
      <group>L1_Knowledge</group>
      <groupName>知识性问题</groupName>
      <ability>L2_Knowledge</ability>
      <abilityName>其他知识</abilityName>
      <candidateList>
        <item>〔2020〕46号</item>
      </candidateList>
      <explain>发文字号格式错误。</explain>
      <paraID>674F95D9</paraID>
      <start>36</start>
      <end>45</end>
      <status>modified</status>
      <modifiedWord>〔2020〕46号</modifiedWord>
      <trackRevisions>false</trackRevisions>
    </reviewItem>
    <reviewItem>
      <errorID>3149bdbf-6d26-40ec-b734-64077f800025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7F77939F</paraID>
      <start>0</start>
      <end>2</end>
      <status>unmodified</status>
      <modifiedWord/>
      <trackRevisions>false</trackRevisions>
    </reviewItem>
    <reviewItem>
      <errorID>d4632261-6950-49f6-86e7-bcb9547dd269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4EDCED89</paraID>
      <start>0</start>
      <end>2</end>
      <status>unmodified</status>
      <modifiedWord/>
      <trackRevisions>false</trackRevisions>
    </reviewItem>
    <reviewItem>
      <errorID>4a71656c-0aae-4a8b-8d19-1fcb67a2ca9a</errorID>
      <errorWord>间</errorWord>
      <group>L1_Word</group>
      <groupName>字词问题</groupName>
      <ability>L2_Typo</ability>
      <abilityName>字词错误</abilityName>
      <candidateList>
        <item>间内</item>
      </candidateList>
      <explain/>
      <paraID>4F8589F1</paraID>
      <start>47</start>
      <end>49</end>
      <status>modified</status>
      <modifiedWord>间内</modifiedWord>
      <trackRevisions>false</trackRevisions>
    </reviewItem>
    <reviewItem>
      <errorID>2bee10ca-9926-434e-a343-0111a0c39f6f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1B854866</paraID>
      <start>0</start>
      <end>2</end>
      <status>unmodified</status>
      <modifiedWord/>
      <trackRevisions>false</trackRevisions>
    </reviewItem>
    <reviewItem>
      <errorID>4a74b492-5339-4031-b315-f5bf37a51ce4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4F85FD82</paraID>
      <start>0</start>
      <end>2</end>
      <status>unmodified</status>
      <modifiedWord/>
      <trackRevisions>false</trackRevisions>
    </reviewItem>
    <reviewItem>
      <errorID>326af1dc-d0a9-4147-b68d-5a0f192be213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1BBA2BA4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43BE16E-675D-4F87-833C-788602B8FA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陈晓盼</cp:lastModifiedBy>
  <cp:revision>19</cp:revision>
  <dcterms:created xsi:type="dcterms:W3CDTF">2026-06-30T08:37:00Z</dcterms:created>
  <dcterms:modified xsi:type="dcterms:W3CDTF">2026-07-13T07:42:43Z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73C1783C0EB148499836AF27ECBBFFC7_13</vt:lpwstr>
  </property>
  <property fmtid="{D5CDD505-2E9C-101B-9397-08002B2CF9AE}" pid="4" name="KSOTemplateDocerSaveRecord">
    <vt:lpwstr>eyJoZGlkIjoiZmRhYjM3Yzg0YmRkNWU3NTQwYmQ4ZmMyODU5ZTc1YjMiLCJ1c2VySWQiOiIzMzk4MjQ0MTcifQ==</vt:lpwstr>
  </property>
</Properties>
</file>