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4"/>
        <w:jc w:val="left"/>
        <w:spacing w:line="240" w:lineRule="exact"/>
        <w:tabs>
          <w:tab w:val="left" w:pos="3841" w:leader="none"/>
        </w:tabs>
        <w:rPr>
          <w:rFonts w:ascii="宋体" w:hAnsi="宋体" w:eastAsia="宋体"/>
          <w:b/>
          <w:i/>
          <w:color w:val="000000"/>
          <w:sz w:val="21"/>
          <w:szCs w:val="21"/>
        </w:rPr>
      </w:pPr>
      <w:r>
        <w:rPr>
          <w:rFonts w:ascii="宋体" w:hAnsi="宋体" w:eastAsia="宋体"/>
          <w:b/>
          <w:color w:val="000000"/>
          <w:sz w:val="72"/>
        </w:rPr>
        <w:t xml:space="preserve"> </w:t>
        <w:tab/>
      </w:r>
      <w:r>
        <w:rPr>
          <w:rFonts w:ascii="宋体" w:hAnsi="宋体" w:eastAsia="宋体"/>
          <w:b/>
          <w:i/>
          <w:color w:val="000000"/>
          <w:sz w:val="21"/>
          <w:szCs w:val="21"/>
        </w:rPr>
      </w:r>
      <w:r/>
    </w:p>
    <w:p>
      <w:pPr>
        <w:pStyle w:val="974"/>
        <w:jc w:val="center"/>
        <w:rPr>
          <w:rFonts w:ascii="宋体" w:hAnsi="宋体" w:eastAsia="宋体"/>
          <w:b/>
          <w:color w:val="000000"/>
          <w:sz w:val="72"/>
        </w:rPr>
      </w:pPr>
      <w:r>
        <w:rPr>
          <w:rFonts w:ascii="宋体" w:hAnsi="宋体" w:eastAsia="宋体"/>
          <w:b/>
          <w:color w:val="000000"/>
          <w:sz w:val="72"/>
        </w:rPr>
      </w:r>
      <w:r/>
    </w:p>
    <w:p>
      <w:pPr>
        <w:pStyle w:val="974"/>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rPr>
          <w:rFonts w:ascii="黑体" w:hAnsi="华文中宋" w:eastAsia="黑体"/>
          <w:bCs/>
          <w:spacing w:val="20"/>
          <w:sz w:val="72"/>
          <w:szCs w:val="72"/>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jc w:val="center"/>
        <w:spacing w:line="360" w:lineRule="auto"/>
        <w:rPr>
          <w:rFonts w:ascii="黑体" w:hAnsi="华文中宋" w:eastAsia="黑体"/>
          <w:bCs/>
          <w:spacing w:val="20"/>
          <w:sz w:val="48"/>
          <w:szCs w:val="48"/>
        </w:rPr>
      </w:pPr>
      <w:r>
        <w:rPr>
          <w:rFonts w:hint="eastAsia" w:ascii="黑体" w:hAnsi="华文中宋" w:eastAsia="黑体"/>
          <w:bCs/>
          <w:spacing w:val="20"/>
          <w:sz w:val="48"/>
          <w:szCs w:val="48"/>
        </w:rPr>
        <w:t xml:space="preserve">公开</w:t>
      </w:r>
      <w:r>
        <w:rPr>
          <w:rFonts w:ascii="黑体" w:hAnsi="华文中宋" w:eastAsia="黑体"/>
          <w:bCs/>
          <w:spacing w:val="20"/>
          <w:sz w:val="48"/>
          <w:szCs w:val="48"/>
        </w:rPr>
      </w:r>
      <w:r/>
    </w:p>
    <w:p>
      <w:pPr>
        <w:pStyle w:val="974"/>
        <w:jc w:val="center"/>
        <w:spacing w:line="360" w:lineRule="auto"/>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黑体" w:hAnsi="华文中宋" w:eastAsia="黑体"/>
          <w:bCs/>
          <w:spacing w:val="20"/>
          <w:sz w:val="52"/>
          <w:szCs w:val="52"/>
        </w:rPr>
        <w:t xml:space="preserve">招标文件</w:t>
      </w:r>
      <w:r>
        <w:rPr>
          <w:rFonts w:ascii="黑体" w:hAnsi="华文中宋" w:eastAsia="黑体"/>
          <w:bCs/>
          <w:spacing w:val="20"/>
          <w:sz w:val="52"/>
          <w:szCs w:val="52"/>
        </w:rPr>
      </w:r>
      <w:r/>
    </w:p>
    <w:p>
      <w:pPr>
        <w:pStyle w:val="974"/>
        <w:jc w:val="center"/>
        <w:spacing w:line="360" w:lineRule="auto"/>
        <w:rPr>
          <w:rFonts w:ascii="华文中宋" w:hAnsi="华文中宋" w:eastAsia="华文中宋"/>
          <w:bCs/>
          <w:sz w:val="30"/>
        </w:rPr>
      </w:pPr>
      <w:r>
        <w:rPr>
          <w:rFonts w:hint="eastAsia" w:ascii="华文中宋" w:hAnsi="华文中宋" w:eastAsia="华文中宋"/>
          <w:bCs/>
          <w:sz w:val="30"/>
        </w:rPr>
        <w:t xml:space="preserve">（全流程电子化不见面开标）</w:t>
      </w:r>
      <w:r>
        <w:rPr>
          <w:rFonts w:ascii="华文中宋" w:hAnsi="华文中宋" w:eastAsia="华文中宋"/>
          <w:bCs/>
          <w:sz w:val="30"/>
        </w:rPr>
      </w:r>
      <w:r/>
    </w:p>
    <w:p>
      <w:pPr>
        <w:pStyle w:val="974"/>
        <w:jc w:val="center"/>
        <w:spacing w:line="360" w:lineRule="auto"/>
        <w:tabs>
          <w:tab w:val="left" w:pos="9921" w:leader="none"/>
        </w:tabs>
        <w:rPr>
          <w:rFonts w:ascii="华文中宋" w:hAnsi="华文中宋" w:eastAsia="华文中宋"/>
          <w:bCs/>
          <w:sz w:val="30"/>
        </w:rPr>
      </w:pPr>
      <w:r>
        <w:rPr>
          <w:rFonts w:ascii="华文中宋" w:hAnsi="华文中宋" w:eastAsia="华文中宋"/>
          <w:bCs/>
          <w:sz w:val="30"/>
        </w:rPr>
      </w:r>
      <w:r/>
    </w:p>
    <w:p>
      <w:pPr>
        <w:pStyle w:val="974"/>
        <w:jc w:val="left"/>
        <w:spacing w:line="360" w:lineRule="auto"/>
        <w:rPr>
          <w:rFonts w:ascii="华文中宋" w:hAnsi="华文中宋" w:eastAsia="华文中宋"/>
          <w:bCs/>
          <w:sz w:val="30"/>
        </w:rPr>
      </w:pPr>
      <w:r>
        <w:rPr>
          <w:rFonts w:ascii="华文中宋" w:hAnsi="华文中宋" w:eastAsia="华文中宋"/>
          <w:bCs/>
          <w:sz w:val="30"/>
        </w:rPr>
      </w:r>
      <w:r/>
    </w:p>
    <w:p>
      <w:pPr>
        <w:pStyle w:val="974"/>
        <w:ind w:firstLine="3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采购项目编号：</w:t>
      </w:r>
      <w:r>
        <w:rPr>
          <w:rFonts w:hint="eastAsia" w:ascii="黑体" w:hAnsi="华文中宋" w:eastAsia="黑体"/>
          <w:bCs/>
          <w:sz w:val="30"/>
          <w:szCs w:val="30"/>
        </w:rPr>
        <w:tab/>
      </w:r>
      <w:r>
        <w:rPr>
          <w:rFonts w:hint="eastAsia" w:ascii="黑体" w:hAnsi="华文中宋" w:eastAsia="黑体"/>
          <w:bCs/>
          <w:sz w:val="30"/>
          <w:szCs w:val="30"/>
          <w:lang w:eastAsia="zh-CN"/>
        </w:rPr>
        <w:t xml:space="preserve">JSZC-321200-JWZB-G2026-0002</w:t>
      </w:r>
      <w:r>
        <w:rPr>
          <w:rFonts w:hint="eastAsia" w:ascii="黑体" w:hAnsi="华文中宋" w:eastAsia="黑体"/>
          <w:bCs/>
          <w:sz w:val="30"/>
          <w:szCs w:val="30"/>
        </w:rPr>
        <w:t xml:space="preserve">  </w:t>
      </w:r>
      <w:r>
        <w:rPr>
          <w:rFonts w:hint="eastAsia" w:ascii="黑体" w:hAnsi="华文中宋" w:eastAsia="黑体"/>
          <w:bCs/>
          <w:sz w:val="30"/>
          <w:szCs w:val="30"/>
        </w:rPr>
      </w:r>
      <w:r/>
    </w:p>
    <w:p>
      <w:pPr>
        <w:pStyle w:val="974"/>
        <w:ind w:firstLine="300"/>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采购项目名称：</w:t>
      </w:r>
      <w:r>
        <w:rPr>
          <w:rFonts w:hint="eastAsia" w:ascii="黑体" w:hAnsi="华文中宋" w:eastAsia="黑体"/>
          <w:bCs/>
          <w:sz w:val="30"/>
          <w:szCs w:val="30"/>
          <w:lang w:eastAsia="zh-CN"/>
        </w:rPr>
        <w:t xml:space="preserve">泰州市中级人民法院大案要案法庭改（扩）建文化布展服务</w:t>
      </w:r>
      <w:r>
        <w:rPr>
          <w:rFonts w:hint="eastAsia" w:ascii="黑体" w:hAnsi="华文中宋" w:eastAsia="黑体"/>
          <w:bCs/>
          <w:sz w:val="30"/>
          <w:szCs w:val="30"/>
          <w:lang w:eastAsia="zh-CN"/>
        </w:rPr>
      </w:r>
      <w:r/>
    </w:p>
    <w:p>
      <w:pPr>
        <w:pStyle w:val="974"/>
        <w:ind w:firstLine="300"/>
        <w:jc w:val="center"/>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采购代理机构：江苏经纬工程投资造价咨询事务所有限公司</w:t>
      </w:r>
      <w:r>
        <w:rPr>
          <w:rFonts w:hint="eastAsia" w:ascii="黑体" w:hAnsi="华文中宋" w:eastAsia="黑体"/>
          <w:bCs/>
          <w:sz w:val="30"/>
          <w:szCs w:val="30"/>
        </w:rPr>
      </w:r>
      <w:r/>
    </w:p>
    <w:p>
      <w:pPr>
        <w:pStyle w:val="974"/>
        <w:spacing w:line="360" w:lineRule="auto"/>
        <w:rPr>
          <w:rFonts w:ascii="华文中宋" w:hAnsi="华文中宋" w:eastAsia="华文中宋"/>
          <w:bCs/>
          <w:sz w:val="32"/>
        </w:rPr>
      </w:pPr>
      <w:r>
        <w:rPr>
          <w:rFonts w:ascii="华文中宋" w:hAnsi="华文中宋" w:eastAsia="华文中宋"/>
          <w:bCs/>
          <w:sz w:val="32"/>
        </w:rPr>
        <w:t xml:space="preserve"> </w:t>
      </w:r>
      <w:r/>
    </w:p>
    <w:p>
      <w:pPr>
        <w:pStyle w:val="974"/>
        <w:spacing w:line="360" w:lineRule="auto"/>
        <w:rPr>
          <w:rFonts w:ascii="华文中宋" w:hAnsi="华文中宋" w:eastAsia="华文中宋"/>
          <w:bCs/>
          <w:sz w:val="30"/>
        </w:rPr>
      </w:pPr>
      <w:r>
        <w:rPr>
          <w:rFonts w:ascii="华文中宋" w:hAnsi="华文中宋" w:eastAsia="华文中宋"/>
          <w:bCs/>
          <w:sz w:val="30"/>
        </w:rPr>
      </w:r>
      <w:r/>
    </w:p>
    <w:p>
      <w:pPr>
        <w:pStyle w:val="974"/>
        <w:spacing w:line="360" w:lineRule="auto"/>
        <w:rPr>
          <w:rFonts w:ascii="华文中宋" w:hAnsi="华文中宋" w:eastAsia="华文中宋"/>
          <w:bCs/>
          <w:sz w:val="30"/>
        </w:rPr>
      </w:pPr>
      <w:r>
        <w:rPr>
          <w:rFonts w:ascii="华文中宋" w:hAnsi="华文中宋" w:eastAsia="华文中宋"/>
          <w:bCs/>
          <w:sz w:val="30"/>
        </w:rPr>
        <w:t xml:space="preserve"> </w:t>
      </w:r>
      <w:r/>
    </w:p>
    <w:p>
      <w:pPr>
        <w:pStyle w:val="974"/>
        <w:jc w:val="center"/>
        <w:spacing w:line="360" w:lineRule="auto"/>
        <w:rPr>
          <w:rFonts w:ascii="黑体" w:hAnsi="华文中宋" w:eastAsia="黑体"/>
          <w:bCs/>
          <w:sz w:val="44"/>
          <w:szCs w:val="44"/>
        </w:rPr>
      </w:pPr>
      <w:r>
        <w:rPr>
          <w:rFonts w:hint="eastAsia" w:ascii="黑体" w:hAnsi="华文中宋" w:eastAsia="黑体"/>
          <w:bCs/>
          <w:sz w:val="44"/>
          <w:szCs w:val="44"/>
        </w:rPr>
        <w:t xml:space="preserve">二〇二</w:t>
      </w:r>
      <w:r>
        <w:rPr>
          <w:rFonts w:hint="eastAsia" w:ascii="黑体" w:hAnsi="华文中宋" w:eastAsia="黑体"/>
          <w:bCs/>
          <w:sz w:val="44"/>
          <w:szCs w:val="44"/>
          <w:lang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eastAsia="zh-CN"/>
        </w:rPr>
        <w:t xml:space="preserve">七</w:t>
      </w:r>
      <w:r>
        <w:rPr>
          <w:rFonts w:hint="eastAsia" w:ascii="黑体" w:hAnsi="华文中宋" w:eastAsia="黑体"/>
          <w:bCs/>
          <w:sz w:val="44"/>
          <w:szCs w:val="44"/>
        </w:rPr>
        <w:t xml:space="preserve">月</w:t>
      </w:r>
      <w:r>
        <w:rPr>
          <w:rFonts w:ascii="黑体" w:hAnsi="华文中宋" w:eastAsia="黑体"/>
          <w:bCs/>
          <w:sz w:val="44"/>
          <w:szCs w:val="44"/>
        </w:rPr>
      </w:r>
      <w:r/>
    </w:p>
    <w:p>
      <w:pPr>
        <w:pStyle w:val="974"/>
        <w:jc w:val="center"/>
        <w:spacing w:line="360" w:lineRule="auto"/>
        <w:rPr>
          <w:rFonts w:eastAsia="黑体"/>
          <w:bCs/>
          <w:sz w:val="48"/>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bCs/>
          <w:sz w:val="48"/>
        </w:rPr>
      </w:r>
      <w:r/>
    </w:p>
    <w:p>
      <w:pPr>
        <w:pStyle w:val="974"/>
        <w:jc w:val="center"/>
        <w:spacing w:line="360" w:lineRule="auto"/>
        <w:rPr>
          <w:rFonts w:eastAsia="黑体"/>
          <w:bCs/>
          <w:sz w:val="48"/>
        </w:rPr>
      </w:pPr>
      <w:r>
        <w:rPr>
          <w:rFonts w:hint="eastAsia" w:eastAsia="黑体"/>
          <w:bCs/>
          <w:sz w:val="48"/>
        </w:rPr>
        <w:t xml:space="preserve">目     录</w:t>
      </w:r>
      <w:r>
        <w:rPr>
          <w:rFonts w:eastAsia="黑体"/>
          <w:bCs/>
          <w:sz w:val="48"/>
        </w:rPr>
      </w:r>
      <w:r/>
    </w:p>
    <w:p>
      <w:pPr>
        <w:pStyle w:val="974"/>
        <w:jc w:val="center"/>
        <w:spacing w:line="360" w:lineRule="auto"/>
        <w:rPr>
          <w:rFonts w:hint="eastAsia" w:ascii="宋体" w:hAnsi="宋体" w:eastAsia="宋体" w:cs="宋体"/>
          <w:bCs/>
          <w:sz w:val="30"/>
        </w:rPr>
      </w:pP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lang w:eastAsia="zh-CN"/>
        </w:rPr>
        <w:t xml:space="preserve">招标公告</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投标人须知</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项目技术要求和有关说明</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合同书（格式文本）</w:t>
      </w:r>
      <w:r>
        <w:rPr>
          <w:rFonts w:hint="eastAsia" w:ascii="宋体" w:hAnsi="宋体" w:eastAsia="宋体" w:cs="宋体"/>
          <w:bCs/>
          <w:sz w:val="30"/>
        </w:rPr>
      </w:r>
      <w:r/>
    </w:p>
    <w:p>
      <w:pPr>
        <w:pStyle w:val="974"/>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附件</w:t>
      </w:r>
      <w:r>
        <w:rPr>
          <w:rFonts w:hint="eastAsia" w:ascii="宋体" w:hAnsi="宋体" w:eastAsia="宋体" w:cs="宋体"/>
          <w:bCs/>
          <w:sz w:val="30"/>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4"/>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75"/>
        <w:jc w:val="center"/>
        <w:spacing w:line="360" w:lineRule="auto"/>
        <w:rPr>
          <w:rFonts w:hint="eastAsia" w:ascii="黑体" w:hAnsi="黑体" w:eastAsia="黑体"/>
          <w:b w:val="0"/>
          <w:szCs w:val="22"/>
          <w:lang w:eastAsia="zh-CN"/>
        </w:rPr>
      </w:pPr>
      <w:r>
        <w:rPr>
          <w:color w:val="000000"/>
          <w:sz w:val="21"/>
          <w:szCs w:val="21"/>
        </w:rPr>
        <w:br w:type="page" w:clear="all"/>
      </w:r>
      <w:r>
        <w:rPr>
          <w:rFonts w:hint="eastAsia" w:ascii="黑体" w:hAnsi="黑体" w:eastAsia="黑体"/>
          <w:b w:val="0"/>
          <w:szCs w:val="22"/>
        </w:rPr>
        <w:t xml:space="preserve">一．</w:t>
      </w:r>
      <w:r>
        <w:rPr>
          <w:rFonts w:hint="eastAsia" w:ascii="黑体" w:hAnsi="黑体" w:eastAsia="黑体"/>
          <w:b w:val="0"/>
          <w:szCs w:val="22"/>
          <w:lang w:eastAsia="zh-CN"/>
        </w:rPr>
        <w:t xml:space="preserve">招标公告</w:t>
      </w:r>
      <w:r>
        <w:rPr>
          <w:rFonts w:hint="eastAsia" w:ascii="黑体" w:hAnsi="黑体" w:eastAsia="黑体"/>
          <w:b w:val="0"/>
          <w:szCs w:val="22"/>
          <w:lang w:eastAsia="zh-CN"/>
        </w:rPr>
      </w:r>
      <w:r/>
    </w:p>
    <w:p>
      <w:pPr>
        <w:pStyle w:val="974"/>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江苏经纬工程投资造价咨询事务所有限公司受泰州市中级人民法院的委托，对</w:t>
      </w:r>
      <w:r>
        <w:rPr>
          <w:rFonts w:hint="eastAsia" w:ascii="宋体" w:hAnsi="宋体" w:eastAsia="宋体" w:cs="宋体"/>
          <w:bCs/>
          <w:sz w:val="24"/>
          <w:lang w:eastAsia="zh-CN"/>
        </w:rPr>
        <w:t xml:space="preserve">泰州市中级人民法院大案要案法庭改（扩）建文化布展服务</w:t>
      </w:r>
      <w:r>
        <w:rPr>
          <w:rFonts w:hint="eastAsia" w:ascii="宋体" w:hAnsi="宋体" w:eastAsia="宋体" w:cs="宋体"/>
          <w:bCs/>
          <w:sz w:val="24"/>
        </w:rPr>
        <w:t xml:space="preserve">进行公开招标采购，欢迎符合相关条件的供应商参加投标并提请注意下列相关事项：</w:t>
      </w:r>
      <w:r>
        <w:rPr>
          <w:rFonts w:hint="eastAsia" w:ascii="宋体" w:hAnsi="宋体" w:eastAsia="宋体" w:cs="宋体"/>
          <w:bCs/>
          <w:sz w:val="24"/>
        </w:rPr>
      </w:r>
      <w:r/>
    </w:p>
    <w:p>
      <w:pPr>
        <w:pStyle w:val="974"/>
        <w:ind w:firstLine="472"/>
        <w:jc w:val="left"/>
        <w:spacing w:line="360" w:lineRule="auto"/>
        <w:widowControl/>
        <w:rPr>
          <w:rFonts w:hint="eastAsia" w:ascii="宋体" w:hAnsi="宋体" w:eastAsia="宋体" w:cs="宋体"/>
          <w:b/>
          <w:bCs/>
          <w:sz w:val="24"/>
        </w:rPr>
      </w:pPr>
      <w:r/>
      <w:bookmarkStart w:id="0" w:name="_Toc517793358"/>
      <w:r>
        <w:rPr>
          <w:rFonts w:hint="eastAsia" w:ascii="宋体" w:hAnsi="宋体" w:eastAsia="宋体" w:cs="宋体"/>
          <w:b/>
          <w:bCs/>
          <w:sz w:val="24"/>
        </w:rPr>
        <w:t xml:space="preserve">一、项目基本情况</w:t>
      </w:r>
      <w:r>
        <w:rPr>
          <w:rFonts w:hint="eastAsia" w:ascii="宋体" w:hAnsi="宋体" w:eastAsia="宋体" w:cs="宋体"/>
          <w:b/>
          <w:bCs/>
          <w:sz w:val="24"/>
        </w:rPr>
      </w:r>
      <w:r/>
    </w:p>
    <w:p>
      <w:pPr>
        <w:pStyle w:val="974"/>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1、项目编号：JSZC-321200-JWZB-G2026-0002</w:t>
      </w:r>
      <w:r>
        <w:rPr>
          <w:rFonts w:hint="eastAsia" w:ascii="宋体" w:hAnsi="宋体" w:eastAsia="宋体" w:cs="宋体"/>
          <w:sz w:val="24"/>
          <w:lang w:eastAsia="zh-CN"/>
        </w:rPr>
        <w:t xml:space="preserve">      </w:t>
      </w:r>
      <w:r>
        <w:rPr>
          <w:rFonts w:hint="eastAsia" w:ascii="宋体" w:hAnsi="宋体" w:eastAsia="宋体" w:cs="宋体"/>
          <w:sz w:val="24"/>
          <w:lang w:eastAsia="zh-CN"/>
        </w:rPr>
      </w:r>
      <w:r/>
    </w:p>
    <w:p>
      <w:pPr>
        <w:pStyle w:val="974"/>
        <w:ind w:firstLine="480"/>
        <w:spacing w:line="440" w:lineRule="exact"/>
        <w:rPr>
          <w:rFonts w:hint="eastAsia"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泰州市中级人民法院大案要案法庭改（扩）建文化布展服务</w:t>
      </w:r>
      <w:r>
        <w:rPr>
          <w:rFonts w:hint="eastAsia" w:ascii="宋体" w:hAnsi="宋体" w:eastAsia="宋体" w:cs="宋体"/>
          <w:sz w:val="24"/>
        </w:rPr>
        <w:t xml:space="preserve">   </w:t>
      </w:r>
      <w:r>
        <w:rPr>
          <w:rFonts w:hint="eastAsia" w:ascii="宋体" w:hAnsi="宋体" w:eastAsia="宋体" w:cs="宋体"/>
          <w:sz w:val="24"/>
        </w:rPr>
      </w:r>
      <w:r/>
    </w:p>
    <w:p>
      <w:pPr>
        <w:pStyle w:val="974"/>
        <w:ind w:left="482"/>
        <w:jc w:val="left"/>
        <w:spacing w:line="360" w:lineRule="auto"/>
        <w:widowControl/>
        <w:rPr>
          <w:rFonts w:hint="eastAsia" w:ascii="宋体" w:hAnsi="宋体" w:eastAsia="宋体" w:cs="宋体"/>
          <w:sz w:val="24"/>
        </w:rPr>
      </w:pPr>
      <w:r>
        <w:rPr>
          <w:rFonts w:hint="eastAsia" w:ascii="宋体" w:hAnsi="宋体" w:eastAsia="宋体" w:cs="宋体"/>
          <w:sz w:val="24"/>
        </w:rPr>
        <w:t xml:space="preserve">3、采购方式：</w:t>
      </w:r>
      <w:r>
        <w:rPr>
          <w:rFonts w:hint="eastAsia" w:ascii="宋体" w:hAnsi="宋体" w:eastAsia="宋体" w:cs="宋体"/>
          <w:sz w:val="24"/>
          <w:lang w:eastAsia="zh-CN"/>
        </w:rPr>
        <w:t xml:space="preserve">公开招标</w:t>
      </w:r>
      <w:r>
        <w:rPr>
          <w:rFonts w:hint="eastAsia" w:ascii="宋体" w:hAnsi="宋体" w:eastAsia="宋体" w:cs="宋体"/>
          <w:sz w:val="24"/>
        </w:rPr>
        <w:t xml:space="preserve"> </w:t>
      </w:r>
      <w:r>
        <w:rPr>
          <w:rFonts w:hint="eastAsia" w:ascii="宋体" w:hAnsi="宋体" w:eastAsia="宋体" w:cs="宋体"/>
          <w:sz w:val="24"/>
        </w:rPr>
      </w:r>
      <w:r/>
    </w:p>
    <w:p>
      <w:pPr>
        <w:pStyle w:val="974"/>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rPr>
        <w:t xml:space="preserve">4、预算金额：（人民币，万元）：</w:t>
      </w:r>
      <w:r>
        <w:rPr>
          <w:rFonts w:hint="eastAsia" w:ascii="宋体" w:hAnsi="宋体" w:eastAsia="宋体" w:cs="宋体"/>
          <w:sz w:val="24"/>
          <w:szCs w:val="24"/>
          <w:highlight w:val="none"/>
          <w:lang w:val="en-US" w:eastAsia="zh-CN"/>
        </w:rPr>
        <w:t xml:space="preserve">430.64</w:t>
      </w:r>
      <w:r>
        <w:rPr>
          <w:rFonts w:hint="eastAsia" w:ascii="宋体" w:hAnsi="宋体" w:eastAsia="宋体" w:cs="宋体"/>
          <w:sz w:val="24"/>
          <w:szCs w:val="24"/>
          <w:highlight w:val="none"/>
        </w:rPr>
        <w:t xml:space="preserve">万元</w:t>
      </w:r>
      <w:r>
        <w:rPr>
          <w:rFonts w:hint="eastAsia" w:ascii="宋体" w:hAnsi="宋体" w:eastAsia="宋体" w:cs="宋体"/>
          <w:sz w:val="24"/>
        </w:rPr>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highlight w:val="none"/>
        </w:rPr>
        <w:t xml:space="preserve">   最高限价：</w:t>
      </w:r>
      <w:r>
        <w:rPr>
          <w:rFonts w:hint="eastAsia" w:ascii="宋体" w:hAnsi="宋体" w:eastAsia="宋体" w:cs="宋体"/>
          <w:sz w:val="24"/>
        </w:rPr>
        <w:t xml:space="preserve">（人民币，万元）</w:t>
      </w:r>
      <w:r/>
      <w:r>
        <w:rPr>
          <w:rFonts w:hint="eastAsia" w:ascii="宋体" w:hAnsi="宋体" w:eastAsia="宋体" w:cs="宋体"/>
          <w:sz w:val="24"/>
          <w:highlight w:val="none"/>
        </w:rPr>
        <w:t xml:space="preserve">：422.289755万元</w:t>
      </w:r>
      <w:r>
        <w:rPr>
          <w:rFonts w:hint="eastAsia" w:ascii="宋体" w:hAnsi="宋体" w:eastAsia="宋体" w:cs="宋体"/>
          <w:sz w:val="24"/>
          <w:highlight w:val="none"/>
        </w:rPr>
      </w:r>
    </w:p>
    <w:p>
      <w:pPr>
        <w:pStyle w:val="974"/>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、采购需求：</w:t>
      </w:r>
      <w:r>
        <w:rPr>
          <w:rFonts w:hint="eastAsia" w:ascii="宋体" w:hAnsi="宋体" w:eastAsia="宋体" w:cs="宋体"/>
          <w:sz w:val="24"/>
          <w:szCs w:val="24"/>
          <w:highlight w:val="none"/>
          <w:lang w:eastAsia="zh-CN"/>
        </w:rPr>
        <w:t xml:space="preserve">本次采购内容为对泰州市中级人民法院大案要案法庭改(扩)建设项目（公共空间法</w:t>
      </w:r>
      <w:r>
        <w:rPr>
          <w:rFonts w:hint="eastAsia" w:ascii="宋体" w:hAnsi="宋体" w:eastAsia="宋体" w:cs="宋体"/>
          <w:sz w:val="24"/>
          <w:szCs w:val="24"/>
          <w:highlight w:val="none"/>
          <w:lang w:eastAsia="zh-CN"/>
        </w:rPr>
        <w:t xml:space="preserve">治文化展陈布展项目） 一楼大厅、1—3楼走廊、未成年人教育基地、整栋大楼的导视系统制作进行法治文化展示展陈布展，其中一楼大厅展陈面积约为20.15㎡、1楼展陈面积约为242.2㎡、2楼展陈面积约为213.3㎡、3楼展陈面积约为168.4㎡、未成年人教育基地展陈面积约31.3㎡；本项目包括涉及本次文化建设所需的各类展墙、展柜、艺术装置、展陈背景、展陈设备、互动软件、中控系统、大楼的导视系统等（详见清单）的供应和展示以及为完成本次文化建设所需的二次专项深化设计（一楼大厅浮雕壁画和一楼主席箴言二次专项深化设计）。</w:t>
      </w:r>
      <w:r>
        <w:rPr>
          <w:rFonts w:hint="eastAsia" w:ascii="宋体" w:hAnsi="宋体" w:eastAsia="宋体" w:cs="宋体"/>
          <w:sz w:val="24"/>
        </w:rPr>
      </w:r>
      <w:r/>
    </w:p>
    <w:p>
      <w:pPr>
        <w:pStyle w:val="974"/>
        <w:ind w:firstLine="480"/>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rPr>
          <w:rFonts w:hint="eastAsia" w:ascii="宋体" w:hAnsi="宋体" w:eastAsia="宋体" w:cs="宋体"/>
          <w:bCs/>
          <w:sz w:val="24"/>
          <w:szCs w:val="24"/>
          <w:lang w:val="en-US" w:eastAsia="zh-CN" w:bidi="ar-SA"/>
        </w:rPr>
        <w:t xml:space="preserve">合同履行期限：</w:t>
      </w:r>
      <w:r>
        <w:rPr>
          <w:rFonts w:hint="eastAsia" w:ascii="宋体" w:hAnsi="宋体" w:eastAsia="宋体" w:cs="宋体"/>
          <w:sz w:val="24"/>
          <w:highlight w:val="none"/>
          <w:lang w:val="en-US" w:eastAsia="zh-CN"/>
        </w:rPr>
        <w:t xml:space="preserve">100日历天</w:t>
      </w:r>
      <w:r>
        <w:rPr>
          <w:rFonts w:hint="eastAsia" w:ascii="宋体" w:hAnsi="宋体" w:eastAsia="宋体" w:cs="宋体"/>
          <w:sz w:val="24"/>
          <w:highlight w:val="none"/>
        </w:rPr>
        <w:t xml:space="preserve">。</w:t>
      </w:r>
      <w:r>
        <w:rPr>
          <w:rFonts w:hint="eastAsia" w:ascii="宋体" w:hAnsi="宋体" w:eastAsia="宋体" w:cs="宋体"/>
          <w:b/>
          <w:bCs w:val="0"/>
          <w:sz w:val="24"/>
          <w:szCs w:val="24"/>
          <w:lang w:val="en-US" w:eastAsia="zh-CN" w:bidi="ar-SA"/>
        </w:rPr>
      </w:r>
      <w:r/>
    </w:p>
    <w:p>
      <w:pPr>
        <w:pStyle w:val="974"/>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本项目不接受联合体。</w:t>
      </w:r>
      <w:r>
        <w:rPr>
          <w:rFonts w:hint="eastAsia" w:ascii="宋体" w:hAnsi="宋体" w:eastAsia="宋体" w:cs="宋体"/>
          <w:sz w:val="24"/>
        </w:rPr>
      </w:r>
      <w:r/>
    </w:p>
    <w:p>
      <w:pPr>
        <w:pStyle w:val="974"/>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申请人的资格要求</w:t>
      </w:r>
      <w:r>
        <w:rPr>
          <w:rFonts w:hint="eastAsia" w:ascii="宋体" w:hAnsi="宋体" w:eastAsia="宋体" w:cs="宋体"/>
          <w:sz w:val="24"/>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2.落实政府采购政策需满足的资格要求：本项目专门面向中小微企业、监狱企业、残疾人福利性单位采购。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sz w:val="24"/>
          <w:szCs w:val="24"/>
          <w:highlight w:val="none"/>
          <w:lang w:eastAsia="zh-CN"/>
        </w:rPr>
        <w:t xml:space="preserve">无</w:t>
      </w:r>
      <w:r>
        <w:rPr>
          <w:rFonts w:hint="eastAsia" w:ascii="宋体" w:hAnsi="宋体" w:eastAsia="宋体" w:cs="宋体"/>
          <w:sz w:val="24"/>
          <w:szCs w:val="24"/>
          <w:highlight w:val="none"/>
          <w:lang w:eastAsia="zh-CN"/>
        </w:rPr>
      </w:r>
      <w:r/>
    </w:p>
    <w:p>
      <w:pPr>
        <w:pStyle w:val="974"/>
        <w:ind w:firstLine="472"/>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三、获取采购文件</w:t>
      </w:r>
      <w:r>
        <w:rPr>
          <w:rFonts w:hint="eastAsia" w:ascii="宋体" w:hAnsi="宋体" w:eastAsia="宋体" w:cs="宋体"/>
          <w:b/>
          <w:bCs/>
          <w:sz w:val="24"/>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日至20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（二）获取方式：</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1.地点：网上注册登记成功后系统内免费下载。</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2.获取方式：本项目采用网上注册登记方式。</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3.潜在投标人访问电子招标投标交易平台的网络地址和方法：</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（2）潜在投标人访问“苏采云”系统的网络地址和方法：“苏采云”系统的网址：http://jszfcg.jsczt.cn/，点击“苏采云”进入系统。</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（3）“CA数字证书”的获取：供应商需办理方正CA锁：</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 。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"http://czj.taizhou.gov.cn/art/2022/12/9/art_61762_3436049.html" \t "_blank" \o "苏采云系统操作手册（供应商）"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苏采云系统操作手册（供应商）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”，进行下载。</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（5）招标代理机构（采购代理机构）将数据电文形式的招标文件加载至“苏采云”系统，供潜在投标人下载或者查阅。</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（6）苏采云系统使用谷歌浏览器参与不见面开标。</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（7）有关本次采购的事项若存在变动或修改，敬请及时关注“江苏政府采购网”发布的更正公告。</w:t>
      </w:r>
      <w:r>
        <w:rPr>
          <w:rFonts w:hint="eastAsia" w:ascii="宋体" w:hAnsi="宋体" w:eastAsia="宋体" w:cs="宋体"/>
          <w:sz w:val="24"/>
          <w:szCs w:val="24"/>
          <w:highlight w:val="none"/>
        </w:rPr>
      </w:r>
      <w:r/>
    </w:p>
    <w:p>
      <w:pPr>
        <w:pStyle w:val="976"/>
        <w:ind w:firstLine="480"/>
        <w:jc w:val="both"/>
        <w:keepNext w:val="0"/>
        <w:spacing w:line="360" w:lineRule="auto"/>
        <w:rPr>
          <w:rFonts w:hint="eastAsia"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如潜在供应商未按上述要求操作，将自行承担所产生的风险。</w:t>
      </w:r>
      <w:r>
        <w:rPr>
          <w:rFonts w:hint="eastAsia" w:ascii="宋体" w:hAnsi="宋体" w:eastAsia="宋体" w:cs="宋体"/>
          <w:b w:val="0"/>
          <w:sz w:val="24"/>
          <w:szCs w:val="24"/>
          <w:highlight w:val="none"/>
          <w:lang w:val="en-US" w:eastAsia="zh-CN" w:bidi="ar-SA"/>
        </w:rPr>
      </w:r>
      <w:r/>
    </w:p>
    <w:p>
      <w:pPr>
        <w:pStyle w:val="974"/>
        <w:ind w:left="520"/>
        <w:spacing w:line="480" w:lineRule="auto"/>
        <w:rPr>
          <w:rFonts w:hint="eastAsia" w:ascii="宋体" w:hAnsi="宋体" w:eastAsia="宋体" w:cs="宋体"/>
          <w:b/>
          <w:bCs/>
          <w:sz w:val="24"/>
        </w:rPr>
        <w:outlineLvl w:val="1"/>
      </w:pPr>
      <w:r/>
      <w:bookmarkStart w:id="1" w:name="_Toc28359082"/>
      <w:r/>
      <w:bookmarkStart w:id="2" w:name="_Toc35393624"/>
      <w:r/>
      <w:bookmarkStart w:id="3" w:name="_Toc35393793"/>
      <w:r/>
      <w:bookmarkStart w:id="4" w:name="_Toc28359005"/>
      <w:r>
        <w:rPr>
          <w:rFonts w:hint="eastAsia" w:ascii="宋体" w:hAnsi="宋体" w:eastAsia="宋体" w:cs="宋体"/>
          <w:b/>
          <w:bCs/>
          <w:sz w:val="24"/>
        </w:rPr>
        <w:t xml:space="preserve">四、</w:t>
      </w:r>
      <w:r>
        <w:rPr>
          <w:rFonts w:hint="eastAsia" w:ascii="宋体" w:hAnsi="宋体" w:eastAsia="宋体" w:cs="宋体"/>
          <w:b/>
          <w:bCs/>
          <w:sz w:val="24"/>
          <w:szCs w:val="24"/>
          <w:highlight w:val="none"/>
        </w:rPr>
        <w:t xml:space="preserve">提交投标文件截止时间、开标时间和地点</w:t>
      </w:r>
      <w:r>
        <w:rPr>
          <w:rFonts w:hint="eastAsia" w:ascii="宋体" w:hAnsi="宋体" w:eastAsia="宋体" w:cs="宋体"/>
          <w:b/>
          <w:bCs/>
          <w:sz w:val="24"/>
        </w:rPr>
      </w:r>
      <w:r/>
    </w:p>
    <w:p>
      <w:pPr>
        <w:pStyle w:val="974"/>
        <w:ind w:firstLine="480"/>
        <w:spacing w:line="400" w:lineRule="exact"/>
        <w:rPr>
          <w:rFonts w:hint="eastAsia" w:ascii="宋体" w:hAnsi="宋体" w:eastAsia="宋体" w:cs="宋体"/>
          <w:sz w:val="24"/>
          <w:szCs w:val="24"/>
          <w:highlight w:val="none"/>
        </w:rPr>
      </w:pPr>
      <w:r/>
      <w:bookmarkEnd w:id="1"/>
      <w:r/>
      <w:bookmarkEnd w:id="2"/>
      <w:r/>
      <w:bookmarkEnd w:id="3"/>
      <w:r/>
      <w:bookmarkEnd w:id="4"/>
      <w:r/>
      <w:bookmarkStart w:id="5" w:name="_Toc35393633"/>
      <w:r/>
      <w:bookmarkStart w:id="6" w:name="_Toc35393802"/>
      <w:r/>
      <w:bookmarkStart w:id="7" w:name="_Toc28359093"/>
      <w:r/>
      <w:bookmarkStart w:id="8" w:name="_Toc28359016"/>
      <w:r>
        <w:rPr>
          <w:rFonts w:hint="eastAsia" w:ascii="宋体" w:hAnsi="宋体" w:eastAsia="宋体" w:cs="宋体"/>
          <w:sz w:val="24"/>
          <w:szCs w:val="24"/>
          <w:highlight w:val="none"/>
        </w:rPr>
        <w:t xml:space="preserve">递交截止时间：202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8月10日15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"http://jszfcg.jsczt.cn/）\“开标大厅，点击\“苏采云\”进入系统\“开标大厅\”。"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http://jszfcg.jsczt.cn/）“开标大厅，点击“苏采云”进入系统“开标大厅”。</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r>
      <w:r/>
    </w:p>
    <w:p>
      <w:pPr>
        <w:pStyle w:val="974"/>
        <w:ind w:firstLine="480"/>
        <w:spacing w:line="48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8月10日15</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0</w:t>
      </w:r>
      <w:r>
        <w:rPr>
          <w:rFonts w:hint="eastAsia" w:ascii="宋体" w:hAnsi="宋体" w:eastAsia="宋体" w:cs="宋体"/>
          <w:sz w:val="24"/>
          <w:szCs w:val="24"/>
          <w:highlight w:val="none"/>
        </w:rPr>
        <w:t xml:space="preserve">0(北京时间)</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End w:id="5"/>
      <w:r/>
      <w:bookmarkEnd w:id="6"/>
      <w:r/>
      <w:bookmarkEnd w:id="7"/>
      <w:r/>
      <w:bookmarkEnd w:id="8"/>
      <w:r/>
      <w:bookmarkStart w:id="9" w:name="_Toc28359007"/>
      <w:r/>
      <w:bookmarkStart w:id="10" w:name="_Toc35393625"/>
      <w:r/>
      <w:bookmarkStart w:id="11" w:name="_Toc35393794"/>
      <w:r/>
      <w:bookmarkStart w:id="12" w:name="_Toc28359084"/>
      <w:r>
        <w:rPr>
          <w:rFonts w:hint="eastAsia" w:ascii="宋体" w:hAnsi="宋体" w:eastAsia="宋体" w:cs="宋体"/>
          <w:b/>
          <w:bCs/>
          <w:sz w:val="24"/>
          <w:szCs w:val="24"/>
          <w:highlight w:val="none"/>
        </w:rPr>
        <w:t xml:space="preserve">五、公告期限</w:t>
      </w:r>
      <w:bookmarkEnd w:id="9"/>
      <w:r/>
      <w:bookmarkEnd w:id="10"/>
      <w:r/>
      <w:bookmarkEnd w:id="11"/>
      <w:r/>
      <w:bookmarkEnd w:id="12"/>
      <w:r>
        <w:rPr>
          <w:rFonts w:hint="eastAsia" w:ascii="宋体" w:hAnsi="宋体" w:eastAsia="宋体" w:cs="宋体"/>
          <w:b/>
          <w:bCs/>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个工作日。</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Start w:id="13" w:name="_Toc35393795"/>
      <w:r/>
      <w:bookmarkStart w:id="14" w:name="_Toc35393626"/>
      <w:r>
        <w:rPr>
          <w:rFonts w:hint="eastAsia" w:ascii="宋体" w:hAnsi="宋体" w:eastAsia="宋体" w:cs="宋体"/>
          <w:b/>
          <w:bCs/>
          <w:sz w:val="24"/>
          <w:szCs w:val="24"/>
          <w:highlight w:val="none"/>
        </w:rPr>
        <w:t xml:space="preserve">六、其他补充事宜</w:t>
      </w:r>
      <w:bookmarkEnd w:id="13"/>
      <w:r/>
      <w:bookmarkEnd w:id="14"/>
      <w:r>
        <w:rPr>
          <w:rFonts w:hint="eastAsia" w:ascii="宋体" w:hAnsi="宋体" w:eastAsia="宋体" w:cs="宋体"/>
          <w:b/>
          <w:bCs/>
          <w:sz w:val="24"/>
          <w:szCs w:val="24"/>
          <w:highlight w:val="none"/>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 根据省财政厅《关于更</w:t>
      </w:r>
      <w:r>
        <w:rPr>
          <w:rFonts w:hint="eastAsia" w:ascii="宋体" w:hAnsi="宋体" w:eastAsia="宋体" w:cs="宋体"/>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领取CA和办理电子签章（请至</w:t>
      </w:r>
      <w:r>
        <w:rPr>
          <w:rFonts w:hint="eastAsia" w:ascii="宋体" w:hAnsi="宋体" w:eastAsia="宋体" w:cs="宋体"/>
          <w:color w:val="000000"/>
          <w:sz w:val="24"/>
          <w:szCs w:val="24"/>
          <w:lang w:eastAsia="zh-CN"/>
        </w:rPr>
        <w:t xml:space="preserve">公共资源交易中心一楼</w:t>
      </w:r>
      <w:r>
        <w:rPr>
          <w:rFonts w:hint="eastAsia" w:ascii="宋体" w:hAnsi="宋体" w:eastAsia="宋体" w:cs="宋体"/>
          <w:color w:val="000000"/>
          <w:sz w:val="24"/>
          <w:szCs w:val="24"/>
        </w:rPr>
        <w:t xml:space="preserve">大厅CA办理窗口办理，具体联系方式见《苏采云系统供应商操作手册》（以下简称《操作手册》））、进行注册并按《操作手册》要求制作、上传电子响应文件。</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有关本次招标的事项若存在变动或修改，敬请及时关注</w:t>
      </w:r>
      <w:r>
        <w:rPr>
          <w:rFonts w:hint="eastAsia" w:ascii="宋体" w:hAnsi="宋体" w:eastAsia="宋体" w:cs="宋体"/>
          <w:color w:val="000000"/>
          <w:sz w:val="24"/>
          <w:szCs w:val="24"/>
          <w:lang w:eastAsia="zh-CN"/>
        </w:rPr>
        <w:t xml:space="preserve">江苏经纬工程投资造价咨询事务所有限公司</w:t>
      </w:r>
      <w:r>
        <w:rPr>
          <w:rFonts w:hint="eastAsia" w:ascii="宋体" w:hAnsi="宋体" w:eastAsia="宋体" w:cs="宋体"/>
          <w:color w:val="000000"/>
          <w:sz w:val="24"/>
          <w:szCs w:val="24"/>
        </w:rPr>
        <w:t xml:space="preserve">在“江苏政府采购网”发布的更正公告。</w:t>
      </w:r>
      <w:r>
        <w:rPr>
          <w:rFonts w:hint="eastAsia" w:ascii="宋体" w:hAnsi="宋体" w:eastAsia="宋体" w:cs="宋体"/>
          <w:color w:val="000000"/>
          <w:sz w:val="24"/>
          <w:szCs w:val="24"/>
        </w:rPr>
      </w:r>
      <w:r/>
    </w:p>
    <w:p>
      <w:pPr>
        <w:pStyle w:val="1020"/>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 本次招标不收取投标保证金。</w:t>
      </w:r>
      <w:r>
        <w:rPr>
          <w:rFonts w:hint="eastAsia" w:ascii="宋体" w:hAnsi="宋体" w:eastAsia="宋体" w:cs="宋体"/>
          <w:sz w:val="24"/>
          <w:szCs w:val="24"/>
          <w:highlight w:val="none"/>
        </w:rPr>
      </w:r>
      <w:r/>
    </w:p>
    <w:p>
      <w:pPr>
        <w:pStyle w:val="974"/>
        <w:ind w:firstLine="482"/>
        <w:keepLines/>
        <w:keepNext/>
        <w:spacing w:line="400" w:lineRule="exact"/>
        <w:rPr>
          <w:rFonts w:hint="eastAsia" w:ascii="宋体" w:hAnsi="宋体" w:eastAsia="宋体" w:cs="宋体"/>
          <w:b/>
          <w:bCs/>
          <w:sz w:val="24"/>
          <w:szCs w:val="24"/>
          <w:highlight w:val="none"/>
        </w:rPr>
      </w:pPr>
      <w:r/>
      <w:bookmarkStart w:id="15" w:name="_Toc28359008"/>
      <w:r/>
      <w:bookmarkStart w:id="16" w:name="_Toc35393796"/>
      <w:r/>
      <w:bookmarkStart w:id="17" w:name="_Toc28359085"/>
      <w:r/>
      <w:bookmarkStart w:id="18" w:name="_Toc35393627"/>
      <w:r>
        <w:rPr>
          <w:rFonts w:hint="eastAsia" w:ascii="宋体" w:hAnsi="宋体" w:eastAsia="宋体" w:cs="宋体"/>
          <w:b/>
          <w:bCs/>
          <w:sz w:val="24"/>
          <w:szCs w:val="24"/>
          <w:highlight w:val="none"/>
        </w:rPr>
        <w:t xml:space="preserve">七、对本次招标提出询问，请按以下方式联系</w:t>
      </w:r>
      <w:bookmarkEnd w:id="15"/>
      <w:r/>
      <w:bookmarkEnd w:id="16"/>
      <w:r/>
      <w:bookmarkEnd w:id="17"/>
      <w:r/>
      <w:bookmarkEnd w:id="18"/>
      <w:r>
        <w:rPr>
          <w:rFonts w:hint="eastAsia" w:ascii="宋体" w:hAnsi="宋体" w:eastAsia="宋体" w:cs="宋体"/>
          <w:b/>
          <w:bCs/>
          <w:sz w:val="24"/>
          <w:szCs w:val="24"/>
          <w:highlight w:val="none"/>
        </w:rPr>
      </w:r>
      <w:r/>
    </w:p>
    <w:p>
      <w:pPr>
        <w:pStyle w:val="974"/>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lang w:eastAsia="zh-CN"/>
        </w:rPr>
      </w:pPr>
      <w:r/>
      <w:bookmarkStart w:id="19" w:name="_Toc28359009"/>
      <w:r/>
      <w:bookmarkStart w:id="20" w:name="_Toc28359086"/>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江苏省泰州市中级人民法院</w:t>
      </w:r>
      <w:r>
        <w:rPr>
          <w:rFonts w:hint="eastAsia" w:ascii="宋体" w:hAnsi="宋体" w:eastAsia="宋体" w:cs="宋体"/>
          <w:sz w:val="24"/>
          <w:szCs w:val="24"/>
          <w:highlight w:val="none"/>
          <w:lang w:eastAsia="zh-CN"/>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址：江苏省泰州市海陵区凤凰东路52号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陈先生</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联系方式：18852668766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19"/>
      <w:r/>
      <w:bookmarkEnd w:id="20"/>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名称：江苏经纬工程投资造价咨询事务所有限公司　</w:t>
      </w:r>
      <w:r>
        <w:rPr>
          <w:rFonts w:hint="eastAsia" w:ascii="宋体" w:hAnsi="宋体" w:eastAsia="宋体" w:cs="宋体"/>
          <w:sz w:val="24"/>
          <w:szCs w:val="24"/>
          <w:highlight w:val="none"/>
        </w:rPr>
      </w:r>
      <w:r/>
    </w:p>
    <w:p>
      <w:pPr>
        <w:pStyle w:val="974"/>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eastAsia="zh-CN"/>
        </w:rPr>
        <w:t xml:space="preserve">泰州市国际汽车城10栋4楼</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74"/>
        <w:ind w:firstLine="480"/>
        <w:jc w:val="left"/>
        <w:widowControl/>
      </w:pPr>
      <w:r>
        <w:rPr>
          <w:rFonts w:hint="eastAsia" w:ascii="宋体" w:hAnsi="宋体" w:eastAsia="宋体" w:cs="宋体"/>
          <w:sz w:val="24"/>
          <w:szCs w:val="24"/>
          <w:highlight w:val="none"/>
        </w:rPr>
        <w:t xml:space="preserve">联系人：杜先生　联系方式：0523-86882829</w:t>
      </w:r>
      <w:r/>
    </w:p>
    <w:p>
      <w:pPr>
        <w:pStyle w:val="974"/>
        <w:ind w:firstLine="480"/>
        <w:spacing w:line="360" w:lineRule="auto"/>
        <w:rPr>
          <w:rFonts w:hint="eastAsia" w:ascii="宋体" w:hAnsi="宋体" w:eastAsia="宋体" w:cs="宋体"/>
          <w:bCs/>
          <w:sz w:val="24"/>
        </w:rPr>
      </w:pPr>
      <w:r/>
      <w:bookmarkEnd w:id="0"/>
      <w:r>
        <w:rPr>
          <w:rFonts w:hint="eastAsia" w:ascii="宋体" w:hAnsi="宋体" w:eastAsia="宋体" w:cs="宋体"/>
          <w:bCs/>
          <w:sz w:val="24"/>
        </w:rPr>
      </w:r>
      <w:r/>
    </w:p>
    <w:p>
      <w:pPr>
        <w:pStyle w:val="974"/>
        <w:spacing w:line="360" w:lineRule="auto"/>
        <w:rPr>
          <w:rFonts w:hint="eastAsia" w:ascii="宋体" w:hAnsi="宋体" w:eastAsia="宋体" w:cs="宋体"/>
        </w:rPr>
      </w:pPr>
      <w:r>
        <w:rPr>
          <w:rFonts w:hint="eastAsia" w:ascii="宋体" w:hAnsi="宋体" w:eastAsia="宋体" w:cs="宋体"/>
        </w:rPr>
      </w:r>
      <w:r/>
    </w:p>
    <w:p>
      <w:pPr>
        <w:pStyle w:val="975"/>
        <w:spacing w:line="360" w:lineRule="auto"/>
        <w:rPr>
          <w:rFonts w:hint="eastAsia" w:ascii="宋体" w:hAnsi="宋体" w:eastAsia="宋体" w:cs="宋体"/>
          <w:b w:val="0"/>
          <w:szCs w:val="2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szCs w:val="22"/>
        </w:rPr>
      </w:r>
      <w:r/>
    </w:p>
    <w:p>
      <w:pPr>
        <w:pStyle w:val="975"/>
        <w:numPr>
          <w:ilvl w:val="0"/>
          <w:numId w:val="2"/>
        </w:numPr>
        <w:jc w:val="center"/>
        <w:spacing w:line="360" w:lineRule="auto"/>
        <w:rPr>
          <w:rFonts w:hint="eastAsia" w:ascii="宋体" w:hAnsi="宋体" w:eastAsia="宋体" w:cs="宋体"/>
          <w:b w:val="0"/>
          <w:szCs w:val="22"/>
        </w:rPr>
      </w:pPr>
      <w:r>
        <w:rPr>
          <w:rFonts w:hint="eastAsia" w:ascii="宋体" w:hAnsi="宋体" w:eastAsia="宋体" w:cs="宋体"/>
          <w:b w:val="0"/>
          <w:szCs w:val="22"/>
        </w:rPr>
        <w:t xml:space="preserve">投标人须知</w:t>
      </w:r>
      <w:r>
        <w:rPr>
          <w:rFonts w:hint="eastAsia" w:ascii="宋体" w:hAnsi="宋体" w:eastAsia="宋体" w:cs="宋体"/>
          <w:b w:val="0"/>
          <w:szCs w:val="22"/>
        </w:rPr>
      </w:r>
      <w:r/>
    </w:p>
    <w:p>
      <w:pPr>
        <w:pStyle w:val="974"/>
        <w:ind w:firstLine="480"/>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本表是对投标人须知的具体补充和修改，如有矛盾，均以本资料表为准。标记</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sz w:val="24"/>
        </w:rPr>
        <w:t xml:space="preserve">的选项意为适用于本项目，标记“□”的选项意为不适用于本项目。</w:t>
      </w:r>
      <w:r>
        <w:rPr>
          <w:rFonts w:hint="eastAsia" w:ascii="宋体" w:hAnsi="宋体" w:eastAsia="宋体" w:cs="宋体"/>
          <w:sz w:val="24"/>
        </w:rPr>
      </w:r>
      <w:r/>
    </w:p>
    <w:tbl>
      <w:tblPr>
        <w:tblW w:w="833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636"/>
      </w:tblGrid>
      <w:tr>
        <w:trPr>
          <w:trHeight w:val="594"/>
          <w:tblHeader/>
        </w:trPr>
        <w:tc>
          <w:tcPr>
            <w:tcW w:w="1701" w:type="dxa"/>
            <w:vAlign w:val="center"/>
            <w:textDirection w:val="lrTb"/>
            <w:noWrap/>
          </w:tcPr>
          <w:p>
            <w:pPr>
              <w:pStyle w:val="974"/>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项目</w:t>
            </w:r>
            <w:r>
              <w:rPr>
                <w:rFonts w:hint="eastAsia" w:ascii="宋体" w:hAnsi="宋体" w:eastAsia="宋体" w:cs="宋体"/>
                <w:b/>
                <w:bCs/>
                <w:sz w:val="24"/>
              </w:rPr>
            </w:r>
            <w:r/>
          </w:p>
        </w:tc>
        <w:tc>
          <w:tcPr>
            <w:tcW w:w="6636" w:type="dxa"/>
            <w:vAlign w:val="center"/>
            <w:textDirection w:val="lrTb"/>
            <w:noWrap/>
          </w:tcPr>
          <w:p>
            <w:pPr>
              <w:pStyle w:val="974"/>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内容</w:t>
            </w:r>
            <w:r>
              <w:rPr>
                <w:rFonts w:hint="eastAsia" w:ascii="宋体" w:hAnsi="宋体" w:eastAsia="宋体" w:cs="宋体"/>
                <w:b/>
                <w:bCs/>
                <w:sz w:val="24"/>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项目属性：</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服务</w:t>
            </w:r>
            <w:r>
              <w:rPr>
                <w:rFonts w:hint="eastAsia" w:ascii="宋体" w:hAnsi="宋体" w:eastAsia="宋体" w:cs="宋体"/>
                <w:sz w:val="24"/>
              </w:rPr>
            </w:r>
            <w:r/>
          </w:p>
          <w:p>
            <w:pPr>
              <w:pStyle w:val="974"/>
              <w:jc w:val="left"/>
              <w:spacing w:line="360" w:lineRule="auto"/>
              <w:rPr>
                <w:rFonts w:hint="eastAsia" w:ascii="宋体" w:hAnsi="宋体" w:eastAsia="宋体" w:cs="宋体"/>
                <w:sz w:val="24"/>
                <w:u w:val="single"/>
              </w:rPr>
            </w:pPr>
            <w:r>
              <w:rPr>
                <w:rFonts w:hint="eastAsia" w:ascii="宋体" w:hAnsi="宋体" w:eastAsia="宋体" w:cs="宋体"/>
                <w:sz w:val="24"/>
              </w:rPr>
              <w:t xml:space="preserve">□货物</w:t>
            </w:r>
            <w:r>
              <w:rPr>
                <w:rFonts w:hint="eastAsia" w:ascii="宋体" w:hAnsi="宋体" w:eastAsia="宋体" w:cs="宋体"/>
                <w:sz w:val="24"/>
                <w:u w:val="single"/>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科研仪器设备</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是否属于科研仪器设备采购项目：</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□是</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否</w:t>
            </w:r>
            <w:r>
              <w:rPr>
                <w:rFonts w:hint="eastAsia" w:ascii="宋体" w:hAnsi="宋体" w:eastAsia="宋体" w:cs="宋体"/>
                <w:sz w:val="24"/>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现场考察</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不组织</w:t>
            </w:r>
            <w:r>
              <w:rPr>
                <w:rFonts w:hint="eastAsia" w:ascii="宋体" w:hAnsi="宋体" w:eastAsia="宋体" w:cs="宋体"/>
                <w:sz w:val="24"/>
              </w:rPr>
            </w:r>
            <w:r/>
          </w:p>
          <w:p>
            <w:pPr>
              <w:pStyle w:val="974"/>
              <w:jc w:val="left"/>
              <w:spacing w:line="360" w:lineRule="auto"/>
              <w:rPr>
                <w:rFonts w:hint="eastAsia" w:ascii="宋体" w:hAnsi="宋体" w:eastAsia="宋体" w:cs="宋体"/>
                <w:bCs/>
                <w:sz w:val="24"/>
              </w:rPr>
            </w:pPr>
            <w:r>
              <w:rPr>
                <w:rFonts w:hint="eastAsia" w:ascii="宋体" w:hAnsi="宋体" w:eastAsia="宋体" w:cs="宋体"/>
                <w:sz w:val="24"/>
              </w:rPr>
              <w:t xml:space="preserve">□组织，考察时间：__年_月_日_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bCs/>
                <w:sz w:val="24"/>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考察地点：____________。</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供应商可自行前往采购人处了解项目情况</w:t>
            </w:r>
            <w:r>
              <w:rPr>
                <w:rFonts w:hint="eastAsia" w:hAnsi="宋体" w:eastAsia="宋体" w:cs="宋体"/>
                <w:sz w:val="24"/>
                <w:szCs w:val="24"/>
                <w:lang w:val="en-US" w:eastAsia="zh-CN"/>
              </w:rPr>
            </w:r>
            <w:r/>
          </w:p>
        </w:tc>
      </w:tr>
      <w:tr>
        <w:trPr>
          <w:trHeight w:val="20"/>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开标前答疑会</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不召开</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□召开，召开时间：__年_月_日_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召开地点：____________。</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标的所属行业</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rPr>
                <w:rFonts w:hint="eastAsia" w:ascii="宋体" w:hAnsi="宋体" w:eastAsia="宋体" w:cs="宋体"/>
                <w:sz w:val="24"/>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9"/>
              <w:gridCol w:w="3211"/>
            </w:tblGrid>
            <w:tr>
              <w:trPr>
                <w:trHeight w:val="454"/>
              </w:trPr>
              <w:tc>
                <w:tcPr>
                  <w:tcW w:w="2495" w:type="dxa"/>
                  <w:vAlign w:val="center"/>
                  <w:textDirection w:val="lrTb"/>
                  <w:noWrap/>
                </w:tcPr>
                <w:p>
                  <w:pPr>
                    <w:pStyle w:val="974"/>
                    <w:jc w:val="center"/>
                    <w:spacing w:line="360" w:lineRule="auto"/>
                    <w:rPr>
                      <w:rFonts w:hint="eastAsia" w:ascii="宋体" w:hAnsi="宋体" w:eastAsia="宋体" w:cs="宋体"/>
                      <w:bCs/>
                      <w:sz w:val="24"/>
                    </w:rPr>
                  </w:pPr>
                  <w:r>
                    <w:rPr>
                      <w:rFonts w:hint="eastAsia" w:ascii="宋体" w:hAnsi="宋体" w:eastAsia="宋体" w:cs="宋体"/>
                      <w:bCs/>
                      <w:sz w:val="24"/>
                    </w:rPr>
                    <w:t xml:space="preserve">标的名称</w:t>
                  </w:r>
                  <w:r>
                    <w:rPr>
                      <w:rFonts w:hint="eastAsia" w:ascii="宋体" w:hAnsi="宋体" w:eastAsia="宋体" w:cs="宋体"/>
                      <w:bCs/>
                      <w:sz w:val="24"/>
                    </w:rPr>
                  </w:r>
                  <w:r/>
                </w:p>
              </w:tc>
              <w:tc>
                <w:tcPr>
                  <w:tcW w:w="2505"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中小企业划分标准所属行业</w:t>
                  </w:r>
                  <w:r>
                    <w:rPr>
                      <w:rFonts w:hint="eastAsia" w:ascii="宋体" w:hAnsi="宋体" w:eastAsia="宋体" w:cs="宋体"/>
                      <w:sz w:val="24"/>
                    </w:rPr>
                  </w:r>
                  <w:r/>
                </w:p>
              </w:tc>
            </w:tr>
            <w:tr>
              <w:trPr>
                <w:trHeight w:val="454"/>
              </w:trPr>
              <w:tc>
                <w:tcPr>
                  <w:tcW w:w="2495" w:type="dxa"/>
                  <w:vAlign w:val="center"/>
                  <w:textDirection w:val="lrTb"/>
                  <w:noWrap/>
                </w:tcPr>
                <w:p>
                  <w:pPr>
                    <w:pStyle w:val="974"/>
                    <w:jc w:val="center"/>
                    <w:spacing w:line="360" w:lineRule="auto"/>
                    <w:rPr>
                      <w:rFonts w:hint="eastAsia" w:ascii="宋体" w:hAnsi="宋体" w:eastAsia="宋体" w:cs="宋体"/>
                      <w:bCs/>
                      <w:sz w:val="24"/>
                      <w:lang w:eastAsia="zh-CN"/>
                    </w:rPr>
                  </w:pPr>
                  <w:r>
                    <w:rPr>
                      <w:rFonts w:hint="eastAsia" w:ascii="宋体" w:hAnsi="宋体" w:eastAsia="宋体" w:cs="宋体"/>
                      <w:sz w:val="24"/>
                      <w:lang w:eastAsia="zh-CN"/>
                    </w:rPr>
                    <w:t xml:space="preserve">泰州市中级人民法院大案要案法庭改（扩）建文化布展服务</w:t>
                  </w:r>
                  <w:r>
                    <w:rPr>
                      <w:rFonts w:hint="eastAsia" w:ascii="宋体" w:hAnsi="宋体" w:eastAsia="宋体" w:cs="宋体"/>
                      <w:bCs/>
                      <w:sz w:val="24"/>
                      <w:lang w:eastAsia="zh-CN"/>
                    </w:rPr>
                  </w:r>
                  <w:r/>
                </w:p>
              </w:tc>
              <w:tc>
                <w:tcPr>
                  <w:tcW w:w="2505" w:type="dxa"/>
                  <w:vAlign w:val="center"/>
                  <w:textDirection w:val="lrTb"/>
                  <w:noWrap/>
                </w:tcPr>
                <w:p>
                  <w:pPr>
                    <w:pStyle w:val="974"/>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服务业</w:t>
                  </w:r>
                  <w:r>
                    <w:rPr>
                      <w:rFonts w:hint="eastAsia" w:ascii="宋体" w:hAnsi="宋体" w:eastAsia="宋体" w:cs="宋体"/>
                      <w:sz w:val="24"/>
                      <w:lang w:eastAsia="zh-CN"/>
                    </w:rPr>
                  </w:r>
                  <w:r/>
                </w:p>
              </w:tc>
            </w:tr>
          </w:tbl>
          <w:p>
            <w:pPr>
              <w:pStyle w:val="974"/>
              <w:jc w:val="left"/>
              <w:spacing w:line="360" w:lineRule="auto"/>
              <w:rPr>
                <w:rFonts w:hint="eastAsia" w:ascii="宋体" w:hAnsi="宋体" w:eastAsia="宋体" w:cs="宋体"/>
                <w:sz w:val="24"/>
              </w:rPr>
            </w:pP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投标报价</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投标报价的特殊规定：</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无</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□有，具体情形：_____。</w:t>
            </w:r>
            <w:r>
              <w:rPr>
                <w:rFonts w:hint="eastAsia" w:ascii="宋体" w:hAnsi="宋体" w:eastAsia="宋体" w:cs="宋体"/>
                <w:sz w:val="24"/>
              </w:rPr>
            </w:r>
            <w:r/>
          </w:p>
        </w:tc>
      </w:tr>
      <w:tr>
        <w:trPr>
          <w:trHeight w:val="77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投标保证金</w:t>
            </w:r>
            <w:r>
              <w:rPr>
                <w:rFonts w:hint="eastAsia" w:ascii="宋体" w:hAnsi="宋体" w:eastAsia="宋体" w:cs="宋体"/>
                <w:sz w:val="24"/>
              </w:rPr>
            </w:r>
            <w:r/>
          </w:p>
        </w:tc>
        <w:tc>
          <w:tcPr>
            <w:tcW w:w="6636" w:type="dxa"/>
            <w:vAlign w:val="center"/>
            <w:textDirection w:val="lrTb"/>
            <w:noWrap/>
          </w:tcPr>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投标保证金金额：</w:t>
            </w:r>
            <w:r>
              <w:rPr>
                <w:rFonts w:hint="eastAsia" w:hAnsi="宋体" w:eastAsia="宋体" w:cs="宋体"/>
                <w:bCs/>
                <w:sz w:val="24"/>
                <w:szCs w:val="24"/>
                <w:lang w:val="en-US" w:eastAsia="zh-CN"/>
              </w:rPr>
              <w:t xml:space="preserve">本项目不需要缴纳投标保证金</w:t>
            </w:r>
            <w:r>
              <w:rPr>
                <w:rFonts w:hint="eastAsia" w:hAnsi="宋体" w:eastAsia="宋体" w:cs="宋体"/>
                <w:sz w:val="24"/>
                <w:szCs w:val="24"/>
                <w:lang w:val="en-US" w:eastAsia="zh-CN"/>
              </w:rPr>
              <w:t xml:space="preserve">。</w:t>
            </w:r>
            <w:r>
              <w:rPr>
                <w:rFonts w:hint="eastAsia" w:hAnsi="宋体" w:eastAsia="宋体" w:cs="宋体"/>
                <w:sz w:val="24"/>
                <w:szCs w:val="24"/>
                <w:lang w:val="en-US" w:eastAsia="zh-CN"/>
              </w:rPr>
            </w:r>
            <w:r/>
          </w:p>
        </w:tc>
      </w:tr>
      <w:tr>
        <w:trPr>
          <w:trHeight w:val="82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投标有效期</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自提交投标文件的截止之日起算</w:t>
            </w:r>
            <w:r>
              <w:rPr>
                <w:rFonts w:hint="eastAsia" w:ascii="宋体" w:hAnsi="宋体" w:eastAsia="宋体" w:cs="宋体"/>
                <w:sz w:val="24"/>
                <w:u w:val="single"/>
              </w:rPr>
              <w:t xml:space="preserve">90</w:t>
            </w:r>
            <w:r>
              <w:rPr>
                <w:rFonts w:hint="eastAsia" w:ascii="宋体" w:hAnsi="宋体" w:eastAsia="宋体" w:cs="宋体"/>
                <w:sz w:val="24"/>
              </w:rPr>
              <w:t xml:space="preserve">日历天。</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确定中标人</w:t>
            </w:r>
            <w:r>
              <w:rPr>
                <w:rFonts w:hint="eastAsia" w:ascii="宋体" w:hAnsi="宋体" w:eastAsia="宋体" w:cs="宋体"/>
                <w:sz w:val="24"/>
              </w:rPr>
            </w:r>
            <w:r/>
          </w:p>
        </w:tc>
        <w:tc>
          <w:tcPr>
            <w:tcW w:w="6636" w:type="dxa"/>
            <w:vAlign w:val="center"/>
            <w:textDirection w:val="lrTb"/>
            <w:noWrap/>
          </w:tcPr>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中标候选人并列的，采购人是否委托评标委员会确定中标人：</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□否</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是</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中标候选人并列的，按照以下方式确定中标人： </w:t>
            </w:r>
            <w:r>
              <w:rPr>
                <w:rFonts w:hint="eastAsia" w:hAnsi="宋体" w:eastAsia="宋体" w:cs="宋体"/>
                <w:sz w:val="24"/>
                <w:szCs w:val="24"/>
                <w:lang w:val="en-US" w:eastAsia="zh-CN"/>
              </w:rPr>
            </w:r>
            <w:r/>
          </w:p>
          <w:p>
            <w:pPr>
              <w:pStyle w:val="1001"/>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得分且投标报价均相同的，以</w:t>
            </w:r>
            <w:r>
              <w:rPr>
                <w:rFonts w:hint="eastAsia" w:hAnsi="宋体" w:eastAsia="宋体" w:cs="宋体"/>
                <w:sz w:val="24"/>
                <w:szCs w:val="24"/>
                <w:u w:val="single"/>
                <w:lang w:val="en-US" w:eastAsia="zh-CN"/>
              </w:rPr>
              <w:t xml:space="preserve">技术方案</w:t>
            </w:r>
            <w:r>
              <w:rPr>
                <w:rFonts w:hint="eastAsia" w:hAnsi="宋体" w:eastAsia="宋体" w:cs="宋体"/>
                <w:sz w:val="24"/>
                <w:szCs w:val="24"/>
                <w:lang w:val="en-US" w:eastAsia="zh-CN"/>
              </w:rPr>
              <w:t xml:space="preserve">得分高者为中标人</w:t>
            </w:r>
            <w:r>
              <w:rPr>
                <w:rFonts w:hint="eastAsia" w:hAnsi="宋体" w:eastAsia="宋体" w:cs="宋体"/>
                <w:sz w:val="24"/>
                <w:szCs w:val="24"/>
                <w:lang w:val="en-US" w:eastAsia="zh-CN"/>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□随机抽取</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分包</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不允许</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□允许，具体要求：</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（1）可以分包履行的具体内容：_____；</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（2）允许分包的金额或者比例：_____；</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（3）其他要求：_____。</w:t>
            </w:r>
            <w:r>
              <w:rPr>
                <w:rFonts w:hint="eastAsia" w:ascii="宋体" w:hAnsi="宋体" w:eastAsia="宋体" w:cs="宋体"/>
                <w:sz w:val="24"/>
              </w:rPr>
            </w:r>
            <w:r/>
          </w:p>
        </w:tc>
      </w:tr>
      <w:tr>
        <w:trPr>
          <w:trHeight w:val="738"/>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询问</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询问送达形式：以书面形式送达至联系地点</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接收询问和质疑的联系方式</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联系部门：江苏经纬工程投资造价咨询事务所有限公司；</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联系电话：0523-86882829；</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通讯地址：泰州市国际汽车城10栋4楼。</w:t>
            </w:r>
            <w:r>
              <w:rPr>
                <w:rFonts w:hint="eastAsia" w:ascii="宋体" w:hAnsi="宋体" w:eastAsia="宋体" w:cs="宋体"/>
                <w:sz w:val="24"/>
              </w:rPr>
            </w:r>
            <w:r/>
          </w:p>
        </w:tc>
      </w:tr>
      <w:tr>
        <w:trPr>
          <w:trHeight w:val="1535"/>
        </w:trPr>
        <w:tc>
          <w:tcPr>
            <w:tcW w:w="1701" w:type="dxa"/>
            <w:vAlign w:val="center"/>
            <w:textDirection w:val="lrTb"/>
            <w:noWrap/>
          </w:tcPr>
          <w:p>
            <w:pPr>
              <w:pStyle w:val="974"/>
              <w:jc w:val="center"/>
              <w:spacing w:line="360" w:lineRule="auto"/>
              <w:rPr>
                <w:rFonts w:hint="eastAsia" w:ascii="宋体" w:hAnsi="宋体" w:eastAsia="宋体" w:cs="宋体"/>
                <w:sz w:val="24"/>
              </w:rPr>
            </w:pPr>
            <w:r>
              <w:rPr>
                <w:rFonts w:hint="eastAsia" w:ascii="宋体" w:hAnsi="宋体" w:eastAsia="宋体" w:cs="宋体"/>
                <w:sz w:val="24"/>
              </w:rPr>
              <w:t xml:space="preserve">代理费</w:t>
            </w:r>
            <w:r>
              <w:rPr>
                <w:rFonts w:hint="eastAsia" w:ascii="宋体" w:hAnsi="宋体" w:eastAsia="宋体" w:cs="宋体"/>
                <w:sz w:val="24"/>
              </w:rPr>
            </w:r>
            <w:r/>
          </w:p>
        </w:tc>
        <w:tc>
          <w:tcPr>
            <w:tcW w:w="6636" w:type="dxa"/>
            <w:vAlign w:val="center"/>
            <w:textDirection w:val="lrTb"/>
            <w:noWrap/>
          </w:tcPr>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收费对象：</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ascii="Wingdings 2" w:hAnsi="Wingdings 2" w:eastAsia="Wingdings 2" w:cs="Wingdings 2"/>
                <w:sz w:val="24"/>
              </w:rPr>
              <w:t xml:space="preserve">R</w:t>
            </w:r>
            <w:r>
              <w:rPr>
                <w:rFonts w:hint="eastAsia" w:ascii="宋体" w:hAnsi="宋体" w:eastAsia="宋体" w:cs="宋体"/>
                <w:sz w:val="24"/>
              </w:rPr>
              <w:t xml:space="preserve">采购人</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ascii="Wingdings 2" w:hAnsi="Wingdings 2" w:eastAsia="Wingdings 2" w:cs="Wingdings 2"/>
                <w:sz w:val="24"/>
              </w:rPr>
            </w:r>
            <w:r>
              <w:rPr>
                <w:rFonts w:hint="eastAsia" w:ascii="宋体" w:hAnsi="宋体" w:eastAsia="宋体" w:cs="宋体"/>
                <w:sz w:val="24"/>
              </w:rPr>
              <w:t xml:space="preserve">□</w:t>
            </w:r>
            <w:r>
              <w:rPr>
                <w:rFonts w:hint="eastAsia" w:ascii="宋体" w:hAnsi="宋体" w:eastAsia="宋体" w:cs="宋体"/>
                <w:sz w:val="24"/>
              </w:rPr>
              <w:t xml:space="preserve">中标人</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收费标准：按“苏招协〔2022〕2号”文件收费标准收取；</w:t>
            </w:r>
            <w:r>
              <w:rPr>
                <w:rFonts w:hint="eastAsia" w:ascii="宋体" w:hAnsi="宋体" w:eastAsia="宋体" w:cs="宋体"/>
                <w:sz w:val="24"/>
              </w:rPr>
            </w:r>
            <w:r/>
          </w:p>
          <w:p>
            <w:pPr>
              <w:pStyle w:val="974"/>
              <w:jc w:val="left"/>
              <w:spacing w:line="360" w:lineRule="auto"/>
              <w:rPr>
                <w:rFonts w:hint="eastAsia" w:ascii="宋体" w:hAnsi="宋体" w:eastAsia="宋体" w:cs="宋体"/>
                <w:sz w:val="24"/>
              </w:rPr>
            </w:pPr>
            <w:r>
              <w:rPr>
                <w:rFonts w:hint="eastAsia" w:ascii="宋体" w:hAnsi="宋体" w:eastAsia="宋体" w:cs="宋体"/>
                <w:sz w:val="24"/>
              </w:rPr>
              <w:t xml:space="preserve">缴纳时间：招标代理项目完成后由采购人一次性付清</w:t>
            </w:r>
            <w:r>
              <w:rPr>
                <w:rFonts w:hint="eastAsia" w:ascii="宋体" w:hAnsi="宋体" w:eastAsia="宋体" w:cs="宋体"/>
                <w:sz w:val="24"/>
              </w:rPr>
              <w:t xml:space="preserve">。</w:t>
            </w:r>
            <w:r>
              <w:rPr>
                <w:rFonts w:hint="eastAsia" w:ascii="宋体" w:hAnsi="宋体" w:eastAsia="宋体" w:cs="宋体"/>
                <w:sz w:val="24"/>
              </w:rPr>
            </w:r>
            <w:r/>
          </w:p>
        </w:tc>
      </w:tr>
    </w:tbl>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（一）遵循原则：</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公开透明原则、公平竞争原则、公正原则和诚实信用原则。</w:t>
      </w:r>
      <w:r>
        <w:rPr>
          <w:rFonts w:hint="eastAsia" w:ascii="宋体" w:hAnsi="宋体" w:eastAsia="宋体" w:cs="宋体"/>
          <w:bCs/>
          <w:sz w:val="24"/>
        </w:rPr>
      </w:r>
      <w:r/>
    </w:p>
    <w:p>
      <w:pPr>
        <w:pStyle w:val="974"/>
        <w:numPr>
          <w:ilvl w:val="0"/>
          <w:numId w:val="3"/>
        </w:numPr>
        <w:spacing w:line="360" w:lineRule="auto"/>
        <w:tabs>
          <w:tab w:val="left" w:pos="1200" w:leader="none"/>
        </w:tabs>
        <w:rPr>
          <w:rFonts w:hint="eastAsia" w:ascii="宋体" w:hAnsi="宋体" w:eastAsia="宋体" w:cs="宋体"/>
          <w:bCs/>
          <w:sz w:val="24"/>
        </w:rPr>
      </w:pPr>
      <w:r>
        <w:rPr>
          <w:rFonts w:hint="eastAsia" w:ascii="宋体" w:hAnsi="宋体" w:eastAsia="宋体" w:cs="宋体"/>
          <w:bCs/>
          <w:sz w:val="24"/>
        </w:rPr>
        <w:t xml:space="preserve">招标文件：</w:t>
      </w:r>
      <w:r>
        <w:rPr>
          <w:rFonts w:hint="eastAsia" w:ascii="宋体" w:hAnsi="宋体" w:eastAsia="宋体" w:cs="宋体"/>
          <w:bCs/>
          <w:sz w:val="24"/>
        </w:rPr>
      </w:r>
      <w:r/>
    </w:p>
    <w:p>
      <w:pPr>
        <w:pStyle w:val="974"/>
        <w:numPr>
          <w:ilvl w:val="0"/>
          <w:numId w:val="4"/>
        </w:numPr>
        <w:ind w:left="0" w:firstLine="529"/>
        <w:spacing w:line="360" w:lineRule="auto"/>
        <w:tabs>
          <w:tab w:val="left" w:pos="-126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招标文件包括本文件目录所列全部内容，投标人应仔细阅读，并在投标文件中充分响应招标文件的所有要求。</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招标文件中的“法定代表人”是指投标人的营业执照或相关部门的登记证明文件中的“法定代表人”或“负责人”。</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w:t>
      </w:r>
      <w:r>
        <w:rPr>
          <w:rFonts w:hint="eastAsia" w:ascii="宋体" w:hAnsi="宋体" w:eastAsia="宋体" w:cs="宋体"/>
          <w:szCs w:val="21"/>
        </w:rPr>
        <w:t xml:space="preserve">http://tzzfcg.taizhou.gov.cn</w:t>
      </w:r>
      <w:r>
        <w:rPr>
          <w:rFonts w:hint="eastAsia" w:ascii="宋体" w:hAnsi="宋体" w:eastAsia="宋体" w:cs="宋体"/>
          <w:bCs/>
          <w:szCs w:val="21"/>
        </w:rPr>
        <w:t xml:space="preserve">，</w:t>
      </w:r>
      <w:r>
        <w:rPr>
          <w:rFonts w:hint="eastAsia" w:ascii="宋体" w:hAnsi="宋体" w:eastAsia="宋体" w:cs="宋体"/>
          <w:bCs/>
          <w:sz w:val="24"/>
        </w:rPr>
        <w:t xml:space="preserve">下同）采购公告中下载招标文件及有关资料，按招标文件要求提交全部资料并对招标文件各项内容做出实质性响应，否则投标无效。</w:t>
      </w:r>
      <w:r>
        <w:rPr>
          <w:rFonts w:hint="eastAsia" w:ascii="宋体" w:hAnsi="宋体" w:eastAsia="宋体" w:cs="宋体"/>
          <w:bCs/>
          <w:sz w:val="24"/>
        </w:rPr>
      </w:r>
      <w:r/>
    </w:p>
    <w:p>
      <w:pPr>
        <w:pStyle w:val="974"/>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招标文件仅作为本次招投标使用。</w:t>
      </w:r>
      <w:r>
        <w:rPr>
          <w:rFonts w:hint="eastAsia" w:ascii="宋体" w:hAnsi="宋体" w:eastAsia="宋体" w:cs="宋体"/>
          <w:bCs/>
          <w:sz w:val="24"/>
        </w:rPr>
      </w:r>
      <w:r/>
    </w:p>
    <w:p>
      <w:pPr>
        <w:pStyle w:val="974"/>
        <w:ind w:firstLine="486"/>
        <w:spacing w:line="360" w:lineRule="auto"/>
        <w:tabs>
          <w:tab w:val="left" w:pos="630" w:leader="none"/>
        </w:tabs>
        <w:rPr>
          <w:rFonts w:hint="eastAsia" w:ascii="宋体" w:hAnsi="宋体" w:eastAsia="宋体" w:cs="宋体"/>
          <w:bCs/>
          <w:sz w:val="24"/>
        </w:rPr>
      </w:pPr>
      <w:r>
        <w:rPr>
          <w:rFonts w:hint="eastAsia" w:ascii="宋体" w:hAnsi="宋体" w:eastAsia="宋体" w:cs="宋体"/>
          <w:bCs/>
          <w:sz w:val="24"/>
        </w:rPr>
        <w:t xml:space="preserve">（三）招标文件的解释：</w:t>
      </w:r>
      <w:r>
        <w:rPr>
          <w:rFonts w:hint="eastAsia" w:ascii="宋体" w:hAnsi="宋体" w:eastAsia="宋体" w:cs="宋体"/>
          <w:bCs/>
          <w:sz w:val="24"/>
        </w:rPr>
      </w:r>
      <w:r/>
    </w:p>
    <w:p>
      <w:pPr>
        <w:pStyle w:val="974"/>
        <w:ind w:left="523"/>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本文件的最终解释权归江苏经纬工程投资造价咨询事务所有限公司。</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（四）招标文件的补充或修正：</w:t>
      </w:r>
      <w:r>
        <w:rPr>
          <w:rFonts w:hint="eastAsia" w:ascii="宋体" w:hAnsi="宋体" w:eastAsia="宋体" w:cs="宋体"/>
          <w:bCs/>
          <w:sz w:val="24"/>
        </w:rPr>
      </w:r>
      <w:r/>
    </w:p>
    <w:p>
      <w:pPr>
        <w:pStyle w:val="974"/>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代理公司可在投标截止时间十五日前对招标文件进行必要的澄清或者修改，不足15日的，将顺延提交投标文件的截止时间。</w:t>
      </w:r>
      <w:r>
        <w:rPr>
          <w:rFonts w:hint="eastAsia" w:ascii="宋体" w:hAnsi="宋体" w:eastAsia="宋体" w:cs="宋体"/>
          <w:bCs/>
          <w:sz w:val="24"/>
        </w:rPr>
      </w:r>
      <w:r/>
    </w:p>
    <w:p>
      <w:pPr>
        <w:pStyle w:val="974"/>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如需对招标文件进行澄清或修正，代理公司将在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（五）投标文件的组成：</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投标函（</w:t>
      </w:r>
      <w:r>
        <w:rPr>
          <w:rFonts w:hint="eastAsia" w:ascii="宋体" w:hAnsi="宋体" w:eastAsia="宋体" w:cs="宋体"/>
          <w:b/>
          <w:bCs/>
          <w:sz w:val="24"/>
        </w:rPr>
        <w:t xml:space="preserve">格式见附件）</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资格、资信证明文件：</w:t>
      </w:r>
      <w:r>
        <w:rPr>
          <w:rFonts w:hint="eastAsia" w:ascii="宋体" w:hAnsi="宋体" w:eastAsia="宋体" w:cs="宋体"/>
          <w:bCs/>
          <w:sz w:val="24"/>
        </w:rPr>
      </w:r>
      <w:r/>
    </w:p>
    <w:p>
      <w:pPr>
        <w:pStyle w:val="1091"/>
        <w:numPr>
          <w:ilvl w:val="1"/>
          <w:numId w:val="6"/>
        </w:numPr>
        <w:ind w:left="0" w:firstLine="567"/>
        <w:spacing w:line="360" w:lineRule="auto"/>
        <w:tabs>
          <w:tab w:val="left" w:pos="1276" w:leader="none"/>
        </w:tabs>
        <w:rPr>
          <w:rFonts w:hint="eastAsia" w:ascii="宋体" w:hAnsi="宋体" w:eastAsia="宋体" w:cs="宋体"/>
          <w:bCs/>
          <w:sz w:val="24"/>
        </w:rPr>
      </w:pPr>
      <w:r>
        <w:rPr>
          <w:rFonts w:hint="eastAsia" w:ascii="宋体" w:hAnsi="宋体" w:eastAsia="宋体" w:cs="宋体"/>
          <w:bCs/>
          <w:sz w:val="24"/>
        </w:rPr>
        <w:t xml:space="preserve">具有独立承担民事责任能力的投标人营业执照或相关部门的登记证明文件复印件；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投标人法定代表人授权委托书</w:t>
      </w:r>
      <w:r>
        <w:rPr>
          <w:rFonts w:hint="eastAsia" w:ascii="宋体" w:hAnsi="宋体" w:eastAsia="宋体" w:cs="宋体"/>
          <w:sz w:val="24"/>
        </w:rPr>
        <w:t xml:space="preserve">（</w:t>
      </w:r>
      <w:r>
        <w:rPr>
          <w:rFonts w:hint="eastAsia" w:ascii="宋体" w:hAnsi="宋体" w:eastAsia="宋体" w:cs="宋体"/>
          <w:b/>
          <w:bCs/>
          <w:sz w:val="24"/>
        </w:rPr>
        <w:t xml:space="preserve">格式见附件，法定代表人亲自参加投标的除外</w:t>
      </w:r>
      <w:r>
        <w:rPr>
          <w:rFonts w:hint="eastAsia" w:ascii="宋体" w:hAnsi="宋体" w:eastAsia="宋体" w:cs="宋体"/>
          <w:sz w:val="24"/>
        </w:rPr>
        <w:t xml:space="preserve">）；</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投标人法定代表人身份证复印件；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投标人法定代表人授权代表身份证复印件（</w:t>
      </w:r>
      <w:r>
        <w:rPr>
          <w:rFonts w:hint="eastAsia" w:ascii="宋体" w:hAnsi="宋体" w:eastAsia="宋体" w:cs="宋体"/>
          <w:b/>
          <w:bCs/>
          <w:sz w:val="24"/>
        </w:rPr>
        <w:t xml:space="preserve">法定代表人亲自参加投标的除外</w:t>
      </w:r>
      <w:r>
        <w:rPr>
          <w:rFonts w:hint="eastAsia" w:ascii="宋体" w:hAnsi="宋体" w:eastAsia="宋体" w:cs="宋体"/>
          <w:bCs/>
          <w:sz w:val="24"/>
        </w:rPr>
        <w:t xml:space="preserve">）</w:t>
      </w:r>
      <w:r>
        <w:rPr>
          <w:rFonts w:hint="eastAsia" w:ascii="宋体" w:hAnsi="宋体" w:eastAsia="宋体" w:cs="宋体"/>
          <w:sz w:val="24"/>
        </w:rPr>
        <w:t xml:space="preserve">；</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投标人近六个月中连续三个月份(不含投标当月)的财务状况报告（资产负债表和利润表）或由会计师事务所出具的近两年中任意一个年度的审计报告和所附已审财务报告复印件；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投标人近六个月中连续三个月份(不含投标当月)的依法缴纳税收的相关材料（提供相关主管部门证明或银行代扣证明）复印件；</w:t>
      </w:r>
      <w:r>
        <w:rPr>
          <w:rFonts w:hint="eastAsia" w:ascii="宋体" w:hAnsi="宋体" w:eastAsia="宋体" w:cs="宋体"/>
          <w:bCs/>
          <w:sz w:val="24"/>
        </w:rPr>
      </w:r>
      <w:r/>
    </w:p>
    <w:p>
      <w:pPr>
        <w:pStyle w:val="974"/>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投标人拟派本项目全体人员近六个月中连续三个月份(不含投标当月)的依法缴纳社会保障资金的相关材料（提供相关主管部门证明或银行代扣证明）复印件；</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开标一览表（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eastAsia="zh-CN"/>
        </w:rPr>
        <w:t xml:space="preserve">分项报价表</w:t>
      </w:r>
      <w:r>
        <w:rPr>
          <w:rFonts w:hint="eastAsia" w:ascii="宋体" w:hAnsi="宋体" w:eastAsia="宋体" w:cs="宋体"/>
          <w:bCs/>
          <w:sz w:val="24"/>
        </w:rPr>
        <w:t xml:space="preserve">（</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投标偏离表（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评分标准中对应的其它所需证明材料（</w:t>
      </w:r>
      <w:r>
        <w:rPr>
          <w:rFonts w:hint="eastAsia" w:ascii="宋体" w:hAnsi="宋体" w:eastAsia="宋体" w:cs="宋体"/>
          <w:b/>
          <w:bCs/>
          <w:sz w:val="24"/>
        </w:rPr>
        <w:t xml:space="preserve">如有自行添加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要求采购人提供的配合（</w:t>
      </w:r>
      <w:r>
        <w:rPr>
          <w:rFonts w:hint="eastAsia" w:ascii="宋体" w:hAnsi="宋体" w:eastAsia="宋体" w:cs="宋体"/>
          <w:b/>
          <w:bCs/>
          <w:sz w:val="24"/>
        </w:rPr>
        <w:t xml:space="preserve">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其它（</w:t>
      </w:r>
      <w:r>
        <w:rPr>
          <w:rFonts w:hint="eastAsia" w:ascii="宋体" w:hAnsi="宋体" w:eastAsia="宋体" w:cs="宋体"/>
          <w:b/>
          <w:bCs/>
          <w:sz w:val="24"/>
        </w:rPr>
        <w:t xml:space="preserve">投标人认为有必要提供的声明和文件，如有自拟并自行添加</w:t>
      </w:r>
      <w:r>
        <w:rPr>
          <w:rFonts w:hint="eastAsia" w:ascii="宋体" w:hAnsi="宋体" w:eastAsia="宋体" w:cs="宋体"/>
          <w:bCs/>
          <w:sz w:val="24"/>
        </w:rPr>
        <w:t xml:space="preserve">）</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上述1-5项投标人必须按要求全部提供，否则投标文件无效。</w:t>
      </w:r>
      <w:r>
        <w:rPr>
          <w:rFonts w:hint="eastAsia" w:ascii="宋体" w:hAnsi="宋体" w:eastAsia="宋体" w:cs="宋体"/>
          <w:sz w:val="24"/>
        </w:rPr>
        <w:t xml:space="preserve">如上述资格证明文件遇年检、换证，则必须提供法定年检、换证单位出具的有效证明复印件。如上述资格证明文件第</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（6）（7）</w:t>
      </w:r>
      <w:r>
        <w:rPr>
          <w:rFonts w:hint="eastAsia" w:ascii="宋体" w:hAnsi="宋体" w:eastAsia="宋体" w:cs="宋体"/>
          <w:sz w:val="24"/>
          <w:lang w:eastAsia="zh-CN"/>
        </w:rPr>
        <w:t xml:space="preserve">三</w:t>
      </w:r>
      <w:r>
        <w:rPr>
          <w:rFonts w:hint="eastAsia" w:ascii="宋体" w:hAnsi="宋体" w:eastAsia="宋体" w:cs="宋体"/>
          <w:sz w:val="24"/>
        </w:rPr>
        <w:t xml:space="preserve">项遇有国家相关政策规定可不具备的，必须提供相关政策规定或相关单位出具的有效证明复印件。</w:t>
      </w:r>
      <w:r>
        <w:rPr>
          <w:rFonts w:hint="eastAsia" w:ascii="宋体" w:hAnsi="宋体" w:eastAsia="宋体" w:cs="宋体"/>
          <w:bCs/>
          <w:sz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（六）投标文件的制作：</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所有文件、往来函件均应使用简体中文（规格、型号辅助符号例外）。</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投标文件由投标人按要求参考给定格式如实填写（编写），须有投标人（盖章）、法定代表人或法定代表人授权代表签字或盖章，方为有效，未尽事宜可自行补充。</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如无特别说明，投标人报价一律以人民币为投标结算货币,结算单位为“元”。</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投标文件不应有涂改、增删和潦草之处，如有必须修改时，修改处必须有投标人盖章、法定代表人或法定代表人授权代表的签字。</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投标人应当同时凭CA数字证书登录“</w:t>
      </w:r>
      <w:r>
        <w:rPr>
          <w:rFonts w:hint="eastAsia" w:ascii="宋体" w:hAnsi="宋体" w:eastAsia="宋体" w:cs="宋体"/>
          <w:bCs/>
          <w:sz w:val="24"/>
          <w:lang w:eastAsia="zh-CN"/>
        </w:rPr>
        <w:t xml:space="preserve">苏采云</w:t>
      </w:r>
      <w:r>
        <w:rPr>
          <w:rFonts w:hint="eastAsia" w:ascii="宋体" w:hAnsi="宋体" w:eastAsia="宋体" w:cs="宋体"/>
          <w:bCs/>
          <w:sz w:val="24"/>
          <w:lang w:eastAsia="zh-CN"/>
        </w:rPr>
        <w:t xml:space="preserve">系统</w:t>
      </w:r>
      <w:r>
        <w:rPr>
          <w:rFonts w:hint="eastAsia" w:ascii="宋体" w:hAnsi="宋体" w:eastAsia="宋体" w:cs="宋体"/>
          <w:bCs/>
          <w:sz w:val="24"/>
        </w:rPr>
        <w:t xml:space="preserve">”，并在投标截止时间前上传电子投标文件。</w:t>
      </w:r>
      <w:r>
        <w:rPr>
          <w:rFonts w:hint="eastAsia" w:ascii="宋体" w:hAnsi="宋体" w:eastAsia="宋体" w:cs="宋体"/>
          <w:bCs/>
          <w:sz w:val="24"/>
        </w:rPr>
      </w:r>
      <w:r/>
    </w:p>
    <w:p>
      <w:pPr>
        <w:pStyle w:val="974"/>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投标费用自理。</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（七）投标文件的递交</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 电子投标文件的递交</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供应商操作手册》规定，在投标截止时间前制作并上传电子投标文件。</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2．投标截止日期</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投标人上传电子投标文件的时间不得迟于招标公告中规定的投标截止时间。</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2.2 采购人和招标代理可以按照规定，通过修改招标文件酌情延长投标截止日期，在此情况下，投标人的所有权利和义务以及投标人受制的截止日期均应以延长后新的截止日期为准。</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（八）投标文件的拒收</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代理公司拒绝接收在其规定的投标截止时间后上传的任何投标文件。</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（九）投标文件的撤回和修改</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1、投标文件的撤回</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投标人可在投标截止时间前，撤回其电子投标文件，具体操作方法见《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 投标文件的修改</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投标人可在投标截止时间前，对其电子投标文件进行修改，具体操作方法见《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3、在投标截止时间之后，投标人不得对其电子投标文件作任何修改。</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 无效投标文件的确认：</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投标人有下列情况之一者，投标文件无效：</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投标人未在规定时间内成功解密电子投标文件的；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投标人未按照招标文件要求上传电子投标文件的；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投标文件未按照招标文件要求加盖电子签章；</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招标人的法定代表人授权代表，无法定代表人授权委托书的；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不具备招标文件中规定的资格要求或未按招标文件规定的要求提供资格、资信证明文件的；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32"/>
          <w:rFonts w:ascii="宋体" w:hAnsi="宋体" w:eastAsia="宋体" w:cs="宋体"/>
          <w:sz w:val="24"/>
        </w:rPr>
        <w:t xml:space="preserve">www.creditchina.gov.cn</w:t>
      </w:r>
      <w:r>
        <w:rPr>
          <w:rStyle w:val="1032"/>
          <w:rFonts w:ascii="宋体" w:hAnsi="宋体" w:eastAsia="宋体" w:cs="宋体"/>
          <w:sz w:val="24"/>
        </w:rPr>
        <w:fldChar w:fldCharType="end"/>
      </w:r>
      <w:r>
        <w:rPr>
          <w:rFonts w:hint="eastAsia" w:ascii="宋体" w:hAnsi="宋体" w:eastAsia="宋体" w:cs="宋体"/>
          <w:sz w:val="24"/>
        </w:rPr>
        <w:t xml:space="preserve">）列入失信执行人、重大税收违法案件当事人名单、政府采购严重违法失信行为记录名单的</w:t>
      </w:r>
      <w:r>
        <w:rPr>
          <w:rFonts w:hint="eastAsia" w:ascii="宋体" w:hAnsi="宋体" w:eastAsia="宋体" w:cs="宋体"/>
          <w:bCs/>
          <w:sz w:val="24"/>
        </w:rPr>
        <w:t xml:space="preserve">；</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投标文件未按招标文件规定的内容和要求填写的；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投标文件中有招标文件未允许提供的选择性内容；</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不同投标人的投标文件由同一单位或者个人编制的；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不同投标人委托同一单位或者个人办理投标事宜的；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不同投标人的投标文件载明的项目管理成员为同一人的；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不同投标人的投标文件异常一致或者投标报价呈规律性差异的；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不同投标人的单位负责人为同一人或者存在直接控股、管理关系的；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项目（标段）投标总价超过本项目（标段）预算或最高限价的；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提供虚假材料的（包括工商营业执照、财务报表、资格证明文件等）；</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投标文件含有采购人不能接受的附加条件的；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除单一来源采购项目外，为采购项目提供整体设计、规范编制或者项目管理、监理、检测等服务的；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投标文件内容不全或不符合招标文件中规定的其它实质性要求的。</w:t>
      </w:r>
      <w:r>
        <w:rPr>
          <w:rFonts w:hint="eastAsia" w:ascii="宋体" w:hAnsi="宋体" w:eastAsia="宋体" w:cs="宋体"/>
          <w:bCs/>
          <w:sz w:val="24"/>
        </w:rPr>
      </w:r>
      <w:r/>
    </w:p>
    <w:p>
      <w:pPr>
        <w:pStyle w:val="974"/>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法律法规和招标文件规定的其它无效情形。</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 开标、评标：</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1．代理公司将在招标公告中规定的时间和地点组织公开开标。投标人应当按照《苏采云系统供应商操作手册》规定，参加开标活动。</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 .开标仪式由代理公司组织。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将自动对项目进行开标，并宣读各投标人的《开标一览表》。</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3.投标人在开标过程中</w:t>
      </w:r>
      <w:r>
        <w:rPr>
          <w:rFonts w:hint="eastAsia" w:ascii="宋体" w:hAnsi="宋体" w:eastAsia="宋体" w:cs="宋体"/>
          <w:bCs/>
          <w:sz w:val="24"/>
          <w:lang w:eastAsia="zh-CN"/>
        </w:rPr>
        <w:t xml:space="preserve">涉及</w:t>
      </w:r>
      <w:r>
        <w:rPr>
          <w:rFonts w:hint="eastAsia" w:ascii="宋体" w:hAnsi="宋体" w:eastAsia="宋体" w:cs="宋体"/>
          <w:bCs/>
          <w:sz w:val="24"/>
        </w:rPr>
        <w:t xml:space="preserve">的投标文件解密、开标结果确认等工作，应按照《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供应商操作手册》规定执行。每个投标人的解密时长为6分钟，超时视同解密失败。</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4.投标人如果对开标过程和开标记录有疑义，应当根据《</w:t>
      </w:r>
      <w:r>
        <w:rPr>
          <w:rFonts w:hint="eastAsia" w:ascii="宋体" w:hAnsi="宋体" w:eastAsia="宋体" w:cs="宋体"/>
          <w:bCs/>
          <w:sz w:val="24"/>
        </w:rPr>
        <w:t xml:space="preserve">苏采云系统</w:t>
      </w:r>
      <w:r>
        <w:rPr>
          <w:rFonts w:hint="eastAsia" w:ascii="宋体" w:hAnsi="宋体" w:eastAsia="宋体" w:cs="宋体"/>
          <w:bCs/>
          <w:sz w:val="24"/>
        </w:rPr>
        <w:t xml:space="preserve">供应商操作手册》规定提出，如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中《开标一览表》宣布后5分钟内未提出的，视同认可开标结果。</w:t>
      </w:r>
      <w:r>
        <w:rPr>
          <w:rFonts w:hint="eastAsia" w:ascii="宋体" w:hAnsi="宋体" w:eastAsia="宋体" w:cs="宋体"/>
          <w:bCs/>
          <w:sz w:val="24"/>
        </w:rPr>
      </w:r>
      <w:r/>
    </w:p>
    <w:p>
      <w:pPr>
        <w:pStyle w:val="974"/>
        <w:ind w:left="150"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5.开标时，投标文件中开标一览表内容与投标文件中明细表内容不一致的，以开标一览表为准。</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6.投标人未参加开标的，视同认可开标结果。</w:t>
      </w:r>
      <w:r>
        <w:rPr>
          <w:rFonts w:hint="eastAsia" w:ascii="宋体" w:hAnsi="宋体" w:eastAsia="宋体" w:cs="宋体"/>
          <w:bCs/>
          <w:sz w:val="24"/>
        </w:rPr>
      </w:r>
      <w:r/>
    </w:p>
    <w:p>
      <w:pPr>
        <w:pStyle w:val="974"/>
        <w:ind w:left="1" w:firstLine="486"/>
        <w:spacing w:line="360" w:lineRule="auto"/>
        <w:tabs>
          <w:tab w:val="left" w:pos="945" w:leader="none"/>
        </w:tabs>
        <w:rPr>
          <w:rFonts w:hint="eastAsia" w:ascii="宋体" w:hAnsi="宋体" w:eastAsia="宋体" w:cs="宋体"/>
          <w:bCs/>
          <w:color w:val="ff0000"/>
          <w:sz w:val="24"/>
          <w:u w:val="single"/>
        </w:rPr>
      </w:pPr>
      <w:r>
        <w:rPr>
          <w:rFonts w:hint="eastAsia" w:ascii="宋体" w:hAnsi="宋体" w:eastAsia="宋体" w:cs="宋体"/>
          <w:bCs/>
          <w:sz w:val="24"/>
        </w:rPr>
        <w:t xml:space="preserve">7.评标程序</w:t>
      </w:r>
      <w:r>
        <w:rPr>
          <w:rFonts w:hint="eastAsia" w:ascii="宋体" w:hAnsi="宋体" w:eastAsia="宋体" w:cs="宋体"/>
          <w:bCs/>
          <w:color w:val="ff0000"/>
          <w:sz w:val="24"/>
          <w:u w:val="single"/>
        </w:rPr>
        <w:t xml:space="preserve"> </w:t>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评标工作由代理公司负责组织，具体评标事务由依法组建的评标委员会负责。</w:t>
      </w:r>
      <w:r>
        <w:rPr>
          <w:rFonts w:hint="eastAsia" w:ascii="宋体" w:hAnsi="宋体" w:eastAsia="宋体" w:cs="宋体"/>
          <w:bCs/>
          <w:sz w:val="24"/>
        </w:rPr>
      </w:r>
      <w:r/>
    </w:p>
    <w:p>
      <w:pPr>
        <w:pStyle w:val="974"/>
        <w:numPr>
          <w:ilvl w:val="0"/>
          <w:numId w:val="9"/>
        </w:numPr>
        <w:ind w:left="0" w:firstLine="529"/>
        <w:spacing w:line="360" w:lineRule="auto"/>
        <w:tabs>
          <w:tab w:val="left" w:pos="630"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投标文件初审。初审分为资格性检查和符合性检查。</w:t>
      </w:r>
      <w:r>
        <w:rPr>
          <w:rFonts w:hint="eastAsia" w:ascii="宋体" w:hAnsi="宋体" w:eastAsia="宋体" w:cs="宋体"/>
          <w:bCs/>
          <w:sz w:val="24"/>
        </w:rPr>
      </w:r>
      <w:r/>
    </w:p>
    <w:p>
      <w:pPr>
        <w:pStyle w:val="974"/>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资格性检查。依据法律法规和招标文件的规定，对投标文件中的资格证明等进行审查；通过“信用中国”网站（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32"/>
          <w:rFonts w:ascii="宋体" w:hAnsi="宋体" w:eastAsia="宋体" w:cs="宋体"/>
          <w:bCs/>
          <w:sz w:val="24"/>
        </w:rPr>
        <w:t xml:space="preserve">www.creditchina.gov.cn</w:t>
      </w:r>
      <w:r>
        <w:rPr>
          <w:rStyle w:val="1032"/>
          <w:rFonts w:ascii="宋体" w:hAnsi="宋体" w:eastAsia="宋体" w:cs="宋体"/>
          <w:bCs/>
          <w:sz w:val="24"/>
        </w:rPr>
        <w:fldChar w:fldCharType="end"/>
      </w:r>
      <w:r>
        <w:rPr>
          <w:rFonts w:hint="eastAsia" w:ascii="宋体" w:hAnsi="宋体" w:eastAsia="宋体" w:cs="宋体"/>
          <w:bCs/>
          <w:sz w:val="24"/>
        </w:rPr>
        <w:t xml:space="preserve">）查询投标供应商在投标截止时间之前，是否被列入</w:t>
      </w:r>
      <w:r>
        <w:rPr>
          <w:rFonts w:hint="eastAsia" w:ascii="宋体" w:hAnsi="宋体" w:eastAsia="宋体" w:cs="宋体"/>
          <w:sz w:val="24"/>
        </w:rPr>
        <w:t xml:space="preserve">失信执行人、重大税收违法案件当事人名单、政府采购严重违法失信行为记录名单，</w:t>
      </w:r>
      <w:r>
        <w:rPr>
          <w:rFonts w:hint="eastAsia" w:ascii="宋体" w:hAnsi="宋体" w:eastAsia="宋体" w:cs="宋体"/>
          <w:bCs/>
          <w:sz w:val="24"/>
        </w:rPr>
        <w:t xml:space="preserve">以确定投标供应商是否具备投标资格。信用</w:t>
      </w:r>
      <w:r>
        <w:rPr>
          <w:rFonts w:hint="eastAsia" w:ascii="宋体" w:hAnsi="宋体" w:eastAsia="宋体" w:cs="宋体"/>
          <w:sz w:val="24"/>
        </w:rPr>
        <w:t xml:space="preserve">查询结果以网页打印的形式留存并归档。</w:t>
      </w:r>
      <w:r>
        <w:rPr>
          <w:rFonts w:hint="eastAsia" w:ascii="宋体" w:hAnsi="宋体" w:eastAsia="宋体" w:cs="宋体"/>
          <w:bCs/>
          <w:sz w:val="24"/>
        </w:rPr>
      </w:r>
      <w:r/>
    </w:p>
    <w:p>
      <w:pPr>
        <w:pStyle w:val="974"/>
        <w:numPr>
          <w:ilvl w:val="0"/>
          <w:numId w:val="10"/>
        </w:numPr>
        <w:ind w:left="0" w:firstLine="529"/>
        <w:spacing w:line="360" w:lineRule="auto"/>
        <w:tabs>
          <w:tab w:val="left" w:pos="525" w:leader="none"/>
          <w:tab w:val="left" w:pos="630" w:leader="none"/>
          <w:tab w:val="left" w:pos="881"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符合性检查。依据招标文件的规定，从投标文件的有效性、完整性和对招标文件的响应程度进行审查，以确定是否对招标文件的实质性要求作出响应。</w:t>
      </w:r>
      <w:r>
        <w:rPr>
          <w:rFonts w:hint="eastAsia" w:ascii="宋体" w:hAnsi="宋体" w:eastAsia="宋体" w:cs="宋体"/>
          <w:bCs/>
          <w:sz w:val="24"/>
        </w:rPr>
      </w:r>
      <w:r/>
    </w:p>
    <w:p>
      <w:pPr>
        <w:pStyle w:val="974"/>
        <w:numPr>
          <w:ilvl w:val="0"/>
          <w:numId w:val="9"/>
        </w:numPr>
        <w:ind w:left="0" w:firstLine="529"/>
        <w:spacing w:line="360" w:lineRule="auto"/>
        <w:tabs>
          <w:tab w:val="left" w:pos="525" w:leader="none"/>
          <w:tab w:val="left" w:pos="945" w:leader="none"/>
          <w:tab w:val="left" w:pos="1104"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澄清有关问题。对投标文件中含义不明确、同类问题表述不一致或者有明显文字和计算错误的内容，</w:t>
      </w:r>
      <w:r>
        <w:rPr>
          <w:rFonts w:hint="eastAsia" w:ascii="宋体" w:hAnsi="宋体" w:eastAsia="宋体" w:cs="宋体"/>
          <w:sz w:val="24"/>
        </w:rPr>
        <w:t xml:space="preserve">评委会有权以电子函件形式要求投标人对其投标文件</w:t>
      </w:r>
      <w:r>
        <w:rPr>
          <w:rFonts w:hint="eastAsia" w:ascii="宋体" w:hAnsi="宋体" w:eastAsia="宋体" w:cs="宋体"/>
          <w:bCs/>
          <w:sz w:val="24"/>
        </w:rPr>
        <w:t xml:space="preserve">作出必要的澄清、说明或者纠正</w:t>
      </w:r>
      <w:r>
        <w:rPr>
          <w:rFonts w:hint="eastAsia" w:ascii="宋体" w:hAnsi="宋体" w:eastAsia="宋体" w:cs="宋体"/>
          <w:sz w:val="24"/>
        </w:rPr>
        <w:t xml:space="preserve">，但并非对每个投标人都</w:t>
      </w:r>
      <w:r>
        <w:rPr>
          <w:rFonts w:hint="eastAsia" w:ascii="宋体" w:hAnsi="宋体" w:eastAsia="宋体" w:cs="宋体"/>
          <w:sz w:val="24"/>
          <w:lang w:eastAsia="zh-CN"/>
        </w:rPr>
        <w:t xml:space="preserve">作出</w:t>
      </w:r>
      <w:r>
        <w:rPr>
          <w:rFonts w:hint="eastAsia" w:ascii="宋体" w:hAnsi="宋体" w:eastAsia="宋体" w:cs="宋体"/>
          <w:sz w:val="24"/>
        </w:rPr>
        <w:t xml:space="preserve">澄清要求。接到评委会澄清要求的投标人应派人按评委会规定的时间和格式在</w:t>
      </w:r>
      <w:r>
        <w:rPr>
          <w:rFonts w:hint="eastAsia" w:ascii="宋体" w:hAnsi="宋体" w:eastAsia="宋体" w:cs="宋体"/>
          <w:sz w:val="24"/>
          <w:lang w:eastAsia="zh-CN"/>
        </w:rPr>
        <w:t xml:space="preserve">苏采云系统</w:t>
      </w:r>
      <w:r>
        <w:rPr>
          <w:rFonts w:hint="eastAsia" w:ascii="宋体" w:hAnsi="宋体" w:eastAsia="宋体" w:cs="宋体"/>
          <w:sz w:val="24"/>
        </w:rPr>
        <w:t xml:space="preserve">中做出澄清，由其授权的代表签字，澄清的内容作为投标文件的补充部分，但投标的价格和实质性的内容不得做任何更改。具体操作方式见</w:t>
      </w:r>
      <w:r>
        <w:rPr>
          <w:rFonts w:hint="eastAsia" w:ascii="宋体" w:hAnsi="宋体" w:eastAsia="宋体" w:cs="宋体"/>
          <w:bCs/>
          <w:sz w:val="24"/>
        </w:rPr>
        <w:t xml:space="preserve">《苏采云系统供应商操作手册》</w:t>
      </w:r>
      <w:r>
        <w:rPr>
          <w:rFonts w:hint="eastAsia" w:ascii="宋体" w:hAnsi="宋体" w:eastAsia="宋体" w:cs="宋体"/>
          <w:sz w:val="24"/>
        </w:rPr>
        <w:t xml:space="preserve">。接到评委会澄清要求的投标人如未按规定</w:t>
      </w:r>
      <w:r>
        <w:rPr>
          <w:rFonts w:hint="eastAsia" w:ascii="宋体" w:hAnsi="宋体" w:eastAsia="宋体" w:cs="宋体"/>
          <w:sz w:val="24"/>
          <w:lang w:eastAsia="zh-CN"/>
        </w:rPr>
        <w:t xml:space="preserve">作出</w:t>
      </w:r>
      <w:r>
        <w:rPr>
          <w:rFonts w:hint="eastAsia" w:ascii="宋体" w:hAnsi="宋体" w:eastAsia="宋体" w:cs="宋体"/>
          <w:sz w:val="24"/>
        </w:rPr>
        <w:t xml:space="preserve">澄清，其风险由投标人自行承担。</w:t>
      </w:r>
      <w:r>
        <w:rPr>
          <w:rFonts w:hint="eastAsia" w:ascii="宋体" w:hAnsi="宋体" w:eastAsia="宋体" w:cs="宋体"/>
          <w:bCs/>
          <w:sz w:val="24"/>
        </w:rPr>
      </w:r>
      <w:r/>
    </w:p>
    <w:p>
      <w:pPr>
        <w:pStyle w:val="974"/>
        <w:numPr>
          <w:ilvl w:val="0"/>
          <w:numId w:val="9"/>
        </w:numPr>
        <w:ind w:left="0" w:firstLine="529"/>
        <w:spacing w:line="360" w:lineRule="auto"/>
        <w:tabs>
          <w:tab w:val="left" w:pos="945" w:leader="none"/>
          <w:tab w:val="left" w:pos="1104" w:leader="none"/>
          <w:tab w:val="left" w:pos="115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bCs/>
          <w:sz w:val="24"/>
        </w:rPr>
      </w:r>
      <w:r/>
    </w:p>
    <w:p>
      <w:pPr>
        <w:pStyle w:val="974"/>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8.评标方法</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投标人通过初审的，方可进入比较与评价程序。</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比较与评价采用综合评分法。 </w:t>
      </w:r>
      <w:r>
        <w:rPr>
          <w:rFonts w:hint="eastAsia" w:ascii="宋体" w:hAnsi="宋体" w:eastAsia="宋体" w:cs="宋体"/>
          <w:bCs/>
          <w:sz w:val="24"/>
        </w:rPr>
      </w:r>
      <w:r/>
    </w:p>
    <w:p>
      <w:pPr>
        <w:pStyle w:val="974"/>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rPr>
          <w:rFonts w:hint="eastAsia" w:ascii="宋体" w:hAnsi="宋体" w:eastAsia="宋体" w:cs="宋体"/>
          <w:bCs/>
          <w:sz w:val="24"/>
        </w:rPr>
      </w:r>
      <w:r/>
    </w:p>
    <w:p>
      <w:pPr>
        <w:pStyle w:val="974"/>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10.评分标准</w:t>
      </w:r>
      <w:r>
        <w:rPr>
          <w:rFonts w:hint="eastAsia" w:ascii="宋体" w:hAnsi="宋体" w:eastAsia="宋体" w:cs="宋体"/>
          <w:bCs/>
          <w:sz w:val="24"/>
        </w:rPr>
      </w:r>
      <w:r/>
    </w:p>
    <w:p>
      <w:pPr>
        <w:pStyle w:val="974"/>
        <w:ind w:left="524"/>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详见附件。</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（十二）定标：</w:t>
      </w:r>
      <w:r>
        <w:rPr>
          <w:rFonts w:hint="eastAsia" w:ascii="宋体" w:hAnsi="宋体" w:eastAsia="宋体" w:cs="宋体"/>
          <w:bCs/>
          <w:sz w:val="24"/>
        </w:rPr>
      </w:r>
      <w:r/>
    </w:p>
    <w:p>
      <w:pPr>
        <w:pStyle w:val="974"/>
        <w:numPr>
          <w:ilvl w:val="1"/>
          <w:numId w:val="11"/>
        </w:numPr>
        <w:ind w:left="0" w:firstLine="529"/>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评标委员会根据招标文件规定的评标方法和评标标准进行评审，按招标文件的要求依法确定中标供应商。代理公司将在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发布中标公告。代理公司和评标委员会对未中标原因不</w:t>
      </w:r>
      <w:r>
        <w:rPr>
          <w:rFonts w:hint="eastAsia" w:ascii="宋体" w:hAnsi="宋体" w:eastAsia="宋体" w:cs="宋体"/>
          <w:bCs/>
          <w:sz w:val="24"/>
          <w:lang w:eastAsia="zh-CN"/>
        </w:rPr>
        <w:t xml:space="preserve">作</w:t>
      </w:r>
      <w:r>
        <w:rPr>
          <w:rFonts w:hint="eastAsia" w:ascii="宋体" w:hAnsi="宋体" w:eastAsia="宋体" w:cs="宋体"/>
          <w:bCs/>
          <w:sz w:val="24"/>
        </w:rPr>
        <w:t xml:space="preserve">解释。如有质疑，应在法定质疑期限内，即中标公告期限届满之日起7个工作日内，以书面形式（原件）送达代理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\t "_blank" </w:instrText>
      </w:r>
      <w:r>
        <w:rPr>
          <w:rFonts w:hint="eastAsia" w:ascii="宋体" w:hAnsi="宋体" w:eastAsia="宋体" w:cs="宋体"/>
        </w:rPr>
        <w:fldChar w:fldCharType="separate"/>
      </w:r>
      <w:r>
        <w:rPr>
          <w:rFonts w:hint="eastAsia" w:ascii="宋体" w:hAnsi="宋体" w:eastAsia="宋体" w:cs="宋体"/>
          <w:bCs/>
          <w:sz w:val="24"/>
        </w:rPr>
        <w:t xml:space="preserve">政府采购供应商质疑函范本</w:t>
      </w:r>
      <w:r>
        <w:rPr>
          <w:rFonts w:hint="eastAsia" w:ascii="宋体" w:hAnsi="宋体" w:eastAsia="宋体" w:cs="宋体"/>
          <w:bCs/>
          <w:sz w:val="24"/>
        </w:rPr>
        <w:fldChar w:fldCharType="end"/>
      </w:r>
      <w:r>
        <w:rPr>
          <w:rFonts w:hint="eastAsia" w:ascii="宋体" w:hAnsi="宋体" w:eastAsia="宋体" w:cs="宋体"/>
          <w:bCs/>
          <w:sz w:val="24"/>
        </w:rPr>
        <w:t xml:space="preserve">》）。代理公司将在收到符合上述要求的书面质疑后七个工作日内，对质疑内容做出答复。投标人在法定质疑期限外送达的质疑函或法定质疑期限内送达的质疑函不符合上述要求的均为无效质疑，代理公司对无效质疑不予受理。如质疑查无实据或投标人捏造事实，提供虚假材料进行恶意举报，不配合或采用不正当手段干扰政府采购质疑的，代理公司有权依据政府采购的有关规定，报请政府采购监管部门对该供应商进行相应的行政处罚和记录该供应商的失信信息。</w:t>
      </w:r>
      <w:r>
        <w:rPr>
          <w:rFonts w:hint="eastAsia" w:ascii="宋体" w:hAnsi="宋体" w:eastAsia="宋体" w:cs="宋体"/>
          <w:bCs/>
          <w:sz w:val="24"/>
        </w:rPr>
      </w:r>
      <w:r/>
    </w:p>
    <w:p>
      <w:pPr>
        <w:pStyle w:val="974"/>
        <w:numPr>
          <w:ilvl w:val="1"/>
          <w:numId w:val="11"/>
        </w:numPr>
        <w:spacing w:line="360" w:lineRule="auto"/>
        <w:tabs>
          <w:tab w:val="left" w:pos="525" w:leader="none"/>
          <w:tab w:val="left" w:pos="945" w:leader="none"/>
          <w:tab w:val="left" w:pos="1290" w:leader="none"/>
        </w:tabs>
        <w:rPr>
          <w:rFonts w:hint="eastAsia" w:ascii="宋体" w:hAnsi="宋体" w:eastAsia="宋体" w:cs="宋体"/>
          <w:bCs/>
          <w:sz w:val="24"/>
        </w:rPr>
      </w:pPr>
      <w:r>
        <w:rPr>
          <w:rFonts w:hint="eastAsia" w:ascii="宋体" w:hAnsi="宋体" w:eastAsia="宋体" w:cs="宋体"/>
          <w:bCs/>
          <w:sz w:val="24"/>
        </w:rPr>
        <w:t xml:space="preserve">代理公司向中标供应商发中标通知书。</w:t>
      </w:r>
      <w:r>
        <w:rPr>
          <w:rFonts w:hint="eastAsia" w:ascii="宋体" w:hAnsi="宋体" w:eastAsia="宋体" w:cs="宋体"/>
          <w:bCs/>
          <w:sz w:val="24"/>
        </w:rPr>
      </w:r>
      <w:r/>
    </w:p>
    <w:p>
      <w:pPr>
        <w:pStyle w:val="974"/>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代理公司可以邮寄的形式向中标供应商寄发中标通知书，请供应商准确清晰填写《投标函》，如因相关信息填写错误导致中标通知书无法寄达，代理公司将不再寄送中标通知书，由此造成的不利后果由供应商自行承担。</w:t>
      </w:r>
      <w:r>
        <w:rPr>
          <w:rFonts w:hint="eastAsia" w:ascii="宋体" w:hAnsi="宋体" w:eastAsia="宋体" w:cs="宋体"/>
          <w:bCs/>
          <w:sz w:val="24"/>
        </w:rPr>
      </w:r>
      <w:r/>
    </w:p>
    <w:p>
      <w:pPr>
        <w:pStyle w:val="974"/>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（十）废标的确认：</w:t>
      </w:r>
      <w:r>
        <w:rPr>
          <w:rFonts w:hint="eastAsia" w:ascii="宋体" w:hAnsi="宋体" w:eastAsia="宋体" w:cs="宋体"/>
          <w:bCs/>
          <w:sz w:val="24"/>
        </w:rPr>
      </w:r>
      <w:r/>
    </w:p>
    <w:p>
      <w:pPr>
        <w:pStyle w:val="974"/>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在招标采购中，出现下列情况之一的，应予废标：</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符合专业条件的投标人或者对招标文件作出实质性响应的投标人不足三家；</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出现影响采购公正的违法、违规行为；</w:t>
      </w:r>
      <w:r>
        <w:rPr>
          <w:rFonts w:hint="eastAsia" w:ascii="宋体" w:hAnsi="宋体" w:eastAsia="宋体" w:cs="宋体"/>
          <w:bCs/>
          <w:sz w:val="24"/>
        </w:rPr>
      </w:r>
      <w:r/>
    </w:p>
    <w:p>
      <w:pPr>
        <w:pStyle w:val="974"/>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投标人的报价均超过采购预算，采购人不能支付的；</w:t>
      </w:r>
      <w:r>
        <w:rPr>
          <w:rFonts w:hint="eastAsia" w:ascii="宋体" w:hAnsi="宋体" w:eastAsia="宋体" w:cs="宋体"/>
          <w:bCs/>
          <w:sz w:val="24"/>
        </w:rPr>
      </w:r>
      <w:r/>
    </w:p>
    <w:p>
      <w:pPr>
        <w:pStyle w:val="974"/>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因重大变故，采购任务取消；</w:t>
      </w:r>
      <w:r>
        <w:rPr>
          <w:rFonts w:hint="eastAsia" w:ascii="宋体" w:hAnsi="宋体" w:eastAsia="宋体" w:cs="宋体"/>
          <w:bCs/>
          <w:sz w:val="24"/>
        </w:rPr>
      </w:r>
      <w:r/>
    </w:p>
    <w:p>
      <w:pPr>
        <w:pStyle w:val="974"/>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不能完全响应招标文件全部要求的。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（十一）投标保证金：</w:t>
      </w:r>
      <w:r>
        <w:rPr>
          <w:rFonts w:hint="eastAsia" w:ascii="宋体" w:hAnsi="宋体" w:eastAsia="宋体" w:cs="宋体"/>
          <w:bCs/>
          <w:sz w:val="24"/>
        </w:rPr>
      </w:r>
      <w:r/>
    </w:p>
    <w:p>
      <w:pPr>
        <w:pStyle w:val="974"/>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1.本项目不需要缴纳投标保证金；</w:t>
      </w:r>
      <w:r>
        <w:rPr>
          <w:rFonts w:hint="eastAsia" w:ascii="宋体" w:hAnsi="宋体" w:eastAsia="宋体" w:cs="宋体"/>
          <w:bCs/>
          <w:sz w:val="24"/>
        </w:rPr>
      </w:r>
      <w:r/>
    </w:p>
    <w:p>
      <w:pPr>
        <w:pStyle w:val="974"/>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2.中标供应商有下列情形之一的；且情节严重的，由财政部门将其列入不良行为记录名单，在一至三年内禁止参加政府采购活动，并予以通报：</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中标后无正当理由不与采购人签订合同的；</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将中标项目转让给他人，或者在投标文件中未说明，且未经过采购人同意，将中标项目分包给他人的；</w:t>
      </w:r>
      <w:r>
        <w:rPr>
          <w:rFonts w:hint="eastAsia" w:ascii="宋体" w:hAnsi="宋体" w:eastAsia="宋体" w:cs="宋体"/>
          <w:bCs/>
          <w:sz w:val="24"/>
        </w:rPr>
      </w:r>
      <w:r/>
    </w:p>
    <w:p>
      <w:pPr>
        <w:pStyle w:val="974"/>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拒绝履行合同义务的。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
          <w:sz w:val="24"/>
        </w:rPr>
        <w:t xml:space="preserve">（十二）</w:t>
      </w:r>
      <w:r>
        <w:rPr>
          <w:rFonts w:hint="eastAsia" w:ascii="宋体" w:hAnsi="宋体" w:eastAsia="宋体" w:cs="宋体"/>
          <w:bCs/>
          <w:sz w:val="24"/>
        </w:rPr>
        <w:t xml:space="preserve">中标无效的确认：</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提供虚假材料谋取中标的；</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采取不正当手段诋毁、排挤其他投标人的；</w:t>
      </w:r>
      <w:r>
        <w:rPr>
          <w:rFonts w:hint="eastAsia" w:ascii="宋体" w:hAnsi="宋体" w:eastAsia="宋体" w:cs="宋体"/>
          <w:bCs/>
          <w:sz w:val="24"/>
        </w:rPr>
      </w:r>
      <w:r/>
    </w:p>
    <w:p>
      <w:pPr>
        <w:pStyle w:val="974"/>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与招标采购单位、其他投标人恶意串通的；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向招标采购单位行贿或者提供其他不正当利益的；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在招标过程中与招标采购单位进行协商谈判、不按照招标文件和中标供应商的投标文件订立合同，或者与采购人另行订立背离合同实质性内容的协议的；</w:t>
      </w:r>
      <w:r>
        <w:rPr>
          <w:rFonts w:hint="eastAsia" w:ascii="宋体" w:hAnsi="宋体" w:eastAsia="宋体" w:cs="宋体"/>
          <w:bCs/>
          <w:sz w:val="24"/>
        </w:rPr>
      </w:r>
      <w:r/>
    </w:p>
    <w:p>
      <w:pPr>
        <w:pStyle w:val="974"/>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拒绝有关部门监督检查或者提供虚假情况的。</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（十三）签订</w:t>
      </w:r>
      <w:r>
        <w:rPr>
          <w:rFonts w:hint="eastAsia" w:ascii="宋体" w:hAnsi="宋体" w:eastAsia="宋体" w:cs="宋体"/>
          <w:b/>
          <w:sz w:val="24"/>
        </w:rPr>
        <w:t xml:space="preserve">、履行</w:t>
      </w:r>
      <w:r>
        <w:rPr>
          <w:rFonts w:hint="eastAsia" w:ascii="宋体" w:hAnsi="宋体" w:eastAsia="宋体" w:cs="宋体"/>
          <w:bCs/>
          <w:sz w:val="24"/>
        </w:rPr>
        <w:t xml:space="preserve">合同：</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中标人非因不可抗力未履行招、投标文件和合同规定的义务，一经查实，代理公司将根据具体情况提请政府采购管理部门作出相应处理。</w:t>
      </w:r>
      <w:r>
        <w:rPr>
          <w:rFonts w:hint="eastAsia" w:ascii="宋体" w:hAnsi="宋体" w:eastAsia="宋体" w:cs="宋体"/>
          <w:bCs/>
          <w:sz w:val="24"/>
        </w:rPr>
      </w:r>
      <w:r/>
    </w:p>
    <w:p>
      <w:pPr>
        <w:pStyle w:val="974"/>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供应商向采购人缴纳的履约保证金为政府采购合同金额的6%。收取履约保证金的，采购人应当与中标供应商在采购合同中约定履约保证金退还的方式、时间、条件和不予退还的情形，明确逾期退还履约保证金的违约责任。</w:t>
      </w:r>
      <w:r>
        <w:rPr>
          <w:rFonts w:hint="eastAsia" w:ascii="宋体" w:hAnsi="宋体" w:eastAsia="宋体" w:cs="宋体"/>
          <w:bCs/>
          <w:sz w:val="24"/>
        </w:rPr>
      </w:r>
      <w:r/>
    </w:p>
    <w:p>
      <w:pPr>
        <w:pStyle w:val="974"/>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（十四）政府采购政策功能落实：</w:t>
      </w:r>
      <w:r>
        <w:rPr>
          <w:rFonts w:hint="eastAsia" w:ascii="宋体" w:hAnsi="宋体" w:eastAsia="宋体" w:cs="宋体"/>
          <w:bCs/>
          <w:sz w:val="24"/>
        </w:rPr>
      </w:r>
      <w:r/>
    </w:p>
    <w:p>
      <w:pPr>
        <w:pStyle w:val="1126"/>
        <w:jc w:val="left"/>
        <w:spacing w:line="360" w:lineRule="auto"/>
        <w:rPr>
          <w:rFonts w:hint="eastAsia" w:ascii="宋体" w:hAnsi="宋体" w:eastAsia="宋体" w:cs="宋体"/>
          <w:bCs/>
          <w:sz w:val="24"/>
        </w:rPr>
      </w:pPr>
      <w:r>
        <w:rPr>
          <w:rFonts w:hint="eastAsia" w:ascii="宋体" w:hAnsi="宋体" w:eastAsia="宋体" w:cs="宋体"/>
          <w:bCs/>
          <w:sz w:val="24"/>
        </w:rPr>
        <w:t xml:space="preserve">落实政府采购的政策：</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（2）参加报价的监狱和戒毒企业，应根据《财政部 司法部关于政府采购支持监狱企业发展有关问题的通知》（财库〔2014〕68号）要求，提供由省级以上监狱管理局、戒毒管理局（含新疆生产建设兵团）出具的属于监狱企业的证明文件。</w:t>
      </w:r>
      <w:r>
        <w:rPr>
          <w:rFonts w:hint="eastAsia" w:ascii="宋体" w:hAnsi="宋体" w:eastAsia="宋体" w:cs="宋体"/>
          <w:bCs/>
          <w:sz w:val="24"/>
        </w:rPr>
      </w:r>
      <w:r/>
    </w:p>
    <w:p>
      <w:pPr>
        <w:pStyle w:val="974"/>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（3）参加报价的残疾人福利性单位，应根据《关于促进残疾人就业政府采购政策的通知》（财库〔2017〕141号）要求，提供《残疾人福利性单位声明函》，格式见附件。</w:t>
      </w:r>
      <w:r>
        <w:rPr>
          <w:rFonts w:hint="eastAsia" w:ascii="宋体" w:hAnsi="宋体" w:eastAsia="宋体" w:cs="宋体"/>
          <w:bCs/>
          <w:sz w:val="24"/>
        </w:rPr>
      </w:r>
      <w:r/>
    </w:p>
    <w:p>
      <w:pPr>
        <w:pStyle w:val="974"/>
        <w:ind w:firstLine="486"/>
        <w:spacing w:line="360" w:lineRule="auto"/>
        <w:rPr>
          <w:rFonts w:ascii="宋体" w:hAnsi="宋体" w:eastAsia="宋体"/>
          <w:color w:val="000000"/>
          <w:sz w:val="24"/>
          <w:szCs w:val="24"/>
        </w:rPr>
      </w:pPr>
      <w:r>
        <w:rPr>
          <w:rFonts w:hint="eastAsia" w:ascii="宋体" w:hAnsi="宋体" w:eastAsia="宋体" w:cs="宋体"/>
          <w:bCs/>
          <w:sz w:val="24"/>
        </w:rPr>
        <w:t xml:space="preserve">（4）执行《财政部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r>
        <w:rPr>
          <w:rFonts w:ascii="宋体" w:hAnsi="宋体" w:eastAsia="宋体"/>
          <w:color w:val="000000"/>
          <w:sz w:val="24"/>
          <w:szCs w:val="24"/>
        </w:rPr>
      </w:r>
      <w:r/>
    </w:p>
    <w:p>
      <w:pPr>
        <w:pStyle w:val="1020"/>
        <w:ind w:firstLine="486"/>
        <w:jc w:val="left"/>
        <w:keepLines w:val="0"/>
        <w:keepNext w:val="0"/>
        <w:pageBreakBefore w:val="0"/>
        <w:spacing w:before="0" w:beforeAutospacing="0" w:after="0" w:afterAutospacing="0" w:line="360" w:lineRule="auto"/>
        <w:widowControl/>
        <w:rPr>
          <w:rFonts w:hint="eastAsia" w:ascii="宋体" w:hAnsi="宋体" w:eastAsia="宋体" w:cs="宋体"/>
          <w:bCs/>
          <w:sz w:val="24"/>
          <w:lang w:val="en-US" w:eastAsia="zh-CN" w:bidi="ar-SA"/>
        </w:rPr>
        <w:suppressLineNumbers w:val="0"/>
      </w:pPr>
      <w:r/>
      <w:bookmarkStart w:id="21" w:name="_Toc409438818"/>
      <w:r>
        <w:rPr>
          <w:rFonts w:hint="eastAsia" w:ascii="宋体" w:hAnsi="宋体" w:eastAsia="宋体" w:cs="宋体"/>
          <w:bCs/>
          <w:sz w:val="24"/>
        </w:rPr>
        <w:t xml:space="preserve">（十</w:t>
      </w:r>
      <w:r>
        <w:rPr>
          <w:rFonts w:hint="eastAsia" w:ascii="宋体" w:hAnsi="宋体" w:eastAsia="宋体" w:cs="宋体"/>
          <w:bCs/>
          <w:sz w:val="24"/>
          <w:lang w:eastAsia="zh-CN"/>
        </w:rPr>
        <w:t xml:space="preserve">五</w:t>
      </w:r>
      <w:r>
        <w:rPr>
          <w:rFonts w:hint="eastAsia" w:ascii="宋体" w:hAnsi="宋体" w:eastAsia="宋体" w:cs="宋体"/>
          <w:bCs/>
          <w:sz w:val="24"/>
        </w:rPr>
        <w:t xml:space="preserve">）</w:t>
      </w:r>
      <w:r>
        <w:rPr>
          <w:rFonts w:hint="eastAsia" w:ascii="宋体" w:hAnsi="宋体" w:eastAsia="宋体" w:cs="宋体"/>
          <w:bCs/>
          <w:sz w:val="24"/>
          <w:lang w:val="en-US" w:eastAsia="zh-CN" w:bidi="ar-SA"/>
        </w:rPr>
        <w:t xml:space="preserve">关于异常低价的处理：</w:t>
      </w:r>
      <w:r>
        <w:rPr>
          <w:rFonts w:hint="eastAsia" w:ascii="宋体" w:hAnsi="宋体" w:eastAsia="宋体" w:cs="宋体"/>
          <w:bCs/>
          <w:sz w:val="24"/>
          <w:lang w:val="en-US" w:eastAsia="zh-CN" w:bidi="ar-SA"/>
        </w:rPr>
      </w:r>
      <w:r/>
    </w:p>
    <w:p>
      <w:pPr>
        <w:pStyle w:val="1020"/>
        <w:ind w:left="0" w:firstLine="556"/>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（1）依据财政部《财政部关于推动解决政府采购异常低价问题的通知（财库〔2026〕2号）》等相关文件精神，评审委员会启动异常低价投标（响应）审查程序。</w:t>
      </w:r>
      <w:r>
        <w:rPr>
          <w:rFonts w:hint="eastAsia" w:ascii="宋体" w:hAnsi="宋体" w:eastAsia="宋体" w:cs="宋体"/>
          <w:color w:val="000000"/>
          <w:sz w:val="24"/>
          <w:szCs w:val="24"/>
          <w:lang w:val="en-US" w:eastAsia="zh-CN"/>
        </w:rPr>
      </w:r>
      <w:r/>
    </w:p>
    <w:p>
      <w:pPr>
        <w:pStyle w:val="1020"/>
        <w:ind w:left="0" w:firstLine="556"/>
        <w:jc w:val="both"/>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响应报价低于采购项目预算50%的，即响应报价&lt;采购项目预算×50%，评审委员会启动异常低价投标（响应）审查程序。供应商应随投响应文件一并提交相关书面说明及必要的证明材料，响应供应商没有提供书面说明、证明材料（包括拟派项目人员连续六个月(2026年1月-2026年6月，不含比选当月)工资奖金发放表、发放工资的银行卡流水凭证、社会保障资金缴费记录、公积金缴费记录等），或者提供的书面说明、证明材料不能证明其报价合理性的，评审委员会将作为无效响应处理。</w:t>
      </w:r>
      <w:r>
        <w:rPr>
          <w:rFonts w:ascii="宋体" w:hAnsi="宋体" w:eastAsia="宋体" w:cs="宋体"/>
          <w:color w:val="000000"/>
          <w:sz w:val="24"/>
          <w:szCs w:val="24"/>
          <w:lang w:val="en-US" w:eastAsia="zh-CN"/>
        </w:rPr>
      </w:r>
      <w:r/>
    </w:p>
    <w:p>
      <w:pPr>
        <w:pStyle w:val="975"/>
        <w:jc w:val="center"/>
        <w:spacing w:before="0" w:after="0" w:line="360" w:lineRule="auto"/>
        <w:rPr>
          <w:rFonts w:ascii="宋体" w:hAnsi="宋体" w:eastAsia="宋体"/>
          <w:color w:val="000000"/>
          <w:sz w:val="30"/>
          <w:szCs w:val="30"/>
        </w:rPr>
      </w:pPr>
      <w:r>
        <w:rPr>
          <w:rFonts w:hint="eastAsia" w:ascii="宋体" w:hAnsi="宋体" w:eastAsia="宋体"/>
          <w:color w:val="000000"/>
        </w:rPr>
        <w:br w:type="page" w:clear="all"/>
      </w:r>
      <w:bookmarkEnd w:id="21"/>
      <w:r>
        <w:rPr>
          <w:rFonts w:hint="eastAsia" w:ascii="黑体" w:hAnsi="黑体" w:eastAsia="黑体"/>
          <w:b w:val="0"/>
          <w:szCs w:val="22"/>
        </w:rPr>
        <w:t xml:space="preserve">三．项目技术要求和有关说明</w:t>
      </w:r>
      <w:r>
        <w:rPr>
          <w:rFonts w:ascii="宋体" w:hAnsi="宋体" w:eastAsia="宋体"/>
          <w:color w:val="000000"/>
          <w:sz w:val="30"/>
          <w:szCs w:val="30"/>
        </w:rPr>
      </w:r>
      <w:r/>
    </w:p>
    <w:p>
      <w:pPr>
        <w:pStyle w:val="1077"/>
        <w:ind w:firstLine="420"/>
        <w:jc w:val="left"/>
        <w:spacing w:before="120" w:after="120" w:line="360" w:lineRule="auto"/>
        <w:rPr>
          <w:rFonts w:hint="eastAsia" w:ascii="宋体" w:hAnsi="宋体" w:eastAsia="宋体" w:cs="宋体"/>
          <w:b/>
          <w:bCs/>
          <w:color w:val="000000"/>
          <w:sz w:val="21"/>
          <w:szCs w:val="21"/>
          <w:highlight w:val="none"/>
        </w:rPr>
      </w:pPr>
      <w:r/>
      <w:bookmarkStart w:id="22" w:name="_Toc388026588"/>
      <w:r/>
      <w:bookmarkStart w:id="23" w:name="_Toc409438821"/>
      <w:r>
        <w:rPr>
          <w:rFonts w:hint="eastAsia" w:ascii="宋体" w:hAnsi="宋体" w:eastAsia="宋体" w:cs="宋体"/>
          <w:b/>
          <w:bCs/>
          <w:color w:val="000000"/>
          <w:sz w:val="21"/>
          <w:szCs w:val="21"/>
          <w:highlight w:val="none"/>
        </w:rPr>
        <w:t xml:space="preserve">一、项目概况</w:t>
      </w:r>
      <w:r>
        <w:rPr>
          <w:rFonts w:hint="eastAsia" w:ascii="宋体" w:hAnsi="宋体" w:eastAsia="宋体" w:cs="宋体"/>
          <w:b/>
          <w:bCs/>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val="en-US" w:eastAsia="zh-CN"/>
        </w:rPr>
        <w:t xml:space="preserve">泰州市中级人民法院大案要案法庭改（扩）建文化布展服务</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lang w:val="en-US" w:eastAsia="zh-CN"/>
        </w:rPr>
        <w:t xml:space="preserve">泰州市</w:t>
      </w:r>
      <w:r>
        <w:rPr>
          <w:rFonts w:hint="eastAsia" w:hAnsi="宋体" w:eastAsia="宋体" w:cs="宋体"/>
          <w:color w:val="000000"/>
          <w:sz w:val="21"/>
          <w:szCs w:val="21"/>
          <w:highlight w:val="none"/>
          <w:lang w:val="en-US" w:eastAsia="zh-CN"/>
        </w:rPr>
        <w:t xml:space="preserve">中级人民法院</w:t>
      </w:r>
      <w:r>
        <w:rPr>
          <w:rFonts w:hint="eastAsia" w:ascii="宋体" w:hAnsi="宋体" w:eastAsia="宋体" w:cs="宋体"/>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合同履行期限：100日历天</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预算金额：</w:t>
      </w:r>
      <w:r>
        <w:rPr>
          <w:rFonts w:hint="eastAsia" w:hAnsi="宋体" w:eastAsia="宋体" w:cs="宋体"/>
          <w:color w:val="000000"/>
          <w:sz w:val="21"/>
          <w:szCs w:val="21"/>
          <w:highlight w:val="none"/>
          <w:lang w:val="en-US" w:eastAsia="zh-CN"/>
        </w:rPr>
        <w:t xml:space="preserve">430.64</w:t>
      </w:r>
      <w:r>
        <w:rPr>
          <w:rFonts w:hint="eastAsia" w:ascii="宋体" w:hAnsi="宋体" w:eastAsia="宋体" w:cs="宋体"/>
          <w:color w:val="000000"/>
          <w:sz w:val="21"/>
          <w:szCs w:val="21"/>
          <w:highlight w:val="none"/>
          <w:lang w:val="en-US" w:eastAsia="zh-CN"/>
        </w:rPr>
        <w:t xml:space="preserve">万元</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本次采购内容为对</w:t>
      </w:r>
      <w:r>
        <w:rPr>
          <w:rFonts w:hint="eastAsia" w:ascii="宋体" w:hAnsi="宋体" w:eastAsia="宋体" w:cs="宋体"/>
          <w:color w:val="000000"/>
          <w:sz w:val="21"/>
          <w:szCs w:val="21"/>
          <w:highlight w:val="none"/>
          <w:lang w:eastAsia="zh-CN"/>
        </w:rPr>
        <w:t xml:space="preserve">泰州市中级人民法院大案要案法庭改(扩)建设项目（公共空间法治文化</w:t>
      </w:r>
      <w:r>
        <w:rPr>
          <w:rFonts w:hint="eastAsia" w:ascii="宋体" w:hAnsi="宋体" w:eastAsia="宋体" w:cs="宋体"/>
          <w:color w:val="000000"/>
          <w:sz w:val="21"/>
          <w:szCs w:val="21"/>
          <w:highlight w:val="none"/>
          <w:lang w:val="en-US" w:eastAsia="zh-CN"/>
        </w:rPr>
        <w:t xml:space="preserve">展陈布展项目</w:t>
      </w:r>
      <w:r>
        <w:rPr>
          <w:rFonts w:hint="eastAsia" w:ascii="宋体" w:hAnsi="宋体" w:eastAsia="宋体" w:cs="宋体"/>
          <w:color w:val="000000"/>
          <w:sz w:val="21"/>
          <w:szCs w:val="21"/>
          <w:highlight w:val="none"/>
          <w:lang w:eastAsia="zh-CN"/>
        </w:rPr>
        <w:t xml:space="preserve">） 一楼大厅、1—3楼</w:t>
      </w:r>
      <w:r>
        <w:rPr>
          <w:rFonts w:hint="eastAsia" w:ascii="宋体" w:hAnsi="宋体" w:eastAsia="宋体" w:cs="宋体"/>
          <w:color w:val="000000"/>
          <w:sz w:val="21"/>
          <w:szCs w:val="21"/>
          <w:highlight w:val="none"/>
          <w:lang w:val="en-US" w:eastAsia="zh-CN"/>
        </w:rPr>
        <w:t xml:space="preserve">走廊</w:t>
      </w:r>
      <w:r>
        <w:rPr>
          <w:rFonts w:hint="eastAsia" w:ascii="宋体" w:hAnsi="宋体" w:eastAsia="宋体" w:cs="宋体"/>
          <w:color w:val="000000"/>
          <w:sz w:val="21"/>
          <w:szCs w:val="21"/>
          <w:highlight w:val="none"/>
          <w:lang w:eastAsia="zh-CN"/>
        </w:rPr>
        <w:t xml:space="preserve">、未成年人教育基地、</w:t>
      </w:r>
      <w:r>
        <w:rPr>
          <w:rFonts w:hint="eastAsia" w:ascii="宋体" w:hAnsi="宋体" w:eastAsia="宋体" w:cs="宋体"/>
          <w:color w:val="000000"/>
          <w:sz w:val="21"/>
          <w:szCs w:val="21"/>
          <w:highlight w:val="none"/>
          <w:lang w:val="en-US" w:eastAsia="zh-CN"/>
        </w:rPr>
        <w:t xml:space="preserve">整栋大楼的导视系统制作</w:t>
      </w:r>
      <w:r>
        <w:rPr>
          <w:rFonts w:hint="eastAsia" w:ascii="宋体" w:hAnsi="宋体" w:eastAsia="宋体" w:cs="宋体"/>
          <w:color w:val="000000"/>
          <w:sz w:val="21"/>
          <w:szCs w:val="21"/>
          <w:highlight w:val="none"/>
          <w:lang w:eastAsia="zh-CN"/>
        </w:rPr>
        <w:t xml:space="preserve">进行法治文化展示</w:t>
      </w:r>
      <w:r>
        <w:rPr>
          <w:rFonts w:hint="eastAsia" w:ascii="宋体" w:hAnsi="宋体" w:eastAsia="宋体" w:cs="宋体"/>
          <w:color w:val="000000"/>
          <w:sz w:val="21"/>
          <w:szCs w:val="21"/>
          <w:highlight w:val="none"/>
          <w:lang w:val="en-US" w:eastAsia="zh-CN"/>
        </w:rPr>
        <w:t xml:space="preserve">展陈布展，其中一楼大厅展陈面积约为20.15㎡、1楼展陈面积约为242.2㎡、2楼展陈面积约为213.3㎡、3楼展陈面积约为168.4㎡、未成年人教育基地展陈面积约31.3㎡；本项目</w:t>
      </w:r>
      <w:r>
        <w:rPr>
          <w:rFonts w:hint="eastAsia" w:ascii="宋体" w:hAnsi="宋体" w:eastAsia="宋体" w:cs="宋体"/>
          <w:color w:val="000000"/>
          <w:sz w:val="21"/>
          <w:szCs w:val="21"/>
          <w:highlight w:val="none"/>
        </w:rPr>
        <w:t xml:space="preserve">包括涉及本次文化建设所需的各类展墙、展柜、艺术装置、展陈背景、</w:t>
      </w:r>
      <w:r>
        <w:rPr>
          <w:rFonts w:hint="eastAsia" w:ascii="宋体" w:hAnsi="宋体" w:eastAsia="宋体" w:cs="宋体"/>
          <w:color w:val="000000"/>
          <w:sz w:val="21"/>
          <w:szCs w:val="21"/>
          <w:highlight w:val="none"/>
          <w:lang w:val="en-US" w:eastAsia="zh-CN"/>
        </w:rPr>
        <w:t xml:space="preserve">展陈设备、</w:t>
      </w:r>
      <w:r>
        <w:rPr>
          <w:rFonts w:hint="eastAsia" w:ascii="宋体" w:hAnsi="宋体" w:eastAsia="宋体" w:cs="宋体"/>
          <w:color w:val="000000"/>
          <w:sz w:val="21"/>
          <w:szCs w:val="21"/>
          <w:highlight w:val="none"/>
        </w:rPr>
        <w:t xml:space="preserve">互动软件、中控</w:t>
      </w:r>
      <w:r>
        <w:rPr>
          <w:rFonts w:hint="eastAsia" w:ascii="宋体" w:hAnsi="宋体" w:eastAsia="宋体" w:cs="宋体"/>
          <w:color w:val="000000"/>
          <w:sz w:val="21"/>
          <w:szCs w:val="21"/>
          <w:highlight w:val="none"/>
          <w:lang w:val="en-US" w:eastAsia="zh-CN"/>
        </w:rPr>
        <w:t xml:space="preserve">系统、大楼的导视系统</w:t>
      </w:r>
      <w:r>
        <w:rPr>
          <w:rFonts w:hint="eastAsia" w:ascii="宋体" w:hAnsi="宋体" w:eastAsia="宋体" w:cs="宋体"/>
          <w:color w:val="000000"/>
          <w:sz w:val="21"/>
          <w:szCs w:val="21"/>
          <w:highlight w:val="none"/>
        </w:rPr>
        <w:t xml:space="preserve">等（详见清单）的供应和展示以及为完成本次文化建设所需的二次专项深化设计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一楼大厅浮雕壁画和一楼主席箴言</w:t>
      </w:r>
      <w:r>
        <w:rPr>
          <w:rFonts w:hint="eastAsia" w:ascii="宋体" w:hAnsi="宋体" w:eastAsia="宋体" w:cs="宋体"/>
          <w:color w:val="000000"/>
          <w:sz w:val="21"/>
          <w:szCs w:val="21"/>
          <w:highlight w:val="none"/>
        </w:rPr>
        <w:t xml:space="preserve">二次专项深化设计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包含完成本次工作所需的一切费用，包括但不限于货物生产前准备、生产、包装、运输至甲方工地（包括工地内的二次运输）、现场安装、调试、保护、装卸、存储、成品保护所需辅材、调试、各项实验检验费、保险费、验收费、税金、审计费、垃圾清运费、水电费、劳保基金、安全措施、技术指导支持、使用培训、质保期服务以及与货物有关的特殊要求等可能产生的所有成本和费用。</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投标报价应包含项目所需的强电、弱电接入引起的材料和施工费用，如电缆、桥架、配电箱等，请</w:t>
      </w:r>
      <w:r>
        <w:rPr>
          <w:rFonts w:hint="eastAsia" w:ascii="宋体" w:hAnsi="宋体" w:eastAsia="宋体" w:cs="宋体"/>
          <w:color w:val="000000"/>
          <w:sz w:val="21"/>
          <w:szCs w:val="21"/>
          <w:highlight w:val="none"/>
          <w:lang w:eastAsia="zh-CN"/>
        </w:rPr>
        <w:t xml:space="preserve">供货商</w:t>
      </w:r>
      <w:r>
        <w:rPr>
          <w:rFonts w:hint="eastAsia" w:ascii="宋体" w:hAnsi="宋体" w:eastAsia="宋体" w:cs="宋体"/>
          <w:color w:val="000000"/>
          <w:sz w:val="21"/>
          <w:szCs w:val="21"/>
          <w:highlight w:val="none"/>
          <w:lang w:val="en-US" w:eastAsia="zh-CN"/>
        </w:rPr>
        <w:t xml:space="preserve">自行</w:t>
      </w:r>
      <w:r>
        <w:rPr>
          <w:rFonts w:hint="eastAsia" w:ascii="宋体" w:hAnsi="宋体" w:eastAsia="宋体" w:cs="宋体"/>
          <w:color w:val="000000"/>
          <w:sz w:val="21"/>
          <w:szCs w:val="21"/>
          <w:highlight w:val="none"/>
        </w:rPr>
        <w:t xml:space="preserve">认真踏勘现场，按实际需求和规范要求考虑接入方案。</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中标方签订合同后</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要根据项目实际需求对原方案图和施工设计图进行优化和二次专项深化设计，经原设计单位审核确认并发包方同意后确定最终用于生产的深化图，按此图进行生产和施工，达到甲方原计划所需的设计意图，造价不再因此增加，优化实现造价减少的，则作为给予发标方的优惠核减。本次招标清单作为招标使用，如在按图施工过程中遇到招标清单遗漏的项目，中标方应无偿弥补，不再增加造价，请报价时仔细审阅图纸内容、考虑上述风险。项目完成后委托第三方据实进行结算审计，以审定价作为最终造价。</w:t>
      </w:r>
      <w:r>
        <w:rPr>
          <w:rFonts w:hint="eastAsia" w:ascii="宋体" w:hAnsi="宋体" w:eastAsia="宋体" w:cs="宋体"/>
          <w:color w:val="000000"/>
          <w:sz w:val="21"/>
          <w:szCs w:val="21"/>
          <w:highlight w:val="none"/>
        </w:rPr>
      </w:r>
      <w:r/>
    </w:p>
    <w:p>
      <w:pPr>
        <w:pStyle w:val="1077"/>
        <w:jc w:val="left"/>
        <w:spacing w:before="120" w:after="120"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二、</w:t>
      </w:r>
      <w:r>
        <w:rPr>
          <w:rFonts w:hint="eastAsia" w:ascii="宋体" w:hAnsi="宋体" w:eastAsia="宋体" w:cs="宋体"/>
          <w:b/>
          <w:bCs/>
          <w:color w:val="000000"/>
          <w:sz w:val="21"/>
          <w:szCs w:val="21"/>
          <w:highlight w:val="none"/>
          <w:lang w:val="en-US" w:eastAsia="zh-CN"/>
        </w:rPr>
        <w:t xml:space="preserve">展陈布展建设内容</w:t>
      </w:r>
      <w:r>
        <w:rPr>
          <w:rFonts w:hint="eastAsia" w:ascii="宋体" w:hAnsi="宋体" w:eastAsia="宋体" w:cs="宋体"/>
          <w:b/>
          <w:bCs/>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、深度挖掘泰州地方法治文化特色以及泰州市中级人民法院自身长期法治工作中形成的独有文化，打造集教育、宣传为一体的全方位、沉浸式法治主题文化空间</w:t>
      </w:r>
      <w:r>
        <w:rPr>
          <w:rFonts w:hint="eastAsia" w:ascii="宋体" w:hAnsi="宋体" w:eastAsia="宋体" w:cs="宋体"/>
          <w:color w:val="000000"/>
          <w:sz w:val="21"/>
          <w:szCs w:val="21"/>
          <w:highlight w:val="none"/>
          <w:lang w:eastAsia="zh-CN"/>
        </w:rPr>
        <w:t xml:space="preserve">。以法治为民为核心的文化矩阵建设，对内凝聚精神力量、提升团队信念感、使命感、凝聚力、增强荣誉感、认同感与归属感同时规范司法行为。对外塑造公正、权威的司法形象，传递法治精神，成为连接法院与社会各界的桥梁。作为领导莅临指导工作、友好单位参观的交流平台，更好的促进法院工作为人民服务。</w:t>
      </w:r>
      <w:r>
        <w:rPr>
          <w:rFonts w:hint="eastAsia" w:ascii="宋体" w:hAnsi="宋体" w:eastAsia="宋体" w:cs="宋体"/>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2、一楼走廊文化布展重点结合泰州地域法治文脉。“中华优秀传统法律文化蕴含丰富法治思想和深邃政治智慧，是中华文化的瑰宝。”践行总书记法治思想。</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3、二楼走廊文化布展重点为“清正在德 廉洁在志”廉洁主题文化长廊。</w:t>
      </w:r>
      <w:r>
        <w:rPr>
          <w:rFonts w:hint="eastAsia" w:ascii="宋体" w:hAnsi="宋体" w:eastAsia="宋体" w:cs="宋体"/>
          <w:color w:val="000000"/>
          <w:sz w:val="21"/>
          <w:szCs w:val="21"/>
          <w:highlight w:val="none"/>
          <w:lang w:val="en-US" w:eastAsia="zh-CN"/>
        </w:rPr>
      </w:r>
      <w:r/>
    </w:p>
    <w:p>
      <w:pPr>
        <w:pStyle w:val="1077"/>
        <w:ind w:firstLine="420"/>
        <w:jc w:val="left"/>
        <w:spacing w:before="120" w:after="120" w:line="360" w:lineRule="auto"/>
        <w:rPr>
          <w:rFonts w:hint="eastAsia" w:ascii="宋体" w:hAnsi="宋体" w:eastAsia="宋体" w:cs="宋体"/>
          <w:lang w:val="en-US" w:eastAsia="zh-CN"/>
        </w:rPr>
      </w:pPr>
      <w:r>
        <w:rPr>
          <w:rFonts w:hint="eastAsia" w:ascii="宋体" w:hAnsi="宋体" w:eastAsia="宋体" w:cs="宋体"/>
          <w:color w:val="000000"/>
          <w:sz w:val="21"/>
          <w:szCs w:val="21"/>
          <w:highlight w:val="none"/>
          <w:lang w:val="en-US" w:eastAsia="zh-CN"/>
        </w:rPr>
        <w:t xml:space="preserve">4、三楼走廊文化布展重点围绕法院工作着重展现法院文化。“坚持以文化自信提升司法审判公信力——以优秀传统文化为根基、以社会主义核心价值观为指引，将文化智慧融入定分止争”</w:t>
      </w:r>
      <w:r>
        <w:rPr>
          <w:rFonts w:hint="eastAsia" w:ascii="宋体" w:hAnsi="宋体" w:eastAsia="宋体" w:cs="宋体"/>
          <w:lang w:val="en-US"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在展陈方式上，追求多元化的展示形式。既有传统图文的展示、也有实物模型的展示，同时运用一些现代展陈设备和装置艺术，让展示的语言更加多元，让参观体验更加丰富、立体。另外，还集成触摸屏、</w:t>
      </w:r>
      <w:r>
        <w:rPr>
          <w:rFonts w:hint="eastAsia" w:ascii="宋体" w:hAnsi="宋体" w:eastAsia="宋体" w:cs="宋体"/>
          <w:color w:val="000000"/>
          <w:sz w:val="21"/>
          <w:szCs w:val="21"/>
          <w:highlight w:val="none"/>
          <w:lang w:val="en-US" w:eastAsia="zh-CN"/>
        </w:rPr>
        <w:t xml:space="preserve">VR</w:t>
      </w:r>
      <w:r>
        <w:rPr>
          <w:rFonts w:hint="eastAsia" w:ascii="宋体" w:hAnsi="宋体" w:eastAsia="宋体" w:cs="宋体"/>
          <w:color w:val="000000"/>
          <w:sz w:val="21"/>
          <w:szCs w:val="21"/>
          <w:highlight w:val="none"/>
        </w:rPr>
        <w:t xml:space="preserve">等智能化的电子设备，努力打造一个简洁、现代、智慧的</w:t>
      </w:r>
      <w:r>
        <w:rPr>
          <w:rFonts w:hint="eastAsia" w:ascii="宋体" w:hAnsi="宋体" w:eastAsia="宋体" w:cs="宋体"/>
          <w:color w:val="000000"/>
          <w:sz w:val="21"/>
          <w:szCs w:val="21"/>
          <w:highlight w:val="none"/>
          <w:lang w:val="en-US" w:eastAsia="zh-CN"/>
        </w:rPr>
        <w:t xml:space="preserve">法治文化展示空间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、在色彩基调上，追求简约大气总体风格。整体空间采用以高雅温馨又庄重的低饱和、高级灰来叙事，使</w:t>
      </w:r>
      <w:r>
        <w:rPr>
          <w:rFonts w:hint="eastAsia" w:ascii="宋体" w:hAnsi="宋体" w:eastAsia="宋体" w:cs="宋体"/>
          <w:color w:val="000000"/>
          <w:sz w:val="21"/>
          <w:szCs w:val="21"/>
          <w:highlight w:val="none"/>
          <w:lang w:val="en-US" w:eastAsia="zh-CN"/>
        </w:rPr>
        <w:t xml:space="preserve">走廊</w:t>
      </w:r>
      <w:r>
        <w:rPr>
          <w:rFonts w:hint="eastAsia" w:ascii="宋体" w:hAnsi="宋体" w:eastAsia="宋体" w:cs="宋体"/>
          <w:color w:val="000000"/>
          <w:sz w:val="21"/>
          <w:szCs w:val="21"/>
          <w:highlight w:val="none"/>
        </w:rPr>
        <w:t xml:space="preserve">环境干净、整洁。平面设计，注重色彩分区，配合不同板块内容，在不同色调中转变，使整个展厅的色彩既一致又显区分度、既统一又赋有变化。</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、展陈材料上，选择耐用环保型材料，部分区域采取易更换的方法，便于更新内容，提升展陈的时效性和灵活性。</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、灯光设计上，采用绿色、环保、节能的灯光设计，展示照明分层次、冷暖，凸显展品的质感和环境氛围的营造。</w:t>
      </w:r>
      <w:r>
        <w:rPr>
          <w:rFonts w:hint="eastAsia" w:ascii="宋体" w:hAnsi="宋体" w:eastAsia="宋体" w:cs="宋体"/>
          <w:color w:val="000000"/>
          <w:sz w:val="21"/>
          <w:szCs w:val="21"/>
          <w:highlight w:val="none"/>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供货商务必紧扣以上建设内容进行布展布设，满足采购人需求，实现既定目标，项目最终效果以方案设计效果图为准，若未达到上述要求，采购人将不予验收，直至整改到位。</w:t>
      </w:r>
      <w:r>
        <w:rPr>
          <w:rFonts w:hint="eastAsia" w:ascii="宋体" w:hAnsi="宋体" w:eastAsia="宋体" w:cs="宋体"/>
          <w:color w:val="000000"/>
          <w:sz w:val="21"/>
          <w:szCs w:val="21"/>
          <w:highlight w:val="none"/>
        </w:rPr>
      </w:r>
      <w:r/>
    </w:p>
    <w:p>
      <w:pPr>
        <w:pStyle w:val="1077"/>
        <w:jc w:val="left"/>
        <w:spacing w:before="120" w:after="120" w:line="360" w:lineRule="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rPr>
        <w:t xml:space="preserve">三、</w:t>
      </w:r>
      <w:r>
        <w:rPr>
          <w:rFonts w:hint="eastAsia" w:ascii="宋体" w:hAnsi="宋体" w:eastAsia="宋体" w:cs="宋体"/>
          <w:b/>
          <w:bCs/>
          <w:color w:val="000000"/>
          <w:sz w:val="21"/>
          <w:szCs w:val="21"/>
          <w:highlight w:val="none"/>
          <w:lang w:eastAsia="zh-CN"/>
        </w:rPr>
        <w:t xml:space="preserve">采购清单及技术参数</w:t>
      </w:r>
      <w:r>
        <w:rPr>
          <w:rFonts w:hint="eastAsia" w:ascii="宋体" w:hAnsi="宋体" w:eastAsia="宋体" w:cs="宋体"/>
          <w:b/>
          <w:bCs/>
          <w:color w:val="000000"/>
          <w:sz w:val="21"/>
          <w:szCs w:val="21"/>
          <w:highlight w:val="none"/>
          <w:lang w:eastAsia="zh-CN"/>
        </w:rPr>
      </w:r>
      <w:r/>
    </w:p>
    <w:p>
      <w:pPr>
        <w:pStyle w:val="1077"/>
        <w:ind w:firstLine="420"/>
        <w:jc w:val="left"/>
        <w:spacing w:before="120" w:after="12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本项目核心产品为：</w:t>
      </w:r>
      <w:r>
        <w:rPr>
          <w:rFonts w:hint="eastAsia" w:ascii="宋体" w:hAnsi="宋体" w:eastAsia="宋体" w:cs="宋体"/>
          <w:color w:val="000000"/>
          <w:sz w:val="21"/>
          <w:szCs w:val="21"/>
          <w:highlight w:val="none"/>
          <w:lang w:val="en-US" w:eastAsia="zh-CN"/>
        </w:rPr>
        <w:t xml:space="preserve">文化</w:t>
      </w:r>
      <w:r>
        <w:rPr>
          <w:rFonts w:hint="eastAsia" w:ascii="宋体" w:hAnsi="宋体" w:eastAsia="宋体" w:cs="宋体"/>
          <w:color w:val="000000"/>
          <w:sz w:val="21"/>
          <w:szCs w:val="21"/>
          <w:highlight w:val="none"/>
        </w:rPr>
        <w:t xml:space="preserve">墙、展柜、展陈背景、</w:t>
      </w:r>
      <w:r>
        <w:rPr>
          <w:rFonts w:hint="eastAsia" w:ascii="宋体" w:hAnsi="宋体" w:eastAsia="宋体" w:cs="宋体"/>
          <w:color w:val="000000"/>
          <w:sz w:val="21"/>
          <w:szCs w:val="21"/>
          <w:highlight w:val="none"/>
          <w:lang w:val="en-US" w:eastAsia="zh-CN"/>
        </w:rPr>
        <w:t xml:space="preserve">展陈内容、设备、</w:t>
      </w:r>
      <w:r>
        <w:rPr>
          <w:rFonts w:hint="eastAsia" w:ascii="宋体" w:hAnsi="宋体" w:eastAsia="宋体" w:cs="宋体"/>
          <w:color w:val="000000"/>
          <w:sz w:val="21"/>
          <w:szCs w:val="21"/>
          <w:highlight w:val="none"/>
        </w:rPr>
        <w:t xml:space="preserve">ui界面设计、互动软件、中控</w:t>
      </w:r>
      <w:r>
        <w:rPr>
          <w:rFonts w:hint="eastAsia" w:ascii="宋体" w:hAnsi="宋体" w:eastAsia="宋体" w:cs="宋体"/>
          <w:color w:val="000000"/>
          <w:sz w:val="21"/>
          <w:szCs w:val="21"/>
          <w:highlight w:val="none"/>
          <w:lang w:val="en-US" w:eastAsia="zh-CN"/>
        </w:rPr>
        <w:t xml:space="preserve">系统</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p>
      <w:pPr>
        <w:pStyle w:val="1078"/>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具体清单内容详见附件：</w:t>
      </w:r>
      <w:r>
        <w:rPr>
          <w:rFonts w:hint="eastAsia" w:ascii="宋体" w:hAnsi="宋体" w:eastAsia="宋体" w:cs="宋体"/>
          <w:b/>
          <w:bCs/>
          <w:color w:val="000000"/>
          <w:sz w:val="21"/>
          <w:szCs w:val="21"/>
          <w:highlight w:val="none"/>
          <w:lang w:eastAsia="zh-CN"/>
        </w:rPr>
      </w:r>
      <w:r/>
    </w:p>
    <w:p>
      <w:pPr>
        <w:pStyle w:val="1078"/>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附件一：（清单）泰州市中院审判楼法治文化</w:t>
      </w:r>
      <w:r>
        <w:rPr>
          <w:rFonts w:hint="eastAsia" w:ascii="宋体" w:hAnsi="宋体" w:eastAsia="宋体" w:cs="宋体"/>
          <w:b/>
          <w:bCs/>
          <w:color w:val="000000"/>
          <w:sz w:val="21"/>
          <w:szCs w:val="21"/>
          <w:highlight w:val="none"/>
          <w:lang w:eastAsia="zh-CN"/>
        </w:rPr>
      </w:r>
      <w:r/>
    </w:p>
    <w:p>
      <w:pPr>
        <w:pStyle w:val="974"/>
        <w:ind w:firstLine="426"/>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附件二：舞台灯光、机械幕布工程清单</w:t>
      </w:r>
      <w:r>
        <w:rPr>
          <w:rFonts w:hint="eastAsia" w:ascii="宋体" w:hAnsi="宋体" w:eastAsia="宋体" w:cs="宋体"/>
          <w:b/>
          <w:bCs/>
          <w:color w:val="000000"/>
          <w:sz w:val="21"/>
          <w:szCs w:val="21"/>
          <w:highlight w:val="none"/>
          <w:lang w:eastAsia="zh-CN"/>
        </w:rPr>
      </w:r>
      <w:r/>
    </w:p>
    <w:p>
      <w:pPr>
        <w:pStyle w:val="974"/>
        <w:jc w:val="left"/>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 xml:space="preserve">四</w:t>
      </w:r>
      <w:r>
        <w:rPr>
          <w:rFonts w:hint="eastAsia" w:ascii="宋体" w:hAnsi="宋体" w:eastAsia="宋体" w:cs="宋体"/>
          <w:b/>
          <w:bCs/>
          <w:color w:val="000000"/>
          <w:sz w:val="21"/>
          <w:szCs w:val="21"/>
          <w:highlight w:val="none"/>
        </w:rPr>
        <w:t xml:space="preserve">、交付的时间</w:t>
      </w:r>
      <w:r>
        <w:rPr>
          <w:rFonts w:hint="eastAsia" w:ascii="宋体" w:hAnsi="宋体" w:eastAsia="宋体" w:cs="宋体"/>
          <w:b/>
          <w:bCs/>
          <w:color w:val="000000"/>
          <w:sz w:val="21"/>
          <w:szCs w:val="21"/>
          <w:highlight w:val="none"/>
        </w:rPr>
      </w:r>
      <w:r/>
    </w:p>
    <w:p>
      <w:pPr>
        <w:pStyle w:val="974"/>
        <w:ind w:firstLine="412"/>
        <w:jc w:val="left"/>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1"/>
          <w:sz w:val="21"/>
          <w:szCs w:val="21"/>
          <w:highlight w:val="none"/>
          <w:lang w:val="en-US" w:eastAsia="zh-CN"/>
        </w:rPr>
        <w:t xml:space="preserve">100</w:t>
      </w:r>
      <w:r>
        <w:rPr>
          <w:rFonts w:hint="eastAsia" w:ascii="宋体" w:hAnsi="宋体" w:eastAsia="宋体" w:cs="宋体"/>
          <w:color w:val="000000"/>
          <w:spacing w:val="-1"/>
          <w:sz w:val="21"/>
          <w:szCs w:val="21"/>
          <w:highlight w:val="none"/>
        </w:rPr>
        <w:t xml:space="preserve">日历天内完成全部内容的采购及安装</w:t>
      </w:r>
      <w:r>
        <w:rPr>
          <w:rFonts w:hint="eastAsia" w:ascii="宋体" w:hAnsi="宋体" w:eastAsia="宋体" w:cs="宋体"/>
          <w:color w:val="000000"/>
          <w:spacing w:val="-1"/>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74"/>
        <w:jc w:val="left"/>
        <w:spacing w:line="360" w:lineRule="auto"/>
        <w:rPr>
          <w:rFonts w:hint="eastAsia" w:ascii="宋体" w:hAnsi="宋体" w:eastAsia="宋体" w:cs="宋体"/>
          <w:color w:val="000000"/>
          <w:spacing w:val="9"/>
          <w:sz w:val="21"/>
          <w:szCs w:val="21"/>
          <w:highlight w:val="none"/>
        </w:rPr>
      </w:pPr>
      <w:r>
        <w:rPr>
          <w:rFonts w:hint="eastAsia" w:ascii="宋体" w:hAnsi="宋体" w:eastAsia="宋体" w:cs="宋体"/>
          <w:b/>
          <w:bCs/>
          <w:color w:val="000000"/>
          <w:sz w:val="21"/>
          <w:szCs w:val="21"/>
          <w:highlight w:val="none"/>
          <w:lang w:eastAsia="zh-CN"/>
        </w:rPr>
        <w:t xml:space="preserve">五</w:t>
      </w:r>
      <w:r>
        <w:rPr>
          <w:rFonts w:hint="eastAsia" w:ascii="宋体" w:hAnsi="宋体" w:eastAsia="宋体" w:cs="宋体"/>
          <w:b/>
          <w:bCs/>
          <w:color w:val="000000"/>
          <w:sz w:val="21"/>
          <w:szCs w:val="21"/>
          <w:highlight w:val="none"/>
        </w:rPr>
        <w:t xml:space="preserve">、售后服务要求</w:t>
      </w:r>
      <w:r>
        <w:rPr>
          <w:rFonts w:hint="eastAsia" w:ascii="宋体" w:hAnsi="宋体" w:eastAsia="宋体" w:cs="宋体"/>
          <w:color w:val="000000"/>
          <w:spacing w:val="9"/>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本项目除采购人提出新的要求增加或调整的工作量(</w:t>
      </w:r>
      <w:r>
        <w:rPr>
          <w:rFonts w:hint="eastAsia" w:ascii="宋体" w:hAnsi="宋体" w:eastAsia="宋体" w:cs="宋体"/>
          <w:color w:val="000000"/>
          <w:sz w:val="21"/>
          <w:szCs w:val="21"/>
          <w:highlight w:val="none"/>
        </w:rPr>
        <w:t xml:space="preserve">以采购人的书面批复为准)，采购人不再承</w:t>
      </w:r>
      <w:r>
        <w:rPr>
          <w:rFonts w:hint="eastAsia" w:ascii="宋体" w:hAnsi="宋体" w:eastAsia="宋体" w:cs="宋体"/>
          <w:color w:val="000000"/>
          <w:spacing w:val="-2"/>
          <w:sz w:val="21"/>
          <w:szCs w:val="21"/>
          <w:highlight w:val="none"/>
        </w:rPr>
        <w:t xml:space="preserve">担任何其它</w:t>
      </w:r>
      <w:r>
        <w:rPr>
          <w:rFonts w:hint="eastAsia" w:ascii="宋体" w:hAnsi="宋体" w:eastAsia="宋体" w:cs="宋体"/>
          <w:color w:val="000000"/>
          <w:spacing w:val="-1"/>
          <w:sz w:val="21"/>
          <w:szCs w:val="21"/>
          <w:highlight w:val="none"/>
        </w:rPr>
        <w:t xml:space="preserve">费用。项目结束后采购方聘请第三方负责审计事宜，合同内单价不作调整。减少或未实施的项目按实际情况核减相应费用。</w:t>
      </w:r>
      <w:r>
        <w:rPr>
          <w:rFonts w:hint="eastAsia" w:ascii="宋体" w:hAnsi="宋体" w:eastAsia="宋体" w:cs="宋体"/>
          <w:color w:val="000000"/>
          <w:spacing w:val="-1"/>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4"/>
          <w:sz w:val="21"/>
          <w:szCs w:val="21"/>
          <w:highlight w:val="none"/>
        </w:rPr>
      </w:pP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应遵循相关保密条款，对招投标、安装调试、运营</w:t>
      </w:r>
      <w:r>
        <w:rPr>
          <w:rFonts w:hint="eastAsia" w:ascii="宋体" w:hAnsi="宋体" w:eastAsia="宋体" w:cs="宋体"/>
          <w:color w:val="000000"/>
          <w:sz w:val="21"/>
          <w:szCs w:val="21"/>
          <w:highlight w:val="none"/>
        </w:rPr>
        <w:t xml:space="preserve">维护期间所接触的相关信息</w:t>
      </w:r>
      <w:r>
        <w:rPr>
          <w:rFonts w:hint="eastAsia" w:ascii="宋体" w:hAnsi="宋体" w:eastAsia="宋体" w:cs="宋体"/>
          <w:color w:val="000000"/>
          <w:spacing w:val="-8"/>
          <w:sz w:val="21"/>
          <w:szCs w:val="21"/>
          <w:highlight w:val="none"/>
        </w:rPr>
        <w:t xml:space="preserve">与</w:t>
      </w:r>
      <w:r>
        <w:rPr>
          <w:rFonts w:hint="eastAsia" w:ascii="宋体" w:hAnsi="宋体" w:eastAsia="宋体" w:cs="宋体"/>
          <w:color w:val="000000"/>
          <w:spacing w:val="-7"/>
          <w:sz w:val="21"/>
          <w:szCs w:val="21"/>
          <w:highlight w:val="none"/>
        </w:rPr>
        <w:t xml:space="preserve">数</w:t>
      </w:r>
      <w:r>
        <w:rPr>
          <w:rFonts w:hint="eastAsia" w:ascii="宋体" w:hAnsi="宋体" w:eastAsia="宋体" w:cs="宋体"/>
          <w:color w:val="000000"/>
          <w:spacing w:val="-4"/>
          <w:sz w:val="21"/>
          <w:szCs w:val="21"/>
          <w:highlight w:val="none"/>
        </w:rPr>
        <w:t xml:space="preserve">据，严格保密。</w:t>
      </w:r>
      <w:r>
        <w:rPr>
          <w:rFonts w:hint="eastAsia" w:ascii="宋体" w:hAnsi="宋体" w:eastAsia="宋体" w:cs="宋体"/>
          <w:color w:val="000000"/>
          <w:spacing w:val="-4"/>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对本次采购的所有软硬件、配件、辅件在到货检查及质保</w:t>
      </w:r>
      <w:r>
        <w:rPr>
          <w:rFonts w:hint="eastAsia" w:ascii="宋体" w:hAnsi="宋体" w:eastAsia="宋体" w:cs="宋体"/>
          <w:color w:val="000000"/>
          <w:sz w:val="21"/>
          <w:szCs w:val="21"/>
          <w:highlight w:val="none"/>
        </w:rPr>
        <w:t xml:space="preserve">期内应确保货物的正</w:t>
      </w:r>
      <w:r>
        <w:rPr>
          <w:rFonts w:hint="eastAsia" w:ascii="宋体" w:hAnsi="宋体" w:eastAsia="宋体" w:cs="宋体"/>
          <w:color w:val="000000"/>
          <w:spacing w:val="-1"/>
          <w:sz w:val="21"/>
          <w:szCs w:val="21"/>
          <w:highlight w:val="none"/>
        </w:rPr>
        <w:t xml:space="preserve">常使用，出现故障等情形必</w:t>
      </w:r>
      <w:r>
        <w:rPr>
          <w:rFonts w:hint="eastAsia" w:ascii="宋体" w:hAnsi="宋体" w:eastAsia="宋体" w:cs="宋体"/>
          <w:color w:val="000000"/>
          <w:sz w:val="21"/>
          <w:szCs w:val="21"/>
          <w:highlight w:val="none"/>
        </w:rPr>
        <w:t xml:space="preserve">须按同型号无偿更换，提供免费上门维修。质保期内，设备不</w:t>
      </w:r>
      <w:r>
        <w:rPr>
          <w:rFonts w:hint="eastAsia" w:ascii="宋体" w:hAnsi="宋体" w:eastAsia="宋体" w:cs="宋体"/>
          <w:color w:val="000000"/>
          <w:spacing w:val="-2"/>
          <w:sz w:val="21"/>
          <w:szCs w:val="21"/>
          <w:highlight w:val="none"/>
        </w:rPr>
        <w:t xml:space="preserve">能修复时供应商必须免费提供同种规格配件进行更换，</w:t>
      </w:r>
      <w:r>
        <w:rPr>
          <w:rFonts w:hint="eastAsia" w:ascii="宋体" w:hAnsi="宋体" w:eastAsia="宋体" w:cs="宋体"/>
          <w:color w:val="000000"/>
          <w:spacing w:val="-1"/>
          <w:sz w:val="21"/>
          <w:szCs w:val="21"/>
          <w:highlight w:val="none"/>
        </w:rPr>
        <w:t xml:space="preserve">如不能提供同种规格型号的配件，</w:t>
      </w:r>
      <w:r>
        <w:rPr>
          <w:rFonts w:hint="eastAsia" w:ascii="宋体" w:hAnsi="宋体" w:eastAsia="宋体" w:cs="宋体"/>
          <w:color w:val="000000"/>
          <w:spacing w:val="-2"/>
          <w:sz w:val="21"/>
          <w:szCs w:val="21"/>
          <w:highlight w:val="none"/>
        </w:rPr>
        <w:t xml:space="preserve">用其它型号配件代替时，需经采购人同意，</w:t>
      </w:r>
      <w:r>
        <w:rPr>
          <w:rFonts w:hint="eastAsia" w:ascii="宋体" w:hAnsi="宋体" w:eastAsia="宋体" w:cs="宋体"/>
          <w:color w:val="000000"/>
          <w:spacing w:val="-1"/>
          <w:sz w:val="21"/>
          <w:szCs w:val="21"/>
          <w:highlight w:val="none"/>
        </w:rPr>
        <w:t xml:space="preserve">且不补差价。</w:t>
      </w:r>
      <w:r>
        <w:rPr>
          <w:rFonts w:hint="eastAsia" w:ascii="宋体" w:hAnsi="宋体" w:eastAsia="宋体" w:cs="宋体"/>
          <w:color w:val="000000"/>
          <w:spacing w:val="-1"/>
          <w:sz w:val="21"/>
          <w:szCs w:val="21"/>
          <w:highlight w:val="none"/>
        </w:rPr>
      </w:r>
      <w:r/>
    </w:p>
    <w:p>
      <w:pPr>
        <w:pStyle w:val="974"/>
        <w:numPr>
          <w:ilvl w:val="0"/>
          <w:numId w:val="16"/>
        </w:numPr>
        <w:ind w:firstLine="416"/>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1"/>
          <w:sz w:val="21"/>
          <w:szCs w:val="21"/>
          <w:highlight w:val="none"/>
        </w:rPr>
        <w:t xml:space="preserve">免费质保期满后产品实行终身有偿维修，并且保</w:t>
      </w:r>
      <w:r>
        <w:rPr>
          <w:rFonts w:hint="eastAsia" w:ascii="宋体" w:hAnsi="宋体" w:eastAsia="宋体" w:cs="宋体"/>
          <w:color w:val="000000"/>
          <w:sz w:val="21"/>
          <w:szCs w:val="21"/>
          <w:highlight w:val="none"/>
        </w:rPr>
        <w:t xml:space="preserve">证在设备的设计使用寿命周期内，能</w:t>
      </w:r>
      <w:r>
        <w:rPr>
          <w:rFonts w:hint="eastAsia" w:ascii="宋体" w:hAnsi="宋体" w:eastAsia="宋体" w:cs="宋体"/>
          <w:color w:val="000000"/>
          <w:spacing w:val="-2"/>
          <w:sz w:val="21"/>
          <w:szCs w:val="21"/>
          <w:highlight w:val="none"/>
        </w:rPr>
        <w:t xml:space="preserve">够及时提供原厂</w:t>
      </w:r>
      <w:r>
        <w:rPr>
          <w:rFonts w:hint="eastAsia" w:ascii="宋体" w:hAnsi="宋体" w:eastAsia="宋体" w:cs="宋体"/>
          <w:color w:val="000000"/>
          <w:spacing w:val="-1"/>
          <w:sz w:val="21"/>
          <w:szCs w:val="21"/>
          <w:highlight w:val="none"/>
        </w:rPr>
        <w:t xml:space="preserve">正宗的零备件，中标人只收取成本费，以确保设备的正常运行。</w:t>
      </w:r>
      <w:r>
        <w:rPr>
          <w:rFonts w:hint="eastAsia" w:ascii="宋体" w:hAnsi="宋体" w:eastAsia="宋体" w:cs="宋体"/>
          <w:color w:val="000000"/>
          <w:spacing w:val="-1"/>
          <w:sz w:val="21"/>
          <w:szCs w:val="21"/>
          <w:highlight w:val="none"/>
        </w:rPr>
      </w:r>
      <w:r/>
    </w:p>
    <w:p>
      <w:pPr>
        <w:pStyle w:val="974"/>
        <w:numPr>
          <w:ilvl w:val="0"/>
          <w:numId w:val="16"/>
        </w:numPr>
        <w:ind w:firstLine="412"/>
        <w:jc w:val="left"/>
        <w:spacing w:line="360" w:lineRule="auto"/>
        <w:rPr>
          <w:rFonts w:hint="eastAsia" w:ascii="宋体" w:hAnsi="宋体" w:eastAsia="宋体" w:cs="宋体"/>
          <w:color w:val="000000"/>
          <w:spacing w:val="-1"/>
          <w:sz w:val="21"/>
          <w:szCs w:val="21"/>
          <w:highlight w:val="none"/>
        </w:rPr>
      </w:pPr>
      <w:r>
        <w:rPr>
          <w:rFonts w:hint="eastAsia" w:ascii="宋体" w:hAnsi="宋体" w:eastAsia="宋体" w:cs="宋体"/>
          <w:color w:val="000000"/>
          <w:spacing w:val="-2"/>
          <w:sz w:val="21"/>
          <w:szCs w:val="21"/>
          <w:highlight w:val="none"/>
        </w:rPr>
        <w:t xml:space="preserve">在重大活动时，根</w:t>
      </w:r>
      <w:r>
        <w:rPr>
          <w:rFonts w:hint="eastAsia" w:ascii="宋体" w:hAnsi="宋体" w:eastAsia="宋体" w:cs="宋体"/>
          <w:color w:val="000000"/>
          <w:spacing w:val="-1"/>
          <w:sz w:val="21"/>
          <w:szCs w:val="21"/>
          <w:highlight w:val="none"/>
        </w:rPr>
        <w:t xml:space="preserve">据采购人要求，派出资深工程师做好现场技术保障。</w:t>
      </w:r>
      <w:r>
        <w:rPr>
          <w:rFonts w:hint="eastAsia" w:ascii="宋体" w:hAnsi="宋体" w:eastAsia="宋体" w:cs="宋体"/>
          <w:color w:val="000000"/>
          <w:spacing w:val="-1"/>
          <w:sz w:val="21"/>
          <w:szCs w:val="21"/>
          <w:highlight w:val="none"/>
        </w:rPr>
      </w:r>
      <w:r/>
    </w:p>
    <w:p>
      <w:pPr>
        <w:pStyle w:val="974"/>
        <w:jc w:val="left"/>
        <w:spacing w:line="300" w:lineRule="auto"/>
        <w:rPr>
          <w:rFonts w:hint="eastAsia" w:ascii="宋体" w:hAnsi="宋体" w:eastAsia="宋体" w:cs="宋体"/>
          <w:b/>
          <w:bCs/>
          <w:sz w:val="44"/>
          <w:szCs w:val="44"/>
        </w:rPr>
        <w:outlineLvl w:val="0"/>
      </w:pPr>
      <w:r>
        <w:rPr>
          <w:rFonts w:hint="eastAsia" w:ascii="宋体" w:hAnsi="宋体" w:eastAsia="宋体" w:cs="宋体"/>
          <w:color w:val="000000"/>
          <w:spacing w:val="-1"/>
          <w:sz w:val="21"/>
          <w:szCs w:val="21"/>
          <w:highlight w:val="none"/>
        </w:rPr>
        <w:t xml:space="preserve">提供关于本项目的培训方案，</w:t>
      </w:r>
      <w:r>
        <w:rPr>
          <w:rFonts w:hint="eastAsia" w:ascii="宋体" w:hAnsi="宋体" w:eastAsia="宋体" w:cs="宋体"/>
          <w:color w:val="000000"/>
          <w:spacing w:val="-1"/>
          <w:sz w:val="21"/>
          <w:szCs w:val="21"/>
          <w:highlight w:val="none"/>
          <w:lang w:eastAsia="zh-CN"/>
        </w:rPr>
        <w:t xml:space="preserve">供货商</w:t>
      </w:r>
      <w:r>
        <w:rPr>
          <w:rFonts w:hint="eastAsia" w:ascii="宋体" w:hAnsi="宋体" w:eastAsia="宋体" w:cs="宋体"/>
          <w:color w:val="000000"/>
          <w:spacing w:val="-1"/>
          <w:sz w:val="21"/>
          <w:szCs w:val="21"/>
          <w:highlight w:val="none"/>
        </w:rPr>
        <w:t xml:space="preserve">在产品安装调试时，对采购人的技术人员</w:t>
      </w:r>
      <w:r>
        <w:rPr>
          <w:rFonts w:hint="eastAsia" w:ascii="宋体" w:hAnsi="宋体" w:eastAsia="宋体" w:cs="宋体"/>
          <w:color w:val="000000"/>
          <w:sz w:val="21"/>
          <w:szCs w:val="21"/>
          <w:highlight w:val="none"/>
        </w:rPr>
        <w:t xml:space="preserve">进行现</w:t>
      </w:r>
      <w:r>
        <w:rPr>
          <w:rFonts w:hint="eastAsia" w:ascii="宋体" w:hAnsi="宋体" w:eastAsia="宋体" w:cs="宋体"/>
          <w:color w:val="000000"/>
          <w:spacing w:val="-1"/>
          <w:sz w:val="21"/>
          <w:szCs w:val="21"/>
          <w:highlight w:val="none"/>
        </w:rPr>
        <w:t xml:space="preserve">场安装调试培训，讲</w:t>
      </w:r>
      <w:r>
        <w:rPr>
          <w:rFonts w:hint="eastAsia" w:ascii="宋体" w:hAnsi="宋体" w:eastAsia="宋体" w:cs="宋体"/>
          <w:color w:val="000000"/>
          <w:sz w:val="21"/>
          <w:szCs w:val="21"/>
          <w:highlight w:val="none"/>
        </w:rPr>
        <w:t xml:space="preserve">解产品的结构、安装步骤、调试方法和系统配置等。一般技术培训应</w:t>
      </w:r>
      <w:r>
        <w:rPr>
          <w:rFonts w:hint="eastAsia" w:ascii="宋体" w:hAnsi="宋体" w:eastAsia="宋体" w:cs="宋体"/>
          <w:color w:val="000000"/>
          <w:spacing w:val="-7"/>
          <w:sz w:val="21"/>
          <w:szCs w:val="21"/>
          <w:highlight w:val="none"/>
        </w:rPr>
        <w:t xml:space="preserve">该</w:t>
      </w:r>
      <w:r>
        <w:rPr>
          <w:rFonts w:hint="eastAsia" w:ascii="宋体" w:hAnsi="宋体" w:eastAsia="宋体" w:cs="宋体"/>
          <w:color w:val="000000"/>
          <w:spacing w:val="-5"/>
          <w:sz w:val="21"/>
          <w:szCs w:val="21"/>
          <w:highlight w:val="none"/>
        </w:rPr>
        <w:t xml:space="preserve">不限制人数。</w:t>
      </w:r>
      <w:r>
        <w:rPr>
          <w:rFonts w:hint="eastAsia" w:ascii="宋体" w:hAnsi="宋体" w:eastAsia="宋体" w:cs="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pStyle w:val="974"/>
        <w:jc w:val="center"/>
        <w:spacing w:line="300" w:lineRule="auto"/>
        <w:rPr>
          <w:rFonts w:hint="eastAsia" w:ascii="宋体" w:hAnsi="宋体" w:eastAsia="宋体"/>
          <w:sz w:val="24"/>
          <w:szCs w:val="24"/>
        </w:rPr>
        <w:outlineLvl w:val="0"/>
      </w:pPr>
      <w:r>
        <w:rPr>
          <w:rFonts w:hint="eastAsia" w:ascii="宋体" w:hAnsi="宋体" w:eastAsia="宋体"/>
          <w:b/>
          <w:bCs/>
          <w:sz w:val="44"/>
          <w:szCs w:val="44"/>
        </w:rPr>
        <w:t xml:space="preserve">四．合同书</w:t>
      </w:r>
      <w:r>
        <w:rPr>
          <w:rFonts w:hint="eastAsia" w:ascii="宋体" w:hAnsi="宋体" w:eastAsia="宋体"/>
          <w:sz w:val="24"/>
          <w:szCs w:val="24"/>
        </w:rPr>
      </w:r>
      <w:r/>
    </w:p>
    <w:p>
      <w:pPr>
        <w:pStyle w:val="976"/>
        <w:rPr>
          <w:rFonts w:hint="eastAsia" w:ascii="宋体" w:hAnsi="宋体" w:cs="宋体"/>
        </w:rPr>
      </w:pPr>
      <w:r/>
      <w:bookmarkStart w:id="24" w:name="_Toc16938559"/>
      <w:r/>
      <w:bookmarkStart w:id="25" w:name="_Toc383587505"/>
      <w:r/>
      <w:bookmarkStart w:id="26" w:name="_Toc382814014"/>
      <w:r/>
      <w:bookmarkStart w:id="27" w:name="_Toc382812484"/>
      <w:r/>
      <w:bookmarkStart w:id="28" w:name="_Toc382811586"/>
      <w:r/>
      <w:bookmarkStart w:id="29" w:name="_Toc513029243"/>
      <w:r/>
      <w:bookmarkStart w:id="30" w:name="_Toc382812295"/>
      <w:r/>
      <w:bookmarkStart w:id="31" w:name="_Toc382813933"/>
      <w:r/>
      <w:bookmarkStart w:id="32" w:name="_Toc288030332"/>
      <w:r/>
      <w:bookmarkStart w:id="33" w:name="_Toc20823315"/>
      <w:r/>
      <w:bookmarkStart w:id="34" w:name="_Toc120614222"/>
      <w:r/>
      <w:bookmarkStart w:id="35" w:name="_Toc383623992"/>
      <w:r/>
      <w:bookmarkStart w:id="36" w:name="_Toc383623720"/>
      <w:r/>
      <w:bookmarkStart w:id="37" w:name="_Toc390099065"/>
      <w:r/>
      <w:bookmarkStart w:id="38" w:name="_Toc383626041"/>
      <w:r/>
      <w:bookmarkStart w:id="39" w:name="_Toc383698694"/>
      <w:r/>
      <w:bookmarkStart w:id="40" w:name="_Toc390098887"/>
      <w:r/>
      <w:bookmarkStart w:id="41" w:name="_Toc390246952"/>
      <w:r/>
      <w:bookmarkStart w:id="42" w:name="_Toc383679794"/>
      <w:r/>
      <w:bookmarkStart w:id="43" w:name="_Toc416720358"/>
      <w:r/>
      <w:bookmarkStart w:id="44" w:name="_Toc282446296"/>
      <w:r/>
      <w:bookmarkStart w:id="45" w:name="_Toc382811181"/>
      <w:r>
        <w:rPr>
          <w:rFonts w:hint="eastAsia" w:ascii="宋体" w:hAnsi="宋体" w:cs="宋体"/>
        </w:rPr>
        <w:t xml:space="preserve">一、通用合同条款</w:t>
      </w:r>
      <w:bookmarkEnd w:id="24"/>
      <w:r/>
      <w:bookmarkEnd w:id="25"/>
      <w:r/>
      <w:bookmarkEnd w:id="26"/>
      <w:r/>
      <w:bookmarkEnd w:id="27"/>
      <w:r/>
      <w:bookmarkEnd w:id="28"/>
      <w:r/>
      <w:bookmarkEnd w:id="29"/>
      <w:r/>
      <w:bookmarkEnd w:id="30"/>
      <w:r/>
      <w:bookmarkEnd w:id="31"/>
      <w:r/>
      <w:bookmarkEnd w:id="32"/>
      <w:r/>
      <w:bookmarkEnd w:id="33"/>
      <w:r/>
      <w:bookmarkEnd w:id="34"/>
      <w:r/>
      <w:bookmarkEnd w:id="44"/>
      <w:r/>
      <w:bookmarkEnd w:id="45"/>
      <w:r>
        <w:rPr>
          <w:rFonts w:hint="eastAsia" w:ascii="宋体" w:hAnsi="宋体" w:cs="宋体"/>
        </w:rPr>
        <w:t xml:space="preserve">部分</w:t>
      </w:r>
      <w:bookmarkEnd w:id="35"/>
      <w:r/>
      <w:bookmarkEnd w:id="36"/>
      <w:r/>
      <w:bookmarkEnd w:id="37"/>
      <w:r/>
      <w:bookmarkEnd w:id="38"/>
      <w:r/>
      <w:bookmarkEnd w:id="39"/>
      <w:r/>
      <w:bookmarkEnd w:id="40"/>
      <w:r/>
      <w:bookmarkEnd w:id="41"/>
      <w:r/>
      <w:bookmarkEnd w:id="42"/>
      <w:r/>
      <w:bookmarkEnd w:id="43"/>
      <w:r>
        <w:rPr>
          <w:rFonts w:hint="eastAsia" w:ascii="宋体" w:hAnsi="宋体" w:cs="宋体"/>
        </w:rPr>
      </w:r>
      <w:r/>
    </w:p>
    <w:p>
      <w:pPr>
        <w:pStyle w:val="977"/>
        <w:spacing w:before="177" w:after="177" w:line="415" w:lineRule="auto"/>
        <w:rPr>
          <w:rFonts w:hint="eastAsia" w:ascii="宋体" w:hAnsi="宋体" w:eastAsia="宋体" w:cs="宋体"/>
          <w:bCs w:val="0"/>
          <w:sz w:val="21"/>
          <w:szCs w:val="21"/>
        </w:rPr>
      </w:pPr>
      <w:r/>
      <w:bookmarkStart w:id="46" w:name="_Toc390098888"/>
      <w:r/>
      <w:bookmarkStart w:id="47" w:name="_Toc383623993"/>
      <w:r/>
      <w:bookmarkStart w:id="48" w:name="_Toc120614224"/>
      <w:r/>
      <w:bookmarkStart w:id="49" w:name="_Toc382811588"/>
      <w:r/>
      <w:bookmarkStart w:id="50" w:name="_Toc20823317"/>
      <w:r/>
      <w:bookmarkStart w:id="51" w:name="_Toc382813935"/>
      <w:r/>
      <w:bookmarkStart w:id="52" w:name="_Toc282446298"/>
      <w:r/>
      <w:bookmarkStart w:id="53" w:name="_Toc513029245"/>
      <w:r/>
      <w:bookmarkStart w:id="54" w:name="_Toc16938561"/>
      <w:r/>
      <w:bookmarkStart w:id="55" w:name="_Toc416720359"/>
      <w:r/>
      <w:bookmarkStart w:id="56" w:name="_Toc390099066"/>
      <w:r/>
      <w:bookmarkStart w:id="57" w:name="_Toc382812297"/>
      <w:r/>
      <w:bookmarkStart w:id="58" w:name="_Toc383626042"/>
      <w:r/>
      <w:bookmarkStart w:id="59" w:name="_Toc383679795"/>
      <w:r/>
      <w:bookmarkStart w:id="60" w:name="_Toc288030334"/>
      <w:r/>
      <w:bookmarkStart w:id="61" w:name="_Toc383587507"/>
      <w:r/>
      <w:bookmarkStart w:id="62" w:name="_Toc382814016"/>
      <w:r/>
      <w:bookmarkStart w:id="63" w:name="_Toc383698695"/>
      <w:r/>
      <w:bookmarkStart w:id="64" w:name="_Toc382811183"/>
      <w:r/>
      <w:bookmarkStart w:id="65" w:name="_Toc383623721"/>
      <w:r/>
      <w:bookmarkStart w:id="66" w:name="_Toc390246953"/>
      <w:r/>
      <w:bookmarkStart w:id="67" w:name="_Toc382812486"/>
      <w:r>
        <w:rPr>
          <w:rFonts w:hint="eastAsia" w:ascii="宋体" w:hAnsi="宋体" w:eastAsia="宋体" w:cs="宋体"/>
          <w:bCs w:val="0"/>
          <w:sz w:val="21"/>
          <w:szCs w:val="21"/>
        </w:rPr>
        <w:t xml:space="preserve">1、定义</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Pr>
          <w:rFonts w:hint="eastAsia" w:ascii="宋体" w:hAnsi="宋体" w:eastAsia="宋体" w:cs="宋体"/>
          <w:bCs w:val="0"/>
          <w:sz w:val="21"/>
          <w:szCs w:val="21"/>
        </w:rPr>
      </w:r>
      <w:r/>
    </w:p>
    <w:p>
      <w:pPr>
        <w:pStyle w:val="974"/>
        <w:ind w:left="526"/>
        <w:rPr>
          <w:rFonts w:hint="eastAsia" w:ascii="宋体" w:hAnsi="宋体" w:eastAsia="宋体" w:cs="宋体"/>
        </w:rPr>
      </w:pPr>
      <w:r>
        <w:rPr>
          <w:rFonts w:hint="eastAsia" w:ascii="宋体" w:hAnsi="宋体" w:eastAsia="宋体" w:cs="宋体"/>
        </w:rPr>
        <w:t xml:space="preserve">本合同中的下列术语应解释为：</w:t>
      </w:r>
      <w:r>
        <w:rPr>
          <w:rFonts w:hint="eastAsia" w:ascii="宋体" w:hAnsi="宋体" w:eastAsia="宋体" w:cs="宋体"/>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szCs w:val="21"/>
        </w:rPr>
        <w:t xml:space="preserve">“合同”</w:t>
      </w:r>
      <w:r>
        <w:rPr>
          <w:rFonts w:hint="eastAsia" w:ascii="宋体" w:hAnsi="宋体" w:eastAsia="宋体" w:cs="宋体"/>
        </w:rPr>
        <w:t xml:space="preserve">系指买方、见证方与卖方签署的、合同格式中载明的买方与卖方所达成的协议，包括所有的附件、附录和构成合同的所有文件。</w:t>
      </w:r>
      <w:r>
        <w:rPr>
          <w:rFonts w:hint="eastAsia" w:ascii="宋体" w:hAnsi="宋体" w:eastAsia="宋体" w:cs="宋体"/>
          <w:szCs w:val="21"/>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b/>
          <w:szCs w:val="21"/>
        </w:rPr>
        <w:t xml:space="preserve">“合同价”</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方在正确地完全履行合同义务后</w:t>
      </w:r>
      <w:r>
        <w:rPr>
          <w:rFonts w:hint="eastAsia" w:ascii="宋体" w:hAnsi="宋体" w:eastAsia="宋体" w:cs="宋体"/>
        </w:rPr>
        <w:t xml:space="preserve">买</w:t>
      </w:r>
      <w:r>
        <w:rPr>
          <w:rFonts w:hint="eastAsia" w:ascii="宋体" w:hAnsi="宋体" w:eastAsia="宋体" w:cs="宋体"/>
          <w:szCs w:val="21"/>
        </w:rPr>
        <w:t xml:space="preserve">方应支付给</w:t>
      </w:r>
      <w:r>
        <w:rPr>
          <w:rFonts w:hint="eastAsia" w:ascii="宋体" w:hAnsi="宋体" w:eastAsia="宋体" w:cs="宋体"/>
        </w:rPr>
        <w:t xml:space="preserve">卖</w:t>
      </w:r>
      <w:r>
        <w:rPr>
          <w:rFonts w:hint="eastAsia" w:ascii="宋体" w:hAnsi="宋体" w:eastAsia="宋体" w:cs="宋体"/>
          <w:szCs w:val="21"/>
        </w:rPr>
        <w:t xml:space="preserve">方的价格。</w:t>
      </w:r>
      <w:r>
        <w:rPr>
          <w:rFonts w:hint="eastAsia" w:ascii="宋体" w:hAnsi="宋体" w:eastAsia="宋体" w:cs="宋体"/>
          <w:szCs w:val="21"/>
        </w:rPr>
      </w:r>
      <w:r/>
    </w:p>
    <w:p>
      <w:pPr>
        <w:pStyle w:val="974"/>
        <w:ind w:left="1098" w:hanging="572"/>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b/>
          <w:szCs w:val="21"/>
        </w:rPr>
        <w:t xml:space="preserve">“服务”</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方承担与供货有关所有的辅助服务，如运输、保险以及其它的伴随服务，比如安装、调试、测试、提供技术服务、培训和其他所有的</w:t>
      </w:r>
      <w:r>
        <w:rPr>
          <w:rFonts w:hint="eastAsia" w:ascii="宋体" w:hAnsi="宋体" w:eastAsia="宋体" w:cs="宋体"/>
        </w:rPr>
        <w:t xml:space="preserve">卖</w:t>
      </w:r>
      <w:r>
        <w:rPr>
          <w:rFonts w:hint="eastAsia" w:ascii="宋体" w:hAnsi="宋体" w:eastAsia="宋体" w:cs="宋体"/>
          <w:szCs w:val="21"/>
        </w:rPr>
        <w:t xml:space="preserve">方应承担的义务。</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b/>
          <w:szCs w:val="21"/>
        </w:rPr>
        <w:t xml:space="preserve">“</w:t>
      </w:r>
      <w:r>
        <w:rPr>
          <w:rFonts w:hint="eastAsia" w:ascii="宋体" w:hAnsi="宋体" w:eastAsia="宋体" w:cs="宋体"/>
          <w:b/>
        </w:rPr>
        <w:t xml:space="preserve">买</w:t>
      </w:r>
      <w:r>
        <w:rPr>
          <w:rFonts w:hint="eastAsia" w:ascii="宋体" w:hAnsi="宋体" w:eastAsia="宋体" w:cs="宋体"/>
          <w:b/>
          <w:szCs w:val="21"/>
        </w:rPr>
        <w:t xml:space="preserve">方”</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w:t>
      </w:r>
      <w:r>
        <w:rPr>
          <w:rFonts w:hint="eastAsia" w:ascii="宋体" w:hAnsi="宋体" w:eastAsia="宋体" w:cs="宋体"/>
          <w:b/>
        </w:rPr>
        <w:t xml:space="preserve">卖</w:t>
      </w:r>
      <w:r>
        <w:rPr>
          <w:rFonts w:hint="eastAsia" w:ascii="宋体" w:hAnsi="宋体" w:eastAsia="宋体" w:cs="宋体"/>
          <w:b/>
          <w:szCs w:val="21"/>
        </w:rPr>
        <w:t xml:space="preserve">方”</w:t>
      </w:r>
      <w:r>
        <w:rPr>
          <w:rFonts w:hint="eastAsia" w:ascii="宋体" w:hAnsi="宋体" w:eastAsia="宋体" w:cs="宋体"/>
          <w:szCs w:val="21"/>
        </w:rPr>
        <w:t xml:space="preserve">系指提供服务的中标供应商。</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b/>
          <w:bCs/>
          <w:szCs w:val="21"/>
        </w:rPr>
        <w:t xml:space="preserve">“见证方”</w:t>
      </w:r>
      <w:r>
        <w:rPr>
          <w:rFonts w:hint="eastAsia" w:ascii="宋体" w:hAnsi="宋体" w:eastAsia="宋体" w:cs="宋体"/>
          <w:szCs w:val="21"/>
        </w:rPr>
        <w:t xml:space="preserve">系指招标人。</w:t>
      </w:r>
      <w:r>
        <w:rPr>
          <w:rFonts w:hint="eastAsia" w:ascii="宋体" w:hAnsi="宋体" w:eastAsia="宋体" w:cs="宋体"/>
          <w:szCs w:val="21"/>
        </w:rPr>
      </w:r>
      <w:r/>
    </w:p>
    <w:p>
      <w:pPr>
        <w:pStyle w:val="974"/>
        <w:ind w:left="526"/>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b/>
          <w:bCs/>
          <w:szCs w:val="21"/>
        </w:rPr>
        <w:t xml:space="preserve">“采购人”</w:t>
      </w:r>
      <w:r>
        <w:rPr>
          <w:rFonts w:hint="eastAsia" w:ascii="宋体" w:hAnsi="宋体" w:eastAsia="宋体" w:cs="宋体"/>
          <w:szCs w:val="21"/>
        </w:rPr>
        <w:t xml:space="preserve">系指购买服务的单位。</w:t>
      </w:r>
      <w:r>
        <w:rPr>
          <w:rFonts w:hint="eastAsia" w:ascii="宋体" w:hAnsi="宋体" w:eastAsia="宋体" w:cs="宋体"/>
          <w:szCs w:val="21"/>
        </w:rPr>
      </w:r>
      <w:r/>
    </w:p>
    <w:p>
      <w:pPr>
        <w:pStyle w:val="977"/>
        <w:spacing w:before="177" w:after="177" w:line="415" w:lineRule="auto"/>
        <w:rPr>
          <w:rFonts w:hint="eastAsia" w:ascii="宋体" w:hAnsi="宋体" w:eastAsia="宋体" w:cs="宋体"/>
          <w:bCs w:val="0"/>
          <w:sz w:val="21"/>
          <w:szCs w:val="21"/>
        </w:rPr>
      </w:pPr>
      <w:r/>
      <w:bookmarkStart w:id="68" w:name="_Toc20823318"/>
      <w:r/>
      <w:bookmarkStart w:id="69" w:name="_Toc16938562"/>
      <w:r/>
      <w:bookmarkStart w:id="70" w:name="_Toc282446299"/>
      <w:r/>
      <w:bookmarkStart w:id="71" w:name="_Toc513029246"/>
      <w:r/>
      <w:bookmarkStart w:id="72" w:name="_Toc382811184"/>
      <w:r/>
      <w:bookmarkStart w:id="73" w:name="_Toc382812487"/>
      <w:r/>
      <w:bookmarkStart w:id="74" w:name="_Toc382812298"/>
      <w:r/>
      <w:bookmarkStart w:id="75" w:name="_Toc383679796"/>
      <w:r/>
      <w:bookmarkStart w:id="76" w:name="_Toc390098889"/>
      <w:r/>
      <w:bookmarkStart w:id="77" w:name="_Toc382814017"/>
      <w:r/>
      <w:bookmarkStart w:id="78" w:name="_Toc416720360"/>
      <w:r/>
      <w:bookmarkStart w:id="79" w:name="_Toc390246954"/>
      <w:r/>
      <w:bookmarkStart w:id="80" w:name="_Toc383626043"/>
      <w:r/>
      <w:bookmarkStart w:id="81" w:name="_Toc390099067"/>
      <w:r/>
      <w:bookmarkStart w:id="82" w:name="_Toc383698696"/>
      <w:r/>
      <w:bookmarkStart w:id="83" w:name="_Toc382813936"/>
      <w:r/>
      <w:bookmarkStart w:id="84" w:name="_Toc382811589"/>
      <w:r/>
      <w:bookmarkStart w:id="85" w:name="_Toc383587508"/>
      <w:r/>
      <w:bookmarkStart w:id="86" w:name="_Toc383623722"/>
      <w:r/>
      <w:bookmarkStart w:id="87" w:name="_Toc383623994"/>
      <w:r/>
      <w:bookmarkStart w:id="88" w:name="_Toc288030335"/>
      <w:r/>
      <w:bookmarkStart w:id="89" w:name="_Toc120614225"/>
      <w:r>
        <w:rPr>
          <w:rFonts w:hint="eastAsia" w:ascii="宋体" w:hAnsi="宋体" w:eastAsia="宋体" w:cs="宋体"/>
          <w:bCs w:val="0"/>
          <w:sz w:val="21"/>
          <w:szCs w:val="21"/>
        </w:rPr>
        <w:t xml:space="preserve">2、技术</w:t>
      </w:r>
      <w:bookmarkEnd w:id="68"/>
      <w:r/>
      <w:bookmarkEnd w:id="69"/>
      <w:r/>
      <w:bookmarkEnd w:id="70"/>
      <w:r/>
      <w:bookmarkEnd w:id="71"/>
      <w:r/>
      <w:bookmarkEnd w:id="88"/>
      <w:r/>
      <w:bookmarkEnd w:id="89"/>
      <w:r>
        <w:rPr>
          <w:rFonts w:hint="eastAsia" w:ascii="宋体" w:hAnsi="宋体" w:eastAsia="宋体" w:cs="宋体"/>
          <w:bCs w:val="0"/>
          <w:sz w:val="21"/>
          <w:szCs w:val="21"/>
        </w:rPr>
        <w:t xml:space="preserve">规范</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卖方所提供服务的技术规格、内容应与招标文件规定的业务要求相一致；若技术性能无相应说明，则按国家有关部门最新颁布的标准及规范为准。</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90" w:name="_Toc390099068"/>
      <w:r/>
      <w:bookmarkStart w:id="91" w:name="_Toc390246955"/>
      <w:r/>
      <w:bookmarkStart w:id="92" w:name="_Toc16938563"/>
      <w:r/>
      <w:bookmarkStart w:id="93" w:name="_Toc20823319"/>
      <w:r/>
      <w:bookmarkStart w:id="94" w:name="_Toc382813937"/>
      <w:r/>
      <w:bookmarkStart w:id="95" w:name="_Toc382811185"/>
      <w:r/>
      <w:bookmarkStart w:id="96" w:name="_Toc382811590"/>
      <w:r/>
      <w:bookmarkStart w:id="97" w:name="_Toc288030336"/>
      <w:r/>
      <w:bookmarkStart w:id="98" w:name="_Toc282446300"/>
      <w:r/>
      <w:bookmarkStart w:id="99" w:name="_Toc383623995"/>
      <w:r/>
      <w:bookmarkStart w:id="100" w:name="_Toc513029247"/>
      <w:r/>
      <w:bookmarkStart w:id="101" w:name="_Toc383623723"/>
      <w:r/>
      <w:bookmarkStart w:id="102" w:name="_Toc383698697"/>
      <w:r/>
      <w:bookmarkStart w:id="103" w:name="_Toc382812488"/>
      <w:r/>
      <w:bookmarkStart w:id="104" w:name="_Toc120614226"/>
      <w:r/>
      <w:bookmarkStart w:id="105" w:name="_Toc382814018"/>
      <w:r/>
      <w:bookmarkStart w:id="106" w:name="_Toc416720361"/>
      <w:r/>
      <w:bookmarkStart w:id="107" w:name="_Toc383626044"/>
      <w:r/>
      <w:bookmarkStart w:id="108" w:name="_Toc383587509"/>
      <w:r/>
      <w:bookmarkStart w:id="109" w:name="_Toc382812299"/>
      <w:r/>
      <w:bookmarkStart w:id="110" w:name="_Toc383679797"/>
      <w:r/>
      <w:bookmarkStart w:id="111" w:name="_Toc390098890"/>
      <w:r>
        <w:rPr>
          <w:rFonts w:hint="eastAsia" w:ascii="宋体" w:hAnsi="宋体" w:eastAsia="宋体" w:cs="宋体"/>
          <w:bCs w:val="0"/>
          <w:sz w:val="21"/>
          <w:szCs w:val="21"/>
        </w:rPr>
        <w:t xml:space="preserve">3、专利权及版权</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12" w:name="_Toc282446301"/>
      <w:r/>
      <w:bookmarkStart w:id="113" w:name="_Toc288030337"/>
      <w:r/>
      <w:bookmarkStart w:id="114" w:name="_Toc20823320"/>
      <w:r/>
      <w:bookmarkStart w:id="115" w:name="_Toc120614227"/>
      <w:r/>
      <w:bookmarkStart w:id="116" w:name="_Toc16938564"/>
      <w:r/>
      <w:bookmarkStart w:id="117" w:name="_Toc382813938"/>
      <w:r/>
      <w:bookmarkStart w:id="118" w:name="_Toc382814019"/>
      <w:r/>
      <w:bookmarkStart w:id="119" w:name="_Toc383626045"/>
      <w:r/>
      <w:bookmarkStart w:id="120" w:name="_Toc390099069"/>
      <w:r/>
      <w:bookmarkStart w:id="121" w:name="_Toc383698698"/>
      <w:r/>
      <w:bookmarkStart w:id="122" w:name="_Toc416720362"/>
      <w:r/>
      <w:bookmarkStart w:id="123" w:name="_Toc383679798"/>
      <w:r/>
      <w:bookmarkStart w:id="124" w:name="_Toc390098891"/>
      <w:r/>
      <w:bookmarkStart w:id="125" w:name="_Toc390246956"/>
      <w:r/>
      <w:bookmarkStart w:id="126" w:name="_Toc383623724"/>
      <w:r/>
      <w:bookmarkStart w:id="127" w:name="_Toc383587510"/>
      <w:r/>
      <w:bookmarkStart w:id="128" w:name="_Toc383623996"/>
      <w:r/>
      <w:bookmarkStart w:id="129" w:name="_Toc513029248"/>
      <w:r>
        <w:rPr>
          <w:rFonts w:hint="eastAsia" w:ascii="宋体" w:hAnsi="宋体" w:eastAsia="宋体" w:cs="宋体"/>
          <w:bCs w:val="0"/>
          <w:sz w:val="21"/>
          <w:szCs w:val="21"/>
        </w:rPr>
        <w:t xml:space="preserve">4、</w:t>
      </w:r>
      <w:bookmarkEnd w:id="112"/>
      <w:r/>
      <w:bookmarkEnd w:id="113"/>
      <w:r/>
      <w:bookmarkEnd w:id="114"/>
      <w:r/>
      <w:bookmarkEnd w:id="115"/>
      <w:r/>
      <w:bookmarkEnd w:id="116"/>
      <w:r/>
      <w:bookmarkEnd w:id="129"/>
      <w:r/>
      <w:bookmarkStart w:id="130" w:name="_Toc120614229"/>
      <w:r/>
      <w:bookmarkStart w:id="131" w:name="_Toc513029250"/>
      <w:r/>
      <w:bookmarkStart w:id="132" w:name="_Toc16938566"/>
      <w:r/>
      <w:bookmarkStart w:id="133" w:name="_Toc20823322"/>
      <w:r/>
      <w:bookmarkStart w:id="134" w:name="_Toc282446303"/>
      <w:r/>
      <w:bookmarkStart w:id="135" w:name="_Toc288030339"/>
      <w:r>
        <w:rPr>
          <w:rFonts w:hint="eastAsia" w:ascii="宋体" w:hAnsi="宋体" w:eastAsia="宋体" w:cs="宋体"/>
          <w:bCs w:val="0"/>
          <w:sz w:val="21"/>
          <w:szCs w:val="21"/>
        </w:rPr>
        <w:t xml:space="preserve">付款</w:t>
      </w:r>
      <w:bookmarkEnd w:id="130"/>
      <w:r/>
      <w:bookmarkEnd w:id="131"/>
      <w:r/>
      <w:bookmarkEnd w:id="132"/>
      <w:r/>
      <w:bookmarkEnd w:id="133"/>
      <w:r/>
      <w:bookmarkEnd w:id="134"/>
      <w:r/>
      <w:bookmarkEnd w:id="135"/>
      <w:r>
        <w:rPr>
          <w:rFonts w:hint="eastAsia" w:ascii="宋体" w:hAnsi="宋体" w:eastAsia="宋体" w:cs="宋体"/>
          <w:bCs w:val="0"/>
          <w:sz w:val="21"/>
          <w:szCs w:val="21"/>
        </w:rPr>
        <w:t xml:space="preserve">方式</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rPr>
          <w:rFonts w:hint="eastAsia" w:ascii="宋体" w:hAnsi="宋体" w:eastAsia="宋体" w:cs="宋体"/>
          <w:bCs w:val="0"/>
          <w:sz w:val="21"/>
          <w:szCs w:val="21"/>
        </w:rPr>
      </w:r>
      <w:r/>
    </w:p>
    <w:p>
      <w:pPr>
        <w:pStyle w:val="974"/>
        <w:ind w:firstLine="526"/>
        <w:rPr>
          <w:rFonts w:hint="eastAsia" w:ascii="宋体" w:hAnsi="宋体" w:eastAsia="宋体" w:cs="宋体"/>
          <w:szCs w:val="21"/>
        </w:rPr>
      </w:pPr>
      <w:r>
        <w:rPr>
          <w:rFonts w:hint="eastAsia" w:ascii="宋体" w:hAnsi="宋体" w:eastAsia="宋体" w:cs="宋体"/>
          <w:b/>
          <w:szCs w:val="21"/>
        </w:rPr>
        <w:t xml:space="preserve">4.1</w:t>
      </w:r>
      <w:r>
        <w:rPr>
          <w:rFonts w:hint="eastAsia" w:ascii="宋体" w:hAnsi="宋体" w:eastAsia="宋体" w:cs="宋体"/>
          <w:szCs w:val="21"/>
        </w:rPr>
        <w:t xml:space="preserve">本合同以人民币付款。</w:t>
      </w:r>
      <w:r>
        <w:rPr>
          <w:rFonts w:hint="eastAsia" w:ascii="宋体" w:hAnsi="宋体" w:eastAsia="宋体" w:cs="宋体"/>
          <w:szCs w:val="21"/>
        </w:rPr>
      </w:r>
      <w:r/>
    </w:p>
    <w:p>
      <w:pPr>
        <w:pStyle w:val="974"/>
        <w:ind w:firstLine="526"/>
        <w:rPr>
          <w:rFonts w:hint="eastAsia" w:ascii="宋体" w:hAnsi="宋体" w:eastAsia="宋体" w:cs="宋体"/>
          <w:szCs w:val="21"/>
        </w:rPr>
      </w:pPr>
      <w:r>
        <w:rPr>
          <w:rFonts w:hint="eastAsia" w:ascii="宋体" w:hAnsi="宋体" w:eastAsia="宋体" w:cs="宋体"/>
          <w:b/>
          <w:szCs w:val="21"/>
        </w:rPr>
        <w:t xml:space="preserve">4.2</w:t>
      </w:r>
      <w:r>
        <w:rPr>
          <w:rFonts w:hint="eastAsia" w:ascii="宋体" w:hAnsi="宋体" w:eastAsia="宋体" w:cs="宋体"/>
          <w:szCs w:val="21"/>
        </w:rPr>
        <w:t xml:space="preserve">付款方式见合同专用条款。</w:t>
      </w:r>
      <w:r>
        <w:rPr>
          <w:rFonts w:hint="eastAsia" w:ascii="宋体" w:hAnsi="宋体" w:eastAsia="宋体" w:cs="宋体"/>
          <w:szCs w:val="21"/>
        </w:rPr>
      </w:r>
      <w:r/>
    </w:p>
    <w:p>
      <w:pPr>
        <w:pStyle w:val="977"/>
        <w:spacing w:before="177" w:after="177" w:line="415" w:lineRule="auto"/>
        <w:rPr>
          <w:rFonts w:hint="eastAsia" w:ascii="宋体" w:hAnsi="宋体" w:eastAsia="宋体" w:cs="宋体"/>
          <w:bCs w:val="0"/>
          <w:sz w:val="21"/>
          <w:szCs w:val="21"/>
        </w:rPr>
      </w:pPr>
      <w:r/>
      <w:bookmarkStart w:id="136" w:name="_Toc416720363"/>
      <w:r/>
      <w:bookmarkStart w:id="137" w:name="_Toc383679799"/>
      <w:r/>
      <w:bookmarkStart w:id="138" w:name="_Toc383587511"/>
      <w:r/>
      <w:bookmarkStart w:id="139" w:name="_Toc16938567"/>
      <w:r/>
      <w:bookmarkStart w:id="140" w:name="_Toc390099070"/>
      <w:r/>
      <w:bookmarkStart w:id="141" w:name="_Toc390098892"/>
      <w:r/>
      <w:bookmarkStart w:id="142" w:name="_Toc382812300"/>
      <w:r/>
      <w:bookmarkStart w:id="143" w:name="_Toc383623997"/>
      <w:r/>
      <w:bookmarkStart w:id="144" w:name="_Toc382814020"/>
      <w:r/>
      <w:bookmarkStart w:id="145" w:name="_Toc120614230"/>
      <w:r/>
      <w:bookmarkStart w:id="146" w:name="_Toc288030340"/>
      <w:r/>
      <w:bookmarkStart w:id="147" w:name="_Toc513029251"/>
      <w:r/>
      <w:bookmarkStart w:id="148" w:name="_Toc20823323"/>
      <w:r/>
      <w:bookmarkStart w:id="149" w:name="_Toc382813939"/>
      <w:r/>
      <w:bookmarkStart w:id="150" w:name="_Toc382811591"/>
      <w:r/>
      <w:bookmarkStart w:id="151" w:name="_Toc282446304"/>
      <w:r/>
      <w:bookmarkStart w:id="152" w:name="_Toc382811186"/>
      <w:r/>
      <w:bookmarkStart w:id="153" w:name="_Toc382812489"/>
      <w:r/>
      <w:bookmarkStart w:id="154" w:name="_Toc383626046"/>
      <w:r/>
      <w:bookmarkStart w:id="155" w:name="_Toc383623725"/>
      <w:r/>
      <w:bookmarkStart w:id="156" w:name="_Toc383698699"/>
      <w:r/>
      <w:bookmarkStart w:id="157" w:name="_Toc390246957"/>
      <w:r>
        <w:rPr>
          <w:rFonts w:hint="eastAsia" w:ascii="宋体" w:hAnsi="宋体" w:eastAsia="宋体" w:cs="宋体"/>
          <w:bCs w:val="0"/>
          <w:sz w:val="21"/>
          <w:szCs w:val="21"/>
        </w:rPr>
        <w:t xml:space="preserve">5、伴随服务</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5.1</w:t>
      </w:r>
      <w:r>
        <w:rPr>
          <w:rFonts w:hint="eastAsia" w:ascii="宋体" w:hAnsi="宋体" w:eastAsia="宋体" w:cs="宋体"/>
        </w:rPr>
        <w:t xml:space="preserve">卖方应按照投标文件的承诺和合同中所附的服务承诺提供服务。</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5.2 </w:t>
      </w:r>
      <w:r>
        <w:rPr>
          <w:rFonts w:hint="eastAsia" w:ascii="宋体" w:hAnsi="宋体" w:eastAsia="宋体" w:cs="宋体"/>
        </w:rPr>
        <w:t xml:space="preserve">除本章第5.1条规定外，卖方还应提供下列服务：</w:t>
      </w:r>
      <w:r>
        <w:rPr>
          <w:rFonts w:hint="eastAsia" w:ascii="宋体" w:hAnsi="宋体" w:eastAsia="宋体" w:cs="宋体"/>
        </w:rPr>
      </w:r>
      <w:r/>
    </w:p>
    <w:p>
      <w:pPr>
        <w:pStyle w:val="974"/>
        <w:ind w:left="789" w:firstLine="294"/>
        <w:rPr>
          <w:rFonts w:hint="eastAsia" w:ascii="宋体" w:hAnsi="宋体" w:eastAsia="宋体" w:cs="宋体"/>
        </w:rPr>
      </w:pPr>
      <w:r>
        <w:rPr>
          <w:rFonts w:hint="eastAsia" w:ascii="宋体" w:hAnsi="宋体" w:eastAsia="宋体" w:cs="宋体"/>
        </w:rPr>
        <w:t xml:space="preserve">(1) 服务的现场质量管理与监督；</w:t>
      </w:r>
      <w:r>
        <w:rPr>
          <w:rFonts w:hint="eastAsia" w:ascii="宋体" w:hAnsi="宋体" w:eastAsia="宋体" w:cs="宋体"/>
        </w:rPr>
      </w:r>
      <w:r/>
    </w:p>
    <w:p>
      <w:pPr>
        <w:pStyle w:val="974"/>
        <w:ind w:left="789" w:firstLine="294"/>
        <w:rPr>
          <w:rFonts w:hint="eastAsia" w:ascii="宋体" w:hAnsi="宋体" w:eastAsia="宋体" w:cs="宋体"/>
        </w:rPr>
      </w:pPr>
      <w:r>
        <w:rPr>
          <w:rFonts w:hint="eastAsia" w:ascii="宋体" w:hAnsi="宋体" w:eastAsia="宋体" w:cs="宋体"/>
        </w:rPr>
        <w:t xml:space="preserve">(2) 提供服务和维护所需的工具；</w:t>
      </w:r>
      <w:r>
        <w:rPr>
          <w:rFonts w:hint="eastAsia" w:ascii="宋体" w:hAnsi="宋体" w:eastAsia="宋体" w:cs="宋体"/>
        </w:rPr>
      </w:r>
      <w:r/>
    </w:p>
    <w:p>
      <w:pPr>
        <w:pStyle w:val="974"/>
        <w:ind w:left="1637" w:hanging="509"/>
        <w:rPr>
          <w:rFonts w:hint="eastAsia" w:ascii="宋体" w:hAnsi="宋体" w:eastAsia="宋体" w:cs="宋体"/>
        </w:rPr>
      </w:pPr>
      <w:r>
        <w:rPr>
          <w:rFonts w:hint="eastAsia" w:ascii="宋体" w:hAnsi="宋体" w:eastAsia="宋体" w:cs="宋体"/>
        </w:rPr>
        <w:t xml:space="preserve">(3) 在合同中卖方承诺的期限内对所提供服务实施运行监督、维护，但前提条件是该服务并不能免除卖方在质量保证期内应承担的义务；</w:t>
      </w:r>
      <w:r>
        <w:rPr>
          <w:rFonts w:hint="eastAsia" w:ascii="宋体" w:hAnsi="宋体" w:eastAsia="宋体" w:cs="宋体"/>
        </w:rPr>
      </w:r>
      <w:r/>
    </w:p>
    <w:p>
      <w:pPr>
        <w:pStyle w:val="974"/>
        <w:ind w:left="1637" w:hanging="509"/>
        <w:rPr>
          <w:rFonts w:hint="eastAsia" w:ascii="宋体" w:hAnsi="宋体" w:eastAsia="宋体" w:cs="宋体"/>
        </w:rPr>
      </w:pPr>
      <w:r>
        <w:rPr>
          <w:rFonts w:hint="eastAsia" w:ascii="宋体" w:hAnsi="宋体" w:eastAsia="宋体" w:cs="宋体"/>
        </w:rPr>
        <w:t xml:space="preserve">(4) 对服务人员进行培训。</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5.3 </w:t>
      </w:r>
      <w:r>
        <w:rPr>
          <w:rFonts w:hint="eastAsia" w:ascii="宋体" w:hAnsi="宋体" w:eastAsia="宋体" w:cs="宋体"/>
        </w:rPr>
        <w:t xml:space="preserve">伴随服务的费用应含在合同价中，不单独进行支付。</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58" w:name="_Toc390098893"/>
      <w:r/>
      <w:bookmarkStart w:id="159" w:name="_Toc383623998"/>
      <w:r/>
      <w:bookmarkStart w:id="160" w:name="_Toc390246958"/>
      <w:r/>
      <w:bookmarkStart w:id="161" w:name="_Toc288030341"/>
      <w:r/>
      <w:bookmarkStart w:id="162" w:name="_Toc382811592"/>
      <w:r/>
      <w:bookmarkStart w:id="163" w:name="_Toc390099071"/>
      <w:r/>
      <w:bookmarkStart w:id="164" w:name="_Toc382814021"/>
      <w:r/>
      <w:bookmarkStart w:id="165" w:name="_Toc20823324"/>
      <w:r/>
      <w:bookmarkStart w:id="166" w:name="_Toc382812490"/>
      <w:r/>
      <w:bookmarkStart w:id="167" w:name="_Toc16938568"/>
      <w:r/>
      <w:bookmarkStart w:id="168" w:name="_Toc383626047"/>
      <w:r/>
      <w:bookmarkStart w:id="169" w:name="_Toc383587512"/>
      <w:r/>
      <w:bookmarkStart w:id="170" w:name="_Toc382813940"/>
      <w:r/>
      <w:bookmarkStart w:id="171" w:name="_Toc120614231"/>
      <w:r/>
      <w:bookmarkStart w:id="172" w:name="_Toc383679800"/>
      <w:r/>
      <w:bookmarkStart w:id="173" w:name="_Toc382812301"/>
      <w:r/>
      <w:bookmarkStart w:id="174" w:name="_Toc513029252"/>
      <w:r/>
      <w:bookmarkStart w:id="175" w:name="_Toc382811187"/>
      <w:r/>
      <w:bookmarkStart w:id="176" w:name="_Toc416720364"/>
      <w:r/>
      <w:bookmarkStart w:id="177" w:name="_Toc282446305"/>
      <w:r/>
      <w:bookmarkStart w:id="178" w:name="_Toc383623726"/>
      <w:r/>
      <w:bookmarkStart w:id="179" w:name="_Toc383698700"/>
      <w:r>
        <w:rPr>
          <w:rFonts w:hint="eastAsia" w:ascii="宋体" w:hAnsi="宋体" w:eastAsia="宋体" w:cs="宋体"/>
          <w:bCs w:val="0"/>
          <w:sz w:val="21"/>
          <w:szCs w:val="21"/>
        </w:rPr>
        <w:t xml:space="preserve">6、质量保证</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rPr>
        <w:t xml:space="preserve">6.1投标人所提供服务必须遵守各种国家和部门标准及有关规定。</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rPr>
        <w:t xml:space="preserve">6.2投标人所提供服务必须达到本招标文件中规定的要求。</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rPr>
        <w:t xml:space="preserve">6.3履行本合同的过程中，确因在现有水平和条件下难以克服的技术困难，导致部分或全部达不到招标规定的服务标准，乙方应当承担违约责任。</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180" w:name="_Toc20823326"/>
      <w:r/>
      <w:bookmarkStart w:id="181" w:name="_Toc288030343"/>
      <w:r/>
      <w:bookmarkStart w:id="182" w:name="_Toc282446307"/>
      <w:r/>
      <w:bookmarkStart w:id="183" w:name="_Toc513029254"/>
      <w:r/>
      <w:bookmarkStart w:id="184" w:name="_Toc16938570"/>
      <w:r/>
      <w:bookmarkStart w:id="185" w:name="_Toc120614233"/>
      <w:r/>
      <w:bookmarkStart w:id="186" w:name="_Toc399853485"/>
      <w:r/>
      <w:bookmarkStart w:id="187" w:name="_Toc416720365"/>
      <w:r/>
      <w:bookmarkStart w:id="188" w:name="_Toc399658018"/>
      <w:r/>
      <w:bookmarkStart w:id="189" w:name="_Toc399227843"/>
      <w:r/>
      <w:bookmarkStart w:id="190" w:name="_Toc399228176"/>
      <w:r/>
      <w:bookmarkStart w:id="191" w:name="_Toc383698715"/>
      <w:r/>
      <w:bookmarkStart w:id="192" w:name="_Toc390099086"/>
      <w:r/>
      <w:bookmarkStart w:id="193" w:name="_Toc390098908"/>
      <w:r/>
      <w:bookmarkStart w:id="194" w:name="_Toc383679815"/>
      <w:r/>
      <w:bookmarkStart w:id="195" w:name="_Toc390246973"/>
      <w:r/>
      <w:bookmarkStart w:id="196" w:name="_Toc383626062"/>
      <w:r/>
      <w:bookmarkStart w:id="197" w:name="_Toc383624013"/>
      <w:r/>
      <w:bookmarkStart w:id="198" w:name="_Toc383623741"/>
      <w:r>
        <w:rPr>
          <w:rFonts w:hint="eastAsia" w:ascii="宋体" w:hAnsi="宋体" w:eastAsia="宋体" w:cs="宋体"/>
          <w:bCs w:val="0"/>
          <w:sz w:val="21"/>
          <w:szCs w:val="21"/>
        </w:rPr>
        <w:t xml:space="preserve">7、</w:t>
      </w:r>
      <w:bookmarkEnd w:id="180"/>
      <w:r/>
      <w:bookmarkEnd w:id="181"/>
      <w:r/>
      <w:bookmarkEnd w:id="182"/>
      <w:r/>
      <w:bookmarkEnd w:id="183"/>
      <w:r/>
      <w:bookmarkEnd w:id="184"/>
      <w:r/>
      <w:bookmarkEnd w:id="185"/>
      <w:r/>
      <w:bookmarkStart w:id="199" w:name="_Toc16938573"/>
      <w:r/>
      <w:bookmarkStart w:id="200" w:name="_Toc513029257"/>
      <w:r/>
      <w:bookmarkStart w:id="201" w:name="_Toc20823329"/>
      <w:r/>
      <w:bookmarkStart w:id="202" w:name="_Toc120614236"/>
      <w:r/>
      <w:bookmarkStart w:id="203" w:name="_Toc288030346"/>
      <w:r/>
      <w:bookmarkStart w:id="204" w:name="_Toc282446310"/>
      <w:r>
        <w:rPr>
          <w:rFonts w:hint="eastAsia" w:ascii="宋体" w:hAnsi="宋体" w:eastAsia="宋体" w:cs="宋体"/>
          <w:bCs w:val="0"/>
          <w:sz w:val="21"/>
          <w:szCs w:val="21"/>
        </w:rPr>
        <w:t xml:space="preserve">不可抗力</w:t>
      </w:r>
      <w:bookmarkEnd w:id="186"/>
      <w:r/>
      <w:bookmarkEnd w:id="187"/>
      <w:r/>
      <w:bookmarkEnd w:id="188"/>
      <w:r/>
      <w:bookmarkEnd w:id="189"/>
      <w:r/>
      <w:bookmarkEnd w:id="190"/>
      <w:r/>
      <w:bookmarkEnd w:id="199"/>
      <w:r/>
      <w:bookmarkEnd w:id="200"/>
      <w:r/>
      <w:bookmarkEnd w:id="201"/>
      <w:r/>
      <w:bookmarkEnd w:id="202"/>
      <w:r/>
      <w:bookmarkEnd w:id="203"/>
      <w:r/>
      <w:bookmarkEnd w:id="204"/>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7.1</w:t>
      </w:r>
      <w:r>
        <w:rPr>
          <w:rFonts w:hint="eastAsia" w:ascii="宋体" w:hAnsi="宋体" w:eastAsia="宋体" w:cs="宋体"/>
        </w:rPr>
        <w:t xml:space="preserve">尽管有合同条款第11条、12条的规定，如果卖方因不可抗力而导致合同实施延误或不能履行合同义务的话，不应该被没收履约保证金，也不应该承担误期赔偿的责任。</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7.2</w:t>
      </w:r>
      <w:r>
        <w:rPr>
          <w:rFonts w:hint="eastAsia" w:ascii="宋体" w:hAnsi="宋体" w:eastAsia="宋体" w:cs="宋体"/>
        </w:rPr>
        <w:t xml:space="preserve">本条所述的“不可抗力”系指那些卖方无法控制、不可预见的事件，但不包括卖方的违约或疏忽。这些事件包括：战争、严重火灾、洪水、台风、地震以及其它买方和卖方商定的事件。</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7.3 </w:t>
      </w:r>
      <w:r>
        <w:rPr>
          <w:rFonts w:hint="eastAsia" w:ascii="宋体" w:hAnsi="宋体" w:eastAsia="宋体" w:cs="宋体"/>
        </w:rPr>
        <w:t xml:space="preserve">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eastAsia="宋体" w:cs="宋体"/>
          <w:b/>
          <w:bCs/>
        </w:rPr>
        <w:t xml:space="preserve">30天</w:t>
      </w:r>
      <w:r>
        <w:rPr>
          <w:rFonts w:hint="eastAsia" w:ascii="宋体" w:hAnsi="宋体" w:eastAsia="宋体" w:cs="宋体"/>
        </w:rPr>
        <w:t xml:space="preserve">以上时，买方有权终止与卖方的合同，买方也可以和卖方通过友好协商在合理的时间内达成进一步履行合同的协议。</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05" w:name="_Toc399658019"/>
      <w:r/>
      <w:bookmarkStart w:id="206" w:name="_Toc416720366"/>
      <w:r/>
      <w:bookmarkStart w:id="207" w:name="_Toc513029258"/>
      <w:r/>
      <w:bookmarkStart w:id="208" w:name="_Toc20823330"/>
      <w:r/>
      <w:bookmarkStart w:id="209" w:name="_Toc288030347"/>
      <w:r/>
      <w:bookmarkStart w:id="210" w:name="_Toc399853486"/>
      <w:r/>
      <w:bookmarkStart w:id="211" w:name="_Toc16938574"/>
      <w:r/>
      <w:bookmarkStart w:id="212" w:name="_Toc399227844"/>
      <w:r/>
      <w:bookmarkStart w:id="213" w:name="_Toc399228177"/>
      <w:r/>
      <w:bookmarkStart w:id="214" w:name="_Toc120614237"/>
      <w:r/>
      <w:bookmarkStart w:id="215" w:name="_Toc282446311"/>
      <w:r>
        <w:rPr>
          <w:rFonts w:hint="eastAsia" w:ascii="宋体" w:hAnsi="宋体" w:eastAsia="宋体" w:cs="宋体"/>
          <w:bCs w:val="0"/>
          <w:sz w:val="21"/>
          <w:szCs w:val="21"/>
        </w:rPr>
        <w:t xml:space="preserve">8、税费</w:t>
      </w:r>
      <w:bookmarkEnd w:id="205"/>
      <w:r/>
      <w:bookmarkEnd w:id="206"/>
      <w:r/>
      <w:bookmarkEnd w:id="207"/>
      <w:r/>
      <w:bookmarkEnd w:id="208"/>
      <w:r/>
      <w:bookmarkEnd w:id="209"/>
      <w:r/>
      <w:bookmarkEnd w:id="210"/>
      <w:r/>
      <w:bookmarkEnd w:id="211"/>
      <w:r/>
      <w:bookmarkEnd w:id="212"/>
      <w:r/>
      <w:bookmarkEnd w:id="213"/>
      <w:r/>
      <w:bookmarkEnd w:id="214"/>
      <w:r/>
      <w:bookmarkEnd w:id="215"/>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8.1</w:t>
      </w:r>
      <w:r>
        <w:rPr>
          <w:rFonts w:hint="eastAsia" w:ascii="宋体" w:hAnsi="宋体" w:eastAsia="宋体" w:cs="宋体"/>
        </w:rPr>
        <w:t xml:space="preserve">本项目实施过程中发生的一切税费均由卖方负担。</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16" w:name="_Toc399227845"/>
      <w:r/>
      <w:bookmarkStart w:id="217" w:name="_Toc399853487"/>
      <w:r/>
      <w:bookmarkStart w:id="218" w:name="_Toc20823331"/>
      <w:r/>
      <w:bookmarkStart w:id="219" w:name="_Toc282446312"/>
      <w:r/>
      <w:bookmarkStart w:id="220" w:name="_Toc120614238"/>
      <w:r/>
      <w:bookmarkStart w:id="221" w:name="_Toc399228178"/>
      <w:r/>
      <w:bookmarkStart w:id="222" w:name="_Toc416720367"/>
      <w:r/>
      <w:bookmarkStart w:id="223" w:name="_Toc399658020"/>
      <w:r/>
      <w:bookmarkStart w:id="224" w:name="_Toc513029259"/>
      <w:r/>
      <w:bookmarkStart w:id="225" w:name="_Toc16938575"/>
      <w:r/>
      <w:bookmarkStart w:id="226" w:name="_Toc288030348"/>
      <w:r>
        <w:rPr>
          <w:rFonts w:hint="eastAsia" w:ascii="宋体" w:hAnsi="宋体" w:eastAsia="宋体" w:cs="宋体"/>
          <w:bCs w:val="0"/>
          <w:sz w:val="21"/>
          <w:szCs w:val="21"/>
        </w:rPr>
        <w:t xml:space="preserve">9、履约保证金</w:t>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cs="宋体"/>
          <w:bCs w:val="0"/>
          <w:sz w:val="21"/>
          <w:szCs w:val="21"/>
        </w:rPr>
      </w:r>
      <w:r/>
    </w:p>
    <w:p>
      <w:pPr>
        <w:pStyle w:val="974"/>
        <w:ind w:firstLine="526"/>
        <w:rPr>
          <w:rFonts w:hint="eastAsia" w:ascii="宋体" w:hAnsi="宋体" w:eastAsia="宋体" w:cs="宋体"/>
          <w:i/>
          <w:u w:val="single"/>
        </w:rPr>
      </w:pPr>
      <w:r>
        <w:rPr>
          <w:rFonts w:hint="eastAsia" w:ascii="宋体" w:hAnsi="宋体" w:eastAsia="宋体" w:cs="宋体"/>
          <w:b/>
        </w:rPr>
        <w:t xml:space="preserve">9.1</w:t>
      </w:r>
      <w:r>
        <w:rPr>
          <w:rFonts w:hint="eastAsia" w:ascii="宋体" w:hAnsi="宋体" w:eastAsia="宋体" w:cs="宋体"/>
        </w:rPr>
        <w:t xml:space="preserve">如卖方未能履行合同规定的义务，买方有权从履约保证金中取得补偿。</w:t>
      </w:r>
      <w:r>
        <w:rPr>
          <w:rFonts w:hint="eastAsia" w:ascii="宋体" w:hAnsi="宋体" w:eastAsia="宋体" w:cs="宋体"/>
          <w:i/>
          <w:u w:val="single"/>
        </w:rPr>
      </w:r>
      <w:r/>
    </w:p>
    <w:p>
      <w:pPr>
        <w:pStyle w:val="977"/>
        <w:spacing w:before="177" w:after="177" w:line="415" w:lineRule="auto"/>
        <w:rPr>
          <w:rFonts w:hint="eastAsia" w:ascii="宋体" w:hAnsi="宋体" w:eastAsia="宋体" w:cs="宋体"/>
          <w:bCs w:val="0"/>
          <w:sz w:val="21"/>
          <w:szCs w:val="21"/>
        </w:rPr>
      </w:pPr>
      <w:r/>
      <w:bookmarkStart w:id="227" w:name="_Toc462564119"/>
      <w:r/>
      <w:bookmarkStart w:id="228" w:name="_Toc399853488"/>
      <w:r/>
      <w:bookmarkStart w:id="229" w:name="_Toc282446313"/>
      <w:r/>
      <w:bookmarkStart w:id="230" w:name="_Toc16938576"/>
      <w:r/>
      <w:bookmarkStart w:id="231" w:name="_Toc120614239"/>
      <w:r/>
      <w:bookmarkStart w:id="232" w:name="_Toc399658021"/>
      <w:r/>
      <w:bookmarkStart w:id="233" w:name="_Toc20823332"/>
      <w:r/>
      <w:bookmarkStart w:id="234" w:name="_Toc399227846"/>
      <w:r/>
      <w:bookmarkStart w:id="235" w:name="_Toc399228179"/>
      <w:r/>
      <w:bookmarkStart w:id="236" w:name="_Toc513029260"/>
      <w:r/>
      <w:bookmarkStart w:id="237" w:name="_Toc288030349"/>
      <w:r/>
      <w:bookmarkStart w:id="238" w:name="_Toc416720368"/>
      <w:r>
        <w:rPr>
          <w:rFonts w:hint="eastAsia" w:ascii="宋体" w:hAnsi="宋体" w:eastAsia="宋体" w:cs="宋体"/>
          <w:bCs w:val="0"/>
          <w:sz w:val="21"/>
          <w:szCs w:val="21"/>
        </w:rPr>
        <w:t xml:space="preserve">10、仲裁</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10.1</w:t>
      </w:r>
      <w:r>
        <w:rPr>
          <w:rFonts w:hint="eastAsia" w:ascii="宋体" w:hAnsi="宋体" w:eastAsia="宋体" w:cs="宋体"/>
        </w:rPr>
        <w:t xml:space="preserve">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10.2</w:t>
      </w:r>
      <w:r>
        <w:rPr>
          <w:rFonts w:hint="eastAsia" w:ascii="宋体" w:hAnsi="宋体" w:eastAsia="宋体" w:cs="宋体"/>
        </w:rPr>
        <w:t xml:space="preserve">仲裁应根据《中华人民共和国仲裁法》的规定向泰州仲裁委员会申请仲裁。</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10.3</w:t>
      </w:r>
      <w:r>
        <w:rPr>
          <w:rFonts w:hint="eastAsia" w:ascii="宋体" w:hAnsi="宋体" w:eastAsia="宋体" w:cs="宋体"/>
        </w:rPr>
        <w:t xml:space="preserve">仲裁裁决为最终裁决，对买方和卖方均有约束力。</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10.4</w:t>
      </w:r>
      <w:r>
        <w:rPr>
          <w:rFonts w:hint="eastAsia" w:ascii="宋体" w:hAnsi="宋体" w:eastAsia="宋体" w:cs="宋体"/>
        </w:rPr>
        <w:t xml:space="preserve">在仲裁期间，本合同应继续执行。</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39" w:name="_Toc288030350"/>
      <w:r/>
      <w:bookmarkStart w:id="240" w:name="_Toc399658022"/>
      <w:r/>
      <w:bookmarkStart w:id="241" w:name="_Toc416720369"/>
      <w:r/>
      <w:bookmarkStart w:id="242" w:name="_Toc399228180"/>
      <w:r/>
      <w:bookmarkStart w:id="243" w:name="_Toc399227847"/>
      <w:r/>
      <w:bookmarkStart w:id="244" w:name="_Toc120614240"/>
      <w:r/>
      <w:bookmarkStart w:id="245" w:name="_Toc513029261"/>
      <w:r/>
      <w:bookmarkStart w:id="246" w:name="_Toc282446314"/>
      <w:r/>
      <w:bookmarkStart w:id="247" w:name="_Toc399853489"/>
      <w:r/>
      <w:bookmarkStart w:id="248" w:name="_Toc16938577"/>
      <w:r/>
      <w:bookmarkStart w:id="249" w:name="_Toc20823333"/>
      <w:r/>
      <w:bookmarkStart w:id="250" w:name="_Toc462564120"/>
      <w:r>
        <w:rPr>
          <w:rFonts w:hint="eastAsia" w:ascii="宋体" w:hAnsi="宋体" w:eastAsia="宋体" w:cs="宋体"/>
          <w:bCs w:val="0"/>
          <w:sz w:val="21"/>
          <w:szCs w:val="21"/>
        </w:rPr>
        <w:t xml:space="preserve">11、违约终止合同</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eastAsia="宋体" w:cs="宋体"/>
          <w:bCs w:val="0"/>
          <w:sz w:val="21"/>
          <w:szCs w:val="21"/>
        </w:rPr>
      </w:r>
      <w:r/>
    </w:p>
    <w:p>
      <w:pPr>
        <w:pStyle w:val="974"/>
        <w:ind w:right="17" w:firstLine="526"/>
        <w:rPr>
          <w:rFonts w:hint="eastAsia" w:ascii="宋体" w:hAnsi="宋体" w:eastAsia="宋体" w:cs="宋体"/>
        </w:rPr>
      </w:pPr>
      <w:r>
        <w:rPr>
          <w:rFonts w:hint="eastAsia" w:ascii="宋体" w:hAnsi="宋体" w:eastAsia="宋体" w:cs="宋体"/>
          <w:b/>
        </w:rPr>
        <w:t xml:space="preserve">11.1</w:t>
      </w:r>
      <w:r>
        <w:rPr>
          <w:rFonts w:hint="eastAsia" w:ascii="宋体" w:hAnsi="宋体" w:eastAsia="宋体" w:cs="宋体"/>
        </w:rPr>
        <w:t xml:space="preserve">在买方对卖方违约而采取的任何补救措施不受影响的情况下，买方可向卖方发出终止部分或全部合同的书面通知书。</w:t>
      </w:r>
      <w:r>
        <w:rPr>
          <w:rFonts w:hint="eastAsia" w:ascii="宋体" w:hAnsi="宋体" w:eastAsia="宋体" w:cs="宋体"/>
        </w:rPr>
      </w:r>
      <w:r/>
    </w:p>
    <w:p>
      <w:pPr>
        <w:pStyle w:val="974"/>
        <w:ind w:left="775"/>
        <w:rPr>
          <w:rFonts w:hint="eastAsia" w:ascii="宋体" w:hAnsi="宋体" w:eastAsia="宋体" w:cs="宋体"/>
        </w:rPr>
      </w:pPr>
      <w:r>
        <w:rPr>
          <w:rFonts w:hint="eastAsia" w:ascii="宋体" w:hAnsi="宋体" w:eastAsia="宋体" w:cs="宋体"/>
        </w:rPr>
        <w:t xml:space="preserve"> (1)如果卖方未能按合同规定的期限或买方同意延长的限期内提供部分或全部服务；</w:t>
      </w:r>
      <w:r>
        <w:rPr>
          <w:rFonts w:hint="eastAsia" w:ascii="宋体" w:hAnsi="宋体" w:eastAsia="宋体" w:cs="宋体"/>
        </w:rPr>
      </w:r>
      <w:r/>
    </w:p>
    <w:p>
      <w:pPr>
        <w:pStyle w:val="974"/>
        <w:ind w:left="775"/>
        <w:rPr>
          <w:rFonts w:hint="eastAsia" w:ascii="宋体" w:hAnsi="宋体" w:eastAsia="宋体" w:cs="宋体"/>
        </w:rPr>
      </w:pPr>
      <w:r>
        <w:rPr>
          <w:rFonts w:hint="eastAsia" w:ascii="宋体" w:hAnsi="宋体" w:eastAsia="宋体" w:cs="宋体"/>
        </w:rPr>
        <w:t xml:space="preserve"> (2)卖方在收到买方发出的违约通知后20天内，或经买方书面认可延长的时间内未能纠正其过失；</w:t>
      </w:r>
      <w:r>
        <w:rPr>
          <w:rFonts w:hint="eastAsia" w:ascii="宋体" w:hAnsi="宋体" w:eastAsia="宋体" w:cs="宋体"/>
        </w:rPr>
      </w:r>
      <w:r/>
    </w:p>
    <w:p>
      <w:pPr>
        <w:pStyle w:val="974"/>
        <w:ind w:firstLine="789"/>
        <w:rPr>
          <w:rFonts w:hint="eastAsia" w:ascii="宋体" w:hAnsi="宋体" w:eastAsia="宋体" w:cs="宋体"/>
        </w:rPr>
      </w:pPr>
      <w:r>
        <w:rPr>
          <w:rFonts w:hint="eastAsia" w:ascii="宋体" w:hAnsi="宋体" w:eastAsia="宋体" w:cs="宋体"/>
        </w:rPr>
        <w:t xml:space="preserve"> (3)如果卖方未能履行合同规定的其他义务。</w:t>
      </w:r>
      <w:r>
        <w:rPr>
          <w:rFonts w:hint="eastAsia" w:ascii="宋体" w:hAnsi="宋体" w:eastAsia="宋体" w:cs="宋体"/>
        </w:rPr>
      </w:r>
      <w:r/>
    </w:p>
    <w:p>
      <w:pPr>
        <w:pStyle w:val="974"/>
        <w:ind w:right="17" w:firstLine="526"/>
        <w:rPr>
          <w:rFonts w:hint="eastAsia" w:ascii="宋体" w:hAnsi="宋体" w:eastAsia="宋体" w:cs="宋体"/>
        </w:rPr>
      </w:pPr>
      <w:r>
        <w:rPr>
          <w:rFonts w:hint="eastAsia" w:ascii="宋体" w:hAnsi="宋体" w:eastAsia="宋体" w:cs="宋体"/>
          <w:b/>
        </w:rPr>
        <w:t xml:space="preserve">11.2</w:t>
      </w:r>
      <w:r>
        <w:rPr>
          <w:rFonts w:hint="eastAsia" w:ascii="宋体" w:hAnsi="宋体" w:eastAsia="宋体" w:cs="宋体"/>
        </w:rPr>
        <w:t xml:space="preserve">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51" w:name="_Toc120614241"/>
      <w:r/>
      <w:bookmarkStart w:id="252" w:name="_Toc416720370"/>
      <w:r/>
      <w:bookmarkStart w:id="253" w:name="_Toc399228181"/>
      <w:r/>
      <w:bookmarkStart w:id="254" w:name="_Toc20823334"/>
      <w:r/>
      <w:bookmarkStart w:id="255" w:name="_Toc282446315"/>
      <w:r/>
      <w:bookmarkStart w:id="256" w:name="_Toc462564121"/>
      <w:r/>
      <w:bookmarkStart w:id="257" w:name="_Toc288030351"/>
      <w:r/>
      <w:bookmarkStart w:id="258" w:name="_Toc399227848"/>
      <w:r/>
      <w:bookmarkStart w:id="259" w:name="_Toc399658023"/>
      <w:r/>
      <w:bookmarkStart w:id="260" w:name="_Toc513029262"/>
      <w:r/>
      <w:bookmarkStart w:id="261" w:name="_Toc16938578"/>
      <w:r/>
      <w:bookmarkStart w:id="262" w:name="_Toc399853490"/>
      <w:r>
        <w:rPr>
          <w:rFonts w:hint="eastAsia" w:ascii="宋体" w:hAnsi="宋体" w:eastAsia="宋体" w:cs="宋体"/>
          <w:bCs w:val="0"/>
          <w:sz w:val="21"/>
          <w:szCs w:val="21"/>
        </w:rPr>
        <w:t xml:space="preserve">12、破产中止合同</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12.1</w:t>
      </w:r>
      <w:r>
        <w:rPr>
          <w:rFonts w:hint="eastAsia" w:ascii="宋体" w:hAnsi="宋体" w:eastAsia="宋体" w:cs="宋体"/>
        </w:rPr>
        <w:t xml:space="preserve">如果卖方破产或无清偿能力时，买方在任何时候书面通知卖方中止合同而不给卖方补偿。该中止合同将不损害或影响买方已经或将要采取的补救措施的权利。</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63" w:name="_Toc399228182"/>
      <w:r/>
      <w:bookmarkStart w:id="264" w:name="_Toc416720371"/>
      <w:r/>
      <w:bookmarkStart w:id="265" w:name="_Toc288030352"/>
      <w:r/>
      <w:bookmarkStart w:id="266" w:name="_Toc20823335"/>
      <w:r/>
      <w:bookmarkStart w:id="267" w:name="_Toc282446316"/>
      <w:r/>
      <w:bookmarkStart w:id="268" w:name="_Toc399853491"/>
      <w:r/>
      <w:bookmarkStart w:id="269" w:name="_Toc16938579"/>
      <w:r/>
      <w:bookmarkStart w:id="270" w:name="_Toc513029263"/>
      <w:r/>
      <w:bookmarkStart w:id="271" w:name="_Toc120614242"/>
      <w:r/>
      <w:bookmarkStart w:id="272" w:name="_Toc462564122"/>
      <w:r/>
      <w:bookmarkStart w:id="273" w:name="_Toc399227849"/>
      <w:r/>
      <w:bookmarkStart w:id="274" w:name="_Toc399658024"/>
      <w:r>
        <w:rPr>
          <w:rFonts w:hint="eastAsia" w:ascii="宋体" w:hAnsi="宋体" w:eastAsia="宋体" w:cs="宋体"/>
          <w:bCs w:val="0"/>
          <w:sz w:val="21"/>
          <w:szCs w:val="21"/>
        </w:rPr>
        <w:t xml:space="preserve">13、转让</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13.1</w:t>
      </w:r>
      <w:r>
        <w:rPr>
          <w:rFonts w:hint="eastAsia" w:ascii="宋体" w:hAnsi="宋体" w:eastAsia="宋体" w:cs="宋体"/>
        </w:rPr>
        <w:t xml:space="preserve">除买方事先书面同意外，卖方不得部分转让或全部转让其应履行的合同义务。</w:t>
      </w:r>
      <w:r>
        <w:rPr>
          <w:rFonts w:hint="eastAsia" w:ascii="宋体" w:hAnsi="宋体" w:eastAsia="宋体" w:cs="宋体"/>
        </w:rPr>
      </w:r>
      <w:r/>
    </w:p>
    <w:p>
      <w:pPr>
        <w:pStyle w:val="977"/>
        <w:spacing w:before="177" w:after="177" w:line="415" w:lineRule="auto"/>
        <w:rPr>
          <w:rFonts w:hint="eastAsia" w:ascii="宋体" w:hAnsi="宋体" w:eastAsia="宋体" w:cs="宋体"/>
          <w:bCs w:val="0"/>
          <w:sz w:val="21"/>
          <w:szCs w:val="21"/>
        </w:rPr>
      </w:pPr>
      <w:r/>
      <w:bookmarkStart w:id="275" w:name="_Toc399658025"/>
      <w:r/>
      <w:bookmarkStart w:id="276" w:name="_Toc399228183"/>
      <w:r/>
      <w:bookmarkStart w:id="277" w:name="_Toc20823336"/>
      <w:r/>
      <w:bookmarkStart w:id="278" w:name="_Toc282446317"/>
      <w:r/>
      <w:bookmarkStart w:id="279" w:name="_Toc513029264"/>
      <w:r/>
      <w:bookmarkStart w:id="280" w:name="_Toc399227850"/>
      <w:r/>
      <w:bookmarkStart w:id="281" w:name="_Toc120614243"/>
      <w:r/>
      <w:bookmarkStart w:id="282" w:name="_Toc288030353"/>
      <w:r/>
      <w:bookmarkStart w:id="283" w:name="_Toc399853492"/>
      <w:r/>
      <w:bookmarkStart w:id="284" w:name="_Toc16938580"/>
      <w:r/>
      <w:bookmarkStart w:id="285" w:name="_Toc416720372"/>
      <w:r/>
      <w:bookmarkStart w:id="286" w:name="_Toc462564123"/>
      <w:r>
        <w:rPr>
          <w:rFonts w:hint="eastAsia" w:ascii="宋体" w:hAnsi="宋体" w:eastAsia="宋体" w:cs="宋体"/>
          <w:bCs w:val="0"/>
          <w:sz w:val="21"/>
          <w:szCs w:val="21"/>
        </w:rPr>
        <w:t xml:space="preserve">14、合同生效及其它</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Pr>
          <w:rFonts w:hint="eastAsia" w:ascii="宋体" w:hAnsi="宋体" w:eastAsia="宋体" w:cs="宋体"/>
          <w:bCs w:val="0"/>
          <w:sz w:val="21"/>
          <w:szCs w:val="21"/>
        </w:rPr>
      </w:r>
      <w:r/>
    </w:p>
    <w:p>
      <w:pPr>
        <w:pStyle w:val="974"/>
        <w:ind w:firstLine="526"/>
        <w:rPr>
          <w:rFonts w:hint="eastAsia" w:ascii="宋体" w:hAnsi="宋体" w:eastAsia="宋体" w:cs="宋体"/>
        </w:rPr>
      </w:pPr>
      <w:r>
        <w:rPr>
          <w:rFonts w:hint="eastAsia" w:ascii="宋体" w:hAnsi="宋体" w:eastAsia="宋体" w:cs="宋体"/>
          <w:b/>
        </w:rPr>
        <w:t xml:space="preserve">14.1</w:t>
      </w:r>
      <w:r>
        <w:rPr>
          <w:rFonts w:hint="eastAsia" w:ascii="宋体" w:hAnsi="宋体" w:eastAsia="宋体" w:cs="宋体"/>
        </w:rPr>
        <w:t xml:space="preserve">合同应在买方、卖方、见证方签字，并在卖方向见证方交纳履约保证金后生效。</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14.2</w:t>
      </w:r>
      <w:r>
        <w:rPr>
          <w:rFonts w:hint="eastAsia" w:ascii="宋体" w:hAnsi="宋体" w:eastAsia="宋体" w:cs="宋体"/>
        </w:rPr>
        <w:t xml:space="preserve">本合同一式五份，以中文书写，买方，卖方、见证方各执一份。</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14.3</w:t>
      </w:r>
      <w:r>
        <w:rPr>
          <w:rFonts w:hint="eastAsia" w:ascii="宋体" w:hAnsi="宋体" w:eastAsia="宋体" w:cs="宋体"/>
        </w:rPr>
        <w:t xml:space="preserve">如需修改或补充合同内容，应经买方、卖方、见证方协商一致，签署书面修改或补充协议。该协议将作为本合同不可分割的一部分。</w:t>
      </w:r>
      <w:r>
        <w:rPr>
          <w:rFonts w:hint="eastAsia" w:ascii="宋体" w:hAnsi="宋体" w:eastAsia="宋体" w:cs="宋体"/>
        </w:rPr>
      </w:r>
      <w:r/>
    </w:p>
    <w:p>
      <w:pPr>
        <w:pStyle w:val="974"/>
        <w:ind w:firstLine="526"/>
        <w:rPr>
          <w:rFonts w:hint="eastAsia" w:ascii="宋体" w:hAnsi="宋体" w:eastAsia="宋体" w:cs="宋体"/>
        </w:rPr>
      </w:pPr>
      <w:r>
        <w:rPr>
          <w:rFonts w:hint="eastAsia" w:ascii="宋体" w:hAnsi="宋体" w:eastAsia="宋体" w:cs="宋体"/>
          <w:b/>
        </w:rPr>
        <w:t xml:space="preserve">14.4</w:t>
      </w:r>
      <w:r>
        <w:rPr>
          <w:rFonts w:hint="eastAsia" w:ascii="宋体" w:hAnsi="宋体" w:eastAsia="宋体" w:cs="宋体"/>
        </w:rPr>
        <w:t xml:space="preserve">本合同应按照中华人民共和国的现行法律进行解释。</w:t>
      </w:r>
      <w:r>
        <w:rPr>
          <w:rFonts w:hint="eastAsia" w:ascii="宋体" w:hAnsi="宋体" w:eastAsia="宋体" w:cs="宋体"/>
        </w:rPr>
      </w:r>
      <w:r/>
    </w:p>
    <w:p>
      <w:pPr>
        <w:pStyle w:val="976"/>
        <w:rPr>
          <w:rFonts w:hint="eastAsia" w:ascii="宋体" w:hAnsi="宋体" w:cs="宋体"/>
        </w:rPr>
      </w:pPr>
      <w:r/>
      <w:bookmarkStart w:id="287" w:name="_Toc416720373"/>
      <w:r>
        <w:rPr>
          <w:rFonts w:hint="eastAsia" w:ascii="宋体" w:hAnsi="宋体" w:cs="宋体"/>
        </w:rPr>
        <w:t xml:space="preserve">二、专用合同条款部分</w:t>
      </w:r>
      <w:bookmarkEnd w:id="191"/>
      <w:r/>
      <w:bookmarkEnd w:id="192"/>
      <w:r/>
      <w:bookmarkEnd w:id="193"/>
      <w:r/>
      <w:bookmarkEnd w:id="194"/>
      <w:r/>
      <w:bookmarkEnd w:id="195"/>
      <w:r/>
      <w:bookmarkEnd w:id="196"/>
      <w:r/>
      <w:bookmarkEnd w:id="197"/>
      <w:r/>
      <w:bookmarkEnd w:id="198"/>
      <w:r/>
      <w:bookmarkEnd w:id="287"/>
      <w:r>
        <w:rPr>
          <w:rFonts w:hint="eastAsia" w:ascii="宋体" w:hAnsi="宋体" w:cs="宋体"/>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竞争性谈判方式，依据中标结果，决定将采购合同授予乙方。为进一步明确采购人（甲方）和中标人（乙方）采购过程中的权利、义务和经济责任，根据《中华人民共和国民法典》和《中华人民共和国政府采购法》之规定及本项目采购文件、乙方的响应文件等相关资料，经甲方双方充分协商，遵循平等、自愿、公平和诚实信用原则，特订立本合同，以资共同遵守。</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第一条 合同标的</w:t>
      </w:r>
      <w:r>
        <w:rPr>
          <w:rFonts w:hint="eastAsia" w:ascii="宋体" w:hAnsi="宋体" w:eastAsia="宋体" w:cs="宋体"/>
          <w:b/>
          <w:bCs/>
          <w:szCs w:val="21"/>
          <w:highlight w:val="none"/>
        </w:rPr>
      </w:r>
      <w:r/>
    </w:p>
    <w:p>
      <w:pPr>
        <w:pStyle w:val="974"/>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1.项目名称：</w:t>
      </w:r>
      <w:r>
        <w:rPr>
          <w:rFonts w:hint="eastAsia" w:ascii="宋体" w:hAnsi="宋体" w:eastAsia="宋体" w:cs="宋体"/>
          <w:color w:val="000000"/>
          <w:szCs w:val="21"/>
          <w:highlight w:val="none"/>
        </w:rPr>
        <w:t xml:space="preserve"> </w:t>
      </w:r>
      <w:r>
        <w:rPr>
          <w:rFonts w:hint="eastAsia" w:ascii="宋体" w:hAnsi="宋体" w:eastAsia="宋体" w:cs="宋体"/>
          <w:szCs w:val="21"/>
          <w:highlight w:val="none"/>
        </w:rPr>
      </w:r>
      <w:r/>
    </w:p>
    <w:p>
      <w:pPr>
        <w:pStyle w:val="974"/>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2.项目编号： </w:t>
      </w:r>
      <w:r>
        <w:rPr>
          <w:rFonts w:hint="eastAsia" w:ascii="宋体" w:hAnsi="宋体" w:eastAsia="宋体" w:cs="宋体"/>
          <w:szCs w:val="21"/>
          <w:highlight w:val="none"/>
        </w:rPr>
      </w:r>
      <w:r/>
    </w:p>
    <w:p>
      <w:pPr>
        <w:pStyle w:val="974"/>
        <w:ind w:firstLine="526"/>
        <w:spacing w:line="40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3.项目内容：</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第二条 合同总价款</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合同总价款：                整，小写￥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合同总价款按此次中标价格执行，</w:t>
      </w:r>
      <w:r>
        <w:rPr>
          <w:rFonts w:hint="eastAsia" w:ascii="宋体" w:hAnsi="宋体" w:eastAsia="宋体" w:cs="宋体"/>
          <w:color w:val="000000"/>
          <w:szCs w:val="21"/>
          <w:highlight w:val="none"/>
        </w:rPr>
        <w:t xml:space="preserve">合同总价应包括</w:t>
      </w:r>
      <w:r>
        <w:rPr>
          <w:rFonts w:hint="eastAsia" w:ascii="宋体" w:hAnsi="宋体" w:eastAsia="宋体" w:cs="宋体"/>
          <w:szCs w:val="21"/>
          <w:highlight w:val="none"/>
        </w:rPr>
        <w:t xml:space="preserve">乙方完成本合同项下全部义务、责任及技术支持、缺陷修补、培训、质保期内的维护、税费等费用</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对于甲方在</w:t>
      </w:r>
      <w:r>
        <w:rPr>
          <w:rFonts w:hint="eastAsia" w:ascii="宋体" w:hAnsi="宋体" w:eastAsia="宋体" w:cs="宋体"/>
          <w:szCs w:val="21"/>
          <w:highlight w:val="none"/>
        </w:rPr>
        <w:t xml:space="preserve">招标</w:t>
      </w:r>
      <w:r>
        <w:rPr>
          <w:rFonts w:hint="eastAsia" w:ascii="宋体" w:hAnsi="宋体" w:eastAsia="宋体" w:cs="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rPr>
          <w:rFonts w:hint="eastAsia" w:ascii="宋体" w:hAnsi="宋体" w:eastAsia="宋体" w:cs="宋体"/>
          <w:color w:val="000000"/>
          <w:szCs w:val="21"/>
          <w:highlight w:val="none"/>
        </w:rPr>
      </w:r>
      <w:r/>
    </w:p>
    <w:p>
      <w:pPr>
        <w:pStyle w:val="974"/>
        <w:numPr>
          <w:ilvl w:val="0"/>
          <w:numId w:val="17"/>
        </w:numPr>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付款方式</w:t>
      </w:r>
      <w:r>
        <w:rPr>
          <w:rFonts w:hint="eastAsia" w:ascii="宋体" w:hAnsi="宋体" w:eastAsia="宋体" w:cs="宋体"/>
          <w:b/>
          <w:bCs/>
          <w:szCs w:val="21"/>
          <w:highlight w:val="none"/>
        </w:rPr>
      </w:r>
      <w:r/>
    </w:p>
    <w:p>
      <w:pPr>
        <w:pStyle w:val="976"/>
        <w:ind w:firstLine="526"/>
        <w:rPr>
          <w:rFonts w:hint="eastAsia" w:ascii="宋体" w:hAnsi="宋体" w:eastAsia="宋体" w:cs="宋体"/>
          <w:b w:val="0"/>
          <w:bCs w:val="0"/>
          <w:color w:val="000000"/>
          <w:sz w:val="26"/>
          <w:szCs w:val="21"/>
          <w:highlight w:val="none"/>
          <w:lang w:val="en-US" w:eastAsia="zh-CN" w:bidi="ar-SA"/>
        </w:rPr>
      </w:pPr>
      <w:r>
        <w:rPr>
          <w:rFonts w:hint="eastAsia" w:ascii="宋体" w:hAnsi="宋体" w:eastAsia="宋体" w:cs="宋体"/>
          <w:b w:val="0"/>
          <w:bCs w:val="0"/>
          <w:color w:val="000000"/>
          <w:sz w:val="26"/>
          <w:szCs w:val="21"/>
          <w:highlight w:val="none"/>
          <w:lang w:val="en-US" w:eastAsia="zh-CN" w:bidi="ar-SA"/>
        </w:rPr>
        <w:t xml:space="preserve">合同签订之后付至合同价的50%，余款在项目验收合格之后一次性付清。</w:t>
      </w:r>
      <w:r>
        <w:rPr>
          <w:rFonts w:hint="eastAsia" w:ascii="宋体" w:hAnsi="宋体" w:eastAsia="宋体" w:cs="宋体"/>
          <w:b w:val="0"/>
          <w:bCs w:val="0"/>
          <w:color w:val="000000"/>
          <w:sz w:val="26"/>
          <w:szCs w:val="21"/>
          <w:highlight w:val="none"/>
          <w:lang w:val="en-US" w:eastAsia="zh-CN" w:bidi="ar-SA"/>
        </w:rPr>
      </w:r>
      <w:r/>
    </w:p>
    <w:p>
      <w:pPr>
        <w:pStyle w:val="974"/>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第四条 合同履行要求</w:t>
      </w:r>
      <w:r>
        <w:rPr>
          <w:rFonts w:hint="eastAsia" w:ascii="宋体" w:hAnsi="宋体" w:eastAsia="宋体" w:cs="宋体"/>
          <w:b/>
          <w:bCs/>
          <w:szCs w:val="21"/>
          <w:highlight w:val="none"/>
        </w:rPr>
      </w:r>
      <w:r/>
    </w:p>
    <w:p>
      <w:pPr>
        <w:pStyle w:val="974"/>
        <w:ind w:firstLine="531"/>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1.合同履行期限：</w:t>
      </w:r>
      <w:r>
        <w:rPr>
          <w:rFonts w:hint="eastAsia" w:ascii="宋体" w:hAnsi="宋体" w:eastAsia="宋体" w:cs="宋体"/>
          <w:szCs w:val="21"/>
          <w:highlight w:val="none"/>
          <w:lang w:val="en-US" w:eastAsia="zh-CN"/>
        </w:rPr>
        <w:t xml:space="preserve">100日历天 </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2.合同履行地点：</w:t>
      </w:r>
      <w:r>
        <w:rPr>
          <w:rFonts w:hint="eastAsia" w:ascii="宋体" w:hAnsi="宋体" w:eastAsia="宋体" w:cs="宋体"/>
          <w:color w:val="000000"/>
          <w:highlight w:val="none"/>
        </w:rPr>
        <w:t xml:space="preserve">用户指定地点</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74"/>
        <w:ind w:firstLine="526"/>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szCs w:val="21"/>
          <w:highlight w:val="none"/>
        </w:rPr>
        <w:t xml:space="preserve">3.履约保证金：</w:t>
      </w:r>
      <w:r>
        <w:rPr>
          <w:rStyle w:val="1129"/>
          <w:rFonts w:hint="eastAsia" w:ascii="宋体" w:hAnsi="宋体" w:eastAsia="宋体" w:cs="宋体"/>
          <w:color w:val="000000"/>
          <w:szCs w:val="21"/>
          <w:highlight w:val="none"/>
          <w:lang w:eastAsia="zh-CN"/>
        </w:rPr>
        <w:t xml:space="preserve">合同价的</w:t>
      </w:r>
      <w:r>
        <w:rPr>
          <w:rStyle w:val="1129"/>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p>
      <w:pPr>
        <w:pStyle w:val="974"/>
        <w:ind w:firstLine="526"/>
        <w:spacing w:line="360" w:lineRule="auto"/>
        <w:rPr>
          <w:rFonts w:hint="eastAsia" w:ascii="宋体" w:hAnsi="宋体" w:eastAsia="宋体" w:cs="宋体"/>
          <w:bCs/>
          <w:highlight w:val="none"/>
          <w:lang w:val="en-US"/>
        </w:rPr>
      </w:pPr>
      <w:r>
        <w:rPr>
          <w:rFonts w:hint="eastAsia" w:ascii="宋体" w:hAnsi="宋体" w:eastAsia="宋体" w:cs="宋体"/>
          <w:szCs w:val="21"/>
          <w:highlight w:val="none"/>
        </w:rPr>
        <w:t xml:space="preserve">4.质保期：</w:t>
      </w:r>
      <w:r>
        <w:rPr>
          <w:rFonts w:hint="eastAsia" w:ascii="宋体" w:hAnsi="宋体" w:eastAsia="宋体" w:cs="宋体"/>
          <w:szCs w:val="21"/>
          <w:highlight w:val="none"/>
          <w:lang w:val="en-US" w:eastAsia="zh-CN"/>
        </w:rPr>
        <w:t xml:space="preserve">  </w:t>
      </w:r>
      <w:r>
        <w:rPr>
          <w:rFonts w:hint="eastAsia" w:ascii="宋体" w:hAnsi="宋体" w:eastAsia="宋体" w:cs="宋体"/>
          <w:bCs/>
          <w:highlight w:val="none"/>
          <w:lang w:val="en-US"/>
        </w:rPr>
      </w:r>
      <w:r/>
    </w:p>
    <w:p>
      <w:pPr>
        <w:pStyle w:val="974"/>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第五条 甲乙双方责任</w:t>
      </w:r>
      <w:r>
        <w:rPr>
          <w:rFonts w:hint="eastAsia" w:ascii="宋体" w:hAnsi="宋体" w:eastAsia="宋体" w:cs="宋体"/>
          <w:b/>
          <w:bCs/>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（一）甲方责任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为项目实施提供必要的场地和便利帮助，按时验收，按时支付合同款项等。</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（二）乙方责任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按采购文件及响应文件要求完成</w:t>
      </w:r>
      <w:r>
        <w:rPr>
          <w:rFonts w:hint="eastAsia" w:ascii="宋体" w:hAnsi="宋体" w:eastAsia="宋体" w:cs="宋体"/>
          <w:szCs w:val="21"/>
          <w:highlight w:val="none"/>
        </w:rPr>
        <w:t xml:space="preserve">项目</w:t>
      </w:r>
      <w:r>
        <w:rPr>
          <w:rFonts w:hint="eastAsia" w:ascii="宋体" w:hAnsi="宋体" w:eastAsia="宋体" w:cs="宋体"/>
          <w:color w:val="000000"/>
          <w:szCs w:val="21"/>
          <w:highlight w:val="none"/>
        </w:rPr>
        <w:t xml:space="preserve">相关内容</w:t>
      </w:r>
      <w:r>
        <w:rPr>
          <w:rFonts w:hint="eastAsia" w:ascii="宋体" w:hAnsi="宋体" w:eastAsia="宋体" w:cs="宋体"/>
          <w:highlight w:val="none"/>
        </w:rPr>
        <w:t xml:space="preserve">。</w:t>
      </w:r>
      <w:r>
        <w:rPr>
          <w:rFonts w:hint="eastAsia" w:ascii="宋体" w:hAnsi="宋体" w:eastAsia="宋体" w:cs="宋体"/>
          <w:highlight w:val="none"/>
        </w:rPr>
      </w:r>
      <w:r/>
    </w:p>
    <w:p>
      <w:pPr>
        <w:pStyle w:val="974"/>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第六条 违约责任及索赔</w:t>
      </w:r>
      <w:r>
        <w:rPr>
          <w:rFonts w:hint="eastAsia" w:ascii="宋体" w:hAnsi="宋体" w:eastAsia="宋体" w:cs="宋体"/>
          <w:b/>
          <w:bCs/>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1.甲乙双方任何一方违反合同，造成对方经济损失的，应给予对方经济赔偿。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2.如果乙方无正当理由拖延管理或不按合同提供服务，甲方可以加收违约损失赔偿。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3.乙方如给甲方造成的实际损失高于违约金的，对高出违约金的部分乙方应予以赔偿。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4.乙方如迟延履行合同、不完全履行合同，除支付违约金外，乙方仍应继续履行合同；不履行或履行合同不符合约定，甲方均有权解除合同，并就乙方违约给甲方造成的损失向乙方索赔。</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5.甲方不能及时按合同付款，则应当付款逾期第5日起，每日按合同总价款的万分之四向乙方支付滞纳金，甲方应付费用拖欠60日后，乙方有权终止其在本合同中承担的任务及责任。</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6.乙方未能履行合同义务（除不可抗力因素外），不能完成合同约定的内容，甲方有权要求乙方给予甲方经济赔偿。</w:t>
      </w:r>
      <w:r>
        <w:rPr>
          <w:rFonts w:hint="eastAsia" w:ascii="宋体" w:hAnsi="宋体" w:eastAsia="宋体" w:cs="宋体"/>
          <w:highlight w:val="none"/>
        </w:rPr>
      </w:r>
      <w:r/>
    </w:p>
    <w:p>
      <w:pPr>
        <w:pStyle w:val="974"/>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7.如果甲方提出索赔通知后15日内或甲方允许的更长时间内乙方未能予以答复，该索赔应视为已经被乙方接受。甲方将从未付款项中扣除索赔金额，</w:t>
      </w:r>
      <w:r>
        <w:rPr>
          <w:rFonts w:hint="eastAsia" w:ascii="宋体" w:hAnsi="宋体" w:eastAsia="宋体" w:cs="宋体"/>
          <w:color w:val="000000"/>
          <w:szCs w:val="21"/>
          <w:highlight w:val="none"/>
        </w:rPr>
        <w:t xml:space="preserve">并拥有对赔偿不足部分进一步索赔的权利</w:t>
      </w:r>
      <w:r>
        <w:rPr>
          <w:rFonts w:hint="eastAsia" w:ascii="宋体" w:hAnsi="宋体" w:eastAsia="宋体" w:cs="宋体"/>
          <w:highlight w:val="none"/>
        </w:rPr>
        <w:t xml:space="preserve">。</w:t>
      </w:r>
      <w:r>
        <w:rPr>
          <w:rFonts w:hint="eastAsia" w:ascii="宋体" w:hAnsi="宋体" w:eastAsia="宋体" w:cs="宋体"/>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第七条 不可抗力</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第八条 争端的解决</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2.如果调解不成，双方中的任何一方可向人民法院提起诉讼。诉讼由甲方所在地人民法院管辖。</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3.因合同部分履行引发诉讼的，在诉讼期间，除正在进行诉讼的部分外，本合同的其它部分应继续执行。</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第九条 违约终止合同 </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1.在甲方因乙方违约而按合同约定采取的任何补救措施不受影响的情况下，甲方可在下列情况下向乙方发出书面通知，提出终止部分或全部合同。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如果乙方未能在合同规定的限期或甲方同意延长的限期内提供部分或全部服务。</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 如果乙方未能履行合同规定的其它任何义务。 </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3.如果甲方违约，应承担相应的违约责任。</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第十条 合同生效</w:t>
      </w:r>
      <w:r>
        <w:rPr>
          <w:rFonts w:hint="eastAsia" w:ascii="宋体" w:hAnsi="宋体" w:eastAsia="宋体" w:cs="宋体"/>
          <w:b/>
          <w:bCs/>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1.双方签约人为各自法定代表人或被授权代表。</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3.本合同壹式肆份，甲乙双方各执两份，各份具有同等法律效力。</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4.本合同应按照中华人民共和国的现行法律进行解释。</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5.合同修改：除甲乙双方签署书面修改、补充协议，并成为本合同不可分割的一部分之外，本合同条件不得有任何变化或修改。</w:t>
      </w:r>
      <w:r>
        <w:rPr>
          <w:rFonts w:hint="eastAsia" w:ascii="宋体" w:hAnsi="宋体" w:eastAsia="宋体" w:cs="宋体"/>
          <w:color w:val="000000"/>
          <w:szCs w:val="21"/>
          <w:highlight w:val="none"/>
        </w:rPr>
      </w:r>
      <w:r/>
    </w:p>
    <w:p>
      <w:pPr>
        <w:pStyle w:val="974"/>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                           地址： </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                            地址：</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rPr>
          <w:rFonts w:hint="eastAsia" w:ascii="宋体" w:hAnsi="宋体" w:eastAsia="宋体" w:cs="宋体"/>
          <w:color w:val="000000"/>
          <w:szCs w:val="21"/>
          <w:highlight w:val="none"/>
        </w:rPr>
      </w:r>
      <w:r/>
    </w:p>
    <w:p>
      <w:pPr>
        <w:pStyle w:val="974"/>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rPr>
      </w:r>
      <w:r/>
    </w:p>
    <w:p>
      <w:pPr>
        <w:pStyle w:val="974"/>
        <w:ind w:firstLine="526"/>
        <w:spacing w:line="260" w:lineRule="exact"/>
        <w:rPr>
          <w:rFonts w:hint="eastAsia" w:ascii="宋体" w:hAnsi="宋体" w:eastAsia="宋体" w:cs="宋体"/>
        </w:rPr>
      </w:pPr>
      <w:r>
        <w:rPr>
          <w:rFonts w:hint="eastAsia" w:ascii="宋体" w:hAnsi="宋体" w:eastAsia="宋体" w:cs="宋体"/>
          <w:color w:val="000000"/>
          <w:szCs w:val="21"/>
          <w:highlight w:val="none"/>
        </w:rPr>
        <w:t xml:space="preserve">                                               签订日期：  年  月  日</w:t>
      </w:r>
      <w:r>
        <w:rPr>
          <w:rFonts w:hint="eastAsia" w:ascii="宋体" w:hAnsi="宋体" w:eastAsia="宋体" w:cs="宋体"/>
        </w:rPr>
      </w:r>
      <w:r/>
    </w:p>
    <w:p>
      <w:pPr>
        <w:pStyle w:val="974"/>
        <w:rPr>
          <w:rFonts w:hint="eastAsia" w:ascii="仿宋_GB2312" w:hAnsi="仿宋" w:eastAsia="仿宋_GB2312"/>
          <w:sz w:val="24"/>
          <w:szCs w:val="24"/>
        </w:rPr>
        <w:outlineLvl w:val="0"/>
      </w:pPr>
      <w:r>
        <w:rPr>
          <w:rFonts w:hint="eastAsia" w:ascii="仿宋_GB2312" w:hAnsi="仿宋" w:eastAsia="仿宋_GB2312"/>
          <w:sz w:val="24"/>
          <w:szCs w:val="24"/>
        </w:rPr>
      </w:r>
      <w:r/>
    </w:p>
    <w:p>
      <w:pPr>
        <w:pStyle w:val="975"/>
        <w:jc w:val="left"/>
        <w:spacing w:before="0" w:after="0" w:line="240" w:lineRule="auto"/>
        <w:rPr>
          <w:rFonts w:ascii="宋体" w:hAnsi="宋体" w:eastAsia="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olor w:val="000000"/>
          <w:sz w:val="30"/>
          <w:szCs w:val="30"/>
        </w:rPr>
        <w:t xml:space="preserve">第五章 评标办法及标准</w:t>
      </w:r>
      <w:bookmarkEnd w:id="22"/>
      <w:r/>
      <w:bookmarkEnd w:id="23"/>
      <w:r>
        <w:rPr>
          <w:rFonts w:ascii="宋体" w:hAnsi="宋体" w:eastAsia="宋体"/>
          <w:color w:val="000000"/>
          <w:sz w:val="30"/>
          <w:szCs w:val="30"/>
        </w:rPr>
      </w:r>
      <w:r/>
    </w:p>
    <w:p>
      <w:pPr>
        <w:pStyle w:val="974"/>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一、评标办法：</w:t>
      </w:r>
      <w:r>
        <w:rPr>
          <w:rFonts w:ascii="宋体" w:hAnsi="宋体" w:eastAsia="宋体"/>
          <w:b/>
          <w:color w:val="000000"/>
          <w:sz w:val="24"/>
          <w:szCs w:val="24"/>
        </w:rPr>
      </w:r>
      <w:r/>
    </w:p>
    <w:p>
      <w:pPr>
        <w:pStyle w:val="1077"/>
        <w:ind w:firstLine="486"/>
        <w:spacing w:line="360" w:lineRule="auto"/>
        <w:rPr>
          <w:rFonts w:hAnsi="宋体" w:eastAsia="宋体"/>
          <w:color w:val="000000"/>
          <w:sz w:val="24"/>
          <w:szCs w:val="24"/>
        </w:rPr>
      </w:pPr>
      <w:r>
        <w:rPr>
          <w:rFonts w:hint="eastAsia" w:hAnsi="宋体" w:eastAsia="宋体"/>
          <w:color w:val="000000"/>
          <w:sz w:val="24"/>
          <w:szCs w:val="24"/>
        </w:rPr>
        <w:t xml:space="preserve">1、本次招标评标采用为</w:t>
      </w:r>
      <w:r>
        <w:rPr>
          <w:rFonts w:hint="eastAsia" w:hAnsi="宋体" w:eastAsia="宋体"/>
          <w:color w:val="000000"/>
          <w:sz w:val="24"/>
          <w:szCs w:val="24"/>
          <w:u w:val="single"/>
        </w:rPr>
        <w:t xml:space="preserve">综合评分法</w:t>
      </w:r>
      <w:r>
        <w:rPr>
          <w:rFonts w:hint="eastAsia" w:hAnsi="宋体" w:eastAsia="宋体"/>
          <w:color w:val="000000"/>
          <w:sz w:val="24"/>
          <w:szCs w:val="24"/>
        </w:rPr>
        <w:t xml:space="preserve">。即在满足招标文件实质性要求前提下，按照招标文件中规定的评分标准和各项因素进行综合评审后，以评标总得分最高的投标人作为中标候选供应商或中标人。</w:t>
      </w:r>
      <w:r>
        <w:rPr>
          <w:rFonts w:hAnsi="宋体" w:eastAsia="宋体"/>
          <w:color w:val="000000"/>
          <w:sz w:val="24"/>
          <w:szCs w:val="24"/>
        </w:rPr>
      </w:r>
      <w:r/>
    </w:p>
    <w:p>
      <w:pPr>
        <w:pStyle w:val="974"/>
        <w:ind w:firstLine="48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2、评标时，评标委员会成员按照招标文件规定的评分标准，独立对</w:t>
      </w:r>
      <w:r>
        <w:rPr>
          <w:rFonts w:hint="eastAsia" w:eastAsia="宋体"/>
          <w:color w:val="000000"/>
          <w:sz w:val="24"/>
          <w:szCs w:val="24"/>
        </w:rPr>
        <w:t xml:space="preserve">每个投标人的投标文件进行评价、打分</w:t>
      </w:r>
      <w:r>
        <w:rPr>
          <w:rFonts w:hint="eastAsia" w:ascii="宋体" w:hAnsi="宋体" w:eastAsia="宋体"/>
          <w:color w:val="000000"/>
          <w:sz w:val="24"/>
          <w:szCs w:val="24"/>
        </w:rPr>
        <w:t xml:space="preserve">。价格标得分按法规规定的计算公式直接计算取得。技术、商务评审得分和价格标得分相加即为投标人的评标总得分。</w:t>
      </w:r>
      <w:r>
        <w:rPr>
          <w:rFonts w:hint="eastAsia" w:hAnsi="宋体" w:eastAsia="宋体"/>
          <w:color w:val="000000"/>
          <w:sz w:val="24"/>
          <w:szCs w:val="24"/>
        </w:rPr>
        <w:t xml:space="preserve">评分过程中采用“四舍五入”法，并保留小数2位。</w:t>
      </w:r>
      <w:r>
        <w:rPr>
          <w:rFonts w:ascii="宋体" w:hAnsi="宋体" w:eastAsia="宋体"/>
          <w:color w:val="000000"/>
          <w:sz w:val="24"/>
          <w:szCs w:val="24"/>
        </w:rPr>
      </w:r>
      <w:r/>
    </w:p>
    <w:p>
      <w:pPr>
        <w:pStyle w:val="1001"/>
        <w:ind w:firstLine="486"/>
        <w:spacing w:line="400" w:lineRule="exact"/>
        <w:rPr>
          <w:rFonts w:hint="eastAsia" w:hAnsi="宋体" w:eastAsia="宋体"/>
          <w:color w:val="000000"/>
          <w:sz w:val="24"/>
          <w:szCs w:val="24"/>
        </w:rPr>
      </w:pPr>
      <w:r>
        <w:rPr>
          <w:rFonts w:hint="eastAsia" w:hAnsi="宋体" w:eastAsia="宋体"/>
          <w:color w:val="000000"/>
          <w:sz w:val="24"/>
          <w:szCs w:val="24"/>
        </w:rPr>
        <w:t xml:space="preserve">3、</w:t>
      </w:r>
      <w:r>
        <w:rPr>
          <w:rFonts w:hAnsi="宋体" w:eastAsia="宋体"/>
          <w:color w:val="000000"/>
          <w:sz w:val="24"/>
          <w:szCs w:val="24"/>
        </w:rPr>
        <w:t xml:space="preserve">如</w:t>
      </w:r>
      <w:r>
        <w:rPr>
          <w:rFonts w:hint="eastAsia" w:hAnsi="宋体" w:eastAsia="宋体"/>
          <w:color w:val="000000"/>
          <w:sz w:val="24"/>
          <w:szCs w:val="24"/>
        </w:rPr>
        <w:t xml:space="preserve">出现评标总</w:t>
      </w:r>
      <w:r>
        <w:rPr>
          <w:rFonts w:hAnsi="宋体" w:eastAsia="宋体"/>
          <w:color w:val="000000"/>
          <w:sz w:val="24"/>
          <w:szCs w:val="24"/>
        </w:rPr>
        <w:t xml:space="preserve">得分最高的投标人有两个或两个以上的，</w:t>
      </w:r>
      <w:r>
        <w:rPr>
          <w:rFonts w:hint="eastAsia" w:hAnsi="宋体" w:eastAsia="宋体"/>
          <w:color w:val="000000"/>
          <w:sz w:val="24"/>
          <w:szCs w:val="24"/>
        </w:rPr>
        <w:t xml:space="preserve">以</w:t>
      </w:r>
      <w:r>
        <w:rPr>
          <w:rFonts w:hAnsi="宋体" w:eastAsia="宋体"/>
          <w:color w:val="000000"/>
          <w:sz w:val="24"/>
          <w:szCs w:val="24"/>
        </w:rPr>
        <w:t xml:space="preserve">投标报价较低者优先作为中标候选人</w:t>
      </w:r>
      <w:r>
        <w:rPr>
          <w:rFonts w:hint="eastAsia" w:hAnsi="宋体" w:eastAsia="宋体"/>
          <w:color w:val="000000"/>
          <w:sz w:val="24"/>
          <w:szCs w:val="24"/>
        </w:rPr>
        <w:t xml:space="preserve">，</w:t>
      </w:r>
      <w:r>
        <w:rPr>
          <w:rFonts w:hAnsi="宋体" w:eastAsia="宋体"/>
          <w:color w:val="000000"/>
          <w:sz w:val="24"/>
          <w:szCs w:val="24"/>
        </w:rPr>
        <w:t xml:space="preserve">如果</w:t>
      </w:r>
      <w:r>
        <w:rPr>
          <w:rFonts w:hint="eastAsia" w:hAnsi="宋体" w:eastAsia="宋体"/>
          <w:color w:val="000000"/>
          <w:sz w:val="24"/>
          <w:szCs w:val="24"/>
        </w:rPr>
        <w:t xml:space="preserve">投标报</w:t>
      </w:r>
      <w:r>
        <w:rPr>
          <w:rFonts w:hAnsi="宋体" w:eastAsia="宋体"/>
          <w:color w:val="000000"/>
          <w:sz w:val="24"/>
          <w:szCs w:val="24"/>
        </w:rPr>
        <w:t xml:space="preserve">价</w:t>
      </w:r>
      <w:r>
        <w:rPr>
          <w:rFonts w:hint="eastAsia" w:hAnsi="宋体" w:eastAsia="宋体"/>
          <w:color w:val="000000"/>
          <w:sz w:val="24"/>
          <w:szCs w:val="24"/>
        </w:rPr>
        <w:t xml:space="preserve">也</w:t>
      </w:r>
      <w:r>
        <w:rPr>
          <w:rFonts w:hAnsi="宋体" w:eastAsia="宋体"/>
          <w:color w:val="000000"/>
          <w:sz w:val="24"/>
          <w:szCs w:val="24"/>
        </w:rPr>
        <w:t xml:space="preserve">相同的，则由公证机构组织以抽签方式确定中标候选</w:t>
      </w:r>
      <w:r>
        <w:rPr>
          <w:rFonts w:hint="eastAsia" w:hAnsi="宋体" w:eastAsia="宋体"/>
          <w:color w:val="000000"/>
          <w:sz w:val="24"/>
          <w:szCs w:val="24"/>
        </w:rPr>
        <w:t xml:space="preserve">供应商或</w:t>
      </w:r>
      <w:r>
        <w:rPr>
          <w:rFonts w:hint="eastAsia" w:hAnsi="宋体" w:eastAsia="宋体"/>
          <w:color w:val="000000"/>
          <w:sz w:val="24"/>
          <w:szCs w:val="24"/>
          <w:lang w:eastAsia="zh-CN"/>
        </w:rPr>
        <w:t xml:space="preserve">中标人</w:t>
      </w:r>
      <w:r>
        <w:rPr>
          <w:rFonts w:hAnsi="宋体" w:eastAsia="宋体"/>
          <w:color w:val="000000"/>
          <w:sz w:val="24"/>
          <w:szCs w:val="24"/>
        </w:rPr>
        <w:t xml:space="preserve">。</w:t>
      </w:r>
      <w:r>
        <w:rPr>
          <w:rFonts w:hint="eastAsia" w:hAnsi="宋体" w:eastAsia="宋体"/>
          <w:color w:val="000000"/>
          <w:sz w:val="24"/>
          <w:szCs w:val="24"/>
        </w:rPr>
      </w:r>
      <w:r/>
    </w:p>
    <w:p>
      <w:pPr>
        <w:pStyle w:val="974"/>
        <w:ind w:firstLine="420"/>
        <w:spacing w:line="360" w:lineRule="auto"/>
        <w:rPr>
          <w:rFonts w:hAnsi="宋体" w:eastAsia="宋体"/>
          <w:color w:val="000000"/>
          <w:sz w:val="24"/>
          <w:szCs w:val="24"/>
        </w:rPr>
      </w:pPr>
      <w:r>
        <w:rPr>
          <w:rFonts w:hint="eastAsia" w:hAnsi="宋体" w:eastAsia="宋体"/>
          <w:color w:val="000000"/>
          <w:sz w:val="24"/>
          <w:szCs w:val="24"/>
        </w:rPr>
        <w:t xml:space="preserve">4、评分标准：</w:t>
      </w:r>
      <w:r>
        <w:rPr>
          <w:rFonts w:hAnsi="宋体" w:eastAsia="宋体"/>
          <w:color w:val="000000"/>
          <w:sz w:val="24"/>
          <w:szCs w:val="24"/>
        </w:rPr>
      </w:r>
      <w:r/>
    </w:p>
    <w:p>
      <w:pPr>
        <w:pStyle w:val="974"/>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（1）评标采用综合评分法。</w:t>
      </w:r>
      <w:r>
        <w:rPr>
          <w:rFonts w:ascii="宋体" w:hAnsi="宋体" w:eastAsia="宋体"/>
          <w:color w:val="000000"/>
          <w:sz w:val="24"/>
          <w:szCs w:val="24"/>
        </w:rPr>
      </w:r>
      <w:r/>
    </w:p>
    <w:p>
      <w:pPr>
        <w:pStyle w:val="974"/>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（2）评标考虑的主要因素及其权值：</w:t>
      </w:r>
      <w:r>
        <w:rPr>
          <w:rFonts w:ascii="宋体" w:hAnsi="宋体" w:eastAsia="宋体"/>
          <w:color w:val="000000"/>
          <w:sz w:val="24"/>
          <w:szCs w:val="24"/>
        </w:rPr>
      </w:r>
      <w:r/>
    </w:p>
    <w:p>
      <w:pPr>
        <w:pStyle w:val="974"/>
        <w:ind w:firstLine="420"/>
        <w:spacing w:line="360" w:lineRule="auto"/>
        <w:rPr>
          <w:rFonts w:hint="eastAsia" w:ascii="宋体" w:hAnsi="宋体" w:eastAsia="宋体"/>
          <w:sz w:val="24"/>
          <w:szCs w:val="24"/>
        </w:rPr>
      </w:pPr>
      <w:r>
        <w:rPr>
          <w:rFonts w:hint="eastAsia" w:hAnsi="宋体" w:eastAsia="宋体"/>
          <w:color w:val="000000"/>
          <w:sz w:val="24"/>
          <w:szCs w:val="24"/>
        </w:rPr>
        <w:t xml:space="preserve">评委对投标文件的技术及商务响应情况进行评分。评分采用量化方法。</w:t>
      </w:r>
      <w:r>
        <w:rPr>
          <w:rFonts w:hint="eastAsia" w:ascii="宋体" w:hAnsi="宋体" w:eastAsia="宋体"/>
          <w:sz w:val="24"/>
          <w:szCs w:val="24"/>
        </w:rPr>
      </w:r>
      <w:r/>
    </w:p>
    <w:p>
      <w:pPr>
        <w:pStyle w:val="974"/>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pStyle w:val="974"/>
        <w:jc w:val="center"/>
        <w:spacing w:line="480" w:lineRule="auto"/>
        <w:rPr>
          <w:rFonts w:hint="eastAsia" w:ascii="宋体" w:hAnsi="宋体" w:eastAsia="宋体"/>
          <w:b/>
          <w:sz w:val="30"/>
          <w:szCs w:val="30"/>
        </w:rPr>
      </w:pPr>
      <w:r>
        <w:rPr>
          <w:rFonts w:hint="eastAsia" w:ascii="宋体" w:hAnsi="宋体" w:eastAsia="宋体"/>
          <w:b/>
          <w:sz w:val="30"/>
          <w:szCs w:val="30"/>
        </w:rPr>
        <w:br w:type="page" w:clear="all"/>
      </w:r>
      <w:r>
        <w:rPr>
          <w:rFonts w:hint="eastAsia" w:ascii="宋体" w:hAnsi="宋体" w:eastAsia="宋体"/>
          <w:b/>
          <w:sz w:val="30"/>
          <w:szCs w:val="30"/>
        </w:rPr>
        <w:t xml:space="preserve">评标内容及标准</w:t>
      </w:r>
      <w:r>
        <w:rPr>
          <w:rFonts w:hint="eastAsia" w:ascii="宋体" w:hAnsi="宋体" w:eastAsia="宋体"/>
          <w:b/>
          <w:sz w:val="30"/>
          <w:szCs w:val="30"/>
        </w:rPr>
      </w:r>
      <w:r/>
    </w:p>
    <w:p>
      <w:pPr>
        <w:pStyle w:val="1001"/>
        <w:rPr>
          <w:rFonts w:hint="eastAsia" w:hAnsi="宋体" w:eastAsia="宋体"/>
          <w:b/>
          <w:sz w:val="30"/>
          <w:szCs w:val="30"/>
          <w:lang w:eastAsia="zh-CN"/>
        </w:rPr>
      </w:pPr>
      <w:r>
        <w:rPr>
          <w:rFonts w:hint="eastAsia" w:hAnsi="宋体" w:eastAsia="宋体"/>
          <w:b/>
          <w:sz w:val="30"/>
          <w:szCs w:val="30"/>
          <w:lang w:eastAsia="zh-CN"/>
        </w:rPr>
        <w:t xml:space="preserve">评标办法</w:t>
      </w:r>
      <w:r>
        <w:rPr>
          <w:rFonts w:hint="eastAsia" w:hAnsi="宋体" w:eastAsia="宋体"/>
          <w:b/>
          <w:sz w:val="30"/>
          <w:szCs w:val="30"/>
          <w:lang w:eastAsia="zh-CN"/>
        </w:rPr>
      </w:r>
      <w:r/>
    </w:p>
    <w:tbl>
      <w:tblPr>
        <w:tblW w:w="5248"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2"/>
        <w:gridCol w:w="1491"/>
        <w:gridCol w:w="7085"/>
        <w:gridCol w:w="736"/>
      </w:tblGrid>
      <w:tr>
        <w:trPr>
          <w:trHeight w:val="617"/>
        </w:trPr>
        <w:tc>
          <w:tcPr>
            <w:gridSpan w:val="2"/>
            <w:tcW w:w="2373"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评审项目</w:t>
            </w:r>
            <w:r>
              <w:rPr>
                <w:rFonts w:hint="eastAsia" w:ascii="宋体" w:hAnsi="宋体" w:eastAsia="宋体" w:cs="宋体"/>
                <w:color w:val="000000"/>
                <w:szCs w:val="21"/>
                <w:highlight w:val="none"/>
              </w:rPr>
            </w:r>
            <w:r/>
          </w:p>
        </w:tc>
        <w:tc>
          <w:tcPr>
            <w:tcW w:w="3475"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spacing w:val="-1"/>
                <w:sz w:val="21"/>
                <w:szCs w:val="21"/>
                <w:highlight w:val="none"/>
              </w:rPr>
              <w:t xml:space="preserve">评审细则</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spacing w:val="-3"/>
                <w:sz w:val="21"/>
                <w:szCs w:val="21"/>
                <w:highlight w:val="none"/>
              </w:rPr>
              <w:t xml:space="preserve">分</w:t>
            </w:r>
            <w:r>
              <w:rPr>
                <w:rFonts w:hint="eastAsia" w:ascii="宋体" w:hAnsi="宋体" w:eastAsia="宋体" w:cs="宋体"/>
                <w:spacing w:val="-2"/>
                <w:sz w:val="21"/>
                <w:szCs w:val="21"/>
                <w:highlight w:val="none"/>
              </w:rPr>
              <w:t xml:space="preserve">值</w:t>
            </w:r>
            <w:r>
              <w:rPr>
                <w:rFonts w:hint="eastAsia" w:ascii="宋体" w:hAnsi="宋体" w:eastAsia="宋体" w:cs="宋体"/>
                <w:color w:val="000000"/>
                <w:szCs w:val="21"/>
                <w:highlight w:val="none"/>
              </w:rPr>
            </w:r>
            <w:r/>
          </w:p>
        </w:tc>
      </w:tr>
      <w:tr>
        <w:trPr>
          <w:trHeight w:val="1251"/>
        </w:trPr>
        <w:tc>
          <w:tcPr>
            <w:gridSpan w:val="2"/>
            <w:tcW w:w="2373" w:type="dxa"/>
            <w:vAlign w:val="center"/>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报价</w:t>
            </w:r>
            <w:r>
              <w:rPr>
                <w:rFonts w:hint="eastAsia" w:ascii="宋体" w:hAnsi="宋体" w:eastAsia="宋体" w:cs="宋体"/>
                <w:color w:val="000000"/>
                <w:szCs w:val="21"/>
                <w:highlight w:val="none"/>
              </w:rPr>
            </w:r>
            <w:r/>
          </w:p>
          <w:p>
            <w:pPr>
              <w:pStyle w:val="97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475" w:type="dxa"/>
            <w:vAlign w:val="center"/>
            <w:textDirection w:val="lrTb"/>
            <w:noWrap w:val="false"/>
          </w:tcPr>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评标基准价=满足招标文件要求且</w:t>
            </w:r>
            <w:r>
              <w:rPr>
                <w:rFonts w:hint="eastAsia" w:ascii="宋体" w:hAnsi="宋体" w:eastAsia="宋体" w:cs="宋体"/>
                <w:color w:val="000000"/>
                <w:highlight w:val="none"/>
                <w:lang w:val="en-US" w:eastAsia="zh-CN"/>
              </w:rPr>
              <w:t xml:space="preserve">价格</w:t>
            </w:r>
            <w:r>
              <w:rPr>
                <w:rFonts w:hint="eastAsia" w:ascii="宋体" w:hAnsi="宋体" w:eastAsia="宋体" w:cs="宋体"/>
                <w:color w:val="000000"/>
                <w:highlight w:val="none"/>
                <w:lang w:val="zh-CN"/>
              </w:rPr>
              <w:t xml:space="preserve">最低的</w:t>
            </w:r>
            <w:r>
              <w:rPr>
                <w:rFonts w:hint="eastAsia" w:ascii="宋体" w:hAnsi="宋体" w:eastAsia="宋体" w:cs="宋体"/>
                <w:color w:val="000000"/>
                <w:highlight w:val="none"/>
                <w:lang w:val="en-US" w:eastAsia="zh-CN"/>
              </w:rPr>
              <w:t xml:space="preserve">投标报价</w:t>
            </w:r>
            <w:r>
              <w:rPr>
                <w:rFonts w:hint="eastAsia" w:ascii="宋体" w:hAnsi="宋体" w:eastAsia="宋体" w:cs="宋体"/>
                <w:color w:val="000000"/>
                <w:highlight w:val="none"/>
                <w:lang w:val="zh-CN"/>
              </w:rPr>
              <w:t xml:space="preserve">；</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基准价得分为满分</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lang w:val="zh-CN"/>
              </w:rPr>
              <w:t xml:space="preserve">分，其他投标人报价得分计算公式如下：</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其他</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lang w:val="zh-CN"/>
              </w:rPr>
              <w:t xml:space="preserve">报价得分=（评标基准价/投标报价）×</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val="zh-CN"/>
              </w:rPr>
              <w:t xml:space="preserve">0%×100；</w:t>
            </w:r>
            <w:r>
              <w:rPr>
                <w:rFonts w:hint="eastAsia" w:ascii="宋体" w:hAnsi="宋体" w:eastAsia="宋体" w:cs="宋体"/>
                <w:color w:val="000000"/>
                <w:highlight w:val="none"/>
                <w:lang w:val="zh-CN"/>
              </w:rPr>
            </w:r>
            <w:r/>
          </w:p>
          <w:p>
            <w:pPr>
              <w:pStyle w:val="974"/>
              <w:spacing w:line="360" w:lineRule="exact"/>
              <w:rPr>
                <w:rFonts w:hint="eastAsia" w:ascii="宋体" w:hAnsi="宋体" w:eastAsia="宋体" w:cs="宋体"/>
                <w:color w:val="000000"/>
                <w:highlight w:val="none"/>
                <w:lang w:val="zh-CN"/>
              </w:rPr>
            </w:pPr>
            <w:r>
              <w:rPr>
                <w:rFonts w:hint="eastAsia" w:ascii="宋体" w:hAnsi="宋体" w:eastAsia="宋体" w:cs="宋体"/>
                <w:color w:val="000000"/>
                <w:highlight w:val="none"/>
                <w:lang w:val="zh-CN"/>
              </w:rPr>
              <w:t xml:space="preserve">（保留二位小数）</w:t>
            </w:r>
            <w:r>
              <w:rPr>
                <w:rFonts w:hint="eastAsia" w:ascii="宋体" w:hAnsi="宋体" w:eastAsia="宋体" w:cs="宋体"/>
                <w:color w:val="000000"/>
                <w:highlight w:val="none"/>
                <w:lang w:val="zh-CN"/>
              </w:rPr>
            </w:r>
            <w:r/>
          </w:p>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lang w:val="zh-CN"/>
              </w:rPr>
              <w:t xml:space="preserve">注：价格得分小数点后保留2位数。</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w:t>
            </w:r>
            <w:r>
              <w:rPr>
                <w:rFonts w:hint="eastAsia" w:ascii="宋体" w:hAnsi="宋体" w:eastAsia="宋体" w:cs="宋体"/>
                <w:color w:val="000000"/>
                <w:szCs w:val="21"/>
                <w:highlight w:val="none"/>
                <w:lang w:val="en-US" w:eastAsia="zh-CN"/>
              </w:rPr>
            </w:r>
            <w:r/>
          </w:p>
        </w:tc>
      </w:tr>
      <w:tr>
        <w:trPr>
          <w:trHeight w:val="1251"/>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3475" w:type="dxa"/>
            <w:vAlign w:val="center"/>
            <w:textDirection w:val="lrTb"/>
            <w:noWrap w:val="false"/>
          </w:tcPr>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供应商提供20</w:t>
            </w:r>
            <w:r>
              <w:rPr>
                <w:rFonts w:hint="eastAsia" w:ascii="宋体" w:hAnsi="宋体" w:eastAsia="宋体" w:cs="宋体"/>
                <w:color w:val="000000"/>
                <w:highlight w:val="none"/>
                <w:lang w:val="en-US" w:eastAsia="zh-CN"/>
              </w:rPr>
              <w:t xml:space="preserve">21</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月1日(以合同签订日期为准) 以来承担过</w:t>
            </w:r>
            <w:r>
              <w:rPr>
                <w:rFonts w:hint="eastAsia" w:ascii="宋体" w:hAnsi="宋体" w:eastAsia="宋体" w:cs="宋体"/>
                <w:color w:val="000000"/>
                <w:sz w:val="21"/>
                <w:szCs w:val="21"/>
                <w:highlight w:val="none"/>
                <w:lang w:val="en-US" w:eastAsia="zh-CN"/>
              </w:rPr>
              <w:t xml:space="preserve">设计、施工过或设计施工一体化</w:t>
            </w:r>
            <w:r>
              <w:rPr>
                <w:rFonts w:hint="eastAsia" w:ascii="宋体" w:hAnsi="宋体" w:eastAsia="宋体" w:cs="宋体"/>
                <w:color w:val="000000"/>
                <w:highlight w:val="none"/>
              </w:rPr>
              <w:t xml:space="preserve">类似展馆（不含博览会展馆）、文化展陈</w:t>
            </w:r>
            <w:r>
              <w:rPr>
                <w:rFonts w:hint="eastAsia" w:ascii="宋体" w:hAnsi="宋体" w:eastAsia="宋体" w:cs="宋体"/>
                <w:color w:val="000000"/>
                <w:highlight w:val="none"/>
                <w:lang w:val="en-US" w:eastAsia="zh-CN"/>
              </w:rPr>
              <w:t xml:space="preserve">业绩</w:t>
            </w:r>
            <w:r>
              <w:rPr>
                <w:rFonts w:hint="eastAsia" w:ascii="宋体" w:hAnsi="宋体" w:eastAsia="宋体" w:cs="宋体"/>
                <w:color w:val="000000"/>
                <w:highlight w:val="none"/>
              </w:rPr>
              <w:t xml:space="preserve">项目每提供一个得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分，最高</w:t>
            </w:r>
            <w:r>
              <w:rPr>
                <w:rFonts w:hint="eastAsia" w:ascii="宋体" w:hAnsi="宋体" w:eastAsia="宋体" w:cs="宋体"/>
                <w:color w:val="000000"/>
                <w:highlight w:val="none"/>
                <w:lang w:val="en-US" w:eastAsia="zh-CN"/>
              </w:rPr>
              <w:t xml:space="preserve">15</w:t>
            </w:r>
            <w:r>
              <w:rPr>
                <w:rFonts w:hint="eastAsia" w:ascii="宋体" w:hAnsi="宋体" w:eastAsia="宋体" w:cs="宋体"/>
                <w:color w:val="000000"/>
                <w:highlight w:val="none"/>
              </w:rPr>
              <w:t xml:space="preserve">分，(提供的合同复印件加盖公章，</w:t>
            </w:r>
            <w:r>
              <w:rPr>
                <w:rFonts w:hint="eastAsia" w:ascii="宋体" w:hAnsi="宋体" w:eastAsia="宋体" w:cs="宋体"/>
                <w:color w:val="000000"/>
                <w:sz w:val="21"/>
                <w:szCs w:val="21"/>
                <w:highlight w:val="none"/>
                <w:lang w:val="en-US" w:eastAsia="zh-CN"/>
              </w:rPr>
              <w:t xml:space="preserve">如合同中未能体现相关内容的还需提供由用户出具的证明材料原件复印件加盖公章</w:t>
            </w:r>
            <w:r>
              <w:rPr>
                <w:rFonts w:hint="eastAsia" w:ascii="宋体" w:hAnsi="宋体" w:eastAsia="宋体" w:cs="宋体"/>
                <w:color w:val="000000"/>
                <w:highlight w:val="none"/>
              </w:rPr>
              <w:t xml:space="preserve">否则不予计分)</w:t>
            </w:r>
            <w:r>
              <w:rPr>
                <w:rFonts w:hint="eastAsia" w:ascii="宋体" w:hAnsi="宋体" w:eastAsia="宋体" w:cs="宋体"/>
                <w:color w:val="000000"/>
                <w:szCs w:val="21"/>
                <w:highlight w:val="none"/>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Cs w:val="21"/>
                <w:highlight w:val="none"/>
                <w:lang w:val="en-US" w:eastAsia="zh-CN"/>
              </w:rPr>
            </w:r>
            <w:r/>
          </w:p>
        </w:tc>
      </w:tr>
      <w:tr>
        <w:trPr>
          <w:trHeight w:val="759"/>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服务承诺</w:t>
            </w:r>
            <w:r>
              <w:rPr>
                <w:rFonts w:hint="eastAsia" w:ascii="宋体" w:hAnsi="宋体" w:eastAsia="宋体" w:cs="宋体"/>
                <w:color w:val="000000"/>
                <w:szCs w:val="21"/>
                <w:highlight w:val="none"/>
                <w:lang w:val="en-US" w:eastAsia="zh-CN"/>
              </w:rPr>
            </w:r>
            <w:r/>
          </w:p>
        </w:tc>
        <w:tc>
          <w:tcPr>
            <w:tcW w:w="3475" w:type="dxa"/>
            <w:vAlign w:val="center"/>
            <w:textDirection w:val="lrTb"/>
            <w:noWrap w:val="false"/>
          </w:tcPr>
          <w:p>
            <w:pPr>
              <w:pStyle w:val="97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供应商提供相应的服务承诺，承诺</w:t>
            </w:r>
            <w:r>
              <w:rPr>
                <w:rFonts w:hint="eastAsia" w:ascii="宋体" w:hAnsi="宋体" w:eastAsia="宋体" w:cs="宋体"/>
                <w:color w:val="000000"/>
                <w:highlight w:val="none"/>
              </w:rPr>
              <w:t xml:space="preserve">质保期</w:t>
            </w:r>
            <w:r>
              <w:rPr>
                <w:rFonts w:hint="eastAsia" w:ascii="宋体" w:hAnsi="宋体" w:eastAsia="宋体" w:cs="宋体"/>
                <w:color w:val="000000"/>
                <w:highlight w:val="none"/>
                <w:lang w:val="en-US" w:eastAsia="zh-CN"/>
              </w:rPr>
              <w:t xml:space="preserve">满1</w:t>
            </w:r>
            <w:r>
              <w:rPr>
                <w:rFonts w:hint="eastAsia" w:ascii="宋体" w:hAnsi="宋体" w:eastAsia="宋体" w:cs="宋体"/>
                <w:color w:val="000000"/>
                <w:highlight w:val="none"/>
              </w:rPr>
              <w:t xml:space="preserve">年的</w:t>
            </w:r>
            <w:r>
              <w:rPr>
                <w:rFonts w:hint="eastAsia" w:ascii="宋体" w:hAnsi="宋体" w:eastAsia="宋体" w:cs="宋体"/>
                <w:color w:val="000000"/>
                <w:highlight w:val="none"/>
                <w:lang w:val="en-US" w:eastAsia="zh-CN"/>
              </w:rPr>
              <w:t xml:space="preserve">得2分</w:t>
            </w:r>
            <w:r>
              <w:rPr>
                <w:rFonts w:hint="eastAsia" w:ascii="宋体" w:hAnsi="宋体" w:eastAsia="宋体" w:cs="宋体"/>
                <w:color w:val="000000"/>
                <w:highlight w:val="none"/>
              </w:rPr>
              <w:t xml:space="preserve">，承诺质保期</w:t>
            </w:r>
            <w:r>
              <w:rPr>
                <w:rFonts w:hint="eastAsia" w:ascii="宋体" w:hAnsi="宋体" w:eastAsia="宋体" w:cs="宋体"/>
                <w:color w:val="000000"/>
                <w:highlight w:val="none"/>
                <w:lang w:val="en-US" w:eastAsia="zh-CN"/>
              </w:rPr>
              <w:t xml:space="preserve">满2年的得4分，承诺质保期满3年的得6分，</w:t>
            </w:r>
            <w:r>
              <w:rPr>
                <w:rFonts w:hint="eastAsia" w:ascii="宋体" w:hAnsi="宋体" w:eastAsia="宋体" w:cs="宋体"/>
                <w:color w:val="000000"/>
                <w:highlight w:val="none"/>
              </w:rPr>
              <w:t xml:space="preserve">最高得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lang w:eastAsia="zh-CN"/>
              </w:rPr>
              <w:t xml:space="preserve">（承诺函格式自拟，加盖供应商公章）</w:t>
            </w:r>
            <w:r>
              <w:rPr>
                <w:rFonts w:hint="eastAsia" w:ascii="宋体" w:hAnsi="宋体" w:eastAsia="宋体" w:cs="宋体"/>
                <w:color w:val="000000"/>
                <w:highlight w:val="none"/>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val="en-US" w:eastAsia="zh-CN"/>
              </w:rPr>
            </w:r>
            <w:r/>
          </w:p>
        </w:tc>
      </w:tr>
      <w:tr>
        <w:trPr>
          <w:trHeight w:val="1251"/>
        </w:trPr>
        <w:tc>
          <w:tcPr>
            <w:gridSpan w:val="2"/>
            <w:tcW w:w="2373" w:type="dxa"/>
            <w:vAlign w:val="center"/>
            <w:textDirection w:val="lrTb"/>
            <w:noWrap w:val="false"/>
          </w:tcPr>
          <w:p>
            <w:pPr>
              <w:pStyle w:val="974"/>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highlight w:val="none"/>
              </w:rPr>
              <w:t xml:space="preserve">卷宗仿制</w:t>
            </w:r>
            <w:r>
              <w:rPr>
                <w:rFonts w:hint="eastAsia" w:ascii="宋体" w:hAnsi="宋体" w:eastAsia="宋体" w:cs="宋体"/>
                <w:color w:val="000000"/>
                <w:szCs w:val="21"/>
                <w:highlight w:val="none"/>
                <w:lang w:val="en-US" w:eastAsia="zh-CN"/>
              </w:rPr>
            </w:r>
            <w:r/>
          </w:p>
        </w:tc>
        <w:tc>
          <w:tcPr>
            <w:tcW w:w="3475" w:type="dxa"/>
            <w:vAlign w:val="center"/>
            <w:textDirection w:val="lrTb"/>
            <w:noWrap w:val="false"/>
          </w:tcPr>
          <w:p>
            <w:pPr>
              <w:pStyle w:val="974"/>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根据布展要求</w:t>
            </w:r>
            <w:r>
              <w:rPr>
                <w:rFonts w:hint="eastAsia" w:ascii="宋体" w:hAnsi="宋体" w:eastAsia="宋体" w:cs="宋体"/>
                <w:color w:val="000000"/>
                <w:highlight w:val="none"/>
              </w:rPr>
              <w:t xml:space="preserve">需展示老卷宗</w:t>
            </w:r>
            <w:r>
              <w:rPr>
                <w:rFonts w:hint="eastAsia" w:ascii="宋体" w:hAnsi="宋体" w:eastAsia="宋体" w:cs="宋体"/>
                <w:color w:val="000000"/>
                <w:szCs w:val="21"/>
                <w:highlight w:val="none"/>
              </w:rPr>
              <w:t xml:space="preserve">文本</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根据提供的实物照片制作</w:t>
            </w:r>
            <w:r>
              <w:rPr>
                <w:rFonts w:hint="eastAsia" w:ascii="宋体" w:hAnsi="宋体" w:eastAsia="宋体" w:cs="宋体"/>
                <w:color w:val="000000"/>
                <w:szCs w:val="21"/>
                <w:highlight w:val="none"/>
              </w:rPr>
              <w:t xml:space="preserve">老卷宗仿制样品</w:t>
            </w:r>
            <w:r>
              <w:rPr>
                <w:rFonts w:hint="eastAsia" w:ascii="宋体" w:hAnsi="宋体" w:eastAsia="宋体" w:cs="宋体"/>
                <w:color w:val="000000"/>
                <w:highlight w:val="none"/>
              </w:rPr>
              <w:t xml:space="preserve">，</w:t>
            </w:r>
            <w:r>
              <w:rPr>
                <w:rFonts w:hint="eastAsia" w:ascii="宋体" w:hAnsi="宋体" w:eastAsia="宋体" w:cs="宋体"/>
                <w:color w:val="000000"/>
                <w:szCs w:val="21"/>
                <w:highlight w:val="none"/>
              </w:rPr>
              <w:t xml:space="preserve">要求仿制品能够真实再现，表现出历史和时间的痕迹</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74"/>
              <w:rPr>
                <w:rFonts w:hint="eastAsia" w:ascii="宋体" w:hAnsi="宋体" w:eastAsia="宋体" w:cs="宋体"/>
                <w:color w:val="000000"/>
                <w:highlight w:val="none"/>
              </w:rPr>
            </w:pPr>
            <w:r>
              <w:rPr>
                <w:rFonts w:hint="eastAsia" w:ascii="宋体" w:hAnsi="宋体" w:eastAsia="宋体" w:cs="宋体"/>
                <w:color w:val="000000"/>
                <w:highlight w:val="none"/>
              </w:rPr>
              <w:t xml:space="preserve">仿制品真实、有历史和时间痕迹，得</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分；仿制品较真实，较有历史和时间痕迹，得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rPr>
            </w:r>
            <w:r/>
          </w:p>
          <w:p>
            <w:pPr>
              <w:pStyle w:val="974"/>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此项评分需提供仿制样品的照片，提供的照片需能从各个角度体现仿制样品的上述得分要点，否则造成的此项得分缺失由供应商自己负责。（注：如供应商提供了仿制样品图片，在供应商中标后，签订合同前，需将提供的仿制样品送至招标人处审查，如与投标文件提供的照片不符或拒不提供的，招标人有权取消其中标资格。）</w:t>
            </w:r>
            <w:r>
              <w:rPr>
                <w:rFonts w:hint="eastAsia" w:ascii="宋体" w:hAnsi="宋体" w:eastAsia="宋体" w:cs="宋体"/>
                <w:color w:val="000000"/>
                <w:highlight w:val="none"/>
                <w:lang w:val="en-US" w:eastAsia="zh-CN"/>
              </w:rPr>
            </w:r>
            <w:r/>
          </w:p>
        </w:tc>
        <w:tc>
          <w:tcPr>
            <w:tcW w:w="36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w:t>
            </w:r>
            <w:r>
              <w:rPr>
                <w:rFonts w:hint="eastAsia" w:ascii="宋体" w:hAnsi="宋体" w:eastAsia="宋体" w:cs="宋体"/>
                <w:color w:val="000000"/>
                <w:szCs w:val="21"/>
                <w:highlight w:val="none"/>
                <w:lang w:val="en-US" w:eastAsia="zh-CN"/>
              </w:rPr>
            </w:r>
            <w:r/>
          </w:p>
        </w:tc>
      </w:tr>
      <w:tr>
        <w:trPr>
          <w:trHeight w:val="2020"/>
        </w:trPr>
        <w:tc>
          <w:tcPr>
            <w:tcW w:w="432" w:type="dxa"/>
            <w:vAlign w:val="center"/>
            <w:vMerge w:val="restart"/>
            <w:textDirection w:val="lrTb"/>
            <w:noWrap w:val="false"/>
          </w:tcPr>
          <w:p>
            <w:pPr>
              <w:pStyle w:val="974"/>
              <w:jc w:val="center"/>
              <w:spacing w:line="280" w:lineRule="exact"/>
              <w:tabs>
                <w:tab w:val="left" w:pos="8400" w:leader="none"/>
              </w:tabs>
              <w:rPr>
                <w:rFonts w:hint="eastAsia" w:ascii="宋体" w:hAnsi="宋体" w:eastAsia="宋体" w:cs="宋体"/>
                <w:color w:val="000000"/>
                <w:szCs w:val="21"/>
                <w:highlight w:val="none"/>
                <w:lang w:val="en-US" w:eastAsia="zh-CN"/>
              </w:rPr>
            </w:pPr>
            <w:r>
              <w:rPr>
                <w:rFonts w:hint="eastAsia" w:ascii="宋体" w:hAnsi="宋体" w:eastAsia="宋体" w:cs="宋体"/>
                <w:color w:val="000000"/>
                <w:spacing w:val="-2"/>
                <w:highlight w:val="none"/>
              </w:rPr>
              <w:t xml:space="preserve">文化艺术品</w:t>
            </w:r>
            <w:r>
              <w:rPr>
                <w:rFonts w:hint="eastAsia" w:ascii="宋体" w:hAnsi="宋体" w:eastAsia="宋体" w:cs="宋体"/>
                <w:color w:val="000000"/>
                <w:spacing w:val="-2"/>
                <w:highlight w:val="none"/>
                <w:lang w:val="en-US" w:eastAsia="zh-CN"/>
              </w:rPr>
              <w:t xml:space="preserve">二次</w:t>
            </w:r>
            <w:r>
              <w:rPr>
                <w:rFonts w:hint="eastAsia" w:ascii="宋体" w:hAnsi="宋体" w:eastAsia="宋体" w:cs="宋体"/>
                <w:color w:val="000000"/>
                <w:spacing w:val="-2"/>
                <w:highlight w:val="none"/>
              </w:rPr>
              <w:t xml:space="preserve">深化</w:t>
            </w:r>
            <w:r>
              <w:rPr>
                <w:rFonts w:hint="eastAsia" w:ascii="宋体" w:hAnsi="宋体" w:eastAsia="宋体" w:cs="宋体"/>
                <w:color w:val="000000"/>
                <w:szCs w:val="21"/>
                <w:highlight w:val="none"/>
                <w:lang w:val="en-US" w:eastAsia="zh-CN"/>
              </w:rPr>
            </w:r>
            <w:r/>
          </w:p>
        </w:tc>
        <w:tc>
          <w:tcPr>
            <w:tcW w:w="73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sz w:val="21"/>
                <w:szCs w:val="21"/>
                <w:highlight w:val="none"/>
                <w:lang w:val="en-US" w:eastAsia="zh-CN"/>
              </w:rPr>
              <w:t xml:space="preserve">一层大厅浮雕壁画二次深化设计(3.9m*2.2m)</w:t>
            </w:r>
            <w:r>
              <w:rPr>
                <w:rFonts w:hint="eastAsia" w:ascii="宋体" w:hAnsi="宋体" w:eastAsia="宋体" w:cs="宋体"/>
                <w:color w:val="000000"/>
                <w:spacing w:val="-2"/>
                <w:highlight w:val="none"/>
              </w:rPr>
            </w:r>
            <w:r/>
          </w:p>
        </w:tc>
        <w:tc>
          <w:tcPr>
            <w:tcW w:w="3475" w:type="dxa"/>
            <w:vAlign w:val="center"/>
            <w:textDirection w:val="lrTb"/>
            <w:noWrap w:val="false"/>
          </w:tcPr>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（1）内容要求：体现泰州地域文化特色、泰州法院文化传承底蕴，以及法治文化的精神内核与鲜明特质，三者有机结合、主题突出。</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（2）线描稿要求：根据效果图由供应商完成二次深化设计，提供浮雕壁画线描稿1幅（</w:t>
            </w:r>
            <w:r>
              <w:rPr>
                <w:rFonts w:hint="eastAsia" w:ascii="宋体" w:hAnsi="宋体" w:eastAsia="宋体" w:cs="宋体"/>
                <w:color w:val="000000"/>
                <w:szCs w:val="21"/>
                <w:highlight w:val="none"/>
              </w:rPr>
              <w:t xml:space="preserve">线稿尺寸为A3图纸</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。要求线条清晰、疏密合理，构图均衡大气、层次明确，可直接用于浮雕壁画的后续制作。</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highlight w:val="none"/>
              </w:rPr>
              <w:t xml:space="preserve">艺术效果表达优秀、制作工艺具有可行性，得</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分；艺术效果表达较优秀、具体，得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分，未提供不得分；</w:t>
            </w:r>
            <w:r>
              <w:rPr>
                <w:rFonts w:hint="eastAsia" w:ascii="宋体" w:hAnsi="宋体" w:eastAsia="宋体" w:cs="宋体"/>
                <w:color w:val="000000"/>
                <w:sz w:val="21"/>
                <w:szCs w:val="21"/>
                <w:highlight w:val="none"/>
                <w:lang w:val="en-US" w:eastAsia="zh-CN"/>
              </w:rPr>
            </w:r>
            <w:r/>
          </w:p>
          <w:p>
            <w:pPr>
              <w:pStyle w:val="974"/>
              <w:jc w:val="left"/>
              <w:spacing w:before="61"/>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r>
      <w:tr>
        <w:trPr>
          <w:trHeight w:val="2020"/>
        </w:trPr>
        <w:tc>
          <w:tcPr>
            <w:tcW w:w="432" w:type="dxa"/>
            <w:vAlign w:val="center"/>
            <w:vMerge w:val="continue"/>
            <w:textDirection w:val="lrTb"/>
            <w:noWrap w:val="false"/>
          </w:tcPr>
          <w:p>
            <w:pPr>
              <w:pStyle w:val="974"/>
              <w:jc w:val="center"/>
              <w:spacing w:line="280" w:lineRule="exact"/>
              <w:tabs>
                <w:tab w:val="left" w:pos="8400" w:leader="none"/>
              </w:tabs>
              <w:rPr>
                <w:highlight w:val="none"/>
              </w:rPr>
            </w:pPr>
            <w:r>
              <w:rPr>
                <w:highlight w:val="none"/>
              </w:rPr>
            </w:r>
            <w:r/>
          </w:p>
        </w:tc>
        <w:tc>
          <w:tcPr>
            <w:tcW w:w="731" w:type="dxa"/>
            <w:vAlign w:val="center"/>
            <w:textDirection w:val="lrTb"/>
            <w:noWrap w:val="false"/>
          </w:tcPr>
          <w:p>
            <w:pPr>
              <w:pStyle w:val="974"/>
              <w:jc w:val="center"/>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sz w:val="21"/>
                <w:szCs w:val="21"/>
                <w:highlight w:val="none"/>
                <w:lang w:val="en-US" w:eastAsia="zh-CN"/>
              </w:rPr>
              <w:t xml:space="preserve">一层主席箴言二次深化设计(6.9m*2.6m)</w:t>
            </w:r>
            <w:r>
              <w:rPr>
                <w:rFonts w:hint="eastAsia" w:ascii="宋体" w:hAnsi="宋体" w:eastAsia="宋体" w:cs="宋体"/>
                <w:color w:val="000000"/>
                <w:spacing w:val="-2"/>
                <w:highlight w:val="none"/>
              </w:rPr>
            </w:r>
            <w:r/>
          </w:p>
        </w:tc>
        <w:tc>
          <w:tcPr>
            <w:tcW w:w="3475" w:type="dxa"/>
            <w:vAlign w:val="center"/>
            <w:textDirection w:val="lrTb"/>
            <w:noWrap w:val="false"/>
          </w:tcPr>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（1）风格与整体要求：作为主席箴言的背景装饰，作品风格需庄重大气，与主席箴言形成呼应、交相辉映，明确主次关系，确保整体视觉统一，符合壁画平面装饰的核心需求。</w:t>
            </w:r>
            <w:r>
              <w:rPr>
                <w:rFonts w:hint="eastAsia" w:ascii="宋体" w:hAnsi="宋体" w:eastAsia="宋体" w:cs="宋体"/>
                <w:color w:val="000000"/>
                <w:sz w:val="21"/>
                <w:szCs w:val="21"/>
                <w:highlight w:val="none"/>
                <w:lang w:val="en-US" w:eastAsia="zh-CN"/>
              </w:rPr>
            </w:r>
            <w:r/>
          </w:p>
          <w:p>
            <w:pPr>
              <w:pStyle w:val="9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（2）线描稿要求：根据效果图由供应商完成二次深化设计，提供壁画线描稿1幅（</w:t>
            </w:r>
            <w:r>
              <w:rPr>
                <w:rFonts w:hint="eastAsia" w:ascii="宋体" w:hAnsi="宋体" w:eastAsia="宋体" w:cs="宋体"/>
                <w:color w:val="000000"/>
                <w:szCs w:val="21"/>
                <w:highlight w:val="none"/>
              </w:rPr>
              <w:t xml:space="preserve">线稿尺寸为A3图纸</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。要求构图均衡协调、疏密得当，线条清晰流畅、层次分明，可直接用于后续雕刻制作。</w:t>
            </w:r>
            <w:r>
              <w:rPr>
                <w:rFonts w:hint="eastAsia" w:ascii="宋体" w:hAnsi="宋体" w:eastAsia="宋体" w:cs="宋体"/>
                <w:color w:val="000000"/>
                <w:sz w:val="21"/>
                <w:szCs w:val="21"/>
                <w:highlight w:val="none"/>
                <w:lang w:val="en-US" w:eastAsia="zh-CN"/>
              </w:rPr>
            </w:r>
            <w:r/>
          </w:p>
          <w:p>
            <w:pPr>
              <w:pStyle w:val="974"/>
              <w:jc w:val="left"/>
              <w:spacing w:line="280" w:lineRule="exact"/>
              <w:tabs>
                <w:tab w:val="left" w:pos="8400" w:leader="none"/>
              </w:tabs>
              <w:rPr>
                <w:rFonts w:hint="eastAsia" w:ascii="宋体" w:hAnsi="宋体" w:eastAsia="宋体" w:cs="宋体"/>
                <w:color w:val="000000"/>
                <w:spacing w:val="-2"/>
                <w:highlight w:val="none"/>
              </w:rPr>
            </w:pPr>
            <w:r>
              <w:rPr>
                <w:rFonts w:hint="eastAsia" w:ascii="宋体" w:hAnsi="宋体" w:eastAsia="宋体" w:cs="宋体"/>
                <w:color w:val="000000"/>
                <w:highlight w:val="none"/>
              </w:rPr>
              <w:t xml:space="preserve">艺术效果表达优秀、制作工艺具有可行性，得</w:t>
            </w: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分；艺术效果表达较优秀、具体，得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分；一般得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分，未提供不得分；</w:t>
            </w:r>
            <w:r>
              <w:rPr>
                <w:rFonts w:hint="eastAsia" w:ascii="宋体" w:hAnsi="宋体" w:eastAsia="宋体" w:cs="宋体"/>
                <w:color w:val="000000"/>
                <w:spacing w:val="-2"/>
                <w:highlight w:val="none"/>
              </w:rPr>
            </w:r>
            <w:r/>
          </w:p>
        </w:tc>
        <w:tc>
          <w:tcPr>
            <w:tcW w:w="361" w:type="dxa"/>
            <w:vAlign w:val="center"/>
            <w:textDirection w:val="lrTb"/>
            <w:noWrap w:val="false"/>
          </w:tcPr>
          <w:p>
            <w:pPr>
              <w:pStyle w:val="974"/>
              <w:jc w:val="center"/>
              <w:spacing w:line="280" w:lineRule="exact"/>
              <w:tabs>
                <w:tab w:val="left" w:pos="8400" w:leader="none"/>
              </w:tabs>
              <w:rPr>
                <w:rFonts w:ascii="宋体" w:hAnsi="宋体" w:eastAsia="宋体" w:cs="宋体"/>
                <w:color w:val="000000"/>
                <w:spacing w:val="-2"/>
                <w:highlight w:val="none"/>
                <w:lang w:val="en-US" w:eastAsia="zh-CN"/>
              </w:rPr>
            </w:pPr>
            <w:r>
              <w:rPr>
                <w:rFonts w:hint="eastAsia" w:ascii="宋体" w:hAnsi="宋体" w:eastAsia="宋体" w:cs="宋体"/>
                <w:color w:val="000000"/>
                <w:spacing w:val="-2"/>
                <w:highlight w:val="none"/>
                <w:lang w:val="en-US" w:eastAsia="zh-CN"/>
              </w:rPr>
              <w:t xml:space="preserve">10</w:t>
            </w:r>
            <w:r>
              <w:rPr>
                <w:rFonts w:ascii="宋体" w:hAnsi="宋体" w:eastAsia="宋体" w:cs="宋体"/>
                <w:color w:val="000000"/>
                <w:spacing w:val="-2"/>
                <w:highlight w:val="none"/>
                <w:lang w:val="en-US" w:eastAsia="zh-CN"/>
              </w:rPr>
            </w:r>
            <w:r/>
          </w:p>
        </w:tc>
      </w:tr>
      <w:tr>
        <w:trPr>
          <w:trHeight w:val="1551"/>
        </w:trPr>
        <w:tc>
          <w:tcPr>
            <w:tcW w:w="432" w:type="dxa"/>
            <w:vAlign w:val="center"/>
            <w:vMerge w:val="restart"/>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布展</w:t>
            </w:r>
            <w:r>
              <w:rPr>
                <w:rFonts w:hint="eastAsia" w:ascii="宋体" w:hAnsi="宋体" w:eastAsia="宋体" w:cs="宋体"/>
                <w:color w:val="000000"/>
                <w:szCs w:val="21"/>
                <w:highlight w:val="none"/>
              </w:rPr>
            </w:r>
            <w:r/>
          </w:p>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实施</w:t>
            </w:r>
            <w:r>
              <w:rPr>
                <w:rFonts w:hint="eastAsia" w:ascii="宋体" w:hAnsi="宋体" w:eastAsia="宋体" w:cs="宋体"/>
                <w:color w:val="000000"/>
                <w:szCs w:val="21"/>
                <w:highlight w:val="none"/>
              </w:rPr>
            </w:r>
            <w:r/>
          </w:p>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项目实施方案</w:t>
            </w:r>
            <w:r>
              <w:rPr>
                <w:rFonts w:hint="eastAsia" w:ascii="宋体" w:hAnsi="宋体" w:eastAsia="宋体" w:cs="宋体"/>
                <w:color w:val="000000"/>
                <w:highlight w:val="none"/>
              </w:rPr>
            </w:r>
            <w:r/>
          </w:p>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3475" w:type="dxa"/>
            <w:vAlign w:val="center"/>
            <w:textDirection w:val="lrTb"/>
            <w:noWrap w:val="false"/>
          </w:tcPr>
          <w:p>
            <w:pPr>
              <w:pStyle w:val="974"/>
              <w:rPr>
                <w:rFonts w:hint="eastAsia" w:ascii="宋体" w:hAnsi="宋体" w:eastAsia="宋体" w:cs="宋体"/>
                <w:color w:val="000000"/>
                <w:szCs w:val="21"/>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提供</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rPr>
              <w:t xml:space="preserve">项目实施方案： 包括安装、调试，项目组人员配备、时间进度安排等进行打分。方案科学、具体、具有可行性，得</w:t>
            </w: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分；方案合理、较具体、基本具有可行性，得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分；方案的合理程度、具体程度、可行性较差，得</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hint="eastAsia" w:ascii="宋体" w:hAnsi="宋体" w:eastAsia="宋体" w:cs="宋体"/>
                <w:color w:val="000000"/>
                <w:szCs w:val="21"/>
                <w:highlight w:val="none"/>
                <w:lang w:val="en-US" w:eastAsia="zh-CN"/>
              </w:rPr>
            </w:r>
            <w:r/>
          </w:p>
        </w:tc>
      </w:tr>
      <w:tr>
        <w:trPr>
          <w:trHeight w:val="1743"/>
        </w:trPr>
        <w:tc>
          <w:tcPr>
            <w:tcW w:w="432" w:type="dxa"/>
            <w:vAlign w:val="center"/>
            <w:vMerge w:val="continue"/>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售后服务</w:t>
            </w:r>
            <w:r>
              <w:rPr>
                <w:rFonts w:hint="eastAsia" w:ascii="宋体" w:hAnsi="宋体" w:eastAsia="宋体" w:cs="宋体"/>
                <w:color w:val="000000"/>
                <w:highlight w:val="none"/>
              </w:rPr>
            </w:r>
            <w:r/>
          </w:p>
        </w:tc>
        <w:tc>
          <w:tcPr>
            <w:tcW w:w="3475" w:type="dxa"/>
            <w:vAlign w:val="center"/>
            <w:textDirection w:val="lrTb"/>
            <w:noWrap w:val="false"/>
          </w:tcPr>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小组根据供应商提供的售后服务方案（如服务体系、服务内容、故障解决方案、专业技术人员保障及服务电话等）综合评分。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优于项目需求，科学合理、针对性强、可行性高的，得</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符合项目需求，较为科学合理、针对性较强、可行性较强的，得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rPr>
            </w:pPr>
            <w:r>
              <w:rPr>
                <w:rFonts w:hint="eastAsia" w:ascii="宋体" w:hAnsi="宋体" w:eastAsia="宋体" w:cs="宋体"/>
                <w:color w:val="000000"/>
                <w:highlight w:val="none"/>
              </w:rPr>
              <w:t xml:space="preserve">基本符合项目需求，科学合理性较差、针对性较低、可行性一般的，得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rPr>
            </w:r>
            <w:r/>
          </w:p>
          <w:p>
            <w:pPr>
              <w:pStyle w:val="974"/>
              <w:jc w:val="left"/>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未提供不得分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eastAsia="zh-CN"/>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r>
        <w:trPr>
          <w:trHeight w:val="1073"/>
        </w:trPr>
        <w:tc>
          <w:tcPr>
            <w:tcW w:w="432" w:type="dxa"/>
            <w:vAlign w:val="center"/>
            <w:vMerge w:val="continue"/>
            <w:textDirection w:val="lrTb"/>
            <w:noWrap w:val="false"/>
          </w:tcPr>
          <w:p>
            <w:pPr>
              <w:pStyle w:val="974"/>
              <w:jc w:val="center"/>
              <w:spacing w:line="2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1" w:type="dxa"/>
            <w:vAlign w:val="center"/>
            <w:textDirection w:val="lrTb"/>
            <w:noWrap w:val="false"/>
          </w:tcPr>
          <w:p>
            <w:pPr>
              <w:pStyle w:val="974"/>
              <w:jc w:val="center"/>
              <w:spacing w:line="280" w:lineRule="exact"/>
              <w:rPr>
                <w:rFonts w:hint="eastAsia" w:ascii="宋体" w:hAnsi="宋体" w:eastAsia="宋体" w:cs="宋体"/>
                <w:color w:val="000000"/>
                <w:highlight w:val="none"/>
              </w:rPr>
            </w:pPr>
            <w:r>
              <w:rPr>
                <w:rFonts w:hint="eastAsia" w:ascii="宋体" w:hAnsi="宋体" w:eastAsia="宋体" w:cs="宋体"/>
                <w:spacing w:val="-2"/>
                <w:sz w:val="21"/>
                <w:szCs w:val="21"/>
                <w:highlight w:val="none"/>
              </w:rPr>
              <w:t xml:space="preserve">验</w:t>
            </w:r>
            <w:r>
              <w:rPr>
                <w:rFonts w:hint="eastAsia" w:ascii="宋体" w:hAnsi="宋体" w:eastAsia="宋体" w:cs="宋体"/>
                <w:spacing w:val="-1"/>
                <w:sz w:val="21"/>
                <w:szCs w:val="21"/>
                <w:highlight w:val="none"/>
              </w:rPr>
              <w:t xml:space="preserve">收方</w:t>
            </w:r>
            <w:r>
              <w:rPr>
                <w:rFonts w:hint="eastAsia" w:ascii="宋体" w:hAnsi="宋体" w:eastAsia="宋体" w:cs="宋体"/>
                <w:sz w:val="21"/>
                <w:szCs w:val="21"/>
                <w:highlight w:val="none"/>
              </w:rPr>
              <w:t xml:space="preserve">案</w:t>
            </w:r>
            <w:r>
              <w:rPr>
                <w:rFonts w:hint="eastAsia" w:ascii="宋体" w:hAnsi="宋体" w:eastAsia="宋体" w:cs="宋体"/>
                <w:color w:val="000000"/>
                <w:highlight w:val="none"/>
              </w:rPr>
            </w:r>
            <w:r/>
          </w:p>
        </w:tc>
        <w:tc>
          <w:tcPr>
            <w:tcW w:w="3475" w:type="dxa"/>
            <w:vAlign w:val="center"/>
            <w:textDirection w:val="lrTb"/>
            <w:noWrap w:val="false"/>
          </w:tcPr>
          <w:p>
            <w:pPr>
              <w:pStyle w:val="974"/>
              <w:jc w:val="left"/>
              <w:rPr>
                <w:rFonts w:hint="eastAsia" w:ascii="宋体" w:hAnsi="宋体" w:eastAsia="宋体" w:cs="宋体"/>
                <w:color w:val="000000"/>
                <w:szCs w:val="21"/>
                <w:highlight w:val="none"/>
              </w:rPr>
            </w:pPr>
            <w:r>
              <w:rPr>
                <w:rFonts w:hint="eastAsia" w:ascii="宋体" w:hAnsi="宋体" w:eastAsia="宋体" w:cs="宋体"/>
                <w:color w:val="000000"/>
                <w:highlight w:val="none"/>
              </w:rPr>
            </w:r>
            <w:r>
              <w:rPr>
                <w:rFonts w:hint="eastAsia" w:ascii="宋体" w:hAnsi="宋体" w:eastAsia="宋体" w:cs="宋体"/>
                <w:color w:val="000000"/>
                <w:highlight w:val="none"/>
              </w:rPr>
              <w:t xml:space="preserve">评审</w:t>
            </w:r>
            <w:r>
              <w:rPr>
                <w:rFonts w:hint="eastAsia" w:ascii="宋体" w:hAnsi="宋体" w:eastAsia="宋体" w:cs="宋体"/>
                <w:color w:val="000000"/>
                <w:highlight w:val="none"/>
              </w:rPr>
              <w:t xml:space="preserve">小组根据</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提供验收方案进行打分。方案科学、具体、具有可行性，得5分；方案合理、较具体、基本具有可行性，得3分；方案的合理程度、具体程度、可行性较差，得1分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未提供不得分。</w:t>
            </w:r>
            <w:r>
              <w:rPr>
                <w:rFonts w:hint="eastAsia" w:ascii="宋体" w:hAnsi="宋体" w:eastAsia="宋体" w:cs="宋体"/>
                <w:color w:val="000000"/>
                <w:szCs w:val="21"/>
                <w:highlight w:val="none"/>
              </w:rPr>
            </w:r>
            <w:r/>
          </w:p>
        </w:tc>
        <w:tc>
          <w:tcPr>
            <w:tcW w:w="361" w:type="dxa"/>
            <w:vAlign w:val="center"/>
            <w:textDirection w:val="lrTb"/>
            <w:noWrap w:val="false"/>
          </w:tcPr>
          <w:p>
            <w:pPr>
              <w:pStyle w:val="974"/>
              <w:ind w:right="6" w:firstLine="263"/>
              <w:spacing w:line="28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lang w:val="en-US" w:eastAsia="zh-CN"/>
              </w:rPr>
            </w:r>
            <w:r/>
          </w:p>
        </w:tc>
      </w:tr>
    </w:tbl>
    <w:p>
      <w:pPr>
        <w:pStyle w:val="985"/>
        <w:ind w:firstLine="486"/>
        <w:rPr>
          <w:lang w:val="en-US" w:eastAsia="zh-CN"/>
        </w:rPr>
      </w:pPr>
      <w:r>
        <w:rPr>
          <w:rFonts w:hint="eastAsia" w:ascii="宋体" w:hAnsi="宋体" w:eastAsia="宋体" w:cs="宋体"/>
          <w:sz w:val="24"/>
        </w:rPr>
        <w:t xml:space="preserve">说明：上述评分标准中须提供相关的各种资格、资质、证书、证明材料等提供复印件加盖公章，供应商必须保证所提供资料的真实性和完整性，如发现存在骗取成交等虚假行为，将依据法律规定取消其中标资格。</w:t>
      </w:r>
      <w:r>
        <w:rPr>
          <w:lang w:val="en-US" w:eastAsia="zh-CN"/>
        </w:rPr>
      </w:r>
      <w:r/>
    </w:p>
    <w:p>
      <w:pPr>
        <w:pStyle w:val="974"/>
        <w:ind w:firstLine="420"/>
        <w:spacing w:line="360" w:lineRule="auto"/>
        <w:rPr>
          <w:rFonts w:ascii="宋体" w:hAnsi="宋体" w:eastAsia="宋体"/>
          <w:b/>
          <w:bCs/>
          <w:sz w:val="24"/>
          <w:szCs w:val="24"/>
        </w:rPr>
      </w:pPr>
      <w:r>
        <w:rPr>
          <w:rFonts w:hint="eastAsia" w:ascii="宋体" w:hAnsi="宋体" w:eastAsia="宋体"/>
          <w:b/>
          <w:bCs/>
          <w:sz w:val="24"/>
          <w:szCs w:val="24"/>
        </w:rPr>
        <w:t xml:space="preserve">三、推荐中标候选人:</w:t>
      </w:r>
      <w:r>
        <w:rPr>
          <w:rFonts w:ascii="宋体" w:hAnsi="宋体" w:eastAsia="宋体"/>
          <w:b/>
          <w:bCs/>
          <w:sz w:val="24"/>
          <w:szCs w:val="24"/>
        </w:rPr>
      </w:r>
      <w:r/>
    </w:p>
    <w:p>
      <w:pPr>
        <w:pStyle w:val="974"/>
        <w:ind w:firstLine="486"/>
        <w:spacing w:line="360" w:lineRule="auto"/>
        <w:rPr>
          <w:rFonts w:hint="eastAsia" w:hAnsi="宋体" w:eastAsia="宋体"/>
          <w:color w:val="000000"/>
          <w:sz w:val="24"/>
          <w:szCs w:val="24"/>
        </w:rPr>
      </w:pPr>
      <w:r>
        <w:rPr>
          <w:rFonts w:hint="eastAsia" w:ascii="宋体" w:hAnsi="宋体" w:eastAsia="宋体"/>
          <w:sz w:val="24"/>
          <w:szCs w:val="24"/>
        </w:rPr>
        <w:t xml:space="preserve">汇总上述各项分值（保留两位小数,小数点后第三位四舍五入），按总得分由高到低的顺序排列,综合得分最高的为中标候选人。</w:t>
      </w:r>
      <w:r>
        <w:rPr>
          <w:rFonts w:hint="eastAsia" w:hAnsi="宋体" w:eastAsia="宋体"/>
          <w:color w:val="000000"/>
          <w:sz w:val="24"/>
          <w:szCs w:val="24"/>
        </w:rPr>
        <w:t xml:space="preserve">排名第一的投标人放弃中标，或因其他情形不具备中标条件的，采购人可依次确定其他投标人为中标候选人，也可依法重新组织采购。</w:t>
      </w:r>
      <w:r>
        <w:rPr>
          <w:rFonts w:hint="eastAsia" w:hAnsi="宋体" w:eastAsia="宋体"/>
          <w:color w:val="000000"/>
          <w:sz w:val="24"/>
          <w:szCs w:val="24"/>
        </w:rPr>
      </w:r>
      <w:r/>
    </w:p>
    <w:p>
      <w:pPr>
        <w:pStyle w:val="974"/>
        <w:jc w:val="center"/>
        <w:spacing w:line="300" w:lineRule="auto"/>
        <w:rPr>
          <w:rFonts w:ascii="宋体" w:hAnsi="宋体" w:eastAsia="宋体"/>
          <w:sz w:val="24"/>
          <w:szCs w:val="24"/>
        </w:rPr>
        <w:sectPr>
          <w:headerReference w:type="default" r:id="rId9"/>
          <w:footerReference w:type="default" r:id="rId10"/>
          <w:footerReference w:type="first" r:id="rId11"/>
          <w:footnotePr/>
          <w:endnotePr/>
          <w:type w:val="nextPage"/>
          <w:pgSz w:w="11906" w:h="16838" w:orient="portrait"/>
          <w:pgMar w:top="1276" w:right="1276" w:bottom="1077" w:left="1134" w:header="680" w:footer="737" w:gutter="0"/>
          <w:cols w:num="1" w:sep="0" w:space="1701" w:equalWidth="1"/>
          <w:docGrid w:linePitch="360"/>
          <w:titlePg/>
        </w:sectPr>
      </w:pPr>
      <w:r/>
      <w:bookmarkStart w:id="288" w:name="_Toc528398513"/>
      <w:r>
        <w:rPr>
          <w:rFonts w:ascii="宋体" w:hAnsi="宋体" w:eastAsia="宋体"/>
          <w:sz w:val="24"/>
          <w:szCs w:val="24"/>
        </w:rPr>
      </w:r>
      <w:r/>
    </w:p>
    <w:p>
      <w:pPr>
        <w:pStyle w:val="1020"/>
        <w:jc w:val="both"/>
        <w:keepLines w:val="0"/>
        <w:keepNext/>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End w:id="288"/>
      <w:r>
        <w:rPr>
          <w:rFonts w:hint="eastAsia" w:ascii="黑体" w:hAnsi="宋体" w:eastAsia="黑体" w:cs="黑体"/>
          <w:color w:val="000000"/>
          <w:sz w:val="44"/>
          <w:szCs w:val="44"/>
          <w:lang w:val="en-US" w:eastAsia="zh-CN"/>
        </w:rPr>
        <w:t xml:space="preserve">附件：</w:t>
      </w:r>
      <w:r>
        <w:rPr>
          <w:rFonts w:hint="eastAsia" w:ascii="黑体" w:hAnsi="宋体" w:eastAsia="黑体" w:cs="黑体"/>
          <w:color w:val="000000"/>
          <w:sz w:val="44"/>
          <w:szCs w:val="44"/>
        </w:rPr>
        <w:t xml:space="preserve">响应文件格式</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289" w:name="_Toc120614282"/>
      <w:r/>
      <w:bookmarkEnd w:id="289"/>
      <w:r/>
      <w:bookmarkStart w:id="290" w:name="_Toc49090576"/>
      <w:r/>
      <w:bookmarkEnd w:id="290"/>
      <w:r>
        <w:rPr>
          <w:rFonts w:hint="eastAsia" w:ascii="宋体" w:hAnsi="宋体" w:eastAsia="宋体" w:cs="宋体"/>
          <w:b/>
          <w:bCs/>
          <w:color w:val="000000"/>
          <w:sz w:val="72"/>
          <w:szCs w:val="72"/>
        </w:rPr>
        <w:t xml:space="preserve">响  应  文  件</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名称：</w:t>
      </w:r>
      <w:r>
        <w:rPr>
          <w:rFonts w:hint="eastAsia" w:ascii="宋体" w:hAnsi="宋体" w:eastAsia="宋体" w:cs="宋体"/>
          <w:b/>
          <w:bCs/>
          <w:color w:val="000000"/>
          <w:sz w:val="36"/>
          <w:szCs w:val="36"/>
          <w:u w:val="single"/>
        </w:rPr>
        <w:t xml:space="preserve">               </w:t>
      </w:r>
      <w:r/>
    </w:p>
    <w:p>
      <w:pPr>
        <w:pStyle w:val="1020"/>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编号：</w:t>
      </w:r>
      <w:r>
        <w:rPr>
          <w:rFonts w:hint="eastAsia" w:ascii="宋体" w:hAnsi="宋体" w:eastAsia="宋体" w:cs="宋体"/>
          <w:b/>
          <w:bCs/>
          <w:color w:val="000000"/>
          <w:sz w:val="36"/>
          <w:szCs w:val="36"/>
          <w:u w:val="single"/>
        </w:rPr>
        <w:t xml:space="preserve">               </w:t>
      </w:r>
      <w:r/>
    </w:p>
    <w:p>
      <w:pPr>
        <w:pStyle w:val="1020"/>
        <w:jc w:val="left"/>
        <w:keepLines w:val="0"/>
        <w:keepNext w:val="0"/>
        <w:pageBreakBefore w:val="0"/>
        <w:spacing w:before="0" w:beforeAutospacing="0" w:after="0" w:afterAutospacing="0"/>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供应商名称 ：</w:t>
      </w:r>
      <w:r>
        <w:rPr>
          <w:rFonts w:hint="eastAsia"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rPr>
          <w:rFonts w:eastAsia="宋体"/>
          <w:lang w:val="en-US" w:eastAsia="zh-CN"/>
        </w:rPr>
      </w:r>
      <w:r/>
    </w:p>
    <w:p>
      <w:pPr>
        <w:pStyle w:val="1020"/>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1084"/>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u w:val="single"/>
        </w:rPr>
        <w:br w:type="page" w:clear="all"/>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t xml:space="preserve">响应文件目录</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一、法人或者其他组织的营业执照等证明文件，自然人的身份证明</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二、上一年度的财务状况报告（投标供应商成立不满一年无需提供）</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三、依法缴纳税收和社会保障资金的相关材料（提供提交响应文件截止时间前</w:t>
      </w:r>
      <w:r>
        <w:rPr>
          <w:rFonts w:hint="eastAsia" w:ascii="宋体" w:hAnsi="宋体" w:eastAsia="宋体" w:cs="宋体"/>
          <w:i/>
          <w:iCs/>
          <w:color w:val="000000"/>
          <w:sz w:val="24"/>
          <w:szCs w:val="24"/>
          <w:u w:val="single"/>
          <w:lang w:eastAsia="zh-CN"/>
        </w:rPr>
        <w:t xml:space="preserve">六个月</w:t>
      </w:r>
      <w:r>
        <w:rPr>
          <w:rFonts w:hint="eastAsia" w:ascii="宋体" w:hAnsi="宋体" w:eastAsia="宋体" w:cs="宋体"/>
          <w:i/>
          <w:iCs/>
          <w:color w:val="000000"/>
          <w:sz w:val="24"/>
          <w:szCs w:val="24"/>
          <w:u w:val="single"/>
        </w:rPr>
        <w:t xml:space="preserve">内至少一个月依法缴纳税收及缴纳社会保障资金的证明材料。供应商依法享受缓缴、免缴税收、社会保障资金的提供证明材料。）</w:t>
      </w:r>
      <w:r/>
    </w:p>
    <w:p>
      <w:pPr>
        <w:pStyle w:val="1020"/>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四、具备履行合同所必需的设备和专业技术能力的书面声明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七、法人授权书</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八、投标函</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九、小微企业声明函</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十、残疾人福利性单位声明函</w:t>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十一、</w:t>
      </w:r>
      <w:r>
        <w:rPr>
          <w:rFonts w:hint="eastAsia" w:ascii="宋体" w:hAnsi="宋体" w:eastAsia="宋体" w:cs="宋体"/>
          <w:color w:val="000000"/>
          <w:sz w:val="24"/>
          <w:szCs w:val="24"/>
        </w:rPr>
        <w:t xml:space="preserve">投标偏离表</w:t>
      </w:r>
      <w:r>
        <w:rPr>
          <w:rFonts w:hint="eastAsia" w:ascii="宋体" w:hAnsi="宋体" w:eastAsia="宋体" w:cs="宋体"/>
          <w:color w:val="000000"/>
          <w:sz w:val="24"/>
          <w:szCs w:val="24"/>
        </w:rPr>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十二、分项报价表（投标报价清单）</w:t>
      </w:r>
      <w:r>
        <w:rPr>
          <w:rFonts w:hint="eastAsia" w:ascii="宋体" w:hAnsi="宋体" w:eastAsia="宋体" w:cs="宋体"/>
          <w:color w:val="000000"/>
          <w:sz w:val="24"/>
          <w:szCs w:val="24"/>
          <w:lang w:eastAsia="zh-CN"/>
        </w:rPr>
      </w:r>
      <w:r/>
    </w:p>
    <w:p>
      <w:pPr>
        <w:pStyle w:val="1020"/>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t xml:space="preserve">十三、开标一览表</w:t>
      </w:r>
      <w:r>
        <w:rPr>
          <w:rFonts w:hint="eastAsia" w:ascii="宋体" w:hAnsi="宋体" w:eastAsia="宋体" w:cs="宋体"/>
          <w:color w:val="000000"/>
          <w:sz w:val="24"/>
          <w:szCs w:val="24"/>
          <w:lang w:eastAsia="zh-CN"/>
        </w:rPr>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rPr>
          <w:rFonts w:hint="eastAsia" w:ascii="黑体" w:hAnsi="宋体" w:eastAsia="黑体" w:cs="黑体"/>
          <w:i/>
          <w:iCs/>
          <w:color w:val="000000"/>
          <w:sz w:val="32"/>
          <w:szCs w:val="32"/>
          <w:highlight w:val="none"/>
          <w:u w:val="single"/>
        </w:rPr>
      </w:r>
      <w:r/>
    </w:p>
    <w:p>
      <w:pPr>
        <w:pStyle w:val="1020"/>
        <w:jc w:val="both"/>
        <w:keepLines w:val="0"/>
        <w:keepNext w:val="0"/>
        <w:spacing w:before="0" w:beforeAutospacing="0" w:after="0" w:afterAutospacing="0"/>
        <w:widowControl w:val="off"/>
        <w:rPr>
          <w:rFonts w:hint="eastAsia" w:ascii="黑体" w:hAnsi="宋体" w:eastAsia="黑体" w:cs="黑体"/>
          <w:bCs/>
          <w:i/>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一、法人或者其他组织的营业执照等证明文件，自然人的身份证明</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二、上一年度的财务状况报告</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bCs/>
          <w:sz w:val="24"/>
          <w:highlight w:val="none"/>
        </w:rPr>
        <w:t xml:space="preserve">投标人近六个月中任意一个月份(不含投标当月)的财务状况报告（资产负债表和利润表）或由会计师事务所出具的近两年中任意一个年度的审计报告和所附已审财务报告（成立不满一年不需提供）</w:t>
      </w:r>
      <w:r>
        <w:rPr>
          <w:rFonts w:hint="eastAsia" w:ascii="宋体" w:hAnsi="宋体"/>
          <w:b/>
          <w:bCs/>
          <w:sz w:val="24"/>
          <w:highlight w:val="none"/>
        </w:rPr>
        <w:t xml:space="preserve">原件扫描件</w:t>
      </w:r>
      <w:r>
        <w:rPr>
          <w:rFonts w:hint="eastAsia" w:ascii="宋体" w:hAnsi="宋体"/>
          <w:bCs/>
          <w:sz w:val="24"/>
          <w:highlight w:val="none"/>
        </w:rPr>
        <w:t xml:space="preserve">；</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三、依法缴纳税收和社会保障资金的相关材料</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提供提交响应文件截止时间前</w:t>
      </w:r>
      <w:r>
        <w:rPr>
          <w:rFonts w:hint="eastAsia" w:ascii="宋体" w:hAnsi="宋体" w:eastAsia="宋体" w:cs="宋体"/>
          <w:color w:val="000000"/>
          <w:sz w:val="24"/>
          <w:szCs w:val="24"/>
          <w:lang w:eastAsia="zh-CN"/>
        </w:rPr>
        <w:t xml:space="preserve">六个月</w:t>
      </w:r>
      <w:r>
        <w:rPr>
          <w:rFonts w:hint="eastAsia" w:ascii="宋体" w:hAnsi="宋体" w:eastAsia="宋体" w:cs="宋体"/>
          <w:color w:val="000000"/>
          <w:sz w:val="24"/>
          <w:szCs w:val="24"/>
        </w:rPr>
        <w:t xml:space="preserve">内至少一个月依法缴纳税收及缴纳社会保障资金的证明材料。供应商依法享受缓缴、免缴税收、社会保障资金的提供证明材料。</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四、具备履行合同所必需的设备和专业技术能力的书面声明</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20"/>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五、参加政府采购活动前 3 年内在经营活动中没有重大违法记录的书面声明</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44"/>
          <w:szCs w:val="44"/>
        </w:rPr>
        <w:t xml:space="preserve">       声  明</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六、特定资格要求的证明文件</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如果本项目申请人的特定资格要求中要求提供的，必须提供。</w:t>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七、法人授权书</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本授权书声明：____________（供应商名称）授权________________（被授权人的姓名）为我方就</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rPr>
        <w:t xml:space="preserve">号项目采购活动的合法代理人，以本单位名义全权处理一切与该项目采购有关的事务。</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本授权书于______年____月____日起生效，特此声明。</w:t>
      </w:r>
      <w:r/>
    </w:p>
    <w:p>
      <w:pPr>
        <w:pStyle w:val="102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被授权人身份证号码：</w:t>
      </w:r>
      <w:r>
        <w:rPr>
          <w:rFonts w:ascii="Times New Roman" w:hAnsi="Times New Roman" w:cs="Times New Roman"/>
          <w:color w:val="000000"/>
          <w:sz w:val="24"/>
          <w:szCs w:val="24"/>
          <w:u w:val="single"/>
        </w:rPr>
        <w:t xml:space="preserve">                              </w:t>
      </w:r>
      <w:r/>
    </w:p>
    <w:p>
      <w:pPr>
        <w:pStyle w:val="102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被授权人联系电话：（手机）</w:t>
      </w:r>
      <w:r>
        <w:rPr>
          <w:rFonts w:ascii="Times New Roman" w:hAnsi="Times New Roman" w:cs="Times New Roman"/>
          <w:color w:val="000000"/>
          <w:sz w:val="24"/>
          <w:szCs w:val="24"/>
          <w:u w:val="single"/>
        </w:rPr>
        <w:t xml:space="preserve">                          </w:t>
      </w:r>
      <w:r/>
    </w:p>
    <w:p>
      <w:pPr>
        <w:pStyle w:val="1020"/>
        <w:ind w:left="0" w:firstLine="120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授权单位名称：</w:t>
      </w:r>
      <w:r>
        <w:rPr>
          <w:rFonts w:ascii="Times New Roman" w:hAnsi="Times New Roman" w:cs="Times New Roman"/>
          <w:color w:val="000000"/>
          <w:sz w:val="24"/>
          <w:szCs w:val="24"/>
          <w:u w:val="single"/>
        </w:rPr>
        <w:t xml:space="preserve">（加盖CA电子公章）</w:t>
      </w:r>
      <w:r/>
    </w:p>
    <w:p>
      <w:pPr>
        <w:pStyle w:val="1020"/>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单位地址：</w:t>
      </w:r>
      <w:r>
        <w:rPr>
          <w:rFonts w:ascii="Times New Roman" w:hAnsi="Times New Roman" w:cs="Times New Roman"/>
          <w:color w:val="000000"/>
          <w:sz w:val="24"/>
          <w:szCs w:val="24"/>
          <w:u w:val="single"/>
        </w:rPr>
        <w:t xml:space="preserve">                                         </w:t>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日期：</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20"/>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1020"/>
        <w:jc w:val="both"/>
        <w:keepLines/>
        <w:keepNext/>
        <w:spacing w:before="260" w:beforeAutospacing="0" w:after="260" w:afterAutospacing="0" w:line="415" w:lineRule="auto"/>
        <w:widowControl w:val="off"/>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i/>
          <w:iCs/>
          <w:color w:val="000000"/>
          <w:sz w:val="32"/>
          <w:szCs w:val="32"/>
          <w:u w:val="single"/>
        </w:rPr>
        <w:t xml:space="preserve">八、投标函</w:t>
      </w:r>
      <w:r>
        <w:rPr>
          <w:rFonts w:hint="eastAsia" w:ascii="宋体" w:hAnsi="宋体" w:eastAsia="宋体" w:cs="宋体"/>
          <w:b/>
          <w:sz w:val="32"/>
          <w:szCs w:val="32"/>
        </w:rPr>
      </w:r>
      <w:r/>
    </w:p>
    <w:p>
      <w:pPr>
        <w:pStyle w:val="1001"/>
        <w:spacing w:line="360" w:lineRule="auto"/>
        <w:rPr>
          <w:rFonts w:hAnsi="宋体"/>
          <w:sz w:val="24"/>
          <w:szCs w:val="24"/>
        </w:rPr>
      </w:pPr>
      <w:r>
        <w:rPr>
          <w:rFonts w:hint="eastAsia" w:hAnsi="宋体" w:eastAsia="宋体" w:cs="宋体"/>
          <w:sz w:val="24"/>
          <w:szCs w:val="24"/>
          <w:lang w:eastAsia="zh-CN"/>
        </w:rPr>
        <w:t xml:space="preserve">致江苏经纬工程投资造价咨询事务所有限公司</w:t>
      </w:r>
      <w:r>
        <w:rPr>
          <w:rFonts w:hint="eastAsia" w:hAnsi="宋体"/>
          <w:sz w:val="24"/>
          <w:szCs w:val="24"/>
        </w:rPr>
        <w:t xml:space="preserve">：</w:t>
      </w:r>
      <w:r>
        <w:rPr>
          <w:rFonts w:hAnsi="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我们收到贵公司号招标文件，经仔细阅读和研究，我们决定参加投标活动。</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、我们愿意按照招标文件的一切要求，提供完成该项目的全部内容，我们的投标报价包括设备更换费用、耗材费用</w:t>
      </w:r>
      <w:r>
        <w:rPr>
          <w:rFonts w:hAnsi="宋体" w:eastAsia="宋体"/>
          <w:sz w:val="24"/>
          <w:szCs w:val="24"/>
        </w:rPr>
        <w:t xml:space="preserve">、</w:t>
      </w:r>
      <w:r>
        <w:rPr>
          <w:rFonts w:hint="eastAsia" w:hAnsi="宋体" w:eastAsia="宋体"/>
          <w:sz w:val="24"/>
          <w:szCs w:val="24"/>
        </w:rPr>
        <w:t xml:space="preserve">实施服务费、常驻于项目现场工作人员的工资、福利、食宿、交通、通信以及项目利润、税金</w:t>
      </w:r>
      <w:r>
        <w:rPr>
          <w:rFonts w:hAnsi="宋体" w:eastAsia="宋体"/>
          <w:sz w:val="24"/>
          <w:szCs w:val="24"/>
        </w:rPr>
        <w:t xml:space="preserve">以及其他交付使用前所产生的所有费用</w:t>
      </w:r>
      <w:r>
        <w:rPr>
          <w:rFonts w:hint="eastAsia" w:hAnsi="宋体" w:eastAsia="宋体"/>
          <w:sz w:val="24"/>
          <w:szCs w:val="24"/>
        </w:rPr>
        <w:t xml:space="preserve">。</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、如果我们的投标响应文件被接受，我们将严格履行招标文件中规定的每一项要求，按期、按质、按量履行合同的义务。</w:t>
      </w:r>
      <w:r>
        <w:rPr>
          <w:rFonts w:hAnsi="宋体" w:eastAsia="宋体"/>
          <w:sz w:val="24"/>
          <w:szCs w:val="24"/>
        </w:rPr>
      </w:r>
      <w:r/>
    </w:p>
    <w:p>
      <w:pPr>
        <w:pStyle w:val="1077"/>
        <w:ind w:firstLine="48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招标文件</w:t>
      </w:r>
      <w:r>
        <w:rPr>
          <w:rFonts w:hAnsi="宋体" w:eastAsia="宋体"/>
          <w:sz w:val="24"/>
          <w:szCs w:val="24"/>
        </w:rPr>
        <w:t xml:space="preserve">，包括</w:t>
      </w:r>
      <w:r>
        <w:rPr>
          <w:rFonts w:hint="eastAsia" w:hAnsi="宋体" w:eastAsia="宋体"/>
          <w:sz w:val="24"/>
          <w:szCs w:val="24"/>
        </w:rPr>
        <w:t xml:space="preserve">补充文件</w:t>
      </w:r>
      <w:r>
        <w:rPr>
          <w:rFonts w:hAnsi="宋体" w:eastAsia="宋体"/>
          <w:sz w:val="24"/>
          <w:szCs w:val="24"/>
        </w:rPr>
        <w:t xml:space="preserve">(如有)。我们完全理解并同意放弃对这方面有不明及误解的权力。</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4、我们同意按招标文件中的规定，本投标响应文件的有效期限为开标之日开始后</w:t>
      </w:r>
      <w:r>
        <w:rPr>
          <w:rFonts w:hint="eastAsia" w:hAnsi="宋体" w:eastAsia="宋体"/>
          <w:sz w:val="24"/>
          <w:szCs w:val="24"/>
          <w:u w:val="single"/>
        </w:rPr>
        <w:t xml:space="preserve">九十</w:t>
      </w:r>
      <w:r>
        <w:rPr>
          <w:rFonts w:hint="eastAsia" w:hAnsi="宋体" w:eastAsia="宋体"/>
          <w:sz w:val="24"/>
          <w:szCs w:val="24"/>
        </w:rPr>
        <w:t xml:space="preserve">天。</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5、我们愿意提供采购单位在招标文件中要求的所有资料。</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6、我们声明：我们在参加本次采购活动前3年内在经营活动中没有重大违法记录。</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7、我们愿意遵守招标文件中所列的收费标准。</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8、我们承诺该投标响应文件在评标开始后的全过程中保持有效，不作任何更改和变动。</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9、我们承诺我公司符合招标文件投标供应商须知中“合格投标供应商的条件”的要求，若与真实情况不符，本公司愿意承担由此而产生的一切后果。</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10、综合说明：（</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1077"/>
        <w:ind w:firstLine="480"/>
        <w:spacing w:line="360"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）对招标文件有不同意见的偏离说明；（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1077"/>
        <w:spacing w:line="360" w:lineRule="auto"/>
        <w:rPr>
          <w:rFonts w:hAnsi="宋体" w:eastAsia="宋体"/>
          <w:sz w:val="24"/>
          <w:szCs w:val="24"/>
        </w:rPr>
      </w:pPr>
      <w:r>
        <w:rPr>
          <w:rFonts w:hAnsi="宋体" w:eastAsia="宋体"/>
          <w:sz w:val="24"/>
          <w:szCs w:val="24"/>
        </w:rPr>
      </w:r>
      <w:r/>
    </w:p>
    <w:p>
      <w:pPr>
        <w:pStyle w:val="1077"/>
        <w:ind w:left="3400" w:firstLine="425"/>
        <w:spacing w:line="360" w:lineRule="auto"/>
        <w:rPr>
          <w:rFonts w:hAnsi="宋体" w:eastAsia="宋体"/>
          <w:sz w:val="24"/>
          <w:szCs w:val="24"/>
        </w:rPr>
      </w:pPr>
      <w:r>
        <w:rPr>
          <w:rFonts w:hAnsi="宋体" w:eastAsia="宋体"/>
          <w:sz w:val="24"/>
          <w:szCs w:val="24"/>
        </w:rPr>
      </w:r>
      <w:r/>
    </w:p>
    <w:p>
      <w:pPr>
        <w:pStyle w:val="1077"/>
        <w:ind w:left="3400" w:firstLine="425"/>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1077"/>
        <w:ind w:left="3825"/>
        <w:jc w:val="left"/>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1077"/>
        <w:ind w:left="3400" w:firstLine="425"/>
        <w:spacing w:line="360" w:lineRule="auto"/>
        <w:rPr>
          <w:rFonts w:hAnsi="宋体" w:eastAsia="宋体"/>
          <w:sz w:val="24"/>
          <w:szCs w:val="24"/>
        </w:rPr>
      </w:pPr>
      <w:r>
        <w:rPr>
          <w:rFonts w:hint="eastAsia" w:hAnsi="宋体" w:eastAsia="宋体"/>
          <w:sz w:val="24"/>
          <w:szCs w:val="24"/>
        </w:rPr>
        <w:t xml:space="preserve">日期：         年月日</w:t>
      </w:r>
      <w:r>
        <w:rPr>
          <w:rFonts w:hAnsi="宋体" w:eastAsia="宋体"/>
          <w:sz w:val="24"/>
          <w:szCs w:val="24"/>
        </w:rPr>
      </w:r>
      <w:r/>
    </w:p>
    <w:p>
      <w:pPr>
        <w:pStyle w:val="1020"/>
        <w:ind w:left="42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ind w:left="0" w:firstLine="240"/>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rPr>
          <w:rFonts w:hint="eastAsia" w:ascii="黑体" w:hAnsi="宋体" w:eastAsia="黑体" w:cs="黑体"/>
          <w:b/>
          <w:bCs/>
          <w:color w:val="000000"/>
          <w:sz w:val="32"/>
          <w:szCs w:val="32"/>
        </w:rPr>
      </w:r>
      <w:r/>
    </w:p>
    <w:p>
      <w:pPr>
        <w:pStyle w:val="974"/>
        <w:jc w:val="center"/>
        <w:spacing w:before="312" w:after="312" w:line="360" w:lineRule="auto"/>
        <w:rPr>
          <w:rFonts w:hint="eastAsia" w:ascii="宋体" w:hAnsi="宋体" w:eastAsia="宋体" w:cs="宋体"/>
          <w:b/>
          <w:bCs/>
          <w:color w:val="000000"/>
          <w:sz w:val="36"/>
          <w:szCs w:val="36"/>
        </w:rPr>
      </w:pPr>
      <w:r>
        <w:rPr>
          <w:rFonts w:hint="eastAsia" w:ascii="黑体" w:hAnsi="宋体" w:eastAsia="黑体" w:cs="黑体"/>
          <w:b/>
          <w:bCs/>
          <w:color w:val="000000"/>
          <w:sz w:val="32"/>
          <w:szCs w:val="32"/>
        </w:rPr>
        <w:t xml:space="preserve">九、</w:t>
      </w:r>
      <w:r>
        <w:rPr>
          <w:rFonts w:hint="eastAsia" w:ascii="宋体" w:hAnsi="宋体" w:eastAsia="宋体" w:cs="宋体"/>
          <w:b/>
          <w:bCs/>
          <w:color w:val="000000"/>
          <w:sz w:val="36"/>
          <w:szCs w:val="36"/>
        </w:rPr>
        <w:t xml:space="preserve">中小企业声明函（工程、服务）</w:t>
      </w:r>
      <w:r>
        <w:rPr>
          <w:rFonts w:hint="eastAsia" w:ascii="宋体" w:hAnsi="宋体" w:eastAsia="宋体" w:cs="宋体"/>
          <w:b/>
          <w:bCs/>
          <w:color w:val="000000"/>
          <w:sz w:val="36"/>
          <w:szCs w:val="36"/>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z w:val="24"/>
          <w:u w:val="single"/>
          <w:lang w:eastAsia="zh-CN"/>
        </w:rPr>
        <w:t xml:space="preserve">泰州市中级人民法院大案要案法庭改（扩）建文化布展服务</w:t>
      </w:r>
      <w:r>
        <w:rPr>
          <w:rFonts w:hint="eastAsia" w:ascii="宋体" w:hAnsi="宋体" w:eastAsia="宋体" w:cs="宋体"/>
          <w:spacing w:val="6"/>
          <w:sz w:val="24"/>
        </w:rPr>
        <w:t xml:space="preserve">，属于</w:t>
      </w:r>
      <w:r>
        <w:rPr>
          <w:rFonts w:hint="eastAsia" w:ascii="宋体" w:hAnsi="宋体" w:eastAsia="宋体" w:cs="宋体"/>
          <w:sz w:val="24"/>
          <w:lang w:eastAsia="zh-CN"/>
        </w:rPr>
        <w:t xml:space="preserve">服务业</w:t>
      </w:r>
      <w:r>
        <w:rPr>
          <w:rFonts w:hint="eastAsia" w:ascii="宋体" w:hAnsi="宋体" w:eastAsia="宋体" w:cs="宋体"/>
          <w:spacing w:val="6"/>
          <w:sz w:val="24"/>
        </w:rPr>
        <w:t xml:space="preserve">；承建（承接）企业为</w:t>
      </w:r>
      <w:r>
        <w:rPr>
          <w:rFonts w:hint="eastAsia" w:ascii="宋体" w:hAnsi="宋体" w:eastAsia="宋体" w:cs="宋体"/>
          <w:spacing w:val="6"/>
          <w:sz w:val="24"/>
          <w:u w:val="single"/>
        </w:rPr>
        <w:t xml:space="preserve">（企业名称）</w:t>
      </w:r>
      <w:r>
        <w:rPr>
          <w:rFonts w:hint="eastAsia" w:ascii="宋体" w:hAnsi="宋体" w:eastAsia="宋体" w:cs="宋体"/>
          <w:spacing w:val="6"/>
          <w:sz w:val="24"/>
        </w:rPr>
        <w:t xml:space="preserve">，从业人员______人，营业收入为______万元，资产总额为______万元</w:t>
      </w:r>
      <w:r>
        <w:rPr>
          <w:rFonts w:hint="eastAsia" w:ascii="宋体" w:hAnsi="宋体" w:eastAsia="宋体" w:cs="宋体"/>
          <w:spacing w:val="6"/>
          <w:sz w:val="24"/>
          <w:vertAlign w:val="superscript"/>
        </w:rPr>
        <w:t xml:space="preserve">1</w:t>
      </w:r>
      <w:r>
        <w:rPr>
          <w:rFonts w:hint="eastAsia" w:ascii="宋体" w:hAnsi="宋体" w:eastAsia="宋体" w:cs="宋体"/>
          <w:spacing w:val="6"/>
          <w:sz w:val="24"/>
        </w:rPr>
        <w:t xml:space="preserve">，属于</w:t>
      </w:r>
      <w:r>
        <w:rPr>
          <w:rFonts w:hint="eastAsia" w:ascii="宋体" w:hAnsi="宋体" w:eastAsia="宋体" w:cs="宋体"/>
          <w:spacing w:val="6"/>
          <w:sz w:val="24"/>
          <w:u w:val="single"/>
          <w:lang w:val="en-US" w:eastAsia="zh-CN"/>
        </w:rPr>
        <w:t xml:space="preserve">         </w:t>
      </w:r>
      <w:r>
        <w:rPr>
          <w:rFonts w:hint="eastAsia" w:ascii="宋体" w:hAnsi="宋体" w:eastAsia="宋体" w:cs="宋体"/>
          <w:spacing w:val="6"/>
          <w:sz w:val="24"/>
        </w:rPr>
        <w:t xml:space="preserve">（中型企业、小型企业、微型企业）。</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以上企业，不属于大企业的分支机构，不存在控股股东为大企业的情形，也不存在与大企业的负责人为同一人的情形。</w:t>
      </w:r>
      <w:r>
        <w:rPr>
          <w:rFonts w:hint="eastAsia" w:ascii="宋体" w:hAnsi="宋体" w:eastAsia="宋体" w:cs="宋体"/>
          <w:spacing w:val="6"/>
          <w:sz w:val="24"/>
        </w:rPr>
      </w:r>
      <w:r/>
    </w:p>
    <w:p>
      <w:pPr>
        <w:pStyle w:val="974"/>
        <w:ind w:firstLine="504"/>
        <w:spacing w:line="360" w:lineRule="auto"/>
        <w:rPr>
          <w:rFonts w:hint="eastAsia" w:ascii="宋体" w:hAnsi="宋体" w:eastAsia="宋体" w:cs="宋体"/>
          <w:spacing w:val="6"/>
          <w:sz w:val="24"/>
        </w:rPr>
      </w:pPr>
      <w:r>
        <w:rPr>
          <w:rFonts w:hint="eastAsia" w:ascii="宋体" w:hAnsi="宋体" w:eastAsia="宋体" w:cs="宋体"/>
          <w:spacing w:val="6"/>
          <w:sz w:val="24"/>
        </w:rPr>
        <w:t xml:space="preserve">本企业对上述声明内容的真实性负责。如有虚假，将依法承担相应责任。</w:t>
      </w:r>
      <w:r>
        <w:rPr>
          <w:rFonts w:hint="eastAsia" w:ascii="宋体" w:hAnsi="宋体" w:eastAsia="宋体" w:cs="宋体"/>
          <w:spacing w:val="6"/>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企业名称（盖章）：________</w:t>
      </w:r>
      <w:r>
        <w:rPr>
          <w:rFonts w:hint="eastAsia" w:ascii="宋体" w:hAnsi="宋体" w:eastAsia="宋体" w:cs="宋体"/>
          <w:color w:val="000000"/>
          <w:sz w:val="24"/>
        </w:rPr>
      </w:r>
      <w:r/>
    </w:p>
    <w:p>
      <w:pPr>
        <w:pStyle w:val="974"/>
        <w:ind w:right="360"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 期：________</w:t>
      </w:r>
      <w:r>
        <w:rPr>
          <w:rFonts w:hint="eastAsia" w:ascii="宋体" w:hAnsi="宋体" w:eastAsia="宋体" w:cs="宋体"/>
          <w:color w:val="000000"/>
          <w:sz w:val="24"/>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p>
      <w:pPr>
        <w:pStyle w:val="974"/>
        <w:jc w:val="left"/>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67"/>
      </w:tblGrid>
      <w:tr>
        <w:trPr/>
        <w:tc>
          <w:tcPr>
            <w:tcW w:w="8946" w:type="dxa"/>
            <w:vAlign w:val="top"/>
            <w:textDirection w:val="lrTb"/>
            <w:noWrap/>
          </w:tcPr>
          <w:p>
            <w:pPr>
              <w:pStyle w:val="974"/>
              <w:jc w:val="left"/>
              <w:spacing w:line="360" w:lineRule="auto"/>
              <w:rPr>
                <w:rFonts w:hint="eastAsia" w:ascii="宋体" w:hAnsi="宋体" w:eastAsia="宋体" w:cs="宋体"/>
                <w:color w:val="000000"/>
                <w:szCs w:val="21"/>
              </w:rPr>
            </w:pPr>
            <w:r>
              <w:rPr>
                <w:rFonts w:hint="eastAsia" w:ascii="宋体" w:hAnsi="宋体" w:eastAsia="宋体" w:cs="宋体"/>
                <w:color w:val="000000"/>
                <w:szCs w:val="21"/>
                <w:vertAlign w:val="superscript"/>
              </w:rPr>
              <w:t xml:space="preserve">1</w:t>
            </w:r>
            <w:r>
              <w:rPr>
                <w:rFonts w:hint="eastAsia" w:ascii="宋体" w:hAnsi="宋体" w:eastAsia="宋体" w:cs="宋体"/>
                <w:color w:val="000000"/>
                <w:szCs w:val="21"/>
              </w:rPr>
              <w:t xml:space="preserve">从业人员、营业收入、资产总额填报上一年度数据，无上一年度数据的新成立企业可不填报。</w:t>
            </w:r>
            <w:r>
              <w:rPr>
                <w:rFonts w:hint="eastAsia" w:ascii="宋体" w:hAnsi="宋体" w:eastAsia="宋体" w:cs="宋体"/>
                <w:color w:val="000000"/>
                <w:szCs w:val="21"/>
              </w:rPr>
            </w:r>
            <w:r/>
          </w:p>
        </w:tc>
      </w:tr>
    </w:tbl>
    <w:p>
      <w:pPr>
        <w:pStyle w:val="1001"/>
        <w:ind w:firstLine="482"/>
        <w:spacing w:line="520" w:lineRule="exact"/>
        <w:rPr>
          <w:rFonts w:hAnsi="宋体" w:cs="宋体"/>
          <w:b/>
          <w:sz w:val="24"/>
          <w:szCs w:val="24"/>
          <w:highlight w:val="none"/>
        </w:rPr>
      </w:pPr>
      <w:r>
        <w:rPr>
          <w:rFonts w:hAnsi="宋体" w:cs="宋体"/>
          <w:b/>
          <w:sz w:val="24"/>
          <w:szCs w:val="24"/>
          <w:highlight w:val="none"/>
        </w:r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color w:val="000000"/>
          <w:sz w:val="32"/>
          <w:szCs w:val="32"/>
        </w:rPr>
        <w:br w:type="page" w:clear="all"/>
      </w:r>
      <w:r>
        <w:rPr>
          <w:rFonts w:hint="eastAsia" w:ascii="黑体" w:hAnsi="宋体" w:eastAsia="黑体" w:cs="黑体"/>
          <w:b/>
          <w:bCs/>
          <w:color w:val="000000"/>
          <w:sz w:val="32"/>
          <w:szCs w:val="32"/>
        </w:rPr>
        <w:t xml:space="preserve"> 十、残疾人福利性单位声明函</w:t>
      </w:r>
      <w:r/>
    </w:p>
    <w:p>
      <w:pPr>
        <w:pStyle w:val="1020"/>
        <w:ind w:left="0" w:righ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项目采购活动由本单位提供服务。</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（备注：1、供应商如不提供此声明函，价格将不做相应扣除。2、中标人为残疾人福利单位的，此声明函将随中标结果同时公告，接受社会监督）</w:t>
      </w:r>
      <w:r/>
    </w:p>
    <w:p>
      <w:pPr>
        <w:pStyle w:val="1020"/>
        <w:ind w:left="0" w:firstLine="624"/>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right="1560" w:firstLine="624"/>
        <w:jc w:val="right"/>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1020"/>
        <w:ind w:left="0" w:right="1560" w:firstLine="480"/>
        <w:jc w:val="right"/>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w:t>
      </w:r>
      <w:r/>
    </w:p>
    <w:p>
      <w:pPr>
        <w:pStyle w:val="1020"/>
        <w:ind w:left="0" w:right="1560" w:firstLine="480"/>
        <w:jc w:val="center"/>
        <w:keepLines w:val="0"/>
        <w:keepNext w:val="0"/>
        <w:spacing w:before="0" w:beforeAutospacing="0" w:after="0" w:afterAutospacing="0" w:line="0" w:lineRule="atLeast"/>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64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74"/>
        <w:jc w:val="center"/>
        <w:spacing w:after="100" w:afterAutospacing="1" w:line="440" w:lineRule="exact"/>
        <w:rPr>
          <w:rFonts w:ascii="Arial" w:hAnsi="Arial" w:cs="Arial"/>
          <w:b/>
          <w:bCs/>
          <w:sz w:val="24"/>
          <w:highlight w:val="none"/>
        </w:rPr>
        <w:outlineLvl w:val="1"/>
      </w:pPr>
      <w:r>
        <w:rPr>
          <w:rFonts w:hint="eastAsia" w:ascii="宋体" w:hAnsi="宋体" w:cs="宋体"/>
          <w:b/>
          <w:sz w:val="36"/>
          <w:szCs w:val="36"/>
          <w:highlight w:val="none"/>
          <w:lang w:eastAsia="zh-CN"/>
        </w:rPr>
        <w:t xml:space="preserve">十一、</w:t>
      </w:r>
      <w:r>
        <w:rPr>
          <w:rFonts w:hint="eastAsia" w:ascii="宋体" w:hAnsi="宋体" w:cs="宋体"/>
          <w:b/>
          <w:sz w:val="36"/>
          <w:szCs w:val="36"/>
          <w:highlight w:val="none"/>
        </w:rPr>
        <w:t xml:space="preserve">投标偏离表</w:t>
      </w:r>
      <w:r>
        <w:rPr>
          <w:rFonts w:ascii="Arial" w:hAnsi="Arial" w:cs="Arial"/>
          <w:b/>
          <w:bCs/>
          <w:sz w:val="24"/>
          <w:highlight w:val="none"/>
        </w:rPr>
      </w:r>
      <w:r/>
    </w:p>
    <w:p>
      <w:pPr>
        <w:pStyle w:val="97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                  采购项目编号：       </w:t>
      </w:r>
      <w:r>
        <w:rPr>
          <w:rFonts w:hint="eastAsia" w:ascii="宋体" w:hAnsi="宋体" w:eastAsia="宋体" w:cs="宋体"/>
          <w:bCs/>
          <w:color w:val="000000"/>
          <w:sz w:val="24"/>
          <w:highlight w:val="none"/>
        </w:rPr>
      </w:r>
      <w:r/>
    </w:p>
    <w:p>
      <w:pPr>
        <w:pStyle w:val="974"/>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bl>
      <w:tblPr>
        <w:tblW w:w="7908"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527"/>
        <w:gridCol w:w="2267"/>
        <w:gridCol w:w="2267"/>
        <w:gridCol w:w="1847"/>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top"/>
            <w:textDirection w:val="lrTb"/>
            <w:noWrap/>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名称</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采购文件采购要求</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实报内容 </w:t>
            </w:r>
            <w:r>
              <w:rPr>
                <w:rFonts w:hint="eastAsia" w:ascii="宋体" w:hAnsi="宋体" w:eastAsia="宋体" w:cs="宋体"/>
                <w:color w:val="000000"/>
                <w:sz w:val="24"/>
                <w:highlight w:val="none"/>
                <w:shd w:val="clear" w:color="auto" w:fill="ffffff"/>
              </w:rPr>
            </w:r>
            <w:r/>
          </w:p>
        </w:tc>
        <w:tc>
          <w:tcPr>
            <w:tcBorders>
              <w:top w:val="single" w:color="000000" w:sz="4" w:space="0"/>
              <w:left w:val="single" w:color="000000" w:sz="4" w:space="0"/>
              <w:bottom w:val="single" w:color="000000" w:sz="4" w:space="0"/>
              <w:right w:val="single" w:color="000000" w:sz="4" w:space="0"/>
            </w:tcBorders>
            <w:tcW w:w="1847" w:type="dxa"/>
            <w:vAlign w:val="top"/>
            <w:textDirection w:val="lrTb"/>
            <w:noWrap w:val="false"/>
          </w:tcPr>
          <w:p>
            <w:pPr>
              <w:pStyle w:val="974"/>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偏离说明</w:t>
            </w:r>
            <w:r>
              <w:rPr>
                <w:rFonts w:hint="eastAsia" w:ascii="宋体" w:hAnsi="宋体" w:eastAsia="宋体" w:cs="宋体"/>
                <w:color w:val="000000"/>
                <w:sz w:val="24"/>
                <w:highlight w:val="none"/>
                <w:shd w:val="clear" w:color="auto" w:fill="ffffff"/>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center"/>
            <w:textDirection w:val="lrTb"/>
            <w:noWrap/>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4"/>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pStyle w:val="974"/>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r>
    </w:tbl>
    <w:p>
      <w:pPr>
        <w:pStyle w:val="974"/>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74"/>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rPr>
          <w:rFonts w:hint="eastAsia" w:ascii="宋体" w:hAnsi="宋体" w:eastAsia="宋体" w:cs="宋体"/>
          <w:b/>
          <w:bCs/>
          <w:color w:val="000000"/>
          <w:sz w:val="24"/>
          <w:highlight w:val="none"/>
        </w:rPr>
      </w:r>
      <w:r/>
    </w:p>
    <w:p>
      <w:pPr>
        <w:pStyle w:val="974"/>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9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注：（1）本表不得删除；</w:t>
      </w:r>
      <w:r>
        <w:rPr>
          <w:rFonts w:hint="eastAsia" w:ascii="宋体" w:hAnsi="宋体" w:eastAsia="宋体" w:cs="宋体"/>
          <w:bCs/>
          <w:color w:val="000000"/>
          <w:sz w:val="24"/>
          <w:highlight w:val="none"/>
        </w:rPr>
      </w:r>
      <w:r/>
    </w:p>
    <w:p>
      <w:pPr>
        <w:pStyle w:val="974"/>
        <w:ind w:firstLine="420"/>
        <w:rPr>
          <w:rFonts w:hint="eastAsia" w:ascii="宋体" w:hAnsi="宋体" w:eastAsia="宋体" w:cs="宋体"/>
          <w:bCs/>
          <w:color w:val="000000"/>
          <w:sz w:val="24"/>
          <w:highlight w:val="none"/>
        </w:rPr>
        <w:outlineLvl w:val="0"/>
      </w:pPr>
      <w:r>
        <w:rPr>
          <w:rFonts w:hint="eastAsia" w:ascii="宋体" w:hAnsi="宋体" w:eastAsia="宋体" w:cs="宋体"/>
          <w:bCs/>
          <w:color w:val="000000"/>
          <w:sz w:val="24"/>
          <w:highlight w:val="none"/>
        </w:rPr>
        <w:t xml:space="preserve">   （2）如无任何技术偏离，请于本表 “偏离说明”中注明“无偏离”；</w:t>
      </w:r>
      <w:r>
        <w:rPr>
          <w:rFonts w:hint="eastAsia" w:ascii="宋体" w:hAnsi="宋体" w:eastAsia="宋体" w:cs="宋体"/>
          <w:bCs/>
          <w:color w:val="000000"/>
          <w:sz w:val="24"/>
          <w:highlight w:val="none"/>
        </w:rPr>
      </w:r>
      <w:r/>
    </w:p>
    <w:p>
      <w:pPr>
        <w:pStyle w:val="1020"/>
        <w:jc w:val="both"/>
        <w:keepLines w:val="0"/>
        <w:keepNext w:val="0"/>
        <w:spacing w:before="0" w:beforeAutospacing="0" w:after="0" w:afterAutospacing="0" w:line="48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   （3）如有技术偏离项，请于本表中列明偏离内容，如需要可自行延长，其余无偏离内容不须赘述。</w:t>
      </w:r>
      <w:r>
        <w:rPr>
          <w:rFonts w:hint="eastAsia" w:ascii="宋体" w:hAnsi="宋体" w:eastAsia="宋体" w:cs="宋体"/>
        </w:rPr>
        <w:t xml:space="preserve"> </w:t>
      </w:r>
      <w:r>
        <w:rPr>
          <w:rFonts w:hint="eastAsia" w:ascii="宋体" w:hAnsi="宋体" w:eastAsia="宋体" w:cs="宋体"/>
        </w:rPr>
      </w:r>
      <w:r/>
    </w:p>
    <w:p>
      <w:pPr>
        <w:pStyle w:val="1020"/>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20"/>
        <w:numPr>
          <w:ilvl w:val="0"/>
          <w:numId w:val="18"/>
        </w:numPr>
        <w:ind w:firstLine="723"/>
        <w:jc w:val="center"/>
        <w:keepLines w:val="0"/>
        <w:keepNext w:val="0"/>
        <w:pageBreakBefore w:val="0"/>
        <w:spacing w:before="0" w:beforeAutospacing="0" w:after="0" w:afterAutospacing="0" w:line="360" w:lineRule="auto"/>
        <w:widowControl w:val="off"/>
        <w:rPr>
          <w:rFonts w:hint="eastAsia" w:ascii="宋体" w:hAnsi="宋体" w:cs="宋体"/>
          <w:b/>
          <w:bCs/>
          <w:color w:val="000000"/>
          <w:sz w:val="36"/>
          <w:szCs w:val="36"/>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bCs/>
          <w:color w:val="000000"/>
          <w:sz w:val="36"/>
          <w:szCs w:val="36"/>
          <w:lang w:eastAsia="zh-CN"/>
        </w:rPr>
        <w:t xml:space="preserve">分项报价表（投标报价清单）</w:t>
      </w:r>
      <w:r>
        <w:rPr>
          <w:rFonts w:hint="eastAsia" w:ascii="宋体" w:hAnsi="宋体" w:cs="宋体"/>
          <w:b/>
          <w:bCs/>
          <w:color w:val="000000"/>
          <w:sz w:val="36"/>
          <w:szCs w:val="36"/>
          <w:lang w:eastAsia="zh-CN"/>
        </w:rPr>
      </w:r>
      <w:r/>
    </w:p>
    <w:p>
      <w:pPr>
        <w:pStyle w:val="1078"/>
        <w:keepLines w:val="0"/>
        <w:keepNext w:val="0"/>
        <w:pageBreakBefore w:val="0"/>
        <w:spacing w:line="360" w:lineRule="auto"/>
        <w:widowControl w:val="off"/>
        <w:rPr>
          <w:rFonts w:hint="eastAsia" w:ascii="宋体" w:hAnsi="宋体" w:eastAsia="宋体" w:cs="宋体"/>
          <w:b/>
          <w:bCs/>
          <w:color w:val="000000"/>
          <w:sz w:val="28"/>
          <w:szCs w:val="28"/>
          <w:lang w:val="en-US" w:eastAsia="zh-CN" w:bidi="ar-SA"/>
        </w:rPr>
      </w:pPr>
      <w:r>
        <w:rPr>
          <w:rFonts w:hint="eastAsia" w:ascii="宋体" w:hAnsi="宋体" w:eastAsia="宋体" w:cs="宋体"/>
          <w:b/>
          <w:bCs/>
          <w:color w:val="000000"/>
          <w:sz w:val="28"/>
          <w:szCs w:val="28"/>
          <w:lang w:val="en-US" w:eastAsia="zh-CN" w:bidi="ar-SA"/>
        </w:rPr>
        <w:t xml:space="preserve">请各投标单位</w:t>
      </w:r>
      <w:r>
        <w:rPr>
          <w:rFonts w:hint="eastAsia" w:ascii="宋体" w:hAnsi="宋体" w:cs="宋体"/>
          <w:b/>
          <w:bCs/>
          <w:color w:val="000000"/>
          <w:sz w:val="28"/>
          <w:szCs w:val="28"/>
          <w:lang w:val="en-US" w:eastAsia="zh-CN" w:bidi="ar-SA"/>
        </w:rPr>
        <w:t xml:space="preserve">在第一次投标报价时</w:t>
      </w:r>
      <w:r>
        <w:rPr>
          <w:rFonts w:hint="eastAsia" w:ascii="宋体" w:hAnsi="宋体" w:eastAsia="宋体" w:cs="宋体"/>
          <w:b/>
          <w:bCs/>
          <w:color w:val="000000"/>
          <w:sz w:val="28"/>
          <w:szCs w:val="28"/>
          <w:lang w:val="en-US" w:eastAsia="zh-CN" w:bidi="ar-SA"/>
        </w:rPr>
        <w:t xml:space="preserve">严格按照附件一：（清单）泰州市中院审判楼法治文化和附件二：舞台灯光、机械幕布工程清单格式进行分项报价，投标人分项报价表中改变清单中项目名称、数量、单位、项目特征描述的做无效响应投标处理。</w:t>
      </w:r>
      <w:r>
        <w:rPr>
          <w:rFonts w:hint="eastAsia" w:ascii="宋体" w:hAnsi="宋体" w:eastAsia="宋体" w:cs="宋体"/>
          <w:b/>
          <w:bCs/>
          <w:color w:val="000000"/>
          <w:sz w:val="28"/>
          <w:szCs w:val="28"/>
          <w:lang w:val="en-US" w:eastAsia="zh-CN" w:bidi="ar-SA"/>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85"/>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1020"/>
        <w:ind w:left="0" w:right="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bCs/>
          <w:i/>
          <w:iCs/>
          <w:color w:val="000000"/>
          <w:sz w:val="32"/>
          <w:szCs w:val="32"/>
          <w:u w:val="single"/>
          <w:lang w:eastAsia="zh-CN"/>
        </w:rPr>
        <w:t xml:space="preserve">十三、</w:t>
      </w:r>
      <w:r>
        <w:rPr>
          <w:rFonts w:ascii="黑体" w:hAnsi="宋体" w:eastAsia="黑体" w:cs="黑体"/>
          <w:b/>
          <w:bCs/>
          <w:i/>
          <w:iCs/>
          <w:color w:val="000000"/>
          <w:sz w:val="32"/>
          <w:szCs w:val="32"/>
          <w:u w:val="single"/>
        </w:rPr>
        <w:t xml:space="preserve">开标一览表</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p>
    <w:p>
      <w:pPr>
        <w:pStyle w:val="1020"/>
        <w:ind w:left="0" w:firstLine="480"/>
        <w:jc w:val="left"/>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招标编号：                                   分包号：</w:t>
      </w:r>
      <w:r/>
    </w:p>
    <w:tbl>
      <w:tblPr>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投标总报价</w:t>
            </w:r>
            <w:r/>
          </w:p>
        </w:tc>
      </w:tr>
      <w:tr>
        <w:trPr>
          <w:tblCellSpacing w:w="0" w:type="dxa"/>
          <w:trHeight w:val="612"/>
        </w:trPr>
        <w:tc>
          <w:tcPr>
            <w:tcW w:w="8206" w:type="dxa"/>
            <w:vAlign w:val="center"/>
            <w:textDirection w:val="lrTb"/>
            <w:noWrap w:val="false"/>
          </w:tcPr>
          <w:p>
            <w:pPr>
              <w:pStyle w:val="102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小写：                       （人民币：元）</w:t>
            </w:r>
            <w:r/>
          </w:p>
        </w:tc>
      </w:tr>
    </w:tbl>
    <w:p>
      <w:pPr>
        <w:pStyle w:val="10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20"/>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sectPr>
      <w:footerReference w:type="default" r:id="rId12"/>
      <w:footerReference w:type="even" r:id="rId13"/>
      <w:footnotePr/>
      <w:endnotePr/>
      <w:type w:val="nextPage"/>
      <w:pgSz w:w="11906" w:h="16838" w:orient="portrait"/>
      <w:pgMar w:top="1440" w:right="1758" w:bottom="1246"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Myriad Roman">
    <w:panose1 w:val="020B0503020202020204"/>
  </w:font>
  <w:font w:name="Centaur">
    <w:panose1 w:val="02030504050205020304"/>
  </w:font>
  <w:font w:name="仿宋">
    <w:panose1 w:val="02010609060101010101"/>
  </w:font>
  <w:font w:name="TimesNewRomanPSMT">
    <w:panose1 w:val="02020603050405020304"/>
  </w:font>
  <w:font w:name="Tahoma">
    <w:panose1 w:val="020B0604030504040204"/>
  </w:font>
  <w:font w:name="微软雅黑">
    <w:panose1 w:val="020B0503020204020204"/>
  </w:font>
  <w:font w:name="Calibri">
    <w:panose1 w:val="020F0502020204030204"/>
  </w:font>
  <w:font w:name="黑体">
    <w:panose1 w:val="02010609060101010101"/>
  </w:font>
  <w:font w:name="华文中宋">
    <w:panose1 w:val="0201060004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Arial">
    <w:panose1 w:val="020B0604020202020204"/>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rPr>
                        <w:rFonts w:hint="eastAsia"/>
                        <w:lang w:eastAsia="zh-CN"/>
                      </w:rPr>
                    </w:r>
                    <w:r/>
                  </w:p>
                  <w:p>
                    <w:pPr>
                      <w:pStyle w:val="97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rPr>
                        <w:rFonts w:hint="eastAsia"/>
                        <w:lang w:eastAsia="zh-CN"/>
                      </w:rPr>
                    </w:r>
                    <w:r/>
                  </w:p>
                  <w:p>
                    <w:pPr>
                      <w:pStyle w:val="97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0"/>
      </w:rPr>
      <w:framePr w:wrap="around" w:vAnchor="text" w:hAnchor="margin" w:xAlign="center" w:y="1"/>
    </w:pPr>
    <w:r>
      <w:rPr>
        <w:rStyle w:val="1030"/>
        <w:rFonts w:hint="eastAsia"/>
      </w:rPr>
      <w:t xml:space="preserve">第</w:t>
    </w:r>
    <w:r>
      <w:fldChar w:fldCharType="begin"/>
    </w:r>
    <w:r>
      <w:rPr>
        <w:rStyle w:val="1030"/>
      </w:rPr>
      <w:instrText xml:space="preserve">PAGE  </w:instrText>
    </w:r>
    <w:r>
      <w:fldChar w:fldCharType="separate"/>
    </w:r>
    <w:r>
      <w:rPr>
        <w:rStyle w:val="1030"/>
      </w:rPr>
      <w:t xml:space="preserve">52</w:t>
    </w:r>
    <w:r>
      <w:fldChar w:fldCharType="end"/>
    </w:r>
    <w:r>
      <w:rPr>
        <w:rStyle w:val="1030"/>
        <w:rFonts w:hint="eastAsia"/>
      </w:rPr>
      <w:t xml:space="preserve">页</w:t>
    </w:r>
    <w:r>
      <w:rPr>
        <w:rStyle w:val="1030"/>
      </w:rPr>
    </w:r>
    <w:r/>
  </w:p>
  <w:p>
    <w:pPr>
      <w:pStyle w:val="1011"/>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center" w:pos="4153" w:leader="none"/>
        <w:tab w:val="right" w:pos="8306" w:leader="none"/>
      </w:tabs>
      <w:rPr>
        <w:rStyle w:val="1030"/>
      </w:rPr>
      <w:framePr w:wrap="around" w:vAnchor="text" w:hAnchor="margin" w:xAlign="center" w:y="1"/>
    </w:pPr>
    <w:r>
      <w:fldChar w:fldCharType="begin"/>
    </w:r>
    <w:r>
      <w:rPr>
        <w:rStyle w:val="1030"/>
      </w:rPr>
      <w:instrText xml:space="preserve">PAGE  </w:instrText>
    </w:r>
    <w:r>
      <w:fldChar w:fldCharType="end"/>
    </w:r>
    <w:r>
      <w:rPr>
        <w:rStyle w:val="1030"/>
      </w:rPr>
    </w:r>
    <w:r/>
  </w:p>
  <w:p>
    <w:pPr>
      <w:pStyle w:val="101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tabs>
        <w:tab w:val="center" w:pos="4153" w:leader="none"/>
        <w:tab w:val="right" w:pos="8306" w:leader="none"/>
      </w:tabs>
      <w:rPr>
        <w:rFonts w:hint="eastAsia"/>
        <w:lang w:eastAsia="zh-CN"/>
      </w:rPr>
      <w:pBdr>
        <w:bottom w:val="single" w:color="000000" w:sz="4" w:space="1"/>
      </w:pBdr>
    </w:pPr>
    <w:r>
      <w:rPr>
        <w:rFonts w:hint="eastAsia"/>
      </w:rPr>
      <w:t xml:space="preserve">标号：</w:t>
    </w:r>
    <w:r>
      <w:rPr>
        <w:rFonts w:hint="eastAsia"/>
        <w:lang w:eastAsia="zh-CN"/>
      </w:rPr>
      <w:t xml:space="preserve">  </w:t>
    </w: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74"/>
      </w:pPr>
      <w:rPr>
        <w:b w:val="0"/>
        <w:bCs w:val="0"/>
        <w:sz w:val="20"/>
        <w:szCs w:val="20"/>
      </w:rPr>
    </w:lvl>
    <w:lvl w:ilvl="1">
      <w:start w:val="1"/>
      <w:numFmt w:val="bullet"/>
      <w:isLgl w:val="false"/>
      <w:suff w:val="tab"/>
      <w:lvlText w:val="o"/>
      <w:lvlJc w:val="left"/>
      <w:pPr>
        <w:pStyle w:val="974"/>
        <w:ind w:left="1440" w:hanging="360"/>
      </w:pPr>
      <w:rPr>
        <w:rFonts w:ascii="Courier New" w:hAnsi="Courier New" w:eastAsia="Courier New" w:cs="Courier New"/>
      </w:rPr>
    </w:lvl>
    <w:lvl w:ilvl="2">
      <w:start w:val="1"/>
      <w:numFmt w:val="bullet"/>
      <w:isLgl w:val="false"/>
      <w:suff w:val="tab"/>
      <w:lvlText w:val="§"/>
      <w:lvlJc w:val="left"/>
      <w:pPr>
        <w:pStyle w:val="974"/>
        <w:ind w:left="2160" w:hanging="360"/>
      </w:pPr>
      <w:rPr>
        <w:rFonts w:ascii="Wingdings" w:hAnsi="Wingdings" w:eastAsia="Wingdings" w:cs="Wingdings"/>
      </w:rPr>
    </w:lvl>
    <w:lvl w:ilvl="3">
      <w:start w:val="1"/>
      <w:numFmt w:val="bullet"/>
      <w:isLgl w:val="false"/>
      <w:suff w:val="tab"/>
      <w:lvlText w:val="·"/>
      <w:lvlJc w:val="left"/>
      <w:pPr>
        <w:pStyle w:val="974"/>
        <w:ind w:left="2880" w:hanging="360"/>
      </w:pPr>
      <w:rPr>
        <w:rFonts w:ascii="Symbol" w:hAnsi="Symbol" w:eastAsia="Symbol" w:cs="Symbol"/>
      </w:rPr>
    </w:lvl>
    <w:lvl w:ilvl="4">
      <w:start w:val="1"/>
      <w:numFmt w:val="bullet"/>
      <w:isLgl w:val="false"/>
      <w:suff w:val="tab"/>
      <w:lvlText w:val="o"/>
      <w:lvlJc w:val="left"/>
      <w:pPr>
        <w:pStyle w:val="974"/>
        <w:ind w:left="3600" w:hanging="360"/>
      </w:pPr>
      <w:rPr>
        <w:rFonts w:ascii="Courier New" w:hAnsi="Courier New" w:eastAsia="Courier New" w:cs="Courier New"/>
      </w:rPr>
    </w:lvl>
    <w:lvl w:ilvl="5">
      <w:start w:val="1"/>
      <w:numFmt w:val="bullet"/>
      <w:isLgl w:val="false"/>
      <w:suff w:val="tab"/>
      <w:lvlText w:val="§"/>
      <w:lvlJc w:val="left"/>
      <w:pPr>
        <w:pStyle w:val="974"/>
        <w:ind w:left="4320" w:hanging="360"/>
      </w:pPr>
      <w:rPr>
        <w:rFonts w:ascii="Wingdings" w:hAnsi="Wingdings" w:eastAsia="Wingdings" w:cs="Wingdings"/>
      </w:rPr>
    </w:lvl>
    <w:lvl w:ilvl="6">
      <w:start w:val="1"/>
      <w:numFmt w:val="bullet"/>
      <w:isLgl w:val="false"/>
      <w:suff w:val="tab"/>
      <w:lvlText w:val="·"/>
      <w:lvlJc w:val="left"/>
      <w:pPr>
        <w:pStyle w:val="974"/>
        <w:ind w:left="5040" w:hanging="360"/>
      </w:pPr>
      <w:rPr>
        <w:rFonts w:ascii="Symbol" w:hAnsi="Symbol" w:eastAsia="Symbol" w:cs="Symbol"/>
      </w:rPr>
    </w:lvl>
    <w:lvl w:ilvl="7">
      <w:start w:val="1"/>
      <w:numFmt w:val="bullet"/>
      <w:isLgl w:val="false"/>
      <w:suff w:val="tab"/>
      <w:lvlText w:val="o"/>
      <w:lvlJc w:val="left"/>
      <w:pPr>
        <w:pStyle w:val="974"/>
        <w:ind w:left="5760" w:hanging="360"/>
      </w:pPr>
      <w:rPr>
        <w:rFonts w:ascii="Courier New" w:hAnsi="Courier New" w:eastAsia="Courier New" w:cs="Courier New"/>
      </w:rPr>
    </w:lvl>
    <w:lvl w:ilvl="8">
      <w:start w:val="1"/>
      <w:numFmt w:val="bullet"/>
      <w:isLgl w:val="false"/>
      <w:suff w:val="tab"/>
      <w:lvlText w:val="§"/>
      <w:lvlJc w:val="left"/>
      <w:pPr>
        <w:pStyle w:val="974"/>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4"/>
        <w:ind w:left="630" w:hanging="420"/>
        <w:tabs>
          <w:tab w:val="num" w:pos="630" w:leader="none"/>
        </w:tabs>
      </w:pPr>
      <w:rPr>
        <w:rFonts w:cs="Times New Roman"/>
      </w:rPr>
    </w:lvl>
    <w:lvl w:ilvl="1">
      <w:start w:val="1"/>
      <w:numFmt w:val="decimal"/>
      <w:isLgl w:val="false"/>
      <w:suff w:val="tab"/>
      <w:lvlText w:val="（%2）"/>
      <w:lvlJc w:val="left"/>
      <w:pPr>
        <w:pStyle w:val="974"/>
        <w:ind w:left="990" w:hanging="360"/>
        <w:tabs>
          <w:tab w:val="num" w:pos="990" w:leader="none"/>
        </w:tabs>
      </w:pPr>
      <w:rPr>
        <w:rFonts w:ascii="宋体" w:hAnsi="宋体" w:eastAsia="宋体" w:cs="Times New Roman"/>
        <w:color w:val="000000"/>
      </w:rPr>
    </w:lvl>
    <w:lvl w:ilvl="2">
      <w:start w:val="1"/>
      <w:numFmt w:val="lowerRoman"/>
      <w:isLgl w:val="false"/>
      <w:suff w:val="tab"/>
      <w:lvlText w:val="%3."/>
      <w:lvlJc w:val="right"/>
      <w:pPr>
        <w:pStyle w:val="974"/>
        <w:ind w:left="1470" w:hanging="420"/>
        <w:tabs>
          <w:tab w:val="num" w:pos="1470" w:leader="none"/>
        </w:tabs>
      </w:pPr>
      <w:rPr>
        <w:rFonts w:cs="Times New Roman"/>
      </w:rPr>
    </w:lvl>
    <w:lvl w:ilvl="3">
      <w:start w:val="1"/>
      <w:numFmt w:val="decimal"/>
      <w:isLgl w:val="false"/>
      <w:suff w:val="tab"/>
      <w:lvlText w:val="%4."/>
      <w:lvlJc w:val="left"/>
      <w:pPr>
        <w:pStyle w:val="974"/>
        <w:ind w:left="1890" w:hanging="420"/>
        <w:tabs>
          <w:tab w:val="num" w:pos="1890" w:leader="none"/>
        </w:tabs>
      </w:pPr>
      <w:rPr>
        <w:rFonts w:cs="Times New Roman"/>
      </w:rPr>
    </w:lvl>
    <w:lvl w:ilvl="4">
      <w:start w:val="1"/>
      <w:numFmt w:val="lowerLetter"/>
      <w:isLgl w:val="false"/>
      <w:suff w:val="tab"/>
      <w:lvlText w:val="%5)"/>
      <w:lvlJc w:val="left"/>
      <w:pPr>
        <w:pStyle w:val="974"/>
        <w:ind w:left="2310" w:hanging="420"/>
        <w:tabs>
          <w:tab w:val="num" w:pos="2310" w:leader="none"/>
        </w:tabs>
      </w:pPr>
      <w:rPr>
        <w:rFonts w:cs="Times New Roman"/>
      </w:rPr>
    </w:lvl>
    <w:lvl w:ilvl="5">
      <w:start w:val="1"/>
      <w:numFmt w:val="lowerRoman"/>
      <w:isLgl w:val="false"/>
      <w:suff w:val="tab"/>
      <w:lvlText w:val="%6."/>
      <w:lvlJc w:val="right"/>
      <w:pPr>
        <w:pStyle w:val="974"/>
        <w:ind w:left="2730" w:hanging="420"/>
        <w:tabs>
          <w:tab w:val="num" w:pos="2730" w:leader="none"/>
        </w:tabs>
      </w:pPr>
      <w:rPr>
        <w:rFonts w:cs="Times New Roman"/>
      </w:rPr>
    </w:lvl>
    <w:lvl w:ilvl="6">
      <w:start w:val="1"/>
      <w:numFmt w:val="decimal"/>
      <w:isLgl w:val="false"/>
      <w:suff w:val="tab"/>
      <w:lvlText w:val="%7."/>
      <w:lvlJc w:val="left"/>
      <w:pPr>
        <w:pStyle w:val="974"/>
        <w:ind w:left="3150" w:hanging="420"/>
        <w:tabs>
          <w:tab w:val="num" w:pos="3150" w:leader="none"/>
        </w:tabs>
      </w:pPr>
      <w:rPr>
        <w:rFonts w:cs="Times New Roman"/>
      </w:rPr>
    </w:lvl>
    <w:lvl w:ilvl="7">
      <w:start w:val="1"/>
      <w:numFmt w:val="lowerLetter"/>
      <w:isLgl w:val="false"/>
      <w:suff w:val="tab"/>
      <w:lvlText w:val="%8)"/>
      <w:lvlJc w:val="left"/>
      <w:pPr>
        <w:pStyle w:val="974"/>
        <w:ind w:left="3570" w:hanging="420"/>
        <w:tabs>
          <w:tab w:val="num" w:pos="3570" w:leader="none"/>
        </w:tabs>
      </w:pPr>
      <w:rPr>
        <w:rFonts w:cs="Times New Roman"/>
      </w:rPr>
    </w:lvl>
    <w:lvl w:ilvl="8">
      <w:start w:val="1"/>
      <w:numFmt w:val="lowerRoman"/>
      <w:isLgl w:val="false"/>
      <w:suff w:val="tab"/>
      <w:lvlText w:val="%9."/>
      <w:lvlJc w:val="right"/>
      <w:pPr>
        <w:pStyle w:val="974"/>
        <w:ind w:left="3990" w:hanging="420"/>
        <w:tabs>
          <w:tab w:val="num" w:pos="3990" w:leader="none"/>
        </w:tabs>
      </w:pPr>
      <w:rPr>
        <w:rFonts w:cs="Times New Roman"/>
      </w:rPr>
    </w:lvl>
  </w:abstractNum>
  <w:abstractNum w:abstractNumId="2">
    <w:multiLevelType w:val="hybridMultilevel"/>
    <w:lvl w:ilvl="0">
      <w:start w:val="1"/>
      <w:numFmt w:val="decimal"/>
      <w:isLgl w:val="false"/>
      <w:suff w:val="tab"/>
      <w:lvlText w:val="（%1）"/>
      <w:lvlJc w:val="left"/>
      <w:pPr>
        <w:pStyle w:val="974"/>
        <w:ind w:left="1104" w:hanging="696"/>
        <w:tabs>
          <w:tab w:val="num"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974"/>
        <w:ind w:left="510" w:hanging="360"/>
        <w:tabs>
          <w:tab w:val="num" w:pos="510" w:leader="none"/>
        </w:tabs>
      </w:pPr>
      <w:rPr>
        <w:rFonts w:hint="eastAsia" w:cs="Times New Roman"/>
      </w:rPr>
    </w:lvl>
    <w:lvl w:ilvl="1">
      <w:start w:val="1"/>
      <w:numFmt w:val="decimal"/>
      <w:isLgl w:val="false"/>
      <w:suff w:val="tab"/>
      <w:lvlText w:val="%2."/>
      <w:lvlJc w:val="left"/>
      <w:pPr>
        <w:pStyle w:val="974"/>
        <w:ind w:left="1290" w:hanging="720"/>
        <w:tabs>
          <w:tab w:val="num" w:pos="1290" w:leader="none"/>
        </w:tabs>
      </w:pPr>
      <w:rPr>
        <w:rFonts w:hint="eastAsia"/>
      </w:rPr>
    </w:lvl>
    <w:lvl w:ilvl="2">
      <w:start w:val="3"/>
      <w:numFmt w:val="decimal"/>
      <w:isLgl w:val="false"/>
      <w:suff w:val="tab"/>
      <w:lvlText w:val="（%3）"/>
      <w:lvlJc w:val="left"/>
      <w:pPr>
        <w:pStyle w:val="974"/>
        <w:ind w:left="1140" w:hanging="720"/>
        <w:tabs>
          <w:tab w:val="num" w:pos="1140" w:leader="none"/>
        </w:tabs>
      </w:pPr>
      <w:rPr>
        <w:rFonts w:hint="eastAsia" w:cs="Times New Roman"/>
      </w:rPr>
    </w:lvl>
    <w:lvl w:ilvl="3">
      <w:start w:val="1"/>
      <w:numFmt w:val="decimal"/>
      <w:isLgl w:val="false"/>
      <w:suff w:val="tab"/>
      <w:lvlText w:val="（%4）"/>
      <w:lvlJc w:val="left"/>
      <w:pPr>
        <w:pStyle w:val="9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4"/>
        <w:ind w:left="2250" w:hanging="420"/>
        <w:tabs>
          <w:tab w:val="num" w:pos="2250" w:leader="none"/>
        </w:tabs>
      </w:pPr>
      <w:rPr>
        <w:rFonts w:hint="eastAsia" w:cs="Times New Roman"/>
      </w:rPr>
    </w:lvl>
    <w:lvl w:ilvl="5">
      <w:start w:val="10"/>
      <w:numFmt w:val="japaneseCounting"/>
      <w:isLgl w:val="false"/>
      <w:suff w:val="tab"/>
      <w:lvlText w:val="（%6）"/>
      <w:lvlJc w:val="left"/>
      <w:pPr>
        <w:pStyle w:val="974"/>
        <w:ind w:left="2970" w:hanging="720"/>
      </w:pPr>
      <w:rPr>
        <w:rFonts w:cs="Times New Roman"/>
      </w:rPr>
    </w:lvl>
    <w:lvl w:ilvl="6">
      <w:start w:val="1"/>
      <w:numFmt w:val="decimal"/>
      <w:isLgl w:val="false"/>
      <w:suff w:val="tab"/>
      <w:lvlText w:val="%7."/>
      <w:lvlJc w:val="left"/>
      <w:pPr>
        <w:pStyle w:val="974"/>
        <w:ind w:left="3090" w:hanging="420"/>
        <w:tabs>
          <w:tab w:val="num" w:pos="3090" w:leader="none"/>
        </w:tabs>
      </w:pPr>
      <w:rPr>
        <w:rFonts w:cs="Times New Roman"/>
      </w:rPr>
    </w:lvl>
    <w:lvl w:ilvl="7">
      <w:start w:val="1"/>
      <w:numFmt w:val="lowerLetter"/>
      <w:isLgl w:val="false"/>
      <w:suff w:val="tab"/>
      <w:lvlText w:val="%8)"/>
      <w:lvlJc w:val="left"/>
      <w:pPr>
        <w:pStyle w:val="974"/>
        <w:ind w:left="3510" w:hanging="420"/>
        <w:tabs>
          <w:tab w:val="num" w:pos="3510" w:leader="none"/>
        </w:tabs>
      </w:pPr>
      <w:rPr>
        <w:rFonts w:cs="Times New Roman"/>
      </w:rPr>
    </w:lvl>
    <w:lvl w:ilvl="8">
      <w:start w:val="1"/>
      <w:numFmt w:val="lowerRoman"/>
      <w:isLgl w:val="false"/>
      <w:suff w:val="tab"/>
      <w:lvlText w:val="%9."/>
      <w:lvlJc w:val="right"/>
      <w:pPr>
        <w:pStyle w:val="974"/>
        <w:ind w:left="3930" w:hanging="420"/>
        <w:tabs>
          <w:tab w:val="num" w:pos="3930" w:leader="none"/>
        </w:tabs>
      </w:pPr>
      <w:rPr>
        <w:rFonts w:cs="Times New Roman"/>
      </w:rPr>
    </w:lvl>
  </w:abstractNum>
  <w:abstractNum w:abstractNumId="4">
    <w:multiLevelType w:val="hybridMultilevel"/>
    <w:lvl w:ilvl="0">
      <w:start w:val="3"/>
      <w:numFmt w:val="chineseCounting"/>
      <w:isLgl w:val="false"/>
      <w:suff w:val="space"/>
      <w:lvlText w:val="第%1条"/>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74"/>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74"/>
        <w:ind w:left="898" w:hanging="720"/>
        <w:tabs>
          <w:tab w:val="num" w:pos="898" w:leader="none"/>
        </w:tabs>
      </w:pPr>
      <w:rPr>
        <w:rFonts w:hint="eastAsia" w:cs="Times New Roman"/>
        <w:color w:val="000000"/>
      </w:rPr>
    </w:lvl>
    <w:lvl w:ilvl="1">
      <w:start w:val="3"/>
      <w:numFmt w:val="decimal"/>
      <w:isLgl w:val="false"/>
      <w:suff w:val="tab"/>
      <w:lvlText w:val="%2."/>
      <w:lvlJc w:val="left"/>
      <w:pPr>
        <w:pStyle w:val="974"/>
        <w:ind w:left="958" w:hanging="360"/>
        <w:tabs>
          <w:tab w:val="num" w:pos="958" w:leader="none"/>
        </w:tabs>
      </w:pPr>
      <w:rPr>
        <w:rFonts w:cs="Times New Roman"/>
      </w:rPr>
    </w:lvl>
    <w:lvl w:ilvl="2">
      <w:start w:val="1"/>
      <w:numFmt w:val="decimalEnclosedCircle"/>
      <w:isLgl w:val="false"/>
      <w:suff w:val="tab"/>
      <w:lvlText w:val="%3"/>
      <w:lvlJc w:val="left"/>
      <w:pPr>
        <w:pStyle w:val="974"/>
        <w:ind w:left="1378" w:hanging="360"/>
        <w:tabs>
          <w:tab w:val="num" w:pos="1378" w:leader="none"/>
        </w:tabs>
      </w:pPr>
      <w:rPr>
        <w:rFonts w:cs="Times New Roman"/>
        <w:color w:val="000000"/>
      </w:rPr>
    </w:lvl>
    <w:lvl w:ilvl="3">
      <w:start w:val="1"/>
      <w:numFmt w:val="decimal"/>
      <w:isLgl w:val="false"/>
      <w:suff w:val="tab"/>
      <w:lvlText w:val="%4."/>
      <w:lvlJc w:val="left"/>
      <w:pPr>
        <w:pStyle w:val="974"/>
        <w:ind w:left="1858" w:hanging="420"/>
        <w:tabs>
          <w:tab w:val="num" w:pos="1858" w:leader="none"/>
        </w:tabs>
      </w:pPr>
      <w:rPr>
        <w:rFonts w:cs="Times New Roman"/>
      </w:rPr>
    </w:lvl>
    <w:lvl w:ilvl="4">
      <w:start w:val="1"/>
      <w:numFmt w:val="lowerLetter"/>
      <w:isLgl w:val="false"/>
      <w:suff w:val="tab"/>
      <w:lvlText w:val="%5)"/>
      <w:lvlJc w:val="left"/>
      <w:pPr>
        <w:pStyle w:val="974"/>
        <w:ind w:left="2278" w:hanging="420"/>
        <w:tabs>
          <w:tab w:val="num" w:pos="2278" w:leader="none"/>
        </w:tabs>
      </w:pPr>
      <w:rPr>
        <w:rFonts w:cs="Times New Roman"/>
      </w:rPr>
    </w:lvl>
    <w:lvl w:ilvl="5">
      <w:start w:val="1"/>
      <w:numFmt w:val="lowerRoman"/>
      <w:isLgl w:val="false"/>
      <w:suff w:val="tab"/>
      <w:lvlText w:val="%6."/>
      <w:lvlJc w:val="right"/>
      <w:pPr>
        <w:pStyle w:val="974"/>
        <w:ind w:left="2698" w:hanging="420"/>
        <w:tabs>
          <w:tab w:val="num" w:pos="2698" w:leader="none"/>
        </w:tabs>
      </w:pPr>
      <w:rPr>
        <w:rFonts w:cs="Times New Roman"/>
      </w:rPr>
    </w:lvl>
    <w:lvl w:ilvl="6">
      <w:start w:val="1"/>
      <w:numFmt w:val="decimal"/>
      <w:isLgl w:val="false"/>
      <w:suff w:val="tab"/>
      <w:lvlText w:val="%7."/>
      <w:lvlJc w:val="left"/>
      <w:pPr>
        <w:pStyle w:val="974"/>
        <w:ind w:left="3118" w:hanging="420"/>
        <w:tabs>
          <w:tab w:val="num" w:pos="3118" w:leader="none"/>
        </w:tabs>
      </w:pPr>
      <w:rPr>
        <w:rFonts w:cs="Times New Roman"/>
      </w:rPr>
    </w:lvl>
    <w:lvl w:ilvl="7">
      <w:start w:val="1"/>
      <w:numFmt w:val="lowerLetter"/>
      <w:isLgl w:val="false"/>
      <w:suff w:val="tab"/>
      <w:lvlText w:val="%8)"/>
      <w:lvlJc w:val="left"/>
      <w:pPr>
        <w:pStyle w:val="974"/>
        <w:ind w:left="3538" w:hanging="420"/>
        <w:tabs>
          <w:tab w:val="num" w:pos="3538" w:leader="none"/>
        </w:tabs>
      </w:pPr>
      <w:rPr>
        <w:rFonts w:cs="Times New Roman"/>
      </w:rPr>
    </w:lvl>
    <w:lvl w:ilvl="8">
      <w:start w:val="1"/>
      <w:numFmt w:val="lowerRoman"/>
      <w:isLgl w:val="false"/>
      <w:suff w:val="tab"/>
      <w:lvlText w:val="%9."/>
      <w:lvlJc w:val="right"/>
      <w:pPr>
        <w:pStyle w:val="974"/>
        <w:ind w:left="3958" w:hanging="420"/>
        <w:tabs>
          <w:tab w:val="num" w:pos="3958" w:leader="none"/>
        </w:tabs>
      </w:pPr>
      <w:rPr>
        <w:rFonts w:cs="Times New Roman"/>
      </w:rPr>
    </w:lvl>
  </w:abstractNum>
  <w:abstractNum w:abstractNumId="7">
    <w:multiLevelType w:val="hybridMultilevel"/>
    <w:lvl w:ilvl="0">
      <w:start w:val="12"/>
      <w:numFmt w:val="chineseCounting"/>
      <w:isLgl w:val="false"/>
      <w:suff w:val="nothing"/>
      <w:lvlText w:val="%1、"/>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pStyle w:val="97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
      <w:isLgl w:val="false"/>
      <w:suff w:val="tab"/>
      <w:lvlText w:val="%1"/>
      <w:lvlJc w:val="left"/>
      <w:pPr>
        <w:pStyle w:val="974"/>
        <w:ind w:left="881" w:hanging="360"/>
        <w:tabs>
          <w:tab w:val="num" w:pos="881" w:leader="none"/>
        </w:tabs>
      </w:pPr>
      <w:rPr>
        <w:rFonts w:ascii="宋体" w:hAnsi="宋体" w:eastAsia="宋体" w:cs="Times New Roman"/>
      </w:rPr>
    </w:lvl>
    <w:lvl w:ilvl="1">
      <w:start w:val="1"/>
      <w:numFmt w:val="lowerLetter"/>
      <w:isLgl w:val="false"/>
      <w:suff w:val="tab"/>
      <w:lvlText w:val="%2)"/>
      <w:lvlJc w:val="left"/>
      <w:pPr>
        <w:pStyle w:val="974"/>
        <w:ind w:left="1361" w:hanging="420"/>
        <w:tabs>
          <w:tab w:val="num" w:pos="1361" w:leader="none"/>
        </w:tabs>
      </w:pPr>
      <w:rPr>
        <w:rFonts w:cs="Times New Roman"/>
      </w:rPr>
    </w:lvl>
    <w:lvl w:ilvl="2">
      <w:start w:val="1"/>
      <w:numFmt w:val="lowerRoman"/>
      <w:isLgl w:val="false"/>
      <w:suff w:val="tab"/>
      <w:lvlText w:val="%3."/>
      <w:lvlJc w:val="right"/>
      <w:pPr>
        <w:pStyle w:val="974"/>
        <w:ind w:left="1781" w:hanging="420"/>
        <w:tabs>
          <w:tab w:val="num" w:pos="1781" w:leader="none"/>
        </w:tabs>
      </w:pPr>
      <w:rPr>
        <w:rFonts w:cs="Times New Roman"/>
      </w:rPr>
    </w:lvl>
    <w:lvl w:ilvl="3">
      <w:start w:val="1"/>
      <w:numFmt w:val="decimal"/>
      <w:isLgl w:val="false"/>
      <w:suff w:val="tab"/>
      <w:lvlText w:val="%4."/>
      <w:lvlJc w:val="left"/>
      <w:pPr>
        <w:pStyle w:val="974"/>
        <w:ind w:left="2201" w:hanging="420"/>
        <w:tabs>
          <w:tab w:val="num" w:pos="2201" w:leader="none"/>
        </w:tabs>
      </w:pPr>
      <w:rPr>
        <w:rFonts w:cs="Times New Roman"/>
      </w:rPr>
    </w:lvl>
    <w:lvl w:ilvl="4">
      <w:start w:val="1"/>
      <w:numFmt w:val="lowerLetter"/>
      <w:isLgl w:val="false"/>
      <w:suff w:val="tab"/>
      <w:lvlText w:val="%5)"/>
      <w:lvlJc w:val="left"/>
      <w:pPr>
        <w:pStyle w:val="974"/>
        <w:ind w:left="2621" w:hanging="420"/>
        <w:tabs>
          <w:tab w:val="num" w:pos="2621" w:leader="none"/>
        </w:tabs>
      </w:pPr>
      <w:rPr>
        <w:rFonts w:cs="Times New Roman"/>
      </w:rPr>
    </w:lvl>
    <w:lvl w:ilvl="5">
      <w:start w:val="1"/>
      <w:numFmt w:val="lowerRoman"/>
      <w:isLgl w:val="false"/>
      <w:suff w:val="tab"/>
      <w:lvlText w:val="%6."/>
      <w:lvlJc w:val="right"/>
      <w:pPr>
        <w:pStyle w:val="974"/>
        <w:ind w:left="3041" w:hanging="420"/>
        <w:tabs>
          <w:tab w:val="num" w:pos="3041" w:leader="none"/>
        </w:tabs>
      </w:pPr>
      <w:rPr>
        <w:rFonts w:cs="Times New Roman"/>
      </w:rPr>
    </w:lvl>
    <w:lvl w:ilvl="6">
      <w:start w:val="1"/>
      <w:numFmt w:val="decimal"/>
      <w:isLgl w:val="false"/>
      <w:suff w:val="tab"/>
      <w:lvlText w:val="%7."/>
      <w:lvlJc w:val="left"/>
      <w:pPr>
        <w:pStyle w:val="974"/>
        <w:ind w:left="3461" w:hanging="420"/>
        <w:tabs>
          <w:tab w:val="num" w:pos="3461" w:leader="none"/>
        </w:tabs>
      </w:pPr>
      <w:rPr>
        <w:rFonts w:cs="Times New Roman"/>
      </w:rPr>
    </w:lvl>
    <w:lvl w:ilvl="7">
      <w:start w:val="1"/>
      <w:numFmt w:val="lowerLetter"/>
      <w:isLgl w:val="false"/>
      <w:suff w:val="tab"/>
      <w:lvlText w:val="%8)"/>
      <w:lvlJc w:val="left"/>
      <w:pPr>
        <w:pStyle w:val="974"/>
        <w:ind w:left="3881" w:hanging="420"/>
        <w:tabs>
          <w:tab w:val="num" w:pos="3881" w:leader="none"/>
        </w:tabs>
      </w:pPr>
      <w:rPr>
        <w:rFonts w:cs="Times New Roman"/>
      </w:rPr>
    </w:lvl>
    <w:lvl w:ilvl="8">
      <w:start w:val="1"/>
      <w:numFmt w:val="lowerRoman"/>
      <w:isLgl w:val="false"/>
      <w:suff w:val="tab"/>
      <w:lvlText w:val="%9."/>
      <w:lvlJc w:val="right"/>
      <w:pPr>
        <w:pStyle w:val="974"/>
        <w:ind w:left="4301" w:hanging="420"/>
        <w:tabs>
          <w:tab w:val="num" w:pos="4301" w:leader="none"/>
        </w:tabs>
      </w:pPr>
      <w:rPr>
        <w:rFonts w:cs="Times New Roman"/>
      </w:rPr>
    </w:lvl>
  </w:abstractNum>
  <w:abstractNum w:abstractNumId="10">
    <w:multiLevelType w:val="hybridMultilevel"/>
    <w:lvl w:ilvl="0">
      <w:start w:val="1"/>
      <w:numFmt w:val="decimal"/>
      <w:isLgl w:val="false"/>
      <w:suff w:val="tab"/>
      <w:lvlText w:val="%1．"/>
      <w:lvlJc w:val="left"/>
      <w:pPr>
        <w:pStyle w:val="974"/>
        <w:ind w:left="552" w:hanging="420"/>
        <w:tabs>
          <w:tab w:val="num"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974"/>
        <w:ind w:left="405" w:hanging="360"/>
        <w:tabs>
          <w:tab w:val="num" w:pos="510" w:leader="none"/>
        </w:tabs>
      </w:pPr>
      <w:rPr>
        <w:rFonts w:hint="eastAsia" w:cs="Times New Roman"/>
      </w:rPr>
    </w:lvl>
    <w:lvl w:ilvl="1">
      <w:start w:val="1"/>
      <w:numFmt w:val="decimal"/>
      <w:isLgl w:val="false"/>
      <w:suff w:val="tab"/>
      <w:lvlText w:val="%2．"/>
      <w:lvlJc w:val="left"/>
      <w:pPr>
        <w:pStyle w:val="974"/>
        <w:ind w:left="1290" w:hanging="720"/>
        <w:tabs>
          <w:tab w:val="num" w:pos="1290" w:leader="none"/>
        </w:tabs>
      </w:pPr>
      <w:rPr>
        <w:rFonts w:hint="eastAsia" w:cs="Times New Roman"/>
      </w:rPr>
    </w:lvl>
    <w:lvl w:ilvl="2">
      <w:start w:val="3"/>
      <w:numFmt w:val="decimal"/>
      <w:isLgl w:val="false"/>
      <w:suff w:val="tab"/>
      <w:lvlText w:val="（%3）"/>
      <w:lvlJc w:val="left"/>
      <w:pPr>
        <w:pStyle w:val="974"/>
        <w:ind w:left="1140" w:hanging="720"/>
        <w:tabs>
          <w:tab w:val="num" w:pos="1140" w:leader="none"/>
        </w:tabs>
      </w:pPr>
      <w:rPr>
        <w:rFonts w:hint="eastAsia" w:cs="Times New Roman"/>
      </w:rPr>
    </w:lvl>
    <w:lvl w:ilvl="3">
      <w:start w:val="1"/>
      <w:numFmt w:val="decimal"/>
      <w:isLgl w:val="false"/>
      <w:suff w:val="tab"/>
      <w:lvlText w:val="（%4）"/>
      <w:lvlJc w:val="left"/>
      <w:pPr>
        <w:pStyle w:val="974"/>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74"/>
        <w:ind w:left="2250" w:hanging="420"/>
        <w:tabs>
          <w:tab w:val="num" w:pos="2250" w:leader="none"/>
        </w:tabs>
      </w:pPr>
      <w:rPr>
        <w:rFonts w:hint="eastAsia" w:cs="Times New Roman"/>
      </w:rPr>
    </w:lvl>
    <w:lvl w:ilvl="5">
      <w:start w:val="10"/>
      <w:numFmt w:val="japaneseCounting"/>
      <w:isLgl w:val="false"/>
      <w:suff w:val="tab"/>
      <w:lvlText w:val="（%6）"/>
      <w:lvlJc w:val="left"/>
      <w:pPr>
        <w:pStyle w:val="974"/>
        <w:ind w:left="2970" w:hanging="720"/>
      </w:pPr>
      <w:rPr>
        <w:rFonts w:cs="Times New Roman"/>
      </w:rPr>
    </w:lvl>
    <w:lvl w:ilvl="6">
      <w:start w:val="1"/>
      <w:numFmt w:val="decimal"/>
      <w:isLgl w:val="false"/>
      <w:suff w:val="tab"/>
      <w:lvlText w:val="%7."/>
      <w:lvlJc w:val="left"/>
      <w:pPr>
        <w:pStyle w:val="974"/>
        <w:ind w:left="3090" w:hanging="420"/>
        <w:tabs>
          <w:tab w:val="num" w:pos="3090" w:leader="none"/>
        </w:tabs>
      </w:pPr>
      <w:rPr>
        <w:rFonts w:cs="Times New Roman"/>
      </w:rPr>
    </w:lvl>
    <w:lvl w:ilvl="7">
      <w:start w:val="1"/>
      <w:numFmt w:val="lowerLetter"/>
      <w:isLgl w:val="false"/>
      <w:suff w:val="tab"/>
      <w:lvlText w:val="%8)"/>
      <w:lvlJc w:val="left"/>
      <w:pPr>
        <w:pStyle w:val="974"/>
        <w:ind w:left="3510" w:hanging="420"/>
        <w:tabs>
          <w:tab w:val="num" w:pos="3510" w:leader="none"/>
        </w:tabs>
      </w:pPr>
      <w:rPr>
        <w:rFonts w:cs="Times New Roman"/>
      </w:rPr>
    </w:lvl>
    <w:lvl w:ilvl="8">
      <w:start w:val="1"/>
      <w:numFmt w:val="lowerRoman"/>
      <w:isLgl w:val="false"/>
      <w:suff w:val="tab"/>
      <w:lvlText w:val="%9."/>
      <w:lvlJc w:val="right"/>
      <w:pPr>
        <w:pStyle w:val="974"/>
        <w:ind w:left="3930" w:hanging="420"/>
        <w:tabs>
          <w:tab w:val="num" w:pos="3930" w:leader="none"/>
        </w:tabs>
      </w:pPr>
      <w:rPr>
        <w:rFonts w:cs="Times New Roman"/>
      </w:rPr>
    </w:lvl>
  </w:abstractNum>
  <w:abstractNum w:abstractNumId="12">
    <w:multiLevelType w:val="hybridMultilevel"/>
    <w:lvl w:ilvl="0">
      <w:start w:val="1"/>
      <w:numFmt w:val="decimal"/>
      <w:isLgl w:val="false"/>
      <w:suff w:val="tab"/>
      <w:lvlText w:val="（%1）"/>
      <w:lvlJc w:val="left"/>
      <w:pPr>
        <w:pStyle w:val="974"/>
        <w:ind w:left="1710" w:hanging="720"/>
        <w:tabs>
          <w:tab w:val="num" w:pos="1710" w:leader="none"/>
        </w:tabs>
      </w:pPr>
      <w:rPr>
        <w:rFonts w:hint="eastAsia" w:cs="Times New Roman"/>
      </w:rPr>
    </w:lvl>
    <w:lvl w:ilvl="1">
      <w:start w:val="2"/>
      <w:numFmt w:val="decimal"/>
      <w:isLgl w:val="false"/>
      <w:suff w:val="tab"/>
      <w:lvlText w:val="%2."/>
      <w:lvlJc w:val="left"/>
      <w:pPr>
        <w:pStyle w:val="974"/>
        <w:ind w:left="1770" w:hanging="360"/>
        <w:tabs>
          <w:tab w:val="num" w:pos="1770" w:leader="none"/>
        </w:tabs>
      </w:pPr>
      <w:rPr>
        <w:rFonts w:cs="Times New Roman"/>
      </w:rPr>
    </w:lvl>
    <w:lvl w:ilvl="2">
      <w:start w:val="1"/>
      <w:numFmt w:val="lowerRoman"/>
      <w:isLgl w:val="false"/>
      <w:suff w:val="tab"/>
      <w:lvlText w:val="%3."/>
      <w:lvlJc w:val="right"/>
      <w:pPr>
        <w:pStyle w:val="974"/>
        <w:ind w:left="2250" w:hanging="420"/>
        <w:tabs>
          <w:tab w:val="num" w:pos="2250" w:leader="none"/>
        </w:tabs>
      </w:pPr>
      <w:rPr>
        <w:rFonts w:cs="Times New Roman"/>
      </w:rPr>
    </w:lvl>
    <w:lvl w:ilvl="3">
      <w:start w:val="1"/>
      <w:numFmt w:val="decimal"/>
      <w:isLgl w:val="false"/>
      <w:suff w:val="tab"/>
      <w:lvlText w:val="%4."/>
      <w:lvlJc w:val="left"/>
      <w:pPr>
        <w:pStyle w:val="974"/>
        <w:ind w:left="2670" w:hanging="420"/>
        <w:tabs>
          <w:tab w:val="num" w:pos="2670" w:leader="none"/>
        </w:tabs>
      </w:pPr>
      <w:rPr>
        <w:rFonts w:cs="Times New Roman"/>
      </w:rPr>
    </w:lvl>
    <w:lvl w:ilvl="4">
      <w:start w:val="1"/>
      <w:numFmt w:val="lowerLetter"/>
      <w:isLgl w:val="false"/>
      <w:suff w:val="tab"/>
      <w:lvlText w:val="%5)"/>
      <w:lvlJc w:val="left"/>
      <w:pPr>
        <w:pStyle w:val="974"/>
        <w:ind w:left="3090" w:hanging="420"/>
        <w:tabs>
          <w:tab w:val="num" w:pos="3090" w:leader="none"/>
        </w:tabs>
      </w:pPr>
      <w:rPr>
        <w:rFonts w:cs="Times New Roman"/>
      </w:rPr>
    </w:lvl>
    <w:lvl w:ilvl="5">
      <w:start w:val="1"/>
      <w:numFmt w:val="lowerRoman"/>
      <w:isLgl w:val="false"/>
      <w:suff w:val="tab"/>
      <w:lvlText w:val="%6."/>
      <w:lvlJc w:val="right"/>
      <w:pPr>
        <w:pStyle w:val="974"/>
        <w:ind w:left="3510" w:hanging="420"/>
        <w:tabs>
          <w:tab w:val="num" w:pos="3510" w:leader="none"/>
        </w:tabs>
      </w:pPr>
      <w:rPr>
        <w:rFonts w:cs="Times New Roman"/>
      </w:rPr>
    </w:lvl>
    <w:lvl w:ilvl="6">
      <w:start w:val="1"/>
      <w:numFmt w:val="decimal"/>
      <w:isLgl w:val="false"/>
      <w:suff w:val="tab"/>
      <w:lvlText w:val="%7."/>
      <w:lvlJc w:val="left"/>
      <w:pPr>
        <w:pStyle w:val="974"/>
        <w:ind w:left="3930" w:hanging="420"/>
        <w:tabs>
          <w:tab w:val="num" w:pos="3930" w:leader="none"/>
        </w:tabs>
      </w:pPr>
      <w:rPr>
        <w:rFonts w:cs="Times New Roman"/>
      </w:rPr>
    </w:lvl>
    <w:lvl w:ilvl="7">
      <w:start w:val="1"/>
      <w:numFmt w:val="lowerLetter"/>
      <w:isLgl w:val="false"/>
      <w:suff w:val="tab"/>
      <w:lvlText w:val="%8)"/>
      <w:lvlJc w:val="left"/>
      <w:pPr>
        <w:pStyle w:val="974"/>
        <w:ind w:left="4350" w:hanging="420"/>
        <w:tabs>
          <w:tab w:val="num" w:pos="4350" w:leader="none"/>
        </w:tabs>
      </w:pPr>
      <w:rPr>
        <w:rFonts w:cs="Times New Roman"/>
      </w:rPr>
    </w:lvl>
    <w:lvl w:ilvl="8">
      <w:start w:val="1"/>
      <w:numFmt w:val="lowerRoman"/>
      <w:isLgl w:val="false"/>
      <w:suff w:val="tab"/>
      <w:lvlText w:val="%9."/>
      <w:lvlJc w:val="right"/>
      <w:pPr>
        <w:pStyle w:val="974"/>
        <w:ind w:left="4770" w:hanging="420"/>
        <w:tabs>
          <w:tab w:val="num" w:pos="4770" w:leader="none"/>
        </w:tabs>
      </w:pPr>
      <w:rPr>
        <w:rFonts w:cs="Times New Roman"/>
      </w:rPr>
    </w:lvl>
  </w:abstractNum>
  <w:abstractNum w:abstractNumId="13">
    <w:multiLevelType w:val="hybridMultilevel"/>
    <w:lvl w:ilvl="0">
      <w:start w:val="2"/>
      <w:numFmt w:val="japaneseCounting"/>
      <w:isLgl w:val="false"/>
      <w:suff w:val="tab"/>
      <w:lvlText w:val="（%1）"/>
      <w:lvlJc w:val="left"/>
      <w:pPr>
        <w:pStyle w:val="974"/>
        <w:ind w:left="1200" w:hanging="720"/>
        <w:tabs>
          <w:tab w:val="num" w:pos="1200" w:leader="none"/>
        </w:tabs>
      </w:pPr>
      <w:rPr>
        <w:rFonts w:cs="Times New Roman"/>
      </w:rPr>
    </w:lvl>
    <w:lvl w:ilvl="1">
      <w:start w:val="1"/>
      <w:numFmt w:val="lowerLetter"/>
      <w:isLgl w:val="false"/>
      <w:suff w:val="tab"/>
      <w:lvlText w:val="%2)"/>
      <w:lvlJc w:val="left"/>
      <w:pPr>
        <w:pStyle w:val="974"/>
        <w:ind w:left="1320" w:hanging="420"/>
        <w:tabs>
          <w:tab w:val="num" w:pos="1320" w:leader="none"/>
        </w:tabs>
      </w:pPr>
      <w:rPr>
        <w:rFonts w:cs="Times New Roman"/>
      </w:rPr>
    </w:lvl>
    <w:lvl w:ilvl="2">
      <w:start w:val="1"/>
      <w:numFmt w:val="lowerRoman"/>
      <w:isLgl w:val="false"/>
      <w:suff w:val="tab"/>
      <w:lvlText w:val="%3."/>
      <w:lvlJc w:val="right"/>
      <w:pPr>
        <w:pStyle w:val="974"/>
        <w:ind w:left="1740" w:hanging="420"/>
        <w:tabs>
          <w:tab w:val="num" w:pos="1740" w:leader="none"/>
        </w:tabs>
      </w:pPr>
      <w:rPr>
        <w:rFonts w:cs="Times New Roman"/>
      </w:rPr>
    </w:lvl>
    <w:lvl w:ilvl="3">
      <w:start w:val="1"/>
      <w:numFmt w:val="decimal"/>
      <w:isLgl w:val="false"/>
      <w:suff w:val="tab"/>
      <w:lvlText w:val="%4."/>
      <w:lvlJc w:val="left"/>
      <w:pPr>
        <w:pStyle w:val="974"/>
        <w:ind w:left="2160" w:hanging="420"/>
        <w:tabs>
          <w:tab w:val="num" w:pos="2160" w:leader="none"/>
        </w:tabs>
      </w:pPr>
      <w:rPr>
        <w:rFonts w:cs="Times New Roman"/>
      </w:rPr>
    </w:lvl>
    <w:lvl w:ilvl="4">
      <w:start w:val="1"/>
      <w:numFmt w:val="lowerLetter"/>
      <w:isLgl w:val="false"/>
      <w:suff w:val="tab"/>
      <w:lvlText w:val="%5)"/>
      <w:lvlJc w:val="left"/>
      <w:pPr>
        <w:pStyle w:val="974"/>
        <w:ind w:left="2580" w:hanging="420"/>
        <w:tabs>
          <w:tab w:val="num" w:pos="2580" w:leader="none"/>
        </w:tabs>
      </w:pPr>
      <w:rPr>
        <w:rFonts w:cs="Times New Roman"/>
      </w:rPr>
    </w:lvl>
    <w:lvl w:ilvl="5">
      <w:start w:val="1"/>
      <w:numFmt w:val="lowerRoman"/>
      <w:isLgl w:val="false"/>
      <w:suff w:val="tab"/>
      <w:lvlText w:val="%6."/>
      <w:lvlJc w:val="right"/>
      <w:pPr>
        <w:pStyle w:val="974"/>
        <w:ind w:left="3000" w:hanging="420"/>
        <w:tabs>
          <w:tab w:val="num" w:pos="3000" w:leader="none"/>
        </w:tabs>
      </w:pPr>
      <w:rPr>
        <w:rFonts w:cs="Times New Roman"/>
      </w:rPr>
    </w:lvl>
    <w:lvl w:ilvl="6">
      <w:start w:val="1"/>
      <w:numFmt w:val="decimal"/>
      <w:isLgl w:val="false"/>
      <w:suff w:val="tab"/>
      <w:lvlText w:val="%7."/>
      <w:lvlJc w:val="left"/>
      <w:pPr>
        <w:pStyle w:val="974"/>
        <w:ind w:left="3420" w:hanging="420"/>
        <w:tabs>
          <w:tab w:val="num" w:pos="3420" w:leader="none"/>
        </w:tabs>
      </w:pPr>
      <w:rPr>
        <w:rFonts w:cs="Times New Roman"/>
      </w:rPr>
    </w:lvl>
    <w:lvl w:ilvl="7">
      <w:start w:val="1"/>
      <w:numFmt w:val="lowerLetter"/>
      <w:isLgl w:val="false"/>
      <w:suff w:val="tab"/>
      <w:lvlText w:val="%8)"/>
      <w:lvlJc w:val="left"/>
      <w:pPr>
        <w:pStyle w:val="974"/>
        <w:ind w:left="3840" w:hanging="420"/>
        <w:tabs>
          <w:tab w:val="num" w:pos="3840" w:leader="none"/>
        </w:tabs>
      </w:pPr>
      <w:rPr>
        <w:rFonts w:cs="Times New Roman"/>
      </w:rPr>
    </w:lvl>
    <w:lvl w:ilvl="8">
      <w:start w:val="1"/>
      <w:numFmt w:val="lowerRoman"/>
      <w:isLgl w:val="false"/>
      <w:suff w:val="tab"/>
      <w:lvlText w:val="%9."/>
      <w:lvlJc w:val="right"/>
      <w:pPr>
        <w:pStyle w:val="974"/>
        <w:ind w:left="4260" w:hanging="420"/>
        <w:tabs>
          <w:tab w:val="num" w:pos="4260" w:leader="none"/>
        </w:tabs>
      </w:pPr>
      <w:rPr>
        <w:rFonts w:cs="Times New Roman"/>
      </w:rPr>
    </w:lvl>
  </w:abstractNum>
  <w:abstractNum w:abstractNumId="14">
    <w:multiLevelType w:val="hybridMultilevel"/>
    <w:lvl w:ilvl="0">
      <w:start w:val="1"/>
      <w:numFmt w:val="japaneseCounting"/>
      <w:isLgl w:val="false"/>
      <w:suff w:val="tab"/>
      <w:lvlText w:val="%1．"/>
      <w:lvlJc w:val="left"/>
      <w:pPr>
        <w:pStyle w:val="974"/>
        <w:ind w:left="720" w:hanging="720"/>
      </w:pPr>
    </w:lvl>
    <w:lvl w:ilvl="1">
      <w:start w:val="1"/>
      <w:numFmt w:val="lowerLetter"/>
      <w:isLgl w:val="false"/>
      <w:suff w:val="tab"/>
      <w:lvlText w:val="%2)"/>
      <w:lvlJc w:val="left"/>
      <w:pPr>
        <w:pStyle w:val="974"/>
        <w:ind w:left="840" w:hanging="420"/>
      </w:pPr>
    </w:lvl>
    <w:lvl w:ilvl="2">
      <w:start w:val="1"/>
      <w:numFmt w:val="lowerRoman"/>
      <w:isLgl w:val="false"/>
      <w:suff w:val="tab"/>
      <w:lvlText w:val="%3."/>
      <w:lvlJc w:val="right"/>
      <w:pPr>
        <w:pStyle w:val="974"/>
        <w:ind w:left="1260" w:hanging="420"/>
      </w:pPr>
    </w:lvl>
    <w:lvl w:ilvl="3">
      <w:start w:val="1"/>
      <w:numFmt w:val="decimal"/>
      <w:isLgl w:val="false"/>
      <w:suff w:val="tab"/>
      <w:lvlText w:val="%4."/>
      <w:lvlJc w:val="left"/>
      <w:pPr>
        <w:pStyle w:val="974"/>
        <w:ind w:left="1680" w:hanging="420"/>
      </w:pPr>
    </w:lvl>
    <w:lvl w:ilvl="4">
      <w:start w:val="1"/>
      <w:numFmt w:val="lowerLetter"/>
      <w:isLgl w:val="false"/>
      <w:suff w:val="tab"/>
      <w:lvlText w:val="%5)"/>
      <w:lvlJc w:val="left"/>
      <w:pPr>
        <w:pStyle w:val="974"/>
        <w:ind w:left="2100" w:hanging="420"/>
      </w:pPr>
    </w:lvl>
    <w:lvl w:ilvl="5">
      <w:start w:val="1"/>
      <w:numFmt w:val="lowerRoman"/>
      <w:isLgl w:val="false"/>
      <w:suff w:val="tab"/>
      <w:lvlText w:val="%6."/>
      <w:lvlJc w:val="right"/>
      <w:pPr>
        <w:pStyle w:val="974"/>
        <w:ind w:left="2520" w:hanging="420"/>
      </w:pPr>
    </w:lvl>
    <w:lvl w:ilvl="6">
      <w:start w:val="1"/>
      <w:numFmt w:val="decimal"/>
      <w:isLgl w:val="false"/>
      <w:suff w:val="tab"/>
      <w:lvlText w:val="%7."/>
      <w:lvlJc w:val="left"/>
      <w:pPr>
        <w:pStyle w:val="974"/>
        <w:ind w:left="2940" w:hanging="420"/>
      </w:pPr>
    </w:lvl>
    <w:lvl w:ilvl="7">
      <w:start w:val="1"/>
      <w:numFmt w:val="lowerLetter"/>
      <w:isLgl w:val="false"/>
      <w:suff w:val="tab"/>
      <w:lvlText w:val="%8)"/>
      <w:lvlJc w:val="left"/>
      <w:pPr>
        <w:pStyle w:val="974"/>
        <w:ind w:left="3360" w:hanging="420"/>
      </w:pPr>
    </w:lvl>
    <w:lvl w:ilvl="8">
      <w:start w:val="1"/>
      <w:numFmt w:val="lowerRoman"/>
      <w:isLgl w:val="false"/>
      <w:suff w:val="tab"/>
      <w:lvlText w:val="%9."/>
      <w:lvlJc w:val="right"/>
      <w:pPr>
        <w:pStyle w:val="974"/>
        <w:ind w:left="3780" w:hanging="420"/>
      </w:pPr>
    </w:lvl>
  </w:abstractNum>
  <w:abstractNum w:abstractNumId="15">
    <w:multiLevelType w:val="hybridMultilevel"/>
    <w:lvl w:ilvl="0">
      <w:start w:val="1"/>
      <w:numFmt w:val="decimal"/>
      <w:isLgl w:val="false"/>
      <w:suff w:val="tab"/>
      <w:lvlText w:val="%1．"/>
      <w:lvlJc w:val="left"/>
      <w:pPr>
        <w:pStyle w:val="974"/>
        <w:ind w:left="570" w:hanging="420"/>
        <w:tabs>
          <w:tab w:val="num"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974"/>
        <w:ind w:left="762" w:hanging="210"/>
        <w:tabs>
          <w:tab w:val="num"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974"/>
        <w:ind w:left="972" w:hanging="420"/>
      </w:pPr>
    </w:lvl>
    <w:lvl w:ilvl="1">
      <w:start w:val="1"/>
      <w:numFmt w:val="lowerLetter"/>
      <w:isLgl w:val="false"/>
      <w:suff w:val="tab"/>
      <w:lvlText w:val="%2)"/>
      <w:lvlJc w:val="left"/>
      <w:pPr>
        <w:pStyle w:val="974"/>
        <w:ind w:left="1392" w:hanging="420"/>
      </w:pPr>
    </w:lvl>
    <w:lvl w:ilvl="2">
      <w:start w:val="1"/>
      <w:numFmt w:val="lowerRoman"/>
      <w:isLgl w:val="false"/>
      <w:suff w:val="tab"/>
      <w:lvlText w:val="%3."/>
      <w:lvlJc w:val="right"/>
      <w:pPr>
        <w:pStyle w:val="974"/>
        <w:ind w:left="1812" w:hanging="420"/>
      </w:pPr>
    </w:lvl>
    <w:lvl w:ilvl="3">
      <w:start w:val="1"/>
      <w:numFmt w:val="decimal"/>
      <w:isLgl w:val="false"/>
      <w:suff w:val="tab"/>
      <w:lvlText w:val="%4."/>
      <w:lvlJc w:val="left"/>
      <w:pPr>
        <w:pStyle w:val="974"/>
        <w:ind w:left="2232" w:hanging="420"/>
      </w:pPr>
    </w:lvl>
    <w:lvl w:ilvl="4">
      <w:start w:val="1"/>
      <w:numFmt w:val="lowerLetter"/>
      <w:isLgl w:val="false"/>
      <w:suff w:val="tab"/>
      <w:lvlText w:val="%5)"/>
      <w:lvlJc w:val="left"/>
      <w:pPr>
        <w:pStyle w:val="974"/>
        <w:ind w:left="2652" w:hanging="420"/>
      </w:pPr>
    </w:lvl>
    <w:lvl w:ilvl="5">
      <w:start w:val="1"/>
      <w:numFmt w:val="lowerRoman"/>
      <w:isLgl w:val="false"/>
      <w:suff w:val="tab"/>
      <w:lvlText w:val="%6."/>
      <w:lvlJc w:val="right"/>
      <w:pPr>
        <w:pStyle w:val="974"/>
        <w:ind w:left="3072" w:hanging="420"/>
      </w:pPr>
    </w:lvl>
    <w:lvl w:ilvl="6">
      <w:start w:val="1"/>
      <w:numFmt w:val="decimal"/>
      <w:isLgl w:val="false"/>
      <w:suff w:val="tab"/>
      <w:lvlText w:val="%7."/>
      <w:lvlJc w:val="left"/>
      <w:pPr>
        <w:pStyle w:val="974"/>
        <w:ind w:left="3492" w:hanging="420"/>
      </w:pPr>
    </w:lvl>
    <w:lvl w:ilvl="7">
      <w:start w:val="1"/>
      <w:numFmt w:val="lowerLetter"/>
      <w:isLgl w:val="false"/>
      <w:suff w:val="tab"/>
      <w:lvlText w:val="%8)"/>
      <w:lvlJc w:val="left"/>
      <w:pPr>
        <w:pStyle w:val="974"/>
        <w:ind w:left="3912" w:hanging="420"/>
      </w:pPr>
    </w:lvl>
    <w:lvl w:ilvl="8">
      <w:start w:val="1"/>
      <w:numFmt w:val="lowerRoman"/>
      <w:isLgl w:val="false"/>
      <w:suff w:val="tab"/>
      <w:lvlText w:val="%9."/>
      <w:lvlJc w:val="right"/>
      <w:pPr>
        <w:pStyle w:val="974"/>
        <w:ind w:left="4332" w:hanging="420"/>
      </w:pPr>
    </w:lvl>
  </w:abstractNum>
  <w:num w:numId="1">
    <w:abstractNumId w:val="14"/>
  </w:num>
  <w:num w:numId="2">
    <w:abstractNumId w:val="8"/>
  </w:num>
  <w:num w:numId="3">
    <w:abstractNumId w:val="13"/>
  </w:num>
  <w:num w:numId="4">
    <w:abstractNumId w:val="10"/>
  </w:num>
  <w:num w:numId="5">
    <w:abstractNumId w:val="6"/>
  </w:num>
  <w:num w:numId="6">
    <w:abstractNumId w:val="1"/>
  </w:num>
  <w:num w:numId="7">
    <w:abstractNumId w:val="16"/>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5"/>
  </w:num>
  <w:num w:numId="13">
    <w:abstractNumId w:val="11"/>
  </w:num>
  <w:num w:numId="14">
    <w:abstractNumId w:val="12"/>
  </w:num>
  <w:num w:numId="15">
    <w:abstractNumId w:val="5"/>
  </w:num>
  <w:num w:numId="16">
    <w:abstractNumId w:val="0"/>
  </w:num>
  <w:num w:numId="17">
    <w:abstractNumId w:val="4"/>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name w:val="Heading 1"/>
    <w:basedOn w:val="974"/>
    <w:next w:val="974"/>
    <w:link w:val="799"/>
    <w:uiPriority w:val="9"/>
    <w:qFormat/>
    <w:pPr>
      <w:keepLines/>
      <w:keepNext/>
      <w:spacing w:before="480" w:after="200"/>
      <w:outlineLvl w:val="0"/>
    </w:pPr>
    <w:rPr>
      <w:rFonts w:ascii="Arial" w:hAnsi="Arial" w:eastAsia="Arial" w:cs="Arial"/>
      <w:sz w:val="40"/>
      <w:szCs w:val="40"/>
    </w:rPr>
  </w:style>
  <w:style w:type="character" w:styleId="799">
    <w:name w:val="Heading 1 Char"/>
    <w:link w:val="798"/>
    <w:uiPriority w:val="9"/>
    <w:rPr>
      <w:rFonts w:ascii="Arial" w:hAnsi="Arial" w:eastAsia="Arial" w:cs="Arial"/>
      <w:sz w:val="40"/>
      <w:szCs w:val="40"/>
    </w:rPr>
  </w:style>
  <w:style w:type="paragraph" w:styleId="800">
    <w:name w:val="Heading 2"/>
    <w:basedOn w:val="974"/>
    <w:next w:val="974"/>
    <w:link w:val="801"/>
    <w:uiPriority w:val="9"/>
    <w:unhideWhenUsed/>
    <w:qFormat/>
    <w:pPr>
      <w:keepLines/>
      <w:keepNext/>
      <w:spacing w:before="360" w:after="200"/>
      <w:outlineLvl w:val="1"/>
    </w:pPr>
    <w:rPr>
      <w:rFonts w:ascii="Arial" w:hAnsi="Arial" w:eastAsia="Arial" w:cs="Arial"/>
      <w:sz w:val="34"/>
    </w:rPr>
  </w:style>
  <w:style w:type="character" w:styleId="801">
    <w:name w:val="Heading 2 Char"/>
    <w:link w:val="800"/>
    <w:uiPriority w:val="9"/>
    <w:rPr>
      <w:rFonts w:ascii="Arial" w:hAnsi="Arial" w:eastAsia="Arial" w:cs="Arial"/>
      <w:sz w:val="34"/>
    </w:rPr>
  </w:style>
  <w:style w:type="paragraph" w:styleId="802">
    <w:name w:val="Heading 3"/>
    <w:basedOn w:val="974"/>
    <w:next w:val="974"/>
    <w:link w:val="803"/>
    <w:uiPriority w:val="9"/>
    <w:unhideWhenUsed/>
    <w:qFormat/>
    <w:pPr>
      <w:keepLines/>
      <w:keepNext/>
      <w:spacing w:before="320" w:after="200"/>
      <w:outlineLvl w:val="2"/>
    </w:pPr>
    <w:rPr>
      <w:rFonts w:ascii="Arial" w:hAnsi="Arial" w:eastAsia="Arial" w:cs="Arial"/>
      <w:sz w:val="30"/>
      <w:szCs w:val="30"/>
    </w:rPr>
  </w:style>
  <w:style w:type="character" w:styleId="803">
    <w:name w:val="Heading 3 Char"/>
    <w:link w:val="802"/>
    <w:uiPriority w:val="9"/>
    <w:rPr>
      <w:rFonts w:ascii="Arial" w:hAnsi="Arial" w:eastAsia="Arial" w:cs="Arial"/>
      <w:sz w:val="30"/>
      <w:szCs w:val="30"/>
    </w:rPr>
  </w:style>
  <w:style w:type="paragraph" w:styleId="804">
    <w:name w:val="Heading 4"/>
    <w:basedOn w:val="974"/>
    <w:next w:val="974"/>
    <w:link w:val="805"/>
    <w:uiPriority w:val="9"/>
    <w:unhideWhenUsed/>
    <w:qFormat/>
    <w:pPr>
      <w:keepLines/>
      <w:keepNext/>
      <w:spacing w:before="320" w:after="200"/>
      <w:outlineLvl w:val="3"/>
    </w:pPr>
    <w:rPr>
      <w:rFonts w:ascii="Arial" w:hAnsi="Arial" w:eastAsia="Arial" w:cs="Arial"/>
      <w:b/>
      <w:bCs/>
      <w:sz w:val="26"/>
      <w:szCs w:val="26"/>
    </w:rPr>
  </w:style>
  <w:style w:type="character" w:styleId="805">
    <w:name w:val="Heading 4 Char"/>
    <w:link w:val="804"/>
    <w:uiPriority w:val="9"/>
    <w:rPr>
      <w:rFonts w:ascii="Arial" w:hAnsi="Arial" w:eastAsia="Arial" w:cs="Arial"/>
      <w:b/>
      <w:bCs/>
      <w:sz w:val="26"/>
      <w:szCs w:val="26"/>
    </w:rPr>
  </w:style>
  <w:style w:type="paragraph" w:styleId="806">
    <w:name w:val="Heading 5"/>
    <w:basedOn w:val="974"/>
    <w:next w:val="974"/>
    <w:link w:val="807"/>
    <w:uiPriority w:val="9"/>
    <w:unhideWhenUsed/>
    <w:qFormat/>
    <w:pPr>
      <w:keepLines/>
      <w:keepNext/>
      <w:spacing w:before="320" w:after="200"/>
      <w:outlineLvl w:val="4"/>
    </w:pPr>
    <w:rPr>
      <w:rFonts w:ascii="Arial" w:hAnsi="Arial" w:eastAsia="Arial" w:cs="Arial"/>
      <w:b/>
      <w:bCs/>
      <w:sz w:val="24"/>
      <w:szCs w:val="24"/>
    </w:rPr>
  </w:style>
  <w:style w:type="character" w:styleId="807">
    <w:name w:val="Heading 5 Char"/>
    <w:link w:val="806"/>
    <w:uiPriority w:val="9"/>
    <w:rPr>
      <w:rFonts w:ascii="Arial" w:hAnsi="Arial" w:eastAsia="Arial" w:cs="Arial"/>
      <w:b/>
      <w:bCs/>
      <w:sz w:val="24"/>
      <w:szCs w:val="24"/>
    </w:rPr>
  </w:style>
  <w:style w:type="paragraph" w:styleId="808">
    <w:name w:val="Heading 6"/>
    <w:basedOn w:val="974"/>
    <w:next w:val="974"/>
    <w:link w:val="809"/>
    <w:uiPriority w:val="9"/>
    <w:unhideWhenUsed/>
    <w:qFormat/>
    <w:pPr>
      <w:keepLines/>
      <w:keepNext/>
      <w:spacing w:before="320" w:after="200"/>
      <w:outlineLvl w:val="5"/>
    </w:pPr>
    <w:rPr>
      <w:rFonts w:ascii="Arial" w:hAnsi="Arial" w:eastAsia="Arial" w:cs="Arial"/>
      <w:b/>
      <w:bCs/>
      <w:sz w:val="22"/>
      <w:szCs w:val="22"/>
    </w:rPr>
  </w:style>
  <w:style w:type="character" w:styleId="809">
    <w:name w:val="Heading 6 Char"/>
    <w:link w:val="808"/>
    <w:uiPriority w:val="9"/>
    <w:rPr>
      <w:rFonts w:ascii="Arial" w:hAnsi="Arial" w:eastAsia="Arial" w:cs="Arial"/>
      <w:b/>
      <w:bCs/>
      <w:sz w:val="22"/>
      <w:szCs w:val="22"/>
    </w:rPr>
  </w:style>
  <w:style w:type="paragraph" w:styleId="810">
    <w:name w:val="Heading 7"/>
    <w:basedOn w:val="974"/>
    <w:next w:val="974"/>
    <w:link w:val="811"/>
    <w:uiPriority w:val="9"/>
    <w:unhideWhenUsed/>
    <w:qFormat/>
    <w:pPr>
      <w:keepLines/>
      <w:keepNext/>
      <w:spacing w:before="320" w:after="200"/>
      <w:outlineLvl w:val="6"/>
    </w:pPr>
    <w:rPr>
      <w:rFonts w:ascii="Arial" w:hAnsi="Arial" w:eastAsia="Arial" w:cs="Arial"/>
      <w:b/>
      <w:bCs/>
      <w:i/>
      <w:iCs/>
      <w:sz w:val="22"/>
      <w:szCs w:val="22"/>
    </w:rPr>
  </w:style>
  <w:style w:type="character" w:styleId="811">
    <w:name w:val="Heading 7 Char"/>
    <w:link w:val="810"/>
    <w:uiPriority w:val="9"/>
    <w:rPr>
      <w:rFonts w:ascii="Arial" w:hAnsi="Arial" w:eastAsia="Arial" w:cs="Arial"/>
      <w:b/>
      <w:bCs/>
      <w:i/>
      <w:iCs/>
      <w:sz w:val="22"/>
      <w:szCs w:val="22"/>
    </w:rPr>
  </w:style>
  <w:style w:type="paragraph" w:styleId="812">
    <w:name w:val="Heading 8"/>
    <w:basedOn w:val="974"/>
    <w:next w:val="974"/>
    <w:link w:val="813"/>
    <w:uiPriority w:val="9"/>
    <w:unhideWhenUsed/>
    <w:qFormat/>
    <w:pPr>
      <w:keepLines/>
      <w:keepNext/>
      <w:spacing w:before="320" w:after="200"/>
      <w:outlineLvl w:val="7"/>
    </w:pPr>
    <w:rPr>
      <w:rFonts w:ascii="Arial" w:hAnsi="Arial" w:eastAsia="Arial" w:cs="Arial"/>
      <w:i/>
      <w:iCs/>
      <w:sz w:val="22"/>
      <w:szCs w:val="22"/>
    </w:rPr>
  </w:style>
  <w:style w:type="character" w:styleId="813">
    <w:name w:val="Heading 8 Char"/>
    <w:link w:val="812"/>
    <w:uiPriority w:val="9"/>
    <w:rPr>
      <w:rFonts w:ascii="Arial" w:hAnsi="Arial" w:eastAsia="Arial" w:cs="Arial"/>
      <w:i/>
      <w:iCs/>
      <w:sz w:val="22"/>
      <w:szCs w:val="22"/>
    </w:rPr>
  </w:style>
  <w:style w:type="paragraph" w:styleId="814">
    <w:name w:val="Heading 9"/>
    <w:basedOn w:val="974"/>
    <w:next w:val="974"/>
    <w:link w:val="815"/>
    <w:uiPriority w:val="9"/>
    <w:unhideWhenUsed/>
    <w:qFormat/>
    <w:pPr>
      <w:keepLines/>
      <w:keepNext/>
      <w:spacing w:before="320" w:after="200"/>
      <w:outlineLvl w:val="8"/>
    </w:pPr>
    <w:rPr>
      <w:rFonts w:ascii="Arial" w:hAnsi="Arial" w:eastAsia="Arial" w:cs="Arial"/>
      <w:i/>
      <w:iCs/>
      <w:sz w:val="21"/>
      <w:szCs w:val="21"/>
    </w:rPr>
  </w:style>
  <w:style w:type="character" w:styleId="815">
    <w:name w:val="Heading 9 Char"/>
    <w:link w:val="814"/>
    <w:uiPriority w:val="9"/>
    <w:rPr>
      <w:rFonts w:ascii="Arial" w:hAnsi="Arial" w:eastAsia="Arial" w:cs="Arial"/>
      <w:i/>
      <w:iCs/>
      <w:sz w:val="21"/>
      <w:szCs w:val="21"/>
    </w:rPr>
  </w:style>
  <w:style w:type="paragraph" w:styleId="816">
    <w:name w:val="Title"/>
    <w:basedOn w:val="974"/>
    <w:next w:val="974"/>
    <w:link w:val="817"/>
    <w:uiPriority w:val="10"/>
    <w:qFormat/>
    <w:pPr>
      <w:contextualSpacing/>
      <w:spacing w:before="300" w:after="200"/>
    </w:pPr>
    <w:rPr>
      <w:sz w:val="48"/>
      <w:szCs w:val="48"/>
    </w:rPr>
  </w:style>
  <w:style w:type="character" w:styleId="817">
    <w:name w:val="Title Char"/>
    <w:link w:val="816"/>
    <w:uiPriority w:val="10"/>
    <w:rPr>
      <w:sz w:val="48"/>
      <w:szCs w:val="48"/>
    </w:rPr>
  </w:style>
  <w:style w:type="paragraph" w:styleId="818">
    <w:name w:val="Subtitle"/>
    <w:basedOn w:val="974"/>
    <w:next w:val="974"/>
    <w:link w:val="819"/>
    <w:uiPriority w:val="11"/>
    <w:qFormat/>
    <w:pPr>
      <w:spacing w:before="200" w:after="200"/>
    </w:pPr>
    <w:rPr>
      <w:sz w:val="24"/>
      <w:szCs w:val="24"/>
    </w:rPr>
  </w:style>
  <w:style w:type="character" w:styleId="819">
    <w:name w:val="Subtitle Char"/>
    <w:link w:val="818"/>
    <w:uiPriority w:val="11"/>
    <w:rPr>
      <w:sz w:val="24"/>
      <w:szCs w:val="24"/>
    </w:rPr>
  </w:style>
  <w:style w:type="paragraph" w:styleId="820">
    <w:name w:val="Quote"/>
    <w:basedOn w:val="974"/>
    <w:next w:val="974"/>
    <w:link w:val="821"/>
    <w:uiPriority w:val="29"/>
    <w:qFormat/>
    <w:pPr>
      <w:ind w:left="720" w:right="720"/>
    </w:pPr>
    <w:rPr>
      <w:i/>
    </w:rPr>
  </w:style>
  <w:style w:type="character" w:styleId="821">
    <w:name w:val="Quote Char"/>
    <w:link w:val="820"/>
    <w:uiPriority w:val="29"/>
    <w:rPr>
      <w:i/>
    </w:rPr>
  </w:style>
  <w:style w:type="paragraph" w:styleId="822">
    <w:name w:val="Intense Quote"/>
    <w:basedOn w:val="974"/>
    <w:next w:val="974"/>
    <w:link w:val="8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3">
    <w:name w:val="Intense Quote Char"/>
    <w:link w:val="822"/>
    <w:uiPriority w:val="30"/>
    <w:rPr>
      <w:i/>
    </w:rPr>
  </w:style>
  <w:style w:type="paragraph" w:styleId="824">
    <w:name w:val="Header"/>
    <w:basedOn w:val="974"/>
    <w:link w:val="825"/>
    <w:uiPriority w:val="99"/>
    <w:unhideWhenUsed/>
    <w:pPr>
      <w:spacing w:after="0" w:line="240" w:lineRule="auto"/>
      <w:tabs>
        <w:tab w:val="center" w:pos="7143" w:leader="none"/>
        <w:tab w:val="right" w:pos="14287" w:leader="none"/>
      </w:tabs>
    </w:pPr>
  </w:style>
  <w:style w:type="character" w:styleId="825">
    <w:name w:val="Header Char"/>
    <w:link w:val="824"/>
    <w:uiPriority w:val="99"/>
  </w:style>
  <w:style w:type="paragraph" w:styleId="826">
    <w:name w:val="Footer"/>
    <w:basedOn w:val="974"/>
    <w:link w:val="829"/>
    <w:uiPriority w:val="99"/>
    <w:unhideWhenUsed/>
    <w:pPr>
      <w:spacing w:after="0" w:line="240" w:lineRule="auto"/>
      <w:tabs>
        <w:tab w:val="center" w:pos="7143" w:leader="none"/>
        <w:tab w:val="right" w:pos="14287" w:leader="none"/>
      </w:tabs>
    </w:pPr>
  </w:style>
  <w:style w:type="character" w:styleId="827">
    <w:name w:val="Footer Char"/>
    <w:link w:val="826"/>
    <w:uiPriority w:val="99"/>
  </w:style>
  <w:style w:type="paragraph" w:styleId="828">
    <w:name w:val="Caption"/>
    <w:basedOn w:val="974"/>
    <w:next w:val="974"/>
    <w:uiPriority w:val="35"/>
    <w:semiHidden/>
    <w:unhideWhenUsed/>
    <w:qFormat/>
    <w:pPr>
      <w:spacing w:line="276" w:lineRule="auto"/>
    </w:pPr>
    <w:rPr>
      <w:b/>
      <w:bCs/>
      <w:color w:val="4f81bd" w:themeColor="accent1"/>
      <w:sz w:val="18"/>
      <w:szCs w:val="18"/>
    </w:rPr>
  </w:style>
  <w:style w:type="character" w:styleId="829">
    <w:name w:val="Caption Char"/>
    <w:basedOn w:val="828"/>
    <w:link w:val="826"/>
    <w:uiPriority w:val="99"/>
  </w:style>
  <w:style w:type="table" w:styleId="83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3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7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1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1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1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3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3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3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6">
    <w:name w:val="Hyperlink"/>
    <w:uiPriority w:val="99"/>
    <w:unhideWhenUsed/>
    <w:rPr>
      <w:color w:val="0000ff" w:themeColor="hyperlink"/>
      <w:u w:val="single"/>
    </w:rPr>
  </w:style>
  <w:style w:type="paragraph" w:styleId="957">
    <w:name w:val="footnote text"/>
    <w:basedOn w:val="974"/>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uiPriority w:val="99"/>
    <w:unhideWhenUsed/>
    <w:rPr>
      <w:vertAlign w:val="superscript"/>
    </w:rPr>
  </w:style>
  <w:style w:type="paragraph" w:styleId="960">
    <w:name w:val="endnote text"/>
    <w:basedOn w:val="974"/>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uiPriority w:val="99"/>
    <w:semiHidden/>
    <w:unhideWhenUsed/>
    <w:rPr>
      <w:vertAlign w:val="superscript"/>
    </w:rPr>
  </w:style>
  <w:style w:type="paragraph" w:styleId="963">
    <w:name w:val="toc 1"/>
    <w:basedOn w:val="974"/>
    <w:next w:val="974"/>
    <w:uiPriority w:val="39"/>
    <w:unhideWhenUsed/>
    <w:pPr>
      <w:ind w:left="0" w:right="0" w:firstLine="0"/>
      <w:spacing w:after="57"/>
    </w:pPr>
  </w:style>
  <w:style w:type="paragraph" w:styleId="964">
    <w:name w:val="toc 2"/>
    <w:basedOn w:val="974"/>
    <w:next w:val="974"/>
    <w:uiPriority w:val="39"/>
    <w:unhideWhenUsed/>
    <w:pPr>
      <w:ind w:left="283" w:right="0" w:firstLine="0"/>
      <w:spacing w:after="57"/>
    </w:pPr>
  </w:style>
  <w:style w:type="paragraph" w:styleId="965">
    <w:name w:val="toc 3"/>
    <w:basedOn w:val="974"/>
    <w:next w:val="974"/>
    <w:uiPriority w:val="39"/>
    <w:unhideWhenUsed/>
    <w:pPr>
      <w:ind w:left="567" w:right="0" w:firstLine="0"/>
      <w:spacing w:after="57"/>
    </w:pPr>
  </w:style>
  <w:style w:type="paragraph" w:styleId="966">
    <w:name w:val="toc 4"/>
    <w:basedOn w:val="974"/>
    <w:next w:val="974"/>
    <w:uiPriority w:val="39"/>
    <w:unhideWhenUsed/>
    <w:pPr>
      <w:ind w:left="850" w:right="0" w:firstLine="0"/>
      <w:spacing w:after="57"/>
    </w:pPr>
  </w:style>
  <w:style w:type="paragraph" w:styleId="967">
    <w:name w:val="toc 5"/>
    <w:basedOn w:val="974"/>
    <w:next w:val="974"/>
    <w:uiPriority w:val="39"/>
    <w:unhideWhenUsed/>
    <w:pPr>
      <w:ind w:left="1134" w:right="0" w:firstLine="0"/>
      <w:spacing w:after="57"/>
    </w:pPr>
  </w:style>
  <w:style w:type="paragraph" w:styleId="968">
    <w:name w:val="toc 6"/>
    <w:basedOn w:val="974"/>
    <w:next w:val="974"/>
    <w:uiPriority w:val="39"/>
    <w:unhideWhenUsed/>
    <w:pPr>
      <w:ind w:left="1417" w:right="0" w:firstLine="0"/>
      <w:spacing w:after="57"/>
    </w:pPr>
  </w:style>
  <w:style w:type="paragraph" w:styleId="969">
    <w:name w:val="toc 7"/>
    <w:basedOn w:val="974"/>
    <w:next w:val="974"/>
    <w:uiPriority w:val="39"/>
    <w:unhideWhenUsed/>
    <w:pPr>
      <w:ind w:left="1701" w:right="0" w:firstLine="0"/>
      <w:spacing w:after="57"/>
    </w:pPr>
  </w:style>
  <w:style w:type="paragraph" w:styleId="970">
    <w:name w:val="toc 8"/>
    <w:basedOn w:val="974"/>
    <w:next w:val="974"/>
    <w:uiPriority w:val="39"/>
    <w:unhideWhenUsed/>
    <w:pPr>
      <w:ind w:left="1984" w:right="0" w:firstLine="0"/>
      <w:spacing w:after="57"/>
    </w:pPr>
  </w:style>
  <w:style w:type="paragraph" w:styleId="971">
    <w:name w:val="toc 9"/>
    <w:basedOn w:val="974"/>
    <w:next w:val="974"/>
    <w:uiPriority w:val="39"/>
    <w:unhideWhenUsed/>
    <w:pPr>
      <w:ind w:left="2268" w:right="0" w:firstLine="0"/>
      <w:spacing w:after="57"/>
    </w:pPr>
  </w:style>
  <w:style w:type="paragraph" w:styleId="972">
    <w:name w:val="TOC Heading"/>
    <w:uiPriority w:val="39"/>
    <w:unhideWhenUsed/>
  </w:style>
  <w:style w:type="paragraph" w:styleId="973">
    <w:name w:val="table of figures"/>
    <w:basedOn w:val="974"/>
    <w:next w:val="974"/>
    <w:uiPriority w:val="99"/>
    <w:unhideWhenUsed/>
    <w:pPr>
      <w:spacing w:after="0" w:afterAutospacing="0"/>
    </w:pPr>
  </w:style>
  <w:style w:type="paragraph" w:styleId="974" w:default="1">
    <w:name w:val="Normal"/>
    <w:next w:val="974"/>
    <w:link w:val="974"/>
    <w:qFormat/>
    <w:pPr>
      <w:jc w:val="both"/>
      <w:widowControl w:val="off"/>
    </w:pPr>
    <w:rPr>
      <w:rFonts w:eastAsia="楷体_GB2312"/>
      <w:sz w:val="26"/>
      <w:lang w:val="en-US" w:eastAsia="zh-CN" w:bidi="ar-SA"/>
    </w:rPr>
  </w:style>
  <w:style w:type="paragraph" w:styleId="975">
    <w:name w:val="标题 1"/>
    <w:basedOn w:val="974"/>
    <w:next w:val="974"/>
    <w:link w:val="982"/>
    <w:qFormat/>
    <w:pPr>
      <w:keepLines/>
      <w:keepNext/>
      <w:spacing w:before="340" w:after="330" w:line="578" w:lineRule="auto"/>
      <w:outlineLvl w:val="0"/>
    </w:pPr>
    <w:rPr>
      <w:b/>
      <w:sz w:val="44"/>
    </w:rPr>
  </w:style>
  <w:style w:type="paragraph" w:styleId="976">
    <w:name w:val="标题 2"/>
    <w:basedOn w:val="974"/>
    <w:next w:val="974"/>
    <w:link w:val="983"/>
    <w:qFormat/>
    <w:pPr>
      <w:keepLines/>
      <w:keepNext/>
      <w:spacing w:before="260" w:after="260" w:line="416" w:lineRule="auto"/>
      <w:outlineLvl w:val="1"/>
    </w:pPr>
    <w:rPr>
      <w:rFonts w:ascii="Cambria" w:hAnsi="Cambria" w:eastAsia="宋体"/>
      <w:b/>
      <w:bCs/>
      <w:sz w:val="32"/>
      <w:szCs w:val="32"/>
    </w:rPr>
  </w:style>
  <w:style w:type="paragraph" w:styleId="977">
    <w:name w:val="标题 3"/>
    <w:basedOn w:val="974"/>
    <w:next w:val="985"/>
    <w:link w:val="984"/>
    <w:qFormat/>
    <w:pPr>
      <w:keepLines/>
      <w:keepNext/>
      <w:spacing w:before="260" w:after="260" w:line="416" w:lineRule="auto"/>
      <w:outlineLvl w:val="2"/>
    </w:pPr>
    <w:rPr>
      <w:b/>
      <w:bCs/>
      <w:sz w:val="32"/>
      <w:szCs w:val="32"/>
    </w:rPr>
  </w:style>
  <w:style w:type="paragraph" w:styleId="978">
    <w:name w:val="标题 4"/>
    <w:basedOn w:val="974"/>
    <w:next w:val="988"/>
    <w:link w:val="987"/>
    <w:qFormat/>
    <w:pPr>
      <w:keepLines/>
      <w:keepNext/>
      <w:spacing w:before="280" w:after="290" w:line="376" w:lineRule="auto"/>
      <w:outlineLvl w:val="3"/>
    </w:pPr>
    <w:rPr>
      <w:rFonts w:ascii="Cambria" w:hAnsi="Cambria" w:eastAsia="宋体" w:cs="Times New Roman"/>
      <w:b/>
      <w:bCs/>
      <w:sz w:val="28"/>
      <w:szCs w:val="28"/>
    </w:rPr>
  </w:style>
  <w:style w:type="paragraph" w:styleId="979">
    <w:name w:val="标题 5"/>
    <w:basedOn w:val="974"/>
    <w:next w:val="974"/>
    <w:link w:val="989"/>
    <w:qFormat/>
    <w:pPr>
      <w:jc w:val="center"/>
      <w:keepLines/>
      <w:keepNext/>
      <w:outlineLvl w:val="4"/>
    </w:pPr>
    <w:rPr>
      <w:rFonts w:eastAsia="宋体"/>
      <w:b/>
      <w:bCs/>
      <w:sz w:val="28"/>
      <w:szCs w:val="28"/>
    </w:rPr>
  </w:style>
  <w:style w:type="character" w:styleId="980">
    <w:name w:val="默认段落字体"/>
    <w:next w:val="980"/>
    <w:link w:val="974"/>
    <w:uiPriority w:val="1"/>
    <w:unhideWhenUsed/>
  </w:style>
  <w:style w:type="table" w:styleId="981">
    <w:name w:val="普通表格"/>
    <w:next w:val="981"/>
    <w:link w:val="974"/>
    <w:uiPriority w:val="99"/>
    <w:unhideWhenUsed/>
    <w:qFormat/>
    <w:tblPr/>
  </w:style>
  <w:style w:type="character" w:styleId="982">
    <w:name w:val="标题 1 Char"/>
    <w:next w:val="982"/>
    <w:link w:val="975"/>
    <w:qFormat/>
    <w:rPr>
      <w:rFonts w:eastAsia="楷体_GB2312"/>
      <w:b/>
      <w:sz w:val="44"/>
    </w:rPr>
  </w:style>
  <w:style w:type="character" w:styleId="983">
    <w:name w:val="标题 2 Char"/>
    <w:next w:val="983"/>
    <w:link w:val="976"/>
    <w:qFormat/>
    <w:rPr>
      <w:rFonts w:ascii="Cambria" w:hAnsi="Cambria" w:eastAsia="宋体" w:cs="Times New Roman"/>
      <w:b/>
      <w:bCs/>
      <w:sz w:val="32"/>
      <w:szCs w:val="32"/>
    </w:rPr>
  </w:style>
  <w:style w:type="character" w:styleId="984">
    <w:name w:val="标题 3 Char"/>
    <w:next w:val="984"/>
    <w:link w:val="977"/>
    <w:qFormat/>
    <w:rPr>
      <w:rFonts w:eastAsia="楷体_GB2312"/>
      <w:b/>
      <w:bCs/>
      <w:sz w:val="32"/>
      <w:szCs w:val="32"/>
    </w:rPr>
  </w:style>
  <w:style w:type="paragraph" w:styleId="985">
    <w:name w:val="正文缩进"/>
    <w:basedOn w:val="974"/>
    <w:next w:val="985"/>
    <w:link w:val="986"/>
    <w:unhideWhenUsed/>
    <w:qFormat/>
    <w:pPr>
      <w:ind w:firstLine="420"/>
      <w:jc w:val="left"/>
    </w:pPr>
    <w:rPr>
      <w:sz w:val="24"/>
    </w:rPr>
  </w:style>
  <w:style w:type="character" w:styleId="986">
    <w:name w:val="正文缩进 Char"/>
    <w:next w:val="986"/>
    <w:link w:val="985"/>
    <w:qFormat/>
    <w:rPr>
      <w:rFonts w:eastAsia="楷体_GB2312"/>
      <w:sz w:val="24"/>
    </w:rPr>
  </w:style>
  <w:style w:type="character" w:styleId="987">
    <w:name w:val="标题 4 Char"/>
    <w:next w:val="987"/>
    <w:link w:val="978"/>
    <w:qFormat/>
    <w:rPr>
      <w:rFonts w:ascii="Cambria" w:hAnsi="Cambria" w:eastAsia="宋体" w:cs="Times New Roman"/>
      <w:b/>
      <w:bCs/>
      <w:sz w:val="28"/>
      <w:szCs w:val="28"/>
    </w:rPr>
  </w:style>
  <w:style w:type="paragraph" w:styleId="988">
    <w:name w:val="正文文本 Char Char"/>
    <w:basedOn w:val="974"/>
    <w:next w:val="988"/>
    <w:link w:val="974"/>
    <w:qFormat/>
    <w:pPr>
      <w:jc w:val="center"/>
    </w:pPr>
    <w:rPr>
      <w:szCs w:val="20"/>
    </w:rPr>
  </w:style>
  <w:style w:type="character" w:styleId="989">
    <w:name w:val="标题 5 Char"/>
    <w:next w:val="989"/>
    <w:link w:val="979"/>
    <w:qFormat/>
    <w:rPr>
      <w:b/>
      <w:bCs/>
      <w:sz w:val="28"/>
      <w:szCs w:val="28"/>
    </w:rPr>
  </w:style>
  <w:style w:type="paragraph" w:styleId="990">
    <w:name w:val="文档结构图"/>
    <w:basedOn w:val="974"/>
    <w:next w:val="990"/>
    <w:link w:val="991"/>
    <w:unhideWhenUsed/>
    <w:qFormat/>
    <w:pPr>
      <w:shd w:val="clear" w:color="auto" w:fill="000080"/>
    </w:pPr>
    <w:rPr>
      <w:rFonts w:eastAsia="宋体"/>
      <w:sz w:val="21"/>
      <w:szCs w:val="24"/>
    </w:rPr>
  </w:style>
  <w:style w:type="character" w:styleId="991">
    <w:name w:val="文档结构图 Char"/>
    <w:next w:val="991"/>
    <w:link w:val="990"/>
    <w:qFormat/>
    <w:rPr>
      <w:sz w:val="21"/>
      <w:szCs w:val="24"/>
      <w:shd w:val="clear" w:color="auto" w:fill="000080"/>
    </w:rPr>
  </w:style>
  <w:style w:type="paragraph" w:styleId="992">
    <w:name w:val="批注文字"/>
    <w:basedOn w:val="974"/>
    <w:next w:val="992"/>
    <w:link w:val="993"/>
    <w:qFormat/>
    <w:pPr>
      <w:jc w:val="left"/>
    </w:pPr>
  </w:style>
  <w:style w:type="character" w:styleId="993">
    <w:name w:val="批注文字 Char"/>
    <w:next w:val="993"/>
    <w:link w:val="992"/>
    <w:qFormat/>
    <w:rPr>
      <w:rFonts w:eastAsia="楷体_GB2312"/>
      <w:sz w:val="26"/>
    </w:rPr>
  </w:style>
  <w:style w:type="paragraph" w:styleId="994">
    <w:name w:val="正文文本 3"/>
    <w:basedOn w:val="974"/>
    <w:next w:val="994"/>
    <w:link w:val="995"/>
    <w:unhideWhenUsed/>
    <w:qFormat/>
    <w:pPr>
      <w:jc w:val="center"/>
    </w:pPr>
    <w:rPr>
      <w:rFonts w:ascii="宋体" w:hAnsi="宋体"/>
    </w:rPr>
  </w:style>
  <w:style w:type="character" w:styleId="995">
    <w:name w:val="正文文本 3 Char"/>
    <w:next w:val="995"/>
    <w:link w:val="994"/>
    <w:qFormat/>
    <w:rPr>
      <w:rFonts w:ascii="宋体" w:hAnsi="宋体" w:eastAsia="楷体_GB2312"/>
      <w:sz w:val="26"/>
    </w:rPr>
  </w:style>
  <w:style w:type="paragraph" w:styleId="996">
    <w:name w:val="正文文本"/>
    <w:basedOn w:val="974"/>
    <w:next w:val="996"/>
    <w:link w:val="997"/>
    <w:unhideWhenUsed/>
    <w:qFormat/>
    <w:rPr>
      <w:rFonts w:ascii="楷体_GB2312"/>
      <w:b/>
      <w:bCs/>
      <w:sz w:val="28"/>
    </w:rPr>
  </w:style>
  <w:style w:type="character" w:styleId="997">
    <w:name w:val="正文文本 Char1"/>
    <w:next w:val="997"/>
    <w:link w:val="996"/>
    <w:rPr>
      <w:rFonts w:ascii="楷体_GB2312" w:eastAsia="楷体_GB2312"/>
      <w:b/>
      <w:bCs/>
      <w:sz w:val="28"/>
    </w:rPr>
  </w:style>
  <w:style w:type="paragraph" w:styleId="998">
    <w:name w:val="正文文本缩进"/>
    <w:basedOn w:val="974"/>
    <w:next w:val="998"/>
    <w:link w:val="999"/>
    <w:unhideWhenUsed/>
    <w:qFormat/>
    <w:pPr>
      <w:ind w:firstLine="570"/>
    </w:pPr>
    <w:rPr>
      <w:rFonts w:ascii="宋体" w:eastAsia="宋体"/>
      <w:sz w:val="28"/>
    </w:rPr>
  </w:style>
  <w:style w:type="character" w:styleId="999">
    <w:name w:val="正文文本缩进 Char"/>
    <w:next w:val="999"/>
    <w:link w:val="998"/>
    <w:qFormat/>
    <w:rPr>
      <w:rFonts w:ascii="宋体"/>
      <w:sz w:val="28"/>
    </w:rPr>
  </w:style>
  <w:style w:type="paragraph" w:styleId="1000">
    <w:name w:val="目录 3"/>
    <w:basedOn w:val="974"/>
    <w:next w:val="974"/>
    <w:link w:val="974"/>
    <w:pPr>
      <w:ind w:left="359"/>
      <w:tabs>
        <w:tab w:val="right" w:pos="8302" w:leader="dot"/>
      </w:tabs>
    </w:pPr>
    <w:rPr>
      <w:rFonts w:eastAsia="宋体"/>
      <w:sz w:val="21"/>
      <w:szCs w:val="24"/>
    </w:rPr>
  </w:style>
  <w:style w:type="paragraph" w:styleId="1001">
    <w:name w:val="纯文本"/>
    <w:basedOn w:val="974"/>
    <w:next w:val="985"/>
    <w:link w:val="1002"/>
    <w:unhideWhenUsed/>
    <w:qFormat/>
    <w:rPr>
      <w:rFonts w:ascii="宋体" w:hAnsi="Courier New"/>
    </w:rPr>
  </w:style>
  <w:style w:type="character" w:styleId="1002">
    <w:name w:val="纯文本 Char"/>
    <w:next w:val="1002"/>
    <w:link w:val="1001"/>
    <w:qFormat/>
    <w:rPr>
      <w:rFonts w:ascii="宋体" w:hAnsi="Courier New" w:eastAsia="楷体_GB2312"/>
      <w:sz w:val="26"/>
    </w:rPr>
  </w:style>
  <w:style w:type="paragraph" w:styleId="1003">
    <w:name w:val="日期"/>
    <w:basedOn w:val="974"/>
    <w:next w:val="974"/>
    <w:link w:val="1004"/>
    <w:unhideWhenUsed/>
    <w:qFormat/>
    <w:rPr>
      <w:rFonts w:ascii="宋体" w:hAnsi="宋体"/>
      <w:sz w:val="24"/>
    </w:rPr>
  </w:style>
  <w:style w:type="character" w:styleId="1004">
    <w:name w:val="日期 Char"/>
    <w:next w:val="1004"/>
    <w:link w:val="1003"/>
    <w:qFormat/>
    <w:rPr>
      <w:rFonts w:ascii="宋体" w:hAnsi="宋体" w:eastAsia="楷体_GB2312"/>
      <w:sz w:val="24"/>
    </w:rPr>
  </w:style>
  <w:style w:type="paragraph" w:styleId="1005">
    <w:name w:val="正文文本缩进 2"/>
    <w:basedOn w:val="974"/>
    <w:next w:val="1005"/>
    <w:link w:val="1006"/>
    <w:unhideWhenUsed/>
    <w:qFormat/>
    <w:pPr>
      <w:ind w:left="420"/>
      <w:spacing w:after="120" w:line="480" w:lineRule="auto"/>
    </w:pPr>
  </w:style>
  <w:style w:type="character" w:styleId="1006">
    <w:name w:val="正文文本缩进 2 Char"/>
    <w:next w:val="1006"/>
    <w:link w:val="1005"/>
    <w:qFormat/>
    <w:rPr>
      <w:rFonts w:eastAsia="楷体_GB2312"/>
      <w:sz w:val="26"/>
    </w:rPr>
  </w:style>
  <w:style w:type="paragraph" w:styleId="1007">
    <w:name w:val="尾注文本"/>
    <w:basedOn w:val="974"/>
    <w:next w:val="1007"/>
    <w:link w:val="1008"/>
    <w:unhideWhenUsed/>
    <w:qFormat/>
    <w:pPr>
      <w:jc w:val="left"/>
    </w:pPr>
    <w:rPr>
      <w:rFonts w:ascii="宋体" w:hAnsi="宋体" w:eastAsia="宋体"/>
      <w:sz w:val="21"/>
      <w:szCs w:val="24"/>
    </w:rPr>
  </w:style>
  <w:style w:type="character" w:styleId="1008">
    <w:name w:val="尾注文本 Char"/>
    <w:next w:val="1008"/>
    <w:link w:val="1007"/>
    <w:qFormat/>
    <w:rPr>
      <w:rFonts w:ascii="宋体" w:hAnsi="宋体"/>
      <w:sz w:val="21"/>
      <w:szCs w:val="24"/>
    </w:rPr>
  </w:style>
  <w:style w:type="paragraph" w:styleId="1009">
    <w:name w:val="批注框文本"/>
    <w:basedOn w:val="974"/>
    <w:next w:val="1009"/>
    <w:link w:val="1010"/>
    <w:qFormat/>
    <w:rPr>
      <w:sz w:val="18"/>
      <w:szCs w:val="18"/>
    </w:rPr>
  </w:style>
  <w:style w:type="character" w:styleId="1010">
    <w:name w:val="批注框文本 Char"/>
    <w:next w:val="1010"/>
    <w:link w:val="1009"/>
    <w:qFormat/>
    <w:rPr>
      <w:rFonts w:eastAsia="楷体_GB2312"/>
      <w:sz w:val="18"/>
      <w:szCs w:val="18"/>
    </w:rPr>
  </w:style>
  <w:style w:type="paragraph" w:styleId="1011">
    <w:name w:val="页脚"/>
    <w:basedOn w:val="974"/>
    <w:next w:val="1011"/>
    <w:link w:val="1012"/>
    <w:unhideWhenUsed/>
    <w:qFormat/>
    <w:pPr>
      <w:jc w:val="left"/>
      <w:tabs>
        <w:tab w:val="center" w:pos="4153" w:leader="none"/>
        <w:tab w:val="right" w:pos="8306" w:leader="none"/>
      </w:tabs>
    </w:pPr>
    <w:rPr>
      <w:sz w:val="18"/>
    </w:rPr>
  </w:style>
  <w:style w:type="character" w:styleId="1012">
    <w:name w:val="页脚 Char"/>
    <w:next w:val="1012"/>
    <w:link w:val="1011"/>
    <w:qFormat/>
    <w:rPr>
      <w:rFonts w:eastAsia="楷体_GB2312"/>
      <w:sz w:val="18"/>
    </w:rPr>
  </w:style>
  <w:style w:type="paragraph" w:styleId="1013">
    <w:name w:val="页眉"/>
    <w:basedOn w:val="974"/>
    <w:next w:val="1013"/>
    <w:link w:val="1014"/>
    <w:unhideWhenUsed/>
    <w:qFormat/>
    <w:pPr>
      <w:jc w:val="center"/>
      <w:tabs>
        <w:tab w:val="center" w:pos="4153" w:leader="none"/>
        <w:tab w:val="right" w:pos="8306" w:leader="none"/>
      </w:tabs>
      <w:pBdr>
        <w:bottom w:val="single" w:color="000000" w:sz="6" w:space="1"/>
      </w:pBdr>
    </w:pPr>
    <w:rPr>
      <w:sz w:val="18"/>
    </w:rPr>
  </w:style>
  <w:style w:type="character" w:styleId="1014">
    <w:name w:val="页眉 Char"/>
    <w:next w:val="1014"/>
    <w:link w:val="1013"/>
    <w:qFormat/>
    <w:rPr>
      <w:rFonts w:eastAsia="楷体_GB2312"/>
      <w:sz w:val="18"/>
    </w:rPr>
  </w:style>
  <w:style w:type="paragraph" w:styleId="1015">
    <w:name w:val="目录 1"/>
    <w:basedOn w:val="974"/>
    <w:next w:val="974"/>
    <w:link w:val="974"/>
    <w:unhideWhenUsed/>
    <w:qFormat/>
    <w:pPr>
      <w:jc w:val="left"/>
    </w:pPr>
    <w:rPr>
      <w:sz w:val="24"/>
    </w:rPr>
  </w:style>
  <w:style w:type="paragraph" w:styleId="1016">
    <w:name w:val="副标题"/>
    <w:basedOn w:val="974"/>
    <w:next w:val="1016"/>
    <w:link w:val="1017"/>
    <w:qFormat/>
    <w:pPr>
      <w:jc w:val="center"/>
      <w:spacing w:before="240" w:after="60" w:line="312" w:lineRule="auto"/>
      <w:outlineLvl w:val="1"/>
    </w:pPr>
    <w:rPr>
      <w:rFonts w:ascii="Arial" w:hAnsi="Arial" w:eastAsia="宋体"/>
      <w:b/>
      <w:bCs/>
      <w:sz w:val="32"/>
      <w:szCs w:val="32"/>
    </w:rPr>
  </w:style>
  <w:style w:type="character" w:styleId="1017">
    <w:name w:val="副标题 Char"/>
    <w:next w:val="1017"/>
    <w:link w:val="1016"/>
    <w:qFormat/>
    <w:rPr>
      <w:rFonts w:ascii="Arial" w:hAnsi="Arial" w:cs="Arial"/>
      <w:b/>
      <w:bCs/>
      <w:sz w:val="32"/>
      <w:szCs w:val="32"/>
    </w:rPr>
  </w:style>
  <w:style w:type="paragraph" w:styleId="1018">
    <w:name w:val="目录 2"/>
    <w:basedOn w:val="974"/>
    <w:next w:val="974"/>
    <w:link w:val="974"/>
    <w:unhideWhenUsed/>
    <w:pPr>
      <w:ind w:left="420"/>
    </w:pPr>
  </w:style>
  <w:style w:type="paragraph" w:styleId="1019">
    <w:name w:val="目录 9"/>
    <w:basedOn w:val="974"/>
    <w:next w:val="974"/>
    <w:link w:val="974"/>
    <w:semiHidden/>
    <w:pPr>
      <w:ind w:left="3360"/>
    </w:pPr>
  </w:style>
  <w:style w:type="paragraph" w:styleId="1020">
    <w:name w:val="普通(网站)"/>
    <w:basedOn w:val="974"/>
    <w:next w:val="1020"/>
    <w:link w:val="974"/>
    <w:unhideWhenUsed/>
    <w:qFormat/>
    <w:pPr>
      <w:jc w:val="left"/>
      <w:spacing w:before="100" w:beforeAutospacing="1" w:after="100" w:afterAutospacing="1"/>
      <w:widowControl/>
    </w:pPr>
    <w:rPr>
      <w:rFonts w:ascii="宋体" w:hAnsi="宋体" w:cs="宋体"/>
      <w:sz w:val="24"/>
    </w:rPr>
  </w:style>
  <w:style w:type="paragraph" w:styleId="1021">
    <w:name w:val="索引 1"/>
    <w:basedOn w:val="974"/>
    <w:next w:val="974"/>
    <w:link w:val="974"/>
    <w:unhideWhenUsed/>
    <w:qFormat/>
    <w:pPr>
      <w:jc w:val="center"/>
      <w:spacing w:line="220" w:lineRule="exact"/>
    </w:pPr>
    <w:rPr>
      <w:rFonts w:ascii="仿宋_GB2312" w:eastAsia="仿宋_GB2312"/>
      <w:szCs w:val="21"/>
    </w:rPr>
  </w:style>
  <w:style w:type="paragraph" w:styleId="1022">
    <w:name w:val="标题"/>
    <w:basedOn w:val="974"/>
    <w:next w:val="1022"/>
    <w:link w:val="1023"/>
    <w:uiPriority w:val="10"/>
    <w:qFormat/>
    <w:pPr>
      <w:jc w:val="center"/>
      <w:spacing w:before="240" w:after="60"/>
      <w:outlineLvl w:val="0"/>
    </w:pPr>
    <w:rPr>
      <w:rFonts w:ascii="Arial" w:hAnsi="Arial" w:eastAsia="宋体"/>
      <w:b/>
      <w:bCs/>
      <w:sz w:val="32"/>
      <w:szCs w:val="32"/>
    </w:rPr>
  </w:style>
  <w:style w:type="character" w:styleId="1023">
    <w:name w:val="标题 Char"/>
    <w:next w:val="1023"/>
    <w:link w:val="1022"/>
    <w:uiPriority w:val="10"/>
    <w:rPr>
      <w:rFonts w:ascii="Arial" w:hAnsi="Arial"/>
      <w:b/>
      <w:bCs/>
      <w:sz w:val="32"/>
      <w:szCs w:val="32"/>
    </w:rPr>
  </w:style>
  <w:style w:type="paragraph" w:styleId="1024">
    <w:name w:val="批注主题"/>
    <w:basedOn w:val="992"/>
    <w:next w:val="992"/>
    <w:link w:val="1025"/>
    <w:uiPriority w:val="99"/>
    <w:rPr>
      <w:b/>
      <w:bCs/>
    </w:rPr>
  </w:style>
  <w:style w:type="character" w:styleId="1025">
    <w:name w:val="批注主题 Char"/>
    <w:next w:val="1025"/>
    <w:link w:val="1024"/>
    <w:uiPriority w:val="99"/>
    <w:rPr>
      <w:b/>
      <w:bCs/>
    </w:rPr>
  </w:style>
  <w:style w:type="paragraph" w:styleId="1026">
    <w:name w:val="正文首行缩进"/>
    <w:basedOn w:val="996"/>
    <w:next w:val="1026"/>
    <w:link w:val="1027"/>
    <w:unhideWhenUsed/>
    <w:qFormat/>
    <w:pPr>
      <w:ind w:firstLine="420"/>
      <w:spacing w:after="120"/>
    </w:pPr>
    <w:rPr>
      <w:rFonts w:ascii="Times New Roman" w:eastAsia="宋体"/>
      <w:b w:val="0"/>
      <w:bCs w:val="0"/>
      <w:sz w:val="21"/>
      <w:szCs w:val="24"/>
    </w:rPr>
  </w:style>
  <w:style w:type="character" w:styleId="1027">
    <w:name w:val="正文首行缩进 Char"/>
    <w:next w:val="1027"/>
    <w:link w:val="1026"/>
    <w:qFormat/>
  </w:style>
  <w:style w:type="table" w:styleId="1028">
    <w:name w:val="网格型"/>
    <w:basedOn w:val="981"/>
    <w:next w:val="1028"/>
    <w:link w:val="974"/>
    <w:unhideWhenUsed/>
    <w:pPr>
      <w:jc w:val="both"/>
      <w:widowControl w:val="off"/>
    </w:pPr>
    <w:tblPr/>
  </w:style>
  <w:style w:type="character" w:styleId="1029">
    <w:name w:val="要点"/>
    <w:next w:val="1029"/>
    <w:link w:val="974"/>
    <w:qFormat/>
    <w:rPr>
      <w:b/>
      <w:bCs/>
    </w:rPr>
  </w:style>
  <w:style w:type="character" w:styleId="1030">
    <w:name w:val="页码"/>
    <w:next w:val="1030"/>
    <w:link w:val="974"/>
    <w:unhideWhenUsed/>
    <w:qFormat/>
  </w:style>
  <w:style w:type="character" w:styleId="1031">
    <w:name w:val="已访问的超链接"/>
    <w:next w:val="1031"/>
    <w:link w:val="974"/>
    <w:rPr>
      <w:rFonts w:ascii="微软雅黑" w:hAnsi="微软雅黑" w:eastAsia="微软雅黑" w:cs="微软雅黑"/>
      <w:color w:val="3d3d3d"/>
      <w:u w:val="none"/>
    </w:rPr>
  </w:style>
  <w:style w:type="character" w:styleId="1032">
    <w:name w:val="超链接"/>
    <w:next w:val="1032"/>
    <w:link w:val="974"/>
    <w:uiPriority w:val="99"/>
    <w:unhideWhenUsed/>
    <w:qFormat/>
    <w:rPr>
      <w:rFonts w:hint="eastAsia" w:ascii="微软雅黑" w:hAnsi="微软雅黑" w:eastAsia="微软雅黑" w:cs="微软雅黑"/>
      <w:color w:val="3d3d3d"/>
      <w:u w:val="none"/>
    </w:rPr>
  </w:style>
  <w:style w:type="character" w:styleId="1033">
    <w:name w:val="批注引用"/>
    <w:next w:val="1033"/>
    <w:link w:val="974"/>
    <w:qFormat/>
    <w:rPr>
      <w:sz w:val="21"/>
      <w:szCs w:val="21"/>
    </w:rPr>
  </w:style>
  <w:style w:type="character" w:styleId="1034">
    <w:name w:val="正文文本 Char"/>
    <w:next w:val="1034"/>
    <w:link w:val="974"/>
    <w:qFormat/>
    <w:rPr>
      <w:sz w:val="21"/>
      <w:szCs w:val="24"/>
    </w:rPr>
  </w:style>
  <w:style w:type="character" w:styleId="1035">
    <w:name w:val="font61"/>
    <w:next w:val="1035"/>
    <w:link w:val="974"/>
    <w:qFormat/>
    <w:rPr>
      <w:rFonts w:ascii="Calibri" w:hAnsi="Calibri" w:cs="Calibri"/>
      <w:color w:val="000000"/>
      <w:sz w:val="20"/>
      <w:szCs w:val="20"/>
      <w:u w:val="none"/>
    </w:rPr>
  </w:style>
  <w:style w:type="character" w:styleId="1036">
    <w:name w:val="Char Char4"/>
    <w:next w:val="1036"/>
    <w:link w:val="974"/>
    <w:qFormat/>
    <w:rPr>
      <w:rFonts w:ascii="Arial" w:hAnsi="Arial" w:eastAsia="黑体" w:cs="Arial"/>
      <w:bCs/>
      <w:sz w:val="24"/>
      <w:szCs w:val="28"/>
      <w:lang w:val="en-US" w:eastAsia="zh-CN" w:bidi="ar-SA"/>
    </w:rPr>
  </w:style>
  <w:style w:type="character" w:styleId="1037">
    <w:name w:val="Char Char Char"/>
    <w:next w:val="1037"/>
    <w:link w:val="974"/>
    <w:qFormat/>
    <w:rPr>
      <w:rFonts w:hint="eastAsia" w:ascii="黑体" w:hAnsi="黑体" w:eastAsia="黑体"/>
      <w:bCs/>
      <w:sz w:val="28"/>
      <w:szCs w:val="32"/>
      <w:lang w:val="en-US" w:eastAsia="zh-CN" w:bidi="ar-SA"/>
    </w:rPr>
  </w:style>
  <w:style w:type="character" w:styleId="1038">
    <w:name w:val="z-窗体底端 Char"/>
    <w:next w:val="1038"/>
    <w:link w:val="1039"/>
    <w:qFormat/>
    <w:rPr>
      <w:rFonts w:ascii="Arial" w:hAnsi="Arial" w:cs="Arial"/>
      <w:vanish/>
      <w:sz w:val="16"/>
      <w:szCs w:val="16"/>
    </w:rPr>
  </w:style>
  <w:style w:type="paragraph" w:styleId="1039">
    <w:name w:val="z-窗体底端1"/>
    <w:basedOn w:val="974"/>
    <w:next w:val="974"/>
    <w:link w:val="1038"/>
    <w:unhideWhenUsed/>
    <w:qFormat/>
    <w:pPr>
      <w:jc w:val="center"/>
      <w:pBdr>
        <w:top w:val="single" w:color="000000" w:sz="6" w:space="1"/>
      </w:pBdr>
    </w:pPr>
    <w:rPr>
      <w:rFonts w:ascii="Arial" w:hAnsi="Arial" w:eastAsia="宋体" w:cs="Arial"/>
      <w:vanish/>
      <w:sz w:val="16"/>
      <w:szCs w:val="16"/>
    </w:rPr>
  </w:style>
  <w:style w:type="character" w:styleId="1040">
    <w:name w:val="纯文本 Char Char"/>
    <w:next w:val="1040"/>
    <w:link w:val="974"/>
    <w:rPr>
      <w:rFonts w:ascii="宋体" w:hAnsi="Courier New" w:eastAsia="宋体" w:cs="Courier New"/>
      <w:sz w:val="21"/>
      <w:szCs w:val="21"/>
      <w:lang w:val="en-US" w:eastAsia="zh-CN" w:bidi="ar-SA"/>
    </w:rPr>
  </w:style>
  <w:style w:type="character" w:styleId="1041">
    <w:name w:val="font21"/>
    <w:next w:val="1041"/>
    <w:link w:val="974"/>
    <w:qFormat/>
    <w:rPr>
      <w:rFonts w:hint="eastAsia" w:ascii="宋体" w:hAnsi="宋体" w:eastAsia="宋体" w:cs="宋体"/>
      <w:color w:val="000000"/>
      <w:sz w:val="20"/>
      <w:szCs w:val="20"/>
      <w:u w:val="none"/>
    </w:rPr>
  </w:style>
  <w:style w:type="character" w:styleId="1042">
    <w:name w:val="Other|1_"/>
    <w:next w:val="1042"/>
    <w:link w:val="1043"/>
    <w:rPr>
      <w:rFonts w:ascii="宋体" w:hAnsi="宋体" w:eastAsia="宋体" w:cs="宋体"/>
      <w:color w:val="4e4a50"/>
      <w:lang w:val="zh-TW" w:eastAsia="zh-TW" w:bidi="zh-TW"/>
    </w:rPr>
  </w:style>
  <w:style w:type="paragraph" w:styleId="1043">
    <w:name w:val="Other|1"/>
    <w:basedOn w:val="974"/>
    <w:next w:val="1043"/>
    <w:link w:val="1042"/>
    <w:pPr>
      <w:jc w:val="center"/>
      <w:spacing w:line="308" w:lineRule="exact"/>
    </w:pPr>
    <w:rPr>
      <w:rFonts w:ascii="宋体" w:hAnsi="宋体" w:eastAsia="宋体" w:cs="宋体"/>
      <w:color w:val="4e4a50"/>
      <w:sz w:val="20"/>
      <w:lang w:val="zh-TW" w:eastAsia="zh-TW" w:bidi="zh-TW"/>
    </w:rPr>
  </w:style>
  <w:style w:type="character" w:styleId="1044">
    <w:name w:val="Heading #2|1_"/>
    <w:next w:val="1044"/>
    <w:link w:val="1045"/>
    <w:rPr>
      <w:rFonts w:ascii="宋体" w:hAnsi="宋体" w:eastAsia="宋体" w:cs="宋体"/>
      <w:color w:val="4e4a50"/>
      <w:sz w:val="40"/>
      <w:szCs w:val="40"/>
      <w:lang w:val="zh-TW" w:eastAsia="zh-TW" w:bidi="zh-TW"/>
    </w:rPr>
  </w:style>
  <w:style w:type="paragraph" w:styleId="1045">
    <w:name w:val="Heading #2|1"/>
    <w:basedOn w:val="974"/>
    <w:next w:val="1045"/>
    <w:link w:val="1044"/>
    <w:pPr>
      <w:jc w:val="center"/>
      <w:spacing w:after="550" w:line="595" w:lineRule="exact"/>
      <w:outlineLvl w:val="1"/>
    </w:pPr>
    <w:rPr>
      <w:rFonts w:ascii="宋体" w:hAnsi="宋体" w:eastAsia="宋体" w:cs="宋体"/>
      <w:color w:val="4e4a50"/>
      <w:sz w:val="40"/>
      <w:szCs w:val="40"/>
      <w:lang w:val="zh-TW" w:eastAsia="zh-TW" w:bidi="zh-TW"/>
    </w:rPr>
  </w:style>
  <w:style w:type="character" w:styleId="1046">
    <w:name w:val="z-窗体顶端 Char2"/>
    <w:next w:val="1046"/>
    <w:link w:val="974"/>
    <w:uiPriority w:val="99"/>
    <w:semiHidden/>
    <w:rPr>
      <w:rFonts w:ascii="Arial" w:hAnsi="Arial" w:eastAsia="楷体_GB2312" w:cs="Arial"/>
      <w:vanish/>
      <w:sz w:val="16"/>
      <w:szCs w:val="16"/>
    </w:rPr>
  </w:style>
  <w:style w:type="character" w:styleId="1047">
    <w:name w:val="z-窗体底端 Char2"/>
    <w:next w:val="1047"/>
    <w:link w:val="974"/>
    <w:uiPriority w:val="99"/>
    <w:semiHidden/>
    <w:rPr>
      <w:rFonts w:ascii="Arial" w:hAnsi="Arial" w:eastAsia="楷体_GB2312" w:cs="Arial"/>
      <w:vanish/>
      <w:sz w:val="16"/>
      <w:szCs w:val="16"/>
    </w:rPr>
  </w:style>
  <w:style w:type="character" w:styleId="1048">
    <w:name w:val="Picture caption|1_"/>
    <w:next w:val="1048"/>
    <w:link w:val="1049"/>
    <w:rPr>
      <w:rFonts w:ascii="宋体" w:hAnsi="宋体" w:eastAsia="宋体" w:cs="宋体"/>
      <w:color w:val="4e4a50"/>
      <w:sz w:val="26"/>
      <w:szCs w:val="26"/>
      <w:lang w:val="zh-TW" w:eastAsia="zh-TW" w:bidi="zh-TW"/>
    </w:rPr>
  </w:style>
  <w:style w:type="paragraph" w:styleId="1049">
    <w:name w:val="Picture caption|1"/>
    <w:basedOn w:val="974"/>
    <w:next w:val="1049"/>
    <w:link w:val="1048"/>
    <w:pPr>
      <w:jc w:val="left"/>
    </w:pPr>
    <w:rPr>
      <w:rFonts w:ascii="宋体" w:hAnsi="宋体" w:eastAsia="宋体" w:cs="宋体"/>
      <w:color w:val="4e4a50"/>
      <w:szCs w:val="26"/>
      <w:lang w:val="zh-TW" w:eastAsia="zh-TW" w:bidi="zh-TW"/>
    </w:rPr>
  </w:style>
  <w:style w:type="character" w:styleId="1050">
    <w:name w:val="标题 Char1"/>
    <w:next w:val="1050"/>
    <w:link w:val="974"/>
    <w:uiPriority w:val="10"/>
    <w:rPr>
      <w:rFonts w:ascii="Cambria" w:hAnsi="Cambria" w:cs="Times New Roman"/>
      <w:b/>
      <w:bCs/>
      <w:sz w:val="32"/>
      <w:szCs w:val="32"/>
    </w:rPr>
  </w:style>
  <w:style w:type="character" w:styleId="1051">
    <w:name w:val="Char Char"/>
    <w:next w:val="1051"/>
    <w:link w:val="974"/>
    <w:rPr>
      <w:rFonts w:eastAsia="黑体"/>
      <w:bCs/>
      <w:sz w:val="28"/>
      <w:szCs w:val="32"/>
      <w:lang w:val="en-US" w:eastAsia="zh-CN" w:bidi="ar-SA"/>
    </w:rPr>
  </w:style>
  <w:style w:type="character" w:styleId="1052">
    <w:name w:val="z-窗体底端 Char1"/>
    <w:next w:val="1052"/>
    <w:link w:val="1053"/>
    <w:rPr>
      <w:rFonts w:ascii="Arial" w:hAnsi="Arial" w:cs="Arial"/>
      <w:vanish/>
      <w:sz w:val="16"/>
      <w:szCs w:val="16"/>
    </w:rPr>
  </w:style>
  <w:style w:type="paragraph" w:styleId="1053">
    <w:name w:val="z-窗体底端"/>
    <w:basedOn w:val="974"/>
    <w:next w:val="974"/>
    <w:link w:val="1052"/>
    <w:pPr>
      <w:jc w:val="center"/>
      <w:pBdr>
        <w:top w:val="single" w:color="000000" w:sz="6" w:space="1"/>
      </w:pBdr>
    </w:pPr>
    <w:rPr>
      <w:rFonts w:ascii="Arial" w:hAnsi="Arial" w:eastAsia="宋体" w:cs="Arial"/>
      <w:vanish/>
      <w:sz w:val="16"/>
      <w:szCs w:val="16"/>
    </w:rPr>
  </w:style>
  <w:style w:type="character" w:styleId="1054">
    <w:name w:val="Char Char5"/>
    <w:next w:val="1054"/>
    <w:link w:val="974"/>
    <w:qFormat/>
    <w:rPr>
      <w:rFonts w:hint="eastAsia" w:ascii="黑体" w:hAnsi="黑体" w:eastAsia="黑体"/>
      <w:b/>
      <w:bCs/>
      <w:sz w:val="72"/>
      <w:szCs w:val="44"/>
      <w:lang w:val="en-US" w:eastAsia="zh-CN" w:bidi="ar-SA"/>
    </w:rPr>
  </w:style>
  <w:style w:type="character" w:styleId="1055">
    <w:name w:val="Char Char3"/>
    <w:next w:val="1055"/>
    <w:link w:val="974"/>
    <w:qFormat/>
    <w:rPr>
      <w:b/>
      <w:bCs/>
      <w:sz w:val="32"/>
      <w:szCs w:val="32"/>
    </w:rPr>
  </w:style>
  <w:style w:type="character" w:styleId="1056">
    <w:name w:val="Header or footer|2_"/>
    <w:next w:val="1056"/>
    <w:link w:val="1057"/>
    <w:rPr>
      <w:lang w:val="zh-TW" w:eastAsia="zh-TW" w:bidi="zh-TW"/>
    </w:rPr>
  </w:style>
  <w:style w:type="paragraph" w:styleId="1057">
    <w:name w:val="Header or footer|2"/>
    <w:basedOn w:val="974"/>
    <w:next w:val="1057"/>
    <w:link w:val="1056"/>
    <w:pPr>
      <w:jc w:val="left"/>
    </w:pPr>
    <w:rPr>
      <w:rFonts w:eastAsia="宋体"/>
      <w:sz w:val="20"/>
      <w:lang w:val="zh-TW" w:eastAsia="zh-TW" w:bidi="zh-TW"/>
    </w:rPr>
  </w:style>
  <w:style w:type="character" w:styleId="1058">
    <w:name w:val="Body text|1_"/>
    <w:next w:val="1058"/>
    <w:link w:val="1059"/>
    <w:rPr>
      <w:rFonts w:ascii="宋体" w:hAnsi="宋体" w:eastAsia="宋体" w:cs="宋体"/>
      <w:color w:val="4e4a50"/>
      <w:sz w:val="26"/>
      <w:szCs w:val="26"/>
      <w:lang w:val="zh-TW" w:eastAsia="zh-TW" w:bidi="zh-TW"/>
    </w:rPr>
  </w:style>
  <w:style w:type="paragraph" w:styleId="1059">
    <w:name w:val="Body text|1"/>
    <w:basedOn w:val="974"/>
    <w:next w:val="1059"/>
    <w:link w:val="1058"/>
    <w:pPr>
      <w:ind w:firstLine="400"/>
      <w:jc w:val="left"/>
      <w:spacing w:line="458" w:lineRule="auto"/>
    </w:pPr>
    <w:rPr>
      <w:rFonts w:ascii="宋体" w:hAnsi="宋体" w:eastAsia="宋体" w:cs="宋体"/>
      <w:color w:val="4e4a50"/>
      <w:szCs w:val="26"/>
      <w:lang w:val="zh-TW" w:eastAsia="zh-TW" w:bidi="zh-TW"/>
    </w:rPr>
  </w:style>
  <w:style w:type="character" w:styleId="1060">
    <w:name w:val="font51"/>
    <w:next w:val="1060"/>
    <w:link w:val="974"/>
    <w:qFormat/>
    <w:rPr>
      <w:rFonts w:hint="eastAsia" w:ascii="宋体" w:hAnsi="宋体" w:eastAsia="宋体" w:cs="宋体"/>
      <w:color w:val="000000"/>
      <w:sz w:val="20"/>
      <w:szCs w:val="20"/>
      <w:u w:val="none"/>
    </w:rPr>
  </w:style>
  <w:style w:type="character" w:styleId="1061">
    <w:name w:val="grame"/>
    <w:next w:val="1061"/>
    <w:link w:val="974"/>
    <w:qFormat/>
  </w:style>
  <w:style w:type="character" w:styleId="1062">
    <w:name w:val="文档结构图 Char1"/>
    <w:next w:val="1062"/>
    <w:link w:val="974"/>
    <w:uiPriority w:val="99"/>
    <w:semiHidden/>
    <w:rPr>
      <w:rFonts w:ascii="宋体"/>
      <w:sz w:val="18"/>
      <w:szCs w:val="18"/>
    </w:rPr>
  </w:style>
  <w:style w:type="character" w:styleId="1063">
    <w:name w:val="z-窗体顶端 Char1"/>
    <w:next w:val="1063"/>
    <w:link w:val="1064"/>
    <w:rPr>
      <w:rFonts w:ascii="Arial" w:hAnsi="Arial" w:cs="Arial"/>
      <w:vanish/>
      <w:sz w:val="16"/>
      <w:szCs w:val="16"/>
    </w:rPr>
  </w:style>
  <w:style w:type="paragraph" w:styleId="1064">
    <w:name w:val="z-窗体顶端"/>
    <w:basedOn w:val="974"/>
    <w:next w:val="974"/>
    <w:link w:val="1063"/>
    <w:pPr>
      <w:jc w:val="center"/>
      <w:pBdr>
        <w:bottom w:val="single" w:color="000000" w:sz="6" w:space="1"/>
      </w:pBdr>
    </w:pPr>
    <w:rPr>
      <w:rFonts w:ascii="Arial" w:hAnsi="Arial" w:eastAsia="宋体" w:cs="Arial"/>
      <w:vanish/>
      <w:sz w:val="16"/>
      <w:szCs w:val="16"/>
    </w:rPr>
  </w:style>
  <w:style w:type="character" w:styleId="1065">
    <w:name w:val="Blockquote Char Char"/>
    <w:next w:val="1065"/>
    <w:link w:val="1066"/>
    <w:rPr>
      <w:rFonts w:cs="宋体"/>
      <w:sz w:val="24"/>
      <w:szCs w:val="24"/>
    </w:rPr>
  </w:style>
  <w:style w:type="paragraph" w:styleId="1066">
    <w:name w:val="Blockquote"/>
    <w:basedOn w:val="974"/>
    <w:next w:val="1066"/>
    <w:link w:val="1065"/>
    <w:pPr>
      <w:ind w:left="360" w:right="360"/>
      <w:jc w:val="left"/>
      <w:spacing w:before="100" w:after="100"/>
    </w:pPr>
    <w:rPr>
      <w:rFonts w:eastAsia="宋体" w:cs="宋体"/>
      <w:sz w:val="24"/>
      <w:szCs w:val="24"/>
    </w:rPr>
  </w:style>
  <w:style w:type="character" w:styleId="1067">
    <w:name w:val="z-窗体顶端 Char"/>
    <w:next w:val="1067"/>
    <w:link w:val="1068"/>
    <w:qFormat/>
    <w:rPr>
      <w:rFonts w:ascii="Arial" w:hAnsi="Arial" w:cs="Arial"/>
      <w:vanish/>
      <w:sz w:val="16"/>
      <w:szCs w:val="16"/>
    </w:rPr>
  </w:style>
  <w:style w:type="paragraph" w:styleId="1068">
    <w:name w:val="z-窗体顶端1"/>
    <w:basedOn w:val="974"/>
    <w:next w:val="974"/>
    <w:link w:val="1067"/>
    <w:unhideWhenUsed/>
    <w:qFormat/>
    <w:pPr>
      <w:jc w:val="center"/>
      <w:pBdr>
        <w:bottom w:val="single" w:color="000000" w:sz="6" w:space="1"/>
      </w:pBdr>
    </w:pPr>
    <w:rPr>
      <w:rFonts w:ascii="Arial" w:hAnsi="Arial" w:eastAsia="宋体" w:cs="Arial"/>
      <w:vanish/>
      <w:sz w:val="16"/>
      <w:szCs w:val="16"/>
    </w:rPr>
  </w:style>
  <w:style w:type="character" w:styleId="1069">
    <w:name w:val="样式 粉红"/>
    <w:next w:val="1069"/>
    <w:link w:val="974"/>
    <w:qFormat/>
    <w:rPr>
      <w:color w:val="000000"/>
      <w:u w:val="none"/>
    </w:rPr>
  </w:style>
  <w:style w:type="character" w:styleId="1070">
    <w:name w:val="正文首行缩进 Char1"/>
    <w:next w:val="1070"/>
    <w:link w:val="974"/>
  </w:style>
  <w:style w:type="character" w:styleId="1071">
    <w:name w:val="Heading #1|1_"/>
    <w:next w:val="1071"/>
    <w:link w:val="1072"/>
    <w:rPr>
      <w:rFonts w:ascii="宋体" w:hAnsi="宋体" w:eastAsia="宋体" w:cs="宋体"/>
      <w:color w:val="fc5c77"/>
      <w:sz w:val="138"/>
      <w:szCs w:val="138"/>
      <w:lang w:val="zh-TW" w:eastAsia="zh-TW" w:bidi="zh-TW"/>
    </w:rPr>
  </w:style>
  <w:style w:type="paragraph" w:styleId="1072">
    <w:name w:val="Heading #1|1"/>
    <w:basedOn w:val="974"/>
    <w:next w:val="1072"/>
    <w:link w:val="1071"/>
    <w:pPr>
      <w:jc w:val="left"/>
      <w:spacing w:before="1160" w:after="1020"/>
      <w:outlineLvl w:val="0"/>
    </w:pPr>
    <w:rPr>
      <w:rFonts w:ascii="宋体" w:hAnsi="宋体" w:eastAsia="宋体" w:cs="宋体"/>
      <w:color w:val="fc5c77"/>
      <w:sz w:val="138"/>
      <w:szCs w:val="138"/>
      <w:lang w:val="zh-TW" w:eastAsia="zh-TW" w:bidi="zh-TW"/>
    </w:rPr>
  </w:style>
  <w:style w:type="character" w:styleId="1073">
    <w:name w:val="font01"/>
    <w:next w:val="1073"/>
    <w:link w:val="974"/>
    <w:qFormat/>
    <w:rPr>
      <w:rFonts w:ascii="Calibri" w:hAnsi="Calibri" w:cs="Calibri"/>
      <w:color w:val="000000"/>
      <w:sz w:val="20"/>
      <w:szCs w:val="20"/>
      <w:u w:val="none"/>
    </w:rPr>
  </w:style>
  <w:style w:type="character" w:styleId="1074">
    <w:name w:val="Char Char2"/>
    <w:next w:val="1074"/>
    <w:link w:val="974"/>
    <w:qFormat/>
    <w:rPr>
      <w:rFonts w:ascii="Arial" w:hAnsi="Arial" w:eastAsia="黑体" w:cs="Arial"/>
      <w:b/>
      <w:bCs/>
      <w:sz w:val="32"/>
      <w:szCs w:val="32"/>
      <w:lang w:val="en-US" w:eastAsia="zh-CN" w:bidi="ar-SA"/>
    </w:rPr>
  </w:style>
  <w:style w:type="character" w:styleId="1075">
    <w:name w:val="font112"/>
    <w:next w:val="1075"/>
    <w:link w:val="974"/>
    <w:qFormat/>
    <w:rPr>
      <w:rFonts w:hint="eastAsia" w:ascii="宋体" w:hAnsi="宋体" w:eastAsia="宋体" w:cs="宋体"/>
      <w:color w:val="000000"/>
      <w:sz w:val="20"/>
      <w:szCs w:val="20"/>
      <w:u w:val="none"/>
    </w:rPr>
  </w:style>
  <w:style w:type="character" w:styleId="1076">
    <w:name w:val="Plain Text Char Char"/>
    <w:next w:val="1076"/>
    <w:link w:val="1077"/>
    <w:rPr>
      <w:rFonts w:ascii="宋体" w:hAnsi="Courier New" w:eastAsia="楷体_GB2312"/>
      <w:sz w:val="26"/>
      <w:lang w:val="en-US" w:eastAsia="zh-CN" w:bidi="ar-SA"/>
    </w:rPr>
  </w:style>
  <w:style w:type="paragraph" w:styleId="1077">
    <w:name w:val="纯文本1"/>
    <w:basedOn w:val="974"/>
    <w:next w:val="1077"/>
    <w:link w:val="1076"/>
    <w:rPr>
      <w:rFonts w:ascii="宋体" w:hAnsi="Courier New"/>
    </w:rPr>
  </w:style>
  <w:style w:type="paragraph" w:styleId="1078">
    <w:name w:val="正文缩进11"/>
    <w:basedOn w:val="974"/>
    <w:next w:val="974"/>
    <w:link w:val="974"/>
    <w:unhideWhenUsed/>
    <w:qFormat/>
    <w:pPr>
      <w:ind w:firstLine="420"/>
    </w:pPr>
  </w:style>
  <w:style w:type="character" w:styleId="1079">
    <w:name w:val="font11"/>
    <w:next w:val="1079"/>
    <w:link w:val="974"/>
    <w:qFormat/>
    <w:rPr>
      <w:rFonts w:hint="eastAsia" w:ascii="宋体" w:hAnsi="宋体" w:eastAsia="宋体" w:cs="宋体"/>
      <w:color w:val="000000"/>
      <w:sz w:val="20"/>
      <w:szCs w:val="20"/>
      <w:u w:val="none"/>
    </w:rPr>
  </w:style>
  <w:style w:type="character" w:styleId="1080">
    <w:name w:val="尾注文本 Char1"/>
    <w:next w:val="1080"/>
    <w:link w:val="974"/>
    <w:uiPriority w:val="99"/>
    <w:semiHidden/>
    <w:rPr>
      <w:rFonts w:eastAsia="楷体_GB2312"/>
      <w:sz w:val="26"/>
    </w:rPr>
  </w:style>
  <w:style w:type="character" w:styleId="1081">
    <w:name w:val="Body text|3_"/>
    <w:next w:val="1081"/>
    <w:link w:val="1082"/>
    <w:rPr>
      <w:color w:val="5c575b"/>
      <w:sz w:val="26"/>
      <w:szCs w:val="26"/>
      <w:lang w:val="zh-TW" w:eastAsia="zh-TW" w:bidi="zh-TW"/>
    </w:rPr>
  </w:style>
  <w:style w:type="paragraph" w:styleId="1082">
    <w:name w:val="Body text|3"/>
    <w:basedOn w:val="974"/>
    <w:next w:val="1082"/>
    <w:link w:val="1081"/>
    <w:pPr>
      <w:jc w:val="left"/>
    </w:pPr>
    <w:rPr>
      <w:rFonts w:eastAsia="宋体"/>
      <w:color w:val="5c575b"/>
      <w:szCs w:val="26"/>
      <w:lang w:val="zh-TW" w:eastAsia="zh-TW" w:bidi="zh-TW"/>
    </w:rPr>
  </w:style>
  <w:style w:type="character" w:styleId="1083">
    <w:name w:val="Char Char1"/>
    <w:next w:val="1083"/>
    <w:link w:val="974"/>
    <w:rPr>
      <w:rFonts w:ascii="Arial" w:hAnsi="Arial" w:eastAsia="黑体"/>
      <w:b/>
      <w:bCs/>
      <w:sz w:val="32"/>
      <w:szCs w:val="32"/>
      <w:lang w:val="en-US" w:eastAsia="zh-CN" w:bidi="ar-SA"/>
    </w:rPr>
  </w:style>
  <w:style w:type="paragraph" w:styleId="1084">
    <w:name w:val="样式 宋体"/>
    <w:basedOn w:val="974"/>
    <w:next w:val="1084"/>
    <w:link w:val="974"/>
    <w:qFormat/>
    <w:pPr>
      <w:ind w:firstLine="100"/>
      <w:spacing w:line="360" w:lineRule="auto"/>
    </w:pPr>
    <w:rPr>
      <w:rFonts w:ascii="宋体" w:hAnsi="宋体" w:eastAsia="宋体" w:cs="宋体"/>
      <w:sz w:val="21"/>
    </w:rPr>
  </w:style>
  <w:style w:type="paragraph" w:styleId="1085">
    <w:name w:val="No Spacing"/>
    <w:next w:val="1085"/>
    <w:link w:val="974"/>
    <w:qFormat/>
    <w:pPr>
      <w:jc w:val="both"/>
      <w:widowControl w:val="off"/>
    </w:pPr>
    <w:rPr>
      <w:sz w:val="21"/>
      <w:szCs w:val="24"/>
      <w:lang w:val="en-US" w:eastAsia="zh-CN" w:bidi="ar-SA"/>
    </w:rPr>
  </w:style>
  <w:style w:type="paragraph" w:styleId="1086">
    <w:name w:val="_Style 4"/>
    <w:basedOn w:val="974"/>
    <w:next w:val="974"/>
    <w:link w:val="974"/>
    <w:qFormat/>
    <w:pPr>
      <w:ind w:firstLine="420"/>
    </w:pPr>
    <w:rPr>
      <w:rFonts w:ascii="Calibri" w:hAnsi="Calibri" w:eastAsia="宋体"/>
      <w:sz w:val="21"/>
      <w:szCs w:val="22"/>
    </w:rPr>
  </w:style>
  <w:style w:type="paragraph" w:styleId="1087">
    <w:name w:val="纯文本4"/>
    <w:basedOn w:val="974"/>
    <w:next w:val="1087"/>
    <w:link w:val="974"/>
    <w:qFormat/>
    <w:rPr>
      <w:rFonts w:ascii="宋体" w:hAnsi="Courier New" w:eastAsia="宋体"/>
      <w:sz w:val="28"/>
      <w:szCs w:val="24"/>
    </w:rPr>
  </w:style>
  <w:style w:type="paragraph" w:styleId="1088">
    <w:name w:val=" Char"/>
    <w:basedOn w:val="974"/>
    <w:next w:val="1088"/>
    <w:link w:val="974"/>
    <w:pPr>
      <w:tabs>
        <w:tab w:val="left" w:pos="360" w:leader="none"/>
      </w:tabs>
    </w:pPr>
    <w:rPr>
      <w:rFonts w:eastAsia="宋体"/>
      <w:sz w:val="24"/>
      <w:szCs w:val="24"/>
    </w:rPr>
  </w:style>
  <w:style w:type="paragraph" w:styleId="1089">
    <w:name w:val="样式 样式 宋体 + 首行缩进:  1 字符"/>
    <w:basedOn w:val="1084"/>
    <w:next w:val="1089"/>
    <w:link w:val="974"/>
    <w:qFormat/>
    <w:pPr>
      <w:spacing w:line="240" w:lineRule="auto"/>
    </w:pPr>
  </w:style>
  <w:style w:type="paragraph" w:styleId="1090">
    <w:name w:val="公文正文"/>
    <w:next w:val="1090"/>
    <w:link w:val="974"/>
    <w:qFormat/>
    <w:pPr>
      <w:ind w:firstLine="629"/>
      <w:jc w:val="both"/>
      <w:spacing w:line="360" w:lineRule="auto"/>
      <w:widowControl w:val="off"/>
    </w:pPr>
    <w:rPr>
      <w:rFonts w:ascii="仿宋_GB2312" w:hAnsi="Calisto MT" w:eastAsia="仿宋_GB2312"/>
      <w:color w:val="000000"/>
      <w:sz w:val="32"/>
      <w:lang w:val="en-US" w:eastAsia="zh-CN" w:bidi="ar-SA"/>
    </w:rPr>
  </w:style>
  <w:style w:type="paragraph" w:styleId="1091">
    <w:name w:val="列出段落"/>
    <w:basedOn w:val="974"/>
    <w:next w:val="1091"/>
    <w:link w:val="974"/>
    <w:qFormat/>
    <w:pPr>
      <w:ind w:firstLine="420"/>
    </w:pPr>
  </w:style>
  <w:style w:type="paragraph" w:styleId="1092">
    <w:name w:val="WPS Plain"/>
    <w:next w:val="1092"/>
    <w:link w:val="974"/>
    <w:qFormat/>
    <w:rPr>
      <w:lang w:val="en-US" w:eastAsia="zh-CN" w:bidi="ar-SA"/>
    </w:rPr>
  </w:style>
  <w:style w:type="paragraph" w:styleId="1093">
    <w:name w:val="修订1"/>
    <w:next w:val="1093"/>
    <w:link w:val="974"/>
    <w:uiPriority w:val="99"/>
    <w:unhideWhenUsed/>
    <w:rPr>
      <w:rFonts w:eastAsia="楷体_GB2312"/>
      <w:sz w:val="26"/>
      <w:lang w:val="en-US" w:eastAsia="zh-CN" w:bidi="ar-SA"/>
    </w:rPr>
  </w:style>
  <w:style w:type="paragraph" w:styleId="1094">
    <w:name w:val="列出段落1"/>
    <w:basedOn w:val="974"/>
    <w:next w:val="1094"/>
    <w:link w:val="974"/>
    <w:qFormat/>
    <w:pPr>
      <w:ind w:firstLine="420"/>
    </w:pPr>
    <w:rPr>
      <w:rFonts w:ascii="Calibri" w:hAnsi="Calibri" w:eastAsia="宋体"/>
      <w:sz w:val="21"/>
      <w:szCs w:val="22"/>
    </w:rPr>
  </w:style>
  <w:style w:type="paragraph" w:styleId="1095">
    <w:name w:val="样式 标题 3 + (中文) 黑体 小四 非加粗 段前: 7.8 磅 段后: 0 磅 行距: 固定值 20 磅"/>
    <w:basedOn w:val="977"/>
    <w:next w:val="974"/>
    <w:link w:val="974"/>
    <w:qFormat/>
    <w:pPr>
      <w:spacing w:before="0" w:after="0" w:line="400" w:lineRule="exact"/>
    </w:pPr>
    <w:rPr>
      <w:rFonts w:eastAsia="宋体"/>
      <w:sz w:val="24"/>
      <w:szCs w:val="20"/>
    </w:rPr>
  </w:style>
  <w:style w:type="paragraph" w:styleId="1096">
    <w:name w:val="Char"/>
    <w:basedOn w:val="974"/>
    <w:next w:val="1096"/>
    <w:link w:val="974"/>
    <w:rPr>
      <w:rFonts w:ascii="Tahoma" w:hAnsi="Tahoma" w:eastAsia="宋体"/>
      <w:sz w:val="24"/>
    </w:rPr>
  </w:style>
  <w:style w:type="paragraph" w:styleId="1097">
    <w:name w:val="正文1"/>
    <w:basedOn w:val="974"/>
    <w:next w:val="1097"/>
    <w:link w:val="974"/>
    <w:pPr>
      <w:ind w:left="855" w:hanging="420"/>
      <w:spacing w:before="100" w:beforeAutospacing="1" w:after="100" w:afterAutospacing="1" w:line="360" w:lineRule="auto"/>
    </w:pPr>
    <w:rPr>
      <w:rFonts w:ascii="宋体" w:hAnsi="宋体" w:eastAsia="宋体" w:cs="宋体"/>
      <w:sz w:val="24"/>
      <w:szCs w:val="24"/>
    </w:rPr>
  </w:style>
  <w:style w:type="paragraph" w:styleId="1098">
    <w:name w:val="HTML Top of Form"/>
    <w:basedOn w:val="974"/>
    <w:next w:val="974"/>
    <w:link w:val="974"/>
    <w:unhideWhenUsed/>
    <w:qFormat/>
    <w:pPr>
      <w:jc w:val="center"/>
      <w:pBdr>
        <w:bottom w:val="single" w:color="000000" w:sz="6" w:space="1"/>
      </w:pBdr>
    </w:pPr>
    <w:rPr>
      <w:rFonts w:ascii="Arial" w:hAnsi="Arial" w:eastAsia="宋体" w:cs="Arial"/>
      <w:vanish/>
      <w:sz w:val="16"/>
      <w:szCs w:val="16"/>
    </w:rPr>
  </w:style>
  <w:style w:type="paragraph" w:styleId="1099">
    <w:name w:val="List Paragraph"/>
    <w:basedOn w:val="974"/>
    <w:next w:val="1099"/>
    <w:link w:val="974"/>
    <w:qFormat/>
    <w:pPr>
      <w:ind w:firstLine="420"/>
    </w:pPr>
    <w:rPr>
      <w:rFonts w:ascii="Calibri" w:hAnsi="Calibri" w:eastAsia="宋体"/>
      <w:sz w:val="21"/>
      <w:szCs w:val="22"/>
    </w:rPr>
  </w:style>
  <w:style w:type="paragraph" w:styleId="1100">
    <w:name w:val=" Char Char Char Char Char Char Char Char Char Char"/>
    <w:basedOn w:val="974"/>
    <w:next w:val="1100"/>
    <w:link w:val="974"/>
    <w:pPr>
      <w:ind w:hanging="425"/>
      <w:keepNext/>
      <w:spacing w:before="80" w:after="80"/>
      <w:widowControl/>
      <w:tabs>
        <w:tab w:val="left" w:pos="425" w:leader="none"/>
      </w:tabs>
    </w:pPr>
    <w:rPr>
      <w:rFonts w:eastAsia="宋体"/>
      <w:sz w:val="20"/>
    </w:rPr>
  </w:style>
  <w:style w:type="paragraph" w:styleId="1101">
    <w:name w:val="red"/>
    <w:basedOn w:val="974"/>
    <w:next w:val="1101"/>
    <w:link w:val="974"/>
    <w:qFormat/>
    <w:pPr>
      <w:jc w:val="left"/>
      <w:spacing w:before="100" w:beforeAutospacing="1" w:after="100" w:afterAutospacing="1"/>
      <w:widowControl/>
    </w:pPr>
    <w:rPr>
      <w:rFonts w:ascii="宋体" w:hAnsi="宋体" w:eastAsia="宋体" w:cs="宋体"/>
      <w:sz w:val="21"/>
      <w:szCs w:val="21"/>
    </w:rPr>
  </w:style>
  <w:style w:type="paragraph" w:styleId="1102">
    <w:name w:val="Style1"/>
    <w:basedOn w:val="974"/>
    <w:next w:val="1102"/>
    <w:link w:val="974"/>
    <w:qFormat/>
    <w:pPr>
      <w:spacing w:after="120"/>
      <w:widowControl/>
      <w:tabs>
        <w:tab w:val="left" w:pos="-720" w:leader="none"/>
      </w:tabs>
    </w:pPr>
    <w:rPr>
      <w:rFonts w:ascii="Times New Roman" w:hAnsi="Times New Roman" w:cs="Times New Roman"/>
      <w:spacing w:val="-3"/>
      <w:sz w:val="24"/>
      <w:szCs w:val="20"/>
      <w:lang w:val="en-AU" w:eastAsia="en-US"/>
    </w:rPr>
  </w:style>
  <w:style w:type="paragraph" w:styleId="1103">
    <w:name w:val="正文 + 黑体"/>
    <w:basedOn w:val="974"/>
    <w:next w:val="1103"/>
    <w:link w:val="974"/>
    <w:qFormat/>
    <w:pPr>
      <w:jc w:val="left"/>
    </w:pPr>
    <w:rPr>
      <w:rFonts w:ascii="黑体" w:hAnsi="宋体" w:eastAsia="黑体" w:cs="TimesNewRomanPSMT"/>
      <w:sz w:val="24"/>
      <w:szCs w:val="24"/>
    </w:rPr>
  </w:style>
  <w:style w:type="paragraph" w:styleId="1104">
    <w:name w:val="无间隔"/>
    <w:next w:val="1104"/>
    <w:link w:val="974"/>
    <w:qFormat/>
    <w:pPr>
      <w:jc w:val="both"/>
      <w:widowControl w:val="off"/>
    </w:pPr>
    <w:rPr>
      <w:sz w:val="21"/>
      <w:szCs w:val="24"/>
      <w:lang w:val="en-US" w:eastAsia="zh-CN" w:bidi="ar-SA"/>
    </w:rPr>
  </w:style>
  <w:style w:type="paragraph" w:styleId="1105">
    <w:name w:val="1"/>
    <w:basedOn w:val="974"/>
    <w:next w:val="1105"/>
    <w:link w:val="974"/>
    <w:qFormat/>
    <w:rPr>
      <w:rFonts w:eastAsia="宋体"/>
      <w:sz w:val="21"/>
      <w:szCs w:val="24"/>
    </w:rPr>
  </w:style>
  <w:style w:type="paragraph" w:styleId="1106">
    <w:name w:val="普通正文"/>
    <w:basedOn w:val="974"/>
    <w:next w:val="1106"/>
    <w:link w:val="974"/>
    <w:pPr>
      <w:ind w:firstLine="480"/>
      <w:jc w:val="left"/>
      <w:spacing w:before="120" w:after="120" w:line="360" w:lineRule="auto"/>
    </w:pPr>
    <w:rPr>
      <w:rFonts w:ascii="Arial" w:hAnsi="Arial"/>
      <w:sz w:val="24"/>
    </w:rPr>
  </w:style>
  <w:style w:type="paragraph" w:styleId="1107">
    <w:name w:val="纯文本11"/>
    <w:basedOn w:val="974"/>
    <w:next w:val="1107"/>
    <w:link w:val="974"/>
    <w:uiPriority w:val="99"/>
    <w:rPr>
      <w:rFonts w:ascii="宋体" w:hAnsi="Courier New"/>
    </w:rPr>
  </w:style>
  <w:style w:type="paragraph" w:styleId="1108">
    <w:name w:val="金安桥正文"/>
    <w:basedOn w:val="998"/>
    <w:next w:val="1108"/>
    <w:link w:val="974"/>
    <w:qFormat/>
    <w:pPr>
      <w:ind w:firstLine="200"/>
      <w:jc w:val="left"/>
      <w:spacing w:line="300" w:lineRule="auto"/>
    </w:pPr>
    <w:rPr>
      <w:rFonts w:ascii="Times New Roman"/>
      <w:sz w:val="24"/>
    </w:rPr>
  </w:style>
  <w:style w:type="paragraph" w:styleId="1109">
    <w:name w:val="样式1"/>
    <w:basedOn w:val="978"/>
    <w:next w:val="1109"/>
    <w:link w:val="974"/>
    <w:qFormat/>
    <w:pPr>
      <w:jc w:val="left"/>
      <w:spacing w:before="0" w:after="0" w:line="240" w:lineRule="auto"/>
    </w:pPr>
    <w:rPr>
      <w:rFonts w:ascii="黑体" w:hAnsi="宋体" w:eastAsia="黑体" w:cs="黑体"/>
      <w:b w:val="0"/>
      <w:color w:val="000000"/>
      <w:sz w:val="21"/>
    </w:rPr>
  </w:style>
  <w:style w:type="paragraph" w:styleId="1110">
    <w:name w:val="纯文本3"/>
    <w:basedOn w:val="974"/>
    <w:next w:val="1110"/>
    <w:link w:val="974"/>
    <w:qFormat/>
    <w:rPr>
      <w:rFonts w:hint="eastAsia" w:ascii="宋体" w:hAnsi="Courier New"/>
      <w:sz w:val="28"/>
    </w:rPr>
  </w:style>
  <w:style w:type="paragraph" w:styleId="1111">
    <w:name w:val="正文首行缩进两字符"/>
    <w:basedOn w:val="974"/>
    <w:next w:val="1111"/>
    <w:link w:val="974"/>
    <w:pPr>
      <w:ind w:firstLine="200"/>
      <w:spacing w:line="360" w:lineRule="auto"/>
    </w:pPr>
    <w:rPr>
      <w:rFonts w:eastAsia="宋体"/>
      <w:sz w:val="21"/>
      <w:szCs w:val="24"/>
    </w:rPr>
  </w:style>
  <w:style w:type="paragraph" w:styleId="1112">
    <w:name w:val="HTML Bottom of Form"/>
    <w:basedOn w:val="974"/>
    <w:next w:val="974"/>
    <w:link w:val="974"/>
    <w:unhideWhenUsed/>
    <w:qFormat/>
    <w:pPr>
      <w:jc w:val="center"/>
      <w:pBdr>
        <w:top w:val="single" w:color="000000" w:sz="6" w:space="1"/>
      </w:pBdr>
    </w:pPr>
    <w:rPr>
      <w:rFonts w:ascii="Arial" w:hAnsi="Arial" w:eastAsia="宋体" w:cs="Arial"/>
      <w:vanish/>
      <w:sz w:val="16"/>
      <w:szCs w:val="16"/>
    </w:rPr>
  </w:style>
  <w:style w:type="paragraph" w:styleId="1113">
    <w:name w:val="Default"/>
    <w:next w:val="1113"/>
    <w:link w:val="974"/>
    <w:qFormat/>
    <w:pPr>
      <w:widowControl w:val="off"/>
    </w:pPr>
    <w:rPr>
      <w:rFonts w:ascii="仿宋" w:eastAsia="仿宋" w:cs="仿宋"/>
      <w:color w:val="000000"/>
      <w:sz w:val="24"/>
      <w:szCs w:val="24"/>
      <w:lang w:val="en-US" w:eastAsia="zh-CN" w:bidi="ar-SA"/>
    </w:rPr>
  </w:style>
  <w:style w:type="paragraph" w:styleId="1114">
    <w:name w:val="Address"/>
    <w:basedOn w:val="974"/>
    <w:next w:val="1114"/>
    <w:link w:val="974"/>
    <w:pPr>
      <w:jc w:val="left"/>
      <w:spacing w:line="249" w:lineRule="auto"/>
      <w:widowControl/>
    </w:pPr>
    <w:rPr>
      <w:rFonts w:ascii="Centaur" w:hAnsi="Centaur"/>
      <w:sz w:val="20"/>
      <w:lang w:eastAsia="en-US"/>
    </w:rPr>
  </w:style>
  <w:style w:type="paragraph" w:styleId="1115">
    <w:name w:val="默认段落字体 Para Char Char Char Char Char Char Char"/>
    <w:basedOn w:val="974"/>
    <w:next w:val="1115"/>
    <w:link w:val="974"/>
    <w:rPr>
      <w:rFonts w:ascii="Tahoma" w:hAnsi="Tahoma" w:eastAsia="宋体"/>
      <w:sz w:val="24"/>
    </w:rPr>
  </w:style>
  <w:style w:type="paragraph" w:styleId="1116">
    <w:name w:val="p0"/>
    <w:basedOn w:val="974"/>
    <w:next w:val="1116"/>
    <w:link w:val="974"/>
    <w:qFormat/>
    <w:pPr>
      <w:widowControl/>
    </w:pPr>
    <w:rPr>
      <w:rFonts w:ascii="黑体" w:hAnsi="黑体"/>
      <w:szCs w:val="21"/>
    </w:rPr>
  </w:style>
  <w:style w:type="paragraph" w:styleId="1117">
    <w:name w:val="样式 标题 2 + Times New Roman 四号 非加粗 段前: 5 磅 段后: 0 磅 行距: 固定值 20..."/>
    <w:basedOn w:val="976"/>
    <w:next w:val="1117"/>
    <w:link w:val="974"/>
    <w:qFormat/>
    <w:pPr>
      <w:jc w:val="center"/>
      <w:spacing w:before="100" w:after="0" w:line="400" w:lineRule="exact"/>
    </w:pPr>
    <w:rPr>
      <w:rFonts w:ascii="Times New Roman" w:hAnsi="Times New Roman" w:cs="宋体"/>
      <w:b w:val="0"/>
      <w:bCs w:val="0"/>
      <w:sz w:val="28"/>
      <w:szCs w:val="20"/>
    </w:rPr>
  </w:style>
  <w:style w:type="paragraph" w:styleId="1118">
    <w:name w:val="无间隔1"/>
    <w:next w:val="1118"/>
    <w:link w:val="974"/>
    <w:qFormat/>
    <w:pPr>
      <w:jc w:val="both"/>
      <w:widowControl w:val="off"/>
    </w:pPr>
    <w:rPr>
      <w:sz w:val="21"/>
      <w:szCs w:val="24"/>
      <w:lang w:val="en-US" w:eastAsia="zh-CN" w:bidi="ar-SA"/>
    </w:rPr>
  </w:style>
  <w:style w:type="paragraph" w:styleId="1119">
    <w:name w:val="样式2"/>
    <w:basedOn w:val="974"/>
    <w:next w:val="979"/>
    <w:link w:val="974"/>
    <w:qFormat/>
    <w:pPr>
      <w:jc w:val="center"/>
    </w:pPr>
    <w:rPr>
      <w:rFonts w:ascii="宋体" w:hAnsi="宋体" w:eastAsia="宋体" w:cs="Arial"/>
      <w:b/>
      <w:color w:val="000000"/>
      <w:sz w:val="21"/>
      <w:szCs w:val="21"/>
    </w:rPr>
  </w:style>
  <w:style w:type="paragraph" w:styleId="1120">
    <w:name w:val="首行缩进"/>
    <w:basedOn w:val="974"/>
    <w:next w:val="1120"/>
    <w:link w:val="974"/>
    <w:qFormat/>
    <w:pPr>
      <w:ind w:firstLine="480"/>
      <w:spacing w:line="360" w:lineRule="auto"/>
    </w:pPr>
    <w:rPr>
      <w:rFonts w:hAnsi="宋体" w:eastAsia="宋体" w:cs="宋体"/>
      <w:sz w:val="24"/>
      <w:szCs w:val="24"/>
    </w:rPr>
  </w:style>
  <w:style w:type="paragraph" w:styleId="1121">
    <w:name w:val="[基本段落]"/>
    <w:basedOn w:val="974"/>
    <w:next w:val="1121"/>
    <w:link w:val="974"/>
    <w:uiPriority w:val="99"/>
    <w:qFormat/>
    <w:pPr>
      <w:jc w:val="left"/>
      <w:spacing w:line="288" w:lineRule="auto"/>
    </w:pPr>
    <w:rPr>
      <w:rFonts w:ascii="Myriad Roman" w:hAnsi="Myriad Roman" w:cs="Myriad Roman"/>
      <w:color w:val="000000"/>
      <w:sz w:val="24"/>
    </w:rPr>
  </w:style>
  <w:style w:type="paragraph" w:styleId="1122">
    <w:name w:val="Table Paragraph"/>
    <w:basedOn w:val="974"/>
    <w:next w:val="1122"/>
    <w:link w:val="974"/>
    <w:uiPriority w:val="1"/>
    <w:qFormat/>
  </w:style>
  <w:style w:type="table" w:styleId="1123">
    <w:name w:val="Table Normal"/>
    <w:next w:val="1123"/>
    <w:link w:val="974"/>
    <w:uiPriority w:val="2"/>
    <w:unhideWhenUsed/>
    <w:qFormat/>
    <w:rPr>
      <w:lang w:val="en-US" w:eastAsia="zh-CN" w:bidi="ar-SA"/>
    </w:rPr>
    <w:tblPr/>
  </w:style>
  <w:style w:type="paragraph" w:styleId="1124">
    <w:name w:val="普通文字"/>
    <w:basedOn w:val="974"/>
    <w:next w:val="974"/>
    <w:link w:val="974"/>
    <w:uiPriority w:val="99"/>
    <w:qFormat/>
    <w:rPr>
      <w:rFonts w:ascii="宋体" w:hAnsi="Calibri"/>
      <w:sz w:val="24"/>
    </w:rPr>
  </w:style>
  <w:style w:type="paragraph" w:styleId="1125">
    <w:name w:val="二级目录"/>
    <w:next w:val="974"/>
    <w:link w:val="974"/>
    <w:qFormat/>
    <w:pPr>
      <w:ind w:left="567" w:hanging="567"/>
      <w:tabs>
        <w:tab w:val="left" w:pos="720" w:leader="none"/>
      </w:tabs>
    </w:pPr>
    <w:rPr>
      <w:b/>
      <w:sz w:val="30"/>
      <w:szCs w:val="28"/>
      <w:lang w:val="en-US" w:eastAsia="zh-CN" w:bidi="ar-SA"/>
    </w:rPr>
  </w:style>
  <w:style w:type="paragraph" w:styleId="1126">
    <w:name w:val="BodyTextIndent1"/>
    <w:basedOn w:val="974"/>
    <w:next w:val="1127"/>
    <w:link w:val="974"/>
    <w:qFormat/>
    <w:pPr>
      <w:ind w:firstLine="645"/>
    </w:pPr>
    <w:rPr>
      <w:rFonts w:ascii="楷体_GB2312" w:eastAsia="楷体_GB2312"/>
      <w:sz w:val="32"/>
      <w:szCs w:val="20"/>
    </w:rPr>
  </w:style>
  <w:style w:type="paragraph" w:styleId="1127">
    <w:name w:val="EnvelopeReturn1"/>
    <w:basedOn w:val="974"/>
    <w:next w:val="1127"/>
    <w:link w:val="974"/>
    <w:qFormat/>
    <w:pPr>
      <w:ind w:firstLine="200"/>
      <w:spacing w:line="360" w:lineRule="auto"/>
    </w:pPr>
    <w:rPr>
      <w:rFonts w:ascii="Arial" w:hAnsi="Arial"/>
      <w:sz w:val="24"/>
    </w:rPr>
  </w:style>
  <w:style w:type="paragraph" w:styleId="1128">
    <w:name w:val="xl25"/>
    <w:basedOn w:val="974"/>
    <w:next w:val="1128"/>
    <w:link w:val="974"/>
    <w:qFormat/>
    <w:pPr>
      <w:jc w:val="center"/>
      <w:spacing w:before="100" w:beforeAutospacing="1" w:after="100" w:afterAutospacing="1"/>
      <w:widowControl/>
    </w:pPr>
    <w:rPr>
      <w:rFonts w:ascii="Arial Unicode MS" w:hAnsi="Arial Unicode MS" w:eastAsia="Arial Unicode MS" w:cs="Arial Unicode MS"/>
      <w:sz w:val="24"/>
    </w:rPr>
  </w:style>
  <w:style w:type="character" w:styleId="1129">
    <w:name w:val="NormalCharacter1"/>
    <w:next w:val="1129"/>
    <w:link w:val="974"/>
    <w:semiHidden/>
    <w:qFormat/>
  </w:style>
  <w:style w:type="character" w:styleId="1130" w:default="1">
    <w:name w:val="Default Paragraph Font"/>
    <w:uiPriority w:val="1"/>
    <w:semiHidden/>
    <w:unhideWhenUsed/>
  </w:style>
  <w:style w:type="numbering" w:styleId="1131" w:default="1">
    <w:name w:val="No List"/>
    <w:uiPriority w:val="99"/>
    <w:semiHidden/>
    <w:unhideWhenUsed/>
  </w:style>
  <w:style w:type="table" w:styleId="113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we</dc:creator>
  <cp:lastModifiedBy>杜昊</cp:lastModifiedBy>
  <cp:revision>10</cp:revision>
  <dcterms:created xsi:type="dcterms:W3CDTF">2023-12-08T08:45:00Z</dcterms:created>
  <dcterms:modified xsi:type="dcterms:W3CDTF">2026-07-28T03:23:57Z</dcterms:modified>
</cp:coreProperties>
</file>