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1D024">
      <w:pPr>
        <w:spacing w:before="120" w:after="120" w:line="360" w:lineRule="auto"/>
        <w:jc w:val="center"/>
        <w:rPr>
          <w:rFonts w:hint="eastAsia" w:ascii="宋体" w:hAnsi="宋体" w:eastAsia="宋体" w:cs="宋体"/>
          <w:color w:val="auto"/>
          <w:sz w:val="24"/>
          <w:szCs w:val="24"/>
          <w:highlight w:val="none"/>
        </w:rPr>
      </w:pPr>
    </w:p>
    <w:p w14:paraId="59BBE201">
      <w:pPr>
        <w:spacing w:before="120" w:after="120" w:line="360" w:lineRule="auto"/>
        <w:jc w:val="center"/>
        <w:rPr>
          <w:rFonts w:hint="eastAsia" w:ascii="宋体" w:hAnsi="宋体" w:eastAsia="宋体" w:cs="宋体"/>
          <w:b/>
          <w:color w:val="auto"/>
          <w:sz w:val="72"/>
          <w:szCs w:val="72"/>
          <w:highlight w:val="none"/>
        </w:rPr>
      </w:pPr>
      <w:r>
        <w:rPr>
          <w:rFonts w:hint="eastAsia" w:ascii="宋体" w:hAnsi="宋体" w:eastAsia="宋体" w:cs="宋体"/>
          <w:color w:val="auto"/>
          <w:sz w:val="24"/>
          <w:szCs w:val="24"/>
          <w:highlight w:val="none"/>
        </w:rPr>
        <w:t>  </w:t>
      </w:r>
    </w:p>
    <w:p w14:paraId="35F7D423">
      <w:pPr>
        <w:spacing w:before="120" w:after="120" w:line="360" w:lineRule="auto"/>
        <w:jc w:val="center"/>
        <w:outlineLvl w:val="0"/>
        <w:rPr>
          <w:rFonts w:hint="eastAsia" w:ascii="宋体" w:hAnsi="宋体" w:eastAsia="宋体" w:cs="宋体"/>
          <w:b/>
          <w:bCs/>
          <w:color w:val="auto"/>
          <w:sz w:val="72"/>
          <w:szCs w:val="72"/>
          <w:highlight w:val="none"/>
        </w:rPr>
      </w:pPr>
      <w:bookmarkStart w:id="0" w:name="_Toc1997"/>
      <w:r>
        <w:rPr>
          <w:rFonts w:hint="eastAsia" w:ascii="宋体" w:hAnsi="宋体" w:eastAsia="宋体" w:cs="宋体"/>
          <w:b/>
          <w:bCs/>
          <w:color w:val="auto"/>
          <w:sz w:val="72"/>
          <w:szCs w:val="72"/>
          <w:highlight w:val="none"/>
        </w:rPr>
        <w:t>泰州市政府采购</w:t>
      </w:r>
      <w:bookmarkEnd w:id="0"/>
      <w:r>
        <w:rPr>
          <w:rFonts w:hint="eastAsia" w:ascii="宋体" w:hAnsi="宋体" w:eastAsia="宋体" w:cs="宋体"/>
          <w:b/>
          <w:bCs/>
          <w:color w:val="auto"/>
          <w:sz w:val="72"/>
          <w:szCs w:val="72"/>
          <w:highlight w:val="none"/>
        </w:rPr>
        <w:t>项目</w:t>
      </w:r>
    </w:p>
    <w:p w14:paraId="478570A3">
      <w:pPr>
        <w:spacing w:before="120" w:line="360" w:lineRule="auto"/>
        <w:jc w:val="center"/>
        <w:rPr>
          <w:rFonts w:hint="eastAsia" w:ascii="宋体" w:hAnsi="宋体" w:eastAsia="宋体" w:cs="宋体"/>
          <w:b/>
          <w:bCs/>
          <w:color w:val="auto"/>
          <w:sz w:val="52"/>
          <w:szCs w:val="52"/>
          <w:highlight w:val="none"/>
        </w:rPr>
      </w:pPr>
    </w:p>
    <w:p w14:paraId="67CB85C5">
      <w:pPr>
        <w:spacing w:before="120" w:line="360" w:lineRule="auto"/>
        <w:jc w:val="center"/>
        <w:outlineLvl w:val="0"/>
        <w:rPr>
          <w:rFonts w:hint="eastAsia" w:ascii="宋体" w:hAnsi="宋体" w:eastAsia="宋体" w:cs="宋体"/>
          <w:b/>
          <w:bCs/>
          <w:color w:val="auto"/>
          <w:sz w:val="52"/>
          <w:szCs w:val="52"/>
          <w:highlight w:val="none"/>
        </w:rPr>
      </w:pPr>
      <w:bookmarkStart w:id="1" w:name="_Toc28993"/>
      <w:r>
        <w:rPr>
          <w:rFonts w:hint="eastAsia" w:ascii="宋体" w:hAnsi="宋体" w:eastAsia="宋体" w:cs="宋体"/>
          <w:b/>
          <w:bCs/>
          <w:color w:val="auto"/>
          <w:sz w:val="52"/>
          <w:szCs w:val="52"/>
          <w:highlight w:val="none"/>
        </w:rPr>
        <w:t>竞争性磋商文件</w:t>
      </w:r>
      <w:bookmarkEnd w:id="1"/>
    </w:p>
    <w:p w14:paraId="56EDD883">
      <w:pPr>
        <w:jc w:val="center"/>
        <w:rPr>
          <w:rFonts w:hint="eastAsia" w:ascii="宋体" w:hAnsi="宋体" w:eastAsia="宋体" w:cs="宋体"/>
          <w:bCs/>
          <w:color w:val="auto"/>
          <w:sz w:val="36"/>
          <w:szCs w:val="36"/>
          <w:highlight w:val="none"/>
        </w:rPr>
      </w:pPr>
      <w:r>
        <w:rPr>
          <w:rFonts w:hint="eastAsia" w:ascii="宋体" w:hAnsi="宋体" w:eastAsia="宋体" w:cs="宋体"/>
          <w:color w:val="auto"/>
          <w:sz w:val="36"/>
          <w:szCs w:val="36"/>
          <w:highlight w:val="none"/>
        </w:rPr>
        <w:t>（</w:t>
      </w:r>
      <w:r>
        <w:rPr>
          <w:rFonts w:hint="eastAsia" w:ascii="宋体" w:hAnsi="宋体" w:eastAsia="宋体" w:cs="宋体"/>
          <w:bCs/>
          <w:color w:val="auto"/>
          <w:sz w:val="36"/>
          <w:szCs w:val="36"/>
          <w:highlight w:val="none"/>
        </w:rPr>
        <w:t>全流程电子化不见面开标</w:t>
      </w:r>
      <w:r>
        <w:rPr>
          <w:rFonts w:hint="eastAsia" w:ascii="宋体" w:hAnsi="宋体" w:eastAsia="宋体" w:cs="宋体"/>
          <w:color w:val="auto"/>
          <w:sz w:val="36"/>
          <w:szCs w:val="36"/>
          <w:highlight w:val="none"/>
        </w:rPr>
        <w:t>）</w:t>
      </w:r>
    </w:p>
    <w:p w14:paraId="1A6058D3">
      <w:pPr>
        <w:pStyle w:val="207"/>
        <w:widowControl w:val="0"/>
        <w:rPr>
          <w:rFonts w:hint="eastAsia" w:ascii="宋体" w:hAnsi="宋体" w:eastAsia="宋体" w:cs="宋体"/>
          <w:color w:val="auto"/>
          <w:highlight w:val="none"/>
        </w:rPr>
      </w:pPr>
    </w:p>
    <w:p w14:paraId="2DA911BE">
      <w:pPr>
        <w:pStyle w:val="207"/>
        <w:widowControl w:val="0"/>
        <w:ind w:firstLine="400"/>
        <w:rPr>
          <w:rFonts w:hint="eastAsia" w:ascii="宋体" w:hAnsi="宋体" w:eastAsia="宋体" w:cs="宋体"/>
          <w:color w:val="auto"/>
          <w:highlight w:val="none"/>
        </w:rPr>
      </w:pPr>
    </w:p>
    <w:p w14:paraId="4B11D498">
      <w:pPr>
        <w:rPr>
          <w:rFonts w:hint="eastAsia" w:ascii="宋体" w:hAnsi="宋体" w:eastAsia="宋体" w:cs="宋体"/>
          <w:color w:val="auto"/>
          <w:highlight w:val="none"/>
        </w:rPr>
      </w:pPr>
    </w:p>
    <w:p w14:paraId="45A26465">
      <w:pPr>
        <w:pStyle w:val="207"/>
        <w:rPr>
          <w:rFonts w:hint="eastAsia" w:ascii="宋体" w:hAnsi="宋体" w:eastAsia="宋体" w:cs="宋体"/>
          <w:color w:val="auto"/>
          <w:highlight w:val="none"/>
        </w:rPr>
      </w:pPr>
    </w:p>
    <w:p w14:paraId="7FF4BC51">
      <w:pPr>
        <w:spacing w:before="120" w:after="120" w:line="360" w:lineRule="auto"/>
        <w:ind w:firstLine="964" w:firstLineChars="30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项目编号：JSZC-321200-JTTZ-C2026-0015</w:t>
      </w:r>
    </w:p>
    <w:p w14:paraId="1DB3F347">
      <w:pPr>
        <w:spacing w:before="120" w:after="120" w:line="360" w:lineRule="auto"/>
        <w:ind w:firstLine="964" w:firstLineChars="300"/>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项目名称：</w:t>
      </w:r>
      <w:r>
        <w:rPr>
          <w:rFonts w:hint="eastAsia" w:ascii="宋体" w:hAnsi="宋体" w:eastAsia="宋体" w:cs="宋体"/>
          <w:b/>
          <w:bCs/>
          <w:color w:val="auto"/>
          <w:sz w:val="32"/>
          <w:szCs w:val="32"/>
          <w:highlight w:val="none"/>
          <w:lang w:eastAsia="zh-CN"/>
        </w:rPr>
        <w:t>泰州市中医院医疗责任等综合保险项目</w:t>
      </w:r>
    </w:p>
    <w:p w14:paraId="62581754">
      <w:pPr>
        <w:spacing w:before="120" w:after="120" w:line="360" w:lineRule="auto"/>
        <w:ind w:firstLine="948"/>
        <w:jc w:val="left"/>
        <w:rPr>
          <w:rFonts w:hint="eastAsia" w:ascii="宋体" w:hAnsi="宋体" w:eastAsia="宋体" w:cs="宋体"/>
          <w:color w:val="auto"/>
          <w:sz w:val="24"/>
          <w:szCs w:val="24"/>
          <w:highlight w:val="none"/>
        </w:rPr>
      </w:pPr>
    </w:p>
    <w:p w14:paraId="7F4C3F50">
      <w:pPr>
        <w:spacing w:before="120" w:after="120" w:line="360" w:lineRule="auto"/>
        <w:ind w:firstLine="948"/>
        <w:jc w:val="left"/>
        <w:rPr>
          <w:rFonts w:hint="eastAsia" w:ascii="宋体" w:hAnsi="宋体" w:eastAsia="宋体" w:cs="宋体"/>
          <w:color w:val="auto"/>
          <w:sz w:val="24"/>
          <w:szCs w:val="24"/>
          <w:highlight w:val="none"/>
        </w:rPr>
      </w:pPr>
    </w:p>
    <w:p w14:paraId="3EF8EC3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w:t>
      </w:r>
      <w:r>
        <w:rPr>
          <w:rFonts w:hint="eastAsia" w:ascii="宋体" w:hAnsi="宋体" w:eastAsia="宋体" w:cs="宋体"/>
          <w:color w:val="auto"/>
          <w:sz w:val="24"/>
          <w:szCs w:val="24"/>
          <w:highlight w:val="none"/>
        </w:rPr>
        <w:t>   </w:t>
      </w:r>
    </w:p>
    <w:p w14:paraId="15417DBF">
      <w:pPr>
        <w:pStyle w:val="2"/>
        <w:rPr>
          <w:rFonts w:hint="eastAsia"/>
          <w:color w:val="auto"/>
        </w:rPr>
      </w:pPr>
    </w:p>
    <w:p w14:paraId="0DB6649D">
      <w:pPr>
        <w:spacing w:before="120" w:after="120" w:line="360" w:lineRule="auto"/>
        <w:jc w:val="center"/>
        <w:outlineLvl w:val="0"/>
        <w:rPr>
          <w:rFonts w:hint="eastAsia" w:ascii="宋体" w:hAnsi="宋体" w:eastAsia="宋体" w:cs="宋体"/>
          <w:b/>
          <w:bCs/>
          <w:color w:val="auto"/>
          <w:sz w:val="32"/>
          <w:szCs w:val="32"/>
          <w:highlight w:val="none"/>
          <w:lang w:eastAsia="zh-CN"/>
        </w:rPr>
      </w:pPr>
      <w:bookmarkStart w:id="2" w:name="_Toc11357"/>
      <w:r>
        <w:rPr>
          <w:rFonts w:hint="eastAsia" w:ascii="宋体" w:hAnsi="宋体" w:eastAsia="宋体" w:cs="宋体"/>
          <w:b/>
          <w:bCs/>
          <w:color w:val="auto"/>
          <w:sz w:val="32"/>
          <w:szCs w:val="32"/>
          <w:highlight w:val="none"/>
        </w:rPr>
        <w:t>采购人：</w:t>
      </w:r>
      <w:bookmarkEnd w:id="2"/>
      <w:r>
        <w:rPr>
          <w:rFonts w:hint="eastAsia" w:ascii="宋体" w:hAnsi="宋体" w:eastAsia="宋体" w:cs="宋体"/>
          <w:b/>
          <w:bCs/>
          <w:color w:val="auto"/>
          <w:sz w:val="32"/>
          <w:szCs w:val="32"/>
          <w:highlight w:val="none"/>
          <w:lang w:eastAsia="zh-CN"/>
        </w:rPr>
        <w:t>泰州市中医院</w:t>
      </w:r>
    </w:p>
    <w:p w14:paraId="5AFDBE85">
      <w:pPr>
        <w:spacing w:before="120" w:after="120" w:line="360" w:lineRule="auto"/>
        <w:jc w:val="center"/>
        <w:outlineLvl w:val="0"/>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采购代理机构：江苏建泰工程项目管理有限公司</w:t>
      </w:r>
    </w:p>
    <w:p w14:paraId="7A474496">
      <w:pPr>
        <w:widowControl/>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202</w:t>
      </w:r>
      <w:r>
        <w:rPr>
          <w:rFonts w:hint="eastAsia" w:ascii="宋体" w:hAnsi="宋体" w:eastAsia="宋体" w:cs="宋体"/>
          <w:b/>
          <w:bCs/>
          <w:color w:val="auto"/>
          <w:sz w:val="32"/>
          <w:szCs w:val="32"/>
          <w:highlight w:val="none"/>
          <w:lang w:val="en-US" w:eastAsia="zh-CN"/>
        </w:rPr>
        <w:t>6</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8</w:t>
      </w:r>
      <w:r>
        <w:rPr>
          <w:rFonts w:hint="eastAsia" w:ascii="宋体" w:hAnsi="宋体" w:eastAsia="宋体" w:cs="宋体"/>
          <w:b/>
          <w:bCs/>
          <w:color w:val="auto"/>
          <w:sz w:val="32"/>
          <w:szCs w:val="32"/>
          <w:highlight w:val="none"/>
        </w:rPr>
        <w:t>月</w:t>
      </w:r>
    </w:p>
    <w:p w14:paraId="103A1905">
      <w:pPr>
        <w:pStyle w:val="19"/>
        <w:ind w:firstLine="200"/>
        <w:rPr>
          <w:rFonts w:hint="eastAsia" w:ascii="宋体" w:hAnsi="宋体" w:eastAsia="宋体" w:cs="宋体"/>
          <w:color w:val="auto"/>
          <w:highlight w:val="none"/>
        </w:rPr>
      </w:pPr>
    </w:p>
    <w:p w14:paraId="69D1C05E">
      <w:pPr>
        <w:spacing w:line="48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Cs w:val="21"/>
          <w:highlight w:val="none"/>
        </w:rPr>
        <w:t> </w:t>
      </w:r>
      <w:bookmarkStart w:id="3" w:name="_Toc120614210"/>
      <w:bookmarkEnd w:id="3"/>
      <w:bookmarkStart w:id="4" w:name="_Toc513029200"/>
      <w:bookmarkEnd w:id="4"/>
      <w:bookmarkStart w:id="5" w:name="_Toc523127445"/>
      <w:bookmarkEnd w:id="5"/>
      <w:bookmarkStart w:id="6" w:name="_Toc479757206"/>
      <w:bookmarkEnd w:id="6"/>
      <w:bookmarkStart w:id="7" w:name="_Toc16938516"/>
      <w:bookmarkEnd w:id="7"/>
      <w:bookmarkStart w:id="8" w:name="_Toc20823272"/>
      <w:r>
        <w:rPr>
          <w:rFonts w:hint="eastAsia" w:ascii="宋体" w:hAnsi="宋体" w:eastAsia="宋体" w:cs="宋体"/>
          <w:b/>
          <w:bCs/>
          <w:color w:val="auto"/>
          <w:sz w:val="44"/>
          <w:szCs w:val="44"/>
          <w:highlight w:val="none"/>
        </w:rPr>
        <w:t>总  目  录</w:t>
      </w:r>
      <w:bookmarkEnd w:id="8"/>
    </w:p>
    <w:p w14:paraId="079C3FF3">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sdt>
      <w:sdtPr>
        <w:rPr>
          <w:rFonts w:hint="eastAsia" w:ascii="宋体" w:hAnsi="宋体" w:eastAsia="宋体" w:cs="宋体"/>
          <w:color w:val="auto"/>
          <w:highlight w:val="none"/>
        </w:rPr>
        <w:id w:val="147469892"/>
        <w:docPartObj>
          <w:docPartGallery w:val="Table of Contents"/>
          <w:docPartUnique/>
        </w:docPartObj>
      </w:sdtPr>
      <w:sdtEndPr>
        <w:rPr>
          <w:rFonts w:hint="eastAsia" w:ascii="宋体" w:hAnsi="宋体" w:eastAsia="宋体" w:cs="宋体"/>
          <w:color w:val="auto"/>
          <w:highlight w:val="none"/>
        </w:rPr>
      </w:sdtEndPr>
      <w:sdtContent>
        <w:p w14:paraId="214A0C0A">
          <w:pPr>
            <w:jc w:val="center"/>
            <w:rPr>
              <w:rFonts w:hint="eastAsia" w:ascii="宋体" w:hAnsi="宋体" w:eastAsia="宋体" w:cs="宋体"/>
              <w:color w:val="auto"/>
              <w:highlight w:val="none"/>
            </w:rPr>
          </w:pPr>
        </w:p>
        <w:p w14:paraId="6F8AFEC8">
          <w:pPr>
            <w:pStyle w:val="664"/>
            <w:tabs>
              <w:tab w:val="right" w:leader="dot" w:pos="8691"/>
            </w:tabs>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"_Toc21141"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_Toc21141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C9253F4">
          <w:pPr>
            <w:pStyle w:val="664"/>
            <w:tabs>
              <w:tab w:val="right" w:leader="dot" w:pos="8691"/>
            </w:tabs>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"_Toc24442"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p>
        <w:p w14:paraId="1208DFA8">
          <w:pPr>
            <w:pStyle w:val="664"/>
            <w:tabs>
              <w:tab w:val="right" w:leader="dot" w:pos="8691"/>
            </w:tabs>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"_Toc26517"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第三章 合同文本</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14:paraId="283179F1">
          <w:pPr>
            <w:pStyle w:val="664"/>
            <w:tabs>
              <w:tab w:val="right" w:leader="dot" w:pos="8691"/>
            </w:tabs>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"_Toc31380"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第四章  采购需求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5673B0B3">
          <w:pPr>
            <w:pStyle w:val="664"/>
            <w:tabs>
              <w:tab w:val="right" w:leader="dot" w:pos="8691"/>
            </w:tabs>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"_Toc22673"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第五章 </w:t>
          </w:r>
          <w:r>
            <w:rPr>
              <w:rFonts w:hint="eastAsia" w:ascii="宋体" w:hAnsi="宋体" w:eastAsia="宋体" w:cs="宋体"/>
              <w:bCs/>
              <w:color w:val="auto"/>
              <w:sz w:val="28"/>
              <w:szCs w:val="28"/>
              <w:highlight w:val="none"/>
            </w:rPr>
            <w:t>评审方法与评审标准</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14:paraId="36916ED3">
          <w:pPr>
            <w:pStyle w:val="664"/>
            <w:tabs>
              <w:tab w:val="right" w:leader="dot" w:pos="8691"/>
            </w:tabs>
            <w:spacing w:line="60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"_Toc28376" </w:instrText>
          </w:r>
          <w:r>
            <w:rPr>
              <w:rFonts w:hint="eastAsia" w:ascii="宋体" w:hAnsi="宋体" w:eastAsia="宋体" w:cs="宋体"/>
              <w:color w:val="auto"/>
              <w:highlight w:val="none"/>
            </w:rPr>
            <w:fldChar w:fldCharType="separate"/>
          </w:r>
          <w:r>
            <w:rPr>
              <w:rFonts w:hint="eastAsia" w:ascii="宋体" w:hAnsi="宋体" w:eastAsia="宋体" w:cs="宋体"/>
              <w:color w:val="auto"/>
              <w:sz w:val="28"/>
              <w:szCs w:val="28"/>
              <w:highlight w:val="none"/>
            </w:rPr>
            <w:t>第六章 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5</w:t>
          </w:r>
        </w:p>
        <w:p w14:paraId="28969006">
          <w:pPr>
            <w:widowControl/>
            <w:spacing w:line="600" w:lineRule="exact"/>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end"/>
          </w:r>
        </w:p>
      </w:sdtContent>
    </w:sdt>
    <w:p w14:paraId="245807B9">
      <w:pPr>
        <w:rPr>
          <w:rFonts w:hint="eastAsia" w:ascii="宋体" w:hAnsi="宋体" w:eastAsia="宋体" w:cs="宋体"/>
          <w:color w:val="auto"/>
          <w:sz w:val="24"/>
          <w:szCs w:val="24"/>
          <w:highlight w:val="none"/>
        </w:rPr>
      </w:pPr>
    </w:p>
    <w:p w14:paraId="69CBADD2">
      <w:pPr>
        <w:rPr>
          <w:rFonts w:hint="eastAsia" w:ascii="宋体" w:hAnsi="宋体" w:eastAsia="宋体" w:cs="宋体"/>
          <w:color w:val="auto"/>
          <w:sz w:val="24"/>
          <w:szCs w:val="24"/>
          <w:highlight w:val="none"/>
        </w:rPr>
      </w:pPr>
    </w:p>
    <w:p w14:paraId="720FB459">
      <w:pPr>
        <w:rPr>
          <w:rFonts w:hint="eastAsia" w:ascii="宋体" w:hAnsi="宋体" w:eastAsia="宋体" w:cs="宋体"/>
          <w:color w:val="auto"/>
          <w:sz w:val="24"/>
          <w:szCs w:val="24"/>
          <w:highlight w:val="none"/>
        </w:rPr>
      </w:pPr>
    </w:p>
    <w:p w14:paraId="4A37C701">
      <w:pPr>
        <w:rPr>
          <w:rFonts w:hint="eastAsia" w:ascii="宋体" w:hAnsi="宋体" w:eastAsia="宋体" w:cs="宋体"/>
          <w:color w:val="auto"/>
          <w:sz w:val="24"/>
          <w:szCs w:val="24"/>
          <w:highlight w:val="none"/>
        </w:rPr>
      </w:pPr>
    </w:p>
    <w:p w14:paraId="3DDF25CE">
      <w:pPr>
        <w:rPr>
          <w:rFonts w:hint="eastAsia" w:ascii="宋体" w:hAnsi="宋体" w:eastAsia="宋体" w:cs="宋体"/>
          <w:color w:val="auto"/>
          <w:sz w:val="24"/>
          <w:szCs w:val="24"/>
          <w:highlight w:val="none"/>
        </w:rPr>
      </w:pPr>
    </w:p>
    <w:p w14:paraId="219361B5">
      <w:pPr>
        <w:rPr>
          <w:rFonts w:hint="eastAsia" w:ascii="宋体" w:hAnsi="宋体" w:eastAsia="宋体" w:cs="宋体"/>
          <w:color w:val="auto"/>
          <w:sz w:val="24"/>
          <w:szCs w:val="24"/>
          <w:highlight w:val="none"/>
        </w:rPr>
      </w:pPr>
    </w:p>
    <w:p w14:paraId="3EF97F3E">
      <w:pPr>
        <w:rPr>
          <w:rFonts w:hint="eastAsia" w:ascii="宋体" w:hAnsi="宋体" w:eastAsia="宋体" w:cs="宋体"/>
          <w:color w:val="auto"/>
          <w:sz w:val="24"/>
          <w:szCs w:val="24"/>
          <w:highlight w:val="none"/>
        </w:rPr>
      </w:pPr>
    </w:p>
    <w:p w14:paraId="1CB25468">
      <w:pPr>
        <w:rPr>
          <w:rFonts w:hint="eastAsia" w:ascii="宋体" w:hAnsi="宋体" w:eastAsia="宋体" w:cs="宋体"/>
          <w:color w:val="auto"/>
          <w:sz w:val="24"/>
          <w:szCs w:val="24"/>
          <w:highlight w:val="none"/>
        </w:rPr>
      </w:pPr>
    </w:p>
    <w:p w14:paraId="3B2C603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80B646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5590F5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3CA5A4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D6553D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BBB78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18FAA1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AE0CF4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928E35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AD810C8">
      <w:pPr>
        <w:jc w:val="center"/>
        <w:rPr>
          <w:rFonts w:hint="eastAsia" w:ascii="宋体" w:hAnsi="宋体" w:eastAsia="宋体" w:cs="宋体"/>
          <w:color w:val="auto"/>
          <w:sz w:val="44"/>
          <w:szCs w:val="44"/>
          <w:highlight w:val="none"/>
        </w:rPr>
        <w:sectPr>
          <w:pgSz w:w="11906" w:h="16839"/>
          <w:pgMar w:top="1429" w:right="1633" w:bottom="1440" w:left="1582" w:header="0" w:footer="0" w:gutter="0"/>
          <w:pgNumType w:start="1"/>
          <w:cols w:space="720" w:num="1"/>
        </w:sectPr>
      </w:pPr>
      <w:bookmarkStart w:id="9" w:name="_Toc21141"/>
    </w:p>
    <w:p w14:paraId="4682369D">
      <w:pPr>
        <w:jc w:val="center"/>
        <w:rPr>
          <w:rFonts w:hint="eastAsia" w:ascii="宋体" w:hAnsi="宋体" w:eastAsia="宋体" w:cs="宋体"/>
          <w:color w:val="auto"/>
          <w:sz w:val="24"/>
          <w:szCs w:val="24"/>
          <w:highlight w:val="none"/>
        </w:rPr>
      </w:pPr>
      <w:r>
        <w:rPr>
          <w:rFonts w:hint="eastAsia" w:ascii="宋体" w:hAnsi="宋体" w:eastAsia="宋体" w:cs="宋体"/>
          <w:color w:val="auto"/>
          <w:sz w:val="44"/>
          <w:szCs w:val="44"/>
          <w:highlight w:val="none"/>
        </w:rPr>
        <w:t>第一章 </w:t>
      </w:r>
      <w:bookmarkEnd w:id="9"/>
      <w:r>
        <w:rPr>
          <w:rFonts w:hint="eastAsia" w:ascii="宋体" w:hAnsi="宋体" w:eastAsia="宋体" w:cs="宋体"/>
          <w:color w:val="auto"/>
          <w:sz w:val="44"/>
          <w:szCs w:val="44"/>
          <w:highlight w:val="none"/>
        </w:rPr>
        <w:t>竞争性磋商公告</w:t>
      </w:r>
    </w:p>
    <w:p w14:paraId="596BF395">
      <w:pPr>
        <w:pBdr>
          <w:top w:val="single" w:color="000000" w:sz="4" w:space="0"/>
          <w:left w:val="single" w:color="000000" w:sz="4" w:space="0"/>
          <w:bottom w:val="single" w:color="000000" w:sz="4" w:space="0"/>
          <w:right w:val="single" w:color="000000" w:sz="4" w:space="0"/>
        </w:pBd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82BDC9E">
      <w:pPr>
        <w:pBdr>
          <w:top w:val="single" w:color="000000" w:sz="4" w:space="0"/>
          <w:left w:val="single" w:color="000000" w:sz="4" w:space="0"/>
          <w:bottom w:val="single" w:color="000000" w:sz="4" w:space="0"/>
          <w:right w:val="single" w:color="000000" w:sz="4" w:space="0"/>
        </w:pBdr>
        <w:spacing w:line="52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泰州市中医院医疗责任等综合保险项目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的潜在供应商可在</w:t>
      </w:r>
      <w:r>
        <w:rPr>
          <w:rFonts w:hint="eastAsia" w:ascii="宋体" w:hAnsi="宋体" w:eastAsia="宋体" w:cs="宋体"/>
          <w:color w:val="auto"/>
          <w:sz w:val="24"/>
          <w:szCs w:val="24"/>
          <w:highlight w:val="none"/>
          <w:u w:val="single"/>
        </w:rPr>
        <w:t>“苏采云”政府采购一体化平台自行免费下载</w:t>
      </w:r>
      <w:r>
        <w:rPr>
          <w:rFonts w:hint="eastAsia" w:ascii="宋体" w:hAnsi="宋体" w:eastAsia="宋体" w:cs="宋体"/>
          <w:color w:val="auto"/>
          <w:sz w:val="24"/>
          <w:szCs w:val="24"/>
          <w:highlight w:val="none"/>
        </w:rPr>
        <w:t>磋商文件，并于</w:t>
      </w:r>
      <w:r>
        <w:rPr>
          <w:rFonts w:hint="eastAsia" w:ascii="宋体" w:hAnsi="宋体" w:eastAsia="宋体" w:cs="宋体"/>
          <w:color w:val="auto"/>
          <w:sz w:val="24"/>
          <w:szCs w:val="24"/>
          <w:highlight w:val="none"/>
          <w:u w:val="single"/>
        </w:rPr>
        <w:t xml:space="preserve"> 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18</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（北京时间）前递交响应文件。</w:t>
      </w:r>
    </w:p>
    <w:p w14:paraId="5D0626EA">
      <w:pPr>
        <w:keepNext/>
        <w:keepLines/>
        <w:spacing w:line="520" w:lineRule="exact"/>
        <w:ind w:firstLine="482" w:firstLineChars="200"/>
        <w:rPr>
          <w:rFonts w:hint="eastAsia" w:ascii="宋体" w:hAnsi="宋体" w:eastAsia="宋体" w:cs="宋体"/>
          <w:color w:val="auto"/>
          <w:sz w:val="24"/>
          <w:szCs w:val="24"/>
          <w:highlight w:val="none"/>
        </w:rPr>
      </w:pPr>
      <w:bookmarkStart w:id="10" w:name="_Toc28359002"/>
      <w:bookmarkEnd w:id="10"/>
      <w:bookmarkStart w:id="11" w:name="_Toc38985263"/>
      <w:bookmarkEnd w:id="11"/>
      <w:bookmarkStart w:id="12" w:name="_Toc35393790"/>
      <w:bookmarkEnd w:id="12"/>
      <w:bookmarkStart w:id="13" w:name="_Toc35393621"/>
      <w:bookmarkEnd w:id="13"/>
      <w:bookmarkStart w:id="14" w:name="_Toc28359079"/>
      <w:bookmarkEnd w:id="14"/>
      <w:bookmarkStart w:id="15" w:name="_Hlk24379207"/>
      <w:r>
        <w:rPr>
          <w:rFonts w:hint="eastAsia" w:ascii="宋体" w:hAnsi="宋体" w:eastAsia="宋体" w:cs="宋体"/>
          <w:b/>
          <w:bCs/>
          <w:color w:val="auto"/>
          <w:sz w:val="24"/>
          <w:szCs w:val="24"/>
          <w:highlight w:val="none"/>
        </w:rPr>
        <w:t>一、项目基本情况</w:t>
      </w:r>
      <w:bookmarkEnd w:id="15"/>
    </w:p>
    <w:p w14:paraId="61E7612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1.项目编号：JSZC-321200-JTTZ-C2026-0015</w:t>
      </w:r>
    </w:p>
    <w:p w14:paraId="553CD5BF">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泰州市中医院医疗责任</w:t>
      </w:r>
      <w:r>
        <w:rPr>
          <w:rFonts w:hint="eastAsia" w:ascii="宋体" w:hAnsi="宋体" w:eastAsia="宋体" w:cs="宋体"/>
          <w:color w:val="auto"/>
          <w:sz w:val="24"/>
          <w:szCs w:val="24"/>
          <w:highlight w:val="none"/>
          <w:lang w:val="en-US" w:eastAsia="zh-CN"/>
        </w:rPr>
        <w:t>等综合</w:t>
      </w:r>
      <w:r>
        <w:rPr>
          <w:rFonts w:hint="eastAsia" w:ascii="宋体" w:hAnsi="宋体" w:eastAsia="宋体" w:cs="宋体"/>
          <w:color w:val="auto"/>
          <w:sz w:val="24"/>
          <w:szCs w:val="24"/>
          <w:highlight w:val="none"/>
          <w:lang w:eastAsia="zh-CN"/>
        </w:rPr>
        <w:t>保险项目</w:t>
      </w:r>
    </w:p>
    <w:p w14:paraId="050506D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3.预算金额：</w:t>
      </w:r>
      <w:r>
        <w:rPr>
          <w:rFonts w:hint="eastAsia" w:ascii="宋体" w:hAnsi="宋体" w:eastAsia="宋体" w:cs="宋体"/>
          <w:color w:val="auto"/>
          <w:sz w:val="24"/>
          <w:szCs w:val="24"/>
          <w:highlight w:val="none"/>
          <w:lang w:val="en-US" w:eastAsia="zh-CN"/>
        </w:rPr>
        <w:t>149</w:t>
      </w:r>
      <w:r>
        <w:rPr>
          <w:rFonts w:hint="eastAsia" w:ascii="宋体" w:hAnsi="宋体" w:eastAsia="宋体" w:cs="宋体"/>
          <w:color w:val="auto"/>
          <w:sz w:val="24"/>
          <w:highlight w:val="none"/>
        </w:rPr>
        <w:t>万元</w:t>
      </w:r>
    </w:p>
    <w:p w14:paraId="4C2A01F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4.最高限价：</w:t>
      </w:r>
      <w:r>
        <w:rPr>
          <w:rFonts w:hint="eastAsia" w:ascii="宋体" w:hAnsi="宋体" w:eastAsia="宋体" w:cs="宋体"/>
          <w:color w:val="auto"/>
          <w:sz w:val="24"/>
          <w:szCs w:val="24"/>
          <w:highlight w:val="none"/>
          <w:lang w:val="en-US" w:eastAsia="zh-CN"/>
        </w:rPr>
        <w:t>149</w:t>
      </w:r>
      <w:r>
        <w:rPr>
          <w:rFonts w:hint="eastAsia" w:ascii="宋体" w:hAnsi="宋体" w:eastAsia="宋体" w:cs="宋体"/>
          <w:color w:val="auto"/>
          <w:sz w:val="24"/>
          <w:szCs w:val="24"/>
          <w:highlight w:val="none"/>
        </w:rPr>
        <w:t>万元</w:t>
      </w:r>
    </w:p>
    <w:p w14:paraId="13DE4510">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5.采购需求：泰州市中医院医疗责任</w:t>
      </w:r>
      <w:r>
        <w:rPr>
          <w:rFonts w:hint="eastAsia" w:ascii="宋体" w:hAnsi="宋体" w:eastAsia="宋体" w:cs="宋体"/>
          <w:color w:val="auto"/>
          <w:sz w:val="24"/>
          <w:szCs w:val="24"/>
          <w:highlight w:val="none"/>
          <w:lang w:val="en-US" w:eastAsia="zh-CN"/>
        </w:rPr>
        <w:t>等综合</w:t>
      </w:r>
      <w:r>
        <w:rPr>
          <w:rFonts w:hint="eastAsia" w:ascii="宋体" w:hAnsi="宋体" w:eastAsia="宋体" w:cs="宋体"/>
          <w:color w:val="auto"/>
          <w:sz w:val="24"/>
          <w:szCs w:val="24"/>
          <w:highlight w:val="none"/>
        </w:rPr>
        <w:t>保险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highlight w:val="none"/>
        </w:rPr>
        <w:t>具体要求详见</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w:t>
      </w:r>
      <w:r>
        <w:rPr>
          <w:rFonts w:hint="eastAsia" w:ascii="宋体" w:hAnsi="宋体" w:eastAsia="宋体" w:cs="宋体"/>
          <w:color w:val="auto"/>
          <w:sz w:val="24"/>
          <w:highlight w:val="none"/>
          <w:lang w:eastAsia="zh-CN"/>
        </w:rPr>
        <w:t>。</w:t>
      </w:r>
    </w:p>
    <w:p w14:paraId="5950B80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r>
        <w:rPr>
          <w:rFonts w:hint="eastAsia" w:ascii="宋体" w:hAnsi="宋体" w:eastAsia="宋体" w:cs="宋体"/>
          <w:color w:val="auto"/>
          <w:sz w:val="24"/>
          <w:szCs w:val="24"/>
          <w:highlight w:val="none"/>
          <w:lang w:val="en-US" w:eastAsia="zh-CN"/>
        </w:rPr>
        <w:t>一年</w:t>
      </w:r>
      <w:r>
        <w:rPr>
          <w:rFonts w:hint="eastAsia" w:ascii="宋体" w:hAnsi="宋体" w:eastAsia="宋体" w:cs="宋体"/>
          <w:color w:val="auto"/>
          <w:sz w:val="24"/>
          <w:szCs w:val="24"/>
          <w:highlight w:val="none"/>
        </w:rPr>
        <w:t>。</w:t>
      </w:r>
    </w:p>
    <w:p w14:paraId="3BA3596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16" w:name="_Toc35393791"/>
      <w:bookmarkEnd w:id="16"/>
      <w:bookmarkStart w:id="17" w:name="_Toc28359003"/>
      <w:bookmarkEnd w:id="17"/>
      <w:bookmarkStart w:id="18" w:name="_Toc35393622"/>
      <w:bookmarkEnd w:id="18"/>
      <w:bookmarkStart w:id="19" w:name="_Toc28359080"/>
      <w:bookmarkEnd w:id="19"/>
      <w:bookmarkStart w:id="20" w:name="_Toc38985264"/>
      <w:r>
        <w:rPr>
          <w:rFonts w:hint="eastAsia" w:ascii="宋体" w:hAnsi="宋体" w:eastAsia="宋体" w:cs="宋体"/>
          <w:color w:val="auto"/>
          <w:sz w:val="24"/>
          <w:szCs w:val="24"/>
          <w:highlight w:val="none"/>
        </w:rPr>
        <w:t>本项目（是/否）接受联合体：否。</w:t>
      </w:r>
    </w:p>
    <w:p w14:paraId="7F4EAFBF">
      <w:pPr>
        <w:spacing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w:t>
      </w:r>
      <w:bookmarkEnd w:id="20"/>
      <w:bookmarkStart w:id="21" w:name="_Toc35393623"/>
      <w:bookmarkEnd w:id="21"/>
      <w:bookmarkStart w:id="22" w:name="_Toc28359004"/>
      <w:bookmarkEnd w:id="22"/>
      <w:bookmarkStart w:id="23" w:name="_Toc35393792"/>
      <w:bookmarkEnd w:id="23"/>
      <w:bookmarkStart w:id="24" w:name="_Toc28359081"/>
      <w:bookmarkEnd w:id="24"/>
    </w:p>
    <w:p w14:paraId="0B76D59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（一）满足《中华人民共和国政府采购法》第二十二条规定：</w:t>
      </w:r>
    </w:p>
    <w:p w14:paraId="11F5254D">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1.具有独立承担民事责任的能力</w:t>
      </w:r>
      <w:r>
        <w:rPr>
          <w:rFonts w:hint="eastAsia" w:ascii="宋体" w:hAnsi="宋体" w:eastAsia="宋体" w:cs="宋体"/>
          <w:color w:val="auto"/>
          <w:sz w:val="24"/>
          <w:szCs w:val="24"/>
          <w:highlight w:val="none"/>
          <w:lang w:eastAsia="zh-CN"/>
        </w:rPr>
        <w:t>；</w:t>
      </w:r>
    </w:p>
    <w:p w14:paraId="4CE2EB4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2.具有良好的商业信誉和健全的财务会计制度；</w:t>
      </w:r>
    </w:p>
    <w:p w14:paraId="6941B60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3.具有履行合同所必需的设备和专业技术能力；</w:t>
      </w:r>
    </w:p>
    <w:p w14:paraId="2593BBB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4.有依法缴纳税收和社会保障资金的良好记录；</w:t>
      </w:r>
    </w:p>
    <w:p w14:paraId="19FFA2F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5.参加政府采购活动前三年内在经营活动中没有重大违法记录。</w:t>
      </w:r>
    </w:p>
    <w:p w14:paraId="7073841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本项目属于其他未列明行业，不专门面向中小微企业、监狱企业、残疾人福利性单位，对符合条件的小型和微型企业、残疾人福利单位、监狱企业给予10%的扣除价格，用扣除后的价格参与评审。</w:t>
      </w:r>
    </w:p>
    <w:p w14:paraId="20B282B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（三）本项目的特定资格要求：</w:t>
      </w:r>
    </w:p>
    <w:p w14:paraId="10CEB54E">
      <w:pPr>
        <w:spacing w:line="520" w:lineRule="exact"/>
        <w:ind w:firstLine="480" w:firstLineChars="200"/>
        <w:rPr>
          <w:rFonts w:hint="eastAsia" w:ascii="宋体" w:hAnsi="宋体" w:eastAsia="宋体" w:cs="宋体"/>
          <w:b/>
          <w:bCs/>
          <w:i/>
          <w:iCs/>
          <w:color w:val="auto"/>
          <w:sz w:val="24"/>
          <w:szCs w:val="24"/>
          <w:highlight w:val="none"/>
          <w:u w:val="single"/>
          <w:lang w:eastAsia="zh-CN"/>
        </w:rPr>
      </w:pPr>
      <w:r>
        <w:rPr>
          <w:rFonts w:hint="eastAsia" w:ascii="宋体" w:hAnsi="宋体" w:eastAsia="宋体" w:cs="宋体"/>
          <w:color w:val="auto"/>
          <w:sz w:val="24"/>
          <w:szCs w:val="24"/>
          <w:highlight w:val="none"/>
        </w:rPr>
        <w:t>1.</w:t>
      </w:r>
      <w:r>
        <w:rPr>
          <w:rFonts w:hint="eastAsia" w:ascii="宋体" w:hAnsi="宋体" w:eastAsia="宋体" w:cs="宋体"/>
          <w:b/>
          <w:bCs/>
          <w:i/>
          <w:iCs/>
          <w:color w:val="auto"/>
          <w:sz w:val="24"/>
          <w:szCs w:val="24"/>
          <w:highlight w:val="none"/>
          <w:u w:val="single"/>
        </w:rPr>
        <w:t>供应商须为经保险监管部门批准设立的商业财产保险公司或其分（支）公司，分（支）公司须取得</w:t>
      </w:r>
      <w:r>
        <w:rPr>
          <w:rFonts w:hint="eastAsia" w:ascii="宋体" w:hAnsi="宋体" w:eastAsia="宋体" w:cs="宋体"/>
          <w:b/>
          <w:bCs/>
          <w:i/>
          <w:iCs/>
          <w:color w:val="auto"/>
          <w:sz w:val="24"/>
          <w:szCs w:val="24"/>
          <w:highlight w:val="none"/>
          <w:u w:val="single"/>
          <w:lang w:val="en-US" w:eastAsia="zh-CN"/>
        </w:rPr>
        <w:t>上级公司</w:t>
      </w:r>
      <w:r>
        <w:rPr>
          <w:rFonts w:hint="eastAsia" w:ascii="宋体" w:hAnsi="宋体" w:eastAsia="宋体" w:cs="宋体"/>
          <w:b/>
          <w:bCs/>
          <w:i/>
          <w:iCs/>
          <w:color w:val="auto"/>
          <w:sz w:val="24"/>
          <w:szCs w:val="24"/>
          <w:highlight w:val="none"/>
          <w:u w:val="single"/>
        </w:rPr>
        <w:t>的授权，同一公司只能授权一家分（支）公司参与磋商</w:t>
      </w:r>
      <w:r>
        <w:rPr>
          <w:rFonts w:hint="eastAsia" w:ascii="宋体" w:hAnsi="宋体" w:eastAsia="宋体" w:cs="宋体"/>
          <w:b/>
          <w:bCs/>
          <w:i/>
          <w:iCs/>
          <w:color w:val="auto"/>
          <w:sz w:val="24"/>
          <w:szCs w:val="24"/>
          <w:highlight w:val="none"/>
          <w:u w:val="single"/>
          <w:lang w:eastAsia="zh-CN"/>
        </w:rPr>
        <w:t>；</w:t>
      </w:r>
    </w:p>
    <w:p w14:paraId="043B1362">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.未被“信用中国”网站（www.creditchina.gov.cn）列入失信被执行人、重大税收违法失信主体、政府采购严重违法失信行为记录名单</w:t>
      </w:r>
      <w:r>
        <w:rPr>
          <w:rFonts w:hint="eastAsia" w:ascii="宋体" w:hAnsi="宋体" w:eastAsia="宋体" w:cs="宋体"/>
          <w:color w:val="auto"/>
          <w:sz w:val="24"/>
          <w:szCs w:val="24"/>
          <w:highlight w:val="none"/>
          <w:lang w:eastAsia="zh-CN"/>
        </w:rPr>
        <w:t>；</w:t>
      </w:r>
    </w:p>
    <w:p w14:paraId="3FA6AFD1">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单位负责人为同一人或者存在直接控股、管理关系的不同供应商，不得同时参加本项目的采购活动。为采购项目提供整体设计、规范编制或者项目管理、监理、检测等服务的供应商，不得再参加该项目的其他采购活动。</w:t>
      </w:r>
    </w:p>
    <w:p w14:paraId="21EB8B5A">
      <w:pPr>
        <w:keepNext/>
        <w:keepLines/>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三、获取磋商文件</w:t>
      </w:r>
    </w:p>
    <w:p w14:paraId="2A54C1DF">
      <w:pPr>
        <w:spacing w:line="520" w:lineRule="exact"/>
        <w:ind w:firstLine="480" w:firstLineChars="200"/>
        <w:rPr>
          <w:rFonts w:hint="eastAsia" w:ascii="宋体" w:hAnsi="宋体" w:eastAsia="宋体" w:cs="宋体"/>
          <w:color w:val="auto"/>
          <w:sz w:val="24"/>
          <w:szCs w:val="24"/>
          <w:highlight w:val="none"/>
        </w:rPr>
      </w:pPr>
      <w:bookmarkStart w:id="25" w:name="_Toc28359082"/>
      <w:bookmarkEnd w:id="25"/>
      <w:bookmarkStart w:id="26" w:name="_Toc28359005"/>
      <w:bookmarkEnd w:id="26"/>
      <w:bookmarkStart w:id="27" w:name="_Toc35393793"/>
      <w:bookmarkEnd w:id="27"/>
      <w:bookmarkStart w:id="28" w:name="_Toc35393624"/>
      <w:bookmarkEnd w:id="28"/>
      <w:bookmarkStart w:id="29" w:name="_Toc38985266"/>
      <w:r>
        <w:rPr>
          <w:rFonts w:hint="eastAsia" w:ascii="宋体" w:hAnsi="宋体" w:eastAsia="宋体" w:cs="宋体"/>
          <w:color w:val="auto"/>
          <w:sz w:val="24"/>
          <w:szCs w:val="24"/>
          <w:highlight w:val="none"/>
        </w:rPr>
        <w:t>1.时间：自磋商文件公告发布之日起5个工作日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2026年8月6日0:00至2026年8月13日0:00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bookmarkEnd w:id="29"/>
    </w:p>
    <w:p w14:paraId="300F0B3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w:t>
      </w:r>
    </w:p>
    <w:p w14:paraId="2958A3F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3.方式：供应商完成注册并办理CA证书后在“苏采云”系统下载本项目的采购文件</w:t>
      </w:r>
    </w:p>
    <w:p w14:paraId="69ED02E8">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4.售价：免费</w:t>
      </w:r>
    </w:p>
    <w:p w14:paraId="4FA13D15">
      <w:pPr>
        <w:keepNext/>
        <w:keepLines/>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四、响应文件提交</w:t>
      </w:r>
    </w:p>
    <w:p w14:paraId="5DE22D5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18</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w:t>
      </w:r>
    </w:p>
    <w:p w14:paraId="6355F0D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w:t>
      </w:r>
    </w:p>
    <w:p w14:paraId="694FC0D7">
      <w:pPr>
        <w:keepNext/>
        <w:keepLines/>
        <w:spacing w:line="520" w:lineRule="exact"/>
        <w:ind w:firstLine="482" w:firstLineChars="200"/>
        <w:rPr>
          <w:rFonts w:hint="eastAsia" w:ascii="宋体" w:hAnsi="宋体" w:eastAsia="宋体" w:cs="宋体"/>
          <w:b/>
          <w:bCs/>
          <w:color w:val="auto"/>
          <w:sz w:val="24"/>
          <w:szCs w:val="24"/>
          <w:highlight w:val="none"/>
          <w:lang w:val="en-US" w:eastAsia="zh-CN"/>
        </w:rPr>
      </w:pPr>
      <w:bookmarkStart w:id="30" w:name="_Toc28359007"/>
      <w:bookmarkEnd w:id="30"/>
      <w:bookmarkStart w:id="31" w:name="_Toc28359084"/>
      <w:bookmarkEnd w:id="31"/>
      <w:bookmarkStart w:id="32" w:name="_Toc35393794"/>
      <w:bookmarkEnd w:id="32"/>
      <w:bookmarkStart w:id="33" w:name="_Toc35393625"/>
      <w:bookmarkEnd w:id="33"/>
      <w:bookmarkStart w:id="34" w:name="_Toc38985267"/>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开启</w:t>
      </w:r>
    </w:p>
    <w:p w14:paraId="6748D41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18</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30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rPr>
        <w:t>（北京时间）。</w:t>
      </w:r>
    </w:p>
    <w:p w14:paraId="25A49F3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2.地点：“苏采云”系统（网址：http://jszfcg.jsczt.cn/）“开标大厅”</w:t>
      </w:r>
    </w:p>
    <w:p w14:paraId="08613DE3">
      <w:pPr>
        <w:keepNext/>
        <w:keepLines/>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公告期限</w:t>
      </w:r>
      <w:bookmarkEnd w:id="34"/>
    </w:p>
    <w:p w14:paraId="4CAAAA70">
      <w:pPr>
        <w:spacing w:line="520" w:lineRule="exact"/>
        <w:ind w:firstLine="480" w:firstLineChars="200"/>
        <w:rPr>
          <w:rFonts w:hint="eastAsia" w:ascii="宋体" w:hAnsi="宋体" w:eastAsia="宋体" w:cs="宋体"/>
          <w:color w:val="auto"/>
          <w:sz w:val="24"/>
          <w:szCs w:val="24"/>
          <w:highlight w:val="none"/>
        </w:rPr>
      </w:pPr>
      <w:bookmarkStart w:id="35" w:name="_Toc35393795"/>
      <w:bookmarkEnd w:id="35"/>
      <w:bookmarkStart w:id="36" w:name="_Toc35393626"/>
      <w:bookmarkEnd w:id="36"/>
      <w:bookmarkStart w:id="37" w:name="_Toc38985268"/>
      <w:r>
        <w:rPr>
          <w:rFonts w:hint="eastAsia" w:ascii="宋体" w:hAnsi="宋体" w:eastAsia="宋体" w:cs="宋体"/>
          <w:color w:val="auto"/>
          <w:sz w:val="24"/>
          <w:szCs w:val="24"/>
          <w:highlight w:val="none"/>
        </w:rPr>
        <w:t>自本公告发布之日起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个工作日。</w:t>
      </w:r>
      <w:bookmarkEnd w:id="37"/>
    </w:p>
    <w:p w14:paraId="2D4AD70D">
      <w:pPr>
        <w:keepNext/>
        <w:keepLines/>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、其他补充事宜</w:t>
      </w:r>
    </w:p>
    <w:p w14:paraId="54B9130D">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37B0465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w:t>
      </w:r>
      <w:r>
        <w:rPr>
          <w:rFonts w:hint="eastAsia" w:ascii="宋体" w:hAnsi="宋体" w:eastAsia="宋体" w:cs="宋体"/>
          <w:color w:val="auto"/>
          <w:sz w:val="24"/>
          <w:szCs w:val="24"/>
          <w:highlight w:val="none"/>
          <w:lang w:val="en-US" w:eastAsia="zh-CN"/>
        </w:rPr>
        <w:t>详</w:t>
      </w:r>
      <w:r>
        <w:rPr>
          <w:rFonts w:hint="eastAsia" w:ascii="宋体" w:hAnsi="宋体" w:eastAsia="宋体" w:cs="宋体"/>
          <w:color w:val="auto"/>
          <w:sz w:val="24"/>
          <w:szCs w:val="24"/>
          <w:highlight w:val="none"/>
        </w:rPr>
        <w:t>见《苏采云系统供应商操作手册》（以下简称《操作手册》）、进行注册并按《操作手册》要求制作、上传电子响应文件。</w:t>
      </w:r>
    </w:p>
    <w:p w14:paraId="2D3FA5E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2.有关本次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的事项若存在变动或修改，敬请及时关注江苏建泰工程项目管理有限公司在“江苏政府采购网”发布的更正公告。</w:t>
      </w:r>
    </w:p>
    <w:p w14:paraId="7D90487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3.本次</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 xml:space="preserve">不收取投标保证金。 </w:t>
      </w:r>
    </w:p>
    <w:p w14:paraId="785A2CAF">
      <w:pPr>
        <w:keepNext/>
        <w:keepLines/>
        <w:spacing w:line="520" w:lineRule="exact"/>
        <w:ind w:firstLine="482" w:firstLineChars="200"/>
        <w:rPr>
          <w:rFonts w:hint="eastAsia" w:ascii="宋体" w:hAnsi="宋体" w:eastAsia="宋体" w:cs="宋体"/>
          <w:color w:val="auto"/>
          <w:sz w:val="24"/>
          <w:szCs w:val="24"/>
          <w:highlight w:val="none"/>
        </w:rPr>
      </w:pPr>
      <w:bookmarkStart w:id="38" w:name="_Toc35393627"/>
      <w:bookmarkEnd w:id="38"/>
      <w:bookmarkStart w:id="39" w:name="_Toc28359085"/>
      <w:bookmarkEnd w:id="39"/>
      <w:bookmarkStart w:id="40" w:name="_Toc35393796"/>
      <w:bookmarkEnd w:id="40"/>
      <w:bookmarkStart w:id="41" w:name="_Toc28359008"/>
      <w:bookmarkEnd w:id="41"/>
      <w:bookmarkStart w:id="42" w:name="_Toc38985269"/>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w:t>
      </w:r>
      <w:bookmarkEnd w:id="42"/>
      <w:r>
        <w:rPr>
          <w:rFonts w:hint="eastAsia" w:ascii="宋体" w:hAnsi="宋体" w:eastAsia="宋体" w:cs="宋体"/>
          <w:b/>
          <w:bCs/>
          <w:color w:val="auto"/>
          <w:sz w:val="24"/>
          <w:szCs w:val="24"/>
          <w:highlight w:val="none"/>
        </w:rPr>
        <w:t>凡对本次采购提出询问，请按以下方式联系</w:t>
      </w:r>
    </w:p>
    <w:p w14:paraId="305E85AB">
      <w:pPr>
        <w:widowControl/>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2415517F">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eastAsia="zh-CN"/>
        </w:rPr>
        <w:t>泰州市中医院</w:t>
      </w:r>
    </w:p>
    <w:p w14:paraId="43817A7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泰州市海陵区济川东路86号</w:t>
      </w:r>
    </w:p>
    <w:p w14:paraId="4E0FB22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highlight w:val="none"/>
          <w:u w:val="single"/>
        </w:rPr>
        <w:t>陈先生</w:t>
      </w:r>
    </w:p>
    <w:p w14:paraId="52B28C8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highlight w:val="none"/>
          <w:u w:val="single"/>
        </w:rPr>
        <w:t>0523-86611399</w:t>
      </w:r>
    </w:p>
    <w:p w14:paraId="6BE903E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7748427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江苏建泰工程项目管理有限公司</w:t>
      </w:r>
    </w:p>
    <w:p w14:paraId="69BD674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泰州</w:t>
      </w:r>
      <w:r>
        <w:rPr>
          <w:rFonts w:hint="eastAsia" w:ascii="宋体" w:hAnsi="宋体" w:eastAsia="宋体" w:cs="宋体"/>
          <w:color w:val="auto"/>
          <w:sz w:val="24"/>
          <w:szCs w:val="24"/>
          <w:highlight w:val="none"/>
          <w:u w:val="single"/>
          <w:lang w:val="en-US" w:eastAsia="zh-CN"/>
        </w:rPr>
        <w:t>医药高新</w:t>
      </w:r>
      <w:r>
        <w:rPr>
          <w:rFonts w:hint="eastAsia" w:ascii="宋体" w:hAnsi="宋体" w:eastAsia="宋体" w:cs="宋体"/>
          <w:color w:val="auto"/>
          <w:sz w:val="24"/>
          <w:szCs w:val="24"/>
          <w:highlight w:val="none"/>
          <w:u w:val="single"/>
        </w:rPr>
        <w:t>区华润万象城双子塔东塔52楼</w:t>
      </w:r>
    </w:p>
    <w:p w14:paraId="62325A6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袁</w:t>
      </w:r>
      <w:r>
        <w:rPr>
          <w:rFonts w:hint="eastAsia" w:ascii="宋体" w:hAnsi="宋体" w:eastAsia="宋体" w:cs="宋体"/>
          <w:color w:val="auto"/>
          <w:sz w:val="24"/>
          <w:szCs w:val="24"/>
          <w:highlight w:val="none"/>
          <w:u w:val="single"/>
        </w:rPr>
        <w:t>女士 </w:t>
      </w:r>
    </w:p>
    <w:p w14:paraId="09B9D9B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43" w:name="_Toc28359010"/>
      <w:bookmarkEnd w:id="43"/>
      <w:bookmarkStart w:id="44" w:name="_Toc28359087"/>
      <w:r>
        <w:rPr>
          <w:rFonts w:hint="eastAsia" w:ascii="宋体" w:hAnsi="宋体" w:eastAsia="宋体" w:cs="宋体"/>
          <w:color w:val="auto"/>
          <w:sz w:val="24"/>
          <w:szCs w:val="24"/>
          <w:highlight w:val="none"/>
          <w:u w:val="single"/>
        </w:rPr>
        <w:t xml:space="preserve"> 0523-8</w:t>
      </w:r>
      <w:r>
        <w:rPr>
          <w:rFonts w:hint="eastAsia" w:ascii="宋体" w:hAnsi="宋体" w:eastAsia="宋体" w:cs="宋体"/>
          <w:color w:val="auto"/>
          <w:sz w:val="24"/>
          <w:szCs w:val="24"/>
          <w:highlight w:val="none"/>
          <w:u w:val="single"/>
          <w:lang w:val="en-US" w:eastAsia="zh-CN"/>
        </w:rPr>
        <w:t>1908859</w:t>
      </w:r>
      <w:r>
        <w:rPr>
          <w:rFonts w:hint="eastAsia" w:ascii="宋体" w:hAnsi="宋体" w:eastAsia="宋体" w:cs="宋体"/>
          <w:color w:val="auto"/>
          <w:sz w:val="24"/>
          <w:szCs w:val="24"/>
          <w:highlight w:val="none"/>
          <w:u w:val="single"/>
        </w:rPr>
        <w:t xml:space="preserve"> </w:t>
      </w:r>
      <w:bookmarkEnd w:id="44"/>
    </w:p>
    <w:p w14:paraId="6BCEC466">
      <w:pPr>
        <w:tabs>
          <w:tab w:val="left" w:pos="900"/>
        </w:tabs>
        <w:spacing w:line="520" w:lineRule="exact"/>
        <w:ind w:firstLine="480" w:firstLineChars="200"/>
        <w:rPr>
          <w:rFonts w:hint="eastAsia" w:ascii="宋体" w:hAnsi="宋体" w:eastAsia="宋体" w:cs="宋体"/>
          <w:color w:val="auto"/>
          <w:sz w:val="24"/>
          <w:szCs w:val="24"/>
          <w:highlight w:val="none"/>
        </w:rPr>
      </w:pPr>
    </w:p>
    <w:p w14:paraId="509FD2AD">
      <w:pPr>
        <w:spacing w:line="276" w:lineRule="auto"/>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27F66A2">
      <w:pPr>
        <w:pStyle w:val="19"/>
        <w:ind w:firstLine="240"/>
        <w:rPr>
          <w:rFonts w:hint="eastAsia" w:ascii="宋体" w:hAnsi="宋体" w:eastAsia="宋体" w:cs="宋体"/>
          <w:color w:val="auto"/>
          <w:sz w:val="24"/>
          <w:szCs w:val="24"/>
          <w:highlight w:val="none"/>
          <w:lang w:eastAsia="zh-CN"/>
        </w:rPr>
      </w:pPr>
    </w:p>
    <w:p w14:paraId="51088CF0">
      <w:pPr>
        <w:pStyle w:val="19"/>
        <w:ind w:firstLine="240"/>
        <w:rPr>
          <w:rFonts w:hint="eastAsia" w:ascii="宋体" w:hAnsi="宋体" w:eastAsia="宋体" w:cs="宋体"/>
          <w:color w:val="auto"/>
          <w:sz w:val="24"/>
          <w:szCs w:val="24"/>
          <w:highlight w:val="none"/>
          <w:lang w:eastAsia="zh-CN"/>
        </w:rPr>
      </w:pPr>
    </w:p>
    <w:p w14:paraId="1115D41A">
      <w:pPr>
        <w:pStyle w:val="19"/>
        <w:ind w:firstLine="240"/>
        <w:rPr>
          <w:rFonts w:hint="eastAsia" w:ascii="宋体" w:hAnsi="宋体" w:eastAsia="宋体" w:cs="宋体"/>
          <w:color w:val="auto"/>
          <w:sz w:val="24"/>
          <w:szCs w:val="24"/>
          <w:highlight w:val="none"/>
          <w:lang w:eastAsia="zh-CN"/>
        </w:rPr>
      </w:pPr>
    </w:p>
    <w:p w14:paraId="04D18893">
      <w:pPr>
        <w:pStyle w:val="19"/>
        <w:ind w:firstLine="240"/>
        <w:rPr>
          <w:rFonts w:hint="eastAsia" w:ascii="宋体" w:hAnsi="宋体" w:eastAsia="宋体" w:cs="宋体"/>
          <w:color w:val="auto"/>
          <w:sz w:val="24"/>
          <w:szCs w:val="24"/>
          <w:highlight w:val="none"/>
          <w:lang w:eastAsia="zh-CN"/>
        </w:rPr>
      </w:pPr>
    </w:p>
    <w:p w14:paraId="6EB5EF12">
      <w:pPr>
        <w:pStyle w:val="19"/>
        <w:ind w:firstLine="240"/>
        <w:rPr>
          <w:rFonts w:hint="eastAsia" w:ascii="宋体" w:hAnsi="宋体" w:eastAsia="宋体" w:cs="宋体"/>
          <w:color w:val="auto"/>
          <w:sz w:val="24"/>
          <w:szCs w:val="24"/>
          <w:highlight w:val="none"/>
          <w:lang w:eastAsia="zh-CN"/>
        </w:rPr>
      </w:pPr>
    </w:p>
    <w:p w14:paraId="12F68DAF">
      <w:pPr>
        <w:pStyle w:val="19"/>
        <w:ind w:firstLine="240"/>
        <w:rPr>
          <w:rFonts w:hint="eastAsia" w:ascii="宋体" w:hAnsi="宋体" w:eastAsia="宋体" w:cs="宋体"/>
          <w:color w:val="auto"/>
          <w:sz w:val="24"/>
          <w:szCs w:val="24"/>
          <w:highlight w:val="none"/>
          <w:lang w:eastAsia="zh-CN"/>
        </w:rPr>
      </w:pPr>
    </w:p>
    <w:p w14:paraId="5842E7E1">
      <w:pPr>
        <w:pStyle w:val="19"/>
        <w:ind w:firstLine="240"/>
        <w:rPr>
          <w:rFonts w:hint="eastAsia" w:ascii="宋体" w:hAnsi="宋体" w:eastAsia="宋体" w:cs="宋体"/>
          <w:color w:val="auto"/>
          <w:sz w:val="24"/>
          <w:szCs w:val="24"/>
          <w:highlight w:val="none"/>
          <w:lang w:eastAsia="zh-CN"/>
        </w:rPr>
      </w:pPr>
    </w:p>
    <w:p w14:paraId="43CEF5FC">
      <w:pPr>
        <w:pStyle w:val="207"/>
        <w:ind w:firstLine="0"/>
        <w:jc w:val="center"/>
        <w:outlineLvl w:val="0"/>
        <w:rPr>
          <w:rFonts w:hint="eastAsia" w:ascii="宋体" w:hAnsi="宋体" w:eastAsia="宋体" w:cs="宋体"/>
          <w:color w:val="auto"/>
          <w:sz w:val="44"/>
          <w:szCs w:val="44"/>
          <w:highlight w:val="none"/>
        </w:rPr>
      </w:pPr>
      <w:bookmarkStart w:id="45" w:name="_Toc120614211"/>
      <w:bookmarkStart w:id="46" w:name="_Toc24442"/>
      <w:r>
        <w:rPr>
          <w:rFonts w:hint="eastAsia" w:ascii="宋体" w:hAnsi="宋体" w:eastAsia="宋体" w:cs="宋体"/>
          <w:color w:val="auto"/>
          <w:sz w:val="44"/>
          <w:szCs w:val="44"/>
          <w:highlight w:val="none"/>
        </w:rPr>
        <w:t>第二章 </w:t>
      </w:r>
      <w:bookmarkEnd w:id="45"/>
      <w:r>
        <w:rPr>
          <w:rFonts w:hint="eastAsia" w:ascii="宋体" w:hAnsi="宋体" w:eastAsia="宋体" w:cs="宋体"/>
          <w:color w:val="auto"/>
          <w:sz w:val="44"/>
          <w:szCs w:val="44"/>
          <w:highlight w:val="none"/>
        </w:rPr>
        <w:t>供应商须知</w:t>
      </w:r>
      <w:bookmarkEnd w:id="46"/>
    </w:p>
    <w:p w14:paraId="763D6A48">
      <w:pPr>
        <w:keepNext/>
        <w:keepLines/>
        <w:spacing w:line="520" w:lineRule="exact"/>
        <w:ind w:firstLine="482" w:firstLineChars="200"/>
        <w:rPr>
          <w:rFonts w:hint="eastAsia" w:ascii="宋体" w:hAnsi="宋体" w:eastAsia="宋体" w:cs="宋体"/>
          <w:color w:val="auto"/>
          <w:sz w:val="24"/>
          <w:szCs w:val="24"/>
          <w:highlight w:val="none"/>
        </w:rPr>
      </w:pPr>
      <w:bookmarkStart w:id="47" w:name="_Toc20823275"/>
      <w:bookmarkEnd w:id="47"/>
      <w:bookmarkStart w:id="48" w:name="_Toc513029203"/>
      <w:bookmarkEnd w:id="48"/>
      <w:bookmarkStart w:id="49" w:name="_Toc16938519"/>
      <w:bookmarkEnd w:id="49"/>
      <w:bookmarkStart w:id="50" w:name="_Toc120614214"/>
      <w:r>
        <w:rPr>
          <w:rFonts w:hint="eastAsia" w:ascii="宋体" w:hAnsi="宋体" w:eastAsia="宋体" w:cs="宋体"/>
          <w:b/>
          <w:bCs/>
          <w:color w:val="auto"/>
          <w:sz w:val="24"/>
          <w:szCs w:val="24"/>
          <w:highlight w:val="none"/>
        </w:rPr>
        <w:t>一、总则</w:t>
      </w:r>
      <w:bookmarkEnd w:id="50"/>
    </w:p>
    <w:p w14:paraId="50E5845C">
      <w:pPr>
        <w:keepNext/>
        <w:keepLines/>
        <w:spacing w:line="520" w:lineRule="exact"/>
        <w:ind w:firstLine="480" w:firstLineChars="200"/>
        <w:rPr>
          <w:rFonts w:hint="eastAsia" w:ascii="宋体" w:hAnsi="宋体" w:eastAsia="宋体" w:cs="宋体"/>
          <w:color w:val="auto"/>
          <w:sz w:val="24"/>
          <w:szCs w:val="24"/>
          <w:highlight w:val="none"/>
        </w:rPr>
      </w:pPr>
      <w:bookmarkStart w:id="51" w:name="_Toc16938520"/>
      <w:bookmarkEnd w:id="51"/>
      <w:bookmarkStart w:id="52" w:name="_Toc513029204"/>
      <w:bookmarkEnd w:id="52"/>
      <w:bookmarkStart w:id="53" w:name="_Hlt16619475"/>
      <w:bookmarkEnd w:id="53"/>
      <w:bookmarkStart w:id="54" w:name="_Toc458694821"/>
      <w:bookmarkEnd w:id="54"/>
      <w:bookmarkStart w:id="55" w:name="_Toc20823276"/>
      <w:r>
        <w:rPr>
          <w:rFonts w:hint="eastAsia" w:ascii="宋体" w:hAnsi="宋体" w:eastAsia="宋体" w:cs="宋体"/>
          <w:color w:val="auto"/>
          <w:sz w:val="24"/>
          <w:szCs w:val="24"/>
          <w:highlight w:val="none"/>
        </w:rPr>
        <w:t>1</w:t>
      </w:r>
      <w:bookmarkEnd w:id="55"/>
      <w:r>
        <w:rPr>
          <w:rFonts w:hint="eastAsia" w:ascii="宋体" w:hAnsi="宋体" w:eastAsia="宋体" w:cs="宋体"/>
          <w:color w:val="auto"/>
          <w:sz w:val="24"/>
          <w:szCs w:val="24"/>
          <w:highlight w:val="none"/>
        </w:rPr>
        <w:t>、采购方式</w:t>
      </w:r>
    </w:p>
    <w:p w14:paraId="12E0669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1.1本次政府采购活动采取竞争性磋商（以下简称磋商）方式，本磋商文件仅适用于磋商公告中所述项目。</w:t>
      </w:r>
    </w:p>
    <w:p w14:paraId="63F7AFD2">
      <w:pPr>
        <w:keepNext/>
        <w:keepLines/>
        <w:spacing w:line="520" w:lineRule="exact"/>
        <w:ind w:firstLine="480" w:firstLineChars="200"/>
        <w:rPr>
          <w:rFonts w:hint="eastAsia" w:ascii="宋体" w:hAnsi="宋体" w:eastAsia="宋体" w:cs="宋体"/>
          <w:color w:val="auto"/>
          <w:sz w:val="24"/>
          <w:szCs w:val="24"/>
          <w:highlight w:val="none"/>
        </w:rPr>
      </w:pPr>
      <w:bookmarkStart w:id="56" w:name="_Toc16938521"/>
      <w:bookmarkEnd w:id="56"/>
      <w:bookmarkStart w:id="57" w:name="_Toc513029205"/>
      <w:bookmarkEnd w:id="57"/>
      <w:bookmarkStart w:id="58" w:name="_Toc20823277"/>
      <w:r>
        <w:rPr>
          <w:rFonts w:hint="eastAsia" w:ascii="宋体" w:hAnsi="宋体" w:eastAsia="宋体" w:cs="宋体"/>
          <w:color w:val="auto"/>
          <w:sz w:val="24"/>
          <w:szCs w:val="24"/>
          <w:highlight w:val="none"/>
        </w:rPr>
        <w:t>2、合格的</w:t>
      </w:r>
      <w:bookmarkEnd w:id="58"/>
      <w:r>
        <w:rPr>
          <w:rFonts w:hint="eastAsia" w:ascii="宋体" w:hAnsi="宋体" w:eastAsia="宋体" w:cs="宋体"/>
          <w:color w:val="auto"/>
          <w:sz w:val="24"/>
          <w:szCs w:val="24"/>
          <w:highlight w:val="none"/>
        </w:rPr>
        <w:t>供应商</w:t>
      </w:r>
    </w:p>
    <w:p w14:paraId="4C89C72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2.1满足磋商公告中供应商资格要求的规定。</w:t>
      </w:r>
    </w:p>
    <w:p w14:paraId="2CBC004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2.2满足本磋商文件实质性要求和条件的规定。</w:t>
      </w:r>
    </w:p>
    <w:p w14:paraId="591977CF">
      <w:pPr>
        <w:keepNext/>
        <w:keepLines/>
        <w:spacing w:line="520" w:lineRule="exact"/>
        <w:ind w:firstLine="480" w:firstLineChars="200"/>
        <w:rPr>
          <w:rFonts w:hint="eastAsia" w:ascii="宋体" w:hAnsi="宋体" w:eastAsia="宋体" w:cs="宋体"/>
          <w:color w:val="auto"/>
          <w:sz w:val="24"/>
          <w:szCs w:val="24"/>
          <w:highlight w:val="none"/>
        </w:rPr>
      </w:pPr>
      <w:bookmarkStart w:id="59" w:name="_Toc513029206"/>
      <w:bookmarkEnd w:id="59"/>
      <w:bookmarkStart w:id="60" w:name="_Toc16938522"/>
      <w:bookmarkEnd w:id="60"/>
      <w:bookmarkStart w:id="61" w:name="_Toc20823278"/>
      <w:r>
        <w:rPr>
          <w:rFonts w:hint="eastAsia" w:ascii="宋体" w:hAnsi="宋体" w:eastAsia="宋体" w:cs="宋体"/>
          <w:color w:val="auto"/>
          <w:sz w:val="24"/>
          <w:szCs w:val="24"/>
          <w:highlight w:val="none"/>
        </w:rPr>
        <w:t>3、适用法律</w:t>
      </w:r>
      <w:bookmarkEnd w:id="61"/>
    </w:p>
    <w:p w14:paraId="4680E36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3.1本次磋商及由此产生的合同受中华人民共和国有关的法律法规制约和保护。</w:t>
      </w:r>
    </w:p>
    <w:p w14:paraId="382E0733">
      <w:pPr>
        <w:keepNext/>
        <w:keepLines/>
        <w:spacing w:line="520" w:lineRule="exact"/>
        <w:ind w:firstLine="480" w:firstLineChars="200"/>
        <w:rPr>
          <w:rFonts w:hint="eastAsia" w:ascii="宋体" w:hAnsi="宋体" w:eastAsia="宋体" w:cs="宋体"/>
          <w:color w:val="auto"/>
          <w:sz w:val="24"/>
          <w:szCs w:val="24"/>
          <w:highlight w:val="none"/>
        </w:rPr>
      </w:pPr>
      <w:bookmarkStart w:id="62" w:name="_Toc16938523"/>
      <w:bookmarkEnd w:id="62"/>
      <w:bookmarkStart w:id="63" w:name="_Toc513029207"/>
      <w:bookmarkEnd w:id="63"/>
      <w:bookmarkStart w:id="64" w:name="_Toc462564067"/>
      <w:bookmarkEnd w:id="64"/>
      <w:bookmarkStart w:id="65" w:name="_Toc20823279"/>
      <w:r>
        <w:rPr>
          <w:rFonts w:hint="eastAsia" w:ascii="宋体" w:hAnsi="宋体" w:eastAsia="宋体" w:cs="宋体"/>
          <w:color w:val="auto"/>
          <w:sz w:val="24"/>
          <w:szCs w:val="24"/>
          <w:highlight w:val="none"/>
        </w:rPr>
        <w:t>4、磋商费用</w:t>
      </w:r>
      <w:bookmarkEnd w:id="65"/>
    </w:p>
    <w:p w14:paraId="624E598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4.1供应商应自行承担所有与参加本次磋商有关的费用，无论磋商过程中的做法和结果如何，采购人及采购代理机构在任何情况下均无义务和责任承担这些费用。</w:t>
      </w:r>
    </w:p>
    <w:p w14:paraId="0DFF33E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4.2本次磋商采购，招标代理服务费用</w:t>
      </w:r>
      <w:r>
        <w:rPr>
          <w:rFonts w:hint="eastAsia" w:ascii="宋体" w:hAnsi="宋体" w:eastAsia="宋体" w:cs="宋体"/>
          <w:bCs/>
          <w:color w:val="auto"/>
          <w:kern w:val="0"/>
          <w:sz w:val="24"/>
          <w:szCs w:val="24"/>
          <w:highlight w:val="none"/>
          <w:lang w:val="en-US" w:eastAsia="zh-CN"/>
        </w:rPr>
        <w:t>按照</w:t>
      </w:r>
      <w:r>
        <w:rPr>
          <w:rFonts w:hint="eastAsia" w:ascii="宋体" w:hAnsi="宋体" w:eastAsia="宋体" w:cs="宋体"/>
          <w:color w:val="auto"/>
          <w:sz w:val="24"/>
          <w:highlight w:val="none"/>
        </w:rPr>
        <w:t>发改价格</w:t>
      </w:r>
      <w:r>
        <w:rPr>
          <w:rFonts w:hint="eastAsia" w:ascii="宋体" w:hAnsi="宋体" w:eastAsia="宋体" w:cs="宋体"/>
          <w:bCs/>
          <w:color w:val="auto"/>
          <w:kern w:val="0"/>
          <w:sz w:val="24"/>
          <w:szCs w:val="24"/>
          <w:highlight w:val="none"/>
          <w:lang w:val="en-US" w:eastAsia="zh-CN"/>
        </w:rPr>
        <w:t>[2011]534号文标准的48.5%计取</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支付。</w:t>
      </w:r>
    </w:p>
    <w:p w14:paraId="58FC782E">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379EE6E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5.1供应商一旦参加本项目采购活动，即被认为接受了本磋商文件的规定和约束。</w:t>
      </w:r>
    </w:p>
    <w:p w14:paraId="11BD2B1F">
      <w:pPr>
        <w:keepNext/>
        <w:keepLines/>
        <w:spacing w:line="520" w:lineRule="exact"/>
        <w:ind w:firstLine="482" w:firstLineChars="200"/>
        <w:rPr>
          <w:rFonts w:hint="eastAsia" w:ascii="宋体" w:hAnsi="宋体" w:eastAsia="宋体" w:cs="宋体"/>
          <w:color w:val="auto"/>
          <w:sz w:val="24"/>
          <w:szCs w:val="24"/>
          <w:highlight w:val="none"/>
        </w:rPr>
      </w:pPr>
      <w:bookmarkStart w:id="66" w:name="_Toc16938525"/>
      <w:bookmarkEnd w:id="66"/>
      <w:bookmarkStart w:id="67" w:name="_Toc513029209"/>
      <w:bookmarkEnd w:id="67"/>
      <w:bookmarkStart w:id="68" w:name="_Toc20823281"/>
      <w:bookmarkEnd w:id="68"/>
      <w:bookmarkStart w:id="69" w:name="_Toc120614215"/>
      <w:r>
        <w:rPr>
          <w:rFonts w:hint="eastAsia" w:ascii="宋体" w:hAnsi="宋体" w:eastAsia="宋体" w:cs="宋体"/>
          <w:b/>
          <w:bCs/>
          <w:color w:val="auto"/>
          <w:sz w:val="24"/>
          <w:szCs w:val="24"/>
          <w:highlight w:val="none"/>
        </w:rPr>
        <w:t>二、</w:t>
      </w:r>
      <w:bookmarkEnd w:id="69"/>
      <w:r>
        <w:rPr>
          <w:rFonts w:hint="eastAsia" w:ascii="宋体" w:hAnsi="宋体" w:eastAsia="宋体" w:cs="宋体"/>
          <w:b/>
          <w:bCs/>
          <w:color w:val="auto"/>
          <w:sz w:val="24"/>
          <w:szCs w:val="24"/>
          <w:highlight w:val="none"/>
        </w:rPr>
        <w:t>磋商文件</w:t>
      </w:r>
    </w:p>
    <w:p w14:paraId="5EBD0809">
      <w:pPr>
        <w:keepNext/>
        <w:keepLines/>
        <w:spacing w:line="520" w:lineRule="exact"/>
        <w:ind w:firstLine="480" w:firstLineChars="200"/>
        <w:rPr>
          <w:rFonts w:hint="eastAsia" w:ascii="宋体" w:hAnsi="宋体" w:eastAsia="宋体" w:cs="宋体"/>
          <w:color w:val="auto"/>
          <w:sz w:val="24"/>
          <w:szCs w:val="24"/>
          <w:highlight w:val="none"/>
        </w:rPr>
      </w:pPr>
      <w:bookmarkStart w:id="70" w:name="_Toc16938526"/>
      <w:bookmarkEnd w:id="70"/>
      <w:bookmarkStart w:id="71" w:name="_Toc513029210"/>
      <w:bookmarkEnd w:id="71"/>
      <w:bookmarkStart w:id="72" w:name="_Toc20823282"/>
      <w:r>
        <w:rPr>
          <w:rFonts w:hint="eastAsia" w:ascii="宋体" w:hAnsi="宋体" w:eastAsia="宋体" w:cs="宋体"/>
          <w:color w:val="auto"/>
          <w:sz w:val="24"/>
          <w:szCs w:val="24"/>
          <w:highlight w:val="none"/>
        </w:rPr>
        <w:t>6、磋商文件构成</w:t>
      </w:r>
      <w:bookmarkEnd w:id="72"/>
    </w:p>
    <w:p w14:paraId="00C9B6E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6.1磋商文件由以下部分组成：</w:t>
      </w:r>
    </w:p>
    <w:p w14:paraId="625DF2C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（1）磋商邀请</w:t>
      </w:r>
    </w:p>
    <w:p w14:paraId="4A9619B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（2）供应商须知</w:t>
      </w:r>
    </w:p>
    <w:p w14:paraId="75D3631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77DB2E4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5D537A6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（5）评审方法与评审标准</w:t>
      </w:r>
    </w:p>
    <w:p w14:paraId="4FF811E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（6）响应文件格式</w:t>
      </w:r>
    </w:p>
    <w:p w14:paraId="1C86D87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请仔细检查磋商文件是否齐全，如有缺漏请立即与交易中心联系解决。</w:t>
      </w:r>
    </w:p>
    <w:p w14:paraId="024A256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2B365683">
      <w:pPr>
        <w:keepNext/>
        <w:keepLines/>
        <w:spacing w:line="520" w:lineRule="exact"/>
        <w:ind w:firstLine="480" w:firstLineChars="200"/>
        <w:rPr>
          <w:rFonts w:hint="eastAsia" w:ascii="宋体" w:hAnsi="宋体" w:eastAsia="宋体" w:cs="宋体"/>
          <w:color w:val="auto"/>
          <w:sz w:val="24"/>
          <w:szCs w:val="24"/>
          <w:highlight w:val="none"/>
        </w:rPr>
      </w:pPr>
      <w:bookmarkStart w:id="73" w:name="_Toc513029211"/>
      <w:bookmarkEnd w:id="73"/>
      <w:bookmarkStart w:id="74" w:name="_Toc16938527"/>
      <w:bookmarkEnd w:id="74"/>
      <w:bookmarkStart w:id="75" w:name="_Toc462564070"/>
      <w:bookmarkEnd w:id="75"/>
      <w:bookmarkStart w:id="76" w:name="_Toc20823283"/>
      <w:r>
        <w:rPr>
          <w:rFonts w:hint="eastAsia" w:ascii="宋体" w:hAnsi="宋体" w:eastAsia="宋体" w:cs="宋体"/>
          <w:color w:val="auto"/>
          <w:sz w:val="24"/>
          <w:szCs w:val="24"/>
          <w:highlight w:val="none"/>
        </w:rPr>
        <w:t>7、磋商文件的澄清</w:t>
      </w:r>
      <w:bookmarkEnd w:id="76"/>
    </w:p>
    <w:p w14:paraId="65AEAD9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7.1任何要求对磋商文件进行澄清的供应商，应在磋商截止期5日前按磋商公告中的通讯地址，以书面形式通知采购代理机构。</w:t>
      </w:r>
    </w:p>
    <w:p w14:paraId="393BF165">
      <w:pPr>
        <w:keepNext/>
        <w:keepLines/>
        <w:spacing w:line="520" w:lineRule="exact"/>
        <w:ind w:firstLine="480" w:firstLineChars="200"/>
        <w:rPr>
          <w:rFonts w:hint="eastAsia" w:ascii="宋体" w:hAnsi="宋体" w:eastAsia="宋体" w:cs="宋体"/>
          <w:color w:val="auto"/>
          <w:sz w:val="24"/>
          <w:szCs w:val="24"/>
          <w:highlight w:val="none"/>
        </w:rPr>
      </w:pPr>
      <w:bookmarkStart w:id="77" w:name="_Toc513029212"/>
      <w:bookmarkEnd w:id="77"/>
      <w:bookmarkStart w:id="78" w:name="_Toc16938528"/>
      <w:bookmarkEnd w:id="78"/>
      <w:bookmarkStart w:id="79" w:name="_Toc462564071"/>
      <w:bookmarkEnd w:id="79"/>
      <w:bookmarkStart w:id="80" w:name="_Toc20823284"/>
      <w:r>
        <w:rPr>
          <w:rFonts w:hint="eastAsia" w:ascii="宋体" w:hAnsi="宋体" w:eastAsia="宋体" w:cs="宋体"/>
          <w:color w:val="auto"/>
          <w:sz w:val="24"/>
          <w:szCs w:val="24"/>
          <w:highlight w:val="none"/>
        </w:rPr>
        <w:t>8、磋商文件的澄清和修改</w:t>
      </w:r>
      <w:bookmarkEnd w:id="80"/>
    </w:p>
    <w:p w14:paraId="576709A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p>
    <w:p w14:paraId="02A5B7E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8.2采购代理机构可以视采购项目的具体情况，组织供应商进行现场考察或召开磋商前答疑会，但不单独或分别组织只有一个供应商参加的现场考察和答疑会。</w:t>
      </w:r>
    </w:p>
    <w:p w14:paraId="7DA54DF7">
      <w:pPr>
        <w:keepNext/>
        <w:keepLines/>
        <w:spacing w:line="520" w:lineRule="exact"/>
        <w:ind w:firstLine="482" w:firstLineChars="200"/>
        <w:rPr>
          <w:rFonts w:hint="eastAsia" w:ascii="宋体" w:hAnsi="宋体" w:eastAsia="宋体" w:cs="宋体"/>
          <w:color w:val="auto"/>
          <w:sz w:val="24"/>
          <w:szCs w:val="24"/>
          <w:highlight w:val="none"/>
        </w:rPr>
      </w:pPr>
      <w:bookmarkStart w:id="81" w:name="_Toc16938529"/>
      <w:bookmarkEnd w:id="81"/>
      <w:bookmarkStart w:id="82" w:name="_Toc20823285"/>
      <w:bookmarkEnd w:id="82"/>
      <w:bookmarkStart w:id="83" w:name="_Toc513029213"/>
      <w:bookmarkEnd w:id="83"/>
      <w:bookmarkStart w:id="84" w:name="_Toc462564072"/>
      <w:bookmarkEnd w:id="84"/>
      <w:bookmarkStart w:id="85" w:name="_Toc120614216"/>
      <w:r>
        <w:rPr>
          <w:rFonts w:hint="eastAsia" w:ascii="宋体" w:hAnsi="宋体" w:eastAsia="宋体" w:cs="宋体"/>
          <w:b/>
          <w:bCs/>
          <w:color w:val="auto"/>
          <w:sz w:val="24"/>
          <w:szCs w:val="24"/>
          <w:highlight w:val="none"/>
        </w:rPr>
        <w:t>三、响应文件的编制</w:t>
      </w:r>
      <w:bookmarkEnd w:id="85"/>
    </w:p>
    <w:p w14:paraId="639FC252">
      <w:pPr>
        <w:keepNext/>
        <w:keepLines/>
        <w:spacing w:line="520" w:lineRule="exact"/>
        <w:ind w:firstLine="480" w:firstLineChars="200"/>
        <w:rPr>
          <w:rFonts w:hint="eastAsia" w:ascii="宋体" w:hAnsi="宋体" w:eastAsia="宋体" w:cs="宋体"/>
          <w:color w:val="auto"/>
          <w:sz w:val="24"/>
          <w:szCs w:val="24"/>
          <w:highlight w:val="none"/>
        </w:rPr>
      </w:pPr>
      <w:bookmarkStart w:id="86" w:name="_Toc513029214"/>
      <w:bookmarkEnd w:id="86"/>
      <w:bookmarkStart w:id="87" w:name="_Toc16938530"/>
      <w:bookmarkEnd w:id="87"/>
      <w:bookmarkStart w:id="88" w:name="_Toc462564073"/>
      <w:bookmarkEnd w:id="88"/>
      <w:bookmarkStart w:id="89" w:name="_Toc20823286"/>
      <w:r>
        <w:rPr>
          <w:rFonts w:hint="eastAsia" w:ascii="宋体" w:hAnsi="宋体" w:eastAsia="宋体" w:cs="宋体"/>
          <w:color w:val="auto"/>
          <w:sz w:val="24"/>
          <w:szCs w:val="24"/>
          <w:highlight w:val="none"/>
        </w:rPr>
        <w:t>9、响应文件的语言及度量衡单位</w:t>
      </w:r>
      <w:bookmarkEnd w:id="89"/>
    </w:p>
    <w:p w14:paraId="1A1DCA3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简体中文</w:t>
      </w:r>
      <w:r>
        <w:rPr>
          <w:rFonts w:hint="eastAsia" w:ascii="宋体" w:hAnsi="宋体" w:eastAsia="宋体" w:cs="宋体"/>
          <w:color w:val="auto"/>
          <w:sz w:val="24"/>
          <w:szCs w:val="24"/>
          <w:highlight w:val="none"/>
        </w:rPr>
        <w:t>。</w:t>
      </w:r>
    </w:p>
    <w:p w14:paraId="680C303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9.2除技术性能另有规定外，响应文件所使用的度量衡单位，均须采用国家法定计量单位。</w:t>
      </w:r>
    </w:p>
    <w:p w14:paraId="09E179DA">
      <w:pPr>
        <w:keepNext/>
        <w:keepLines/>
        <w:spacing w:line="520" w:lineRule="exact"/>
        <w:ind w:firstLine="480" w:firstLineChars="200"/>
        <w:rPr>
          <w:rFonts w:hint="eastAsia" w:ascii="宋体" w:hAnsi="宋体" w:eastAsia="宋体" w:cs="宋体"/>
          <w:color w:val="auto"/>
          <w:sz w:val="24"/>
          <w:szCs w:val="24"/>
          <w:highlight w:val="none"/>
        </w:rPr>
      </w:pPr>
      <w:bookmarkStart w:id="90" w:name="_Toc462564074"/>
      <w:bookmarkEnd w:id="90"/>
      <w:bookmarkStart w:id="91" w:name="_Toc513029215"/>
      <w:bookmarkEnd w:id="91"/>
      <w:bookmarkStart w:id="92" w:name="_Toc16938531"/>
      <w:bookmarkEnd w:id="92"/>
      <w:bookmarkStart w:id="93" w:name="_Toc20823287"/>
      <w:r>
        <w:rPr>
          <w:rFonts w:hint="eastAsia" w:ascii="宋体" w:hAnsi="宋体" w:eastAsia="宋体" w:cs="宋体"/>
          <w:color w:val="auto"/>
          <w:sz w:val="24"/>
          <w:szCs w:val="24"/>
          <w:highlight w:val="none"/>
        </w:rPr>
        <w:t>10、响应文件构成</w:t>
      </w:r>
      <w:bookmarkEnd w:id="93"/>
    </w:p>
    <w:p w14:paraId="29626FF5">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10.1</w:t>
      </w:r>
      <w:r>
        <w:rPr>
          <w:rFonts w:hint="eastAsia" w:ascii="宋体" w:hAnsi="宋体" w:eastAsia="宋体" w:cs="宋体"/>
          <w:bCs/>
          <w:color w:val="auto"/>
          <w:sz w:val="24"/>
          <w:szCs w:val="24"/>
          <w:highlight w:val="none"/>
        </w:rPr>
        <w:t>响应文件的组成</w:t>
      </w:r>
      <w:r>
        <w:rPr>
          <w:rFonts w:hint="eastAsia" w:ascii="宋体" w:hAnsi="宋体" w:eastAsia="宋体" w:cs="宋体"/>
          <w:bCs/>
          <w:color w:val="auto"/>
          <w:sz w:val="24"/>
          <w:szCs w:val="24"/>
          <w:highlight w:val="none"/>
          <w:lang w:eastAsia="zh-CN"/>
        </w:rPr>
        <w:t>：</w:t>
      </w:r>
    </w:p>
    <w:p w14:paraId="40970E58">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（1）法人或者其他组织的营业执照等证明文件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自然人的身份证明</w:t>
      </w:r>
      <w:r>
        <w:rPr>
          <w:rFonts w:hint="eastAsia" w:ascii="宋体" w:hAnsi="宋体" w:eastAsia="宋体" w:cs="宋体"/>
          <w:color w:val="auto"/>
          <w:sz w:val="24"/>
          <w:szCs w:val="24"/>
          <w:highlight w:val="none"/>
          <w:lang w:eastAsia="zh-CN"/>
        </w:rPr>
        <w:t>；</w:t>
      </w:r>
    </w:p>
    <w:p w14:paraId="58B4344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（2）供应商近</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p>
    <w:p w14:paraId="13F40722">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（3）依法缴纳税收和社会保障资金的相关材料（提供提交磋商响应文件截止时间前</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个月中任意一个月份（不含磋商响应文件递交当月）依法缴纳税收及缴纳社会保障资金的证明材料。磋商供应商依法享受缓缴、免缴税收、社会保障资金的提供证明材料</w:t>
      </w:r>
      <w:r>
        <w:rPr>
          <w:rFonts w:hint="eastAsia" w:ascii="宋体" w:hAnsi="宋体" w:eastAsia="宋体" w:cs="宋体"/>
          <w:color w:val="auto"/>
          <w:sz w:val="24"/>
          <w:szCs w:val="24"/>
          <w:highlight w:val="none"/>
          <w:lang w:eastAsia="zh-CN"/>
        </w:rPr>
        <w:t>；</w:t>
      </w:r>
    </w:p>
    <w:p w14:paraId="59796488">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（4）具备履行合同所必需的设备和专业技术能力的书面声明（格式自拟）</w:t>
      </w:r>
      <w:r>
        <w:rPr>
          <w:rFonts w:hint="eastAsia" w:ascii="宋体" w:hAnsi="宋体" w:eastAsia="宋体" w:cs="宋体"/>
          <w:color w:val="auto"/>
          <w:sz w:val="24"/>
          <w:szCs w:val="24"/>
          <w:highlight w:val="none"/>
          <w:lang w:eastAsia="zh-CN"/>
        </w:rPr>
        <w:t>；</w:t>
      </w:r>
    </w:p>
    <w:p w14:paraId="29755744">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（5）参加政府采购活动前3年内在经营活动中没有重大违法记录的书面声明</w:t>
      </w:r>
      <w:r>
        <w:rPr>
          <w:rFonts w:hint="eastAsia" w:ascii="宋体" w:hAnsi="宋体" w:eastAsia="宋体" w:cs="宋体"/>
          <w:color w:val="auto"/>
          <w:sz w:val="24"/>
          <w:szCs w:val="24"/>
          <w:highlight w:val="none"/>
          <w:lang w:eastAsia="zh-CN"/>
        </w:rPr>
        <w:t>；</w:t>
      </w:r>
    </w:p>
    <w:p w14:paraId="17F64570">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（6）特定资格要求的证明文件（如果本项目设置特定资格要求，则需要提供）</w:t>
      </w:r>
      <w:r>
        <w:rPr>
          <w:rFonts w:hint="eastAsia" w:ascii="宋体" w:hAnsi="宋体" w:eastAsia="宋体" w:cs="宋体"/>
          <w:color w:val="auto"/>
          <w:sz w:val="24"/>
          <w:szCs w:val="24"/>
          <w:highlight w:val="none"/>
          <w:lang w:eastAsia="zh-CN"/>
        </w:rPr>
        <w:t>；</w:t>
      </w:r>
    </w:p>
    <w:p w14:paraId="62F25880">
      <w:pPr>
        <w:spacing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）中小企业声明函</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残疾人福利性单位声明函</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监狱企业证明文件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62B9E7A">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）法人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授权书</w:t>
      </w:r>
      <w:r>
        <w:rPr>
          <w:rFonts w:hint="eastAsia" w:ascii="宋体" w:hAnsi="宋体" w:eastAsia="宋体" w:cs="宋体"/>
          <w:color w:val="auto"/>
          <w:sz w:val="24"/>
          <w:szCs w:val="24"/>
          <w:highlight w:val="none"/>
          <w:lang w:eastAsia="zh-CN"/>
        </w:rPr>
        <w:t>；</w:t>
      </w:r>
    </w:p>
    <w:p w14:paraId="6133F5D0">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）磋商响应函、开标一览表</w:t>
      </w:r>
      <w:r>
        <w:rPr>
          <w:rFonts w:hint="eastAsia" w:ascii="宋体" w:hAnsi="宋体" w:eastAsia="宋体" w:cs="宋体"/>
          <w:color w:val="auto"/>
          <w:sz w:val="24"/>
          <w:szCs w:val="24"/>
          <w:highlight w:val="none"/>
          <w:lang w:eastAsia="zh-CN"/>
        </w:rPr>
        <w:t>；</w:t>
      </w:r>
    </w:p>
    <w:p w14:paraId="3F11DBAA">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）分项报价表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eastAsia="zh-CN"/>
        </w:rPr>
        <w:t>）；</w:t>
      </w:r>
    </w:p>
    <w:p w14:paraId="647D3AF9">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）拟投入本项目的服务人员一览表</w:t>
      </w:r>
      <w:r>
        <w:rPr>
          <w:rFonts w:hint="eastAsia" w:ascii="宋体" w:hAnsi="宋体" w:eastAsia="宋体" w:cs="宋体"/>
          <w:color w:val="auto"/>
          <w:sz w:val="24"/>
          <w:szCs w:val="24"/>
          <w:highlight w:val="none"/>
          <w:lang w:eastAsia="zh-CN"/>
        </w:rPr>
        <w:t>；</w:t>
      </w:r>
    </w:p>
    <w:p w14:paraId="208FB8A0">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）技术要求响应及偏离表</w:t>
      </w:r>
      <w:r>
        <w:rPr>
          <w:rFonts w:hint="eastAsia" w:ascii="宋体" w:hAnsi="宋体" w:eastAsia="宋体" w:cs="宋体"/>
          <w:color w:val="auto"/>
          <w:sz w:val="24"/>
          <w:szCs w:val="24"/>
          <w:highlight w:val="none"/>
          <w:lang w:eastAsia="zh-CN"/>
        </w:rPr>
        <w:t>；</w:t>
      </w:r>
    </w:p>
    <w:p w14:paraId="5F6282B9">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）商务要求响应及偏离表</w:t>
      </w:r>
      <w:r>
        <w:rPr>
          <w:rFonts w:hint="eastAsia" w:ascii="宋体" w:hAnsi="宋体" w:eastAsia="宋体" w:cs="宋体"/>
          <w:color w:val="auto"/>
          <w:sz w:val="24"/>
          <w:szCs w:val="24"/>
          <w:highlight w:val="none"/>
          <w:lang w:eastAsia="zh-CN"/>
        </w:rPr>
        <w:t>；</w:t>
      </w:r>
    </w:p>
    <w:p w14:paraId="1768B01E">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）承诺书</w:t>
      </w:r>
      <w:r>
        <w:rPr>
          <w:rFonts w:hint="eastAsia" w:ascii="宋体" w:hAnsi="宋体" w:eastAsia="宋体" w:cs="宋体"/>
          <w:color w:val="auto"/>
          <w:sz w:val="24"/>
          <w:szCs w:val="24"/>
          <w:highlight w:val="none"/>
          <w:lang w:eastAsia="zh-CN"/>
        </w:rPr>
        <w:t>；</w:t>
      </w:r>
    </w:p>
    <w:p w14:paraId="0B17CFB5">
      <w:pPr>
        <w:spacing w:line="52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其它（</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认为有必要提供的声明和文件，如有自拟并自行添加）</w:t>
      </w:r>
      <w:r>
        <w:rPr>
          <w:rFonts w:hint="eastAsia" w:ascii="宋体" w:hAnsi="宋体" w:eastAsia="宋体" w:cs="宋体"/>
          <w:color w:val="auto"/>
          <w:sz w:val="24"/>
          <w:szCs w:val="24"/>
          <w:highlight w:val="none"/>
          <w:lang w:eastAsia="zh-CN"/>
        </w:rPr>
        <w:t>。</w:t>
      </w:r>
    </w:p>
    <w:p w14:paraId="2A35BBD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如标书制作工具中的格式和内容与“江苏政府采购网”发布的磋商文件不一致，请以“江苏政府采购网”发布的磋商文件为准。</w:t>
      </w:r>
    </w:p>
    <w:p w14:paraId="0A7D850C">
      <w:pPr>
        <w:keepNext/>
        <w:keepLines/>
        <w:spacing w:line="520" w:lineRule="exact"/>
        <w:ind w:firstLine="480" w:firstLineChars="200"/>
        <w:rPr>
          <w:rFonts w:hint="eastAsia" w:ascii="宋体" w:hAnsi="宋体" w:eastAsia="宋体" w:cs="宋体"/>
          <w:color w:val="auto"/>
          <w:sz w:val="24"/>
          <w:szCs w:val="24"/>
          <w:highlight w:val="none"/>
        </w:rPr>
      </w:pPr>
      <w:bookmarkStart w:id="94" w:name="_Toc14577355"/>
      <w:bookmarkEnd w:id="94"/>
      <w:bookmarkStart w:id="95" w:name="_Hlt26668975"/>
      <w:bookmarkEnd w:id="95"/>
      <w:bookmarkStart w:id="96" w:name="_Hlt26670360"/>
      <w:bookmarkEnd w:id="96"/>
      <w:bookmarkStart w:id="97" w:name="_Toc513029219"/>
      <w:bookmarkEnd w:id="97"/>
      <w:bookmarkStart w:id="98" w:name="_Toc513029216"/>
      <w:bookmarkEnd w:id="98"/>
      <w:bookmarkStart w:id="99" w:name="_Toc14577357"/>
      <w:bookmarkEnd w:id="99"/>
      <w:bookmarkStart w:id="100" w:name="_Toc14577354"/>
      <w:bookmarkEnd w:id="100"/>
      <w:bookmarkStart w:id="101" w:name="_Hlt26954838"/>
      <w:bookmarkEnd w:id="101"/>
      <w:bookmarkStart w:id="102" w:name="_Toc49090508"/>
      <w:bookmarkEnd w:id="102"/>
      <w:bookmarkStart w:id="103" w:name="_Toc49090509"/>
      <w:bookmarkEnd w:id="103"/>
      <w:bookmarkStart w:id="104" w:name="_Toc49090507"/>
      <w:r>
        <w:rPr>
          <w:rFonts w:hint="eastAsia" w:ascii="宋体" w:hAnsi="宋体" w:eastAsia="宋体" w:cs="宋体"/>
          <w:color w:val="auto"/>
          <w:sz w:val="24"/>
          <w:szCs w:val="24"/>
          <w:highlight w:val="none"/>
        </w:rPr>
        <w:t>11、证明磋商响应标的符合磋商文件规定的文件</w:t>
      </w:r>
      <w:bookmarkEnd w:id="104"/>
    </w:p>
    <w:p w14:paraId="6301461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11.1供应商应按照磋商文件要求提交证明文件，证明其及磋商响应标的符合磋商文件规定。</w:t>
      </w:r>
    </w:p>
    <w:p w14:paraId="4D745A5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11.2磋商文件对证明文件无明确形式要求的，证明文件可以以文字资料、图纸和数据等形式提交。</w:t>
      </w:r>
    </w:p>
    <w:p w14:paraId="05744394">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12、分项报价表</w:t>
      </w:r>
    </w:p>
    <w:p w14:paraId="3414818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12.1供应商应按照磋商文件规定格式填报分项报价表。</w:t>
      </w:r>
    </w:p>
    <w:p w14:paraId="5E8B39E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12.2磋商货币。响应文件中的单价和总价无特殊规定的采用人民币报价，以元为单位标注。磋商文件中另有规定的按规定执行。</w:t>
      </w:r>
    </w:p>
    <w:p w14:paraId="6C6A3AE2">
      <w:pPr>
        <w:keepNext/>
        <w:keepLines/>
        <w:spacing w:line="520" w:lineRule="exact"/>
        <w:ind w:firstLine="480" w:firstLineChars="200"/>
        <w:rPr>
          <w:rFonts w:hint="eastAsia" w:ascii="宋体" w:hAnsi="宋体" w:eastAsia="宋体" w:cs="宋体"/>
          <w:color w:val="auto"/>
          <w:sz w:val="24"/>
          <w:szCs w:val="24"/>
          <w:highlight w:val="none"/>
        </w:rPr>
      </w:pPr>
      <w:bookmarkStart w:id="105" w:name="_Hlt26670486"/>
      <w:bookmarkEnd w:id="105"/>
      <w:bookmarkStart w:id="106" w:name="_Hlt26954731"/>
      <w:bookmarkEnd w:id="106"/>
      <w:bookmarkStart w:id="107" w:name="_Hlt26670482"/>
      <w:bookmarkEnd w:id="107"/>
      <w:bookmarkStart w:id="108" w:name="_Hlt26954846"/>
      <w:bookmarkEnd w:id="108"/>
      <w:bookmarkStart w:id="109" w:name="_Hlt26954848"/>
      <w:r>
        <w:rPr>
          <w:rFonts w:hint="eastAsia" w:ascii="宋体" w:hAnsi="宋体" w:eastAsia="宋体" w:cs="宋体"/>
          <w:color w:val="auto"/>
          <w:sz w:val="24"/>
          <w:szCs w:val="24"/>
          <w:highlight w:val="none"/>
        </w:rPr>
        <w:t>13、技术要求响应及偏离表、商务要求响应及偏离表</w:t>
      </w:r>
    </w:p>
    <w:p w14:paraId="07D83A4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13.1供应商需对磋商文件中的技术要求与商务要求逐项作出响应或偏离，并说明原因。</w:t>
      </w:r>
    </w:p>
    <w:p w14:paraId="587AC9A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13.2供应商可在响应文件中提供认为需要的其他技术文件或说明。</w:t>
      </w:r>
    </w:p>
    <w:p w14:paraId="77C8EDB5">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14、服务承诺、培训计划、人员安排及其他</w:t>
      </w:r>
    </w:p>
    <w:p w14:paraId="1C81A42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14.1供应商需根据磋商文件要求提供有关售后服务的管理制度，售后服务机构的分布情况，售后服务人员的数量、素质、技术水平及售后服务的反应能力等。</w:t>
      </w:r>
    </w:p>
    <w:p w14:paraId="43EFF18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14.2供应商需根据磋商文件要求提供培训计划。</w:t>
      </w:r>
    </w:p>
    <w:p w14:paraId="2E50DBD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14.3供应商需根据磋商文件要求提供磋商响应标的的主要组成部分、功能设计、实现思路及关键技术等。</w:t>
      </w:r>
    </w:p>
    <w:bookmarkEnd w:id="109"/>
    <w:p w14:paraId="2989E304">
      <w:pPr>
        <w:keepNext/>
        <w:keepLines/>
        <w:spacing w:line="520" w:lineRule="exact"/>
        <w:ind w:firstLine="480" w:firstLineChars="200"/>
        <w:rPr>
          <w:rFonts w:hint="eastAsia" w:ascii="宋体" w:hAnsi="宋体" w:eastAsia="宋体" w:cs="宋体"/>
          <w:color w:val="auto"/>
          <w:sz w:val="24"/>
          <w:szCs w:val="24"/>
          <w:highlight w:val="none"/>
        </w:rPr>
      </w:pPr>
      <w:bookmarkStart w:id="110" w:name="_Toc14577359"/>
      <w:bookmarkEnd w:id="110"/>
      <w:bookmarkStart w:id="111" w:name="_Toc49090510"/>
      <w:r>
        <w:rPr>
          <w:rFonts w:hint="eastAsia" w:ascii="宋体" w:hAnsi="宋体" w:eastAsia="宋体" w:cs="宋体"/>
          <w:color w:val="auto"/>
          <w:sz w:val="24"/>
          <w:szCs w:val="24"/>
          <w:highlight w:val="none"/>
        </w:rPr>
        <w:t>15、磋商响应函</w:t>
      </w:r>
      <w:bookmarkEnd w:id="111"/>
    </w:p>
    <w:p w14:paraId="5C2CFA3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15.1供应商应按照磋商文件中提供的格式完整、正确填写磋商响应函。</w:t>
      </w:r>
    </w:p>
    <w:p w14:paraId="74F3E87B">
      <w:pPr>
        <w:keepNext/>
        <w:keepLines/>
        <w:spacing w:line="520" w:lineRule="exact"/>
        <w:ind w:firstLine="480" w:firstLineChars="200"/>
        <w:rPr>
          <w:rFonts w:hint="eastAsia" w:ascii="宋体" w:hAnsi="宋体" w:eastAsia="宋体" w:cs="宋体"/>
          <w:color w:val="auto"/>
          <w:sz w:val="24"/>
          <w:szCs w:val="24"/>
          <w:highlight w:val="none"/>
        </w:rPr>
      </w:pPr>
      <w:bookmarkStart w:id="112" w:name="_Toc14577360"/>
      <w:bookmarkEnd w:id="112"/>
      <w:bookmarkStart w:id="113" w:name="_Toc49090511"/>
      <w:r>
        <w:rPr>
          <w:rFonts w:hint="eastAsia" w:ascii="宋体" w:hAnsi="宋体" w:eastAsia="宋体" w:cs="宋体"/>
          <w:color w:val="auto"/>
          <w:sz w:val="24"/>
          <w:szCs w:val="24"/>
          <w:highlight w:val="none"/>
        </w:rPr>
        <w:t>16、磋商有效期</w:t>
      </w:r>
      <w:bookmarkEnd w:id="113"/>
    </w:p>
    <w:p w14:paraId="137E2D7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16.1磋商有效期为提交响应文件截止之日后</w:t>
      </w:r>
      <w:r>
        <w:rPr>
          <w:rFonts w:hint="eastAsia" w:ascii="宋体" w:hAnsi="宋体" w:eastAsia="宋体" w:cs="宋体"/>
          <w:b/>
          <w:bCs/>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660F911C">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17、磋商有效期的延长</w:t>
      </w:r>
    </w:p>
    <w:p w14:paraId="3E3B72F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114" w:name="_Toc20823296"/>
      <w:bookmarkEnd w:id="114"/>
      <w:bookmarkStart w:id="115" w:name="_Hlt26954852"/>
      <w:bookmarkEnd w:id="115"/>
      <w:bookmarkStart w:id="116" w:name="_Hlt26954739"/>
      <w:bookmarkEnd w:id="116"/>
      <w:bookmarkStart w:id="117" w:name="_Toc16938540"/>
      <w:bookmarkEnd w:id="117"/>
      <w:bookmarkStart w:id="118" w:name="_Toc513029224"/>
      <w:bookmarkEnd w:id="118"/>
      <w:bookmarkStart w:id="119" w:name="_Toc120614217"/>
    </w:p>
    <w:p w14:paraId="1957FB4A">
      <w:pPr>
        <w:spacing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四、响应文件的递交</w:t>
      </w:r>
      <w:bookmarkEnd w:id="119"/>
      <w:bookmarkStart w:id="120" w:name="_Toc513029225"/>
      <w:bookmarkEnd w:id="120"/>
      <w:bookmarkStart w:id="121" w:name="_Toc462564084"/>
      <w:bookmarkEnd w:id="121"/>
      <w:bookmarkStart w:id="122" w:name="_Toc16938541"/>
      <w:bookmarkEnd w:id="122"/>
      <w:bookmarkStart w:id="123" w:name="_Toc20823297"/>
    </w:p>
    <w:p w14:paraId="3830B37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18、电子磋商</w:t>
      </w:r>
      <w:bookmarkEnd w:id="123"/>
      <w:r>
        <w:rPr>
          <w:rFonts w:hint="eastAsia" w:ascii="宋体" w:hAnsi="宋体" w:eastAsia="宋体" w:cs="宋体"/>
          <w:color w:val="auto"/>
          <w:sz w:val="24"/>
          <w:szCs w:val="24"/>
          <w:highlight w:val="none"/>
        </w:rPr>
        <w:t>响应文件的递交</w:t>
      </w:r>
    </w:p>
    <w:p w14:paraId="6775192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18.1供应商应当按照《操作手册》规定，在提交响应文件截止时间前制作并上传电子响应文件。</w:t>
      </w:r>
      <w:bookmarkStart w:id="124" w:name="_Toc513029226"/>
      <w:bookmarkEnd w:id="124"/>
      <w:bookmarkStart w:id="125" w:name="_Toc16938542"/>
      <w:bookmarkEnd w:id="125"/>
      <w:bookmarkStart w:id="126" w:name="_Toc20823298"/>
      <w:bookmarkEnd w:id="126"/>
    </w:p>
    <w:p w14:paraId="67C3B099">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19、提交响应文件截止时间</w:t>
      </w:r>
    </w:p>
    <w:p w14:paraId="5C8E55B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sz w:val="24"/>
          <w:szCs w:val="24"/>
          <w:highlight w:val="none"/>
          <w:u w:val="single"/>
        </w:rPr>
        <w:t>供应商上传电子响应文件的时间不得迟于磋商公告中规定的提交响应文件截止时间。</w:t>
      </w:r>
    </w:p>
    <w:p w14:paraId="12590C8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供应商应充分考虑到网络环境、网络带宽等风险因素，如因供应商自身原因造成的电子响应文件上传不成功的按照本磋商文件第二章第26.3.2条规定作无效响应处理。</w:t>
      </w:r>
    </w:p>
    <w:p w14:paraId="37DBF20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19.2采购代理机构可以按照规定，通过修改磋商文件酌情延长提交响应文件截止日期，在此情况下，供应商的所有权利和义务以及供应商受制的截止日期均应以延长后新的截止日期为准。</w:t>
      </w:r>
    </w:p>
    <w:p w14:paraId="27F09D10">
      <w:pPr>
        <w:keepNext/>
        <w:keepLines/>
        <w:spacing w:line="520" w:lineRule="exact"/>
        <w:ind w:firstLine="480" w:firstLineChars="200"/>
        <w:rPr>
          <w:rFonts w:hint="eastAsia" w:ascii="宋体" w:hAnsi="宋体" w:eastAsia="宋体" w:cs="宋体"/>
          <w:color w:val="auto"/>
          <w:sz w:val="24"/>
          <w:szCs w:val="24"/>
          <w:highlight w:val="none"/>
        </w:rPr>
      </w:pPr>
      <w:bookmarkStart w:id="127" w:name="_Toc16938543"/>
      <w:bookmarkEnd w:id="127"/>
      <w:bookmarkStart w:id="128" w:name="_Toc513029227"/>
      <w:bookmarkEnd w:id="128"/>
      <w:bookmarkStart w:id="129" w:name="_Toc20823299"/>
      <w:r>
        <w:rPr>
          <w:rFonts w:hint="eastAsia" w:ascii="宋体" w:hAnsi="宋体" w:eastAsia="宋体" w:cs="宋体"/>
          <w:color w:val="auto"/>
          <w:sz w:val="24"/>
          <w:szCs w:val="24"/>
          <w:highlight w:val="none"/>
        </w:rPr>
        <w:t>20、响应文件</w:t>
      </w:r>
      <w:bookmarkEnd w:id="129"/>
      <w:r>
        <w:rPr>
          <w:rFonts w:hint="eastAsia" w:ascii="宋体" w:hAnsi="宋体" w:eastAsia="宋体" w:cs="宋体"/>
          <w:color w:val="auto"/>
          <w:sz w:val="24"/>
          <w:szCs w:val="24"/>
          <w:highlight w:val="none"/>
        </w:rPr>
        <w:t>的拒收</w:t>
      </w:r>
    </w:p>
    <w:p w14:paraId="07A4552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20.1采购代理机构拒绝接收在其规定的提交响应文件截止时间后上传的任何电子响应文件。</w:t>
      </w:r>
    </w:p>
    <w:p w14:paraId="0481B39E">
      <w:pPr>
        <w:keepNext/>
        <w:keepLines/>
        <w:spacing w:line="520" w:lineRule="exact"/>
        <w:ind w:firstLine="480" w:firstLineChars="200"/>
        <w:rPr>
          <w:rFonts w:hint="eastAsia" w:ascii="宋体" w:hAnsi="宋体" w:eastAsia="宋体" w:cs="宋体"/>
          <w:color w:val="auto"/>
          <w:sz w:val="24"/>
          <w:szCs w:val="24"/>
          <w:highlight w:val="none"/>
        </w:rPr>
      </w:pPr>
      <w:bookmarkStart w:id="130" w:name="_Toc513029228"/>
      <w:bookmarkEnd w:id="130"/>
      <w:bookmarkStart w:id="131" w:name="_Toc16938544"/>
      <w:bookmarkEnd w:id="131"/>
      <w:bookmarkStart w:id="132" w:name="_Toc20823300"/>
      <w:r>
        <w:rPr>
          <w:rFonts w:hint="eastAsia" w:ascii="宋体" w:hAnsi="宋体" w:eastAsia="宋体" w:cs="宋体"/>
          <w:color w:val="auto"/>
          <w:sz w:val="24"/>
          <w:szCs w:val="24"/>
          <w:highlight w:val="none"/>
        </w:rPr>
        <w:t>21、响应文件的撤回和修改</w:t>
      </w:r>
      <w:bookmarkEnd w:id="132"/>
    </w:p>
    <w:p w14:paraId="6F8F694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21.1响应文件的撤回</w:t>
      </w:r>
    </w:p>
    <w:p w14:paraId="40DF469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21.1.1电子响应文件的撤回</w:t>
      </w:r>
    </w:p>
    <w:p w14:paraId="64250AA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供应商可在提交响应文件截止时间前，撤回其电子响应文件，具体操作方法见《操作手册》。</w:t>
      </w:r>
    </w:p>
    <w:p w14:paraId="52A923B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21.1.2供应商撤回电子响应文件，则</w:t>
      </w:r>
      <w:r>
        <w:rPr>
          <w:rFonts w:hint="eastAsia" w:ascii="宋体" w:hAnsi="宋体" w:eastAsia="宋体" w:cs="宋体"/>
          <w:color w:val="auto"/>
          <w:sz w:val="24"/>
          <w:szCs w:val="24"/>
          <w:highlight w:val="none"/>
          <w:lang w:val="en-US" w:eastAsia="zh-CN"/>
        </w:rPr>
        <w:t>视</w:t>
      </w:r>
      <w:r>
        <w:rPr>
          <w:rFonts w:hint="eastAsia" w:ascii="宋体" w:hAnsi="宋体" w:eastAsia="宋体" w:cs="宋体"/>
          <w:color w:val="auto"/>
          <w:sz w:val="24"/>
          <w:szCs w:val="24"/>
          <w:highlight w:val="none"/>
        </w:rPr>
        <w:t>为其不再参与本项目磋商活动。</w:t>
      </w:r>
    </w:p>
    <w:p w14:paraId="7C9FC6D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21.2响应文件的修改</w:t>
      </w:r>
    </w:p>
    <w:p w14:paraId="0BA7E00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供应商可在提交响应文件截止时间前，对其电子响应文件进行修改，具体操作方法见《操作手册》。</w:t>
      </w:r>
    </w:p>
    <w:p w14:paraId="3E87894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21.3在提交响应文件截止时间之后，供应商不得对其电子响应文件</w:t>
      </w:r>
      <w:r>
        <w:rPr>
          <w:rFonts w:hint="eastAsia" w:ascii="宋体" w:hAnsi="宋体" w:eastAsia="宋体" w:cs="宋体"/>
          <w:color w:val="auto"/>
          <w:sz w:val="24"/>
          <w:szCs w:val="24"/>
          <w:highlight w:val="none"/>
          <w:lang w:eastAsia="zh-CN"/>
        </w:rPr>
        <w:t>做</w:t>
      </w:r>
      <w:r>
        <w:rPr>
          <w:rFonts w:hint="eastAsia" w:ascii="宋体" w:hAnsi="宋体" w:eastAsia="宋体" w:cs="宋体"/>
          <w:color w:val="auto"/>
          <w:sz w:val="24"/>
          <w:szCs w:val="24"/>
          <w:highlight w:val="none"/>
        </w:rPr>
        <w:t>任何修改。</w:t>
      </w:r>
    </w:p>
    <w:p w14:paraId="5EF9550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21.4在提交响应文件截止时间至磋商文件中规定的磋商有效期满之间的这段时间内，供应商不得撤回其响应文件。</w:t>
      </w:r>
    </w:p>
    <w:p w14:paraId="7E443855">
      <w:pPr>
        <w:keepNext/>
        <w:keepLines/>
        <w:spacing w:line="520" w:lineRule="exact"/>
        <w:ind w:firstLine="482" w:firstLineChars="200"/>
        <w:rPr>
          <w:rFonts w:hint="eastAsia" w:ascii="宋体" w:hAnsi="宋体" w:eastAsia="宋体" w:cs="宋体"/>
          <w:color w:val="auto"/>
          <w:sz w:val="24"/>
          <w:szCs w:val="24"/>
          <w:highlight w:val="none"/>
        </w:rPr>
      </w:pPr>
      <w:bookmarkStart w:id="133" w:name="_Toc513029229"/>
      <w:bookmarkEnd w:id="133"/>
      <w:bookmarkStart w:id="134" w:name="_Toc16938545"/>
      <w:bookmarkEnd w:id="134"/>
      <w:bookmarkStart w:id="135" w:name="_Toc20823301"/>
      <w:bookmarkEnd w:id="135"/>
      <w:bookmarkStart w:id="136" w:name="_Toc120614218"/>
      <w:r>
        <w:rPr>
          <w:rFonts w:hint="eastAsia" w:ascii="宋体" w:hAnsi="宋体" w:eastAsia="宋体" w:cs="宋体"/>
          <w:b/>
          <w:bCs/>
          <w:color w:val="auto"/>
          <w:sz w:val="24"/>
          <w:szCs w:val="24"/>
          <w:highlight w:val="none"/>
        </w:rPr>
        <w:t>五、响应文件的解密与评审</w:t>
      </w:r>
      <w:bookmarkEnd w:id="136"/>
    </w:p>
    <w:p w14:paraId="152E7AFA">
      <w:pPr>
        <w:keepNext/>
        <w:keepLines/>
        <w:spacing w:line="520" w:lineRule="exact"/>
        <w:ind w:firstLine="480" w:firstLineChars="200"/>
        <w:rPr>
          <w:rFonts w:hint="eastAsia" w:ascii="宋体" w:hAnsi="宋体" w:eastAsia="宋体" w:cs="宋体"/>
          <w:color w:val="auto"/>
          <w:sz w:val="24"/>
          <w:szCs w:val="24"/>
          <w:highlight w:val="none"/>
        </w:rPr>
      </w:pPr>
      <w:bookmarkStart w:id="137" w:name="_Toc16938546"/>
      <w:bookmarkEnd w:id="137"/>
      <w:bookmarkStart w:id="138" w:name="_Toc513029230"/>
      <w:bookmarkEnd w:id="138"/>
      <w:bookmarkStart w:id="139" w:name="_Toc20823302"/>
      <w:r>
        <w:rPr>
          <w:rFonts w:hint="eastAsia" w:ascii="宋体" w:hAnsi="宋体" w:eastAsia="宋体" w:cs="宋体"/>
          <w:color w:val="auto"/>
          <w:sz w:val="24"/>
          <w:szCs w:val="24"/>
          <w:highlight w:val="none"/>
        </w:rPr>
        <w:t>22、</w:t>
      </w:r>
      <w:bookmarkEnd w:id="139"/>
      <w:r>
        <w:rPr>
          <w:rFonts w:hint="eastAsia" w:ascii="宋体" w:hAnsi="宋体" w:eastAsia="宋体" w:cs="宋体"/>
          <w:color w:val="auto"/>
          <w:sz w:val="24"/>
          <w:szCs w:val="24"/>
          <w:highlight w:val="none"/>
        </w:rPr>
        <w:t>响应文件解密</w:t>
      </w:r>
    </w:p>
    <w:p w14:paraId="7EB8348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22.1供应商应当按照《操作手册》规定，在苏采云系统规定的时间内对磋商响应文件进行解密。</w:t>
      </w:r>
    </w:p>
    <w:p w14:paraId="5C484466">
      <w:pPr>
        <w:keepNext/>
        <w:keepLines/>
        <w:spacing w:line="520" w:lineRule="exact"/>
        <w:ind w:firstLine="480" w:firstLineChars="200"/>
        <w:rPr>
          <w:rFonts w:hint="eastAsia" w:ascii="宋体" w:hAnsi="宋体" w:eastAsia="宋体" w:cs="宋体"/>
          <w:color w:val="auto"/>
          <w:sz w:val="24"/>
          <w:szCs w:val="24"/>
          <w:highlight w:val="none"/>
        </w:rPr>
      </w:pPr>
      <w:bookmarkStart w:id="140" w:name="_Toc513029231"/>
      <w:bookmarkEnd w:id="140"/>
      <w:bookmarkStart w:id="141" w:name="_Toc16938547"/>
      <w:bookmarkEnd w:id="141"/>
      <w:bookmarkStart w:id="142" w:name="_Toc20823303"/>
      <w:r>
        <w:rPr>
          <w:rFonts w:hint="eastAsia" w:ascii="宋体" w:hAnsi="宋体" w:eastAsia="宋体" w:cs="宋体"/>
          <w:color w:val="auto"/>
          <w:sz w:val="24"/>
          <w:szCs w:val="24"/>
          <w:highlight w:val="none"/>
        </w:rPr>
        <w:t>23、磋商小组</w:t>
      </w:r>
      <w:bookmarkEnd w:id="142"/>
    </w:p>
    <w:p w14:paraId="4129FAA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23.1采购代理机构将组织磋商小组对响应文件进行评审。磋商小组由采购人代表和有关技术、经济等方面的专家组成，且人员构成符合政府采购有关规定。</w:t>
      </w:r>
    </w:p>
    <w:p w14:paraId="0CED38B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23.2磋商小组独立工作，负责评审所有响应文件并确定成交候选人。</w:t>
      </w:r>
    </w:p>
    <w:p w14:paraId="4CE5835B">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24、评审过程的保密与公正</w:t>
      </w:r>
    </w:p>
    <w:p w14:paraId="3D43834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24.1磋商小组、采购人和采购代理机构工作人员、相关监督人员等与评审工作有关的人员，对评审情况以及在评审过程中获悉的国家秘密、商业秘密负有保密责任。</w:t>
      </w:r>
    </w:p>
    <w:p w14:paraId="5831897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24.2在评审过程中，供应商不得以任何行为影响磋商评审过程，否则其响应文件将被作为无效响应文件。</w:t>
      </w:r>
    </w:p>
    <w:p w14:paraId="33BE7C7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24.3在项目评审期间，采购代理机构将</w:t>
      </w:r>
      <w:r>
        <w:rPr>
          <w:rFonts w:hint="eastAsia" w:ascii="宋体" w:hAnsi="宋体" w:eastAsia="宋体" w:cs="宋体"/>
          <w:color w:val="auto"/>
          <w:sz w:val="24"/>
          <w:szCs w:val="24"/>
          <w:highlight w:val="none"/>
          <w:lang w:val="en-US" w:eastAsia="zh-CN"/>
        </w:rPr>
        <w:t>设置</w:t>
      </w:r>
      <w:r>
        <w:rPr>
          <w:rFonts w:hint="eastAsia" w:ascii="宋体" w:hAnsi="宋体" w:eastAsia="宋体" w:cs="宋体"/>
          <w:color w:val="auto"/>
          <w:sz w:val="24"/>
          <w:szCs w:val="24"/>
          <w:highlight w:val="none"/>
        </w:rPr>
        <w:t>专门人员与供应商联系。</w:t>
      </w:r>
    </w:p>
    <w:p w14:paraId="4F41BD8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24.4采购代理机构和磋商小组不向未成交的供应商解释未成交原因，也不公布评审过程中的相关细节。</w:t>
      </w:r>
    </w:p>
    <w:p w14:paraId="2BA51983">
      <w:pPr>
        <w:keepNext/>
        <w:keepLines/>
        <w:spacing w:line="520" w:lineRule="exact"/>
        <w:ind w:firstLine="480" w:firstLineChars="200"/>
        <w:rPr>
          <w:rFonts w:hint="eastAsia" w:ascii="宋体" w:hAnsi="宋体" w:eastAsia="宋体" w:cs="宋体"/>
          <w:color w:val="auto"/>
          <w:sz w:val="24"/>
          <w:szCs w:val="24"/>
          <w:highlight w:val="none"/>
        </w:rPr>
      </w:pPr>
      <w:bookmarkStart w:id="143" w:name="_Toc16938548"/>
      <w:bookmarkEnd w:id="143"/>
      <w:bookmarkStart w:id="144" w:name="_Toc513029232"/>
      <w:bookmarkEnd w:id="144"/>
      <w:bookmarkStart w:id="145" w:name="_Toc20823304"/>
      <w:r>
        <w:rPr>
          <w:rFonts w:hint="eastAsia" w:ascii="宋体" w:hAnsi="宋体" w:eastAsia="宋体" w:cs="宋体"/>
          <w:color w:val="auto"/>
          <w:sz w:val="24"/>
          <w:szCs w:val="24"/>
          <w:highlight w:val="none"/>
        </w:rPr>
        <w:t>25、评审过程中的澄清</w:t>
      </w:r>
      <w:bookmarkEnd w:id="145"/>
    </w:p>
    <w:p w14:paraId="2D13667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5274C8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w:t>
      </w:r>
      <w:r>
        <w:rPr>
          <w:rFonts w:hint="eastAsia" w:ascii="宋体" w:hAnsi="宋体" w:eastAsia="宋体" w:cs="宋体"/>
          <w:color w:val="auto"/>
          <w:sz w:val="24"/>
          <w:szCs w:val="24"/>
          <w:highlight w:val="none"/>
          <w:lang w:val="en-US" w:eastAsia="zh-CN"/>
        </w:rPr>
        <w:t>做</w:t>
      </w:r>
      <w:r>
        <w:rPr>
          <w:rFonts w:hint="eastAsia" w:ascii="宋体" w:hAnsi="宋体" w:eastAsia="宋体" w:cs="宋体"/>
          <w:color w:val="auto"/>
          <w:sz w:val="24"/>
          <w:szCs w:val="24"/>
          <w:highlight w:val="none"/>
        </w:rPr>
        <w:t>澄清要求。</w:t>
      </w:r>
    </w:p>
    <w:p w14:paraId="0A079C4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65C238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25.3接到磋商小组澄清、说明和更正要求的供应商如未按规定作出澄清、说明和更正，其风险由供应商自行承担。</w:t>
      </w:r>
    </w:p>
    <w:p w14:paraId="5E2E2BD6">
      <w:pPr>
        <w:keepNext/>
        <w:keepLines/>
        <w:spacing w:line="520" w:lineRule="exact"/>
        <w:ind w:firstLine="480" w:firstLineChars="200"/>
        <w:rPr>
          <w:rFonts w:hint="eastAsia" w:ascii="宋体" w:hAnsi="宋体" w:eastAsia="宋体" w:cs="宋体"/>
          <w:color w:val="auto"/>
          <w:sz w:val="24"/>
          <w:szCs w:val="24"/>
          <w:highlight w:val="none"/>
        </w:rPr>
      </w:pPr>
      <w:bookmarkStart w:id="146" w:name="_Toc513029233"/>
      <w:bookmarkEnd w:id="146"/>
      <w:bookmarkStart w:id="147" w:name="_Toc16938549"/>
      <w:bookmarkEnd w:id="147"/>
      <w:bookmarkStart w:id="148" w:name="_Toc20823305"/>
      <w:r>
        <w:rPr>
          <w:rFonts w:hint="eastAsia" w:ascii="宋体" w:hAnsi="宋体" w:eastAsia="宋体" w:cs="宋体"/>
          <w:color w:val="auto"/>
          <w:sz w:val="24"/>
          <w:szCs w:val="24"/>
          <w:highlight w:val="none"/>
        </w:rPr>
        <w:t>26、对响应文件的审</w:t>
      </w:r>
      <w:bookmarkEnd w:id="148"/>
      <w:r>
        <w:rPr>
          <w:rFonts w:hint="eastAsia" w:ascii="宋体" w:hAnsi="宋体" w:eastAsia="宋体" w:cs="宋体"/>
          <w:color w:val="auto"/>
          <w:sz w:val="24"/>
          <w:szCs w:val="24"/>
          <w:highlight w:val="none"/>
        </w:rPr>
        <w:t>查</w:t>
      </w:r>
    </w:p>
    <w:p w14:paraId="4F9C255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26.1响应文件审查分为资格审查和符合性审查。</w:t>
      </w:r>
    </w:p>
    <w:p w14:paraId="3261B55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26.1.1资格审查：由磋商小组依据法律法规和磋商文件的规定，对响应文件中的资格证明文件进行审查，以确定供应商是否具备参加磋商的资格。</w:t>
      </w:r>
    </w:p>
    <w:p w14:paraId="737AABFC">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磋商小组在进行资格审查的同时，将在“信用中国”网站（www.creditchina.gov.cn）查询供应商的信用记录，以确定供应商是否具备磋商资格。</w:t>
      </w:r>
    </w:p>
    <w:p w14:paraId="4E446E59">
      <w:pPr>
        <w:keepNext w:val="0"/>
        <w:keepLines w:val="0"/>
        <w:pageBreakBefore w:val="0"/>
        <w:widowControl w:val="0"/>
        <w:kinsoku/>
        <w:wordWrap w:val="0"/>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260C457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26.1.2符合性审查：依据磋商文件的规定，由磋商小组从响应文件的有效性、完整性和对磋商文件的响应程度进行审查，以确定是否对磋商文件的实质性要求作出响应。</w:t>
      </w:r>
    </w:p>
    <w:p w14:paraId="6E22196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1D4537D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4EE006D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4D598B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26.3未实质性响应磋商文件的情形</w:t>
      </w:r>
    </w:p>
    <w:p w14:paraId="25D9791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26.3.1供应商在苏采云系统规定的时间内未成功解密电子响应文件的。</w:t>
      </w:r>
    </w:p>
    <w:p w14:paraId="2C9066C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26.3.2供应商未按照磋商文件要求上传电子响应文件的。</w:t>
      </w:r>
    </w:p>
    <w:p w14:paraId="4E9761A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26.3.3同一供应商提交两个（含两个）以上不同的响应文件或者最后报价的。</w:t>
      </w:r>
    </w:p>
    <w:p w14:paraId="567F259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26.3.4供应商不具备磋商文件中规定资格要求的。</w:t>
      </w:r>
    </w:p>
    <w:p w14:paraId="7F072AC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26.3.5供应商的最后报价超过了采购预算。</w:t>
      </w:r>
    </w:p>
    <w:p w14:paraId="4A45992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26.3.6不符合磋商文件中规定的实质性要求和条件的</w:t>
      </w:r>
      <w:r>
        <w:rPr>
          <w:rFonts w:hint="eastAsia" w:ascii="宋体" w:hAnsi="宋体" w:eastAsia="宋体" w:cs="宋体"/>
          <w:i/>
          <w:iCs/>
          <w:color w:val="auto"/>
          <w:sz w:val="24"/>
          <w:szCs w:val="24"/>
          <w:highlight w:val="none"/>
          <w:u w:val="single"/>
        </w:rPr>
        <w:t>（本磋商文件中斜体且有下划线部分为实质性要求和条件）。</w:t>
      </w:r>
    </w:p>
    <w:p w14:paraId="08A7118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26.3.7供应商被 “信用中国”网站（www.creditchina.gov.cn）列入失信被执行人或重大税收违法失信主体或政府采购严重违法失信行为记录名单。或查询“信用中国”网站后发现供应商存在其他不符合《中华人民共和国政府采购法》第二十二条规定条件的信用记录。</w:t>
      </w:r>
    </w:p>
    <w:p w14:paraId="11655EA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26.3.8响应文件含有采购人不能接受的附加条件的。</w:t>
      </w:r>
    </w:p>
    <w:p w14:paraId="480FE2E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26.3.9本项目采购产品属于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1DCD45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26.3.10响应文件未按照磋商文件要求加盖CA电子公章的。</w:t>
      </w:r>
    </w:p>
    <w:p w14:paraId="3E38A68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26.4未实质性响应磋商文件的响应文件按无效响应处理。</w:t>
      </w:r>
    </w:p>
    <w:p w14:paraId="6D2E92D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26.5如果响应文件实质上没有响应磋商文件的要求，磋商小组将予以拒绝，供应商不得通过修改或撤销不合要求的偏离或保留而使其成为实质性响应的文件。</w:t>
      </w:r>
    </w:p>
    <w:p w14:paraId="7FFDABFD">
      <w:pPr>
        <w:spacing w:line="520" w:lineRule="exact"/>
        <w:ind w:firstLine="480" w:firstLineChars="200"/>
        <w:rPr>
          <w:rFonts w:hint="eastAsia" w:ascii="宋体" w:hAnsi="宋体" w:eastAsia="宋体" w:cs="宋体"/>
          <w:color w:val="auto"/>
          <w:sz w:val="24"/>
          <w:szCs w:val="24"/>
          <w:highlight w:val="none"/>
        </w:rPr>
      </w:pPr>
      <w:bookmarkStart w:id="149" w:name="_Toc513029234"/>
      <w:bookmarkEnd w:id="149"/>
      <w:bookmarkStart w:id="150" w:name="_Toc16938550"/>
      <w:bookmarkEnd w:id="150"/>
      <w:bookmarkStart w:id="151" w:name="_Toc20823306"/>
      <w:r>
        <w:rPr>
          <w:rFonts w:hint="eastAsia" w:ascii="宋体" w:hAnsi="宋体" w:eastAsia="宋体" w:cs="宋体"/>
          <w:color w:val="auto"/>
          <w:sz w:val="24"/>
          <w:szCs w:val="24"/>
          <w:highlight w:val="none"/>
        </w:rPr>
        <w:t>26.6供应商在项目评审全过程中应保持通讯畅通，并安排专人与交易中心及磋商小组联系。</w:t>
      </w:r>
      <w:bookmarkEnd w:id="151"/>
    </w:p>
    <w:p w14:paraId="2C4C40A7">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27、磋商程序及评审方法和评审标准</w:t>
      </w:r>
    </w:p>
    <w:p w14:paraId="119B1DF5">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27.1磋商程序</w:t>
      </w:r>
    </w:p>
    <w:p w14:paraId="636A6CCE">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27.1.1对于通过资格审查和符合性审查的供应商，磋商小组将集中与单一供应商分别进行磋商。</w:t>
      </w:r>
    </w:p>
    <w:p w14:paraId="118F2F63">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F56B9FF">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27.1.2磋商文件能够详细列明采购标的的技术、服务要求的，磋商结束后，磋商小组将在苏采云系统要求所有实质性响应的供应商在规定时间内提交最后报价。</w:t>
      </w:r>
    </w:p>
    <w:p w14:paraId="20D8622F">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p>
    <w:p w14:paraId="58C299CD">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03A3E525">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p>
    <w:p w14:paraId="160A49FD">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27.2评审方法和评审标准</w:t>
      </w:r>
    </w:p>
    <w:p w14:paraId="4689236E">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27.2.1评审方法。经磋商确定最终采购需求和提交最后报价的供应商后，由磋商小组采用综合评分法对提交最后报价的供应商的响应文件和最后报价进行综合评分。</w:t>
      </w:r>
    </w:p>
    <w:p w14:paraId="283B7450">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45B294C">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27.2.2评审标准</w:t>
      </w:r>
    </w:p>
    <w:p w14:paraId="41BE8306">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详</w:t>
      </w:r>
      <w:r>
        <w:rPr>
          <w:rFonts w:hint="eastAsia" w:ascii="宋体" w:hAnsi="宋体" w:eastAsia="宋体" w:cs="宋体"/>
          <w:color w:val="auto"/>
          <w:sz w:val="24"/>
          <w:szCs w:val="24"/>
          <w:highlight w:val="none"/>
        </w:rPr>
        <w:t>见本磋商文件第五章规定。</w:t>
      </w:r>
    </w:p>
    <w:p w14:paraId="3734A197">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27.3采购活动终止的情况</w:t>
      </w:r>
    </w:p>
    <w:p w14:paraId="3D5EBF70">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出现下列情形之一的，本次竞争性磋商采购活动将被终止：</w:t>
      </w:r>
    </w:p>
    <w:p w14:paraId="4C21DFE1">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27.3.1因情况变化，不再符合规定的竞争性磋商采购方式适用情形的。</w:t>
      </w:r>
    </w:p>
    <w:p w14:paraId="2BE31B34">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27.3.2出现影响采购公正</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rPr>
        <w:t>的违法、违规行为的。</w:t>
      </w:r>
    </w:p>
    <w:p w14:paraId="40E0DFB7">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27.3.3除本磋商文件第二章第27.1.2条第三款规定的情形外，在采购过程中符合要求的供应商或者最后报价未超过采购预算的供应商不足3家的。</w:t>
      </w:r>
    </w:p>
    <w:p w14:paraId="3D129555">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27.3.4在苏采云系统规定时间内成功解密电子响应文件的供应商不足3家的。</w:t>
      </w:r>
    </w:p>
    <w:p w14:paraId="15024CA5">
      <w:pPr>
        <w:keepNext/>
        <w:keepLines/>
        <w:spacing w:line="520" w:lineRule="exact"/>
        <w:ind w:firstLine="482" w:firstLineChars="200"/>
        <w:rPr>
          <w:rFonts w:hint="eastAsia" w:ascii="宋体" w:hAnsi="宋体" w:eastAsia="宋体" w:cs="宋体"/>
          <w:color w:val="auto"/>
          <w:sz w:val="24"/>
          <w:szCs w:val="24"/>
          <w:highlight w:val="none"/>
        </w:rPr>
      </w:pPr>
      <w:bookmarkStart w:id="152" w:name="_Toc20823307"/>
      <w:bookmarkEnd w:id="152"/>
      <w:bookmarkStart w:id="153" w:name="_Toc16938551"/>
      <w:bookmarkEnd w:id="153"/>
      <w:bookmarkStart w:id="154" w:name="_Toc513029235"/>
      <w:bookmarkEnd w:id="154"/>
      <w:bookmarkStart w:id="155" w:name="_Toc120614219"/>
      <w:r>
        <w:rPr>
          <w:rFonts w:hint="eastAsia" w:ascii="宋体" w:hAnsi="宋体" w:eastAsia="宋体" w:cs="宋体"/>
          <w:b/>
          <w:bCs/>
          <w:color w:val="auto"/>
          <w:sz w:val="24"/>
          <w:szCs w:val="24"/>
          <w:highlight w:val="none"/>
        </w:rPr>
        <w:t>六、</w:t>
      </w:r>
      <w:bookmarkEnd w:id="155"/>
      <w:r>
        <w:rPr>
          <w:rFonts w:hint="eastAsia" w:ascii="宋体" w:hAnsi="宋体" w:eastAsia="宋体" w:cs="宋体"/>
          <w:b/>
          <w:bCs/>
          <w:color w:val="auto"/>
          <w:sz w:val="24"/>
          <w:szCs w:val="24"/>
          <w:highlight w:val="none"/>
        </w:rPr>
        <w:t>成交</w:t>
      </w:r>
    </w:p>
    <w:p w14:paraId="2B0AC27F">
      <w:pPr>
        <w:keepNext/>
        <w:keepLines/>
        <w:spacing w:line="520" w:lineRule="exact"/>
        <w:ind w:firstLine="480" w:firstLineChars="200"/>
        <w:rPr>
          <w:rFonts w:hint="eastAsia" w:ascii="宋体" w:hAnsi="宋体" w:eastAsia="宋体" w:cs="宋体"/>
          <w:color w:val="auto"/>
          <w:sz w:val="24"/>
          <w:szCs w:val="24"/>
          <w:highlight w:val="none"/>
        </w:rPr>
      </w:pPr>
      <w:bookmarkStart w:id="156" w:name="_Toc16938554"/>
      <w:bookmarkEnd w:id="156"/>
      <w:bookmarkStart w:id="157" w:name="_Toc513029238"/>
      <w:bookmarkEnd w:id="157"/>
      <w:bookmarkStart w:id="158" w:name="_Toc20823310"/>
      <w:r>
        <w:rPr>
          <w:rFonts w:hint="eastAsia" w:ascii="宋体" w:hAnsi="宋体" w:eastAsia="宋体" w:cs="宋体"/>
          <w:color w:val="auto"/>
          <w:sz w:val="24"/>
          <w:szCs w:val="24"/>
          <w:highlight w:val="none"/>
        </w:rPr>
        <w:t>28、</w:t>
      </w:r>
      <w:bookmarkEnd w:id="158"/>
      <w:r>
        <w:rPr>
          <w:rFonts w:hint="eastAsia" w:ascii="宋体" w:hAnsi="宋体" w:eastAsia="宋体" w:cs="宋体"/>
          <w:color w:val="auto"/>
          <w:sz w:val="24"/>
          <w:szCs w:val="24"/>
          <w:highlight w:val="none"/>
        </w:rPr>
        <w:t>确定成交单位</w:t>
      </w:r>
    </w:p>
    <w:p w14:paraId="4847A989">
      <w:pPr>
        <w:tabs>
          <w:tab w:val="left" w:pos="900"/>
        </w:tab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E5E164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28.2采购人从评审报告提出的成交候选供应商中，按照排序由高到低的原则确定成交供应商。采购人确定成交供应商后，采购代理机构将在“江苏政府采购网”发布成交结果公告，公告期限为1个工作日。</w:t>
      </w:r>
    </w:p>
    <w:p w14:paraId="3FBF694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28.3若有充分证据证明，成交供应商出现下列情况之一的，一经查实，将被取消成交资格：</w:t>
      </w:r>
    </w:p>
    <w:p w14:paraId="1547A1B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28.3.1提供虚假材料谋取成交的。</w:t>
      </w:r>
    </w:p>
    <w:p w14:paraId="220F703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28.3.2与评审专家、采购人、其他供应商或者采购代理机构工作人员恶意串通的。</w:t>
      </w:r>
    </w:p>
    <w:p w14:paraId="25CADCA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28.3.3向评审专家、采购人或采购代理机构工作人员行贿或者提供其他不正当利益的。</w:t>
      </w:r>
    </w:p>
    <w:p w14:paraId="10A0747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p>
    <w:p w14:paraId="442813C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28.3.5不满足本磋商文件规定的实质性要求，但在评审过程中又未被磋商小组发现的。</w:t>
      </w:r>
    </w:p>
    <w:p w14:paraId="39141DD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28.3.6成交后无正当理由拒不与采购人签订政府采购合同或者未按照磋商文件确定的事项签订政府采购合同的。</w:t>
      </w:r>
    </w:p>
    <w:p w14:paraId="204BA0C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28.3.7将政府采购合同转包的。</w:t>
      </w:r>
    </w:p>
    <w:p w14:paraId="6EE2B18D">
      <w:pPr>
        <w:keepNext/>
        <w:keepLines/>
        <w:spacing w:line="520" w:lineRule="exact"/>
        <w:ind w:firstLine="480" w:firstLineChars="200"/>
        <w:rPr>
          <w:rFonts w:hint="eastAsia" w:ascii="宋体" w:hAnsi="宋体" w:eastAsia="宋体" w:cs="宋体"/>
          <w:color w:val="auto"/>
          <w:sz w:val="24"/>
          <w:szCs w:val="24"/>
          <w:highlight w:val="none"/>
        </w:rPr>
      </w:pPr>
      <w:bookmarkStart w:id="159" w:name="_Toc200451960"/>
      <w:r>
        <w:rPr>
          <w:rFonts w:hint="eastAsia" w:ascii="宋体" w:hAnsi="宋体" w:eastAsia="宋体" w:cs="宋体"/>
          <w:color w:val="auto"/>
          <w:sz w:val="24"/>
          <w:szCs w:val="24"/>
          <w:highlight w:val="none"/>
        </w:rPr>
        <w:t>29、质疑处理</w:t>
      </w:r>
      <w:bookmarkEnd w:id="159"/>
    </w:p>
    <w:p w14:paraId="55AA163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 提出质疑的供应商应当是参与所质疑项目采购活动的供应商。潜在供应商依法获取其可质疑的采购文件的，可以对采购文件提出质疑。</w:t>
      </w:r>
    </w:p>
    <w:p w14:paraId="6C155E7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p>
    <w:p w14:paraId="0681595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29.2.1对可以质疑的采购文件提出质疑的，为收到采购文件之日或者采购文件公告期限届满之日。</w:t>
      </w:r>
    </w:p>
    <w:p w14:paraId="602249A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29.2.2对采购过程提出质疑的，为各采购程序环节结束之日。</w:t>
      </w:r>
    </w:p>
    <w:p w14:paraId="7992742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29.2.3对成交结果提出质疑的，为成交结果公告期限届满之日。</w:t>
      </w:r>
    </w:p>
    <w:p w14:paraId="01DA495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8C6521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1E72707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7C4FDA4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供应商（含潜在供应商）对与本项目有关的所有询问、质疑均请向采购人提出，由采购人负责答复。</w:t>
      </w:r>
    </w:p>
    <w:p w14:paraId="6F37479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采购人及采购代理机构只接收以纸质原件形式送达的质疑。</w:t>
      </w:r>
    </w:p>
    <w:p w14:paraId="005559D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采购人质疑接收人及联系方式见本磋商文件第一章。</w:t>
      </w:r>
    </w:p>
    <w:p w14:paraId="7FEED37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29.5以下情形的质疑不予受理</w:t>
      </w:r>
    </w:p>
    <w:p w14:paraId="36BF2241">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29.5.1内容不符合《政府采购质疑和投诉办法》第十二条规定的质疑。</w:t>
      </w:r>
    </w:p>
    <w:p w14:paraId="5F1675C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29.5.2超出政府采购法定期限的质疑。</w:t>
      </w:r>
    </w:p>
    <w:p w14:paraId="702BE7A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29.5.3以传真、电子邮件等方式递交的非原件形式的质疑。</w:t>
      </w:r>
    </w:p>
    <w:p w14:paraId="71C8562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29.5.4未参加磋商活动的供应商或在磋商活动中自身权益未受到损害的供应商所提出的质疑。</w:t>
      </w:r>
    </w:p>
    <w:p w14:paraId="7A463BC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29.5.5供应商组成联合体参加磋商，联合体中任何一方或多方未按要求签字、盖章、加盖公章的质疑。</w:t>
      </w:r>
    </w:p>
    <w:p w14:paraId="2824299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777F844B">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30、成交通知书</w:t>
      </w:r>
    </w:p>
    <w:p w14:paraId="12FAE8A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310E455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7054EDC">
      <w:pPr>
        <w:keepNext/>
        <w:keepLines/>
        <w:spacing w:line="520" w:lineRule="exact"/>
        <w:ind w:firstLine="482" w:firstLineChars="200"/>
        <w:rPr>
          <w:rFonts w:hint="eastAsia" w:ascii="宋体" w:hAnsi="宋体" w:eastAsia="宋体" w:cs="宋体"/>
          <w:color w:val="auto"/>
          <w:sz w:val="24"/>
          <w:szCs w:val="24"/>
          <w:highlight w:val="none"/>
        </w:rPr>
      </w:pPr>
      <w:bookmarkStart w:id="160" w:name="_Toc16938552"/>
      <w:bookmarkEnd w:id="160"/>
      <w:bookmarkStart w:id="161" w:name="_Toc120614220"/>
      <w:bookmarkEnd w:id="161"/>
      <w:bookmarkStart w:id="162" w:name="_Toc513029236"/>
      <w:bookmarkEnd w:id="162"/>
      <w:bookmarkStart w:id="163" w:name="_Toc20823308"/>
      <w:r>
        <w:rPr>
          <w:rFonts w:hint="eastAsia" w:ascii="宋体" w:hAnsi="宋体" w:eastAsia="宋体" w:cs="宋体"/>
          <w:b/>
          <w:bCs/>
          <w:color w:val="auto"/>
          <w:sz w:val="24"/>
          <w:szCs w:val="24"/>
          <w:highlight w:val="none"/>
        </w:rPr>
        <w:t>七、授予合同</w:t>
      </w:r>
      <w:bookmarkEnd w:id="163"/>
    </w:p>
    <w:p w14:paraId="48AF5D94">
      <w:pPr>
        <w:keepNext/>
        <w:keepLines/>
        <w:spacing w:line="520" w:lineRule="exact"/>
        <w:ind w:firstLine="480" w:firstLineChars="200"/>
        <w:rPr>
          <w:rFonts w:hint="eastAsia" w:ascii="宋体" w:hAnsi="宋体" w:eastAsia="宋体" w:cs="宋体"/>
          <w:color w:val="auto"/>
          <w:sz w:val="24"/>
          <w:szCs w:val="24"/>
          <w:highlight w:val="none"/>
        </w:rPr>
      </w:pPr>
      <w:bookmarkStart w:id="164" w:name="_Toc513029237"/>
      <w:bookmarkEnd w:id="164"/>
      <w:bookmarkStart w:id="165" w:name="_Toc16938553"/>
      <w:bookmarkEnd w:id="165"/>
      <w:bookmarkStart w:id="166" w:name="_Toc20823309"/>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签订合同</w:t>
      </w:r>
      <w:bookmarkEnd w:id="166"/>
    </w:p>
    <w:p w14:paraId="3B381F2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31.l成交供应商应当在成交通知书发出之日起三十日内，按照磋商文件确定的事项与采购人签订政府采购合同。</w:t>
      </w:r>
    </w:p>
    <w:p w14:paraId="1F7B7C0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31.2磋商文件、成交供应商的响应文件及磋商过程中有关澄清、承诺文件均应作为合同附件。</w:t>
      </w:r>
    </w:p>
    <w:p w14:paraId="38AB11A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31.3签订合同后，</w:t>
      </w:r>
      <w:r>
        <w:rPr>
          <w:rFonts w:hint="eastAsia" w:ascii="宋体" w:hAnsi="宋体" w:eastAsia="宋体" w:cs="宋体"/>
          <w:i/>
          <w:iCs/>
          <w:color w:val="auto"/>
          <w:sz w:val="24"/>
          <w:szCs w:val="24"/>
          <w:highlight w:val="none"/>
          <w:u w:val="single"/>
        </w:rPr>
        <w:t>成交供应商不得将合同标的进行转包</w:t>
      </w:r>
      <w:r>
        <w:rPr>
          <w:rFonts w:hint="eastAsia" w:ascii="宋体" w:hAnsi="宋体" w:eastAsia="宋体" w:cs="宋体"/>
          <w:color w:val="auto"/>
          <w:sz w:val="24"/>
          <w:szCs w:val="24"/>
          <w:highlight w:val="none"/>
        </w:rPr>
        <w:t>。未经采购人同意，成交供应商也不得采用分包形式履行合同,否则采购人有权终止合同。转包或分包造成采购人损失的，成交供应商应承担相应赔偿责任。</w:t>
      </w:r>
    </w:p>
    <w:p w14:paraId="5DDDFBB5">
      <w:pPr>
        <w:keepNext/>
        <w:keepLines/>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32、标的物的追加</w:t>
      </w:r>
    </w:p>
    <w:p w14:paraId="3CFA3C2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2141BACB">
      <w:pPr>
        <w:keepNext/>
        <w:keepLines/>
        <w:spacing w:line="520" w:lineRule="exact"/>
        <w:ind w:firstLine="480" w:firstLineChars="200"/>
        <w:rPr>
          <w:rFonts w:hint="eastAsia" w:ascii="宋体" w:hAnsi="宋体" w:eastAsia="宋体" w:cs="宋体"/>
          <w:color w:val="auto"/>
          <w:sz w:val="24"/>
          <w:szCs w:val="24"/>
          <w:highlight w:val="none"/>
        </w:rPr>
      </w:pPr>
      <w:bookmarkStart w:id="167" w:name="_Toc20823314"/>
      <w:bookmarkEnd w:id="167"/>
      <w:bookmarkStart w:id="168" w:name="_Toc16938558"/>
      <w:bookmarkEnd w:id="168"/>
      <w:bookmarkStart w:id="169" w:name="_Toc513029242"/>
      <w:bookmarkEnd w:id="169"/>
      <w:bookmarkStart w:id="170" w:name="_Toc479757207"/>
      <w:bookmarkEnd w:id="170"/>
      <w:bookmarkStart w:id="171" w:name="_Toc120614221"/>
      <w:r>
        <w:rPr>
          <w:rFonts w:hint="eastAsia" w:ascii="宋体" w:hAnsi="宋体" w:eastAsia="宋体" w:cs="宋体"/>
          <w:color w:val="auto"/>
          <w:sz w:val="24"/>
          <w:szCs w:val="24"/>
          <w:highlight w:val="none"/>
        </w:rPr>
        <w:t>33、政府采购履约资金扶持政策</w:t>
      </w:r>
      <w:bookmarkEnd w:id="171"/>
    </w:p>
    <w:p w14:paraId="6131F5A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成交供应商可凭政府采购合同办理融资贷款，详情请见江苏政府采购网“政采贷”专栏。</w:t>
      </w:r>
    </w:p>
    <w:p w14:paraId="66B7FB7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34、落实《商品包装政府采购需求标准（试行）》、《快递包装政府采购需求标准（试行）》的相关政策，商品包装和快递包装应符合文件要求。</w:t>
      </w:r>
    </w:p>
    <w:p w14:paraId="410A29C3">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35、按照《绿色数据中心政府采购需求标准(试行)》（财库[2023]7号）文件要求执行。</w:t>
      </w:r>
    </w:p>
    <w:p w14:paraId="784E815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36、根据《商品包装政府采购需求标准（试行）》、《快递包装政府采购需求标准（试行）》的通知（财办库[2020]123号要求，商品使用的塑料、纸质、木材等包装需达到环保要求。</w:t>
      </w:r>
    </w:p>
    <w:p w14:paraId="495F943C">
      <w:pPr>
        <w:spacing w:line="52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八、关于异常低价的审查</w:t>
      </w:r>
    </w:p>
    <w:p w14:paraId="72C68D2C">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根据财库〔2026〕2号文《财政部关于推动解决政府采购异常低价问题的通知》：</w:t>
      </w:r>
    </w:p>
    <w:p w14:paraId="4622C6D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1.政府采购评审中出现下列情形之一的，评审委员会应当启动异常低价投标（响应）审查程序：</w:t>
      </w:r>
    </w:p>
    <w:p w14:paraId="3F33420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1.1投标（响应）报价低于全部通过符合性审查供应商投标（响应）报价平均值50%的，即投标（响应）报价&lt;全部通过符合性审查供应商投标（响应）报价平均值×50%；</w:t>
      </w:r>
    </w:p>
    <w:p w14:paraId="2C79068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1.2投标（响应）报价低于通过符合性审查的次低报价供应商投标（响应）报价50%的，即投标（响应）报价&lt;通过符合性审查的次低报价供应商投标（响应）报价×50%；</w:t>
      </w:r>
    </w:p>
    <w:p w14:paraId="39FBFF72">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1.3投标（响应）报价低于采购项目最高限价45%的，即投标（响应）报价&lt;采购项目最高限价×45%；</w:t>
      </w:r>
    </w:p>
    <w:p w14:paraId="13839E2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1.4评审委员会基于专业判断，认为供应商报价过低，有可能影响产品质量或者不能诚信履约的其他情形。</w:t>
      </w:r>
    </w:p>
    <w:p w14:paraId="3B57A4B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57238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FAAF1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D1CA070">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8C9A5FE">
      <w:pPr>
        <w:spacing w:line="52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九、其他</w:t>
      </w:r>
    </w:p>
    <w:p w14:paraId="24B76CB6">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成交供应商领取成交通知书时，向</w:t>
      </w:r>
      <w:r>
        <w:rPr>
          <w:rFonts w:hint="eastAsia" w:ascii="宋体" w:hAnsi="宋体" w:eastAsia="宋体" w:cs="宋体"/>
          <w:color w:val="auto"/>
          <w:sz w:val="24"/>
          <w:szCs w:val="24"/>
          <w:highlight w:val="none"/>
          <w:lang w:val="en-US" w:eastAsia="zh-CN"/>
        </w:rPr>
        <w:t>江苏建泰工程项目管理</w:t>
      </w:r>
      <w:r>
        <w:rPr>
          <w:rFonts w:hint="eastAsia" w:ascii="宋体" w:hAnsi="宋体" w:eastAsia="宋体" w:cs="宋体"/>
          <w:color w:val="auto"/>
          <w:sz w:val="24"/>
          <w:szCs w:val="24"/>
          <w:highlight w:val="none"/>
        </w:rPr>
        <w:t>有限公司提供纸质版响应文件</w:t>
      </w:r>
      <w:r>
        <w:rPr>
          <w:rFonts w:hint="eastAsia" w:ascii="宋体" w:hAnsi="宋体" w:eastAsia="宋体" w:cs="宋体"/>
          <w:color w:val="auto"/>
          <w:sz w:val="24"/>
          <w:szCs w:val="24"/>
          <w:highlight w:val="none"/>
          <w:lang w:val="en-US" w:eastAsia="zh-CN"/>
        </w:rPr>
        <w:t>两份，供归档使用</w:t>
      </w:r>
      <w:r>
        <w:rPr>
          <w:rFonts w:hint="eastAsia" w:ascii="宋体" w:hAnsi="宋体" w:eastAsia="宋体" w:cs="宋体"/>
          <w:color w:val="auto"/>
          <w:sz w:val="24"/>
          <w:szCs w:val="24"/>
          <w:highlight w:val="none"/>
        </w:rPr>
        <w:t>。</w:t>
      </w:r>
    </w:p>
    <w:p w14:paraId="1655E15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3D85FDA">
      <w:pPr>
        <w:rPr>
          <w:rFonts w:hint="eastAsia" w:ascii="宋体" w:hAnsi="宋体" w:eastAsia="宋体" w:cs="宋体"/>
          <w:color w:val="auto"/>
          <w:sz w:val="24"/>
          <w:szCs w:val="24"/>
          <w:highlight w:val="none"/>
        </w:rPr>
      </w:pPr>
    </w:p>
    <w:p w14:paraId="7B4840EC">
      <w:pPr>
        <w:rPr>
          <w:rFonts w:hint="eastAsia" w:ascii="宋体" w:hAnsi="宋体" w:eastAsia="宋体" w:cs="宋体"/>
          <w:color w:val="auto"/>
          <w:sz w:val="24"/>
          <w:szCs w:val="24"/>
          <w:highlight w:val="none"/>
        </w:rPr>
      </w:pPr>
    </w:p>
    <w:p w14:paraId="283DD2D4">
      <w:pPr>
        <w:rPr>
          <w:rFonts w:hint="eastAsia" w:ascii="宋体" w:hAnsi="宋体" w:eastAsia="宋体" w:cs="宋体"/>
          <w:color w:val="auto"/>
          <w:sz w:val="24"/>
          <w:szCs w:val="24"/>
          <w:highlight w:val="none"/>
        </w:rPr>
      </w:pPr>
    </w:p>
    <w:p w14:paraId="334C5DBC">
      <w:pPr>
        <w:rPr>
          <w:rFonts w:hint="eastAsia" w:ascii="宋体" w:hAnsi="宋体" w:eastAsia="宋体" w:cs="宋体"/>
          <w:color w:val="auto"/>
          <w:sz w:val="24"/>
          <w:szCs w:val="24"/>
          <w:highlight w:val="none"/>
        </w:rPr>
      </w:pPr>
    </w:p>
    <w:p w14:paraId="26B2DEE7">
      <w:pPr>
        <w:rPr>
          <w:rFonts w:hint="eastAsia" w:ascii="宋体" w:hAnsi="宋体" w:eastAsia="宋体" w:cs="宋体"/>
          <w:color w:val="auto"/>
          <w:sz w:val="24"/>
          <w:szCs w:val="24"/>
          <w:highlight w:val="none"/>
        </w:rPr>
      </w:pPr>
    </w:p>
    <w:p w14:paraId="6EA0299D">
      <w:pPr>
        <w:rPr>
          <w:rFonts w:hint="eastAsia" w:ascii="宋体" w:hAnsi="宋体" w:eastAsia="宋体" w:cs="宋体"/>
          <w:color w:val="auto"/>
          <w:sz w:val="24"/>
          <w:szCs w:val="24"/>
          <w:highlight w:val="none"/>
        </w:rPr>
      </w:pPr>
    </w:p>
    <w:p w14:paraId="749761CD">
      <w:pPr>
        <w:rPr>
          <w:rFonts w:hint="eastAsia" w:ascii="宋体" w:hAnsi="宋体" w:eastAsia="宋体" w:cs="宋体"/>
          <w:color w:val="auto"/>
          <w:sz w:val="24"/>
          <w:szCs w:val="24"/>
          <w:highlight w:val="none"/>
        </w:rPr>
      </w:pPr>
    </w:p>
    <w:p w14:paraId="1AFB088E">
      <w:pPr>
        <w:rPr>
          <w:rFonts w:hint="eastAsia" w:ascii="宋体" w:hAnsi="宋体" w:eastAsia="宋体" w:cs="宋体"/>
          <w:color w:val="auto"/>
          <w:sz w:val="24"/>
          <w:szCs w:val="24"/>
          <w:highlight w:val="none"/>
        </w:rPr>
      </w:pPr>
    </w:p>
    <w:p w14:paraId="55DA588B">
      <w:pPr>
        <w:rPr>
          <w:rFonts w:hint="eastAsia" w:ascii="宋体" w:hAnsi="宋体" w:eastAsia="宋体" w:cs="宋体"/>
          <w:color w:val="auto"/>
          <w:sz w:val="24"/>
          <w:szCs w:val="24"/>
          <w:highlight w:val="none"/>
        </w:rPr>
      </w:pPr>
    </w:p>
    <w:p w14:paraId="344D16B2">
      <w:pPr>
        <w:rPr>
          <w:rFonts w:hint="eastAsia" w:ascii="宋体" w:hAnsi="宋体" w:eastAsia="宋体" w:cs="宋体"/>
          <w:color w:val="auto"/>
          <w:sz w:val="24"/>
          <w:szCs w:val="24"/>
          <w:highlight w:val="none"/>
        </w:rPr>
      </w:pPr>
    </w:p>
    <w:p w14:paraId="7F126094">
      <w:pPr>
        <w:rPr>
          <w:rFonts w:hint="eastAsia" w:ascii="宋体" w:hAnsi="宋体" w:eastAsia="宋体" w:cs="宋体"/>
          <w:color w:val="auto"/>
          <w:sz w:val="24"/>
          <w:szCs w:val="24"/>
          <w:highlight w:val="none"/>
        </w:rPr>
      </w:pPr>
    </w:p>
    <w:p w14:paraId="08D45AF5">
      <w:pPr>
        <w:rPr>
          <w:rFonts w:hint="eastAsia" w:ascii="宋体" w:hAnsi="宋体" w:eastAsia="宋体" w:cs="宋体"/>
          <w:color w:val="auto"/>
          <w:sz w:val="24"/>
          <w:szCs w:val="24"/>
          <w:highlight w:val="none"/>
        </w:rPr>
      </w:pPr>
    </w:p>
    <w:p w14:paraId="6541F31C">
      <w:pPr>
        <w:rPr>
          <w:rFonts w:hint="eastAsia" w:ascii="宋体" w:hAnsi="宋体" w:eastAsia="宋体" w:cs="宋体"/>
          <w:color w:val="auto"/>
          <w:sz w:val="24"/>
          <w:szCs w:val="24"/>
          <w:highlight w:val="none"/>
        </w:rPr>
      </w:pPr>
    </w:p>
    <w:p w14:paraId="4BD7B566">
      <w:pPr>
        <w:rPr>
          <w:rFonts w:hint="eastAsia" w:ascii="宋体" w:hAnsi="宋体" w:eastAsia="宋体" w:cs="宋体"/>
          <w:color w:val="auto"/>
          <w:sz w:val="24"/>
          <w:szCs w:val="24"/>
          <w:highlight w:val="none"/>
        </w:rPr>
      </w:pPr>
    </w:p>
    <w:p w14:paraId="5FC8C87B">
      <w:pPr>
        <w:rPr>
          <w:rFonts w:hint="eastAsia" w:ascii="宋体" w:hAnsi="宋体" w:eastAsia="宋体" w:cs="宋体"/>
          <w:color w:val="auto"/>
          <w:sz w:val="24"/>
          <w:szCs w:val="24"/>
          <w:highlight w:val="none"/>
        </w:rPr>
      </w:pPr>
    </w:p>
    <w:p w14:paraId="5CFC8989">
      <w:pPr>
        <w:keepNext/>
        <w:ind w:firstLine="2640"/>
        <w:outlineLvl w:val="0"/>
        <w:rPr>
          <w:rFonts w:hint="eastAsia" w:ascii="宋体" w:hAnsi="宋体" w:eastAsia="宋体" w:cs="宋体"/>
          <w:color w:val="auto"/>
          <w:sz w:val="44"/>
          <w:szCs w:val="44"/>
          <w:highlight w:val="none"/>
        </w:rPr>
      </w:pPr>
      <w:bookmarkStart w:id="172" w:name="_Toc26517"/>
      <w:r>
        <w:rPr>
          <w:rFonts w:hint="eastAsia" w:ascii="宋体" w:hAnsi="宋体" w:eastAsia="宋体" w:cs="宋体"/>
          <w:color w:val="auto"/>
          <w:sz w:val="44"/>
          <w:szCs w:val="44"/>
          <w:highlight w:val="none"/>
        </w:rPr>
        <w:t>第三章 合同文本</w:t>
      </w:r>
      <w:bookmarkEnd w:id="172"/>
    </w:p>
    <w:p w14:paraId="76FC740E">
      <w:pPr>
        <w:keepNext/>
        <w:ind w:firstLine="2640"/>
        <w:outlineLvl w:val="0"/>
        <w:rPr>
          <w:rFonts w:hint="eastAsia" w:ascii="宋体" w:hAnsi="宋体" w:eastAsia="宋体" w:cs="宋体"/>
          <w:color w:val="auto"/>
          <w:sz w:val="44"/>
          <w:szCs w:val="44"/>
          <w:highlight w:val="none"/>
        </w:rPr>
      </w:pPr>
    </w:p>
    <w:p w14:paraId="6AD2E115">
      <w:pPr>
        <w:tabs>
          <w:tab w:val="left" w:pos="8200"/>
        </w:tabs>
        <w:spacing w:line="560" w:lineRule="exact"/>
        <w:jc w:val="center"/>
        <w:rPr>
          <w:rFonts w:hint="eastAsia" w:ascii="宋体" w:hAnsi="宋体" w:eastAsia="宋体" w:cs="宋体"/>
          <w:b/>
          <w:bCs/>
          <w:color w:val="auto"/>
          <w:sz w:val="32"/>
          <w:szCs w:val="32"/>
        </w:rPr>
      </w:pPr>
      <w:bookmarkStart w:id="173" w:name="OLE_LINK7"/>
      <w:bookmarkStart w:id="174" w:name="OLE_LINK5"/>
      <w:bookmarkStart w:id="175" w:name="OLE_LINK6"/>
      <w:r>
        <w:rPr>
          <w:rFonts w:hint="eastAsia" w:ascii="宋体" w:hAnsi="宋体" w:eastAsia="宋体" w:cs="宋体"/>
          <w:b/>
          <w:bCs/>
          <w:color w:val="auto"/>
          <w:sz w:val="32"/>
          <w:szCs w:val="32"/>
        </w:rPr>
        <w:t>泰州市中医院医疗责任等综合保险产品采购协议</w:t>
      </w:r>
    </w:p>
    <w:bookmarkEnd w:id="173"/>
    <w:bookmarkEnd w:id="174"/>
    <w:bookmarkEnd w:id="175"/>
    <w:p w14:paraId="6A975D79">
      <w:pPr>
        <w:spacing w:line="560" w:lineRule="exact"/>
        <w:rPr>
          <w:rFonts w:hAnsi="宋体" w:cs="宋体"/>
          <w:color w:val="auto"/>
        </w:rPr>
      </w:pPr>
    </w:p>
    <w:p w14:paraId="47C942B0">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甲    方：泰州市中医院</w:t>
      </w:r>
    </w:p>
    <w:p w14:paraId="3850769B">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地    址：泰州市济川东路86号</w:t>
      </w:r>
    </w:p>
    <w:p w14:paraId="217014A3">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p>
    <w:p w14:paraId="0411F88C">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    方：</w:t>
      </w:r>
    </w:p>
    <w:p w14:paraId="11C0C0DF">
      <w:pPr>
        <w:pStyle w:val="46"/>
        <w:keepNext w:val="0"/>
        <w:keepLines w:val="0"/>
        <w:pageBreakBefore w:val="0"/>
        <w:kinsoku/>
        <w:wordWrap/>
        <w:overflowPunct/>
        <w:topLinePunct w:val="0"/>
        <w:bidi w:val="0"/>
        <w:snapToGrid/>
        <w:spacing w:line="520" w:lineRule="exact"/>
        <w:ind w:left="0" w:leftChars="0"/>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z w:val="24"/>
          <w:szCs w:val="24"/>
        </w:rPr>
        <w:t>地    址：</w:t>
      </w:r>
    </w:p>
    <w:p w14:paraId="3311BFB3">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根据《国务院关于保险业改革发展的若干意见》（国发[2006]23号）、《国务院关于加快发展现代保险服务业的若干意见》（国发[2014]29号）、原国家卫生健康委员会等五部门《关于加强医疗责任保险工作的意见》（国卫医发〔2014〕42号）等相关政策文件，以及《中华人民共和国民法典》《中华人民共和国保险法》《中华人民共和国反不正当竞争法》《中华人民共和国反垄断法》《医疗纠纷预防和处理条例》《责任保险业务监管办法》等相关法律法规，为贯彻落实国家对于医疗机构参加医疗责任保险的参保要求，建立和完善医疗风险分担机制，遵循“政府引导、市场运作、专业协助、自愿投保”的服务原则，通过竞争性磋商的方式确定乙方为本产品保险</w:t>
      </w:r>
      <w:r>
        <w:rPr>
          <w:rFonts w:hint="eastAsia" w:cs="宋体" w:asciiTheme="minorEastAsia" w:hAnsiTheme="minorEastAsia" w:eastAsiaTheme="minorEastAsia"/>
          <w:color w:val="auto"/>
          <w:sz w:val="24"/>
          <w:szCs w:val="24"/>
          <w:highlight w:val="none"/>
        </w:rPr>
        <w:t>承保</w:t>
      </w:r>
      <w:r>
        <w:rPr>
          <w:rFonts w:hint="eastAsia" w:cs="宋体" w:asciiTheme="minorEastAsia" w:hAnsiTheme="minorEastAsia"/>
          <w:color w:val="auto"/>
          <w:sz w:val="24"/>
          <w:szCs w:val="24"/>
          <w:highlight w:val="none"/>
          <w:lang w:val="en-US" w:eastAsia="zh-CN"/>
        </w:rPr>
        <w:t>公司</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rPr>
        <w:t>现按照相关采购文件要求，就本产品运作达成以下协议，以兹共同遵守。</w:t>
      </w:r>
    </w:p>
    <w:p w14:paraId="2835974C">
      <w:pPr>
        <w:pStyle w:val="23"/>
        <w:keepNext w:val="0"/>
        <w:keepLines w:val="0"/>
        <w:pageBreakBefore w:val="0"/>
        <w:kinsoku/>
        <w:wordWrap/>
        <w:overflowPunct/>
        <w:topLinePunct w:val="0"/>
        <w:bidi w:val="0"/>
        <w:snapToGrid/>
        <w:spacing w:line="520" w:lineRule="exact"/>
        <w:ind w:left="1260"/>
        <w:textAlignment w:val="auto"/>
        <w:rPr>
          <w:rFonts w:cs="宋体" w:asciiTheme="minorEastAsia" w:hAnsiTheme="minorEastAsia" w:eastAsiaTheme="minorEastAsia"/>
          <w:color w:val="auto"/>
          <w:sz w:val="24"/>
          <w:szCs w:val="24"/>
        </w:rPr>
      </w:pPr>
    </w:p>
    <w:p w14:paraId="62775008">
      <w:pPr>
        <w:keepNext w:val="0"/>
        <w:keepLines w:val="0"/>
        <w:pageBreakBefore w:val="0"/>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第一部分 定义或释义</w:t>
      </w:r>
    </w:p>
    <w:p w14:paraId="58D0230F">
      <w:pPr>
        <w:pStyle w:val="18"/>
        <w:keepNext w:val="0"/>
        <w:keepLines w:val="0"/>
        <w:pageBreakBefore w:val="0"/>
        <w:numPr>
          <w:ilvl w:val="0"/>
          <w:numId w:val="1"/>
        </w:numPr>
        <w:kinsoku/>
        <w:wordWrap/>
        <w:overflowPunct/>
        <w:topLinePunct w:val="0"/>
        <w:bidi w:val="0"/>
        <w:snapToGrid/>
        <w:spacing w:line="520" w:lineRule="exact"/>
        <w:ind w:firstLine="48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甲方</w:t>
      </w:r>
    </w:p>
    <w:p w14:paraId="2B71267F">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本协议甲方，为投保人，指泰州市中医院。</w:t>
      </w:r>
    </w:p>
    <w:p w14:paraId="65921488">
      <w:pPr>
        <w:pStyle w:val="18"/>
        <w:keepNext w:val="0"/>
        <w:keepLines w:val="0"/>
        <w:pageBreakBefore w:val="0"/>
        <w:numPr>
          <w:ilvl w:val="0"/>
          <w:numId w:val="1"/>
        </w:numPr>
        <w:kinsoku/>
        <w:wordWrap/>
        <w:overflowPunct/>
        <w:topLinePunct w:val="0"/>
        <w:bidi w:val="0"/>
        <w:snapToGrid/>
        <w:spacing w:line="520" w:lineRule="exact"/>
        <w:ind w:firstLine="48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乙方</w:t>
      </w:r>
    </w:p>
    <w:p w14:paraId="63E1A8E1">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本协议所称乙方，是指参与本产品承保的保险公司。</w:t>
      </w:r>
    </w:p>
    <w:p w14:paraId="2818F40B">
      <w:pPr>
        <w:pStyle w:val="18"/>
        <w:keepNext w:val="0"/>
        <w:keepLines w:val="0"/>
        <w:pageBreakBefore w:val="0"/>
        <w:numPr>
          <w:ilvl w:val="0"/>
          <w:numId w:val="1"/>
        </w:numPr>
        <w:kinsoku/>
        <w:wordWrap/>
        <w:overflowPunct/>
        <w:topLinePunct w:val="0"/>
        <w:bidi w:val="0"/>
        <w:snapToGrid/>
        <w:spacing w:line="520" w:lineRule="exact"/>
        <w:ind w:firstLine="48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医疗风险分担机制</w:t>
      </w:r>
    </w:p>
    <w:p w14:paraId="2DA9728D">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协议所称医疗风险分担机制，是指以国家政策和法律法规为依据，营造良好的社会氛围，提升社会大众对于医疗风险的客观认知，推动医疗机构、医务人员、患者各自通过相应的方式，对医疗风险进行识别，并鼓励采取科学、有效的方式，对医疗风险进行管理或转移，共同承担医疗风险。</w:t>
      </w:r>
    </w:p>
    <w:p w14:paraId="0AEB53D5">
      <w:pPr>
        <w:keepNext w:val="0"/>
        <w:keepLines w:val="0"/>
        <w:pageBreakBefore w:val="0"/>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第二部分 权利与义务</w:t>
      </w:r>
    </w:p>
    <w:p w14:paraId="642EBA87">
      <w:pPr>
        <w:keepNext w:val="0"/>
        <w:keepLines w:val="0"/>
        <w:pageBreakBefore w:val="0"/>
        <w:numPr>
          <w:ilvl w:val="0"/>
          <w:numId w:val="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甲方的权利和义务</w:t>
      </w:r>
    </w:p>
    <w:p w14:paraId="2F794A4E">
      <w:pPr>
        <w:keepNext w:val="0"/>
        <w:keepLines w:val="0"/>
        <w:pageBreakBefore w:val="0"/>
        <w:numPr>
          <w:ilvl w:val="0"/>
          <w:numId w:val="3"/>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对医疗风险分担机制建设的宣传推广工作提供支持与帮助；</w:t>
      </w:r>
    </w:p>
    <w:p w14:paraId="7C228D6F">
      <w:pPr>
        <w:keepNext w:val="0"/>
        <w:keepLines w:val="0"/>
        <w:pageBreakBefore w:val="0"/>
        <w:numPr>
          <w:ilvl w:val="0"/>
          <w:numId w:val="3"/>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必要时组织乙方召开联合工作会议，协调解决工作中存在的问题；</w:t>
      </w:r>
    </w:p>
    <w:p w14:paraId="371F38A4">
      <w:pPr>
        <w:keepNext w:val="0"/>
        <w:keepLines w:val="0"/>
        <w:pageBreakBefore w:val="0"/>
        <w:numPr>
          <w:ilvl w:val="0"/>
          <w:numId w:val="3"/>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对乙方进行工作考评；</w:t>
      </w:r>
    </w:p>
    <w:p w14:paraId="72E92389">
      <w:pPr>
        <w:keepNext w:val="0"/>
        <w:keepLines w:val="0"/>
        <w:pageBreakBefore w:val="0"/>
        <w:numPr>
          <w:ilvl w:val="0"/>
          <w:numId w:val="3"/>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对本产品各项工作进行指导和监督；</w:t>
      </w:r>
    </w:p>
    <w:p w14:paraId="5C1CCE63">
      <w:pPr>
        <w:keepNext w:val="0"/>
        <w:keepLines w:val="0"/>
        <w:pageBreakBefore w:val="0"/>
        <w:numPr>
          <w:ilvl w:val="0"/>
          <w:numId w:val="3"/>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相关法律、法规赋予甲方的其他权利和义务。</w:t>
      </w:r>
    </w:p>
    <w:p w14:paraId="2B0969B6">
      <w:pPr>
        <w:keepNext w:val="0"/>
        <w:keepLines w:val="0"/>
        <w:pageBreakBefore w:val="0"/>
        <w:numPr>
          <w:ilvl w:val="0"/>
          <w:numId w:val="2"/>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乙方的权利和义务</w:t>
      </w:r>
    </w:p>
    <w:p w14:paraId="7C9F1640">
      <w:pPr>
        <w:keepNext w:val="0"/>
        <w:keepLines w:val="0"/>
        <w:pageBreakBefore w:val="0"/>
        <w:numPr>
          <w:ilvl w:val="0"/>
          <w:numId w:val="4"/>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负责本产品保险条款的报备，对保险产品满足采购需求及合法合规性承担相应责任；</w:t>
      </w:r>
    </w:p>
    <w:p w14:paraId="113FBC27">
      <w:pPr>
        <w:keepNext w:val="0"/>
        <w:keepLines w:val="0"/>
        <w:pageBreakBefore w:val="0"/>
        <w:numPr>
          <w:ilvl w:val="0"/>
          <w:numId w:val="4"/>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负责订立承保协议，按照保险合同及本协议的约定承保出单、保险理赔等事宜；承保协议约定内容不得违背本协议，不得损害本协议其他各方及被保险人的利益，并报工作领导小组备案执行；</w:t>
      </w:r>
    </w:p>
    <w:p w14:paraId="73BB3A41">
      <w:pPr>
        <w:keepNext w:val="0"/>
        <w:keepLines w:val="0"/>
        <w:pageBreakBefore w:val="0"/>
        <w:numPr>
          <w:ilvl w:val="0"/>
          <w:numId w:val="4"/>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建立本产品保险理赔服务中心（以下简称“理赔服务中心”）；</w:t>
      </w:r>
    </w:p>
    <w:p w14:paraId="3E62516B">
      <w:pPr>
        <w:keepNext w:val="0"/>
        <w:keepLines w:val="0"/>
        <w:pageBreakBefore w:val="0"/>
        <w:numPr>
          <w:ilvl w:val="0"/>
          <w:numId w:val="4"/>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bookmarkStart w:id="176" w:name="OLE_LINK3"/>
      <w:bookmarkStart w:id="177" w:name="OLE_LINK4"/>
      <w:r>
        <w:rPr>
          <w:rFonts w:hint="eastAsia" w:cs="宋体" w:asciiTheme="minorEastAsia" w:hAnsiTheme="minorEastAsia" w:eastAsiaTheme="minorEastAsia"/>
          <w:color w:val="auto"/>
          <w:sz w:val="24"/>
          <w:szCs w:val="24"/>
        </w:rPr>
        <w:t>认可“泰州市区医患纠纷人民调解委员会”出具的调解协议书；</w:t>
      </w:r>
    </w:p>
    <w:bookmarkEnd w:id="176"/>
    <w:bookmarkEnd w:id="177"/>
    <w:p w14:paraId="5CC3ED0E">
      <w:pPr>
        <w:keepNext w:val="0"/>
        <w:keepLines w:val="0"/>
        <w:pageBreakBefore w:val="0"/>
        <w:tabs>
          <w:tab w:val="left" w:pos="0"/>
        </w:tabs>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（五）乙方的权利义务；</w:t>
      </w:r>
    </w:p>
    <w:p w14:paraId="1FFB7160">
      <w:pPr>
        <w:keepNext w:val="0"/>
        <w:keepLines w:val="0"/>
        <w:pageBreakBefore w:val="0"/>
        <w:tabs>
          <w:tab w:val="left" w:pos="0"/>
        </w:tabs>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1、出具保单及全额保费发票，提供保单信息查询服务。</w:t>
      </w:r>
    </w:p>
    <w:p w14:paraId="6DDD25C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2、发生保险事故支付赔款时，负责在本协议约定的期限内全额赔款至被保险人指定账户。</w:t>
      </w:r>
    </w:p>
    <w:p w14:paraId="25B2444C">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color w:val="auto"/>
          <w:sz w:val="24"/>
          <w:szCs w:val="24"/>
          <w:lang w:val="en-US" w:eastAsia="zh-CN"/>
        </w:rPr>
        <w:t>3</w:t>
      </w:r>
      <w:r>
        <w:rPr>
          <w:rFonts w:hint="eastAsia" w:cs="宋体" w:asciiTheme="minorEastAsia" w:hAnsiTheme="minorEastAsia" w:eastAsiaTheme="minorEastAsia"/>
          <w:color w:val="auto"/>
          <w:sz w:val="24"/>
          <w:szCs w:val="24"/>
        </w:rPr>
        <w:t>、统一提供处理日常承保、理赔工作，提供不得少于总保费的10%用于开展医疗机构风险防范相关服务及服务医疗机构产生的服务、培训等费用，费用由承保公司自行承担，不在累计赔偿限额中支出。</w:t>
      </w:r>
    </w:p>
    <w:p w14:paraId="48525B51">
      <w:pPr>
        <w:keepNext w:val="0"/>
        <w:keepLines w:val="0"/>
        <w:pageBreakBefore w:val="0"/>
        <w:numPr>
          <w:ilvl w:val="0"/>
          <w:numId w:val="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理赔服务中心的权利和义务</w:t>
      </w:r>
    </w:p>
    <w:p w14:paraId="62A6AAC5">
      <w:pPr>
        <w:keepNext w:val="0"/>
        <w:keepLines w:val="0"/>
        <w:pageBreakBefore w:val="0"/>
        <w:numPr>
          <w:ilvl w:val="0"/>
          <w:numId w:val="5"/>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制定本产品实施的整体规划，并负责工作计划的落实；</w:t>
      </w:r>
    </w:p>
    <w:p w14:paraId="6675C98C">
      <w:pPr>
        <w:keepNext w:val="0"/>
        <w:keepLines w:val="0"/>
        <w:pageBreakBefore w:val="0"/>
        <w:numPr>
          <w:ilvl w:val="0"/>
          <w:numId w:val="5"/>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负责保障理赔服务中心的日常运营，包括费用保障、后勤保障、队伍建设等；</w:t>
      </w:r>
    </w:p>
    <w:p w14:paraId="597AD4F6">
      <w:pPr>
        <w:keepNext w:val="0"/>
        <w:keepLines w:val="0"/>
        <w:pageBreakBefore w:val="0"/>
        <w:numPr>
          <w:ilvl w:val="0"/>
          <w:numId w:val="5"/>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通过风险管控服务，协助医院加强安全管理、促进医疗服务质量提升，防范医疗风险，减少医疗纠纷；</w:t>
      </w:r>
    </w:p>
    <w:p w14:paraId="200EE963">
      <w:pPr>
        <w:keepNext w:val="0"/>
        <w:keepLines w:val="0"/>
        <w:pageBreakBefore w:val="0"/>
        <w:numPr>
          <w:ilvl w:val="0"/>
          <w:numId w:val="5"/>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rPr>
        <w:t>保单年度结束</w:t>
      </w:r>
      <w:r>
        <w:rPr>
          <w:rFonts w:hint="eastAsia" w:cs="宋体" w:asciiTheme="minorEastAsia" w:hAnsiTheme="minorEastAsia" w:eastAsiaTheme="minorEastAsia"/>
          <w:color w:val="auto"/>
          <w:sz w:val="24"/>
          <w:szCs w:val="24"/>
          <w:highlight w:val="none"/>
        </w:rPr>
        <w:t>后</w:t>
      </w:r>
      <w:r>
        <w:rPr>
          <w:rFonts w:hint="eastAsia" w:cs="宋体" w:asciiTheme="minorEastAsia" w:hAnsi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0日内，向甲方提供年度分析报告；</w:t>
      </w:r>
    </w:p>
    <w:p w14:paraId="28874FF1">
      <w:pPr>
        <w:keepNext w:val="0"/>
        <w:keepLines w:val="0"/>
        <w:pageBreakBefore w:val="0"/>
        <w:numPr>
          <w:ilvl w:val="0"/>
          <w:numId w:val="5"/>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维护投保人、被保险人的保险权益；</w:t>
      </w:r>
    </w:p>
    <w:p w14:paraId="1C7FB704">
      <w:pPr>
        <w:keepNext w:val="0"/>
        <w:keepLines w:val="0"/>
        <w:pageBreakBefore w:val="0"/>
        <w:kinsoku/>
        <w:wordWrap/>
        <w:overflowPunct/>
        <w:topLinePunct w:val="0"/>
        <w:bidi w:val="0"/>
        <w:snapToGrid/>
        <w:spacing w:line="520" w:lineRule="exact"/>
        <w:ind w:left="420" w:leftChars="200" w:firstLine="2833" w:firstLineChars="1176"/>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highlight w:val="none"/>
        </w:rPr>
        <w:t>第三部分 工作</w:t>
      </w:r>
      <w:r>
        <w:rPr>
          <w:rFonts w:hint="eastAsia" w:cs="宋体" w:asciiTheme="minorEastAsia" w:hAnsiTheme="minorEastAsia" w:eastAsiaTheme="minorEastAsia"/>
          <w:b/>
          <w:bCs/>
          <w:color w:val="auto"/>
          <w:sz w:val="24"/>
          <w:szCs w:val="24"/>
        </w:rPr>
        <w:t>机制</w:t>
      </w:r>
    </w:p>
    <w:p w14:paraId="7DAC3492">
      <w:pPr>
        <w:keepNext w:val="0"/>
        <w:keepLines w:val="0"/>
        <w:pageBreakBefore w:val="0"/>
        <w:numPr>
          <w:ilvl w:val="0"/>
          <w:numId w:val="6"/>
        </w:numPr>
        <w:kinsoku/>
        <w:wordWrap/>
        <w:overflowPunct/>
        <w:topLinePunct w:val="0"/>
        <w:bidi w:val="0"/>
        <w:snapToGrid/>
        <w:spacing w:line="520" w:lineRule="exact"/>
        <w:jc w:val="lef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本产品领导小组</w:t>
      </w:r>
    </w:p>
    <w:p w14:paraId="7767D81D">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本产品由甲方、乙方共同组成工作领导小组，领导小组人员建立联席会议制度，至少每半年召开一次联席会议，协调解决工作中存在的问题，落实各项具体工作</w:t>
      </w:r>
      <w:r>
        <w:rPr>
          <w:rFonts w:hint="eastAsia" w:cs="宋体" w:asciiTheme="minorEastAsia" w:hAnsiTheme="minorEastAsia" w:eastAsiaTheme="minorEastAsia"/>
          <w:bCs/>
          <w:color w:val="auto"/>
          <w:sz w:val="24"/>
          <w:szCs w:val="24"/>
        </w:rPr>
        <w:t>。</w:t>
      </w:r>
    </w:p>
    <w:p w14:paraId="3CCAE791">
      <w:pPr>
        <w:keepNext w:val="0"/>
        <w:keepLines w:val="0"/>
        <w:pageBreakBefore w:val="0"/>
        <w:numPr>
          <w:ilvl w:val="0"/>
          <w:numId w:val="7"/>
        </w:numPr>
        <w:kinsoku/>
        <w:wordWrap/>
        <w:overflowPunct/>
        <w:topLinePunct w:val="0"/>
        <w:bidi w:val="0"/>
        <w:snapToGrid/>
        <w:spacing w:line="520" w:lineRule="exact"/>
        <w:ind w:left="420" w:firstLine="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人员构成</w:t>
      </w:r>
    </w:p>
    <w:p w14:paraId="65111986">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领导小组人员名单如下：</w:t>
      </w:r>
    </w:p>
    <w:tbl>
      <w:tblPr>
        <w:tblStyle w:val="47"/>
        <w:tblW w:w="8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Layout w:type="fixed"/>
        <w:tblCellMar>
          <w:top w:w="15" w:type="dxa"/>
          <w:left w:w="15" w:type="dxa"/>
          <w:bottom w:w="15" w:type="dxa"/>
          <w:right w:w="15" w:type="dxa"/>
        </w:tblCellMar>
      </w:tblPr>
      <w:tblGrid>
        <w:gridCol w:w="1472"/>
        <w:gridCol w:w="1528"/>
        <w:gridCol w:w="3700"/>
        <w:gridCol w:w="1529"/>
      </w:tblGrid>
      <w:tr w14:paraId="3B550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15" w:type="dxa"/>
            <w:left w:w="15" w:type="dxa"/>
            <w:bottom w:w="15" w:type="dxa"/>
            <w:right w:w="15" w:type="dxa"/>
          </w:tblCellMar>
        </w:tblPrEx>
        <w:trPr>
          <w:trHeight w:val="283" w:hRule="atLeast"/>
          <w:jc w:val="center"/>
        </w:trPr>
        <w:tc>
          <w:tcPr>
            <w:tcW w:w="1472" w:type="dxa"/>
            <w:shd w:val="clear" w:color="auto" w:fill="FFFFFF" w:themeFill="background1"/>
            <w:noWrap/>
            <w:vAlign w:val="center"/>
          </w:tcPr>
          <w:p w14:paraId="77F2FE8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成  员</w:t>
            </w:r>
          </w:p>
        </w:tc>
        <w:tc>
          <w:tcPr>
            <w:tcW w:w="1528" w:type="dxa"/>
            <w:shd w:val="clear" w:color="auto" w:fill="FFFFFF" w:themeFill="background1"/>
            <w:noWrap/>
            <w:vAlign w:val="center"/>
          </w:tcPr>
          <w:p w14:paraId="282FA106">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姓  名</w:t>
            </w:r>
          </w:p>
        </w:tc>
        <w:tc>
          <w:tcPr>
            <w:tcW w:w="3700" w:type="dxa"/>
            <w:shd w:val="clear" w:color="auto" w:fill="FFFFFF" w:themeFill="background1"/>
            <w:noWrap/>
            <w:vAlign w:val="center"/>
          </w:tcPr>
          <w:p w14:paraId="6731FF1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单位及职务</w:t>
            </w:r>
          </w:p>
        </w:tc>
        <w:tc>
          <w:tcPr>
            <w:tcW w:w="1529" w:type="dxa"/>
            <w:shd w:val="clear" w:color="auto" w:fill="FFFFFF" w:themeFill="background1"/>
            <w:noWrap/>
            <w:vAlign w:val="center"/>
          </w:tcPr>
          <w:p w14:paraId="401C3A4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联系方式</w:t>
            </w:r>
          </w:p>
        </w:tc>
      </w:tr>
      <w:tr w14:paraId="47C545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15" w:type="dxa"/>
            <w:left w:w="15" w:type="dxa"/>
            <w:bottom w:w="15" w:type="dxa"/>
            <w:right w:w="15" w:type="dxa"/>
          </w:tblCellMar>
        </w:tblPrEx>
        <w:trPr>
          <w:trHeight w:val="283" w:hRule="atLeast"/>
          <w:jc w:val="center"/>
        </w:trPr>
        <w:tc>
          <w:tcPr>
            <w:tcW w:w="1472" w:type="dxa"/>
            <w:shd w:val="clear" w:color="auto" w:fill="FFFFFF" w:themeFill="background1"/>
            <w:noWrap/>
            <w:vAlign w:val="center"/>
          </w:tcPr>
          <w:p w14:paraId="1AE5C883">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组  长</w:t>
            </w:r>
          </w:p>
        </w:tc>
        <w:tc>
          <w:tcPr>
            <w:tcW w:w="1528" w:type="dxa"/>
            <w:shd w:val="clear" w:color="auto" w:fill="FFFFFF" w:themeFill="background1"/>
            <w:noWrap/>
            <w:vAlign w:val="center"/>
          </w:tcPr>
          <w:p w14:paraId="5F942CE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700" w:type="dxa"/>
            <w:shd w:val="clear" w:color="auto" w:fill="FFFFFF" w:themeFill="background1"/>
            <w:noWrap/>
            <w:vAlign w:val="center"/>
          </w:tcPr>
          <w:p w14:paraId="24CE5775">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9" w:type="dxa"/>
            <w:shd w:val="clear" w:color="auto" w:fill="FFFFFF" w:themeFill="background1"/>
            <w:noWrap/>
            <w:vAlign w:val="center"/>
          </w:tcPr>
          <w:p w14:paraId="07D03AE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4F8D7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hemeFill="background1"/>
          <w:tblCellMar>
            <w:top w:w="15" w:type="dxa"/>
            <w:left w:w="15" w:type="dxa"/>
            <w:bottom w:w="15" w:type="dxa"/>
            <w:right w:w="15" w:type="dxa"/>
          </w:tblCellMar>
        </w:tblPrEx>
        <w:trPr>
          <w:trHeight w:val="283" w:hRule="atLeast"/>
          <w:jc w:val="center"/>
        </w:trPr>
        <w:tc>
          <w:tcPr>
            <w:tcW w:w="1472" w:type="dxa"/>
            <w:shd w:val="clear" w:color="auto" w:fill="FFFFFF" w:themeFill="background1"/>
            <w:noWrap/>
            <w:vAlign w:val="center"/>
          </w:tcPr>
          <w:p w14:paraId="3F87F0D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副组长</w:t>
            </w:r>
          </w:p>
        </w:tc>
        <w:tc>
          <w:tcPr>
            <w:tcW w:w="1528" w:type="dxa"/>
            <w:shd w:val="clear" w:color="auto" w:fill="FFFFFF" w:themeFill="background1"/>
            <w:noWrap/>
            <w:vAlign w:val="center"/>
          </w:tcPr>
          <w:p w14:paraId="48A80B8D">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700" w:type="dxa"/>
            <w:shd w:val="clear" w:color="auto" w:fill="FFFFFF" w:themeFill="background1"/>
            <w:noWrap/>
            <w:vAlign w:val="center"/>
          </w:tcPr>
          <w:p w14:paraId="35E74F4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9" w:type="dxa"/>
            <w:shd w:val="clear" w:color="auto" w:fill="FFFFFF" w:themeFill="background1"/>
            <w:noWrap/>
            <w:vAlign w:val="center"/>
          </w:tcPr>
          <w:p w14:paraId="070A7A9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23E9D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3" w:hRule="atLeast"/>
          <w:jc w:val="center"/>
        </w:trPr>
        <w:tc>
          <w:tcPr>
            <w:tcW w:w="1472" w:type="dxa"/>
            <w:vMerge w:val="restart"/>
            <w:shd w:val="clear" w:color="auto" w:fill="FFFFFF" w:themeFill="background1"/>
            <w:noWrap/>
            <w:vAlign w:val="center"/>
          </w:tcPr>
          <w:p w14:paraId="1C54D51A">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成员</w:t>
            </w:r>
          </w:p>
        </w:tc>
        <w:tc>
          <w:tcPr>
            <w:tcW w:w="1528" w:type="dxa"/>
            <w:shd w:val="clear" w:color="auto" w:fill="FFFFFF" w:themeFill="background1"/>
            <w:noWrap/>
            <w:vAlign w:val="center"/>
          </w:tcPr>
          <w:p w14:paraId="4C0759C5">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700" w:type="dxa"/>
            <w:shd w:val="clear" w:color="auto" w:fill="FFFFFF" w:themeFill="background1"/>
            <w:noWrap/>
            <w:vAlign w:val="center"/>
          </w:tcPr>
          <w:p w14:paraId="3E376E25">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9" w:type="dxa"/>
            <w:shd w:val="clear" w:color="auto" w:fill="FFFFFF" w:themeFill="background1"/>
            <w:noWrap/>
            <w:vAlign w:val="center"/>
          </w:tcPr>
          <w:p w14:paraId="0F55741E">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72AAE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jc w:val="center"/>
        </w:trPr>
        <w:tc>
          <w:tcPr>
            <w:tcW w:w="1472" w:type="dxa"/>
            <w:vMerge w:val="continue"/>
            <w:shd w:val="clear" w:color="auto" w:fill="FFFFFF" w:themeFill="background1"/>
            <w:noWrap/>
            <w:vAlign w:val="center"/>
          </w:tcPr>
          <w:p w14:paraId="4742F88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8" w:type="dxa"/>
            <w:shd w:val="clear" w:color="auto" w:fill="FFFFFF" w:themeFill="background1"/>
            <w:noWrap/>
            <w:vAlign w:val="center"/>
          </w:tcPr>
          <w:p w14:paraId="7A30D19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700" w:type="dxa"/>
            <w:shd w:val="clear" w:color="auto" w:fill="FFFFFF" w:themeFill="background1"/>
            <w:noWrap/>
            <w:vAlign w:val="center"/>
          </w:tcPr>
          <w:p w14:paraId="60FDDDF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9" w:type="dxa"/>
            <w:shd w:val="clear" w:color="auto" w:fill="FFFFFF" w:themeFill="background1"/>
            <w:noWrap/>
            <w:vAlign w:val="center"/>
          </w:tcPr>
          <w:p w14:paraId="7A488FC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5B079C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83" w:hRule="atLeast"/>
          <w:jc w:val="center"/>
        </w:trPr>
        <w:tc>
          <w:tcPr>
            <w:tcW w:w="1472" w:type="dxa"/>
            <w:vMerge w:val="continue"/>
            <w:shd w:val="clear" w:color="auto" w:fill="FFFFFF" w:themeFill="background1"/>
            <w:noWrap/>
            <w:vAlign w:val="center"/>
          </w:tcPr>
          <w:p w14:paraId="3C79D110">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8" w:type="dxa"/>
            <w:shd w:val="clear" w:color="auto" w:fill="FFFFFF" w:themeFill="background1"/>
            <w:noWrap/>
            <w:vAlign w:val="center"/>
          </w:tcPr>
          <w:p w14:paraId="09E5A21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700" w:type="dxa"/>
            <w:shd w:val="clear" w:color="auto" w:fill="FFFFFF" w:themeFill="background1"/>
            <w:noWrap/>
            <w:vAlign w:val="center"/>
          </w:tcPr>
          <w:p w14:paraId="1E73552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529" w:type="dxa"/>
            <w:shd w:val="clear" w:color="auto" w:fill="FFFFFF" w:themeFill="background1"/>
            <w:noWrap/>
            <w:vAlign w:val="center"/>
          </w:tcPr>
          <w:p w14:paraId="3CB4B680">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bl>
    <w:p w14:paraId="7C0A52DA">
      <w:pPr>
        <w:keepNext w:val="0"/>
        <w:keepLines w:val="0"/>
        <w:pageBreakBefore w:val="0"/>
        <w:numPr>
          <w:ilvl w:val="0"/>
          <w:numId w:val="7"/>
        </w:numPr>
        <w:kinsoku/>
        <w:wordWrap/>
        <w:overflowPunct/>
        <w:topLinePunct w:val="0"/>
        <w:bidi w:val="0"/>
        <w:snapToGrid/>
        <w:spacing w:line="520" w:lineRule="exact"/>
        <w:ind w:left="420" w:firstLine="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工作职责</w:t>
      </w:r>
    </w:p>
    <w:p w14:paraId="7A09C90A">
      <w:pPr>
        <w:keepNext w:val="0"/>
        <w:keepLines w:val="0"/>
        <w:pageBreakBefore w:val="0"/>
        <w:numPr>
          <w:ilvl w:val="0"/>
          <w:numId w:val="8"/>
        </w:numPr>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至少每半年召开一次联席会议，通报工作情况，及时解决工作中遇到的困难和问题；</w:t>
      </w:r>
    </w:p>
    <w:p w14:paraId="4CAF6511">
      <w:pPr>
        <w:keepNext w:val="0"/>
        <w:keepLines w:val="0"/>
        <w:pageBreakBefore w:val="0"/>
        <w:numPr>
          <w:ilvl w:val="0"/>
          <w:numId w:val="8"/>
        </w:numPr>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负责重大事项的决策及协调处理；</w:t>
      </w:r>
    </w:p>
    <w:p w14:paraId="78E63DC7">
      <w:pPr>
        <w:keepNext w:val="0"/>
        <w:keepLines w:val="0"/>
        <w:pageBreakBefore w:val="0"/>
        <w:numPr>
          <w:ilvl w:val="0"/>
          <w:numId w:val="8"/>
        </w:numPr>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负责运作机制的决策。</w:t>
      </w:r>
    </w:p>
    <w:p w14:paraId="6404AAC1">
      <w:pPr>
        <w:keepNext w:val="0"/>
        <w:keepLines w:val="0"/>
        <w:pageBreakBefore w:val="0"/>
        <w:numPr>
          <w:ilvl w:val="0"/>
          <w:numId w:val="6"/>
        </w:numPr>
        <w:kinsoku/>
        <w:wordWrap/>
        <w:overflowPunct/>
        <w:topLinePunct w:val="0"/>
        <w:bidi w:val="0"/>
        <w:snapToGrid/>
        <w:spacing w:line="520" w:lineRule="exact"/>
        <w:jc w:val="lef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工作小组</w:t>
      </w:r>
    </w:p>
    <w:p w14:paraId="086B5FED">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工作小组成员包括</w:t>
      </w:r>
      <w:r>
        <w:rPr>
          <w:rFonts w:hint="eastAsia" w:cs="宋体" w:asciiTheme="minorEastAsia" w:hAnsiTheme="minorEastAsia" w:eastAsiaTheme="minorEastAsia"/>
          <w:color w:val="auto"/>
          <w:sz w:val="24"/>
          <w:szCs w:val="24"/>
        </w:rPr>
        <w:t>甲方、</w:t>
      </w:r>
      <w:r>
        <w:rPr>
          <w:rFonts w:hint="eastAsia" w:cs="宋体" w:asciiTheme="minorEastAsia" w:hAnsiTheme="minorEastAsia" w:eastAsiaTheme="minorEastAsia"/>
          <w:bCs/>
          <w:color w:val="auto"/>
          <w:sz w:val="24"/>
          <w:szCs w:val="24"/>
        </w:rPr>
        <w:t>乙方相关人员。工作小组人员名单如下：</w:t>
      </w:r>
    </w:p>
    <w:p w14:paraId="6C443BD2">
      <w:pPr>
        <w:keepNext w:val="0"/>
        <w:keepLines w:val="0"/>
        <w:pageBreakBefore w:val="0"/>
        <w:numPr>
          <w:ilvl w:val="0"/>
          <w:numId w:val="9"/>
        </w:numPr>
        <w:kinsoku/>
        <w:wordWrap/>
        <w:overflowPunct/>
        <w:topLinePunct w:val="0"/>
        <w:bidi w:val="0"/>
        <w:snapToGrid/>
        <w:spacing w:line="520" w:lineRule="exact"/>
        <w:ind w:left="420" w:firstLine="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人员构成</w:t>
      </w:r>
    </w:p>
    <w:tbl>
      <w:tblPr>
        <w:tblStyle w:val="47"/>
        <w:tblW w:w="85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5" w:type="dxa"/>
          <w:left w:w="15" w:type="dxa"/>
          <w:bottom w:w="15" w:type="dxa"/>
          <w:right w:w="15" w:type="dxa"/>
        </w:tblCellMar>
      </w:tblPr>
      <w:tblGrid>
        <w:gridCol w:w="1309"/>
        <w:gridCol w:w="1988"/>
        <w:gridCol w:w="3818"/>
        <w:gridCol w:w="1396"/>
      </w:tblGrid>
      <w:tr w14:paraId="77243C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309" w:type="dxa"/>
            <w:shd w:val="clear" w:color="auto" w:fill="D9D9D9"/>
            <w:noWrap/>
            <w:vAlign w:val="center"/>
          </w:tcPr>
          <w:p w14:paraId="5D8F9CB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成</w:t>
            </w:r>
            <w:r>
              <w:rPr>
                <w:rFonts w:hint="eastAsia" w:cs="宋体" w:asciiTheme="minorEastAsia" w:hAnsiTheme="minorEastAsia"/>
                <w:color w:val="auto"/>
                <w:spacing w:val="11"/>
                <w:sz w:val="24"/>
                <w:szCs w:val="24"/>
                <w:lang w:val="en-US" w:eastAsia="zh-CN"/>
              </w:rPr>
              <w:t xml:space="preserve">  </w:t>
            </w:r>
            <w:r>
              <w:rPr>
                <w:rFonts w:hint="eastAsia" w:cs="宋体" w:asciiTheme="minorEastAsia" w:hAnsiTheme="minorEastAsia" w:eastAsiaTheme="minorEastAsia"/>
                <w:color w:val="auto"/>
                <w:spacing w:val="11"/>
                <w:sz w:val="24"/>
                <w:szCs w:val="24"/>
              </w:rPr>
              <w:t>员</w:t>
            </w:r>
          </w:p>
        </w:tc>
        <w:tc>
          <w:tcPr>
            <w:tcW w:w="1988" w:type="dxa"/>
            <w:shd w:val="clear" w:color="auto" w:fill="D9D9D9"/>
            <w:noWrap/>
            <w:vAlign w:val="center"/>
          </w:tcPr>
          <w:p w14:paraId="320C801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姓名</w:t>
            </w:r>
          </w:p>
        </w:tc>
        <w:tc>
          <w:tcPr>
            <w:tcW w:w="3818" w:type="dxa"/>
            <w:shd w:val="clear" w:color="auto" w:fill="D9D9D9"/>
            <w:noWrap/>
            <w:vAlign w:val="center"/>
          </w:tcPr>
          <w:p w14:paraId="43ABBE56">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单位及职务</w:t>
            </w:r>
          </w:p>
        </w:tc>
        <w:tc>
          <w:tcPr>
            <w:tcW w:w="1396" w:type="dxa"/>
            <w:shd w:val="clear" w:color="auto" w:fill="D9D9D9"/>
            <w:noWrap/>
            <w:vAlign w:val="center"/>
          </w:tcPr>
          <w:p w14:paraId="4236ECDD">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联系方式</w:t>
            </w:r>
          </w:p>
        </w:tc>
      </w:tr>
      <w:tr w14:paraId="728AB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85" w:hRule="atLeast"/>
          <w:jc w:val="center"/>
        </w:trPr>
        <w:tc>
          <w:tcPr>
            <w:tcW w:w="1309" w:type="dxa"/>
            <w:noWrap/>
            <w:vAlign w:val="center"/>
          </w:tcPr>
          <w:p w14:paraId="29AA30E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甲  方</w:t>
            </w:r>
          </w:p>
        </w:tc>
        <w:tc>
          <w:tcPr>
            <w:tcW w:w="1988" w:type="dxa"/>
            <w:noWrap/>
            <w:vAlign w:val="center"/>
          </w:tcPr>
          <w:p w14:paraId="51115B3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17216B29">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5808C95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7B2B08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21" w:hRule="atLeast"/>
          <w:jc w:val="center"/>
        </w:trPr>
        <w:tc>
          <w:tcPr>
            <w:tcW w:w="1309" w:type="dxa"/>
            <w:vMerge w:val="restart"/>
            <w:noWrap/>
            <w:vAlign w:val="center"/>
          </w:tcPr>
          <w:p w14:paraId="0F80F14E">
            <w:pPr>
              <w:keepNext w:val="0"/>
              <w:keepLines w:val="0"/>
              <w:pageBreakBefore w:val="0"/>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r>
              <w:rPr>
                <w:rFonts w:hint="eastAsia" w:cs="宋体" w:asciiTheme="minorEastAsia" w:hAnsiTheme="minorEastAsia" w:eastAsiaTheme="minorEastAsia"/>
                <w:color w:val="auto"/>
                <w:spacing w:val="11"/>
                <w:sz w:val="24"/>
                <w:szCs w:val="24"/>
              </w:rPr>
              <w:t>乙  方</w:t>
            </w:r>
          </w:p>
        </w:tc>
        <w:tc>
          <w:tcPr>
            <w:tcW w:w="1988" w:type="dxa"/>
            <w:noWrap/>
            <w:vAlign w:val="center"/>
          </w:tcPr>
          <w:p w14:paraId="3B578C8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30427698">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35C0C50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1561BE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21" w:hRule="atLeast"/>
          <w:jc w:val="center"/>
        </w:trPr>
        <w:tc>
          <w:tcPr>
            <w:tcW w:w="1309" w:type="dxa"/>
            <w:vMerge w:val="continue"/>
            <w:noWrap/>
            <w:vAlign w:val="center"/>
          </w:tcPr>
          <w:p w14:paraId="54BFDDFB">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1988" w:type="dxa"/>
            <w:noWrap/>
            <w:vAlign w:val="center"/>
          </w:tcPr>
          <w:p w14:paraId="1D1735A3">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03A17DFD">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62E9683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5C7C8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21" w:hRule="atLeast"/>
          <w:jc w:val="center"/>
        </w:trPr>
        <w:tc>
          <w:tcPr>
            <w:tcW w:w="1309" w:type="dxa"/>
            <w:vMerge w:val="continue"/>
            <w:noWrap/>
            <w:vAlign w:val="center"/>
          </w:tcPr>
          <w:p w14:paraId="4BF840A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58E0883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6EACF947">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44D873A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2789B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309" w:type="dxa"/>
            <w:vMerge w:val="continue"/>
            <w:noWrap/>
            <w:vAlign w:val="center"/>
          </w:tcPr>
          <w:p w14:paraId="2E41682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3CA7103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4A7BF9E3">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4431C96B">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4ABF5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309" w:type="dxa"/>
            <w:vMerge w:val="continue"/>
            <w:noWrap/>
            <w:vAlign w:val="center"/>
          </w:tcPr>
          <w:p w14:paraId="2EDAED7D">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1814D56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55129005">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3537FFA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22945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4" w:hRule="atLeast"/>
          <w:jc w:val="center"/>
        </w:trPr>
        <w:tc>
          <w:tcPr>
            <w:tcW w:w="1309" w:type="dxa"/>
            <w:vMerge w:val="continue"/>
            <w:noWrap/>
            <w:vAlign w:val="center"/>
          </w:tcPr>
          <w:p w14:paraId="11619B96">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3FB7D53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66B701DB">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6E9DA346">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0CA5F7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4" w:hRule="atLeast"/>
          <w:jc w:val="center"/>
        </w:trPr>
        <w:tc>
          <w:tcPr>
            <w:tcW w:w="1309" w:type="dxa"/>
            <w:vMerge w:val="continue"/>
            <w:noWrap/>
            <w:vAlign w:val="center"/>
          </w:tcPr>
          <w:p w14:paraId="46A3B4E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37438C6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78204742">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6510B0C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25DF5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334" w:hRule="atLeast"/>
          <w:jc w:val="center"/>
        </w:trPr>
        <w:tc>
          <w:tcPr>
            <w:tcW w:w="1309" w:type="dxa"/>
            <w:vMerge w:val="continue"/>
            <w:noWrap/>
            <w:vAlign w:val="center"/>
          </w:tcPr>
          <w:p w14:paraId="442818E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5951842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c>
          <w:tcPr>
            <w:tcW w:w="3818" w:type="dxa"/>
            <w:noWrap/>
            <w:vAlign w:val="center"/>
          </w:tcPr>
          <w:p w14:paraId="3F8A7DB9">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pacing w:val="11"/>
                <w:sz w:val="24"/>
                <w:szCs w:val="24"/>
              </w:rPr>
            </w:pPr>
          </w:p>
        </w:tc>
        <w:tc>
          <w:tcPr>
            <w:tcW w:w="1396" w:type="dxa"/>
            <w:noWrap/>
            <w:vAlign w:val="center"/>
          </w:tcPr>
          <w:p w14:paraId="1643D86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r w14:paraId="68813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5" w:type="dxa"/>
            <w:left w:w="15" w:type="dxa"/>
            <w:bottom w:w="15" w:type="dxa"/>
            <w:right w:w="15" w:type="dxa"/>
          </w:tblCellMar>
        </w:tblPrEx>
        <w:trPr>
          <w:trHeight w:val="283" w:hRule="atLeast"/>
          <w:jc w:val="center"/>
        </w:trPr>
        <w:tc>
          <w:tcPr>
            <w:tcW w:w="1309" w:type="dxa"/>
            <w:vMerge w:val="continue"/>
            <w:noWrap/>
            <w:vAlign w:val="center"/>
          </w:tcPr>
          <w:p w14:paraId="563CB7C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pacing w:val="11"/>
                <w:sz w:val="24"/>
                <w:szCs w:val="24"/>
              </w:rPr>
            </w:pPr>
          </w:p>
        </w:tc>
        <w:tc>
          <w:tcPr>
            <w:tcW w:w="1988" w:type="dxa"/>
            <w:noWrap/>
            <w:vAlign w:val="center"/>
          </w:tcPr>
          <w:p w14:paraId="5F3948DC">
            <w:pPr>
              <w:keepNext w:val="0"/>
              <w:keepLines w:val="0"/>
              <w:pageBreakBefore w:val="0"/>
              <w:widowControl/>
              <w:kinsoku/>
              <w:wordWrap/>
              <w:overflowPunct/>
              <w:topLinePunct w:val="0"/>
              <w:bidi w:val="0"/>
              <w:snapToGrid/>
              <w:spacing w:line="520" w:lineRule="exact"/>
              <w:ind w:firstLine="131" w:firstLineChars="50"/>
              <w:textAlignment w:val="auto"/>
              <w:rPr>
                <w:rFonts w:cs="宋体" w:asciiTheme="minorEastAsia" w:hAnsiTheme="minorEastAsia" w:eastAsiaTheme="minorEastAsia"/>
                <w:color w:val="auto"/>
                <w:spacing w:val="11"/>
                <w:sz w:val="24"/>
                <w:szCs w:val="24"/>
              </w:rPr>
            </w:pPr>
          </w:p>
        </w:tc>
        <w:tc>
          <w:tcPr>
            <w:tcW w:w="3818" w:type="dxa"/>
            <w:noWrap/>
            <w:vAlign w:val="center"/>
          </w:tcPr>
          <w:p w14:paraId="053C3EC9">
            <w:pPr>
              <w:keepNext w:val="0"/>
              <w:keepLines w:val="0"/>
              <w:pageBreakBefore w:val="0"/>
              <w:widowControl/>
              <w:tabs>
                <w:tab w:val="left" w:pos="0"/>
              </w:tabs>
              <w:kinsoku/>
              <w:wordWrap/>
              <w:overflowPunct/>
              <w:topLinePunct w:val="0"/>
              <w:bidi w:val="0"/>
              <w:snapToGrid/>
              <w:spacing w:line="520" w:lineRule="exact"/>
              <w:jc w:val="left"/>
              <w:textAlignment w:val="auto"/>
              <w:rPr>
                <w:rFonts w:cs="宋体" w:asciiTheme="minorEastAsia" w:hAnsiTheme="minorEastAsia" w:eastAsiaTheme="minorEastAsia"/>
                <w:b/>
                <w:color w:val="auto"/>
                <w:spacing w:val="11"/>
                <w:sz w:val="24"/>
                <w:szCs w:val="24"/>
              </w:rPr>
            </w:pPr>
          </w:p>
        </w:tc>
        <w:tc>
          <w:tcPr>
            <w:tcW w:w="1396" w:type="dxa"/>
            <w:noWrap/>
            <w:vAlign w:val="center"/>
          </w:tcPr>
          <w:p w14:paraId="1082269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pacing w:val="11"/>
                <w:sz w:val="24"/>
                <w:szCs w:val="24"/>
              </w:rPr>
            </w:pPr>
          </w:p>
        </w:tc>
      </w:tr>
    </w:tbl>
    <w:p w14:paraId="688B3502">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（二）工作内容：</w:t>
      </w:r>
    </w:p>
    <w:p w14:paraId="6551C756">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工作小组</w:t>
      </w:r>
      <w:r>
        <w:rPr>
          <w:rFonts w:hint="eastAsia" w:asciiTheme="minorEastAsia" w:hAnsiTheme="minorEastAsia" w:eastAsiaTheme="minorEastAsia"/>
          <w:bCs/>
          <w:color w:val="auto"/>
          <w:sz w:val="24"/>
          <w:szCs w:val="24"/>
        </w:rPr>
        <w:t>设立工作专项办公室，办公室负责人由工作小组成员名单中推荐经项目领导小组通过后产生，</w:t>
      </w:r>
      <w:r>
        <w:rPr>
          <w:rFonts w:hint="eastAsia" w:cs="宋体" w:asciiTheme="minorEastAsia" w:hAnsiTheme="minorEastAsia" w:eastAsiaTheme="minorEastAsia"/>
          <w:bCs/>
          <w:color w:val="auto"/>
          <w:sz w:val="24"/>
          <w:szCs w:val="24"/>
        </w:rPr>
        <w:t>工作小组具体工作内容包括：</w:t>
      </w:r>
    </w:p>
    <w:p w14:paraId="159DCAF2">
      <w:pPr>
        <w:keepNext w:val="0"/>
        <w:keepLines w:val="0"/>
        <w:pageBreakBefore w:val="0"/>
        <w:numPr>
          <w:ilvl w:val="0"/>
          <w:numId w:val="10"/>
        </w:numPr>
        <w:kinsoku/>
        <w:wordWrap/>
        <w:overflowPunct/>
        <w:topLinePunct w:val="0"/>
        <w:bidi w:val="0"/>
        <w:snapToGrid/>
        <w:spacing w:line="520" w:lineRule="exact"/>
        <w:ind w:firstLine="42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接受各方对工作中主要问题的反馈，协商处理办法；</w:t>
      </w:r>
    </w:p>
    <w:p w14:paraId="78CC153E">
      <w:pPr>
        <w:keepNext w:val="0"/>
        <w:keepLines w:val="0"/>
        <w:pageBreakBefore w:val="0"/>
        <w:numPr>
          <w:ilvl w:val="0"/>
          <w:numId w:val="10"/>
        </w:numPr>
        <w:kinsoku/>
        <w:wordWrap/>
        <w:overflowPunct/>
        <w:topLinePunct w:val="0"/>
        <w:bidi w:val="0"/>
        <w:snapToGrid/>
        <w:spacing w:line="520" w:lineRule="exact"/>
        <w:ind w:firstLine="42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组织工作领导小组相关会议和活动；</w:t>
      </w:r>
    </w:p>
    <w:p w14:paraId="723E3E6B">
      <w:pPr>
        <w:keepNext w:val="0"/>
        <w:keepLines w:val="0"/>
        <w:pageBreakBefore w:val="0"/>
        <w:numPr>
          <w:ilvl w:val="0"/>
          <w:numId w:val="10"/>
        </w:numPr>
        <w:kinsoku/>
        <w:wordWrap/>
        <w:overflowPunct/>
        <w:topLinePunct w:val="0"/>
        <w:bidi w:val="0"/>
        <w:snapToGrid/>
        <w:spacing w:line="520" w:lineRule="exact"/>
        <w:ind w:firstLine="42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配合、协助领导小组的工作；</w:t>
      </w:r>
    </w:p>
    <w:p w14:paraId="6FCE822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如上述人员变更调整，需以联席会议确定报甲方备案进行变更。</w:t>
      </w:r>
    </w:p>
    <w:p w14:paraId="2AC2F8C6">
      <w:pPr>
        <w:keepNext w:val="0"/>
        <w:keepLines w:val="0"/>
        <w:pageBreakBefore w:val="0"/>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第四部分 保险产品及承保</w:t>
      </w:r>
    </w:p>
    <w:p w14:paraId="08E32733">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本协议涉及的保险产品包括但不限于保险方案、保险条款等，以竞争性磋商文件、乙方参与该采购产品提交的响应文件以及最终的采购结果为准。</w:t>
      </w:r>
    </w:p>
    <w:p w14:paraId="207061BC">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乙方提供给甲方（投保人/被保险人）投保单以及保险单所列明的有关保险方案内容，与通过泰州市中医院医疗责任等综合保险竞争性磋商文件采购确定的保险产品内容，应当保持一致。</w:t>
      </w:r>
    </w:p>
    <w:p w14:paraId="36A580B1">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本协议签订后，乙方不得在本协议有效期内要求退出本协议产品。</w:t>
      </w:r>
    </w:p>
    <w:p w14:paraId="24B3D6AB">
      <w:pPr>
        <w:keepNext w:val="0"/>
        <w:keepLines w:val="0"/>
        <w:pageBreakBefore w:val="0"/>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第五部分 医疗安全风险预防</w:t>
      </w:r>
    </w:p>
    <w:p w14:paraId="7419454D">
      <w:pPr>
        <w:keepNext w:val="0"/>
        <w:keepLines w:val="0"/>
        <w:pageBreakBefore w:val="0"/>
        <w:widowControl/>
        <w:kinsoku/>
        <w:wordWrap/>
        <w:overflowPunct/>
        <w:topLinePunct w:val="0"/>
        <w:bidi w:val="0"/>
        <w:snapToGrid/>
        <w:spacing w:line="520" w:lineRule="exact"/>
        <w:ind w:firstLine="420"/>
        <w:textAlignment w:val="auto"/>
        <w:rPr>
          <w:rFonts w:cs="仿宋"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1、泰州市中医院医责险等综合保险理赔服务中心会同泰州市医调委专家负责举办保险知识和风险管理培训以提高参保医疗机构相关人员的风险防范能力。</w:t>
      </w:r>
    </w:p>
    <w:p w14:paraId="66A161A5">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2、乙方提供</w:t>
      </w:r>
      <w:r>
        <w:rPr>
          <w:rFonts w:hint="eastAsia" w:ascii="宋体" w:hAnsi="宋体" w:cs="仿宋"/>
          <w:color w:val="auto"/>
          <w:sz w:val="24"/>
          <w:szCs w:val="24"/>
          <w:highlight w:val="none"/>
        </w:rPr>
        <w:t>不得少于</w:t>
      </w:r>
      <w:r>
        <w:rPr>
          <w:rFonts w:hint="eastAsia" w:ascii="宋体" w:hAnsi="宋体" w:cs="仿宋"/>
          <w:color w:val="auto"/>
          <w:sz w:val="24"/>
          <w:szCs w:val="24"/>
          <w:highlight w:val="none"/>
          <w:lang w:val="en-US" w:eastAsia="zh-CN"/>
        </w:rPr>
        <w:t>成交</w:t>
      </w:r>
      <w:r>
        <w:rPr>
          <w:rFonts w:hint="eastAsia" w:ascii="宋体" w:hAnsi="宋体" w:cs="仿宋"/>
          <w:color w:val="auto"/>
          <w:sz w:val="24"/>
          <w:szCs w:val="24"/>
          <w:highlight w:val="none"/>
        </w:rPr>
        <w:t>保费</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含税</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的10%用于医疗机构开展风险防范及相关服务</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该</w:t>
      </w:r>
      <w:r>
        <w:rPr>
          <w:rFonts w:hint="eastAsia" w:ascii="宋体" w:hAnsi="宋体" w:cs="仿宋"/>
          <w:color w:val="auto"/>
          <w:sz w:val="24"/>
          <w:szCs w:val="24"/>
          <w:highlight w:val="none"/>
        </w:rPr>
        <w:t>费用由</w:t>
      </w:r>
      <w:r>
        <w:rPr>
          <w:rFonts w:hint="eastAsia" w:ascii="宋体" w:hAnsi="宋体" w:cs="仿宋"/>
          <w:color w:val="auto"/>
          <w:sz w:val="24"/>
          <w:szCs w:val="24"/>
          <w:highlight w:val="none"/>
          <w:lang w:val="en-US" w:eastAsia="zh-CN"/>
        </w:rPr>
        <w:t>乙方</w:t>
      </w:r>
      <w:r>
        <w:rPr>
          <w:rFonts w:hint="eastAsia" w:ascii="宋体" w:hAnsi="宋体" w:cs="仿宋"/>
          <w:color w:val="auto"/>
          <w:sz w:val="24"/>
          <w:szCs w:val="24"/>
          <w:highlight w:val="none"/>
        </w:rPr>
        <w:t>承担，不</w:t>
      </w:r>
      <w:r>
        <w:rPr>
          <w:rFonts w:hint="eastAsia" w:ascii="宋体" w:hAnsi="宋体" w:cs="仿宋"/>
          <w:color w:val="auto"/>
          <w:sz w:val="24"/>
          <w:szCs w:val="24"/>
          <w:highlight w:val="none"/>
          <w:lang w:val="en-US" w:eastAsia="zh-CN"/>
        </w:rPr>
        <w:t>计入累计</w:t>
      </w:r>
      <w:r>
        <w:rPr>
          <w:rFonts w:hint="eastAsia" w:ascii="宋体" w:hAnsi="宋体" w:cs="宋体"/>
          <w:bCs/>
          <w:color w:val="auto"/>
          <w:sz w:val="24"/>
          <w:szCs w:val="24"/>
          <w:highlight w:val="none"/>
        </w:rPr>
        <w:t>赔偿限额中</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具体服务内容由甲方和乙方商议确定。</w:t>
      </w:r>
    </w:p>
    <w:p w14:paraId="6CE6B07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3、保单到期后，保险期间内生效保单的未了责任及未决赔款仍然有效。</w:t>
      </w:r>
    </w:p>
    <w:p w14:paraId="2E0482A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highlight w:val="none"/>
        </w:rPr>
        <w:t>4、本项目所称医务人员，指执</w:t>
      </w:r>
      <w:r>
        <w:rPr>
          <w:rFonts w:hint="eastAsia" w:cs="宋体" w:asciiTheme="minorEastAsia" w:hAnsiTheme="minorEastAsia" w:eastAsiaTheme="minorEastAsia"/>
          <w:color w:val="auto"/>
          <w:sz w:val="24"/>
          <w:szCs w:val="24"/>
        </w:rPr>
        <w:t>业地点为被保险人的执业（助理）医师、执业护士、药师（士）、检验技师、影像技师（士）等卫生专业人员以及医疗管理人员，包括正式签约医务人员（含返聘专技人员）及实习、进修、规培的医务人员，定义和范围按照《中华人民共和国执业医师法》等相关法律法规确定。</w:t>
      </w:r>
    </w:p>
    <w:p w14:paraId="49F38B4D">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5、本项目承保，则视为医疗机构足额投保，且在保险期限内，乙方不因被保险人医务人员人数等数据的增减而加收或退还保险费。当期产生保险索赔事件</w:t>
      </w:r>
      <w:r>
        <w:rPr>
          <w:rFonts w:hint="eastAsia" w:cs="宋体" w:asciiTheme="minorEastAsia" w:hAnsiTheme="minorEastAsia"/>
          <w:color w:val="auto"/>
          <w:sz w:val="24"/>
          <w:szCs w:val="24"/>
          <w:lang w:val="en-US" w:eastAsia="zh-CN"/>
        </w:rPr>
        <w:t>的</w:t>
      </w:r>
      <w:r>
        <w:rPr>
          <w:rFonts w:hint="eastAsia" w:cs="宋体" w:asciiTheme="minorEastAsia" w:hAnsiTheme="minorEastAsia" w:eastAsiaTheme="minorEastAsia"/>
          <w:color w:val="auto"/>
          <w:sz w:val="24"/>
          <w:szCs w:val="24"/>
        </w:rPr>
        <w:t>医务人员为承保后新增医务人员，供应商仍然承担赔偿责任。</w:t>
      </w:r>
    </w:p>
    <w:p w14:paraId="171E07E1">
      <w:pPr>
        <w:keepNext w:val="0"/>
        <w:keepLines w:val="0"/>
        <w:pageBreakBefore w:val="0"/>
        <w:widowControl/>
        <w:kinsoku/>
        <w:wordWrap/>
        <w:overflowPunct/>
        <w:topLinePunct w:val="0"/>
        <w:bidi w:val="0"/>
        <w:snapToGrid/>
        <w:spacing w:line="520" w:lineRule="exact"/>
        <w:ind w:firstLine="2650" w:firstLineChars="110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第六部分 保险案件赔偿处理办法</w:t>
      </w:r>
    </w:p>
    <w:p w14:paraId="008D8AA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总   则</w:t>
      </w:r>
    </w:p>
    <w:p w14:paraId="59B1F528">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为保护医疗机构、患者和保险公司的合法权益，根据《泰州市中医院医责险等综合保险采购合同》（以下简称《采购协议》）的有关规定，特制订本办法。</w:t>
      </w:r>
    </w:p>
    <w:p w14:paraId="37C7BDA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本办法与《采购协议》正文的约定具有同等法律效力，协议各方共同遵守，《采购协议》未尽事宜以本办法为准。</w:t>
      </w:r>
    </w:p>
    <w:p w14:paraId="6C044F4A">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一、理赔处理中心</w:t>
      </w:r>
    </w:p>
    <w:p w14:paraId="3448C0C6">
      <w:pPr>
        <w:keepNext w:val="0"/>
        <w:keepLines w:val="0"/>
        <w:pageBreakBefore w:val="0"/>
        <w:widowControl/>
        <w:kinsoku/>
        <w:wordWrap/>
        <w:overflowPunct/>
        <w:topLinePunct w:val="0"/>
        <w:bidi w:val="0"/>
        <w:snapToGrid/>
        <w:spacing w:line="520" w:lineRule="exact"/>
        <w:ind w:firstLine="420"/>
        <w:textAlignment w:val="auto"/>
        <w:rPr>
          <w:rFonts w:hint="eastAsia"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hint="eastAsia" w:cs="宋体" w:asciiTheme="minorEastAsia" w:hAnsiTheme="minorEastAsia"/>
          <w:color w:val="auto"/>
          <w:sz w:val="24"/>
          <w:szCs w:val="24"/>
          <w:highlight w:val="none"/>
          <w:lang w:val="en-US" w:eastAsia="zh-CN"/>
        </w:rPr>
        <w:t>承保公司</w:t>
      </w:r>
      <w:r>
        <w:rPr>
          <w:rFonts w:hint="eastAsia" w:cs="宋体" w:asciiTheme="minorEastAsia" w:hAnsiTheme="minorEastAsia" w:eastAsiaTheme="minorEastAsia"/>
          <w:strike w:val="0"/>
          <w:dstrike w:val="0"/>
          <w:color w:val="auto"/>
          <w:sz w:val="24"/>
          <w:szCs w:val="24"/>
          <w:highlight w:val="none"/>
        </w:rPr>
        <w:t>设立</w:t>
      </w:r>
      <w:r>
        <w:rPr>
          <w:rFonts w:hint="eastAsia" w:cs="宋体" w:asciiTheme="minorEastAsia" w:hAnsiTheme="minorEastAsia" w:eastAsiaTheme="minorEastAsia"/>
          <w:color w:val="auto"/>
          <w:sz w:val="24"/>
          <w:szCs w:val="24"/>
          <w:highlight w:val="none"/>
        </w:rPr>
        <w:t>理赔服务中心（以下简称理赔中心）负责本产品保险案件的赔偿处理相关事宜。</w:t>
      </w:r>
    </w:p>
    <w:p w14:paraId="1A284600">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2、理赔服务中心应当遵循公正、公平的原则，依据事实和相关法律、法规、诊疗护理规范、保险合同等，对案件的定性、定责、定损、定赔进行审查，及时完成案件处理。</w:t>
      </w:r>
    </w:p>
    <w:p w14:paraId="53129140">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w:t>
      </w:r>
      <w:r>
        <w:rPr>
          <w:rFonts w:hint="eastAsia" w:cs="宋体" w:asciiTheme="minorEastAsia" w:hAnsiTheme="minorEastAsia"/>
          <w:color w:val="auto"/>
          <w:sz w:val="24"/>
          <w:szCs w:val="24"/>
          <w:highlight w:val="none"/>
          <w:lang w:val="en-US" w:eastAsia="zh-CN"/>
        </w:rPr>
        <w:t>承保公司</w:t>
      </w:r>
      <w:r>
        <w:rPr>
          <w:rFonts w:hint="eastAsia" w:cs="宋体" w:asciiTheme="minorEastAsia" w:hAnsiTheme="minorEastAsia" w:eastAsiaTheme="minorEastAsia"/>
          <w:color w:val="auto"/>
          <w:sz w:val="24"/>
          <w:szCs w:val="24"/>
          <w:highlight w:val="none"/>
        </w:rPr>
        <w:t>理赔部门指定专职人员全力配合理赔中心的工作。</w:t>
      </w:r>
    </w:p>
    <w:p w14:paraId="72C4038F">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二、赔偿处理流程</w:t>
      </w:r>
    </w:p>
    <w:p w14:paraId="25C5818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1、医疗纠纷处理途径</w:t>
      </w:r>
    </w:p>
    <w:p w14:paraId="33544327">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根据国家相关法律法规，医疗纠纷可以通过以下途径进行处理：自行和解、第三方调解、司法诉讼、行政调解和仲裁案件。</w:t>
      </w:r>
    </w:p>
    <w:p w14:paraId="579DC5E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2、报案</w:t>
      </w:r>
    </w:p>
    <w:p w14:paraId="11EA1D73">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根据《采购协议》，患者或其近亲属或其代理人首次向医疗机构提出赔偿请求的时间（即索赔时间）为保险出险时间，发生损害的时间应在保单期内，此时间以下列三个时间中发生在前的为准，保险人有权对出险时间进行核实。</w:t>
      </w:r>
    </w:p>
    <w:p w14:paraId="20CDA4F7">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rPr>
        <w:t>医疗机构出具的投诉登记材料中所载的患方在首次向医疗机构沟通或投诉过程中明确提出索赔要求的时间；或患方提出或同意通过医疗纠纷调解解决纠纷的时间；或患方向医疗机构提起诉讼的</w:t>
      </w:r>
      <w:r>
        <w:rPr>
          <w:rFonts w:hint="eastAsia" w:cs="宋体" w:asciiTheme="minorEastAsia" w:hAnsiTheme="minorEastAsia" w:eastAsiaTheme="minorEastAsia"/>
          <w:color w:val="auto"/>
          <w:sz w:val="24"/>
          <w:szCs w:val="24"/>
          <w:highlight w:val="none"/>
        </w:rPr>
        <w:t>时间；</w:t>
      </w:r>
      <w:r>
        <w:rPr>
          <w:rFonts w:hint="eastAsia" w:cs="宋体" w:asciiTheme="minorEastAsia" w:hAnsiTheme="minorEastAsia"/>
          <w:color w:val="auto"/>
          <w:sz w:val="24"/>
          <w:szCs w:val="24"/>
          <w:highlight w:val="none"/>
          <w:lang w:val="en-US" w:eastAsia="zh-CN"/>
        </w:rPr>
        <w:t>承保公司</w:t>
      </w:r>
      <w:r>
        <w:rPr>
          <w:rFonts w:hint="eastAsia" w:cs="宋体" w:asciiTheme="minorEastAsia" w:hAnsiTheme="minorEastAsia" w:eastAsiaTheme="minorEastAsia"/>
          <w:color w:val="auto"/>
          <w:sz w:val="24"/>
          <w:szCs w:val="24"/>
          <w:highlight w:val="none"/>
        </w:rPr>
        <w:t>设立7*24小时全年不间断受理报案。</w:t>
      </w:r>
    </w:p>
    <w:p w14:paraId="10476243">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3、案件处理</w:t>
      </w:r>
    </w:p>
    <w:p w14:paraId="2D49933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案件处理均应完成定性、定责、定损、定赔。</w:t>
      </w:r>
    </w:p>
    <w:p w14:paraId="10981C4A">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（一）定性，指对医疗机构的诊疗护理活动是否存在过错，以及该过错与患者的损害后果之间是否存在关联性进行判定；</w:t>
      </w:r>
    </w:p>
    <w:p w14:paraId="5402AD2E">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（二）定责，指经定性判定为医疗机构的过错与患者损害后果之间存在因果关系的案件，对医疗机构为患者所受损害所应承担的责任程度进行判定；</w:t>
      </w:r>
    </w:p>
    <w:p w14:paraId="438E3342">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（三）定损，指对因诊疗活动中的过错给患者所造成的经济损失产品进行确定；</w:t>
      </w:r>
    </w:p>
    <w:p w14:paraId="00180608">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（四）定赔，指依据相关法律规定，对患者经济损失产品赔偿金额进行计算。</w:t>
      </w:r>
    </w:p>
    <w:p w14:paraId="0C1169B1">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三、自行和解简易程序</w:t>
      </w:r>
    </w:p>
    <w:p w14:paraId="1B924B4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1、根据《采购协议》，未超过规定权限的，医疗机构在规定金额2万元</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color w:val="auto"/>
          <w:sz w:val="24"/>
          <w:szCs w:val="24"/>
          <w:highlight w:val="none"/>
          <w:lang w:val="en-US" w:eastAsia="zh-CN"/>
        </w:rPr>
        <w:t>含</w:t>
      </w:r>
      <w:r>
        <w:rPr>
          <w:rFonts w:hint="eastAsia" w:cs="宋体" w:asciiTheme="minorEastAsia" w:hAnsiTheme="minorEastAsia"/>
          <w:color w:val="auto"/>
          <w:sz w:val="24"/>
          <w:szCs w:val="24"/>
          <w:highlight w:val="none"/>
          <w:lang w:eastAsia="zh-CN"/>
        </w:rPr>
        <w:t>）</w:t>
      </w:r>
      <w:r>
        <w:rPr>
          <w:rFonts w:hint="eastAsia" w:cs="宋体" w:asciiTheme="minorEastAsia" w:hAnsiTheme="minorEastAsia" w:eastAsiaTheme="minorEastAsia"/>
          <w:color w:val="auto"/>
          <w:sz w:val="24"/>
          <w:szCs w:val="24"/>
          <w:highlight w:val="none"/>
        </w:rPr>
        <w:t>以内采用自行和解简易程序处理的，应当及时通知理赔服务中心，理赔服务中心根据医疗机构要求提供赔偿处理意见，并负责协助向患方收集案件相关材料。</w:t>
      </w:r>
    </w:p>
    <w:p w14:paraId="39AFF88E">
      <w:pPr>
        <w:keepNext w:val="0"/>
        <w:keepLines w:val="0"/>
        <w:pageBreakBefore w:val="0"/>
        <w:widowControl/>
        <w:kinsoku/>
        <w:wordWrap/>
        <w:overflowPunct/>
        <w:topLinePunct w:val="0"/>
        <w:bidi w:val="0"/>
        <w:snapToGrid/>
        <w:spacing w:line="520" w:lineRule="exact"/>
        <w:ind w:firstLine="420"/>
        <w:textAlignment w:val="auto"/>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eastAsiaTheme="minorEastAsia"/>
          <w:color w:val="auto"/>
          <w:sz w:val="24"/>
          <w:szCs w:val="24"/>
          <w:highlight w:val="none"/>
        </w:rPr>
        <w:t>2、医患双方达成和解，签订医患自行和解协议书或通过医疗机构所在地医疗纠纷调解组织签订调解协议书。理赔服务中心应当在和解协议生效之日起3个工作日内完成案件的登记、核实、归档，并将索赔材料提交</w:t>
      </w:r>
      <w:r>
        <w:rPr>
          <w:rFonts w:hint="eastAsia" w:cs="宋体" w:asciiTheme="minorEastAsia" w:hAnsiTheme="minorEastAsia"/>
          <w:color w:val="auto"/>
          <w:sz w:val="24"/>
          <w:szCs w:val="24"/>
          <w:highlight w:val="none"/>
          <w:lang w:val="en-US" w:eastAsia="zh-CN"/>
        </w:rPr>
        <w:t>承保公司</w:t>
      </w:r>
      <w:r>
        <w:rPr>
          <w:rFonts w:hint="eastAsia" w:cs="宋体" w:asciiTheme="minorEastAsia" w:hAnsiTheme="minorEastAsia" w:eastAsiaTheme="minorEastAsia"/>
          <w:color w:val="auto"/>
          <w:sz w:val="24"/>
          <w:szCs w:val="24"/>
          <w:highlight w:val="none"/>
        </w:rPr>
        <w:t>在《采购协议》约定的时效内向医疗机构或者患者支付赔款。</w:t>
      </w:r>
    </w:p>
    <w:p w14:paraId="2DFFD2CD">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四、第三方调解</w:t>
      </w:r>
    </w:p>
    <w:p w14:paraId="3440401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1、理赔服务中心应跟踪、记录参保医疗机构医疗纠纷第三方调解案件受理情况，与泰州市区医疗纠纷调解委员会就医疗纠纷处理情况保持有效沟通。</w:t>
      </w:r>
    </w:p>
    <w:p w14:paraId="1E37AA97">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2、理赔服务中心对于医疗纠纷调解组织不受理或终结调解的案件，应当在1个工作日内与医疗机构取得联系，告知医疗机构后续处理相关注意事项，并全程跟进。</w:t>
      </w:r>
    </w:p>
    <w:p w14:paraId="56D48A1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3、属于保险责任的医疗纠纷案件，医疗纠纷调解组织应视案件的实际情况和复杂程度，由理赔服务中心对医疗纠纷案件进行专业咨询，无论采取何种方式进行咨询，需出具《医疗责任保险案件专家咨询意见》。</w:t>
      </w:r>
    </w:p>
    <w:p w14:paraId="471C6223">
      <w:pPr>
        <w:keepNext w:val="0"/>
        <w:keepLines w:val="0"/>
        <w:pageBreakBefore w:val="0"/>
        <w:widowControl/>
        <w:kinsoku/>
        <w:wordWrap/>
        <w:overflowPunct/>
        <w:topLinePunct w:val="0"/>
        <w:bidi w:val="0"/>
        <w:snapToGrid/>
        <w:spacing w:line="520" w:lineRule="exact"/>
        <w:ind w:firstLine="360" w:firstLineChars="15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泰州市区医患纠纷人民调解委员会参考《医疗责任保险案件专家咨询意见》对患者与医疗机构进行调解，并促成医患双方达成调解协议书。保险公司必须认可“泰州市区医患纠纷人民调解委员会”出具的调解协议书结果并按照相关约定进行理赔。</w:t>
      </w:r>
    </w:p>
    <w:p w14:paraId="33B5244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5、理赔服务中心应当在医患双方签订调解协议后3个工作日内将索赔材料提交乙方，</w:t>
      </w:r>
      <w:r>
        <w:rPr>
          <w:rFonts w:hint="eastAsia" w:cs="宋体" w:asciiTheme="minorEastAsia" w:hAnsiTheme="minorEastAsia"/>
          <w:strike w:val="0"/>
          <w:dstrike w:val="0"/>
          <w:color w:val="auto"/>
          <w:sz w:val="24"/>
          <w:szCs w:val="24"/>
          <w:highlight w:val="none"/>
          <w:lang w:val="en-US" w:eastAsia="zh-CN"/>
        </w:rPr>
        <w:t>乙方</w:t>
      </w:r>
      <w:r>
        <w:rPr>
          <w:rFonts w:hint="eastAsia" w:cs="宋体" w:asciiTheme="minorEastAsia" w:hAnsiTheme="minorEastAsia" w:eastAsiaTheme="minorEastAsia"/>
          <w:color w:val="auto"/>
          <w:sz w:val="24"/>
          <w:szCs w:val="24"/>
          <w:highlight w:val="none"/>
        </w:rPr>
        <w:t>在《采购协议》约定的时效内向医疗机构或者患者支付赔款。</w:t>
      </w:r>
    </w:p>
    <w:p w14:paraId="5E6CCA85">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五、司法诉讼及行政调解</w:t>
      </w:r>
    </w:p>
    <w:p w14:paraId="7F001950">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highlight w:val="none"/>
        </w:rPr>
        <w:t>1、医疗机构在收到法院诉讼传票后3个工作日内，应</w:t>
      </w:r>
      <w:r>
        <w:rPr>
          <w:rFonts w:hint="eastAsia" w:cs="宋体" w:asciiTheme="minorEastAsia" w:hAnsiTheme="minorEastAsia" w:eastAsiaTheme="minorEastAsia"/>
          <w:color w:val="auto"/>
          <w:sz w:val="24"/>
          <w:szCs w:val="24"/>
        </w:rPr>
        <w:t>将法院传票及原告诉状扫描件发至理赔服务中心。</w:t>
      </w:r>
    </w:p>
    <w:p w14:paraId="3CCD0C64">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rPr>
        <w:t>2、当法院决定案件需要进行司</w:t>
      </w:r>
      <w:r>
        <w:rPr>
          <w:rFonts w:hint="eastAsia" w:cs="宋体" w:asciiTheme="minorEastAsia" w:hAnsiTheme="minorEastAsia" w:eastAsiaTheme="minorEastAsia"/>
          <w:color w:val="auto"/>
          <w:sz w:val="24"/>
          <w:szCs w:val="24"/>
          <w:highlight w:val="none"/>
        </w:rPr>
        <w:t>法鉴定时，理赔服务中心在接到医疗机构或代理律师通知后需协助医疗机构和代理律师及时通知</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，各方应重视并共同做好司法鉴定前的准备工作。</w:t>
      </w:r>
    </w:p>
    <w:p w14:paraId="4E99334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3、鉴定机构出具鉴定意见后，理赔服务中心应当及时组织或分别与医疗机构、</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strike w:val="0"/>
          <w:color w:val="auto"/>
          <w:sz w:val="24"/>
          <w:szCs w:val="24"/>
          <w:highlight w:val="none"/>
        </w:rPr>
        <w:t>进行讨论，医疗机构、</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对鉴定意见有异议的，有必要的应当在法庭审理时申请鉴定人出庭质证。</w:t>
      </w:r>
    </w:p>
    <w:p w14:paraId="653C6A6E">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4、医疗机构及其代理律师收到人民法院一审判决书，应在3个工作日内转交理赔中心及</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，医疗机构及</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在收到判决书之日起3个工作日内沟通协商上诉事宜。不需上诉的案件及终审结案案件，理赔中心提供赔偿处理意见，并在判决书生效之日起10个工作日内将索赔材料提交</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在《采购协议》约定的时效内向医疗机构或者患者支付赔款。</w:t>
      </w:r>
    </w:p>
    <w:p w14:paraId="5F362B23">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highlight w:val="none"/>
        </w:rPr>
        <w:t>5、医疗机构在选择司法调解途径前及达成司法调解协议前，应当就拟达成调解协议的内容征得</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意见。</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应当在司法调解达成一致意见前，与理赔服务中心协商并出具赔偿处理意见，医疗机构根据赔偿处理意见</w:t>
      </w:r>
      <w:r>
        <w:rPr>
          <w:rFonts w:hint="eastAsia" w:cs="宋体" w:asciiTheme="minorEastAsia" w:hAnsiTheme="minorEastAsia" w:eastAsiaTheme="minorEastAsia"/>
          <w:color w:val="auto"/>
          <w:sz w:val="24"/>
          <w:szCs w:val="24"/>
        </w:rPr>
        <w:t>，参与司法调解。</w:t>
      </w:r>
    </w:p>
    <w:p w14:paraId="60A4F69E">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6、医疗纠纷案件通过行政调解途径进行处理的，其处理流程参照司法调解流程。</w:t>
      </w:r>
    </w:p>
    <w:p w14:paraId="4C893A7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7、案件通过司法诉讼或行政调解途径解决过程中，当事人申请撤回诉讼或行政调解的，后向医疗纠纷调解组织申请第三方调解，医疗纠纷调解组织可以受理，其处理流程参照第三方调解。</w:t>
      </w:r>
    </w:p>
    <w:p w14:paraId="25803868">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rPr>
        <w:t>8、医</w:t>
      </w:r>
      <w:r>
        <w:rPr>
          <w:rFonts w:hint="eastAsia" w:cs="宋体" w:asciiTheme="minorEastAsia" w:hAnsiTheme="minorEastAsia" w:eastAsiaTheme="minorEastAsia"/>
          <w:color w:val="auto"/>
          <w:sz w:val="24"/>
          <w:szCs w:val="24"/>
          <w:highlight w:val="none"/>
        </w:rPr>
        <w:t>疗机构、理赔服务中心、</w:t>
      </w:r>
      <w:r>
        <w:rPr>
          <w:rFonts w:hint="eastAsia" w:cs="宋体" w:asciiTheme="minorEastAsia" w:hAnsiTheme="minorEastAsia" w:eastAsiaTheme="minorEastAsia"/>
          <w:strike w:val="0"/>
          <w:dstrike w:val="0"/>
          <w:color w:val="auto"/>
          <w:sz w:val="24"/>
          <w:szCs w:val="24"/>
          <w:highlight w:val="none"/>
        </w:rPr>
        <w:t>承保公司</w:t>
      </w:r>
      <w:r>
        <w:rPr>
          <w:rFonts w:hint="eastAsia" w:cs="宋体" w:asciiTheme="minorEastAsia" w:hAnsiTheme="minorEastAsia" w:eastAsiaTheme="minorEastAsia"/>
          <w:color w:val="auto"/>
          <w:sz w:val="24"/>
          <w:szCs w:val="24"/>
          <w:highlight w:val="none"/>
        </w:rPr>
        <w:t>按照本办法《诉讼案件操作细则》，完成诉讼案件处置工作。</w:t>
      </w:r>
    </w:p>
    <w:p w14:paraId="5EBB6D5D">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六、案件索赔材料清单</w:t>
      </w:r>
    </w:p>
    <w:p w14:paraId="61545EBC">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1、理赔中心应本着实事求是的原则，尊重客观事实，协助医疗机构收集并整理索赔资料。承保</w:t>
      </w:r>
      <w:r>
        <w:rPr>
          <w:rFonts w:hint="eastAsia" w:cs="宋体" w:asciiTheme="minorEastAsia" w:hAnsiTheme="minorEastAsia"/>
          <w:color w:val="auto"/>
          <w:sz w:val="24"/>
          <w:szCs w:val="24"/>
          <w:highlight w:val="none"/>
          <w:lang w:val="en-US" w:eastAsia="zh-CN"/>
        </w:rPr>
        <w:t>公司</w:t>
      </w:r>
      <w:r>
        <w:rPr>
          <w:rFonts w:hint="eastAsia" w:cs="宋体" w:asciiTheme="minorEastAsia" w:hAnsiTheme="minorEastAsia" w:eastAsiaTheme="minorEastAsia"/>
          <w:color w:val="auto"/>
          <w:sz w:val="24"/>
          <w:szCs w:val="24"/>
          <w:highlight w:val="none"/>
        </w:rPr>
        <w:t>不得以以往的工作习惯及理赔标准，对于索赔材料提出额外的要求，承保</w:t>
      </w:r>
      <w:r>
        <w:rPr>
          <w:rFonts w:hint="eastAsia" w:cs="宋体" w:asciiTheme="minorEastAsia" w:hAnsiTheme="minorEastAsia"/>
          <w:color w:val="auto"/>
          <w:sz w:val="24"/>
          <w:szCs w:val="24"/>
          <w:highlight w:val="none"/>
          <w:lang w:val="en-US" w:eastAsia="zh-CN"/>
        </w:rPr>
        <w:t>公司</w:t>
      </w:r>
      <w:r>
        <w:rPr>
          <w:rFonts w:hint="eastAsia" w:cs="宋体" w:asciiTheme="minorEastAsia" w:hAnsiTheme="minorEastAsia" w:eastAsiaTheme="minorEastAsia"/>
          <w:color w:val="auto"/>
          <w:sz w:val="24"/>
          <w:szCs w:val="24"/>
          <w:highlight w:val="none"/>
        </w:rPr>
        <w:t>应当依据下列单证进行保险赔偿，不再要求当事人提交其他单证。</w:t>
      </w:r>
      <w:r>
        <w:rPr>
          <w:rFonts w:hint="eastAsia" w:cs="宋体" w:asciiTheme="minorEastAsia" w:hAnsiTheme="minorEastAsia" w:eastAsiaTheme="minorEastAsia"/>
          <w:color w:val="auto"/>
          <w:sz w:val="24"/>
          <w:szCs w:val="24"/>
          <w:highlight w:val="none"/>
        </w:rPr>
        <w:tab/>
      </w:r>
    </w:p>
    <w:tbl>
      <w:tblPr>
        <w:tblStyle w:val="47"/>
        <w:tblW w:w="9293" w:type="dxa"/>
        <w:jc w:val="center"/>
        <w:tblLayout w:type="fixed"/>
        <w:tblCellMar>
          <w:top w:w="0" w:type="dxa"/>
          <w:left w:w="0" w:type="dxa"/>
          <w:bottom w:w="0" w:type="dxa"/>
          <w:right w:w="0" w:type="dxa"/>
        </w:tblCellMar>
      </w:tblPr>
      <w:tblGrid>
        <w:gridCol w:w="927"/>
        <w:gridCol w:w="4069"/>
        <w:gridCol w:w="822"/>
        <w:gridCol w:w="1180"/>
        <w:gridCol w:w="1180"/>
        <w:gridCol w:w="1115"/>
      </w:tblGrid>
      <w:tr w14:paraId="7FBB559C">
        <w:tblPrEx>
          <w:tblCellMar>
            <w:top w:w="0" w:type="dxa"/>
            <w:left w:w="0" w:type="dxa"/>
            <w:bottom w:w="0" w:type="dxa"/>
            <w:right w:w="0" w:type="dxa"/>
          </w:tblCellMar>
        </w:tblPrEx>
        <w:trPr>
          <w:trHeight w:val="849"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342FAFD">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序号</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A4D3F2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索赔单证</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754B507">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第三方调解</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92E3419">
            <w:pPr>
              <w:keepNext w:val="0"/>
              <w:keepLines w:val="0"/>
              <w:pageBreakBefore w:val="0"/>
              <w:widowControl/>
              <w:kinsoku/>
              <w:wordWrap/>
              <w:overflowPunct/>
              <w:topLinePunct w:val="0"/>
              <w:bidi w:val="0"/>
              <w:snapToGrid/>
              <w:spacing w:line="240" w:lineRule="auto"/>
              <w:ind w:firstLine="120" w:firstLineChars="5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司法诉讼</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42237E1">
            <w:pPr>
              <w:keepNext w:val="0"/>
              <w:keepLines w:val="0"/>
              <w:pageBreakBefore w:val="0"/>
              <w:widowControl/>
              <w:kinsoku/>
              <w:wordWrap/>
              <w:overflowPunct/>
              <w:topLinePunct w:val="0"/>
              <w:bidi w:val="0"/>
              <w:snapToGrid/>
              <w:spacing w:line="240" w:lineRule="auto"/>
              <w:ind w:firstLine="120" w:firstLineChars="5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司法调解</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2E75505">
            <w:pPr>
              <w:keepNext w:val="0"/>
              <w:keepLines w:val="0"/>
              <w:pageBreakBefore w:val="0"/>
              <w:widowControl/>
              <w:kinsoku/>
              <w:wordWrap/>
              <w:overflowPunct/>
              <w:topLinePunct w:val="0"/>
              <w:bidi w:val="0"/>
              <w:snapToGrid/>
              <w:spacing w:line="240" w:lineRule="auto"/>
              <w:ind w:firstLine="120" w:firstLineChars="5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行政调解</w:t>
            </w:r>
          </w:p>
        </w:tc>
      </w:tr>
      <w:tr w14:paraId="4ED8FD0A">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1F8B4C1">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D735465">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索赔申请书</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B2396EA">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9DBE0EC">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0C5367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2FD7390">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20E0243B">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F062493">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93DFDE2">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医疗纠纷调解组织主持签订的医疗纠纷调解协议书</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EE4A4C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28A64D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C8FCEBA">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2FCE89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4FB66922">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BD0CFFD">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22FAC3B">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医疗技术鉴定意见书、司法过错鉴定意见书</w:t>
            </w:r>
          </w:p>
        </w:tc>
        <w:tc>
          <w:tcPr>
            <w:tcW w:w="4297" w:type="dxa"/>
            <w:gridSpan w:val="4"/>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E469476">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如有需提供</w:t>
            </w:r>
          </w:p>
        </w:tc>
      </w:tr>
      <w:tr w14:paraId="6118525B">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69C0441">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85B3140">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开庭传票、司法判决书等诉讼相关文件</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9AFFB2E">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C800798">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85F962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6C9E5DC">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387DFBA7">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5EE80C9">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BE60D54">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损失及赔偿金额计算所需单证</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3399BD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07A941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C4C383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3093604">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151690A4">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8C0A7F3">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6</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2612F80">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赔款支付通知书</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6E627D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9C2081D">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6938E2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A0EE8E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r w14:paraId="78B8FD08">
        <w:tblPrEx>
          <w:tblCellMar>
            <w:top w:w="0" w:type="dxa"/>
            <w:left w:w="0" w:type="dxa"/>
            <w:bottom w:w="0" w:type="dxa"/>
            <w:right w:w="0" w:type="dxa"/>
          </w:tblCellMar>
        </w:tblPrEx>
        <w:trPr>
          <w:trHeight w:val="280" w:hRule="atLeast"/>
          <w:jc w:val="center"/>
        </w:trPr>
        <w:tc>
          <w:tcPr>
            <w:tcW w:w="927"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17E5048">
            <w:pPr>
              <w:keepNext w:val="0"/>
              <w:keepLines w:val="0"/>
              <w:pageBreakBefore w:val="0"/>
              <w:widowControl/>
              <w:kinsoku/>
              <w:wordWrap/>
              <w:overflowPunct/>
              <w:topLinePunct w:val="0"/>
              <w:bidi w:val="0"/>
              <w:snapToGrid/>
              <w:spacing w:line="520" w:lineRule="exact"/>
              <w:ind w:firstLine="120" w:firstLineChars="50"/>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7</w:t>
            </w:r>
          </w:p>
        </w:tc>
        <w:tc>
          <w:tcPr>
            <w:tcW w:w="406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AACE55F">
            <w:pPr>
              <w:keepNext w:val="0"/>
              <w:keepLines w:val="0"/>
              <w:pageBreakBefore w:val="0"/>
              <w:widowControl/>
              <w:kinsoku/>
              <w:wordWrap/>
              <w:overflowPunct/>
              <w:topLinePunct w:val="0"/>
              <w:bidi w:val="0"/>
              <w:snapToGrid/>
              <w:spacing w:line="240" w:lineRule="auto"/>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理赔中心认为其它有必要的单证</w:t>
            </w:r>
          </w:p>
        </w:tc>
        <w:tc>
          <w:tcPr>
            <w:tcW w:w="822"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741C72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93D3BC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B6A1492">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92E2146">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p>
        </w:tc>
      </w:tr>
    </w:tbl>
    <w:p w14:paraId="6BD5D721">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损失及赔偿金额计算所需单证包括：患方身份证明材料、患者的死亡证明、患者伤残等级证明、误工费及收入证明材料、医疗费用证明材料、护理费用证明材料、患者病历资料复印件、其他费用材料。</w:t>
      </w:r>
    </w:p>
    <w:p w14:paraId="696189D4">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2、损害赔偿产品及标准</w:t>
      </w:r>
    </w:p>
    <w:p w14:paraId="192D544D">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bookmarkStart w:id="178" w:name="OLE_LINK1"/>
      <w:bookmarkStart w:id="179" w:name="OLE_LINK2"/>
      <w:r>
        <w:rPr>
          <w:rFonts w:hint="eastAsia" w:cs="宋体" w:asciiTheme="minorEastAsia" w:hAnsiTheme="minorEastAsia" w:eastAsiaTheme="minorEastAsia"/>
          <w:color w:val="auto"/>
          <w:sz w:val="24"/>
          <w:szCs w:val="24"/>
        </w:rPr>
        <w:t>依照《采购协议》约定，在《中华人民共和国民法典》及《最高人民法院关于审理人身损害赔偿案件适用法律若干问题的解释》的基础上，泰州市中医院医疗责任保险等综合保险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以及计算患者死亡赔偿金、患者残疾赔偿金、残疾辅助器具费、后续治疗费、丧葬费等，具体实施均以江苏省高级人民法院的相关规定为准。</w:t>
      </w:r>
    </w:p>
    <w:bookmarkEnd w:id="178"/>
    <w:bookmarkEnd w:id="179"/>
    <w:p w14:paraId="239A6F54">
      <w:pPr>
        <w:keepNext w:val="0"/>
        <w:keepLines w:val="0"/>
        <w:pageBreakBefore w:val="0"/>
        <w:widowControl/>
        <w:kinsoku/>
        <w:wordWrap/>
        <w:overflowPunct/>
        <w:topLinePunct w:val="0"/>
        <w:bidi w:val="0"/>
        <w:snapToGrid/>
        <w:spacing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3、其他事项</w:t>
      </w:r>
    </w:p>
    <w:p w14:paraId="531876B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发生保险责任范围内的保险事故，医疗机构在保险事故中承担的责任度，根据2021年11月17日司法部下发的《人身损害与疾病因果关系判定指南》（附录A），按照人身损害在疾病后果中的原因力大小（因果关系类型），依次将人身损害参与程度分为以下六个等级：完全因果关系：96%～100%；主要因果关系：56%～95%</w:t>
      </w:r>
      <w:r>
        <w:rPr>
          <w:rFonts w:hint="eastAsia" w:cs="宋体" w:asciiTheme="minorEastAsia" w:hAnsiTheme="minorEastAsia"/>
          <w:color w:val="auto"/>
          <w:sz w:val="24"/>
          <w:szCs w:val="24"/>
          <w:lang w:eastAsia="zh-CN"/>
        </w:rPr>
        <w:t>；</w:t>
      </w:r>
      <w:r>
        <w:rPr>
          <w:rFonts w:hint="eastAsia" w:cs="宋体" w:asciiTheme="minorEastAsia" w:hAnsiTheme="minorEastAsia" w:eastAsiaTheme="minorEastAsia"/>
          <w:color w:val="auto"/>
          <w:sz w:val="24"/>
          <w:szCs w:val="24"/>
        </w:rPr>
        <w:t>同等因果关系：45%～55%；次要因果关系：16%～44%；轻微因果关系：5%～15%； 没有因果关系：0%～4%。原因力大小以生效法律文书为准。</w:t>
      </w:r>
    </w:p>
    <w:p w14:paraId="22850EE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4、发生保险责任范围内的保险事故，根据医疗机构提供的索赔材料，参考案件的损害范围、受害人的经济承担能力等因素，在每次事故每位患者公平原则限额内酌情赔偿。</w:t>
      </w:r>
    </w:p>
    <w:p w14:paraId="5B48865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5、对于第三方侵权（如交通事故等）合并发生医疗责任保险案件，赔偿主体除医疗机构外尚有其他主体的，医疗纠纷调解组织需对患者外伤入院时的不良预后风险及医疗机构的医疗过错责任进行咨询，保险公司应承担相应的赔偿责任，认可或出具相应的分割单，同时不得以要求患者先行处理第三方侵权事件为由拒绝赔偿或拖延赔偿。</w:t>
      </w:r>
    </w:p>
    <w:p w14:paraId="41762171">
      <w:pPr>
        <w:pStyle w:val="691"/>
        <w:keepNext w:val="0"/>
        <w:keepLines w:val="0"/>
        <w:pageBreakBefore w:val="0"/>
        <w:numPr>
          <w:ilvl w:val="0"/>
          <w:numId w:val="0"/>
        </w:numPr>
        <w:kinsoku/>
        <w:wordWrap/>
        <w:overflowPunct/>
        <w:topLinePunct w:val="0"/>
        <w:bidi w:val="0"/>
        <w:snapToGrid/>
        <w:spacing w:line="520" w:lineRule="exact"/>
        <w:ind w:leftChars="0" w:firstLine="480" w:firstLineChars="200"/>
        <w:textAlignment w:val="auto"/>
        <w:rPr>
          <w:rFonts w:asciiTheme="minorEastAsia" w:hAnsiTheme="minorEastAsia" w:eastAsiaTheme="minorEastAsia"/>
          <w:b/>
          <w:color w:val="auto"/>
          <w:sz w:val="24"/>
          <w:szCs w:val="24"/>
        </w:rPr>
      </w:pPr>
      <w:r>
        <w:rPr>
          <w:rFonts w:hint="eastAsia" w:asciiTheme="minorEastAsia" w:hAnsiTheme="minorEastAsia"/>
          <w:color w:val="auto"/>
          <w:sz w:val="24"/>
          <w:szCs w:val="24"/>
          <w:lang w:val="en-US" w:eastAsia="zh-CN"/>
        </w:rPr>
        <w:t>七、</w:t>
      </w:r>
      <w:r>
        <w:rPr>
          <w:rFonts w:hint="eastAsia" w:asciiTheme="minorEastAsia" w:hAnsiTheme="minorEastAsia" w:eastAsiaTheme="minorEastAsia"/>
          <w:color w:val="auto"/>
          <w:sz w:val="24"/>
          <w:szCs w:val="24"/>
        </w:rPr>
        <w:t>赔款支付注意事项</w:t>
      </w:r>
    </w:p>
    <w:p w14:paraId="20FABB74">
      <w:pPr>
        <w:pStyle w:val="691"/>
        <w:keepNext w:val="0"/>
        <w:keepLines w:val="0"/>
        <w:pageBreakBefore w:val="0"/>
        <w:numPr>
          <w:ilvl w:val="0"/>
          <w:numId w:val="11"/>
        </w:numPr>
        <w:kinsoku/>
        <w:wordWrap/>
        <w:overflowPunct/>
        <w:topLinePunct w:val="0"/>
        <w:bidi w:val="0"/>
        <w:snapToGrid/>
        <w:spacing w:line="520" w:lineRule="exact"/>
        <w:textAlignment w:val="auto"/>
        <w:rPr>
          <w:rFonts w:asciiTheme="minorEastAsia" w:hAnsiTheme="minorEastAsia" w:eastAsiaTheme="minorEastAsia"/>
          <w:bCs/>
          <w:strike w:val="0"/>
          <w:dstrike w:val="0"/>
          <w:color w:val="auto"/>
          <w:sz w:val="24"/>
          <w:szCs w:val="24"/>
          <w:highlight w:val="none"/>
        </w:rPr>
      </w:pPr>
      <w:r>
        <w:rPr>
          <w:rFonts w:hint="eastAsia" w:asciiTheme="minorEastAsia" w:hAnsiTheme="minorEastAsia" w:eastAsiaTheme="minorEastAsia"/>
          <w:bCs/>
          <w:strike w:val="0"/>
          <w:dstrike w:val="0"/>
          <w:color w:val="auto"/>
          <w:sz w:val="24"/>
          <w:szCs w:val="24"/>
          <w:highlight w:val="none"/>
        </w:rPr>
        <w:t>承保公司不得影响支付赔款时效。</w:t>
      </w:r>
    </w:p>
    <w:p w14:paraId="36A0AAF4">
      <w:pPr>
        <w:keepNext w:val="0"/>
        <w:keepLines w:val="0"/>
        <w:pageBreakBefore w:val="0"/>
        <w:widowControl/>
        <w:numPr>
          <w:ilvl w:val="0"/>
          <w:numId w:val="11"/>
        </w:numPr>
        <w:kinsoku/>
        <w:wordWrap/>
        <w:overflowPunct/>
        <w:topLinePunct w:val="0"/>
        <w:bidi w:val="0"/>
        <w:snapToGrid/>
        <w:spacing w:line="520" w:lineRule="exact"/>
        <w:ind w:firstLine="420"/>
        <w:textAlignment w:val="auto"/>
        <w:rPr>
          <w:rFonts w:cs="宋体" w:asciiTheme="minorEastAsia" w:hAnsiTheme="minorEastAsia" w:eastAsiaTheme="minorEastAsia"/>
          <w:b/>
          <w:bCs/>
          <w:strike w:val="0"/>
          <w:dstrike w:val="0"/>
          <w:color w:val="auto"/>
          <w:sz w:val="24"/>
          <w:szCs w:val="24"/>
          <w:highlight w:val="none"/>
        </w:rPr>
      </w:pPr>
      <w:r>
        <w:rPr>
          <w:rFonts w:hint="eastAsia" w:asciiTheme="minorEastAsia" w:hAnsiTheme="minorEastAsia" w:eastAsiaTheme="minorEastAsia"/>
          <w:bCs/>
          <w:strike w:val="0"/>
          <w:dstrike w:val="0"/>
          <w:color w:val="auto"/>
          <w:sz w:val="24"/>
          <w:szCs w:val="24"/>
          <w:highlight w:val="none"/>
        </w:rPr>
        <w:t>承保公司</w:t>
      </w:r>
      <w:r>
        <w:rPr>
          <w:rFonts w:hint="eastAsia" w:cs="宋体" w:asciiTheme="minorEastAsia" w:hAnsiTheme="minorEastAsia" w:eastAsiaTheme="minorEastAsia"/>
          <w:bCs/>
          <w:strike w:val="0"/>
          <w:dstrike w:val="0"/>
          <w:color w:val="auto"/>
          <w:sz w:val="24"/>
          <w:szCs w:val="24"/>
          <w:highlight w:val="none"/>
        </w:rPr>
        <w:t>同意，除另有约定外，在接到理赔服务中心出具的《泰州市中医院医责险等综合保险赔款支付通知书》及按照协议约定收集的索赔材料后，按照以下时限向被保险人或第三者支付赔款：</w:t>
      </w:r>
    </w:p>
    <w:tbl>
      <w:tblPr>
        <w:tblStyle w:val="47"/>
        <w:tblW w:w="8421" w:type="dxa"/>
        <w:jc w:val="center"/>
        <w:tblLayout w:type="fixed"/>
        <w:tblCellMar>
          <w:top w:w="0" w:type="dxa"/>
          <w:left w:w="108" w:type="dxa"/>
          <w:bottom w:w="0" w:type="dxa"/>
          <w:right w:w="108" w:type="dxa"/>
        </w:tblCellMar>
      </w:tblPr>
      <w:tblGrid>
        <w:gridCol w:w="844"/>
        <w:gridCol w:w="4830"/>
        <w:gridCol w:w="2747"/>
      </w:tblGrid>
      <w:tr w14:paraId="5EC251E8">
        <w:trPr>
          <w:trHeight w:val="377" w:hRule="atLeast"/>
          <w:jc w:val="center"/>
        </w:trPr>
        <w:tc>
          <w:tcPr>
            <w:tcW w:w="844" w:type="dxa"/>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CEC32DB">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序号</w:t>
            </w:r>
          </w:p>
        </w:tc>
        <w:tc>
          <w:tcPr>
            <w:tcW w:w="4830" w:type="dxa"/>
            <w:tcBorders>
              <w:top w:val="single" w:color="000000" w:sz="4" w:space="0"/>
              <w:left w:val="nil"/>
              <w:bottom w:val="single" w:color="000000" w:sz="4" w:space="0"/>
              <w:right w:val="single" w:color="000000" w:sz="4" w:space="0"/>
            </w:tcBorders>
            <w:shd w:val="clear" w:color="auto" w:fill="D9D9D9"/>
            <w:noWrap/>
            <w:vAlign w:val="center"/>
          </w:tcPr>
          <w:p w14:paraId="12E53AB9">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赔款金额</w:t>
            </w:r>
          </w:p>
        </w:tc>
        <w:tc>
          <w:tcPr>
            <w:tcW w:w="2747" w:type="dxa"/>
            <w:tcBorders>
              <w:top w:val="single" w:color="000000" w:sz="4" w:space="0"/>
              <w:left w:val="nil"/>
              <w:bottom w:val="single" w:color="000000" w:sz="4" w:space="0"/>
              <w:right w:val="single" w:color="000000" w:sz="4" w:space="0"/>
            </w:tcBorders>
            <w:shd w:val="clear" w:color="auto" w:fill="D9D9D9"/>
            <w:noWrap/>
            <w:vAlign w:val="center"/>
          </w:tcPr>
          <w:p w14:paraId="4B8112F8">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赔付时效</w:t>
            </w:r>
          </w:p>
        </w:tc>
      </w:tr>
      <w:tr w14:paraId="008930F9">
        <w:tblPrEx>
          <w:tblCellMar>
            <w:top w:w="0" w:type="dxa"/>
            <w:left w:w="108" w:type="dxa"/>
            <w:bottom w:w="0" w:type="dxa"/>
            <w:right w:w="108" w:type="dxa"/>
          </w:tblCellMar>
        </w:tblPrEx>
        <w:trPr>
          <w:trHeight w:val="377" w:hRule="atLeast"/>
          <w:jc w:val="center"/>
        </w:trPr>
        <w:tc>
          <w:tcPr>
            <w:tcW w:w="844" w:type="dxa"/>
            <w:tcBorders>
              <w:top w:val="single" w:color="000000" w:sz="4" w:space="0"/>
              <w:left w:val="single" w:color="000000" w:sz="4" w:space="0"/>
              <w:bottom w:val="single" w:color="000000" w:sz="4" w:space="0"/>
              <w:right w:val="single" w:color="000000" w:sz="4" w:space="0"/>
            </w:tcBorders>
            <w:noWrap/>
            <w:vAlign w:val="center"/>
          </w:tcPr>
          <w:p w14:paraId="59370724">
            <w:pPr>
              <w:keepNext w:val="0"/>
              <w:keepLines w:val="0"/>
              <w:pageBreakBefore w:val="0"/>
              <w:widowControl/>
              <w:kinsoku/>
              <w:wordWrap/>
              <w:overflowPunct/>
              <w:topLinePunct w:val="0"/>
              <w:bidi w:val="0"/>
              <w:snapToGrid/>
              <w:spacing w:line="520" w:lineRule="exact"/>
              <w:ind w:firstLine="20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w:t>
            </w:r>
          </w:p>
        </w:tc>
        <w:tc>
          <w:tcPr>
            <w:tcW w:w="4830" w:type="dxa"/>
            <w:tcBorders>
              <w:top w:val="single" w:color="000000" w:sz="4" w:space="0"/>
              <w:left w:val="nil"/>
              <w:bottom w:val="single" w:color="000000" w:sz="4" w:space="0"/>
              <w:right w:val="single" w:color="000000" w:sz="4" w:space="0"/>
            </w:tcBorders>
            <w:noWrap/>
            <w:vAlign w:val="center"/>
          </w:tcPr>
          <w:p w14:paraId="0DE16D21">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赔款金额≤RMB5000元</w:t>
            </w:r>
          </w:p>
        </w:tc>
        <w:tc>
          <w:tcPr>
            <w:tcW w:w="2747" w:type="dxa"/>
            <w:tcBorders>
              <w:top w:val="single" w:color="000000" w:sz="4" w:space="0"/>
              <w:left w:val="nil"/>
              <w:bottom w:val="single" w:color="000000" w:sz="4" w:space="0"/>
              <w:right w:val="single" w:color="000000" w:sz="4" w:space="0"/>
            </w:tcBorders>
            <w:noWrap/>
            <w:vAlign w:val="center"/>
          </w:tcPr>
          <w:p w14:paraId="6A533B40">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3个工作日内支付</w:t>
            </w:r>
          </w:p>
        </w:tc>
      </w:tr>
      <w:tr w14:paraId="70462B3E">
        <w:tblPrEx>
          <w:tblCellMar>
            <w:top w:w="0" w:type="dxa"/>
            <w:left w:w="108" w:type="dxa"/>
            <w:bottom w:w="0" w:type="dxa"/>
            <w:right w:w="108" w:type="dxa"/>
          </w:tblCellMar>
        </w:tblPrEx>
        <w:trPr>
          <w:trHeight w:val="377" w:hRule="atLeast"/>
          <w:jc w:val="center"/>
        </w:trPr>
        <w:tc>
          <w:tcPr>
            <w:tcW w:w="844" w:type="dxa"/>
            <w:tcBorders>
              <w:top w:val="single" w:color="000000" w:sz="4" w:space="0"/>
              <w:left w:val="single" w:color="000000" w:sz="4" w:space="0"/>
              <w:bottom w:val="single" w:color="000000" w:sz="4" w:space="0"/>
              <w:right w:val="single" w:color="000000" w:sz="4" w:space="0"/>
            </w:tcBorders>
            <w:noWrap/>
            <w:vAlign w:val="center"/>
          </w:tcPr>
          <w:p w14:paraId="4A3B1102">
            <w:pPr>
              <w:keepNext w:val="0"/>
              <w:keepLines w:val="0"/>
              <w:pageBreakBefore w:val="0"/>
              <w:widowControl/>
              <w:kinsoku/>
              <w:wordWrap/>
              <w:overflowPunct/>
              <w:topLinePunct w:val="0"/>
              <w:bidi w:val="0"/>
              <w:snapToGrid/>
              <w:spacing w:line="520" w:lineRule="exact"/>
              <w:ind w:firstLine="20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2</w:t>
            </w:r>
          </w:p>
        </w:tc>
        <w:tc>
          <w:tcPr>
            <w:tcW w:w="4830" w:type="dxa"/>
            <w:tcBorders>
              <w:top w:val="single" w:color="000000" w:sz="4" w:space="0"/>
              <w:left w:val="nil"/>
              <w:bottom w:val="single" w:color="000000" w:sz="4" w:space="0"/>
              <w:right w:val="single" w:color="000000" w:sz="4" w:space="0"/>
            </w:tcBorders>
            <w:noWrap/>
            <w:vAlign w:val="center"/>
          </w:tcPr>
          <w:p w14:paraId="7C982068">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RMB5000元＜赔款金额≤RMB50000元</w:t>
            </w:r>
          </w:p>
        </w:tc>
        <w:tc>
          <w:tcPr>
            <w:tcW w:w="2747" w:type="dxa"/>
            <w:tcBorders>
              <w:top w:val="single" w:color="000000" w:sz="4" w:space="0"/>
              <w:left w:val="nil"/>
              <w:bottom w:val="single" w:color="000000" w:sz="4" w:space="0"/>
              <w:right w:val="single" w:color="000000" w:sz="4" w:space="0"/>
            </w:tcBorders>
            <w:noWrap/>
            <w:vAlign w:val="center"/>
          </w:tcPr>
          <w:p w14:paraId="294992F8">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5个工作日内支付</w:t>
            </w:r>
          </w:p>
        </w:tc>
      </w:tr>
      <w:tr w14:paraId="56014B7B">
        <w:tblPrEx>
          <w:tblCellMar>
            <w:top w:w="0" w:type="dxa"/>
            <w:left w:w="108" w:type="dxa"/>
            <w:bottom w:w="0" w:type="dxa"/>
            <w:right w:w="108" w:type="dxa"/>
          </w:tblCellMar>
        </w:tblPrEx>
        <w:trPr>
          <w:trHeight w:val="358" w:hRule="atLeast"/>
          <w:jc w:val="center"/>
        </w:trPr>
        <w:tc>
          <w:tcPr>
            <w:tcW w:w="844" w:type="dxa"/>
            <w:tcBorders>
              <w:top w:val="single" w:color="000000" w:sz="4" w:space="0"/>
              <w:left w:val="single" w:color="000000" w:sz="4" w:space="0"/>
              <w:bottom w:val="single" w:color="000000" w:sz="4" w:space="0"/>
              <w:right w:val="single" w:color="000000" w:sz="4" w:space="0"/>
            </w:tcBorders>
            <w:noWrap/>
            <w:vAlign w:val="center"/>
          </w:tcPr>
          <w:p w14:paraId="2D842E98">
            <w:pPr>
              <w:keepNext w:val="0"/>
              <w:keepLines w:val="0"/>
              <w:pageBreakBefore w:val="0"/>
              <w:widowControl/>
              <w:kinsoku/>
              <w:wordWrap/>
              <w:overflowPunct/>
              <w:topLinePunct w:val="0"/>
              <w:bidi w:val="0"/>
              <w:snapToGrid/>
              <w:spacing w:line="520" w:lineRule="exact"/>
              <w:ind w:firstLine="20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3</w:t>
            </w:r>
          </w:p>
        </w:tc>
        <w:tc>
          <w:tcPr>
            <w:tcW w:w="4830" w:type="dxa"/>
            <w:tcBorders>
              <w:top w:val="single" w:color="000000" w:sz="4" w:space="0"/>
              <w:left w:val="nil"/>
              <w:bottom w:val="single" w:color="000000" w:sz="4" w:space="0"/>
              <w:right w:val="single" w:color="000000" w:sz="4" w:space="0"/>
            </w:tcBorders>
            <w:noWrap/>
            <w:vAlign w:val="center"/>
          </w:tcPr>
          <w:p w14:paraId="2EC9C339">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RMB50000元＜赔款金额</w:t>
            </w:r>
          </w:p>
        </w:tc>
        <w:tc>
          <w:tcPr>
            <w:tcW w:w="2747" w:type="dxa"/>
            <w:tcBorders>
              <w:top w:val="single" w:color="000000" w:sz="4" w:space="0"/>
              <w:left w:val="nil"/>
              <w:bottom w:val="single" w:color="000000" w:sz="4" w:space="0"/>
              <w:right w:val="single" w:color="000000" w:sz="4" w:space="0"/>
            </w:tcBorders>
            <w:noWrap/>
            <w:vAlign w:val="center"/>
          </w:tcPr>
          <w:p w14:paraId="4772B8EA">
            <w:pPr>
              <w:keepNext w:val="0"/>
              <w:keepLines w:val="0"/>
              <w:pageBreakBefore w:val="0"/>
              <w:widowControl/>
              <w:kinsoku/>
              <w:wordWrap/>
              <w:overflowPunct/>
              <w:topLinePunct w:val="0"/>
              <w:bidi w:val="0"/>
              <w:snapToGrid/>
              <w:spacing w:line="520" w:lineRule="exact"/>
              <w:ind w:firstLine="200"/>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10个工作日内支付</w:t>
            </w:r>
          </w:p>
        </w:tc>
      </w:tr>
    </w:tbl>
    <w:p w14:paraId="2B46499A">
      <w:pPr>
        <w:keepNext w:val="0"/>
        <w:keepLines w:val="0"/>
        <w:pageBreakBefore w:val="0"/>
        <w:widowControl/>
        <w:numPr>
          <w:ilvl w:val="0"/>
          <w:numId w:val="11"/>
        </w:numPr>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乙方每月初的前5个工作日与泰州市中医院核对本产品案件处理情况，就具体案件数量、已赔款金额、未决金额、索赔材料等内容进行沟通，双方以书面形式确认。</w:t>
      </w:r>
    </w:p>
    <w:p w14:paraId="5D9B6B42">
      <w:pPr>
        <w:keepNext w:val="0"/>
        <w:keepLines w:val="0"/>
        <w:pageBreakBefore w:val="0"/>
        <w:widowControl/>
        <w:numPr>
          <w:ilvl w:val="0"/>
          <w:numId w:val="11"/>
        </w:numPr>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如乙方未按约定时间支付赔款，则应按照实际拖延天数向相关的被保险人支付违约金，违约金为未结清款项数额的日利率万分之五。</w:t>
      </w:r>
    </w:p>
    <w:p w14:paraId="1658D4F8">
      <w:pPr>
        <w:pStyle w:val="691"/>
        <w:keepNext w:val="0"/>
        <w:keepLines w:val="0"/>
        <w:pageBreakBefore w:val="0"/>
        <w:numPr>
          <w:ilvl w:val="0"/>
          <w:numId w:val="0"/>
        </w:numPr>
        <w:kinsoku/>
        <w:wordWrap/>
        <w:overflowPunct/>
        <w:topLinePunct w:val="0"/>
        <w:bidi w:val="0"/>
        <w:snapToGrid/>
        <w:spacing w:line="520" w:lineRule="exact"/>
        <w:ind w:leftChars="0" w:firstLine="524" w:firstLineChars="200"/>
        <w:textAlignment w:val="auto"/>
        <w:rPr>
          <w:rFonts w:hint="eastAsia" w:cs="仿宋" w:asciiTheme="minorEastAsia" w:hAnsiTheme="minorEastAsia" w:eastAsiaTheme="minorEastAsia"/>
          <w:b/>
          <w:strike w:val="0"/>
          <w:dstrike w:val="0"/>
          <w:color w:val="auto"/>
          <w:spacing w:val="11"/>
          <w:sz w:val="24"/>
          <w:szCs w:val="24"/>
          <w:highlight w:val="none"/>
          <w:lang w:eastAsia="zh-CN"/>
        </w:rPr>
      </w:pPr>
      <w:r>
        <w:rPr>
          <w:rFonts w:hint="eastAsia" w:cs="仿宋" w:asciiTheme="minorEastAsia" w:hAnsiTheme="minorEastAsia"/>
          <w:strike w:val="0"/>
          <w:dstrike w:val="0"/>
          <w:color w:val="auto"/>
          <w:spacing w:val="11"/>
          <w:sz w:val="24"/>
          <w:szCs w:val="24"/>
          <w:highlight w:val="none"/>
          <w:lang w:val="en-US" w:eastAsia="zh-CN"/>
        </w:rPr>
        <w:t>八、承保</w:t>
      </w:r>
      <w:r>
        <w:rPr>
          <w:rFonts w:hint="eastAsia" w:cs="仿宋" w:asciiTheme="minorEastAsia" w:hAnsiTheme="minorEastAsia" w:eastAsiaTheme="minorEastAsia"/>
          <w:strike w:val="0"/>
          <w:dstrike w:val="0"/>
          <w:color w:val="auto"/>
          <w:spacing w:val="11"/>
          <w:sz w:val="24"/>
          <w:szCs w:val="24"/>
          <w:highlight w:val="none"/>
        </w:rPr>
        <w:t>公司其他优惠承诺</w:t>
      </w:r>
      <w:r>
        <w:rPr>
          <w:rFonts w:hint="eastAsia" w:cs="仿宋" w:asciiTheme="minorEastAsia" w:hAnsiTheme="minorEastAsia"/>
          <w:strike w:val="0"/>
          <w:dstrike w:val="0"/>
          <w:color w:val="auto"/>
          <w:spacing w:val="11"/>
          <w:sz w:val="24"/>
          <w:szCs w:val="24"/>
          <w:highlight w:val="none"/>
          <w:lang w:eastAsia="zh-CN"/>
        </w:rPr>
        <w:t>。</w:t>
      </w:r>
    </w:p>
    <w:p w14:paraId="491EEF39">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highlight w:val="none"/>
        </w:rPr>
        <w:t xml:space="preserve">                   </w:t>
      </w:r>
      <w:r>
        <w:rPr>
          <w:rFonts w:hint="eastAsia" w:cs="宋体" w:asciiTheme="minorEastAsia" w:hAnsiTheme="minorEastAsia" w:eastAsiaTheme="minorEastAsia"/>
          <w:b/>
          <w:bCs/>
          <w:color w:val="auto"/>
          <w:sz w:val="24"/>
          <w:szCs w:val="24"/>
          <w:highlight w:val="none"/>
        </w:rPr>
        <w:t>第七部分 统计分析</w:t>
      </w:r>
      <w:r>
        <w:rPr>
          <w:rFonts w:hint="eastAsia" w:cs="宋体" w:asciiTheme="minorEastAsia" w:hAnsiTheme="minorEastAsia" w:eastAsiaTheme="minorEastAsia"/>
          <w:b/>
          <w:bCs/>
          <w:color w:val="auto"/>
          <w:sz w:val="24"/>
          <w:szCs w:val="24"/>
        </w:rPr>
        <w:t>、信息披露</w:t>
      </w:r>
    </w:p>
    <w:p w14:paraId="71C154CE">
      <w:pPr>
        <w:keepNext w:val="0"/>
        <w:keepLines w:val="0"/>
        <w:pageBreakBefore w:val="0"/>
        <w:numPr>
          <w:ilvl w:val="0"/>
          <w:numId w:val="1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理赔服务中心负责本产品数据的统一管理，产品数据以理赔服务中心定期发布的数据为准。</w:t>
      </w:r>
    </w:p>
    <w:p w14:paraId="71732C2D">
      <w:pPr>
        <w:keepNext w:val="0"/>
        <w:keepLines w:val="0"/>
        <w:pageBreakBefore w:val="0"/>
        <w:numPr>
          <w:ilvl w:val="0"/>
          <w:numId w:val="1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sz w:val="24"/>
          <w:szCs w:val="24"/>
        </w:rPr>
        <w:t>本产品建立定期沟通</w:t>
      </w:r>
      <w:r>
        <w:rPr>
          <w:rFonts w:hint="eastAsia" w:cs="宋体" w:asciiTheme="minorEastAsia" w:hAnsiTheme="minorEastAsia" w:eastAsiaTheme="minorEastAsia"/>
          <w:color w:val="auto"/>
          <w:sz w:val="24"/>
          <w:szCs w:val="24"/>
          <w:highlight w:val="none"/>
        </w:rPr>
        <w:t>机制，</w:t>
      </w:r>
      <w:r>
        <w:rPr>
          <w:rFonts w:hint="eastAsia" w:cs="宋体" w:asciiTheme="minorEastAsia" w:hAnsiTheme="minorEastAsia"/>
          <w:color w:val="auto"/>
          <w:sz w:val="24"/>
          <w:szCs w:val="24"/>
          <w:highlight w:val="none"/>
          <w:lang w:val="en-US" w:eastAsia="zh-CN"/>
        </w:rPr>
        <w:t>服务期内</w:t>
      </w:r>
      <w:r>
        <w:rPr>
          <w:rFonts w:hint="eastAsia" w:cs="宋体" w:asciiTheme="minorEastAsia" w:hAnsiTheme="minorEastAsia" w:eastAsiaTheme="minorEastAsia"/>
          <w:color w:val="auto"/>
          <w:sz w:val="24"/>
          <w:szCs w:val="24"/>
          <w:highlight w:val="none"/>
        </w:rPr>
        <w:t>定期召开数据沟通会。由理赔服务中心召集，各参与方应出席，未出席者即为认可会议结果。会议对各方掌握的上季度末（半年）投保、理赔等数据进行核对，对数据的差异要进行详细说明，从产品运营风险的管控出发，对影响赔付率的关键数据进行分析</w:t>
      </w:r>
      <w:r>
        <w:rPr>
          <w:rFonts w:hint="eastAsia" w:cs="宋体" w:asciiTheme="minorEastAsia" w:hAnsiTheme="minorEastAsia"/>
          <w:color w:val="auto"/>
          <w:sz w:val="24"/>
          <w:szCs w:val="24"/>
          <w:highlight w:val="none"/>
          <w:lang w:eastAsia="zh-CN"/>
        </w:rPr>
        <w:t>。</w:t>
      </w:r>
    </w:p>
    <w:p w14:paraId="3B22D734">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highlight w:val="none"/>
        </w:rPr>
        <w:t>将核对好的产品数据、分析</w:t>
      </w:r>
      <w:r>
        <w:rPr>
          <w:rFonts w:hint="eastAsia" w:cs="宋体" w:asciiTheme="minorEastAsia" w:hAnsiTheme="minorEastAsia" w:eastAsiaTheme="minorEastAsia"/>
          <w:color w:val="auto"/>
          <w:sz w:val="24"/>
          <w:szCs w:val="24"/>
        </w:rPr>
        <w:t>建议做好纪要，形成会议备忘录，由组织方报送给相关行管部门，并发布给乙方。</w:t>
      </w:r>
    </w:p>
    <w:p w14:paraId="6722B927">
      <w:pPr>
        <w:keepNext w:val="0"/>
        <w:keepLines w:val="0"/>
        <w:pageBreakBefore w:val="0"/>
        <w:numPr>
          <w:ilvl w:val="0"/>
          <w:numId w:val="1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产品参与方应严格保密不得泄露给本产品参与方之外的任何人，除用于向行管部门报告或风险研究。</w:t>
      </w:r>
    </w:p>
    <w:p w14:paraId="7274E96F">
      <w:pPr>
        <w:keepNext w:val="0"/>
        <w:keepLines w:val="0"/>
        <w:pageBreakBefore w:val="0"/>
        <w:numPr>
          <w:ilvl w:val="0"/>
          <w:numId w:val="12"/>
        </w:numPr>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计算赔付率：</w:t>
      </w:r>
    </w:p>
    <w:p w14:paraId="5855491B">
      <w:pPr>
        <w:keepNext w:val="0"/>
        <w:keepLines w:val="0"/>
        <w:pageBreakBefore w:val="0"/>
        <w:numPr>
          <w:ilvl w:val="0"/>
          <w:numId w:val="13"/>
        </w:numPr>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简单赔付率</w:t>
      </w:r>
    </w:p>
    <w:p w14:paraId="5CD8571C">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简单赔付率 = 统计期间内已决赔款金额 / 统计期间生效保单保费 * 100%</w:t>
      </w:r>
    </w:p>
    <w:p w14:paraId="05D2350C">
      <w:pPr>
        <w:keepNext w:val="0"/>
        <w:keepLines w:val="0"/>
        <w:pageBreakBefore w:val="0"/>
        <w:numPr>
          <w:ilvl w:val="0"/>
          <w:numId w:val="13"/>
        </w:numPr>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满期赔付率</w:t>
      </w:r>
    </w:p>
    <w:p w14:paraId="0C39032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满期赔付率 =（统计期间生效保单截至统计时点已决赔款金额 + 统计期间生效保单截至统计时点未决估损金额 + 统计期间生效保单截至统计时点IBNR）/统计期间生效保单截至统计时点已赚保险费</w:t>
      </w:r>
      <w:r>
        <w:rPr>
          <w:rFonts w:hint="eastAsia" w:cs="宋体" w:asciiTheme="minorEastAsia" w:hAnsiTheme="minorEastAsia"/>
          <w:color w:val="auto"/>
          <w:sz w:val="24"/>
          <w:szCs w:val="24"/>
          <w:lang w:val="en-US" w:eastAsia="zh-CN"/>
        </w:rPr>
        <w:t xml:space="preserve"> </w:t>
      </w:r>
      <w:r>
        <w:rPr>
          <w:rFonts w:hint="eastAsia" w:cs="宋体" w:asciiTheme="minorEastAsia" w:hAnsiTheme="minorEastAsia" w:eastAsiaTheme="minorEastAsia"/>
          <w:color w:val="auto"/>
          <w:sz w:val="24"/>
          <w:szCs w:val="24"/>
        </w:rPr>
        <w:t xml:space="preserve">* 100% </w:t>
      </w:r>
    </w:p>
    <w:p w14:paraId="33DC60DF">
      <w:pPr>
        <w:keepNext w:val="0"/>
        <w:keepLines w:val="0"/>
        <w:pageBreakBefore w:val="0"/>
        <w:numPr>
          <w:ilvl w:val="0"/>
          <w:numId w:val="13"/>
        </w:numPr>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历年赔付率</w:t>
      </w:r>
    </w:p>
    <w:p w14:paraId="343D6A2F">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历年制赔付率 = （ 统计期间内已决赔款金额 + 期末未决估损金额 - 期初未决估损金额 ） / 统计期间保单已赚保险费 * 100%</w:t>
      </w:r>
    </w:p>
    <w:p w14:paraId="18AD36A7">
      <w:pPr>
        <w:keepNext w:val="0"/>
        <w:keepLines w:val="0"/>
        <w:pageBreakBefore w:val="0"/>
        <w:numPr>
          <w:ilvl w:val="0"/>
          <w:numId w:val="12"/>
        </w:numPr>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乙方每月15日前向泰州市中医院提供负责的案件截至上月末的保险赔案台账的电子版本，字段及格式如下：</w:t>
      </w:r>
    </w:p>
    <w:tbl>
      <w:tblPr>
        <w:tblStyle w:val="47"/>
        <w:tblW w:w="7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9"/>
        <w:gridCol w:w="4072"/>
        <w:gridCol w:w="2625"/>
      </w:tblGrid>
      <w:tr w14:paraId="49FE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shd w:val="clear" w:color="auto" w:fill="E0E0E0"/>
            <w:noWrap/>
            <w:vAlign w:val="center"/>
          </w:tcPr>
          <w:p w14:paraId="0ECD472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序 号</w:t>
            </w:r>
          </w:p>
        </w:tc>
        <w:tc>
          <w:tcPr>
            <w:tcW w:w="4072" w:type="dxa"/>
            <w:shd w:val="clear" w:color="auto" w:fill="E0E0E0"/>
            <w:noWrap/>
            <w:vAlign w:val="center"/>
          </w:tcPr>
          <w:p w14:paraId="331D4F9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字段名</w:t>
            </w:r>
          </w:p>
        </w:tc>
        <w:tc>
          <w:tcPr>
            <w:tcW w:w="2625" w:type="dxa"/>
            <w:shd w:val="clear" w:color="auto" w:fill="E0E0E0"/>
            <w:noWrap/>
            <w:vAlign w:val="center"/>
          </w:tcPr>
          <w:p w14:paraId="6DCCD54B">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说明</w:t>
            </w:r>
          </w:p>
        </w:tc>
      </w:tr>
      <w:tr w14:paraId="208AC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546A95E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w:t>
            </w:r>
          </w:p>
        </w:tc>
        <w:tc>
          <w:tcPr>
            <w:tcW w:w="4072" w:type="dxa"/>
            <w:noWrap/>
          </w:tcPr>
          <w:p w14:paraId="4E7C5B9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乙方</w:t>
            </w:r>
          </w:p>
        </w:tc>
        <w:tc>
          <w:tcPr>
            <w:tcW w:w="2625" w:type="dxa"/>
            <w:noWrap/>
          </w:tcPr>
          <w:p w14:paraId="44D6893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w:t>
            </w:r>
          </w:p>
        </w:tc>
      </w:tr>
      <w:tr w14:paraId="07135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3693731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2</w:t>
            </w:r>
          </w:p>
        </w:tc>
        <w:tc>
          <w:tcPr>
            <w:tcW w:w="4072" w:type="dxa"/>
            <w:noWrap/>
          </w:tcPr>
          <w:p w14:paraId="671EC17E">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保单号</w:t>
            </w:r>
          </w:p>
        </w:tc>
        <w:tc>
          <w:tcPr>
            <w:tcW w:w="2625" w:type="dxa"/>
            <w:noWrap/>
          </w:tcPr>
          <w:p w14:paraId="68A2204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w:t>
            </w:r>
          </w:p>
        </w:tc>
      </w:tr>
      <w:tr w14:paraId="3844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0A85754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3</w:t>
            </w:r>
          </w:p>
        </w:tc>
        <w:tc>
          <w:tcPr>
            <w:tcW w:w="4072" w:type="dxa"/>
            <w:noWrap/>
          </w:tcPr>
          <w:p w14:paraId="437C41B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保险公司报案号</w:t>
            </w:r>
          </w:p>
        </w:tc>
        <w:tc>
          <w:tcPr>
            <w:tcW w:w="2625" w:type="dxa"/>
            <w:noWrap/>
          </w:tcPr>
          <w:p w14:paraId="632EC733">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w:t>
            </w:r>
          </w:p>
        </w:tc>
      </w:tr>
      <w:tr w14:paraId="459BC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0796DB3F">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4</w:t>
            </w:r>
          </w:p>
        </w:tc>
        <w:tc>
          <w:tcPr>
            <w:tcW w:w="4072" w:type="dxa"/>
            <w:noWrap/>
          </w:tcPr>
          <w:p w14:paraId="6A9AF0C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医疗机构名称</w:t>
            </w:r>
          </w:p>
        </w:tc>
        <w:tc>
          <w:tcPr>
            <w:tcW w:w="2625" w:type="dxa"/>
            <w:noWrap/>
          </w:tcPr>
          <w:p w14:paraId="62D399F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w:t>
            </w:r>
          </w:p>
        </w:tc>
      </w:tr>
      <w:tr w14:paraId="6D87F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7B728D03">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5</w:t>
            </w:r>
          </w:p>
        </w:tc>
        <w:tc>
          <w:tcPr>
            <w:tcW w:w="4072" w:type="dxa"/>
            <w:noWrap/>
          </w:tcPr>
          <w:p w14:paraId="2F51AAD2">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患者姓名</w:t>
            </w:r>
          </w:p>
        </w:tc>
        <w:tc>
          <w:tcPr>
            <w:tcW w:w="2625" w:type="dxa"/>
            <w:noWrap/>
          </w:tcPr>
          <w:p w14:paraId="4F1EC50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w:t>
            </w:r>
          </w:p>
        </w:tc>
      </w:tr>
      <w:tr w14:paraId="10C6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50E945D5">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6</w:t>
            </w:r>
          </w:p>
        </w:tc>
        <w:tc>
          <w:tcPr>
            <w:tcW w:w="4072" w:type="dxa"/>
            <w:noWrap/>
          </w:tcPr>
          <w:p w14:paraId="17341959">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患方首次向医疗机构提出索赔的时间</w:t>
            </w:r>
          </w:p>
        </w:tc>
        <w:tc>
          <w:tcPr>
            <w:tcW w:w="2625" w:type="dxa"/>
            <w:noWrap/>
          </w:tcPr>
          <w:p w14:paraId="4233B10E">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日期，yyyy-MM-dd</w:t>
            </w:r>
          </w:p>
        </w:tc>
      </w:tr>
      <w:tr w14:paraId="2D058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119" w:type="dxa"/>
            <w:noWrap/>
          </w:tcPr>
          <w:p w14:paraId="65BE103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7</w:t>
            </w:r>
          </w:p>
        </w:tc>
        <w:tc>
          <w:tcPr>
            <w:tcW w:w="4072" w:type="dxa"/>
            <w:noWrap/>
          </w:tcPr>
          <w:p w14:paraId="4957B8C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医疗损害行为发生日期</w:t>
            </w:r>
          </w:p>
        </w:tc>
        <w:tc>
          <w:tcPr>
            <w:tcW w:w="2625" w:type="dxa"/>
            <w:noWrap/>
          </w:tcPr>
          <w:p w14:paraId="2221ACBD">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日期，yyyy-MM-dd</w:t>
            </w:r>
          </w:p>
        </w:tc>
      </w:tr>
      <w:tr w14:paraId="2E7DF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72C60CA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8</w:t>
            </w:r>
          </w:p>
        </w:tc>
        <w:tc>
          <w:tcPr>
            <w:tcW w:w="4072" w:type="dxa"/>
            <w:noWrap/>
          </w:tcPr>
          <w:p w14:paraId="4F7C534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结案日期</w:t>
            </w:r>
          </w:p>
        </w:tc>
        <w:tc>
          <w:tcPr>
            <w:tcW w:w="2625" w:type="dxa"/>
            <w:noWrap/>
          </w:tcPr>
          <w:p w14:paraId="3F9F94A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日期，yyyy-MM-dd</w:t>
            </w:r>
          </w:p>
        </w:tc>
      </w:tr>
      <w:tr w14:paraId="757EE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5A3DB6C7">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9</w:t>
            </w:r>
          </w:p>
        </w:tc>
        <w:tc>
          <w:tcPr>
            <w:tcW w:w="4072" w:type="dxa"/>
            <w:noWrap/>
          </w:tcPr>
          <w:p w14:paraId="323BC6F1">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已决赔款金额（元）</w:t>
            </w:r>
          </w:p>
        </w:tc>
        <w:tc>
          <w:tcPr>
            <w:tcW w:w="2625" w:type="dxa"/>
            <w:noWrap/>
          </w:tcPr>
          <w:p w14:paraId="3D864234">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数字</w:t>
            </w:r>
          </w:p>
        </w:tc>
      </w:tr>
      <w:tr w14:paraId="7226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19" w:type="dxa"/>
            <w:noWrap/>
          </w:tcPr>
          <w:p w14:paraId="7DAC7FF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p>
          <w:p w14:paraId="6EC18E88">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10</w:t>
            </w:r>
          </w:p>
        </w:tc>
        <w:tc>
          <w:tcPr>
            <w:tcW w:w="4072" w:type="dxa"/>
            <w:noWrap/>
          </w:tcPr>
          <w:p w14:paraId="2181853C">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p>
          <w:p w14:paraId="7BDEC373">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案件状态</w:t>
            </w:r>
          </w:p>
        </w:tc>
        <w:tc>
          <w:tcPr>
            <w:tcW w:w="2625" w:type="dxa"/>
            <w:noWrap/>
          </w:tcPr>
          <w:p w14:paraId="50C6FF22">
            <w:pPr>
              <w:keepNext w:val="0"/>
              <w:keepLines w:val="0"/>
              <w:pageBreakBefore w:val="0"/>
              <w:widowControl/>
              <w:kinsoku/>
              <w:wordWrap/>
              <w:overflowPunct/>
              <w:topLinePunct w:val="0"/>
              <w:bidi w:val="0"/>
              <w:snapToGrid/>
              <w:spacing w:line="360" w:lineRule="auto"/>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文本，1-已付已结；2-立案注销；3-零赔付结案；4-未付；5-拒赔</w:t>
            </w:r>
          </w:p>
        </w:tc>
      </w:tr>
    </w:tbl>
    <w:p w14:paraId="5E0E1866">
      <w:pPr>
        <w:keepNext w:val="0"/>
        <w:keepLines w:val="0"/>
        <w:pageBreakBefore w:val="0"/>
        <w:numPr>
          <w:ilvl w:val="0"/>
          <w:numId w:val="12"/>
        </w:numPr>
        <w:kinsoku/>
        <w:wordWrap/>
        <w:overflowPunct/>
        <w:topLinePunct w:val="0"/>
        <w:bidi w:val="0"/>
        <w:snapToGrid/>
        <w:spacing w:line="520" w:lineRule="exact"/>
        <w:jc w:val="left"/>
        <w:textAlignment w:val="auto"/>
        <w:outlineLvl w:val="2"/>
        <w:rPr>
          <w:rFonts w:cs="宋体" w:asciiTheme="minorEastAsia" w:hAnsiTheme="minorEastAsia" w:eastAsiaTheme="minorEastAsia"/>
          <w:b/>
          <w:bCs/>
          <w:color w:val="auto"/>
          <w:sz w:val="24"/>
          <w:szCs w:val="24"/>
          <w:highlight w:val="none"/>
        </w:rPr>
      </w:pPr>
      <w:r>
        <w:rPr>
          <w:rFonts w:hint="eastAsia" w:cs="宋体" w:asciiTheme="minorEastAsia" w:hAnsiTheme="minorEastAsia"/>
          <w:strike w:val="0"/>
          <w:dstrike w:val="0"/>
          <w:color w:val="auto"/>
          <w:sz w:val="24"/>
          <w:szCs w:val="24"/>
          <w:highlight w:val="none"/>
          <w:lang w:val="en-US" w:eastAsia="zh-CN"/>
        </w:rPr>
        <w:t>服务期满</w:t>
      </w:r>
      <w:r>
        <w:rPr>
          <w:rFonts w:hint="eastAsia" w:cs="宋体" w:asciiTheme="minorEastAsia" w:hAnsiTheme="minorEastAsia" w:eastAsiaTheme="minorEastAsia"/>
          <w:color w:val="auto"/>
          <w:sz w:val="24"/>
          <w:szCs w:val="24"/>
          <w:highlight w:val="none"/>
        </w:rPr>
        <w:t>后30日内，乙方向泰州市中医院提供年度理赔数据和分析材料，</w:t>
      </w:r>
    </w:p>
    <w:p w14:paraId="164FB9B0">
      <w:pPr>
        <w:keepNext w:val="0"/>
        <w:keepLines w:val="0"/>
        <w:pageBreakBefore w:val="0"/>
        <w:kinsoku/>
        <w:wordWrap/>
        <w:overflowPunct/>
        <w:topLinePunct w:val="0"/>
        <w:bidi w:val="0"/>
        <w:snapToGrid/>
        <w:spacing w:line="520" w:lineRule="exact"/>
        <w:ind w:left="418" w:leftChars="199" w:firstLine="2470" w:firstLineChars="1025"/>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第八部分 通用条款</w:t>
      </w:r>
    </w:p>
    <w:p w14:paraId="2BEF87C5">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（一）信息安全与保密条款</w:t>
      </w:r>
    </w:p>
    <w:p w14:paraId="66CBDE6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1、在本协议中，“保密信息”是指任何属于披露方所拥有的、保密的与商业或行为相关的非公开信息，包括但不限于所有被一方标注和约定为“保密”的商业、金融、技术和其他信息。保密信息不但包括书面的和其他可以以有形载体存在的信息，也包括通过口头、视觉、电子或者其他无形的形式传播的信息。保密信息不包括下列信息：(a)已经进入公共领域</w:t>
      </w:r>
      <w:r>
        <w:rPr>
          <w:rFonts w:hint="eastAsia" w:cs="宋体" w:asciiTheme="minorEastAsia" w:hAnsiTheme="minorEastAsia"/>
          <w:bCs/>
          <w:color w:val="auto"/>
          <w:sz w:val="24"/>
          <w:szCs w:val="24"/>
          <w:lang w:val="en-US" w:eastAsia="zh-CN"/>
        </w:rPr>
        <w:t>且</w:t>
      </w:r>
      <w:r>
        <w:rPr>
          <w:rFonts w:hint="eastAsia" w:cs="宋体" w:asciiTheme="minorEastAsia" w:hAnsiTheme="minorEastAsia" w:eastAsiaTheme="minorEastAsia"/>
          <w:bCs/>
          <w:color w:val="auto"/>
          <w:sz w:val="24"/>
          <w:szCs w:val="24"/>
        </w:rPr>
        <w:t>不违反本协议的，（b）接受方合法从第三方获得，（c）接受方可以证明在从披露方获得该信息前已经通过合法途径知道的，（d）接受方可以证明该保密信息属于其独立开发出来的。在本协议中的所有条款都会被视为各方的保密信息并且在没有得到其他方书面的同意之前，不可以向外披露。</w:t>
      </w:r>
    </w:p>
    <w:p w14:paraId="4FACBA14">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2、各方同意（a）除了在本协议明确允许的之外，不会向任何第三方披露或者使用其他方披露的保密信息，（b）会采取所有合理的方法来维护所有自己拥有或控制的其他方的保密信息的安全。在任何情况下，其维护其他方的保密信息的方法，其保密等级不应当低于自己维护类似重要等级信息所采用的方法。</w:t>
      </w:r>
    </w:p>
    <w:p w14:paraId="46B0FAA7">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各方承认任何未经授权披露，或者由接受方未经授权使用保密信息将会对披露方造成不可挽回的伤害和损失。接受方在实际违反或者可能会违反本协议规定的情形时，披露方将有权保护和采取临时性强制措施禁止其保密信息披露，而该措施将不限制披露方寻求的任何其他合法补救措施。</w:t>
      </w:r>
    </w:p>
    <w:p w14:paraId="04C01B1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4、除了上述，各方可以将保密信息（a）披露给具有管辖</w:t>
      </w:r>
      <w:r>
        <w:rPr>
          <w:rFonts w:hint="eastAsia" w:cs="宋体" w:asciiTheme="minorEastAsia" w:hAnsiTheme="minorEastAsia"/>
          <w:bCs/>
          <w:color w:val="auto"/>
          <w:sz w:val="24"/>
          <w:szCs w:val="24"/>
          <w:lang w:val="en-US" w:eastAsia="zh-CN"/>
        </w:rPr>
        <w:t>权</w:t>
      </w:r>
      <w:r>
        <w:rPr>
          <w:rFonts w:hint="eastAsia" w:cs="宋体" w:asciiTheme="minorEastAsia" w:hAnsiTheme="minorEastAsia" w:eastAsiaTheme="minorEastAsia"/>
          <w:bCs/>
          <w:color w:val="auto"/>
          <w:sz w:val="24"/>
          <w:szCs w:val="24"/>
        </w:rPr>
        <w:t>的法院或者其他政府机关或者法律规定的，（b）基于“必须知晓”的前提，在保密的基础上，披露给律师、会计师。另外，可以将保密信息披露给依据其法定职权应当知晓相关事项的政府或监管当局。</w:t>
      </w:r>
    </w:p>
    <w:p w14:paraId="7F3F7B16">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5、中国保险监督管理机构规定的其他条件。</w:t>
      </w:r>
    </w:p>
    <w:p w14:paraId="6C8492C7">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（二）反虚假宣传条款</w:t>
      </w:r>
    </w:p>
    <w:p w14:paraId="7069FCA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Cs/>
          <w:color w:val="auto"/>
          <w:sz w:val="24"/>
          <w:szCs w:val="24"/>
        </w:rPr>
        <w:t>双方均清楚并愿意严格遵守中华人民共和国《中华人民共和国著作权法》、《中华人民共和国商标法》、《中华人民共和国专利法》、《中华人民共和国反不正当竞争法》等知识产权类、民法典及广告法等相关法律的规定，双方均有权就本合同所约定事项以约定方式在约定范围内进行真实、合理的使用或宣传，但不得涉及合同所约定的保密内容。为避免商标侵权及不当宣传等风险的发生，双方均同意，在使用对方的商标、品牌、企业名称等进行宣传前，均须获得对方事先的书面认可，否则，不得进行此类使用或宣传。双方在此承诺，会积极响应对方提出的就合作事项的合理使用或宣传申请。双方均承认，未经对方事先书面同意而利用其商标、品牌及企业名称等进行商业宣传；虚构合作事项；夸大合作范围、内容、效果、规模、程度等，均属对本合同的违反，并可能因虚假宣传构成不正当竞争，守约方或被侵权人将保留追究相应法律责任的权利。</w:t>
      </w:r>
    </w:p>
    <w:p w14:paraId="62152FE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（三）反商业贿赂条款</w:t>
      </w:r>
    </w:p>
    <w:p w14:paraId="36049770">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反商业贿赂条款与本合同其</w:t>
      </w:r>
      <w:r>
        <w:rPr>
          <w:rFonts w:hint="eastAsia" w:cs="宋体" w:asciiTheme="minorEastAsia" w:hAnsiTheme="minorEastAsia"/>
          <w:bCs/>
          <w:color w:val="auto"/>
          <w:sz w:val="24"/>
          <w:szCs w:val="24"/>
          <w:lang w:val="en-US" w:eastAsia="zh-CN"/>
        </w:rPr>
        <w:t>他</w:t>
      </w:r>
      <w:r>
        <w:rPr>
          <w:rFonts w:hint="eastAsia" w:cs="宋体" w:asciiTheme="minorEastAsia" w:hAnsiTheme="minorEastAsia" w:eastAsiaTheme="minorEastAsia"/>
          <w:bCs/>
          <w:color w:val="auto"/>
          <w:sz w:val="24"/>
          <w:szCs w:val="24"/>
        </w:rPr>
        <w:t>条款具有同等法律效力，合同当事人均同意签订并遵守如下反商业贿赂条款：</w:t>
      </w:r>
    </w:p>
    <w:p w14:paraId="2B264608">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1、双方都清楚并愿意严格遵守中华人民共和国反商业贿赂的法律规定，双方都清楚任何形式的贿赂和贪渎行为都将触犯法律，并将受到法律的严惩。</w:t>
      </w:r>
    </w:p>
    <w:p w14:paraId="333163D3">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2、双方不得向对方或对方经办人或其他相关人员索要、收受、提供、给予合同约定外的任何利益，包括但不限于明扣、暗扣、现金、购物卡、实物、有价证券、旅游或其他非物质性利益等，但如该等利益属于行业惯例或通常做法，则须在合同中明示。</w:t>
      </w:r>
    </w:p>
    <w:p w14:paraId="3C5DBE9B">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3、严格禁止双方经办人员的任何商业贿赂行为。双方经办人发生本条第二款所列示的任何一种行为，都是违反各方公司制度的，都将受到各方公司制度和国家法律的惩处。</w:t>
      </w:r>
    </w:p>
    <w:p w14:paraId="1A2D5F95">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4、郑重提示：双方均反对对方或对方经办人员为了本合同之目的与本合同以外的任何第三方发生本条款第二条所列示的任何一种行为，该种行为都是违反国家法律的行为，并将受到国家法律的惩处。</w:t>
      </w:r>
    </w:p>
    <w:p w14:paraId="7045D3D2">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Cs/>
          <w:color w:val="auto"/>
          <w:sz w:val="24"/>
          <w:szCs w:val="24"/>
        </w:rPr>
        <w:t>5、如因一方或一方经办人违反上述第二款、第三款、第四款之规定，给对方造成损失的，应承担损害赔偿责任。</w:t>
      </w:r>
    </w:p>
    <w:p w14:paraId="6683AD0D">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（四）反洗钱条款</w:t>
      </w:r>
    </w:p>
    <w:p w14:paraId="06039BE9">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双方根据《中华人民共和国反洗钱法》、《金融机构反洗钱规定》、《金融机构客户身份识别和客户身份资料及交易记录保存管理办法》、《金融机构大额交易和可疑交易报告管理办法》、《中国人民银行关于进一步加强金融机构反洗钱工作的通知》、《保险业反洗钱工作管理办法》等法律及监管规定的要求，相互提供必要的协助，采取有效的客户身份识别措施，共同推进反洗钱方面的合作，并就反洗钱方面达成如下协议：</w:t>
      </w:r>
    </w:p>
    <w:p w14:paraId="757E7B3F">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1、双方应按照反洗钱法律法规要求，分别建立各自的反洗钱内控制度，落实客户身份识别、客户身份资料和交易记录保存、大额和可疑交易识别和报送等相关监管要求。</w:t>
      </w:r>
    </w:p>
    <w:p w14:paraId="561D6DA3">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2、双方应依法按照相关法律、法规、监管规定对客户进行有效的身份识别，并留存相关资料。</w:t>
      </w:r>
    </w:p>
    <w:p w14:paraId="42A1BF0C">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3、双方应按照《中国人民银行关于加强反洗钱客户身份识别有关工作的通知》（银发[2017]235号）规定，开展非自然人客户“受益所有人”识别工作。</w:t>
      </w:r>
    </w:p>
    <w:p w14:paraId="00DBF962">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4、双方应按照人民银行的有关规定依法履行大额、可疑交易的报告义务，双方积极协助对方对大额、可疑交易的调查，并依法在必要时向对方提供国家权力机关调查所需的客户资料信息。</w:t>
      </w:r>
    </w:p>
    <w:p w14:paraId="7725F356">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5、双方应做好客户信息保密工作，必要时向对方提供用于监管机构反洗钱检查要求的客户资料，共同</w:t>
      </w:r>
      <w:r>
        <w:rPr>
          <w:rFonts w:hint="eastAsia" w:cs="宋体" w:asciiTheme="minorEastAsia" w:hAnsiTheme="minorEastAsia"/>
          <w:color w:val="auto"/>
          <w:sz w:val="24"/>
          <w:szCs w:val="24"/>
          <w:lang w:val="en-US" w:eastAsia="zh-CN"/>
        </w:rPr>
        <w:t>做</w:t>
      </w:r>
      <w:r>
        <w:rPr>
          <w:rFonts w:hint="eastAsia" w:cs="宋体" w:asciiTheme="minorEastAsia" w:hAnsiTheme="minorEastAsia" w:eastAsiaTheme="minorEastAsia"/>
          <w:color w:val="auto"/>
          <w:sz w:val="24"/>
          <w:szCs w:val="24"/>
        </w:rPr>
        <w:t>好反洗钱工作，尽到应尽职责。</w:t>
      </w:r>
    </w:p>
    <w:p w14:paraId="25AC6182">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（五）法律责任</w:t>
      </w:r>
    </w:p>
    <w:p w14:paraId="25DCC867">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p>
    <w:p w14:paraId="4F8AE0D6">
      <w:pPr>
        <w:keepNext w:val="0"/>
        <w:keepLines w:val="0"/>
        <w:pageBreakBefore w:val="0"/>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若发生违约情形，违约方依法依约承担其相应法律责任后，除非守约方同意终止本协议的，本协议仍须继续履行。</w:t>
      </w:r>
    </w:p>
    <w:p w14:paraId="15B66AE4">
      <w:pPr>
        <w:keepNext w:val="0"/>
        <w:keepLines w:val="0"/>
        <w:pageBreakBefore w:val="0"/>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第九部分 服务质量考评</w:t>
      </w:r>
    </w:p>
    <w:p w14:paraId="0BF7ED82">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服务质量考评是指泰州市中医院依据所签订的相关协议及其他相关文件，对乙方在本产品中的服务质量进行评价，建立考评档案，定期发布结果信息，由本产品工作领导小组依据评价结果提出处理意见。具体考核办法详见附件。</w:t>
      </w:r>
    </w:p>
    <w:p w14:paraId="5800EA40">
      <w:pPr>
        <w:keepNext w:val="0"/>
        <w:keepLines w:val="0"/>
        <w:pageBreakBefore w:val="0"/>
        <w:tabs>
          <w:tab w:val="center" w:pos="4153"/>
        </w:tabs>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第十部分 协议相关内容</w:t>
      </w:r>
    </w:p>
    <w:p w14:paraId="14E01D64">
      <w:pPr>
        <w:keepNext w:val="0"/>
        <w:keepLines w:val="0"/>
        <w:pageBreakBefore w:val="0"/>
        <w:widowControl/>
        <w:numPr>
          <w:ilvl w:val="0"/>
          <w:numId w:val="0"/>
        </w:numPr>
        <w:kinsoku/>
        <w:wordWrap/>
        <w:overflowPunct/>
        <w:topLinePunct w:val="0"/>
        <w:bidi w:val="0"/>
        <w:snapToGrid/>
        <w:spacing w:line="520" w:lineRule="exact"/>
        <w:ind w:firstLine="482" w:firstLineChars="20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lang w:val="en-US" w:eastAsia="zh-CN" w:bidi="ar-SA"/>
        </w:rPr>
        <w:t>一、</w:t>
      </w:r>
      <w:r>
        <w:rPr>
          <w:rFonts w:hint="eastAsia" w:cs="宋体" w:asciiTheme="minorEastAsia" w:hAnsiTheme="minorEastAsia" w:eastAsiaTheme="minorEastAsia"/>
          <w:color w:val="auto"/>
          <w:sz w:val="24"/>
          <w:szCs w:val="24"/>
        </w:rPr>
        <w:t>协议的构成文件</w:t>
      </w:r>
    </w:p>
    <w:p w14:paraId="20F138A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下列文件均作为本协议的有效组成部分：</w:t>
      </w:r>
    </w:p>
    <w:p w14:paraId="5F87E7E7">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根据本协议另行制定的其他制度、文件以及联席会议备忘录；</w:t>
      </w:r>
    </w:p>
    <w:p w14:paraId="67B9EEA3">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批单；</w:t>
      </w:r>
    </w:p>
    <w:p w14:paraId="4E083B0E">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保险单；</w:t>
      </w:r>
    </w:p>
    <w:p w14:paraId="4BFF2F4E">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本协议的补充协议；</w:t>
      </w:r>
    </w:p>
    <w:p w14:paraId="43AB7F5C">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本协议文本；</w:t>
      </w:r>
    </w:p>
    <w:p w14:paraId="66653AFC">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响应补充文件；</w:t>
      </w:r>
    </w:p>
    <w:p w14:paraId="3306E9B2">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响应文件；</w:t>
      </w:r>
    </w:p>
    <w:p w14:paraId="7A2D0BFC">
      <w:pPr>
        <w:keepNext w:val="0"/>
        <w:keepLines w:val="0"/>
        <w:pageBreakBefore w:val="0"/>
        <w:widowControl/>
        <w:numPr>
          <w:ilvl w:val="0"/>
          <w:numId w:val="14"/>
        </w:numPr>
        <w:kinsoku/>
        <w:wordWrap/>
        <w:overflowPunct/>
        <w:topLinePunct w:val="0"/>
        <w:bidi w:val="0"/>
        <w:snapToGrid/>
        <w:spacing w:line="520" w:lineRule="exact"/>
        <w:ind w:left="420" w:firstLine="0"/>
        <w:textAlignment w:val="auto"/>
        <w:rPr>
          <w:rFonts w:cs="宋体" w:asciiTheme="minorEastAsia" w:hAnsiTheme="minorEastAsia" w:eastAsiaTheme="minorEastAsia"/>
          <w:b w:val="0"/>
          <w:bCs w:val="0"/>
          <w:color w:val="auto"/>
          <w:sz w:val="24"/>
          <w:szCs w:val="24"/>
        </w:rPr>
      </w:pPr>
      <w:r>
        <w:rPr>
          <w:rFonts w:hint="eastAsia" w:cs="宋体" w:asciiTheme="minorEastAsia" w:hAnsiTheme="minorEastAsia" w:eastAsiaTheme="minorEastAsia"/>
          <w:b w:val="0"/>
          <w:bCs w:val="0"/>
          <w:color w:val="auto"/>
          <w:sz w:val="24"/>
          <w:szCs w:val="24"/>
        </w:rPr>
        <w:t>采购文件。</w:t>
      </w:r>
    </w:p>
    <w:p w14:paraId="22081388">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b w:val="0"/>
          <w:bCs w:val="0"/>
          <w:color w:val="auto"/>
          <w:sz w:val="24"/>
          <w:szCs w:val="24"/>
        </w:rPr>
        <w:t>如上述文件之间存在矛</w:t>
      </w:r>
      <w:r>
        <w:rPr>
          <w:rFonts w:hint="eastAsia" w:cs="宋体" w:asciiTheme="minorEastAsia" w:hAnsiTheme="minorEastAsia" w:eastAsiaTheme="minorEastAsia"/>
          <w:color w:val="auto"/>
          <w:sz w:val="24"/>
          <w:szCs w:val="24"/>
        </w:rPr>
        <w:t>盾或不一致之处，除有明确约定之外，以排序在前的文件规定的内容为准。</w:t>
      </w:r>
    </w:p>
    <w:p w14:paraId="069A33C9">
      <w:pPr>
        <w:keepNext w:val="0"/>
        <w:keepLines w:val="0"/>
        <w:pageBreakBefore w:val="0"/>
        <w:widowControl/>
        <w:numPr>
          <w:ilvl w:val="0"/>
          <w:numId w:val="0"/>
        </w:numPr>
        <w:kinsoku/>
        <w:wordWrap/>
        <w:overflowPunct/>
        <w:topLinePunct w:val="0"/>
        <w:bidi w:val="0"/>
        <w:snapToGrid/>
        <w:spacing w:line="520" w:lineRule="exact"/>
        <w:ind w:firstLine="482" w:firstLineChars="200"/>
        <w:textAlignment w:val="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lang w:val="en-US" w:eastAsia="zh-CN" w:bidi="ar-SA"/>
        </w:rPr>
        <w:t>二、</w:t>
      </w:r>
      <w:r>
        <w:rPr>
          <w:rFonts w:hint="eastAsia" w:cs="宋体" w:asciiTheme="minorEastAsia" w:hAnsiTheme="minorEastAsia" w:eastAsiaTheme="minorEastAsia"/>
          <w:color w:val="auto"/>
          <w:sz w:val="24"/>
          <w:szCs w:val="24"/>
        </w:rPr>
        <w:t>协议的生效</w:t>
      </w:r>
    </w:p>
    <w:p w14:paraId="428AD66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color w:val="auto"/>
          <w:sz w:val="24"/>
          <w:szCs w:val="24"/>
          <w:highlight w:val="none"/>
        </w:rPr>
        <w:t>本协议自202</w:t>
      </w:r>
      <w:r>
        <w:rPr>
          <w:rFonts w:hint="eastAsia" w:cs="宋体" w:asciiTheme="minorEastAsia" w:hAnsiTheme="minorEastAsia"/>
          <w:color w:val="auto"/>
          <w:sz w:val="24"/>
          <w:szCs w:val="24"/>
          <w:highlight w:val="none"/>
          <w:lang w:val="en-US" w:eastAsia="zh-CN"/>
        </w:rPr>
        <w:t>6</w:t>
      </w:r>
      <w:r>
        <w:rPr>
          <w:rFonts w:hint="eastAsia" w:cs="宋体" w:asciiTheme="minorEastAsia" w:hAnsiTheme="minorEastAsia" w:eastAsiaTheme="minorEastAsia"/>
          <w:color w:val="auto"/>
          <w:sz w:val="24"/>
          <w:szCs w:val="24"/>
          <w:highlight w:val="none"/>
        </w:rPr>
        <w:t>年</w:t>
      </w:r>
      <w:r>
        <w:rPr>
          <w:rFonts w:hint="eastAsia" w:cs="宋体" w:asciiTheme="minorEastAsia" w:hAnsi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月</w:t>
      </w:r>
      <w:r>
        <w:rPr>
          <w:rFonts w:hint="eastAsia" w:cs="宋体" w:asciiTheme="minorEastAsia" w:hAnsiTheme="minorEastAsia"/>
          <w:color w:val="auto"/>
          <w:sz w:val="24"/>
          <w:szCs w:val="24"/>
          <w:highlight w:val="none"/>
          <w:lang w:val="en-US" w:eastAsia="zh-CN"/>
        </w:rPr>
        <w:t xml:space="preserve">  </w:t>
      </w:r>
      <w:r>
        <w:rPr>
          <w:rFonts w:hint="eastAsia" w:cs="宋体" w:asciiTheme="minorEastAsia" w:hAnsiTheme="minorEastAsia" w:eastAsiaTheme="minorEastAsia"/>
          <w:color w:val="auto"/>
          <w:sz w:val="24"/>
          <w:szCs w:val="24"/>
          <w:highlight w:val="none"/>
        </w:rPr>
        <w:t>日起正式生效，有效期1年，适用于本产品</w:t>
      </w:r>
      <w:r>
        <w:rPr>
          <w:rFonts w:hint="eastAsia" w:cs="宋体" w:asciiTheme="minorEastAsia" w:hAnsiTheme="minorEastAsia"/>
          <w:color w:val="auto"/>
          <w:sz w:val="24"/>
          <w:szCs w:val="24"/>
          <w:highlight w:val="none"/>
          <w:lang w:val="en-US" w:eastAsia="zh-CN"/>
        </w:rPr>
        <w:t>有效</w:t>
      </w:r>
      <w:r>
        <w:rPr>
          <w:rFonts w:hint="eastAsia" w:cs="宋体" w:asciiTheme="minorEastAsia" w:hAnsiTheme="minorEastAsia" w:eastAsiaTheme="minorEastAsia"/>
          <w:color w:val="auto"/>
          <w:sz w:val="24"/>
          <w:szCs w:val="24"/>
          <w:highlight w:val="none"/>
        </w:rPr>
        <w:t>期内的全部保险单，并在各保险单有效期内持续有效。如果该类保单到期后存在遗留问题，则本协议将持续有效，至保单涉及各项遗留事宜最终处理完毕时为止。</w:t>
      </w:r>
    </w:p>
    <w:p w14:paraId="12D526DF">
      <w:pPr>
        <w:keepNext w:val="0"/>
        <w:keepLines w:val="0"/>
        <w:pageBreakBefore w:val="0"/>
        <w:widowControl/>
        <w:numPr>
          <w:ilvl w:val="0"/>
          <w:numId w:val="0"/>
        </w:numPr>
        <w:kinsoku/>
        <w:wordWrap/>
        <w:overflowPunct/>
        <w:topLinePunct w:val="0"/>
        <w:bidi w:val="0"/>
        <w:snapToGrid/>
        <w:spacing w:line="520" w:lineRule="exact"/>
        <w:ind w:firstLine="480" w:firstLineChars="200"/>
        <w:textAlignment w:val="auto"/>
        <w:rPr>
          <w:rFonts w:cs="宋体" w:asciiTheme="minorEastAsia" w:hAnsiTheme="minorEastAsia" w:eastAsiaTheme="minorEastAsia"/>
          <w:bCs/>
          <w:color w:val="auto"/>
          <w:sz w:val="24"/>
          <w:szCs w:val="24"/>
          <w:highlight w:val="none"/>
        </w:rPr>
      </w:pPr>
      <w:r>
        <w:rPr>
          <w:rFonts w:hint="eastAsia" w:cs="宋体" w:asciiTheme="minorEastAsia" w:hAnsiTheme="minorEastAsia"/>
          <w:bCs/>
          <w:color w:val="auto"/>
          <w:sz w:val="24"/>
          <w:szCs w:val="24"/>
          <w:highlight w:val="none"/>
          <w:lang w:val="en-US" w:eastAsia="zh-CN"/>
        </w:rPr>
        <w:t>三、</w:t>
      </w:r>
      <w:r>
        <w:rPr>
          <w:rFonts w:hint="eastAsia" w:cs="宋体" w:asciiTheme="minorEastAsia" w:hAnsiTheme="minorEastAsia" w:eastAsiaTheme="minorEastAsia"/>
          <w:bCs/>
          <w:color w:val="auto"/>
          <w:sz w:val="24"/>
          <w:szCs w:val="24"/>
          <w:highlight w:val="none"/>
        </w:rPr>
        <w:t>产品续转</w:t>
      </w:r>
    </w:p>
    <w:p w14:paraId="4978682E">
      <w:pPr>
        <w:keepNext w:val="0"/>
        <w:keepLines w:val="0"/>
        <w:pageBreakBefore w:val="0"/>
        <w:widowControl/>
        <w:numPr>
          <w:ilvl w:val="0"/>
          <w:numId w:val="0"/>
        </w:numPr>
        <w:kinsoku/>
        <w:wordWrap/>
        <w:overflowPunct/>
        <w:topLinePunct w:val="0"/>
        <w:bidi w:val="0"/>
        <w:snapToGrid/>
        <w:spacing w:line="520" w:lineRule="exact"/>
        <w:ind w:firstLine="480" w:firstLineChars="200"/>
        <w:jc w:val="lef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协议到期后，未到期的保险单不因本协议到期而全部失效或部分失效。仍须按照已到期的采购协议、补充协议及保险合同的约定，继续承担相应的权利义务及保险责任，直至保险单涉及各项遗留事宜最终处理完毕时为止。</w:t>
      </w:r>
    </w:p>
    <w:p w14:paraId="17AC1E18">
      <w:pPr>
        <w:keepNext w:val="0"/>
        <w:keepLines w:val="0"/>
        <w:pageBreakBefore w:val="0"/>
        <w:widowControl/>
        <w:numPr>
          <w:ilvl w:val="0"/>
          <w:numId w:val="0"/>
        </w:numPr>
        <w:kinsoku/>
        <w:wordWrap/>
        <w:overflowPunct/>
        <w:topLinePunct w:val="0"/>
        <w:bidi w:val="0"/>
        <w:snapToGrid/>
        <w:spacing w:line="520" w:lineRule="exact"/>
        <w:ind w:firstLine="480" w:firstLineChars="200"/>
        <w:textAlignment w:val="auto"/>
        <w:rPr>
          <w:rFonts w:cs="宋体" w:asciiTheme="minorEastAsia" w:hAnsiTheme="minorEastAsia" w:eastAsiaTheme="minorEastAsia"/>
          <w:bCs/>
          <w:color w:val="auto"/>
          <w:sz w:val="24"/>
          <w:szCs w:val="24"/>
          <w:highlight w:val="none"/>
        </w:rPr>
      </w:pPr>
      <w:r>
        <w:rPr>
          <w:rFonts w:hint="eastAsia" w:cs="宋体" w:asciiTheme="minorEastAsia" w:hAnsiTheme="minorEastAsia"/>
          <w:bCs/>
          <w:color w:val="auto"/>
          <w:sz w:val="24"/>
          <w:szCs w:val="24"/>
          <w:highlight w:val="none"/>
          <w:lang w:val="en-US" w:eastAsia="zh-CN"/>
        </w:rPr>
        <w:t>四、</w:t>
      </w:r>
      <w:r>
        <w:rPr>
          <w:rFonts w:hint="eastAsia" w:cs="宋体" w:asciiTheme="minorEastAsia" w:hAnsiTheme="minorEastAsia" w:eastAsiaTheme="minorEastAsia"/>
          <w:bCs/>
          <w:color w:val="auto"/>
          <w:sz w:val="24"/>
          <w:szCs w:val="24"/>
          <w:highlight w:val="none"/>
        </w:rPr>
        <w:t>协议的争议处理</w:t>
      </w:r>
    </w:p>
    <w:p w14:paraId="0415FEFA">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本协议在履行过程中发生争议的，由各方友好协商解决，协商仍不能解决的，可向</w:t>
      </w:r>
      <w:r>
        <w:rPr>
          <w:rFonts w:hint="eastAsia" w:cs="宋体" w:asciiTheme="minorEastAsia" w:hAnsiTheme="minorEastAsia"/>
          <w:color w:val="auto"/>
          <w:sz w:val="24"/>
          <w:szCs w:val="24"/>
          <w:highlight w:val="none"/>
          <w:lang w:val="en-US" w:eastAsia="zh-CN"/>
        </w:rPr>
        <w:t>泰州市海陵区</w:t>
      </w:r>
      <w:r>
        <w:rPr>
          <w:rFonts w:hint="eastAsia" w:cs="宋体" w:asciiTheme="minorEastAsia" w:hAnsiTheme="minorEastAsia" w:eastAsiaTheme="minorEastAsia"/>
          <w:color w:val="auto"/>
          <w:sz w:val="24"/>
          <w:szCs w:val="24"/>
          <w:highlight w:val="none"/>
        </w:rPr>
        <w:t>人民法院提起诉讼。</w:t>
      </w:r>
    </w:p>
    <w:p w14:paraId="3F84B80E">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highlight w:val="none"/>
        </w:rPr>
        <w:t>本协议部分条款在履行过程中发生争议</w:t>
      </w:r>
      <w:r>
        <w:rPr>
          <w:rFonts w:hint="eastAsia" w:cs="宋体" w:asciiTheme="minorEastAsia" w:hAnsiTheme="minorEastAsia" w:eastAsiaTheme="minorEastAsia"/>
          <w:color w:val="auto"/>
          <w:sz w:val="24"/>
          <w:szCs w:val="24"/>
        </w:rPr>
        <w:t>向人民法院提起诉讼解决的，不影响本协议其</w:t>
      </w:r>
      <w:r>
        <w:rPr>
          <w:rFonts w:hint="eastAsia" w:cs="宋体" w:asciiTheme="minorEastAsia" w:hAnsiTheme="minorEastAsia"/>
          <w:color w:val="auto"/>
          <w:sz w:val="24"/>
          <w:szCs w:val="24"/>
          <w:lang w:val="en-US" w:eastAsia="zh-CN"/>
        </w:rPr>
        <w:t>他</w:t>
      </w:r>
      <w:r>
        <w:rPr>
          <w:rFonts w:hint="eastAsia" w:cs="宋体" w:asciiTheme="minorEastAsia" w:hAnsiTheme="minorEastAsia" w:eastAsiaTheme="minorEastAsia"/>
          <w:color w:val="auto"/>
          <w:sz w:val="24"/>
          <w:szCs w:val="24"/>
        </w:rPr>
        <w:t>条款的执行与效力。</w:t>
      </w:r>
    </w:p>
    <w:p w14:paraId="304F8EAA">
      <w:pPr>
        <w:keepNext w:val="0"/>
        <w:keepLines w:val="0"/>
        <w:pageBreakBefore w:val="0"/>
        <w:widowControl/>
        <w:numPr>
          <w:ilvl w:val="0"/>
          <w:numId w:val="0"/>
        </w:numPr>
        <w:kinsoku/>
        <w:wordWrap/>
        <w:overflowPunct/>
        <w:topLinePunct w:val="0"/>
        <w:bidi w:val="0"/>
        <w:snapToGrid/>
        <w:spacing w:line="520" w:lineRule="exact"/>
        <w:ind w:firstLine="480" w:firstLineChars="200"/>
        <w:textAlignment w:val="auto"/>
        <w:rPr>
          <w:rFonts w:cs="宋体" w:asciiTheme="minorEastAsia" w:hAnsiTheme="minorEastAsia" w:eastAsiaTheme="minorEastAsia"/>
          <w:bCs/>
          <w:color w:val="auto"/>
          <w:sz w:val="24"/>
          <w:szCs w:val="24"/>
        </w:rPr>
      </w:pPr>
      <w:r>
        <w:rPr>
          <w:rFonts w:hint="eastAsia" w:cs="宋体" w:asciiTheme="minorEastAsia" w:hAnsiTheme="minorEastAsia"/>
          <w:bCs/>
          <w:color w:val="auto"/>
          <w:sz w:val="24"/>
          <w:szCs w:val="24"/>
          <w:lang w:val="en-US" w:eastAsia="zh-CN" w:bidi="ar-SA"/>
        </w:rPr>
        <w:t>五</w:t>
      </w:r>
      <w:r>
        <w:rPr>
          <w:rFonts w:hint="eastAsia" w:cs="宋体" w:asciiTheme="minorEastAsia" w:hAnsiTheme="minorEastAsia" w:eastAsiaTheme="minorEastAsia"/>
          <w:bCs/>
          <w:color w:val="auto"/>
          <w:sz w:val="24"/>
          <w:szCs w:val="24"/>
          <w:lang w:val="en-US" w:eastAsia="zh-CN" w:bidi="ar-SA"/>
        </w:rPr>
        <w:t>、</w:t>
      </w:r>
      <w:r>
        <w:rPr>
          <w:rFonts w:hint="eastAsia" w:cs="宋体" w:asciiTheme="minorEastAsia" w:hAnsiTheme="minorEastAsia" w:eastAsiaTheme="minorEastAsia"/>
          <w:bCs/>
          <w:color w:val="auto"/>
          <w:sz w:val="24"/>
          <w:szCs w:val="24"/>
        </w:rPr>
        <w:t>协议的变更与解除</w:t>
      </w:r>
      <w:r>
        <w:rPr>
          <w:rFonts w:hint="eastAsia" w:cs="宋体" w:asciiTheme="minorEastAsia" w:hAnsiTheme="minorEastAsia" w:eastAsiaTheme="minorEastAsia"/>
          <w:bCs/>
          <w:color w:val="auto"/>
          <w:sz w:val="24"/>
          <w:szCs w:val="24"/>
        </w:rPr>
        <w:tab/>
      </w:r>
    </w:p>
    <w:p w14:paraId="4776E9E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在本协议正常履行期间，协议内容的任何修改、变更、解除，必须经协议各方一致同意。</w:t>
      </w:r>
    </w:p>
    <w:p w14:paraId="626615D6">
      <w:pPr>
        <w:keepNext w:val="0"/>
        <w:keepLines w:val="0"/>
        <w:pageBreakBefore w:val="0"/>
        <w:widowControl/>
        <w:numPr>
          <w:ilvl w:val="0"/>
          <w:numId w:val="0"/>
        </w:numPr>
        <w:kinsoku/>
        <w:wordWrap/>
        <w:overflowPunct/>
        <w:topLinePunct w:val="0"/>
        <w:bidi w:val="0"/>
        <w:snapToGrid/>
        <w:spacing w:line="520" w:lineRule="exact"/>
        <w:ind w:left="420" w:leftChars="0" w:firstLine="420" w:firstLineChars="0"/>
        <w:jc w:val="left"/>
        <w:textAlignment w:val="auto"/>
        <w:rPr>
          <w:rFonts w:cs="宋体" w:asciiTheme="minorEastAsia" w:hAnsiTheme="minorEastAsia" w:eastAsiaTheme="minorEastAsia"/>
          <w:bCs/>
          <w:color w:val="auto"/>
          <w:sz w:val="24"/>
          <w:szCs w:val="24"/>
        </w:rPr>
      </w:pPr>
      <w:r>
        <w:rPr>
          <w:rFonts w:hint="eastAsia" w:cs="宋体" w:asciiTheme="minorEastAsia" w:hAnsiTheme="minorEastAsia"/>
          <w:bCs/>
          <w:color w:val="auto"/>
          <w:sz w:val="24"/>
          <w:szCs w:val="24"/>
          <w:lang w:val="en-US" w:eastAsia="zh-CN" w:bidi="ar-SA"/>
        </w:rPr>
        <w:t>六</w:t>
      </w:r>
      <w:r>
        <w:rPr>
          <w:rFonts w:hint="eastAsia" w:cs="宋体" w:asciiTheme="minorEastAsia" w:hAnsiTheme="minorEastAsia" w:eastAsiaTheme="minorEastAsia"/>
          <w:bCs/>
          <w:color w:val="auto"/>
          <w:sz w:val="24"/>
          <w:szCs w:val="24"/>
          <w:lang w:val="en-US" w:eastAsia="zh-CN" w:bidi="ar-SA"/>
        </w:rPr>
        <w:t>、</w:t>
      </w:r>
      <w:r>
        <w:rPr>
          <w:rFonts w:hint="eastAsia" w:cs="宋体" w:asciiTheme="minorEastAsia" w:hAnsiTheme="minorEastAsia" w:eastAsiaTheme="minorEastAsia"/>
          <w:bCs/>
          <w:color w:val="auto"/>
          <w:sz w:val="24"/>
          <w:szCs w:val="24"/>
        </w:rPr>
        <w:t>违约责任</w:t>
      </w:r>
    </w:p>
    <w:p w14:paraId="3E2CFA5C">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由于本协议任何一方当事人的过错，造成本协议不能履行或者不能完全履行的，由有过错的一方依法承担违约责任；如属各方当事人的过错，则根据各方当事人过错的实际情况，由各方当事人分别承担各自应负的违约责任；</w:t>
      </w:r>
    </w:p>
    <w:p w14:paraId="09B46137">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若发生违约情形，违约方依法依约承担其相应法律责任后，除非守约方同意终止本协议的，本协议仍须继续履行。</w:t>
      </w:r>
    </w:p>
    <w:p w14:paraId="1C7649B9">
      <w:pPr>
        <w:keepNext w:val="0"/>
        <w:keepLines w:val="0"/>
        <w:pageBreakBefore w:val="0"/>
        <w:widowControl/>
        <w:numPr>
          <w:ilvl w:val="0"/>
          <w:numId w:val="0"/>
        </w:numPr>
        <w:kinsoku/>
        <w:wordWrap/>
        <w:overflowPunct/>
        <w:topLinePunct w:val="0"/>
        <w:bidi w:val="0"/>
        <w:snapToGrid/>
        <w:spacing w:line="520" w:lineRule="exact"/>
        <w:ind w:firstLine="480" w:firstLineChars="200"/>
        <w:textAlignment w:val="auto"/>
        <w:rPr>
          <w:rFonts w:cs="宋体" w:asciiTheme="minorEastAsia" w:hAnsiTheme="minorEastAsia" w:eastAsiaTheme="minorEastAsia"/>
          <w:bCs/>
          <w:color w:val="auto"/>
          <w:sz w:val="24"/>
          <w:szCs w:val="24"/>
        </w:rPr>
      </w:pPr>
      <w:r>
        <w:rPr>
          <w:rFonts w:hint="eastAsia" w:cs="宋体" w:asciiTheme="minorEastAsia" w:hAnsiTheme="minorEastAsia"/>
          <w:bCs/>
          <w:color w:val="auto"/>
          <w:sz w:val="24"/>
          <w:szCs w:val="24"/>
          <w:lang w:val="en-US" w:eastAsia="zh-CN" w:bidi="ar-SA"/>
        </w:rPr>
        <w:t>七</w:t>
      </w:r>
      <w:r>
        <w:rPr>
          <w:rFonts w:hint="eastAsia" w:cs="宋体" w:asciiTheme="minorEastAsia" w:hAnsiTheme="minorEastAsia" w:eastAsiaTheme="minorEastAsia"/>
          <w:bCs/>
          <w:color w:val="auto"/>
          <w:sz w:val="24"/>
          <w:szCs w:val="24"/>
          <w:lang w:val="en-US" w:eastAsia="zh-CN" w:bidi="ar-SA"/>
        </w:rPr>
        <w:t>、</w:t>
      </w:r>
      <w:r>
        <w:rPr>
          <w:rFonts w:hint="eastAsia" w:cs="宋体" w:asciiTheme="minorEastAsia" w:hAnsiTheme="minorEastAsia" w:eastAsiaTheme="minorEastAsia"/>
          <w:bCs/>
          <w:color w:val="auto"/>
          <w:sz w:val="24"/>
          <w:szCs w:val="24"/>
        </w:rPr>
        <w:t>协议份数</w:t>
      </w:r>
    </w:p>
    <w:p w14:paraId="77719EE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本合同一式伍份，甲方持两份；乙方持一份；代理公司持一份，行政审批局持一份（由代理公司代收）。</w:t>
      </w:r>
    </w:p>
    <w:p w14:paraId="48B1D0AB">
      <w:pPr>
        <w:keepNext w:val="0"/>
        <w:keepLines w:val="0"/>
        <w:pageBreakBefore w:val="0"/>
        <w:numPr>
          <w:ilvl w:val="0"/>
          <w:numId w:val="15"/>
        </w:numPr>
        <w:tabs>
          <w:tab w:val="center" w:pos="4153"/>
        </w:tabs>
        <w:kinsoku/>
        <w:wordWrap/>
        <w:overflowPunct/>
        <w:topLinePunct w:val="0"/>
        <w:bidi w:val="0"/>
        <w:snapToGrid/>
        <w:spacing w:line="520" w:lineRule="exact"/>
        <w:jc w:val="center"/>
        <w:textAlignment w:val="auto"/>
        <w:outlineLvl w:val="2"/>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保险保障内容</w:t>
      </w:r>
    </w:p>
    <w:p w14:paraId="1DA781CB">
      <w:pPr>
        <w:keepNext w:val="0"/>
        <w:keepLines w:val="0"/>
        <w:pageBreakBefore w:val="0"/>
        <w:widowControl/>
        <w:kinsoku/>
        <w:wordWrap/>
        <w:overflowPunct/>
        <w:topLinePunct w:val="0"/>
        <w:bidi w:val="0"/>
        <w:snapToGrid/>
        <w:spacing w:line="520" w:lineRule="exact"/>
        <w:ind w:firstLine="420"/>
        <w:textAlignment w:val="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bCs/>
          <w:color w:val="auto"/>
          <w:sz w:val="24"/>
          <w:szCs w:val="24"/>
        </w:rPr>
        <w:t>1、</w:t>
      </w:r>
      <w:r>
        <w:rPr>
          <w:rFonts w:hint="eastAsia" w:cs="宋体" w:asciiTheme="minorEastAsia" w:hAnsiTheme="minorEastAsia" w:eastAsiaTheme="minorEastAsia"/>
          <w:color w:val="auto"/>
          <w:sz w:val="24"/>
          <w:szCs w:val="24"/>
        </w:rPr>
        <w:t>本项目</w:t>
      </w:r>
      <w:r>
        <w:rPr>
          <w:rFonts w:hint="eastAsia" w:cs="宋体" w:asciiTheme="minorEastAsia" w:hAnsiTheme="minorEastAsia"/>
          <w:color w:val="auto"/>
          <w:sz w:val="24"/>
          <w:szCs w:val="24"/>
          <w:lang w:val="en-US" w:eastAsia="zh-CN"/>
        </w:rPr>
        <w:t>为</w:t>
      </w:r>
      <w:r>
        <w:rPr>
          <w:rFonts w:hint="eastAsia" w:cs="宋体" w:asciiTheme="minorEastAsia" w:hAnsiTheme="minorEastAsia" w:eastAsiaTheme="minorEastAsia"/>
          <w:color w:val="auto"/>
          <w:sz w:val="24"/>
          <w:szCs w:val="24"/>
        </w:rPr>
        <w:t>泰州市中医院医疗责任等综合保险</w:t>
      </w:r>
      <w:r>
        <w:rPr>
          <w:rFonts w:hint="eastAsia" w:cs="宋体" w:asciiTheme="minorEastAsia" w:hAnsiTheme="minorEastAsia"/>
          <w:color w:val="auto"/>
          <w:sz w:val="24"/>
          <w:szCs w:val="24"/>
          <w:lang w:eastAsia="zh-CN"/>
        </w:rPr>
        <w:t>。</w:t>
      </w:r>
    </w:p>
    <w:p w14:paraId="3AD2EB57">
      <w:pPr>
        <w:keepNext w:val="0"/>
        <w:keepLines w:val="0"/>
        <w:pageBreakBefore w:val="0"/>
        <w:widowControl/>
        <w:kinsoku/>
        <w:wordWrap/>
        <w:overflowPunct/>
        <w:topLinePunct w:val="0"/>
        <w:bidi w:val="0"/>
        <w:snapToGrid/>
        <w:spacing w:line="520" w:lineRule="exact"/>
        <w:ind w:firstLine="420"/>
        <w:textAlignment w:val="auto"/>
        <w:rPr>
          <w:rFonts w:hint="eastAsia" w:cs="宋体" w:asciiTheme="minorEastAsia" w:hAnsiTheme="minorEastAsia" w:eastAsiaTheme="minorEastAsia"/>
          <w:color w:val="auto"/>
          <w:sz w:val="24"/>
          <w:szCs w:val="24"/>
          <w:lang w:eastAsia="zh-CN"/>
        </w:rPr>
      </w:pPr>
      <w:r>
        <w:rPr>
          <w:rFonts w:hint="eastAsia" w:cs="宋体" w:asciiTheme="minorEastAsia" w:hAnsiTheme="minorEastAsia" w:eastAsiaTheme="minorEastAsia"/>
          <w:bCs/>
          <w:color w:val="auto"/>
          <w:sz w:val="24"/>
          <w:szCs w:val="24"/>
        </w:rPr>
        <w:t>2、</w:t>
      </w:r>
      <w:r>
        <w:rPr>
          <w:rFonts w:hint="eastAsia" w:cs="宋体" w:asciiTheme="minorEastAsia" w:hAnsiTheme="minorEastAsia" w:eastAsiaTheme="minorEastAsia"/>
          <w:color w:val="auto"/>
          <w:sz w:val="24"/>
          <w:szCs w:val="24"/>
        </w:rPr>
        <w:t>本项目采购金额：</w:t>
      </w:r>
      <w:r>
        <w:rPr>
          <w:rFonts w:hint="eastAsia" w:cs="宋体" w:asciiTheme="minorEastAsia" w:hAnsiTheme="minorEastAsia"/>
          <w:color w:val="auto"/>
          <w:sz w:val="24"/>
          <w:szCs w:val="24"/>
          <w:u w:val="single"/>
          <w:lang w:val="en-US" w:eastAsia="zh-CN"/>
        </w:rPr>
        <w:t xml:space="preserve">     </w:t>
      </w:r>
      <w:r>
        <w:rPr>
          <w:rFonts w:hint="eastAsia" w:cs="宋体" w:asciiTheme="minorEastAsia" w:hAnsiTheme="minorEastAsia" w:eastAsiaTheme="minorEastAsia"/>
          <w:color w:val="auto"/>
          <w:sz w:val="24"/>
          <w:szCs w:val="24"/>
        </w:rPr>
        <w:t>元整/年</w:t>
      </w:r>
      <w:r>
        <w:rPr>
          <w:rFonts w:hint="eastAsia" w:cs="宋体" w:asciiTheme="minorEastAsia" w:hAnsiTheme="minorEastAsia"/>
          <w:color w:val="auto"/>
          <w:sz w:val="24"/>
          <w:szCs w:val="24"/>
          <w:lang w:eastAsia="zh-CN"/>
        </w:rPr>
        <w:t>。</w:t>
      </w:r>
    </w:p>
    <w:p w14:paraId="006E44A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Cs/>
          <w:color w:val="auto"/>
          <w:sz w:val="24"/>
          <w:szCs w:val="24"/>
        </w:rPr>
        <w:t>3、</w:t>
      </w:r>
      <w:r>
        <w:rPr>
          <w:rFonts w:hint="eastAsia" w:cs="宋体" w:asciiTheme="minorEastAsia" w:hAnsiTheme="minorEastAsia" w:eastAsiaTheme="minorEastAsia"/>
          <w:color w:val="auto"/>
          <w:sz w:val="24"/>
          <w:szCs w:val="24"/>
        </w:rPr>
        <w:t>保险责任及责任限额</w:t>
      </w:r>
    </w:p>
    <w:p w14:paraId="3944EC8F">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（1）医疗责任保险：包括发生在泰州市中医院（被保险人）医务人员在诊疗护理活动中，因医疗过失、服务不当、告知不全及药品器械等引起的医疗损害责任赔偿。</w:t>
      </w:r>
    </w:p>
    <w:p w14:paraId="0B34891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（2）法律费用：被保险人因医疗损害责任或场所责任被提起诉讼或仲裁，所产生的合理的、必要的诉讼费、鉴定费、取证费、案件受理费、律师费、仲裁费及其他相关费用等。</w:t>
      </w:r>
    </w:p>
    <w:p w14:paraId="76FD095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w:t>
      </w:r>
      <w:r>
        <w:rPr>
          <w:rFonts w:hint="eastAsia" w:cs="宋体" w:asciiTheme="minorEastAsia" w:hAnsiTheme="minorEastAsia"/>
          <w:color w:val="auto"/>
          <w:sz w:val="24"/>
          <w:szCs w:val="24"/>
          <w:lang w:val="en-US" w:eastAsia="zh-CN"/>
        </w:rPr>
        <w:t>3</w:t>
      </w:r>
      <w:r>
        <w:rPr>
          <w:rFonts w:hint="eastAsia" w:cs="宋体" w:asciiTheme="minorEastAsia" w:hAnsiTheme="minorEastAsia" w:eastAsiaTheme="minorEastAsia"/>
          <w:color w:val="auto"/>
          <w:sz w:val="24"/>
          <w:szCs w:val="24"/>
        </w:rPr>
        <w:t>）责任限额表</w:t>
      </w:r>
    </w:p>
    <w:tbl>
      <w:tblPr>
        <w:tblStyle w:val="706"/>
        <w:tblW w:w="5313" w:type="pct"/>
        <w:tblInd w:w="-2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681"/>
        <w:gridCol w:w="5937"/>
      </w:tblGrid>
      <w:tr w14:paraId="61B21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863" w:type="pct"/>
            <w:gridSpan w:val="2"/>
            <w:noWrap/>
            <w:vAlign w:val="center"/>
          </w:tcPr>
          <w:p w14:paraId="5F28B216">
            <w:pPr>
              <w:keepNext w:val="0"/>
              <w:keepLines w:val="0"/>
              <w:pageBreakBefore w:val="0"/>
              <w:widowControl/>
              <w:kinsoku/>
              <w:wordWrap/>
              <w:overflowPunct/>
              <w:topLinePunct w:val="0"/>
              <w:bidi w:val="0"/>
              <w:snapToGrid/>
              <w:spacing w:line="520" w:lineRule="exact"/>
              <w:ind w:firstLine="1320" w:firstLineChars="55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项  目</w:t>
            </w:r>
          </w:p>
        </w:tc>
        <w:tc>
          <w:tcPr>
            <w:tcW w:w="3136" w:type="pct"/>
            <w:noWrap/>
            <w:vAlign w:val="center"/>
          </w:tcPr>
          <w:p w14:paraId="445BB8E9">
            <w:pPr>
              <w:keepNext w:val="0"/>
              <w:keepLines w:val="0"/>
              <w:pageBreakBefore w:val="0"/>
              <w:widowControl/>
              <w:kinsoku/>
              <w:wordWrap/>
              <w:overflowPunct/>
              <w:topLinePunct w:val="0"/>
              <w:bidi w:val="0"/>
              <w:snapToGrid/>
              <w:spacing w:line="520" w:lineRule="exact"/>
              <w:ind w:firstLine="2520" w:firstLineChars="105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赔偿限额</w:t>
            </w:r>
          </w:p>
        </w:tc>
      </w:tr>
      <w:tr w14:paraId="58A03A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1863" w:type="pct"/>
            <w:gridSpan w:val="2"/>
            <w:noWrap/>
            <w:vAlign w:val="center"/>
          </w:tcPr>
          <w:p w14:paraId="79AB7A72">
            <w:pPr>
              <w:keepNext w:val="0"/>
              <w:keepLines w:val="0"/>
              <w:pageBreakBefore w:val="0"/>
              <w:widowControl/>
              <w:kinsoku/>
              <w:wordWrap/>
              <w:overflowPunct/>
              <w:topLinePunct w:val="0"/>
              <w:bidi w:val="0"/>
              <w:snapToGrid/>
              <w:spacing w:line="520" w:lineRule="exact"/>
              <w:ind w:firstLine="720" w:firstLineChars="3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年度累计赔偿限额</w:t>
            </w:r>
          </w:p>
        </w:tc>
        <w:tc>
          <w:tcPr>
            <w:tcW w:w="3136" w:type="pct"/>
            <w:noWrap/>
            <w:vAlign w:val="center"/>
          </w:tcPr>
          <w:p w14:paraId="26CBC705">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hint="eastAsia" w:cs="宋体" w:asciiTheme="minorEastAsia" w:hAnsiTheme="minorEastAsia"/>
                <w:color w:val="auto"/>
                <w:sz w:val="24"/>
                <w:szCs w:val="24"/>
                <w:highlight w:val="none"/>
                <w:lang w:val="en-US" w:eastAsia="zh-CN"/>
              </w:rPr>
              <w:t>7</w:t>
            </w:r>
            <w:r>
              <w:rPr>
                <w:rFonts w:hint="eastAsia" w:cs="宋体" w:asciiTheme="minorEastAsia" w:hAnsiTheme="minorEastAsia" w:eastAsiaTheme="minorEastAsia"/>
                <w:color w:val="auto"/>
                <w:sz w:val="24"/>
                <w:szCs w:val="24"/>
                <w:highlight w:val="none"/>
              </w:rPr>
              <w:t>0万元</w:t>
            </w:r>
          </w:p>
        </w:tc>
      </w:tr>
      <w:tr w14:paraId="3DF757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5" w:hRule="atLeast"/>
        </w:trPr>
        <w:tc>
          <w:tcPr>
            <w:tcW w:w="447" w:type="pct"/>
            <w:vMerge w:val="restart"/>
            <w:noWrap/>
            <w:vAlign w:val="center"/>
          </w:tcPr>
          <w:p w14:paraId="02D503BB">
            <w:pPr>
              <w:keepNext w:val="0"/>
              <w:keepLines w:val="0"/>
              <w:pageBreakBefore w:val="0"/>
              <w:widowControl/>
              <w:kinsoku/>
              <w:wordWrap/>
              <w:overflowPunct/>
              <w:topLinePunct w:val="0"/>
              <w:bidi w:val="0"/>
              <w:snapToGrid/>
              <w:spacing w:line="520" w:lineRule="exact"/>
              <w:jc w:val="center"/>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分项赔偿限额</w:t>
            </w:r>
          </w:p>
        </w:tc>
        <w:tc>
          <w:tcPr>
            <w:tcW w:w="1416" w:type="pct"/>
            <w:noWrap/>
            <w:vAlign w:val="center"/>
          </w:tcPr>
          <w:p w14:paraId="06C73B81">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医疗责任保险</w:t>
            </w:r>
          </w:p>
        </w:tc>
        <w:tc>
          <w:tcPr>
            <w:tcW w:w="3136" w:type="pct"/>
            <w:noWrap/>
            <w:vAlign w:val="center"/>
          </w:tcPr>
          <w:p w14:paraId="7B298B88">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每次事故责任限额：</w:t>
            </w:r>
          </w:p>
          <w:p w14:paraId="46D5101A">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每次赔偿限额60万元，每人赔偿限额</w:t>
            </w:r>
            <w:r>
              <w:rPr>
                <w:rFonts w:hint="eastAsia" w:cs="宋体" w:asciiTheme="minorEastAsia" w:hAnsiTheme="minorEastAsia"/>
                <w:color w:val="auto"/>
                <w:sz w:val="24"/>
                <w:szCs w:val="24"/>
                <w:highlight w:val="none"/>
                <w:lang w:val="en-US" w:eastAsia="zh-CN"/>
              </w:rPr>
              <w:t>3</w:t>
            </w:r>
            <w:r>
              <w:rPr>
                <w:rFonts w:hint="eastAsia" w:cs="宋体" w:asciiTheme="minorEastAsia" w:hAnsiTheme="minorEastAsia" w:eastAsiaTheme="minorEastAsia"/>
                <w:color w:val="auto"/>
                <w:sz w:val="24"/>
                <w:szCs w:val="24"/>
                <w:highlight w:val="none"/>
              </w:rPr>
              <w:t>5万元；</w:t>
            </w:r>
          </w:p>
          <w:p w14:paraId="1CA4C99D">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精神抚慰金每人限额：5万元；</w:t>
            </w:r>
          </w:p>
        </w:tc>
      </w:tr>
      <w:tr w14:paraId="4BAD91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447" w:type="pct"/>
            <w:vMerge w:val="continue"/>
            <w:noWrap/>
            <w:vAlign w:val="center"/>
          </w:tcPr>
          <w:p w14:paraId="77360911">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p>
        </w:tc>
        <w:tc>
          <w:tcPr>
            <w:tcW w:w="1416" w:type="pct"/>
            <w:noWrap/>
            <w:vAlign w:val="center"/>
          </w:tcPr>
          <w:p w14:paraId="2FBD2DD1">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附加医疗机构场所责任</w:t>
            </w:r>
          </w:p>
        </w:tc>
        <w:tc>
          <w:tcPr>
            <w:tcW w:w="3136" w:type="pct"/>
            <w:noWrap/>
            <w:vAlign w:val="center"/>
          </w:tcPr>
          <w:p w14:paraId="09407376">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累计责任限额30万元，单次责任限额20万元；</w:t>
            </w:r>
          </w:p>
        </w:tc>
      </w:tr>
      <w:tr w14:paraId="53C5BF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447" w:type="pct"/>
            <w:vMerge w:val="continue"/>
            <w:noWrap/>
            <w:vAlign w:val="center"/>
          </w:tcPr>
          <w:p w14:paraId="32771027">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p>
        </w:tc>
        <w:tc>
          <w:tcPr>
            <w:tcW w:w="1416" w:type="pct"/>
            <w:noWrap/>
            <w:vAlign w:val="center"/>
          </w:tcPr>
          <w:p w14:paraId="3E0B73A9">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附加医疗意外责任保险</w:t>
            </w:r>
          </w:p>
        </w:tc>
        <w:tc>
          <w:tcPr>
            <w:tcW w:w="3136" w:type="pct"/>
            <w:noWrap/>
            <w:vAlign w:val="center"/>
          </w:tcPr>
          <w:p w14:paraId="3515FA75">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累计责任限额30万元，单次责任限额6万元；</w:t>
            </w:r>
          </w:p>
        </w:tc>
      </w:tr>
      <w:tr w14:paraId="5ABA2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447" w:type="pct"/>
            <w:vMerge w:val="continue"/>
            <w:noWrap/>
            <w:vAlign w:val="center"/>
          </w:tcPr>
          <w:p w14:paraId="6DC2472B">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p>
        </w:tc>
        <w:tc>
          <w:tcPr>
            <w:tcW w:w="1416" w:type="pct"/>
            <w:noWrap/>
            <w:vAlign w:val="center"/>
          </w:tcPr>
          <w:p w14:paraId="06D23A08">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法律费用</w:t>
            </w:r>
          </w:p>
        </w:tc>
        <w:tc>
          <w:tcPr>
            <w:tcW w:w="3136" w:type="pct"/>
            <w:noWrap/>
            <w:vAlign w:val="center"/>
          </w:tcPr>
          <w:p w14:paraId="7017D27E">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每次事故法律费用责任限额5万元；累计法律费用责任限额10万元；</w:t>
            </w:r>
          </w:p>
        </w:tc>
      </w:tr>
      <w:tr w14:paraId="002AD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447" w:type="pct"/>
            <w:vMerge w:val="continue"/>
            <w:noWrap/>
            <w:vAlign w:val="center"/>
          </w:tcPr>
          <w:p w14:paraId="4C708E3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p>
        </w:tc>
        <w:tc>
          <w:tcPr>
            <w:tcW w:w="1416" w:type="pct"/>
            <w:noWrap/>
            <w:vAlign w:val="center"/>
          </w:tcPr>
          <w:p w14:paraId="5CCCAE54">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会诊费用</w:t>
            </w:r>
          </w:p>
        </w:tc>
        <w:tc>
          <w:tcPr>
            <w:tcW w:w="3136" w:type="pct"/>
            <w:noWrap/>
            <w:vAlign w:val="center"/>
          </w:tcPr>
          <w:p w14:paraId="34138748">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每次事故每位患者特别会诊费用责任限额2万元；</w:t>
            </w:r>
          </w:p>
        </w:tc>
      </w:tr>
      <w:tr w14:paraId="47927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447" w:type="pct"/>
            <w:vMerge w:val="continue"/>
            <w:noWrap/>
            <w:vAlign w:val="center"/>
          </w:tcPr>
          <w:p w14:paraId="0790DAD4">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p>
        </w:tc>
        <w:tc>
          <w:tcPr>
            <w:tcW w:w="1416" w:type="pct"/>
            <w:noWrap/>
            <w:vAlign w:val="center"/>
          </w:tcPr>
          <w:p w14:paraId="2EB46A8B">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事故免赔额</w:t>
            </w:r>
          </w:p>
        </w:tc>
        <w:tc>
          <w:tcPr>
            <w:tcW w:w="3136" w:type="pct"/>
            <w:noWrap/>
            <w:vAlign w:val="center"/>
          </w:tcPr>
          <w:p w14:paraId="331B2AFC">
            <w:pPr>
              <w:keepNext w:val="0"/>
              <w:keepLines w:val="0"/>
              <w:pageBreakBefore w:val="0"/>
              <w:widowControl/>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每次事故绝对免赔额2000元；每次事故免赔率10%；二者取高。</w:t>
            </w:r>
          </w:p>
        </w:tc>
      </w:tr>
    </w:tbl>
    <w:p w14:paraId="37495639">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注：</w:t>
      </w:r>
    </w:p>
    <w:p w14:paraId="1B6217AA">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1）累计赔偿限额是指被保险医疗机构在保险年度内获得的最高赔偿金额。若保险年度内被保险医疗机构累计获得的赔款等于累计赔偿限额，则该医疗机构的保险单项下的相应保险责任终止。医疗机构选择的累计赔偿限额不低于每人赔偿限额。</w:t>
      </w:r>
    </w:p>
    <w:p w14:paraId="4139AD75">
      <w:pPr>
        <w:keepNext w:val="0"/>
        <w:keepLines w:val="0"/>
        <w:pageBreakBefore w:val="0"/>
        <w:widowControl/>
        <w:kinsoku/>
        <w:wordWrap/>
        <w:overflowPunct/>
        <w:topLinePunct w:val="0"/>
        <w:bidi w:val="0"/>
        <w:snapToGrid/>
        <w:spacing w:line="520" w:lineRule="exact"/>
        <w:ind w:firstLine="42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（2）每次每人赔偿限额是指在保险年度内，被保险医疗机构造成每一名患者人身损害，在保险责任范围内获得的最高赔偿金额。</w:t>
      </w:r>
    </w:p>
    <w:p w14:paraId="21AAB71B">
      <w:pPr>
        <w:pStyle w:val="19"/>
        <w:keepNext w:val="0"/>
        <w:keepLines w:val="0"/>
        <w:pageBreakBefore w:val="0"/>
        <w:kinsoku/>
        <w:wordWrap/>
        <w:overflowPunct/>
        <w:topLinePunct w:val="0"/>
        <w:bidi w:val="0"/>
        <w:snapToGrid/>
        <w:spacing w:after="0" w:line="520" w:lineRule="exact"/>
        <w:ind w:firstLine="422"/>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bCs/>
          <w:color w:val="auto"/>
          <w:sz w:val="24"/>
          <w:szCs w:val="24"/>
        </w:rPr>
        <w:t>4、</w:t>
      </w:r>
      <w:r>
        <w:rPr>
          <w:rFonts w:hint="eastAsia" w:cs="宋体" w:asciiTheme="minorEastAsia" w:hAnsiTheme="minorEastAsia" w:eastAsiaTheme="minorEastAsia"/>
          <w:color w:val="auto"/>
          <w:sz w:val="24"/>
          <w:szCs w:val="24"/>
        </w:rPr>
        <w:t>投保、出单与保险费支付</w:t>
      </w:r>
    </w:p>
    <w:p w14:paraId="5A55DB65">
      <w:pPr>
        <w:pStyle w:val="19"/>
        <w:keepNext w:val="0"/>
        <w:keepLines w:val="0"/>
        <w:pageBreakBefore w:val="0"/>
        <w:kinsoku/>
        <w:wordWrap/>
        <w:overflowPunct/>
        <w:topLinePunct w:val="0"/>
        <w:bidi w:val="0"/>
        <w:snapToGrid/>
        <w:spacing w:after="0"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（一）投保</w:t>
      </w:r>
    </w:p>
    <w:p w14:paraId="51DE3F2C">
      <w:pPr>
        <w:pStyle w:val="19"/>
        <w:keepNext w:val="0"/>
        <w:keepLines w:val="0"/>
        <w:pageBreakBefore w:val="0"/>
        <w:kinsoku/>
        <w:wordWrap/>
        <w:overflowPunct/>
        <w:topLinePunct w:val="0"/>
        <w:bidi w:val="0"/>
        <w:snapToGrid/>
        <w:spacing w:after="0"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甲方投保时，须向乙方提供以下材料：</w:t>
      </w:r>
    </w:p>
    <w:p w14:paraId="0F52BDF6">
      <w:pPr>
        <w:pStyle w:val="19"/>
        <w:keepNext w:val="0"/>
        <w:keepLines w:val="0"/>
        <w:pageBreakBefore w:val="0"/>
        <w:numPr>
          <w:ilvl w:val="0"/>
          <w:numId w:val="0"/>
        </w:numPr>
        <w:kinsoku/>
        <w:wordWrap/>
        <w:overflowPunct/>
        <w:topLinePunct w:val="0"/>
        <w:bidi w:val="0"/>
        <w:snapToGrid/>
        <w:spacing w:after="0"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color w:val="auto"/>
          <w:sz w:val="24"/>
          <w:szCs w:val="24"/>
          <w:lang w:val="en-US" w:eastAsia="zh-CN"/>
        </w:rPr>
        <w:t>1、</w:t>
      </w:r>
      <w:r>
        <w:rPr>
          <w:rFonts w:hint="eastAsia" w:cs="宋体" w:asciiTheme="minorEastAsia" w:hAnsiTheme="minorEastAsia" w:eastAsiaTheme="minorEastAsia"/>
          <w:color w:val="auto"/>
          <w:sz w:val="24"/>
          <w:szCs w:val="24"/>
        </w:rPr>
        <w:t>投保单；</w:t>
      </w:r>
    </w:p>
    <w:p w14:paraId="57F2F4DF">
      <w:pPr>
        <w:keepNext w:val="0"/>
        <w:keepLines w:val="0"/>
        <w:pageBreakBefore w:val="0"/>
        <w:numPr>
          <w:ilvl w:val="0"/>
          <w:numId w:val="0"/>
        </w:numPr>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color w:val="auto"/>
          <w:sz w:val="24"/>
          <w:szCs w:val="24"/>
          <w:lang w:val="en-US" w:eastAsia="zh-CN"/>
        </w:rPr>
        <w:t>2、</w:t>
      </w:r>
      <w:r>
        <w:rPr>
          <w:rFonts w:hint="eastAsia" w:asciiTheme="minorEastAsia" w:hAnsiTheme="minorEastAsia" w:eastAsiaTheme="minorEastAsia"/>
          <w:color w:val="auto"/>
          <w:sz w:val="24"/>
          <w:szCs w:val="24"/>
        </w:rPr>
        <w:t>事业单位法人证书复印件</w:t>
      </w:r>
    </w:p>
    <w:p w14:paraId="74B4138A">
      <w:pPr>
        <w:keepNext w:val="0"/>
        <w:keepLines w:val="0"/>
        <w:pageBreakBefore w:val="0"/>
        <w:numPr>
          <w:ilvl w:val="0"/>
          <w:numId w:val="0"/>
        </w:numPr>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color w:val="auto"/>
          <w:sz w:val="24"/>
          <w:szCs w:val="24"/>
          <w:lang w:val="en-US" w:eastAsia="zh-CN"/>
        </w:rPr>
        <w:t>3、</w:t>
      </w:r>
      <w:r>
        <w:rPr>
          <w:rFonts w:hint="eastAsia" w:asciiTheme="minorEastAsia" w:hAnsiTheme="minorEastAsia" w:eastAsiaTheme="minorEastAsia"/>
          <w:color w:val="auto"/>
          <w:sz w:val="24"/>
          <w:szCs w:val="24"/>
        </w:rPr>
        <w:t>法人身份证复印件</w:t>
      </w:r>
    </w:p>
    <w:p w14:paraId="78902FC4">
      <w:pPr>
        <w:keepNext w:val="0"/>
        <w:keepLines w:val="0"/>
        <w:pageBreakBefore w:val="0"/>
        <w:numPr>
          <w:ilvl w:val="0"/>
          <w:numId w:val="0"/>
        </w:numPr>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color w:val="auto"/>
          <w:sz w:val="24"/>
          <w:szCs w:val="24"/>
          <w:lang w:val="en-US" w:eastAsia="zh-CN"/>
        </w:rPr>
        <w:t>4、</w:t>
      </w:r>
      <w:r>
        <w:rPr>
          <w:rFonts w:hint="eastAsia" w:asciiTheme="minorEastAsia" w:hAnsiTheme="minorEastAsia" w:eastAsiaTheme="minorEastAsia"/>
          <w:color w:val="auto"/>
          <w:sz w:val="24"/>
          <w:szCs w:val="24"/>
        </w:rPr>
        <w:t>反洗钱客户信息表</w:t>
      </w:r>
    </w:p>
    <w:p w14:paraId="59D00A14">
      <w:pPr>
        <w:pStyle w:val="19"/>
        <w:keepNext w:val="0"/>
        <w:keepLines w:val="0"/>
        <w:pageBreakBefore w:val="0"/>
        <w:kinsoku/>
        <w:wordWrap/>
        <w:overflowPunct/>
        <w:topLinePunct w:val="0"/>
        <w:bidi w:val="0"/>
        <w:snapToGrid/>
        <w:spacing w:after="0"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（二）出单</w:t>
      </w:r>
    </w:p>
    <w:p w14:paraId="6F490D2F">
      <w:pPr>
        <w:pStyle w:val="19"/>
        <w:keepNext w:val="0"/>
        <w:keepLines w:val="0"/>
        <w:pageBreakBefore w:val="0"/>
        <w:kinsoku/>
        <w:wordWrap/>
        <w:overflowPunct/>
        <w:topLinePunct w:val="0"/>
        <w:bidi w:val="0"/>
        <w:snapToGrid/>
        <w:spacing w:after="0"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乙方在收到甲方的投保材料及保险费后7日内，根据本协议的有关内容为甲方出具保险单，并开具保险费增值税发票。</w:t>
      </w:r>
    </w:p>
    <w:p w14:paraId="769978E8">
      <w:pPr>
        <w:pStyle w:val="19"/>
        <w:keepNext w:val="0"/>
        <w:keepLines w:val="0"/>
        <w:pageBreakBefore w:val="0"/>
        <w:kinsoku/>
        <w:wordWrap/>
        <w:overflowPunct/>
        <w:topLinePunct w:val="0"/>
        <w:bidi w:val="0"/>
        <w:snapToGrid/>
        <w:spacing w:after="0"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（三）保险费支付</w:t>
      </w:r>
    </w:p>
    <w:p w14:paraId="54D7AF5E">
      <w:pPr>
        <w:pStyle w:val="19"/>
        <w:keepNext w:val="0"/>
        <w:keepLines w:val="0"/>
        <w:pageBreakBefore w:val="0"/>
        <w:kinsoku/>
        <w:wordWrap/>
        <w:overflowPunct/>
        <w:topLinePunct w:val="0"/>
        <w:bidi w:val="0"/>
        <w:snapToGrid/>
        <w:spacing w:after="0"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被保险人的保险费由甲方全额承担，并于本协议签署后一次性缴纳保险费。</w:t>
      </w:r>
    </w:p>
    <w:p w14:paraId="02508870">
      <w:pPr>
        <w:pStyle w:val="19"/>
        <w:keepNext w:val="0"/>
        <w:keepLines w:val="0"/>
        <w:pageBreakBefore w:val="0"/>
        <w:kinsoku/>
        <w:wordWrap/>
        <w:overflowPunct/>
        <w:topLinePunct w:val="0"/>
        <w:bidi w:val="0"/>
        <w:snapToGrid/>
        <w:spacing w:after="0" w:line="520" w:lineRule="exact"/>
        <w:ind w:firstLine="480" w:firstLineChars="200"/>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保险费支付：甲方将保险费以转账/汇款/支票的方式划付/交付甲方/乙方指定的统一保险费专收</w:t>
      </w:r>
      <w:r>
        <w:rPr>
          <w:rFonts w:hint="eastAsia" w:cs="宋体" w:asciiTheme="minorEastAsia" w:hAnsiTheme="minorEastAsia"/>
          <w:color w:val="auto"/>
          <w:sz w:val="24"/>
          <w:szCs w:val="24"/>
          <w:lang w:val="en-US" w:eastAsia="zh-CN"/>
        </w:rPr>
        <w:t>账</w:t>
      </w:r>
      <w:r>
        <w:rPr>
          <w:rFonts w:hint="eastAsia" w:cs="宋体" w:asciiTheme="minorEastAsia" w:hAnsiTheme="minorEastAsia" w:eastAsiaTheme="minorEastAsia"/>
          <w:color w:val="auto"/>
          <w:sz w:val="24"/>
          <w:szCs w:val="24"/>
        </w:rPr>
        <w:t>户。</w:t>
      </w:r>
    </w:p>
    <w:p w14:paraId="1484842E">
      <w:pPr>
        <w:pStyle w:val="19"/>
        <w:keepNext w:val="0"/>
        <w:keepLines w:val="0"/>
        <w:pageBreakBefore w:val="0"/>
        <w:kinsoku/>
        <w:wordWrap/>
        <w:overflowPunct/>
        <w:topLinePunct w:val="0"/>
        <w:bidi w:val="0"/>
        <w:snapToGrid/>
        <w:spacing w:after="0"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 (四）附件</w:t>
      </w:r>
      <w:r>
        <w:rPr>
          <w:rFonts w:hint="eastAsia" w:cs="宋体" w:asciiTheme="minorEastAsia" w:hAnsiTheme="minorEastAsia" w:eastAsiaTheme="minorEastAsia"/>
          <w:b/>
          <w:color w:val="auto"/>
          <w:sz w:val="24"/>
          <w:szCs w:val="24"/>
        </w:rPr>
        <w:t>（</w:t>
      </w:r>
      <w:r>
        <w:rPr>
          <w:rFonts w:hint="eastAsia" w:asciiTheme="minorEastAsia" w:hAnsiTheme="minorEastAsia" w:eastAsiaTheme="minorEastAsia"/>
          <w:b/>
          <w:color w:val="auto"/>
          <w:sz w:val="24"/>
          <w:szCs w:val="24"/>
        </w:rPr>
        <w:t>保险条款与采购协议不</w:t>
      </w:r>
      <w:r>
        <w:rPr>
          <w:rFonts w:hint="eastAsia" w:asciiTheme="minorEastAsia" w:hAnsiTheme="minorEastAsia"/>
          <w:b/>
          <w:color w:val="auto"/>
          <w:sz w:val="24"/>
          <w:szCs w:val="24"/>
          <w:lang w:val="en-US" w:eastAsia="zh-CN"/>
        </w:rPr>
        <w:t>一</w:t>
      </w:r>
      <w:r>
        <w:rPr>
          <w:rFonts w:hint="eastAsia" w:asciiTheme="minorEastAsia" w:hAnsiTheme="minorEastAsia" w:eastAsiaTheme="minorEastAsia"/>
          <w:b/>
          <w:color w:val="auto"/>
          <w:sz w:val="24"/>
          <w:szCs w:val="24"/>
        </w:rPr>
        <w:t>致的以采购协议内容为准）</w:t>
      </w:r>
    </w:p>
    <w:p w14:paraId="726B198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p>
    <w:p w14:paraId="6233FBD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医疗责任保险条款</w:t>
      </w:r>
    </w:p>
    <w:p w14:paraId="5983E8A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总则</w:t>
      </w:r>
    </w:p>
    <w:p w14:paraId="15E58BD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第一条</w:t>
      </w:r>
      <w:r>
        <w:rPr>
          <w:rFonts w:asciiTheme="minorEastAsia" w:hAnsiTheme="minorEastAsia" w:eastAsiaTheme="minorEastAsia"/>
          <w:color w:val="auto"/>
          <w:spacing w:val="5"/>
          <w:sz w:val="24"/>
          <w:szCs w:val="24"/>
        </w:rPr>
        <w:t>本保险合同由保险条款、投保单、保险单</w:t>
      </w:r>
      <w:r>
        <w:rPr>
          <w:rFonts w:hint="eastAsia" w:asciiTheme="minorEastAsia" w:hAnsiTheme="minorEastAsia" w:eastAsiaTheme="minorEastAsia"/>
          <w:color w:val="auto"/>
          <w:spacing w:val="5"/>
          <w:sz w:val="24"/>
          <w:szCs w:val="24"/>
        </w:rPr>
        <w:t>以及</w:t>
      </w:r>
      <w:r>
        <w:rPr>
          <w:rFonts w:asciiTheme="minorEastAsia" w:hAnsiTheme="minorEastAsia" w:eastAsiaTheme="minorEastAsia"/>
          <w:color w:val="auto"/>
          <w:spacing w:val="5"/>
          <w:sz w:val="24"/>
          <w:szCs w:val="24"/>
        </w:rPr>
        <w:t>批单组成。凡涉及本保险合同的约定，均应采用书面形式。</w:t>
      </w:r>
    </w:p>
    <w:p w14:paraId="0C629BC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第二条</w:t>
      </w:r>
      <w:r>
        <w:rPr>
          <w:rFonts w:asciiTheme="minorEastAsia" w:hAnsiTheme="minorEastAsia" w:eastAsiaTheme="minorEastAsia"/>
          <w:color w:val="auto"/>
          <w:sz w:val="24"/>
          <w:szCs w:val="24"/>
        </w:rPr>
        <w:t xml:space="preserve"> 凡在中华人民共和国境内（不含港澳台地区）依照中华人民共和国法律</w:t>
      </w:r>
      <w:r>
        <w:rPr>
          <w:rFonts w:hint="eastAsia" w:asciiTheme="minorEastAsia" w:hAnsiTheme="minorEastAsia" w:eastAsiaTheme="minorEastAsia"/>
          <w:color w:val="auto"/>
          <w:spacing w:val="5"/>
          <w:sz w:val="24"/>
          <w:szCs w:val="24"/>
        </w:rPr>
        <w:t>（不包括港澳台地区法律）</w:t>
      </w:r>
      <w:r>
        <w:rPr>
          <w:rFonts w:asciiTheme="minorEastAsia" w:hAnsiTheme="minorEastAsia" w:eastAsiaTheme="minorEastAsia"/>
          <w:color w:val="auto"/>
          <w:sz w:val="24"/>
          <w:szCs w:val="24"/>
        </w:rPr>
        <w:t>（以下简称“依法”）设立、有固定场所并取得《医疗机构执业许可证》的医疗机构，</w:t>
      </w:r>
      <w:r>
        <w:rPr>
          <w:rFonts w:hint="eastAsia" w:asciiTheme="minorEastAsia" w:hAnsiTheme="minorEastAsia" w:eastAsiaTheme="minorEastAsia"/>
          <w:color w:val="auto"/>
          <w:sz w:val="24"/>
          <w:szCs w:val="24"/>
        </w:rPr>
        <w:t>均</w:t>
      </w:r>
      <w:r>
        <w:rPr>
          <w:rFonts w:asciiTheme="minorEastAsia" w:hAnsiTheme="minorEastAsia" w:eastAsiaTheme="minorEastAsia"/>
          <w:color w:val="auto"/>
          <w:sz w:val="24"/>
          <w:szCs w:val="24"/>
        </w:rPr>
        <w:t>可作为本保险</w:t>
      </w:r>
      <w:r>
        <w:rPr>
          <w:rFonts w:hint="eastAsia" w:asciiTheme="minorEastAsia" w:hAnsiTheme="minorEastAsia" w:eastAsiaTheme="minorEastAsia"/>
          <w:color w:val="auto"/>
          <w:sz w:val="24"/>
          <w:szCs w:val="24"/>
        </w:rPr>
        <w:t>合同</w:t>
      </w:r>
      <w:r>
        <w:rPr>
          <w:rFonts w:asciiTheme="minorEastAsia" w:hAnsiTheme="minorEastAsia" w:eastAsiaTheme="minorEastAsia"/>
          <w:color w:val="auto"/>
          <w:sz w:val="24"/>
          <w:szCs w:val="24"/>
        </w:rPr>
        <w:t>的被保险人。</w:t>
      </w:r>
    </w:p>
    <w:p w14:paraId="2FAB1E93">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保险责任</w:t>
      </w:r>
    </w:p>
    <w:p w14:paraId="76C3704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第三条</w:t>
      </w:r>
      <w:r>
        <w:rPr>
          <w:rFonts w:asciiTheme="minorEastAsia" w:hAnsiTheme="minorEastAsia" w:eastAsiaTheme="minorEastAsia"/>
          <w:color w:val="auto"/>
          <w:sz w:val="24"/>
          <w:szCs w:val="24"/>
        </w:rPr>
        <w:t>在本保险单明细表中列明的保险期间或追溯期及承保区域范围内，被保险人的投保医务人员在诊疗护理活动中，因执业过失造成患者人身损害，在本保险期间内，由患者或其近亲属首次向被保险人提出索赔申请，</w:t>
      </w:r>
      <w:r>
        <w:rPr>
          <w:rFonts w:hint="eastAsia" w:asciiTheme="minorEastAsia" w:hAnsiTheme="minorEastAsia" w:eastAsiaTheme="minorEastAsia"/>
          <w:color w:val="auto"/>
          <w:sz w:val="24"/>
          <w:szCs w:val="24"/>
        </w:rPr>
        <w:t>依照中华人民共和国法律（不包括港澳台地区法律）应由被保险人承担的经济赔偿责任，保险人按照本保险合同约定负责赔偿。</w:t>
      </w:r>
    </w:p>
    <w:p w14:paraId="58C3B1FA">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第四条</w:t>
      </w:r>
      <w:r>
        <w:rPr>
          <w:rFonts w:asciiTheme="minorEastAsia" w:hAnsiTheme="minorEastAsia" w:eastAsiaTheme="minorEastAsia"/>
          <w:color w:val="auto"/>
          <w:sz w:val="24"/>
          <w:szCs w:val="24"/>
        </w:rPr>
        <w:t>保险责任范围内的事故发生后，事先经本保险人书面同意的法律费用，包括事故鉴定费、查勘费、取证费、仲裁或诉讼费、案件受理费、律师费等，保险人在约定的限额内也负责赔偿。</w:t>
      </w:r>
    </w:p>
    <w:p w14:paraId="3A123AC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责任免除</w:t>
      </w:r>
    </w:p>
    <w:p w14:paraId="51E4E18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第五条出现下列任一情形时，保险人不负责赔偿</w:t>
      </w:r>
      <w:r>
        <w:rPr>
          <w:rFonts w:hint="eastAsia" w:asciiTheme="minorEastAsia" w:hAnsiTheme="minorEastAsia" w:eastAsiaTheme="minorEastAsia"/>
          <w:b/>
          <w:color w:val="auto"/>
          <w:sz w:val="24"/>
          <w:szCs w:val="24"/>
        </w:rPr>
        <w:t>：</w:t>
      </w:r>
    </w:p>
    <w:p w14:paraId="3EC0C90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（一）未经国家有关部门认定合格的医务人员进行的诊疗护理工作；</w:t>
      </w:r>
    </w:p>
    <w:p w14:paraId="4D1AC1CF">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（二）不以治疗为目的的诊疗护理活动；</w:t>
      </w:r>
    </w:p>
    <w:p w14:paraId="51529C9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（三）被保险人或其医务人员从事未经国家有关部门许可的诊疗护理工作；</w:t>
      </w:r>
    </w:p>
    <w:p w14:paraId="273BB1D5">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（四）被保险人或其医务人员被吊销执业许可证或被取消执业资格以及受停业、停职处分后仍继续进行诊疗护理工作；</w:t>
      </w:r>
    </w:p>
    <w:p w14:paraId="69692117">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（五）被保险人的医务人员在酒醉或药剂麻醉状态下进行诊疗护理工作；</w:t>
      </w:r>
    </w:p>
    <w:p w14:paraId="67A7818C">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（六）被保险人或其医务人员使用伪劣药品、医疗器械或被感染的血液制品；</w:t>
      </w:r>
    </w:p>
    <w:p w14:paraId="5933726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（七）被保险人或其医务人员使用未经国家有关部门批准使用的药品、消毒药剂和医疗器械，但经国家有关部门批准进行临床实验所使用的药品、消毒药剂、医疗器械不在此限；</w:t>
      </w:r>
    </w:p>
    <w:p w14:paraId="104C553A">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（八）被保险人或其医务人员在正当的诊断、治疗范围外使用麻醉药品、医疗用毒性药品、精神药品和放射性药品。</w:t>
      </w:r>
    </w:p>
    <w:p w14:paraId="0EEC40AD">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第六条</w:t>
      </w:r>
      <w:r>
        <w:rPr>
          <w:rFonts w:hint="eastAsia" w:asciiTheme="minorEastAsia" w:hAnsiTheme="minorEastAsia"/>
          <w:b/>
          <w:color w:val="auto"/>
          <w:sz w:val="24"/>
          <w:szCs w:val="24"/>
          <w:lang w:val="en-US" w:eastAsia="zh-CN"/>
        </w:rPr>
        <w:t>因</w:t>
      </w:r>
      <w:r>
        <w:rPr>
          <w:rFonts w:asciiTheme="minorEastAsia" w:hAnsiTheme="minorEastAsia" w:eastAsiaTheme="minorEastAsia"/>
          <w:b/>
          <w:color w:val="auto"/>
          <w:sz w:val="24"/>
          <w:szCs w:val="24"/>
        </w:rPr>
        <w:t>下列原因造成的损失、费用和责任，保险人不负责赔偿：</w:t>
      </w:r>
    </w:p>
    <w:p w14:paraId="6CA039E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（一）被保险人或其医务人员的故意行为或非执业行为；</w:t>
      </w:r>
    </w:p>
    <w:p w14:paraId="3944B10D">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（二）战争、敌对行为、军事行动、武装冲突、恐怖活动、罢工、骚乱、暴动、盗窃、抢劫；</w:t>
      </w:r>
    </w:p>
    <w:p w14:paraId="624DA5B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（三）核反应、核子辐射和放射性污染。但使用放射器材治疗发生的赔偿责任不在此限；</w:t>
      </w:r>
    </w:p>
    <w:p w14:paraId="491C44B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（四）地震、雷击、暴雨、洪水等自然灾害及火灾、爆炸等意外事故。</w:t>
      </w:r>
    </w:p>
    <w:p w14:paraId="04ED7AA8">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第七条 下列损失、费用和责任，保险人不负责赔偿：</w:t>
      </w:r>
    </w:p>
    <w:p w14:paraId="48A16BC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（一）被保险人的医务人员或其代表的人身伤亡；</w:t>
      </w:r>
    </w:p>
    <w:p w14:paraId="7D975BB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（二）罚款、罚金或惩罚性赔款；</w:t>
      </w:r>
    </w:p>
    <w:p w14:paraId="6EA86748">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（三）本保险单明细表或有关条款中规定的应由被保险人自行负担的免赔额；</w:t>
      </w:r>
    </w:p>
    <w:p w14:paraId="7928A20E">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（四）被保险人及其医务人员对患者在诊疗护理期间的人身损害无过失，但由于发生医疗意外造成患者人身损害而承担的民事赔偿责任；</w:t>
      </w:r>
    </w:p>
    <w:p w14:paraId="1CCEC1E0">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（五）被保险人与患者或其近亲属签订的协议所特别约定的责任，但不包括没有该协议被保险人仍应承担的民事赔偿责任；</w:t>
      </w:r>
    </w:p>
    <w:p w14:paraId="13B7F41C">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（六）自被保险人的医务人员终止在被保险人的营业处所内工作之日起，所发生的任何损失、费用和责任。</w:t>
      </w:r>
    </w:p>
    <w:p w14:paraId="20694640">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第八条 其他不属于本保险责任范围的损失、费用和责任，保险人不负责赔偿。</w:t>
      </w:r>
    </w:p>
    <w:p w14:paraId="659BCEC3">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赔偿限额与免赔额（率）</w:t>
      </w:r>
    </w:p>
    <w:p w14:paraId="58646C4B">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 xml:space="preserve">第九条 </w:t>
      </w:r>
      <w:r>
        <w:rPr>
          <w:rFonts w:hint="eastAsia" w:asciiTheme="minorEastAsia" w:hAnsiTheme="minorEastAsia" w:eastAsiaTheme="minorEastAsia"/>
          <w:color w:val="auto"/>
          <w:sz w:val="24"/>
          <w:szCs w:val="24"/>
        </w:rPr>
        <w:t>赔偿限额包括医疗责任每人人身伤亡赔偿限额和累计赔偿限额、法律费用每次索赔赔偿限额和累计赔偿限额，由投保人与保险人协商确定，并在保险合同中载明。</w:t>
      </w:r>
    </w:p>
    <w:p w14:paraId="20CCDA1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 xml:space="preserve">第十条 </w:t>
      </w:r>
      <w:r>
        <w:rPr>
          <w:rFonts w:hint="eastAsia" w:asciiTheme="minorEastAsia" w:hAnsiTheme="minorEastAsia" w:eastAsiaTheme="minorEastAsia"/>
          <w:color w:val="auto"/>
          <w:sz w:val="24"/>
          <w:szCs w:val="24"/>
        </w:rPr>
        <w:t>每次事故免赔额（率）由投保人与保险人在签订保险合同时协商确定，并在保险合同中载明。</w:t>
      </w:r>
    </w:p>
    <w:p w14:paraId="1CB6C461">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保险期间</w:t>
      </w:r>
    </w:p>
    <w:p w14:paraId="3063E077">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第十一条</w:t>
      </w:r>
      <w:r>
        <w:rPr>
          <w:rFonts w:hint="eastAsia" w:asciiTheme="minorEastAsia" w:hAnsiTheme="minorEastAsia" w:eastAsiaTheme="minorEastAsia"/>
          <w:color w:val="auto"/>
          <w:sz w:val="24"/>
          <w:szCs w:val="24"/>
        </w:rPr>
        <w:t xml:space="preserve"> 除另有约定外，保险期间为一年，以保险单载明的起讫时间为准。</w:t>
      </w:r>
    </w:p>
    <w:p w14:paraId="7476922D">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保险人义务</w:t>
      </w:r>
    </w:p>
    <w:p w14:paraId="6A9E32A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第十二条</w:t>
      </w:r>
      <w:r>
        <w:rPr>
          <w:rFonts w:hint="eastAsia" w:asciiTheme="minorEastAsia" w:hAnsiTheme="minorEastAsia" w:eastAsiaTheme="minorEastAsia"/>
          <w:color w:val="auto"/>
          <w:sz w:val="24"/>
          <w:szCs w:val="24"/>
        </w:rPr>
        <w:t>订立本保险合同时，采用保险人提供的格式条款的，保险人向投保人提供的投保单应当附格式条款，保险人应当向投保人说明本保险合同的内容。对本保险合同中免除保险人责任的条款，保险人在订立合同时应当在投保单、保险单或者其他保险凭证上作出足以引起投保人注意的提示，并对该条款的内容以书面或者口头形式向投保人作出明确说明；未作提示或者明确说明的，该条款不产生效力。</w:t>
      </w:r>
    </w:p>
    <w:p w14:paraId="32E1C455">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第十三条</w:t>
      </w:r>
      <w:r>
        <w:rPr>
          <w:rFonts w:hint="eastAsia" w:asciiTheme="minorEastAsia" w:hAnsiTheme="minorEastAsia" w:eastAsiaTheme="minorEastAsia"/>
          <w:color w:val="auto"/>
          <w:sz w:val="24"/>
          <w:szCs w:val="24"/>
        </w:rPr>
        <w:t>本保险合同成立后，保险人应当及时向投保人签发保险单或其他保险凭证。</w:t>
      </w:r>
    </w:p>
    <w:p w14:paraId="67E05E83">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第十四条</w:t>
      </w:r>
      <w:r>
        <w:rPr>
          <w:rFonts w:hint="eastAsia" w:asciiTheme="minorEastAsia" w:hAnsiTheme="minorEastAsia" w:eastAsiaTheme="minorEastAsia"/>
          <w:color w:val="auto"/>
          <w:sz w:val="24"/>
          <w:szCs w:val="24"/>
        </w:rPr>
        <w:t>保险人依据第十八条所取得的保险合同解除权，自保险人知道有解除事由之日起，超过三十日不行使而消灭。</w:t>
      </w:r>
    </w:p>
    <w:p w14:paraId="60D31B42">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保险人在合同订立时已经知道投保人未如实告知的情况的，保险人不得解除合同；发生保险事故的，保险人应当承担赔偿责任。</w:t>
      </w:r>
    </w:p>
    <w:p w14:paraId="7A78705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第十五条</w:t>
      </w:r>
      <w:r>
        <w:rPr>
          <w:rFonts w:hint="eastAsia" w:asciiTheme="minorEastAsia" w:hAnsiTheme="minorEastAsia" w:eastAsiaTheme="minorEastAsia"/>
          <w:color w:val="auto"/>
          <w:sz w:val="24"/>
          <w:szCs w:val="24"/>
        </w:rPr>
        <w:t>保险人按照第二十八条的约定，认为被保险人提供的有关索赔的证明和资料不完整的，应当及时一次性通知投保人、被保险人补充提供。</w:t>
      </w:r>
    </w:p>
    <w:p w14:paraId="333C176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第十六条</w:t>
      </w:r>
      <w:r>
        <w:rPr>
          <w:rFonts w:hint="eastAsia" w:asciiTheme="minorEastAsia" w:hAnsiTheme="minorEastAsia" w:eastAsiaTheme="minorEastAsia"/>
          <w:color w:val="auto"/>
          <w:sz w:val="24"/>
          <w:szCs w:val="24"/>
        </w:rPr>
        <w:t>保险人收到被保险人的赔偿保险金的请求后，应当及时作出是否属于保险责任的核定；情形复杂的，应当在三十日内作出核定，但本保险合同另有约定的除外。</w:t>
      </w:r>
    </w:p>
    <w:p w14:paraId="2CAECCFE">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保险人应当将核定结果通知被保险人；对属于保险责任的，在与被保险人达成赔偿保险金的协议后十日内，履行赔偿保险金义务。本保险合同对赔偿保险金的期限有约定的，保险人应当按照约定履行赔偿保险金的义务。保险人依照前款的规定作出核定后，对不属于保险责任的，应当自作出核定之日起三日内向被保险人发出拒绝赔偿保险金通知书，并说明理由。</w:t>
      </w:r>
    </w:p>
    <w:p w14:paraId="0F2C7148">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第十七条</w:t>
      </w:r>
      <w:r>
        <w:rPr>
          <w:rFonts w:hint="eastAsia" w:asciiTheme="minorEastAsia" w:hAnsiTheme="minorEastAsia" w:eastAsiaTheme="minorEastAsia"/>
          <w:color w:val="auto"/>
          <w:sz w:val="24"/>
          <w:szCs w:val="24"/>
        </w:rPr>
        <w:t xml:space="preserve"> 保险人自收到赔偿保险金的请求和有关证明、资料之日起六十日内，对其赔偿保险金的数额不能确定的，应当根据已有证明和资料可以确定的数额先予支付；保险人最终确定赔偿的数额后，应当支付相应的差额。</w:t>
      </w:r>
      <w:r>
        <w:rPr>
          <w:rFonts w:asciiTheme="minorEastAsia" w:hAnsiTheme="minorEastAsia" w:eastAsiaTheme="minorEastAsia"/>
          <w:color w:val="auto"/>
          <w:sz w:val="24"/>
          <w:szCs w:val="24"/>
        </w:rPr>
        <w:t> </w:t>
      </w:r>
    </w:p>
    <w:p w14:paraId="763BAF8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投保人、被保险人义务</w:t>
      </w:r>
    </w:p>
    <w:p w14:paraId="7BCB802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第十八条</w:t>
      </w:r>
      <w:r>
        <w:rPr>
          <w:rFonts w:hint="eastAsia" w:asciiTheme="minorEastAsia" w:hAnsiTheme="minorEastAsia" w:eastAsiaTheme="minorEastAsia"/>
          <w:color w:val="auto"/>
          <w:sz w:val="24"/>
          <w:szCs w:val="24"/>
        </w:rPr>
        <w:t xml:space="preserve"> 订立保险合同，保险人就保险标的或者被保险人的有关情况提出询问的，投保人应当如实告知，并</w:t>
      </w:r>
      <w:r>
        <w:rPr>
          <w:rFonts w:asciiTheme="minorEastAsia" w:hAnsiTheme="minorEastAsia" w:eastAsiaTheme="minorEastAsia"/>
          <w:color w:val="auto"/>
          <w:sz w:val="24"/>
          <w:szCs w:val="24"/>
        </w:rPr>
        <w:t>提供投保医务人员名单</w:t>
      </w:r>
      <w:r>
        <w:rPr>
          <w:rFonts w:hint="eastAsia" w:asciiTheme="minorEastAsia" w:hAnsiTheme="minorEastAsia" w:eastAsiaTheme="minorEastAsia"/>
          <w:color w:val="auto"/>
          <w:sz w:val="24"/>
          <w:szCs w:val="24"/>
        </w:rPr>
        <w:t>。</w:t>
      </w:r>
    </w:p>
    <w:p w14:paraId="218CC259">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投保人故意或者因重大过失未履行前款规定的如实告知义务，足以影响保险人决定是否同意承保或者提高保险费率的，保险人有权解除保险合同。</w:t>
      </w:r>
    </w:p>
    <w:p w14:paraId="4439D2B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投保人故意不履行如实告知义务的，保险人对于合同解除前发生的保险事故，不承担赔偿保险金的责任，并不退还保险费。</w:t>
      </w:r>
    </w:p>
    <w:p w14:paraId="73A37527">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投保人因重大过失未履行如实告知义务，对保险事故的发生有严重影响的，保险人对于合同解除前发生的保险事故，不承担赔偿保险金的责任，但应当退还保险费。</w:t>
      </w:r>
    </w:p>
    <w:p w14:paraId="313DEB29">
      <w:pPr>
        <w:keepNext w:val="0"/>
        <w:keepLines w:val="0"/>
        <w:pageBreakBefore w:val="0"/>
        <w:kinsoku/>
        <w:wordWrap/>
        <w:overflowPunct/>
        <w:topLinePunct w:val="0"/>
        <w:autoSpaceDE w:val="0"/>
        <w:autoSpaceDN w:val="0"/>
        <w:bidi w:val="0"/>
        <w:adjustRightInd w:val="0"/>
        <w:snapToGrid/>
        <w:spacing w:line="520" w:lineRule="exact"/>
        <w:ind w:firstLine="482" w:firstLineChars="200"/>
        <w:textAlignment w:val="auto"/>
        <w:rPr>
          <w:rFonts w:cs="Arial"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第十九条</w:t>
      </w:r>
      <w:r>
        <w:rPr>
          <w:rFonts w:hint="eastAsia" w:asciiTheme="minorEastAsia" w:hAnsiTheme="minorEastAsia" w:eastAsiaTheme="minorEastAsia"/>
          <w:color w:val="auto"/>
          <w:sz w:val="24"/>
          <w:szCs w:val="24"/>
        </w:rPr>
        <w:t xml:space="preserve"> 除另有约定外，投保人应当在保险合同成立时交付保险费。</w:t>
      </w:r>
      <w:r>
        <w:rPr>
          <w:rFonts w:hint="eastAsia" w:asciiTheme="minorEastAsia" w:hAnsiTheme="minorEastAsia" w:eastAsiaTheme="minorEastAsia"/>
          <w:b/>
          <w:bCs/>
          <w:color w:val="auto"/>
          <w:sz w:val="24"/>
          <w:szCs w:val="24"/>
        </w:rPr>
        <w:t>保险事故发生时投保人未按约定足额支付保险费的，保险人按照已交保险费与本保险合同约定保险费的比例承担赔偿责任。</w:t>
      </w:r>
    </w:p>
    <w:p w14:paraId="598B192D">
      <w:pPr>
        <w:keepNext w:val="0"/>
        <w:keepLines w:val="0"/>
        <w:pageBreakBefore w:val="0"/>
        <w:kinsoku/>
        <w:wordWrap/>
        <w:overflowPunct/>
        <w:topLinePunct w:val="0"/>
        <w:bidi w:val="0"/>
        <w:snapToGrid/>
        <w:spacing w:line="520" w:lineRule="exact"/>
        <w:ind w:firstLine="482" w:firstLineChars="200"/>
        <w:jc w:val="left"/>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 xml:space="preserve">第二十条 </w:t>
      </w:r>
      <w:r>
        <w:rPr>
          <w:rFonts w:asciiTheme="minorEastAsia" w:hAnsiTheme="minorEastAsia" w:eastAsiaTheme="minorEastAsia"/>
          <w:color w:val="auto"/>
          <w:sz w:val="24"/>
          <w:szCs w:val="24"/>
        </w:rPr>
        <w:t>被保险人及其医务人员在诊疗护理活动中，应该遵守医疗卫生管理法律、行政法规、部门规章和诊疗护理规范、常规，恪守医疗服务职业道德，</w:t>
      </w:r>
      <w:r>
        <w:rPr>
          <w:rFonts w:hint="eastAsia" w:asciiTheme="minorEastAsia" w:hAnsiTheme="minorEastAsia" w:eastAsiaTheme="minorEastAsia"/>
          <w:color w:val="auto"/>
          <w:sz w:val="24"/>
          <w:szCs w:val="24"/>
        </w:rPr>
        <w:t>加强管理，采取合理的预防措施，尽力避免或减少责任事故的发生。</w:t>
      </w:r>
    </w:p>
    <w:p w14:paraId="1E20FFF5">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保险人可以对被保险人遵守前款约定的情况进行检查，向投保人、被保险人提出消除不安全因素和隐患的书面建议，投保人、被保险人应该认真付诸实施。</w:t>
      </w:r>
    </w:p>
    <w:p w14:paraId="5BE822AA">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投保人、被保险人未按照约定履行上述安全义务的，保险人有权要求增加保险费或者解除合同。</w:t>
      </w:r>
    </w:p>
    <w:p w14:paraId="4CCEB43B">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第二十一条</w:t>
      </w:r>
      <w:r>
        <w:rPr>
          <w:rFonts w:hint="eastAsia" w:asciiTheme="minorEastAsia" w:hAnsiTheme="minorEastAsia" w:eastAsiaTheme="minorEastAsia"/>
          <w:color w:val="auto"/>
          <w:sz w:val="24"/>
          <w:szCs w:val="24"/>
        </w:rPr>
        <w:t xml:space="preserve"> 在保险合同有效期内，保险标的的危险程度显著增加的，被保险人应当及时通知保险人，保险人可以按照合同约定增加保险费或者解除合同。</w:t>
      </w:r>
    </w:p>
    <w:p w14:paraId="79F59E6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被保险人未履行前款约定的通知义务的，因保险标的的危险程度显著增加而发生的保险事故，保险人不承担赔偿保险金的责任。</w:t>
      </w:r>
    </w:p>
    <w:p w14:paraId="6BF7B5C7">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第二十二条</w:t>
      </w:r>
      <w:r>
        <w:rPr>
          <w:rFonts w:hint="eastAsia" w:asciiTheme="minorEastAsia" w:hAnsiTheme="minorEastAsia" w:eastAsiaTheme="minorEastAsia"/>
          <w:color w:val="auto"/>
          <w:sz w:val="24"/>
          <w:szCs w:val="24"/>
        </w:rPr>
        <w:t xml:space="preserve"> 知道保险事故发生后，被保险人应该：</w:t>
      </w:r>
    </w:p>
    <w:p w14:paraId="535FA024">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color w:val="auto"/>
          <w:sz w:val="24"/>
          <w:szCs w:val="24"/>
        </w:rPr>
        <w:t>（一）尽力采取必要、合理的措施，防止或减少损失，</w:t>
      </w:r>
      <w:r>
        <w:rPr>
          <w:rFonts w:hint="eastAsia" w:asciiTheme="minorEastAsia" w:hAnsiTheme="minorEastAsia" w:eastAsiaTheme="minorEastAsia"/>
          <w:b/>
          <w:color w:val="auto"/>
          <w:sz w:val="24"/>
          <w:szCs w:val="24"/>
        </w:rPr>
        <w:t>否则，对因此扩大的损失，保险人不承担赔偿责任；</w:t>
      </w:r>
    </w:p>
    <w:p w14:paraId="73FA657E">
      <w:pPr>
        <w:keepNext w:val="0"/>
        <w:keepLines w:val="0"/>
        <w:pageBreakBefore w:val="0"/>
        <w:kinsoku/>
        <w:wordWrap/>
        <w:overflowPunct/>
        <w:topLinePunct w:val="0"/>
        <w:bidi w:val="0"/>
        <w:snapToGrid/>
        <w:spacing w:line="520" w:lineRule="exact"/>
        <w:ind w:firstLine="480" w:firstLineChars="200"/>
        <w:textAlignment w:val="auto"/>
        <w:rPr>
          <w:rStyle w:val="613"/>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（二）及时通知保险人，并书面说明事故发生的原因、经过和损失情况；</w:t>
      </w:r>
      <w:r>
        <w:rPr>
          <w:rStyle w:val="613"/>
          <w:rFonts w:asciiTheme="minorEastAsia" w:hAnsiTheme="minorEastAsia" w:eastAsiaTheme="minorEastAsia"/>
          <w:b/>
          <w:color w:val="auto"/>
          <w:sz w:val="24"/>
          <w:szCs w:val="24"/>
        </w:rPr>
        <w:t>故意或者因重大过失未及时通知，致使保险事故的性质、原因、损失程度等难以确定的，保险人对无法确定的部分，不承担赔偿责任，</w:t>
      </w:r>
      <w:r>
        <w:rPr>
          <w:rStyle w:val="613"/>
          <w:rFonts w:asciiTheme="minorEastAsia" w:hAnsiTheme="minorEastAsia" w:eastAsiaTheme="minorEastAsia"/>
          <w:color w:val="auto"/>
          <w:sz w:val="24"/>
          <w:szCs w:val="24"/>
        </w:rPr>
        <w:t>但保险人通过其他途径已经及时知道或者应当及时知道保险事故发生的除外</w:t>
      </w:r>
      <w:r>
        <w:rPr>
          <w:rStyle w:val="613"/>
          <w:rFonts w:hint="eastAsia" w:asciiTheme="minorEastAsia" w:hAnsiTheme="minorEastAsia" w:eastAsiaTheme="minorEastAsia"/>
          <w:color w:val="auto"/>
          <w:sz w:val="24"/>
          <w:szCs w:val="24"/>
        </w:rPr>
        <w:t xml:space="preserve">； </w:t>
      </w:r>
    </w:p>
    <w:p w14:paraId="7DE821D2">
      <w:pPr>
        <w:pStyle w:val="29"/>
        <w:keepNext w:val="0"/>
        <w:keepLines w:val="0"/>
        <w:pageBreakBefore w:val="0"/>
        <w:kinsoku/>
        <w:wordWrap/>
        <w:overflowPunct/>
        <w:topLinePunct w:val="0"/>
        <w:bidi w:val="0"/>
        <w:adjustRightInd w:val="0"/>
        <w:snapToGrid/>
        <w:spacing w:line="520" w:lineRule="exact"/>
        <w:textAlignment w:val="auto"/>
        <w:rPr>
          <w:rFonts w:asciiTheme="minorEastAsia" w:hAnsiTheme="minorEastAsia" w:eastAsiaTheme="minorEastAsia"/>
          <w:b/>
          <w:color w:val="auto"/>
          <w:sz w:val="24"/>
          <w:szCs w:val="24"/>
        </w:rPr>
      </w:pPr>
      <w:r>
        <w:rPr>
          <w:rFonts w:hint="eastAsia" w:asciiTheme="minorEastAsia" w:hAnsiTheme="minorEastAsia" w:eastAsiaTheme="minorEastAsia"/>
          <w:color w:val="auto"/>
          <w:sz w:val="24"/>
          <w:szCs w:val="24"/>
        </w:rPr>
        <w:t>（三）保护事故现场，允许并且协助保险人进行事故调查；</w:t>
      </w:r>
      <w:r>
        <w:rPr>
          <w:rFonts w:hint="eastAsia" w:asciiTheme="minorEastAsia" w:hAnsiTheme="minorEastAsia" w:eastAsiaTheme="minorEastAsia"/>
          <w:b/>
          <w:color w:val="auto"/>
          <w:sz w:val="24"/>
          <w:szCs w:val="24"/>
        </w:rPr>
        <w:t>对于拒绝或者妨碍保险人进行事故调查导致无法认定事故原因或核实损失情况的，保险人对无法确定或核实的部分不承担赔偿责任。</w:t>
      </w:r>
    </w:p>
    <w:p w14:paraId="0B1190E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第二十三条</w:t>
      </w:r>
      <w:r>
        <w:rPr>
          <w:rFonts w:hint="eastAsia" w:asciiTheme="minorEastAsia" w:hAnsiTheme="minorEastAsia" w:eastAsiaTheme="minorEastAsia"/>
          <w:color w:val="auto"/>
          <w:sz w:val="24"/>
          <w:szCs w:val="24"/>
        </w:rPr>
        <w:t xml:space="preserve"> 被保险人收到索赔方的损害赔偿请求时，应立即通知保险人。</w:t>
      </w:r>
      <w:r>
        <w:rPr>
          <w:rStyle w:val="613"/>
          <w:rFonts w:hint="eastAsia" w:asciiTheme="minorEastAsia" w:hAnsiTheme="minorEastAsia" w:eastAsiaTheme="minorEastAsia"/>
          <w:b/>
          <w:color w:val="auto"/>
          <w:sz w:val="24"/>
          <w:szCs w:val="24"/>
        </w:rPr>
        <w:t>未经保险人书面同意，</w:t>
      </w:r>
      <w:r>
        <w:rPr>
          <w:rFonts w:hint="eastAsia" w:asciiTheme="minorEastAsia" w:hAnsiTheme="minorEastAsia" w:eastAsiaTheme="minorEastAsia"/>
          <w:b/>
          <w:color w:val="auto"/>
          <w:sz w:val="24"/>
          <w:szCs w:val="24"/>
        </w:rPr>
        <w:t>被保险人对受害人及其代理人作出的任何承诺、拒绝、出价、约定、付款或赔偿，保险人不受其约束。</w:t>
      </w:r>
      <w:r>
        <w:rPr>
          <w:rStyle w:val="613"/>
          <w:rFonts w:hint="eastAsia" w:asciiTheme="minorEastAsia" w:hAnsiTheme="minorEastAsia" w:eastAsiaTheme="minorEastAsia"/>
          <w:b/>
          <w:color w:val="auto"/>
          <w:sz w:val="24"/>
          <w:szCs w:val="24"/>
        </w:rPr>
        <w:t>对于被保险人自行承诺或支付的赔偿金额，保险人有权重新核定，不属于本保险责任范围或超出应赔偿限额的，保险人不承担赔偿责任。</w:t>
      </w:r>
      <w:r>
        <w:rPr>
          <w:rStyle w:val="613"/>
          <w:rFonts w:hint="eastAsia" w:asciiTheme="minorEastAsia" w:hAnsiTheme="minorEastAsia" w:eastAsiaTheme="minorEastAsia"/>
          <w:color w:val="auto"/>
          <w:sz w:val="24"/>
          <w:szCs w:val="24"/>
        </w:rPr>
        <w:t>在处理索赔过程中，保险人有权自行处理由其承担最终赔偿责任的任何索赔案件，被保险人有义务向保险人提供其所能提供的资料和协助</w:t>
      </w:r>
      <w:r>
        <w:rPr>
          <w:rFonts w:hint="eastAsia" w:asciiTheme="minorEastAsia" w:hAnsiTheme="minorEastAsia" w:eastAsiaTheme="minorEastAsia"/>
          <w:b/>
          <w:color w:val="auto"/>
          <w:sz w:val="24"/>
          <w:szCs w:val="24"/>
        </w:rPr>
        <w:t>。</w:t>
      </w:r>
    </w:p>
    <w:p w14:paraId="56EAA54D">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第二十四条</w:t>
      </w:r>
      <w:r>
        <w:rPr>
          <w:rFonts w:hint="eastAsia" w:asciiTheme="minorEastAsia" w:hAnsiTheme="minorEastAsia" w:eastAsiaTheme="minorEastAsia"/>
          <w:color w:val="auto"/>
          <w:sz w:val="24"/>
          <w:szCs w:val="24"/>
        </w:rPr>
        <w:t xml:space="preserve"> 被保险人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p>
    <w:p w14:paraId="7D7E123F">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对因未及时提供上述通知或必要协助导致扩大的损失，保险人不承担赔偿责任。</w:t>
      </w:r>
    </w:p>
    <w:p w14:paraId="1B95AE03">
      <w:pPr>
        <w:keepNext w:val="0"/>
        <w:keepLines w:val="0"/>
        <w:pageBreakBefore w:val="0"/>
        <w:kinsoku/>
        <w:wordWrap/>
        <w:overflowPunct/>
        <w:topLinePunct w:val="0"/>
        <w:bidi w:val="0"/>
        <w:snapToGrid/>
        <w:spacing w:line="520" w:lineRule="exact"/>
        <w:ind w:firstLine="482" w:firstLineChars="200"/>
        <w:jc w:val="left"/>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二十五</w:t>
      </w:r>
      <w:r>
        <w:rPr>
          <w:rFonts w:asciiTheme="minorEastAsia" w:hAnsiTheme="minorEastAsia" w:eastAsiaTheme="minorEastAsia"/>
          <w:b/>
          <w:color w:val="auto"/>
          <w:sz w:val="24"/>
          <w:szCs w:val="24"/>
        </w:rPr>
        <w:t>条</w:t>
      </w:r>
      <w:r>
        <w:rPr>
          <w:rFonts w:asciiTheme="minorEastAsia" w:hAnsiTheme="minorEastAsia" w:eastAsiaTheme="minorEastAsia"/>
          <w:color w:val="auto"/>
          <w:sz w:val="24"/>
          <w:szCs w:val="24"/>
        </w:rPr>
        <w:t xml:space="preserve"> 在本保险期间内，被保险人的风险状况及本保险单明细表中列明的事项发生变化时，被保险人应当及时书面通知本保险人，经与本保险人协商一致后，变更保险合同有关内容。</w:t>
      </w:r>
    </w:p>
    <w:p w14:paraId="155203E0">
      <w:pPr>
        <w:keepNext w:val="0"/>
        <w:keepLines w:val="0"/>
        <w:pageBreakBefore w:val="0"/>
        <w:kinsoku/>
        <w:wordWrap/>
        <w:overflowPunct/>
        <w:topLinePunct w:val="0"/>
        <w:bidi w:val="0"/>
        <w:snapToGrid/>
        <w:spacing w:line="520" w:lineRule="exact"/>
        <w:ind w:firstLine="480" w:firstLineChars="200"/>
        <w:jc w:val="left"/>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在本保险期间内，由于医务人员发生变动需要加保或退保，被保险人应当书面通知保险人。</w:t>
      </w:r>
    </w:p>
    <w:p w14:paraId="3E05FAE0">
      <w:pPr>
        <w:keepNext w:val="0"/>
        <w:keepLines w:val="0"/>
        <w:pageBreakBefore w:val="0"/>
        <w:kinsoku/>
        <w:wordWrap/>
        <w:overflowPunct/>
        <w:topLinePunct w:val="0"/>
        <w:bidi w:val="0"/>
        <w:snapToGrid/>
        <w:spacing w:line="520" w:lineRule="exact"/>
        <w:ind w:firstLine="482" w:firstLineChars="200"/>
        <w:jc w:val="left"/>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二十六</w:t>
      </w:r>
      <w:r>
        <w:rPr>
          <w:rFonts w:asciiTheme="minorEastAsia" w:hAnsiTheme="minorEastAsia" w:eastAsiaTheme="minorEastAsia"/>
          <w:b/>
          <w:color w:val="auto"/>
          <w:sz w:val="24"/>
          <w:szCs w:val="24"/>
        </w:rPr>
        <w:t xml:space="preserve">条 </w:t>
      </w:r>
      <w:r>
        <w:rPr>
          <w:rFonts w:asciiTheme="minorEastAsia" w:hAnsiTheme="minorEastAsia" w:eastAsiaTheme="minorEastAsia"/>
          <w:color w:val="auto"/>
          <w:sz w:val="24"/>
          <w:szCs w:val="24"/>
        </w:rPr>
        <w:t>发生本保险责任范围内的事故后，被保险人应按照规定向有关部门报告，并按照规定的程序申请或进行调查、分析、鉴定。被保险人应妥善保管有关的原始资料，并对引起不良后果的药品、医疗器械等现场实物按照有关规定进行封存并妥善保管，以备查验。</w:t>
      </w:r>
    </w:p>
    <w:p w14:paraId="1CD8109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二十七</w:t>
      </w:r>
      <w:r>
        <w:rPr>
          <w:rFonts w:asciiTheme="minorEastAsia" w:hAnsiTheme="minorEastAsia" w:eastAsiaTheme="minorEastAsia"/>
          <w:b/>
          <w:color w:val="auto"/>
          <w:sz w:val="24"/>
          <w:szCs w:val="24"/>
        </w:rPr>
        <w:t xml:space="preserve">条 </w:t>
      </w:r>
      <w:r>
        <w:rPr>
          <w:rFonts w:asciiTheme="minorEastAsia" w:hAnsiTheme="minorEastAsia" w:eastAsiaTheme="minorEastAsia"/>
          <w:color w:val="auto"/>
          <w:sz w:val="24"/>
          <w:szCs w:val="24"/>
        </w:rPr>
        <w:t>保险人对被保险人及其医务人员的专业资格、使用药品和医疗器械及其他各项医疗条件进行查验时，被保险人应积极协助并提供本保险人需要的用以评估有关风险的详情和资料。上述查验并不构成保险人对被保险人的任何承诺。</w:t>
      </w:r>
    </w:p>
    <w:p w14:paraId="0BB7434E">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保险人对发现的任何缺陷或危险书面通知被保险人后，被保险人应及时采取整改措施。被保险人未遵守上述约定而导致保险事故的，保险人不承担赔偿责任；被保险人未遵守上述约定而导致损失扩大的，保险人对扩大部分的损失不承担赔偿责任。</w:t>
      </w:r>
    </w:p>
    <w:p w14:paraId="285F2E7A">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第二十八条</w:t>
      </w:r>
      <w:r>
        <w:rPr>
          <w:rFonts w:hint="eastAsia" w:asciiTheme="minorEastAsia" w:hAnsiTheme="minorEastAsia" w:eastAsiaTheme="minorEastAsia"/>
          <w:color w:val="auto"/>
          <w:sz w:val="24"/>
          <w:szCs w:val="24"/>
        </w:rPr>
        <w:t xml:space="preserve"> 被保险人请求赔偿时，应向保险人提供下列证明和资料：</w:t>
      </w:r>
    </w:p>
    <w:p w14:paraId="228BCF1B">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（一）保险单正本；</w:t>
      </w:r>
    </w:p>
    <w:p w14:paraId="5EC4E0F8">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（二）有关责任人的资格和执业证明、医疗机构与责任人的劳动关系证明；</w:t>
      </w:r>
    </w:p>
    <w:p w14:paraId="315AD9BE">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（三）患者完整的病例资料</w:t>
      </w:r>
      <w:r>
        <w:rPr>
          <w:rFonts w:hint="eastAsia" w:asciiTheme="minorEastAsia" w:hAnsiTheme="minorEastAsia" w:eastAsiaTheme="minorEastAsia"/>
          <w:color w:val="auto"/>
          <w:sz w:val="24"/>
          <w:szCs w:val="24"/>
        </w:rPr>
        <w:t>；</w:t>
      </w:r>
    </w:p>
    <w:p w14:paraId="3D1EDB4D">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（四）</w:t>
      </w:r>
      <w:r>
        <w:rPr>
          <w:rFonts w:asciiTheme="minorEastAsia" w:hAnsiTheme="minorEastAsia" w:eastAsiaTheme="minorEastAsia"/>
          <w:color w:val="auto"/>
          <w:sz w:val="24"/>
          <w:szCs w:val="24"/>
        </w:rPr>
        <w:t>患者伤残的，应当提供权威部门出具的伤残程度证明；</w:t>
      </w:r>
    </w:p>
    <w:p w14:paraId="210A5BC9">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（五）</w:t>
      </w:r>
      <w:r>
        <w:rPr>
          <w:rFonts w:asciiTheme="minorEastAsia" w:hAnsiTheme="minorEastAsia" w:eastAsiaTheme="minorEastAsia"/>
          <w:color w:val="auto"/>
          <w:sz w:val="24"/>
          <w:szCs w:val="24"/>
        </w:rPr>
        <w:t>患者死亡的，应当提供死亡证明书；</w:t>
      </w:r>
    </w:p>
    <w:p w14:paraId="66A08C4B">
      <w:pPr>
        <w:pStyle w:val="29"/>
        <w:keepNext w:val="0"/>
        <w:keepLines w:val="0"/>
        <w:pageBreakBefore w:val="0"/>
        <w:kinsoku/>
        <w:wordWrap/>
        <w:overflowPunct/>
        <w:topLinePunct w:val="0"/>
        <w:bidi w:val="0"/>
        <w:snapToGrid/>
        <w:spacing w:line="520" w:lineRule="exact"/>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六</w:t>
      </w:r>
      <w:r>
        <w:rPr>
          <w:rFonts w:asciiTheme="minorEastAsia" w:hAnsiTheme="minorEastAsia" w:eastAsiaTheme="minorEastAsia"/>
          <w:color w:val="auto"/>
          <w:sz w:val="24"/>
          <w:szCs w:val="24"/>
        </w:rPr>
        <w:t>）患者的书面索赔申请；</w:t>
      </w:r>
    </w:p>
    <w:p w14:paraId="465FDF57">
      <w:pPr>
        <w:pStyle w:val="29"/>
        <w:keepNext w:val="0"/>
        <w:keepLines w:val="0"/>
        <w:pageBreakBefore w:val="0"/>
        <w:kinsoku/>
        <w:wordWrap/>
        <w:overflowPunct/>
        <w:topLinePunct w:val="0"/>
        <w:bidi w:val="0"/>
        <w:snapToGrid/>
        <w:spacing w:line="520" w:lineRule="exact"/>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七</w:t>
      </w:r>
      <w:r>
        <w:rPr>
          <w:rFonts w:asciiTheme="minorEastAsia" w:hAnsiTheme="minorEastAsia" w:eastAsiaTheme="minorEastAsia"/>
          <w:color w:val="auto"/>
          <w:sz w:val="24"/>
          <w:szCs w:val="24"/>
        </w:rPr>
        <w:t>）事故情况说明、赔偿项目清单；</w:t>
      </w:r>
    </w:p>
    <w:p w14:paraId="065938EF">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八</w:t>
      </w:r>
      <w:r>
        <w:rPr>
          <w:rFonts w:asciiTheme="minorEastAsia" w:hAnsiTheme="minorEastAsia" w:eastAsiaTheme="minorEastAsia"/>
          <w:color w:val="auto"/>
          <w:sz w:val="24"/>
          <w:szCs w:val="24"/>
        </w:rPr>
        <w:t>）经国家批准或认可的医疗事故技术鉴定机构进行鉴定的，应提供医疗事故技术鉴定书；经法院、仲裁机构或卫生行政部门依法判决、裁决、裁定或调解的，应当提供判决、裁定文件或调解书；</w:t>
      </w:r>
    </w:p>
    <w:p w14:paraId="12539CE2">
      <w:pPr>
        <w:keepNext w:val="0"/>
        <w:keepLines w:val="0"/>
        <w:pageBreakBefore w:val="0"/>
        <w:kinsoku/>
        <w:wordWrap/>
        <w:overflowPunct/>
        <w:topLinePunct w:val="0"/>
        <w:bidi w:val="0"/>
        <w:snapToGrid/>
        <w:spacing w:line="520" w:lineRule="exact"/>
        <w:ind w:left="420" w:left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w:t>
      </w:r>
      <w:r>
        <w:rPr>
          <w:rFonts w:hint="eastAsia" w:asciiTheme="minorEastAsia" w:hAnsiTheme="minorEastAsia" w:eastAsiaTheme="minorEastAsia"/>
          <w:color w:val="auto"/>
          <w:sz w:val="24"/>
          <w:szCs w:val="24"/>
        </w:rPr>
        <w:t>九</w:t>
      </w:r>
      <w:r>
        <w:rPr>
          <w:rFonts w:asciiTheme="minorEastAsia" w:hAnsiTheme="minorEastAsia" w:eastAsiaTheme="minorEastAsia"/>
          <w:color w:val="auto"/>
          <w:sz w:val="24"/>
          <w:szCs w:val="24"/>
        </w:rPr>
        <w:t>）依法应当由被保险人承担的有关费用的证明材料</w:t>
      </w:r>
      <w:r>
        <w:rPr>
          <w:rFonts w:hint="eastAsia" w:asciiTheme="minorEastAsia" w:hAnsiTheme="minorEastAsia" w:eastAsiaTheme="minorEastAsia"/>
          <w:color w:val="auto"/>
          <w:sz w:val="24"/>
          <w:szCs w:val="24"/>
        </w:rPr>
        <w:t>；</w:t>
      </w:r>
    </w:p>
    <w:p w14:paraId="5E32B7B1">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（十）投保人、被保险人所能提供的与确认保险事故的性质、原因、损失程度等有关的其他证明和资料。</w:t>
      </w:r>
    </w:p>
    <w:p w14:paraId="4942639D">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被保险人未履行前款约定的索赔材料提供义务，导致保险人无法核实损失情况的，保险人对无法核实部分不承担赔偿责任。</w:t>
      </w:r>
    </w:p>
    <w:p w14:paraId="59A8481C">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赔偿处理</w:t>
      </w:r>
    </w:p>
    <w:p w14:paraId="7386F02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第二十九条</w:t>
      </w:r>
      <w:r>
        <w:rPr>
          <w:rFonts w:hint="eastAsia" w:asciiTheme="minorEastAsia" w:hAnsiTheme="minorEastAsia" w:eastAsiaTheme="minorEastAsia"/>
          <w:color w:val="auto"/>
          <w:sz w:val="24"/>
          <w:szCs w:val="24"/>
        </w:rPr>
        <w:t xml:space="preserve"> 保险人的赔偿以下列方式之一确定的被保险人的赔偿责任为基础：</w:t>
      </w:r>
    </w:p>
    <w:p w14:paraId="13F46ECB">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（一）被保险人和向其提出损害赔偿请求的索赔方协商并经保险人确认；</w:t>
      </w:r>
    </w:p>
    <w:p w14:paraId="3F79667B">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（二）仲裁机构裁决；</w:t>
      </w:r>
    </w:p>
    <w:p w14:paraId="5BBB5503">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（三）人民法院判决；</w:t>
      </w:r>
    </w:p>
    <w:p w14:paraId="262555A3">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（四）保险人认可的其他方式。</w:t>
      </w:r>
    </w:p>
    <w:p w14:paraId="13F354B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bCs/>
          <w:color w:val="auto"/>
          <w:sz w:val="24"/>
          <w:szCs w:val="24"/>
        </w:rPr>
        <w:t>第三十条</w:t>
      </w:r>
      <w:r>
        <w:rPr>
          <w:rFonts w:hint="eastAsia" w:asciiTheme="minorEastAsia" w:hAnsiTheme="minorEastAsia"/>
          <w:b/>
          <w:bCs/>
          <w:color w:val="auto"/>
          <w:sz w:val="24"/>
          <w:szCs w:val="24"/>
          <w:lang w:val="en-US" w:eastAsia="zh-CN"/>
        </w:rPr>
        <w:t xml:space="preserve"> </w:t>
      </w:r>
      <w:r>
        <w:rPr>
          <w:rFonts w:hint="eastAsia" w:asciiTheme="minorEastAsia" w:hAnsiTheme="minorEastAsia" w:eastAsiaTheme="minorEastAsia"/>
          <w:b/>
          <w:color w:val="auto"/>
          <w:sz w:val="24"/>
          <w:szCs w:val="24"/>
        </w:rPr>
        <w:t>被保险人给第三者造成损害，被保险人未向该第三者赔偿的，保险人不得向被保险人赔偿保险金。</w:t>
      </w:r>
    </w:p>
    <w:p w14:paraId="511D2AD2">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三十一</w:t>
      </w:r>
      <w:r>
        <w:rPr>
          <w:rFonts w:asciiTheme="minorEastAsia" w:hAnsiTheme="minorEastAsia" w:eastAsiaTheme="minorEastAsia"/>
          <w:b/>
          <w:color w:val="auto"/>
          <w:sz w:val="24"/>
          <w:szCs w:val="24"/>
        </w:rPr>
        <w:t xml:space="preserve">条 </w:t>
      </w:r>
      <w:r>
        <w:rPr>
          <w:rFonts w:asciiTheme="minorEastAsia" w:hAnsiTheme="minorEastAsia" w:eastAsiaTheme="minorEastAsia"/>
          <w:color w:val="auto"/>
          <w:sz w:val="24"/>
          <w:szCs w:val="24"/>
        </w:rPr>
        <w:t>保险人接到被保险人的索赔申请后，有权聘请专业技术人员参与调查、处理。</w:t>
      </w:r>
    </w:p>
    <w:p w14:paraId="225B864F">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三十二</w:t>
      </w:r>
      <w:r>
        <w:rPr>
          <w:rFonts w:asciiTheme="minorEastAsia" w:hAnsiTheme="minorEastAsia" w:eastAsiaTheme="minorEastAsia"/>
          <w:b/>
          <w:color w:val="auto"/>
          <w:sz w:val="24"/>
          <w:szCs w:val="24"/>
        </w:rPr>
        <w:t>条</w:t>
      </w:r>
      <w:r>
        <w:rPr>
          <w:rFonts w:hint="eastAsia" w:asciiTheme="minorEastAsia" w:hAnsiTheme="minorEastAsia" w:eastAsiaTheme="minorEastAsia"/>
          <w:color w:val="auto"/>
          <w:sz w:val="24"/>
          <w:szCs w:val="24"/>
        </w:rPr>
        <w:t xml:space="preserve"> 发生保险责任范围内的损失，保险人按以下方式计算赔偿：</w:t>
      </w:r>
    </w:p>
    <w:p w14:paraId="2BC772C5">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w:t>
      </w:r>
      <w:r>
        <w:rPr>
          <w:rFonts w:asciiTheme="minorEastAsia" w:hAnsiTheme="minorEastAsia" w:eastAsiaTheme="minorEastAsia"/>
          <w:color w:val="auto"/>
          <w:sz w:val="24"/>
          <w:szCs w:val="24"/>
        </w:rPr>
        <w:t>保险人对每位患者的赔偿金额以患者或其近亲属与被保险人及保险人协商确定的金额或经法院、仲裁机构或卫生行政部门依法判决、裁决、裁定或调解的应由被保险人偿付的金额为准，但不得超过本保险单明细表中列明的医疗责任每人赔偿限额</w:t>
      </w:r>
      <w:r>
        <w:rPr>
          <w:rFonts w:hint="eastAsia" w:asciiTheme="minorEastAsia" w:hAnsiTheme="minorEastAsia" w:eastAsiaTheme="minorEastAsia"/>
          <w:color w:val="auto"/>
          <w:sz w:val="24"/>
          <w:szCs w:val="24"/>
        </w:rPr>
        <w:t>；</w:t>
      </w:r>
    </w:p>
    <w:p w14:paraId="17DF4EB4">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w:t>
      </w:r>
      <w:r>
        <w:rPr>
          <w:rFonts w:asciiTheme="minorEastAsia" w:hAnsiTheme="minorEastAsia" w:eastAsiaTheme="minorEastAsia"/>
          <w:color w:val="auto"/>
          <w:sz w:val="24"/>
          <w:szCs w:val="24"/>
        </w:rPr>
        <w:t>对于被保险人依法应当承担的精神损害赔偿责任，保险人的赔偿金额以本保险单明细表中列明的医疗责任每人赔偿限额的30％为限，并计算在每人赔偿限额之内</w:t>
      </w:r>
      <w:r>
        <w:rPr>
          <w:rFonts w:hint="eastAsia" w:asciiTheme="minorEastAsia" w:hAnsiTheme="minorEastAsia" w:eastAsiaTheme="minorEastAsia"/>
          <w:color w:val="auto"/>
          <w:sz w:val="24"/>
          <w:szCs w:val="24"/>
        </w:rPr>
        <w:t>；</w:t>
      </w:r>
    </w:p>
    <w:p w14:paraId="6FC3DDA6">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（三）除另有约定外，</w:t>
      </w:r>
      <w:r>
        <w:rPr>
          <w:rFonts w:asciiTheme="minorEastAsia" w:hAnsiTheme="minorEastAsia" w:eastAsiaTheme="minorEastAsia"/>
          <w:color w:val="auto"/>
          <w:sz w:val="24"/>
          <w:szCs w:val="24"/>
        </w:rPr>
        <w:t>医疗责任每次索赔的免赔额按每人赔偿金额的5%或1000元扣减，两者以高者为准</w:t>
      </w:r>
      <w:r>
        <w:rPr>
          <w:rFonts w:hint="eastAsia" w:asciiTheme="minorEastAsia" w:hAnsiTheme="minorEastAsia" w:eastAsiaTheme="minorEastAsia"/>
          <w:color w:val="auto"/>
          <w:sz w:val="24"/>
          <w:szCs w:val="24"/>
        </w:rPr>
        <w:t>；</w:t>
      </w:r>
    </w:p>
    <w:p w14:paraId="5E7DD6AA">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（四）</w:t>
      </w:r>
      <w:r>
        <w:rPr>
          <w:rFonts w:asciiTheme="minorEastAsia" w:hAnsiTheme="minorEastAsia" w:eastAsiaTheme="minorEastAsia"/>
          <w:color w:val="auto"/>
          <w:sz w:val="24"/>
          <w:szCs w:val="24"/>
        </w:rPr>
        <w:t>在本保险有效期限内，保险人对被保险人多次索赔的累计赔偿金额不得超过本保险单明细表中列明的医疗责任累计赔偿限额。</w:t>
      </w:r>
    </w:p>
    <w:p w14:paraId="57CA53DB">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三十三</w:t>
      </w:r>
      <w:r>
        <w:rPr>
          <w:rFonts w:asciiTheme="minorEastAsia" w:hAnsiTheme="minorEastAsia" w:eastAsiaTheme="minorEastAsia"/>
          <w:b/>
          <w:color w:val="auto"/>
          <w:sz w:val="24"/>
          <w:szCs w:val="24"/>
        </w:rPr>
        <w:t>条</w:t>
      </w:r>
      <w:r>
        <w:rPr>
          <w:rFonts w:asciiTheme="minorEastAsia" w:hAnsiTheme="minorEastAsia" w:eastAsiaTheme="minorEastAsia"/>
          <w:color w:val="auto"/>
          <w:sz w:val="24"/>
          <w:szCs w:val="24"/>
        </w:rPr>
        <w:t xml:space="preserve"> 保险人对法律费用的每次索赔赔偿金额以实际发生的费用金额为准，但不得超过本保险单明细表中列明的法律费用每次索赔赔偿限额。在本保险有效期限内，保险人对被保险人多次索赔的法律费用累计赔偿金额不得超过本保险单明细表中列明的法律费用累计赔偿限额。</w:t>
      </w:r>
    </w:p>
    <w:p w14:paraId="5821D7CA">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bCs/>
          <w:color w:val="auto"/>
          <w:sz w:val="24"/>
          <w:szCs w:val="24"/>
        </w:rPr>
        <w:t>第三十四条</w:t>
      </w:r>
      <w:r>
        <w:rPr>
          <w:rFonts w:hint="eastAsia" w:asciiTheme="minorEastAsia" w:hAnsiTheme="minorEastAsia" w:eastAsiaTheme="minorEastAsia"/>
          <w:color w:val="auto"/>
          <w:sz w:val="24"/>
          <w:szCs w:val="24"/>
        </w:rPr>
        <w:t xml:space="preserve"> 发生保险事故时，如果被保险人的损失在有相同保障的其他保险项下也能够获得赔偿，则本保险人按照本保险合同的</w:t>
      </w:r>
      <w:r>
        <w:rPr>
          <w:rFonts w:asciiTheme="minorEastAsia" w:hAnsiTheme="minorEastAsia" w:eastAsiaTheme="minorEastAsia"/>
          <w:color w:val="auto"/>
          <w:sz w:val="24"/>
          <w:szCs w:val="24"/>
        </w:rPr>
        <w:t>累计</w:t>
      </w:r>
      <w:r>
        <w:rPr>
          <w:rFonts w:hint="eastAsia" w:asciiTheme="minorEastAsia" w:hAnsiTheme="minorEastAsia" w:eastAsiaTheme="minorEastAsia"/>
          <w:color w:val="auto"/>
          <w:sz w:val="24"/>
          <w:szCs w:val="24"/>
        </w:rPr>
        <w:t>赔偿限额与其他保险合同及本合同的</w:t>
      </w:r>
      <w:r>
        <w:rPr>
          <w:rFonts w:asciiTheme="minorEastAsia" w:hAnsiTheme="minorEastAsia" w:eastAsiaTheme="minorEastAsia"/>
          <w:color w:val="auto"/>
          <w:sz w:val="24"/>
          <w:szCs w:val="24"/>
        </w:rPr>
        <w:t>累计</w:t>
      </w:r>
      <w:r>
        <w:rPr>
          <w:rFonts w:hint="eastAsia" w:asciiTheme="minorEastAsia" w:hAnsiTheme="minorEastAsia" w:eastAsiaTheme="minorEastAsia"/>
          <w:color w:val="auto"/>
          <w:sz w:val="24"/>
          <w:szCs w:val="24"/>
        </w:rPr>
        <w:t>赔偿限额总和的比例承担赔偿责任。</w:t>
      </w:r>
    </w:p>
    <w:p w14:paraId="2DF5B601">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其他保险人应承担的赔偿金额，本保险人不负责垫付。若被保险人未如实告知导致保险人多支付赔偿金的，保险人有权向被保险人追回多支付的部分。</w:t>
      </w:r>
    </w:p>
    <w:p w14:paraId="1D98A85D">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三十五</w:t>
      </w:r>
      <w:r>
        <w:rPr>
          <w:rFonts w:asciiTheme="minorEastAsia" w:hAnsiTheme="minorEastAsia" w:eastAsiaTheme="minorEastAsia"/>
          <w:b/>
          <w:color w:val="auto"/>
          <w:sz w:val="24"/>
          <w:szCs w:val="24"/>
        </w:rPr>
        <w:t xml:space="preserve">条 </w:t>
      </w:r>
      <w:r>
        <w:rPr>
          <w:rFonts w:hint="eastAsia" w:asciiTheme="minorEastAsia" w:hAnsiTheme="minorEastAsia" w:eastAsiaTheme="minorEastAsia"/>
          <w:color w:val="auto"/>
          <w:sz w:val="24"/>
          <w:szCs w:val="24"/>
        </w:rPr>
        <w:t>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p>
    <w:p w14:paraId="2AC17D11">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被保险人已经从有关责任方取得赔偿的，保险人赔偿保险金时，可以相应扣减被保险人已从有关责任方取得的赔偿金额。</w:t>
      </w:r>
    </w:p>
    <w:p w14:paraId="3D328335">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保险事故发生后，在保险人未赔偿保险金之前，被保险人放弃对有关责任方请求赔偿权利的，保险人不承担赔偿责任；保险人向被保险人赔偿保险金后，被保险人未经保险人同意放弃对有关责任方请求赔偿权利的，该行为无效；</w:t>
      </w:r>
      <w:r>
        <w:rPr>
          <w:rFonts w:hint="eastAsia" w:asciiTheme="minorEastAsia" w:hAnsiTheme="minorEastAsia" w:eastAsiaTheme="minorEastAsia"/>
          <w:color w:val="auto"/>
          <w:sz w:val="24"/>
          <w:szCs w:val="24"/>
        </w:rPr>
        <w:t>由于被保险人故意或者因重大过失致使保险人不能行使代位请求赔偿的权利的，保险人可以扣减或者要求返还相应的保险金。</w:t>
      </w:r>
    </w:p>
    <w:p w14:paraId="2068616C">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三十六</w:t>
      </w:r>
      <w:r>
        <w:rPr>
          <w:rFonts w:asciiTheme="minorEastAsia" w:hAnsiTheme="minorEastAsia" w:eastAsiaTheme="minorEastAsia"/>
          <w:b/>
          <w:color w:val="auto"/>
          <w:sz w:val="24"/>
          <w:szCs w:val="24"/>
        </w:rPr>
        <w:t>条</w:t>
      </w:r>
      <w:r>
        <w:rPr>
          <w:rFonts w:asciiTheme="minorEastAsia" w:hAnsiTheme="minorEastAsia" w:eastAsiaTheme="minorEastAsia"/>
          <w:color w:val="auto"/>
          <w:sz w:val="24"/>
          <w:szCs w:val="24"/>
        </w:rPr>
        <w:t>被保险人向保险人请求赔偿</w:t>
      </w:r>
      <w:r>
        <w:rPr>
          <w:rFonts w:hint="eastAsia" w:asciiTheme="minorEastAsia" w:hAnsiTheme="minorEastAsia" w:eastAsiaTheme="minorEastAsia"/>
          <w:color w:val="auto"/>
          <w:sz w:val="24"/>
          <w:szCs w:val="24"/>
        </w:rPr>
        <w:t>保险金</w:t>
      </w:r>
      <w:r>
        <w:rPr>
          <w:rFonts w:asciiTheme="minorEastAsia" w:hAnsiTheme="minorEastAsia" w:eastAsiaTheme="minorEastAsia"/>
          <w:color w:val="auto"/>
          <w:sz w:val="24"/>
          <w:szCs w:val="24"/>
        </w:rPr>
        <w:t>的诉讼时效期间为二年，自其知道或者应当知道保险事故发生之日起计算。</w:t>
      </w:r>
    </w:p>
    <w:p w14:paraId="5FD5795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争议处理和法律适用</w:t>
      </w:r>
    </w:p>
    <w:p w14:paraId="32A8E60E">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三十七</w:t>
      </w:r>
      <w:r>
        <w:rPr>
          <w:rFonts w:hint="eastAsia" w:asciiTheme="minorEastAsia" w:hAnsiTheme="minorEastAsia" w:eastAsiaTheme="minorEastAsia"/>
          <w:b/>
          <w:color w:val="auto"/>
          <w:sz w:val="24"/>
          <w:szCs w:val="24"/>
        </w:rPr>
        <w:t>条</w:t>
      </w:r>
      <w:r>
        <w:rPr>
          <w:rFonts w:hint="eastAsia" w:asciiTheme="minorEastAsia" w:hAnsiTheme="minorEastAsia" w:eastAsiaTheme="minorEastAsia"/>
          <w:color w:val="auto"/>
          <w:sz w:val="24"/>
          <w:szCs w:val="24"/>
        </w:rPr>
        <w:t xml:space="preserve"> 因履行本保险合同发生的争议，由当事人协商解决。协商不成的，提交保险单载明的仲裁机构仲裁；保险单未载明仲裁机构且争议发生后未达成仲裁协议的，依法向中华人民共和国人民法院起诉。</w:t>
      </w:r>
    </w:p>
    <w:p w14:paraId="64CAE58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第</w:t>
      </w:r>
      <w:r>
        <w:rPr>
          <w:rFonts w:hint="eastAsia" w:asciiTheme="minorEastAsia" w:hAnsiTheme="minorEastAsia" w:eastAsiaTheme="minorEastAsia"/>
          <w:b/>
          <w:bCs/>
          <w:color w:val="auto"/>
          <w:sz w:val="24"/>
          <w:szCs w:val="24"/>
        </w:rPr>
        <w:t>三十八</w:t>
      </w:r>
      <w:r>
        <w:rPr>
          <w:rFonts w:hint="eastAsia" w:asciiTheme="minorEastAsia" w:hAnsiTheme="minorEastAsia" w:eastAsiaTheme="minorEastAsia"/>
          <w:b/>
          <w:color w:val="auto"/>
          <w:sz w:val="24"/>
          <w:szCs w:val="24"/>
        </w:rPr>
        <w:t>条</w:t>
      </w:r>
      <w:r>
        <w:rPr>
          <w:rFonts w:hint="eastAsia" w:asciiTheme="minorEastAsia" w:hAnsiTheme="minorEastAsia" w:eastAsiaTheme="minorEastAsia"/>
          <w:color w:val="auto"/>
          <w:sz w:val="24"/>
          <w:szCs w:val="24"/>
        </w:rPr>
        <w:t xml:space="preserve"> 本保险合同的争议处理适用中华人民共和国法律（不包括港澳台地区法律）。</w:t>
      </w:r>
    </w:p>
    <w:p w14:paraId="6EA44D7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其他事项</w:t>
      </w:r>
    </w:p>
    <w:p w14:paraId="711CD604">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bCs/>
          <w:color w:val="auto"/>
          <w:sz w:val="24"/>
          <w:szCs w:val="24"/>
        </w:rPr>
      </w:pPr>
      <w:r>
        <w:rPr>
          <w:rFonts w:asciiTheme="minorEastAsia" w:hAnsiTheme="minorEastAsia" w:eastAsiaTheme="minorEastAsia"/>
          <w:b/>
          <w:bCs/>
          <w:color w:val="auto"/>
          <w:sz w:val="24"/>
          <w:szCs w:val="24"/>
        </w:rPr>
        <w:t>第</w:t>
      </w:r>
      <w:r>
        <w:rPr>
          <w:rFonts w:hint="eastAsia" w:asciiTheme="minorEastAsia" w:hAnsiTheme="minorEastAsia" w:eastAsiaTheme="minorEastAsia"/>
          <w:b/>
          <w:bCs/>
          <w:color w:val="auto"/>
          <w:sz w:val="24"/>
          <w:szCs w:val="24"/>
        </w:rPr>
        <w:t>三十九</w:t>
      </w:r>
      <w:r>
        <w:rPr>
          <w:rFonts w:asciiTheme="minorEastAsia" w:hAnsiTheme="minorEastAsia" w:eastAsiaTheme="minorEastAsia"/>
          <w:b/>
          <w:bCs/>
          <w:color w:val="auto"/>
          <w:sz w:val="24"/>
          <w:szCs w:val="24"/>
        </w:rPr>
        <w:t>条</w:t>
      </w:r>
      <w:r>
        <w:rPr>
          <w:rFonts w:asciiTheme="minorEastAsia" w:hAnsiTheme="minorEastAsia" w:eastAsiaTheme="minorEastAsia"/>
          <w:color w:val="auto"/>
          <w:sz w:val="24"/>
          <w:szCs w:val="24"/>
        </w:rPr>
        <w:t xml:space="preserve"> 保险责任开始后，投保人要求解除保险合同的，自通知本保险人之日起，保险合同解除，本保险人按短期费率计收自保险责任开始之日起至合同解除之日止期间的保险费，并退还剩余部分保险费；本保险人要求解除保险合同的，应提前十五日向投保人发出解约通知书，本保险人按照保险责任开始之日起至合同解除之日止期间与保险期间的日比例计收保险费，并退还剩余部分保险费。</w:t>
      </w:r>
    </w:p>
    <w:p w14:paraId="7A915426">
      <w:pPr>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b/>
          <w:color w:val="auto"/>
          <w:sz w:val="24"/>
          <w:szCs w:val="24"/>
        </w:rPr>
        <w:t>附录：</w:t>
      </w:r>
      <w:r>
        <w:rPr>
          <w:rFonts w:hint="eastAsia" w:asciiTheme="minorEastAsia" w:hAnsiTheme="minorEastAsia" w:eastAsiaTheme="minorEastAsia"/>
          <w:b/>
          <w:bCs/>
          <w:color w:val="auto"/>
          <w:sz w:val="24"/>
          <w:szCs w:val="24"/>
        </w:rPr>
        <w:t>短期费率表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5"/>
        <w:gridCol w:w="540"/>
        <w:gridCol w:w="540"/>
        <w:gridCol w:w="540"/>
        <w:gridCol w:w="540"/>
        <w:gridCol w:w="540"/>
        <w:gridCol w:w="540"/>
        <w:gridCol w:w="540"/>
        <w:gridCol w:w="540"/>
        <w:gridCol w:w="540"/>
        <w:gridCol w:w="540"/>
        <w:gridCol w:w="537"/>
        <w:gridCol w:w="576"/>
      </w:tblGrid>
      <w:tr w14:paraId="6D2F8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2DE34DB">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保险期间</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0B165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w:t>
            </w:r>
          </w:p>
          <w:p w14:paraId="7DFC88F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4D0C0A1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2002B3">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w:t>
            </w:r>
          </w:p>
          <w:p w14:paraId="65138E1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3BFA5FB2">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A0F70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三</w:t>
            </w:r>
          </w:p>
          <w:p w14:paraId="422FFDB2">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454A507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60EB8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四</w:t>
            </w:r>
          </w:p>
          <w:p w14:paraId="60367DB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2E3B967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46C49B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五</w:t>
            </w:r>
          </w:p>
          <w:p w14:paraId="1C0A03F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123B3E96">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78B60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六</w:t>
            </w:r>
          </w:p>
          <w:p w14:paraId="02A6CAD5">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13E0BE23">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CFF1846">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七</w:t>
            </w:r>
          </w:p>
          <w:p w14:paraId="7D715E72">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762559B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77B3275">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八</w:t>
            </w:r>
          </w:p>
          <w:p w14:paraId="3F3D8C4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798A3965">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1182A11">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九</w:t>
            </w:r>
          </w:p>
          <w:p w14:paraId="4DE7CC3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50C9E0A5">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9F8214">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十</w:t>
            </w:r>
          </w:p>
          <w:p w14:paraId="0F31DFD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4A9C206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31912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十</w:t>
            </w:r>
          </w:p>
          <w:p w14:paraId="6E404BE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一</w:t>
            </w:r>
          </w:p>
          <w:p w14:paraId="04F5AF6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33AEC3E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c>
          <w:tcPr>
            <w:tcW w:w="5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4970F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十</w:t>
            </w:r>
          </w:p>
          <w:p w14:paraId="63EEC71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二</w:t>
            </w:r>
          </w:p>
          <w:p w14:paraId="448EE82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个</w:t>
            </w:r>
          </w:p>
          <w:p w14:paraId="5F86CA3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月</w:t>
            </w:r>
          </w:p>
        </w:tc>
      </w:tr>
      <w:tr w14:paraId="17D24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322B75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年费率的百分比</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A0A9DA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8A87D50">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25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72A95BC">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35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ED96FA">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45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B97CDCF">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55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885D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65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370341">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75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437BB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80</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C5B6B0D">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85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1E8B836">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90</w:t>
            </w:r>
          </w:p>
        </w:tc>
        <w:tc>
          <w:tcPr>
            <w:tcW w:w="5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61271C">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95</w:t>
            </w:r>
          </w:p>
        </w:tc>
        <w:tc>
          <w:tcPr>
            <w:tcW w:w="5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AE94D21">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100</w:t>
            </w:r>
          </w:p>
        </w:tc>
      </w:tr>
    </w:tbl>
    <w:p w14:paraId="44214DFD">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注：不足一个月的按一个月计收。</w:t>
      </w:r>
    </w:p>
    <w:p w14:paraId="764A85A1">
      <w:pPr>
        <w:pStyle w:val="44"/>
        <w:keepNext w:val="0"/>
        <w:keepLines w:val="0"/>
        <w:pageBreakBefore w:val="0"/>
        <w:widowControl/>
        <w:kinsoku/>
        <w:wordWrap/>
        <w:overflowPunct/>
        <w:topLinePunct w:val="0"/>
        <w:bidi w:val="0"/>
        <w:snapToGrid/>
        <w:spacing w:beforeAutospacing="0" w:afterAutospacing="0" w:line="520" w:lineRule="exact"/>
        <w:jc w:val="center"/>
        <w:textAlignment w:val="auto"/>
        <w:rPr>
          <w:rFonts w:hint="eastAsia" w:cs="宋体" w:asciiTheme="minorEastAsia" w:hAnsiTheme="minorEastAsia" w:eastAsiaTheme="minorEastAsia"/>
          <w:b/>
          <w:color w:val="auto"/>
          <w:sz w:val="24"/>
          <w:szCs w:val="24"/>
        </w:rPr>
      </w:pPr>
    </w:p>
    <w:p w14:paraId="7C47E981">
      <w:pPr>
        <w:pStyle w:val="44"/>
        <w:keepNext w:val="0"/>
        <w:keepLines w:val="0"/>
        <w:pageBreakBefore w:val="0"/>
        <w:widowControl/>
        <w:kinsoku/>
        <w:wordWrap/>
        <w:overflowPunct/>
        <w:topLinePunct w:val="0"/>
        <w:bidi w:val="0"/>
        <w:snapToGrid/>
        <w:spacing w:beforeAutospacing="0" w:afterAutospacing="0" w:line="520" w:lineRule="exact"/>
        <w:jc w:val="center"/>
        <w:textAlignment w:val="auto"/>
        <w:rPr>
          <w:rFonts w:hint="eastAsia" w:cs="宋体" w:asciiTheme="minorEastAsia" w:hAnsiTheme="minorEastAsia" w:eastAsiaTheme="minorEastAsia"/>
          <w:b/>
          <w:color w:val="auto"/>
          <w:sz w:val="24"/>
          <w:szCs w:val="24"/>
        </w:rPr>
      </w:pPr>
      <w:r>
        <w:rPr>
          <w:rFonts w:hint="eastAsia" w:cs="宋体" w:asciiTheme="minorEastAsia" w:hAnsiTheme="minorEastAsia" w:eastAsiaTheme="minorEastAsia"/>
          <w:b/>
          <w:color w:val="auto"/>
          <w:sz w:val="24"/>
          <w:szCs w:val="24"/>
        </w:rPr>
        <w:t>医疗责任保险附加药品、消毒药剂、医疗器械责任保险条款</w:t>
      </w:r>
    </w:p>
    <w:p w14:paraId="7B12F354">
      <w:pPr>
        <w:pStyle w:val="44"/>
        <w:keepNext w:val="0"/>
        <w:keepLines w:val="0"/>
        <w:pageBreakBefore w:val="0"/>
        <w:widowControl/>
        <w:kinsoku/>
        <w:wordWrap/>
        <w:overflowPunct/>
        <w:topLinePunct w:val="0"/>
        <w:bidi w:val="0"/>
        <w:snapToGrid/>
        <w:spacing w:beforeAutospacing="0" w:afterAutospacing="0" w:line="520" w:lineRule="exact"/>
        <w:jc w:val="center"/>
        <w:textAlignment w:val="auto"/>
        <w:rPr>
          <w:rFonts w:hint="eastAsia" w:cs="宋体" w:asciiTheme="minorEastAsia" w:hAnsiTheme="minorEastAsia" w:eastAsiaTheme="minorEastAsia"/>
          <w:b/>
          <w:color w:val="auto"/>
          <w:sz w:val="24"/>
          <w:szCs w:val="24"/>
        </w:rPr>
      </w:pPr>
    </w:p>
    <w:p w14:paraId="655495CE">
      <w:pPr>
        <w:pStyle w:val="44"/>
        <w:keepNext w:val="0"/>
        <w:keepLines w:val="0"/>
        <w:pageBreakBefore w:val="0"/>
        <w:widowControl/>
        <w:kinsoku/>
        <w:wordWrap/>
        <w:overflowPunct/>
        <w:topLinePunct w:val="0"/>
        <w:bidi w:val="0"/>
        <w:snapToGrid/>
        <w:spacing w:beforeAutospacing="0" w:afterAutospacing="0" w:line="520" w:lineRule="exact"/>
        <w:ind w:firstLine="482" w:firstLineChars="200"/>
        <w:jc w:val="both"/>
        <w:textAlignment w:val="auto"/>
        <w:rPr>
          <w:rFonts w:asciiTheme="minorEastAsia" w:hAnsiTheme="minorEastAsia" w:eastAsiaTheme="minorEastAsia"/>
          <w:color w:val="auto"/>
          <w:sz w:val="24"/>
          <w:szCs w:val="24"/>
        </w:rPr>
      </w:pPr>
      <w:r>
        <w:rPr>
          <w:rFonts w:cs="仿宋" w:asciiTheme="minorEastAsia" w:hAnsiTheme="minorEastAsia" w:eastAsiaTheme="minorEastAsia"/>
          <w:b/>
          <w:color w:val="auto"/>
          <w:sz w:val="24"/>
          <w:szCs w:val="24"/>
        </w:rPr>
        <w:t>第一条</w:t>
      </w:r>
      <w:r>
        <w:rPr>
          <w:rFonts w:hint="eastAsia" w:cs="仿宋" w:asciiTheme="minorEastAsia" w:hAnsiTheme="minorEastAsia" w:eastAsiaTheme="minorEastAsia"/>
          <w:color w:val="auto"/>
          <w:sz w:val="24"/>
          <w:szCs w:val="24"/>
        </w:rPr>
        <w:t>  在投保《中国人寿财产保险股份有限公司医疗责任保险条款》（以下简称“主险”）的基础上，投保人可以投保本附加险。本附加险条款与主险条款相悖之处，以本附加险条款为准；本附加险条款未尽事宜，以主险条款为准。主险效力终止，本附加险效力亦同时终止；主险无效，本附加险亦无效。</w:t>
      </w:r>
    </w:p>
    <w:p w14:paraId="6A6FD15C">
      <w:pPr>
        <w:pStyle w:val="44"/>
        <w:keepNext w:val="0"/>
        <w:keepLines w:val="0"/>
        <w:pageBreakBefore w:val="0"/>
        <w:widowControl/>
        <w:kinsoku/>
        <w:wordWrap/>
        <w:overflowPunct/>
        <w:topLinePunct w:val="0"/>
        <w:bidi w:val="0"/>
        <w:snapToGrid/>
        <w:spacing w:beforeAutospacing="0" w:afterAutospacing="0" w:line="520" w:lineRule="exact"/>
        <w:ind w:firstLine="422"/>
        <w:jc w:val="both"/>
        <w:textAlignment w:val="auto"/>
        <w:rPr>
          <w:rFonts w:asciiTheme="minorEastAsia" w:hAnsiTheme="minorEastAsia" w:eastAsiaTheme="minorEastAsia"/>
          <w:color w:val="auto"/>
          <w:sz w:val="24"/>
          <w:szCs w:val="24"/>
        </w:rPr>
      </w:pPr>
      <w:r>
        <w:rPr>
          <w:rFonts w:hint="eastAsia" w:cs="仿宋" w:asciiTheme="minorEastAsia" w:hAnsiTheme="minorEastAsia" w:eastAsiaTheme="minorEastAsia"/>
          <w:b/>
          <w:color w:val="auto"/>
          <w:sz w:val="24"/>
          <w:szCs w:val="24"/>
        </w:rPr>
        <w:t>第二条  </w:t>
      </w:r>
      <w:r>
        <w:rPr>
          <w:rFonts w:hint="eastAsia" w:cs="仿宋" w:asciiTheme="minorEastAsia" w:hAnsiTheme="minorEastAsia" w:eastAsiaTheme="minorEastAsia"/>
          <w:color w:val="auto"/>
          <w:sz w:val="24"/>
          <w:szCs w:val="24"/>
        </w:rPr>
        <w:t>经保险合同双方特别约定，且投保人已</w:t>
      </w:r>
      <w:r>
        <w:rPr>
          <w:rFonts w:hint="eastAsia" w:cs="仿宋" w:asciiTheme="minorEastAsia" w:hAnsiTheme="minorEastAsia" w:eastAsiaTheme="minorEastAsia"/>
          <w:color w:val="auto"/>
          <w:sz w:val="24"/>
          <w:szCs w:val="24"/>
          <w:lang w:val="en-US" w:eastAsia="zh-CN"/>
        </w:rPr>
        <w:t>缴</w:t>
      </w:r>
      <w:r>
        <w:rPr>
          <w:rFonts w:hint="eastAsia" w:cs="仿宋" w:asciiTheme="minorEastAsia" w:hAnsiTheme="minorEastAsia" w:eastAsiaTheme="minorEastAsia"/>
          <w:color w:val="auto"/>
          <w:sz w:val="24"/>
          <w:szCs w:val="24"/>
        </w:rPr>
        <w:t>纳相应的保险费的前提下，在保险单中列明的保险期间或追溯期及承保区域范围内，被保险人及其投保医务人员在从事与其资格相符的诊疗活动中，因药品、消毒药剂、医疗器械的缺陷，造成患者损害的，患者或其近亲属或其代理人在保险期间内或发现期内首次向被保险人提出人身损害赔偿请求，依照中华人民共和国法律（不包括</w:t>
      </w:r>
      <w:r>
        <w:rPr>
          <w:rFonts w:hint="eastAsia" w:cs="仿宋" w:asciiTheme="minorEastAsia" w:hAnsiTheme="minorEastAsia" w:eastAsiaTheme="minorEastAsia"/>
          <w:color w:val="auto"/>
          <w:sz w:val="24"/>
          <w:szCs w:val="24"/>
          <w:lang w:val="en-US" w:eastAsia="zh-CN"/>
        </w:rPr>
        <w:t>香</w:t>
      </w:r>
      <w:r>
        <w:rPr>
          <w:rFonts w:hint="eastAsia" w:cs="仿宋" w:asciiTheme="minorEastAsia" w:hAnsiTheme="minorEastAsia" w:eastAsiaTheme="minorEastAsia"/>
          <w:color w:val="auto"/>
          <w:sz w:val="24"/>
          <w:szCs w:val="24"/>
        </w:rPr>
        <w:t>港、澳</w:t>
      </w:r>
      <w:r>
        <w:rPr>
          <w:rFonts w:hint="eastAsia" w:cs="仿宋" w:asciiTheme="minorEastAsia" w:hAnsiTheme="minorEastAsia" w:eastAsiaTheme="minorEastAsia"/>
          <w:color w:val="auto"/>
          <w:sz w:val="24"/>
          <w:szCs w:val="24"/>
          <w:lang w:val="en-US" w:eastAsia="zh-CN"/>
        </w:rPr>
        <w:t>门</w:t>
      </w:r>
      <w:r>
        <w:rPr>
          <w:rFonts w:hint="eastAsia" w:cs="仿宋" w:asciiTheme="minorEastAsia" w:hAnsiTheme="minorEastAsia" w:eastAsiaTheme="minorEastAsia"/>
          <w:color w:val="auto"/>
          <w:sz w:val="24"/>
          <w:szCs w:val="24"/>
        </w:rPr>
        <w:t>、</w:t>
      </w:r>
      <w:r>
        <w:rPr>
          <w:rFonts w:hint="eastAsia" w:cs="仿宋" w:asciiTheme="minorEastAsia" w:hAnsiTheme="minorEastAsia" w:eastAsiaTheme="minorEastAsia"/>
          <w:color w:val="auto"/>
          <w:sz w:val="24"/>
          <w:szCs w:val="24"/>
          <w:lang w:val="en-US" w:eastAsia="zh-CN"/>
        </w:rPr>
        <w:t>台湾</w:t>
      </w:r>
      <w:r>
        <w:rPr>
          <w:rFonts w:hint="eastAsia" w:cs="仿宋" w:asciiTheme="minorEastAsia" w:hAnsiTheme="minorEastAsia" w:eastAsiaTheme="minorEastAsia"/>
          <w:color w:val="auto"/>
          <w:sz w:val="24"/>
          <w:szCs w:val="24"/>
        </w:rPr>
        <w:t>地区法律）应由被保险人承担的经济赔偿责任，保险人按照本保险合同约定负责赔偿。</w:t>
      </w:r>
    </w:p>
    <w:p w14:paraId="3922D0BC">
      <w:pPr>
        <w:pStyle w:val="44"/>
        <w:keepNext w:val="0"/>
        <w:keepLines w:val="0"/>
        <w:pageBreakBefore w:val="0"/>
        <w:widowControl/>
        <w:kinsoku/>
        <w:wordWrap/>
        <w:overflowPunct/>
        <w:topLinePunct w:val="0"/>
        <w:bidi w:val="0"/>
        <w:snapToGrid/>
        <w:spacing w:beforeAutospacing="0" w:afterAutospacing="0" w:line="520" w:lineRule="exact"/>
        <w:ind w:firstLine="422"/>
        <w:jc w:val="both"/>
        <w:textAlignment w:val="auto"/>
        <w:rPr>
          <w:rFonts w:asciiTheme="minorEastAsia" w:hAnsiTheme="minorEastAsia" w:eastAsiaTheme="minorEastAsia"/>
          <w:color w:val="auto"/>
          <w:sz w:val="24"/>
          <w:szCs w:val="24"/>
        </w:rPr>
      </w:pPr>
      <w:r>
        <w:rPr>
          <w:rFonts w:hint="eastAsia" w:cs="仿宋" w:asciiTheme="minorEastAsia" w:hAnsiTheme="minorEastAsia" w:eastAsiaTheme="minorEastAsia"/>
          <w:b/>
          <w:color w:val="auto"/>
          <w:sz w:val="24"/>
          <w:szCs w:val="24"/>
        </w:rPr>
        <w:t>第三条  </w:t>
      </w:r>
      <w:r>
        <w:rPr>
          <w:rFonts w:hint="eastAsia" w:cs="仿宋" w:asciiTheme="minorEastAsia" w:hAnsiTheme="minorEastAsia" w:eastAsiaTheme="minorEastAsia"/>
          <w:color w:val="auto"/>
          <w:sz w:val="24"/>
          <w:szCs w:val="24"/>
        </w:rPr>
        <w:t>发生保险责任范围内的损失，应由有关药品、消毒药剂、医疗器械的生产商或销售商负责赔偿的，保险人自向被保险人赔偿保险金之日起，在赔偿金额范围内代位行使被保险人对以上有关责任方请求赔偿的权利，被保险人应当向保险人提供必要的文件和所知道的有关情况。</w:t>
      </w:r>
    </w:p>
    <w:p w14:paraId="1850E22B">
      <w:pPr>
        <w:pStyle w:val="44"/>
        <w:keepNext w:val="0"/>
        <w:keepLines w:val="0"/>
        <w:pageBreakBefore w:val="0"/>
        <w:widowControl/>
        <w:kinsoku/>
        <w:wordWrap/>
        <w:overflowPunct/>
        <w:topLinePunct w:val="0"/>
        <w:bidi w:val="0"/>
        <w:snapToGrid/>
        <w:spacing w:beforeAutospacing="0" w:afterAutospacing="0" w:line="520" w:lineRule="exact"/>
        <w:ind w:firstLine="422"/>
        <w:jc w:val="both"/>
        <w:textAlignment w:val="auto"/>
        <w:rPr>
          <w:rFonts w:asciiTheme="minorEastAsia" w:hAnsiTheme="minorEastAsia" w:eastAsiaTheme="minorEastAsia"/>
          <w:color w:val="auto"/>
          <w:sz w:val="24"/>
          <w:szCs w:val="24"/>
        </w:rPr>
      </w:pPr>
      <w:r>
        <w:rPr>
          <w:rFonts w:hint="eastAsia" w:cs="仿宋" w:asciiTheme="minorEastAsia" w:hAnsiTheme="minorEastAsia" w:eastAsiaTheme="minorEastAsia"/>
          <w:b/>
          <w:color w:val="auto"/>
          <w:sz w:val="24"/>
          <w:szCs w:val="24"/>
        </w:rPr>
        <w:t>第四条  </w:t>
      </w:r>
      <w:r>
        <w:rPr>
          <w:rFonts w:hint="eastAsia" w:cs="仿宋" w:asciiTheme="minorEastAsia" w:hAnsiTheme="minorEastAsia" w:eastAsiaTheme="minorEastAsia"/>
          <w:color w:val="auto"/>
          <w:sz w:val="24"/>
          <w:szCs w:val="24"/>
        </w:rPr>
        <w:t>被保险人已经从有关责任方取得赔偿的，保险人赔偿保险金时，可以相应扣减被保险人已从有关责任方取得的赔偿金额。</w:t>
      </w:r>
    </w:p>
    <w:p w14:paraId="12D0809D">
      <w:pPr>
        <w:keepNext w:val="0"/>
        <w:keepLines w:val="0"/>
        <w:pageBreakBefore w:val="0"/>
        <w:tabs>
          <w:tab w:val="center" w:pos="4153"/>
          <w:tab w:val="right" w:pos="8306"/>
        </w:tabs>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p>
    <w:p w14:paraId="73A0BD40">
      <w:pPr>
        <w:keepNext w:val="0"/>
        <w:keepLines w:val="0"/>
        <w:pageBreakBefore w:val="0"/>
        <w:tabs>
          <w:tab w:val="center" w:pos="4153"/>
          <w:tab w:val="right" w:pos="8306"/>
        </w:tabs>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医疗责任保险附加医疗意外责任保险条款</w:t>
      </w:r>
    </w:p>
    <w:p w14:paraId="2F283A69">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p>
    <w:p w14:paraId="657E536C">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保险责任</w:t>
      </w:r>
    </w:p>
    <w:p w14:paraId="58B6E0C8">
      <w:pPr>
        <w:pStyle w:val="39"/>
        <w:keepNext w:val="0"/>
        <w:keepLines w:val="0"/>
        <w:pageBreakBefore w:val="0"/>
        <w:kinsoku/>
        <w:wordWrap/>
        <w:overflowPunct/>
        <w:topLinePunct w:val="0"/>
        <w:bidi w:val="0"/>
        <w:snapToGrid/>
        <w:spacing w:after="0" w:line="520" w:lineRule="exact"/>
        <w:ind w:left="0" w:leftChars="0"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在本保险单明细表中列明的保险期间或追溯期及承保区域范围内，被保险人的投保医务人员在诊疗护理活动中，因下列情形造成患者人身损害</w:t>
      </w:r>
      <w:r>
        <w:rPr>
          <w:rFonts w:hint="eastAsia" w:asciiTheme="minorEastAsia" w:hAnsiTheme="minorEastAsia" w:eastAsiaTheme="minorEastAsia"/>
          <w:color w:val="auto"/>
          <w:sz w:val="24"/>
          <w:szCs w:val="24"/>
          <w:lang w:eastAsia="zh-CN"/>
        </w:rPr>
        <w:t>的</w:t>
      </w:r>
      <w:r>
        <w:rPr>
          <w:rFonts w:asciiTheme="minorEastAsia" w:hAnsiTheme="minorEastAsia" w:eastAsiaTheme="minorEastAsia"/>
          <w:color w:val="auto"/>
          <w:sz w:val="24"/>
          <w:szCs w:val="24"/>
        </w:rPr>
        <w:t>，在本保险期间内，由患者或其近亲属首次向被保险人提出索赔申请，依</w:t>
      </w:r>
      <w:r>
        <w:rPr>
          <w:rFonts w:hint="eastAsia" w:asciiTheme="minorEastAsia" w:hAnsiTheme="minorEastAsia" w:eastAsiaTheme="minorEastAsia"/>
          <w:color w:val="auto"/>
          <w:sz w:val="24"/>
          <w:szCs w:val="24"/>
        </w:rPr>
        <w:t>照中华人民共和国法律（不包括港澳台地区法律）</w:t>
      </w:r>
      <w:r>
        <w:rPr>
          <w:rFonts w:asciiTheme="minorEastAsia" w:hAnsiTheme="minorEastAsia" w:eastAsiaTheme="minorEastAsia"/>
          <w:color w:val="auto"/>
          <w:sz w:val="24"/>
          <w:szCs w:val="24"/>
        </w:rPr>
        <w:t>应由被保险人承担</w:t>
      </w:r>
      <w:r>
        <w:rPr>
          <w:rFonts w:hint="eastAsia" w:asciiTheme="minorEastAsia" w:hAnsiTheme="minorEastAsia" w:eastAsiaTheme="minorEastAsia"/>
          <w:color w:val="auto"/>
          <w:sz w:val="24"/>
          <w:szCs w:val="24"/>
        </w:rPr>
        <w:t>经济</w:t>
      </w:r>
      <w:r>
        <w:rPr>
          <w:rFonts w:asciiTheme="minorEastAsia" w:hAnsiTheme="minorEastAsia" w:eastAsiaTheme="minorEastAsia"/>
          <w:color w:val="auto"/>
          <w:sz w:val="24"/>
          <w:szCs w:val="24"/>
        </w:rPr>
        <w:t>赔偿责任时，保险人根据本保险合同的约定负责赔偿：</w:t>
      </w:r>
    </w:p>
    <w:p w14:paraId="70BF7F87">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（一）在诊疗护理过程中由于病情或患者体质特殊而发生的难以预料或在预料之中但难以防范的不良后果；</w:t>
      </w:r>
    </w:p>
    <w:p w14:paraId="00C01384">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（二）按照正常的技术规范操作，仍然发生难以避免的并发症或者治疗意外；</w:t>
      </w:r>
    </w:p>
    <w:p w14:paraId="25FEFEE8">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（三）应用现有医学科学技术，仍然发生无法预料或难以防范的不良后果；</w:t>
      </w:r>
    </w:p>
    <w:p w14:paraId="3F7BE7AB">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（四）在危急情况下为抢救危重患者生命而采取的紧急措施所造成的不良后果。</w:t>
      </w:r>
    </w:p>
    <w:p w14:paraId="0EAA20A3">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责任免除</w:t>
      </w:r>
    </w:p>
    <w:p w14:paraId="3D2B5031">
      <w:pPr>
        <w:pStyle w:val="20"/>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下列情形造成的损失、费用和责任，保险人不负责赔偿：</w:t>
      </w:r>
    </w:p>
    <w:p w14:paraId="7D3B8CC6">
      <w:pPr>
        <w:pStyle w:val="20"/>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（一）无过错输血感染造成的不良后果；</w:t>
      </w:r>
    </w:p>
    <w:p w14:paraId="27C535D5">
      <w:pPr>
        <w:pStyle w:val="20"/>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（二）因患者或患者一方原因延误诊疗导致的不良后果；</w:t>
      </w:r>
    </w:p>
    <w:p w14:paraId="65F0027A">
      <w:pPr>
        <w:pStyle w:val="20"/>
        <w:keepNext w:val="0"/>
        <w:keepLines w:val="0"/>
        <w:pageBreakBefore w:val="0"/>
        <w:kinsoku/>
        <w:wordWrap/>
        <w:overflowPunct/>
        <w:topLinePunct w:val="0"/>
        <w:bidi w:val="0"/>
        <w:snapToGrid/>
        <w:spacing w:line="520" w:lineRule="exact"/>
        <w:ind w:firstLine="482"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（三）经患者或其近亲属同意，对患者实施实验性诊疗发生的不良后果。</w:t>
      </w:r>
    </w:p>
    <w:p w14:paraId="257EE30E">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赔偿限额、免赔额和附加保险费</w:t>
      </w:r>
    </w:p>
    <w:p w14:paraId="33FAC5A7">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（一）医疗意外责任每人赔偿限额和累计赔偿限额分别为本保险单明细表中列明的赔偿限额的30%。</w:t>
      </w:r>
    </w:p>
    <w:p w14:paraId="49147FDF">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（二）医疗意外责任免赔额按医疗意外责任每人赔偿金额的</w:t>
      </w:r>
      <w:r>
        <w:rPr>
          <w:rFonts w:asciiTheme="minorEastAsia" w:hAnsiTheme="minorEastAsia" w:eastAsiaTheme="minorEastAsia"/>
          <w:color w:val="auto"/>
          <w:sz w:val="24"/>
          <w:szCs w:val="24"/>
          <w:highlight w:val="none"/>
        </w:rPr>
        <w:t>5%或500元计</w:t>
      </w:r>
      <w:r>
        <w:rPr>
          <w:rFonts w:asciiTheme="minorEastAsia" w:hAnsiTheme="minorEastAsia" w:eastAsiaTheme="minorEastAsia"/>
          <w:color w:val="auto"/>
          <w:sz w:val="24"/>
          <w:szCs w:val="24"/>
        </w:rPr>
        <w:t>，两者以高者为准。</w:t>
      </w:r>
    </w:p>
    <w:p w14:paraId="3D708BAE">
      <w:pPr>
        <w:pStyle w:val="20"/>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（三）附加保险费为本保险单明细表中基本保险费总计或调整后的保险费的35%。</w:t>
      </w:r>
    </w:p>
    <w:p w14:paraId="3AA44E78">
      <w:pPr>
        <w:keepNext w:val="0"/>
        <w:keepLines w:val="0"/>
        <w:pageBreakBefore w:val="0"/>
        <w:kinsoku/>
        <w:wordWrap/>
        <w:overflowPunct/>
        <w:topLinePunct w:val="0"/>
        <w:bidi w:val="0"/>
        <w:snapToGrid/>
        <w:spacing w:line="520" w:lineRule="exact"/>
        <w:jc w:val="center"/>
        <w:textAlignment w:val="auto"/>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其他事项</w:t>
      </w:r>
    </w:p>
    <w:p w14:paraId="7EE2FD8D">
      <w:pPr>
        <w:keepNext w:val="0"/>
        <w:keepLines w:val="0"/>
        <w:pageBreakBefore w:val="0"/>
        <w:kinsoku/>
        <w:wordWrap/>
        <w:overflowPunct/>
        <w:topLinePunct w:val="0"/>
        <w:bidi w:val="0"/>
        <w:snapToGrid/>
        <w:spacing w:line="520" w:lineRule="exact"/>
        <w:ind w:firstLine="480" w:firstLineChars="20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本附加险必须在投保医疗责任保险的基础上，根据被保险人的需要另外加保。本条款与医疗责任保险条款有不一致之处时，以本条款为准。本条款未规定之处，按医疗责任保险条款办理。</w:t>
      </w:r>
    </w:p>
    <w:p w14:paraId="0D851D0B">
      <w:pPr>
        <w:pStyle w:val="46"/>
        <w:keepNext w:val="0"/>
        <w:keepLines w:val="0"/>
        <w:pageBreakBefore w:val="0"/>
        <w:kinsoku/>
        <w:wordWrap/>
        <w:overflowPunct/>
        <w:topLinePunct w:val="0"/>
        <w:bidi w:val="0"/>
        <w:snapToGrid/>
        <w:spacing w:line="520" w:lineRule="exact"/>
        <w:ind w:left="0" w:leftChars="0"/>
        <w:textAlignment w:val="auto"/>
        <w:rPr>
          <w:rFonts w:hint="eastAsia" w:cs="宋体" w:asciiTheme="minorEastAsia" w:hAnsiTheme="minorEastAsia" w:eastAsiaTheme="minorEastAsia"/>
          <w:bCs/>
          <w:color w:val="auto"/>
          <w:sz w:val="24"/>
          <w:szCs w:val="24"/>
        </w:rPr>
      </w:pPr>
    </w:p>
    <w:p w14:paraId="413DF62F">
      <w:pPr>
        <w:pStyle w:val="46"/>
        <w:keepNext w:val="0"/>
        <w:keepLines w:val="0"/>
        <w:pageBreakBefore w:val="0"/>
        <w:kinsoku/>
        <w:wordWrap/>
        <w:overflowPunct/>
        <w:topLinePunct w:val="0"/>
        <w:bidi w:val="0"/>
        <w:snapToGrid/>
        <w:spacing w:line="520" w:lineRule="exact"/>
        <w:ind w:left="0" w:leftChars="0"/>
        <w:textAlignment w:val="auto"/>
        <w:rPr>
          <w:rFonts w:hint="eastAsia" w:cs="宋体" w:asciiTheme="minorEastAsia" w:hAnsiTheme="minorEastAsia" w:eastAsiaTheme="minorEastAsia"/>
          <w:bCs/>
          <w:color w:val="auto"/>
          <w:sz w:val="24"/>
          <w:szCs w:val="24"/>
        </w:rPr>
      </w:pPr>
    </w:p>
    <w:p w14:paraId="00111015">
      <w:pPr>
        <w:pStyle w:val="46"/>
        <w:keepNext w:val="0"/>
        <w:keepLines w:val="0"/>
        <w:pageBreakBefore w:val="0"/>
        <w:kinsoku/>
        <w:wordWrap/>
        <w:overflowPunct/>
        <w:topLinePunct w:val="0"/>
        <w:bidi w:val="0"/>
        <w:snapToGrid/>
        <w:spacing w:line="520" w:lineRule="exact"/>
        <w:ind w:left="0" w:leftChars="0"/>
        <w:textAlignment w:val="auto"/>
        <w:rPr>
          <w:rFonts w:hint="eastAsia" w:cs="宋体" w:asciiTheme="minorEastAsia" w:hAnsiTheme="minorEastAsia" w:eastAsiaTheme="minorEastAsia"/>
          <w:bCs/>
          <w:color w:val="auto"/>
          <w:sz w:val="24"/>
          <w:szCs w:val="24"/>
        </w:rPr>
      </w:pPr>
    </w:p>
    <w:p w14:paraId="1D964221">
      <w:pPr>
        <w:pStyle w:val="46"/>
        <w:keepNext w:val="0"/>
        <w:keepLines w:val="0"/>
        <w:pageBreakBefore w:val="0"/>
        <w:kinsoku/>
        <w:wordWrap/>
        <w:overflowPunct/>
        <w:topLinePunct w:val="0"/>
        <w:bidi w:val="0"/>
        <w:snapToGrid/>
        <w:spacing w:line="520" w:lineRule="exact"/>
        <w:ind w:left="0" w:leftChars="0"/>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本页为采购协议签章部分。</w:t>
      </w:r>
    </w:p>
    <w:p w14:paraId="77321557">
      <w:pPr>
        <w:keepNext w:val="0"/>
        <w:keepLines w:val="0"/>
        <w:pageBreakBefore w:val="0"/>
        <w:tabs>
          <w:tab w:val="left" w:pos="0"/>
        </w:tabs>
        <w:kinsoku/>
        <w:wordWrap/>
        <w:overflowPunct/>
        <w:topLinePunct w:val="0"/>
        <w:bidi w:val="0"/>
        <w:snapToGrid/>
        <w:spacing w:line="520" w:lineRule="exact"/>
        <w:textAlignment w:val="auto"/>
        <w:rPr>
          <w:rFonts w:cs="宋体" w:asciiTheme="minorEastAsia" w:hAnsiTheme="minorEastAsia" w:eastAsiaTheme="minorEastAsia"/>
          <w:b/>
          <w:color w:val="auto"/>
          <w:sz w:val="24"/>
          <w:szCs w:val="24"/>
        </w:rPr>
      </w:pPr>
      <w:r>
        <w:rPr>
          <w:rFonts w:hint="eastAsia" w:cs="宋体" w:asciiTheme="minorEastAsia" w:hAnsiTheme="minorEastAsia" w:eastAsiaTheme="minorEastAsia"/>
          <w:color w:val="auto"/>
          <w:sz w:val="24"/>
          <w:szCs w:val="24"/>
        </w:rPr>
        <w:t>甲方：</w:t>
      </w:r>
    </w:p>
    <w:p w14:paraId="4F4C9D45">
      <w:pPr>
        <w:keepNext w:val="0"/>
        <w:keepLines w:val="0"/>
        <w:pageBreakBefore w:val="0"/>
        <w:tabs>
          <w:tab w:val="left" w:pos="0"/>
        </w:tabs>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泰州市中医院（签章）：</w:t>
      </w:r>
    </w:p>
    <w:p w14:paraId="081D08F6">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法定代表人或授权代理人：</w:t>
      </w:r>
    </w:p>
    <w:p w14:paraId="4D7DADAA">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bCs/>
          <w:color w:val="auto"/>
          <w:sz w:val="24"/>
          <w:szCs w:val="24"/>
        </w:rPr>
      </w:pPr>
    </w:p>
    <w:p w14:paraId="1C8947BD">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bCs/>
          <w:color w:val="auto"/>
          <w:sz w:val="24"/>
          <w:szCs w:val="24"/>
        </w:rPr>
      </w:pPr>
    </w:p>
    <w:p w14:paraId="6218556B">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乙方：</w:t>
      </w:r>
      <w:r>
        <w:rPr>
          <w:rFonts w:cs="宋体" w:asciiTheme="minorEastAsia" w:hAnsiTheme="minorEastAsia" w:eastAsiaTheme="minorEastAsia"/>
          <w:color w:val="auto"/>
          <w:sz w:val="24"/>
          <w:szCs w:val="24"/>
        </w:rPr>
        <w:t xml:space="preserve"> </w:t>
      </w:r>
    </w:p>
    <w:p w14:paraId="1BA3DB53">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p>
    <w:p w14:paraId="205A6A57">
      <w:pPr>
        <w:keepNext w:val="0"/>
        <w:keepLines w:val="0"/>
        <w:pageBreakBefore w:val="0"/>
        <w:kinsoku/>
        <w:wordWrap/>
        <w:overflowPunct/>
        <w:topLinePunct w:val="0"/>
        <w:bidi w:val="0"/>
        <w:snapToGrid/>
        <w:spacing w:line="520" w:lineRule="exact"/>
        <w:textAlignment w:val="auto"/>
        <w:rPr>
          <w:rFonts w:cs="宋体" w:asciiTheme="minorEastAsia" w:hAnsiTheme="minorEastAsia" w:eastAsiaTheme="minorEastAsia"/>
          <w:color w:val="auto"/>
          <w:sz w:val="24"/>
          <w:szCs w:val="24"/>
        </w:rPr>
      </w:pPr>
    </w:p>
    <w:p w14:paraId="584666C6">
      <w:pPr>
        <w:keepNext w:val="0"/>
        <w:keepLines w:val="0"/>
        <w:pageBreakBefore w:val="0"/>
        <w:kinsoku/>
        <w:wordWrap/>
        <w:overflowPunct/>
        <w:topLinePunct w:val="0"/>
        <w:bidi w:val="0"/>
        <w:snapToGrid/>
        <w:spacing w:line="520" w:lineRule="exact"/>
        <w:jc w:val="center"/>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                    </w:t>
      </w:r>
      <w:r>
        <w:rPr>
          <w:rFonts w:hint="eastAsia" w:cs="宋体" w:asciiTheme="minorEastAsia" w:hAnsiTheme="minorEastAsia"/>
          <w:bCs/>
          <w:color w:val="auto"/>
          <w:sz w:val="24"/>
          <w:szCs w:val="24"/>
          <w:lang w:val="en-US" w:eastAsia="zh-CN"/>
        </w:rPr>
        <w:t xml:space="preserve">   </w:t>
      </w:r>
      <w:r>
        <w:rPr>
          <w:rFonts w:hint="eastAsia" w:cs="宋体" w:asciiTheme="minorEastAsia" w:hAnsiTheme="minorEastAsia" w:eastAsiaTheme="minorEastAsia"/>
          <w:bCs/>
          <w:color w:val="auto"/>
          <w:sz w:val="24"/>
          <w:szCs w:val="24"/>
        </w:rPr>
        <w:t>时    间：202</w:t>
      </w:r>
      <w:r>
        <w:rPr>
          <w:rFonts w:hint="eastAsia" w:cs="宋体" w:asciiTheme="minorEastAsia" w:hAnsiTheme="minorEastAsia"/>
          <w:bCs/>
          <w:color w:val="auto"/>
          <w:sz w:val="24"/>
          <w:szCs w:val="24"/>
          <w:lang w:val="en-US" w:eastAsia="zh-CN"/>
        </w:rPr>
        <w:t>6</w:t>
      </w:r>
      <w:r>
        <w:rPr>
          <w:rFonts w:hint="eastAsia" w:cs="宋体" w:asciiTheme="minorEastAsia" w:hAnsiTheme="minorEastAsia" w:eastAsiaTheme="minorEastAsia"/>
          <w:bCs/>
          <w:color w:val="auto"/>
          <w:sz w:val="24"/>
          <w:szCs w:val="24"/>
        </w:rPr>
        <w:t>年</w:t>
      </w:r>
      <w:r>
        <w:rPr>
          <w:rFonts w:hint="eastAsia" w:cs="宋体" w:asciiTheme="minorEastAsia" w:hAnsiTheme="minorEastAsia"/>
          <w:bCs/>
          <w:color w:val="auto"/>
          <w:sz w:val="24"/>
          <w:szCs w:val="24"/>
          <w:lang w:val="en-US" w:eastAsia="zh-CN"/>
        </w:rPr>
        <w:t xml:space="preserve">  </w:t>
      </w:r>
      <w:r>
        <w:rPr>
          <w:rFonts w:hint="eastAsia" w:cs="宋体" w:asciiTheme="minorEastAsia" w:hAnsiTheme="minorEastAsia" w:eastAsiaTheme="minorEastAsia"/>
          <w:bCs/>
          <w:color w:val="auto"/>
          <w:sz w:val="24"/>
          <w:szCs w:val="24"/>
        </w:rPr>
        <w:t>月</w:t>
      </w:r>
      <w:r>
        <w:rPr>
          <w:rFonts w:hint="eastAsia" w:cs="宋体" w:asciiTheme="minorEastAsia" w:hAnsiTheme="minorEastAsia"/>
          <w:bCs/>
          <w:color w:val="auto"/>
          <w:sz w:val="24"/>
          <w:szCs w:val="24"/>
          <w:lang w:val="en-US" w:eastAsia="zh-CN"/>
        </w:rPr>
        <w:t xml:space="preserve">  </w:t>
      </w:r>
      <w:r>
        <w:rPr>
          <w:rFonts w:hint="eastAsia" w:cs="宋体" w:asciiTheme="minorEastAsia" w:hAnsiTheme="minorEastAsia" w:eastAsiaTheme="minorEastAsia"/>
          <w:bCs/>
          <w:color w:val="auto"/>
          <w:sz w:val="24"/>
          <w:szCs w:val="24"/>
        </w:rPr>
        <w:t>日</w:t>
      </w:r>
    </w:p>
    <w:p w14:paraId="619E09DB">
      <w:pPr>
        <w:keepNext w:val="0"/>
        <w:keepLines w:val="0"/>
        <w:pageBreakBefore w:val="0"/>
        <w:kinsoku/>
        <w:wordWrap/>
        <w:overflowPunct/>
        <w:topLinePunct w:val="0"/>
        <w:bidi w:val="0"/>
        <w:snapToGrid/>
        <w:spacing w:line="520" w:lineRule="exact"/>
        <w:jc w:val="center"/>
        <w:textAlignment w:val="auto"/>
        <w:rPr>
          <w:rFonts w:cs="宋体" w:asciiTheme="minorEastAsia" w:hAnsiTheme="minorEastAsia" w:eastAsiaTheme="minorEastAsia"/>
          <w:bCs/>
          <w:color w:val="auto"/>
          <w:sz w:val="24"/>
          <w:szCs w:val="24"/>
        </w:rPr>
      </w:pPr>
      <w:r>
        <w:rPr>
          <w:rFonts w:hint="eastAsia" w:cs="宋体" w:asciiTheme="minorEastAsia" w:hAnsiTheme="minorEastAsia" w:eastAsiaTheme="minorEastAsia"/>
          <w:bCs/>
          <w:color w:val="auto"/>
          <w:sz w:val="24"/>
          <w:szCs w:val="24"/>
        </w:rPr>
        <w:t xml:space="preserve">               签约地点：泰州市</w:t>
      </w:r>
    </w:p>
    <w:p w14:paraId="448D1FC9">
      <w:pPr>
        <w:numPr>
          <w:ilvl w:val="0"/>
          <w:numId w:val="16"/>
        </w:numPr>
        <w:spacing w:before="120" w:after="120" w:line="0" w:lineRule="atLeast"/>
        <w:jc w:val="center"/>
        <w:outlineLvl w:val="0"/>
        <w:rPr>
          <w:rFonts w:hint="eastAsia" w:ascii="宋体" w:hAnsi="宋体" w:eastAsia="宋体" w:cs="宋体"/>
          <w:color w:val="auto"/>
          <w:sz w:val="44"/>
          <w:szCs w:val="44"/>
          <w:highlight w:val="none"/>
        </w:rPr>
      </w:pPr>
      <w:bookmarkStart w:id="180" w:name="_Toc16938559"/>
      <w:bookmarkEnd w:id="180"/>
      <w:bookmarkStart w:id="181" w:name="_Toc513029243"/>
      <w:bookmarkEnd w:id="181"/>
      <w:bookmarkStart w:id="182" w:name="_Hlt16619350"/>
      <w:bookmarkEnd w:id="182"/>
      <w:bookmarkStart w:id="183" w:name="_Toc120614244"/>
      <w:bookmarkEnd w:id="183"/>
      <w:bookmarkStart w:id="184" w:name="_Toc462564139"/>
      <w:bookmarkEnd w:id="184"/>
      <w:bookmarkStart w:id="185" w:name="_Toc20823346"/>
      <w:bookmarkEnd w:id="185"/>
      <w:bookmarkStart w:id="186" w:name="_Toc16938590"/>
      <w:bookmarkEnd w:id="186"/>
      <w:bookmarkStart w:id="187" w:name="_Hlt16619369"/>
      <w:bookmarkEnd w:id="187"/>
      <w:bookmarkStart w:id="188" w:name="_Toc31380"/>
      <w:r>
        <w:rPr>
          <w:rFonts w:hint="eastAsia" w:ascii="宋体" w:hAnsi="宋体" w:eastAsia="宋体" w:cs="宋体"/>
          <w:color w:val="auto"/>
          <w:sz w:val="44"/>
          <w:szCs w:val="44"/>
          <w:highlight w:val="none"/>
        </w:rPr>
        <w:t>采购需求</w:t>
      </w:r>
      <w:bookmarkEnd w:id="188"/>
      <w:bookmarkStart w:id="189" w:name="_Toc49090575"/>
      <w:bookmarkEnd w:id="189"/>
      <w:bookmarkStart w:id="190" w:name="_Toc26554093"/>
      <w:bookmarkEnd w:id="190"/>
    </w:p>
    <w:p w14:paraId="4D0D21E0">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ascii="宋体" w:hAnsi="宋体" w:cs="宋体"/>
          <w:color w:val="auto"/>
          <w:sz w:val="24"/>
          <w:szCs w:val="24"/>
          <w:highlight w:val="none"/>
        </w:rPr>
      </w:pPr>
      <w:r>
        <w:rPr>
          <w:rFonts w:hint="eastAsia" w:ascii="宋体" w:hAnsi="宋体" w:cs="宋体"/>
          <w:b/>
          <w:bCs/>
          <w:color w:val="auto"/>
          <w:sz w:val="24"/>
          <w:szCs w:val="24"/>
          <w:highlight w:val="none"/>
        </w:rPr>
        <w:t>一、项目概况</w:t>
      </w:r>
    </w:p>
    <w:p w14:paraId="50BB4C5D">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本项目为泰州市中医院医疗责任险等</w:t>
      </w:r>
      <w:r>
        <w:rPr>
          <w:rFonts w:hint="eastAsia" w:ascii="宋体" w:hAnsi="宋体"/>
          <w:color w:val="auto"/>
          <w:sz w:val="24"/>
          <w:szCs w:val="24"/>
          <w:highlight w:val="none"/>
          <w:lang w:val="en-US" w:eastAsia="zh-CN"/>
        </w:rPr>
        <w:t>综合保险</w:t>
      </w:r>
      <w:r>
        <w:rPr>
          <w:rFonts w:hint="eastAsia" w:ascii="宋体" w:hAnsi="宋体"/>
          <w:color w:val="auto"/>
          <w:sz w:val="24"/>
          <w:szCs w:val="24"/>
          <w:highlight w:val="none"/>
        </w:rPr>
        <w:t>。</w:t>
      </w:r>
    </w:p>
    <w:p w14:paraId="2522713A">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w:t>
      </w:r>
      <w:r>
        <w:rPr>
          <w:rFonts w:hint="eastAsia" w:ascii="宋体" w:hAnsi="宋体"/>
          <w:color w:val="auto"/>
          <w:sz w:val="24"/>
          <w:szCs w:val="24"/>
          <w:highlight w:val="none"/>
        </w:rPr>
        <w:t>本项目采购预算金额</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最高限价</w:t>
      </w:r>
      <w:r>
        <w:rPr>
          <w:rFonts w:hint="eastAsia" w:ascii="宋体" w:hAnsi="宋体"/>
          <w:color w:val="auto"/>
          <w:sz w:val="24"/>
          <w:szCs w:val="24"/>
          <w:highlight w:val="none"/>
          <w:lang w:eastAsia="zh-CN"/>
        </w:rPr>
        <w:t>）</w:t>
      </w:r>
      <w:r>
        <w:rPr>
          <w:rFonts w:hint="eastAsia" w:ascii="宋体" w:hAnsi="宋体"/>
          <w:color w:val="auto"/>
          <w:sz w:val="24"/>
          <w:szCs w:val="24"/>
          <w:highlight w:val="none"/>
        </w:rPr>
        <w:t>：人民币</w:t>
      </w:r>
      <w:r>
        <w:rPr>
          <w:rFonts w:hint="eastAsia" w:ascii="宋体" w:hAnsi="宋体"/>
          <w:color w:val="auto"/>
          <w:sz w:val="24"/>
          <w:szCs w:val="24"/>
          <w:highlight w:val="none"/>
          <w:lang w:val="en-US" w:eastAsia="zh-CN"/>
        </w:rPr>
        <w:t>大写金额壹佰肆拾玖</w:t>
      </w:r>
      <w:r>
        <w:rPr>
          <w:rFonts w:hint="eastAsia" w:ascii="宋体" w:hAnsi="宋体"/>
          <w:color w:val="auto"/>
          <w:sz w:val="24"/>
          <w:szCs w:val="24"/>
          <w:highlight w:val="none"/>
        </w:rPr>
        <w:t>万元整</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小写：1490000元/年</w:t>
      </w:r>
      <w:r>
        <w:rPr>
          <w:rFonts w:hint="eastAsia" w:ascii="宋体" w:hAnsi="宋体"/>
          <w:color w:val="auto"/>
          <w:sz w:val="24"/>
          <w:szCs w:val="24"/>
          <w:highlight w:val="none"/>
          <w:lang w:eastAsia="zh-CN"/>
        </w:rPr>
        <w:t>）</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磋商</w:t>
      </w:r>
      <w:r>
        <w:rPr>
          <w:rFonts w:hint="eastAsia" w:ascii="宋体" w:hAnsi="宋体"/>
          <w:color w:val="auto"/>
          <w:sz w:val="24"/>
          <w:szCs w:val="24"/>
          <w:highlight w:val="none"/>
        </w:rPr>
        <w:t>报价超过采购预算或者最高限价的，将被判定为无效</w:t>
      </w:r>
      <w:r>
        <w:rPr>
          <w:rFonts w:hint="eastAsia" w:ascii="宋体" w:hAnsi="宋体"/>
          <w:color w:val="auto"/>
          <w:sz w:val="24"/>
          <w:szCs w:val="24"/>
          <w:highlight w:val="none"/>
          <w:lang w:val="en-US" w:eastAsia="zh-CN"/>
        </w:rPr>
        <w:t>响应</w:t>
      </w:r>
      <w:r>
        <w:rPr>
          <w:rFonts w:hint="eastAsia" w:ascii="宋体" w:hAnsi="宋体"/>
          <w:color w:val="auto"/>
          <w:sz w:val="24"/>
          <w:szCs w:val="24"/>
          <w:highlight w:val="none"/>
        </w:rPr>
        <w:t>。</w:t>
      </w:r>
    </w:p>
    <w:p w14:paraId="5DF0983F">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ascii="宋体" w:hAnsi="宋体"/>
          <w:b/>
          <w:color w:val="auto"/>
          <w:sz w:val="24"/>
          <w:szCs w:val="24"/>
          <w:highlight w:val="none"/>
        </w:rPr>
      </w:pPr>
      <w:r>
        <w:rPr>
          <w:rFonts w:hint="eastAsia" w:ascii="宋体" w:hAnsi="宋体"/>
          <w:b/>
          <w:color w:val="auto"/>
          <w:sz w:val="24"/>
          <w:szCs w:val="24"/>
          <w:highlight w:val="none"/>
        </w:rPr>
        <w:t>二、项目依据</w:t>
      </w:r>
    </w:p>
    <w:p w14:paraId="6499909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s="仿宋"/>
          <w:color w:val="auto"/>
          <w:sz w:val="24"/>
          <w:szCs w:val="24"/>
          <w:highlight w:val="none"/>
        </w:rPr>
        <w:t>2017年3月30日江苏省人大常委会颁布的</w:t>
      </w:r>
      <w:r>
        <w:rPr>
          <w:rFonts w:hint="eastAsia" w:ascii="宋体" w:hAnsi="宋体" w:cs="仿宋"/>
          <w:color w:val="auto"/>
          <w:sz w:val="24"/>
          <w:szCs w:val="24"/>
        </w:rPr>
        <w:t>《江苏省医疗纠纷预防与处理条例》明确要求，“公立医疗机构应当参加所在地人民政府建立的医疗责任风险分担制度，鼓励非公立医疗机构参加所在地人民政府建立的医疗责任风险分担制度，非公立医疗机构参加医疗责任风险分担制度，执行与公立医疗机构相同的政策；推行医疗责任保险制度的医疗机构应当与中标人签订保险合同明确具体权利义务，并按照保险合同的约定向中标人支付保险费，保险费按照规定计入成本”。2018年10月1日国务院颁布施行的《医疗纠纷预防和处理条例》第七条明确提出，“国家建立完善医疗风险分担机制，发挥保险机制在医疗纠纷处理中的第三方赔付和医疗风险社会化分担的作用，鼓励医疗机构参加医疗责任保险，鼓励患者参加医疗意外保险”。</w:t>
      </w:r>
    </w:p>
    <w:p w14:paraId="0FE933A3">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outlineLvl w:val="0"/>
        <w:rPr>
          <w:rFonts w:hAnsi="宋体" w:cs="仿宋"/>
          <w:b/>
          <w:color w:val="auto"/>
          <w:sz w:val="24"/>
          <w:szCs w:val="24"/>
          <w:highlight w:val="none"/>
        </w:rPr>
      </w:pPr>
      <w:r>
        <w:rPr>
          <w:rFonts w:hint="eastAsia" w:ascii="宋体" w:hAnsi="宋体" w:cs="仿宋"/>
          <w:b/>
          <w:bCs/>
          <w:color w:val="auto"/>
          <w:sz w:val="24"/>
          <w:szCs w:val="24"/>
          <w:highlight w:val="none"/>
        </w:rPr>
        <w:t>三、泰州市中医院医疗资源情况（202</w:t>
      </w:r>
      <w:r>
        <w:rPr>
          <w:rFonts w:hint="eastAsia" w:ascii="宋体" w:hAnsi="宋体" w:cs="仿宋"/>
          <w:b/>
          <w:bCs/>
          <w:color w:val="auto"/>
          <w:sz w:val="24"/>
          <w:szCs w:val="24"/>
          <w:highlight w:val="none"/>
          <w:lang w:val="en-US" w:eastAsia="zh-CN"/>
        </w:rPr>
        <w:t>5</w:t>
      </w:r>
      <w:r>
        <w:rPr>
          <w:rFonts w:hint="eastAsia" w:ascii="宋体" w:hAnsi="宋体" w:cs="仿宋"/>
          <w:b/>
          <w:bCs/>
          <w:color w:val="auto"/>
          <w:sz w:val="24"/>
          <w:szCs w:val="24"/>
          <w:highlight w:val="none"/>
        </w:rPr>
        <w:t>年</w:t>
      </w:r>
      <w:r>
        <w:rPr>
          <w:rFonts w:hint="eastAsia" w:hAnsi="宋体" w:cs="仿宋"/>
          <w:color w:val="auto"/>
          <w:sz w:val="24"/>
          <w:szCs w:val="24"/>
          <w:highlight w:val="none"/>
        </w:rPr>
        <w:t>）</w:t>
      </w:r>
    </w:p>
    <w:tbl>
      <w:tblPr>
        <w:tblStyle w:val="705"/>
        <w:tblW w:w="8659" w:type="dxa"/>
        <w:tblInd w:w="2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7"/>
        <w:gridCol w:w="1701"/>
        <w:gridCol w:w="1559"/>
        <w:gridCol w:w="1559"/>
        <w:gridCol w:w="1843"/>
      </w:tblGrid>
      <w:tr w14:paraId="6EB4F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97" w:type="dxa"/>
            <w:noWrap/>
            <w:vAlign w:val="center"/>
          </w:tcPr>
          <w:p w14:paraId="5A099754">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医疗机构</w:t>
            </w:r>
          </w:p>
        </w:tc>
        <w:tc>
          <w:tcPr>
            <w:tcW w:w="1701" w:type="dxa"/>
            <w:noWrap/>
            <w:vAlign w:val="center"/>
          </w:tcPr>
          <w:p w14:paraId="60F8D54C">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年门急诊人次</w:t>
            </w:r>
          </w:p>
        </w:tc>
        <w:tc>
          <w:tcPr>
            <w:tcW w:w="1559" w:type="dxa"/>
            <w:noWrap/>
            <w:vAlign w:val="center"/>
          </w:tcPr>
          <w:p w14:paraId="3D32FCD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年出院人次</w:t>
            </w:r>
          </w:p>
        </w:tc>
        <w:tc>
          <w:tcPr>
            <w:tcW w:w="1559" w:type="dxa"/>
            <w:noWrap/>
            <w:vAlign w:val="center"/>
          </w:tcPr>
          <w:p w14:paraId="2C8A822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年手术台次</w:t>
            </w:r>
          </w:p>
        </w:tc>
        <w:tc>
          <w:tcPr>
            <w:tcW w:w="1843" w:type="dxa"/>
            <w:noWrap/>
            <w:vAlign w:val="center"/>
          </w:tcPr>
          <w:p w14:paraId="2D72275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highlight w:val="none"/>
                <w:lang w:val="en-US" w:eastAsia="zh-CN"/>
              </w:rPr>
              <w:t>医务</w:t>
            </w:r>
            <w:r>
              <w:rPr>
                <w:rFonts w:hint="eastAsia" w:ascii="宋体" w:hAnsi="宋体" w:cs="宋体"/>
                <w:color w:val="auto"/>
                <w:sz w:val="24"/>
                <w:szCs w:val="24"/>
                <w:highlight w:val="none"/>
              </w:rPr>
              <w:t>人员数量</w:t>
            </w:r>
          </w:p>
        </w:tc>
      </w:tr>
      <w:tr w14:paraId="256BD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97" w:type="dxa"/>
            <w:noWrap/>
            <w:vAlign w:val="center"/>
          </w:tcPr>
          <w:p w14:paraId="1BEC11B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泰州市中医院</w:t>
            </w:r>
          </w:p>
        </w:tc>
        <w:tc>
          <w:tcPr>
            <w:tcW w:w="1701" w:type="dxa"/>
            <w:noWrap/>
            <w:vAlign w:val="center"/>
          </w:tcPr>
          <w:p w14:paraId="59CA1077">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80万</w:t>
            </w:r>
          </w:p>
        </w:tc>
        <w:tc>
          <w:tcPr>
            <w:tcW w:w="1559" w:type="dxa"/>
            <w:noWrap/>
            <w:vAlign w:val="center"/>
          </w:tcPr>
          <w:p w14:paraId="1AEF4F5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6万</w:t>
            </w:r>
          </w:p>
        </w:tc>
        <w:tc>
          <w:tcPr>
            <w:tcW w:w="1559" w:type="dxa"/>
            <w:noWrap/>
            <w:vAlign w:val="center"/>
          </w:tcPr>
          <w:p w14:paraId="0A095A7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1万</w:t>
            </w:r>
          </w:p>
        </w:tc>
        <w:tc>
          <w:tcPr>
            <w:tcW w:w="1843" w:type="dxa"/>
            <w:noWrap/>
            <w:vAlign w:val="center"/>
          </w:tcPr>
          <w:p w14:paraId="5836251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hint="default" w:ascii="宋体" w:hAnsi="宋体" w:cs="宋体" w:eastAsiaTheme="minorEastAsia"/>
                <w:color w:val="auto"/>
                <w:sz w:val="24"/>
                <w:szCs w:val="24"/>
                <w:lang w:val="en-US" w:eastAsia="zh-CN"/>
              </w:rPr>
            </w:pPr>
            <w:r>
              <w:rPr>
                <w:rFonts w:hint="eastAsia" w:ascii="宋体" w:hAnsi="宋体" w:cs="宋体"/>
                <w:color w:val="auto"/>
                <w:sz w:val="24"/>
                <w:szCs w:val="24"/>
                <w:lang w:val="en-US" w:eastAsia="zh-CN"/>
              </w:rPr>
              <w:t>1136人</w:t>
            </w:r>
          </w:p>
        </w:tc>
      </w:tr>
    </w:tbl>
    <w:p w14:paraId="791904DC">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hint="eastAsia" w:hAnsi="宋体" w:eastAsiaTheme="minorEastAsia"/>
          <w:b/>
          <w:bCs/>
          <w:color w:val="auto"/>
          <w:sz w:val="24"/>
          <w:szCs w:val="24"/>
          <w:lang w:eastAsia="zh-CN"/>
        </w:rPr>
      </w:pPr>
      <w:r>
        <w:rPr>
          <w:rFonts w:hint="eastAsia" w:hAnsi="宋体" w:cs="仿宋"/>
          <w:b/>
          <w:bCs/>
          <w:color w:val="auto"/>
          <w:sz w:val="24"/>
          <w:szCs w:val="24"/>
          <w:lang w:val="en-US" w:eastAsia="zh-CN"/>
        </w:rPr>
        <w:t>四、技术要求</w:t>
      </w:r>
    </w:p>
    <w:p w14:paraId="0D749ED2">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hint="eastAsia" w:hAnsi="宋体" w:eastAsiaTheme="minorEastAsia"/>
          <w:b/>
          <w:bCs/>
          <w:color w:val="auto"/>
          <w:sz w:val="24"/>
          <w:szCs w:val="24"/>
          <w:lang w:eastAsia="zh-CN"/>
        </w:rPr>
      </w:pPr>
      <w:r>
        <w:rPr>
          <w:rFonts w:hint="eastAsia" w:hAnsi="宋体" w:cs="仿宋"/>
          <w:b/>
          <w:bCs/>
          <w:color w:val="auto"/>
          <w:sz w:val="24"/>
          <w:szCs w:val="24"/>
          <w:lang w:eastAsia="zh-CN"/>
        </w:rPr>
        <w:t>（</w:t>
      </w:r>
      <w:r>
        <w:rPr>
          <w:rFonts w:hint="eastAsia" w:hAnsi="宋体" w:cs="仿宋"/>
          <w:b/>
          <w:bCs/>
          <w:color w:val="auto"/>
          <w:sz w:val="24"/>
          <w:szCs w:val="24"/>
          <w:lang w:val="en-US" w:eastAsia="zh-CN"/>
        </w:rPr>
        <w:t>一</w:t>
      </w:r>
      <w:r>
        <w:rPr>
          <w:rFonts w:hint="eastAsia" w:hAnsi="宋体" w:cs="仿宋"/>
          <w:b/>
          <w:bCs/>
          <w:color w:val="auto"/>
          <w:sz w:val="24"/>
          <w:szCs w:val="24"/>
          <w:lang w:eastAsia="zh-CN"/>
        </w:rPr>
        <w:t>）</w:t>
      </w:r>
      <w:r>
        <w:rPr>
          <w:rFonts w:hint="eastAsia" w:hAnsi="宋体" w:cs="仿宋"/>
          <w:b/>
          <w:bCs/>
          <w:color w:val="auto"/>
          <w:sz w:val="24"/>
          <w:szCs w:val="24"/>
        </w:rPr>
        <w:t>项目需求与服务要求</w:t>
      </w:r>
    </w:p>
    <w:p w14:paraId="1B4108D7">
      <w:pPr>
        <w:keepNext w:val="0"/>
        <w:keepLines w:val="0"/>
        <w:pageBreakBefore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cs="仿宋"/>
          <w:bCs/>
          <w:color w:val="auto"/>
          <w:sz w:val="24"/>
          <w:szCs w:val="24"/>
        </w:rPr>
      </w:pPr>
      <w:r>
        <w:rPr>
          <w:rFonts w:hint="eastAsia" w:ascii="宋体" w:hAnsi="宋体" w:cs="仿宋"/>
          <w:bCs/>
          <w:color w:val="auto"/>
          <w:sz w:val="24"/>
          <w:szCs w:val="24"/>
        </w:rPr>
        <w:t>1</w:t>
      </w:r>
      <w:r>
        <w:rPr>
          <w:rFonts w:hint="eastAsia" w:ascii="宋体" w:hAnsi="宋体" w:cs="仿宋"/>
          <w:bCs/>
          <w:color w:val="auto"/>
          <w:sz w:val="24"/>
          <w:szCs w:val="24"/>
          <w:lang w:eastAsia="zh-CN"/>
        </w:rPr>
        <w:t>.</w:t>
      </w:r>
      <w:r>
        <w:rPr>
          <w:rFonts w:ascii="宋体" w:hAnsi="宋体" w:cs="仿宋"/>
          <w:bCs/>
          <w:color w:val="auto"/>
          <w:sz w:val="24"/>
          <w:szCs w:val="24"/>
        </w:rPr>
        <w:t>保险责任及责任限额</w:t>
      </w:r>
    </w:p>
    <w:p w14:paraId="503E9E5B">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0" w:firstLineChars="200"/>
        <w:textAlignment w:val="auto"/>
        <w:rPr>
          <w:rFonts w:ascii="宋体" w:hAnsi="宋体" w:cs="仿宋"/>
          <w:b/>
          <w:color w:val="auto"/>
          <w:sz w:val="24"/>
          <w:szCs w:val="24"/>
        </w:rPr>
      </w:pPr>
      <w:r>
        <w:rPr>
          <w:rFonts w:hint="eastAsia" w:ascii="宋体" w:hAnsi="宋体" w:cs="仿宋"/>
          <w:color w:val="auto"/>
          <w:sz w:val="24"/>
          <w:szCs w:val="24"/>
        </w:rPr>
        <w:t>（1）</w:t>
      </w:r>
      <w:r>
        <w:rPr>
          <w:rFonts w:ascii="宋体" w:hAnsi="宋体" w:cs="仿宋"/>
          <w:color w:val="auto"/>
          <w:sz w:val="24"/>
          <w:szCs w:val="24"/>
        </w:rPr>
        <w:t>医疗责任</w:t>
      </w:r>
      <w:r>
        <w:rPr>
          <w:rFonts w:hint="eastAsia" w:ascii="宋体" w:hAnsi="宋体" w:cs="仿宋"/>
          <w:color w:val="auto"/>
          <w:sz w:val="24"/>
          <w:szCs w:val="24"/>
        </w:rPr>
        <w:t>保</w:t>
      </w:r>
      <w:r>
        <w:rPr>
          <w:rFonts w:ascii="宋体" w:hAnsi="宋体" w:cs="仿宋"/>
          <w:color w:val="auto"/>
          <w:sz w:val="24"/>
          <w:szCs w:val="24"/>
        </w:rPr>
        <w:t>险：包括发生</w:t>
      </w:r>
      <w:r>
        <w:rPr>
          <w:rFonts w:hint="eastAsia" w:ascii="宋体" w:hAnsi="宋体" w:cs="仿宋"/>
          <w:color w:val="auto"/>
          <w:sz w:val="24"/>
          <w:szCs w:val="24"/>
        </w:rPr>
        <w:t>在泰州市中医院（</w:t>
      </w:r>
      <w:r>
        <w:rPr>
          <w:rFonts w:ascii="宋体" w:hAnsi="宋体" w:cs="仿宋"/>
          <w:bCs/>
          <w:color w:val="auto"/>
          <w:sz w:val="24"/>
          <w:szCs w:val="24"/>
        </w:rPr>
        <w:t>被保险人</w:t>
      </w:r>
      <w:r>
        <w:rPr>
          <w:rFonts w:hint="eastAsia" w:ascii="宋体" w:hAnsi="宋体" w:cs="仿宋"/>
          <w:bCs/>
          <w:color w:val="auto"/>
          <w:sz w:val="24"/>
          <w:szCs w:val="24"/>
        </w:rPr>
        <w:t>）</w:t>
      </w:r>
      <w:r>
        <w:rPr>
          <w:rFonts w:ascii="宋体" w:hAnsi="宋体" w:cs="仿宋"/>
          <w:color w:val="auto"/>
          <w:sz w:val="24"/>
          <w:szCs w:val="24"/>
        </w:rPr>
        <w:t>医务人员在诊疗护理活动中，因医疗过失、服务不当、告知不全及药品器械等引起的医疗损害</w:t>
      </w:r>
      <w:r>
        <w:rPr>
          <w:rFonts w:hint="eastAsia" w:ascii="宋体" w:hAnsi="宋体" w:cs="仿宋"/>
          <w:color w:val="auto"/>
          <w:sz w:val="24"/>
          <w:szCs w:val="24"/>
        </w:rPr>
        <w:t>责任赔偿。</w:t>
      </w:r>
    </w:p>
    <w:p w14:paraId="47D3CEBB">
      <w:pPr>
        <w:keepNext w:val="0"/>
        <w:keepLines w:val="0"/>
        <w:pageBreakBefore w:val="0"/>
        <w:kinsoku/>
        <w:wordWrap/>
        <w:overflowPunct/>
        <w:topLinePunct w:val="0"/>
        <w:autoSpaceDE/>
        <w:autoSpaceDN/>
        <w:bidi w:val="0"/>
        <w:adjustRightInd/>
        <w:snapToGrid/>
        <w:spacing w:beforeAutospacing="0" w:afterAutospacing="0" w:line="520" w:lineRule="exact"/>
        <w:ind w:firstLine="480" w:firstLineChars="200"/>
        <w:textAlignment w:val="auto"/>
        <w:outlineLvl w:val="0"/>
        <w:rPr>
          <w:rFonts w:ascii="宋体" w:hAnsi="宋体" w:cs="仿宋"/>
          <w:b/>
          <w:color w:val="auto"/>
          <w:sz w:val="24"/>
          <w:szCs w:val="24"/>
        </w:rPr>
      </w:pPr>
      <w:r>
        <w:rPr>
          <w:rFonts w:hint="eastAsia" w:ascii="宋体" w:hAnsi="宋体" w:cs="仿宋"/>
          <w:color w:val="auto"/>
          <w:sz w:val="24"/>
          <w:szCs w:val="24"/>
        </w:rPr>
        <w:t>（2）</w:t>
      </w:r>
      <w:r>
        <w:rPr>
          <w:rFonts w:ascii="宋体" w:hAnsi="宋体" w:cs="仿宋"/>
          <w:color w:val="auto"/>
          <w:sz w:val="24"/>
          <w:szCs w:val="24"/>
        </w:rPr>
        <w:t>附加</w:t>
      </w:r>
      <w:r>
        <w:rPr>
          <w:rFonts w:hint="eastAsia" w:ascii="宋体" w:hAnsi="宋体" w:cs="仿宋"/>
          <w:color w:val="auto"/>
          <w:sz w:val="24"/>
          <w:szCs w:val="24"/>
        </w:rPr>
        <w:t>医疗机构场所责任保险</w:t>
      </w:r>
      <w:r>
        <w:rPr>
          <w:rFonts w:ascii="宋体" w:hAnsi="宋体" w:cs="仿宋"/>
          <w:color w:val="auto"/>
          <w:sz w:val="24"/>
          <w:szCs w:val="24"/>
        </w:rPr>
        <w:t>：在经营过程中，由于未尽安全保障义务造成患者或其陪同人员的人身损害或财产损失，依法应由医疗机构承担的经济赔偿责任。</w:t>
      </w:r>
    </w:p>
    <w:p w14:paraId="07E1977E">
      <w:pPr>
        <w:keepNext w:val="0"/>
        <w:keepLines w:val="0"/>
        <w:pageBreakBefore w:val="0"/>
        <w:kinsoku/>
        <w:wordWrap/>
        <w:overflowPunct/>
        <w:topLinePunct w:val="0"/>
        <w:autoSpaceDE/>
        <w:autoSpaceDN/>
        <w:bidi w:val="0"/>
        <w:adjustRightInd/>
        <w:snapToGrid/>
        <w:spacing w:beforeAutospacing="0" w:afterAutospacing="0" w:line="520" w:lineRule="exact"/>
        <w:ind w:firstLine="480" w:firstLineChars="200"/>
        <w:textAlignment w:val="auto"/>
        <w:outlineLvl w:val="0"/>
        <w:rPr>
          <w:rFonts w:ascii="宋体" w:hAnsi="宋体" w:cs="仿宋"/>
          <w:b/>
          <w:color w:val="auto"/>
          <w:sz w:val="24"/>
          <w:szCs w:val="24"/>
        </w:rPr>
      </w:pPr>
      <w:r>
        <w:rPr>
          <w:rFonts w:hint="eastAsia" w:ascii="宋体" w:hAnsi="宋体" w:cs="仿宋"/>
          <w:color w:val="auto"/>
          <w:sz w:val="24"/>
          <w:szCs w:val="24"/>
        </w:rPr>
        <w:t>（3）</w:t>
      </w:r>
      <w:r>
        <w:rPr>
          <w:rFonts w:ascii="宋体" w:hAnsi="宋体" w:cs="仿宋"/>
          <w:color w:val="auto"/>
          <w:sz w:val="24"/>
          <w:szCs w:val="24"/>
        </w:rPr>
        <w:t>法律费用：被保险人</w:t>
      </w:r>
      <w:r>
        <w:rPr>
          <w:rFonts w:hint="eastAsia" w:ascii="宋体" w:hAnsi="宋体" w:cs="仿宋"/>
          <w:color w:val="auto"/>
          <w:sz w:val="24"/>
          <w:szCs w:val="24"/>
        </w:rPr>
        <w:t>因医疗损害责任或场所责任</w:t>
      </w:r>
      <w:r>
        <w:rPr>
          <w:rFonts w:ascii="宋体" w:hAnsi="宋体" w:cs="仿宋"/>
          <w:color w:val="auto"/>
          <w:sz w:val="24"/>
          <w:szCs w:val="24"/>
        </w:rPr>
        <w:t>被提起诉讼或仲裁，所产生的合理的、必要的诉讼费、鉴定费、取证费、案件受理费、律师费、仲裁费及其他相关费用等。</w:t>
      </w:r>
    </w:p>
    <w:p w14:paraId="5FC2C35D">
      <w:pPr>
        <w:keepNext w:val="0"/>
        <w:keepLines w:val="0"/>
        <w:pageBreakBefore w:val="0"/>
        <w:kinsoku/>
        <w:wordWrap/>
        <w:overflowPunct/>
        <w:topLinePunct w:val="0"/>
        <w:autoSpaceDE/>
        <w:autoSpaceDN/>
        <w:bidi w:val="0"/>
        <w:adjustRightInd/>
        <w:snapToGrid/>
        <w:spacing w:beforeAutospacing="0" w:afterAutospacing="0" w:line="520" w:lineRule="exact"/>
        <w:ind w:firstLine="480" w:firstLineChars="200"/>
        <w:textAlignment w:val="auto"/>
        <w:outlineLvl w:val="0"/>
        <w:rPr>
          <w:rFonts w:ascii="宋体" w:hAnsi="宋体" w:cs="仿宋"/>
          <w:b/>
          <w:color w:val="auto"/>
          <w:sz w:val="24"/>
          <w:szCs w:val="24"/>
        </w:rPr>
      </w:pPr>
      <w:r>
        <w:rPr>
          <w:rFonts w:hint="eastAsia" w:ascii="宋体" w:hAnsi="宋体" w:cs="仿宋"/>
          <w:color w:val="auto"/>
          <w:sz w:val="24"/>
          <w:szCs w:val="24"/>
        </w:rPr>
        <w:t>（4）责任限额表</w:t>
      </w:r>
    </w:p>
    <w:tbl>
      <w:tblPr>
        <w:tblStyle w:val="706"/>
        <w:tblW w:w="5119" w:type="pct"/>
        <w:tblInd w:w="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2"/>
        <w:gridCol w:w="1807"/>
        <w:gridCol w:w="6340"/>
      </w:tblGrid>
      <w:tr w14:paraId="4D714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1523" w:type="pct"/>
            <w:gridSpan w:val="2"/>
            <w:noWrap/>
            <w:vAlign w:val="center"/>
          </w:tcPr>
          <w:p w14:paraId="0173642A">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项目</w:t>
            </w:r>
          </w:p>
        </w:tc>
        <w:tc>
          <w:tcPr>
            <w:tcW w:w="3476" w:type="pct"/>
            <w:noWrap/>
            <w:vAlign w:val="center"/>
          </w:tcPr>
          <w:p w14:paraId="2F2303B7">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color w:val="auto"/>
                <w:sz w:val="24"/>
                <w:szCs w:val="24"/>
              </w:rPr>
            </w:pPr>
            <w:r>
              <w:rPr>
                <w:rFonts w:hint="eastAsia" w:ascii="宋体" w:hAnsi="宋体" w:cs="宋体"/>
                <w:color w:val="auto"/>
                <w:sz w:val="24"/>
                <w:szCs w:val="24"/>
              </w:rPr>
              <w:t>赔偿限额</w:t>
            </w:r>
          </w:p>
        </w:tc>
      </w:tr>
      <w:tr w14:paraId="125D8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1" w:hRule="atLeast"/>
        </w:trPr>
        <w:tc>
          <w:tcPr>
            <w:tcW w:w="1523" w:type="pct"/>
            <w:gridSpan w:val="2"/>
            <w:noWrap/>
            <w:vAlign w:val="center"/>
          </w:tcPr>
          <w:p w14:paraId="26F440C1">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年度累计赔偿限额</w:t>
            </w:r>
          </w:p>
        </w:tc>
        <w:tc>
          <w:tcPr>
            <w:tcW w:w="3476" w:type="pct"/>
            <w:noWrap/>
            <w:vAlign w:val="center"/>
          </w:tcPr>
          <w:p w14:paraId="1805A0AA">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宋体"/>
                <w:b/>
                <w:bCs/>
                <w:color w:val="auto"/>
                <w:sz w:val="24"/>
                <w:szCs w:val="24"/>
                <w:highlight w:val="none"/>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0万元；</w:t>
            </w:r>
          </w:p>
        </w:tc>
      </w:tr>
      <w:tr w14:paraId="6257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04" w:hRule="atLeast"/>
        </w:trPr>
        <w:tc>
          <w:tcPr>
            <w:tcW w:w="532" w:type="pct"/>
            <w:vMerge w:val="restart"/>
            <w:noWrap/>
            <w:vAlign w:val="center"/>
          </w:tcPr>
          <w:p w14:paraId="298DCDE8">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分项赔偿限额</w:t>
            </w:r>
          </w:p>
        </w:tc>
        <w:tc>
          <w:tcPr>
            <w:tcW w:w="990" w:type="pct"/>
            <w:noWrap/>
            <w:vAlign w:val="center"/>
          </w:tcPr>
          <w:p w14:paraId="15C035AC">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医疗责任保险</w:t>
            </w:r>
          </w:p>
        </w:tc>
        <w:tc>
          <w:tcPr>
            <w:tcW w:w="3476" w:type="pct"/>
            <w:noWrap/>
            <w:vAlign w:val="center"/>
          </w:tcPr>
          <w:p w14:paraId="36C62A27">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每次事故责任限额：</w:t>
            </w:r>
          </w:p>
          <w:p w14:paraId="5844056D">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每次赔偿限额60万元，每人赔偿限额</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5万元；</w:t>
            </w:r>
          </w:p>
          <w:p w14:paraId="2C30D883">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宋体"/>
                <w:b/>
                <w:bCs/>
                <w:color w:val="auto"/>
                <w:sz w:val="24"/>
                <w:szCs w:val="24"/>
                <w:highlight w:val="none"/>
              </w:rPr>
            </w:pPr>
            <w:r>
              <w:rPr>
                <w:rFonts w:hint="eastAsia" w:ascii="宋体" w:hAnsi="宋体" w:eastAsia="宋体" w:cs="宋体"/>
                <w:bCs/>
                <w:color w:val="auto"/>
                <w:sz w:val="24"/>
                <w:szCs w:val="24"/>
                <w:highlight w:val="none"/>
              </w:rPr>
              <w:t>2、精神抚慰金每人限额：5万元；</w:t>
            </w:r>
          </w:p>
        </w:tc>
      </w:tr>
      <w:tr w14:paraId="02881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532" w:type="pct"/>
            <w:vMerge w:val="continue"/>
            <w:noWrap/>
            <w:vAlign w:val="center"/>
          </w:tcPr>
          <w:p w14:paraId="7E3E3304">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p>
        </w:tc>
        <w:tc>
          <w:tcPr>
            <w:tcW w:w="990" w:type="pct"/>
            <w:noWrap/>
            <w:vAlign w:val="center"/>
          </w:tcPr>
          <w:p w14:paraId="280B7DF4">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ascii="宋体" w:hAnsi="宋体" w:cs="仿宋"/>
                <w:color w:val="auto"/>
                <w:sz w:val="24"/>
                <w:szCs w:val="24"/>
              </w:rPr>
              <w:t>附加</w:t>
            </w:r>
            <w:r>
              <w:rPr>
                <w:rFonts w:hint="eastAsia" w:ascii="宋体" w:hAnsi="宋体" w:cs="仿宋"/>
                <w:color w:val="auto"/>
                <w:sz w:val="24"/>
                <w:szCs w:val="24"/>
              </w:rPr>
              <w:t>医疗机构场所责任保险</w:t>
            </w:r>
          </w:p>
        </w:tc>
        <w:tc>
          <w:tcPr>
            <w:tcW w:w="3476" w:type="pct"/>
            <w:noWrap/>
            <w:vAlign w:val="center"/>
          </w:tcPr>
          <w:p w14:paraId="4BAFDB16">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宋体"/>
                <w:b/>
                <w:bCs/>
                <w:color w:val="auto"/>
                <w:sz w:val="24"/>
                <w:szCs w:val="24"/>
              </w:rPr>
            </w:pPr>
            <w:r>
              <w:rPr>
                <w:rFonts w:hint="eastAsia" w:ascii="宋体" w:hAnsi="宋体" w:cs="宋体"/>
                <w:bCs/>
                <w:color w:val="auto"/>
                <w:sz w:val="24"/>
                <w:szCs w:val="24"/>
              </w:rPr>
              <w:t>累计限额30万元，每次事故赔偿责任限额20万元；</w:t>
            </w:r>
          </w:p>
        </w:tc>
      </w:tr>
      <w:tr w14:paraId="770E1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532" w:type="pct"/>
            <w:vMerge w:val="continue"/>
            <w:noWrap/>
            <w:vAlign w:val="center"/>
          </w:tcPr>
          <w:p w14:paraId="4D24650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p>
        </w:tc>
        <w:tc>
          <w:tcPr>
            <w:tcW w:w="990" w:type="pct"/>
            <w:noWrap/>
            <w:vAlign w:val="center"/>
          </w:tcPr>
          <w:p w14:paraId="752F460E">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附加医疗意外责任保险</w:t>
            </w:r>
          </w:p>
        </w:tc>
        <w:tc>
          <w:tcPr>
            <w:tcW w:w="3476" w:type="pct"/>
            <w:noWrap/>
            <w:vAlign w:val="center"/>
          </w:tcPr>
          <w:p w14:paraId="41E7ADFC">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宋体"/>
                <w:b/>
                <w:bCs/>
                <w:color w:val="auto"/>
                <w:sz w:val="24"/>
                <w:szCs w:val="24"/>
              </w:rPr>
            </w:pPr>
            <w:r>
              <w:rPr>
                <w:rFonts w:hint="eastAsia" w:ascii="宋体" w:hAnsi="宋体" w:cs="宋体"/>
                <w:bCs/>
                <w:color w:val="auto"/>
                <w:sz w:val="24"/>
                <w:szCs w:val="24"/>
              </w:rPr>
              <w:t>累计责任限额30万元，单次责任限额6万元；</w:t>
            </w:r>
          </w:p>
        </w:tc>
      </w:tr>
      <w:tr w14:paraId="08321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532" w:type="pct"/>
            <w:vMerge w:val="continue"/>
            <w:noWrap/>
            <w:vAlign w:val="center"/>
          </w:tcPr>
          <w:p w14:paraId="2B6D8B87">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p>
        </w:tc>
        <w:tc>
          <w:tcPr>
            <w:tcW w:w="990" w:type="pct"/>
            <w:noWrap/>
            <w:vAlign w:val="center"/>
          </w:tcPr>
          <w:p w14:paraId="533B5F39">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法律费用</w:t>
            </w:r>
          </w:p>
        </w:tc>
        <w:tc>
          <w:tcPr>
            <w:tcW w:w="3476" w:type="pct"/>
            <w:noWrap/>
            <w:vAlign w:val="center"/>
          </w:tcPr>
          <w:p w14:paraId="440F3B9B">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hint="eastAsia" w:ascii="宋体" w:hAnsi="宋体" w:cs="宋体" w:eastAsiaTheme="minorEastAsia"/>
                <w:b/>
                <w:bCs/>
                <w:color w:val="auto"/>
                <w:sz w:val="24"/>
                <w:szCs w:val="24"/>
                <w:lang w:eastAsia="zh-CN"/>
              </w:rPr>
            </w:pPr>
            <w:r>
              <w:rPr>
                <w:rFonts w:hint="eastAsia" w:ascii="宋体" w:hAnsi="宋体" w:cs="仿宋"/>
                <w:color w:val="auto"/>
                <w:sz w:val="24"/>
                <w:szCs w:val="24"/>
              </w:rPr>
              <w:t>每次事故法律费用责任限额5万元；累计10万元</w:t>
            </w:r>
            <w:r>
              <w:rPr>
                <w:rFonts w:hint="eastAsia" w:ascii="宋体" w:hAnsi="宋体" w:cs="仿宋"/>
                <w:color w:val="auto"/>
                <w:sz w:val="24"/>
                <w:szCs w:val="24"/>
                <w:lang w:eastAsia="zh-CN"/>
              </w:rPr>
              <w:t>；</w:t>
            </w:r>
          </w:p>
        </w:tc>
      </w:tr>
      <w:tr w14:paraId="4DEAE1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3" w:hRule="atLeast"/>
        </w:trPr>
        <w:tc>
          <w:tcPr>
            <w:tcW w:w="532" w:type="pct"/>
            <w:vMerge w:val="continue"/>
            <w:noWrap/>
            <w:vAlign w:val="center"/>
          </w:tcPr>
          <w:p w14:paraId="5EA600AC">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p>
        </w:tc>
        <w:tc>
          <w:tcPr>
            <w:tcW w:w="990" w:type="pct"/>
            <w:noWrap/>
            <w:vAlign w:val="center"/>
          </w:tcPr>
          <w:p w14:paraId="5923BC99">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会诊费用</w:t>
            </w:r>
          </w:p>
        </w:tc>
        <w:tc>
          <w:tcPr>
            <w:tcW w:w="3476" w:type="pct"/>
            <w:noWrap/>
            <w:vAlign w:val="center"/>
          </w:tcPr>
          <w:p w14:paraId="355B538B">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仿宋"/>
                <w:b/>
                <w:color w:val="auto"/>
                <w:sz w:val="24"/>
                <w:szCs w:val="24"/>
              </w:rPr>
            </w:pPr>
            <w:r>
              <w:rPr>
                <w:rFonts w:hint="eastAsia" w:ascii="宋体" w:hAnsi="宋体" w:cs="仿宋"/>
                <w:color w:val="auto"/>
                <w:sz w:val="24"/>
                <w:szCs w:val="24"/>
              </w:rPr>
              <w:t>每次事故每位患者特别会诊费用责任限额2万元；</w:t>
            </w:r>
          </w:p>
        </w:tc>
      </w:tr>
      <w:tr w14:paraId="361AD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32" w:type="pct"/>
            <w:vMerge w:val="continue"/>
            <w:noWrap/>
            <w:vAlign w:val="center"/>
          </w:tcPr>
          <w:p w14:paraId="2AA3BA66">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p>
        </w:tc>
        <w:tc>
          <w:tcPr>
            <w:tcW w:w="990" w:type="pct"/>
            <w:noWrap/>
            <w:vAlign w:val="center"/>
          </w:tcPr>
          <w:p w14:paraId="0E49FC0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color w:val="auto"/>
                <w:sz w:val="24"/>
                <w:szCs w:val="24"/>
              </w:rPr>
            </w:pPr>
            <w:r>
              <w:rPr>
                <w:rFonts w:hint="eastAsia" w:ascii="宋体" w:hAnsi="宋体" w:cs="宋体"/>
                <w:bCs/>
                <w:color w:val="auto"/>
                <w:sz w:val="24"/>
                <w:szCs w:val="24"/>
              </w:rPr>
              <w:t>事故免赔额</w:t>
            </w:r>
          </w:p>
        </w:tc>
        <w:tc>
          <w:tcPr>
            <w:tcW w:w="3476" w:type="pct"/>
            <w:noWrap/>
            <w:vAlign w:val="center"/>
          </w:tcPr>
          <w:p w14:paraId="256C9EC9">
            <w:pPr>
              <w:keepNext w:val="0"/>
              <w:keepLines w:val="0"/>
              <w:pageBreakBefore w:val="0"/>
              <w:widowControl/>
              <w:kinsoku/>
              <w:wordWrap/>
              <w:overflowPunct/>
              <w:topLinePunct w:val="0"/>
              <w:autoSpaceDE/>
              <w:autoSpaceDN/>
              <w:bidi w:val="0"/>
              <w:adjustRightInd/>
              <w:snapToGrid/>
              <w:spacing w:beforeAutospacing="0" w:afterAutospacing="0" w:line="520" w:lineRule="exact"/>
              <w:jc w:val="left"/>
              <w:textAlignment w:val="auto"/>
              <w:rPr>
                <w:rFonts w:ascii="宋体" w:hAnsi="宋体" w:cs="宋体"/>
                <w:b/>
                <w:bCs/>
                <w:color w:val="auto"/>
                <w:sz w:val="24"/>
                <w:szCs w:val="24"/>
              </w:rPr>
            </w:pPr>
            <w:r>
              <w:rPr>
                <w:rFonts w:hint="eastAsia" w:ascii="宋体" w:hAnsi="宋体" w:cs="宋体"/>
                <w:bCs/>
                <w:color w:val="auto"/>
                <w:sz w:val="24"/>
                <w:szCs w:val="24"/>
              </w:rPr>
              <w:t>每次事故绝对免赔额2000元；每次事故免赔率10%；二者取高。</w:t>
            </w:r>
          </w:p>
        </w:tc>
      </w:tr>
    </w:tbl>
    <w:p w14:paraId="72FCBDC8">
      <w:pPr>
        <w:keepNext w:val="0"/>
        <w:keepLines w:val="0"/>
        <w:pageBreakBefore w:val="0"/>
        <w:kinsoku/>
        <w:wordWrap/>
        <w:overflowPunct/>
        <w:topLinePunct w:val="0"/>
        <w:autoSpaceDE/>
        <w:autoSpaceDN/>
        <w:bidi w:val="0"/>
        <w:adjustRightInd/>
        <w:snapToGrid/>
        <w:spacing w:beforeAutospacing="0" w:afterAutospacing="0" w:line="520" w:lineRule="exact"/>
        <w:textAlignment w:val="auto"/>
        <w:rPr>
          <w:rFonts w:ascii="宋体" w:hAnsi="宋体" w:cs="宋体"/>
          <w:b/>
          <w:bCs/>
          <w:color w:val="auto"/>
          <w:sz w:val="24"/>
          <w:szCs w:val="24"/>
        </w:rPr>
      </w:pPr>
      <w:r>
        <w:rPr>
          <w:rFonts w:hint="eastAsia" w:ascii="宋体" w:hAnsi="宋体" w:cs="宋体"/>
          <w:bCs/>
          <w:color w:val="auto"/>
          <w:sz w:val="24"/>
          <w:szCs w:val="24"/>
        </w:rPr>
        <w:t>注：</w:t>
      </w:r>
    </w:p>
    <w:p w14:paraId="7077D666">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宋体"/>
          <w:b/>
          <w:bCs/>
          <w:color w:val="auto"/>
          <w:sz w:val="24"/>
          <w:szCs w:val="24"/>
        </w:rPr>
      </w:pPr>
      <w:r>
        <w:rPr>
          <w:rFonts w:hint="eastAsia" w:ascii="宋体" w:hAnsi="宋体" w:cs="宋体"/>
          <w:bCs/>
          <w:color w:val="auto"/>
          <w:sz w:val="24"/>
          <w:szCs w:val="24"/>
        </w:rPr>
        <w:t>（1）累计赔偿限额是指被保险医疗机构在保险年度内获得的最高赔偿金额。若保险年度内被保险医疗机构累计获得的赔款等于累计赔偿限额，则该医疗机构的保险单项下的相应保险责任终止。医疗机构选择的累计赔偿限额不低于每人赔偿限额。</w:t>
      </w:r>
    </w:p>
    <w:p w14:paraId="0880D9C0">
      <w:pPr>
        <w:keepNext w:val="0"/>
        <w:keepLines w:val="0"/>
        <w:pageBreakBefore w:val="0"/>
        <w:kinsoku/>
        <w:wordWrap/>
        <w:overflowPunct/>
        <w:topLinePunct w:val="0"/>
        <w:autoSpaceDE/>
        <w:autoSpaceDN/>
        <w:bidi w:val="0"/>
        <w:adjustRightInd/>
        <w:snapToGrid/>
        <w:spacing w:beforeAutospacing="0" w:afterAutospacing="0" w:line="520" w:lineRule="exact"/>
        <w:ind w:firstLine="360"/>
        <w:textAlignment w:val="auto"/>
        <w:outlineLvl w:val="0"/>
        <w:rPr>
          <w:rFonts w:hint="eastAsia" w:ascii="宋体" w:hAnsi="宋体" w:cs="宋体"/>
          <w:bCs/>
          <w:color w:val="auto"/>
          <w:sz w:val="24"/>
          <w:szCs w:val="24"/>
        </w:rPr>
      </w:pPr>
      <w:r>
        <w:rPr>
          <w:rFonts w:hint="eastAsia" w:ascii="宋体" w:hAnsi="宋体" w:cs="宋体"/>
          <w:bCs/>
          <w:color w:val="auto"/>
          <w:sz w:val="24"/>
          <w:szCs w:val="24"/>
        </w:rPr>
        <w:t>（2）每次每人赔偿限额是指在保险年度内，被保险医疗机构造成每一名患者人身损害，在保险责任范围内获得的最高赔偿金额。</w:t>
      </w:r>
    </w:p>
    <w:p w14:paraId="33A47262">
      <w:pPr>
        <w:keepNext w:val="0"/>
        <w:keepLines w:val="0"/>
        <w:pageBreakBefore w:val="0"/>
        <w:kinsoku/>
        <w:wordWrap/>
        <w:overflowPunct/>
        <w:topLinePunct w:val="0"/>
        <w:autoSpaceDE/>
        <w:autoSpaceDN/>
        <w:bidi w:val="0"/>
        <w:adjustRightInd/>
        <w:snapToGrid/>
        <w:spacing w:beforeAutospacing="0" w:afterAutospacing="0" w:line="520" w:lineRule="exact"/>
        <w:ind w:firstLine="482"/>
        <w:textAlignment w:val="auto"/>
        <w:outlineLvl w:val="0"/>
        <w:rPr>
          <w:rFonts w:ascii="宋体" w:hAnsi="宋体" w:cs="仿宋"/>
          <w:bCs/>
          <w:color w:val="auto"/>
          <w:sz w:val="24"/>
          <w:szCs w:val="24"/>
        </w:rPr>
      </w:pPr>
      <w:r>
        <w:rPr>
          <w:rFonts w:hint="eastAsia" w:ascii="宋体" w:hAnsi="宋体" w:cs="仿宋"/>
          <w:bCs/>
          <w:color w:val="auto"/>
          <w:sz w:val="24"/>
          <w:szCs w:val="24"/>
        </w:rPr>
        <w:t>2.服务要求</w:t>
      </w:r>
    </w:p>
    <w:p w14:paraId="1A64E094">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ascii="宋体" w:hAnsi="宋体" w:cs="仿宋"/>
          <w:b/>
          <w:color w:val="auto"/>
          <w:sz w:val="24"/>
          <w:szCs w:val="24"/>
          <w:highlight w:val="none"/>
        </w:rPr>
      </w:pPr>
      <w:r>
        <w:rPr>
          <w:rFonts w:hint="eastAsia" w:ascii="宋体" w:hAnsi="宋体" w:cs="仿宋"/>
          <w:color w:val="auto"/>
          <w:sz w:val="24"/>
          <w:szCs w:val="24"/>
          <w:highlight w:val="none"/>
        </w:rPr>
        <w:t>（1）由</w:t>
      </w:r>
      <w:r>
        <w:rPr>
          <w:rFonts w:hint="eastAsia" w:ascii="宋体" w:hAnsi="宋体" w:cs="仿宋"/>
          <w:color w:val="auto"/>
          <w:sz w:val="24"/>
          <w:szCs w:val="24"/>
          <w:highlight w:val="none"/>
          <w:lang w:val="en-US" w:eastAsia="zh-CN"/>
        </w:rPr>
        <w:t>供应商</w:t>
      </w:r>
      <w:r>
        <w:rPr>
          <w:rFonts w:hint="eastAsia" w:ascii="宋体" w:hAnsi="宋体" w:cs="仿宋"/>
          <w:color w:val="auto"/>
          <w:sz w:val="24"/>
          <w:szCs w:val="24"/>
          <w:highlight w:val="none"/>
        </w:rPr>
        <w:t>成立针对本项目的专业团队，即理赔服务中心，并配备足够的服务人员，负责本项目的投保、理赔等服务，以确保及时高效地处理索赔申请及其他服务需求，项目服务团队应满足项目服务需要，包括项目负责人、项目服务人员和理赔人员等。</w:t>
      </w:r>
    </w:p>
    <w:p w14:paraId="3EE03CFD">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ascii="宋体" w:hAnsi="宋体" w:cs="仿宋"/>
          <w:b/>
          <w:color w:val="auto"/>
          <w:sz w:val="24"/>
          <w:szCs w:val="24"/>
          <w:highlight w:val="none"/>
        </w:rPr>
      </w:pPr>
      <w:r>
        <w:rPr>
          <w:rFonts w:hint="eastAsia" w:ascii="宋体" w:hAnsi="宋体" w:cs="仿宋"/>
          <w:color w:val="auto"/>
          <w:sz w:val="24"/>
          <w:szCs w:val="24"/>
          <w:highlight w:val="none"/>
        </w:rPr>
        <w:t>（2）由</w:t>
      </w:r>
      <w:r>
        <w:rPr>
          <w:rFonts w:hint="eastAsia" w:ascii="宋体" w:hAnsi="宋体" w:cs="仿宋"/>
          <w:color w:val="auto"/>
          <w:sz w:val="24"/>
          <w:szCs w:val="24"/>
          <w:highlight w:val="none"/>
          <w:lang w:val="en-US" w:eastAsia="zh-CN"/>
        </w:rPr>
        <w:t>供应商</w:t>
      </w:r>
      <w:r>
        <w:rPr>
          <w:rFonts w:hint="eastAsia" w:ascii="宋体" w:hAnsi="宋体" w:cs="仿宋"/>
          <w:color w:val="auto"/>
          <w:sz w:val="24"/>
          <w:szCs w:val="24"/>
          <w:highlight w:val="none"/>
        </w:rPr>
        <w:t>派驻一名有医疗纠纷处置经验的理赔人员驻点服务，</w:t>
      </w:r>
      <w:r>
        <w:rPr>
          <w:rFonts w:hint="eastAsia" w:ascii="宋体" w:hAnsi="宋体" w:cs="仿宋"/>
          <w:color w:val="auto"/>
          <w:sz w:val="24"/>
          <w:szCs w:val="24"/>
          <w:highlight w:val="none"/>
          <w:lang w:val="en-US" w:eastAsia="zh-CN"/>
        </w:rPr>
        <w:t>拟派驻人员应经采购人审核同意后方可派驻，</w:t>
      </w:r>
      <w:r>
        <w:rPr>
          <w:rFonts w:hint="eastAsia" w:ascii="宋体" w:hAnsi="宋体" w:cs="仿宋"/>
          <w:color w:val="auto"/>
          <w:sz w:val="24"/>
          <w:szCs w:val="24"/>
          <w:highlight w:val="none"/>
        </w:rPr>
        <w:t>及时参加医疗纠纷处理，负责受理、调查、评估、协助调解及诉讼、以及理赔等工作。</w:t>
      </w:r>
    </w:p>
    <w:p w14:paraId="6BFB902A">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hint="eastAsia" w:ascii="宋体" w:hAnsi="宋体" w:cs="仿宋"/>
          <w:color w:val="auto"/>
          <w:sz w:val="24"/>
          <w:szCs w:val="24"/>
        </w:rPr>
      </w:pPr>
      <w:r>
        <w:rPr>
          <w:rFonts w:hint="eastAsia" w:ascii="宋体" w:hAnsi="宋体" w:cs="仿宋"/>
          <w:color w:val="auto"/>
          <w:sz w:val="24"/>
          <w:szCs w:val="24"/>
          <w:highlight w:val="none"/>
        </w:rPr>
        <w:t>（3）由</w:t>
      </w:r>
      <w:r>
        <w:rPr>
          <w:rFonts w:hint="eastAsia" w:ascii="宋体" w:hAnsi="宋体" w:cs="仿宋"/>
          <w:color w:val="auto"/>
          <w:sz w:val="24"/>
          <w:szCs w:val="24"/>
          <w:highlight w:val="none"/>
          <w:lang w:val="en-US" w:eastAsia="zh-CN"/>
        </w:rPr>
        <w:t>供应商</w:t>
      </w:r>
      <w:r>
        <w:rPr>
          <w:rFonts w:hint="eastAsia" w:ascii="宋体" w:hAnsi="宋体" w:cs="仿宋"/>
          <w:color w:val="auto"/>
          <w:sz w:val="24"/>
          <w:szCs w:val="24"/>
          <w:highlight w:val="none"/>
        </w:rPr>
        <w:t>派驻</w:t>
      </w:r>
      <w:r>
        <w:rPr>
          <w:rFonts w:hint="eastAsia" w:ascii="宋体" w:hAnsi="宋体" w:cs="仿宋"/>
          <w:color w:val="auto"/>
          <w:sz w:val="24"/>
          <w:szCs w:val="24"/>
          <w:highlight w:val="none"/>
          <w:lang w:eastAsia="zh-CN"/>
        </w:rPr>
        <w:t>的</w:t>
      </w:r>
      <w:r>
        <w:rPr>
          <w:rFonts w:hint="eastAsia" w:ascii="宋体" w:hAnsi="宋体" w:cs="仿宋"/>
          <w:color w:val="auto"/>
          <w:sz w:val="24"/>
          <w:szCs w:val="24"/>
          <w:highlight w:val="none"/>
          <w:lang w:val="en-US" w:eastAsia="zh-CN"/>
        </w:rPr>
        <w:t>人员应</w:t>
      </w:r>
      <w:r>
        <w:rPr>
          <w:rFonts w:hint="eastAsia" w:ascii="宋体" w:hAnsi="宋体" w:cs="仿宋"/>
          <w:color w:val="auto"/>
          <w:sz w:val="24"/>
          <w:szCs w:val="24"/>
          <w:highlight w:val="none"/>
        </w:rPr>
        <w:t>具备基本的法学、医学知识，同时还需掌握一定的沟通、临场应变与协调能力，积极协助采</w:t>
      </w:r>
      <w:r>
        <w:rPr>
          <w:rFonts w:hint="eastAsia" w:ascii="宋体" w:hAnsi="宋体" w:cs="仿宋"/>
          <w:color w:val="auto"/>
          <w:sz w:val="24"/>
          <w:szCs w:val="24"/>
        </w:rPr>
        <w:t>购人术前见证、医患纠纷调解、医疗责任保险培训及医患风险讲座或委托有医疗机构风险防范经验的医疗服务团队进行医疗机构风险防范工作，提供风险管理、防范、控制措施以及风险管理建议、专业的风险评估和管理服务，帮助医院识别和评估潜在风险，并提供相应的控制措施。</w:t>
      </w:r>
    </w:p>
    <w:p w14:paraId="4A141E70">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ascii="宋体" w:hAnsi="宋体" w:cs="仿宋"/>
          <w:color w:val="auto"/>
          <w:sz w:val="24"/>
          <w:szCs w:val="24"/>
        </w:rPr>
      </w:pPr>
      <w:r>
        <w:rPr>
          <w:rFonts w:hint="eastAsia" w:ascii="宋体" w:hAnsi="宋体" w:cs="仿宋"/>
          <w:color w:val="auto"/>
          <w:sz w:val="24"/>
          <w:szCs w:val="24"/>
        </w:rPr>
        <w:t xml:space="preserve"> 3．理赔服务</w:t>
      </w:r>
    </w:p>
    <w:p w14:paraId="560BB459">
      <w:pPr>
        <w:keepNext w:val="0"/>
        <w:keepLines w:val="0"/>
        <w:pageBreakBefore w:val="0"/>
        <w:kinsoku/>
        <w:wordWrap/>
        <w:overflowPunct/>
        <w:topLinePunct w:val="0"/>
        <w:autoSpaceDE/>
        <w:autoSpaceDN/>
        <w:bidi w:val="0"/>
        <w:adjustRightInd/>
        <w:snapToGrid/>
        <w:spacing w:beforeAutospacing="0" w:afterAutospacing="0" w:line="520" w:lineRule="exact"/>
        <w:ind w:firstLine="360"/>
        <w:textAlignment w:val="auto"/>
        <w:outlineLvl w:val="0"/>
        <w:rPr>
          <w:rFonts w:ascii="宋体" w:hAnsi="宋体" w:cs="仿宋"/>
          <w:b/>
          <w:color w:val="auto"/>
          <w:sz w:val="24"/>
          <w:szCs w:val="24"/>
        </w:rPr>
      </w:pPr>
      <w:r>
        <w:rPr>
          <w:rFonts w:hint="eastAsia" w:ascii="宋体" w:hAnsi="宋体" w:cs="仿宋"/>
          <w:color w:val="auto"/>
          <w:sz w:val="24"/>
          <w:szCs w:val="24"/>
        </w:rPr>
        <w:t>（1）需设立24小时保险服务专线电话，电脑录音系统和查勘调度系统保证畅通无误，及时准确。全年365天随时接受被保险人的出险报案，并立即开展服务。</w:t>
      </w:r>
    </w:p>
    <w:p w14:paraId="76865EE9">
      <w:pPr>
        <w:keepNext w:val="0"/>
        <w:keepLines w:val="0"/>
        <w:pageBreakBefore w:val="0"/>
        <w:kinsoku/>
        <w:wordWrap/>
        <w:overflowPunct/>
        <w:topLinePunct w:val="0"/>
        <w:autoSpaceDE/>
        <w:autoSpaceDN/>
        <w:bidi w:val="0"/>
        <w:adjustRightInd/>
        <w:snapToGrid/>
        <w:spacing w:beforeAutospacing="0" w:afterAutospacing="0" w:line="520" w:lineRule="exact"/>
        <w:ind w:firstLine="360"/>
        <w:textAlignment w:val="auto"/>
        <w:outlineLvl w:val="0"/>
        <w:rPr>
          <w:rFonts w:ascii="宋体" w:hAnsi="宋体" w:cs="仿宋"/>
          <w:b/>
          <w:color w:val="auto"/>
          <w:sz w:val="24"/>
          <w:szCs w:val="24"/>
        </w:rPr>
      </w:pPr>
      <w:r>
        <w:rPr>
          <w:rFonts w:hint="eastAsia" w:ascii="宋体" w:hAnsi="宋体" w:cs="仿宋"/>
          <w:color w:val="auto"/>
          <w:sz w:val="24"/>
          <w:szCs w:val="24"/>
        </w:rPr>
        <w:t>（2）应提供详细的索赔处理流程，包括索赔申请的要求和处理时间等。在收取理赔资料时，若认为有关证明或材料不完整，立刻以书面或口头方式通知被保险人需补充提供的有关证明或材料。</w:t>
      </w:r>
    </w:p>
    <w:p w14:paraId="6632FFBE">
      <w:pPr>
        <w:keepNext w:val="0"/>
        <w:keepLines w:val="0"/>
        <w:pageBreakBefore w:val="0"/>
        <w:kinsoku/>
        <w:wordWrap/>
        <w:overflowPunct/>
        <w:topLinePunct w:val="0"/>
        <w:autoSpaceDE/>
        <w:autoSpaceDN/>
        <w:bidi w:val="0"/>
        <w:adjustRightInd/>
        <w:snapToGrid/>
        <w:spacing w:beforeAutospacing="0" w:afterAutospacing="0" w:line="520" w:lineRule="exact"/>
        <w:ind w:firstLine="360"/>
        <w:textAlignment w:val="auto"/>
        <w:outlineLvl w:val="0"/>
        <w:rPr>
          <w:rFonts w:ascii="宋体" w:hAnsi="宋体" w:cs="仿宋"/>
          <w:b/>
          <w:color w:val="auto"/>
          <w:sz w:val="24"/>
          <w:szCs w:val="24"/>
        </w:rPr>
      </w:pPr>
      <w:r>
        <w:rPr>
          <w:rFonts w:hint="eastAsia" w:ascii="宋体" w:hAnsi="宋体" w:cs="仿宋"/>
          <w:color w:val="auto"/>
          <w:sz w:val="24"/>
          <w:szCs w:val="24"/>
        </w:rPr>
        <w:t>（3）小额案件、常发案件、重大案件及纠纷案件理赔快速响应机制及内容。</w:t>
      </w:r>
    </w:p>
    <w:p w14:paraId="6DDBF344">
      <w:pPr>
        <w:keepNext w:val="0"/>
        <w:keepLines w:val="0"/>
        <w:pageBreakBefore w:val="0"/>
        <w:kinsoku/>
        <w:wordWrap/>
        <w:overflowPunct/>
        <w:topLinePunct w:val="0"/>
        <w:autoSpaceDE/>
        <w:autoSpaceDN/>
        <w:bidi w:val="0"/>
        <w:adjustRightInd/>
        <w:snapToGrid/>
        <w:spacing w:beforeAutospacing="0" w:afterAutospacing="0" w:line="520" w:lineRule="exact"/>
        <w:ind w:firstLine="360"/>
        <w:textAlignment w:val="auto"/>
        <w:outlineLvl w:val="0"/>
        <w:rPr>
          <w:rFonts w:hint="eastAsia" w:ascii="宋体" w:hAnsi="宋体" w:cs="仿宋"/>
          <w:color w:val="auto"/>
          <w:sz w:val="24"/>
          <w:szCs w:val="24"/>
        </w:rPr>
      </w:pPr>
      <w:r>
        <w:rPr>
          <w:rFonts w:hint="eastAsia" w:ascii="宋体" w:hAnsi="宋体" w:cs="仿宋"/>
          <w:color w:val="auto"/>
          <w:sz w:val="24"/>
          <w:szCs w:val="24"/>
        </w:rPr>
        <w:t>（4）应提供理赔情况分析反馈方案。</w:t>
      </w:r>
    </w:p>
    <w:p w14:paraId="14527811">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2" w:firstLineChars="200"/>
        <w:textAlignment w:val="auto"/>
        <w:rPr>
          <w:rFonts w:ascii="宋体" w:hAnsi="宋体" w:cs="仿宋"/>
          <w:b/>
          <w:color w:val="auto"/>
          <w:sz w:val="24"/>
          <w:szCs w:val="24"/>
        </w:rPr>
      </w:pPr>
      <w:r>
        <w:rPr>
          <w:rFonts w:hint="eastAsia" w:ascii="宋体" w:hAnsi="宋体" w:cs="仿宋"/>
          <w:b/>
          <w:color w:val="auto"/>
          <w:sz w:val="24"/>
          <w:szCs w:val="24"/>
          <w:lang w:val="en-US" w:eastAsia="zh-CN"/>
        </w:rPr>
        <w:t>（二）</w:t>
      </w:r>
      <w:r>
        <w:rPr>
          <w:rFonts w:hint="eastAsia" w:ascii="宋体" w:hAnsi="宋体" w:cs="仿宋"/>
          <w:b/>
          <w:color w:val="auto"/>
          <w:sz w:val="24"/>
          <w:szCs w:val="24"/>
        </w:rPr>
        <w:t>保险案件赔偿处理办法</w:t>
      </w:r>
    </w:p>
    <w:p w14:paraId="6A0B65EA">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保险案件赔偿处理办法</w:t>
      </w:r>
    </w:p>
    <w:p w14:paraId="53440DDE">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总则</w:t>
      </w:r>
    </w:p>
    <w:p w14:paraId="276B2B89">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color w:val="auto"/>
          <w:sz w:val="24"/>
          <w:szCs w:val="24"/>
        </w:rPr>
      </w:pPr>
      <w:r>
        <w:rPr>
          <w:rFonts w:hint="eastAsia" w:ascii="宋体" w:hAnsi="宋体" w:cs="仿宋"/>
          <w:color w:val="auto"/>
          <w:sz w:val="24"/>
          <w:szCs w:val="24"/>
        </w:rPr>
        <w:t>为保护医疗机构、患者和保险公司的合法权益，根据《泰州市中医院医疗责任保险产品采购协议》（以下简称《采购协议》）的有关规定，特制订本办法。</w:t>
      </w:r>
    </w:p>
    <w:p w14:paraId="61F26DD1">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color w:val="auto"/>
          <w:sz w:val="24"/>
          <w:szCs w:val="24"/>
        </w:rPr>
      </w:pPr>
      <w:r>
        <w:rPr>
          <w:rFonts w:hint="eastAsia" w:ascii="宋体" w:hAnsi="宋体" w:cs="仿宋"/>
          <w:color w:val="auto"/>
          <w:sz w:val="24"/>
          <w:szCs w:val="24"/>
        </w:rPr>
        <w:t>本办法与《采购协议》正文的约定具有同等法律效力，协议各方共同遵守，《采购协议》未尽事宜以本办法为准。</w:t>
      </w:r>
    </w:p>
    <w:p w14:paraId="7EA1D2A4">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理赔处理中心</w:t>
      </w:r>
    </w:p>
    <w:p w14:paraId="26F776FD">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color w:val="auto"/>
          <w:sz w:val="24"/>
          <w:szCs w:val="24"/>
        </w:rPr>
      </w:pPr>
      <w:r>
        <w:rPr>
          <w:rFonts w:hint="eastAsia" w:ascii="宋体" w:hAnsi="宋体" w:cs="仿宋"/>
          <w:color w:val="auto"/>
          <w:sz w:val="24"/>
          <w:szCs w:val="24"/>
        </w:rPr>
        <w:t>承保公司设立理赔服务中心（以下简称理赔中心）负责本产品保险案件的赔偿处理相关事宜。</w:t>
      </w:r>
    </w:p>
    <w:p w14:paraId="1FFA9E6C">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color w:val="auto"/>
          <w:sz w:val="24"/>
          <w:szCs w:val="24"/>
        </w:rPr>
      </w:pPr>
      <w:r>
        <w:rPr>
          <w:rFonts w:hint="eastAsia" w:ascii="宋体" w:hAnsi="宋体" w:cs="仿宋"/>
          <w:color w:val="auto"/>
          <w:sz w:val="24"/>
          <w:szCs w:val="24"/>
        </w:rPr>
        <w:t>理赔服务中心应当遵循公正、公平的原则，依据事实和相关法律、法规、诊疗护理规范、保险合同等，对案件的定性、定责、定损、定赔进行审查，及时完成案件处理。</w:t>
      </w:r>
    </w:p>
    <w:p w14:paraId="281ABB00">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color w:val="auto"/>
          <w:sz w:val="24"/>
          <w:szCs w:val="24"/>
        </w:rPr>
      </w:pPr>
      <w:r>
        <w:rPr>
          <w:rFonts w:hint="eastAsia" w:ascii="宋体" w:hAnsi="宋体" w:cs="仿宋"/>
          <w:color w:val="auto"/>
          <w:sz w:val="24"/>
          <w:szCs w:val="24"/>
        </w:rPr>
        <w:t>承保公司理赔部门指定专职人员全力配合理赔中心的工作。</w:t>
      </w:r>
    </w:p>
    <w:p w14:paraId="183DCF92">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赔偿处理流程</w:t>
      </w:r>
    </w:p>
    <w:p w14:paraId="3F0892D2">
      <w:pPr>
        <w:keepNext w:val="0"/>
        <w:keepLines w:val="0"/>
        <w:pageBreakBefore w:val="0"/>
        <w:numPr>
          <w:ilvl w:val="0"/>
          <w:numId w:val="19"/>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医疗纠纷处理途径</w:t>
      </w:r>
    </w:p>
    <w:p w14:paraId="50E2401D">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根据国家相关法律法规，医疗纠纷可以通过以下途径进行处理：自行和解、第三方调解、司法诉讼、行政调解和仲裁案件。</w:t>
      </w:r>
    </w:p>
    <w:p w14:paraId="5EA23C16">
      <w:pPr>
        <w:keepNext w:val="0"/>
        <w:keepLines w:val="0"/>
        <w:pageBreakBefore w:val="0"/>
        <w:numPr>
          <w:ilvl w:val="0"/>
          <w:numId w:val="19"/>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报案</w:t>
      </w:r>
    </w:p>
    <w:p w14:paraId="3F64647C">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根据《采购协议》，患者或其近亲属或其代理人首次向医疗机构提出赔偿请求的时间（即索赔时间）为保险出险时间，索赔时间的首次发生损害时间应在保单期内，此时间以下列三个时间中发生在前的为准，保险人有权对出险时间进行核实。</w:t>
      </w:r>
    </w:p>
    <w:p w14:paraId="77D5B77F">
      <w:pPr>
        <w:keepNext w:val="0"/>
        <w:keepLines w:val="0"/>
        <w:pageBreakBefore w:val="0"/>
        <w:numPr>
          <w:ilvl w:val="0"/>
          <w:numId w:val="20"/>
        </w:numPr>
        <w:kinsoku/>
        <w:wordWrap/>
        <w:overflowPunct/>
        <w:topLinePunct w:val="0"/>
        <w:autoSpaceDE/>
        <w:autoSpaceDN/>
        <w:bidi w:val="0"/>
        <w:adjustRightInd/>
        <w:snapToGrid/>
        <w:spacing w:beforeAutospacing="0" w:afterAutospacing="0" w:line="520" w:lineRule="exact"/>
        <w:ind w:firstLine="520"/>
        <w:textAlignment w:val="auto"/>
        <w:rPr>
          <w:rFonts w:ascii="宋体" w:hAnsi="宋体" w:cs="仿宋"/>
          <w:b/>
          <w:bCs/>
          <w:color w:val="auto"/>
          <w:sz w:val="24"/>
          <w:szCs w:val="24"/>
        </w:rPr>
      </w:pPr>
      <w:r>
        <w:rPr>
          <w:rFonts w:hint="eastAsia" w:ascii="宋体" w:hAnsi="宋体" w:cs="仿宋"/>
          <w:bCs/>
          <w:color w:val="auto"/>
          <w:sz w:val="24"/>
          <w:szCs w:val="24"/>
        </w:rPr>
        <w:t>医疗机构出具的投诉登记材料中所载的患方在首次向医疗机构沟通或投诉过程中明确提出索赔要求的时间；</w:t>
      </w:r>
    </w:p>
    <w:p w14:paraId="47C84058">
      <w:pPr>
        <w:keepNext w:val="0"/>
        <w:keepLines w:val="0"/>
        <w:pageBreakBefore w:val="0"/>
        <w:numPr>
          <w:ilvl w:val="0"/>
          <w:numId w:val="20"/>
        </w:numPr>
        <w:kinsoku/>
        <w:wordWrap/>
        <w:overflowPunct/>
        <w:topLinePunct w:val="0"/>
        <w:autoSpaceDE/>
        <w:autoSpaceDN/>
        <w:bidi w:val="0"/>
        <w:adjustRightInd/>
        <w:snapToGrid/>
        <w:spacing w:beforeAutospacing="0" w:afterAutospacing="0" w:line="520" w:lineRule="exact"/>
        <w:ind w:firstLine="520"/>
        <w:textAlignment w:val="auto"/>
        <w:rPr>
          <w:rFonts w:ascii="宋体" w:hAnsi="宋体" w:cs="仿宋"/>
          <w:b/>
          <w:bCs/>
          <w:color w:val="auto"/>
          <w:sz w:val="24"/>
          <w:szCs w:val="24"/>
        </w:rPr>
      </w:pPr>
      <w:r>
        <w:rPr>
          <w:rFonts w:hint="eastAsia" w:ascii="宋体" w:hAnsi="宋体" w:cs="仿宋"/>
          <w:bCs/>
          <w:color w:val="auto"/>
          <w:sz w:val="24"/>
          <w:szCs w:val="24"/>
        </w:rPr>
        <w:t>或患方提出或同意通过医疗纠纷调解解决纠纷的时间；</w:t>
      </w:r>
    </w:p>
    <w:p w14:paraId="03EFDD08">
      <w:pPr>
        <w:keepNext w:val="0"/>
        <w:keepLines w:val="0"/>
        <w:pageBreakBefore w:val="0"/>
        <w:numPr>
          <w:ilvl w:val="0"/>
          <w:numId w:val="20"/>
        </w:numPr>
        <w:kinsoku/>
        <w:wordWrap/>
        <w:overflowPunct/>
        <w:topLinePunct w:val="0"/>
        <w:autoSpaceDE/>
        <w:autoSpaceDN/>
        <w:bidi w:val="0"/>
        <w:adjustRightInd/>
        <w:snapToGrid/>
        <w:spacing w:beforeAutospacing="0" w:afterAutospacing="0" w:line="520" w:lineRule="exact"/>
        <w:ind w:firstLine="520"/>
        <w:textAlignment w:val="auto"/>
        <w:rPr>
          <w:rFonts w:ascii="宋体" w:hAnsi="宋体" w:cs="仿宋"/>
          <w:b/>
          <w:bCs/>
          <w:color w:val="auto"/>
          <w:sz w:val="24"/>
          <w:szCs w:val="24"/>
        </w:rPr>
      </w:pPr>
      <w:r>
        <w:rPr>
          <w:rFonts w:hint="eastAsia" w:ascii="宋体" w:hAnsi="宋体" w:cs="仿宋"/>
          <w:bCs/>
          <w:color w:val="auto"/>
          <w:sz w:val="24"/>
          <w:szCs w:val="24"/>
        </w:rPr>
        <w:t>或患方向医疗机构提起诉讼的时间；</w:t>
      </w:r>
    </w:p>
    <w:p w14:paraId="30C28AC8">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strike w:val="0"/>
          <w:dstrike w:val="0"/>
          <w:color w:val="auto"/>
          <w:sz w:val="24"/>
          <w:szCs w:val="24"/>
          <w:highlight w:val="none"/>
          <w:u w:val="none"/>
        </w:rPr>
        <w:t>承保公司</w:t>
      </w:r>
      <w:r>
        <w:rPr>
          <w:rFonts w:hint="eastAsia" w:ascii="宋体" w:hAnsi="宋体" w:cs="仿宋"/>
          <w:bCs/>
          <w:color w:val="auto"/>
          <w:sz w:val="24"/>
          <w:szCs w:val="24"/>
        </w:rPr>
        <w:t>设立</w:t>
      </w:r>
      <w:r>
        <w:rPr>
          <w:rFonts w:ascii="宋体" w:hAnsi="宋体" w:cs="仿宋"/>
          <w:bCs/>
          <w:color w:val="auto"/>
          <w:sz w:val="24"/>
          <w:szCs w:val="24"/>
        </w:rPr>
        <w:t>7*24小时全年不间断受理</w:t>
      </w:r>
      <w:r>
        <w:rPr>
          <w:rFonts w:hint="eastAsia" w:ascii="宋体" w:hAnsi="宋体" w:cs="仿宋"/>
          <w:bCs/>
          <w:color w:val="auto"/>
          <w:sz w:val="24"/>
          <w:szCs w:val="24"/>
        </w:rPr>
        <w:t>报案。</w:t>
      </w:r>
    </w:p>
    <w:p w14:paraId="024F6E61">
      <w:pPr>
        <w:keepNext w:val="0"/>
        <w:keepLines w:val="0"/>
        <w:pageBreakBefore w:val="0"/>
        <w:numPr>
          <w:ilvl w:val="0"/>
          <w:numId w:val="19"/>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案件处理</w:t>
      </w:r>
    </w:p>
    <w:p w14:paraId="4EA345AB">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案件处理均应完成定性、定责、定损、定赔。</w:t>
      </w:r>
    </w:p>
    <w:p w14:paraId="69E1FA8F">
      <w:pPr>
        <w:keepNext w:val="0"/>
        <w:keepLines w:val="0"/>
        <w:pageBreakBefore w:val="0"/>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（一）定性，指对医疗机构的诊疗护理活动是否存在过错，以及该过错与患者的损害后果之间是否存在关联性进行判定；</w:t>
      </w:r>
    </w:p>
    <w:p w14:paraId="0565EA14">
      <w:pPr>
        <w:keepNext w:val="0"/>
        <w:keepLines w:val="0"/>
        <w:pageBreakBefore w:val="0"/>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（二）定责，指经定性判定为医疗机构的过错与患者损害后果之间存在因果关系的案件，对医疗机构为患者所受损害所应承担的责任程度进行判定；</w:t>
      </w:r>
    </w:p>
    <w:p w14:paraId="757FD4CF">
      <w:pPr>
        <w:keepNext w:val="0"/>
        <w:keepLines w:val="0"/>
        <w:pageBreakBefore w:val="0"/>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（三）定损，指对因诊疗活动中的过错给患者所造成的经济损失产品进行确定；</w:t>
      </w:r>
    </w:p>
    <w:p w14:paraId="0F315BB3">
      <w:pPr>
        <w:keepNext w:val="0"/>
        <w:keepLines w:val="0"/>
        <w:pageBreakBefore w:val="0"/>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（四）定赔，指依据相关法律规定，对患者经济损失产品赔偿金额进行计算。</w:t>
      </w:r>
    </w:p>
    <w:p w14:paraId="793A7C8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第四节 自行和解简易程序</w:t>
      </w:r>
    </w:p>
    <w:p w14:paraId="114AB861">
      <w:pPr>
        <w:keepNext w:val="0"/>
        <w:keepLines w:val="0"/>
        <w:pageBreakBefore w:val="0"/>
        <w:numPr>
          <w:ilvl w:val="255"/>
          <w:numId w:val="0"/>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
          <w:bCs w:val="0"/>
          <w:color w:val="auto"/>
          <w:sz w:val="24"/>
          <w:szCs w:val="24"/>
        </w:rPr>
        <w:t>第十条</w:t>
      </w:r>
      <w:r>
        <w:rPr>
          <w:rFonts w:hint="eastAsia" w:ascii="宋体" w:hAnsi="宋体" w:cs="仿宋"/>
          <w:b/>
          <w:bCs w:val="0"/>
          <w:color w:val="auto"/>
          <w:sz w:val="24"/>
          <w:szCs w:val="24"/>
          <w:lang w:val="en-US" w:eastAsia="zh-CN"/>
        </w:rPr>
        <w:t xml:space="preserve"> </w:t>
      </w:r>
      <w:r>
        <w:rPr>
          <w:rFonts w:hint="eastAsia" w:ascii="宋体" w:hAnsi="宋体" w:cs="仿宋"/>
          <w:bCs/>
          <w:color w:val="auto"/>
          <w:sz w:val="24"/>
          <w:szCs w:val="24"/>
        </w:rPr>
        <w:t>根据《采购协议》，未超过规定权限的，医疗机构在规定金额2万元以内采用自行和解简易程序处理的，应当及时通知理赔服务中心，理赔服务中心根据医疗机构要求提供赔偿处理意见，并负责协助参保医疗机构向患方收集案件相关材料。</w:t>
      </w:r>
    </w:p>
    <w:p w14:paraId="488FF474">
      <w:pPr>
        <w:keepNext w:val="0"/>
        <w:keepLines w:val="0"/>
        <w:pageBreakBefore w:val="0"/>
        <w:numPr>
          <w:ilvl w:val="255"/>
          <w:numId w:val="0"/>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
          <w:bCs w:val="0"/>
          <w:color w:val="auto"/>
          <w:sz w:val="24"/>
          <w:szCs w:val="24"/>
        </w:rPr>
        <w:t>第十八条</w:t>
      </w:r>
      <w:r>
        <w:rPr>
          <w:rFonts w:hint="eastAsia" w:ascii="宋体" w:hAnsi="宋体" w:cs="仿宋"/>
          <w:b/>
          <w:bCs w:val="0"/>
          <w:color w:val="auto"/>
          <w:sz w:val="24"/>
          <w:szCs w:val="24"/>
          <w:lang w:val="en-US" w:eastAsia="zh-CN"/>
        </w:rPr>
        <w:t xml:space="preserve"> </w:t>
      </w:r>
      <w:r>
        <w:rPr>
          <w:rFonts w:hint="eastAsia" w:ascii="宋体" w:hAnsi="宋体" w:cs="仿宋"/>
          <w:bCs/>
          <w:color w:val="auto"/>
          <w:sz w:val="24"/>
          <w:szCs w:val="24"/>
        </w:rPr>
        <w:t>医患双方达成和解，签订医患自行和解协议书或通过医疗机构所在地医疗纠纷调解组织签订调解协议书。</w:t>
      </w:r>
    </w:p>
    <w:p w14:paraId="699E93C2">
      <w:pPr>
        <w:keepNext w:val="0"/>
        <w:keepLines w:val="0"/>
        <w:pageBreakBefore w:val="0"/>
        <w:numPr>
          <w:ilvl w:val="255"/>
          <w:numId w:val="0"/>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
          <w:bCs w:val="0"/>
          <w:color w:val="auto"/>
          <w:sz w:val="24"/>
          <w:szCs w:val="24"/>
        </w:rPr>
        <w:t>第十九条</w:t>
      </w:r>
      <w:r>
        <w:rPr>
          <w:rFonts w:hint="eastAsia" w:ascii="宋体" w:hAnsi="宋体" w:cs="仿宋"/>
          <w:bCs/>
          <w:color w:val="auto"/>
          <w:sz w:val="24"/>
          <w:szCs w:val="24"/>
        </w:rPr>
        <w:t xml:space="preserve"> 理赔中心应当在和解协议生效之日起</w:t>
      </w:r>
      <w:r>
        <w:rPr>
          <w:rFonts w:ascii="宋体" w:hAnsi="宋体" w:cs="仿宋"/>
          <w:bCs/>
          <w:color w:val="auto"/>
          <w:sz w:val="24"/>
          <w:szCs w:val="24"/>
        </w:rPr>
        <w:t>1个工作日内完成案件的登记、核实、归档，并将索赔材料</w:t>
      </w:r>
      <w:r>
        <w:rPr>
          <w:rFonts w:ascii="宋体" w:hAnsi="宋体" w:cs="仿宋"/>
          <w:bCs/>
          <w:color w:val="auto"/>
          <w:sz w:val="24"/>
          <w:szCs w:val="24"/>
          <w:highlight w:val="none"/>
        </w:rPr>
        <w:t>提交</w:t>
      </w:r>
      <w:r>
        <w:rPr>
          <w:rFonts w:hint="eastAsia" w:ascii="宋体" w:hAnsi="宋体" w:cs="仿宋"/>
          <w:strike w:val="0"/>
          <w:dstrike w:val="0"/>
          <w:color w:val="auto"/>
          <w:sz w:val="24"/>
          <w:szCs w:val="24"/>
          <w:highlight w:val="none"/>
          <w:u w:val="none"/>
        </w:rPr>
        <w:t>承保公司</w:t>
      </w:r>
      <w:r>
        <w:rPr>
          <w:rFonts w:ascii="宋体" w:hAnsi="宋体" w:cs="仿宋"/>
          <w:bCs/>
          <w:strike w:val="0"/>
          <w:color w:val="auto"/>
          <w:sz w:val="24"/>
          <w:szCs w:val="24"/>
          <w:highlight w:val="none"/>
          <w:u w:val="none"/>
        </w:rPr>
        <w:t>，</w:t>
      </w:r>
      <w:r>
        <w:rPr>
          <w:rFonts w:hint="eastAsia" w:ascii="宋体" w:hAnsi="宋体" w:cs="仿宋"/>
          <w:strike w:val="0"/>
          <w:dstrike w:val="0"/>
          <w:color w:val="auto"/>
          <w:sz w:val="24"/>
          <w:szCs w:val="24"/>
          <w:highlight w:val="none"/>
          <w:u w:val="none"/>
        </w:rPr>
        <w:t>承保公司</w:t>
      </w:r>
      <w:r>
        <w:rPr>
          <w:rFonts w:ascii="宋体" w:hAnsi="宋体" w:cs="仿宋"/>
          <w:bCs/>
          <w:color w:val="auto"/>
          <w:sz w:val="24"/>
          <w:szCs w:val="24"/>
          <w:highlight w:val="none"/>
        </w:rPr>
        <w:t>在《采购</w:t>
      </w:r>
      <w:r>
        <w:rPr>
          <w:rFonts w:hint="eastAsia" w:ascii="宋体" w:hAnsi="宋体" w:cs="仿宋"/>
          <w:bCs/>
          <w:color w:val="auto"/>
          <w:sz w:val="24"/>
          <w:szCs w:val="24"/>
          <w:highlight w:val="none"/>
        </w:rPr>
        <w:t>协议</w:t>
      </w:r>
      <w:r>
        <w:rPr>
          <w:rFonts w:ascii="宋体" w:hAnsi="宋体" w:cs="仿宋"/>
          <w:bCs/>
          <w:color w:val="auto"/>
          <w:sz w:val="24"/>
          <w:szCs w:val="24"/>
          <w:highlight w:val="none"/>
        </w:rPr>
        <w:t>》约定的时效内向医疗机构或者患者支付赔款。</w:t>
      </w:r>
    </w:p>
    <w:p w14:paraId="0E69F3F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第五节 第三方调解</w:t>
      </w:r>
    </w:p>
    <w:p w14:paraId="7DA49BF8">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理赔服务中心应跟踪、记录参保医疗机构医疗纠纷第三方调解案件受理情况，与泰州市区医疗纠纷调解委员会就医疗纠纷处理情况保持有效沟通。</w:t>
      </w:r>
    </w:p>
    <w:p w14:paraId="00CD387C">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理赔服务中心对于医疗纠纷调解组织不受理或终结调解的案件，应当在</w:t>
      </w:r>
      <w:r>
        <w:rPr>
          <w:rFonts w:ascii="宋体" w:hAnsi="宋体" w:cs="仿宋"/>
          <w:bCs/>
          <w:color w:val="auto"/>
          <w:sz w:val="24"/>
          <w:szCs w:val="24"/>
        </w:rPr>
        <w:t>1个工作日内与医疗机构取得联系，告知医疗机构后续处理相关注意事项，并全程跟进。</w:t>
      </w:r>
    </w:p>
    <w:p w14:paraId="2B9CF1BA">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属于保险责任的医疗纠纷案件，医疗纠纷调解组织应视案件的实际情况和复杂程度，由理赔服务中心对医疗纠纷案件进行专业咨询。无论采取何种方式进行咨询，均需出具《医疗责任保险案件专家咨询意见》。</w:t>
      </w:r>
    </w:p>
    <w:p w14:paraId="7346657A">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 xml:space="preserve"> 泰州市区医患纠纷人民调解委员会参考《医疗责任保险案件专家咨询意见》对患者与医疗机构进行调解，并促成医患双方达成《调解协议书》。保险公司需认可泰州市区医患纠纷人民调解委员会出具的《调解协议书》结果并按照相关约定进行理赔。</w:t>
      </w:r>
    </w:p>
    <w:p w14:paraId="0D577D08">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理赔服务中心应当在医患双方签订调解协议后3</w:t>
      </w:r>
      <w:r>
        <w:rPr>
          <w:rFonts w:ascii="宋体" w:hAnsi="宋体" w:cs="仿宋"/>
          <w:bCs/>
          <w:color w:val="auto"/>
          <w:sz w:val="24"/>
          <w:szCs w:val="24"/>
        </w:rPr>
        <w:t>个工作日内将索赔材料提交</w:t>
      </w:r>
      <w:r>
        <w:rPr>
          <w:rFonts w:hint="eastAsia" w:ascii="宋体" w:hAnsi="宋体" w:cs="仿宋"/>
          <w:color w:val="auto"/>
          <w:sz w:val="24"/>
          <w:szCs w:val="24"/>
        </w:rPr>
        <w:t>承保公司</w:t>
      </w:r>
      <w:r>
        <w:rPr>
          <w:rFonts w:ascii="宋体" w:hAnsi="宋体" w:cs="仿宋"/>
          <w:bCs/>
          <w:color w:val="auto"/>
          <w:sz w:val="24"/>
          <w:szCs w:val="24"/>
        </w:rPr>
        <w:t>，</w:t>
      </w:r>
      <w:r>
        <w:rPr>
          <w:rFonts w:hint="eastAsia" w:ascii="宋体" w:hAnsi="宋体" w:cs="仿宋"/>
          <w:color w:val="auto"/>
          <w:sz w:val="24"/>
          <w:szCs w:val="24"/>
        </w:rPr>
        <w:t>承保公司</w:t>
      </w:r>
      <w:r>
        <w:rPr>
          <w:rFonts w:ascii="宋体" w:hAnsi="宋体" w:cs="仿宋"/>
          <w:bCs/>
          <w:color w:val="auto"/>
          <w:sz w:val="24"/>
          <w:szCs w:val="24"/>
        </w:rPr>
        <w:t>在《采购</w:t>
      </w:r>
      <w:r>
        <w:rPr>
          <w:rFonts w:hint="eastAsia" w:ascii="宋体" w:hAnsi="宋体" w:cs="仿宋"/>
          <w:bCs/>
          <w:color w:val="auto"/>
          <w:sz w:val="24"/>
          <w:szCs w:val="24"/>
        </w:rPr>
        <w:t>协议</w:t>
      </w:r>
      <w:r>
        <w:rPr>
          <w:rFonts w:ascii="宋体" w:hAnsi="宋体" w:cs="仿宋"/>
          <w:bCs/>
          <w:color w:val="auto"/>
          <w:sz w:val="24"/>
          <w:szCs w:val="24"/>
        </w:rPr>
        <w:t>》约定的时效内向医疗机构或者患者支付赔款。</w:t>
      </w:r>
    </w:p>
    <w:p w14:paraId="77F90232">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第六节 司法诉讼及行政调解</w:t>
      </w:r>
    </w:p>
    <w:p w14:paraId="782F0FD4">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医疗机构在收到法院诉讼传票后3</w:t>
      </w:r>
      <w:r>
        <w:rPr>
          <w:rFonts w:ascii="宋体" w:hAnsi="宋体" w:cs="仿宋"/>
          <w:bCs/>
          <w:color w:val="auto"/>
          <w:sz w:val="24"/>
          <w:szCs w:val="24"/>
        </w:rPr>
        <w:t>个工作日内，应将法院传票及原告诉状扫描件发至</w:t>
      </w:r>
      <w:r>
        <w:rPr>
          <w:rFonts w:hint="eastAsia" w:ascii="宋体" w:hAnsi="宋体" w:cs="仿宋"/>
          <w:bCs/>
          <w:color w:val="auto"/>
          <w:sz w:val="24"/>
          <w:szCs w:val="24"/>
        </w:rPr>
        <w:t>理赔服务</w:t>
      </w:r>
      <w:r>
        <w:rPr>
          <w:rFonts w:ascii="宋体" w:hAnsi="宋体" w:cs="仿宋"/>
          <w:bCs/>
          <w:color w:val="auto"/>
          <w:sz w:val="24"/>
          <w:szCs w:val="24"/>
        </w:rPr>
        <w:t>中心。</w:t>
      </w:r>
    </w:p>
    <w:p w14:paraId="377B9973">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highlight w:val="none"/>
        </w:rPr>
      </w:pPr>
      <w:r>
        <w:rPr>
          <w:rFonts w:hint="eastAsia" w:ascii="宋体" w:hAnsi="宋体" w:cs="仿宋"/>
          <w:bCs/>
          <w:color w:val="auto"/>
          <w:sz w:val="24"/>
          <w:szCs w:val="24"/>
        </w:rPr>
        <w:t>当法</w:t>
      </w:r>
      <w:r>
        <w:rPr>
          <w:rFonts w:hint="eastAsia" w:ascii="宋体" w:hAnsi="宋体" w:cs="仿宋"/>
          <w:bCs/>
          <w:color w:val="auto"/>
          <w:sz w:val="24"/>
          <w:szCs w:val="24"/>
          <w:highlight w:val="none"/>
        </w:rPr>
        <w:t>院决定案件需要进行司法鉴定时，理赔服务中心在接到医疗机构或代理律师通知后需协助医疗机构和代理律师及时通知</w:t>
      </w:r>
      <w:r>
        <w:rPr>
          <w:rFonts w:hint="eastAsia" w:ascii="宋体" w:hAnsi="宋体" w:cs="仿宋"/>
          <w:strike w:val="0"/>
          <w:dstrike w:val="0"/>
          <w:color w:val="auto"/>
          <w:sz w:val="24"/>
          <w:szCs w:val="24"/>
          <w:highlight w:val="none"/>
          <w:u w:val="none"/>
        </w:rPr>
        <w:t>承保公司</w:t>
      </w:r>
      <w:r>
        <w:rPr>
          <w:rFonts w:hint="eastAsia" w:ascii="宋体" w:hAnsi="宋体" w:cs="仿宋"/>
          <w:bCs/>
          <w:color w:val="auto"/>
          <w:sz w:val="24"/>
          <w:szCs w:val="24"/>
          <w:highlight w:val="none"/>
        </w:rPr>
        <w:t>，各方应重视并共同做好司法鉴定前的准备工作。</w:t>
      </w:r>
    </w:p>
    <w:p w14:paraId="2B2C4FD1">
      <w:pPr>
        <w:keepNext w:val="0"/>
        <w:keepLines w:val="0"/>
        <w:pageBreakBefore w:val="0"/>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highlight w:val="none"/>
        </w:rPr>
      </w:pPr>
      <w:r>
        <w:rPr>
          <w:rFonts w:hint="eastAsia" w:ascii="宋体" w:hAnsi="宋体" w:cs="仿宋"/>
          <w:bCs/>
          <w:color w:val="auto"/>
          <w:sz w:val="24"/>
          <w:szCs w:val="24"/>
          <w:highlight w:val="none"/>
        </w:rPr>
        <w:t>鉴定机构出具鉴定意见后，理赔中心应当及时组织或分别与医疗机构、</w:t>
      </w:r>
      <w:r>
        <w:rPr>
          <w:rFonts w:hint="eastAsia" w:ascii="宋体" w:hAnsi="宋体" w:cs="仿宋"/>
          <w:strike w:val="0"/>
          <w:dstrike w:val="0"/>
          <w:color w:val="auto"/>
          <w:sz w:val="24"/>
          <w:szCs w:val="24"/>
          <w:highlight w:val="none"/>
          <w:u w:val="none"/>
        </w:rPr>
        <w:t>承保公司</w:t>
      </w:r>
      <w:r>
        <w:rPr>
          <w:rFonts w:hint="eastAsia" w:ascii="宋体" w:hAnsi="宋体" w:cs="仿宋"/>
          <w:bCs/>
          <w:color w:val="auto"/>
          <w:sz w:val="24"/>
          <w:szCs w:val="24"/>
          <w:highlight w:val="none"/>
        </w:rPr>
        <w:t>进行讨论，医疗机构、</w:t>
      </w:r>
      <w:r>
        <w:rPr>
          <w:rFonts w:hint="eastAsia" w:ascii="宋体" w:hAnsi="宋体" w:cs="仿宋"/>
          <w:strike w:val="0"/>
          <w:dstrike w:val="0"/>
          <w:color w:val="auto"/>
          <w:sz w:val="24"/>
          <w:szCs w:val="24"/>
          <w:highlight w:val="none"/>
          <w:u w:val="none"/>
        </w:rPr>
        <w:t>承保公司</w:t>
      </w:r>
      <w:r>
        <w:rPr>
          <w:rFonts w:hint="eastAsia" w:ascii="宋体" w:hAnsi="宋体" w:cs="仿宋"/>
          <w:bCs/>
          <w:color w:val="auto"/>
          <w:sz w:val="24"/>
          <w:szCs w:val="24"/>
          <w:highlight w:val="none"/>
        </w:rPr>
        <w:t>对鉴定意见有异议的，有必要的应当在法庭审理时申请鉴定人出庭质证。</w:t>
      </w:r>
    </w:p>
    <w:p w14:paraId="142B9957">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highlight w:val="none"/>
        </w:rPr>
      </w:pPr>
      <w:r>
        <w:rPr>
          <w:rFonts w:hint="eastAsia" w:ascii="宋体" w:hAnsi="宋体" w:cs="仿宋"/>
          <w:bCs/>
          <w:color w:val="auto"/>
          <w:sz w:val="24"/>
          <w:szCs w:val="24"/>
          <w:highlight w:val="none"/>
        </w:rPr>
        <w:t>医疗机构及其代理律师收到人民法院一审判决书，应在</w:t>
      </w:r>
      <w:r>
        <w:rPr>
          <w:rFonts w:hint="eastAsia" w:ascii="宋体" w:hAnsi="宋体" w:cs="仿宋"/>
          <w:bCs/>
          <w:color w:val="auto"/>
          <w:sz w:val="24"/>
          <w:szCs w:val="24"/>
          <w:highlight w:val="none"/>
          <w:lang w:val="en-US" w:eastAsia="zh-CN"/>
        </w:rPr>
        <w:t>3</w:t>
      </w:r>
      <w:r>
        <w:rPr>
          <w:rFonts w:ascii="宋体" w:hAnsi="宋体" w:cs="仿宋"/>
          <w:bCs/>
          <w:color w:val="auto"/>
          <w:sz w:val="24"/>
          <w:szCs w:val="24"/>
          <w:highlight w:val="none"/>
        </w:rPr>
        <w:t>个工作日内转交</w:t>
      </w:r>
      <w:r>
        <w:rPr>
          <w:rFonts w:hint="eastAsia" w:ascii="宋体" w:hAnsi="宋体" w:cs="仿宋"/>
          <w:bCs/>
          <w:color w:val="auto"/>
          <w:sz w:val="24"/>
          <w:szCs w:val="24"/>
          <w:highlight w:val="none"/>
        </w:rPr>
        <w:t>理赔</w:t>
      </w:r>
      <w:r>
        <w:rPr>
          <w:rFonts w:ascii="宋体" w:hAnsi="宋体" w:cs="仿宋"/>
          <w:bCs/>
          <w:color w:val="auto"/>
          <w:sz w:val="24"/>
          <w:szCs w:val="24"/>
          <w:highlight w:val="none"/>
        </w:rPr>
        <w:t>中心及</w:t>
      </w:r>
      <w:r>
        <w:rPr>
          <w:rFonts w:hint="eastAsia" w:ascii="宋体" w:hAnsi="宋体" w:cs="仿宋"/>
          <w:strike w:val="0"/>
          <w:dstrike w:val="0"/>
          <w:color w:val="auto"/>
          <w:sz w:val="24"/>
          <w:szCs w:val="24"/>
          <w:highlight w:val="none"/>
          <w:u w:val="none"/>
        </w:rPr>
        <w:t>承保公司</w:t>
      </w:r>
      <w:r>
        <w:rPr>
          <w:rFonts w:ascii="宋体" w:hAnsi="宋体" w:cs="仿宋"/>
          <w:bCs/>
          <w:color w:val="auto"/>
          <w:sz w:val="24"/>
          <w:szCs w:val="24"/>
          <w:highlight w:val="none"/>
        </w:rPr>
        <w:t>。医疗机构及</w:t>
      </w:r>
      <w:r>
        <w:rPr>
          <w:rFonts w:hint="eastAsia" w:ascii="宋体" w:hAnsi="宋体" w:cs="仿宋"/>
          <w:color w:val="auto"/>
          <w:sz w:val="24"/>
          <w:szCs w:val="24"/>
          <w:highlight w:val="none"/>
        </w:rPr>
        <w:t>承保公司</w:t>
      </w:r>
      <w:r>
        <w:rPr>
          <w:rFonts w:ascii="宋体" w:hAnsi="宋体" w:cs="仿宋"/>
          <w:bCs/>
          <w:color w:val="auto"/>
          <w:sz w:val="24"/>
          <w:szCs w:val="24"/>
          <w:highlight w:val="none"/>
        </w:rPr>
        <w:t>在收到判决书之日起3个工作日内沟通协商</w:t>
      </w:r>
      <w:r>
        <w:rPr>
          <w:rFonts w:hint="eastAsia" w:ascii="宋体" w:hAnsi="宋体" w:cs="仿宋"/>
          <w:bCs/>
          <w:color w:val="auto"/>
          <w:sz w:val="24"/>
          <w:szCs w:val="24"/>
          <w:highlight w:val="none"/>
          <w:lang w:val="en-US" w:eastAsia="zh-CN"/>
        </w:rPr>
        <w:t>上诉事宜</w:t>
      </w:r>
      <w:r>
        <w:rPr>
          <w:rFonts w:ascii="宋体" w:hAnsi="宋体" w:cs="仿宋"/>
          <w:bCs/>
          <w:color w:val="auto"/>
          <w:sz w:val="24"/>
          <w:szCs w:val="24"/>
          <w:highlight w:val="none"/>
        </w:rPr>
        <w:t>。</w:t>
      </w:r>
    </w:p>
    <w:p w14:paraId="58332125">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highlight w:val="none"/>
        </w:rPr>
        <w:t>不需上诉的案</w:t>
      </w:r>
      <w:r>
        <w:rPr>
          <w:rFonts w:hint="eastAsia" w:ascii="宋体" w:hAnsi="宋体" w:cs="仿宋"/>
          <w:bCs/>
          <w:color w:val="auto"/>
          <w:sz w:val="24"/>
          <w:szCs w:val="24"/>
        </w:rPr>
        <w:t>件及终审结案案件，</w:t>
      </w:r>
      <w:r>
        <w:rPr>
          <w:rFonts w:hint="eastAsia" w:ascii="宋体" w:hAnsi="宋体" w:cs="仿宋"/>
          <w:bCs/>
          <w:color w:val="auto"/>
          <w:sz w:val="24"/>
          <w:szCs w:val="24"/>
          <w:highlight w:val="none"/>
        </w:rPr>
        <w:t>理赔中心提供赔偿处理意见，并在判决书生效之日起10</w:t>
      </w:r>
      <w:r>
        <w:rPr>
          <w:rFonts w:ascii="宋体" w:hAnsi="宋体" w:cs="仿宋"/>
          <w:bCs/>
          <w:color w:val="auto"/>
          <w:sz w:val="24"/>
          <w:szCs w:val="24"/>
          <w:highlight w:val="none"/>
        </w:rPr>
        <w:t>个工作日内将索赔材料提交</w:t>
      </w:r>
      <w:r>
        <w:rPr>
          <w:rFonts w:hint="eastAsia" w:ascii="宋体" w:hAnsi="宋体" w:cs="仿宋"/>
          <w:strike w:val="0"/>
          <w:dstrike w:val="0"/>
          <w:color w:val="auto"/>
          <w:sz w:val="24"/>
          <w:szCs w:val="24"/>
          <w:highlight w:val="none"/>
          <w:u w:val="none"/>
        </w:rPr>
        <w:t>承保公司</w:t>
      </w:r>
      <w:r>
        <w:rPr>
          <w:rFonts w:ascii="宋体" w:hAnsi="宋体" w:cs="仿宋"/>
          <w:bCs/>
          <w:color w:val="auto"/>
          <w:sz w:val="24"/>
          <w:szCs w:val="24"/>
          <w:highlight w:val="none"/>
        </w:rPr>
        <w:t>，</w:t>
      </w:r>
      <w:r>
        <w:rPr>
          <w:rFonts w:hint="eastAsia" w:ascii="宋体" w:hAnsi="宋体" w:cs="仿宋"/>
          <w:strike w:val="0"/>
          <w:dstrike w:val="0"/>
          <w:color w:val="auto"/>
          <w:sz w:val="24"/>
          <w:szCs w:val="24"/>
          <w:highlight w:val="none"/>
          <w:u w:val="none"/>
        </w:rPr>
        <w:t>承保公司</w:t>
      </w:r>
      <w:r>
        <w:rPr>
          <w:rFonts w:ascii="宋体" w:hAnsi="宋体" w:cs="仿宋"/>
          <w:bCs/>
          <w:color w:val="auto"/>
          <w:sz w:val="24"/>
          <w:szCs w:val="24"/>
          <w:highlight w:val="none"/>
        </w:rPr>
        <w:t>在《采购</w:t>
      </w:r>
      <w:r>
        <w:rPr>
          <w:rFonts w:hint="eastAsia" w:ascii="宋体" w:hAnsi="宋体" w:cs="仿宋"/>
          <w:color w:val="auto"/>
          <w:sz w:val="24"/>
          <w:szCs w:val="24"/>
          <w:highlight w:val="none"/>
        </w:rPr>
        <w:t>合同</w:t>
      </w:r>
      <w:r>
        <w:rPr>
          <w:rFonts w:ascii="宋体" w:hAnsi="宋体" w:cs="仿宋"/>
          <w:bCs/>
          <w:color w:val="auto"/>
          <w:sz w:val="24"/>
          <w:szCs w:val="24"/>
          <w:highlight w:val="none"/>
        </w:rPr>
        <w:t>》约定的时效内向医疗机构或者患者支付赔款。</w:t>
      </w:r>
    </w:p>
    <w:p w14:paraId="44B81E7E">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医疗机构在选择司法调解途径前及达成司法调解协议前，应当就拟达成调解协议的内容征得</w:t>
      </w:r>
      <w:r>
        <w:rPr>
          <w:rFonts w:hint="eastAsia" w:ascii="宋体" w:hAnsi="宋体" w:cs="仿宋"/>
          <w:color w:val="auto"/>
          <w:sz w:val="24"/>
          <w:szCs w:val="24"/>
        </w:rPr>
        <w:t>承保公司</w:t>
      </w:r>
      <w:r>
        <w:rPr>
          <w:rFonts w:hint="eastAsia" w:ascii="宋体" w:hAnsi="宋体" w:cs="仿宋"/>
          <w:bCs/>
          <w:color w:val="auto"/>
          <w:sz w:val="24"/>
          <w:szCs w:val="24"/>
        </w:rPr>
        <w:t>意见。</w:t>
      </w:r>
      <w:r>
        <w:rPr>
          <w:rFonts w:hint="eastAsia" w:ascii="宋体" w:hAnsi="宋体" w:cs="仿宋"/>
          <w:color w:val="auto"/>
          <w:sz w:val="24"/>
          <w:szCs w:val="24"/>
        </w:rPr>
        <w:t>承保公司</w:t>
      </w:r>
      <w:r>
        <w:rPr>
          <w:rFonts w:hint="eastAsia" w:ascii="宋体" w:hAnsi="宋体" w:cs="仿宋"/>
          <w:bCs/>
          <w:color w:val="auto"/>
          <w:sz w:val="24"/>
          <w:szCs w:val="24"/>
        </w:rPr>
        <w:t>应当在司法调解达成一致意见前，与理赔服务中心协商并出具赔偿处理意见，医疗机构根据赔偿处理意见，参与司法调解。</w:t>
      </w:r>
    </w:p>
    <w:p w14:paraId="21B8930E">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医疗纠纷案件通过行政调解途径进行处理的，其处理流程参照司法调解流程。</w:t>
      </w:r>
    </w:p>
    <w:p w14:paraId="45F05807">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案件通过司法诉讼或行政调解途径解决过程中，当事人申请撤回诉讼或行政调解的，后向医疗纠纷调解组织申请第三方调解，医疗纠纷调解组织可以受理，其处理流程参照第三方调解。</w:t>
      </w:r>
    </w:p>
    <w:p w14:paraId="2209467E">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highlight w:val="none"/>
        </w:rPr>
      </w:pPr>
      <w:r>
        <w:rPr>
          <w:rFonts w:hint="eastAsia" w:ascii="宋体" w:hAnsi="宋体" w:cs="仿宋"/>
          <w:bCs/>
          <w:color w:val="auto"/>
          <w:sz w:val="24"/>
          <w:szCs w:val="24"/>
        </w:rPr>
        <w:t>医疗机构、理赔服</w:t>
      </w:r>
      <w:r>
        <w:rPr>
          <w:rFonts w:hint="eastAsia" w:ascii="宋体" w:hAnsi="宋体" w:cs="仿宋"/>
          <w:bCs/>
          <w:color w:val="auto"/>
          <w:sz w:val="24"/>
          <w:szCs w:val="24"/>
          <w:highlight w:val="none"/>
        </w:rPr>
        <w:t>务中心、</w:t>
      </w:r>
      <w:r>
        <w:rPr>
          <w:rFonts w:hint="eastAsia" w:ascii="宋体" w:hAnsi="宋体" w:cs="仿宋"/>
          <w:strike w:val="0"/>
          <w:dstrike w:val="0"/>
          <w:color w:val="auto"/>
          <w:sz w:val="24"/>
          <w:szCs w:val="24"/>
          <w:highlight w:val="none"/>
          <w:u w:val="none"/>
        </w:rPr>
        <w:t>承保公司</w:t>
      </w:r>
      <w:r>
        <w:rPr>
          <w:rFonts w:hint="eastAsia" w:ascii="宋体" w:hAnsi="宋体" w:cs="仿宋"/>
          <w:bCs/>
          <w:color w:val="auto"/>
          <w:sz w:val="24"/>
          <w:szCs w:val="24"/>
          <w:highlight w:val="none"/>
        </w:rPr>
        <w:t>按照本办法《诉讼案件操作细则》，完成诉讼案件处置工作。</w:t>
      </w:r>
    </w:p>
    <w:p w14:paraId="4D7996B7">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highlight w:val="none"/>
        </w:rPr>
      </w:pPr>
      <w:r>
        <w:rPr>
          <w:rFonts w:hint="eastAsia" w:ascii="宋体" w:hAnsi="宋体" w:cs="仿宋"/>
          <w:bCs/>
          <w:color w:val="auto"/>
          <w:sz w:val="24"/>
          <w:szCs w:val="24"/>
          <w:highlight w:val="none"/>
        </w:rPr>
        <w:t>案件索赔材料清单</w:t>
      </w:r>
    </w:p>
    <w:p w14:paraId="036AD014">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highlight w:val="none"/>
        </w:rPr>
      </w:pPr>
      <w:r>
        <w:rPr>
          <w:rFonts w:hint="eastAsia" w:ascii="宋体" w:hAnsi="宋体" w:cs="仿宋"/>
          <w:bCs/>
          <w:color w:val="auto"/>
          <w:sz w:val="24"/>
          <w:szCs w:val="24"/>
          <w:highlight w:val="none"/>
        </w:rPr>
        <w:t>理赔中心应本着实事求是的原则，尊重客观事实，协助医疗机构收集并整理索赔资料。承保</w:t>
      </w:r>
      <w:r>
        <w:rPr>
          <w:rFonts w:hint="eastAsia" w:ascii="宋体" w:hAnsi="宋体" w:cs="仿宋"/>
          <w:bCs/>
          <w:color w:val="auto"/>
          <w:sz w:val="24"/>
          <w:szCs w:val="24"/>
          <w:highlight w:val="none"/>
          <w:lang w:val="en-US" w:eastAsia="zh-CN"/>
        </w:rPr>
        <w:t>公司</w:t>
      </w:r>
      <w:r>
        <w:rPr>
          <w:rFonts w:hint="eastAsia" w:ascii="宋体" w:hAnsi="宋体" w:cs="仿宋"/>
          <w:bCs/>
          <w:color w:val="auto"/>
          <w:sz w:val="24"/>
          <w:szCs w:val="24"/>
          <w:highlight w:val="none"/>
        </w:rPr>
        <w:t>不得以以往的工作习惯及理赔标准，对于索赔材料提出额外的要求。</w:t>
      </w:r>
    </w:p>
    <w:p w14:paraId="07337507">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highlight w:val="none"/>
        </w:rPr>
        <w:t>承保</w:t>
      </w:r>
      <w:r>
        <w:rPr>
          <w:rFonts w:hint="eastAsia" w:ascii="宋体" w:hAnsi="宋体" w:cs="仿宋"/>
          <w:bCs/>
          <w:color w:val="auto"/>
          <w:sz w:val="24"/>
          <w:szCs w:val="24"/>
          <w:highlight w:val="none"/>
          <w:lang w:val="en-US" w:eastAsia="zh-CN"/>
        </w:rPr>
        <w:t>公司</w:t>
      </w:r>
      <w:r>
        <w:rPr>
          <w:rFonts w:hint="eastAsia" w:ascii="宋体" w:hAnsi="宋体" w:cs="仿宋"/>
          <w:bCs/>
          <w:color w:val="auto"/>
          <w:sz w:val="24"/>
          <w:szCs w:val="24"/>
          <w:highlight w:val="none"/>
        </w:rPr>
        <w:t>应当依据下列</w:t>
      </w:r>
      <w:r>
        <w:rPr>
          <w:rFonts w:hint="eastAsia" w:ascii="宋体" w:hAnsi="宋体" w:cs="仿宋"/>
          <w:bCs/>
          <w:color w:val="auto"/>
          <w:sz w:val="24"/>
          <w:szCs w:val="24"/>
        </w:rPr>
        <w:t>单证进行保险赔偿，不再要求当事人提交其他单证。</w:t>
      </w:r>
      <w:r>
        <w:rPr>
          <w:rFonts w:ascii="宋体" w:hAnsi="宋体" w:cs="仿宋"/>
          <w:bCs/>
          <w:color w:val="auto"/>
          <w:sz w:val="24"/>
          <w:szCs w:val="24"/>
        </w:rPr>
        <w:tab/>
      </w:r>
    </w:p>
    <w:tbl>
      <w:tblPr>
        <w:tblStyle w:val="47"/>
        <w:tblW w:w="9878" w:type="dxa"/>
        <w:jc w:val="center"/>
        <w:tblLayout w:type="fixed"/>
        <w:tblCellMar>
          <w:top w:w="0" w:type="dxa"/>
          <w:left w:w="0" w:type="dxa"/>
          <w:bottom w:w="0" w:type="dxa"/>
          <w:right w:w="0" w:type="dxa"/>
        </w:tblCellMar>
      </w:tblPr>
      <w:tblGrid>
        <w:gridCol w:w="694"/>
        <w:gridCol w:w="4529"/>
        <w:gridCol w:w="1180"/>
        <w:gridCol w:w="1180"/>
        <w:gridCol w:w="1180"/>
        <w:gridCol w:w="1115"/>
      </w:tblGrid>
      <w:tr w14:paraId="5A9D7349">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81D0535">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序号</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8E9623F">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索赔单证</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95409F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第三方调解</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3AF8716">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司法诉讼</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B6E3768">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司法调解</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56114E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行政调解</w:t>
            </w:r>
          </w:p>
        </w:tc>
      </w:tr>
      <w:tr w14:paraId="051D0E39">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12253D7">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1</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F8C0D0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索赔申请书</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9EF0573">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95B0377">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26E8C65">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55E62A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r w14:paraId="7073EAE9">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BACBD4E">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2</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1F5405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医疗纠纷调解组织主持签订的医疗纠纷调解协议书</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66BE708">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7785B6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FCD9038">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0D6984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r w14:paraId="5DC41EB8">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040E5D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3</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F28F80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医疗技术鉴定意见书、司法过错鉴定意见书</w:t>
            </w:r>
          </w:p>
        </w:tc>
        <w:tc>
          <w:tcPr>
            <w:tcW w:w="4655" w:type="dxa"/>
            <w:gridSpan w:val="4"/>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BEFAA43">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如有需提供</w:t>
            </w:r>
          </w:p>
        </w:tc>
      </w:tr>
      <w:tr w14:paraId="7C9BD950">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5E515B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4</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60E1AA3C">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开庭传票、司法判决书等诉讼相关文件</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4113148">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4F24755">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A2BCAF0">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31786EE">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r w14:paraId="44E40DE4">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1763E4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5</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2458E8E">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损失及赔偿金额计算所需单证</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E8CC3CA">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4DE3BC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EB76DBE">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44D1B2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r w14:paraId="682460F8">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54219E9">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6</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4ABA6B1">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赔款支付通知书</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B516D3F">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82A5622">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875239B">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CDDEEA5">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r w14:paraId="527FB1D0">
        <w:tblPrEx>
          <w:tblCellMar>
            <w:top w:w="0" w:type="dxa"/>
            <w:left w:w="0" w:type="dxa"/>
            <w:bottom w:w="0" w:type="dxa"/>
            <w:right w:w="0" w:type="dxa"/>
          </w:tblCellMar>
        </w:tblPrEx>
        <w:trPr>
          <w:trHeight w:val="280" w:hRule="atLeast"/>
          <w:jc w:val="center"/>
        </w:trPr>
        <w:tc>
          <w:tcPr>
            <w:tcW w:w="694"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8FCA4DD">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ascii="宋体" w:hAnsi="宋体" w:cs="仿宋"/>
                <w:color w:val="auto"/>
                <w:sz w:val="24"/>
                <w:szCs w:val="24"/>
              </w:rPr>
              <w:t>7</w:t>
            </w:r>
          </w:p>
        </w:tc>
        <w:tc>
          <w:tcPr>
            <w:tcW w:w="4529"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11AE1F91">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理赔中心认为其它有必要的单证</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841EE93">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7AD31A9">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8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3F45215C">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c>
          <w:tcPr>
            <w:tcW w:w="1115"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542780A1">
            <w:pPr>
              <w:keepNext w:val="0"/>
              <w:keepLines w:val="0"/>
              <w:pageBreakBefore w:val="0"/>
              <w:widowControl/>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color w:val="auto"/>
                <w:sz w:val="24"/>
                <w:szCs w:val="24"/>
              </w:rPr>
            </w:pPr>
            <w:r>
              <w:rPr>
                <w:rFonts w:hint="eastAsia" w:ascii="宋体" w:hAnsi="宋体" w:cs="仿宋"/>
                <w:color w:val="auto"/>
                <w:sz w:val="24"/>
                <w:szCs w:val="24"/>
              </w:rPr>
              <w:t>√</w:t>
            </w:r>
          </w:p>
        </w:tc>
      </w:tr>
    </w:tbl>
    <w:p w14:paraId="033F277A">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损失及赔偿金额计算所需单证包括：患方身份证明材料、患者的死亡证明、患者伤残等级证明、误工费及收入证明材料、医疗费用证明材料、护理费用证明材料、患者病历资料复印件、其他费用材料。</w:t>
      </w:r>
    </w:p>
    <w:p w14:paraId="48D825EA">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损害赔偿产品及标准</w:t>
      </w:r>
    </w:p>
    <w:p w14:paraId="5FB61558">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依照《采购协议》约定，在《中华人民共和国民法典》及《最高人民法院关于审理人身损害赔偿案件适用法律若干问题的解释》的基础上，泰州市中医院医疗责任保险产品案件涉及的医疗损害赔偿产品及标准，包括但不限于患者误工期的确定及误工费的计算、患者护理期的确定及护理费的计算、患者营养费的认定及计算、患者住院伙食补助费、患方精神损害抚慰金、患者医疗费、患者被扶养人生活费的认定及计算、患者死亡赔偿金、患者残疾赔偿金</w:t>
      </w:r>
      <w:r>
        <w:rPr>
          <w:rFonts w:hint="eastAsia" w:ascii="宋体" w:hAnsi="宋体" w:cs="仿宋"/>
          <w:color w:val="auto"/>
          <w:sz w:val="24"/>
          <w:szCs w:val="24"/>
        </w:rPr>
        <w:t>、康复费、后续治疗费、丧葬费、办理丧葬事宜支出的合理的交通费、住宿费等</w:t>
      </w:r>
      <w:r>
        <w:rPr>
          <w:rFonts w:hint="eastAsia" w:ascii="宋体" w:hAnsi="宋体" w:cs="仿宋"/>
          <w:bCs/>
          <w:color w:val="auto"/>
          <w:sz w:val="24"/>
          <w:szCs w:val="24"/>
        </w:rPr>
        <w:t>，定残依据参照江苏省高级人民法院相关规定为准。</w:t>
      </w:r>
    </w:p>
    <w:p w14:paraId="565B818D">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按照本办法《损害赔偿产品及标准细则》约定计算的损失金额，保险公司应当予以认可。</w:t>
      </w:r>
    </w:p>
    <w:p w14:paraId="7586B40F">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其他事项</w:t>
      </w:r>
    </w:p>
    <w:p w14:paraId="179545E0">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color w:val="auto"/>
          <w:sz w:val="24"/>
          <w:szCs w:val="24"/>
        </w:rPr>
        <w:t>发生保险责任范围内的保险事故，</w:t>
      </w:r>
      <w:r>
        <w:rPr>
          <w:rFonts w:hint="eastAsia" w:ascii="宋体" w:hAnsi="宋体" w:cs="仿宋"/>
          <w:bCs/>
          <w:color w:val="auto"/>
          <w:sz w:val="24"/>
          <w:szCs w:val="24"/>
        </w:rPr>
        <w:t>医疗机构在保险事故中承担的责任度，根据</w:t>
      </w:r>
      <w:r>
        <w:rPr>
          <w:rFonts w:ascii="宋体" w:hAnsi="宋体" w:cs="仿宋"/>
          <w:bCs/>
          <w:color w:val="auto"/>
          <w:sz w:val="24"/>
          <w:szCs w:val="24"/>
        </w:rPr>
        <w:t>2021年11月17日司法部下发的《人身损害与疾病因果关系判定指南》（附录A），按照人身损害在疾病后果中的原因力大小（因果关系类型），依次将人身损害参与程度分为以下六个等级：</w:t>
      </w:r>
      <w:r>
        <w:rPr>
          <w:rFonts w:hint="eastAsia" w:ascii="宋体" w:hAnsi="宋体" w:cs="仿宋"/>
          <w:bCs/>
          <w:color w:val="auto"/>
          <w:sz w:val="24"/>
          <w:szCs w:val="24"/>
        </w:rPr>
        <w:t>完全因果关系：</w:t>
      </w:r>
      <w:r>
        <w:rPr>
          <w:rFonts w:ascii="宋体" w:hAnsi="宋体" w:cs="仿宋"/>
          <w:bCs/>
          <w:color w:val="auto"/>
          <w:sz w:val="24"/>
          <w:szCs w:val="24"/>
        </w:rPr>
        <w:t>96%～100%；</w:t>
      </w:r>
      <w:r>
        <w:rPr>
          <w:rFonts w:hint="eastAsia" w:ascii="宋体" w:hAnsi="宋体" w:cs="仿宋"/>
          <w:bCs/>
          <w:color w:val="auto"/>
          <w:sz w:val="24"/>
          <w:szCs w:val="24"/>
        </w:rPr>
        <w:t>主要因果关系：</w:t>
      </w:r>
      <w:r>
        <w:rPr>
          <w:rFonts w:ascii="宋体" w:hAnsi="宋体" w:cs="仿宋"/>
          <w:bCs/>
          <w:color w:val="auto"/>
          <w:sz w:val="24"/>
          <w:szCs w:val="24"/>
        </w:rPr>
        <w:t>56%～95%；</w:t>
      </w:r>
      <w:r>
        <w:rPr>
          <w:rFonts w:hint="eastAsia" w:ascii="宋体" w:hAnsi="宋体" w:cs="仿宋"/>
          <w:bCs/>
          <w:color w:val="auto"/>
          <w:sz w:val="24"/>
          <w:szCs w:val="24"/>
        </w:rPr>
        <w:t>同等因果关系：</w:t>
      </w:r>
      <w:r>
        <w:rPr>
          <w:rFonts w:ascii="宋体" w:hAnsi="宋体" w:cs="仿宋"/>
          <w:bCs/>
          <w:color w:val="auto"/>
          <w:sz w:val="24"/>
          <w:szCs w:val="24"/>
        </w:rPr>
        <w:t>45%～55%；</w:t>
      </w:r>
      <w:r>
        <w:rPr>
          <w:rFonts w:hint="eastAsia" w:ascii="宋体" w:hAnsi="宋体" w:cs="仿宋"/>
          <w:bCs/>
          <w:color w:val="auto"/>
          <w:sz w:val="24"/>
          <w:szCs w:val="24"/>
        </w:rPr>
        <w:t>次要因果关系：</w:t>
      </w:r>
      <w:r>
        <w:rPr>
          <w:rFonts w:ascii="宋体" w:hAnsi="宋体" w:cs="仿宋"/>
          <w:bCs/>
          <w:color w:val="auto"/>
          <w:sz w:val="24"/>
          <w:szCs w:val="24"/>
        </w:rPr>
        <w:t>16%～44%；</w:t>
      </w:r>
      <w:r>
        <w:rPr>
          <w:rFonts w:hint="eastAsia" w:ascii="宋体" w:hAnsi="宋体" w:cs="仿宋"/>
          <w:bCs/>
          <w:color w:val="auto"/>
          <w:sz w:val="24"/>
          <w:szCs w:val="24"/>
        </w:rPr>
        <w:t>轻微因果关系：</w:t>
      </w:r>
      <w:r>
        <w:rPr>
          <w:rFonts w:ascii="宋体" w:hAnsi="宋体" w:cs="仿宋"/>
          <w:bCs/>
          <w:color w:val="auto"/>
          <w:sz w:val="24"/>
          <w:szCs w:val="24"/>
        </w:rPr>
        <w:t>5%～15%；</w:t>
      </w:r>
      <w:r>
        <w:rPr>
          <w:rFonts w:hint="eastAsia" w:ascii="宋体" w:hAnsi="宋体" w:cs="仿宋"/>
          <w:bCs/>
          <w:color w:val="auto"/>
          <w:sz w:val="24"/>
          <w:szCs w:val="24"/>
        </w:rPr>
        <w:t>没有因果关系：</w:t>
      </w:r>
      <w:r>
        <w:rPr>
          <w:rFonts w:ascii="宋体" w:hAnsi="宋体" w:cs="仿宋"/>
          <w:bCs/>
          <w:color w:val="auto"/>
          <w:sz w:val="24"/>
          <w:szCs w:val="24"/>
        </w:rPr>
        <w:t>0%～4%</w:t>
      </w:r>
      <w:r>
        <w:rPr>
          <w:rFonts w:hint="eastAsia" w:ascii="宋体" w:hAnsi="宋体" w:cs="仿宋"/>
          <w:bCs/>
          <w:color w:val="auto"/>
          <w:sz w:val="24"/>
          <w:szCs w:val="24"/>
        </w:rPr>
        <w:t>，原因力大小以生效法律文书为准。</w:t>
      </w:r>
    </w:p>
    <w:p w14:paraId="75E4E894">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发生保险责任范围内的保险事故，根据医疗机构提供的索赔材料，参考案件的损害范围、受害人的经济承担能力等因素，在每次事故每位患者公平原则限额内酌情赔偿。</w:t>
      </w:r>
    </w:p>
    <w:p w14:paraId="2A31AB93">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对于第三方侵权（如交通事故等）合并发生医疗责任保险案件，赔偿主体除医疗机构外尚有其他主体的，医疗纠纷调解组织需对患者外伤入院时的不良预后风险及医疗机构的医疗过错责任进行咨询，保险公司应承担相应的赔偿责任，认可或出具相应的分割单，同时不得以要求患者先行处理第三方侵权事件为由拒绝赔偿或拖延赔偿。</w:t>
      </w:r>
    </w:p>
    <w:p w14:paraId="1CEA3F7D">
      <w:pPr>
        <w:keepNext w:val="0"/>
        <w:keepLines w:val="0"/>
        <w:pageBreakBefore w:val="0"/>
        <w:numPr>
          <w:ilvl w:val="0"/>
          <w:numId w:val="17"/>
        </w:numPr>
        <w:kinsoku/>
        <w:wordWrap/>
        <w:overflowPunct/>
        <w:topLinePunct w:val="0"/>
        <w:autoSpaceDE/>
        <w:autoSpaceDN/>
        <w:bidi w:val="0"/>
        <w:adjustRightInd/>
        <w:snapToGrid/>
        <w:spacing w:beforeAutospacing="0" w:afterAutospacing="0" w:line="520" w:lineRule="exact"/>
        <w:jc w:val="center"/>
        <w:textAlignment w:val="auto"/>
        <w:rPr>
          <w:rFonts w:ascii="宋体" w:hAnsi="宋体" w:cs="仿宋"/>
          <w:b/>
          <w:bCs/>
          <w:color w:val="auto"/>
          <w:sz w:val="24"/>
          <w:szCs w:val="24"/>
        </w:rPr>
      </w:pPr>
      <w:r>
        <w:rPr>
          <w:rFonts w:hint="eastAsia" w:ascii="宋体" w:hAnsi="宋体" w:cs="仿宋"/>
          <w:bCs/>
          <w:color w:val="auto"/>
          <w:sz w:val="24"/>
          <w:szCs w:val="24"/>
        </w:rPr>
        <w:t>附则</w:t>
      </w:r>
    </w:p>
    <w:p w14:paraId="30327A40">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本办法由《采购协议》各方共同负责制订、修改、解释。</w:t>
      </w:r>
    </w:p>
    <w:p w14:paraId="13F436D3">
      <w:pPr>
        <w:keepNext w:val="0"/>
        <w:keepLines w:val="0"/>
        <w:pageBreakBefore w:val="0"/>
        <w:numPr>
          <w:ilvl w:val="0"/>
          <w:numId w:val="18"/>
        </w:numPr>
        <w:kinsoku/>
        <w:wordWrap/>
        <w:overflowPunct/>
        <w:topLinePunct w:val="0"/>
        <w:autoSpaceDE/>
        <w:autoSpaceDN/>
        <w:bidi w:val="0"/>
        <w:adjustRightInd/>
        <w:snapToGrid/>
        <w:spacing w:beforeAutospacing="0" w:afterAutospacing="0" w:line="520" w:lineRule="exact"/>
        <w:ind w:firstLine="518"/>
        <w:textAlignment w:val="auto"/>
        <w:rPr>
          <w:rFonts w:ascii="宋体" w:hAnsi="宋体" w:cs="仿宋"/>
          <w:b/>
          <w:bCs/>
          <w:color w:val="auto"/>
          <w:sz w:val="24"/>
          <w:szCs w:val="24"/>
        </w:rPr>
      </w:pPr>
      <w:r>
        <w:rPr>
          <w:rFonts w:hint="eastAsia" w:ascii="宋体" w:hAnsi="宋体" w:cs="仿宋"/>
          <w:bCs/>
          <w:color w:val="auto"/>
          <w:sz w:val="24"/>
          <w:szCs w:val="24"/>
        </w:rPr>
        <w:t>本办法自采购协议签订之日起施行。</w:t>
      </w:r>
    </w:p>
    <w:p w14:paraId="46EC63B8">
      <w:pPr>
        <w:keepNext w:val="0"/>
        <w:keepLines w:val="0"/>
        <w:pageBreakBefore w:val="0"/>
        <w:kinsoku/>
        <w:wordWrap/>
        <w:overflowPunct/>
        <w:topLinePunct w:val="0"/>
        <w:autoSpaceDE/>
        <w:autoSpaceDN/>
        <w:bidi w:val="0"/>
        <w:adjustRightInd/>
        <w:snapToGrid/>
        <w:spacing w:beforeAutospacing="0" w:afterAutospacing="0" w:line="520" w:lineRule="exact"/>
        <w:textAlignment w:val="auto"/>
        <w:rPr>
          <w:rFonts w:ascii="宋体" w:hAnsi="宋体" w:cs="仿宋"/>
          <w:b/>
          <w:bCs/>
          <w:color w:val="auto"/>
          <w:sz w:val="24"/>
          <w:szCs w:val="24"/>
        </w:rPr>
      </w:pPr>
    </w:p>
    <w:p w14:paraId="276FB86C">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hint="eastAsia" w:ascii="宋体" w:hAnsi="宋体" w:cs="仿宋" w:eastAsiaTheme="minorEastAsia"/>
          <w:b/>
          <w:color w:val="auto"/>
          <w:sz w:val="24"/>
          <w:szCs w:val="24"/>
          <w:lang w:eastAsia="zh-CN"/>
        </w:rPr>
      </w:pPr>
      <w:r>
        <w:rPr>
          <w:rFonts w:hint="eastAsia" w:ascii="宋体" w:hAnsi="宋体" w:cs="仿宋"/>
          <w:b/>
          <w:color w:val="auto"/>
          <w:sz w:val="24"/>
          <w:szCs w:val="24"/>
          <w:lang w:val="en-US" w:eastAsia="zh-CN"/>
        </w:rPr>
        <w:t>（三）</w:t>
      </w:r>
      <w:r>
        <w:rPr>
          <w:rFonts w:hint="eastAsia" w:ascii="宋体" w:hAnsi="宋体" w:cs="仿宋"/>
          <w:b/>
          <w:color w:val="auto"/>
          <w:sz w:val="24"/>
          <w:szCs w:val="24"/>
        </w:rPr>
        <w:t>相关报备条款</w:t>
      </w:r>
      <w:r>
        <w:rPr>
          <w:rFonts w:hint="eastAsia" w:ascii="宋体" w:hAnsi="宋体" w:cs="仿宋"/>
          <w:b/>
          <w:color w:val="auto"/>
          <w:sz w:val="24"/>
          <w:szCs w:val="24"/>
          <w:highlight w:val="none"/>
          <w:lang w:eastAsia="zh-CN"/>
        </w:rPr>
        <w:t>（</w:t>
      </w:r>
      <w:r>
        <w:rPr>
          <w:rFonts w:hint="eastAsia" w:ascii="宋体" w:hAnsi="宋体" w:cs="仿宋"/>
          <w:b/>
          <w:color w:val="auto"/>
          <w:sz w:val="24"/>
          <w:szCs w:val="24"/>
          <w:highlight w:val="none"/>
          <w:lang w:val="en-US" w:eastAsia="zh-CN"/>
        </w:rPr>
        <w:t>如采购协议和相关报备条款不一致时，以采购协议为准</w:t>
      </w:r>
      <w:r>
        <w:rPr>
          <w:rFonts w:hint="eastAsia" w:ascii="宋体" w:hAnsi="宋体" w:cs="仿宋"/>
          <w:b/>
          <w:color w:val="auto"/>
          <w:sz w:val="24"/>
          <w:szCs w:val="24"/>
          <w:highlight w:val="none"/>
          <w:lang w:eastAsia="zh-CN"/>
        </w:rPr>
        <w:t>）</w:t>
      </w:r>
    </w:p>
    <w:p w14:paraId="680EBF6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bCs/>
          <w:color w:val="auto"/>
          <w:sz w:val="24"/>
          <w:szCs w:val="24"/>
          <w:highlight w:val="none"/>
        </w:rPr>
      </w:pPr>
      <w:bookmarkStart w:id="191" w:name="_Toc240074994"/>
      <w:r>
        <w:rPr>
          <w:rFonts w:hint="eastAsia" w:ascii="宋体" w:hAnsi="宋体"/>
          <w:b/>
          <w:bCs/>
          <w:color w:val="auto"/>
          <w:sz w:val="24"/>
          <w:szCs w:val="24"/>
          <w:highlight w:val="none"/>
          <w:lang w:val="en-US" w:eastAsia="zh-CN"/>
        </w:rPr>
        <w:t xml:space="preserve">第一章 </w:t>
      </w:r>
      <w:r>
        <w:rPr>
          <w:rFonts w:ascii="宋体" w:hAnsi="宋体"/>
          <w:b/>
          <w:bCs/>
          <w:color w:val="auto"/>
          <w:sz w:val="24"/>
          <w:szCs w:val="24"/>
          <w:highlight w:val="none"/>
        </w:rPr>
        <w:t>医疗责任保险条款</w:t>
      </w:r>
      <w:bookmarkEnd w:id="191"/>
    </w:p>
    <w:p w14:paraId="5757C005">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rPr>
      </w:pPr>
      <w:r>
        <w:rPr>
          <w:rFonts w:ascii="宋体" w:hAnsi="宋体"/>
          <w:color w:val="auto"/>
          <w:sz w:val="24"/>
          <w:szCs w:val="24"/>
        </w:rPr>
        <w:t>总则</w:t>
      </w:r>
    </w:p>
    <w:p w14:paraId="77F4072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第一条</w:t>
      </w:r>
      <w:r>
        <w:rPr>
          <w:rFonts w:ascii="宋体" w:hAnsi="宋体"/>
          <w:color w:val="auto"/>
          <w:spacing w:val="5"/>
          <w:sz w:val="24"/>
          <w:szCs w:val="24"/>
        </w:rPr>
        <w:t>本保险合同由保险条款、投保单、保险单</w:t>
      </w:r>
      <w:r>
        <w:rPr>
          <w:rFonts w:hint="eastAsia" w:ascii="宋体" w:hAnsi="宋体"/>
          <w:color w:val="auto"/>
          <w:spacing w:val="5"/>
          <w:sz w:val="24"/>
          <w:szCs w:val="24"/>
        </w:rPr>
        <w:t>以及</w:t>
      </w:r>
      <w:r>
        <w:rPr>
          <w:rFonts w:ascii="宋体" w:hAnsi="宋体"/>
          <w:color w:val="auto"/>
          <w:spacing w:val="5"/>
          <w:sz w:val="24"/>
          <w:szCs w:val="24"/>
        </w:rPr>
        <w:t>批单组成。凡涉及本保险合同的约定，均应采用书面形式。</w:t>
      </w:r>
    </w:p>
    <w:p w14:paraId="44F84DD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第二条 凡在中华人民共和国境内（不含港澳台地区）依照中华人民共和国法律</w:t>
      </w:r>
      <w:r>
        <w:rPr>
          <w:rFonts w:hint="eastAsia" w:ascii="宋体" w:hAnsi="宋体"/>
          <w:color w:val="auto"/>
          <w:spacing w:val="5"/>
          <w:sz w:val="24"/>
          <w:szCs w:val="24"/>
        </w:rPr>
        <w:t>（不包括港澳台地区法律）</w:t>
      </w:r>
      <w:r>
        <w:rPr>
          <w:rFonts w:ascii="宋体" w:hAnsi="宋体"/>
          <w:color w:val="auto"/>
          <w:sz w:val="24"/>
          <w:szCs w:val="24"/>
        </w:rPr>
        <w:t>（以下简称“依法”）设立、有固定场所并取得《医疗机构执业许可证》的医疗机构，</w:t>
      </w:r>
      <w:r>
        <w:rPr>
          <w:rFonts w:hint="eastAsia" w:ascii="宋体" w:hAnsi="宋体"/>
          <w:color w:val="auto"/>
          <w:sz w:val="24"/>
          <w:szCs w:val="24"/>
        </w:rPr>
        <w:t>均</w:t>
      </w:r>
      <w:r>
        <w:rPr>
          <w:rFonts w:ascii="宋体" w:hAnsi="宋体"/>
          <w:color w:val="auto"/>
          <w:sz w:val="24"/>
          <w:szCs w:val="24"/>
        </w:rPr>
        <w:t>可作为本保险</w:t>
      </w:r>
      <w:r>
        <w:rPr>
          <w:rFonts w:hint="eastAsia" w:ascii="宋体" w:hAnsi="宋体"/>
          <w:color w:val="auto"/>
          <w:sz w:val="24"/>
          <w:szCs w:val="24"/>
        </w:rPr>
        <w:t>合同</w:t>
      </w:r>
      <w:r>
        <w:rPr>
          <w:rFonts w:ascii="宋体" w:hAnsi="宋体"/>
          <w:color w:val="auto"/>
          <w:sz w:val="24"/>
          <w:szCs w:val="24"/>
        </w:rPr>
        <w:t>的被保险人。</w:t>
      </w:r>
    </w:p>
    <w:p w14:paraId="7CB43452">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ascii="宋体" w:hAnsi="宋体"/>
          <w:color w:val="auto"/>
          <w:sz w:val="24"/>
          <w:szCs w:val="24"/>
        </w:rPr>
        <w:t>保险责任</w:t>
      </w:r>
    </w:p>
    <w:p w14:paraId="65543BF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三条在本保险单明细表中列明的保险期间或追溯期及承保区域范围内，被保险人的投保医务人员在诊疗护理活动中，因执业过失造成患者人身损害，在本保险期间内，由患者或其近亲属首次向被保险人提出索赔申请，</w:t>
      </w:r>
      <w:r>
        <w:rPr>
          <w:rFonts w:hint="eastAsia" w:ascii="宋体" w:hAnsi="宋体"/>
          <w:color w:val="auto"/>
          <w:sz w:val="24"/>
          <w:szCs w:val="24"/>
        </w:rPr>
        <w:t>依照中华人民共和国法律（不包括港澳台地区法律）应由被保险人承担的经济赔偿责任，保险人按照本保险合同约定负责赔偿。</w:t>
      </w:r>
    </w:p>
    <w:p w14:paraId="16456A0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第四条保险责任范围内的事故发生后，事先经本保险人书面同意的法律费用，包括事故鉴定费、查勘费、取证费、仲裁或诉讼费、案件受理费、律师费等，保险人在约定的限额内也负责赔偿。</w:t>
      </w:r>
    </w:p>
    <w:p w14:paraId="4AD1D68D">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ascii="宋体" w:hAnsi="宋体"/>
          <w:color w:val="auto"/>
          <w:sz w:val="24"/>
          <w:szCs w:val="24"/>
        </w:rPr>
        <w:t>责任免除</w:t>
      </w:r>
    </w:p>
    <w:p w14:paraId="3117AE6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第五条</w:t>
      </w:r>
      <w:r>
        <w:rPr>
          <w:rFonts w:hint="eastAsia" w:ascii="宋体" w:hAnsi="宋体"/>
          <w:color w:val="auto"/>
          <w:sz w:val="24"/>
          <w:szCs w:val="24"/>
          <w:lang w:val="en-US" w:eastAsia="zh-CN"/>
        </w:rPr>
        <w:t xml:space="preserve"> </w:t>
      </w:r>
      <w:r>
        <w:rPr>
          <w:rFonts w:ascii="宋体" w:hAnsi="宋体"/>
          <w:color w:val="auto"/>
          <w:sz w:val="24"/>
          <w:szCs w:val="24"/>
        </w:rPr>
        <w:t>出现下列任一情形时，保险人不负责赔偿</w:t>
      </w:r>
      <w:r>
        <w:rPr>
          <w:rFonts w:hint="eastAsia" w:ascii="宋体" w:hAnsi="宋体"/>
          <w:color w:val="auto"/>
          <w:sz w:val="24"/>
          <w:szCs w:val="24"/>
        </w:rPr>
        <w:t>：</w:t>
      </w:r>
    </w:p>
    <w:p w14:paraId="0DBAF6B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（一）未经国家有关部门认定合格的医务人员进行的诊疗护理工作；</w:t>
      </w:r>
    </w:p>
    <w:p w14:paraId="3800DE8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（二）不以治疗为目的的诊疗护理活动；</w:t>
      </w:r>
    </w:p>
    <w:p w14:paraId="735987D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（三）被保险人或其医务人员从事未经国家有关部门许可的诊疗护理工作；</w:t>
      </w:r>
    </w:p>
    <w:p w14:paraId="2BDC7F6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（四）被保险人或其医务人员被吊销执业许可证或被取消执业资格以及受停业、停职处分后仍继续进行诊疗护理工作；</w:t>
      </w:r>
    </w:p>
    <w:p w14:paraId="7C73A37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（五）被保险人的医务人员在酒醉或药剂麻醉状态下进行诊疗护理工作；</w:t>
      </w:r>
    </w:p>
    <w:p w14:paraId="22365C1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（六）被保险人或其医务人员使用伪劣药品、医疗器械或被感染的血液制品；</w:t>
      </w:r>
    </w:p>
    <w:p w14:paraId="0195D13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（七）被保险人或其医务人员使用未经国家有关部门批准使用的药品、消毒药剂和医疗器械，但经国家有关部门批准进行临床实验所使用的药品、消毒药剂、医疗器械不在此限；</w:t>
      </w:r>
    </w:p>
    <w:p w14:paraId="01AFE08D">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（八）被保险人或其医务人员在正当的诊断、治疗范围外使用麻醉药品、医疗用毒性药品、精神药品和放射性药品。</w:t>
      </w:r>
    </w:p>
    <w:p w14:paraId="56DE067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第六条</w:t>
      </w:r>
      <w:r>
        <w:rPr>
          <w:rFonts w:hint="eastAsia" w:ascii="宋体" w:hAnsi="宋体"/>
          <w:color w:val="auto"/>
          <w:sz w:val="24"/>
          <w:szCs w:val="24"/>
          <w:lang w:val="en-US" w:eastAsia="zh-CN"/>
        </w:rPr>
        <w:t xml:space="preserve"> 因</w:t>
      </w:r>
      <w:r>
        <w:rPr>
          <w:rFonts w:ascii="宋体" w:hAnsi="宋体"/>
          <w:color w:val="auto"/>
          <w:sz w:val="24"/>
          <w:szCs w:val="24"/>
        </w:rPr>
        <w:t>下列原因造成的损失、费用和责任，保险人不负责赔偿：</w:t>
      </w:r>
    </w:p>
    <w:p w14:paraId="431966D7">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（一）被保险人或其医务人员的故意行为或非执业行为；</w:t>
      </w:r>
    </w:p>
    <w:p w14:paraId="33E11891">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（二）战争、敌对行为、军事行动、武装冲突、恐怖活动、罢工、骚乱、暴动、盗窃、抢劫；</w:t>
      </w:r>
    </w:p>
    <w:p w14:paraId="5468D70E">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（三）核反应、核子辐射和放射性污染。但使用放射器材治疗发生的赔偿责任不在此限；</w:t>
      </w:r>
    </w:p>
    <w:p w14:paraId="0F4C7C5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（四）地震、雷击、暴雨、洪水等自然灾害及火灾、爆炸等意外事故。</w:t>
      </w:r>
    </w:p>
    <w:p w14:paraId="10FD4AED">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第七条 下列损失、费用和责任，保险人不负责赔偿：</w:t>
      </w:r>
    </w:p>
    <w:p w14:paraId="42556677">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（一）被保险人的医务人员或其代表的人身伤亡；</w:t>
      </w:r>
    </w:p>
    <w:p w14:paraId="54B4F49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（二）罚款、罚金或惩罚性赔款；</w:t>
      </w:r>
    </w:p>
    <w:p w14:paraId="3198429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（三）本保险单明细表或有关条款中规定的应由被保险人自行负担的免赔额；</w:t>
      </w:r>
    </w:p>
    <w:p w14:paraId="16EE669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（四）被保险人及其医务人员对患者在诊疗护理期间的人身损害无过失，但由于发生医疗意外造成患者人身损害而承担的民事赔偿责任；</w:t>
      </w:r>
    </w:p>
    <w:p w14:paraId="2A7FF73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（五）被保险人与患者或其近亲属签订的协议所特别约定的责任，但不包括没有该协议被保险人仍应承担的民事赔偿责任；</w:t>
      </w:r>
    </w:p>
    <w:p w14:paraId="20AECE1E">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（六）自被保险人的医务人员终止在被保险人的营业处所内工作之日起，所发生的任何损失、费用和责任。</w:t>
      </w:r>
    </w:p>
    <w:p w14:paraId="698823E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第八条 其他不属于本保险责任范围的损失、费用和责任，保险人不负责赔偿。</w:t>
      </w:r>
    </w:p>
    <w:p w14:paraId="1480D9F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hint="eastAsia" w:ascii="宋体" w:hAnsi="宋体"/>
          <w:color w:val="auto"/>
          <w:sz w:val="24"/>
          <w:szCs w:val="24"/>
        </w:rPr>
        <w:t>赔偿限额与免赔额（率）</w:t>
      </w:r>
    </w:p>
    <w:p w14:paraId="61A1ED3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第九条 赔偿限额包括医疗责任每人人身伤亡赔偿限额和累计赔偿限额、法律费用每次索赔赔偿限额和累计赔偿限额，由投保人与保险人协商确定，并在保险合同中载明。</w:t>
      </w:r>
    </w:p>
    <w:p w14:paraId="2358773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第十条 每次事故免赔额（率）由投保人与保险人在签订保险合同时协商确定，并在保险合同中载明。</w:t>
      </w:r>
    </w:p>
    <w:p w14:paraId="31553D2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hint="eastAsia" w:ascii="宋体" w:hAnsi="宋体"/>
          <w:color w:val="auto"/>
          <w:sz w:val="24"/>
          <w:szCs w:val="24"/>
        </w:rPr>
        <w:t>保险期间</w:t>
      </w:r>
    </w:p>
    <w:p w14:paraId="22153535">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第十一条 除另有约定外，保险期间为一年，以保险单载明的起讫时间为准。</w:t>
      </w:r>
    </w:p>
    <w:p w14:paraId="0CB3789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hint="eastAsia" w:ascii="宋体" w:hAnsi="宋体"/>
          <w:color w:val="auto"/>
          <w:sz w:val="24"/>
          <w:szCs w:val="24"/>
        </w:rPr>
        <w:t>保险人义务</w:t>
      </w:r>
    </w:p>
    <w:p w14:paraId="35EDE79D">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十二条订立本保险合同时，采用保险人提供的格式条款的，保险人向投保人提供的投保单应当附格式条款，保险人应当向投保人说明本保险合同的内容。对本保险合同中免除保险人责任的条款，保险人在订立合同时应当在投保单、保险单或者其他保险凭证上作出足以引起投保人注意的提示，并对该条款的内容以书面或者口头形式向投保人作出明确说明；未作提示或者明确说明的，该条款不产生效力。</w:t>
      </w:r>
    </w:p>
    <w:p w14:paraId="4FFBA3E2">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bCs/>
          <w:color w:val="auto"/>
          <w:sz w:val="24"/>
          <w:szCs w:val="24"/>
        </w:rPr>
      </w:pPr>
      <w:r>
        <w:rPr>
          <w:rFonts w:hint="eastAsia" w:ascii="宋体" w:hAnsi="宋体"/>
          <w:bCs/>
          <w:color w:val="auto"/>
          <w:sz w:val="24"/>
          <w:szCs w:val="24"/>
        </w:rPr>
        <w:t>第十三条</w:t>
      </w:r>
      <w:r>
        <w:rPr>
          <w:rFonts w:hint="eastAsia" w:ascii="宋体" w:hAnsi="宋体"/>
          <w:color w:val="auto"/>
          <w:sz w:val="24"/>
          <w:szCs w:val="24"/>
        </w:rPr>
        <w:t>本保险合同成立后，保险人应当及时向投保人签发保险单或其他保险凭证。</w:t>
      </w:r>
    </w:p>
    <w:p w14:paraId="69195CE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第十四条</w:t>
      </w:r>
      <w:r>
        <w:rPr>
          <w:rFonts w:hint="eastAsia" w:ascii="宋体" w:hAnsi="宋体"/>
          <w:color w:val="auto"/>
          <w:sz w:val="24"/>
          <w:szCs w:val="24"/>
        </w:rPr>
        <w:t>保险人依据第十八条所取得的保险合同解除权，自保险人知道有解除事由之日起，超过三十日不行使而消灭。</w:t>
      </w:r>
    </w:p>
    <w:p w14:paraId="715EA61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保险人在合同订立时已经知道投保人未如实告知的情况的，保险人不得解除合同；发生保险事故的，保险人应当承担赔偿责任。</w:t>
      </w:r>
    </w:p>
    <w:p w14:paraId="2C56F602">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第十五条</w:t>
      </w:r>
      <w:r>
        <w:rPr>
          <w:rFonts w:hint="eastAsia" w:ascii="宋体" w:hAnsi="宋体"/>
          <w:color w:val="auto"/>
          <w:sz w:val="24"/>
          <w:szCs w:val="24"/>
        </w:rPr>
        <w:t>保险人按照第二十八条的约定，认为被保险人提供的有关索赔的证明和资料不完整的，应当及时一次性通知投保人、被保险人补充提供。</w:t>
      </w:r>
    </w:p>
    <w:p w14:paraId="6B50632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第十六条</w:t>
      </w:r>
      <w:r>
        <w:rPr>
          <w:rFonts w:hint="eastAsia" w:ascii="宋体" w:hAnsi="宋体"/>
          <w:color w:val="auto"/>
          <w:sz w:val="24"/>
          <w:szCs w:val="24"/>
        </w:rPr>
        <w:t>保险人收到被保险人的赔偿保险金的请求后，应当及时作出是否属于保险责任的核定；情形复杂的，应当在三十日内作出核定，但本保险合同另有约定的除外。</w:t>
      </w:r>
    </w:p>
    <w:p w14:paraId="012E24A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保险人应当将核定结果通知被保险人；对属于保险责任的，在与被保险人达成赔偿保险金的协议后十日内，履行赔偿保险金义务。本保险合同对赔偿保险金的期限有约定的，保险人应当按照约定履行赔偿保险金的义务。保险人依照前款的规定作出核定后，对不属于保险责任的，应当自作出核定之日起三日内向被保险人发出拒绝赔偿保险金通知书，并说明理由。</w:t>
      </w:r>
    </w:p>
    <w:p w14:paraId="610E217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第十七条</w:t>
      </w:r>
      <w:r>
        <w:rPr>
          <w:rFonts w:hint="eastAsia" w:ascii="宋体" w:hAnsi="宋体"/>
          <w:color w:val="auto"/>
          <w:sz w:val="24"/>
          <w:szCs w:val="24"/>
        </w:rPr>
        <w:t>保险人自收到赔偿保险金的请求和有关证明、资料之日起六十日内，对其赔偿保险金的数额不能确定的，应当根据已有证明和资料可以确定的数额先予支付；保险人最终确定赔偿的数额后，应当支付相应的差额。</w:t>
      </w:r>
      <w:r>
        <w:rPr>
          <w:rFonts w:ascii="宋体" w:hAnsi="宋体"/>
          <w:color w:val="auto"/>
          <w:sz w:val="24"/>
          <w:szCs w:val="24"/>
        </w:rPr>
        <w:t> </w:t>
      </w:r>
    </w:p>
    <w:p w14:paraId="4AC7FE1F">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Cs/>
          <w:color w:val="auto"/>
          <w:sz w:val="24"/>
          <w:szCs w:val="24"/>
        </w:rPr>
      </w:pPr>
      <w:r>
        <w:rPr>
          <w:rFonts w:hint="eastAsia" w:ascii="宋体" w:hAnsi="宋体"/>
          <w:bCs/>
          <w:color w:val="auto"/>
          <w:sz w:val="24"/>
          <w:szCs w:val="24"/>
        </w:rPr>
        <w:t>投保人、被保险人义务</w:t>
      </w:r>
    </w:p>
    <w:p w14:paraId="259ED02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第十八条</w:t>
      </w:r>
      <w:r>
        <w:rPr>
          <w:rFonts w:hint="eastAsia" w:ascii="宋体" w:hAnsi="宋体"/>
          <w:color w:val="auto"/>
          <w:sz w:val="24"/>
          <w:szCs w:val="24"/>
        </w:rPr>
        <w:t xml:space="preserve"> 订立保险合同，保险人就保险标的或者被保险人的有关情况提出询问的，投保人应当如实告知，并</w:t>
      </w:r>
      <w:r>
        <w:rPr>
          <w:rFonts w:ascii="宋体" w:hAnsi="宋体"/>
          <w:color w:val="auto"/>
          <w:sz w:val="24"/>
          <w:szCs w:val="24"/>
        </w:rPr>
        <w:t>提供投保医务人员名单</w:t>
      </w:r>
      <w:r>
        <w:rPr>
          <w:rFonts w:hint="eastAsia" w:ascii="宋体" w:hAnsi="宋体"/>
          <w:color w:val="auto"/>
          <w:sz w:val="24"/>
          <w:szCs w:val="24"/>
        </w:rPr>
        <w:t>。</w:t>
      </w:r>
    </w:p>
    <w:p w14:paraId="190837F1">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投保人故意或者因重大过失未履行前款规定的如实告知义务，足以影响保险人决定是否同意承保或者提高保险费率的，保险人有权解除保险合同。</w:t>
      </w:r>
    </w:p>
    <w:p w14:paraId="3EE2E9C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投保人故意不履行如实告知义务的，保险人对于合同解除前发生的保险事故，不承担赔偿保险金的责任，并不退还保险费。</w:t>
      </w:r>
    </w:p>
    <w:p w14:paraId="0A9685C7">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投保人因重大过失未履行如实告知义务，对保险事故的发生有严重影响的，保险人对于合同解除前发生的保险事故，不承担赔偿保险金的责任，但应当退还保险费。</w:t>
      </w:r>
    </w:p>
    <w:p w14:paraId="195AB89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s="Arial"/>
          <w:b/>
          <w:color w:val="auto"/>
          <w:sz w:val="24"/>
          <w:szCs w:val="24"/>
        </w:rPr>
      </w:pPr>
      <w:r>
        <w:rPr>
          <w:rFonts w:hint="eastAsia" w:ascii="宋体" w:hAnsi="宋体"/>
          <w:bCs/>
          <w:color w:val="auto"/>
          <w:sz w:val="24"/>
          <w:szCs w:val="24"/>
        </w:rPr>
        <w:t>第十九条</w:t>
      </w:r>
      <w:r>
        <w:rPr>
          <w:rFonts w:hint="eastAsia" w:ascii="宋体" w:hAnsi="宋体"/>
          <w:color w:val="auto"/>
          <w:sz w:val="24"/>
          <w:szCs w:val="24"/>
        </w:rPr>
        <w:t xml:space="preserve"> 除另有约定外，投保人应当在保险合同成立时交付保险费。</w:t>
      </w:r>
      <w:r>
        <w:rPr>
          <w:rFonts w:hint="eastAsia" w:ascii="宋体" w:hAnsi="宋体"/>
          <w:bCs/>
          <w:color w:val="auto"/>
          <w:sz w:val="24"/>
          <w:szCs w:val="24"/>
        </w:rPr>
        <w:t>保险事故发生时投保人未按约定足额支付保险费的，保险人按照已交保险费与本保险合同约定保险费的比例承担赔偿责任。</w:t>
      </w:r>
    </w:p>
    <w:p w14:paraId="317E4B84">
      <w:pPr>
        <w:keepNext w:val="0"/>
        <w:keepLines w:val="0"/>
        <w:pageBreakBefore w:val="0"/>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b/>
          <w:color w:val="auto"/>
          <w:sz w:val="24"/>
          <w:szCs w:val="24"/>
        </w:rPr>
      </w:pPr>
      <w:r>
        <w:rPr>
          <w:rFonts w:hint="eastAsia" w:ascii="宋体" w:hAnsi="宋体"/>
          <w:bCs/>
          <w:color w:val="auto"/>
          <w:sz w:val="24"/>
          <w:szCs w:val="24"/>
        </w:rPr>
        <w:t xml:space="preserve">第二十条 </w:t>
      </w:r>
      <w:r>
        <w:rPr>
          <w:rFonts w:ascii="宋体" w:hAnsi="宋体"/>
          <w:color w:val="auto"/>
          <w:sz w:val="24"/>
          <w:szCs w:val="24"/>
        </w:rPr>
        <w:t>被保险人及其医务人员在诊疗护理活动中，应该遵守医疗卫生管理法律、行政法规、部门规章和诊疗护理规范、常规，恪守医疗服务职业道德，</w:t>
      </w:r>
      <w:r>
        <w:rPr>
          <w:rFonts w:hint="eastAsia" w:ascii="宋体" w:hAnsi="宋体"/>
          <w:color w:val="auto"/>
          <w:sz w:val="24"/>
          <w:szCs w:val="24"/>
        </w:rPr>
        <w:t>加强管理，采取合理的预防措施，尽力避免或减少责任事故的发生。</w:t>
      </w:r>
    </w:p>
    <w:p w14:paraId="4FF8B20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保险人可以对被保险人遵守前款约定的情况进行检查，向投保人、被保险人提出消除不安全因素和隐患的书面建议，投保人、被保险人应该认真付诸实施。</w:t>
      </w:r>
    </w:p>
    <w:p w14:paraId="1600F87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投保人、被保险人未按照约定履行上述安全义务的，保险人有权要求增加保险费或者解除合同。</w:t>
      </w:r>
    </w:p>
    <w:p w14:paraId="22AC7C05">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第二十一条</w:t>
      </w:r>
      <w:r>
        <w:rPr>
          <w:rFonts w:hint="eastAsia" w:ascii="宋体" w:hAnsi="宋体"/>
          <w:color w:val="auto"/>
          <w:sz w:val="24"/>
          <w:szCs w:val="24"/>
        </w:rPr>
        <w:t xml:space="preserve"> 在保险合同有效期内，保险标的的危险程度显著增加的，被保险人应当及时通知保险人，保险人可以按照合同约定增加保险费或者解除合同。</w:t>
      </w:r>
    </w:p>
    <w:p w14:paraId="3C31520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被保险人未履行前款约定的通知义务的，因保险标的的危险程度显著增加而发生的保险事故，保险人不承担赔偿保险金的责任。</w:t>
      </w:r>
    </w:p>
    <w:p w14:paraId="3E7BFF1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第二十二条</w:t>
      </w:r>
      <w:r>
        <w:rPr>
          <w:rFonts w:hint="eastAsia" w:ascii="宋体" w:hAnsi="宋体"/>
          <w:color w:val="auto"/>
          <w:sz w:val="24"/>
          <w:szCs w:val="24"/>
        </w:rPr>
        <w:t xml:space="preserve"> 知道保险事故发生后，被保险人应该：</w:t>
      </w:r>
    </w:p>
    <w:p w14:paraId="774174F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（一）尽力采取必要、合理的措施，防止或减少损失，否则，对因此扩大的损失，保险人不承担赔偿责任；</w:t>
      </w:r>
    </w:p>
    <w:p w14:paraId="59559792">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Style w:val="613"/>
          <w:rFonts w:ascii="宋体" w:hAnsi="宋体"/>
          <w:b/>
          <w:color w:val="auto"/>
          <w:sz w:val="24"/>
          <w:szCs w:val="24"/>
        </w:rPr>
      </w:pPr>
      <w:r>
        <w:rPr>
          <w:rFonts w:hint="eastAsia" w:ascii="宋体" w:hAnsi="宋体"/>
          <w:color w:val="auto"/>
          <w:sz w:val="24"/>
          <w:szCs w:val="24"/>
        </w:rPr>
        <w:t>（二）及时通知保险人，并书面说明事故发生的原因、经过和损失情况；</w:t>
      </w:r>
      <w:r>
        <w:rPr>
          <w:rStyle w:val="613"/>
          <w:rFonts w:ascii="宋体" w:hAnsi="宋体"/>
          <w:color w:val="auto"/>
          <w:sz w:val="24"/>
          <w:szCs w:val="24"/>
        </w:rPr>
        <w:t>故意或者因重大过失未及时通知，致使保险事故的性质、原因、损失程度等难以确定的，保险人对无法确定的部分，不承担赔偿责任，但保险人通过其他途径已经及时知道或者应当及时知道保险事故发生的除外</w:t>
      </w:r>
      <w:r>
        <w:rPr>
          <w:rStyle w:val="613"/>
          <w:rFonts w:hint="eastAsia" w:ascii="宋体" w:hAnsi="宋体"/>
          <w:color w:val="auto"/>
          <w:sz w:val="24"/>
          <w:szCs w:val="24"/>
        </w:rPr>
        <w:t xml:space="preserve">； </w:t>
      </w:r>
    </w:p>
    <w:p w14:paraId="23FD49F2">
      <w:pPr>
        <w:pStyle w:val="29"/>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eastAsia="宋体"/>
          <w:b/>
          <w:color w:val="auto"/>
          <w:sz w:val="24"/>
          <w:szCs w:val="24"/>
        </w:rPr>
      </w:pPr>
      <w:r>
        <w:rPr>
          <w:rFonts w:hint="eastAsia" w:ascii="宋体" w:hAnsi="宋体" w:eastAsia="宋体"/>
          <w:color w:val="auto"/>
          <w:sz w:val="24"/>
          <w:szCs w:val="24"/>
        </w:rPr>
        <w:t>（三）保护事故现场，允许并且协助保险人进行事故调查；对于拒绝或者妨碍保险人进行事故调查导致无法认定事故原因或核实损失情况的，保险人对无法确定或核实的部分不承担赔偿责任。</w:t>
      </w:r>
    </w:p>
    <w:p w14:paraId="469AD88E">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第二十三条</w:t>
      </w:r>
      <w:r>
        <w:rPr>
          <w:rFonts w:hint="eastAsia" w:ascii="宋体" w:hAnsi="宋体"/>
          <w:color w:val="auto"/>
          <w:sz w:val="24"/>
          <w:szCs w:val="24"/>
        </w:rPr>
        <w:t xml:space="preserve"> 被保险人收到索赔方的损害赔偿请求时，应立即通知保险人。</w:t>
      </w:r>
      <w:r>
        <w:rPr>
          <w:rStyle w:val="613"/>
          <w:rFonts w:hint="eastAsia" w:ascii="宋体" w:hAnsi="宋体"/>
          <w:color w:val="auto"/>
          <w:sz w:val="24"/>
          <w:szCs w:val="24"/>
        </w:rPr>
        <w:t>未经保险人书面同意，</w:t>
      </w:r>
      <w:r>
        <w:rPr>
          <w:rFonts w:hint="eastAsia" w:ascii="宋体" w:hAnsi="宋体"/>
          <w:color w:val="auto"/>
          <w:sz w:val="24"/>
          <w:szCs w:val="24"/>
        </w:rPr>
        <w:t>被保险人对受害人及其代理人作出的任何承诺、拒绝、出价、约定、付款或赔偿，保险人不受其约束。</w:t>
      </w:r>
      <w:r>
        <w:rPr>
          <w:rStyle w:val="613"/>
          <w:rFonts w:hint="eastAsia" w:ascii="宋体" w:hAnsi="宋体"/>
          <w:color w:val="auto"/>
          <w:sz w:val="24"/>
          <w:szCs w:val="24"/>
        </w:rPr>
        <w:t>对于被保险人自行承诺或支付的赔偿金额，保险人有权重新核定，不属于本保险责任范围或超出应赔偿限额的，保险人不承担赔偿责任。在处理索赔过程中，保险人有权自行处理由其承担最终赔偿责任的任何索赔案件，被保险人有义务向保险人提供其所能提供的资料和协助</w:t>
      </w:r>
      <w:r>
        <w:rPr>
          <w:rFonts w:hint="eastAsia" w:ascii="宋体" w:hAnsi="宋体"/>
          <w:color w:val="auto"/>
          <w:sz w:val="24"/>
          <w:szCs w:val="24"/>
        </w:rPr>
        <w:t>。</w:t>
      </w:r>
    </w:p>
    <w:p w14:paraId="35141EB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第二十四条</w:t>
      </w:r>
      <w:r>
        <w:rPr>
          <w:rFonts w:hint="eastAsia" w:ascii="宋体" w:hAnsi="宋体"/>
          <w:color w:val="auto"/>
          <w:sz w:val="24"/>
          <w:szCs w:val="24"/>
        </w:rPr>
        <w:t xml:space="preserve"> 被保险人获悉可能发生诉讼、仲裁时，应立即以书面形式通知保险人；接到法院传票或其他法律文书后，应将其副本及时送交保险人。保险人有权以被保险人的名义处理有关诉讼或仲裁事宜，被保险人应提供有关文件，并给予必要的协助。</w:t>
      </w:r>
    </w:p>
    <w:p w14:paraId="3CE9EA6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对因未及时提供上述通知或必要协助导致扩大的损失，保险人不承担赔偿责任。</w:t>
      </w:r>
    </w:p>
    <w:p w14:paraId="3868A104">
      <w:pPr>
        <w:keepNext w:val="0"/>
        <w:keepLines w:val="0"/>
        <w:pageBreakBefore w:val="0"/>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二十五</w:t>
      </w:r>
      <w:r>
        <w:rPr>
          <w:rFonts w:ascii="宋体" w:hAnsi="宋体"/>
          <w:color w:val="auto"/>
          <w:sz w:val="24"/>
          <w:szCs w:val="24"/>
        </w:rPr>
        <w:t>条 在本保险期间内，被保险人的风险状况及本保险单明细表中列明的事项发生变化时，被保险人应当及时书面通知本保险人，经与本保险人协商一致后，变更保险合同有关内容。</w:t>
      </w:r>
    </w:p>
    <w:p w14:paraId="2A8144E4">
      <w:pPr>
        <w:keepNext w:val="0"/>
        <w:keepLines w:val="0"/>
        <w:pageBreakBefore w:val="0"/>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b/>
          <w:color w:val="auto"/>
          <w:sz w:val="24"/>
          <w:szCs w:val="24"/>
        </w:rPr>
      </w:pPr>
      <w:r>
        <w:rPr>
          <w:rFonts w:ascii="宋体" w:hAnsi="宋体"/>
          <w:color w:val="auto"/>
          <w:sz w:val="24"/>
          <w:szCs w:val="24"/>
        </w:rPr>
        <w:t>在本保险期间内，由于医务人员发生变动需要加保或退保，被保险人应当书面通知保险人。</w:t>
      </w:r>
    </w:p>
    <w:p w14:paraId="57A157D5">
      <w:pPr>
        <w:keepNext w:val="0"/>
        <w:keepLines w:val="0"/>
        <w:pageBreakBefore w:val="0"/>
        <w:kinsoku/>
        <w:wordWrap/>
        <w:overflowPunct/>
        <w:topLinePunct w:val="0"/>
        <w:autoSpaceDE/>
        <w:autoSpaceDN/>
        <w:bidi w:val="0"/>
        <w:adjustRightInd/>
        <w:snapToGrid/>
        <w:spacing w:beforeAutospacing="0" w:afterAutospacing="0" w:line="520" w:lineRule="exact"/>
        <w:ind w:firstLine="560"/>
        <w:jc w:val="left"/>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二十六</w:t>
      </w:r>
      <w:r>
        <w:rPr>
          <w:rFonts w:ascii="宋体" w:hAnsi="宋体"/>
          <w:color w:val="auto"/>
          <w:sz w:val="24"/>
          <w:szCs w:val="24"/>
        </w:rPr>
        <w:t>条 发生本保险责任范围内的事故后，被保险人应按照规定向有关部门报告，并按照规定的程序申请或进行调查、分析、鉴定。被保险人应妥善保管有关的原始资料，并对引起不良后果的药品、医疗器械等现场实物按照有关规定进行封存并妥善保管，以备查验。</w:t>
      </w:r>
    </w:p>
    <w:p w14:paraId="0043F19D">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二十七</w:t>
      </w:r>
      <w:r>
        <w:rPr>
          <w:rFonts w:ascii="宋体" w:hAnsi="宋体"/>
          <w:color w:val="auto"/>
          <w:sz w:val="24"/>
          <w:szCs w:val="24"/>
        </w:rPr>
        <w:t>条 保险人对被保险人及其医务人员的专业资格、使用药品和医疗器械及其他各项医疗条件进行查验时，被保险人应积极协助并提供本保险人需要的用以评估有关风险的详情和资料。上述查验并不构成保险人对被保险人的任何承诺。</w:t>
      </w:r>
    </w:p>
    <w:p w14:paraId="26D3581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保险人对发现的任何缺陷或危险书面通知被保险人后，被保险人应及时采取整改措施。被保险人未遵守上述约定而导致保险事故的，保险人不承担赔偿责任；被保险人未遵守上述约定而导致损失扩大的，保险人对扩大部分的损失不承担赔偿责任。</w:t>
      </w:r>
    </w:p>
    <w:p w14:paraId="0AE409E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第二十八条</w:t>
      </w:r>
      <w:r>
        <w:rPr>
          <w:rFonts w:hint="eastAsia" w:ascii="宋体" w:hAnsi="宋体"/>
          <w:color w:val="auto"/>
          <w:sz w:val="24"/>
          <w:szCs w:val="24"/>
        </w:rPr>
        <w:t xml:space="preserve"> 被保险人请求赔偿时，应向保险人提供下列证明和资料：</w:t>
      </w:r>
    </w:p>
    <w:p w14:paraId="1DDAE95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（一）保险单正本；</w:t>
      </w:r>
    </w:p>
    <w:p w14:paraId="351596A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（二）有关责任人的资格和执业证明、医疗机构与责任人的劳动关系证明；</w:t>
      </w:r>
    </w:p>
    <w:p w14:paraId="39F1395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（三）患者完整的病例资料</w:t>
      </w:r>
      <w:r>
        <w:rPr>
          <w:rFonts w:hint="eastAsia" w:ascii="宋体" w:hAnsi="宋体"/>
          <w:color w:val="auto"/>
          <w:sz w:val="24"/>
          <w:szCs w:val="24"/>
        </w:rPr>
        <w:t>；</w:t>
      </w:r>
    </w:p>
    <w:p w14:paraId="6B2B674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（四）</w:t>
      </w:r>
      <w:r>
        <w:rPr>
          <w:rFonts w:ascii="宋体" w:hAnsi="宋体"/>
          <w:color w:val="auto"/>
          <w:sz w:val="24"/>
          <w:szCs w:val="24"/>
        </w:rPr>
        <w:t>患者伤残的，应当提供权威部门出具的伤残程度证明；</w:t>
      </w:r>
    </w:p>
    <w:p w14:paraId="178172F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（五）</w:t>
      </w:r>
      <w:r>
        <w:rPr>
          <w:rFonts w:ascii="宋体" w:hAnsi="宋体"/>
          <w:color w:val="auto"/>
          <w:sz w:val="24"/>
          <w:szCs w:val="24"/>
        </w:rPr>
        <w:t>患者死亡的，应当提供死亡证明书；</w:t>
      </w:r>
    </w:p>
    <w:p w14:paraId="77CB77CD">
      <w:pPr>
        <w:pStyle w:val="29"/>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eastAsia="宋体"/>
          <w:b/>
          <w:color w:val="auto"/>
          <w:sz w:val="24"/>
          <w:szCs w:val="24"/>
        </w:rPr>
      </w:pPr>
      <w:r>
        <w:rPr>
          <w:rFonts w:ascii="宋体" w:hAnsi="宋体" w:eastAsia="宋体"/>
          <w:color w:val="auto"/>
          <w:sz w:val="24"/>
          <w:szCs w:val="24"/>
        </w:rPr>
        <w:t>（</w:t>
      </w:r>
      <w:r>
        <w:rPr>
          <w:rFonts w:hint="eastAsia" w:ascii="宋体" w:hAnsi="宋体" w:eastAsia="宋体"/>
          <w:color w:val="auto"/>
          <w:sz w:val="24"/>
          <w:szCs w:val="24"/>
        </w:rPr>
        <w:t>六</w:t>
      </w:r>
      <w:r>
        <w:rPr>
          <w:rFonts w:ascii="宋体" w:hAnsi="宋体" w:eastAsia="宋体"/>
          <w:color w:val="auto"/>
          <w:sz w:val="24"/>
          <w:szCs w:val="24"/>
        </w:rPr>
        <w:t>）患者的书面索赔申请；</w:t>
      </w:r>
    </w:p>
    <w:p w14:paraId="628057B1">
      <w:pPr>
        <w:pStyle w:val="29"/>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eastAsia="宋体"/>
          <w:b/>
          <w:color w:val="auto"/>
          <w:sz w:val="24"/>
          <w:szCs w:val="24"/>
        </w:rPr>
      </w:pPr>
      <w:r>
        <w:rPr>
          <w:rFonts w:ascii="宋体" w:hAnsi="宋体" w:eastAsia="宋体"/>
          <w:color w:val="auto"/>
          <w:sz w:val="24"/>
          <w:szCs w:val="24"/>
        </w:rPr>
        <w:t>（</w:t>
      </w:r>
      <w:r>
        <w:rPr>
          <w:rFonts w:hint="eastAsia" w:ascii="宋体" w:hAnsi="宋体" w:eastAsia="宋体"/>
          <w:color w:val="auto"/>
          <w:sz w:val="24"/>
          <w:szCs w:val="24"/>
        </w:rPr>
        <w:t>七</w:t>
      </w:r>
      <w:r>
        <w:rPr>
          <w:rFonts w:ascii="宋体" w:hAnsi="宋体" w:eastAsia="宋体"/>
          <w:color w:val="auto"/>
          <w:sz w:val="24"/>
          <w:szCs w:val="24"/>
        </w:rPr>
        <w:t>）事故情况说明、赔偿项目清单；</w:t>
      </w:r>
    </w:p>
    <w:p w14:paraId="32EA9C0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rPr>
      </w:pPr>
      <w:r>
        <w:rPr>
          <w:rFonts w:ascii="宋体" w:hAnsi="宋体"/>
          <w:color w:val="auto"/>
          <w:sz w:val="24"/>
          <w:szCs w:val="24"/>
        </w:rPr>
        <w:t>（</w:t>
      </w:r>
      <w:r>
        <w:rPr>
          <w:rFonts w:hint="eastAsia" w:ascii="宋体" w:hAnsi="宋体"/>
          <w:color w:val="auto"/>
          <w:sz w:val="24"/>
          <w:szCs w:val="24"/>
        </w:rPr>
        <w:t>八</w:t>
      </w:r>
      <w:r>
        <w:rPr>
          <w:rFonts w:ascii="宋体" w:hAnsi="宋体"/>
          <w:color w:val="auto"/>
          <w:sz w:val="24"/>
          <w:szCs w:val="24"/>
        </w:rPr>
        <w:t>）经国家批准或认可的医疗事故技术鉴定机构进行鉴定的，应提供医疗事故技术鉴定书；经法院、仲裁机构或卫生行政部门依法判决、裁决、裁定或调解的，应当提供判决、裁定文件或调解书；</w:t>
      </w:r>
    </w:p>
    <w:p w14:paraId="68AEFB2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w:t>
      </w:r>
      <w:r>
        <w:rPr>
          <w:rFonts w:hint="eastAsia" w:ascii="宋体" w:hAnsi="宋体"/>
          <w:color w:val="auto"/>
          <w:sz w:val="24"/>
          <w:szCs w:val="24"/>
        </w:rPr>
        <w:t>九</w:t>
      </w:r>
      <w:r>
        <w:rPr>
          <w:rFonts w:ascii="宋体" w:hAnsi="宋体"/>
          <w:color w:val="auto"/>
          <w:sz w:val="24"/>
          <w:szCs w:val="24"/>
        </w:rPr>
        <w:t>）依法应当由被保险人承担的有关费用的证明材料</w:t>
      </w:r>
      <w:r>
        <w:rPr>
          <w:rFonts w:hint="eastAsia" w:ascii="宋体" w:hAnsi="宋体"/>
          <w:color w:val="auto"/>
          <w:sz w:val="24"/>
          <w:szCs w:val="24"/>
        </w:rPr>
        <w:t>；</w:t>
      </w:r>
    </w:p>
    <w:p w14:paraId="59F9E1E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（十）投保人、被保险人所能提供的与确认保险事故的性质、原因、损失程度等有关的其他证明和资料。</w:t>
      </w:r>
    </w:p>
    <w:p w14:paraId="537541FE">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被保险人未履行前款约定的索赔材料提供义务，导致保险人无法核实损失情况的，保险人对无法核实部分不承担赔偿责任。</w:t>
      </w:r>
    </w:p>
    <w:p w14:paraId="4E5CD329">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ascii="宋体" w:hAnsi="宋体"/>
          <w:color w:val="auto"/>
          <w:sz w:val="24"/>
          <w:szCs w:val="24"/>
        </w:rPr>
        <w:t>赔偿处理</w:t>
      </w:r>
    </w:p>
    <w:p w14:paraId="1AA08991">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第二十九条</w:t>
      </w:r>
      <w:r>
        <w:rPr>
          <w:rFonts w:hint="eastAsia" w:ascii="宋体" w:hAnsi="宋体"/>
          <w:color w:val="auto"/>
          <w:sz w:val="24"/>
          <w:szCs w:val="24"/>
        </w:rPr>
        <w:t xml:space="preserve"> 保险人的赔偿以下列方式之一确定的被保险人的赔偿责任为基础：</w:t>
      </w:r>
    </w:p>
    <w:p w14:paraId="6DFF3AF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（一）被保险人和向其提出损害赔偿请求的索赔方协商并经保险人确认；</w:t>
      </w:r>
    </w:p>
    <w:p w14:paraId="538BD3B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（二）仲裁机构裁决；</w:t>
      </w:r>
    </w:p>
    <w:p w14:paraId="128928D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（三）人民法院判决；</w:t>
      </w:r>
    </w:p>
    <w:p w14:paraId="203F4A6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（四）保险人认可的其他方式。</w:t>
      </w:r>
    </w:p>
    <w:p w14:paraId="6622B516">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第三十条</w:t>
      </w:r>
      <w:r>
        <w:rPr>
          <w:rFonts w:hint="eastAsia" w:ascii="宋体" w:hAnsi="宋体"/>
          <w:color w:val="auto"/>
          <w:sz w:val="24"/>
          <w:szCs w:val="24"/>
        </w:rPr>
        <w:t>被保险人给第三者造成损害，被保险人未向该第三者赔偿的，保险人不得向被保险人赔偿保险金。</w:t>
      </w:r>
    </w:p>
    <w:p w14:paraId="719A3AC2">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三十一</w:t>
      </w:r>
      <w:r>
        <w:rPr>
          <w:rFonts w:ascii="宋体" w:hAnsi="宋体"/>
          <w:color w:val="auto"/>
          <w:sz w:val="24"/>
          <w:szCs w:val="24"/>
        </w:rPr>
        <w:t>条 保险人接到被保险人的索赔申请后，有权聘请专业技术人员参与调查、处理。</w:t>
      </w:r>
    </w:p>
    <w:p w14:paraId="54EA1A6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三十二</w:t>
      </w:r>
      <w:r>
        <w:rPr>
          <w:rFonts w:ascii="宋体" w:hAnsi="宋体"/>
          <w:color w:val="auto"/>
          <w:sz w:val="24"/>
          <w:szCs w:val="24"/>
        </w:rPr>
        <w:t>条</w:t>
      </w:r>
      <w:r>
        <w:rPr>
          <w:rFonts w:hint="eastAsia" w:ascii="宋体" w:hAnsi="宋体"/>
          <w:color w:val="auto"/>
          <w:sz w:val="24"/>
          <w:szCs w:val="24"/>
        </w:rPr>
        <w:t xml:space="preserve"> 发生保险责任范围内的损失，保险人按以下方式计算赔偿：</w:t>
      </w:r>
    </w:p>
    <w:p w14:paraId="3BC1542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（一）</w:t>
      </w:r>
      <w:r>
        <w:rPr>
          <w:rFonts w:ascii="宋体" w:hAnsi="宋体"/>
          <w:color w:val="auto"/>
          <w:sz w:val="24"/>
          <w:szCs w:val="24"/>
        </w:rPr>
        <w:t>保险人对每位患者的赔偿金额以患者或其近亲属与被保险人及保险人协商确定的金额或经法院、仲裁机构或卫生行政部门依法判决、裁决、裁定或调解的应由被保险人偿付的金额为准，但不得超过本保险单明细表中列明的医疗责任每人赔偿限额</w:t>
      </w:r>
      <w:r>
        <w:rPr>
          <w:rFonts w:hint="eastAsia" w:ascii="宋体" w:hAnsi="宋体"/>
          <w:color w:val="auto"/>
          <w:sz w:val="24"/>
          <w:szCs w:val="24"/>
        </w:rPr>
        <w:t>；</w:t>
      </w:r>
    </w:p>
    <w:p w14:paraId="5FFCEF7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（二）</w:t>
      </w:r>
      <w:r>
        <w:rPr>
          <w:rFonts w:ascii="宋体" w:hAnsi="宋体"/>
          <w:color w:val="auto"/>
          <w:sz w:val="24"/>
          <w:szCs w:val="24"/>
        </w:rPr>
        <w:t>对于被保险人依法应当承担的精神损害赔偿责任，保险人的赔偿金额以本保险单明细表中列明的医疗责任每人赔偿限额的30％为限，并计算在每人赔偿限额之内</w:t>
      </w:r>
      <w:r>
        <w:rPr>
          <w:rFonts w:hint="eastAsia" w:ascii="宋体" w:hAnsi="宋体"/>
          <w:color w:val="auto"/>
          <w:sz w:val="24"/>
          <w:szCs w:val="24"/>
        </w:rPr>
        <w:t>；</w:t>
      </w:r>
    </w:p>
    <w:p w14:paraId="5318C9D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（三）除另有约定外，</w:t>
      </w:r>
      <w:r>
        <w:rPr>
          <w:rFonts w:ascii="宋体" w:hAnsi="宋体"/>
          <w:color w:val="auto"/>
          <w:sz w:val="24"/>
          <w:szCs w:val="24"/>
        </w:rPr>
        <w:t>医疗责任每次索赔的免赔额按每人赔偿金额的5%或1000元扣减，两者以高者为准</w:t>
      </w:r>
      <w:r>
        <w:rPr>
          <w:rFonts w:hint="eastAsia" w:ascii="宋体" w:hAnsi="宋体"/>
          <w:color w:val="auto"/>
          <w:sz w:val="24"/>
          <w:szCs w:val="24"/>
        </w:rPr>
        <w:t>；</w:t>
      </w:r>
    </w:p>
    <w:p w14:paraId="02AE542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（四）</w:t>
      </w:r>
      <w:r>
        <w:rPr>
          <w:rFonts w:ascii="宋体" w:hAnsi="宋体"/>
          <w:color w:val="auto"/>
          <w:sz w:val="24"/>
          <w:szCs w:val="24"/>
        </w:rPr>
        <w:t>在本保险有效期限内，保险人对被保险人多次索赔的累计赔偿金额不得超过本保险单明细表中列明的医疗责任累计赔偿限额。</w:t>
      </w:r>
    </w:p>
    <w:p w14:paraId="2BB91D6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三十三</w:t>
      </w:r>
      <w:r>
        <w:rPr>
          <w:rFonts w:ascii="宋体" w:hAnsi="宋体"/>
          <w:color w:val="auto"/>
          <w:sz w:val="24"/>
          <w:szCs w:val="24"/>
        </w:rPr>
        <w:t>条 保险人对法律费用的每次索赔赔偿金额以实际发生的费用金额为准，但不得超过本保险单明细表中列明的法律费用每次索赔赔偿限额。在本保险有效期限内，保险人对被保险人多次索赔的法律费用累计赔偿金额不得超过本保险单明细表中列明的法律费用累计赔偿限额。</w:t>
      </w:r>
    </w:p>
    <w:p w14:paraId="5C49BCE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bCs/>
          <w:color w:val="auto"/>
          <w:sz w:val="24"/>
          <w:szCs w:val="24"/>
        </w:rPr>
        <w:t>第三十四条</w:t>
      </w:r>
      <w:r>
        <w:rPr>
          <w:rFonts w:hint="eastAsia" w:ascii="宋体" w:hAnsi="宋体"/>
          <w:color w:val="auto"/>
          <w:sz w:val="24"/>
          <w:szCs w:val="24"/>
        </w:rPr>
        <w:t xml:space="preserve"> 发生保险事故时，如果被保险人的损失在有相同保障的其他保险项下也能够获得赔偿，则本保险人按照本保险合同的</w:t>
      </w:r>
      <w:r>
        <w:rPr>
          <w:rFonts w:ascii="宋体" w:hAnsi="宋体"/>
          <w:color w:val="auto"/>
          <w:sz w:val="24"/>
          <w:szCs w:val="24"/>
        </w:rPr>
        <w:t>累计</w:t>
      </w:r>
      <w:r>
        <w:rPr>
          <w:rFonts w:hint="eastAsia" w:ascii="宋体" w:hAnsi="宋体"/>
          <w:color w:val="auto"/>
          <w:sz w:val="24"/>
          <w:szCs w:val="24"/>
        </w:rPr>
        <w:t>赔偿限额与其他保险合同及本合同的</w:t>
      </w:r>
      <w:r>
        <w:rPr>
          <w:rFonts w:ascii="宋体" w:hAnsi="宋体"/>
          <w:color w:val="auto"/>
          <w:sz w:val="24"/>
          <w:szCs w:val="24"/>
        </w:rPr>
        <w:t>累计</w:t>
      </w:r>
      <w:r>
        <w:rPr>
          <w:rFonts w:hint="eastAsia" w:ascii="宋体" w:hAnsi="宋体"/>
          <w:color w:val="auto"/>
          <w:sz w:val="24"/>
          <w:szCs w:val="24"/>
        </w:rPr>
        <w:t>赔偿限额总和的比例承担赔偿责任。</w:t>
      </w:r>
    </w:p>
    <w:p w14:paraId="30E3F18D">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其他保险人应承担的赔偿金额，本保险人不负责垫付。若被保险人未如实告知导致保险人多支付赔偿金的，保险人有权向被保险人追回多支付的部分。</w:t>
      </w:r>
    </w:p>
    <w:p w14:paraId="2F5EB7A3">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三十五</w:t>
      </w:r>
      <w:r>
        <w:rPr>
          <w:rFonts w:ascii="宋体" w:hAnsi="宋体"/>
          <w:color w:val="auto"/>
          <w:sz w:val="24"/>
          <w:szCs w:val="24"/>
        </w:rPr>
        <w:t xml:space="preserve">条 </w:t>
      </w:r>
      <w:r>
        <w:rPr>
          <w:rFonts w:hint="eastAsia" w:ascii="宋体" w:hAnsi="宋体"/>
          <w:color w:val="auto"/>
          <w:sz w:val="24"/>
          <w:szCs w:val="24"/>
        </w:rPr>
        <w:t>发生保险责任范围内的损失，应由有关责任方负责赔偿的，保险人自向被保险人赔偿保险金之日起，在赔偿金额范围内代位行使被保险人对有关责任方请求赔偿的权利，被保险人应当向保险人提供必要的文件和所知道的有关情况。</w:t>
      </w:r>
    </w:p>
    <w:p w14:paraId="1DB9E88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被保险人已经从有关责任方取得赔偿的，保险人赔偿保险金时，可以相应扣减被保险人已从有关责任方取得的赔偿金额。</w:t>
      </w:r>
    </w:p>
    <w:p w14:paraId="0EB7C97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保险事故发生后，在保险人未赔偿保险金之前，被保险人放弃对有关责任方请求赔偿权利的，保险人不承担赔偿责任；保险人向被保险人赔偿保险金后，被保险人未经保险人同意放弃对有关责任方请求赔偿权利的，该行为无效；由于被保险人故意或者因重大过失致使保险人不能行使代位请求赔偿的权利的，保险人可以扣减或者要求返还相应的保险金。</w:t>
      </w:r>
    </w:p>
    <w:p w14:paraId="636EF82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ascii="宋体" w:hAnsi="宋体"/>
          <w:color w:val="auto"/>
          <w:sz w:val="24"/>
          <w:szCs w:val="24"/>
        </w:rPr>
        <w:t>第</w:t>
      </w:r>
      <w:r>
        <w:rPr>
          <w:rFonts w:hint="eastAsia" w:ascii="宋体" w:hAnsi="宋体"/>
          <w:bCs/>
          <w:color w:val="auto"/>
          <w:sz w:val="24"/>
          <w:szCs w:val="24"/>
        </w:rPr>
        <w:t>三十六</w:t>
      </w:r>
      <w:r>
        <w:rPr>
          <w:rFonts w:ascii="宋体" w:hAnsi="宋体"/>
          <w:color w:val="auto"/>
          <w:sz w:val="24"/>
          <w:szCs w:val="24"/>
        </w:rPr>
        <w:t>条被保险人向保险人请求赔偿</w:t>
      </w:r>
      <w:r>
        <w:rPr>
          <w:rFonts w:hint="eastAsia" w:ascii="宋体" w:hAnsi="宋体"/>
          <w:color w:val="auto"/>
          <w:sz w:val="24"/>
          <w:szCs w:val="24"/>
        </w:rPr>
        <w:t>保险金</w:t>
      </w:r>
      <w:r>
        <w:rPr>
          <w:rFonts w:ascii="宋体" w:hAnsi="宋体"/>
          <w:color w:val="auto"/>
          <w:sz w:val="24"/>
          <w:szCs w:val="24"/>
        </w:rPr>
        <w:t>的诉讼时效期间为二年，自其知道或者应当知道保险事故发生之日起计算。</w:t>
      </w:r>
    </w:p>
    <w:p w14:paraId="41698AFB">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hint="eastAsia" w:ascii="宋体" w:hAnsi="宋体"/>
          <w:color w:val="auto"/>
          <w:sz w:val="24"/>
          <w:szCs w:val="24"/>
        </w:rPr>
        <w:t>争议处理和法律适用</w:t>
      </w:r>
    </w:p>
    <w:p w14:paraId="0531D5EC">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w:t>
      </w:r>
      <w:r>
        <w:rPr>
          <w:rFonts w:hint="eastAsia" w:ascii="宋体" w:hAnsi="宋体"/>
          <w:bCs/>
          <w:color w:val="auto"/>
          <w:sz w:val="24"/>
          <w:szCs w:val="24"/>
        </w:rPr>
        <w:t>三十七</w:t>
      </w:r>
      <w:r>
        <w:rPr>
          <w:rFonts w:hint="eastAsia" w:ascii="宋体" w:hAnsi="宋体"/>
          <w:color w:val="auto"/>
          <w:sz w:val="24"/>
          <w:szCs w:val="24"/>
        </w:rPr>
        <w:t>条 因履行本保险合同发生的争议，由当事人协商解决。协商不成的，提交保险单载明的仲裁机构仲裁；保险单未载明仲裁机构且争议发生后未达成仲裁协议的，依法向中华人民共和国人民法院起诉。</w:t>
      </w:r>
    </w:p>
    <w:p w14:paraId="50AC42A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第</w:t>
      </w:r>
      <w:r>
        <w:rPr>
          <w:rFonts w:hint="eastAsia" w:ascii="宋体" w:hAnsi="宋体"/>
          <w:bCs/>
          <w:color w:val="auto"/>
          <w:sz w:val="24"/>
          <w:szCs w:val="24"/>
        </w:rPr>
        <w:t>三十八</w:t>
      </w:r>
      <w:r>
        <w:rPr>
          <w:rFonts w:hint="eastAsia" w:ascii="宋体" w:hAnsi="宋体"/>
          <w:color w:val="auto"/>
          <w:sz w:val="24"/>
          <w:szCs w:val="24"/>
        </w:rPr>
        <w:t>条 本保险合同的争议处理适用中华人民共和国法律（不包括港澳台地区法律）。</w:t>
      </w:r>
    </w:p>
    <w:p w14:paraId="4E9D4432">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olor w:val="auto"/>
          <w:sz w:val="24"/>
          <w:szCs w:val="24"/>
        </w:rPr>
      </w:pPr>
      <w:r>
        <w:rPr>
          <w:rFonts w:ascii="宋体" w:hAnsi="宋体"/>
          <w:color w:val="auto"/>
          <w:sz w:val="24"/>
          <w:szCs w:val="24"/>
        </w:rPr>
        <w:t>其他事项</w:t>
      </w:r>
    </w:p>
    <w:p w14:paraId="309ED6E8">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bCs/>
          <w:color w:val="auto"/>
          <w:sz w:val="24"/>
          <w:szCs w:val="24"/>
        </w:rPr>
      </w:pPr>
      <w:r>
        <w:rPr>
          <w:rFonts w:ascii="宋体" w:hAnsi="宋体"/>
          <w:bCs/>
          <w:color w:val="auto"/>
          <w:sz w:val="24"/>
          <w:szCs w:val="24"/>
        </w:rPr>
        <w:t>第</w:t>
      </w:r>
      <w:r>
        <w:rPr>
          <w:rFonts w:hint="eastAsia" w:ascii="宋体" w:hAnsi="宋体"/>
          <w:bCs/>
          <w:color w:val="auto"/>
          <w:sz w:val="24"/>
          <w:szCs w:val="24"/>
        </w:rPr>
        <w:t>三十九</w:t>
      </w:r>
      <w:r>
        <w:rPr>
          <w:rFonts w:ascii="宋体" w:hAnsi="宋体"/>
          <w:bCs/>
          <w:color w:val="auto"/>
          <w:sz w:val="24"/>
          <w:szCs w:val="24"/>
        </w:rPr>
        <w:t>条</w:t>
      </w:r>
      <w:r>
        <w:rPr>
          <w:rFonts w:ascii="宋体" w:hAnsi="宋体"/>
          <w:color w:val="auto"/>
          <w:sz w:val="24"/>
          <w:szCs w:val="24"/>
        </w:rPr>
        <w:t xml:space="preserve"> 保险责任开始后，投保人要求解除保险合同的，自通知本保险人之日起，保险合同解除，本保险人按短期费率计收自保险责任开始之日起至合同解除之日止期间的保险费，并退还剩余部分保险费；本保险人要求解除保险合同的，应提前十五日向投保人发出解约通知书，本保险人按照保险责任开始之日起至合同解除之日止期间与保险期间的日比例计收保险费，并退还剩余部分保险费。</w:t>
      </w:r>
    </w:p>
    <w:p w14:paraId="3B8061B1">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rPr>
      </w:pPr>
      <w:r>
        <w:rPr>
          <w:rFonts w:hint="eastAsia" w:ascii="宋体" w:hAnsi="宋体"/>
          <w:color w:val="auto"/>
          <w:sz w:val="24"/>
          <w:szCs w:val="24"/>
        </w:rPr>
        <w:t>附录：</w:t>
      </w:r>
      <w:r>
        <w:rPr>
          <w:rFonts w:hint="eastAsia" w:ascii="宋体" w:hAnsi="宋体"/>
          <w:bCs/>
          <w:color w:val="auto"/>
          <w:sz w:val="24"/>
          <w:szCs w:val="24"/>
        </w:rPr>
        <w:t>短期费率表</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5"/>
        <w:gridCol w:w="540"/>
        <w:gridCol w:w="540"/>
        <w:gridCol w:w="540"/>
        <w:gridCol w:w="540"/>
        <w:gridCol w:w="540"/>
        <w:gridCol w:w="540"/>
        <w:gridCol w:w="540"/>
        <w:gridCol w:w="540"/>
        <w:gridCol w:w="540"/>
        <w:gridCol w:w="540"/>
        <w:gridCol w:w="537"/>
        <w:gridCol w:w="576"/>
      </w:tblGrid>
      <w:tr w14:paraId="59C62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F4C786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保险期间</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45DFF4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一</w:t>
            </w:r>
          </w:p>
          <w:p w14:paraId="16DA1A4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402EEC34">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2F4E1E">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二</w:t>
            </w:r>
          </w:p>
          <w:p w14:paraId="33FBD5A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498F7479">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483A63E">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三</w:t>
            </w:r>
          </w:p>
          <w:p w14:paraId="31EA622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7F7E20C6">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66B64B">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四</w:t>
            </w:r>
          </w:p>
          <w:p w14:paraId="6D2F366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53347FF7">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5519C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五</w:t>
            </w:r>
          </w:p>
          <w:p w14:paraId="4F2712D6">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3B7CFA3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D4974E">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六</w:t>
            </w:r>
          </w:p>
          <w:p w14:paraId="60744FB7">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15D56717">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A22EEA7">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七</w:t>
            </w:r>
          </w:p>
          <w:p w14:paraId="24473AC2">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6AD75A78">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30548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八</w:t>
            </w:r>
          </w:p>
          <w:p w14:paraId="4C11D14D">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29397DA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13A44C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九</w:t>
            </w:r>
          </w:p>
          <w:p w14:paraId="4CC499F2">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0627406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5E20F6">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十</w:t>
            </w:r>
          </w:p>
          <w:p w14:paraId="3C85921D">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3D191DA7">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B1EA8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十</w:t>
            </w:r>
          </w:p>
          <w:p w14:paraId="7C837A5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一</w:t>
            </w:r>
          </w:p>
          <w:p w14:paraId="106E61C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3C9CCD4B">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c>
          <w:tcPr>
            <w:tcW w:w="5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D496B2F">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十</w:t>
            </w:r>
          </w:p>
          <w:p w14:paraId="735B4D4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二</w:t>
            </w:r>
          </w:p>
          <w:p w14:paraId="2021C354">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个</w:t>
            </w:r>
          </w:p>
          <w:p w14:paraId="61EDE744">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月</w:t>
            </w:r>
          </w:p>
        </w:tc>
      </w:tr>
      <w:tr w14:paraId="76AD0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95"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428C08">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年费率的百分比</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0D2A8C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15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E2C0E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25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F33E3C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35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170C0C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45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52148AA">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55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D6D0AE">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65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9E58D0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75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6987A0">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80</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79C5E7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85</w:t>
            </w:r>
          </w:p>
        </w:tc>
        <w:tc>
          <w:tcPr>
            <w:tcW w:w="54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4D58A8">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90</w:t>
            </w:r>
          </w:p>
        </w:tc>
        <w:tc>
          <w:tcPr>
            <w:tcW w:w="53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7050BB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95</w:t>
            </w:r>
          </w:p>
        </w:tc>
        <w:tc>
          <w:tcPr>
            <w:tcW w:w="53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334ACEB">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hint="eastAsia" w:ascii="宋体" w:hAnsi="宋体"/>
                <w:color w:val="auto"/>
                <w:sz w:val="24"/>
                <w:szCs w:val="24"/>
                <w:highlight w:val="none"/>
              </w:rPr>
              <w:t>100</w:t>
            </w:r>
          </w:p>
        </w:tc>
      </w:tr>
    </w:tbl>
    <w:p w14:paraId="1977439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注：不足一个月的按一个月计收。</w:t>
      </w:r>
    </w:p>
    <w:p w14:paraId="4EBAAECD">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jc w:val="center"/>
        <w:textAlignment w:val="auto"/>
        <w:rPr>
          <w:rFonts w:ascii="宋体" w:hAnsi="宋体"/>
          <w:b/>
          <w:bCs w:val="0"/>
          <w:color w:val="auto"/>
          <w:sz w:val="24"/>
          <w:szCs w:val="24"/>
          <w:highlight w:val="none"/>
        </w:rPr>
      </w:pPr>
      <w:bookmarkStart w:id="192" w:name="_Toc211054566"/>
      <w:bookmarkStart w:id="193" w:name="_Toc240074997"/>
      <w:r>
        <w:rPr>
          <w:rFonts w:hint="eastAsia" w:ascii="宋体" w:hAnsi="宋体"/>
          <w:b/>
          <w:bCs w:val="0"/>
          <w:color w:val="auto"/>
          <w:sz w:val="24"/>
          <w:szCs w:val="24"/>
          <w:highlight w:val="none"/>
          <w:lang w:val="en-US" w:eastAsia="zh-CN"/>
        </w:rPr>
        <w:t xml:space="preserve">第二章 </w:t>
      </w:r>
      <w:r>
        <w:rPr>
          <w:rFonts w:hint="eastAsia" w:ascii="宋体" w:hAnsi="宋体"/>
          <w:b/>
          <w:bCs w:val="0"/>
          <w:color w:val="auto"/>
          <w:sz w:val="24"/>
          <w:szCs w:val="24"/>
          <w:highlight w:val="none"/>
        </w:rPr>
        <w:t>医疗责任保险附加医疗机构场所责任保险条款</w:t>
      </w:r>
      <w:bookmarkEnd w:id="192"/>
      <w:bookmarkEnd w:id="193"/>
    </w:p>
    <w:p w14:paraId="65D208A6">
      <w:pPr>
        <w:keepNext w:val="0"/>
        <w:keepLines w:val="0"/>
        <w:pageBreakBefore w:val="0"/>
        <w:kinsoku/>
        <w:wordWrap/>
        <w:overflowPunct/>
        <w:topLinePunct w:val="0"/>
        <w:autoSpaceDE/>
        <w:autoSpaceDN/>
        <w:bidi w:val="0"/>
        <w:adjustRightInd/>
        <w:snapToGrid/>
        <w:spacing w:beforeAutospacing="0" w:afterAutospacing="0" w:line="520" w:lineRule="exact"/>
        <w:ind w:firstLine="624"/>
        <w:textAlignment w:val="auto"/>
        <w:rPr>
          <w:rFonts w:ascii="宋体" w:hAnsi="宋体"/>
          <w:b/>
          <w:color w:val="auto"/>
          <w:sz w:val="24"/>
          <w:szCs w:val="24"/>
          <w:highlight w:val="none"/>
        </w:rPr>
      </w:pPr>
      <w:r>
        <w:rPr>
          <w:rFonts w:hint="eastAsia" w:ascii="宋体" w:hAnsi="宋体"/>
          <w:color w:val="auto"/>
          <w:sz w:val="24"/>
          <w:szCs w:val="24"/>
          <w:highlight w:val="none"/>
        </w:rPr>
        <w:t>经保险合同双方特别约定，且投保人已</w:t>
      </w:r>
      <w:r>
        <w:rPr>
          <w:rFonts w:hint="eastAsia" w:ascii="宋体" w:hAnsi="宋体"/>
          <w:color w:val="auto"/>
          <w:sz w:val="24"/>
          <w:szCs w:val="24"/>
          <w:highlight w:val="none"/>
          <w:lang w:val="en-US" w:eastAsia="zh-CN"/>
        </w:rPr>
        <w:t>缴</w:t>
      </w:r>
      <w:r>
        <w:rPr>
          <w:rFonts w:hint="eastAsia" w:ascii="宋体" w:hAnsi="宋体"/>
          <w:color w:val="auto"/>
          <w:sz w:val="24"/>
          <w:szCs w:val="24"/>
          <w:highlight w:val="none"/>
        </w:rPr>
        <w:t>纳相应的保险费，在保险单明细表列明的保险期间及承保区域范围内，由于下列原因导致第三者（含患者）的人身伤害或财产损失，</w:t>
      </w:r>
      <w:r>
        <w:rPr>
          <w:rFonts w:ascii="宋体" w:hAnsi="宋体"/>
          <w:color w:val="auto"/>
          <w:sz w:val="24"/>
          <w:szCs w:val="24"/>
          <w:highlight w:val="none"/>
        </w:rPr>
        <w:t>依</w:t>
      </w:r>
      <w:r>
        <w:rPr>
          <w:rFonts w:hint="eastAsia" w:ascii="宋体" w:hAnsi="宋体"/>
          <w:color w:val="auto"/>
          <w:sz w:val="24"/>
          <w:szCs w:val="24"/>
          <w:highlight w:val="none"/>
        </w:rPr>
        <w:t>照中华人民共和国法律（不包括港澳台地区法律）</w:t>
      </w:r>
      <w:r>
        <w:rPr>
          <w:rFonts w:ascii="宋体" w:hAnsi="宋体"/>
          <w:color w:val="auto"/>
          <w:sz w:val="24"/>
          <w:szCs w:val="24"/>
          <w:highlight w:val="none"/>
        </w:rPr>
        <w:t>应由被保险人承担</w:t>
      </w:r>
      <w:r>
        <w:rPr>
          <w:rFonts w:hint="eastAsia" w:ascii="宋体" w:hAnsi="宋体"/>
          <w:color w:val="auto"/>
          <w:sz w:val="24"/>
          <w:szCs w:val="24"/>
          <w:highlight w:val="none"/>
        </w:rPr>
        <w:t>经济赔偿责任时，保险人根据本保险合同的约定负责赔偿：</w:t>
      </w:r>
    </w:p>
    <w:p w14:paraId="0172E9E4">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（一）医疗机构的公共设施存在缺陷；</w:t>
      </w:r>
    </w:p>
    <w:p w14:paraId="6B1163DF">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（二）被保险人或其雇员对医疗机构内的公共设施管理不善或操作、维护不当；</w:t>
      </w:r>
    </w:p>
    <w:p w14:paraId="3875656E">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（三）被保险人或其雇员的过失导致的火灾或爆炸；</w:t>
      </w:r>
    </w:p>
    <w:p w14:paraId="1D74B43A">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（四）被保险人或其雇员的过失导致被保险人提供的食品引发食物中毒或其他食源性疾患。</w:t>
      </w:r>
    </w:p>
    <w:p w14:paraId="30DC4B9B">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color w:val="auto"/>
          <w:sz w:val="24"/>
          <w:szCs w:val="24"/>
          <w:highlight w:val="none"/>
        </w:rPr>
      </w:pPr>
      <w:r>
        <w:rPr>
          <w:rFonts w:hint="eastAsia" w:ascii="宋体" w:hAnsi="宋体"/>
          <w:color w:val="auto"/>
          <w:sz w:val="24"/>
          <w:szCs w:val="24"/>
          <w:highlight w:val="none"/>
        </w:rPr>
        <w:t>本附加险条款与主险条款相抵触之处，以本附加险条款为准；其他未尽事项以主险条款为准。</w:t>
      </w:r>
    </w:p>
    <w:p w14:paraId="3293CEB9">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第三章 </w:t>
      </w:r>
      <w:r>
        <w:rPr>
          <w:rFonts w:hint="eastAsia" w:ascii="宋体" w:hAnsi="宋体" w:cs="宋体"/>
          <w:b/>
          <w:bCs w:val="0"/>
          <w:color w:val="auto"/>
          <w:sz w:val="24"/>
          <w:szCs w:val="24"/>
          <w:highlight w:val="none"/>
        </w:rPr>
        <w:t>医疗责任保险附加会诊费用保险条款</w:t>
      </w:r>
    </w:p>
    <w:p w14:paraId="54BA0DA9">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
          <w:bCs/>
          <w:color w:val="auto"/>
          <w:sz w:val="24"/>
          <w:szCs w:val="24"/>
          <w:highlight w:val="none"/>
        </w:rPr>
      </w:pPr>
      <w:r>
        <w:rPr>
          <w:rFonts w:hint="eastAsia" w:ascii="宋体" w:hAnsi="宋体" w:cs="仿宋"/>
          <w:bCs/>
          <w:color w:val="auto"/>
          <w:sz w:val="24"/>
          <w:szCs w:val="24"/>
          <w:highlight w:val="none"/>
        </w:rPr>
        <w:t>第一条</w:t>
      </w:r>
      <w:r>
        <w:rPr>
          <w:rFonts w:ascii="宋体" w:hAnsi="宋体"/>
          <w:bCs/>
          <w:color w:val="auto"/>
          <w:sz w:val="24"/>
          <w:szCs w:val="24"/>
          <w:highlight w:val="none"/>
        </w:rPr>
        <w:t>在投保《</w:t>
      </w:r>
      <w:r>
        <w:rPr>
          <w:rFonts w:hint="eastAsia" w:ascii="宋体" w:hAnsi="宋体"/>
          <w:color w:val="auto"/>
          <w:sz w:val="24"/>
          <w:szCs w:val="24"/>
          <w:highlight w:val="none"/>
        </w:rPr>
        <w:t>医疗责任</w:t>
      </w:r>
      <w:r>
        <w:rPr>
          <w:rFonts w:ascii="宋体" w:hAnsi="宋体"/>
          <w:color w:val="auto"/>
          <w:sz w:val="24"/>
          <w:szCs w:val="24"/>
          <w:highlight w:val="none"/>
        </w:rPr>
        <w:t>保险</w:t>
      </w:r>
      <w:r>
        <w:rPr>
          <w:rFonts w:ascii="宋体" w:hAnsi="宋体"/>
          <w:bCs/>
          <w:color w:val="auto"/>
          <w:sz w:val="24"/>
          <w:szCs w:val="24"/>
          <w:highlight w:val="none"/>
        </w:rPr>
        <w:t>》（以下简称“主险”）的基础上，投保人可以投保本附加险。本附加险条款与主险条款相悖之处，以本附加险条款为准；本附加险条款未尽事宜，以主险条款为准。主险效力终止，本附加险效力亦同时终止；主险无效，本附加险亦无效。</w:t>
      </w:r>
    </w:p>
    <w:p w14:paraId="06C61465">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s="仿宋"/>
          <w:color w:val="auto"/>
          <w:sz w:val="24"/>
          <w:szCs w:val="24"/>
          <w:highlight w:val="none"/>
        </w:rPr>
        <w:t>第二条</w:t>
      </w:r>
      <w:r>
        <w:rPr>
          <w:rFonts w:hint="eastAsia" w:ascii="宋体" w:hAnsi="宋体" w:cs="仿宋"/>
          <w:bCs/>
          <w:color w:val="auto"/>
          <w:sz w:val="24"/>
          <w:szCs w:val="24"/>
          <w:highlight w:val="none"/>
        </w:rPr>
        <w:t>兹经保险合同双方同意，在保险期间内发生主险责任范围内医疗事故的，</w:t>
      </w:r>
      <w:r>
        <w:rPr>
          <w:rFonts w:hint="eastAsia" w:ascii="宋体" w:hAnsi="宋体"/>
          <w:color w:val="auto"/>
          <w:sz w:val="24"/>
          <w:szCs w:val="24"/>
          <w:highlight w:val="none"/>
        </w:rPr>
        <w:t>对于患者在诊疗护理期间，被保险人</w:t>
      </w:r>
      <w:r>
        <w:rPr>
          <w:rFonts w:hint="eastAsia" w:ascii="宋体" w:hAnsi="宋体" w:cs="仿宋"/>
          <w:color w:val="auto"/>
          <w:sz w:val="24"/>
          <w:szCs w:val="24"/>
          <w:highlight w:val="none"/>
        </w:rPr>
        <w:t>因患者病情超出被保险人医疗水平而外请医务人员参加会诊所实际支付的必要的、合理的会诊费用，保险人按照</w:t>
      </w:r>
      <w:r>
        <w:rPr>
          <w:rFonts w:hint="eastAsia" w:ascii="宋体" w:hAnsi="宋体"/>
          <w:color w:val="auto"/>
          <w:sz w:val="24"/>
          <w:szCs w:val="24"/>
          <w:highlight w:val="none"/>
        </w:rPr>
        <w:t>被保险人应当承担的责任比例在主险赔偿限额以外另行计算赔偿。</w:t>
      </w:r>
    </w:p>
    <w:p w14:paraId="07D60A50">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bCs/>
          <w:color w:val="auto"/>
          <w:sz w:val="24"/>
          <w:szCs w:val="24"/>
          <w:highlight w:val="none"/>
        </w:rPr>
        <w:t>第三条</w:t>
      </w:r>
      <w:r>
        <w:rPr>
          <w:rFonts w:hint="eastAsia" w:ascii="宋体" w:hAnsi="宋体"/>
          <w:color w:val="auto"/>
          <w:sz w:val="24"/>
          <w:szCs w:val="24"/>
          <w:highlight w:val="none"/>
        </w:rPr>
        <w:t>本附加险项下的每次事故赔偿限额、每次事故每位患者赔偿限额、累计赔偿限额和每次事故免赔额（率）由投保人与保险人协商确定，并在保险合同中载明。</w:t>
      </w:r>
    </w:p>
    <w:p w14:paraId="24F11BDD">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olor w:val="auto"/>
          <w:sz w:val="24"/>
          <w:szCs w:val="24"/>
          <w:highlight w:val="none"/>
        </w:rPr>
        <w:t>第四条发生本附加险项下保险责任范围内的损失，保险人按照以下方式计算赔偿：</w:t>
      </w:r>
    </w:p>
    <w:p w14:paraId="469091A1">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olor w:val="auto"/>
          <w:sz w:val="24"/>
          <w:szCs w:val="24"/>
          <w:highlight w:val="none"/>
        </w:rPr>
        <w:t>（一）保险人对被保险人的赔偿金额以被保险人实际支付的会诊费用乘以依照主险第二十九条确定的被保险人应当承担的责任比例，扣减每次事故免赔额或按每次事故免赔额计算的金额后计算；</w:t>
      </w:r>
    </w:p>
    <w:p w14:paraId="7730CA7C">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olor w:val="auto"/>
          <w:sz w:val="24"/>
          <w:szCs w:val="24"/>
          <w:highlight w:val="none"/>
        </w:rPr>
        <w:t>（二）保险人对每位患者的赔偿金额最高不超过每次事故每位患者赔偿限额，对每次事故的赔偿金额最高不超过每次事故赔偿限额；</w:t>
      </w:r>
    </w:p>
    <w:p w14:paraId="6788D0FE">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olor w:val="auto"/>
          <w:sz w:val="24"/>
          <w:szCs w:val="24"/>
          <w:highlight w:val="none"/>
        </w:rPr>
        <w:t>（三）在保险期间内，保险人对多位患者多次事故承担的赔偿金额总和以本附加险项下的累计赔偿限额为限。</w:t>
      </w:r>
    </w:p>
    <w:p w14:paraId="3D77CDF9">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bCs/>
          <w:color w:val="auto"/>
          <w:sz w:val="24"/>
          <w:szCs w:val="24"/>
          <w:highlight w:val="none"/>
        </w:rPr>
      </w:pPr>
      <w:r>
        <w:rPr>
          <w:rFonts w:hint="eastAsia" w:ascii="宋体" w:hAnsi="宋体"/>
          <w:color w:val="auto"/>
          <w:sz w:val="24"/>
          <w:szCs w:val="24"/>
          <w:highlight w:val="none"/>
        </w:rPr>
        <w:t>第五条</w:t>
      </w:r>
      <w:r>
        <w:rPr>
          <w:rFonts w:hint="eastAsia" w:ascii="宋体" w:hAnsi="宋体"/>
          <w:color w:val="auto"/>
          <w:sz w:val="24"/>
          <w:szCs w:val="24"/>
          <w:highlight w:val="none"/>
          <w:lang w:val="en-US" w:eastAsia="zh-CN"/>
        </w:rPr>
        <w:t xml:space="preserve"> </w:t>
      </w:r>
      <w:r>
        <w:rPr>
          <w:rFonts w:hint="eastAsia" w:ascii="宋体" w:hAnsi="宋体"/>
          <w:bCs/>
          <w:color w:val="auto"/>
          <w:sz w:val="24"/>
          <w:szCs w:val="24"/>
          <w:highlight w:val="none"/>
        </w:rPr>
        <w:t>释义</w:t>
      </w:r>
    </w:p>
    <w:p w14:paraId="3D61CDDD">
      <w:pPr>
        <w:pStyle w:val="707"/>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ascii="宋体" w:hAnsi="宋体"/>
          <w:color w:val="auto"/>
          <w:sz w:val="24"/>
          <w:szCs w:val="24"/>
          <w:highlight w:val="none"/>
        </w:rPr>
      </w:pPr>
      <w:r>
        <w:rPr>
          <w:rFonts w:hint="eastAsia" w:ascii="宋体" w:hAnsi="宋体" w:cs="仿宋"/>
          <w:color w:val="auto"/>
          <w:sz w:val="24"/>
          <w:szCs w:val="24"/>
          <w:highlight w:val="none"/>
        </w:rPr>
        <w:t>外请医务人员</w:t>
      </w:r>
      <w:r>
        <w:rPr>
          <w:rStyle w:val="708"/>
          <w:rFonts w:hint="eastAsia" w:ascii="宋体" w:hAnsi="宋体"/>
          <w:color w:val="auto"/>
          <w:sz w:val="24"/>
          <w:szCs w:val="24"/>
          <w:highlight w:val="none"/>
        </w:rPr>
        <w:t>：</w:t>
      </w:r>
      <w:r>
        <w:rPr>
          <w:rFonts w:hint="eastAsia" w:ascii="宋体" w:hAnsi="宋体"/>
          <w:color w:val="auto"/>
          <w:sz w:val="24"/>
          <w:szCs w:val="24"/>
          <w:highlight w:val="none"/>
        </w:rPr>
        <w:t>指因诊疗护理工作需要，被保险人正式批准从其他医疗机构邀请进行会诊的具有相应资格的医务人员。</w:t>
      </w:r>
    </w:p>
    <w:p w14:paraId="177AFBA8">
      <w:pPr>
        <w:keepNext w:val="0"/>
        <w:keepLines w:val="0"/>
        <w:pageBreakBefore w:val="0"/>
        <w:tabs>
          <w:tab w:val="center" w:pos="4153"/>
          <w:tab w:val="right" w:pos="8306"/>
        </w:tabs>
        <w:kinsoku/>
        <w:wordWrap/>
        <w:overflowPunct/>
        <w:topLinePunct w:val="0"/>
        <w:autoSpaceDE/>
        <w:autoSpaceDN/>
        <w:bidi w:val="0"/>
        <w:adjustRightInd/>
        <w:snapToGrid/>
        <w:spacing w:beforeAutospacing="0" w:afterAutospacing="0" w:line="520" w:lineRule="exact"/>
        <w:jc w:val="left"/>
        <w:textAlignment w:val="auto"/>
        <w:rPr>
          <w:rFonts w:ascii="华文中宋" w:hAnsi="华文中宋" w:eastAsia="华文中宋"/>
          <w:b/>
          <w:color w:val="auto"/>
          <w:sz w:val="24"/>
          <w:szCs w:val="24"/>
          <w:highlight w:val="none"/>
        </w:rPr>
      </w:pPr>
      <w:bookmarkStart w:id="194" w:name="_Toc240074995"/>
      <w:r>
        <w:rPr>
          <w:rFonts w:hAnsi="宋体"/>
          <w:color w:val="auto"/>
          <w:sz w:val="24"/>
          <w:szCs w:val="24"/>
          <w:highlight w:val="none"/>
        </w:rPr>
        <w:tab/>
      </w:r>
      <w:r>
        <w:rPr>
          <w:rFonts w:hint="eastAsia" w:ascii="宋体" w:hAnsi="宋体" w:cs="宋体"/>
          <w:b/>
          <w:bCs w:val="0"/>
          <w:color w:val="auto"/>
          <w:sz w:val="24"/>
          <w:szCs w:val="24"/>
          <w:highlight w:val="none"/>
          <w:lang w:val="en-US" w:eastAsia="zh-CN"/>
        </w:rPr>
        <w:t xml:space="preserve">第四章 </w:t>
      </w:r>
      <w:r>
        <w:rPr>
          <w:rFonts w:hint="eastAsia" w:ascii="宋体" w:hAnsi="宋体" w:cs="宋体"/>
          <w:b/>
          <w:bCs w:val="0"/>
          <w:color w:val="auto"/>
          <w:sz w:val="24"/>
          <w:szCs w:val="24"/>
          <w:highlight w:val="none"/>
        </w:rPr>
        <w:t>医疗责任保险附加医疗意外责任保险条款</w:t>
      </w:r>
      <w:bookmarkEnd w:id="194"/>
      <w:r>
        <w:rPr>
          <w:rFonts w:ascii="华文中宋" w:hAnsi="华文中宋" w:eastAsia="华文中宋"/>
          <w:color w:val="auto"/>
          <w:sz w:val="24"/>
          <w:szCs w:val="24"/>
          <w:highlight w:val="none"/>
        </w:rPr>
        <w:tab/>
      </w:r>
    </w:p>
    <w:p w14:paraId="453D7901">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宋体" w:hAnsi="宋体"/>
          <w:b/>
          <w:color w:val="auto"/>
          <w:sz w:val="24"/>
          <w:szCs w:val="24"/>
          <w:highlight w:val="none"/>
        </w:rPr>
      </w:pPr>
      <w:r>
        <w:rPr>
          <w:rFonts w:ascii="宋体" w:hAnsi="宋体"/>
          <w:color w:val="auto"/>
          <w:sz w:val="24"/>
          <w:szCs w:val="24"/>
          <w:highlight w:val="none"/>
        </w:rPr>
        <w:t>保险责任</w:t>
      </w:r>
    </w:p>
    <w:p w14:paraId="37E6C2D5">
      <w:pPr>
        <w:pStyle w:val="39"/>
        <w:keepNext w:val="0"/>
        <w:keepLines w:val="0"/>
        <w:pageBreakBefore w:val="0"/>
        <w:kinsoku/>
        <w:wordWrap/>
        <w:overflowPunct/>
        <w:topLinePunct w:val="0"/>
        <w:autoSpaceDE/>
        <w:autoSpaceDN/>
        <w:bidi w:val="0"/>
        <w:adjustRightInd/>
        <w:snapToGrid/>
        <w:spacing w:before="0" w:beforeAutospacing="0" w:after="0" w:afterAutospacing="0" w:line="520" w:lineRule="exact"/>
        <w:ind w:firstLine="560"/>
        <w:textAlignment w:val="auto"/>
        <w:rPr>
          <w:rFonts w:ascii="宋体" w:eastAsia="宋体"/>
          <w:color w:val="auto"/>
          <w:sz w:val="24"/>
          <w:szCs w:val="24"/>
        </w:rPr>
      </w:pPr>
      <w:r>
        <w:rPr>
          <w:rFonts w:ascii="宋体" w:eastAsia="宋体"/>
          <w:color w:val="auto"/>
          <w:sz w:val="24"/>
          <w:szCs w:val="24"/>
          <w:highlight w:val="none"/>
        </w:rPr>
        <w:t>在本保险单明细表中列明的保险期间或追溯期及承保区域范围内，被保险人的投保医务人员在诊疗护理活动中，因下列情形</w:t>
      </w:r>
      <w:r>
        <w:rPr>
          <w:rFonts w:ascii="宋体" w:eastAsia="宋体"/>
          <w:color w:val="auto"/>
          <w:sz w:val="24"/>
          <w:szCs w:val="24"/>
        </w:rPr>
        <w:t>造成患者人身损害</w:t>
      </w:r>
      <w:r>
        <w:rPr>
          <w:rFonts w:hint="eastAsia" w:eastAsia="宋体"/>
          <w:color w:val="auto"/>
          <w:sz w:val="24"/>
          <w:szCs w:val="24"/>
          <w:lang w:eastAsia="zh-CN"/>
        </w:rPr>
        <w:t>的</w:t>
      </w:r>
      <w:r>
        <w:rPr>
          <w:rFonts w:ascii="宋体" w:eastAsia="宋体"/>
          <w:color w:val="auto"/>
          <w:sz w:val="24"/>
          <w:szCs w:val="24"/>
        </w:rPr>
        <w:t>，在本保险期间内，由患者或其近亲属首次向被保险人提出索赔申请，依</w:t>
      </w:r>
      <w:r>
        <w:rPr>
          <w:rFonts w:hint="eastAsia" w:ascii="宋体" w:eastAsia="宋体"/>
          <w:color w:val="auto"/>
          <w:sz w:val="24"/>
          <w:szCs w:val="24"/>
        </w:rPr>
        <w:t>照中华人民共和国法律（不包括港澳台地区法律）</w:t>
      </w:r>
      <w:r>
        <w:rPr>
          <w:rFonts w:ascii="宋体" w:eastAsia="宋体"/>
          <w:color w:val="auto"/>
          <w:sz w:val="24"/>
          <w:szCs w:val="24"/>
        </w:rPr>
        <w:t>应由被保险人承担</w:t>
      </w:r>
      <w:r>
        <w:rPr>
          <w:rFonts w:hint="eastAsia" w:ascii="宋体" w:eastAsia="宋体"/>
          <w:color w:val="auto"/>
          <w:sz w:val="24"/>
          <w:szCs w:val="24"/>
        </w:rPr>
        <w:t>经济</w:t>
      </w:r>
      <w:r>
        <w:rPr>
          <w:rFonts w:ascii="宋体" w:eastAsia="宋体"/>
          <w:color w:val="auto"/>
          <w:sz w:val="24"/>
          <w:szCs w:val="24"/>
        </w:rPr>
        <w:t>赔偿责任时，保险人根据本保险合同的约定负责赔偿：</w:t>
      </w:r>
    </w:p>
    <w:p w14:paraId="10D511DD">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（一）在诊疗护理过程中由于病情或患者体质特殊而发生的难以预料或在预料之中但难以防范的不良后果；</w:t>
      </w:r>
    </w:p>
    <w:p w14:paraId="5C927197">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（二）按照正常的技术规范操作，仍然发生难以避免的并发症或者治疗意外；</w:t>
      </w:r>
    </w:p>
    <w:p w14:paraId="0CBC4CED">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（三）应用现有医学科学技术，仍然发生无法预料或难以防范的不良后果；</w:t>
      </w:r>
    </w:p>
    <w:p w14:paraId="0643C147">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（四）在危急情况下为抢救危重患者生命而采取的紧急措施所造成的不良后果。</w:t>
      </w:r>
    </w:p>
    <w:p w14:paraId="07161085">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责任免除</w:t>
      </w:r>
    </w:p>
    <w:p w14:paraId="5292AA9B">
      <w:pPr>
        <w:pStyle w:val="20"/>
        <w:keepNext w:val="0"/>
        <w:keepLines w:val="0"/>
        <w:pageBreakBefore w:val="0"/>
        <w:kinsoku/>
        <w:wordWrap/>
        <w:overflowPunct/>
        <w:topLinePunct w:val="0"/>
        <w:autoSpaceDE/>
        <w:autoSpaceDN/>
        <w:bidi w:val="0"/>
        <w:adjustRightInd/>
        <w:snapToGrid/>
        <w:spacing w:beforeAutospacing="0" w:after="0" w:afterAutospacing="0" w:line="520" w:lineRule="exact"/>
        <w:ind w:left="482" w:firstLine="560"/>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下列情形造成的损失、费用和责任，保险人不负责赔偿：</w:t>
      </w:r>
    </w:p>
    <w:p w14:paraId="6C3EF83E">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（一）无过错输血感染造成的不良后果；</w:t>
      </w:r>
    </w:p>
    <w:p w14:paraId="3BD3FAE2">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（二）因患者或患者一方原因延误诊疗导致的不良后果；</w:t>
      </w:r>
    </w:p>
    <w:p w14:paraId="35DF36A9">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（三）经患者或其近亲属同意，对患者实施实验性诊疗发生的不良后果。</w:t>
      </w:r>
    </w:p>
    <w:p w14:paraId="3BCADFDF">
      <w:pPr>
        <w:keepNext w:val="0"/>
        <w:keepLines w:val="0"/>
        <w:pageBreakBefore w:val="0"/>
        <w:kinsoku/>
        <w:wordWrap/>
        <w:overflowPunct/>
        <w:topLinePunct w:val="0"/>
        <w:autoSpaceDE/>
        <w:autoSpaceDN/>
        <w:bidi w:val="0"/>
        <w:adjustRightInd/>
        <w:snapToGrid/>
        <w:spacing w:beforeAutospacing="0" w:afterAutospacing="0" w:line="520" w:lineRule="exact"/>
        <w:ind w:firstLine="2940"/>
        <w:textAlignment w:val="auto"/>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赔偿限额、免赔额和附加保险费</w:t>
      </w:r>
    </w:p>
    <w:p w14:paraId="31798729">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（一）医疗意外责任每人赔偿限额和累计赔偿限额分别为本保险单明细表中列明的赔偿限额的30%。</w:t>
      </w:r>
    </w:p>
    <w:p w14:paraId="3FB1447A">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（二）医疗意外责任免赔额按医疗意外责任每人赔偿金额的5%或500元计，两者以高者为准。</w:t>
      </w:r>
    </w:p>
    <w:p w14:paraId="4614E02D">
      <w:pPr>
        <w:pStyle w:val="20"/>
        <w:keepNext w:val="0"/>
        <w:keepLines w:val="0"/>
        <w:pageBreakBefore w:val="0"/>
        <w:kinsoku/>
        <w:wordWrap/>
        <w:overflowPunct/>
        <w:topLinePunct w:val="0"/>
        <w:autoSpaceDE/>
        <w:autoSpaceDN/>
        <w:bidi w:val="0"/>
        <w:adjustRightInd/>
        <w:snapToGrid/>
        <w:spacing w:beforeAutospacing="0" w:after="0" w:afterAutospacing="0" w:line="520" w:lineRule="exact"/>
        <w:textAlignment w:val="auto"/>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（三）附加保险费为本保险单明细表中基本保险费总计或调整后的保险费的35%。</w:t>
      </w:r>
    </w:p>
    <w:p w14:paraId="6410A603">
      <w:pPr>
        <w:keepNext w:val="0"/>
        <w:keepLines w:val="0"/>
        <w:pageBreakBefore w:val="0"/>
        <w:kinsoku/>
        <w:wordWrap/>
        <w:overflowPunct/>
        <w:topLinePunct w:val="0"/>
        <w:autoSpaceDE/>
        <w:autoSpaceDN/>
        <w:bidi w:val="0"/>
        <w:adjustRightInd/>
        <w:snapToGrid/>
        <w:spacing w:beforeAutospacing="0" w:afterAutospacing="0" w:line="520" w:lineRule="exact"/>
        <w:jc w:val="center"/>
        <w:textAlignment w:val="auto"/>
        <w:rPr>
          <w:rFonts w:hAnsi="宋体"/>
          <w:color w:val="auto"/>
          <w:sz w:val="24"/>
          <w:szCs w:val="24"/>
        </w:rPr>
      </w:pPr>
      <w:r>
        <w:rPr>
          <w:rFonts w:hAnsi="宋体"/>
          <w:color w:val="auto"/>
          <w:sz w:val="24"/>
          <w:szCs w:val="24"/>
        </w:rPr>
        <w:t>其他事项</w:t>
      </w:r>
    </w:p>
    <w:p w14:paraId="16334C30">
      <w:pPr>
        <w:keepNext w:val="0"/>
        <w:keepLines w:val="0"/>
        <w:pageBreakBefore w:val="0"/>
        <w:kinsoku/>
        <w:wordWrap/>
        <w:overflowPunct/>
        <w:topLinePunct w:val="0"/>
        <w:autoSpaceDE/>
        <w:autoSpaceDN/>
        <w:bidi w:val="0"/>
        <w:adjustRightInd/>
        <w:snapToGrid/>
        <w:spacing w:beforeAutospacing="0" w:afterAutospacing="0" w:line="520" w:lineRule="exact"/>
        <w:ind w:firstLine="560"/>
        <w:textAlignment w:val="auto"/>
        <w:rPr>
          <w:rFonts w:hAnsi="宋体"/>
          <w:b/>
          <w:color w:val="auto"/>
          <w:sz w:val="24"/>
          <w:szCs w:val="24"/>
          <w:highlight w:val="none"/>
        </w:rPr>
      </w:pPr>
      <w:r>
        <w:rPr>
          <w:rFonts w:hAnsi="宋体"/>
          <w:color w:val="auto"/>
          <w:sz w:val="24"/>
          <w:szCs w:val="24"/>
        </w:rPr>
        <w:t>本附加险必须在投保医疗责任保险的基础上，根据被保险人的需要另外加保。本条款与医疗责任保险条款有不一致之处时，以本条款为准。本条款未规定之处，</w:t>
      </w:r>
      <w:r>
        <w:rPr>
          <w:rFonts w:hAnsi="宋体"/>
          <w:color w:val="auto"/>
          <w:sz w:val="24"/>
          <w:szCs w:val="24"/>
          <w:highlight w:val="none"/>
        </w:rPr>
        <w:t>按医疗责任保险条款办理。</w:t>
      </w:r>
    </w:p>
    <w:p w14:paraId="21EF1E59">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outlineLvl w:val="0"/>
        <w:rPr>
          <w:rFonts w:hint="default" w:ascii="宋体" w:hAnsi="宋体" w:cs="仿宋" w:eastAsiaTheme="minorEastAsia"/>
          <w:b/>
          <w:bCs/>
          <w:color w:val="auto"/>
          <w:sz w:val="24"/>
          <w:szCs w:val="24"/>
          <w:highlight w:val="none"/>
          <w:lang w:val="en-US" w:eastAsia="zh-CN"/>
        </w:rPr>
      </w:pPr>
      <w:r>
        <w:rPr>
          <w:rFonts w:hint="eastAsia" w:ascii="宋体" w:hAnsi="宋体" w:cs="仿宋"/>
          <w:b/>
          <w:bCs/>
          <w:color w:val="auto"/>
          <w:sz w:val="24"/>
          <w:szCs w:val="24"/>
          <w:highlight w:val="none"/>
          <w:lang w:val="en-US" w:eastAsia="zh-CN"/>
        </w:rPr>
        <w:t>五</w:t>
      </w:r>
      <w:r>
        <w:rPr>
          <w:rFonts w:hint="eastAsia" w:ascii="宋体" w:hAnsi="宋体" w:cs="仿宋"/>
          <w:b/>
          <w:bCs/>
          <w:color w:val="auto"/>
          <w:sz w:val="24"/>
          <w:szCs w:val="24"/>
          <w:highlight w:val="none"/>
        </w:rPr>
        <w:t>、</w:t>
      </w:r>
      <w:r>
        <w:rPr>
          <w:rFonts w:hint="eastAsia" w:ascii="宋体" w:hAnsi="宋体" w:cs="仿宋"/>
          <w:b/>
          <w:bCs/>
          <w:color w:val="auto"/>
          <w:sz w:val="24"/>
          <w:szCs w:val="24"/>
          <w:highlight w:val="none"/>
          <w:lang w:val="en-US" w:eastAsia="zh-CN"/>
        </w:rPr>
        <w:t>商务要求</w:t>
      </w:r>
    </w:p>
    <w:p w14:paraId="2F7F8565">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outlineLvl w:val="0"/>
        <w:rPr>
          <w:rFonts w:ascii="宋体" w:hAnsi="宋体" w:cs="仿宋"/>
          <w:b/>
          <w:bCs/>
          <w:color w:val="auto"/>
          <w:sz w:val="24"/>
          <w:szCs w:val="24"/>
          <w:highlight w:val="none"/>
        </w:rPr>
      </w:pPr>
      <w:r>
        <w:rPr>
          <w:rFonts w:hint="eastAsia" w:ascii="宋体" w:hAnsi="宋体" w:cs="仿宋"/>
          <w:b/>
          <w:bCs/>
          <w:color w:val="auto"/>
          <w:sz w:val="24"/>
          <w:szCs w:val="24"/>
          <w:highlight w:val="none"/>
          <w:lang w:eastAsia="zh-CN"/>
        </w:rPr>
        <w:t>（</w:t>
      </w:r>
      <w:r>
        <w:rPr>
          <w:rFonts w:hint="eastAsia" w:ascii="宋体" w:hAnsi="宋体" w:cs="仿宋"/>
          <w:b/>
          <w:bCs/>
          <w:color w:val="auto"/>
          <w:sz w:val="24"/>
          <w:szCs w:val="24"/>
          <w:highlight w:val="none"/>
          <w:lang w:val="en-US" w:eastAsia="zh-CN"/>
        </w:rPr>
        <w:t>一</w:t>
      </w:r>
      <w:r>
        <w:rPr>
          <w:rFonts w:hint="eastAsia" w:ascii="宋体" w:hAnsi="宋体" w:cs="仿宋"/>
          <w:b/>
          <w:bCs/>
          <w:color w:val="auto"/>
          <w:sz w:val="24"/>
          <w:szCs w:val="24"/>
          <w:highlight w:val="none"/>
          <w:lang w:eastAsia="zh-CN"/>
        </w:rPr>
        <w:t>）</w:t>
      </w:r>
      <w:r>
        <w:rPr>
          <w:rFonts w:hint="eastAsia" w:ascii="宋体" w:hAnsi="宋体" w:cs="仿宋"/>
          <w:b/>
          <w:bCs/>
          <w:color w:val="auto"/>
          <w:sz w:val="24"/>
          <w:szCs w:val="24"/>
          <w:highlight w:val="none"/>
        </w:rPr>
        <w:t>项目合作期限</w:t>
      </w:r>
    </w:p>
    <w:p w14:paraId="7E6EB729">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rPr>
        <w:t>1</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合同</w:t>
      </w:r>
      <w:r>
        <w:rPr>
          <w:rFonts w:hint="eastAsia" w:ascii="宋体" w:hAnsi="宋体" w:cs="仿宋"/>
          <w:color w:val="auto"/>
          <w:sz w:val="24"/>
          <w:szCs w:val="24"/>
          <w:highlight w:val="none"/>
          <w:lang w:val="en-US" w:eastAsia="zh-CN"/>
        </w:rPr>
        <w:t>生效</w:t>
      </w:r>
      <w:r>
        <w:rPr>
          <w:rFonts w:hint="eastAsia" w:ascii="宋体" w:hAnsi="宋体" w:cs="仿宋"/>
          <w:color w:val="auto"/>
          <w:sz w:val="24"/>
          <w:szCs w:val="24"/>
          <w:highlight w:val="none"/>
        </w:rPr>
        <w:t>：</w:t>
      </w:r>
      <w:r>
        <w:rPr>
          <w:rFonts w:hint="eastAsia" w:ascii="宋体" w:hAnsi="宋体" w:cs="仿宋"/>
          <w:color w:val="auto"/>
          <w:sz w:val="24"/>
          <w:szCs w:val="24"/>
          <w:highlight w:val="none"/>
          <w:lang w:val="en-US" w:eastAsia="zh-CN"/>
        </w:rPr>
        <w:t>自</w:t>
      </w:r>
      <w:r>
        <w:rPr>
          <w:rFonts w:hint="eastAsia" w:ascii="宋体" w:hAnsi="宋体" w:cs="仿宋"/>
          <w:color w:val="auto"/>
          <w:sz w:val="24"/>
          <w:szCs w:val="24"/>
          <w:highlight w:val="none"/>
        </w:rPr>
        <w:t>合同签订之日起生效。</w:t>
      </w:r>
    </w:p>
    <w:p w14:paraId="1927F46D">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rPr>
        <w:t>2</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保险期限：</w:t>
      </w:r>
      <w:r>
        <w:rPr>
          <w:rFonts w:hint="eastAsia" w:ascii="宋体" w:hAnsi="宋体" w:cs="仿宋"/>
          <w:color w:val="auto"/>
          <w:sz w:val="24"/>
          <w:szCs w:val="24"/>
          <w:highlight w:val="none"/>
          <w:lang w:val="en-US" w:eastAsia="zh-CN"/>
        </w:rPr>
        <w:t>一</w:t>
      </w:r>
      <w:r>
        <w:rPr>
          <w:rFonts w:hint="eastAsia" w:ascii="宋体" w:hAnsi="宋体" w:cs="仿宋"/>
          <w:color w:val="auto"/>
          <w:sz w:val="24"/>
          <w:szCs w:val="24"/>
          <w:highlight w:val="none"/>
        </w:rPr>
        <w:t>年。</w:t>
      </w:r>
    </w:p>
    <w:p w14:paraId="62D1F445">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ascii="宋体" w:hAnsi="宋体" w:cs="仿宋"/>
          <w:b/>
          <w:color w:val="auto"/>
          <w:sz w:val="24"/>
          <w:szCs w:val="24"/>
          <w:highlight w:val="none"/>
        </w:rPr>
      </w:pPr>
      <w:r>
        <w:rPr>
          <w:rFonts w:hint="eastAsia" w:ascii="宋体" w:hAnsi="宋体" w:cs="仿宋"/>
          <w:color w:val="auto"/>
          <w:sz w:val="24"/>
          <w:szCs w:val="24"/>
          <w:highlight w:val="none"/>
        </w:rPr>
        <w:t>3</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成交供应商应当在成交通知书发出之日起三十日内，按照磋商文件确定的事项与采购人签订政府采购合同。</w:t>
      </w:r>
    </w:p>
    <w:p w14:paraId="1EC4A21C">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hint="default" w:ascii="宋体" w:hAnsi="宋体" w:cs="仿宋" w:eastAsiaTheme="minorEastAsia"/>
          <w:b/>
          <w:color w:val="auto"/>
          <w:sz w:val="24"/>
          <w:szCs w:val="24"/>
          <w:highlight w:val="none"/>
          <w:lang w:val="en-US" w:eastAsia="zh-CN"/>
        </w:rPr>
      </w:pPr>
      <w:r>
        <w:rPr>
          <w:rFonts w:hint="eastAsia" w:ascii="宋体" w:hAnsi="宋体" w:cs="仿宋"/>
          <w:color w:val="auto"/>
          <w:sz w:val="24"/>
          <w:szCs w:val="24"/>
          <w:highlight w:val="none"/>
        </w:rPr>
        <w:t>4</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理赔提出依据：期内事故发生式（保险事故发生的时间在保单期限内则构成保险责任）。</w:t>
      </w:r>
    </w:p>
    <w:p w14:paraId="60D5BBD6">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outlineLvl w:val="0"/>
        <w:rPr>
          <w:rFonts w:hAnsi="宋体" w:cs="仿宋"/>
          <w:b/>
          <w:bCs/>
          <w:color w:val="auto"/>
          <w:sz w:val="24"/>
          <w:szCs w:val="24"/>
          <w:highlight w:val="none"/>
        </w:rPr>
      </w:pPr>
      <w:r>
        <w:rPr>
          <w:rFonts w:hint="eastAsia" w:hAnsi="宋体" w:cs="仿宋"/>
          <w:b/>
          <w:bCs/>
          <w:color w:val="auto"/>
          <w:sz w:val="24"/>
          <w:szCs w:val="24"/>
          <w:highlight w:val="none"/>
          <w:lang w:eastAsia="zh-CN"/>
        </w:rPr>
        <w:t>（</w:t>
      </w:r>
      <w:r>
        <w:rPr>
          <w:rFonts w:hint="eastAsia" w:hAnsi="宋体" w:cs="仿宋"/>
          <w:b/>
          <w:bCs/>
          <w:color w:val="auto"/>
          <w:sz w:val="24"/>
          <w:szCs w:val="24"/>
          <w:highlight w:val="none"/>
          <w:lang w:val="en-US" w:eastAsia="zh-CN"/>
        </w:rPr>
        <w:t>二</w:t>
      </w:r>
      <w:r>
        <w:rPr>
          <w:rFonts w:hint="eastAsia" w:hAnsi="宋体" w:cs="仿宋"/>
          <w:b/>
          <w:bCs/>
          <w:color w:val="auto"/>
          <w:sz w:val="24"/>
          <w:szCs w:val="24"/>
          <w:highlight w:val="none"/>
          <w:lang w:eastAsia="zh-CN"/>
        </w:rPr>
        <w:t>）</w:t>
      </w:r>
      <w:r>
        <w:rPr>
          <w:rFonts w:hint="eastAsia" w:hAnsi="宋体" w:cs="仿宋"/>
          <w:b/>
          <w:bCs/>
          <w:color w:val="auto"/>
          <w:sz w:val="24"/>
          <w:szCs w:val="24"/>
          <w:highlight w:val="none"/>
        </w:rPr>
        <w:t>项目价格</w:t>
      </w:r>
    </w:p>
    <w:p w14:paraId="24A0F258">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ascii="宋体" w:hAnsi="宋体" w:cs="仿宋"/>
          <w:b/>
          <w:color w:val="auto"/>
          <w:sz w:val="24"/>
          <w:szCs w:val="24"/>
          <w:highlight w:val="none"/>
        </w:rPr>
      </w:pPr>
      <w:r>
        <w:rPr>
          <w:rFonts w:hint="eastAsia" w:ascii="宋体" w:hAnsi="宋体" w:cs="仿宋"/>
          <w:color w:val="auto"/>
          <w:sz w:val="24"/>
          <w:szCs w:val="24"/>
          <w:highlight w:val="none"/>
          <w:lang w:val="en-US" w:eastAsia="zh-CN"/>
        </w:rPr>
        <w:t>1.</w:t>
      </w:r>
      <w:r>
        <w:rPr>
          <w:rFonts w:hint="eastAsia" w:ascii="宋体" w:hAnsi="宋体" w:cs="仿宋"/>
          <w:color w:val="auto"/>
          <w:sz w:val="24"/>
          <w:szCs w:val="24"/>
          <w:highlight w:val="none"/>
        </w:rPr>
        <w:t>供应商对价格的响应应考虑以下因素：参考医务人员数、</w:t>
      </w:r>
      <w:r>
        <w:rPr>
          <w:rFonts w:ascii="宋体" w:hAnsi="宋体" w:cs="仿宋"/>
          <w:color w:val="auto"/>
          <w:sz w:val="24"/>
          <w:szCs w:val="24"/>
          <w:highlight w:val="none"/>
        </w:rPr>
        <w:t>门诊人次</w:t>
      </w:r>
      <w:r>
        <w:rPr>
          <w:rFonts w:hint="eastAsia" w:ascii="宋体" w:hAnsi="宋体" w:cs="仿宋"/>
          <w:color w:val="auto"/>
          <w:sz w:val="24"/>
          <w:szCs w:val="24"/>
          <w:highlight w:val="none"/>
        </w:rPr>
        <w:t>数、入</w:t>
      </w:r>
      <w:r>
        <w:rPr>
          <w:rFonts w:ascii="宋体" w:hAnsi="宋体" w:cs="仿宋"/>
          <w:color w:val="auto"/>
          <w:sz w:val="24"/>
          <w:szCs w:val="24"/>
          <w:highlight w:val="none"/>
        </w:rPr>
        <w:t>院人次</w:t>
      </w:r>
      <w:r>
        <w:rPr>
          <w:rFonts w:hint="eastAsia" w:ascii="宋体" w:hAnsi="宋体" w:cs="仿宋"/>
          <w:color w:val="auto"/>
          <w:sz w:val="24"/>
          <w:szCs w:val="24"/>
          <w:highlight w:val="none"/>
        </w:rPr>
        <w:t>数等数据、服务</w:t>
      </w:r>
      <w:r>
        <w:rPr>
          <w:rFonts w:ascii="宋体" w:hAnsi="宋体" w:cs="仿宋"/>
          <w:color w:val="auto"/>
          <w:sz w:val="24"/>
          <w:szCs w:val="24"/>
          <w:highlight w:val="none"/>
        </w:rPr>
        <w:t>人员</w:t>
      </w:r>
      <w:r>
        <w:rPr>
          <w:rFonts w:ascii="宋体" w:hAnsi="宋体" w:cs="仿宋"/>
          <w:color w:val="auto"/>
          <w:sz w:val="24"/>
          <w:szCs w:val="24"/>
        </w:rPr>
        <w:t>成本</w:t>
      </w:r>
      <w:r>
        <w:rPr>
          <w:rFonts w:hint="eastAsia" w:ascii="宋体" w:hAnsi="宋体" w:cs="仿宋"/>
          <w:color w:val="auto"/>
          <w:sz w:val="24"/>
          <w:szCs w:val="24"/>
        </w:rPr>
        <w:t>费、</w:t>
      </w:r>
      <w:r>
        <w:rPr>
          <w:rFonts w:ascii="宋体" w:hAnsi="宋体" w:cs="仿宋"/>
          <w:color w:val="auto"/>
          <w:sz w:val="24"/>
          <w:szCs w:val="24"/>
        </w:rPr>
        <w:t>管理</w:t>
      </w:r>
      <w:r>
        <w:rPr>
          <w:rFonts w:hint="eastAsia" w:ascii="宋体" w:hAnsi="宋体" w:cs="仿宋"/>
          <w:color w:val="auto"/>
          <w:sz w:val="24"/>
          <w:szCs w:val="24"/>
        </w:rPr>
        <w:t>费、</w:t>
      </w:r>
      <w:r>
        <w:rPr>
          <w:rFonts w:ascii="宋体" w:hAnsi="宋体" w:cs="仿宋"/>
          <w:color w:val="auto"/>
          <w:sz w:val="24"/>
          <w:szCs w:val="24"/>
        </w:rPr>
        <w:t>服务费用（</w:t>
      </w:r>
      <w:r>
        <w:rPr>
          <w:rFonts w:hint="eastAsia" w:ascii="宋体" w:hAnsi="宋体" w:cs="仿宋"/>
          <w:color w:val="auto"/>
          <w:sz w:val="24"/>
          <w:szCs w:val="24"/>
        </w:rPr>
        <w:t>包括不限于运维费、</w:t>
      </w:r>
      <w:r>
        <w:rPr>
          <w:rFonts w:ascii="宋体" w:hAnsi="宋体" w:cs="仿宋"/>
          <w:color w:val="auto"/>
          <w:sz w:val="24"/>
          <w:szCs w:val="24"/>
        </w:rPr>
        <w:t>交通</w:t>
      </w:r>
      <w:r>
        <w:rPr>
          <w:rFonts w:hint="eastAsia" w:ascii="宋体" w:hAnsi="宋体" w:cs="仿宋"/>
          <w:color w:val="auto"/>
          <w:sz w:val="24"/>
          <w:szCs w:val="24"/>
        </w:rPr>
        <w:t>费</w:t>
      </w:r>
      <w:r>
        <w:rPr>
          <w:rFonts w:ascii="宋体" w:hAnsi="宋体" w:cs="仿宋"/>
          <w:color w:val="auto"/>
          <w:sz w:val="24"/>
          <w:szCs w:val="24"/>
        </w:rPr>
        <w:t>、合理利润、税收等相关的所有费用</w:t>
      </w:r>
      <w:r>
        <w:rPr>
          <w:rFonts w:hint="eastAsia" w:ascii="宋体" w:hAnsi="宋体" w:cs="仿宋"/>
          <w:color w:val="auto"/>
          <w:sz w:val="24"/>
          <w:szCs w:val="24"/>
        </w:rPr>
        <w:t>），</w:t>
      </w:r>
      <w:r>
        <w:rPr>
          <w:rFonts w:hint="eastAsia" w:ascii="宋体" w:hAnsi="宋体" w:cs="仿宋"/>
          <w:color w:val="auto"/>
          <w:sz w:val="24"/>
          <w:szCs w:val="24"/>
          <w:lang w:val="en-US" w:eastAsia="zh-CN"/>
        </w:rPr>
        <w:t>成交</w:t>
      </w:r>
      <w:r>
        <w:rPr>
          <w:rFonts w:ascii="宋体" w:hAnsi="宋体" w:cs="仿宋"/>
          <w:color w:val="auto"/>
          <w:sz w:val="24"/>
          <w:szCs w:val="24"/>
        </w:rPr>
        <w:t>后采购人不再支付</w:t>
      </w:r>
      <w:r>
        <w:rPr>
          <w:rFonts w:hint="eastAsia" w:ascii="宋体" w:hAnsi="宋体" w:cs="仿宋"/>
          <w:color w:val="auto"/>
          <w:sz w:val="24"/>
          <w:szCs w:val="24"/>
        </w:rPr>
        <w:t>除保险费</w:t>
      </w:r>
      <w:r>
        <w:rPr>
          <w:rFonts w:ascii="宋体" w:hAnsi="宋体" w:cs="仿宋"/>
          <w:color w:val="auto"/>
          <w:sz w:val="24"/>
          <w:szCs w:val="24"/>
        </w:rPr>
        <w:t>以外的任何费用</w:t>
      </w:r>
      <w:r>
        <w:rPr>
          <w:rFonts w:hint="eastAsia" w:ascii="宋体" w:hAnsi="宋体" w:cs="仿宋"/>
          <w:color w:val="auto"/>
          <w:sz w:val="24"/>
          <w:szCs w:val="24"/>
        </w:rPr>
        <w:t>。</w:t>
      </w:r>
    </w:p>
    <w:p w14:paraId="1C179E94">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outlineLvl w:val="0"/>
        <w:rPr>
          <w:rFonts w:hint="eastAsia" w:ascii="宋体" w:hAnsi="宋体" w:cs="仿宋" w:eastAsiaTheme="minorEastAsia"/>
          <w:b/>
          <w:color w:val="auto"/>
          <w:sz w:val="24"/>
          <w:szCs w:val="24"/>
          <w:highlight w:val="none"/>
          <w:lang w:eastAsia="zh-CN"/>
        </w:rPr>
      </w:pPr>
      <w:r>
        <w:rPr>
          <w:rFonts w:hint="eastAsia" w:ascii="宋体" w:hAnsi="宋体" w:cs="仿宋"/>
          <w:color w:val="auto"/>
          <w:sz w:val="24"/>
          <w:szCs w:val="24"/>
          <w:highlight w:val="none"/>
          <w:lang w:val="en-US" w:eastAsia="zh-CN"/>
        </w:rPr>
        <w:t>2.</w:t>
      </w:r>
      <w:r>
        <w:rPr>
          <w:rFonts w:hint="eastAsia" w:ascii="宋体" w:hAnsi="宋体" w:cs="仿宋"/>
          <w:color w:val="auto"/>
          <w:sz w:val="24"/>
          <w:szCs w:val="24"/>
          <w:highlight w:val="none"/>
        </w:rPr>
        <w:t>付费方式：保险费在采购人收到当年保单及发票后一次性支付。</w:t>
      </w:r>
    </w:p>
    <w:p w14:paraId="5B67BA93">
      <w:pPr>
        <w:keepNext w:val="0"/>
        <w:keepLines w:val="0"/>
        <w:pageBreakBefore w:val="0"/>
        <w:widowControl/>
        <w:kinsoku/>
        <w:wordWrap/>
        <w:overflowPunct/>
        <w:topLinePunct w:val="0"/>
        <w:autoSpaceDE/>
        <w:autoSpaceDN/>
        <w:bidi w:val="0"/>
        <w:adjustRightInd/>
        <w:snapToGrid/>
        <w:spacing w:beforeAutospacing="0" w:afterAutospacing="0" w:line="520" w:lineRule="exact"/>
        <w:ind w:firstLine="482"/>
        <w:jc w:val="left"/>
        <w:textAlignment w:val="auto"/>
        <w:rPr>
          <w:rFonts w:hAnsi="宋体" w:cs="仿宋"/>
          <w:b/>
          <w:bCs/>
          <w:color w:val="auto"/>
          <w:sz w:val="24"/>
          <w:szCs w:val="24"/>
          <w:highlight w:val="none"/>
        </w:rPr>
      </w:pPr>
      <w:r>
        <w:rPr>
          <w:rFonts w:hint="eastAsia" w:hAnsi="宋体" w:cs="仿宋"/>
          <w:b/>
          <w:bCs/>
          <w:color w:val="auto"/>
          <w:sz w:val="24"/>
          <w:szCs w:val="24"/>
          <w:highlight w:val="none"/>
          <w:lang w:eastAsia="zh-CN"/>
        </w:rPr>
        <w:t>（</w:t>
      </w:r>
      <w:r>
        <w:rPr>
          <w:rFonts w:hint="eastAsia" w:hAnsi="宋体" w:cs="仿宋"/>
          <w:b/>
          <w:bCs/>
          <w:color w:val="auto"/>
          <w:sz w:val="24"/>
          <w:szCs w:val="24"/>
          <w:highlight w:val="none"/>
          <w:lang w:val="en-US" w:eastAsia="zh-CN"/>
        </w:rPr>
        <w:t>三</w:t>
      </w:r>
      <w:r>
        <w:rPr>
          <w:rFonts w:hint="eastAsia" w:hAnsi="宋体" w:cs="仿宋"/>
          <w:b/>
          <w:bCs/>
          <w:color w:val="auto"/>
          <w:sz w:val="24"/>
          <w:szCs w:val="24"/>
          <w:highlight w:val="none"/>
          <w:lang w:eastAsia="zh-CN"/>
        </w:rPr>
        <w:t>）</w:t>
      </w:r>
      <w:r>
        <w:rPr>
          <w:rFonts w:hint="eastAsia" w:hAnsi="宋体" w:cs="仿宋"/>
          <w:b/>
          <w:bCs/>
          <w:color w:val="auto"/>
          <w:sz w:val="24"/>
          <w:szCs w:val="24"/>
          <w:highlight w:val="none"/>
        </w:rPr>
        <w:t>相关情况说明</w:t>
      </w:r>
    </w:p>
    <w:p w14:paraId="25D8CF8A">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hint="eastAsia" w:ascii="宋体" w:hAnsi="宋体" w:cs="宋体"/>
          <w:bCs/>
          <w:color w:val="auto"/>
          <w:sz w:val="24"/>
          <w:szCs w:val="24"/>
          <w:highlight w:val="none"/>
          <w:lang w:eastAsia="zh-CN"/>
        </w:rPr>
      </w:pPr>
      <w:r>
        <w:rPr>
          <w:rFonts w:hint="eastAsia" w:ascii="宋体" w:hAnsi="宋体" w:cs="仿宋"/>
          <w:color w:val="auto"/>
          <w:sz w:val="24"/>
          <w:szCs w:val="24"/>
          <w:highlight w:val="none"/>
        </w:rPr>
        <w:t>1</w:t>
      </w:r>
      <w:r>
        <w:rPr>
          <w:rFonts w:hint="eastAsia" w:ascii="宋体" w:hAnsi="宋体" w:cs="仿宋"/>
          <w:color w:val="auto"/>
          <w:sz w:val="24"/>
          <w:szCs w:val="24"/>
          <w:highlight w:val="none"/>
          <w:lang w:eastAsia="zh-CN"/>
        </w:rPr>
        <w:t>.</w:t>
      </w:r>
      <w:bookmarkStart w:id="195" w:name="OLE_LINK10"/>
      <w:r>
        <w:rPr>
          <w:rFonts w:hint="eastAsia" w:ascii="宋体" w:hAnsi="宋体" w:cs="仿宋"/>
          <w:color w:val="auto"/>
          <w:sz w:val="24"/>
          <w:szCs w:val="24"/>
          <w:highlight w:val="none"/>
          <w:lang w:val="en-US" w:eastAsia="zh-CN"/>
        </w:rPr>
        <w:t>成交供应商</w:t>
      </w:r>
      <w:r>
        <w:rPr>
          <w:rFonts w:hint="eastAsia" w:ascii="宋体" w:hAnsi="宋体" w:cs="仿宋"/>
          <w:color w:val="auto"/>
          <w:sz w:val="24"/>
          <w:szCs w:val="24"/>
          <w:highlight w:val="none"/>
        </w:rPr>
        <w:t>提供不得少于</w:t>
      </w:r>
      <w:r>
        <w:rPr>
          <w:rFonts w:hint="eastAsia" w:ascii="宋体" w:hAnsi="宋体" w:cs="仿宋"/>
          <w:color w:val="auto"/>
          <w:sz w:val="24"/>
          <w:szCs w:val="24"/>
          <w:highlight w:val="none"/>
          <w:lang w:val="en-US" w:eastAsia="zh-CN"/>
        </w:rPr>
        <w:t>成交</w:t>
      </w:r>
      <w:r>
        <w:rPr>
          <w:rFonts w:hint="eastAsia" w:ascii="宋体" w:hAnsi="宋体" w:cs="仿宋"/>
          <w:color w:val="auto"/>
          <w:sz w:val="24"/>
          <w:szCs w:val="24"/>
          <w:highlight w:val="none"/>
        </w:rPr>
        <w:t>保费</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含税</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的10%用于医疗机构开展风险防范及相关服务</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该</w:t>
      </w:r>
      <w:r>
        <w:rPr>
          <w:rFonts w:hint="eastAsia" w:ascii="宋体" w:hAnsi="宋体" w:cs="仿宋"/>
          <w:color w:val="auto"/>
          <w:sz w:val="24"/>
          <w:szCs w:val="24"/>
          <w:highlight w:val="none"/>
        </w:rPr>
        <w:t>费用由</w:t>
      </w:r>
      <w:r>
        <w:rPr>
          <w:rFonts w:hint="eastAsia" w:ascii="宋体" w:hAnsi="宋体" w:cs="仿宋"/>
          <w:color w:val="auto"/>
          <w:sz w:val="24"/>
          <w:szCs w:val="24"/>
          <w:highlight w:val="none"/>
          <w:lang w:val="en-US" w:eastAsia="zh-CN"/>
        </w:rPr>
        <w:t>成交供应商</w:t>
      </w:r>
      <w:r>
        <w:rPr>
          <w:rFonts w:hint="eastAsia" w:ascii="宋体" w:hAnsi="宋体" w:cs="仿宋"/>
          <w:color w:val="auto"/>
          <w:sz w:val="24"/>
          <w:szCs w:val="24"/>
          <w:highlight w:val="none"/>
        </w:rPr>
        <w:t>承担，不</w:t>
      </w:r>
      <w:r>
        <w:rPr>
          <w:rFonts w:hint="eastAsia" w:ascii="宋体" w:hAnsi="宋体" w:cs="仿宋"/>
          <w:color w:val="auto"/>
          <w:sz w:val="24"/>
          <w:szCs w:val="24"/>
          <w:highlight w:val="none"/>
          <w:lang w:val="en-US" w:eastAsia="zh-CN"/>
        </w:rPr>
        <w:t>计入累计</w:t>
      </w:r>
      <w:r>
        <w:rPr>
          <w:rFonts w:hint="eastAsia" w:ascii="宋体" w:hAnsi="宋体" w:cs="宋体"/>
          <w:bCs/>
          <w:color w:val="auto"/>
          <w:sz w:val="24"/>
          <w:szCs w:val="24"/>
          <w:highlight w:val="none"/>
        </w:rPr>
        <w:t>赔偿限额中</w:t>
      </w:r>
      <w:r>
        <w:rPr>
          <w:rFonts w:hint="eastAsia" w:ascii="宋体" w:hAnsi="宋体" w:cs="宋体"/>
          <w:bCs/>
          <w:color w:val="auto"/>
          <w:sz w:val="24"/>
          <w:szCs w:val="24"/>
          <w:highlight w:val="none"/>
          <w:lang w:eastAsia="zh-CN"/>
        </w:rPr>
        <w:t>。</w:t>
      </w:r>
    </w:p>
    <w:p w14:paraId="2B2C3B5E">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具体服务内容包括但不限于：</w:t>
      </w:r>
      <w:r>
        <w:rPr>
          <w:rFonts w:hint="default" w:ascii="宋体" w:hAnsi="宋体" w:cs="宋体"/>
          <w:bCs/>
          <w:color w:val="auto"/>
          <w:sz w:val="24"/>
          <w:szCs w:val="24"/>
          <w:highlight w:val="none"/>
          <w:lang w:val="en-US" w:eastAsia="zh-CN"/>
        </w:rPr>
        <w:t>术前第三方见证服务</w:t>
      </w:r>
      <w:r>
        <w:rPr>
          <w:rFonts w:hint="eastAsia" w:ascii="宋体" w:hAnsi="宋体" w:cs="宋体"/>
          <w:bCs/>
          <w:color w:val="auto"/>
          <w:sz w:val="24"/>
          <w:szCs w:val="24"/>
          <w:highlight w:val="none"/>
          <w:lang w:val="en-US" w:eastAsia="zh-CN"/>
        </w:rPr>
        <w:t>、</w:t>
      </w:r>
      <w:r>
        <w:rPr>
          <w:rFonts w:hint="default" w:ascii="宋体" w:hAnsi="宋体" w:cs="宋体"/>
          <w:bCs/>
          <w:color w:val="auto"/>
          <w:sz w:val="24"/>
          <w:szCs w:val="24"/>
          <w:highlight w:val="none"/>
          <w:lang w:val="en-US" w:eastAsia="zh-CN"/>
        </w:rPr>
        <w:t>术后患者回访服务</w:t>
      </w:r>
      <w:r>
        <w:rPr>
          <w:rFonts w:hint="eastAsia" w:ascii="宋体" w:hAnsi="宋体" w:cs="宋体"/>
          <w:bCs/>
          <w:color w:val="auto"/>
          <w:sz w:val="24"/>
          <w:szCs w:val="24"/>
          <w:highlight w:val="none"/>
          <w:lang w:val="en-US" w:eastAsia="zh-CN"/>
        </w:rPr>
        <w:t>、</w:t>
      </w:r>
      <w:r>
        <w:rPr>
          <w:rFonts w:hint="default" w:ascii="宋体" w:hAnsi="宋体" w:cs="宋体"/>
          <w:bCs/>
          <w:color w:val="auto"/>
          <w:sz w:val="24"/>
          <w:szCs w:val="24"/>
          <w:highlight w:val="none"/>
          <w:lang w:val="en-US" w:eastAsia="zh-CN"/>
        </w:rPr>
        <w:t>医疗纠纷协调服务</w:t>
      </w:r>
      <w:r>
        <w:rPr>
          <w:rFonts w:hint="eastAsia" w:ascii="宋体" w:hAnsi="宋体" w:cs="宋体"/>
          <w:bCs/>
          <w:color w:val="auto"/>
          <w:sz w:val="24"/>
          <w:szCs w:val="24"/>
          <w:highlight w:val="none"/>
          <w:lang w:val="en-US" w:eastAsia="zh-CN"/>
        </w:rPr>
        <w:t>、</w:t>
      </w:r>
      <w:r>
        <w:rPr>
          <w:rFonts w:hint="default" w:ascii="宋体" w:hAnsi="宋体" w:cs="宋体"/>
          <w:bCs/>
          <w:color w:val="auto"/>
          <w:sz w:val="24"/>
          <w:szCs w:val="24"/>
          <w:highlight w:val="none"/>
          <w:lang w:val="en-US" w:eastAsia="zh-CN"/>
        </w:rPr>
        <w:t>医疗风险防范培训</w:t>
      </w:r>
      <w:r>
        <w:rPr>
          <w:rFonts w:hint="eastAsia" w:ascii="宋体" w:hAnsi="宋体" w:cs="宋体"/>
          <w:bCs/>
          <w:color w:val="auto"/>
          <w:sz w:val="24"/>
          <w:szCs w:val="24"/>
          <w:highlight w:val="none"/>
          <w:lang w:val="en-US" w:eastAsia="zh-CN"/>
        </w:rPr>
        <w:t>等。</w:t>
      </w:r>
    </w:p>
    <w:bookmarkEnd w:id="195"/>
    <w:p w14:paraId="5E0B2322">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outlineLvl w:val="0"/>
        <w:rPr>
          <w:rFonts w:ascii="宋体" w:hAnsi="宋体" w:cs="仿宋"/>
          <w:b/>
          <w:color w:val="auto"/>
          <w:sz w:val="24"/>
          <w:szCs w:val="24"/>
        </w:rPr>
      </w:pPr>
      <w:r>
        <w:rPr>
          <w:rFonts w:hint="eastAsia" w:ascii="宋体" w:hAnsi="宋体" w:cs="仿宋"/>
          <w:color w:val="auto"/>
          <w:sz w:val="24"/>
          <w:szCs w:val="24"/>
          <w:highlight w:val="none"/>
        </w:rPr>
        <w:t>2</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本次医疗责任保险</w:t>
      </w:r>
      <w:r>
        <w:rPr>
          <w:rFonts w:hint="eastAsia" w:ascii="宋体" w:hAnsi="宋体" w:cs="仿宋"/>
          <w:color w:val="auto"/>
          <w:sz w:val="24"/>
          <w:szCs w:val="24"/>
          <w:highlight w:val="none"/>
          <w:lang w:val="en-US" w:eastAsia="zh-CN"/>
        </w:rPr>
        <w:t>等综合保险的供应商</w:t>
      </w:r>
      <w:r>
        <w:rPr>
          <w:rFonts w:hint="eastAsia" w:ascii="宋体" w:hAnsi="宋体" w:cs="仿宋"/>
          <w:color w:val="auto"/>
          <w:sz w:val="24"/>
          <w:szCs w:val="24"/>
          <w:highlight w:val="none"/>
        </w:rPr>
        <w:t>，</w:t>
      </w:r>
      <w:r>
        <w:rPr>
          <w:rFonts w:hint="eastAsia" w:ascii="宋体" w:hAnsi="宋体" w:cs="仿宋"/>
          <w:color w:val="auto"/>
          <w:sz w:val="24"/>
          <w:szCs w:val="24"/>
          <w:highlight w:val="none"/>
          <w:lang w:val="en-US" w:eastAsia="zh-CN"/>
        </w:rPr>
        <w:t>经采购人同意</w:t>
      </w:r>
      <w:r>
        <w:rPr>
          <w:rFonts w:hint="eastAsia" w:ascii="宋体" w:hAnsi="宋体" w:cs="仿宋"/>
          <w:color w:val="auto"/>
          <w:sz w:val="24"/>
          <w:szCs w:val="24"/>
          <w:highlight w:val="none"/>
        </w:rPr>
        <w:t>，可开展医</w:t>
      </w:r>
      <w:r>
        <w:rPr>
          <w:rFonts w:hint="eastAsia" w:ascii="宋体" w:hAnsi="宋体" w:cs="仿宋"/>
          <w:color w:val="auto"/>
          <w:sz w:val="24"/>
          <w:szCs w:val="24"/>
        </w:rPr>
        <w:t>疗手术意外保险及医护人员执业责任险等相关保险产品的推介工作。</w:t>
      </w:r>
    </w:p>
    <w:p w14:paraId="5F1EF6AF">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rPr>
          <w:rFonts w:ascii="宋体" w:hAnsi="宋体" w:cs="仿宋"/>
          <w:b/>
          <w:bCs/>
          <w:color w:val="auto"/>
          <w:sz w:val="24"/>
          <w:szCs w:val="24"/>
        </w:rPr>
      </w:pPr>
      <w:r>
        <w:rPr>
          <w:rFonts w:hint="eastAsia" w:ascii="宋体" w:hAnsi="宋体" w:cs="仿宋"/>
          <w:color w:val="auto"/>
          <w:sz w:val="24"/>
          <w:szCs w:val="24"/>
        </w:rPr>
        <w:t>3</w:t>
      </w:r>
      <w:r>
        <w:rPr>
          <w:rFonts w:hint="eastAsia" w:ascii="宋体" w:hAnsi="宋体" w:cs="仿宋"/>
          <w:color w:val="auto"/>
          <w:sz w:val="24"/>
          <w:szCs w:val="24"/>
          <w:lang w:eastAsia="zh-CN"/>
        </w:rPr>
        <w:t>.</w:t>
      </w:r>
      <w:r>
        <w:rPr>
          <w:rFonts w:hint="eastAsia" w:ascii="宋体" w:hAnsi="宋体" w:cs="仿宋"/>
          <w:bCs/>
          <w:color w:val="auto"/>
          <w:sz w:val="24"/>
          <w:szCs w:val="24"/>
        </w:rPr>
        <w:t>保单到期后，保险期间内生效保单的未了责任及未决赔款仍然有效。</w:t>
      </w:r>
    </w:p>
    <w:p w14:paraId="1119443A">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rPr>
          <w:rFonts w:ascii="宋体" w:hAnsi="宋体" w:cs="仿宋"/>
          <w:b/>
          <w:color w:val="auto"/>
          <w:sz w:val="24"/>
          <w:szCs w:val="24"/>
        </w:rPr>
      </w:pPr>
      <w:r>
        <w:rPr>
          <w:rFonts w:hint="eastAsia" w:ascii="宋体" w:hAnsi="宋体" w:cs="仿宋"/>
          <w:color w:val="auto"/>
          <w:sz w:val="24"/>
          <w:szCs w:val="24"/>
        </w:rPr>
        <w:t>4</w:t>
      </w:r>
      <w:r>
        <w:rPr>
          <w:rFonts w:hint="eastAsia" w:ascii="宋体" w:hAnsi="宋体" w:cs="仿宋"/>
          <w:color w:val="auto"/>
          <w:sz w:val="24"/>
          <w:szCs w:val="24"/>
          <w:lang w:eastAsia="zh-CN"/>
        </w:rPr>
        <w:t>.</w:t>
      </w:r>
      <w:r>
        <w:rPr>
          <w:rFonts w:hint="eastAsia" w:ascii="宋体" w:hAnsi="宋体" w:cs="仿宋"/>
          <w:color w:val="auto"/>
          <w:sz w:val="24"/>
          <w:szCs w:val="24"/>
        </w:rPr>
        <w:t>本项目所称</w:t>
      </w:r>
      <w:r>
        <w:rPr>
          <w:rFonts w:hint="eastAsia" w:ascii="宋体" w:hAnsi="宋体" w:cs="仿宋"/>
          <w:color w:val="auto"/>
          <w:sz w:val="24"/>
          <w:szCs w:val="24"/>
          <w:highlight w:val="none"/>
        </w:rPr>
        <w:t>医务人员，</w:t>
      </w:r>
      <w:r>
        <w:rPr>
          <w:rFonts w:hint="eastAsia" w:ascii="宋体" w:hAnsi="宋体" w:cs="仿宋"/>
          <w:color w:val="auto"/>
          <w:sz w:val="24"/>
          <w:szCs w:val="24"/>
        </w:rPr>
        <w:t>指执业地点为被保险人的执业（助理）医师、执业护士、药师（士）、检验技师、影像技师（士）等卫生专业人员以及医疗管理人员，包括正式签约医务人员（含返聘专技人员）及实习、进修、规培的医务人员，定义和范围按照《中华人民共和国执业医师法》等相关法律法规确定。</w:t>
      </w:r>
    </w:p>
    <w:p w14:paraId="3727487F">
      <w:pPr>
        <w:keepNext w:val="0"/>
        <w:keepLines w:val="0"/>
        <w:pageBreakBefore w:val="0"/>
        <w:kinsoku/>
        <w:wordWrap/>
        <w:overflowPunct/>
        <w:topLinePunct w:val="0"/>
        <w:autoSpaceDE/>
        <w:autoSpaceDN/>
        <w:bidi w:val="0"/>
        <w:adjustRightInd/>
        <w:snapToGrid/>
        <w:spacing w:beforeAutospacing="0" w:afterAutospacing="0" w:line="520" w:lineRule="exact"/>
        <w:ind w:firstLine="420"/>
        <w:textAlignment w:val="auto"/>
        <w:rPr>
          <w:rFonts w:ascii="宋体" w:hAnsi="宋体" w:cs="仿宋"/>
          <w:b/>
          <w:color w:val="auto"/>
          <w:sz w:val="24"/>
          <w:szCs w:val="24"/>
          <w:highlight w:val="none"/>
        </w:rPr>
      </w:pPr>
      <w:r>
        <w:rPr>
          <w:rFonts w:hint="eastAsia" w:ascii="宋体" w:hAnsi="宋体" w:cs="仿宋"/>
          <w:color w:val="auto"/>
          <w:sz w:val="24"/>
          <w:szCs w:val="24"/>
        </w:rPr>
        <w:t>5</w:t>
      </w:r>
      <w:r>
        <w:rPr>
          <w:rFonts w:hint="eastAsia" w:ascii="宋体" w:hAnsi="宋体" w:cs="仿宋"/>
          <w:color w:val="auto"/>
          <w:sz w:val="24"/>
          <w:szCs w:val="24"/>
          <w:lang w:eastAsia="zh-CN"/>
        </w:rPr>
        <w:t>.</w:t>
      </w:r>
      <w:r>
        <w:rPr>
          <w:rFonts w:hint="eastAsia" w:ascii="宋体" w:hAnsi="宋体" w:cs="仿宋"/>
          <w:color w:val="auto"/>
          <w:sz w:val="24"/>
          <w:szCs w:val="24"/>
        </w:rPr>
        <w:t>供应商一旦承保，则视为医疗机构足额投保，且在保险期限内，供应商不因被保险人医务人员人数等数据的增减而加收或退还保险费。当期产生保险索赔事件</w:t>
      </w:r>
      <w:r>
        <w:rPr>
          <w:rFonts w:hint="eastAsia" w:ascii="宋体" w:hAnsi="宋体" w:cs="仿宋"/>
          <w:color w:val="auto"/>
          <w:sz w:val="24"/>
          <w:szCs w:val="24"/>
          <w:highlight w:val="none"/>
          <w:lang w:val="en-US" w:eastAsia="zh-CN"/>
        </w:rPr>
        <w:t>的</w:t>
      </w:r>
      <w:r>
        <w:rPr>
          <w:rFonts w:hint="eastAsia" w:ascii="宋体" w:hAnsi="宋体" w:cs="仿宋"/>
          <w:color w:val="auto"/>
          <w:sz w:val="24"/>
          <w:szCs w:val="24"/>
          <w:highlight w:val="none"/>
        </w:rPr>
        <w:t>医务人员为承保后新增医务人员，供应商仍然承担赔偿责任。</w:t>
      </w:r>
    </w:p>
    <w:p w14:paraId="215CB12B">
      <w:pPr>
        <w:keepNext w:val="0"/>
        <w:keepLines w:val="0"/>
        <w:pageBreakBefore w:val="0"/>
        <w:kinsoku/>
        <w:wordWrap/>
        <w:overflowPunct/>
        <w:topLinePunct w:val="0"/>
        <w:autoSpaceDE/>
        <w:autoSpaceDN/>
        <w:bidi w:val="0"/>
        <w:adjustRightInd/>
        <w:snapToGrid/>
        <w:spacing w:beforeAutospacing="0" w:afterAutospacing="0" w:line="520" w:lineRule="exact"/>
        <w:ind w:firstLine="482" w:firstLineChars="200"/>
        <w:textAlignment w:val="auto"/>
        <w:rPr>
          <w:rFonts w:hint="default" w:hAnsi="宋体" w:cs="仿宋"/>
          <w:b/>
          <w:bCs/>
          <w:color w:val="auto"/>
          <w:sz w:val="24"/>
          <w:szCs w:val="24"/>
          <w:highlight w:val="none"/>
          <w:lang w:val="en-US" w:eastAsia="zh-CN"/>
        </w:rPr>
      </w:pPr>
      <w:r>
        <w:rPr>
          <w:rFonts w:hint="eastAsia" w:hAnsi="宋体" w:cs="仿宋"/>
          <w:b/>
          <w:bCs/>
          <w:color w:val="auto"/>
          <w:sz w:val="24"/>
          <w:szCs w:val="24"/>
          <w:highlight w:val="none"/>
          <w:lang w:val="en-US" w:eastAsia="zh-CN"/>
        </w:rPr>
        <w:t>（四）其他要求</w:t>
      </w:r>
    </w:p>
    <w:p w14:paraId="64640377">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cs="仿宋" w:eastAsiaTheme="minorEastAsia"/>
          <w:b/>
          <w:color w:val="auto"/>
          <w:sz w:val="24"/>
          <w:szCs w:val="24"/>
          <w:highlight w:val="none"/>
          <w:lang w:eastAsia="zh-CN"/>
        </w:rPr>
      </w:pPr>
      <w:r>
        <w:rPr>
          <w:rFonts w:hint="eastAsia" w:ascii="宋体" w:hAnsi="宋体" w:cs="仿宋"/>
          <w:color w:val="auto"/>
          <w:sz w:val="24"/>
          <w:szCs w:val="24"/>
          <w:highlight w:val="none"/>
        </w:rPr>
        <w:t>1</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rPr>
        <w:t>供应商应有健全的组织框架，有明确的岗位职责和各项管理制度</w:t>
      </w:r>
      <w:r>
        <w:rPr>
          <w:rFonts w:hint="eastAsia" w:ascii="宋体" w:hAnsi="宋体" w:cs="仿宋"/>
          <w:color w:val="auto"/>
          <w:sz w:val="24"/>
          <w:szCs w:val="24"/>
          <w:highlight w:val="none"/>
          <w:lang w:eastAsia="zh-CN"/>
        </w:rPr>
        <w:t>。</w:t>
      </w:r>
    </w:p>
    <w:p w14:paraId="7C5D318F">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lang w:val="en-US" w:eastAsia="zh-CN"/>
        </w:rPr>
        <w:t>2.</w:t>
      </w:r>
      <w:r>
        <w:rPr>
          <w:rFonts w:hint="eastAsia" w:ascii="宋体" w:hAnsi="宋体" w:cs="仿宋"/>
          <w:color w:val="auto"/>
          <w:sz w:val="24"/>
          <w:szCs w:val="24"/>
          <w:highlight w:val="none"/>
        </w:rPr>
        <w:t>供应商应明确1名</w:t>
      </w:r>
      <w:r>
        <w:rPr>
          <w:rFonts w:hint="eastAsia" w:ascii="宋体" w:hAnsi="宋体" w:cs="仿宋"/>
          <w:color w:val="auto"/>
          <w:sz w:val="24"/>
          <w:szCs w:val="24"/>
          <w:highlight w:val="none"/>
          <w:lang w:val="en-US" w:eastAsia="zh-CN"/>
        </w:rPr>
        <w:t>项目</w:t>
      </w:r>
      <w:r>
        <w:rPr>
          <w:rFonts w:hint="eastAsia" w:ascii="宋体" w:hAnsi="宋体" w:cs="仿宋"/>
          <w:color w:val="auto"/>
          <w:sz w:val="24"/>
          <w:szCs w:val="24"/>
          <w:highlight w:val="none"/>
        </w:rPr>
        <w:t>经理具体负责医疗责任保险及保险服务的日常管理、统筹协调，确保工作的正常开展。除</w:t>
      </w:r>
      <w:r>
        <w:rPr>
          <w:rFonts w:hint="eastAsia" w:ascii="宋体" w:hAnsi="宋体" w:cs="仿宋"/>
          <w:color w:val="auto"/>
          <w:sz w:val="24"/>
          <w:szCs w:val="24"/>
          <w:highlight w:val="none"/>
          <w:lang w:val="en-US" w:eastAsia="zh-CN"/>
        </w:rPr>
        <w:t>项目经理以外</w:t>
      </w:r>
      <w:r>
        <w:rPr>
          <w:rFonts w:hint="eastAsia" w:ascii="宋体" w:hAnsi="宋体" w:cs="仿宋"/>
          <w:color w:val="auto"/>
          <w:sz w:val="24"/>
          <w:szCs w:val="24"/>
          <w:highlight w:val="none"/>
        </w:rPr>
        <w:t>应配备具有专业能力和沟通协调能力的</w:t>
      </w:r>
      <w:r>
        <w:rPr>
          <w:rFonts w:hint="eastAsia" w:ascii="宋体" w:hAnsi="宋体" w:cs="仿宋"/>
          <w:color w:val="auto"/>
          <w:sz w:val="24"/>
          <w:szCs w:val="24"/>
          <w:highlight w:val="none"/>
          <w:lang w:val="en-US" w:eastAsia="zh-CN"/>
        </w:rPr>
        <w:t>理赔</w:t>
      </w:r>
      <w:r>
        <w:rPr>
          <w:rFonts w:hint="eastAsia" w:ascii="宋体" w:hAnsi="宋体" w:cs="仿宋"/>
          <w:color w:val="auto"/>
          <w:sz w:val="24"/>
          <w:szCs w:val="24"/>
          <w:highlight w:val="none"/>
        </w:rPr>
        <w:t>服务人员。</w:t>
      </w:r>
    </w:p>
    <w:p w14:paraId="3536E59E">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lang w:val="en-US" w:eastAsia="zh-CN"/>
        </w:rPr>
        <w:t>3.</w:t>
      </w:r>
      <w:r>
        <w:rPr>
          <w:rFonts w:hint="eastAsia" w:ascii="宋体" w:hAnsi="宋体" w:cs="仿宋"/>
          <w:color w:val="auto"/>
          <w:sz w:val="24"/>
          <w:szCs w:val="24"/>
          <w:highlight w:val="none"/>
        </w:rPr>
        <w:t>供应商应有固定的办公地点及确保工作正常开展的相关设施。</w:t>
      </w:r>
    </w:p>
    <w:p w14:paraId="3D7582C7">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cs="仿宋" w:eastAsiaTheme="minorEastAsia"/>
          <w:b/>
          <w:color w:val="auto"/>
          <w:sz w:val="24"/>
          <w:szCs w:val="24"/>
          <w:highlight w:val="none"/>
          <w:lang w:eastAsia="zh-CN"/>
        </w:rPr>
      </w:pPr>
      <w:r>
        <w:rPr>
          <w:rFonts w:hint="eastAsia" w:ascii="宋体" w:hAnsi="宋体" w:cs="仿宋"/>
          <w:color w:val="auto"/>
          <w:sz w:val="24"/>
          <w:szCs w:val="24"/>
          <w:highlight w:val="none"/>
          <w:lang w:val="en-US" w:eastAsia="zh-CN"/>
        </w:rPr>
        <w:t>4.</w:t>
      </w: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应</w:t>
      </w:r>
      <w:r>
        <w:rPr>
          <w:rFonts w:hint="eastAsia" w:ascii="宋体" w:hAnsi="宋体" w:cs="仿宋"/>
          <w:color w:val="auto"/>
          <w:sz w:val="24"/>
          <w:szCs w:val="24"/>
          <w:highlight w:val="none"/>
        </w:rPr>
        <w:t>接报案处理及时，并及时参与现场调处</w:t>
      </w:r>
      <w:r>
        <w:rPr>
          <w:rFonts w:hint="eastAsia" w:ascii="宋体" w:hAnsi="宋体" w:cs="仿宋"/>
          <w:color w:val="auto"/>
          <w:sz w:val="24"/>
          <w:szCs w:val="24"/>
          <w:highlight w:val="none"/>
          <w:lang w:eastAsia="zh-CN"/>
        </w:rPr>
        <w:t>，</w:t>
      </w:r>
      <w:r>
        <w:rPr>
          <w:rFonts w:hint="eastAsia" w:ascii="宋体" w:hAnsi="宋体" w:cs="仿宋"/>
          <w:color w:val="auto"/>
          <w:sz w:val="24"/>
          <w:szCs w:val="24"/>
          <w:highlight w:val="none"/>
          <w:lang w:val="en-US" w:eastAsia="zh-CN"/>
        </w:rPr>
        <w:t>避免</w:t>
      </w:r>
      <w:r>
        <w:rPr>
          <w:rFonts w:hint="eastAsia" w:ascii="宋体" w:hAnsi="宋体" w:cs="仿宋"/>
          <w:color w:val="auto"/>
          <w:sz w:val="24"/>
          <w:szCs w:val="24"/>
          <w:highlight w:val="none"/>
        </w:rPr>
        <w:t>发生投诉或意见</w:t>
      </w:r>
      <w:r>
        <w:rPr>
          <w:rFonts w:hint="eastAsia" w:ascii="宋体" w:hAnsi="宋体" w:cs="仿宋"/>
          <w:color w:val="auto"/>
          <w:sz w:val="24"/>
          <w:szCs w:val="24"/>
          <w:highlight w:val="none"/>
          <w:lang w:eastAsia="zh-CN"/>
        </w:rPr>
        <w:t>。</w:t>
      </w:r>
    </w:p>
    <w:p w14:paraId="71927CB2">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lang w:val="en-US" w:eastAsia="zh-CN"/>
        </w:rPr>
        <w:t>5.</w:t>
      </w: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应</w:t>
      </w:r>
      <w:r>
        <w:rPr>
          <w:rFonts w:hint="eastAsia" w:ascii="宋体" w:hAnsi="宋体" w:cs="仿宋"/>
          <w:color w:val="auto"/>
          <w:sz w:val="24"/>
          <w:szCs w:val="24"/>
          <w:highlight w:val="none"/>
        </w:rPr>
        <w:t>协助调解工作态度积极，调处受理率应达100%。</w:t>
      </w:r>
    </w:p>
    <w:p w14:paraId="22435947">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ascii="宋体" w:hAnsi="宋体" w:cs="仿宋"/>
          <w:b/>
          <w:color w:val="auto"/>
          <w:sz w:val="24"/>
          <w:szCs w:val="24"/>
          <w:highlight w:val="none"/>
        </w:rPr>
      </w:pPr>
      <w:r>
        <w:rPr>
          <w:rFonts w:hint="eastAsia" w:ascii="宋体" w:hAnsi="宋体" w:cs="仿宋"/>
          <w:color w:val="auto"/>
          <w:sz w:val="24"/>
          <w:szCs w:val="24"/>
          <w:highlight w:val="none"/>
          <w:lang w:val="en-US" w:eastAsia="zh-CN"/>
        </w:rPr>
        <w:t>6.</w:t>
      </w:r>
      <w:r>
        <w:rPr>
          <w:rFonts w:hint="eastAsia" w:ascii="宋体" w:hAnsi="宋体" w:cs="仿宋"/>
          <w:color w:val="auto"/>
          <w:sz w:val="24"/>
          <w:szCs w:val="24"/>
          <w:highlight w:val="none"/>
        </w:rPr>
        <w:t>供应商</w:t>
      </w:r>
      <w:r>
        <w:rPr>
          <w:rFonts w:hint="eastAsia" w:ascii="宋体" w:hAnsi="宋体" w:cs="仿宋"/>
          <w:color w:val="auto"/>
          <w:sz w:val="24"/>
          <w:szCs w:val="24"/>
          <w:highlight w:val="none"/>
          <w:lang w:val="en-US" w:eastAsia="zh-CN"/>
        </w:rPr>
        <w:t>应</w:t>
      </w:r>
      <w:r>
        <w:rPr>
          <w:rFonts w:hint="eastAsia" w:ascii="宋体" w:hAnsi="宋体" w:cs="仿宋"/>
          <w:color w:val="auto"/>
          <w:sz w:val="24"/>
          <w:szCs w:val="24"/>
          <w:highlight w:val="none"/>
        </w:rPr>
        <w:t>积极配合参保医疗机构开展保险培训及风险防范工作。</w:t>
      </w:r>
    </w:p>
    <w:p w14:paraId="0FD022CE">
      <w:pPr>
        <w:keepNext w:val="0"/>
        <w:keepLines w:val="0"/>
        <w:pageBreakBefore w:val="0"/>
        <w:kinsoku/>
        <w:wordWrap/>
        <w:overflowPunct/>
        <w:topLinePunct w:val="0"/>
        <w:autoSpaceDE/>
        <w:autoSpaceDN/>
        <w:bidi w:val="0"/>
        <w:adjustRightInd/>
        <w:snapToGrid/>
        <w:spacing w:beforeAutospacing="0" w:afterAutospacing="0" w:line="520" w:lineRule="exact"/>
        <w:ind w:firstLine="480"/>
        <w:textAlignment w:val="auto"/>
        <w:rPr>
          <w:rFonts w:hint="eastAsia" w:ascii="宋体" w:hAnsi="宋体" w:cs="仿宋"/>
          <w:b/>
          <w:bCs/>
          <w:i w:val="0"/>
          <w:iCs w:val="0"/>
          <w:color w:val="auto"/>
          <w:sz w:val="24"/>
          <w:szCs w:val="24"/>
          <w:highlight w:val="none"/>
          <w:lang w:eastAsia="zh-CN"/>
        </w:rPr>
      </w:pPr>
      <w:r>
        <w:rPr>
          <w:rFonts w:hint="eastAsia" w:ascii="宋体" w:hAnsi="宋体" w:cs="仿宋"/>
          <w:b/>
          <w:bCs/>
          <w:i w:val="0"/>
          <w:iCs w:val="0"/>
          <w:color w:val="auto"/>
          <w:sz w:val="24"/>
          <w:szCs w:val="24"/>
          <w:highlight w:val="none"/>
          <w:lang w:val="en-US" w:eastAsia="zh-CN"/>
        </w:rPr>
        <w:t>六</w:t>
      </w:r>
      <w:r>
        <w:rPr>
          <w:rFonts w:hint="eastAsia" w:ascii="宋体" w:hAnsi="宋体" w:cs="仿宋"/>
          <w:b/>
          <w:bCs/>
          <w:i w:val="0"/>
          <w:iCs w:val="0"/>
          <w:color w:val="auto"/>
          <w:sz w:val="24"/>
          <w:szCs w:val="24"/>
          <w:highlight w:val="none"/>
          <w:lang w:eastAsia="zh-CN"/>
        </w:rPr>
        <w:t>、本项目采购需求内的内容供应商应全部满足和响应，供应商未按要求进行响应或有负偏离的，视为无效响应。</w:t>
      </w:r>
    </w:p>
    <w:p w14:paraId="7C1DCF9F">
      <w:pPr>
        <w:pStyle w:val="19"/>
        <w:numPr>
          <w:ilvl w:val="0"/>
          <w:numId w:val="0"/>
        </w:numPr>
        <w:rPr>
          <w:rFonts w:hint="eastAsia"/>
          <w:color w:val="auto"/>
        </w:rPr>
      </w:pPr>
    </w:p>
    <w:p w14:paraId="6CC16E52">
      <w:pPr>
        <w:pStyle w:val="20"/>
        <w:rPr>
          <w:rFonts w:hint="eastAsia" w:ascii="宋体" w:hAnsi="宋体" w:eastAsia="宋体" w:cs="宋体"/>
          <w:color w:val="auto"/>
          <w:sz w:val="24"/>
          <w:szCs w:val="24"/>
          <w:highlight w:val="none"/>
        </w:rPr>
      </w:pPr>
      <w:bookmarkStart w:id="196" w:name="_Toc120614281"/>
    </w:p>
    <w:p w14:paraId="74AEC7C6">
      <w:pPr>
        <w:pStyle w:val="20"/>
        <w:rPr>
          <w:rFonts w:hint="eastAsia" w:ascii="宋体" w:hAnsi="宋体" w:eastAsia="宋体" w:cs="宋体"/>
          <w:color w:val="auto"/>
          <w:sz w:val="24"/>
          <w:szCs w:val="24"/>
          <w:highlight w:val="none"/>
        </w:rPr>
      </w:pPr>
    </w:p>
    <w:p w14:paraId="30DAAE0C">
      <w:pPr>
        <w:pStyle w:val="20"/>
        <w:rPr>
          <w:rFonts w:hint="eastAsia" w:ascii="宋体" w:hAnsi="宋体" w:eastAsia="宋体" w:cs="宋体"/>
          <w:color w:val="auto"/>
          <w:sz w:val="24"/>
          <w:szCs w:val="24"/>
          <w:highlight w:val="none"/>
        </w:rPr>
      </w:pPr>
    </w:p>
    <w:p w14:paraId="37469FB1">
      <w:pPr>
        <w:pStyle w:val="20"/>
        <w:rPr>
          <w:rFonts w:hint="eastAsia" w:ascii="宋体" w:hAnsi="宋体" w:eastAsia="宋体" w:cs="宋体"/>
          <w:color w:val="auto"/>
          <w:sz w:val="24"/>
          <w:szCs w:val="24"/>
          <w:highlight w:val="none"/>
        </w:rPr>
      </w:pPr>
    </w:p>
    <w:p w14:paraId="6157BF95">
      <w:pPr>
        <w:pStyle w:val="20"/>
        <w:rPr>
          <w:rFonts w:hint="eastAsia" w:ascii="宋体" w:hAnsi="宋体" w:eastAsia="宋体" w:cs="宋体"/>
          <w:color w:val="auto"/>
          <w:sz w:val="24"/>
          <w:szCs w:val="24"/>
          <w:highlight w:val="none"/>
        </w:rPr>
      </w:pPr>
    </w:p>
    <w:p w14:paraId="5DE1E18B">
      <w:pPr>
        <w:pStyle w:val="20"/>
        <w:rPr>
          <w:rFonts w:hint="eastAsia" w:ascii="宋体" w:hAnsi="宋体" w:eastAsia="宋体" w:cs="宋体"/>
          <w:color w:val="auto"/>
          <w:sz w:val="24"/>
          <w:szCs w:val="24"/>
          <w:highlight w:val="none"/>
        </w:rPr>
      </w:pPr>
    </w:p>
    <w:p w14:paraId="35F35996">
      <w:pPr>
        <w:keepNext/>
        <w:jc w:val="center"/>
        <w:outlineLvl w:val="0"/>
        <w:rPr>
          <w:rFonts w:hint="eastAsia" w:ascii="宋体" w:hAnsi="宋体" w:eastAsia="宋体" w:cs="宋体"/>
          <w:color w:val="auto"/>
          <w:sz w:val="24"/>
          <w:szCs w:val="24"/>
          <w:highlight w:val="none"/>
        </w:rPr>
      </w:pPr>
      <w:bookmarkStart w:id="197" w:name="_Toc22673"/>
      <w:r>
        <w:rPr>
          <w:rFonts w:hint="eastAsia" w:ascii="宋体" w:hAnsi="宋体" w:eastAsia="宋体" w:cs="宋体"/>
          <w:color w:val="auto"/>
          <w:sz w:val="44"/>
          <w:szCs w:val="44"/>
          <w:highlight w:val="none"/>
        </w:rPr>
        <w:t>第五章 评审方法与评审标准</w:t>
      </w:r>
      <w:bookmarkEnd w:id="196"/>
      <w:bookmarkEnd w:id="197"/>
    </w:p>
    <w:p w14:paraId="74101D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D682A3F">
      <w:pPr>
        <w:spacing w:line="52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政府采购政策功能落实</w:t>
      </w:r>
    </w:p>
    <w:p w14:paraId="16F1EAE2">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1.小微型企业价格扣除</w:t>
      </w:r>
    </w:p>
    <w:p w14:paraId="422901B7">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（1）本项目对小型企业和微型企业产品给予10%的价格扣除，用扣除后的价格参与评审。</w:t>
      </w:r>
    </w:p>
    <w:p w14:paraId="7A0E2E7D">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（2）供应商需按照采购文件的要求提供相应的《中小企业声明函》。</w:t>
      </w:r>
    </w:p>
    <w:p w14:paraId="456B3197">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（3）企业标准请参照《关于印发中小企业划型标准规定的通知》（工信部联企业[2011]300号）文件规定自行填写。</w:t>
      </w:r>
    </w:p>
    <w:p w14:paraId="38C5858F">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（4）在货物采购项目中，</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highlight w:val="none"/>
          <w:lang w:bidi="ar"/>
        </w:rPr>
        <w:t>提供的货物既有中小企业制造货物，也有大型企业制造货物的，不享受本办法规定的中小企业扶持政策。</w:t>
      </w:r>
    </w:p>
    <w:p w14:paraId="2F0FE955">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2.残疾人福利单位价格扣除</w:t>
      </w:r>
    </w:p>
    <w:p w14:paraId="412198A1">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（1）本项目对残疾人福利性单位视同小型、微型企业，给予10%的价格扣除，用扣除后的价格参与评审。</w:t>
      </w:r>
    </w:p>
    <w:p w14:paraId="32298F6C">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（2）残疾人福利单位需按照采购文件的要求提供《残疾人福利性单位声明函》。</w:t>
      </w:r>
    </w:p>
    <w:p w14:paraId="48FF3044">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（3）残疾人福利单位标准请参照《关于促进残疾人就业政府采购政策的通知》（财库〔2017〕141号）。</w:t>
      </w:r>
    </w:p>
    <w:p w14:paraId="0EEE00CA">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3.监狱和戒毒企业价格扣除</w:t>
      </w:r>
    </w:p>
    <w:p w14:paraId="784252AD">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（1）本项目对监狱和戒毒企业（简称监狱企业）视同小型、微型企业，给予10%的价格扣除，用扣除后的价格参与评审。</w:t>
      </w:r>
    </w:p>
    <w:p w14:paraId="04D74371">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highlight w:val="none"/>
          <w:lang w:bidi="ar"/>
        </w:rPr>
        <w:t>如不提供上述证明文件，价格将不做相应扣除。</w:t>
      </w:r>
    </w:p>
    <w:p w14:paraId="45F9E742">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（3）监狱企业标准请参照《关于政府采购支持监狱企业发展有关问题的通知》（财库[2014]68号）。</w:t>
      </w:r>
    </w:p>
    <w:p w14:paraId="15953A69">
      <w:pPr>
        <w:tabs>
          <w:tab w:val="left" w:pos="2850"/>
          <w:tab w:val="center" w:pos="4153"/>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4.残疾人福利单位、监狱企业属于小型、微型企业的，不重复享受政策。</w:t>
      </w:r>
    </w:p>
    <w:p w14:paraId="56D466CB">
      <w:pPr>
        <w:tabs>
          <w:tab w:val="left" w:pos="525"/>
          <w:tab w:val="left" w:pos="840"/>
          <w:tab w:val="left" w:pos="945"/>
        </w:tabs>
        <w:spacing w:line="520" w:lineRule="exact"/>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w:t>
      </w:r>
      <w:r>
        <w:rPr>
          <w:rFonts w:hint="eastAsia" w:ascii="宋体" w:hAnsi="宋体" w:eastAsia="宋体" w:cs="宋体"/>
          <w:bCs/>
          <w:color w:val="auto"/>
          <w:sz w:val="24"/>
          <w:szCs w:val="24"/>
          <w:highlight w:val="none"/>
        </w:rPr>
        <w:t>本项目属于</w:t>
      </w:r>
      <w:r>
        <w:rPr>
          <w:rFonts w:hint="eastAsia" w:ascii="宋体" w:hAnsi="宋体" w:eastAsia="宋体" w:cs="宋体"/>
          <w:bCs/>
          <w:color w:val="auto"/>
          <w:sz w:val="24"/>
          <w:szCs w:val="24"/>
          <w:highlight w:val="none"/>
          <w:u w:val="single"/>
        </w:rPr>
        <w:t xml:space="preserve"> 其他未列明行业 </w:t>
      </w:r>
      <w:r>
        <w:rPr>
          <w:rFonts w:hint="eastAsia" w:ascii="宋体" w:hAnsi="宋体" w:eastAsia="宋体" w:cs="宋体"/>
          <w:bCs/>
          <w:color w:val="auto"/>
          <w:sz w:val="24"/>
          <w:szCs w:val="24"/>
          <w:highlight w:val="none"/>
        </w:rPr>
        <w:t>。</w:t>
      </w:r>
    </w:p>
    <w:p w14:paraId="17EDE358">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6.符合本采购文件优先采购 “环境标志产品”或“节能产品”的；必须提供“环境标志产品”或“节能产品”证明，否则不予认可。</w:t>
      </w:r>
    </w:p>
    <w:p w14:paraId="3C2BE37F">
      <w:pPr>
        <w:spacing w:line="52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环境标志产品是指列入财政部、环境保护部最新公布的《环境标志产品政府采购清单》内的产品；节能产品是指列入财政部、国家发展和改革委员会最新公布的《节能产品政府采购清单》内的产品。鼓励节能及环保政策以投标（响应）主要（核心）产品（品牌）为准。</w:t>
      </w:r>
    </w:p>
    <w:p w14:paraId="4A0A6DA8">
      <w:pPr>
        <w:spacing w:line="520" w:lineRule="exact"/>
        <w:ind w:firstLine="48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7.根据《商品包装政府采购需求标准（试行）》、《快递包装政府采购需求标准（试行）》的通知（财办库[2020]123号要求，商品使用的塑料、纸质、木材等包装需达到环保要求。</w:t>
      </w:r>
    </w:p>
    <w:p w14:paraId="61DB16C8">
      <w:pPr>
        <w:spacing w:before="120" w:after="120" w:line="0" w:lineRule="atLeas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评审方法与评审标准：</w:t>
      </w:r>
    </w:p>
    <w:p w14:paraId="07560E28">
      <w:pPr>
        <w:pStyle w:val="18"/>
        <w:spacing w:before="101" w:line="227" w:lineRule="auto"/>
        <w:ind w:left="3548"/>
        <w:rPr>
          <w:rFonts w:hint="eastAsia" w:ascii="宋体" w:hAnsi="宋体" w:eastAsia="宋体" w:cs="宋体"/>
          <w:color w:val="auto"/>
          <w:spacing w:val="6"/>
          <w:sz w:val="31"/>
          <w:szCs w:val="31"/>
          <w:highlight w:val="none"/>
        </w:rPr>
      </w:pPr>
      <w:r>
        <w:rPr>
          <w:rFonts w:hint="eastAsia" w:ascii="宋体" w:hAnsi="宋体" w:eastAsia="宋体" w:cs="宋体"/>
          <w:color w:val="auto"/>
          <w:spacing w:val="6"/>
          <w:sz w:val="31"/>
          <w:szCs w:val="31"/>
          <w:highlight w:val="none"/>
        </w:rPr>
        <w:t>评分标准</w:t>
      </w:r>
    </w:p>
    <w:tbl>
      <w:tblPr>
        <w:tblStyle w:val="48"/>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8"/>
        <w:gridCol w:w="7077"/>
        <w:gridCol w:w="865"/>
      </w:tblGrid>
      <w:tr w14:paraId="4A19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438" w:type="dxa"/>
            <w:shd w:val="clear" w:color="auto" w:fill="auto"/>
            <w:vAlign w:val="center"/>
          </w:tcPr>
          <w:p w14:paraId="441FCF36">
            <w:pPr>
              <w:tabs>
                <w:tab w:val="left" w:pos="2850"/>
                <w:tab w:val="center" w:pos="4153"/>
              </w:tabs>
              <w:adjustRightInd w:val="0"/>
              <w:spacing w:line="520" w:lineRule="exact"/>
              <w:jc w:val="center"/>
              <w:rPr>
                <w:rFonts w:hint="eastAsia" w:ascii="宋体" w:cs="宋体"/>
                <w:b/>
                <w:bCs/>
                <w:color w:val="auto"/>
                <w:sz w:val="24"/>
                <w:szCs w:val="24"/>
                <w:lang w:val="en-US" w:eastAsia="zh-CN"/>
              </w:rPr>
            </w:pPr>
            <w:r>
              <w:rPr>
                <w:rFonts w:hint="eastAsia" w:ascii="宋体" w:cs="宋体"/>
                <w:b/>
                <w:bCs/>
                <w:color w:val="auto"/>
                <w:sz w:val="24"/>
                <w:szCs w:val="24"/>
                <w:lang w:val="en-US" w:eastAsia="zh-CN"/>
              </w:rPr>
              <w:t>评分点</w:t>
            </w:r>
          </w:p>
        </w:tc>
        <w:tc>
          <w:tcPr>
            <w:tcW w:w="7077" w:type="dxa"/>
            <w:shd w:val="clear" w:color="auto" w:fill="auto"/>
            <w:vAlign w:val="center"/>
          </w:tcPr>
          <w:p w14:paraId="10CB1CAF">
            <w:pPr>
              <w:tabs>
                <w:tab w:val="left" w:pos="2850"/>
                <w:tab w:val="center" w:pos="4153"/>
              </w:tabs>
              <w:adjustRightInd w:val="0"/>
              <w:spacing w:line="520" w:lineRule="exact"/>
              <w:jc w:val="center"/>
              <w:rPr>
                <w:rFonts w:hint="eastAsia" w:ascii="宋体" w:cs="宋体"/>
                <w:b/>
                <w:bCs/>
                <w:color w:val="auto"/>
                <w:sz w:val="24"/>
                <w:szCs w:val="24"/>
                <w:lang w:val="en-US" w:eastAsia="zh-CN"/>
              </w:rPr>
            </w:pPr>
            <w:r>
              <w:rPr>
                <w:rFonts w:hint="eastAsia" w:ascii="宋体" w:cs="宋体"/>
                <w:b/>
                <w:bCs/>
                <w:color w:val="auto"/>
                <w:sz w:val="24"/>
                <w:szCs w:val="24"/>
                <w:lang w:val="en-US" w:eastAsia="zh-CN"/>
              </w:rPr>
              <w:t>评  分  依  据</w:t>
            </w:r>
          </w:p>
        </w:tc>
        <w:tc>
          <w:tcPr>
            <w:tcW w:w="865" w:type="dxa"/>
            <w:vAlign w:val="center"/>
          </w:tcPr>
          <w:p w14:paraId="43FA5BE2">
            <w:pPr>
              <w:tabs>
                <w:tab w:val="left" w:pos="2850"/>
                <w:tab w:val="center" w:pos="4153"/>
              </w:tabs>
              <w:adjustRightInd w:val="0"/>
              <w:spacing w:line="520" w:lineRule="exact"/>
              <w:jc w:val="center"/>
              <w:rPr>
                <w:rFonts w:hint="eastAsia" w:ascii="宋体" w:hAnsi="宋体" w:eastAsia="宋体" w:cs="宋体"/>
                <w:b/>
                <w:bCs/>
                <w:color w:val="auto"/>
                <w:sz w:val="24"/>
                <w:szCs w:val="24"/>
                <w:highlight w:val="none"/>
                <w:vertAlign w:val="baseline"/>
              </w:rPr>
            </w:pPr>
            <w:r>
              <w:rPr>
                <w:rFonts w:hint="eastAsia" w:ascii="宋体" w:cs="宋体"/>
                <w:b/>
                <w:bCs/>
                <w:color w:val="auto"/>
                <w:sz w:val="24"/>
                <w:szCs w:val="24"/>
              </w:rPr>
              <w:t>分值</w:t>
            </w:r>
          </w:p>
        </w:tc>
      </w:tr>
      <w:tr w14:paraId="01E74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8" w:type="dxa"/>
            <w:vAlign w:val="center"/>
          </w:tcPr>
          <w:p w14:paraId="642CC40A">
            <w:pPr>
              <w:pStyle w:val="492"/>
              <w:spacing w:line="440" w:lineRule="exact"/>
              <w:jc w:val="center"/>
              <w:rPr>
                <w:rFonts w:hint="eastAsia" w:ascii="宋体" w:hAnsi="宋体" w:eastAsia="宋体" w:cs="宋体"/>
                <w:b/>
                <w:bCs/>
                <w:color w:val="auto"/>
                <w:sz w:val="22"/>
                <w:szCs w:val="22"/>
                <w:highlight w:val="none"/>
                <w:vertAlign w:val="baseline"/>
              </w:rPr>
            </w:pPr>
            <w:r>
              <w:rPr>
                <w:rFonts w:hint="eastAsia" w:ascii="宋体" w:cs="宋体"/>
                <w:color w:val="auto"/>
                <w:sz w:val="24"/>
                <w:szCs w:val="24"/>
              </w:rPr>
              <w:t>价格</w:t>
            </w:r>
          </w:p>
        </w:tc>
        <w:tc>
          <w:tcPr>
            <w:tcW w:w="7077" w:type="dxa"/>
            <w:vAlign w:val="center"/>
          </w:tcPr>
          <w:p w14:paraId="1E830236">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满足磋商文件要求且最终报价最低的供应商的价格为磋商基准价，其价格分为满分</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p w14:paraId="716A21BE">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其他供应商的价格分统一按照下列公式计算：</w:t>
            </w:r>
          </w:p>
          <w:p w14:paraId="74B751BB">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b/>
                <w:bCs/>
                <w:color w:val="auto"/>
                <w:sz w:val="22"/>
                <w:szCs w:val="22"/>
                <w:highlight w:val="none"/>
                <w:vertAlign w:val="baseline"/>
              </w:rPr>
            </w:pPr>
            <w:r>
              <w:rPr>
                <w:rFonts w:hint="eastAsia" w:ascii="宋体" w:hAnsi="宋体" w:eastAsia="宋体" w:cs="宋体"/>
                <w:color w:val="auto"/>
                <w:sz w:val="24"/>
                <w:szCs w:val="24"/>
                <w:highlight w:val="none"/>
              </w:rPr>
              <w:t>磋商报价得分=（磋商基准价／最终磋商报价）×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分*100%。</w:t>
            </w:r>
            <w:r>
              <w:rPr>
                <w:rFonts w:hint="eastAsia" w:ascii="宋体" w:cs="宋体"/>
                <w:b w:val="0"/>
                <w:bCs/>
                <w:color w:val="auto"/>
                <w:sz w:val="24"/>
                <w:szCs w:val="24"/>
                <w:highlight w:val="none"/>
              </w:rPr>
              <w:t>（分值计算结果保留两位小数）</w:t>
            </w:r>
          </w:p>
        </w:tc>
        <w:tc>
          <w:tcPr>
            <w:tcW w:w="865" w:type="dxa"/>
            <w:vAlign w:val="center"/>
          </w:tcPr>
          <w:p w14:paraId="7CF1AD5B">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30分</w:t>
            </w:r>
          </w:p>
        </w:tc>
      </w:tr>
      <w:tr w14:paraId="03363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8" w:type="dxa"/>
            <w:vAlign w:val="center"/>
          </w:tcPr>
          <w:p w14:paraId="49F31D36">
            <w:pPr>
              <w:pStyle w:val="492"/>
              <w:spacing w:line="440" w:lineRule="exact"/>
              <w:jc w:val="center"/>
              <w:rPr>
                <w:rFonts w:hint="eastAsia" w:ascii="宋体" w:hAnsi="宋体" w:eastAsia="宋体" w:cs="宋体"/>
                <w:b/>
                <w:bCs/>
                <w:color w:val="auto"/>
                <w:sz w:val="22"/>
                <w:szCs w:val="22"/>
                <w:highlight w:val="none"/>
                <w:vertAlign w:val="baseline"/>
              </w:rPr>
            </w:pPr>
            <w:r>
              <w:rPr>
                <w:rFonts w:hint="eastAsia" w:ascii="宋体" w:cs="宋体"/>
                <w:bCs/>
                <w:color w:val="auto"/>
                <w:sz w:val="24"/>
                <w:szCs w:val="24"/>
              </w:rPr>
              <w:t>风险综合评级</w:t>
            </w:r>
          </w:p>
        </w:tc>
        <w:tc>
          <w:tcPr>
            <w:tcW w:w="7077" w:type="dxa"/>
            <w:vAlign w:val="center"/>
          </w:tcPr>
          <w:p w14:paraId="6D1AEE68">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cs="宋体"/>
                <w:bCs/>
                <w:color w:val="auto"/>
                <w:sz w:val="24"/>
                <w:szCs w:val="24"/>
                <w:highlight w:val="none"/>
              </w:rPr>
            </w:pPr>
            <w:r>
              <w:rPr>
                <w:rFonts w:hint="eastAsia" w:ascii="宋体" w:cs="宋体"/>
                <w:bCs/>
                <w:color w:val="auto"/>
                <w:sz w:val="24"/>
                <w:szCs w:val="24"/>
                <w:highlight w:val="none"/>
                <w:lang w:val="en-US" w:eastAsia="zh-CN"/>
              </w:rPr>
              <w:t>供应商的</w:t>
            </w:r>
            <w:r>
              <w:rPr>
                <w:rFonts w:hint="eastAsia" w:ascii="宋体" w:cs="宋体"/>
                <w:bCs/>
                <w:color w:val="auto"/>
                <w:sz w:val="24"/>
                <w:szCs w:val="24"/>
                <w:highlight w:val="none"/>
              </w:rPr>
              <w:t>风险综合评级为A级的得</w:t>
            </w:r>
            <w:r>
              <w:rPr>
                <w:rFonts w:hint="eastAsia" w:ascii="宋体" w:cs="宋体"/>
                <w:bCs/>
                <w:color w:val="auto"/>
                <w:sz w:val="24"/>
                <w:szCs w:val="24"/>
                <w:highlight w:val="none"/>
                <w:lang w:val="en-US" w:eastAsia="zh-CN"/>
              </w:rPr>
              <w:t>5</w:t>
            </w:r>
            <w:r>
              <w:rPr>
                <w:rFonts w:hint="eastAsia" w:ascii="宋体" w:cs="宋体"/>
                <w:bCs/>
                <w:color w:val="auto"/>
                <w:sz w:val="24"/>
                <w:szCs w:val="24"/>
                <w:highlight w:val="none"/>
              </w:rPr>
              <w:t>分，风险综合评级为B级的得</w:t>
            </w:r>
            <w:r>
              <w:rPr>
                <w:rFonts w:hint="eastAsia" w:ascii="宋体" w:cs="宋体"/>
                <w:bCs/>
                <w:color w:val="auto"/>
                <w:sz w:val="24"/>
                <w:szCs w:val="24"/>
                <w:highlight w:val="none"/>
                <w:lang w:val="en-US" w:eastAsia="zh-CN"/>
              </w:rPr>
              <w:t>3</w:t>
            </w:r>
            <w:r>
              <w:rPr>
                <w:rFonts w:hint="eastAsia" w:ascii="宋体" w:cs="宋体"/>
                <w:bCs/>
                <w:color w:val="auto"/>
                <w:sz w:val="24"/>
                <w:szCs w:val="24"/>
                <w:highlight w:val="none"/>
              </w:rPr>
              <w:t>分，风险综合评级为C级及以下的得0分。</w:t>
            </w:r>
          </w:p>
          <w:p w14:paraId="167CC90F">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b/>
                <w:bCs/>
                <w:color w:val="auto"/>
                <w:sz w:val="22"/>
                <w:szCs w:val="22"/>
                <w:highlight w:val="none"/>
                <w:vertAlign w:val="baseline"/>
              </w:rPr>
            </w:pPr>
            <w:r>
              <w:rPr>
                <w:rFonts w:hint="eastAsia" w:ascii="宋体" w:cs="宋体"/>
                <w:bCs/>
                <w:color w:val="auto"/>
                <w:sz w:val="24"/>
                <w:szCs w:val="24"/>
                <w:highlight w:val="none"/>
                <w:lang w:val="en-US" w:eastAsia="zh-CN"/>
              </w:rPr>
              <w:t>注：</w:t>
            </w:r>
            <w:r>
              <w:rPr>
                <w:rFonts w:hint="eastAsia" w:ascii="宋体" w:cs="宋体"/>
                <w:bCs/>
                <w:color w:val="auto"/>
                <w:sz w:val="24"/>
                <w:szCs w:val="24"/>
                <w:highlight w:val="none"/>
              </w:rPr>
              <w:t>须提供</w:t>
            </w:r>
            <w:r>
              <w:rPr>
                <w:rFonts w:hint="eastAsia" w:ascii="宋体" w:cs="宋体"/>
                <w:bCs/>
                <w:color w:val="auto"/>
                <w:sz w:val="24"/>
                <w:szCs w:val="24"/>
                <w:highlight w:val="none"/>
                <w:lang w:val="en-US" w:eastAsia="zh-CN"/>
              </w:rPr>
              <w:t>2025年度任一季度</w:t>
            </w:r>
            <w:r>
              <w:rPr>
                <w:rFonts w:hint="eastAsia" w:ascii="宋体" w:cs="宋体"/>
                <w:bCs/>
                <w:color w:val="auto"/>
                <w:sz w:val="24"/>
                <w:szCs w:val="24"/>
                <w:highlight w:val="none"/>
              </w:rPr>
              <w:t>C-ROSS中国保险监督管理机构</w:t>
            </w:r>
            <w:r>
              <w:rPr>
                <w:rFonts w:hint="eastAsia" w:ascii="宋体" w:cs="宋体"/>
                <w:bCs/>
                <w:color w:val="auto"/>
                <w:sz w:val="24"/>
                <w:szCs w:val="24"/>
                <w:highlight w:val="none"/>
                <w:lang w:eastAsia="zh-CN"/>
              </w:rPr>
              <w:t>“</w:t>
            </w:r>
            <w:r>
              <w:rPr>
                <w:rFonts w:hint="eastAsia" w:ascii="宋体" w:cs="宋体"/>
                <w:bCs/>
                <w:color w:val="auto"/>
                <w:sz w:val="24"/>
                <w:szCs w:val="24"/>
                <w:highlight w:val="none"/>
              </w:rPr>
              <w:t>偿二代</w:t>
            </w:r>
            <w:r>
              <w:rPr>
                <w:rFonts w:hint="eastAsia" w:ascii="宋体" w:cs="宋体"/>
                <w:bCs/>
                <w:color w:val="auto"/>
                <w:sz w:val="24"/>
                <w:szCs w:val="24"/>
                <w:highlight w:val="none"/>
                <w:lang w:eastAsia="zh-CN"/>
              </w:rPr>
              <w:t>”</w:t>
            </w:r>
            <w:r>
              <w:rPr>
                <w:rFonts w:hint="eastAsia" w:ascii="宋体" w:cs="宋体"/>
                <w:bCs/>
                <w:color w:val="auto"/>
                <w:sz w:val="24"/>
                <w:szCs w:val="24"/>
                <w:highlight w:val="none"/>
              </w:rPr>
              <w:t>监管信息系统风险综合评级结果的</w:t>
            </w:r>
            <w:r>
              <w:rPr>
                <w:rFonts w:hint="eastAsia" w:ascii="宋体" w:cs="宋体"/>
                <w:bCs/>
                <w:color w:val="auto"/>
                <w:sz w:val="24"/>
                <w:szCs w:val="24"/>
                <w:highlight w:val="none"/>
                <w:lang w:val="en-US" w:eastAsia="zh-CN"/>
              </w:rPr>
              <w:t>截图上传</w:t>
            </w:r>
            <w:r>
              <w:rPr>
                <w:rFonts w:hint="eastAsia" w:ascii="宋体" w:cs="宋体"/>
                <w:bCs/>
                <w:color w:val="auto"/>
                <w:sz w:val="24"/>
                <w:szCs w:val="24"/>
                <w:highlight w:val="none"/>
              </w:rPr>
              <w:t>，未提供不得分</w:t>
            </w:r>
            <w:r>
              <w:rPr>
                <w:rFonts w:hint="eastAsia" w:ascii="宋体" w:cs="宋体"/>
                <w:bCs/>
                <w:color w:val="auto"/>
                <w:sz w:val="24"/>
                <w:szCs w:val="24"/>
                <w:highlight w:val="none"/>
                <w:lang w:eastAsia="zh-CN"/>
              </w:rPr>
              <w:t>。</w:t>
            </w:r>
          </w:p>
        </w:tc>
        <w:tc>
          <w:tcPr>
            <w:tcW w:w="865" w:type="dxa"/>
            <w:vAlign w:val="center"/>
          </w:tcPr>
          <w:p w14:paraId="37A12DD9">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5分</w:t>
            </w:r>
          </w:p>
        </w:tc>
      </w:tr>
      <w:tr w14:paraId="22A7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8" w:type="dxa"/>
            <w:shd w:val="clear" w:color="auto" w:fill="auto"/>
            <w:vAlign w:val="center"/>
          </w:tcPr>
          <w:p w14:paraId="4CC83857">
            <w:pPr>
              <w:pStyle w:val="492"/>
              <w:spacing w:line="440" w:lineRule="exact"/>
              <w:jc w:val="center"/>
              <w:rPr>
                <w:rFonts w:hint="eastAsia" w:ascii="宋体" w:hAnsi="宋体" w:eastAsia="宋体" w:cs="宋体"/>
                <w:b/>
                <w:bCs/>
                <w:color w:val="auto"/>
                <w:sz w:val="22"/>
                <w:szCs w:val="22"/>
                <w:highlight w:val="none"/>
                <w:vertAlign w:val="baseline"/>
                <w:lang w:val="en-US" w:eastAsia="zh-CN" w:bidi="ar-SA"/>
              </w:rPr>
            </w:pPr>
            <w:r>
              <w:rPr>
                <w:rFonts w:hint="eastAsia" w:ascii="宋体" w:hAnsi="宋体" w:cs="宋体"/>
                <w:color w:val="auto"/>
                <w:sz w:val="24"/>
                <w:szCs w:val="24"/>
              </w:rPr>
              <w:t>综合偿付能力</w:t>
            </w:r>
          </w:p>
        </w:tc>
        <w:tc>
          <w:tcPr>
            <w:tcW w:w="7077" w:type="dxa"/>
            <w:shd w:val="clear" w:color="auto" w:fill="auto"/>
            <w:vAlign w:val="center"/>
          </w:tcPr>
          <w:p w14:paraId="19191EAD">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color w:val="auto"/>
                <w:sz w:val="24"/>
                <w:szCs w:val="24"/>
                <w:highlight w:val="none"/>
              </w:rPr>
            </w:pPr>
            <w:r>
              <w:rPr>
                <w:rFonts w:hint="eastAsia" w:ascii="宋体" w:cs="宋体"/>
                <w:bCs/>
                <w:color w:val="auto"/>
                <w:sz w:val="24"/>
                <w:szCs w:val="24"/>
                <w:highlight w:val="none"/>
                <w:lang w:val="en-US" w:eastAsia="zh-CN"/>
              </w:rPr>
              <w:t>供应商的</w:t>
            </w:r>
            <w:r>
              <w:rPr>
                <w:rFonts w:hint="eastAsia" w:ascii="宋体" w:hAnsi="宋体"/>
                <w:color w:val="auto"/>
                <w:sz w:val="24"/>
                <w:szCs w:val="24"/>
                <w:highlight w:val="none"/>
              </w:rPr>
              <w:t>综合偿付</w:t>
            </w:r>
            <w:bookmarkStart w:id="231" w:name="_GoBack"/>
            <w:r>
              <w:rPr>
                <w:rFonts w:hint="eastAsia" w:ascii="宋体" w:hAnsi="宋体"/>
                <w:color w:val="auto"/>
                <w:sz w:val="24"/>
                <w:szCs w:val="24"/>
                <w:highlight w:val="none"/>
              </w:rPr>
              <w:t>能力达到200%（含）以上的得</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分，1</w:t>
            </w:r>
            <w:r>
              <w:rPr>
                <w:rFonts w:hint="eastAsia" w:ascii="宋体" w:hAnsi="宋体"/>
                <w:color w:val="auto"/>
                <w:sz w:val="24"/>
                <w:szCs w:val="24"/>
                <w:highlight w:val="none"/>
                <w:lang w:val="en-US" w:eastAsia="zh-CN"/>
              </w:rPr>
              <w:t>75</w:t>
            </w:r>
            <w:r>
              <w:rPr>
                <w:rFonts w:hint="eastAsia" w:ascii="宋体" w:hAnsi="宋体"/>
                <w:color w:val="auto"/>
                <w:sz w:val="24"/>
                <w:szCs w:val="24"/>
                <w:highlight w:val="none"/>
              </w:rPr>
              <w:t>%（含）-200%得</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分</w:t>
            </w:r>
            <w:r>
              <w:rPr>
                <w:rFonts w:hint="eastAsia" w:ascii="宋体" w:hAnsi="宋体"/>
                <w:color w:val="auto"/>
                <w:sz w:val="24"/>
                <w:szCs w:val="24"/>
                <w:highlight w:val="none"/>
                <w:lang w:eastAsia="zh-CN"/>
              </w:rPr>
              <w:t>，</w:t>
            </w:r>
            <w:r>
              <w:rPr>
                <w:rFonts w:hint="eastAsia" w:ascii="宋体" w:hAnsi="宋体"/>
                <w:color w:val="auto"/>
                <w:sz w:val="24"/>
                <w:szCs w:val="24"/>
                <w:highlight w:val="none"/>
              </w:rPr>
              <w:t>150%（含）-</w:t>
            </w:r>
            <w:r>
              <w:rPr>
                <w:rFonts w:hint="eastAsia" w:ascii="宋体" w:hAnsi="宋体"/>
                <w:color w:val="auto"/>
                <w:sz w:val="24"/>
                <w:szCs w:val="24"/>
                <w:highlight w:val="none"/>
                <w:lang w:val="en-US" w:eastAsia="zh-CN"/>
              </w:rPr>
              <w:t>175</w:t>
            </w:r>
            <w:r>
              <w:rPr>
                <w:rFonts w:hint="eastAsia" w:ascii="宋体" w:hAnsi="宋体"/>
                <w:color w:val="auto"/>
                <w:sz w:val="24"/>
                <w:szCs w:val="24"/>
                <w:highlight w:val="none"/>
              </w:rPr>
              <w:t>%得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分，150%以下不得分。</w:t>
            </w:r>
          </w:p>
          <w:p w14:paraId="10881506">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b/>
                <w:bCs/>
                <w:color w:val="auto"/>
                <w:sz w:val="22"/>
                <w:szCs w:val="22"/>
                <w:highlight w:val="none"/>
                <w:vertAlign w:val="baseline"/>
                <w:lang w:val="en-US" w:eastAsia="zh-CN" w:bidi="ar-SA"/>
              </w:rPr>
            </w:pPr>
            <w:r>
              <w:rPr>
                <w:rFonts w:hint="eastAsia" w:ascii="宋体" w:hAnsi="宋体"/>
                <w:color w:val="auto"/>
                <w:sz w:val="24"/>
                <w:szCs w:val="24"/>
                <w:highlight w:val="none"/>
                <w:lang w:val="en-US" w:eastAsia="zh-CN"/>
              </w:rPr>
              <w:t>注：</w:t>
            </w:r>
            <w:r>
              <w:rPr>
                <w:rFonts w:hint="eastAsia" w:ascii="宋体" w:cs="宋体"/>
                <w:bCs/>
                <w:color w:val="auto"/>
                <w:sz w:val="24"/>
                <w:szCs w:val="24"/>
                <w:highlight w:val="none"/>
              </w:rPr>
              <w:t>须提供</w:t>
            </w:r>
            <w:r>
              <w:rPr>
                <w:rFonts w:hint="eastAsia" w:ascii="宋体" w:cs="宋体"/>
                <w:bCs/>
                <w:color w:val="auto"/>
                <w:sz w:val="24"/>
                <w:szCs w:val="24"/>
                <w:highlight w:val="none"/>
                <w:lang w:val="en-US" w:eastAsia="zh-CN"/>
              </w:rPr>
              <w:t>2025年度任一季度</w:t>
            </w:r>
            <w:r>
              <w:rPr>
                <w:rFonts w:hint="eastAsia" w:ascii="宋体" w:hAnsi="宋体"/>
                <w:color w:val="auto"/>
                <w:sz w:val="24"/>
                <w:szCs w:val="24"/>
                <w:highlight w:val="none"/>
              </w:rPr>
              <w:t>偿</w:t>
            </w:r>
            <w:bookmarkEnd w:id="231"/>
            <w:r>
              <w:rPr>
                <w:rFonts w:hint="eastAsia" w:ascii="宋体" w:hAnsi="宋体"/>
                <w:color w:val="auto"/>
                <w:sz w:val="24"/>
                <w:szCs w:val="24"/>
                <w:highlight w:val="none"/>
              </w:rPr>
              <w:t>付能力报告</w:t>
            </w:r>
            <w:r>
              <w:rPr>
                <w:rFonts w:hint="eastAsia" w:ascii="宋体" w:hAnsi="宋体"/>
                <w:color w:val="auto"/>
                <w:sz w:val="24"/>
                <w:szCs w:val="24"/>
                <w:highlight w:val="none"/>
                <w:lang w:val="en-US" w:eastAsia="zh-CN"/>
              </w:rPr>
              <w:t>截图上传</w:t>
            </w:r>
            <w:r>
              <w:rPr>
                <w:rFonts w:hint="eastAsia" w:ascii="宋体" w:hAnsi="宋体"/>
                <w:color w:val="auto"/>
                <w:sz w:val="24"/>
                <w:szCs w:val="24"/>
                <w:highlight w:val="none"/>
              </w:rPr>
              <w:t>，未提供不得分</w:t>
            </w:r>
            <w:r>
              <w:rPr>
                <w:rFonts w:hint="eastAsia" w:ascii="宋体" w:hAnsi="宋体"/>
                <w:color w:val="auto"/>
                <w:sz w:val="24"/>
                <w:szCs w:val="24"/>
                <w:highlight w:val="none"/>
                <w:lang w:eastAsia="zh-CN"/>
              </w:rPr>
              <w:t>。</w:t>
            </w:r>
          </w:p>
        </w:tc>
        <w:tc>
          <w:tcPr>
            <w:tcW w:w="865" w:type="dxa"/>
            <w:shd w:val="clear" w:color="auto" w:fill="auto"/>
            <w:vAlign w:val="center"/>
          </w:tcPr>
          <w:p w14:paraId="689A7E5F">
            <w:pPr>
              <w:tabs>
                <w:tab w:val="left" w:pos="2850"/>
                <w:tab w:val="center" w:pos="4153"/>
              </w:tabs>
              <w:adjustRightInd w:val="0"/>
              <w:spacing w:line="520" w:lineRule="exact"/>
              <w:jc w:val="center"/>
              <w:rPr>
                <w:rFonts w:hint="eastAsia"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10分</w:t>
            </w:r>
          </w:p>
        </w:tc>
      </w:tr>
      <w:tr w14:paraId="4DF39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38" w:type="dxa"/>
            <w:vAlign w:val="center"/>
          </w:tcPr>
          <w:p w14:paraId="51644E42">
            <w:pPr>
              <w:pStyle w:val="492"/>
              <w:spacing w:line="440" w:lineRule="exact"/>
              <w:jc w:val="center"/>
              <w:rPr>
                <w:rFonts w:hint="eastAsia" w:ascii="宋体" w:hAnsi="宋体" w:eastAsia="宋体" w:cs="宋体"/>
                <w:b/>
                <w:bCs/>
                <w:color w:val="auto"/>
                <w:sz w:val="22"/>
                <w:szCs w:val="22"/>
                <w:highlight w:val="none"/>
                <w:vertAlign w:val="baseline"/>
              </w:rPr>
            </w:pPr>
            <w:r>
              <w:rPr>
                <w:rFonts w:hint="eastAsia" w:ascii="宋体" w:cs="宋体"/>
                <w:bCs/>
                <w:color w:val="auto"/>
                <w:sz w:val="24"/>
                <w:szCs w:val="24"/>
                <w:highlight w:val="none"/>
              </w:rPr>
              <w:t>医责险承保业绩</w:t>
            </w:r>
          </w:p>
        </w:tc>
        <w:tc>
          <w:tcPr>
            <w:tcW w:w="7077" w:type="dxa"/>
            <w:vAlign w:val="center"/>
          </w:tcPr>
          <w:p w14:paraId="427E9F54">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cs="宋体"/>
                <w:bCs/>
                <w:color w:val="auto"/>
                <w:sz w:val="24"/>
                <w:szCs w:val="24"/>
                <w:highlight w:val="none"/>
                <w:lang w:eastAsia="zh-CN"/>
              </w:rPr>
            </w:pPr>
            <w:r>
              <w:rPr>
                <w:rFonts w:hint="eastAsia" w:ascii="宋体" w:cs="宋体"/>
                <w:bCs/>
                <w:color w:val="auto"/>
                <w:sz w:val="24"/>
                <w:szCs w:val="24"/>
                <w:highlight w:val="none"/>
                <w:lang w:val="en-US" w:eastAsia="zh-CN"/>
              </w:rPr>
              <w:t>供应商自</w:t>
            </w:r>
            <w:r>
              <w:rPr>
                <w:rFonts w:hint="eastAsia" w:ascii="宋体" w:cs="宋体"/>
                <w:bCs/>
                <w:color w:val="auto"/>
                <w:sz w:val="24"/>
                <w:szCs w:val="24"/>
                <w:highlight w:val="none"/>
              </w:rPr>
              <w:t>20</w:t>
            </w:r>
            <w:r>
              <w:rPr>
                <w:rFonts w:hint="eastAsia" w:ascii="宋体" w:cs="宋体"/>
                <w:bCs/>
                <w:color w:val="auto"/>
                <w:sz w:val="24"/>
                <w:szCs w:val="24"/>
                <w:highlight w:val="none"/>
                <w:lang w:val="en-US" w:eastAsia="zh-CN"/>
              </w:rPr>
              <w:t>24</w:t>
            </w:r>
            <w:r>
              <w:rPr>
                <w:rFonts w:hint="eastAsia" w:ascii="宋体" w:cs="宋体"/>
                <w:bCs/>
                <w:color w:val="auto"/>
                <w:sz w:val="24"/>
                <w:szCs w:val="24"/>
                <w:highlight w:val="none"/>
              </w:rPr>
              <w:t>年</w:t>
            </w:r>
            <w:r>
              <w:rPr>
                <w:rFonts w:hint="eastAsia" w:ascii="宋体" w:cs="宋体"/>
                <w:bCs/>
                <w:color w:val="auto"/>
                <w:sz w:val="24"/>
                <w:szCs w:val="24"/>
                <w:highlight w:val="none"/>
                <w:lang w:val="en-US" w:eastAsia="zh-CN"/>
              </w:rPr>
              <w:t>1月1日至今</w:t>
            </w:r>
            <w:r>
              <w:rPr>
                <w:rFonts w:hint="eastAsia" w:ascii="宋体" w:cs="宋体"/>
                <w:bCs/>
                <w:color w:val="auto"/>
                <w:sz w:val="24"/>
                <w:szCs w:val="24"/>
                <w:highlight w:val="none"/>
                <w:lang w:eastAsia="zh-CN"/>
              </w:rPr>
              <w:t>，</w:t>
            </w:r>
            <w:r>
              <w:rPr>
                <w:rFonts w:hint="eastAsia" w:ascii="宋体" w:cs="宋体"/>
                <w:bCs/>
                <w:color w:val="auto"/>
                <w:sz w:val="24"/>
                <w:szCs w:val="24"/>
                <w:highlight w:val="none"/>
              </w:rPr>
              <w:t>承保的医疗责任保险承保业绩</w:t>
            </w:r>
            <w:r>
              <w:rPr>
                <w:rFonts w:hint="eastAsia" w:ascii="宋体" w:cs="宋体"/>
                <w:bCs/>
                <w:color w:val="auto"/>
                <w:sz w:val="24"/>
                <w:szCs w:val="24"/>
                <w:highlight w:val="none"/>
                <w:lang w:eastAsia="zh-CN"/>
              </w:rPr>
              <w:t>（</w:t>
            </w:r>
            <w:r>
              <w:rPr>
                <w:rFonts w:hint="eastAsia" w:ascii="宋体" w:cs="宋体"/>
                <w:bCs/>
                <w:color w:val="auto"/>
                <w:sz w:val="24"/>
                <w:szCs w:val="24"/>
                <w:highlight w:val="none"/>
                <w:lang w:val="en-US" w:eastAsia="zh-CN"/>
              </w:rPr>
              <w:t>主承保或独立承保</w:t>
            </w:r>
            <w:r>
              <w:rPr>
                <w:rFonts w:hint="eastAsia" w:ascii="宋体" w:cs="宋体"/>
                <w:bCs/>
                <w:color w:val="auto"/>
                <w:sz w:val="24"/>
                <w:szCs w:val="24"/>
                <w:highlight w:val="none"/>
                <w:lang w:eastAsia="zh-CN"/>
              </w:rPr>
              <w:t>）</w:t>
            </w:r>
            <w:r>
              <w:rPr>
                <w:rFonts w:hint="eastAsia" w:ascii="宋体" w:cs="宋体"/>
                <w:bCs/>
                <w:color w:val="auto"/>
                <w:sz w:val="24"/>
                <w:szCs w:val="24"/>
                <w:highlight w:val="none"/>
              </w:rPr>
              <w:t>，每有一个得</w:t>
            </w:r>
            <w:r>
              <w:rPr>
                <w:rFonts w:hint="eastAsia" w:ascii="宋体" w:cs="宋体"/>
                <w:bCs/>
                <w:color w:val="auto"/>
                <w:sz w:val="24"/>
                <w:szCs w:val="24"/>
                <w:highlight w:val="none"/>
                <w:lang w:val="en-US" w:eastAsia="zh-CN"/>
              </w:rPr>
              <w:t>2</w:t>
            </w:r>
            <w:r>
              <w:rPr>
                <w:rFonts w:hint="eastAsia" w:ascii="宋体" w:cs="宋体"/>
                <w:bCs/>
                <w:color w:val="auto"/>
                <w:sz w:val="24"/>
                <w:szCs w:val="24"/>
                <w:highlight w:val="none"/>
              </w:rPr>
              <w:t>分，最高得</w:t>
            </w:r>
            <w:r>
              <w:rPr>
                <w:rFonts w:hint="eastAsia" w:ascii="宋体" w:cs="宋体"/>
                <w:bCs/>
                <w:color w:val="auto"/>
                <w:sz w:val="24"/>
                <w:szCs w:val="24"/>
                <w:highlight w:val="none"/>
                <w:lang w:val="en-US" w:eastAsia="zh-CN"/>
              </w:rPr>
              <w:t>10</w:t>
            </w:r>
            <w:r>
              <w:rPr>
                <w:rFonts w:hint="eastAsia" w:ascii="宋体" w:cs="宋体"/>
                <w:bCs/>
                <w:color w:val="auto"/>
                <w:sz w:val="24"/>
                <w:szCs w:val="24"/>
                <w:highlight w:val="none"/>
              </w:rPr>
              <w:t>分</w:t>
            </w:r>
            <w:r>
              <w:rPr>
                <w:rFonts w:hint="eastAsia" w:ascii="宋体" w:cs="宋体"/>
                <w:bCs/>
                <w:color w:val="auto"/>
                <w:sz w:val="24"/>
                <w:szCs w:val="24"/>
                <w:highlight w:val="none"/>
                <w:lang w:eastAsia="zh-CN"/>
              </w:rPr>
              <w:t>。</w:t>
            </w:r>
          </w:p>
          <w:p w14:paraId="0BE63CFC">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b/>
                <w:bCs/>
                <w:color w:val="auto"/>
                <w:sz w:val="22"/>
                <w:szCs w:val="22"/>
                <w:highlight w:val="none"/>
                <w:vertAlign w:val="baseline"/>
              </w:rPr>
            </w:pPr>
            <w:r>
              <w:rPr>
                <w:rFonts w:hint="eastAsia" w:ascii="宋体" w:cs="宋体"/>
                <w:bCs/>
                <w:color w:val="auto"/>
                <w:sz w:val="24"/>
                <w:szCs w:val="24"/>
                <w:highlight w:val="none"/>
                <w:lang w:val="en-US" w:eastAsia="zh-CN"/>
              </w:rPr>
              <w:t>注：</w:t>
            </w:r>
            <w:r>
              <w:rPr>
                <w:rFonts w:hint="eastAsia" w:ascii="宋体" w:cs="宋体"/>
                <w:bCs/>
                <w:color w:val="auto"/>
                <w:sz w:val="24"/>
                <w:szCs w:val="24"/>
                <w:highlight w:val="none"/>
              </w:rPr>
              <w:t>提供合同</w:t>
            </w:r>
            <w:r>
              <w:rPr>
                <w:rFonts w:hint="eastAsia" w:ascii="宋体" w:cs="宋体"/>
                <w:bCs/>
                <w:color w:val="auto"/>
                <w:sz w:val="24"/>
                <w:szCs w:val="24"/>
                <w:highlight w:val="none"/>
                <w:lang w:val="en-US" w:eastAsia="zh-CN"/>
              </w:rPr>
              <w:t>或保单</w:t>
            </w:r>
            <w:r>
              <w:rPr>
                <w:rFonts w:hint="eastAsia" w:ascii="宋体" w:cs="宋体"/>
                <w:bCs/>
                <w:color w:val="auto"/>
                <w:sz w:val="24"/>
                <w:szCs w:val="24"/>
                <w:highlight w:val="none"/>
              </w:rPr>
              <w:t>原件扫描件</w:t>
            </w:r>
            <w:r>
              <w:rPr>
                <w:rFonts w:hint="eastAsia" w:ascii="宋体" w:cs="宋体"/>
                <w:bCs/>
                <w:color w:val="auto"/>
                <w:sz w:val="24"/>
                <w:szCs w:val="24"/>
                <w:highlight w:val="none"/>
                <w:lang w:val="en-US" w:eastAsia="zh-CN"/>
              </w:rPr>
              <w:t>上传</w:t>
            </w:r>
            <w:r>
              <w:rPr>
                <w:rFonts w:hint="eastAsia" w:ascii="宋体" w:cs="宋体"/>
                <w:bCs/>
                <w:color w:val="auto"/>
                <w:sz w:val="24"/>
                <w:szCs w:val="24"/>
                <w:highlight w:val="none"/>
              </w:rPr>
              <w:t>，</w:t>
            </w:r>
            <w:r>
              <w:rPr>
                <w:rFonts w:hint="eastAsia" w:ascii="宋体" w:cs="宋体"/>
                <w:bCs/>
                <w:color w:val="auto"/>
                <w:sz w:val="24"/>
                <w:szCs w:val="24"/>
                <w:highlight w:val="none"/>
                <w:lang w:val="en-US" w:eastAsia="zh-CN"/>
              </w:rPr>
              <w:t>未</w:t>
            </w:r>
            <w:r>
              <w:rPr>
                <w:rFonts w:hint="eastAsia" w:ascii="宋体" w:cs="宋体"/>
                <w:bCs/>
                <w:color w:val="auto"/>
                <w:sz w:val="24"/>
                <w:szCs w:val="24"/>
                <w:highlight w:val="none"/>
              </w:rPr>
              <w:t>提供不得分。</w:t>
            </w:r>
          </w:p>
        </w:tc>
        <w:tc>
          <w:tcPr>
            <w:tcW w:w="865" w:type="dxa"/>
            <w:vAlign w:val="center"/>
          </w:tcPr>
          <w:p w14:paraId="73661ABB">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10分</w:t>
            </w:r>
          </w:p>
        </w:tc>
      </w:tr>
      <w:tr w14:paraId="55EBE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jc w:val="center"/>
        </w:trPr>
        <w:tc>
          <w:tcPr>
            <w:tcW w:w="1438" w:type="dxa"/>
            <w:vAlign w:val="center"/>
          </w:tcPr>
          <w:p w14:paraId="02B03C4A">
            <w:pPr>
              <w:pStyle w:val="492"/>
              <w:spacing w:line="440" w:lineRule="exact"/>
              <w:jc w:val="center"/>
              <w:rPr>
                <w:rFonts w:hint="eastAsia" w:ascii="宋体" w:hAnsi="宋体" w:eastAsia="宋体" w:cs="宋体"/>
                <w:b/>
                <w:bCs/>
                <w:color w:val="auto"/>
                <w:sz w:val="22"/>
                <w:szCs w:val="22"/>
                <w:highlight w:val="none"/>
                <w:vertAlign w:val="baseline"/>
              </w:rPr>
            </w:pPr>
            <w:r>
              <w:rPr>
                <w:rFonts w:hint="eastAsia" w:ascii="宋体" w:hAnsi="宋体" w:cs="宋体"/>
                <w:bCs/>
                <w:color w:val="auto"/>
                <w:sz w:val="24"/>
                <w:szCs w:val="24"/>
                <w:highlight w:val="none"/>
                <w:lang w:val="en-US" w:eastAsia="zh-CN"/>
              </w:rPr>
              <w:t>服务团队</w:t>
            </w:r>
          </w:p>
        </w:tc>
        <w:tc>
          <w:tcPr>
            <w:tcW w:w="7077" w:type="dxa"/>
            <w:vAlign w:val="center"/>
          </w:tcPr>
          <w:p w14:paraId="2A6114F6">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en-US" w:eastAsia="zh-CN"/>
              </w:rPr>
              <w:t>根据采购文件要求，</w:t>
            </w:r>
            <w:r>
              <w:rPr>
                <w:rFonts w:hint="eastAsia" w:ascii="宋体" w:hAnsi="宋体" w:cs="宋体"/>
                <w:color w:val="auto"/>
                <w:sz w:val="24"/>
                <w:szCs w:val="24"/>
                <w:highlight w:val="none"/>
              </w:rPr>
              <w:t>为本项目配备</w:t>
            </w:r>
            <w:r>
              <w:rPr>
                <w:rFonts w:hint="eastAsia" w:ascii="宋体" w:hAnsi="宋体" w:cs="宋体"/>
                <w:color w:val="auto"/>
                <w:sz w:val="24"/>
                <w:szCs w:val="24"/>
                <w:highlight w:val="none"/>
                <w:lang w:val="en-US" w:eastAsia="zh-CN"/>
              </w:rPr>
              <w:t>符合要求的</w:t>
            </w:r>
            <w:r>
              <w:rPr>
                <w:rFonts w:hint="eastAsia" w:ascii="宋体" w:hAnsi="宋体" w:cs="宋体"/>
                <w:color w:val="auto"/>
                <w:sz w:val="24"/>
                <w:szCs w:val="24"/>
                <w:highlight w:val="none"/>
              </w:rPr>
              <w:t>服务团队</w:t>
            </w:r>
            <w:r>
              <w:rPr>
                <w:rFonts w:hint="eastAsia" w:ascii="宋体" w:hAnsi="宋体" w:cs="宋体"/>
                <w:color w:val="auto"/>
                <w:sz w:val="24"/>
                <w:szCs w:val="24"/>
                <w:highlight w:val="none"/>
                <w:lang w:val="en-US" w:eastAsia="zh-CN"/>
              </w:rPr>
              <w:t>人员，并拟定相应的服务团队方案。</w:t>
            </w:r>
          </w:p>
          <w:p w14:paraId="59096670">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cs="宋体"/>
                <w:color w:val="auto"/>
                <w:sz w:val="24"/>
                <w:szCs w:val="24"/>
                <w:highlight w:val="none"/>
                <w:lang w:val="en-US" w:eastAsia="zh-CN"/>
              </w:rPr>
            </w:pPr>
            <w:r>
              <w:rPr>
                <w:rFonts w:hint="eastAsia" w:ascii="宋体" w:hAnsi="宋体" w:cs="宋体"/>
                <w:bCs/>
                <w:color w:val="auto"/>
                <w:szCs w:val="21"/>
                <w:highlight w:val="none"/>
                <w:lang w:val="en-US" w:eastAsia="zh-CN"/>
              </w:rPr>
              <w:t>1.</w:t>
            </w:r>
            <w:r>
              <w:rPr>
                <w:rFonts w:hint="eastAsia" w:ascii="宋体" w:hAnsi="宋体" w:cs="宋体"/>
                <w:bCs/>
                <w:color w:val="auto"/>
                <w:szCs w:val="21"/>
                <w:highlight w:val="none"/>
              </w:rPr>
              <w:t>针对本项目设立不少于</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人的服务团队，包括团队负责人</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理赔</w:t>
            </w:r>
            <w:r>
              <w:rPr>
                <w:rFonts w:hint="eastAsia" w:ascii="宋体" w:hAnsi="宋体" w:cs="宋体"/>
                <w:bCs/>
                <w:color w:val="auto"/>
                <w:szCs w:val="21"/>
                <w:highlight w:val="none"/>
                <w:lang w:val="en-US" w:eastAsia="zh-CN"/>
              </w:rPr>
              <w:t>服务</w:t>
            </w:r>
            <w:r>
              <w:rPr>
                <w:rFonts w:hint="eastAsia" w:ascii="宋体" w:hAnsi="宋体" w:cs="宋体"/>
                <w:bCs/>
                <w:color w:val="auto"/>
                <w:szCs w:val="21"/>
                <w:highlight w:val="none"/>
              </w:rPr>
              <w:t>人员</w:t>
            </w:r>
            <w:r>
              <w:rPr>
                <w:rFonts w:hint="eastAsia" w:ascii="宋体" w:hAnsi="宋体" w:cs="宋体"/>
                <w:bCs/>
                <w:color w:val="auto"/>
                <w:szCs w:val="21"/>
                <w:highlight w:val="none"/>
                <w:lang w:val="en-US" w:eastAsia="zh-CN"/>
              </w:rPr>
              <w:t>等</w:t>
            </w:r>
            <w:r>
              <w:rPr>
                <w:rFonts w:hint="eastAsia" w:ascii="宋体" w:hAnsi="宋体" w:cs="宋体"/>
                <w:bCs/>
                <w:color w:val="auto"/>
                <w:szCs w:val="21"/>
                <w:highlight w:val="none"/>
              </w:rPr>
              <w:t>，满足上述要求的得5分。</w:t>
            </w:r>
          </w:p>
          <w:p w14:paraId="4EB115DE">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2.针对本项目拟定服务团队方案。</w:t>
            </w:r>
          </w:p>
          <w:p w14:paraId="39923C09">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（1）服务团队架构完整、人员配置科学合理，人员岗位配比完全适配本项目的服务需求，岗位职责划分清晰、权责明确、分工细化的得5分；</w:t>
            </w:r>
          </w:p>
          <w:p w14:paraId="53C7BAB5">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default" w:ascii="宋体" w:hAnsi="宋体" w:eastAsia="宋体" w:cs="宋体"/>
                <w:color w:val="auto"/>
                <w:sz w:val="24"/>
                <w:szCs w:val="24"/>
                <w:highlight w:val="none"/>
                <w:lang w:val="en-US" w:eastAsia="zh-CN"/>
              </w:rPr>
            </w:pPr>
            <w:bookmarkStart w:id="198" w:name="OLE_LINK11"/>
            <w:r>
              <w:rPr>
                <w:rFonts w:hint="eastAsia" w:ascii="宋体" w:hAnsi="宋体" w:cs="宋体"/>
                <w:color w:val="auto"/>
                <w:sz w:val="24"/>
                <w:szCs w:val="24"/>
                <w:highlight w:val="none"/>
                <w:lang w:val="en-US" w:eastAsia="zh-CN"/>
              </w:rPr>
              <w:t>（2）服务团队人员配置较为合理，团队架构基本完整，各岗位工作职责划分较为清晰，岗位分工基本匹配本项目服务需求，方案具备一定针对性与科学性，无原则性偏差，仅在岗位细化适配、专项服务针对性等细节方面有所欠缺的得3分；</w:t>
            </w:r>
          </w:p>
          <w:bookmarkEnd w:id="198"/>
          <w:p w14:paraId="0C048564">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（3）服务团队配置方案内容简略，团队架构、人员配比、岗位职责表述笼统宽泛，未结合本项目服务特点针对性设计，岗位分工模糊、适配性一般，整体科学性、专业性不足的得1分；</w:t>
            </w:r>
          </w:p>
          <w:p w14:paraId="76008FA2">
            <w:pPr>
              <w:pStyle w:val="492"/>
              <w:keepNext w:val="0"/>
              <w:keepLines w:val="0"/>
              <w:pageBreakBefore w:val="0"/>
              <w:widowControl w:val="0"/>
              <w:kinsoku/>
              <w:wordWrap/>
              <w:overflowPunct/>
              <w:topLinePunct w:val="0"/>
              <w:autoSpaceDE/>
              <w:autoSpaceDN/>
              <w:bidi w:val="0"/>
              <w:adjustRightInd/>
              <w:snapToGrid/>
              <w:spacing w:before="0" w:line="360" w:lineRule="auto"/>
              <w:jc w:val="left"/>
              <w:textAlignment w:val="auto"/>
              <w:rPr>
                <w:rFonts w:hint="eastAsia" w:ascii="宋体" w:hAnsi="宋体" w:eastAsia="宋体" w:cs="宋体"/>
                <w:b/>
                <w:bCs/>
                <w:color w:val="auto"/>
                <w:sz w:val="22"/>
                <w:szCs w:val="22"/>
                <w:highlight w:val="none"/>
                <w:vertAlign w:val="baseline"/>
                <w:lang w:eastAsia="zh-CN"/>
              </w:rPr>
            </w:pPr>
            <w:r>
              <w:rPr>
                <w:rFonts w:hint="eastAsia" w:ascii="宋体" w:hAnsi="宋体" w:cs="宋体"/>
                <w:color w:val="auto"/>
                <w:sz w:val="24"/>
                <w:szCs w:val="24"/>
                <w:highlight w:val="none"/>
                <w:lang w:val="en-US" w:eastAsia="zh-CN"/>
              </w:rPr>
              <w:t>注：</w:t>
            </w:r>
            <w:r>
              <w:rPr>
                <w:rFonts w:hint="eastAsia" w:ascii="宋体" w:hAnsi="宋体" w:cs="宋体"/>
                <w:color w:val="auto"/>
                <w:sz w:val="24"/>
                <w:szCs w:val="24"/>
                <w:highlight w:val="none"/>
              </w:rPr>
              <w:t>提供</w:t>
            </w:r>
            <w:r>
              <w:rPr>
                <w:rFonts w:hint="eastAsia" w:ascii="宋体" w:hAnsi="宋体" w:cs="宋体"/>
                <w:color w:val="auto"/>
                <w:sz w:val="24"/>
                <w:szCs w:val="24"/>
                <w:highlight w:val="none"/>
                <w:lang w:val="en-US" w:eastAsia="zh-CN"/>
              </w:rPr>
              <w:t>人员表（人员表需明确各岗位人员职责、具体分工、服务范围、学历等信息）及</w:t>
            </w:r>
            <w:r>
              <w:rPr>
                <w:rFonts w:hint="eastAsia" w:ascii="宋体" w:hAnsi="宋体" w:cs="宋体"/>
                <w:color w:val="auto"/>
                <w:sz w:val="24"/>
                <w:szCs w:val="24"/>
                <w:highlight w:val="none"/>
              </w:rPr>
              <w:t>供应商近六个月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不含磋商响应文件递交当月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任意一个月为其缴纳社保的证明材料扫描件或退休人员（不超过65岁）提供退休证及返聘证明</w:t>
            </w:r>
            <w:r>
              <w:rPr>
                <w:rFonts w:hint="eastAsia" w:ascii="宋体" w:hAnsi="宋体" w:cs="宋体"/>
                <w:color w:val="auto"/>
                <w:sz w:val="24"/>
                <w:szCs w:val="24"/>
                <w:highlight w:val="none"/>
                <w:lang w:val="en-US" w:eastAsia="zh-CN"/>
              </w:rPr>
              <w:t>扫描件上传</w:t>
            </w:r>
            <w:r>
              <w:rPr>
                <w:rFonts w:hint="eastAsia" w:ascii="宋体" w:hAnsi="宋体" w:cs="宋体"/>
                <w:color w:val="auto"/>
                <w:sz w:val="24"/>
                <w:szCs w:val="24"/>
                <w:highlight w:val="none"/>
              </w:rPr>
              <w:t>，不按要求提供不得分</w:t>
            </w:r>
            <w:r>
              <w:rPr>
                <w:rFonts w:hint="eastAsia" w:ascii="宋体" w:hAnsi="宋体" w:cs="宋体"/>
                <w:color w:val="auto"/>
                <w:sz w:val="24"/>
                <w:szCs w:val="24"/>
                <w:highlight w:val="none"/>
                <w:lang w:eastAsia="zh-CN"/>
              </w:rPr>
              <w:t>。</w:t>
            </w:r>
          </w:p>
        </w:tc>
        <w:tc>
          <w:tcPr>
            <w:tcW w:w="865" w:type="dxa"/>
            <w:vAlign w:val="center"/>
          </w:tcPr>
          <w:p w14:paraId="6C31DAA0">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10分</w:t>
            </w:r>
          </w:p>
        </w:tc>
      </w:tr>
      <w:tr w14:paraId="6F74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1" w:hRule="atLeast"/>
          <w:jc w:val="center"/>
        </w:trPr>
        <w:tc>
          <w:tcPr>
            <w:tcW w:w="1438" w:type="dxa"/>
            <w:vAlign w:val="center"/>
          </w:tcPr>
          <w:p w14:paraId="30337D5D">
            <w:pPr>
              <w:pStyle w:val="492"/>
              <w:spacing w:line="44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服务方案</w:t>
            </w:r>
          </w:p>
        </w:tc>
        <w:tc>
          <w:tcPr>
            <w:tcW w:w="7077" w:type="dxa"/>
            <w:vAlign w:val="center"/>
          </w:tcPr>
          <w:p w14:paraId="3305C720">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项目概述（5分）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评价投标供应商对本项目的理解及把握程度，项目概述内容详实完整、逻辑清晰，全面覆盖本项目核心采购需求与履约要点，表述针对性强，完全符合</w:t>
            </w:r>
            <w:r>
              <w:rPr>
                <w:rFonts w:hint="eastAsia" w:ascii="宋体" w:hAnsi="宋体" w:eastAsia="宋体" w:cs="宋体"/>
                <w:bCs/>
                <w:color w:val="auto"/>
                <w:sz w:val="24"/>
                <w:szCs w:val="24"/>
                <w:highlight w:val="none"/>
                <w:lang w:val="en-US" w:eastAsia="zh-CN"/>
              </w:rPr>
              <w:t>或优于</w:t>
            </w:r>
            <w:r>
              <w:rPr>
                <w:rFonts w:hint="eastAsia" w:ascii="宋体" w:hAnsi="宋体" w:eastAsia="宋体" w:cs="宋体"/>
                <w:bCs/>
                <w:color w:val="auto"/>
                <w:sz w:val="24"/>
                <w:szCs w:val="24"/>
                <w:highlight w:val="none"/>
              </w:rPr>
              <w:t>本项目实际情况的，得5分；项目概述内容较为完整，能够准确阐述本项目基本需求与实施要点，整体贴合项目实际情况，无原则性认知偏差，仅在内容细节、深度完整性上略有欠缺，得3分；项目概述内容简单笼统、深度不足，仅罗列基础信息，未结合本项目专属特点展开，对项目核心需求、实施重点把握较为浅显，针对性较弱，得1分，不提供的不得分。</w:t>
            </w:r>
          </w:p>
          <w:p w14:paraId="4D5814B5">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承保</w:t>
            </w:r>
            <w:r>
              <w:rPr>
                <w:rFonts w:hint="eastAsia" w:ascii="宋体" w:hAnsi="宋体" w:eastAsia="宋体" w:cs="宋体"/>
                <w:bCs/>
                <w:color w:val="auto"/>
                <w:sz w:val="24"/>
                <w:szCs w:val="24"/>
                <w:highlight w:val="none"/>
                <w:lang w:val="en-US" w:eastAsia="zh-CN"/>
              </w:rPr>
              <w:t>及理赔</w:t>
            </w:r>
            <w:r>
              <w:rPr>
                <w:rFonts w:hint="eastAsia" w:ascii="宋体" w:hAnsi="宋体" w:eastAsia="宋体" w:cs="宋体"/>
                <w:bCs/>
                <w:color w:val="auto"/>
                <w:sz w:val="24"/>
                <w:szCs w:val="24"/>
                <w:highlight w:val="none"/>
              </w:rPr>
              <w:t>服务方案（</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rPr>
              <w:t>分）</w:t>
            </w:r>
            <w:bookmarkStart w:id="199" w:name="OLE_LINK12"/>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针对本项目提供全面完整的售后服务体系管理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包含但不限于服务响应时间承诺、服务措施、应急预案、事故预防服务方案、售后延续性服务等内容</w:t>
            </w:r>
            <w:r>
              <w:rPr>
                <w:rFonts w:hint="eastAsia" w:ascii="宋体" w:hAnsi="宋体" w:eastAsia="宋体" w:cs="宋体"/>
                <w:bCs/>
                <w:color w:val="auto"/>
                <w:sz w:val="24"/>
                <w:szCs w:val="24"/>
                <w:highlight w:val="none"/>
                <w:lang w:eastAsia="zh-CN"/>
              </w:rPr>
              <w:t>）</w:t>
            </w:r>
            <w:bookmarkEnd w:id="199"/>
            <w:r>
              <w:rPr>
                <w:rFonts w:hint="eastAsia" w:ascii="宋体" w:hAnsi="宋体" w:eastAsia="宋体" w:cs="宋体"/>
                <w:bCs/>
                <w:color w:val="auto"/>
                <w:sz w:val="24"/>
                <w:szCs w:val="24"/>
                <w:highlight w:val="none"/>
                <w:lang w:eastAsia="zh-CN"/>
              </w:rPr>
              <w:t>。</w:t>
            </w:r>
          </w:p>
          <w:p w14:paraId="7B762EA3">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服务方案体系完整、内容详实、逻辑严谨，全面覆盖各项要求内容，服务流程清晰、响应时限明确、保障措施具体</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zh-CN"/>
              </w:rPr>
              <w:t>应急预案科学</w:t>
            </w:r>
            <w:r>
              <w:rPr>
                <w:rFonts w:hint="eastAsia" w:ascii="宋体" w:hAnsi="宋体" w:eastAsia="宋体" w:cs="宋体"/>
                <w:bCs/>
                <w:color w:val="auto"/>
                <w:sz w:val="24"/>
                <w:szCs w:val="24"/>
                <w:highlight w:val="none"/>
                <w:lang w:val="en-US" w:eastAsia="zh-CN"/>
              </w:rPr>
              <w:t>合理</w:t>
            </w:r>
            <w:r>
              <w:rPr>
                <w:rFonts w:hint="eastAsia" w:ascii="宋体" w:hAnsi="宋体" w:eastAsia="宋体" w:cs="宋体"/>
                <w:bCs/>
                <w:color w:val="auto"/>
                <w:sz w:val="24"/>
                <w:szCs w:val="24"/>
                <w:highlight w:val="none"/>
                <w:lang w:eastAsia="zh-CN"/>
              </w:rPr>
              <w:t>、事故预防及长效售后机制完善，</w:t>
            </w:r>
            <w:r>
              <w:rPr>
                <w:rFonts w:hint="eastAsia" w:ascii="宋体" w:hAnsi="宋体" w:eastAsia="宋体" w:cs="宋体"/>
                <w:bCs/>
                <w:color w:val="auto"/>
                <w:sz w:val="24"/>
                <w:szCs w:val="24"/>
                <w:highlight w:val="none"/>
              </w:rPr>
              <w:t>完全符合本项目实际情况的，得1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分；服务方案整体框架完整，涵盖本项目主要服务内容，承保、理赔服务措施、应急保障、售后服务等核心内容齐全，基本贴合项目实际需求，无原则性偏差，仅在内容细节、深度完整性上略有欠缺，得7分；服务方案内容简略、框架不够完善，仅简单罗列基础服务内容，核心服务举措、应急保障、预防服务等关键内容表述笼统，未结合本项目专属特点设计，针对性、可行性较弱，仅能满足基础履约需求，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分，不提供的不得分。</w:t>
            </w:r>
          </w:p>
          <w:p w14:paraId="6F7FC945">
            <w:pPr>
              <w:pStyle w:val="59"/>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调保结合制度服务方案（1</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bidi="ar-SA"/>
              </w:rPr>
              <w:t>针对本项目提供调保服务方案（包含但不限于医疗纠纷协调的工作方案、调保结合联合工作机制、与医疗纠纷医患双方及纠纷调处机构的对接方案、促进调保结合工作顺利开展的保障方案等内容）。</w:t>
            </w:r>
          </w:p>
          <w:p w14:paraId="5FEDEB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auto"/>
              </w:rPr>
            </w:pPr>
            <w:r>
              <w:rPr>
                <w:rFonts w:hint="eastAsia" w:ascii="宋体" w:hAnsi="宋体" w:eastAsia="宋体" w:cs="宋体"/>
                <w:bCs/>
                <w:color w:val="auto"/>
                <w:sz w:val="24"/>
                <w:szCs w:val="24"/>
                <w:highlight w:val="none"/>
                <w:lang w:val="en-US" w:eastAsia="zh-CN" w:bidi="ar-SA"/>
              </w:rPr>
              <w:t>调保服务方案体系完整、内容详实、逻辑清晰，医疗纠纷协调流程规范、权责清晰，调保结合联合工作机制科学完善、贴合项目场景，医患双方及调处机构对接方案精准可行，配套保障措施全面到位，完全符合本项目实际情况的，得10分；调保服务方案框架完整，涵盖全部核心服务内容，无原则性偏差，</w:t>
            </w:r>
            <w:r>
              <w:rPr>
                <w:rFonts w:hint="eastAsia" w:ascii="宋体" w:hAnsi="宋体" w:eastAsia="宋体" w:cs="宋体"/>
                <w:bCs/>
                <w:color w:val="auto"/>
                <w:sz w:val="24"/>
                <w:szCs w:val="24"/>
                <w:highlight w:val="none"/>
              </w:rPr>
              <w:t>仅在内容细节、深度完整性上略有欠缺</w:t>
            </w:r>
            <w:r>
              <w:rPr>
                <w:rFonts w:hint="eastAsia" w:ascii="宋体" w:hAnsi="宋体" w:eastAsia="宋体" w:cs="宋体"/>
                <w:bCs/>
                <w:color w:val="auto"/>
                <w:sz w:val="24"/>
                <w:szCs w:val="24"/>
                <w:highlight w:val="none"/>
                <w:lang w:val="en-US" w:eastAsia="zh-CN" w:bidi="ar-SA"/>
              </w:rPr>
              <w:t>，得7分；调保服务方案内容简略、框架不够完善，仅简单阐述基础工作内容，针对性、实操性和适配性较弱，得3分，不提供的不得分。</w:t>
            </w:r>
          </w:p>
        </w:tc>
        <w:tc>
          <w:tcPr>
            <w:tcW w:w="865" w:type="dxa"/>
            <w:vAlign w:val="center"/>
          </w:tcPr>
          <w:p w14:paraId="34CEE697">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25分</w:t>
            </w:r>
          </w:p>
        </w:tc>
      </w:tr>
      <w:tr w14:paraId="3850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438" w:type="dxa"/>
            <w:vAlign w:val="center"/>
          </w:tcPr>
          <w:p w14:paraId="7DDA19E3">
            <w:pPr>
              <w:pStyle w:val="492"/>
              <w:spacing w:line="440" w:lineRule="exact"/>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风险预防类服务方案</w:t>
            </w:r>
          </w:p>
        </w:tc>
        <w:tc>
          <w:tcPr>
            <w:tcW w:w="7077" w:type="dxa"/>
            <w:vAlign w:val="center"/>
          </w:tcPr>
          <w:p w14:paraId="4D1EADFA">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Cs/>
                <w:color w:val="auto"/>
                <w:sz w:val="24"/>
                <w:szCs w:val="24"/>
                <w:highlight w:val="none"/>
                <w:lang w:val="en-US" w:eastAsia="zh-CN" w:bidi="ar-SA"/>
              </w:rPr>
            </w:pPr>
            <w:r>
              <w:rPr>
                <w:rFonts w:hint="eastAsia" w:ascii="宋体" w:hAnsi="宋体" w:cs="宋体"/>
                <w:color w:val="auto"/>
                <w:sz w:val="24"/>
                <w:szCs w:val="24"/>
                <w:highlight w:val="none"/>
              </w:rPr>
              <w:t>供应商</w:t>
            </w:r>
            <w:r>
              <w:rPr>
                <w:rFonts w:hint="eastAsia" w:ascii="宋体" w:hAnsi="宋体" w:eastAsia="宋体" w:cs="宋体"/>
                <w:bCs/>
                <w:color w:val="auto"/>
                <w:sz w:val="24"/>
                <w:szCs w:val="24"/>
                <w:highlight w:val="none"/>
                <w:lang w:val="en-US" w:eastAsia="zh-CN" w:bidi="ar-SA"/>
              </w:rPr>
              <w:t xml:space="preserve">根据自身实际及采购需求为采购人提供专属风险预防服务方案。 </w:t>
            </w:r>
          </w:p>
          <w:p w14:paraId="2E083BEB">
            <w:pPr>
              <w:keepNext w:val="0"/>
              <w:keepLines w:val="0"/>
              <w:pageBreakBefore w:val="0"/>
              <w:widowControl w:val="0"/>
              <w:kinsoku/>
              <w:wordWrap/>
              <w:overflowPunct/>
              <w:topLinePunct w:val="0"/>
              <w:autoSpaceDE/>
              <w:autoSpaceDN/>
              <w:bidi w:val="0"/>
              <w:adjustRightInd/>
              <w:snapToGrid w:val="0"/>
              <w:spacing w:line="360" w:lineRule="auto"/>
              <w:jc w:val="left"/>
              <w:textAlignment w:val="auto"/>
              <w:rPr>
                <w:rFonts w:hint="eastAsia" w:ascii="宋体" w:hAnsi="宋体" w:eastAsia="宋体" w:cs="宋体"/>
                <w:b/>
                <w:bCs/>
                <w:color w:val="auto"/>
                <w:sz w:val="22"/>
                <w:szCs w:val="22"/>
                <w:highlight w:val="none"/>
                <w:vertAlign w:val="baseline"/>
              </w:rPr>
            </w:pPr>
            <w:r>
              <w:rPr>
                <w:rFonts w:hint="eastAsia" w:ascii="宋体" w:hAnsi="宋体" w:eastAsia="宋体" w:cs="宋体"/>
                <w:bCs/>
                <w:color w:val="auto"/>
                <w:sz w:val="24"/>
                <w:szCs w:val="24"/>
                <w:highlight w:val="none"/>
                <w:lang w:val="en-US" w:eastAsia="zh-CN" w:bidi="ar-SA"/>
              </w:rPr>
              <w:t>方案体系完整、内容详实、逻辑清晰、精准可行、措施全面到位，完全符合本项目实际情况的，得10分；方案框架完整，涵盖全部核心服务内容，无原则性偏差，</w:t>
            </w:r>
            <w:r>
              <w:rPr>
                <w:rFonts w:hint="eastAsia" w:ascii="宋体" w:hAnsi="宋体" w:eastAsia="宋体" w:cs="宋体"/>
                <w:bCs/>
                <w:color w:val="auto"/>
                <w:sz w:val="24"/>
                <w:szCs w:val="24"/>
                <w:highlight w:val="none"/>
              </w:rPr>
              <w:t>仅在内容细节、深度完整性上略有欠缺</w:t>
            </w:r>
            <w:r>
              <w:rPr>
                <w:rFonts w:hint="eastAsia" w:ascii="宋体" w:hAnsi="宋体" w:eastAsia="宋体" w:cs="宋体"/>
                <w:bCs/>
                <w:color w:val="auto"/>
                <w:sz w:val="24"/>
                <w:szCs w:val="24"/>
                <w:highlight w:val="none"/>
                <w:lang w:val="en-US" w:eastAsia="zh-CN" w:bidi="ar-SA"/>
              </w:rPr>
              <w:t>，得7分；方案内容简略、框架不够完善，仅简单阐述基础工作内容，针对性、实操性和适配性较弱，得3分，不提供的不得分。</w:t>
            </w:r>
          </w:p>
        </w:tc>
        <w:tc>
          <w:tcPr>
            <w:tcW w:w="865" w:type="dxa"/>
            <w:vAlign w:val="center"/>
          </w:tcPr>
          <w:p w14:paraId="5376FA77">
            <w:pPr>
              <w:tabs>
                <w:tab w:val="left" w:pos="2850"/>
                <w:tab w:val="center" w:pos="4153"/>
              </w:tabs>
              <w:adjustRightInd w:val="0"/>
              <w:spacing w:line="520" w:lineRule="exact"/>
              <w:jc w:val="center"/>
              <w:rPr>
                <w:rFonts w:hint="default" w:ascii="宋体" w:hAnsi="Times New Roman" w:eastAsia="宋体" w:cs="宋体"/>
                <w:bCs/>
                <w:color w:val="auto"/>
                <w:sz w:val="24"/>
                <w:szCs w:val="24"/>
                <w:highlight w:val="none"/>
                <w:lang w:val="en-US" w:eastAsia="zh-CN" w:bidi="ar-SA"/>
              </w:rPr>
            </w:pPr>
            <w:r>
              <w:rPr>
                <w:rFonts w:hint="eastAsia" w:ascii="宋体" w:hAnsi="Times New Roman" w:eastAsia="宋体" w:cs="宋体"/>
                <w:bCs/>
                <w:color w:val="auto"/>
                <w:sz w:val="24"/>
                <w:szCs w:val="24"/>
                <w:highlight w:val="none"/>
                <w:lang w:val="en-US" w:eastAsia="zh-CN" w:bidi="ar-SA"/>
              </w:rPr>
              <w:t>10分</w:t>
            </w:r>
          </w:p>
        </w:tc>
      </w:tr>
    </w:tbl>
    <w:p w14:paraId="549EA547">
      <w:pPr>
        <w:tabs>
          <w:tab w:val="left" w:pos="2850"/>
          <w:tab w:val="center" w:pos="4153"/>
        </w:tabs>
        <w:adjustRightInd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b/>
          <w:bCs/>
          <w:snapToGrid w:val="0"/>
          <w:color w:val="auto"/>
          <w:sz w:val="24"/>
          <w:szCs w:val="24"/>
          <w:highlight w:val="none"/>
        </w:rPr>
        <w:t>供应商承诺所提供资料全部真实，如有伪造，一经发现造假行为，则供应商需要接受相关监管部门的处罚。</w:t>
      </w:r>
    </w:p>
    <w:p w14:paraId="2CE1871D">
      <w:pPr>
        <w:jc w:val="center"/>
        <w:rPr>
          <w:rFonts w:hint="eastAsia" w:ascii="宋体" w:hAnsi="宋体" w:eastAsia="宋体" w:cs="宋体"/>
          <w:color w:val="auto"/>
          <w:sz w:val="44"/>
          <w:szCs w:val="44"/>
          <w:highlight w:val="none"/>
        </w:rPr>
      </w:pPr>
    </w:p>
    <w:p w14:paraId="3B835774">
      <w:pPr>
        <w:jc w:val="center"/>
        <w:rPr>
          <w:rFonts w:hint="eastAsia" w:ascii="宋体" w:hAnsi="宋体" w:eastAsia="宋体" w:cs="宋体"/>
          <w:color w:val="auto"/>
          <w:sz w:val="44"/>
          <w:szCs w:val="44"/>
          <w:highlight w:val="none"/>
        </w:rPr>
      </w:pPr>
    </w:p>
    <w:p w14:paraId="4500BB7E">
      <w:pPr>
        <w:pStyle w:val="58"/>
        <w:rPr>
          <w:rFonts w:hint="eastAsia" w:ascii="宋体" w:hAnsi="宋体" w:eastAsia="宋体" w:cs="宋体"/>
          <w:color w:val="auto"/>
          <w:sz w:val="44"/>
          <w:szCs w:val="44"/>
          <w:highlight w:val="none"/>
        </w:rPr>
      </w:pPr>
    </w:p>
    <w:p w14:paraId="7D77B26D">
      <w:pPr>
        <w:pStyle w:val="58"/>
        <w:rPr>
          <w:rFonts w:hint="eastAsia" w:ascii="宋体" w:hAnsi="宋体" w:eastAsia="宋体" w:cs="宋体"/>
          <w:color w:val="auto"/>
          <w:sz w:val="44"/>
          <w:szCs w:val="44"/>
          <w:highlight w:val="none"/>
        </w:rPr>
      </w:pPr>
    </w:p>
    <w:p w14:paraId="71E042D4">
      <w:pPr>
        <w:pStyle w:val="58"/>
        <w:rPr>
          <w:rFonts w:hint="eastAsia" w:ascii="宋体" w:hAnsi="宋体" w:eastAsia="宋体" w:cs="宋体"/>
          <w:color w:val="auto"/>
          <w:sz w:val="44"/>
          <w:szCs w:val="44"/>
          <w:highlight w:val="none"/>
        </w:rPr>
      </w:pPr>
    </w:p>
    <w:p w14:paraId="4CA30CD1">
      <w:pPr>
        <w:pStyle w:val="58"/>
        <w:rPr>
          <w:rFonts w:hint="eastAsia" w:ascii="宋体" w:hAnsi="宋体" w:eastAsia="宋体" w:cs="宋体"/>
          <w:color w:val="auto"/>
          <w:sz w:val="44"/>
          <w:szCs w:val="44"/>
          <w:highlight w:val="none"/>
        </w:rPr>
      </w:pPr>
    </w:p>
    <w:p w14:paraId="7E053807">
      <w:pPr>
        <w:pStyle w:val="58"/>
        <w:rPr>
          <w:rFonts w:hint="eastAsia" w:ascii="宋体" w:hAnsi="宋体" w:eastAsia="宋体" w:cs="宋体"/>
          <w:color w:val="auto"/>
          <w:sz w:val="44"/>
          <w:szCs w:val="44"/>
          <w:highlight w:val="none"/>
        </w:rPr>
      </w:pPr>
    </w:p>
    <w:p w14:paraId="45CBDA45">
      <w:pPr>
        <w:pStyle w:val="58"/>
        <w:rPr>
          <w:rFonts w:hint="eastAsia" w:ascii="宋体" w:hAnsi="宋体" w:eastAsia="宋体" w:cs="宋体"/>
          <w:color w:val="auto"/>
          <w:sz w:val="44"/>
          <w:szCs w:val="44"/>
          <w:highlight w:val="none"/>
        </w:rPr>
      </w:pPr>
    </w:p>
    <w:p w14:paraId="3B399D75">
      <w:pPr>
        <w:pStyle w:val="58"/>
        <w:rPr>
          <w:rFonts w:hint="eastAsia" w:ascii="宋体" w:hAnsi="宋体" w:eastAsia="宋体" w:cs="宋体"/>
          <w:color w:val="auto"/>
          <w:sz w:val="44"/>
          <w:szCs w:val="44"/>
          <w:highlight w:val="none"/>
        </w:rPr>
      </w:pPr>
    </w:p>
    <w:p w14:paraId="63622B7A">
      <w:pPr>
        <w:pStyle w:val="58"/>
        <w:rPr>
          <w:rFonts w:hint="eastAsia" w:ascii="宋体" w:hAnsi="宋体" w:eastAsia="宋体" w:cs="宋体"/>
          <w:color w:val="auto"/>
          <w:sz w:val="44"/>
          <w:szCs w:val="44"/>
          <w:highlight w:val="none"/>
        </w:rPr>
      </w:pPr>
    </w:p>
    <w:p w14:paraId="12050D23">
      <w:pPr>
        <w:pStyle w:val="58"/>
        <w:rPr>
          <w:rFonts w:hint="eastAsia" w:ascii="宋体" w:hAnsi="宋体" w:eastAsia="宋体" w:cs="宋体"/>
          <w:color w:val="auto"/>
          <w:sz w:val="44"/>
          <w:szCs w:val="44"/>
          <w:highlight w:val="none"/>
        </w:rPr>
      </w:pPr>
    </w:p>
    <w:p w14:paraId="3DF03808">
      <w:pPr>
        <w:pStyle w:val="58"/>
        <w:rPr>
          <w:rFonts w:hint="eastAsia" w:ascii="宋体" w:hAnsi="宋体" w:eastAsia="宋体" w:cs="宋体"/>
          <w:color w:val="auto"/>
          <w:sz w:val="44"/>
          <w:szCs w:val="44"/>
          <w:highlight w:val="none"/>
        </w:rPr>
      </w:pPr>
    </w:p>
    <w:p w14:paraId="5D707A1A">
      <w:pPr>
        <w:pStyle w:val="58"/>
        <w:rPr>
          <w:rFonts w:hint="eastAsia" w:ascii="宋体" w:hAnsi="宋体" w:eastAsia="宋体" w:cs="宋体"/>
          <w:color w:val="auto"/>
          <w:sz w:val="44"/>
          <w:szCs w:val="44"/>
          <w:highlight w:val="none"/>
        </w:rPr>
      </w:pPr>
    </w:p>
    <w:p w14:paraId="27A8AEF1">
      <w:pPr>
        <w:pStyle w:val="58"/>
        <w:rPr>
          <w:rFonts w:hint="eastAsia" w:ascii="宋体" w:hAnsi="宋体" w:eastAsia="宋体" w:cs="宋体"/>
          <w:color w:val="auto"/>
          <w:sz w:val="44"/>
          <w:szCs w:val="44"/>
          <w:highlight w:val="none"/>
        </w:rPr>
      </w:pPr>
    </w:p>
    <w:p w14:paraId="699D4E9B">
      <w:pPr>
        <w:pStyle w:val="58"/>
        <w:rPr>
          <w:rFonts w:hint="eastAsia" w:ascii="宋体" w:hAnsi="宋体" w:eastAsia="宋体" w:cs="宋体"/>
          <w:color w:val="auto"/>
          <w:sz w:val="44"/>
          <w:szCs w:val="44"/>
          <w:highlight w:val="none"/>
        </w:rPr>
      </w:pPr>
    </w:p>
    <w:p w14:paraId="02DC0E88">
      <w:pPr>
        <w:jc w:val="center"/>
        <w:rPr>
          <w:rFonts w:hint="eastAsia" w:ascii="宋体" w:hAnsi="宋体" w:eastAsia="宋体" w:cs="宋体"/>
          <w:color w:val="auto"/>
          <w:sz w:val="44"/>
          <w:szCs w:val="44"/>
          <w:highlight w:val="none"/>
        </w:rPr>
      </w:pPr>
    </w:p>
    <w:p w14:paraId="4D357E2D">
      <w:pPr>
        <w:jc w:val="center"/>
        <w:outlineLvl w:val="0"/>
        <w:rPr>
          <w:rFonts w:hint="eastAsia" w:ascii="宋体" w:hAnsi="宋体" w:eastAsia="宋体" w:cs="宋体"/>
          <w:color w:val="auto"/>
          <w:sz w:val="44"/>
          <w:szCs w:val="44"/>
          <w:highlight w:val="none"/>
        </w:rPr>
      </w:pPr>
      <w:bookmarkStart w:id="200" w:name="_Toc28376"/>
      <w:r>
        <w:rPr>
          <w:rFonts w:hint="eastAsia" w:ascii="宋体" w:hAnsi="宋体" w:eastAsia="宋体" w:cs="宋体"/>
          <w:color w:val="auto"/>
          <w:sz w:val="44"/>
          <w:szCs w:val="44"/>
          <w:highlight w:val="none"/>
        </w:rPr>
        <w:t>第六章  响应文件格式</w:t>
      </w:r>
      <w:bookmarkEnd w:id="200"/>
    </w:p>
    <w:p w14:paraId="4A17FF70">
      <w:pPr>
        <w:pStyle w:val="207"/>
        <w:ind w:firstLine="400"/>
        <w:rPr>
          <w:rFonts w:hint="eastAsia" w:ascii="宋体" w:hAnsi="宋体" w:eastAsia="宋体" w:cs="宋体"/>
          <w:color w:val="auto"/>
          <w:highlight w:val="none"/>
        </w:rPr>
      </w:pPr>
    </w:p>
    <w:p w14:paraId="27A40078">
      <w:pPr>
        <w:rPr>
          <w:rFonts w:hint="eastAsia" w:ascii="宋体" w:hAnsi="宋体" w:eastAsia="宋体" w:cs="宋体"/>
          <w:color w:val="auto"/>
          <w:highlight w:val="none"/>
        </w:rPr>
      </w:pPr>
    </w:p>
    <w:p w14:paraId="226CE386">
      <w:pPr>
        <w:pStyle w:val="18"/>
        <w:rPr>
          <w:rFonts w:hint="eastAsia" w:ascii="宋体" w:hAnsi="宋体" w:eastAsia="宋体" w:cs="宋体"/>
          <w:color w:val="auto"/>
          <w:highlight w:val="none"/>
        </w:rPr>
      </w:pPr>
    </w:p>
    <w:p w14:paraId="7F13B58C">
      <w:pPr>
        <w:rPr>
          <w:rFonts w:hint="eastAsia" w:ascii="宋体" w:hAnsi="宋体" w:eastAsia="宋体" w:cs="宋体"/>
          <w:color w:val="auto"/>
          <w:highlight w:val="none"/>
        </w:rPr>
      </w:pPr>
    </w:p>
    <w:p w14:paraId="23AD1D04">
      <w:pPr>
        <w:jc w:val="center"/>
        <w:rPr>
          <w:rFonts w:hint="eastAsia" w:ascii="宋体" w:hAnsi="宋体" w:eastAsia="宋体" w:cs="宋体"/>
          <w:color w:val="auto"/>
          <w:sz w:val="24"/>
          <w:szCs w:val="24"/>
          <w:highlight w:val="none"/>
        </w:rPr>
      </w:pPr>
      <w:bookmarkStart w:id="201" w:name="_Hlt26955039"/>
      <w:bookmarkEnd w:id="201"/>
      <w:bookmarkStart w:id="202" w:name="_Hlt26671244"/>
      <w:bookmarkEnd w:id="202"/>
      <w:bookmarkStart w:id="203" w:name="_Toc49090576"/>
      <w:bookmarkEnd w:id="203"/>
      <w:bookmarkStart w:id="204" w:name="_Toc26554094"/>
      <w:bookmarkEnd w:id="204"/>
      <w:bookmarkStart w:id="205" w:name="_Toc120614282"/>
      <w:bookmarkEnd w:id="205"/>
      <w:r>
        <w:rPr>
          <w:rFonts w:hint="eastAsia" w:ascii="宋体" w:hAnsi="宋体" w:eastAsia="宋体" w:cs="宋体"/>
          <w:b/>
          <w:bCs/>
          <w:color w:val="auto"/>
          <w:sz w:val="72"/>
          <w:szCs w:val="72"/>
          <w:highlight w:val="none"/>
        </w:rPr>
        <w:t>响  应  文  件</w:t>
      </w:r>
    </w:p>
    <w:p w14:paraId="7A049ECA">
      <w:pPr>
        <w:jc w:val="center"/>
        <w:rPr>
          <w:rFonts w:hint="eastAsia" w:ascii="宋体" w:hAnsi="宋体" w:eastAsia="宋体" w:cs="宋体"/>
          <w:color w:val="auto"/>
          <w:sz w:val="24"/>
          <w:szCs w:val="24"/>
          <w:highlight w:val="none"/>
        </w:rPr>
      </w:pPr>
    </w:p>
    <w:p w14:paraId="2B3C2F5A">
      <w:pPr>
        <w:jc w:val="center"/>
        <w:rPr>
          <w:rFonts w:hint="eastAsia" w:ascii="宋体" w:hAnsi="宋体" w:eastAsia="宋体" w:cs="宋体"/>
          <w:color w:val="auto"/>
          <w:sz w:val="24"/>
          <w:szCs w:val="24"/>
          <w:highlight w:val="none"/>
        </w:rPr>
      </w:pPr>
    </w:p>
    <w:p w14:paraId="54A25A4A">
      <w:pPr>
        <w:jc w:val="center"/>
        <w:rPr>
          <w:rFonts w:hint="eastAsia" w:ascii="宋体" w:hAnsi="宋体" w:eastAsia="宋体" w:cs="宋体"/>
          <w:color w:val="auto"/>
          <w:sz w:val="24"/>
          <w:szCs w:val="24"/>
          <w:highlight w:val="none"/>
        </w:rPr>
      </w:pPr>
    </w:p>
    <w:p w14:paraId="65B2ED6F">
      <w:pPr>
        <w:jc w:val="center"/>
        <w:rPr>
          <w:rFonts w:hint="eastAsia" w:ascii="宋体" w:hAnsi="宋体" w:eastAsia="宋体" w:cs="宋体"/>
          <w:color w:val="auto"/>
          <w:sz w:val="24"/>
          <w:szCs w:val="24"/>
          <w:highlight w:val="none"/>
        </w:rPr>
      </w:pPr>
    </w:p>
    <w:p w14:paraId="7D1F12B1">
      <w:pPr>
        <w:jc w:val="center"/>
        <w:rPr>
          <w:rFonts w:hint="eastAsia" w:ascii="宋体" w:hAnsi="宋体" w:eastAsia="宋体" w:cs="宋体"/>
          <w:color w:val="auto"/>
          <w:sz w:val="24"/>
          <w:szCs w:val="24"/>
          <w:highlight w:val="none"/>
        </w:rPr>
      </w:pPr>
    </w:p>
    <w:p w14:paraId="42BE55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E4BC2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8E936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085FE9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4F7EE3F">
      <w:pPr>
        <w:pStyle w:val="207"/>
        <w:ind w:firstLine="400"/>
        <w:rPr>
          <w:rFonts w:hint="eastAsia" w:ascii="宋体" w:hAnsi="宋体" w:eastAsia="宋体" w:cs="宋体"/>
          <w:color w:val="auto"/>
          <w:highlight w:val="none"/>
        </w:rPr>
      </w:pPr>
    </w:p>
    <w:p w14:paraId="477202C4">
      <w:pPr>
        <w:rPr>
          <w:rFonts w:hint="eastAsia" w:ascii="宋体" w:hAnsi="宋体" w:eastAsia="宋体" w:cs="宋体"/>
          <w:color w:val="auto"/>
          <w:highlight w:val="none"/>
        </w:rPr>
      </w:pPr>
    </w:p>
    <w:p w14:paraId="4012D4AF">
      <w:pPr>
        <w:pStyle w:val="207"/>
        <w:ind w:firstLine="400"/>
        <w:rPr>
          <w:rFonts w:hint="eastAsia" w:ascii="宋体" w:hAnsi="宋体" w:eastAsia="宋体" w:cs="宋体"/>
          <w:color w:val="auto"/>
          <w:highlight w:val="none"/>
        </w:rPr>
      </w:pPr>
    </w:p>
    <w:p w14:paraId="6560FAF5">
      <w:pPr>
        <w:rPr>
          <w:rFonts w:hint="eastAsia" w:ascii="宋体" w:hAnsi="宋体" w:eastAsia="宋体" w:cs="宋体"/>
          <w:color w:val="auto"/>
          <w:highlight w:val="none"/>
        </w:rPr>
      </w:pPr>
    </w:p>
    <w:p w14:paraId="17958C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1CC2EFB">
      <w:pPr>
        <w:ind w:firstLine="1285" w:firstLineChars="40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名 称：</w:t>
      </w:r>
      <w:r>
        <w:rPr>
          <w:rFonts w:hint="eastAsia" w:ascii="宋体" w:hAnsi="宋体" w:eastAsia="宋体" w:cs="宋体"/>
          <w:b/>
          <w:bCs/>
          <w:color w:val="auto"/>
          <w:sz w:val="32"/>
          <w:szCs w:val="32"/>
          <w:highlight w:val="none"/>
          <w:u w:val="single"/>
        </w:rPr>
        <w:t xml:space="preserve">               </w:t>
      </w:r>
    </w:p>
    <w:p w14:paraId="5918372B">
      <w:pPr>
        <w:ind w:firstLine="1285" w:firstLineChars="40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项 目 编 号：</w:t>
      </w:r>
      <w:r>
        <w:rPr>
          <w:rFonts w:hint="eastAsia" w:ascii="宋体" w:hAnsi="宋体" w:eastAsia="宋体" w:cs="宋体"/>
          <w:b/>
          <w:bCs/>
          <w:color w:val="auto"/>
          <w:sz w:val="32"/>
          <w:szCs w:val="32"/>
          <w:highlight w:val="none"/>
          <w:u w:val="single"/>
        </w:rPr>
        <w:t xml:space="preserve">               </w:t>
      </w:r>
    </w:p>
    <w:p w14:paraId="2C0E4919">
      <w:pPr>
        <w:ind w:firstLine="1285" w:firstLineChars="40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供应商名称 ：</w:t>
      </w:r>
      <w:r>
        <w:rPr>
          <w:rFonts w:hint="eastAsia" w:ascii="宋体" w:hAnsi="宋体" w:eastAsia="宋体" w:cs="宋体"/>
          <w:b/>
          <w:bCs/>
          <w:color w:val="auto"/>
          <w:sz w:val="32"/>
          <w:szCs w:val="32"/>
          <w:highlight w:val="none"/>
          <w:u w:val="single"/>
        </w:rPr>
        <w:t>（加盖CA电子公章）</w:t>
      </w:r>
    </w:p>
    <w:p w14:paraId="1A68756C">
      <w:pPr>
        <w:ind w:firstLine="1285" w:firstLineChars="400"/>
        <w:jc w:val="left"/>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日   期 ：</w:t>
      </w:r>
      <w:r>
        <w:rPr>
          <w:rFonts w:hint="eastAsia" w:ascii="宋体" w:hAnsi="宋体" w:eastAsia="宋体" w:cs="宋体"/>
          <w:b/>
          <w:bCs/>
          <w:color w:val="auto"/>
          <w:sz w:val="32"/>
          <w:szCs w:val="32"/>
          <w:highlight w:val="none"/>
          <w:u w:val="single"/>
        </w:rPr>
        <w:t xml:space="preserve">               </w:t>
      </w:r>
    </w:p>
    <w:p w14:paraId="7D4DC6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917C592">
      <w:pPr>
        <w:pStyle w:val="207"/>
        <w:ind w:firstLine="400"/>
        <w:rPr>
          <w:rFonts w:hint="eastAsia" w:ascii="宋体" w:hAnsi="宋体" w:eastAsia="宋体" w:cs="宋体"/>
          <w:color w:val="auto"/>
          <w:highlight w:val="none"/>
        </w:rPr>
      </w:pPr>
    </w:p>
    <w:p w14:paraId="654984DB">
      <w:pPr>
        <w:rPr>
          <w:rFonts w:hint="eastAsia" w:ascii="宋体" w:hAnsi="宋体" w:eastAsia="宋体" w:cs="宋体"/>
          <w:color w:val="auto"/>
          <w:highlight w:val="none"/>
        </w:rPr>
      </w:pPr>
    </w:p>
    <w:p w14:paraId="5341231F">
      <w:pPr>
        <w:pStyle w:val="207"/>
        <w:ind w:firstLine="400"/>
        <w:rPr>
          <w:rFonts w:hint="eastAsia" w:ascii="宋体" w:hAnsi="宋体" w:eastAsia="宋体" w:cs="宋体"/>
          <w:color w:val="auto"/>
          <w:highlight w:val="none"/>
        </w:rPr>
      </w:pPr>
    </w:p>
    <w:p w14:paraId="75792BF1">
      <w:pPr>
        <w:rPr>
          <w:rFonts w:hint="eastAsia" w:ascii="宋体" w:hAnsi="宋体" w:eastAsia="宋体" w:cs="宋体"/>
          <w:color w:val="auto"/>
          <w:highlight w:val="none"/>
        </w:rPr>
      </w:pPr>
    </w:p>
    <w:p w14:paraId="357B9E81">
      <w:pPr>
        <w:pStyle w:val="207"/>
        <w:ind w:firstLine="400"/>
        <w:rPr>
          <w:rFonts w:hint="eastAsia" w:ascii="宋体" w:hAnsi="宋体" w:eastAsia="宋体" w:cs="宋体"/>
          <w:color w:val="auto"/>
          <w:highlight w:val="none"/>
        </w:rPr>
      </w:pPr>
    </w:p>
    <w:p w14:paraId="573117FD">
      <w:pPr>
        <w:rPr>
          <w:rFonts w:hint="eastAsia" w:ascii="宋体" w:hAnsi="宋体" w:eastAsia="宋体" w:cs="宋体"/>
          <w:color w:val="auto"/>
          <w:highlight w:val="none"/>
        </w:rPr>
      </w:pPr>
    </w:p>
    <w:p w14:paraId="525D3951">
      <w:pPr>
        <w:pStyle w:val="207"/>
        <w:ind w:firstLine="400"/>
        <w:rPr>
          <w:rFonts w:hint="eastAsia" w:ascii="宋体" w:hAnsi="宋体" w:eastAsia="宋体" w:cs="宋体"/>
          <w:color w:val="auto"/>
          <w:highlight w:val="none"/>
        </w:rPr>
      </w:pPr>
    </w:p>
    <w:p w14:paraId="5411F9D2">
      <w:pPr>
        <w:rPr>
          <w:rFonts w:hint="eastAsia" w:ascii="宋体" w:hAnsi="宋体" w:eastAsia="宋体" w:cs="宋体"/>
          <w:color w:val="auto"/>
          <w:highlight w:val="none"/>
        </w:rPr>
      </w:pPr>
    </w:p>
    <w:p w14:paraId="4F23AF20">
      <w:pPr>
        <w:rPr>
          <w:rFonts w:hint="eastAsia" w:ascii="宋体" w:hAnsi="宋体" w:eastAsia="宋体" w:cs="宋体"/>
          <w:color w:val="auto"/>
          <w:highlight w:val="none"/>
        </w:rPr>
      </w:pPr>
    </w:p>
    <w:p w14:paraId="1ED8BF6F">
      <w:pPr>
        <w:rPr>
          <w:rFonts w:hint="eastAsia" w:ascii="宋体" w:hAnsi="宋体" w:eastAsia="宋体" w:cs="宋体"/>
          <w:color w:val="auto"/>
          <w:highlight w:val="none"/>
        </w:rPr>
      </w:pPr>
    </w:p>
    <w:p w14:paraId="6597C9D8">
      <w:pPr>
        <w:rPr>
          <w:rFonts w:hint="eastAsia" w:ascii="宋体" w:hAnsi="宋体" w:eastAsia="宋体" w:cs="宋体"/>
          <w:color w:val="auto"/>
          <w:highlight w:val="none"/>
        </w:rPr>
      </w:pPr>
    </w:p>
    <w:p w14:paraId="7305C5CE">
      <w:pPr>
        <w:rPr>
          <w:rFonts w:hint="eastAsia" w:ascii="宋体" w:hAnsi="宋体" w:eastAsia="宋体" w:cs="宋体"/>
          <w:color w:val="auto"/>
          <w:highlight w:val="none"/>
        </w:rPr>
      </w:pPr>
    </w:p>
    <w:p w14:paraId="09BA0871">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响应文件目录</w:t>
      </w:r>
    </w:p>
    <w:p w14:paraId="05FBADE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8EE1E89">
      <w:pPr>
        <w:ind w:left="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一、法人或者其他组织的营业执照等证明文件，自然人的身份证明</w:t>
      </w:r>
    </w:p>
    <w:p w14:paraId="4F441D03">
      <w:pPr>
        <w:ind w:left="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二、供应商近</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p>
    <w:p w14:paraId="213BF16C">
      <w:pPr>
        <w:ind w:left="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三、依法缴纳税收和社会保障资金的相关材料（提供提交磋商响应文件截止时间前</w:t>
      </w:r>
      <w:r>
        <w:rPr>
          <w:rFonts w:hint="eastAsia" w:ascii="宋体" w:hAnsi="宋体" w:eastAsia="宋体" w:cs="宋体"/>
          <w:color w:val="auto"/>
          <w:sz w:val="24"/>
          <w:szCs w:val="24"/>
          <w:highlight w:val="none"/>
          <w:u w:val="single"/>
          <w:lang w:val="en-US" w:eastAsia="zh-CN"/>
        </w:rPr>
        <w:t>六</w:t>
      </w:r>
      <w:r>
        <w:rPr>
          <w:rFonts w:hint="eastAsia" w:ascii="宋体" w:hAnsi="宋体" w:eastAsia="宋体" w:cs="宋体"/>
          <w:color w:val="auto"/>
          <w:sz w:val="24"/>
          <w:szCs w:val="24"/>
          <w:highlight w:val="none"/>
          <w:u w:val="single"/>
        </w:rPr>
        <w:t>个月中任意一个月份（不含磋商响应文件递交当月）依法缴纳税收及缴纳社会保障资金的证明材料。磋商供应商依法享受缓缴、免缴税收、社会保障资金的提供证明材料。）</w:t>
      </w:r>
    </w:p>
    <w:p w14:paraId="3B353DBA">
      <w:pPr>
        <w:ind w:left="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四、具备履行合同所必需的设备和专业技术能力的书面声明</w:t>
      </w:r>
    </w:p>
    <w:p w14:paraId="41915BCE">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五、参加政府采购活动前3年内在经营活动中没有重大违法记录的书面声明</w:t>
      </w:r>
    </w:p>
    <w:p w14:paraId="52E1AE7F">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六、特定资格要求的证明文件（如果本项目设置特定资格要求，则需要提供）</w:t>
      </w:r>
    </w:p>
    <w:p w14:paraId="3AFFB6DA">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七、法人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负责人</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授权书</w:t>
      </w:r>
    </w:p>
    <w:p w14:paraId="4D085977">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八、磋商响应函、开标一览表</w:t>
      </w:r>
    </w:p>
    <w:p w14:paraId="2C9854DF">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九、中小企业声明函</w:t>
      </w:r>
      <w:r>
        <w:rPr>
          <w:rFonts w:hint="eastAsia" w:ascii="宋体" w:hAnsi="宋体" w:eastAsia="宋体" w:cs="宋体"/>
          <w:color w:val="auto"/>
          <w:sz w:val="24"/>
          <w:szCs w:val="24"/>
          <w:highlight w:val="none"/>
          <w:u w:val="single"/>
          <w:lang w:val="en-US" w:eastAsia="zh-CN"/>
        </w:rPr>
        <w:t>或</w:t>
      </w:r>
      <w:r>
        <w:rPr>
          <w:rFonts w:hint="eastAsia" w:ascii="宋体" w:hAnsi="宋体" w:eastAsia="宋体" w:cs="宋体"/>
          <w:color w:val="auto"/>
          <w:sz w:val="24"/>
          <w:szCs w:val="24"/>
          <w:highlight w:val="none"/>
          <w:u w:val="single"/>
        </w:rPr>
        <w:t>残疾人福利性单位声明函或监狱企业证明文件</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如有</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p>
    <w:p w14:paraId="23436CE1">
      <w:pPr>
        <w:ind w:firstLine="480"/>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rPr>
        <w:t>十、分项报价表</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如有</w:t>
      </w:r>
      <w:r>
        <w:rPr>
          <w:rFonts w:hint="eastAsia" w:ascii="宋体" w:hAnsi="宋体" w:eastAsia="宋体" w:cs="宋体"/>
          <w:color w:val="auto"/>
          <w:sz w:val="24"/>
          <w:szCs w:val="24"/>
          <w:highlight w:val="none"/>
          <w:u w:val="single"/>
          <w:lang w:eastAsia="zh-CN"/>
        </w:rPr>
        <w:t>）</w:t>
      </w:r>
    </w:p>
    <w:p w14:paraId="1B333507">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十</w:t>
      </w:r>
      <w:r>
        <w:rPr>
          <w:rFonts w:hint="eastAsia" w:ascii="宋体" w:hAnsi="宋体" w:eastAsia="宋体" w:cs="宋体"/>
          <w:color w:val="auto"/>
          <w:sz w:val="24"/>
          <w:szCs w:val="24"/>
          <w:highlight w:val="none"/>
          <w:u w:val="single"/>
          <w:lang w:val="en-US" w:eastAsia="zh-CN"/>
        </w:rPr>
        <w:t>一</w:t>
      </w:r>
      <w:r>
        <w:rPr>
          <w:rFonts w:hint="eastAsia" w:ascii="宋体" w:hAnsi="宋体" w:eastAsia="宋体" w:cs="宋体"/>
          <w:color w:val="auto"/>
          <w:sz w:val="24"/>
          <w:szCs w:val="24"/>
          <w:highlight w:val="none"/>
          <w:u w:val="single"/>
        </w:rPr>
        <w:t>、拟投入本项目的服务人员一览表</w:t>
      </w:r>
    </w:p>
    <w:p w14:paraId="17FC7949">
      <w:pPr>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十</w:t>
      </w:r>
      <w:r>
        <w:rPr>
          <w:rFonts w:hint="eastAsia" w:ascii="宋体" w:hAnsi="宋体" w:eastAsia="宋体" w:cs="宋体"/>
          <w:color w:val="auto"/>
          <w:sz w:val="24"/>
          <w:szCs w:val="24"/>
          <w:highlight w:val="none"/>
          <w:u w:val="single"/>
          <w:lang w:val="en-US" w:eastAsia="zh-CN"/>
        </w:rPr>
        <w:t>二</w:t>
      </w:r>
      <w:r>
        <w:rPr>
          <w:rFonts w:hint="eastAsia" w:ascii="宋体" w:hAnsi="宋体" w:eastAsia="宋体" w:cs="宋体"/>
          <w:color w:val="auto"/>
          <w:sz w:val="24"/>
          <w:szCs w:val="24"/>
          <w:highlight w:val="none"/>
          <w:u w:val="single"/>
        </w:rPr>
        <w:t>、技术要求响应及偏离表</w:t>
      </w:r>
    </w:p>
    <w:p w14:paraId="29D0289C">
      <w:pPr>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十三、商务要求响应及偏离表</w:t>
      </w:r>
    </w:p>
    <w:p w14:paraId="4624D183">
      <w:pPr>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十四、承诺书</w:t>
      </w:r>
    </w:p>
    <w:p w14:paraId="50A1BAD0">
      <w:pPr>
        <w:ind w:firstLine="48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十五、其它（供应商认为有必要提供的声明和文件，如有自拟并自行添加）</w:t>
      </w:r>
    </w:p>
    <w:p w14:paraId="69D2E6F5">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A226B04">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9C22B93">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BF057BD">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7764E41">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4C2300F">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7A2241B">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45307D3">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E878E66">
      <w:pPr>
        <w:pStyle w:val="207"/>
        <w:ind w:firstLine="400"/>
        <w:rPr>
          <w:rFonts w:hint="eastAsia" w:ascii="宋体" w:hAnsi="宋体" w:eastAsia="宋体" w:cs="宋体"/>
          <w:color w:val="auto"/>
          <w:highlight w:val="none"/>
        </w:rPr>
      </w:pPr>
    </w:p>
    <w:p w14:paraId="20373DF4">
      <w:pPr>
        <w:rPr>
          <w:rFonts w:hint="eastAsia" w:ascii="宋体" w:hAnsi="宋体" w:eastAsia="宋体" w:cs="宋体"/>
          <w:color w:val="auto"/>
          <w:highlight w:val="none"/>
        </w:rPr>
      </w:pPr>
    </w:p>
    <w:p w14:paraId="220AD73A">
      <w:pPr>
        <w:pStyle w:val="207"/>
        <w:ind w:firstLine="400"/>
        <w:rPr>
          <w:rFonts w:hint="eastAsia" w:ascii="宋体" w:hAnsi="宋体" w:eastAsia="宋体" w:cs="宋体"/>
          <w:color w:val="auto"/>
          <w:highlight w:val="none"/>
        </w:rPr>
      </w:pPr>
    </w:p>
    <w:p w14:paraId="668C617B">
      <w:pPr>
        <w:rPr>
          <w:rFonts w:hint="eastAsia" w:ascii="宋体" w:hAnsi="宋体" w:eastAsia="宋体" w:cs="宋体"/>
          <w:color w:val="auto"/>
          <w:highlight w:val="none"/>
        </w:rPr>
      </w:pPr>
    </w:p>
    <w:p w14:paraId="3E081BA4">
      <w:pPr>
        <w:pStyle w:val="207"/>
        <w:ind w:firstLine="400"/>
        <w:rPr>
          <w:rFonts w:hint="eastAsia" w:ascii="宋体" w:hAnsi="宋体" w:eastAsia="宋体" w:cs="宋体"/>
          <w:color w:val="auto"/>
          <w:highlight w:val="none"/>
        </w:rPr>
      </w:pPr>
    </w:p>
    <w:p w14:paraId="0228231B">
      <w:pPr>
        <w:rPr>
          <w:rFonts w:hint="eastAsia" w:ascii="宋体" w:hAnsi="宋体" w:eastAsia="宋体" w:cs="宋体"/>
          <w:color w:val="auto"/>
          <w:highlight w:val="none"/>
        </w:rPr>
      </w:pPr>
    </w:p>
    <w:p w14:paraId="3A9222A7">
      <w:pPr>
        <w:pStyle w:val="207"/>
        <w:ind w:firstLine="400"/>
        <w:rPr>
          <w:rFonts w:hint="eastAsia" w:ascii="宋体" w:hAnsi="宋体" w:eastAsia="宋体" w:cs="宋体"/>
          <w:color w:val="auto"/>
          <w:highlight w:val="none"/>
        </w:rPr>
      </w:pPr>
    </w:p>
    <w:p w14:paraId="7D6AB33B">
      <w:pPr>
        <w:rPr>
          <w:rFonts w:hint="eastAsia" w:ascii="宋体" w:hAnsi="宋体" w:eastAsia="宋体" w:cs="宋体"/>
          <w:color w:val="auto"/>
          <w:highlight w:val="none"/>
        </w:rPr>
      </w:pPr>
    </w:p>
    <w:p w14:paraId="0771AA65">
      <w:pPr>
        <w:pStyle w:val="207"/>
        <w:ind w:firstLine="400"/>
        <w:rPr>
          <w:rFonts w:hint="eastAsia" w:ascii="宋体" w:hAnsi="宋体" w:eastAsia="宋体" w:cs="宋体"/>
          <w:color w:val="auto"/>
          <w:highlight w:val="none"/>
        </w:rPr>
      </w:pPr>
    </w:p>
    <w:p w14:paraId="5DBAE1B5">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987D658">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一、法人或者其他组织的营业执照等证明文件，自然人的身份证明</w:t>
      </w:r>
    </w:p>
    <w:p w14:paraId="493B65A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124CAAE">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二、供应商近</w:t>
      </w:r>
      <w:r>
        <w:rPr>
          <w:rFonts w:hint="eastAsia" w:ascii="宋体" w:hAnsi="宋体" w:eastAsia="宋体" w:cs="宋体"/>
          <w:color w:val="auto"/>
          <w:sz w:val="32"/>
          <w:szCs w:val="32"/>
          <w:highlight w:val="none"/>
          <w:u w:val="single"/>
          <w:lang w:val="en-US" w:eastAsia="zh-CN"/>
        </w:rPr>
        <w:t>六</w:t>
      </w:r>
      <w:r>
        <w:rPr>
          <w:rFonts w:hint="eastAsia" w:ascii="宋体" w:hAnsi="宋体" w:eastAsia="宋体" w:cs="宋体"/>
          <w:color w:val="auto"/>
          <w:sz w:val="32"/>
          <w:szCs w:val="32"/>
          <w:highlight w:val="none"/>
          <w:u w:val="single"/>
        </w:rPr>
        <w:t>个月中任意一个月份（不含磋商响应文件递交当月）的财务状况报告（资产负债表和利润表）或由会计师事务所出具的近两年中任意一个年度的审计报告复印件；</w:t>
      </w:r>
    </w:p>
    <w:p w14:paraId="67DAAAD2">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其他组织、自然人及成立未满一年的法人应提供银行出具的资信证明</w:t>
      </w:r>
    </w:p>
    <w:p w14:paraId="46C6C0F5">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0644724">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三、依法缴纳税收和社会保障资金的相关材料</w:t>
      </w:r>
    </w:p>
    <w:p w14:paraId="669A64D9">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提供提交响应文件截止时间前</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个月中任意一个月份（不含磋商响应文件递交当月）依法缴纳税收及缴纳社会保障资金的证明材料。供应商依法享受缓缴、免缴税收、社会保障资金的提供证明材料。</w:t>
      </w:r>
    </w:p>
    <w:p w14:paraId="0B9FE78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ED241D3">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四、具备履行合同所必需的设备和专业技术能力的书面声明</w:t>
      </w:r>
    </w:p>
    <w:p w14:paraId="7B7291E7">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我单位郑重声明：我单位具备履行本项采购合同所必需的设备和专业技术能力，为履行本项采购合同我公司具备如下主要设备和主要专业技术能力：</w:t>
      </w:r>
    </w:p>
    <w:p w14:paraId="7005322A">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6FF04A5">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7CAEF4">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08EE5D77">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82365B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1E4024A">
      <w:pPr>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w:t>
      </w:r>
    </w:p>
    <w:p w14:paraId="7DA91573">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五、参加政府采购活动前 3 年内在经营活动中没有重大违法记录的书面声明</w:t>
      </w:r>
    </w:p>
    <w:p w14:paraId="5599256F">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声  明</w:t>
      </w:r>
    </w:p>
    <w:p w14:paraId="17A2BD77">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2B2D8544">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16BE39B0">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7E8EF974">
      <w:pPr>
        <w:rPr>
          <w:rFonts w:hint="eastAsia" w:ascii="宋体" w:hAnsi="宋体" w:eastAsia="宋体" w:cs="宋体"/>
          <w:color w:val="auto"/>
          <w:sz w:val="24"/>
          <w:szCs w:val="24"/>
          <w:highlight w:val="none"/>
        </w:rPr>
      </w:pPr>
    </w:p>
    <w:p w14:paraId="0BA619CE">
      <w:pPr>
        <w:rPr>
          <w:rFonts w:hint="eastAsia" w:ascii="宋体" w:hAnsi="宋体" w:eastAsia="宋体" w:cs="宋体"/>
          <w:i/>
          <w:iCs/>
          <w:color w:val="auto"/>
          <w:sz w:val="32"/>
          <w:szCs w:val="32"/>
          <w:highlight w:val="none"/>
          <w:u w:val="single"/>
        </w:rPr>
      </w:pPr>
    </w:p>
    <w:p w14:paraId="1D8F0EF6">
      <w:pPr>
        <w:rPr>
          <w:rFonts w:hint="eastAsia" w:ascii="宋体" w:hAnsi="宋体" w:eastAsia="宋体" w:cs="宋体"/>
          <w:color w:val="auto"/>
          <w:sz w:val="24"/>
          <w:szCs w:val="24"/>
          <w:highlight w:val="none"/>
        </w:rPr>
      </w:pPr>
      <w:r>
        <w:rPr>
          <w:rFonts w:hint="eastAsia" w:ascii="宋体" w:hAnsi="宋体" w:eastAsia="宋体" w:cs="宋体"/>
          <w:color w:val="auto"/>
          <w:sz w:val="32"/>
          <w:szCs w:val="32"/>
          <w:highlight w:val="none"/>
          <w:u w:val="single"/>
        </w:rPr>
        <w:t>六、特定资格要求的证明文件</w:t>
      </w:r>
    </w:p>
    <w:p w14:paraId="3B4C97A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如果本项目申请人的特定资格要求中要求提供的，必须提供。</w:t>
      </w:r>
    </w:p>
    <w:p w14:paraId="71660B40">
      <w:pPr>
        <w:jc w:val="center"/>
        <w:rPr>
          <w:rFonts w:hint="eastAsia" w:ascii="宋体" w:hAnsi="宋体" w:eastAsia="宋体" w:cs="宋体"/>
          <w:i/>
          <w:iCs/>
          <w:color w:val="auto"/>
          <w:sz w:val="32"/>
          <w:szCs w:val="32"/>
          <w:highlight w:val="none"/>
          <w:u w:val="single"/>
        </w:rPr>
      </w:pPr>
      <w:bookmarkStart w:id="206" w:name="_Toc120614284"/>
    </w:p>
    <w:p w14:paraId="73694AD2">
      <w:pPr>
        <w:jc w:val="center"/>
        <w:rPr>
          <w:rFonts w:hint="eastAsia" w:ascii="宋体" w:hAnsi="宋体" w:eastAsia="宋体" w:cs="宋体"/>
          <w:i/>
          <w:iCs/>
          <w:color w:val="auto"/>
          <w:sz w:val="32"/>
          <w:szCs w:val="32"/>
          <w:highlight w:val="none"/>
          <w:u w:val="single"/>
        </w:rPr>
      </w:pPr>
    </w:p>
    <w:p w14:paraId="170B9487">
      <w:pPr>
        <w:jc w:val="center"/>
        <w:rPr>
          <w:rFonts w:hint="eastAsia" w:ascii="宋体" w:hAnsi="宋体" w:eastAsia="宋体" w:cs="宋体"/>
          <w:i/>
          <w:iCs/>
          <w:color w:val="auto"/>
          <w:sz w:val="32"/>
          <w:szCs w:val="32"/>
          <w:highlight w:val="none"/>
          <w:u w:val="single"/>
        </w:rPr>
      </w:pPr>
    </w:p>
    <w:p w14:paraId="7F5F2C80">
      <w:pPr>
        <w:pStyle w:val="18"/>
        <w:rPr>
          <w:rFonts w:hint="eastAsia" w:ascii="宋体" w:hAnsi="宋体" w:eastAsia="宋体" w:cs="宋体"/>
          <w:i/>
          <w:iCs/>
          <w:color w:val="auto"/>
          <w:sz w:val="32"/>
          <w:szCs w:val="32"/>
          <w:highlight w:val="none"/>
          <w:u w:val="single"/>
        </w:rPr>
      </w:pPr>
    </w:p>
    <w:p w14:paraId="4142353A">
      <w:pPr>
        <w:jc w:val="cente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32"/>
          <w:szCs w:val="32"/>
          <w:highlight w:val="none"/>
          <w:u w:val="none"/>
        </w:rPr>
        <w:t>七、法人</w:t>
      </w:r>
      <w:r>
        <w:rPr>
          <w:rFonts w:hint="eastAsia" w:ascii="宋体" w:hAnsi="宋体" w:eastAsia="宋体" w:cs="宋体"/>
          <w:b/>
          <w:bCs/>
          <w:color w:val="auto"/>
          <w:sz w:val="32"/>
          <w:szCs w:val="32"/>
          <w:highlight w:val="none"/>
          <w:u w:val="none"/>
          <w:lang w:eastAsia="zh-CN"/>
        </w:rPr>
        <w:t>（</w:t>
      </w:r>
      <w:r>
        <w:rPr>
          <w:rFonts w:hint="eastAsia" w:ascii="宋体" w:hAnsi="宋体" w:eastAsia="宋体" w:cs="宋体"/>
          <w:b/>
          <w:bCs/>
          <w:color w:val="auto"/>
          <w:sz w:val="32"/>
          <w:szCs w:val="32"/>
          <w:highlight w:val="none"/>
          <w:u w:val="none"/>
          <w:lang w:val="en-US" w:eastAsia="zh-CN"/>
        </w:rPr>
        <w:t>负责人</w:t>
      </w:r>
      <w:r>
        <w:rPr>
          <w:rFonts w:hint="eastAsia" w:ascii="宋体" w:hAnsi="宋体" w:eastAsia="宋体" w:cs="宋体"/>
          <w:b/>
          <w:bCs/>
          <w:color w:val="auto"/>
          <w:sz w:val="32"/>
          <w:szCs w:val="32"/>
          <w:highlight w:val="none"/>
          <w:u w:val="none"/>
          <w:lang w:eastAsia="zh-CN"/>
        </w:rPr>
        <w:t>）</w:t>
      </w:r>
      <w:r>
        <w:rPr>
          <w:rFonts w:hint="eastAsia" w:ascii="宋体" w:hAnsi="宋体" w:eastAsia="宋体" w:cs="宋体"/>
          <w:b/>
          <w:bCs/>
          <w:color w:val="auto"/>
          <w:sz w:val="32"/>
          <w:szCs w:val="32"/>
          <w:highlight w:val="none"/>
          <w:u w:val="none"/>
        </w:rPr>
        <w:t>授权书</w:t>
      </w:r>
    </w:p>
    <w:p w14:paraId="52EE2718">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号项目采购活动的合法代理人，以本单位名义全权处理一切与该项目采购有关的事务。</w:t>
      </w:r>
    </w:p>
    <w:p w14:paraId="2186BB0F">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14:paraId="3B9D3975">
      <w:pPr>
        <w:tabs>
          <w:tab w:val="left" w:pos="360"/>
        </w:tabs>
        <w:rPr>
          <w:rFonts w:hint="eastAsia" w:ascii="宋体" w:hAnsi="宋体" w:eastAsia="宋体" w:cs="宋体"/>
          <w:color w:val="auto"/>
          <w:sz w:val="24"/>
          <w:szCs w:val="24"/>
          <w:highlight w:val="none"/>
        </w:rPr>
      </w:pPr>
    </w:p>
    <w:p w14:paraId="2CBD3D44">
      <w:pPr>
        <w:tabs>
          <w:tab w:val="left" w:pos="36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6F683442">
      <w:pPr>
        <w:tabs>
          <w:tab w:val="left" w:pos="36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被授权人联系电话：（手机）</w:t>
      </w:r>
      <w:r>
        <w:rPr>
          <w:rFonts w:hint="eastAsia" w:ascii="宋体" w:hAnsi="宋体" w:eastAsia="宋体" w:cs="宋体"/>
          <w:color w:val="auto"/>
          <w:sz w:val="24"/>
          <w:szCs w:val="24"/>
          <w:highlight w:val="none"/>
          <w:u w:val="single"/>
        </w:rPr>
        <w:t xml:space="preserve">              </w:t>
      </w:r>
    </w:p>
    <w:p w14:paraId="76A670FB">
      <w:pPr>
        <w:tabs>
          <w:tab w:val="left" w:pos="36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14:paraId="5F14F49D">
      <w:pPr>
        <w:tabs>
          <w:tab w:val="left" w:pos="36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u w:val="single"/>
        </w:rPr>
        <w:t xml:space="preserve">                     </w:t>
      </w:r>
    </w:p>
    <w:p w14:paraId="53DF1B72">
      <w:pPr>
        <w:tabs>
          <w:tab w:val="left" w:pos="360"/>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bookmarkEnd w:id="206"/>
      <w:bookmarkStart w:id="207" w:name="_格式3__银行出具的资信证明"/>
      <w:bookmarkEnd w:id="207"/>
      <w:bookmarkStart w:id="208" w:name="_Hlt26671380"/>
      <w:bookmarkEnd w:id="208"/>
      <w:bookmarkStart w:id="209" w:name="_Hlt26955070"/>
      <w:r>
        <w:rPr>
          <w:rFonts w:hint="eastAsia" w:ascii="宋体" w:hAnsi="宋体" w:eastAsia="宋体" w:cs="宋体"/>
          <w:color w:val="auto"/>
          <w:sz w:val="24"/>
          <w:szCs w:val="24"/>
          <w:highlight w:val="none"/>
          <w:u w:val="single"/>
        </w:rPr>
        <w:t xml:space="preserve">                    </w:t>
      </w:r>
    </w:p>
    <w:p w14:paraId="3DD55E7E">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42E2FED">
      <w:pPr>
        <w:tabs>
          <w:tab w:val="left" w:pos="360"/>
        </w:tabs>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38C611B">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EF299B8">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A972942">
      <w:pPr>
        <w:pStyle w:val="13"/>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被授权人</w:t>
      </w:r>
      <w:r>
        <w:rPr>
          <w:rFonts w:hint="eastAsia" w:ascii="宋体" w:hAnsi="宋体" w:eastAsia="宋体" w:cs="宋体"/>
          <w:color w:val="auto"/>
          <w:sz w:val="24"/>
          <w:szCs w:val="24"/>
          <w:highlight w:val="none"/>
        </w:rPr>
        <w:t>身份证复印件（正反两面均需复印） ：</w:t>
      </w:r>
    </w:p>
    <w:p w14:paraId="14AA16DF">
      <w:pPr>
        <w:pStyle w:val="13"/>
        <w:ind w:firstLine="480"/>
        <w:rPr>
          <w:rFonts w:hint="eastAsia" w:ascii="宋体" w:hAnsi="宋体" w:eastAsia="宋体" w:cs="宋体"/>
          <w:color w:val="auto"/>
          <w:sz w:val="24"/>
          <w:szCs w:val="24"/>
          <w:highlight w:val="none"/>
        </w:rPr>
      </w:pPr>
    </w:p>
    <w:tbl>
      <w:tblPr>
        <w:tblStyle w:val="47"/>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31"/>
        <w:gridCol w:w="469"/>
        <w:gridCol w:w="4207"/>
      </w:tblGrid>
      <w:tr w14:paraId="317B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trPr>
        <w:tc>
          <w:tcPr>
            <w:tcW w:w="4031" w:type="dxa"/>
            <w:noWrap w:val="0"/>
            <w:vAlign w:val="top"/>
          </w:tcPr>
          <w:p w14:paraId="124F9D92">
            <w:pPr>
              <w:pStyle w:val="13"/>
              <w:ind w:firstLine="480"/>
              <w:rPr>
                <w:rFonts w:hint="eastAsia" w:ascii="宋体" w:hAnsi="宋体" w:eastAsia="宋体" w:cs="宋体"/>
                <w:color w:val="auto"/>
                <w:sz w:val="24"/>
                <w:szCs w:val="24"/>
                <w:highlight w:val="none"/>
              </w:rPr>
            </w:pPr>
          </w:p>
          <w:p w14:paraId="1CEDBD62">
            <w:pPr>
              <w:pStyle w:val="13"/>
              <w:ind w:firstLine="480"/>
              <w:rPr>
                <w:rFonts w:hint="eastAsia" w:ascii="宋体" w:hAnsi="宋体" w:eastAsia="宋体" w:cs="宋体"/>
                <w:color w:val="auto"/>
                <w:sz w:val="24"/>
                <w:szCs w:val="24"/>
                <w:highlight w:val="none"/>
              </w:rPr>
            </w:pPr>
          </w:p>
          <w:p w14:paraId="4D53CA1C">
            <w:pPr>
              <w:pStyle w:val="13"/>
              <w:ind w:firstLine="480"/>
              <w:rPr>
                <w:rFonts w:hint="eastAsia" w:ascii="宋体" w:hAnsi="宋体" w:eastAsia="宋体" w:cs="宋体"/>
                <w:color w:val="auto"/>
                <w:sz w:val="24"/>
                <w:szCs w:val="24"/>
                <w:highlight w:val="none"/>
              </w:rPr>
            </w:pPr>
          </w:p>
          <w:p w14:paraId="2EDD9122">
            <w:pPr>
              <w:pStyle w:val="13"/>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被授权人</w:t>
            </w:r>
            <w:r>
              <w:rPr>
                <w:rFonts w:hint="eastAsia" w:ascii="宋体" w:hAnsi="宋体" w:eastAsia="宋体" w:cs="宋体"/>
                <w:color w:val="auto"/>
                <w:sz w:val="24"/>
                <w:szCs w:val="24"/>
                <w:highlight w:val="none"/>
              </w:rPr>
              <w:t>身份证正面复印件</w:t>
            </w:r>
          </w:p>
          <w:p w14:paraId="67CE8655">
            <w:pPr>
              <w:pStyle w:val="13"/>
              <w:ind w:firstLine="480"/>
              <w:rPr>
                <w:rFonts w:hint="eastAsia" w:ascii="宋体" w:hAnsi="宋体" w:eastAsia="宋体" w:cs="宋体"/>
                <w:color w:val="auto"/>
                <w:sz w:val="24"/>
                <w:szCs w:val="24"/>
                <w:highlight w:val="none"/>
              </w:rPr>
            </w:pPr>
          </w:p>
        </w:tc>
        <w:tc>
          <w:tcPr>
            <w:tcW w:w="469" w:type="dxa"/>
            <w:tcBorders>
              <w:top w:val="nil"/>
              <w:bottom w:val="nil"/>
            </w:tcBorders>
            <w:noWrap w:val="0"/>
            <w:vAlign w:val="top"/>
          </w:tcPr>
          <w:p w14:paraId="14994D9F">
            <w:pPr>
              <w:pStyle w:val="13"/>
              <w:ind w:left="621" w:firstLine="480"/>
              <w:rPr>
                <w:rFonts w:hint="eastAsia" w:ascii="宋体" w:hAnsi="宋体" w:eastAsia="宋体" w:cs="宋体"/>
                <w:color w:val="auto"/>
                <w:sz w:val="24"/>
                <w:szCs w:val="24"/>
                <w:highlight w:val="none"/>
              </w:rPr>
            </w:pPr>
          </w:p>
          <w:p w14:paraId="3F340546">
            <w:pPr>
              <w:widowControl/>
              <w:jc w:val="left"/>
              <w:rPr>
                <w:rFonts w:hint="eastAsia" w:ascii="宋体" w:hAnsi="宋体" w:eastAsia="宋体" w:cs="宋体"/>
                <w:color w:val="auto"/>
                <w:sz w:val="24"/>
                <w:szCs w:val="22"/>
                <w:highlight w:val="none"/>
              </w:rPr>
            </w:pPr>
          </w:p>
          <w:p w14:paraId="74295BEF">
            <w:pPr>
              <w:widowControl/>
              <w:jc w:val="left"/>
              <w:rPr>
                <w:rFonts w:hint="eastAsia" w:ascii="宋体" w:hAnsi="宋体" w:eastAsia="宋体" w:cs="宋体"/>
                <w:color w:val="auto"/>
                <w:sz w:val="24"/>
                <w:szCs w:val="22"/>
                <w:highlight w:val="none"/>
              </w:rPr>
            </w:pPr>
            <w:r>
              <w:rPr>
                <w:rFonts w:hint="eastAsia" w:ascii="宋体" w:hAnsi="宋体" w:eastAsia="宋体" w:cs="宋体"/>
                <w:color w:val="auto"/>
                <w:szCs w:val="22"/>
                <w:highlight w:val="none"/>
              </w:rPr>
              <w:t xml:space="preserve"> </w:t>
            </w:r>
          </w:p>
          <w:p w14:paraId="68DCFE6C">
            <w:pPr>
              <w:widowControl/>
              <w:jc w:val="left"/>
              <w:rPr>
                <w:rFonts w:hint="eastAsia" w:ascii="宋体" w:hAnsi="宋体" w:eastAsia="宋体" w:cs="宋体"/>
                <w:color w:val="auto"/>
                <w:sz w:val="24"/>
                <w:szCs w:val="22"/>
                <w:highlight w:val="none"/>
              </w:rPr>
            </w:pPr>
          </w:p>
          <w:p w14:paraId="30ADEB01">
            <w:pPr>
              <w:pStyle w:val="13"/>
              <w:ind w:firstLine="480"/>
              <w:rPr>
                <w:rFonts w:hint="eastAsia" w:ascii="宋体" w:hAnsi="宋体" w:eastAsia="宋体" w:cs="宋体"/>
                <w:color w:val="auto"/>
                <w:sz w:val="24"/>
                <w:szCs w:val="24"/>
                <w:highlight w:val="none"/>
              </w:rPr>
            </w:pPr>
          </w:p>
        </w:tc>
        <w:tc>
          <w:tcPr>
            <w:tcW w:w="4207" w:type="dxa"/>
            <w:noWrap w:val="0"/>
            <w:vAlign w:val="top"/>
          </w:tcPr>
          <w:p w14:paraId="2AD6F123">
            <w:pPr>
              <w:pStyle w:val="13"/>
              <w:ind w:firstLine="480"/>
              <w:rPr>
                <w:rFonts w:hint="eastAsia" w:ascii="宋体" w:hAnsi="宋体" w:eastAsia="宋体" w:cs="宋体"/>
                <w:color w:val="auto"/>
                <w:sz w:val="24"/>
                <w:szCs w:val="22"/>
                <w:highlight w:val="none"/>
              </w:rPr>
            </w:pPr>
          </w:p>
          <w:p w14:paraId="4A2E46EF">
            <w:pPr>
              <w:pStyle w:val="13"/>
              <w:ind w:firstLine="480"/>
              <w:rPr>
                <w:rFonts w:hint="eastAsia" w:ascii="宋体" w:hAnsi="宋体" w:eastAsia="宋体" w:cs="宋体"/>
                <w:color w:val="auto"/>
                <w:sz w:val="24"/>
                <w:szCs w:val="22"/>
                <w:highlight w:val="none"/>
              </w:rPr>
            </w:pPr>
          </w:p>
          <w:p w14:paraId="1C436FD3">
            <w:pPr>
              <w:pStyle w:val="13"/>
              <w:ind w:firstLine="480"/>
              <w:rPr>
                <w:rFonts w:hint="eastAsia" w:ascii="宋体" w:hAnsi="宋体" w:eastAsia="宋体" w:cs="宋体"/>
                <w:color w:val="auto"/>
                <w:sz w:val="24"/>
                <w:szCs w:val="22"/>
                <w:highlight w:val="none"/>
              </w:rPr>
            </w:pPr>
          </w:p>
          <w:p w14:paraId="18C6B206">
            <w:pPr>
              <w:pStyle w:val="13"/>
              <w:ind w:firstLine="480"/>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lang w:val="en-US" w:eastAsia="zh-CN"/>
              </w:rPr>
              <w:t>被授权人</w:t>
            </w:r>
            <w:r>
              <w:rPr>
                <w:rFonts w:hint="eastAsia" w:ascii="宋体" w:hAnsi="宋体" w:eastAsia="宋体" w:cs="宋体"/>
                <w:color w:val="auto"/>
                <w:sz w:val="24"/>
                <w:szCs w:val="24"/>
                <w:highlight w:val="none"/>
              </w:rPr>
              <w:t>身份证反面复印件</w:t>
            </w:r>
          </w:p>
        </w:tc>
      </w:tr>
    </w:tbl>
    <w:p w14:paraId="5B5294B3">
      <w:pPr>
        <w:keepNext/>
        <w:keepLines/>
        <w:spacing w:before="260" w:after="260" w:line="415"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magenta"/>
        </w:rPr>
        <w:br w:type="page" w:clear="all"/>
      </w:r>
      <w:r>
        <w:rPr>
          <w:rFonts w:hint="eastAsia" w:ascii="宋体" w:hAnsi="宋体" w:eastAsia="宋体" w:cs="宋体"/>
          <w:b/>
          <w:bCs/>
          <w:color w:val="auto"/>
          <w:sz w:val="32"/>
          <w:szCs w:val="32"/>
          <w:highlight w:val="none"/>
          <w:u w:val="none"/>
        </w:rPr>
        <w:t>八、磋商响应函</w:t>
      </w:r>
    </w:p>
    <w:p w14:paraId="3AEB71A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致：江苏建泰工程项目管理有限公司</w:t>
      </w:r>
    </w:p>
    <w:p w14:paraId="5564FE7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根据贵方的</w:t>
      </w:r>
      <w:r>
        <w:rPr>
          <w:rFonts w:hint="eastAsia" w:ascii="宋体" w:hAnsi="宋体" w:eastAsia="宋体" w:cs="宋体"/>
          <w:b/>
          <w:bCs/>
          <w:color w:val="auto"/>
          <w:sz w:val="36"/>
          <w:szCs w:val="36"/>
          <w:highlight w:val="none"/>
          <w:u w:val="single"/>
        </w:rPr>
        <w:t> </w:t>
      </w:r>
      <w:r>
        <w:rPr>
          <w:rFonts w:hint="eastAsia" w:ascii="宋体" w:hAnsi="宋体" w:eastAsia="宋体" w:cs="宋体"/>
          <w:color w:val="auto"/>
          <w:sz w:val="24"/>
          <w:szCs w:val="24"/>
          <w:highlight w:val="none"/>
          <w:u w:val="single"/>
        </w:rPr>
        <w:t>（项目编号）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号磋商文件，正式授权下述签字人______(姓名)代表我方______________（供应商的名称），全权处理本次项目磋商的有关事宜。</w:t>
      </w:r>
    </w:p>
    <w:p w14:paraId="30539C2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据此函，__________签字人兹宣布同意如下：</w:t>
      </w:r>
    </w:p>
    <w:p w14:paraId="1274FE1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1.按磋商文件规定的各项要求，向买方提供所需货物、服务（包含与货物相关的服务及与服务相关的货物）。</w:t>
      </w:r>
    </w:p>
    <w:p w14:paraId="3499908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2.我们完全理解贵方不一定将合同授予最低报价的供应商。</w:t>
      </w:r>
    </w:p>
    <w:p w14:paraId="5F7ED5A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3.我们已详细审核全部磋商文件及其有效补充文件，我们知道必须放弃提出含糊不清或误解问题的权利。</w:t>
      </w:r>
    </w:p>
    <w:p w14:paraId="6824EA7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4.我们同意从规定的开标日期起遵循本响应文件，并在规定的磋商有效期期满之前均具有约束力。</w:t>
      </w:r>
    </w:p>
    <w:p w14:paraId="224CA28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5.同意向贵方提供贵方可能另外要求的与磋商有关的任何证据或资料，并保证我方已提供和将要提供的文件是真实的、准确的。</w:t>
      </w:r>
    </w:p>
    <w:p w14:paraId="7EF614A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6.一旦我方成交,我方将根据磋商文件的规定，严格履行合同的责任和义务,并保证在磋商文件规定的时间完成项目，交付买方验收、使用。</w:t>
      </w:r>
    </w:p>
    <w:p w14:paraId="6127B008">
      <w:pPr>
        <w:ind w:left="42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7.我方与本磋商有关的正式通讯地址为：</w:t>
      </w:r>
    </w:p>
    <w:p w14:paraId="11A69593">
      <w:pPr>
        <w:ind w:left="420" w:firstLine="480"/>
        <w:jc w:val="left"/>
        <w:rPr>
          <w:rFonts w:hint="eastAsia" w:ascii="宋体" w:hAnsi="宋体" w:eastAsia="宋体" w:cs="宋体"/>
          <w:color w:val="auto"/>
          <w:sz w:val="24"/>
          <w:szCs w:val="24"/>
          <w:highlight w:val="none"/>
        </w:rPr>
      </w:pPr>
    </w:p>
    <w:p w14:paraId="59A70C62">
      <w:pPr>
        <w:ind w:left="420" w:firstLine="480"/>
        <w:jc w:val="left"/>
        <w:rPr>
          <w:rFonts w:hint="eastAsia" w:ascii="宋体" w:hAnsi="宋体" w:eastAsia="宋体" w:cs="宋体"/>
          <w:color w:val="auto"/>
          <w:sz w:val="24"/>
          <w:szCs w:val="24"/>
          <w:highlight w:val="none"/>
        </w:rPr>
      </w:pPr>
    </w:p>
    <w:p w14:paraId="51ECBC6B">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p>
    <w:p w14:paraId="1AD67269">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编：</w:t>
      </w:r>
    </w:p>
    <w:p w14:paraId="6157B55B">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p w14:paraId="64C8E14D">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p w14:paraId="67AB4068">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供应商开户行：</w:t>
      </w:r>
    </w:p>
    <w:p w14:paraId="138DEC1B">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p>
    <w:p w14:paraId="2569F03D">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期：________年____月____日</w:t>
      </w:r>
    </w:p>
    <w:p w14:paraId="333E4693">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A169374">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EAC246B">
      <w:pPr>
        <w:ind w:firstLine="2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5A84D2F">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29871EC7">
      <w:pPr>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1B1EDD82">
      <w:pPr>
        <w:ind w:firstLine="240"/>
        <w:jc w:val="center"/>
        <w:rPr>
          <w:rFonts w:hint="eastAsia" w:ascii="宋体" w:hAnsi="宋体" w:eastAsia="宋体" w:cs="宋体"/>
          <w:color w:val="auto"/>
          <w:sz w:val="24"/>
          <w:szCs w:val="24"/>
          <w:highlight w:val="none"/>
        </w:rPr>
      </w:pPr>
    </w:p>
    <w:p w14:paraId="46228736">
      <w:pPr>
        <w:ind w:firstLine="240"/>
        <w:jc w:val="center"/>
        <w:rPr>
          <w:rFonts w:hint="eastAsia" w:ascii="宋体" w:hAnsi="宋体" w:eastAsia="宋体" w:cs="宋体"/>
          <w:color w:val="auto"/>
          <w:sz w:val="24"/>
          <w:szCs w:val="24"/>
          <w:highlight w:val="none"/>
        </w:rPr>
      </w:pPr>
    </w:p>
    <w:p w14:paraId="1BBF24D8">
      <w:pPr>
        <w:ind w:firstLine="240"/>
        <w:jc w:val="center"/>
        <w:rPr>
          <w:rFonts w:hint="eastAsia" w:ascii="宋体" w:hAnsi="宋体" w:eastAsia="宋体" w:cs="宋体"/>
          <w:color w:val="auto"/>
          <w:sz w:val="24"/>
          <w:szCs w:val="24"/>
          <w:highlight w:val="none"/>
        </w:rPr>
      </w:pPr>
    </w:p>
    <w:p w14:paraId="4F4313A2">
      <w:pPr>
        <w:ind w:firstLine="240"/>
        <w:jc w:val="center"/>
        <w:rPr>
          <w:rFonts w:hint="eastAsia" w:ascii="宋体" w:hAnsi="宋体" w:eastAsia="宋体" w:cs="宋体"/>
          <w:color w:val="auto"/>
          <w:sz w:val="24"/>
          <w:szCs w:val="24"/>
          <w:highlight w:val="none"/>
        </w:rPr>
      </w:pPr>
    </w:p>
    <w:p w14:paraId="3BA6FABC">
      <w:pPr>
        <w:ind w:firstLine="240"/>
        <w:jc w:val="center"/>
        <w:rPr>
          <w:rFonts w:hint="eastAsia" w:ascii="宋体" w:hAnsi="宋体" w:eastAsia="宋体" w:cs="宋体"/>
          <w:color w:val="auto"/>
          <w:sz w:val="24"/>
          <w:szCs w:val="24"/>
          <w:highlight w:val="none"/>
        </w:rPr>
      </w:pPr>
    </w:p>
    <w:p w14:paraId="035B4A1C">
      <w:pPr>
        <w:ind w:firstLine="240"/>
        <w:jc w:val="center"/>
        <w:rPr>
          <w:rFonts w:hint="eastAsia" w:ascii="宋体" w:hAnsi="宋体" w:eastAsia="宋体" w:cs="宋体"/>
          <w:color w:val="auto"/>
          <w:sz w:val="24"/>
          <w:szCs w:val="24"/>
          <w:highlight w:val="none"/>
        </w:rPr>
      </w:pPr>
    </w:p>
    <w:p w14:paraId="4CB38D5E">
      <w:pPr>
        <w:ind w:firstLine="240"/>
        <w:jc w:val="center"/>
        <w:rPr>
          <w:rFonts w:hint="eastAsia" w:ascii="宋体" w:hAnsi="宋体" w:eastAsia="宋体" w:cs="宋体"/>
          <w:color w:val="auto"/>
          <w:sz w:val="24"/>
          <w:szCs w:val="24"/>
          <w:highlight w:val="none"/>
        </w:rPr>
      </w:pPr>
    </w:p>
    <w:p w14:paraId="095339FC">
      <w:pPr>
        <w:ind w:firstLine="240"/>
        <w:jc w:val="center"/>
        <w:rPr>
          <w:rFonts w:hint="eastAsia" w:ascii="宋体" w:hAnsi="宋体" w:eastAsia="宋体" w:cs="宋体"/>
          <w:color w:val="auto"/>
          <w:sz w:val="24"/>
          <w:szCs w:val="24"/>
          <w:highlight w:val="none"/>
        </w:rPr>
      </w:pPr>
    </w:p>
    <w:p w14:paraId="6AB11396">
      <w:pPr>
        <w:ind w:firstLine="240"/>
        <w:jc w:val="center"/>
        <w:rPr>
          <w:rFonts w:hint="eastAsia" w:ascii="宋体" w:hAnsi="宋体" w:eastAsia="宋体" w:cs="宋体"/>
          <w:color w:val="auto"/>
          <w:sz w:val="24"/>
          <w:szCs w:val="24"/>
          <w:highlight w:val="none"/>
        </w:rPr>
      </w:pPr>
    </w:p>
    <w:p w14:paraId="36DCCECE">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开标一览表</w:t>
      </w:r>
    </w:p>
    <w:p w14:paraId="2DA3BC33">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供应商全称（加盖公章）：</w:t>
      </w:r>
      <w:bookmarkStart w:id="210" w:name="TBR"/>
      <w:bookmarkEnd w:id="210"/>
    </w:p>
    <w:p w14:paraId="1C41EA8F">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bookmarkStart w:id="211" w:name="XMMC"/>
      <w:bookmarkEnd w:id="211"/>
    </w:p>
    <w:p w14:paraId="35BCD428">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bookmarkStart w:id="212" w:name="XMBH"/>
      <w:bookmarkEnd w:id="212"/>
      <w:r>
        <w:rPr>
          <w:rFonts w:hint="eastAsia" w:ascii="宋体" w:hAnsi="宋体" w:eastAsia="宋体" w:cs="宋体"/>
          <w:color w:val="auto"/>
          <w:sz w:val="24"/>
          <w:szCs w:val="24"/>
          <w:highlight w:val="none"/>
        </w:rPr>
        <w:t xml:space="preserve">                                      分包号：</w:t>
      </w:r>
      <w:bookmarkStart w:id="213" w:name="FBH"/>
      <w:bookmarkEnd w:id="213"/>
    </w:p>
    <w:tbl>
      <w:tblPr>
        <w:tblStyle w:val="47"/>
        <w:tblW w:w="889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3"/>
        <w:gridCol w:w="6409"/>
      </w:tblGrid>
      <w:tr w14:paraId="3FB5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8" w:hRule="atLeast"/>
        </w:trPr>
        <w:tc>
          <w:tcPr>
            <w:tcW w:w="2481" w:type="dxa"/>
            <w:tcBorders>
              <w:top w:val="single" w:color="auto" w:sz="4" w:space="0"/>
              <w:left w:val="single" w:color="auto" w:sz="4" w:space="0"/>
              <w:bottom w:val="single" w:color="auto" w:sz="4" w:space="0"/>
              <w:right w:val="single" w:color="auto" w:sz="4" w:space="0"/>
            </w:tcBorders>
            <w:vAlign w:val="center"/>
          </w:tcPr>
          <w:p w14:paraId="2BE0EE29">
            <w:pPr>
              <w:adjustRightInd w:val="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投标项目名称</w:t>
            </w:r>
          </w:p>
        </w:tc>
        <w:tc>
          <w:tcPr>
            <w:tcW w:w="6405" w:type="dxa"/>
            <w:tcBorders>
              <w:top w:val="single" w:color="auto" w:sz="4" w:space="0"/>
              <w:left w:val="single" w:color="auto" w:sz="4" w:space="0"/>
              <w:bottom w:val="single" w:color="auto" w:sz="4" w:space="0"/>
              <w:right w:val="single" w:color="auto" w:sz="4" w:space="0"/>
            </w:tcBorders>
            <w:vAlign w:val="center"/>
          </w:tcPr>
          <w:p w14:paraId="5D9DE735">
            <w:pPr>
              <w:adjustRightInd w:val="0"/>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投标报价（元）</w:t>
            </w:r>
          </w:p>
        </w:tc>
      </w:tr>
      <w:tr w14:paraId="045CE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7" w:hRule="atLeast"/>
        </w:trPr>
        <w:tc>
          <w:tcPr>
            <w:tcW w:w="2481" w:type="dxa"/>
            <w:tcBorders>
              <w:top w:val="single" w:color="auto" w:sz="4" w:space="0"/>
              <w:left w:val="single" w:color="auto" w:sz="4" w:space="0"/>
              <w:bottom w:val="single" w:color="auto" w:sz="4" w:space="0"/>
              <w:right w:val="single" w:color="auto" w:sz="4" w:space="0"/>
            </w:tcBorders>
            <w:vAlign w:val="center"/>
          </w:tcPr>
          <w:p w14:paraId="65105926">
            <w:pPr>
              <w:adjustRightInd w:val="0"/>
              <w:spacing w:line="600" w:lineRule="exact"/>
              <w:jc w:val="center"/>
              <w:rPr>
                <w:rFonts w:hint="eastAsia" w:ascii="宋体" w:hAnsi="宋体" w:eastAsia="宋体" w:cs="宋体"/>
                <w:color w:val="auto"/>
                <w:sz w:val="24"/>
                <w:szCs w:val="24"/>
                <w:highlight w:val="none"/>
              </w:rPr>
            </w:pPr>
          </w:p>
        </w:tc>
        <w:tc>
          <w:tcPr>
            <w:tcW w:w="6405" w:type="dxa"/>
            <w:tcBorders>
              <w:top w:val="single" w:color="auto" w:sz="4" w:space="0"/>
              <w:left w:val="single" w:color="auto" w:sz="4" w:space="0"/>
              <w:bottom w:val="single" w:color="auto" w:sz="4" w:space="0"/>
              <w:right w:val="single" w:color="auto" w:sz="4" w:space="0"/>
            </w:tcBorders>
            <w:vAlign w:val="center"/>
          </w:tcPr>
          <w:p w14:paraId="4ED95BD1">
            <w:pPr>
              <w:adjustRightInd w:val="0"/>
              <w:spacing w:line="600" w:lineRule="exact"/>
              <w:jc w:val="left"/>
              <w:textAlignment w:val="baseline"/>
              <w:rPr>
                <w:rFonts w:hint="eastAsia" w:ascii="宋体" w:hAnsi="宋体" w:eastAsia="宋体" w:cs="宋体"/>
                <w:color w:val="auto"/>
                <w:sz w:val="24"/>
                <w:szCs w:val="21"/>
                <w:highlight w:val="none"/>
              </w:rPr>
            </w:pPr>
          </w:p>
        </w:tc>
      </w:tr>
    </w:tbl>
    <w:p w14:paraId="1B623AAE">
      <w:pPr>
        <w:spacing w:line="600" w:lineRule="exact"/>
        <w:rPr>
          <w:rFonts w:hint="eastAsia" w:ascii="宋体" w:hAnsi="宋体" w:eastAsia="宋体" w:cs="宋体"/>
          <w:color w:val="auto"/>
          <w:sz w:val="24"/>
          <w:szCs w:val="24"/>
          <w:highlight w:val="none"/>
        </w:rPr>
      </w:pPr>
    </w:p>
    <w:p w14:paraId="6DEBB76F">
      <w:pPr>
        <w:pStyle w:val="19"/>
        <w:ind w:firstLine="200"/>
        <w:rPr>
          <w:rFonts w:hint="eastAsia" w:ascii="宋体" w:hAnsi="宋体" w:eastAsia="宋体" w:cs="宋体"/>
          <w:color w:val="auto"/>
          <w:highlight w:val="none"/>
        </w:rPr>
      </w:pPr>
    </w:p>
    <w:p w14:paraId="6FBEC4EF">
      <w:pPr>
        <w:spacing w:line="6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214" w:name="NF"/>
      <w:bookmarkEnd w:id="21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bookmarkStart w:id="215" w:name="YF"/>
      <w:bookmarkEnd w:id="21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bookmarkStart w:id="216" w:name="RI"/>
      <w:bookmarkEnd w:id="21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6A8060A">
      <w:pPr>
        <w:jc w:val="center"/>
        <w:rPr>
          <w:rFonts w:hint="eastAsia" w:ascii="宋体" w:hAnsi="宋体" w:eastAsia="宋体" w:cs="宋体"/>
          <w:b/>
          <w:bCs/>
          <w:color w:val="auto"/>
          <w:sz w:val="32"/>
          <w:szCs w:val="32"/>
          <w:highlight w:val="none"/>
        </w:rPr>
      </w:pPr>
    </w:p>
    <w:p w14:paraId="0AD6BAF6">
      <w:pPr>
        <w:jc w:val="center"/>
        <w:rPr>
          <w:rFonts w:hint="eastAsia" w:ascii="宋体" w:hAnsi="宋体" w:eastAsia="宋体" w:cs="宋体"/>
          <w:b/>
          <w:bCs/>
          <w:color w:val="auto"/>
          <w:sz w:val="32"/>
          <w:szCs w:val="32"/>
          <w:highlight w:val="none"/>
        </w:rPr>
      </w:pPr>
    </w:p>
    <w:p w14:paraId="3E4AC9B8">
      <w:pPr>
        <w:jc w:val="center"/>
        <w:rPr>
          <w:rFonts w:hint="eastAsia" w:ascii="宋体" w:hAnsi="宋体" w:eastAsia="宋体" w:cs="宋体"/>
          <w:b/>
          <w:bCs/>
          <w:color w:val="auto"/>
          <w:sz w:val="32"/>
          <w:szCs w:val="32"/>
          <w:highlight w:val="none"/>
        </w:rPr>
      </w:pPr>
    </w:p>
    <w:p w14:paraId="6DB5EF02">
      <w:pPr>
        <w:jc w:val="center"/>
        <w:rPr>
          <w:rFonts w:hint="eastAsia" w:ascii="宋体" w:hAnsi="宋体" w:eastAsia="宋体" w:cs="宋体"/>
          <w:b/>
          <w:bCs/>
          <w:color w:val="auto"/>
          <w:sz w:val="32"/>
          <w:szCs w:val="32"/>
          <w:highlight w:val="none"/>
        </w:rPr>
      </w:pPr>
    </w:p>
    <w:p w14:paraId="77964A23">
      <w:pPr>
        <w:jc w:val="center"/>
        <w:rPr>
          <w:rFonts w:hint="eastAsia" w:ascii="宋体" w:hAnsi="宋体" w:eastAsia="宋体" w:cs="宋体"/>
          <w:b/>
          <w:bCs/>
          <w:color w:val="auto"/>
          <w:sz w:val="32"/>
          <w:szCs w:val="32"/>
          <w:highlight w:val="none"/>
        </w:rPr>
      </w:pPr>
    </w:p>
    <w:p w14:paraId="6EF96BC3">
      <w:pPr>
        <w:jc w:val="center"/>
        <w:rPr>
          <w:rFonts w:hint="eastAsia" w:ascii="宋体" w:hAnsi="宋体" w:eastAsia="宋体" w:cs="宋体"/>
          <w:b/>
          <w:bCs/>
          <w:color w:val="auto"/>
          <w:sz w:val="32"/>
          <w:szCs w:val="32"/>
          <w:highlight w:val="none"/>
        </w:rPr>
      </w:pPr>
    </w:p>
    <w:p w14:paraId="2E094097">
      <w:pPr>
        <w:jc w:val="center"/>
        <w:rPr>
          <w:rFonts w:hint="eastAsia" w:ascii="宋体" w:hAnsi="宋体" w:eastAsia="宋体" w:cs="宋体"/>
          <w:b/>
          <w:bCs/>
          <w:color w:val="auto"/>
          <w:sz w:val="32"/>
          <w:szCs w:val="32"/>
          <w:highlight w:val="none"/>
        </w:rPr>
      </w:pPr>
    </w:p>
    <w:p w14:paraId="2FED0C43">
      <w:pPr>
        <w:jc w:val="center"/>
        <w:rPr>
          <w:rFonts w:hint="eastAsia" w:ascii="宋体" w:hAnsi="宋体" w:eastAsia="宋体" w:cs="宋体"/>
          <w:b/>
          <w:bCs/>
          <w:color w:val="auto"/>
          <w:sz w:val="32"/>
          <w:szCs w:val="32"/>
          <w:highlight w:val="none"/>
        </w:rPr>
      </w:pPr>
    </w:p>
    <w:p w14:paraId="53DD4E88">
      <w:pPr>
        <w:jc w:val="center"/>
        <w:rPr>
          <w:rFonts w:hint="eastAsia" w:ascii="宋体" w:hAnsi="宋体" w:eastAsia="宋体" w:cs="宋体"/>
          <w:b/>
          <w:bCs/>
          <w:color w:val="auto"/>
          <w:sz w:val="32"/>
          <w:szCs w:val="32"/>
          <w:highlight w:val="none"/>
        </w:rPr>
      </w:pPr>
    </w:p>
    <w:p w14:paraId="5AF2E60C">
      <w:pPr>
        <w:jc w:val="center"/>
        <w:rPr>
          <w:rFonts w:hint="eastAsia" w:ascii="宋体" w:hAnsi="宋体" w:eastAsia="宋体" w:cs="宋体"/>
          <w:b/>
          <w:bCs/>
          <w:color w:val="auto"/>
          <w:sz w:val="32"/>
          <w:szCs w:val="32"/>
          <w:highlight w:val="none"/>
        </w:rPr>
      </w:pPr>
    </w:p>
    <w:p w14:paraId="5DCE82B7">
      <w:pPr>
        <w:jc w:val="center"/>
        <w:rPr>
          <w:rFonts w:hint="eastAsia" w:ascii="宋体" w:hAnsi="宋体" w:eastAsia="宋体" w:cs="宋体"/>
          <w:b/>
          <w:bCs/>
          <w:color w:val="auto"/>
          <w:sz w:val="32"/>
          <w:szCs w:val="32"/>
          <w:highlight w:val="none"/>
        </w:rPr>
      </w:pPr>
    </w:p>
    <w:p w14:paraId="79051EE0">
      <w:pPr>
        <w:jc w:val="center"/>
        <w:rPr>
          <w:rFonts w:hint="eastAsia" w:ascii="宋体" w:hAnsi="宋体" w:eastAsia="宋体" w:cs="宋体"/>
          <w:b/>
          <w:bCs/>
          <w:color w:val="auto"/>
          <w:sz w:val="32"/>
          <w:szCs w:val="32"/>
          <w:highlight w:val="none"/>
        </w:rPr>
      </w:pPr>
    </w:p>
    <w:p w14:paraId="474B82A5">
      <w:pPr>
        <w:jc w:val="center"/>
        <w:rPr>
          <w:rFonts w:hint="eastAsia" w:ascii="宋体" w:hAnsi="宋体" w:eastAsia="宋体" w:cs="宋体"/>
          <w:b/>
          <w:bCs/>
          <w:color w:val="auto"/>
          <w:sz w:val="32"/>
          <w:szCs w:val="32"/>
          <w:highlight w:val="none"/>
        </w:rPr>
      </w:pPr>
    </w:p>
    <w:p w14:paraId="21F680F3">
      <w:pPr>
        <w:jc w:val="center"/>
        <w:rPr>
          <w:rFonts w:hint="eastAsia" w:ascii="宋体" w:hAnsi="宋体" w:eastAsia="宋体" w:cs="宋体"/>
          <w:b/>
          <w:bCs/>
          <w:color w:val="auto"/>
          <w:sz w:val="32"/>
          <w:szCs w:val="32"/>
          <w:highlight w:val="none"/>
        </w:rPr>
      </w:pPr>
    </w:p>
    <w:p w14:paraId="39601621">
      <w:pPr>
        <w:jc w:val="center"/>
        <w:rPr>
          <w:rFonts w:hint="eastAsia" w:ascii="宋体" w:hAnsi="宋体" w:eastAsia="宋体" w:cs="宋体"/>
          <w:b/>
          <w:bCs/>
          <w:color w:val="auto"/>
          <w:sz w:val="32"/>
          <w:szCs w:val="32"/>
          <w:highlight w:val="none"/>
        </w:rPr>
      </w:pPr>
    </w:p>
    <w:p w14:paraId="321BAC6A">
      <w:pPr>
        <w:jc w:val="center"/>
        <w:rPr>
          <w:rFonts w:hint="eastAsia" w:ascii="宋体" w:hAnsi="宋体" w:eastAsia="宋体" w:cs="宋体"/>
          <w:b/>
          <w:bCs/>
          <w:color w:val="auto"/>
          <w:sz w:val="32"/>
          <w:szCs w:val="32"/>
          <w:highlight w:val="none"/>
        </w:rPr>
      </w:pPr>
    </w:p>
    <w:p w14:paraId="12B882A0">
      <w:pPr>
        <w:jc w:val="center"/>
        <w:rPr>
          <w:rFonts w:hint="eastAsia" w:ascii="宋体" w:hAnsi="宋体" w:eastAsia="宋体" w:cs="宋体"/>
          <w:b/>
          <w:bCs/>
          <w:color w:val="auto"/>
          <w:sz w:val="32"/>
          <w:szCs w:val="32"/>
          <w:highlight w:val="none"/>
        </w:rPr>
      </w:pPr>
    </w:p>
    <w:p w14:paraId="6FF1921E">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九、中小企业声明函（服务）</w:t>
      </w:r>
    </w:p>
    <w:p w14:paraId="22AF17B4">
      <w:pPr>
        <w:spacing w:line="52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本公司郑重声明，根据《政府采购促进中小企业发展</w:t>
      </w:r>
      <w:r>
        <w:rPr>
          <w:rFonts w:hint="eastAsia" w:ascii="宋体" w:hAnsi="宋体" w:eastAsia="宋体" w:cs="宋体"/>
          <w:color w:val="auto"/>
          <w:sz w:val="24"/>
          <w:szCs w:val="24"/>
          <w:highlight w:val="none"/>
        </w:rPr>
        <w:t>管理</w:t>
      </w:r>
      <w:r>
        <w:rPr>
          <w:rFonts w:hint="eastAsia" w:ascii="宋体" w:hAnsi="宋体" w:eastAsia="宋体" w:cs="宋体"/>
          <w:color w:val="auto"/>
          <w:sz w:val="24"/>
          <w:szCs w:val="24"/>
          <w:highlight w:val="none"/>
          <w:lang w:val="zh-CN"/>
        </w:rPr>
        <w:t>办法》（财库[20</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46</w:t>
      </w:r>
      <w:r>
        <w:rPr>
          <w:rFonts w:hint="eastAsia" w:ascii="宋体" w:hAnsi="宋体" w:eastAsia="宋体" w:cs="宋体"/>
          <w:color w:val="auto"/>
          <w:sz w:val="24"/>
          <w:szCs w:val="24"/>
          <w:highlight w:val="none"/>
          <w:lang w:val="zh-CN"/>
        </w:rPr>
        <w:t>号）的规定，本公司</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（项目名称）采购活动，服务全部由符合政策要求的中小企业承接。相关企业的具体情况如下：</w:t>
      </w:r>
    </w:p>
    <w:p w14:paraId="6007765F">
      <w:pPr>
        <w:spacing w:line="52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企业（中型企业、小型企业、微型企业）。</w:t>
      </w:r>
    </w:p>
    <w:p w14:paraId="08AE2ED3">
      <w:pPr>
        <w:spacing w:line="52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企业（中型企业、小型企业、微型企业）。</w:t>
      </w:r>
    </w:p>
    <w:p w14:paraId="31787D9B">
      <w:pPr>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w:t>
      </w:r>
    </w:p>
    <w:p w14:paraId="7AEEDBAD">
      <w:pPr>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企业名称（加盖CA电子公章）：</w:t>
      </w:r>
    </w:p>
    <w:p w14:paraId="48AA91BE">
      <w:pPr>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5B36C4FC">
      <w:pPr>
        <w:spacing w:line="520" w:lineRule="exact"/>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备注1：从业人员、营业收入、资产总额填报上一年度数据，无上一年度数据的新成立企业可不填报。</w:t>
      </w:r>
    </w:p>
    <w:p w14:paraId="42C790C8">
      <w:pPr>
        <w:pStyle w:val="26"/>
        <w:spacing w:after="0" w:line="520" w:lineRule="exact"/>
        <w:ind w:firstLine="480" w:firstLineChars="200"/>
        <w:jc w:val="both"/>
        <w:rPr>
          <w:rFonts w:hint="eastAsia" w:ascii="宋体" w:hAnsi="宋体" w:eastAsia="宋体" w:cs="宋体"/>
          <w:bCs/>
          <w:color w:val="auto"/>
          <w:highlight w:val="none"/>
          <w:lang w:eastAsia="zh-CN"/>
        </w:rPr>
      </w:pPr>
      <w:r>
        <w:rPr>
          <w:rFonts w:hint="eastAsia" w:ascii="宋体" w:hAnsi="宋体" w:eastAsia="宋体" w:cs="宋体"/>
          <w:bCs/>
          <w:color w:val="auto"/>
          <w:highlight w:val="none"/>
          <w:lang w:eastAsia="zh-CN"/>
        </w:rPr>
        <w:t>备注2：</w:t>
      </w:r>
      <w:r>
        <w:rPr>
          <w:rFonts w:hint="eastAsia" w:ascii="宋体" w:hAnsi="宋体" w:eastAsia="宋体" w:cs="宋体"/>
          <w:color w:val="auto"/>
          <w:szCs w:val="24"/>
          <w:highlight w:val="none"/>
          <w:lang w:eastAsia="zh-CN"/>
        </w:rPr>
        <w:t>供应商</w:t>
      </w:r>
      <w:r>
        <w:rPr>
          <w:rFonts w:hint="eastAsia" w:ascii="宋体" w:hAnsi="宋体" w:eastAsia="宋体" w:cs="宋体"/>
          <w:bCs/>
          <w:color w:val="auto"/>
          <w:highlight w:val="none"/>
          <w:lang w:eastAsia="zh-CN"/>
        </w:rPr>
        <w:t>如不提供此声明函，价格将不做相应扣除。</w:t>
      </w:r>
    </w:p>
    <w:p w14:paraId="2526CC3F">
      <w:pPr>
        <w:pStyle w:val="26"/>
        <w:spacing w:after="0" w:line="520" w:lineRule="exact"/>
        <w:ind w:firstLine="480" w:firstLineChars="200"/>
        <w:jc w:val="both"/>
        <w:rPr>
          <w:rFonts w:hint="eastAsia" w:ascii="宋体" w:hAnsi="宋体" w:eastAsia="宋体" w:cs="宋体"/>
          <w:bCs/>
          <w:color w:val="auto"/>
          <w:szCs w:val="24"/>
          <w:highlight w:val="none"/>
          <w:lang w:eastAsia="zh-CN"/>
        </w:rPr>
      </w:pPr>
      <w:r>
        <w:rPr>
          <w:rFonts w:hint="eastAsia" w:ascii="宋体" w:hAnsi="宋体" w:eastAsia="宋体" w:cs="宋体"/>
          <w:bCs/>
          <w:color w:val="auto"/>
          <w:szCs w:val="24"/>
          <w:highlight w:val="none"/>
          <w:lang w:eastAsia="zh-CN"/>
        </w:rPr>
        <w:t>备注3：小型、微型企业提供中型企业的服务的，视同为中型企业。若</w:t>
      </w:r>
      <w:r>
        <w:rPr>
          <w:rFonts w:hint="eastAsia" w:ascii="宋体" w:hAnsi="宋体" w:eastAsia="宋体" w:cs="宋体"/>
          <w:color w:val="auto"/>
          <w:szCs w:val="24"/>
          <w:highlight w:val="none"/>
          <w:lang w:eastAsia="zh-CN"/>
        </w:rPr>
        <w:t>供应商</w:t>
      </w:r>
      <w:r>
        <w:rPr>
          <w:rFonts w:hint="eastAsia" w:ascii="宋体" w:hAnsi="宋体" w:eastAsia="宋体" w:cs="宋体"/>
          <w:bCs/>
          <w:color w:val="auto"/>
          <w:szCs w:val="24"/>
          <w:highlight w:val="none"/>
          <w:lang w:eastAsia="zh-CN"/>
        </w:rPr>
        <w:t>提供的《中小企业声明函》为虚假声明则视同提供虚假材料，按《中华人民共和国政府采购法》相关规定处理并报请政府监督部门给予行政处罚。</w:t>
      </w:r>
    </w:p>
    <w:p w14:paraId="6F714787">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备注4：以上企业，不属于大型企业的分支机构，不存在控股股东为大企业的情形，也不存在与大企业的负责人为同一人的情形。</w:t>
      </w:r>
    </w:p>
    <w:p w14:paraId="211EE57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备注5：</w:t>
      </w:r>
      <w:r>
        <w:rPr>
          <w:rFonts w:hint="eastAsia" w:ascii="宋体" w:hAnsi="宋体" w:eastAsia="宋体" w:cs="宋体"/>
          <w:bCs/>
          <w:color w:val="auto"/>
          <w:sz w:val="24"/>
          <w:szCs w:val="24"/>
          <w:highlight w:val="none"/>
          <w:lang w:val="zh-CN"/>
        </w:rPr>
        <w:t>本</w:t>
      </w:r>
      <w:r>
        <w:rPr>
          <w:rFonts w:hint="eastAsia" w:ascii="宋体" w:hAnsi="宋体" w:eastAsia="宋体" w:cs="宋体"/>
          <w:bCs/>
          <w:color w:val="auto"/>
          <w:sz w:val="24"/>
          <w:szCs w:val="24"/>
          <w:highlight w:val="none"/>
        </w:rPr>
        <w:t>企业</w:t>
      </w:r>
      <w:r>
        <w:rPr>
          <w:rFonts w:hint="eastAsia" w:ascii="宋体" w:hAnsi="宋体" w:eastAsia="宋体" w:cs="宋体"/>
          <w:bCs/>
          <w:color w:val="auto"/>
          <w:sz w:val="24"/>
          <w:szCs w:val="24"/>
          <w:highlight w:val="none"/>
          <w:lang w:val="zh-CN"/>
        </w:rPr>
        <w:t>对上述声明</w:t>
      </w:r>
      <w:r>
        <w:rPr>
          <w:rFonts w:hint="eastAsia" w:ascii="宋体" w:hAnsi="宋体" w:eastAsia="宋体" w:cs="宋体"/>
          <w:bCs/>
          <w:color w:val="auto"/>
          <w:sz w:val="24"/>
          <w:szCs w:val="24"/>
          <w:highlight w:val="none"/>
        </w:rPr>
        <w:t>内容</w:t>
      </w:r>
      <w:r>
        <w:rPr>
          <w:rFonts w:hint="eastAsia" w:ascii="宋体" w:hAnsi="宋体" w:eastAsia="宋体" w:cs="宋体"/>
          <w:bCs/>
          <w:color w:val="auto"/>
          <w:sz w:val="24"/>
          <w:szCs w:val="24"/>
          <w:highlight w:val="none"/>
          <w:lang w:val="zh-CN"/>
        </w:rPr>
        <w:t>的真实性负责。如有虚假，将依法承担相应责任。</w:t>
      </w:r>
    </w:p>
    <w:p w14:paraId="723D3152">
      <w:pPr>
        <w:ind w:firstLine="32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EE7E0A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D6827CB">
      <w:pPr>
        <w:pStyle w:val="207"/>
        <w:ind w:firstLine="400"/>
        <w:rPr>
          <w:rFonts w:hint="eastAsia" w:ascii="宋体" w:hAnsi="宋体" w:eastAsia="宋体" w:cs="宋体"/>
          <w:color w:val="auto"/>
          <w:highlight w:val="none"/>
        </w:rPr>
      </w:pPr>
    </w:p>
    <w:p w14:paraId="52A1881D">
      <w:pPr>
        <w:rPr>
          <w:rFonts w:hint="eastAsia" w:ascii="宋体" w:hAnsi="宋体" w:eastAsia="宋体" w:cs="宋体"/>
          <w:color w:val="auto"/>
          <w:highlight w:val="none"/>
        </w:rPr>
      </w:pPr>
    </w:p>
    <w:p w14:paraId="332D34A2">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十、残疾人福利性单位声明函</w:t>
      </w:r>
    </w:p>
    <w:p w14:paraId="600F6ECE">
      <w:pPr>
        <w:ind w:firstLine="480"/>
        <w:rPr>
          <w:rFonts w:hint="eastAsia" w:ascii="宋体" w:hAnsi="宋体" w:eastAsia="宋体" w:cs="宋体"/>
          <w:color w:val="auto"/>
          <w:sz w:val="24"/>
          <w:szCs w:val="24"/>
          <w:highlight w:val="none"/>
        </w:rPr>
      </w:pPr>
    </w:p>
    <w:p w14:paraId="52CE2DCC">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 141号）的规定，本单位</w:t>
      </w:r>
      <w:r>
        <w:rPr>
          <w:rFonts w:hint="eastAsia" w:ascii="宋体" w:hAnsi="宋体" w:eastAsia="宋体" w:cs="宋体"/>
          <w:color w:val="auto"/>
          <w:sz w:val="24"/>
          <w:szCs w:val="24"/>
          <w:highlight w:val="none"/>
          <w:u w:val="single"/>
        </w:rPr>
        <w:t xml:space="preserve">  是/否  </w:t>
      </w:r>
      <w:r>
        <w:rPr>
          <w:rFonts w:hint="eastAsia" w:ascii="宋体" w:hAnsi="宋体" w:eastAsia="宋体" w:cs="宋体"/>
          <w:color w:val="auto"/>
          <w:sz w:val="24"/>
          <w:szCs w:val="24"/>
          <w:highlight w:val="none"/>
        </w:rPr>
        <w:t>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项目采购活动提供本单位制造的货物，或者提供其他残疾人福利性单位制造的货物（不包括使用非残疾人福利性单位注册商标的货物）。</w:t>
      </w:r>
    </w:p>
    <w:p w14:paraId="30BF2AC7">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0B919720">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CC5C51E">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（备注：1、供应商如不提供此声明函，价格将不做相应扣除。2、成交供应商为残疾人福利单位的，此声明函将随成交结果同时公告，接受社会监督）</w:t>
      </w:r>
    </w:p>
    <w:p w14:paraId="096CC72D">
      <w:pPr>
        <w:ind w:firstLine="62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0A8BCF4">
      <w:pPr>
        <w:tabs>
          <w:tab w:val="left" w:pos="4860"/>
        </w:tabs>
        <w:ind w:right="1560" w:firstLine="624"/>
        <w:jc w:val="center"/>
        <w:rPr>
          <w:rFonts w:hint="eastAsia" w:ascii="宋体" w:hAnsi="宋体" w:eastAsia="宋体" w:cs="宋体"/>
          <w:color w:val="auto"/>
          <w:sz w:val="24"/>
          <w:szCs w:val="24"/>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sz w:val="24"/>
          <w:szCs w:val="24"/>
          <w:highlight w:val="none"/>
        </w:rPr>
        <w:t>供应商全称（加盖CA电子公章）：</w:t>
      </w:r>
    </w:p>
    <w:p w14:paraId="1A5E47B4">
      <w:pPr>
        <w:tabs>
          <w:tab w:val="left" w:pos="4860"/>
        </w:tabs>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日  期：</w:t>
      </w:r>
    </w:p>
    <w:p w14:paraId="1ECB860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1558D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A09FB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03AD640F">
      <w:pPr>
        <w:rPr>
          <w:rFonts w:hint="eastAsia" w:ascii="宋体" w:hAnsi="宋体" w:eastAsia="宋体" w:cs="宋体"/>
          <w:color w:val="auto"/>
          <w:sz w:val="24"/>
          <w:szCs w:val="24"/>
          <w:highlight w:val="none"/>
        </w:rPr>
      </w:pPr>
    </w:p>
    <w:p w14:paraId="6D90C1A3">
      <w:pPr>
        <w:spacing w:line="480" w:lineRule="auto"/>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监狱企业证明材料</w:t>
      </w:r>
    </w:p>
    <w:p w14:paraId="0C7FDD11">
      <w:pPr>
        <w:spacing w:line="8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参加政府采购活动的监狱企业应当提供省级以上监狱管理局、戒毒管理局（含新疆生产建设兵团）出具的属于监狱企业的证明文件复印件加盖申请人公章。</w:t>
      </w:r>
    </w:p>
    <w:p w14:paraId="1BD4D9C6">
      <w:pPr>
        <w:pStyle w:val="19"/>
        <w:ind w:firstLine="200"/>
        <w:rPr>
          <w:rFonts w:hint="eastAsia" w:ascii="宋体" w:hAnsi="宋体" w:eastAsia="宋体" w:cs="宋体"/>
          <w:color w:val="auto"/>
          <w:highlight w:val="none"/>
          <w:lang w:eastAsia="zh-CN"/>
        </w:rPr>
      </w:pPr>
    </w:p>
    <w:p w14:paraId="723E198B">
      <w:pPr>
        <w:pStyle w:val="19"/>
        <w:ind w:firstLine="200"/>
        <w:rPr>
          <w:rFonts w:hint="eastAsia" w:ascii="宋体" w:hAnsi="宋体" w:eastAsia="宋体" w:cs="宋体"/>
          <w:color w:val="auto"/>
          <w:highlight w:val="none"/>
          <w:lang w:eastAsia="zh-CN"/>
        </w:rPr>
      </w:pPr>
    </w:p>
    <w:p w14:paraId="60ECC6D0">
      <w:pPr>
        <w:pStyle w:val="19"/>
        <w:ind w:firstLine="200"/>
        <w:rPr>
          <w:rFonts w:hint="eastAsia" w:ascii="宋体" w:hAnsi="宋体" w:eastAsia="宋体" w:cs="宋体"/>
          <w:color w:val="auto"/>
          <w:highlight w:val="none"/>
          <w:lang w:eastAsia="zh-CN"/>
        </w:rPr>
      </w:pPr>
    </w:p>
    <w:p w14:paraId="13E91799">
      <w:pPr>
        <w:pStyle w:val="19"/>
        <w:ind w:firstLine="200"/>
        <w:rPr>
          <w:rFonts w:hint="eastAsia" w:ascii="宋体" w:hAnsi="宋体" w:eastAsia="宋体" w:cs="宋体"/>
          <w:color w:val="auto"/>
          <w:highlight w:val="none"/>
          <w:lang w:eastAsia="zh-CN"/>
        </w:rPr>
      </w:pPr>
    </w:p>
    <w:p w14:paraId="6DA67035">
      <w:pPr>
        <w:pStyle w:val="19"/>
        <w:ind w:firstLine="200"/>
        <w:rPr>
          <w:rFonts w:hint="eastAsia" w:ascii="宋体" w:hAnsi="宋体" w:eastAsia="宋体" w:cs="宋体"/>
          <w:color w:val="auto"/>
          <w:highlight w:val="none"/>
          <w:lang w:eastAsia="zh-CN"/>
        </w:rPr>
      </w:pPr>
    </w:p>
    <w:p w14:paraId="3A398426">
      <w:pPr>
        <w:pStyle w:val="19"/>
        <w:ind w:firstLine="200"/>
        <w:rPr>
          <w:rFonts w:hint="eastAsia" w:ascii="宋体" w:hAnsi="宋体" w:eastAsia="宋体" w:cs="宋体"/>
          <w:color w:val="auto"/>
          <w:highlight w:val="none"/>
          <w:lang w:eastAsia="zh-CN"/>
        </w:rPr>
      </w:pPr>
    </w:p>
    <w:p w14:paraId="14D51675">
      <w:pPr>
        <w:pStyle w:val="19"/>
        <w:ind w:firstLine="200"/>
        <w:rPr>
          <w:rFonts w:hint="eastAsia" w:ascii="宋体" w:hAnsi="宋体" w:eastAsia="宋体" w:cs="宋体"/>
          <w:color w:val="auto"/>
          <w:highlight w:val="none"/>
          <w:lang w:eastAsia="zh-CN"/>
        </w:rPr>
      </w:pPr>
    </w:p>
    <w:p w14:paraId="5D2F27B4">
      <w:pPr>
        <w:pStyle w:val="19"/>
        <w:ind w:firstLine="200"/>
        <w:rPr>
          <w:rFonts w:hint="eastAsia" w:ascii="宋体" w:hAnsi="宋体" w:eastAsia="宋体" w:cs="宋体"/>
          <w:color w:val="auto"/>
          <w:highlight w:val="none"/>
          <w:lang w:eastAsia="zh-CN"/>
        </w:rPr>
      </w:pPr>
    </w:p>
    <w:p w14:paraId="2C824AF2">
      <w:pPr>
        <w:pStyle w:val="19"/>
        <w:ind w:firstLine="200"/>
        <w:rPr>
          <w:rFonts w:hint="eastAsia" w:ascii="宋体" w:hAnsi="宋体" w:eastAsia="宋体" w:cs="宋体"/>
          <w:color w:val="auto"/>
          <w:highlight w:val="none"/>
          <w:lang w:eastAsia="zh-CN"/>
        </w:rPr>
      </w:pPr>
    </w:p>
    <w:p w14:paraId="3998516F">
      <w:pPr>
        <w:pStyle w:val="19"/>
        <w:ind w:firstLine="200"/>
        <w:rPr>
          <w:rFonts w:hint="eastAsia" w:ascii="宋体" w:hAnsi="宋体" w:eastAsia="宋体" w:cs="宋体"/>
          <w:color w:val="auto"/>
          <w:highlight w:val="none"/>
          <w:lang w:eastAsia="zh-CN"/>
        </w:rPr>
      </w:pPr>
    </w:p>
    <w:p w14:paraId="306D1154">
      <w:pPr>
        <w:pStyle w:val="19"/>
        <w:ind w:firstLine="200"/>
        <w:rPr>
          <w:rFonts w:hint="eastAsia" w:ascii="宋体" w:hAnsi="宋体" w:eastAsia="宋体" w:cs="宋体"/>
          <w:color w:val="auto"/>
          <w:highlight w:val="none"/>
          <w:lang w:eastAsia="zh-CN"/>
        </w:rPr>
      </w:pPr>
    </w:p>
    <w:p w14:paraId="6E91F8E9">
      <w:pPr>
        <w:pStyle w:val="19"/>
        <w:ind w:firstLine="200"/>
        <w:rPr>
          <w:rFonts w:hint="eastAsia" w:ascii="宋体" w:hAnsi="宋体" w:eastAsia="宋体" w:cs="宋体"/>
          <w:color w:val="auto"/>
          <w:highlight w:val="none"/>
          <w:lang w:eastAsia="zh-CN"/>
        </w:rPr>
      </w:pPr>
    </w:p>
    <w:p w14:paraId="0D280352">
      <w:pPr>
        <w:pStyle w:val="19"/>
        <w:ind w:firstLine="200"/>
        <w:rPr>
          <w:rFonts w:hint="eastAsia" w:ascii="宋体" w:hAnsi="宋体" w:eastAsia="宋体" w:cs="宋体"/>
          <w:color w:val="auto"/>
          <w:highlight w:val="none"/>
          <w:lang w:eastAsia="zh-CN"/>
        </w:rPr>
      </w:pPr>
    </w:p>
    <w:p w14:paraId="5512AD9D">
      <w:pPr>
        <w:pStyle w:val="19"/>
        <w:ind w:firstLine="200"/>
        <w:rPr>
          <w:rFonts w:hint="eastAsia" w:ascii="宋体" w:hAnsi="宋体" w:eastAsia="宋体" w:cs="宋体"/>
          <w:color w:val="auto"/>
          <w:highlight w:val="none"/>
          <w:lang w:eastAsia="zh-CN"/>
        </w:rPr>
      </w:pPr>
    </w:p>
    <w:p w14:paraId="78BB68FB">
      <w:pPr>
        <w:pStyle w:val="19"/>
        <w:ind w:firstLine="200"/>
        <w:rPr>
          <w:rFonts w:hint="eastAsia" w:ascii="宋体" w:hAnsi="宋体" w:eastAsia="宋体" w:cs="宋体"/>
          <w:color w:val="auto"/>
          <w:highlight w:val="none"/>
          <w:lang w:eastAsia="zh-CN"/>
        </w:rPr>
      </w:pPr>
    </w:p>
    <w:p w14:paraId="4D5180E0">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2"/>
          <w:szCs w:val="32"/>
          <w:highlight w:val="none"/>
        </w:rPr>
        <w:t>十、分项报价表</w:t>
      </w:r>
      <w:r>
        <w:rPr>
          <w:rFonts w:hint="eastAsia" w:ascii="宋体" w:hAnsi="宋体" w:eastAsia="宋体" w:cs="宋体"/>
          <w:b/>
          <w:bCs/>
          <w:color w:val="auto"/>
          <w:sz w:val="32"/>
          <w:szCs w:val="32"/>
          <w:highlight w:val="none"/>
          <w:lang w:eastAsia="zh-CN"/>
        </w:rPr>
        <w:t>（</w:t>
      </w:r>
      <w:r>
        <w:rPr>
          <w:rFonts w:hint="eastAsia" w:ascii="宋体" w:hAnsi="宋体" w:eastAsia="宋体" w:cs="宋体"/>
          <w:b/>
          <w:bCs/>
          <w:color w:val="auto"/>
          <w:sz w:val="32"/>
          <w:szCs w:val="32"/>
          <w:highlight w:val="none"/>
          <w:lang w:val="en-US" w:eastAsia="zh-CN"/>
        </w:rPr>
        <w:t>如有</w:t>
      </w:r>
      <w:r>
        <w:rPr>
          <w:rFonts w:hint="eastAsia" w:ascii="宋体" w:hAnsi="宋体" w:eastAsia="宋体" w:cs="宋体"/>
          <w:b/>
          <w:bCs/>
          <w:color w:val="auto"/>
          <w:sz w:val="32"/>
          <w:szCs w:val="32"/>
          <w:highlight w:val="none"/>
          <w:lang w:eastAsia="zh-CN"/>
        </w:rPr>
        <w:t>）</w:t>
      </w:r>
    </w:p>
    <w:p w14:paraId="60BFBFE7">
      <w:pPr>
        <w:pStyle w:val="70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p w14:paraId="4D324170">
      <w:pPr>
        <w:pStyle w:val="70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p w14:paraId="137B327E">
      <w:pPr>
        <w:pStyle w:val="709"/>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p>
    <w:p w14:paraId="03EF5D35">
      <w:pPr>
        <w:pStyle w:val="352"/>
        <w:rPr>
          <w:rFonts w:hAnsi="宋体"/>
          <w:bCs/>
          <w:color w:val="auto"/>
          <w:sz w:val="24"/>
          <w:szCs w:val="24"/>
        </w:rPr>
      </w:pPr>
    </w:p>
    <w:p w14:paraId="69009667">
      <w:pPr>
        <w:pStyle w:val="709"/>
        <w:jc w:val="center"/>
        <w:rPr>
          <w:rFonts w:cs="宋体"/>
          <w:b/>
          <w:bCs/>
          <w:color w:val="auto"/>
          <w:sz w:val="24"/>
          <w:szCs w:val="24"/>
        </w:rPr>
      </w:pPr>
    </w:p>
    <w:tbl>
      <w:tblPr>
        <w:tblStyle w:val="47"/>
        <w:tblW w:w="9560" w:type="dxa"/>
        <w:jc w:val="center"/>
        <w:tblLayout w:type="fixed"/>
        <w:tblCellMar>
          <w:top w:w="0" w:type="dxa"/>
          <w:left w:w="108" w:type="dxa"/>
          <w:bottom w:w="0" w:type="dxa"/>
          <w:right w:w="108" w:type="dxa"/>
        </w:tblCellMar>
      </w:tblPr>
      <w:tblGrid>
        <w:gridCol w:w="863"/>
        <w:gridCol w:w="2492"/>
        <w:gridCol w:w="2189"/>
        <w:gridCol w:w="1028"/>
        <w:gridCol w:w="1015"/>
        <w:gridCol w:w="877"/>
        <w:gridCol w:w="1096"/>
      </w:tblGrid>
      <w:tr w14:paraId="3B02B8CB">
        <w:tblPrEx>
          <w:tblCellMar>
            <w:top w:w="0" w:type="dxa"/>
            <w:left w:w="108" w:type="dxa"/>
            <w:bottom w:w="0" w:type="dxa"/>
            <w:right w:w="108" w:type="dxa"/>
          </w:tblCellMar>
        </w:tblPrEx>
        <w:trPr>
          <w:trHeight w:val="570"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9E9BA">
            <w:pPr>
              <w:widowControl/>
              <w:jc w:val="center"/>
              <w:rPr>
                <w:rFonts w:ascii="宋体" w:hAnsi="宋体" w:cs="宋体"/>
                <w:color w:val="auto"/>
                <w:sz w:val="24"/>
                <w:szCs w:val="24"/>
              </w:rPr>
            </w:pPr>
            <w:r>
              <w:rPr>
                <w:rFonts w:hint="eastAsia" w:ascii="宋体" w:hAnsi="宋体" w:cs="宋体"/>
                <w:color w:val="auto"/>
                <w:sz w:val="24"/>
                <w:szCs w:val="24"/>
              </w:rPr>
              <w:t>序号</w:t>
            </w:r>
          </w:p>
        </w:tc>
        <w:tc>
          <w:tcPr>
            <w:tcW w:w="2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77D42">
            <w:pPr>
              <w:widowControl/>
              <w:jc w:val="center"/>
              <w:rPr>
                <w:rFonts w:ascii="宋体" w:hAnsi="宋体" w:cs="宋体"/>
                <w:color w:val="auto"/>
                <w:sz w:val="24"/>
                <w:szCs w:val="24"/>
              </w:rPr>
            </w:pPr>
            <w:r>
              <w:rPr>
                <w:rFonts w:hint="eastAsia" w:ascii="宋体" w:hAnsi="宋体" w:cs="宋体"/>
                <w:color w:val="auto"/>
                <w:sz w:val="24"/>
                <w:szCs w:val="24"/>
              </w:rPr>
              <w:t>服务内容</w:t>
            </w: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A943">
            <w:pPr>
              <w:widowControl/>
              <w:jc w:val="center"/>
              <w:rPr>
                <w:rFonts w:ascii="宋体" w:hAnsi="宋体" w:cs="宋体"/>
                <w:color w:val="auto"/>
                <w:sz w:val="24"/>
                <w:szCs w:val="24"/>
              </w:rPr>
            </w:pPr>
            <w:r>
              <w:rPr>
                <w:rFonts w:hint="eastAsia" w:ascii="宋体" w:hAnsi="宋体" w:cs="宋体"/>
                <w:color w:val="auto"/>
                <w:sz w:val="24"/>
                <w:szCs w:val="24"/>
              </w:rPr>
              <w:t>类别</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FD920">
            <w:pPr>
              <w:widowControl/>
              <w:jc w:val="center"/>
              <w:rPr>
                <w:rFonts w:ascii="宋体" w:hAnsi="宋体" w:cs="宋体"/>
                <w:color w:val="auto"/>
                <w:sz w:val="24"/>
                <w:szCs w:val="24"/>
              </w:rPr>
            </w:pPr>
            <w:r>
              <w:rPr>
                <w:rFonts w:hint="eastAsia" w:ascii="宋体" w:hAnsi="宋体" w:cs="宋体"/>
                <w:color w:val="auto"/>
                <w:sz w:val="24"/>
                <w:szCs w:val="24"/>
              </w:rPr>
              <w:t>批次</w:t>
            </w: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525B1">
            <w:pPr>
              <w:widowControl/>
              <w:jc w:val="center"/>
              <w:rPr>
                <w:rFonts w:ascii="宋体" w:hAnsi="宋体" w:cs="宋体"/>
                <w:color w:val="auto"/>
                <w:sz w:val="24"/>
                <w:szCs w:val="24"/>
              </w:rPr>
            </w:pPr>
            <w:r>
              <w:rPr>
                <w:rFonts w:hint="eastAsia" w:ascii="宋体" w:hAnsi="宋体" w:cs="宋体"/>
                <w:color w:val="auto"/>
                <w:sz w:val="24"/>
                <w:szCs w:val="24"/>
              </w:rPr>
              <w:t>单价</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8D1CE">
            <w:pPr>
              <w:widowControl/>
              <w:jc w:val="center"/>
              <w:rPr>
                <w:rFonts w:ascii="宋体" w:hAnsi="宋体" w:cs="宋体"/>
                <w:color w:val="auto"/>
                <w:sz w:val="24"/>
                <w:szCs w:val="24"/>
              </w:rPr>
            </w:pPr>
            <w:r>
              <w:rPr>
                <w:rFonts w:hint="eastAsia" w:ascii="宋体" w:hAnsi="宋体" w:cs="宋体"/>
                <w:color w:val="auto"/>
                <w:sz w:val="24"/>
                <w:szCs w:val="24"/>
              </w:rPr>
              <w:t>合计</w:t>
            </w: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4192F">
            <w:pPr>
              <w:widowControl/>
              <w:jc w:val="center"/>
              <w:rPr>
                <w:rFonts w:ascii="宋体" w:hAnsi="宋体" w:cs="宋体"/>
                <w:color w:val="auto"/>
                <w:sz w:val="24"/>
                <w:szCs w:val="24"/>
              </w:rPr>
            </w:pPr>
            <w:r>
              <w:rPr>
                <w:rFonts w:hint="eastAsia" w:ascii="宋体" w:hAnsi="宋体" w:cs="宋体"/>
                <w:color w:val="auto"/>
                <w:sz w:val="24"/>
                <w:szCs w:val="24"/>
              </w:rPr>
              <w:t>备注</w:t>
            </w:r>
          </w:p>
        </w:tc>
      </w:tr>
      <w:tr w14:paraId="0B85ECC2">
        <w:tblPrEx>
          <w:tblCellMar>
            <w:top w:w="0" w:type="dxa"/>
            <w:left w:w="108" w:type="dxa"/>
            <w:bottom w:w="0" w:type="dxa"/>
            <w:right w:w="108" w:type="dxa"/>
          </w:tblCellMar>
        </w:tblPrEx>
        <w:trPr>
          <w:trHeight w:val="570" w:hRule="atLeast"/>
          <w:jc w:val="center"/>
        </w:trPr>
        <w:tc>
          <w:tcPr>
            <w:tcW w:w="8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370A4">
            <w:pPr>
              <w:widowControl/>
              <w:jc w:val="center"/>
              <w:rPr>
                <w:rFonts w:ascii="宋体" w:hAnsi="宋体" w:cs="宋体"/>
                <w:color w:val="auto"/>
                <w:sz w:val="24"/>
                <w:szCs w:val="24"/>
              </w:rPr>
            </w:pPr>
            <w:r>
              <w:rPr>
                <w:rFonts w:hint="eastAsia" w:ascii="宋体" w:hAnsi="宋体" w:cs="宋体"/>
                <w:color w:val="auto"/>
                <w:sz w:val="24"/>
                <w:szCs w:val="24"/>
              </w:rPr>
              <w:t>1</w:t>
            </w:r>
          </w:p>
        </w:tc>
        <w:tc>
          <w:tcPr>
            <w:tcW w:w="24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A3223">
            <w:pPr>
              <w:widowControl/>
              <w:jc w:val="center"/>
              <w:rPr>
                <w:rFonts w:ascii="宋体" w:hAnsi="宋体" w:cs="宋体"/>
                <w:color w:val="auto"/>
                <w:sz w:val="24"/>
                <w:szCs w:val="24"/>
              </w:rPr>
            </w:pPr>
          </w:p>
        </w:tc>
        <w:tc>
          <w:tcPr>
            <w:tcW w:w="21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B7FE">
            <w:pPr>
              <w:widowControl/>
              <w:jc w:val="center"/>
              <w:rPr>
                <w:rFonts w:ascii="宋体" w:hAnsi="宋体" w:cs="宋体"/>
                <w:color w:val="auto"/>
                <w:sz w:val="24"/>
                <w:szCs w:val="24"/>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EAD20">
            <w:pPr>
              <w:widowControl/>
              <w:jc w:val="center"/>
              <w:rPr>
                <w:rFonts w:ascii="宋体" w:hAnsi="宋体" w:cs="宋体"/>
                <w:color w:val="auto"/>
                <w:sz w:val="24"/>
                <w:szCs w:val="24"/>
              </w:rPr>
            </w:pPr>
          </w:p>
        </w:tc>
        <w:tc>
          <w:tcPr>
            <w:tcW w:w="10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69BA0">
            <w:pPr>
              <w:widowControl/>
              <w:jc w:val="center"/>
              <w:rPr>
                <w:rFonts w:ascii="宋体" w:hAnsi="宋体" w:cs="宋体"/>
                <w:color w:val="auto"/>
                <w:sz w:val="24"/>
                <w:szCs w:val="24"/>
              </w:rPr>
            </w:pP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F9541">
            <w:pPr>
              <w:widowControl/>
              <w:jc w:val="center"/>
              <w:rPr>
                <w:rFonts w:ascii="宋体" w:hAnsi="宋体" w:cs="宋体"/>
                <w:color w:val="auto"/>
                <w:sz w:val="24"/>
                <w:szCs w:val="24"/>
              </w:rPr>
            </w:pPr>
          </w:p>
        </w:tc>
        <w:tc>
          <w:tcPr>
            <w:tcW w:w="10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FE610">
            <w:pPr>
              <w:widowControl/>
              <w:jc w:val="center"/>
              <w:rPr>
                <w:rFonts w:ascii="宋体" w:hAnsi="宋体" w:cs="宋体"/>
                <w:color w:val="auto"/>
                <w:sz w:val="24"/>
                <w:szCs w:val="24"/>
              </w:rPr>
            </w:pPr>
          </w:p>
        </w:tc>
      </w:tr>
    </w:tbl>
    <w:p w14:paraId="27CB575F">
      <w:pPr>
        <w:pStyle w:val="709"/>
        <w:jc w:val="center"/>
        <w:rPr>
          <w:rFonts w:cs="宋体"/>
          <w:b/>
          <w:bCs/>
          <w:color w:val="auto"/>
          <w:sz w:val="24"/>
          <w:szCs w:val="24"/>
        </w:rPr>
      </w:pPr>
    </w:p>
    <w:p w14:paraId="0821F5F7">
      <w:pPr>
        <w:pStyle w:val="352"/>
        <w:rPr>
          <w:rFonts w:hAnsi="宋体"/>
          <w:b/>
          <w:bCs/>
          <w:color w:val="auto"/>
          <w:sz w:val="24"/>
          <w:szCs w:val="24"/>
        </w:rPr>
      </w:pPr>
    </w:p>
    <w:p w14:paraId="2E6CA6A0">
      <w:pPr>
        <w:pStyle w:val="352"/>
        <w:rPr>
          <w:rFonts w:hint="eastAsia" w:ascii="宋体" w:hAnsi="宋体" w:eastAsia="宋体" w:cs="宋体"/>
          <w:b/>
          <w:bCs/>
          <w:color w:val="auto"/>
          <w:sz w:val="24"/>
          <w:szCs w:val="24"/>
        </w:rPr>
      </w:pPr>
      <w:r>
        <w:rPr>
          <w:rFonts w:hint="eastAsia" w:ascii="宋体" w:hAnsi="宋体" w:eastAsia="宋体" w:cs="宋体"/>
          <w:b/>
          <w:bCs/>
          <w:color w:val="auto"/>
          <w:sz w:val="24"/>
          <w:szCs w:val="24"/>
        </w:rPr>
        <w:t>根据清单内容响应单位自行进行编制</w:t>
      </w:r>
    </w:p>
    <w:p w14:paraId="41A7CD6F">
      <w:pPr>
        <w:pStyle w:val="352"/>
        <w:rPr>
          <w:rFonts w:hAnsi="宋体"/>
          <w:b/>
          <w:bCs/>
          <w:color w:val="auto"/>
          <w:sz w:val="24"/>
          <w:szCs w:val="24"/>
        </w:rPr>
      </w:pPr>
    </w:p>
    <w:p w14:paraId="04494C2B">
      <w:pPr>
        <w:pStyle w:val="352"/>
        <w:rPr>
          <w:rFonts w:hAnsi="宋体"/>
          <w:b/>
          <w:bCs/>
          <w:color w:val="auto"/>
          <w:sz w:val="24"/>
          <w:szCs w:val="24"/>
        </w:rPr>
      </w:pPr>
    </w:p>
    <w:p w14:paraId="290B6C85">
      <w:pPr>
        <w:pStyle w:val="711"/>
        <w:spacing w:line="400" w:lineRule="exact"/>
        <w:ind w:firstLine="482"/>
        <w:jc w:val="left"/>
        <w:rPr>
          <w:rStyle w:val="698"/>
          <w:rFonts w:ascii="宋体" w:hAnsi="宋体"/>
          <w:color w:val="auto"/>
          <w:sz w:val="20"/>
          <w:szCs w:val="24"/>
        </w:rPr>
      </w:pPr>
      <w:r>
        <w:rPr>
          <w:rStyle w:val="698"/>
          <w:rFonts w:ascii="宋体" w:hAnsi="宋体"/>
          <w:color w:val="auto"/>
          <w:sz w:val="20"/>
          <w:szCs w:val="24"/>
        </w:rPr>
        <w:t>供应商</w:t>
      </w:r>
      <w:r>
        <w:rPr>
          <w:rFonts w:ascii="宋体" w:hAnsi="宋体"/>
          <w:color w:val="auto"/>
          <w:sz w:val="24"/>
          <w:szCs w:val="24"/>
        </w:rPr>
        <w:t>（</w:t>
      </w:r>
      <w:r>
        <w:rPr>
          <w:rStyle w:val="698"/>
          <w:rFonts w:hint="eastAsia" w:ascii="宋体" w:hAnsi="宋体"/>
          <w:color w:val="auto"/>
          <w:sz w:val="20"/>
          <w:szCs w:val="24"/>
        </w:rPr>
        <w:t>电子签章</w:t>
      </w:r>
      <w:r>
        <w:rPr>
          <w:rFonts w:ascii="宋体" w:hAnsi="宋体"/>
          <w:color w:val="auto"/>
          <w:sz w:val="24"/>
          <w:szCs w:val="24"/>
        </w:rPr>
        <w:t>）</w:t>
      </w:r>
      <w:r>
        <w:rPr>
          <w:rStyle w:val="698"/>
          <w:rFonts w:ascii="宋体" w:hAnsi="宋体"/>
          <w:color w:val="auto"/>
          <w:sz w:val="20"/>
          <w:szCs w:val="24"/>
        </w:rPr>
        <w:t>：</w:t>
      </w:r>
    </w:p>
    <w:p w14:paraId="6E407536">
      <w:pPr>
        <w:pStyle w:val="711"/>
        <w:spacing w:line="400" w:lineRule="exact"/>
        <w:ind w:firstLine="482"/>
        <w:jc w:val="left"/>
        <w:rPr>
          <w:rStyle w:val="698"/>
          <w:rFonts w:ascii="宋体" w:hAnsi="宋体"/>
          <w:color w:val="auto"/>
          <w:sz w:val="20"/>
          <w:szCs w:val="24"/>
        </w:rPr>
      </w:pPr>
      <w:r>
        <w:rPr>
          <w:rStyle w:val="698"/>
          <w:rFonts w:ascii="宋体" w:hAnsi="宋体"/>
          <w:color w:val="auto"/>
          <w:sz w:val="20"/>
          <w:szCs w:val="24"/>
        </w:rPr>
        <w:t xml:space="preserve">法定代表人或授权代表（签字或盖章）：  </w:t>
      </w:r>
    </w:p>
    <w:p w14:paraId="5FCC9E6B">
      <w:pPr>
        <w:pStyle w:val="711"/>
        <w:spacing w:line="400" w:lineRule="exact"/>
        <w:ind w:firstLine="482"/>
        <w:jc w:val="left"/>
        <w:rPr>
          <w:rStyle w:val="698"/>
          <w:rFonts w:ascii="宋体" w:hAnsi="宋体"/>
          <w:color w:val="auto"/>
          <w:sz w:val="20"/>
          <w:szCs w:val="24"/>
        </w:rPr>
      </w:pPr>
      <w:r>
        <w:rPr>
          <w:rStyle w:val="698"/>
          <w:rFonts w:ascii="宋体" w:hAnsi="宋体"/>
          <w:color w:val="auto"/>
          <w:sz w:val="20"/>
          <w:szCs w:val="24"/>
        </w:rPr>
        <w:t>日期：</w:t>
      </w:r>
    </w:p>
    <w:p w14:paraId="752BDB8A">
      <w:pPr>
        <w:pStyle w:val="712"/>
        <w:spacing w:after="0" w:line="360" w:lineRule="auto"/>
        <w:rPr>
          <w:rFonts w:ascii="宋体" w:hAnsi="宋体"/>
          <w:color w:val="auto"/>
          <w:sz w:val="24"/>
          <w:szCs w:val="24"/>
        </w:rPr>
      </w:pPr>
    </w:p>
    <w:p w14:paraId="3FFDC768">
      <w:pPr>
        <w:pStyle w:val="712"/>
        <w:spacing w:after="0" w:line="360" w:lineRule="auto"/>
        <w:rPr>
          <w:rFonts w:ascii="宋体" w:hAnsi="宋体"/>
          <w:color w:val="auto"/>
          <w:sz w:val="24"/>
          <w:szCs w:val="24"/>
        </w:rPr>
      </w:pPr>
      <w:r>
        <w:rPr>
          <w:rFonts w:ascii="宋体" w:hAnsi="宋体"/>
          <w:color w:val="auto"/>
          <w:sz w:val="24"/>
          <w:szCs w:val="24"/>
        </w:rPr>
        <w:t>注：</w:t>
      </w:r>
    </w:p>
    <w:p w14:paraId="14BB5ECC">
      <w:pPr>
        <w:pStyle w:val="712"/>
        <w:spacing w:after="0" w:line="360" w:lineRule="auto"/>
        <w:ind w:firstLine="480"/>
        <w:rPr>
          <w:rFonts w:ascii="宋体" w:hAnsi="宋体"/>
          <w:color w:val="auto"/>
          <w:sz w:val="24"/>
          <w:szCs w:val="24"/>
        </w:rPr>
      </w:pPr>
      <w:r>
        <w:rPr>
          <w:rFonts w:ascii="宋体" w:hAnsi="宋体"/>
          <w:color w:val="auto"/>
          <w:sz w:val="24"/>
          <w:szCs w:val="24"/>
        </w:rPr>
        <w:t>1．如果不提供详细分项报价将视为没有实质性响应磋商文件。</w:t>
      </w:r>
    </w:p>
    <w:p w14:paraId="6EB72D41">
      <w:pPr>
        <w:pStyle w:val="712"/>
        <w:spacing w:after="0" w:line="360" w:lineRule="auto"/>
        <w:ind w:firstLine="480"/>
        <w:rPr>
          <w:rFonts w:ascii="宋体" w:hAnsi="宋体"/>
          <w:color w:val="auto"/>
          <w:sz w:val="24"/>
          <w:szCs w:val="24"/>
        </w:rPr>
      </w:pPr>
      <w:r>
        <w:rPr>
          <w:rFonts w:ascii="宋体" w:hAnsi="宋体"/>
          <w:color w:val="auto"/>
          <w:sz w:val="24"/>
          <w:szCs w:val="24"/>
        </w:rPr>
        <w:t>2．供应商对以上数据的真实性负责。</w:t>
      </w:r>
    </w:p>
    <w:p w14:paraId="26CCA7CC">
      <w:pPr>
        <w:pStyle w:val="712"/>
        <w:spacing w:after="0" w:line="360" w:lineRule="auto"/>
        <w:ind w:firstLine="480"/>
        <w:rPr>
          <w:rFonts w:ascii="宋体" w:hAnsi="宋体"/>
          <w:color w:val="auto"/>
          <w:sz w:val="24"/>
          <w:szCs w:val="24"/>
        </w:rPr>
      </w:pPr>
      <w:r>
        <w:rPr>
          <w:rFonts w:ascii="宋体" w:hAnsi="宋体"/>
          <w:color w:val="auto"/>
          <w:sz w:val="24"/>
          <w:szCs w:val="24"/>
        </w:rPr>
        <w:t>3. 如果按单价计算的结果与总价不一致，以总价为准。</w:t>
      </w:r>
    </w:p>
    <w:p w14:paraId="062F963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w:t>
      </w:r>
    </w:p>
    <w:p w14:paraId="5F4A4C1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w:t>
      </w:r>
    </w:p>
    <w:p w14:paraId="4DE8087F">
      <w:pP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w:t>
      </w:r>
    </w:p>
    <w:p w14:paraId="0FD602F2">
      <w:pPr>
        <w:pStyle w:val="207"/>
        <w:ind w:firstLine="400"/>
        <w:rPr>
          <w:rFonts w:hint="eastAsia" w:ascii="宋体" w:hAnsi="宋体" w:eastAsia="宋体" w:cs="宋体"/>
          <w:color w:val="auto"/>
          <w:sz w:val="18"/>
          <w:szCs w:val="18"/>
          <w:highlight w:val="none"/>
        </w:rPr>
      </w:pPr>
    </w:p>
    <w:p w14:paraId="4699DA3F">
      <w:pPr>
        <w:rPr>
          <w:rFonts w:hint="eastAsia" w:ascii="宋体" w:hAnsi="宋体" w:eastAsia="宋体" w:cs="宋体"/>
          <w:color w:val="auto"/>
          <w:sz w:val="20"/>
          <w:szCs w:val="21"/>
          <w:highlight w:val="none"/>
        </w:rPr>
      </w:pPr>
    </w:p>
    <w:p w14:paraId="7D0420B3">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77D88A72">
      <w:pPr>
        <w:ind w:right="180" w:firstLine="360"/>
        <w:jc w:val="right"/>
        <w:rPr>
          <w:rFonts w:hint="eastAsia" w:ascii="宋体" w:hAnsi="宋体" w:eastAsia="宋体" w:cs="宋体"/>
          <w:color w:val="auto"/>
          <w:sz w:val="24"/>
          <w:szCs w:val="24"/>
          <w:highlight w:val="none"/>
        </w:rPr>
      </w:pPr>
    </w:p>
    <w:p w14:paraId="022FA949">
      <w:pPr>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  期：</w:t>
      </w:r>
    </w:p>
    <w:p w14:paraId="46CD5775">
      <w:pPr>
        <w:pStyle w:val="207"/>
        <w:ind w:firstLine="400"/>
        <w:rPr>
          <w:rFonts w:hint="eastAsia" w:ascii="宋体" w:hAnsi="宋体" w:eastAsia="宋体" w:cs="宋体"/>
          <w:color w:val="auto"/>
          <w:highlight w:val="none"/>
        </w:rPr>
      </w:pPr>
    </w:p>
    <w:p w14:paraId="01F66DB9">
      <w:pPr>
        <w:rPr>
          <w:rFonts w:hint="eastAsia" w:ascii="宋体" w:hAnsi="宋体" w:eastAsia="宋体" w:cs="宋体"/>
          <w:color w:val="auto"/>
          <w:highlight w:val="none"/>
        </w:rPr>
      </w:pPr>
    </w:p>
    <w:p w14:paraId="48EB14EA">
      <w:pPr>
        <w:pStyle w:val="207"/>
        <w:ind w:firstLine="400"/>
        <w:rPr>
          <w:rFonts w:hint="eastAsia" w:ascii="宋体" w:hAnsi="宋体" w:eastAsia="宋体" w:cs="宋体"/>
          <w:color w:val="auto"/>
          <w:highlight w:val="none"/>
        </w:rPr>
      </w:pPr>
    </w:p>
    <w:p w14:paraId="323A6488">
      <w:pPr>
        <w:rPr>
          <w:rFonts w:hint="eastAsia" w:ascii="宋体" w:hAnsi="宋体" w:eastAsia="宋体" w:cs="宋体"/>
          <w:color w:val="auto"/>
          <w:highlight w:val="none"/>
        </w:rPr>
      </w:pPr>
    </w:p>
    <w:p w14:paraId="21681755">
      <w:pPr>
        <w:pStyle w:val="207"/>
        <w:ind w:firstLine="400"/>
        <w:rPr>
          <w:rFonts w:hint="eastAsia" w:ascii="宋体" w:hAnsi="宋体" w:eastAsia="宋体" w:cs="宋体"/>
          <w:color w:val="auto"/>
          <w:highlight w:val="none"/>
        </w:rPr>
      </w:pPr>
    </w:p>
    <w:p w14:paraId="559AA221">
      <w:pPr>
        <w:rPr>
          <w:rFonts w:hint="eastAsia"/>
          <w:color w:val="auto"/>
        </w:rPr>
      </w:pPr>
    </w:p>
    <w:p w14:paraId="1FF75AA4">
      <w:pPr>
        <w:rPr>
          <w:rFonts w:hint="eastAsia" w:ascii="宋体" w:hAnsi="宋体" w:eastAsia="宋体" w:cs="宋体"/>
          <w:color w:val="auto"/>
          <w:highlight w:val="none"/>
        </w:rPr>
      </w:pPr>
    </w:p>
    <w:p w14:paraId="2C27EDE5">
      <w:pPr>
        <w:numPr>
          <w:ilvl w:val="0"/>
          <w:numId w:val="0"/>
        </w:num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十一、</w:t>
      </w:r>
      <w:r>
        <w:rPr>
          <w:rFonts w:hint="eastAsia" w:ascii="宋体" w:hAnsi="宋体" w:eastAsia="宋体" w:cs="宋体"/>
          <w:b/>
          <w:bCs/>
          <w:color w:val="auto"/>
          <w:sz w:val="32"/>
          <w:szCs w:val="32"/>
          <w:highlight w:val="none"/>
        </w:rPr>
        <w:t>拟投入本项目的服务人员一览表</w:t>
      </w:r>
    </w:p>
    <w:p w14:paraId="0374B415">
      <w:pPr>
        <w:rPr>
          <w:rFonts w:hint="eastAsia" w:ascii="宋体" w:hAnsi="宋体" w:eastAsia="宋体" w:cs="宋体"/>
          <w:color w:val="auto"/>
          <w:highlight w:val="none"/>
        </w:rPr>
      </w:pPr>
    </w:p>
    <w:p w14:paraId="7F8B69DE">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项目名称：</w:t>
      </w:r>
    </w:p>
    <w:p w14:paraId="7A5D0CE9">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项目编号：</w:t>
      </w:r>
    </w:p>
    <w:p w14:paraId="592596F5">
      <w:pPr>
        <w:rPr>
          <w:rFonts w:hint="eastAsia" w:ascii="宋体" w:hAnsi="宋体" w:eastAsia="宋体" w:cs="宋体"/>
          <w:color w:val="auto"/>
          <w:sz w:val="24"/>
          <w:szCs w:val="28"/>
          <w:highlight w:val="none"/>
        </w:rPr>
      </w:pPr>
    </w:p>
    <w:tbl>
      <w:tblPr>
        <w:tblStyle w:val="47"/>
        <w:tblW w:w="50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490"/>
        <w:gridCol w:w="1099"/>
        <w:gridCol w:w="641"/>
        <w:gridCol w:w="583"/>
        <w:gridCol w:w="625"/>
        <w:gridCol w:w="1017"/>
        <w:gridCol w:w="831"/>
        <w:gridCol w:w="970"/>
        <w:gridCol w:w="971"/>
        <w:gridCol w:w="755"/>
        <w:gridCol w:w="759"/>
      </w:tblGrid>
      <w:tr w14:paraId="79CF5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280" w:type="pct"/>
            <w:noWrap/>
            <w:vAlign w:val="center"/>
          </w:tcPr>
          <w:p w14:paraId="03D558A2">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序号</w:t>
            </w:r>
          </w:p>
        </w:tc>
        <w:tc>
          <w:tcPr>
            <w:tcW w:w="636" w:type="pct"/>
            <w:noWrap/>
            <w:vAlign w:val="center"/>
          </w:tcPr>
          <w:p w14:paraId="5FE353E8">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具体</w:t>
            </w:r>
            <w:r>
              <w:rPr>
                <w:rFonts w:hint="eastAsia" w:ascii="宋体" w:hAnsi="宋体" w:eastAsia="宋体" w:cs="宋体"/>
                <w:color w:val="auto"/>
                <w:sz w:val="24"/>
                <w:szCs w:val="28"/>
                <w:highlight w:val="none"/>
              </w:rPr>
              <w:t>分工</w:t>
            </w:r>
          </w:p>
        </w:tc>
        <w:tc>
          <w:tcPr>
            <w:tcW w:w="374" w:type="pct"/>
            <w:noWrap/>
            <w:vAlign w:val="center"/>
          </w:tcPr>
          <w:p w14:paraId="6A754CB2">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姓名</w:t>
            </w:r>
          </w:p>
        </w:tc>
        <w:tc>
          <w:tcPr>
            <w:tcW w:w="341" w:type="pct"/>
            <w:noWrap/>
            <w:vAlign w:val="center"/>
          </w:tcPr>
          <w:p w14:paraId="716A35F5">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性别</w:t>
            </w:r>
          </w:p>
        </w:tc>
        <w:tc>
          <w:tcPr>
            <w:tcW w:w="365" w:type="pct"/>
            <w:noWrap/>
            <w:vAlign w:val="center"/>
          </w:tcPr>
          <w:p w14:paraId="43A8F322">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年龄</w:t>
            </w:r>
          </w:p>
        </w:tc>
        <w:tc>
          <w:tcPr>
            <w:tcW w:w="589" w:type="pct"/>
            <w:noWrap/>
            <w:vAlign w:val="center"/>
          </w:tcPr>
          <w:p w14:paraId="722350C4">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专业</w:t>
            </w:r>
          </w:p>
        </w:tc>
        <w:tc>
          <w:tcPr>
            <w:tcW w:w="483" w:type="pct"/>
            <w:noWrap/>
            <w:vAlign w:val="center"/>
          </w:tcPr>
          <w:p w14:paraId="76D4D692">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学历</w:t>
            </w:r>
          </w:p>
        </w:tc>
        <w:tc>
          <w:tcPr>
            <w:tcW w:w="530" w:type="pct"/>
            <w:noWrap/>
            <w:vAlign w:val="center"/>
          </w:tcPr>
          <w:p w14:paraId="2FCCFD82">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服务范围</w:t>
            </w:r>
          </w:p>
        </w:tc>
        <w:tc>
          <w:tcPr>
            <w:tcW w:w="516" w:type="pct"/>
            <w:noWrap/>
            <w:vAlign w:val="center"/>
          </w:tcPr>
          <w:p w14:paraId="43397BC0">
            <w:pPr>
              <w:jc w:val="center"/>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人员职责</w:t>
            </w:r>
          </w:p>
        </w:tc>
        <w:tc>
          <w:tcPr>
            <w:tcW w:w="439" w:type="pct"/>
            <w:noWrap/>
            <w:vAlign w:val="center"/>
          </w:tcPr>
          <w:p w14:paraId="7E192F63">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相关工</w:t>
            </w:r>
          </w:p>
          <w:p w14:paraId="04089261">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作年限</w:t>
            </w:r>
          </w:p>
        </w:tc>
        <w:tc>
          <w:tcPr>
            <w:tcW w:w="441" w:type="pct"/>
            <w:noWrap/>
            <w:vAlign w:val="center"/>
          </w:tcPr>
          <w:p w14:paraId="2DA64837">
            <w:pPr>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备注</w:t>
            </w:r>
          </w:p>
        </w:tc>
      </w:tr>
      <w:tr w14:paraId="75510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280" w:type="pct"/>
            <w:noWrap/>
            <w:vAlign w:val="center"/>
          </w:tcPr>
          <w:p w14:paraId="58FA0142">
            <w:pPr>
              <w:jc w:val="center"/>
              <w:rPr>
                <w:rFonts w:hint="eastAsia" w:ascii="宋体" w:hAnsi="宋体" w:eastAsia="宋体" w:cs="宋体"/>
                <w:color w:val="auto"/>
                <w:sz w:val="24"/>
                <w:szCs w:val="28"/>
                <w:highlight w:val="none"/>
              </w:rPr>
            </w:pPr>
          </w:p>
        </w:tc>
        <w:tc>
          <w:tcPr>
            <w:tcW w:w="636" w:type="pct"/>
            <w:noWrap/>
            <w:vAlign w:val="center"/>
          </w:tcPr>
          <w:p w14:paraId="26E4433F">
            <w:pPr>
              <w:jc w:val="center"/>
              <w:rPr>
                <w:rFonts w:hint="eastAsia" w:ascii="宋体" w:hAnsi="宋体" w:eastAsia="宋体" w:cs="宋体"/>
                <w:color w:val="auto"/>
                <w:sz w:val="24"/>
                <w:szCs w:val="28"/>
                <w:highlight w:val="none"/>
              </w:rPr>
            </w:pPr>
          </w:p>
        </w:tc>
        <w:tc>
          <w:tcPr>
            <w:tcW w:w="374" w:type="pct"/>
            <w:noWrap/>
            <w:vAlign w:val="center"/>
          </w:tcPr>
          <w:p w14:paraId="18950D34">
            <w:pPr>
              <w:jc w:val="center"/>
              <w:rPr>
                <w:rFonts w:hint="eastAsia" w:ascii="宋体" w:hAnsi="宋体" w:eastAsia="宋体" w:cs="宋体"/>
                <w:color w:val="auto"/>
                <w:sz w:val="24"/>
                <w:szCs w:val="28"/>
                <w:highlight w:val="none"/>
              </w:rPr>
            </w:pPr>
          </w:p>
        </w:tc>
        <w:tc>
          <w:tcPr>
            <w:tcW w:w="341" w:type="pct"/>
            <w:noWrap/>
            <w:vAlign w:val="center"/>
          </w:tcPr>
          <w:p w14:paraId="4E5FDB11">
            <w:pPr>
              <w:jc w:val="center"/>
              <w:rPr>
                <w:rFonts w:hint="eastAsia" w:ascii="宋体" w:hAnsi="宋体" w:eastAsia="宋体" w:cs="宋体"/>
                <w:color w:val="auto"/>
                <w:sz w:val="24"/>
                <w:szCs w:val="28"/>
                <w:highlight w:val="none"/>
              </w:rPr>
            </w:pPr>
          </w:p>
        </w:tc>
        <w:tc>
          <w:tcPr>
            <w:tcW w:w="365" w:type="pct"/>
            <w:noWrap/>
            <w:vAlign w:val="center"/>
          </w:tcPr>
          <w:p w14:paraId="58A251AF">
            <w:pPr>
              <w:jc w:val="center"/>
              <w:rPr>
                <w:rFonts w:hint="eastAsia" w:ascii="宋体" w:hAnsi="宋体" w:eastAsia="宋体" w:cs="宋体"/>
                <w:color w:val="auto"/>
                <w:sz w:val="24"/>
                <w:szCs w:val="28"/>
                <w:highlight w:val="none"/>
              </w:rPr>
            </w:pPr>
          </w:p>
        </w:tc>
        <w:tc>
          <w:tcPr>
            <w:tcW w:w="589" w:type="pct"/>
            <w:noWrap/>
            <w:vAlign w:val="center"/>
          </w:tcPr>
          <w:p w14:paraId="0335C9D0">
            <w:pPr>
              <w:jc w:val="center"/>
              <w:rPr>
                <w:rFonts w:hint="eastAsia" w:ascii="宋体" w:hAnsi="宋体" w:eastAsia="宋体" w:cs="宋体"/>
                <w:color w:val="auto"/>
                <w:sz w:val="24"/>
                <w:szCs w:val="28"/>
                <w:highlight w:val="none"/>
              </w:rPr>
            </w:pPr>
          </w:p>
        </w:tc>
        <w:tc>
          <w:tcPr>
            <w:tcW w:w="483" w:type="pct"/>
            <w:noWrap/>
            <w:vAlign w:val="center"/>
          </w:tcPr>
          <w:p w14:paraId="208273FB">
            <w:pPr>
              <w:jc w:val="center"/>
              <w:rPr>
                <w:rFonts w:hint="eastAsia" w:ascii="宋体" w:hAnsi="宋体" w:eastAsia="宋体" w:cs="宋体"/>
                <w:color w:val="auto"/>
                <w:sz w:val="24"/>
                <w:szCs w:val="28"/>
                <w:highlight w:val="none"/>
              </w:rPr>
            </w:pPr>
          </w:p>
        </w:tc>
        <w:tc>
          <w:tcPr>
            <w:tcW w:w="530" w:type="pct"/>
            <w:noWrap/>
            <w:vAlign w:val="center"/>
          </w:tcPr>
          <w:p w14:paraId="440DC57A">
            <w:pPr>
              <w:jc w:val="center"/>
              <w:rPr>
                <w:rFonts w:hint="eastAsia" w:ascii="宋体" w:hAnsi="宋体" w:eastAsia="宋体" w:cs="宋体"/>
                <w:color w:val="auto"/>
                <w:sz w:val="24"/>
                <w:szCs w:val="28"/>
                <w:highlight w:val="none"/>
              </w:rPr>
            </w:pPr>
          </w:p>
        </w:tc>
        <w:tc>
          <w:tcPr>
            <w:tcW w:w="516" w:type="pct"/>
            <w:noWrap/>
            <w:vAlign w:val="center"/>
          </w:tcPr>
          <w:p w14:paraId="6B1B1417">
            <w:pPr>
              <w:jc w:val="center"/>
              <w:rPr>
                <w:rFonts w:hint="eastAsia" w:ascii="宋体" w:hAnsi="宋体" w:eastAsia="宋体" w:cs="宋体"/>
                <w:color w:val="auto"/>
                <w:sz w:val="24"/>
                <w:szCs w:val="28"/>
                <w:highlight w:val="none"/>
              </w:rPr>
            </w:pPr>
          </w:p>
        </w:tc>
        <w:tc>
          <w:tcPr>
            <w:tcW w:w="439" w:type="pct"/>
            <w:noWrap/>
            <w:vAlign w:val="center"/>
          </w:tcPr>
          <w:p w14:paraId="251CA96C">
            <w:pPr>
              <w:jc w:val="center"/>
              <w:rPr>
                <w:rFonts w:hint="eastAsia" w:ascii="宋体" w:hAnsi="宋体" w:eastAsia="宋体" w:cs="宋体"/>
                <w:color w:val="auto"/>
                <w:sz w:val="24"/>
                <w:szCs w:val="28"/>
                <w:highlight w:val="none"/>
              </w:rPr>
            </w:pPr>
          </w:p>
        </w:tc>
        <w:tc>
          <w:tcPr>
            <w:tcW w:w="441" w:type="pct"/>
            <w:noWrap/>
            <w:vAlign w:val="center"/>
          </w:tcPr>
          <w:p w14:paraId="784B8E07">
            <w:pPr>
              <w:jc w:val="center"/>
              <w:rPr>
                <w:rFonts w:hint="eastAsia" w:ascii="宋体" w:hAnsi="宋体" w:eastAsia="宋体" w:cs="宋体"/>
                <w:color w:val="auto"/>
                <w:sz w:val="24"/>
                <w:szCs w:val="28"/>
                <w:highlight w:val="none"/>
              </w:rPr>
            </w:pPr>
          </w:p>
        </w:tc>
      </w:tr>
      <w:tr w14:paraId="35932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80" w:type="pct"/>
            <w:noWrap/>
            <w:vAlign w:val="center"/>
          </w:tcPr>
          <w:p w14:paraId="5053B401">
            <w:pPr>
              <w:jc w:val="center"/>
              <w:rPr>
                <w:rFonts w:hint="eastAsia" w:ascii="宋体" w:hAnsi="宋体" w:eastAsia="宋体" w:cs="宋体"/>
                <w:color w:val="auto"/>
                <w:sz w:val="24"/>
                <w:szCs w:val="28"/>
                <w:highlight w:val="none"/>
              </w:rPr>
            </w:pPr>
          </w:p>
        </w:tc>
        <w:tc>
          <w:tcPr>
            <w:tcW w:w="636" w:type="pct"/>
            <w:noWrap/>
            <w:vAlign w:val="center"/>
          </w:tcPr>
          <w:p w14:paraId="48FA3879">
            <w:pPr>
              <w:jc w:val="center"/>
              <w:rPr>
                <w:rFonts w:hint="eastAsia" w:ascii="宋体" w:hAnsi="宋体" w:eastAsia="宋体" w:cs="宋体"/>
                <w:color w:val="auto"/>
                <w:sz w:val="24"/>
                <w:szCs w:val="28"/>
                <w:highlight w:val="none"/>
              </w:rPr>
            </w:pPr>
          </w:p>
        </w:tc>
        <w:tc>
          <w:tcPr>
            <w:tcW w:w="374" w:type="pct"/>
            <w:noWrap/>
            <w:vAlign w:val="center"/>
          </w:tcPr>
          <w:p w14:paraId="4A31F54C">
            <w:pPr>
              <w:jc w:val="center"/>
              <w:rPr>
                <w:rFonts w:hint="eastAsia" w:ascii="宋体" w:hAnsi="宋体" w:eastAsia="宋体" w:cs="宋体"/>
                <w:color w:val="auto"/>
                <w:sz w:val="24"/>
                <w:szCs w:val="28"/>
                <w:highlight w:val="none"/>
              </w:rPr>
            </w:pPr>
          </w:p>
        </w:tc>
        <w:tc>
          <w:tcPr>
            <w:tcW w:w="341" w:type="pct"/>
            <w:noWrap/>
            <w:vAlign w:val="center"/>
          </w:tcPr>
          <w:p w14:paraId="4EBFE5C8">
            <w:pPr>
              <w:jc w:val="center"/>
              <w:rPr>
                <w:rFonts w:hint="eastAsia" w:ascii="宋体" w:hAnsi="宋体" w:eastAsia="宋体" w:cs="宋体"/>
                <w:color w:val="auto"/>
                <w:sz w:val="24"/>
                <w:szCs w:val="28"/>
                <w:highlight w:val="none"/>
              </w:rPr>
            </w:pPr>
          </w:p>
        </w:tc>
        <w:tc>
          <w:tcPr>
            <w:tcW w:w="365" w:type="pct"/>
            <w:noWrap/>
            <w:vAlign w:val="center"/>
          </w:tcPr>
          <w:p w14:paraId="61E73B80">
            <w:pPr>
              <w:jc w:val="center"/>
              <w:rPr>
                <w:rFonts w:hint="eastAsia" w:ascii="宋体" w:hAnsi="宋体" w:eastAsia="宋体" w:cs="宋体"/>
                <w:color w:val="auto"/>
                <w:sz w:val="24"/>
                <w:szCs w:val="28"/>
                <w:highlight w:val="none"/>
              </w:rPr>
            </w:pPr>
          </w:p>
        </w:tc>
        <w:tc>
          <w:tcPr>
            <w:tcW w:w="589" w:type="pct"/>
            <w:noWrap/>
            <w:vAlign w:val="center"/>
          </w:tcPr>
          <w:p w14:paraId="096E3234">
            <w:pPr>
              <w:jc w:val="center"/>
              <w:rPr>
                <w:rFonts w:hint="eastAsia" w:ascii="宋体" w:hAnsi="宋体" w:eastAsia="宋体" w:cs="宋体"/>
                <w:color w:val="auto"/>
                <w:sz w:val="24"/>
                <w:szCs w:val="28"/>
                <w:highlight w:val="none"/>
              </w:rPr>
            </w:pPr>
          </w:p>
        </w:tc>
        <w:tc>
          <w:tcPr>
            <w:tcW w:w="483" w:type="pct"/>
            <w:noWrap/>
            <w:vAlign w:val="center"/>
          </w:tcPr>
          <w:p w14:paraId="13D842BD">
            <w:pPr>
              <w:jc w:val="center"/>
              <w:rPr>
                <w:rFonts w:hint="eastAsia" w:ascii="宋体" w:hAnsi="宋体" w:eastAsia="宋体" w:cs="宋体"/>
                <w:color w:val="auto"/>
                <w:sz w:val="24"/>
                <w:szCs w:val="28"/>
                <w:highlight w:val="none"/>
              </w:rPr>
            </w:pPr>
          </w:p>
        </w:tc>
        <w:tc>
          <w:tcPr>
            <w:tcW w:w="530" w:type="pct"/>
            <w:noWrap/>
            <w:vAlign w:val="center"/>
          </w:tcPr>
          <w:p w14:paraId="4F4D8C3E">
            <w:pPr>
              <w:jc w:val="center"/>
              <w:rPr>
                <w:rFonts w:hint="eastAsia" w:ascii="宋体" w:hAnsi="宋体" w:eastAsia="宋体" w:cs="宋体"/>
                <w:color w:val="auto"/>
                <w:sz w:val="24"/>
                <w:szCs w:val="28"/>
                <w:highlight w:val="none"/>
              </w:rPr>
            </w:pPr>
          </w:p>
        </w:tc>
        <w:tc>
          <w:tcPr>
            <w:tcW w:w="516" w:type="pct"/>
            <w:noWrap/>
            <w:vAlign w:val="center"/>
          </w:tcPr>
          <w:p w14:paraId="6DE51915">
            <w:pPr>
              <w:jc w:val="center"/>
              <w:rPr>
                <w:rFonts w:hint="eastAsia" w:ascii="宋体" w:hAnsi="宋体" w:eastAsia="宋体" w:cs="宋体"/>
                <w:color w:val="auto"/>
                <w:sz w:val="24"/>
                <w:szCs w:val="28"/>
                <w:highlight w:val="none"/>
              </w:rPr>
            </w:pPr>
          </w:p>
        </w:tc>
        <w:tc>
          <w:tcPr>
            <w:tcW w:w="439" w:type="pct"/>
            <w:noWrap/>
            <w:vAlign w:val="center"/>
          </w:tcPr>
          <w:p w14:paraId="5E318CC0">
            <w:pPr>
              <w:jc w:val="center"/>
              <w:rPr>
                <w:rFonts w:hint="eastAsia" w:ascii="宋体" w:hAnsi="宋体" w:eastAsia="宋体" w:cs="宋体"/>
                <w:color w:val="auto"/>
                <w:sz w:val="24"/>
                <w:szCs w:val="28"/>
                <w:highlight w:val="none"/>
              </w:rPr>
            </w:pPr>
          </w:p>
        </w:tc>
        <w:tc>
          <w:tcPr>
            <w:tcW w:w="441" w:type="pct"/>
            <w:noWrap/>
            <w:vAlign w:val="center"/>
          </w:tcPr>
          <w:p w14:paraId="1A63ECFB">
            <w:pPr>
              <w:jc w:val="center"/>
              <w:rPr>
                <w:rFonts w:hint="eastAsia" w:ascii="宋体" w:hAnsi="宋体" w:eastAsia="宋体" w:cs="宋体"/>
                <w:color w:val="auto"/>
                <w:sz w:val="24"/>
                <w:szCs w:val="28"/>
                <w:highlight w:val="none"/>
              </w:rPr>
            </w:pPr>
          </w:p>
        </w:tc>
      </w:tr>
      <w:tr w14:paraId="4FDA2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80" w:type="pct"/>
            <w:noWrap/>
            <w:vAlign w:val="center"/>
          </w:tcPr>
          <w:p w14:paraId="2CE8714A">
            <w:pPr>
              <w:jc w:val="center"/>
              <w:rPr>
                <w:rFonts w:hint="eastAsia" w:ascii="宋体" w:hAnsi="宋体" w:eastAsia="宋体" w:cs="宋体"/>
                <w:color w:val="auto"/>
                <w:sz w:val="24"/>
                <w:szCs w:val="28"/>
                <w:highlight w:val="none"/>
              </w:rPr>
            </w:pPr>
          </w:p>
        </w:tc>
        <w:tc>
          <w:tcPr>
            <w:tcW w:w="636" w:type="pct"/>
            <w:noWrap/>
            <w:vAlign w:val="center"/>
          </w:tcPr>
          <w:p w14:paraId="053C62BA">
            <w:pPr>
              <w:jc w:val="center"/>
              <w:rPr>
                <w:rFonts w:hint="eastAsia" w:ascii="宋体" w:hAnsi="宋体" w:eastAsia="宋体" w:cs="宋体"/>
                <w:color w:val="auto"/>
                <w:sz w:val="24"/>
                <w:szCs w:val="28"/>
                <w:highlight w:val="none"/>
              </w:rPr>
            </w:pPr>
          </w:p>
        </w:tc>
        <w:tc>
          <w:tcPr>
            <w:tcW w:w="374" w:type="pct"/>
            <w:noWrap/>
            <w:vAlign w:val="center"/>
          </w:tcPr>
          <w:p w14:paraId="42CA3E68">
            <w:pPr>
              <w:jc w:val="center"/>
              <w:rPr>
                <w:rFonts w:hint="eastAsia" w:ascii="宋体" w:hAnsi="宋体" w:eastAsia="宋体" w:cs="宋体"/>
                <w:color w:val="auto"/>
                <w:sz w:val="24"/>
                <w:szCs w:val="28"/>
                <w:highlight w:val="none"/>
              </w:rPr>
            </w:pPr>
          </w:p>
        </w:tc>
        <w:tc>
          <w:tcPr>
            <w:tcW w:w="341" w:type="pct"/>
            <w:noWrap/>
            <w:vAlign w:val="center"/>
          </w:tcPr>
          <w:p w14:paraId="785B8A14">
            <w:pPr>
              <w:jc w:val="center"/>
              <w:rPr>
                <w:rFonts w:hint="eastAsia" w:ascii="宋体" w:hAnsi="宋体" w:eastAsia="宋体" w:cs="宋体"/>
                <w:color w:val="auto"/>
                <w:sz w:val="24"/>
                <w:szCs w:val="28"/>
                <w:highlight w:val="none"/>
              </w:rPr>
            </w:pPr>
          </w:p>
        </w:tc>
        <w:tc>
          <w:tcPr>
            <w:tcW w:w="365" w:type="pct"/>
            <w:noWrap/>
            <w:vAlign w:val="center"/>
          </w:tcPr>
          <w:p w14:paraId="167B9BF2">
            <w:pPr>
              <w:jc w:val="center"/>
              <w:rPr>
                <w:rFonts w:hint="eastAsia" w:ascii="宋体" w:hAnsi="宋体" w:eastAsia="宋体" w:cs="宋体"/>
                <w:color w:val="auto"/>
                <w:sz w:val="24"/>
                <w:szCs w:val="28"/>
                <w:highlight w:val="none"/>
              </w:rPr>
            </w:pPr>
          </w:p>
        </w:tc>
        <w:tc>
          <w:tcPr>
            <w:tcW w:w="589" w:type="pct"/>
            <w:noWrap/>
            <w:vAlign w:val="center"/>
          </w:tcPr>
          <w:p w14:paraId="32BF2665">
            <w:pPr>
              <w:jc w:val="center"/>
              <w:rPr>
                <w:rFonts w:hint="eastAsia" w:ascii="宋体" w:hAnsi="宋体" w:eastAsia="宋体" w:cs="宋体"/>
                <w:color w:val="auto"/>
                <w:sz w:val="24"/>
                <w:szCs w:val="28"/>
                <w:highlight w:val="none"/>
              </w:rPr>
            </w:pPr>
          </w:p>
        </w:tc>
        <w:tc>
          <w:tcPr>
            <w:tcW w:w="483" w:type="pct"/>
            <w:noWrap/>
            <w:vAlign w:val="center"/>
          </w:tcPr>
          <w:p w14:paraId="039CD8A8">
            <w:pPr>
              <w:jc w:val="center"/>
              <w:rPr>
                <w:rFonts w:hint="eastAsia" w:ascii="宋体" w:hAnsi="宋体" w:eastAsia="宋体" w:cs="宋体"/>
                <w:color w:val="auto"/>
                <w:sz w:val="24"/>
                <w:szCs w:val="28"/>
                <w:highlight w:val="none"/>
              </w:rPr>
            </w:pPr>
          </w:p>
        </w:tc>
        <w:tc>
          <w:tcPr>
            <w:tcW w:w="530" w:type="pct"/>
            <w:noWrap/>
            <w:vAlign w:val="center"/>
          </w:tcPr>
          <w:p w14:paraId="35E8AB39">
            <w:pPr>
              <w:jc w:val="center"/>
              <w:rPr>
                <w:rFonts w:hint="eastAsia" w:ascii="宋体" w:hAnsi="宋体" w:eastAsia="宋体" w:cs="宋体"/>
                <w:color w:val="auto"/>
                <w:sz w:val="24"/>
                <w:szCs w:val="28"/>
                <w:highlight w:val="none"/>
              </w:rPr>
            </w:pPr>
          </w:p>
        </w:tc>
        <w:tc>
          <w:tcPr>
            <w:tcW w:w="516" w:type="pct"/>
            <w:noWrap/>
            <w:vAlign w:val="center"/>
          </w:tcPr>
          <w:p w14:paraId="1394CEA6">
            <w:pPr>
              <w:jc w:val="center"/>
              <w:rPr>
                <w:rFonts w:hint="eastAsia" w:ascii="宋体" w:hAnsi="宋体" w:eastAsia="宋体" w:cs="宋体"/>
                <w:color w:val="auto"/>
                <w:sz w:val="24"/>
                <w:szCs w:val="28"/>
                <w:highlight w:val="none"/>
              </w:rPr>
            </w:pPr>
          </w:p>
        </w:tc>
        <w:tc>
          <w:tcPr>
            <w:tcW w:w="439" w:type="pct"/>
            <w:noWrap/>
            <w:vAlign w:val="center"/>
          </w:tcPr>
          <w:p w14:paraId="72D45602">
            <w:pPr>
              <w:jc w:val="center"/>
              <w:rPr>
                <w:rFonts w:hint="eastAsia" w:ascii="宋体" w:hAnsi="宋体" w:eastAsia="宋体" w:cs="宋体"/>
                <w:color w:val="auto"/>
                <w:sz w:val="24"/>
                <w:szCs w:val="28"/>
                <w:highlight w:val="none"/>
              </w:rPr>
            </w:pPr>
          </w:p>
        </w:tc>
        <w:tc>
          <w:tcPr>
            <w:tcW w:w="441" w:type="pct"/>
            <w:noWrap/>
            <w:vAlign w:val="center"/>
          </w:tcPr>
          <w:p w14:paraId="03C9D1BE">
            <w:pPr>
              <w:jc w:val="center"/>
              <w:rPr>
                <w:rFonts w:hint="eastAsia" w:ascii="宋体" w:hAnsi="宋体" w:eastAsia="宋体" w:cs="宋体"/>
                <w:color w:val="auto"/>
                <w:sz w:val="24"/>
                <w:szCs w:val="28"/>
                <w:highlight w:val="none"/>
              </w:rPr>
            </w:pPr>
          </w:p>
        </w:tc>
      </w:tr>
      <w:tr w14:paraId="3D15F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80" w:type="pct"/>
            <w:noWrap/>
            <w:vAlign w:val="center"/>
          </w:tcPr>
          <w:p w14:paraId="1B601A0E">
            <w:pPr>
              <w:jc w:val="center"/>
              <w:rPr>
                <w:rFonts w:hint="eastAsia" w:ascii="宋体" w:hAnsi="宋体" w:eastAsia="宋体" w:cs="宋体"/>
                <w:color w:val="auto"/>
                <w:sz w:val="24"/>
                <w:szCs w:val="28"/>
                <w:highlight w:val="none"/>
              </w:rPr>
            </w:pPr>
          </w:p>
        </w:tc>
        <w:tc>
          <w:tcPr>
            <w:tcW w:w="636" w:type="pct"/>
            <w:noWrap/>
            <w:vAlign w:val="center"/>
          </w:tcPr>
          <w:p w14:paraId="77F7870B">
            <w:pPr>
              <w:jc w:val="center"/>
              <w:rPr>
                <w:rFonts w:hint="eastAsia" w:ascii="宋体" w:hAnsi="宋体" w:eastAsia="宋体" w:cs="宋体"/>
                <w:color w:val="auto"/>
                <w:sz w:val="24"/>
                <w:szCs w:val="28"/>
                <w:highlight w:val="none"/>
              </w:rPr>
            </w:pPr>
          </w:p>
        </w:tc>
        <w:tc>
          <w:tcPr>
            <w:tcW w:w="374" w:type="pct"/>
            <w:noWrap/>
            <w:vAlign w:val="center"/>
          </w:tcPr>
          <w:p w14:paraId="2CBDAFAB">
            <w:pPr>
              <w:jc w:val="center"/>
              <w:rPr>
                <w:rFonts w:hint="eastAsia" w:ascii="宋体" w:hAnsi="宋体" w:eastAsia="宋体" w:cs="宋体"/>
                <w:color w:val="auto"/>
                <w:sz w:val="24"/>
                <w:szCs w:val="28"/>
                <w:highlight w:val="none"/>
              </w:rPr>
            </w:pPr>
          </w:p>
        </w:tc>
        <w:tc>
          <w:tcPr>
            <w:tcW w:w="341" w:type="pct"/>
            <w:noWrap/>
            <w:vAlign w:val="center"/>
          </w:tcPr>
          <w:p w14:paraId="077A1BE0">
            <w:pPr>
              <w:jc w:val="center"/>
              <w:rPr>
                <w:rFonts w:hint="eastAsia" w:ascii="宋体" w:hAnsi="宋体" w:eastAsia="宋体" w:cs="宋体"/>
                <w:color w:val="auto"/>
                <w:sz w:val="24"/>
                <w:szCs w:val="28"/>
                <w:highlight w:val="none"/>
              </w:rPr>
            </w:pPr>
          </w:p>
        </w:tc>
        <w:tc>
          <w:tcPr>
            <w:tcW w:w="365" w:type="pct"/>
            <w:noWrap/>
            <w:vAlign w:val="center"/>
          </w:tcPr>
          <w:p w14:paraId="79FF9718">
            <w:pPr>
              <w:jc w:val="center"/>
              <w:rPr>
                <w:rFonts w:hint="eastAsia" w:ascii="宋体" w:hAnsi="宋体" w:eastAsia="宋体" w:cs="宋体"/>
                <w:color w:val="auto"/>
                <w:sz w:val="24"/>
                <w:szCs w:val="28"/>
                <w:highlight w:val="none"/>
              </w:rPr>
            </w:pPr>
          </w:p>
        </w:tc>
        <w:tc>
          <w:tcPr>
            <w:tcW w:w="589" w:type="pct"/>
            <w:noWrap/>
            <w:vAlign w:val="center"/>
          </w:tcPr>
          <w:p w14:paraId="4E83432A">
            <w:pPr>
              <w:jc w:val="center"/>
              <w:rPr>
                <w:rFonts w:hint="eastAsia" w:ascii="宋体" w:hAnsi="宋体" w:eastAsia="宋体" w:cs="宋体"/>
                <w:color w:val="auto"/>
                <w:sz w:val="24"/>
                <w:szCs w:val="28"/>
                <w:highlight w:val="none"/>
              </w:rPr>
            </w:pPr>
          </w:p>
        </w:tc>
        <w:tc>
          <w:tcPr>
            <w:tcW w:w="483" w:type="pct"/>
            <w:noWrap/>
            <w:vAlign w:val="center"/>
          </w:tcPr>
          <w:p w14:paraId="44FB980C">
            <w:pPr>
              <w:jc w:val="center"/>
              <w:rPr>
                <w:rFonts w:hint="eastAsia" w:ascii="宋体" w:hAnsi="宋体" w:eastAsia="宋体" w:cs="宋体"/>
                <w:color w:val="auto"/>
                <w:sz w:val="24"/>
                <w:szCs w:val="28"/>
                <w:highlight w:val="none"/>
              </w:rPr>
            </w:pPr>
          </w:p>
        </w:tc>
        <w:tc>
          <w:tcPr>
            <w:tcW w:w="530" w:type="pct"/>
            <w:noWrap/>
            <w:vAlign w:val="center"/>
          </w:tcPr>
          <w:p w14:paraId="50050C17">
            <w:pPr>
              <w:jc w:val="center"/>
              <w:rPr>
                <w:rFonts w:hint="eastAsia" w:ascii="宋体" w:hAnsi="宋体" w:eastAsia="宋体" w:cs="宋体"/>
                <w:color w:val="auto"/>
                <w:sz w:val="24"/>
                <w:szCs w:val="28"/>
                <w:highlight w:val="none"/>
              </w:rPr>
            </w:pPr>
          </w:p>
        </w:tc>
        <w:tc>
          <w:tcPr>
            <w:tcW w:w="516" w:type="pct"/>
            <w:noWrap/>
            <w:vAlign w:val="center"/>
          </w:tcPr>
          <w:p w14:paraId="6E7D3F0A">
            <w:pPr>
              <w:jc w:val="center"/>
              <w:rPr>
                <w:rFonts w:hint="eastAsia" w:ascii="宋体" w:hAnsi="宋体" w:eastAsia="宋体" w:cs="宋体"/>
                <w:color w:val="auto"/>
                <w:sz w:val="24"/>
                <w:szCs w:val="28"/>
                <w:highlight w:val="none"/>
              </w:rPr>
            </w:pPr>
          </w:p>
        </w:tc>
        <w:tc>
          <w:tcPr>
            <w:tcW w:w="439" w:type="pct"/>
            <w:noWrap/>
            <w:vAlign w:val="center"/>
          </w:tcPr>
          <w:p w14:paraId="47DB5B43">
            <w:pPr>
              <w:jc w:val="center"/>
              <w:rPr>
                <w:rFonts w:hint="eastAsia" w:ascii="宋体" w:hAnsi="宋体" w:eastAsia="宋体" w:cs="宋体"/>
                <w:color w:val="auto"/>
                <w:sz w:val="24"/>
                <w:szCs w:val="28"/>
                <w:highlight w:val="none"/>
              </w:rPr>
            </w:pPr>
          </w:p>
        </w:tc>
        <w:tc>
          <w:tcPr>
            <w:tcW w:w="441" w:type="pct"/>
            <w:noWrap/>
            <w:vAlign w:val="center"/>
          </w:tcPr>
          <w:p w14:paraId="194E0854">
            <w:pPr>
              <w:jc w:val="center"/>
              <w:rPr>
                <w:rFonts w:hint="eastAsia" w:ascii="宋体" w:hAnsi="宋体" w:eastAsia="宋体" w:cs="宋体"/>
                <w:color w:val="auto"/>
                <w:sz w:val="24"/>
                <w:szCs w:val="28"/>
                <w:highlight w:val="none"/>
              </w:rPr>
            </w:pPr>
          </w:p>
        </w:tc>
      </w:tr>
      <w:tr w14:paraId="63F67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80" w:type="pct"/>
            <w:noWrap/>
            <w:vAlign w:val="center"/>
          </w:tcPr>
          <w:p w14:paraId="5DFD440E">
            <w:pPr>
              <w:jc w:val="center"/>
              <w:rPr>
                <w:rFonts w:hint="eastAsia" w:ascii="宋体" w:hAnsi="宋体" w:eastAsia="宋体" w:cs="宋体"/>
                <w:color w:val="auto"/>
                <w:sz w:val="24"/>
                <w:szCs w:val="28"/>
                <w:highlight w:val="none"/>
              </w:rPr>
            </w:pPr>
          </w:p>
        </w:tc>
        <w:tc>
          <w:tcPr>
            <w:tcW w:w="636" w:type="pct"/>
            <w:noWrap/>
            <w:vAlign w:val="center"/>
          </w:tcPr>
          <w:p w14:paraId="27396745">
            <w:pPr>
              <w:jc w:val="center"/>
              <w:rPr>
                <w:rFonts w:hint="eastAsia" w:ascii="宋体" w:hAnsi="宋体" w:eastAsia="宋体" w:cs="宋体"/>
                <w:color w:val="auto"/>
                <w:sz w:val="24"/>
                <w:szCs w:val="28"/>
                <w:highlight w:val="none"/>
              </w:rPr>
            </w:pPr>
          </w:p>
        </w:tc>
        <w:tc>
          <w:tcPr>
            <w:tcW w:w="374" w:type="pct"/>
            <w:noWrap/>
            <w:vAlign w:val="center"/>
          </w:tcPr>
          <w:p w14:paraId="164D48FE">
            <w:pPr>
              <w:jc w:val="center"/>
              <w:rPr>
                <w:rFonts w:hint="eastAsia" w:ascii="宋体" w:hAnsi="宋体" w:eastAsia="宋体" w:cs="宋体"/>
                <w:color w:val="auto"/>
                <w:sz w:val="24"/>
                <w:szCs w:val="28"/>
                <w:highlight w:val="none"/>
              </w:rPr>
            </w:pPr>
          </w:p>
        </w:tc>
        <w:tc>
          <w:tcPr>
            <w:tcW w:w="341" w:type="pct"/>
            <w:noWrap/>
            <w:vAlign w:val="center"/>
          </w:tcPr>
          <w:p w14:paraId="353A0EDE">
            <w:pPr>
              <w:jc w:val="center"/>
              <w:rPr>
                <w:rFonts w:hint="eastAsia" w:ascii="宋体" w:hAnsi="宋体" w:eastAsia="宋体" w:cs="宋体"/>
                <w:color w:val="auto"/>
                <w:sz w:val="24"/>
                <w:szCs w:val="28"/>
                <w:highlight w:val="none"/>
              </w:rPr>
            </w:pPr>
          </w:p>
        </w:tc>
        <w:tc>
          <w:tcPr>
            <w:tcW w:w="365" w:type="pct"/>
            <w:noWrap/>
            <w:vAlign w:val="center"/>
          </w:tcPr>
          <w:p w14:paraId="1B0AB017">
            <w:pPr>
              <w:jc w:val="center"/>
              <w:rPr>
                <w:rFonts w:hint="eastAsia" w:ascii="宋体" w:hAnsi="宋体" w:eastAsia="宋体" w:cs="宋体"/>
                <w:color w:val="auto"/>
                <w:sz w:val="24"/>
                <w:szCs w:val="28"/>
                <w:highlight w:val="none"/>
              </w:rPr>
            </w:pPr>
          </w:p>
        </w:tc>
        <w:tc>
          <w:tcPr>
            <w:tcW w:w="589" w:type="pct"/>
            <w:noWrap/>
            <w:vAlign w:val="center"/>
          </w:tcPr>
          <w:p w14:paraId="1372E76D">
            <w:pPr>
              <w:jc w:val="center"/>
              <w:rPr>
                <w:rFonts w:hint="eastAsia" w:ascii="宋体" w:hAnsi="宋体" w:eastAsia="宋体" w:cs="宋体"/>
                <w:color w:val="auto"/>
                <w:sz w:val="24"/>
                <w:szCs w:val="28"/>
                <w:highlight w:val="none"/>
              </w:rPr>
            </w:pPr>
          </w:p>
        </w:tc>
        <w:tc>
          <w:tcPr>
            <w:tcW w:w="483" w:type="pct"/>
            <w:noWrap/>
            <w:vAlign w:val="center"/>
          </w:tcPr>
          <w:p w14:paraId="341A4360">
            <w:pPr>
              <w:jc w:val="center"/>
              <w:rPr>
                <w:rFonts w:hint="eastAsia" w:ascii="宋体" w:hAnsi="宋体" w:eastAsia="宋体" w:cs="宋体"/>
                <w:color w:val="auto"/>
                <w:sz w:val="24"/>
                <w:szCs w:val="28"/>
                <w:highlight w:val="none"/>
              </w:rPr>
            </w:pPr>
          </w:p>
        </w:tc>
        <w:tc>
          <w:tcPr>
            <w:tcW w:w="530" w:type="pct"/>
            <w:noWrap/>
            <w:vAlign w:val="center"/>
          </w:tcPr>
          <w:p w14:paraId="554D4670">
            <w:pPr>
              <w:jc w:val="center"/>
              <w:rPr>
                <w:rFonts w:hint="eastAsia" w:ascii="宋体" w:hAnsi="宋体" w:eastAsia="宋体" w:cs="宋体"/>
                <w:color w:val="auto"/>
                <w:sz w:val="24"/>
                <w:szCs w:val="28"/>
                <w:highlight w:val="none"/>
              </w:rPr>
            </w:pPr>
          </w:p>
        </w:tc>
        <w:tc>
          <w:tcPr>
            <w:tcW w:w="516" w:type="pct"/>
            <w:noWrap/>
            <w:vAlign w:val="center"/>
          </w:tcPr>
          <w:p w14:paraId="38C57F86">
            <w:pPr>
              <w:jc w:val="center"/>
              <w:rPr>
                <w:rFonts w:hint="eastAsia" w:ascii="宋体" w:hAnsi="宋体" w:eastAsia="宋体" w:cs="宋体"/>
                <w:color w:val="auto"/>
                <w:sz w:val="24"/>
                <w:szCs w:val="28"/>
                <w:highlight w:val="none"/>
              </w:rPr>
            </w:pPr>
          </w:p>
        </w:tc>
        <w:tc>
          <w:tcPr>
            <w:tcW w:w="439" w:type="pct"/>
            <w:noWrap/>
            <w:vAlign w:val="center"/>
          </w:tcPr>
          <w:p w14:paraId="61135071">
            <w:pPr>
              <w:jc w:val="center"/>
              <w:rPr>
                <w:rFonts w:hint="eastAsia" w:ascii="宋体" w:hAnsi="宋体" w:eastAsia="宋体" w:cs="宋体"/>
                <w:color w:val="auto"/>
                <w:sz w:val="24"/>
                <w:szCs w:val="28"/>
                <w:highlight w:val="none"/>
              </w:rPr>
            </w:pPr>
          </w:p>
        </w:tc>
        <w:tc>
          <w:tcPr>
            <w:tcW w:w="441" w:type="pct"/>
            <w:noWrap/>
            <w:vAlign w:val="center"/>
          </w:tcPr>
          <w:p w14:paraId="79352E90">
            <w:pPr>
              <w:jc w:val="center"/>
              <w:rPr>
                <w:rFonts w:hint="eastAsia" w:ascii="宋体" w:hAnsi="宋体" w:eastAsia="宋体" w:cs="宋体"/>
                <w:color w:val="auto"/>
                <w:sz w:val="24"/>
                <w:szCs w:val="28"/>
                <w:highlight w:val="none"/>
              </w:rPr>
            </w:pPr>
          </w:p>
        </w:tc>
      </w:tr>
      <w:tr w14:paraId="0D506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80" w:type="pct"/>
            <w:noWrap/>
            <w:vAlign w:val="center"/>
          </w:tcPr>
          <w:p w14:paraId="7A5F016A">
            <w:pPr>
              <w:jc w:val="center"/>
              <w:rPr>
                <w:rFonts w:hint="eastAsia" w:ascii="宋体" w:hAnsi="宋体" w:eastAsia="宋体" w:cs="宋体"/>
                <w:color w:val="auto"/>
                <w:sz w:val="24"/>
                <w:szCs w:val="28"/>
                <w:highlight w:val="none"/>
              </w:rPr>
            </w:pPr>
          </w:p>
        </w:tc>
        <w:tc>
          <w:tcPr>
            <w:tcW w:w="636" w:type="pct"/>
            <w:noWrap/>
            <w:vAlign w:val="center"/>
          </w:tcPr>
          <w:p w14:paraId="501F0597">
            <w:pPr>
              <w:jc w:val="center"/>
              <w:rPr>
                <w:rFonts w:hint="eastAsia" w:ascii="宋体" w:hAnsi="宋体" w:eastAsia="宋体" w:cs="宋体"/>
                <w:color w:val="auto"/>
                <w:sz w:val="24"/>
                <w:szCs w:val="28"/>
                <w:highlight w:val="none"/>
              </w:rPr>
            </w:pPr>
          </w:p>
        </w:tc>
        <w:tc>
          <w:tcPr>
            <w:tcW w:w="374" w:type="pct"/>
            <w:noWrap/>
            <w:vAlign w:val="center"/>
          </w:tcPr>
          <w:p w14:paraId="771CB417">
            <w:pPr>
              <w:jc w:val="center"/>
              <w:rPr>
                <w:rFonts w:hint="eastAsia" w:ascii="宋体" w:hAnsi="宋体" w:eastAsia="宋体" w:cs="宋体"/>
                <w:color w:val="auto"/>
                <w:sz w:val="24"/>
                <w:szCs w:val="28"/>
                <w:highlight w:val="none"/>
              </w:rPr>
            </w:pPr>
          </w:p>
        </w:tc>
        <w:tc>
          <w:tcPr>
            <w:tcW w:w="341" w:type="pct"/>
            <w:noWrap/>
            <w:vAlign w:val="center"/>
          </w:tcPr>
          <w:p w14:paraId="28D260A2">
            <w:pPr>
              <w:jc w:val="center"/>
              <w:rPr>
                <w:rFonts w:hint="eastAsia" w:ascii="宋体" w:hAnsi="宋体" w:eastAsia="宋体" w:cs="宋体"/>
                <w:color w:val="auto"/>
                <w:sz w:val="24"/>
                <w:szCs w:val="28"/>
                <w:highlight w:val="none"/>
              </w:rPr>
            </w:pPr>
          </w:p>
        </w:tc>
        <w:tc>
          <w:tcPr>
            <w:tcW w:w="365" w:type="pct"/>
            <w:noWrap/>
            <w:vAlign w:val="center"/>
          </w:tcPr>
          <w:p w14:paraId="1C01EB6B">
            <w:pPr>
              <w:jc w:val="center"/>
              <w:rPr>
                <w:rFonts w:hint="eastAsia" w:ascii="宋体" w:hAnsi="宋体" w:eastAsia="宋体" w:cs="宋体"/>
                <w:color w:val="auto"/>
                <w:sz w:val="24"/>
                <w:szCs w:val="28"/>
                <w:highlight w:val="none"/>
              </w:rPr>
            </w:pPr>
          </w:p>
        </w:tc>
        <w:tc>
          <w:tcPr>
            <w:tcW w:w="589" w:type="pct"/>
            <w:noWrap/>
            <w:vAlign w:val="center"/>
          </w:tcPr>
          <w:p w14:paraId="6AE190AF">
            <w:pPr>
              <w:jc w:val="center"/>
              <w:rPr>
                <w:rFonts w:hint="eastAsia" w:ascii="宋体" w:hAnsi="宋体" w:eastAsia="宋体" w:cs="宋体"/>
                <w:color w:val="auto"/>
                <w:sz w:val="24"/>
                <w:szCs w:val="28"/>
                <w:highlight w:val="none"/>
              </w:rPr>
            </w:pPr>
          </w:p>
        </w:tc>
        <w:tc>
          <w:tcPr>
            <w:tcW w:w="483" w:type="pct"/>
            <w:noWrap/>
            <w:vAlign w:val="center"/>
          </w:tcPr>
          <w:p w14:paraId="06E66B82">
            <w:pPr>
              <w:jc w:val="center"/>
              <w:rPr>
                <w:rFonts w:hint="eastAsia" w:ascii="宋体" w:hAnsi="宋体" w:eastAsia="宋体" w:cs="宋体"/>
                <w:color w:val="auto"/>
                <w:sz w:val="24"/>
                <w:szCs w:val="28"/>
                <w:highlight w:val="none"/>
              </w:rPr>
            </w:pPr>
          </w:p>
        </w:tc>
        <w:tc>
          <w:tcPr>
            <w:tcW w:w="530" w:type="pct"/>
            <w:noWrap/>
            <w:vAlign w:val="center"/>
          </w:tcPr>
          <w:p w14:paraId="07064CFD">
            <w:pPr>
              <w:jc w:val="center"/>
              <w:rPr>
                <w:rFonts w:hint="eastAsia" w:ascii="宋体" w:hAnsi="宋体" w:eastAsia="宋体" w:cs="宋体"/>
                <w:color w:val="auto"/>
                <w:sz w:val="24"/>
                <w:szCs w:val="28"/>
                <w:highlight w:val="none"/>
              </w:rPr>
            </w:pPr>
          </w:p>
        </w:tc>
        <w:tc>
          <w:tcPr>
            <w:tcW w:w="516" w:type="pct"/>
            <w:noWrap/>
            <w:vAlign w:val="center"/>
          </w:tcPr>
          <w:p w14:paraId="311FA0FB">
            <w:pPr>
              <w:jc w:val="center"/>
              <w:rPr>
                <w:rFonts w:hint="eastAsia" w:ascii="宋体" w:hAnsi="宋体" w:eastAsia="宋体" w:cs="宋体"/>
                <w:color w:val="auto"/>
                <w:sz w:val="24"/>
                <w:szCs w:val="28"/>
                <w:highlight w:val="none"/>
              </w:rPr>
            </w:pPr>
          </w:p>
        </w:tc>
        <w:tc>
          <w:tcPr>
            <w:tcW w:w="439" w:type="pct"/>
            <w:noWrap/>
            <w:vAlign w:val="center"/>
          </w:tcPr>
          <w:p w14:paraId="2BCD5B1C">
            <w:pPr>
              <w:jc w:val="center"/>
              <w:rPr>
                <w:rFonts w:hint="eastAsia" w:ascii="宋体" w:hAnsi="宋体" w:eastAsia="宋体" w:cs="宋体"/>
                <w:color w:val="auto"/>
                <w:sz w:val="24"/>
                <w:szCs w:val="28"/>
                <w:highlight w:val="none"/>
              </w:rPr>
            </w:pPr>
          </w:p>
        </w:tc>
        <w:tc>
          <w:tcPr>
            <w:tcW w:w="441" w:type="pct"/>
            <w:noWrap/>
            <w:vAlign w:val="center"/>
          </w:tcPr>
          <w:p w14:paraId="73A9D5CB">
            <w:pPr>
              <w:jc w:val="center"/>
              <w:rPr>
                <w:rFonts w:hint="eastAsia" w:ascii="宋体" w:hAnsi="宋体" w:eastAsia="宋体" w:cs="宋体"/>
                <w:color w:val="auto"/>
                <w:sz w:val="24"/>
                <w:szCs w:val="28"/>
                <w:highlight w:val="none"/>
              </w:rPr>
            </w:pPr>
          </w:p>
        </w:tc>
      </w:tr>
      <w:tr w14:paraId="39422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jc w:val="center"/>
        </w:trPr>
        <w:tc>
          <w:tcPr>
            <w:tcW w:w="280" w:type="pct"/>
            <w:noWrap/>
            <w:vAlign w:val="center"/>
          </w:tcPr>
          <w:p w14:paraId="0855C909">
            <w:pPr>
              <w:jc w:val="center"/>
              <w:rPr>
                <w:rFonts w:hint="eastAsia" w:ascii="宋体" w:hAnsi="宋体" w:eastAsia="宋体" w:cs="宋体"/>
                <w:color w:val="auto"/>
                <w:sz w:val="24"/>
                <w:szCs w:val="28"/>
                <w:highlight w:val="none"/>
              </w:rPr>
            </w:pPr>
          </w:p>
        </w:tc>
        <w:tc>
          <w:tcPr>
            <w:tcW w:w="636" w:type="pct"/>
            <w:noWrap/>
            <w:vAlign w:val="center"/>
          </w:tcPr>
          <w:p w14:paraId="1E8F4618">
            <w:pPr>
              <w:jc w:val="center"/>
              <w:rPr>
                <w:rFonts w:hint="eastAsia" w:ascii="宋体" w:hAnsi="宋体" w:eastAsia="宋体" w:cs="宋体"/>
                <w:color w:val="auto"/>
                <w:sz w:val="24"/>
                <w:szCs w:val="28"/>
                <w:highlight w:val="none"/>
              </w:rPr>
            </w:pPr>
          </w:p>
        </w:tc>
        <w:tc>
          <w:tcPr>
            <w:tcW w:w="374" w:type="pct"/>
            <w:noWrap/>
            <w:vAlign w:val="center"/>
          </w:tcPr>
          <w:p w14:paraId="1F785BCE">
            <w:pPr>
              <w:jc w:val="center"/>
              <w:rPr>
                <w:rFonts w:hint="eastAsia" w:ascii="宋体" w:hAnsi="宋体" w:eastAsia="宋体" w:cs="宋体"/>
                <w:color w:val="auto"/>
                <w:sz w:val="24"/>
                <w:szCs w:val="28"/>
                <w:highlight w:val="none"/>
              </w:rPr>
            </w:pPr>
          </w:p>
        </w:tc>
        <w:tc>
          <w:tcPr>
            <w:tcW w:w="341" w:type="pct"/>
            <w:noWrap/>
            <w:vAlign w:val="center"/>
          </w:tcPr>
          <w:p w14:paraId="088D6D74">
            <w:pPr>
              <w:jc w:val="center"/>
              <w:rPr>
                <w:rFonts w:hint="eastAsia" w:ascii="宋体" w:hAnsi="宋体" w:eastAsia="宋体" w:cs="宋体"/>
                <w:color w:val="auto"/>
                <w:sz w:val="24"/>
                <w:szCs w:val="28"/>
                <w:highlight w:val="none"/>
              </w:rPr>
            </w:pPr>
          </w:p>
        </w:tc>
        <w:tc>
          <w:tcPr>
            <w:tcW w:w="365" w:type="pct"/>
            <w:noWrap/>
            <w:vAlign w:val="center"/>
          </w:tcPr>
          <w:p w14:paraId="78CAAFF7">
            <w:pPr>
              <w:jc w:val="center"/>
              <w:rPr>
                <w:rFonts w:hint="eastAsia" w:ascii="宋体" w:hAnsi="宋体" w:eastAsia="宋体" w:cs="宋体"/>
                <w:color w:val="auto"/>
                <w:sz w:val="24"/>
                <w:szCs w:val="28"/>
                <w:highlight w:val="none"/>
              </w:rPr>
            </w:pPr>
          </w:p>
        </w:tc>
        <w:tc>
          <w:tcPr>
            <w:tcW w:w="589" w:type="pct"/>
            <w:noWrap/>
            <w:vAlign w:val="center"/>
          </w:tcPr>
          <w:p w14:paraId="26157B66">
            <w:pPr>
              <w:jc w:val="center"/>
              <w:rPr>
                <w:rFonts w:hint="eastAsia" w:ascii="宋体" w:hAnsi="宋体" w:eastAsia="宋体" w:cs="宋体"/>
                <w:color w:val="auto"/>
                <w:sz w:val="24"/>
                <w:szCs w:val="28"/>
                <w:highlight w:val="none"/>
              </w:rPr>
            </w:pPr>
          </w:p>
        </w:tc>
        <w:tc>
          <w:tcPr>
            <w:tcW w:w="483" w:type="pct"/>
            <w:noWrap/>
            <w:vAlign w:val="center"/>
          </w:tcPr>
          <w:p w14:paraId="5F336454">
            <w:pPr>
              <w:jc w:val="center"/>
              <w:rPr>
                <w:rFonts w:hint="eastAsia" w:ascii="宋体" w:hAnsi="宋体" w:eastAsia="宋体" w:cs="宋体"/>
                <w:color w:val="auto"/>
                <w:sz w:val="24"/>
                <w:szCs w:val="28"/>
                <w:highlight w:val="none"/>
              </w:rPr>
            </w:pPr>
          </w:p>
        </w:tc>
        <w:tc>
          <w:tcPr>
            <w:tcW w:w="530" w:type="pct"/>
            <w:noWrap/>
            <w:vAlign w:val="center"/>
          </w:tcPr>
          <w:p w14:paraId="23996ABF">
            <w:pPr>
              <w:jc w:val="center"/>
              <w:rPr>
                <w:rFonts w:hint="eastAsia" w:ascii="宋体" w:hAnsi="宋体" w:eastAsia="宋体" w:cs="宋体"/>
                <w:color w:val="auto"/>
                <w:sz w:val="24"/>
                <w:szCs w:val="28"/>
                <w:highlight w:val="none"/>
              </w:rPr>
            </w:pPr>
          </w:p>
        </w:tc>
        <w:tc>
          <w:tcPr>
            <w:tcW w:w="516" w:type="pct"/>
            <w:noWrap/>
            <w:vAlign w:val="center"/>
          </w:tcPr>
          <w:p w14:paraId="002CDCDC">
            <w:pPr>
              <w:jc w:val="center"/>
              <w:rPr>
                <w:rFonts w:hint="eastAsia" w:ascii="宋体" w:hAnsi="宋体" w:eastAsia="宋体" w:cs="宋体"/>
                <w:color w:val="auto"/>
                <w:sz w:val="24"/>
                <w:szCs w:val="28"/>
                <w:highlight w:val="none"/>
              </w:rPr>
            </w:pPr>
          </w:p>
        </w:tc>
        <w:tc>
          <w:tcPr>
            <w:tcW w:w="439" w:type="pct"/>
            <w:noWrap/>
            <w:vAlign w:val="center"/>
          </w:tcPr>
          <w:p w14:paraId="01D4E38F">
            <w:pPr>
              <w:jc w:val="center"/>
              <w:rPr>
                <w:rFonts w:hint="eastAsia" w:ascii="宋体" w:hAnsi="宋体" w:eastAsia="宋体" w:cs="宋体"/>
                <w:color w:val="auto"/>
                <w:sz w:val="24"/>
                <w:szCs w:val="28"/>
                <w:highlight w:val="none"/>
              </w:rPr>
            </w:pPr>
          </w:p>
        </w:tc>
        <w:tc>
          <w:tcPr>
            <w:tcW w:w="441" w:type="pct"/>
            <w:noWrap/>
            <w:vAlign w:val="center"/>
          </w:tcPr>
          <w:p w14:paraId="6FF14B40">
            <w:pPr>
              <w:jc w:val="center"/>
              <w:rPr>
                <w:rFonts w:hint="eastAsia" w:ascii="宋体" w:hAnsi="宋体" w:eastAsia="宋体" w:cs="宋体"/>
                <w:color w:val="auto"/>
                <w:sz w:val="24"/>
                <w:szCs w:val="28"/>
                <w:highlight w:val="none"/>
              </w:rPr>
            </w:pPr>
          </w:p>
        </w:tc>
      </w:tr>
      <w:tr w14:paraId="6BC22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jc w:val="center"/>
        </w:trPr>
        <w:tc>
          <w:tcPr>
            <w:tcW w:w="280" w:type="pct"/>
            <w:noWrap/>
            <w:vAlign w:val="center"/>
          </w:tcPr>
          <w:p w14:paraId="2246EEEC">
            <w:pPr>
              <w:jc w:val="center"/>
              <w:rPr>
                <w:rFonts w:hint="eastAsia" w:ascii="宋体" w:hAnsi="宋体" w:eastAsia="宋体" w:cs="宋体"/>
                <w:color w:val="auto"/>
                <w:sz w:val="24"/>
                <w:szCs w:val="28"/>
                <w:highlight w:val="none"/>
              </w:rPr>
            </w:pPr>
          </w:p>
        </w:tc>
        <w:tc>
          <w:tcPr>
            <w:tcW w:w="636" w:type="pct"/>
            <w:noWrap/>
            <w:vAlign w:val="center"/>
          </w:tcPr>
          <w:p w14:paraId="53C71A22">
            <w:pPr>
              <w:jc w:val="center"/>
              <w:rPr>
                <w:rFonts w:hint="eastAsia" w:ascii="宋体" w:hAnsi="宋体" w:eastAsia="宋体" w:cs="宋体"/>
                <w:color w:val="auto"/>
                <w:sz w:val="24"/>
                <w:szCs w:val="28"/>
                <w:highlight w:val="none"/>
              </w:rPr>
            </w:pPr>
          </w:p>
        </w:tc>
        <w:tc>
          <w:tcPr>
            <w:tcW w:w="374" w:type="pct"/>
            <w:noWrap/>
            <w:vAlign w:val="center"/>
          </w:tcPr>
          <w:p w14:paraId="1BA72DB1">
            <w:pPr>
              <w:jc w:val="center"/>
              <w:rPr>
                <w:rFonts w:hint="eastAsia" w:ascii="宋体" w:hAnsi="宋体" w:eastAsia="宋体" w:cs="宋体"/>
                <w:color w:val="auto"/>
                <w:sz w:val="24"/>
                <w:szCs w:val="28"/>
                <w:highlight w:val="none"/>
              </w:rPr>
            </w:pPr>
          </w:p>
        </w:tc>
        <w:tc>
          <w:tcPr>
            <w:tcW w:w="341" w:type="pct"/>
            <w:noWrap/>
            <w:vAlign w:val="center"/>
          </w:tcPr>
          <w:p w14:paraId="05D8D778">
            <w:pPr>
              <w:jc w:val="center"/>
              <w:rPr>
                <w:rFonts w:hint="eastAsia" w:ascii="宋体" w:hAnsi="宋体" w:eastAsia="宋体" w:cs="宋体"/>
                <w:color w:val="auto"/>
                <w:sz w:val="24"/>
                <w:szCs w:val="28"/>
                <w:highlight w:val="none"/>
              </w:rPr>
            </w:pPr>
          </w:p>
        </w:tc>
        <w:tc>
          <w:tcPr>
            <w:tcW w:w="365" w:type="pct"/>
            <w:noWrap/>
            <w:vAlign w:val="center"/>
          </w:tcPr>
          <w:p w14:paraId="72331BC6">
            <w:pPr>
              <w:jc w:val="center"/>
              <w:rPr>
                <w:rFonts w:hint="eastAsia" w:ascii="宋体" w:hAnsi="宋体" w:eastAsia="宋体" w:cs="宋体"/>
                <w:color w:val="auto"/>
                <w:sz w:val="24"/>
                <w:szCs w:val="28"/>
                <w:highlight w:val="none"/>
              </w:rPr>
            </w:pPr>
          </w:p>
        </w:tc>
        <w:tc>
          <w:tcPr>
            <w:tcW w:w="589" w:type="pct"/>
            <w:noWrap/>
            <w:vAlign w:val="center"/>
          </w:tcPr>
          <w:p w14:paraId="1A150A3C">
            <w:pPr>
              <w:jc w:val="center"/>
              <w:rPr>
                <w:rFonts w:hint="eastAsia" w:ascii="宋体" w:hAnsi="宋体" w:eastAsia="宋体" w:cs="宋体"/>
                <w:color w:val="auto"/>
                <w:sz w:val="24"/>
                <w:szCs w:val="28"/>
                <w:highlight w:val="none"/>
              </w:rPr>
            </w:pPr>
          </w:p>
        </w:tc>
        <w:tc>
          <w:tcPr>
            <w:tcW w:w="483" w:type="pct"/>
            <w:noWrap/>
            <w:vAlign w:val="center"/>
          </w:tcPr>
          <w:p w14:paraId="04A3D6B0">
            <w:pPr>
              <w:jc w:val="center"/>
              <w:rPr>
                <w:rFonts w:hint="eastAsia" w:ascii="宋体" w:hAnsi="宋体" w:eastAsia="宋体" w:cs="宋体"/>
                <w:color w:val="auto"/>
                <w:sz w:val="24"/>
                <w:szCs w:val="28"/>
                <w:highlight w:val="none"/>
              </w:rPr>
            </w:pPr>
          </w:p>
        </w:tc>
        <w:tc>
          <w:tcPr>
            <w:tcW w:w="530" w:type="pct"/>
            <w:noWrap/>
            <w:vAlign w:val="center"/>
          </w:tcPr>
          <w:p w14:paraId="32F25C32">
            <w:pPr>
              <w:jc w:val="center"/>
              <w:rPr>
                <w:rFonts w:hint="eastAsia" w:ascii="宋体" w:hAnsi="宋体" w:eastAsia="宋体" w:cs="宋体"/>
                <w:color w:val="auto"/>
                <w:sz w:val="24"/>
                <w:szCs w:val="28"/>
                <w:highlight w:val="none"/>
              </w:rPr>
            </w:pPr>
          </w:p>
        </w:tc>
        <w:tc>
          <w:tcPr>
            <w:tcW w:w="516" w:type="pct"/>
            <w:noWrap/>
            <w:vAlign w:val="center"/>
          </w:tcPr>
          <w:p w14:paraId="39FA74CF">
            <w:pPr>
              <w:jc w:val="center"/>
              <w:rPr>
                <w:rFonts w:hint="eastAsia" w:ascii="宋体" w:hAnsi="宋体" w:eastAsia="宋体" w:cs="宋体"/>
                <w:color w:val="auto"/>
                <w:sz w:val="24"/>
                <w:szCs w:val="28"/>
                <w:highlight w:val="none"/>
              </w:rPr>
            </w:pPr>
          </w:p>
        </w:tc>
        <w:tc>
          <w:tcPr>
            <w:tcW w:w="439" w:type="pct"/>
            <w:noWrap/>
            <w:vAlign w:val="center"/>
          </w:tcPr>
          <w:p w14:paraId="601ABE09">
            <w:pPr>
              <w:jc w:val="center"/>
              <w:rPr>
                <w:rFonts w:hint="eastAsia" w:ascii="宋体" w:hAnsi="宋体" w:eastAsia="宋体" w:cs="宋体"/>
                <w:color w:val="auto"/>
                <w:sz w:val="24"/>
                <w:szCs w:val="28"/>
                <w:highlight w:val="none"/>
              </w:rPr>
            </w:pPr>
          </w:p>
        </w:tc>
        <w:tc>
          <w:tcPr>
            <w:tcW w:w="441" w:type="pct"/>
            <w:noWrap/>
            <w:vAlign w:val="center"/>
          </w:tcPr>
          <w:p w14:paraId="1580066D">
            <w:pPr>
              <w:jc w:val="center"/>
              <w:rPr>
                <w:rFonts w:hint="eastAsia" w:ascii="宋体" w:hAnsi="宋体" w:eastAsia="宋体" w:cs="宋体"/>
                <w:color w:val="auto"/>
                <w:sz w:val="24"/>
                <w:szCs w:val="28"/>
                <w:highlight w:val="none"/>
              </w:rPr>
            </w:pPr>
          </w:p>
        </w:tc>
      </w:tr>
    </w:tbl>
    <w:p w14:paraId="00C6E57E">
      <w:pPr>
        <w:rPr>
          <w:rFonts w:hint="eastAsia" w:ascii="宋体" w:hAnsi="宋体" w:eastAsia="宋体" w:cs="宋体"/>
          <w:color w:val="auto"/>
          <w:sz w:val="24"/>
          <w:szCs w:val="24"/>
          <w:highlight w:val="none"/>
        </w:rPr>
      </w:pPr>
    </w:p>
    <w:p w14:paraId="053E9625">
      <w:pPr>
        <w:rPr>
          <w:rFonts w:hint="eastAsia" w:ascii="宋体" w:hAnsi="宋体" w:eastAsia="宋体" w:cs="宋体"/>
          <w:color w:val="auto"/>
          <w:highlight w:val="none"/>
        </w:rPr>
      </w:pPr>
    </w:p>
    <w:p w14:paraId="440218D8">
      <w:pPr>
        <w:rPr>
          <w:rFonts w:hint="eastAsia" w:ascii="宋体" w:hAnsi="宋体" w:eastAsia="宋体" w:cs="宋体"/>
          <w:color w:val="auto"/>
          <w:highlight w:val="none"/>
        </w:rPr>
      </w:pPr>
    </w:p>
    <w:p w14:paraId="3E0397ED">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476FC9A3">
      <w:pPr>
        <w:ind w:right="480" w:firstLine="5400"/>
        <w:rPr>
          <w:rFonts w:hint="eastAsia" w:ascii="宋体" w:hAnsi="宋体" w:eastAsia="宋体" w:cs="宋体"/>
          <w:color w:val="auto"/>
          <w:sz w:val="24"/>
          <w:szCs w:val="24"/>
          <w:highlight w:val="none"/>
        </w:rPr>
      </w:pPr>
    </w:p>
    <w:p w14:paraId="00EA9553">
      <w:pPr>
        <w:ind w:right="480"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48FBBB6">
      <w:pPr>
        <w:rPr>
          <w:rFonts w:hint="eastAsia" w:ascii="宋体" w:hAnsi="宋体" w:eastAsia="宋体" w:cs="宋体"/>
          <w:b/>
          <w:bCs/>
          <w:color w:val="auto"/>
          <w:sz w:val="32"/>
          <w:szCs w:val="32"/>
          <w:highlight w:val="none"/>
        </w:rPr>
      </w:pPr>
    </w:p>
    <w:p w14:paraId="48DD15DA">
      <w:pPr>
        <w:rPr>
          <w:rFonts w:hint="eastAsia" w:ascii="宋体" w:hAnsi="宋体" w:eastAsia="宋体" w:cs="宋体"/>
          <w:b/>
          <w:bCs/>
          <w:color w:val="auto"/>
          <w:sz w:val="32"/>
          <w:szCs w:val="32"/>
          <w:highlight w:val="none"/>
        </w:rPr>
      </w:pPr>
    </w:p>
    <w:p w14:paraId="08EF3304">
      <w:pPr>
        <w:rPr>
          <w:rFonts w:hint="eastAsia" w:ascii="宋体" w:hAnsi="宋体" w:eastAsia="宋体" w:cs="宋体"/>
          <w:b/>
          <w:bCs/>
          <w:color w:val="auto"/>
          <w:sz w:val="32"/>
          <w:szCs w:val="32"/>
          <w:highlight w:val="none"/>
        </w:rPr>
      </w:pPr>
    </w:p>
    <w:p w14:paraId="0DB9E4E5">
      <w:pPr>
        <w:rPr>
          <w:rFonts w:hint="eastAsia" w:ascii="宋体" w:hAnsi="宋体" w:eastAsia="宋体" w:cs="宋体"/>
          <w:b/>
          <w:bCs/>
          <w:color w:val="auto"/>
          <w:sz w:val="32"/>
          <w:szCs w:val="32"/>
          <w:highlight w:val="none"/>
        </w:rPr>
      </w:pPr>
    </w:p>
    <w:p w14:paraId="240BD5A0">
      <w:pPr>
        <w:rPr>
          <w:rFonts w:hint="eastAsia" w:ascii="宋体" w:hAnsi="宋体" w:eastAsia="宋体" w:cs="宋体"/>
          <w:b/>
          <w:bCs/>
          <w:color w:val="auto"/>
          <w:sz w:val="32"/>
          <w:szCs w:val="32"/>
          <w:highlight w:val="none"/>
        </w:rPr>
      </w:pPr>
    </w:p>
    <w:p w14:paraId="35DA39E5">
      <w:pPr>
        <w:rPr>
          <w:rFonts w:hint="eastAsia" w:ascii="宋体" w:hAnsi="宋体" w:eastAsia="宋体" w:cs="宋体"/>
          <w:b/>
          <w:bCs/>
          <w:color w:val="auto"/>
          <w:sz w:val="32"/>
          <w:szCs w:val="32"/>
          <w:highlight w:val="none"/>
        </w:rPr>
      </w:pPr>
    </w:p>
    <w:p w14:paraId="10915B32">
      <w:pPr>
        <w:rPr>
          <w:rFonts w:hint="eastAsia" w:ascii="宋体" w:hAnsi="宋体" w:eastAsia="宋体" w:cs="宋体"/>
          <w:b/>
          <w:bCs/>
          <w:color w:val="auto"/>
          <w:sz w:val="32"/>
          <w:szCs w:val="32"/>
          <w:highlight w:val="none"/>
        </w:rPr>
      </w:pPr>
    </w:p>
    <w:p w14:paraId="6E91A6A9">
      <w:pPr>
        <w:rPr>
          <w:rFonts w:hint="eastAsia" w:ascii="宋体" w:hAnsi="宋体" w:eastAsia="宋体" w:cs="宋体"/>
          <w:b/>
          <w:bCs/>
          <w:color w:val="auto"/>
          <w:sz w:val="32"/>
          <w:szCs w:val="32"/>
          <w:highlight w:val="none"/>
        </w:rPr>
      </w:pPr>
    </w:p>
    <w:p w14:paraId="03915B30">
      <w:pPr>
        <w:rPr>
          <w:rFonts w:hint="eastAsia" w:ascii="宋体" w:hAnsi="宋体" w:eastAsia="宋体" w:cs="宋体"/>
          <w:b/>
          <w:bCs/>
          <w:color w:val="auto"/>
          <w:sz w:val="32"/>
          <w:szCs w:val="32"/>
          <w:highlight w:val="none"/>
        </w:rPr>
      </w:pPr>
    </w:p>
    <w:p w14:paraId="070A5B19">
      <w:pPr>
        <w:rPr>
          <w:rFonts w:hint="eastAsia" w:ascii="宋体" w:hAnsi="宋体" w:eastAsia="宋体" w:cs="宋体"/>
          <w:b/>
          <w:bCs/>
          <w:color w:val="auto"/>
          <w:sz w:val="32"/>
          <w:szCs w:val="32"/>
          <w:highlight w:val="none"/>
        </w:rPr>
      </w:pPr>
    </w:p>
    <w:p w14:paraId="702D944B">
      <w:pPr>
        <w:rPr>
          <w:rFonts w:hint="eastAsia" w:ascii="宋体" w:hAnsi="宋体" w:eastAsia="宋体" w:cs="宋体"/>
          <w:b/>
          <w:bCs/>
          <w:color w:val="auto"/>
          <w:sz w:val="32"/>
          <w:szCs w:val="32"/>
          <w:highlight w:val="none"/>
        </w:rPr>
      </w:pPr>
    </w:p>
    <w:p w14:paraId="276ECAAA">
      <w:pPr>
        <w:rPr>
          <w:rFonts w:hint="eastAsia" w:ascii="宋体" w:hAnsi="宋体" w:eastAsia="宋体" w:cs="宋体"/>
          <w:b/>
          <w:bCs/>
          <w:color w:val="auto"/>
          <w:sz w:val="32"/>
          <w:szCs w:val="32"/>
          <w:highlight w:val="none"/>
        </w:rPr>
      </w:pPr>
    </w:p>
    <w:p w14:paraId="613FA4E9">
      <w:pPr>
        <w:rPr>
          <w:rFonts w:hint="eastAsia" w:ascii="宋体" w:hAnsi="宋体" w:eastAsia="宋体" w:cs="宋体"/>
          <w:b/>
          <w:bCs/>
          <w:color w:val="auto"/>
          <w:sz w:val="32"/>
          <w:szCs w:val="32"/>
          <w:highlight w:val="none"/>
        </w:rPr>
      </w:pPr>
    </w:p>
    <w:p w14:paraId="3A0DC237">
      <w:pPr>
        <w:rPr>
          <w:rFonts w:hint="eastAsia" w:ascii="宋体" w:hAnsi="宋体" w:eastAsia="宋体" w:cs="宋体"/>
          <w:b/>
          <w:bCs/>
          <w:color w:val="auto"/>
          <w:sz w:val="32"/>
          <w:szCs w:val="32"/>
          <w:highlight w:val="none"/>
        </w:rPr>
      </w:pPr>
    </w:p>
    <w:p w14:paraId="39ADD3BD">
      <w:pPr>
        <w:rPr>
          <w:rFonts w:hint="eastAsia" w:ascii="宋体" w:hAnsi="宋体" w:eastAsia="宋体" w:cs="宋体"/>
          <w:b/>
          <w:bCs/>
          <w:color w:val="auto"/>
          <w:sz w:val="32"/>
          <w:szCs w:val="32"/>
          <w:highlight w:val="none"/>
        </w:rPr>
      </w:pPr>
    </w:p>
    <w:p w14:paraId="26DFC8A8">
      <w:pPr>
        <w:rPr>
          <w:rFonts w:hint="eastAsia" w:ascii="宋体" w:hAnsi="宋体" w:eastAsia="宋体" w:cs="宋体"/>
          <w:b/>
          <w:bCs/>
          <w:color w:val="auto"/>
          <w:sz w:val="32"/>
          <w:szCs w:val="32"/>
          <w:highlight w:val="none"/>
        </w:rPr>
      </w:pPr>
    </w:p>
    <w:p w14:paraId="0A2D7ABE">
      <w:pPr>
        <w:numPr>
          <w:ilvl w:val="0"/>
          <w:numId w:val="0"/>
        </w:numPr>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bidi="ar-SA"/>
        </w:rPr>
        <w:t>十二、</w:t>
      </w:r>
      <w:r>
        <w:rPr>
          <w:rFonts w:hint="eastAsia" w:ascii="宋体" w:hAnsi="宋体" w:eastAsia="宋体" w:cs="宋体"/>
          <w:b/>
          <w:bCs/>
          <w:color w:val="auto"/>
          <w:sz w:val="32"/>
          <w:szCs w:val="32"/>
          <w:highlight w:val="none"/>
        </w:rPr>
        <w:t>技术要求响应及偏离表</w:t>
      </w:r>
    </w:p>
    <w:p w14:paraId="4A614193">
      <w:pPr>
        <w:rPr>
          <w:rFonts w:hint="eastAsia" w:ascii="宋体" w:hAnsi="宋体" w:eastAsia="宋体" w:cs="宋体"/>
          <w:b/>
          <w:bCs/>
          <w:color w:val="auto"/>
          <w:sz w:val="32"/>
          <w:szCs w:val="32"/>
          <w:highlight w:val="none"/>
        </w:rPr>
      </w:pPr>
    </w:p>
    <w:tbl>
      <w:tblPr>
        <w:tblStyle w:val="47"/>
        <w:tblW w:w="8954"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5"/>
        <w:gridCol w:w="2616"/>
        <w:gridCol w:w="1249"/>
        <w:gridCol w:w="1516"/>
      </w:tblGrid>
      <w:tr w14:paraId="6479F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778D8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035" w:type="dxa"/>
            <w:tcBorders>
              <w:top w:val="single" w:color="000000" w:sz="4" w:space="0"/>
              <w:left w:val="single" w:color="000000" w:sz="4" w:space="0"/>
              <w:bottom w:val="single" w:color="000000" w:sz="4" w:space="0"/>
              <w:right w:val="single" w:color="000000" w:sz="4" w:space="0"/>
            </w:tcBorders>
            <w:vAlign w:val="center"/>
          </w:tcPr>
          <w:p w14:paraId="43CF19E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磋商文件要求</w:t>
            </w:r>
          </w:p>
        </w:tc>
        <w:tc>
          <w:tcPr>
            <w:tcW w:w="2616" w:type="dxa"/>
            <w:tcBorders>
              <w:top w:val="single" w:color="000000" w:sz="4" w:space="0"/>
              <w:left w:val="single" w:color="000000" w:sz="4" w:space="0"/>
              <w:bottom w:val="single" w:color="000000" w:sz="4" w:space="0"/>
              <w:right w:val="single" w:color="000000" w:sz="4" w:space="0"/>
            </w:tcBorders>
            <w:vAlign w:val="center"/>
          </w:tcPr>
          <w:p w14:paraId="43752F6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1249" w:type="dxa"/>
            <w:tcBorders>
              <w:top w:val="single" w:color="000000" w:sz="4" w:space="0"/>
              <w:left w:val="single" w:color="000000" w:sz="4" w:space="0"/>
              <w:bottom w:val="single" w:color="000000" w:sz="4" w:space="0"/>
              <w:right w:val="single" w:color="000000" w:sz="4" w:space="0"/>
            </w:tcBorders>
            <w:vAlign w:val="center"/>
          </w:tcPr>
          <w:p w14:paraId="76ED480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有无</w:t>
            </w:r>
            <w:r>
              <w:rPr>
                <w:rFonts w:hint="eastAsia" w:ascii="宋体" w:hAnsi="宋体" w:eastAsia="宋体" w:cs="宋体"/>
                <w:color w:val="auto"/>
                <w:sz w:val="24"/>
                <w:szCs w:val="24"/>
                <w:highlight w:val="none"/>
              </w:rPr>
              <w:t>偏离</w:t>
            </w:r>
          </w:p>
        </w:tc>
        <w:tc>
          <w:tcPr>
            <w:tcW w:w="1516" w:type="dxa"/>
            <w:tcBorders>
              <w:top w:val="single" w:color="000000" w:sz="4" w:space="0"/>
              <w:left w:val="single" w:color="000000" w:sz="4" w:space="0"/>
              <w:bottom w:val="single" w:color="000000" w:sz="4" w:space="0"/>
              <w:right w:val="single" w:color="000000" w:sz="4" w:space="0"/>
            </w:tcBorders>
            <w:vAlign w:val="center"/>
          </w:tcPr>
          <w:p w14:paraId="73AD004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9201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DB5C3A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15A7BD8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1DFA527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32802E2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06FE74A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1643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22B8EA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08742B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62FA73C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DA0E55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10F7320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3EEC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9DF31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2FA9A24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5F4B2DF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0157C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72E761C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6103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F1CF19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4D21508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55F3E69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BF978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38B52ED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34570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51E462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7B35A28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701DBB7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AA0F72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69D2E97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03B04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5E64A7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4012E2E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367A0D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062B32C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793B0DD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792E6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13F1A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07AB4EB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5F09102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56BB986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3185E9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59C2C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694BFC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751B3B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16" w:type="dxa"/>
            <w:tcBorders>
              <w:top w:val="single" w:color="000000" w:sz="4" w:space="0"/>
              <w:left w:val="single" w:color="000000" w:sz="4" w:space="0"/>
              <w:bottom w:val="single" w:color="000000" w:sz="4" w:space="0"/>
              <w:right w:val="single" w:color="000000" w:sz="4" w:space="0"/>
            </w:tcBorders>
            <w:vAlign w:val="center"/>
          </w:tcPr>
          <w:p w14:paraId="7F2E38E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6DDCA34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516" w:type="dxa"/>
            <w:tcBorders>
              <w:top w:val="single" w:color="000000" w:sz="4" w:space="0"/>
              <w:left w:val="single" w:color="000000" w:sz="4" w:space="0"/>
              <w:bottom w:val="single" w:color="000000" w:sz="4" w:space="0"/>
              <w:right w:val="single" w:color="000000" w:sz="4" w:space="0"/>
            </w:tcBorders>
            <w:vAlign w:val="center"/>
          </w:tcPr>
          <w:p w14:paraId="0ABB61B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0744F99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3566C67">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p>
    <w:p w14:paraId="34341D98">
      <w:pPr>
        <w:spacing w:line="360" w:lineRule="auto"/>
        <w:ind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szCs w:val="24"/>
          <w:highlight w:val="none"/>
        </w:rPr>
        <w:t>行数不够，可自行添加。</w:t>
      </w:r>
      <w:r>
        <w:rPr>
          <w:rFonts w:hint="eastAsia" w:ascii="宋体" w:hAnsi="宋体" w:eastAsia="宋体" w:cs="宋体"/>
          <w:b/>
          <w:bCs/>
          <w:color w:val="auto"/>
          <w:sz w:val="24"/>
          <w:highlight w:val="none"/>
        </w:rPr>
        <w:t>若无偏离，在“有无偏离”栏中填写“无”；若有偏离在“有无偏离”栏中填写“有”并在“</w:t>
      </w:r>
      <w:r>
        <w:rPr>
          <w:rFonts w:hint="eastAsia" w:ascii="宋体" w:hAnsi="宋体" w:eastAsia="宋体" w:cs="宋体"/>
          <w:b/>
          <w:bCs/>
          <w:color w:val="auto"/>
          <w:sz w:val="24"/>
          <w:highlight w:val="none"/>
          <w:lang w:val="en-US" w:eastAsia="zh-CN"/>
        </w:rPr>
        <w:t>备注</w:t>
      </w:r>
      <w:r>
        <w:rPr>
          <w:rFonts w:hint="eastAsia" w:ascii="宋体" w:hAnsi="宋体" w:eastAsia="宋体" w:cs="宋体"/>
          <w:b/>
          <w:bCs/>
          <w:color w:val="auto"/>
          <w:sz w:val="24"/>
          <w:highlight w:val="none"/>
        </w:rPr>
        <w:t>”栏中作出说明。</w:t>
      </w:r>
      <w:r>
        <w:rPr>
          <w:rFonts w:hint="eastAsia" w:ascii="宋体" w:hAnsi="宋体" w:eastAsia="宋体" w:cs="宋体"/>
          <w:b/>
          <w:bCs/>
          <w:color w:val="auto"/>
          <w:sz w:val="24"/>
          <w:highlight w:val="none"/>
          <w:lang w:val="en-US" w:eastAsia="zh-CN"/>
        </w:rPr>
        <w:t>未注明或未填写任何内容的，视为全部响应。本项目不接受负偏离，否则作无效响应文件处理。</w:t>
      </w:r>
    </w:p>
    <w:p w14:paraId="3B428CE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C30BD0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868FBB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3B29939">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7B5FE37C">
      <w:pPr>
        <w:ind w:right="480" w:firstLine="5400"/>
        <w:rPr>
          <w:rFonts w:hint="eastAsia" w:ascii="宋体" w:hAnsi="宋体" w:eastAsia="宋体" w:cs="宋体"/>
          <w:color w:val="auto"/>
          <w:sz w:val="24"/>
          <w:szCs w:val="24"/>
          <w:highlight w:val="none"/>
        </w:rPr>
      </w:pPr>
    </w:p>
    <w:p w14:paraId="713CB3ED">
      <w:pPr>
        <w:ind w:right="480"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E36CC6E">
      <w:pPr>
        <w:rPr>
          <w:rFonts w:hint="eastAsia" w:ascii="宋体" w:hAnsi="宋体" w:eastAsia="宋体" w:cs="宋体"/>
          <w:b/>
          <w:bCs/>
          <w:color w:val="auto"/>
          <w:sz w:val="24"/>
          <w:szCs w:val="24"/>
          <w:highlight w:val="none"/>
        </w:rPr>
      </w:pPr>
    </w:p>
    <w:p w14:paraId="2844C76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FB503B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5D2FEC0">
      <w:pPr>
        <w:pStyle w:val="58"/>
        <w:rPr>
          <w:rFonts w:hint="eastAsia"/>
          <w:color w:val="auto"/>
        </w:rPr>
      </w:pPr>
    </w:p>
    <w:p w14:paraId="48441BB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6C92A798">
      <w:pPr>
        <w:pStyle w:val="58"/>
        <w:rPr>
          <w:rFonts w:hint="eastAsia" w:ascii="宋体" w:hAnsi="宋体" w:eastAsia="宋体" w:cs="宋体"/>
          <w:color w:val="auto"/>
          <w:sz w:val="24"/>
          <w:szCs w:val="24"/>
          <w:highlight w:val="none"/>
        </w:rPr>
      </w:pPr>
    </w:p>
    <w:p w14:paraId="1866E2D2">
      <w:pPr>
        <w:pStyle w:val="58"/>
        <w:rPr>
          <w:rFonts w:hint="eastAsia" w:ascii="宋体" w:hAnsi="宋体" w:eastAsia="宋体" w:cs="宋体"/>
          <w:color w:val="auto"/>
          <w:sz w:val="24"/>
          <w:szCs w:val="24"/>
          <w:highlight w:val="none"/>
        </w:rPr>
      </w:pPr>
    </w:p>
    <w:p w14:paraId="5039A7D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57AF739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bookmarkEnd w:id="209"/>
    <w:p w14:paraId="4643F81F">
      <w:pPr>
        <w:numPr>
          <w:ilvl w:val="0"/>
          <w:numId w:val="0"/>
        </w:numPr>
        <w:jc w:val="center"/>
        <w:rPr>
          <w:rFonts w:hint="eastAsia" w:ascii="宋体" w:hAnsi="宋体" w:eastAsia="宋体" w:cs="宋体"/>
          <w:b/>
          <w:bCs/>
          <w:color w:val="auto"/>
          <w:sz w:val="32"/>
          <w:szCs w:val="32"/>
          <w:highlight w:val="magenta"/>
          <w:lang w:eastAsia="zh-CN"/>
        </w:rPr>
      </w:pPr>
      <w:bookmarkStart w:id="217" w:name="_Hlt26955054"/>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三</w:t>
      </w:r>
      <w:r>
        <w:rPr>
          <w:rFonts w:hint="eastAsia" w:ascii="宋体" w:hAnsi="宋体" w:eastAsia="宋体" w:cs="宋体"/>
          <w:b/>
          <w:bCs/>
          <w:color w:val="auto"/>
          <w:sz w:val="32"/>
          <w:szCs w:val="32"/>
          <w:highlight w:val="none"/>
        </w:rPr>
        <w:t>、商务要求响应及偏离表</w:t>
      </w:r>
    </w:p>
    <w:p w14:paraId="4514C4EA">
      <w:pPr>
        <w:jc w:val="center"/>
        <w:rPr>
          <w:rFonts w:hint="eastAsia" w:ascii="宋体" w:hAnsi="宋体" w:eastAsia="宋体" w:cs="宋体"/>
          <w:b/>
          <w:bCs/>
          <w:color w:val="auto"/>
          <w:sz w:val="32"/>
          <w:szCs w:val="32"/>
          <w:highlight w:val="none"/>
        </w:rPr>
      </w:pPr>
    </w:p>
    <w:p w14:paraId="329633C3">
      <w:pPr>
        <w:jc w:val="center"/>
        <w:rPr>
          <w:rFonts w:hint="eastAsia" w:ascii="宋体" w:hAnsi="宋体" w:eastAsia="宋体" w:cs="宋体"/>
          <w:b/>
          <w:bCs/>
          <w:color w:val="auto"/>
          <w:sz w:val="32"/>
          <w:szCs w:val="32"/>
          <w:highlight w:val="none"/>
        </w:rPr>
      </w:pPr>
    </w:p>
    <w:bookmarkEnd w:id="217"/>
    <w:tbl>
      <w:tblPr>
        <w:tblStyle w:val="47"/>
        <w:tblW w:w="8767"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5"/>
        <w:gridCol w:w="2616"/>
        <w:gridCol w:w="1249"/>
        <w:gridCol w:w="1329"/>
      </w:tblGrid>
      <w:tr w14:paraId="63B9D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06D1935">
            <w:pPr>
              <w:jc w:val="center"/>
              <w:rPr>
                <w:rFonts w:hint="eastAsia" w:ascii="宋体" w:hAnsi="宋体" w:eastAsia="宋体" w:cs="宋体"/>
                <w:color w:val="auto"/>
                <w:sz w:val="24"/>
                <w:szCs w:val="24"/>
                <w:highlight w:val="none"/>
              </w:rPr>
            </w:pPr>
            <w:bookmarkStart w:id="218" w:name="_Hlt26671343"/>
            <w:bookmarkEnd w:id="218"/>
            <w:bookmarkStart w:id="219" w:name="_Hlt26671372"/>
            <w:bookmarkEnd w:id="219"/>
            <w:bookmarkStart w:id="220" w:name="_Hlt26955056"/>
            <w:bookmarkEnd w:id="220"/>
            <w:bookmarkStart w:id="221" w:name="_Hlt26609391"/>
            <w:bookmarkEnd w:id="221"/>
            <w:bookmarkStart w:id="222" w:name="_Hlt26782999"/>
            <w:bookmarkEnd w:id="222"/>
            <w:bookmarkStart w:id="223" w:name="_Hlt24879081"/>
            <w:bookmarkEnd w:id="223"/>
            <w:bookmarkStart w:id="224" w:name="_Hlt26955064"/>
            <w:bookmarkEnd w:id="224"/>
            <w:bookmarkStart w:id="225" w:name="_Hlt26580838"/>
            <w:r>
              <w:rPr>
                <w:rFonts w:hint="eastAsia" w:ascii="宋体" w:hAnsi="宋体" w:eastAsia="宋体" w:cs="宋体"/>
                <w:color w:val="auto"/>
                <w:sz w:val="24"/>
                <w:szCs w:val="24"/>
                <w:highlight w:val="none"/>
              </w:rPr>
              <w:t>序号</w:t>
            </w:r>
            <w:bookmarkEnd w:id="225"/>
          </w:p>
        </w:tc>
        <w:tc>
          <w:tcPr>
            <w:tcW w:w="3035" w:type="dxa"/>
            <w:tcBorders>
              <w:top w:val="single" w:color="000000" w:sz="4" w:space="0"/>
              <w:left w:val="single" w:color="000000" w:sz="4" w:space="0"/>
              <w:bottom w:val="single" w:color="000000" w:sz="4" w:space="0"/>
              <w:right w:val="single" w:color="000000" w:sz="4" w:space="0"/>
            </w:tcBorders>
            <w:vAlign w:val="center"/>
          </w:tcPr>
          <w:p w14:paraId="4094C3A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磋商文件要求</w:t>
            </w:r>
          </w:p>
        </w:tc>
        <w:tc>
          <w:tcPr>
            <w:tcW w:w="2616" w:type="dxa"/>
            <w:tcBorders>
              <w:top w:val="single" w:color="000000" w:sz="4" w:space="0"/>
              <w:left w:val="single" w:color="000000" w:sz="4" w:space="0"/>
              <w:bottom w:val="single" w:color="000000" w:sz="4" w:space="0"/>
              <w:right w:val="single" w:color="000000" w:sz="4" w:space="0"/>
            </w:tcBorders>
            <w:vAlign w:val="center"/>
          </w:tcPr>
          <w:p w14:paraId="6C88BB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1249" w:type="dxa"/>
            <w:tcBorders>
              <w:top w:val="single" w:color="000000" w:sz="4" w:space="0"/>
              <w:left w:val="single" w:color="000000" w:sz="4" w:space="0"/>
              <w:bottom w:val="single" w:color="000000" w:sz="4" w:space="0"/>
              <w:right w:val="single" w:color="000000" w:sz="4" w:space="0"/>
            </w:tcBorders>
            <w:vAlign w:val="center"/>
          </w:tcPr>
          <w:p w14:paraId="0A85F0C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有无</w:t>
            </w:r>
            <w:r>
              <w:rPr>
                <w:rFonts w:hint="eastAsia" w:ascii="宋体" w:hAnsi="宋体" w:eastAsia="宋体" w:cs="宋体"/>
                <w:color w:val="auto"/>
                <w:sz w:val="24"/>
                <w:szCs w:val="24"/>
                <w:highlight w:val="none"/>
              </w:rPr>
              <w:t>偏离</w:t>
            </w:r>
          </w:p>
        </w:tc>
        <w:tc>
          <w:tcPr>
            <w:tcW w:w="1329" w:type="dxa"/>
            <w:tcBorders>
              <w:top w:val="single" w:color="000000" w:sz="4" w:space="0"/>
              <w:left w:val="single" w:color="000000" w:sz="4" w:space="0"/>
              <w:bottom w:val="single" w:color="000000" w:sz="4" w:space="0"/>
              <w:right w:val="single" w:color="000000" w:sz="4" w:space="0"/>
            </w:tcBorders>
            <w:vAlign w:val="center"/>
          </w:tcPr>
          <w:p w14:paraId="64DD38F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79A3C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EA9864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70C92A0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10A119D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5F8A52D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6840E86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CAFB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5A84E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4E14B31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0CC6F4F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E4A98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357B10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6395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593E3A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4186517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4883621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23942A6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34FB484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11792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278A49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03A339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65DB5A7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5C008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338FA76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6436B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FADC23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73D3C4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53C075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CB977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378F6B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41F5D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B0612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12C1589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72EBC8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13BD6A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6B5D622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7B279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F1ED23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1B54ED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2616" w:type="dxa"/>
            <w:tcBorders>
              <w:top w:val="single" w:color="000000" w:sz="4" w:space="0"/>
              <w:left w:val="single" w:color="000000" w:sz="4" w:space="0"/>
              <w:bottom w:val="single" w:color="000000" w:sz="4" w:space="0"/>
              <w:right w:val="single" w:color="000000" w:sz="4" w:space="0"/>
            </w:tcBorders>
            <w:vAlign w:val="center"/>
          </w:tcPr>
          <w:p w14:paraId="15C4257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3309145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0B4A4D6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r w14:paraId="201CA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FE071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3035" w:type="dxa"/>
            <w:tcBorders>
              <w:top w:val="single" w:color="000000" w:sz="4" w:space="0"/>
              <w:left w:val="single" w:color="000000" w:sz="4" w:space="0"/>
              <w:bottom w:val="single" w:color="000000" w:sz="4" w:space="0"/>
              <w:right w:val="single" w:color="000000" w:sz="4" w:space="0"/>
            </w:tcBorders>
            <w:vAlign w:val="center"/>
          </w:tcPr>
          <w:p w14:paraId="5CBB0EB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616" w:type="dxa"/>
            <w:tcBorders>
              <w:top w:val="single" w:color="000000" w:sz="4" w:space="0"/>
              <w:left w:val="single" w:color="000000" w:sz="4" w:space="0"/>
              <w:bottom w:val="single" w:color="000000" w:sz="4" w:space="0"/>
              <w:right w:val="single" w:color="000000" w:sz="4" w:space="0"/>
            </w:tcBorders>
            <w:vAlign w:val="center"/>
          </w:tcPr>
          <w:p w14:paraId="2F5CA79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7E8B8EE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329" w:type="dxa"/>
            <w:tcBorders>
              <w:top w:val="single" w:color="000000" w:sz="4" w:space="0"/>
              <w:left w:val="single" w:color="000000" w:sz="4" w:space="0"/>
              <w:bottom w:val="single" w:color="000000" w:sz="4" w:space="0"/>
              <w:right w:val="single" w:color="000000" w:sz="4" w:space="0"/>
            </w:tcBorders>
            <w:vAlign w:val="center"/>
          </w:tcPr>
          <w:p w14:paraId="38BCDB0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r>
    </w:tbl>
    <w:p w14:paraId="7E568C5E">
      <w:pPr>
        <w:spacing w:line="500" w:lineRule="exact"/>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w:t>
      </w:r>
      <w:r>
        <w:rPr>
          <w:rFonts w:hint="eastAsia" w:ascii="宋体" w:hAnsi="宋体" w:eastAsia="宋体" w:cs="宋体"/>
          <w:b/>
          <w:bCs/>
          <w:color w:val="auto"/>
          <w:sz w:val="24"/>
          <w:highlight w:val="none"/>
        </w:rPr>
        <w:t>注：</w:t>
      </w:r>
    </w:p>
    <w:p w14:paraId="1E79B564">
      <w:pPr>
        <w:spacing w:line="360" w:lineRule="auto"/>
        <w:ind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szCs w:val="24"/>
          <w:highlight w:val="none"/>
        </w:rPr>
        <w:t>行数不够，可自行添加。</w:t>
      </w:r>
      <w:r>
        <w:rPr>
          <w:rFonts w:hint="eastAsia" w:ascii="宋体" w:hAnsi="宋体" w:eastAsia="宋体" w:cs="宋体"/>
          <w:b/>
          <w:bCs/>
          <w:color w:val="auto"/>
          <w:sz w:val="24"/>
          <w:highlight w:val="none"/>
        </w:rPr>
        <w:t>若无偏离，在“有无偏离”栏中填写“无”；若有偏离在“有无偏离”栏中填写“有”并在“</w:t>
      </w:r>
      <w:r>
        <w:rPr>
          <w:rFonts w:hint="eastAsia" w:ascii="宋体" w:hAnsi="宋体" w:eastAsia="宋体" w:cs="宋体"/>
          <w:b/>
          <w:bCs/>
          <w:color w:val="auto"/>
          <w:sz w:val="24"/>
          <w:highlight w:val="none"/>
          <w:lang w:val="en-US" w:eastAsia="zh-CN"/>
        </w:rPr>
        <w:t>备注</w:t>
      </w:r>
      <w:r>
        <w:rPr>
          <w:rFonts w:hint="eastAsia" w:ascii="宋体" w:hAnsi="宋体" w:eastAsia="宋体" w:cs="宋体"/>
          <w:b/>
          <w:bCs/>
          <w:color w:val="auto"/>
          <w:sz w:val="24"/>
          <w:highlight w:val="none"/>
        </w:rPr>
        <w:t>”栏中作出说明。</w:t>
      </w:r>
      <w:r>
        <w:rPr>
          <w:rFonts w:hint="eastAsia" w:ascii="宋体" w:hAnsi="宋体" w:eastAsia="宋体" w:cs="宋体"/>
          <w:b/>
          <w:bCs/>
          <w:color w:val="auto"/>
          <w:sz w:val="24"/>
          <w:highlight w:val="none"/>
          <w:lang w:val="en-US" w:eastAsia="zh-CN"/>
        </w:rPr>
        <w:t>未注明或未填写任何内容的，视为全部响应。本项目不接受负偏离，否则作无效响应文件处理。</w:t>
      </w:r>
    </w:p>
    <w:p w14:paraId="5B947AA5">
      <w:pPr>
        <w:spacing w:line="480" w:lineRule="auto"/>
        <w:rPr>
          <w:rFonts w:hint="eastAsia" w:ascii="宋体" w:hAnsi="宋体" w:eastAsia="宋体" w:cs="宋体"/>
          <w:color w:val="auto"/>
          <w:sz w:val="24"/>
          <w:szCs w:val="24"/>
          <w:highlight w:val="none"/>
        </w:rPr>
      </w:pPr>
    </w:p>
    <w:p w14:paraId="14177890">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2A561CC">
      <w:pPr>
        <w:jc w:val="center"/>
        <w:rPr>
          <w:rFonts w:hint="eastAsia" w:ascii="宋体" w:hAnsi="宋体" w:eastAsia="宋体" w:cs="宋体"/>
          <w:color w:val="auto"/>
          <w:sz w:val="24"/>
          <w:szCs w:val="24"/>
          <w:highlight w:val="none"/>
        </w:rPr>
      </w:pPr>
      <w:bookmarkStart w:id="226" w:name="_Hlt26955066"/>
      <w:bookmarkEnd w:id="226"/>
      <w:bookmarkStart w:id="227" w:name="_Hlt26671374"/>
      <w:bookmarkEnd w:id="227"/>
      <w:bookmarkStart w:id="228" w:name="_Toc462564146"/>
      <w:bookmarkEnd w:id="228"/>
      <w:bookmarkStart w:id="229" w:name="_Hlt26609389"/>
      <w:bookmarkEnd w:id="229"/>
      <w:bookmarkStart w:id="230" w:name="_格式2__法定代表人授权书"/>
      <w:r>
        <w:rPr>
          <w:rFonts w:hint="eastAsia" w:ascii="宋体" w:hAnsi="宋体" w:eastAsia="宋体" w:cs="宋体"/>
          <w:color w:val="auto"/>
          <w:sz w:val="24"/>
          <w:szCs w:val="24"/>
          <w:highlight w:val="none"/>
        </w:rPr>
        <w:t> </w:t>
      </w:r>
    </w:p>
    <w:p w14:paraId="2E22693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A1D82DA">
      <w:pPr>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企业名称（加盖CA电子公章）：</w:t>
      </w:r>
    </w:p>
    <w:p w14:paraId="3E4FDA51">
      <w:pPr>
        <w:ind w:right="480" w:firstLine="5400"/>
        <w:rPr>
          <w:rFonts w:hint="eastAsia" w:ascii="宋体" w:hAnsi="宋体" w:eastAsia="宋体" w:cs="宋体"/>
          <w:color w:val="auto"/>
          <w:sz w:val="24"/>
          <w:szCs w:val="24"/>
          <w:highlight w:val="none"/>
        </w:rPr>
      </w:pPr>
    </w:p>
    <w:p w14:paraId="57C0D4DC">
      <w:pPr>
        <w:ind w:right="480"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383E732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30ADA5D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456C58D">
      <w:pPr>
        <w:jc w:val="center"/>
        <w:rPr>
          <w:rFonts w:hint="eastAsia" w:ascii="宋体" w:hAnsi="宋体" w:eastAsia="宋体" w:cs="宋体"/>
          <w:b/>
          <w:bCs/>
          <w:color w:val="auto"/>
          <w:sz w:val="32"/>
          <w:szCs w:val="32"/>
          <w:highlight w:val="none"/>
        </w:rPr>
      </w:pPr>
    </w:p>
    <w:p w14:paraId="2D2A91CE">
      <w:pPr>
        <w:jc w:val="center"/>
        <w:rPr>
          <w:rFonts w:hint="eastAsia" w:ascii="宋体" w:hAnsi="宋体" w:eastAsia="宋体" w:cs="宋体"/>
          <w:b/>
          <w:bCs/>
          <w:color w:val="auto"/>
          <w:sz w:val="32"/>
          <w:szCs w:val="32"/>
          <w:highlight w:val="none"/>
        </w:rPr>
      </w:pPr>
    </w:p>
    <w:p w14:paraId="66880835">
      <w:pPr>
        <w:pStyle w:val="58"/>
        <w:rPr>
          <w:rFonts w:hint="eastAsia"/>
          <w:color w:val="auto"/>
        </w:rPr>
      </w:pPr>
    </w:p>
    <w:p w14:paraId="23EA99FB">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四</w:t>
      </w:r>
      <w:r>
        <w:rPr>
          <w:rFonts w:hint="eastAsia" w:ascii="宋体" w:hAnsi="宋体" w:eastAsia="宋体" w:cs="宋体"/>
          <w:b/>
          <w:bCs/>
          <w:color w:val="auto"/>
          <w:sz w:val="32"/>
          <w:szCs w:val="32"/>
          <w:highlight w:val="none"/>
        </w:rPr>
        <w:t>、承诺书</w:t>
      </w:r>
    </w:p>
    <w:p w14:paraId="52CB2AB1">
      <w:pPr>
        <w:jc w:val="center"/>
        <w:rPr>
          <w:rFonts w:hint="eastAsia" w:ascii="宋体" w:hAnsi="宋体" w:eastAsia="宋体" w:cs="宋体"/>
          <w:b/>
          <w:color w:val="auto"/>
          <w:sz w:val="36"/>
          <w:szCs w:val="36"/>
          <w:highlight w:val="none"/>
        </w:rPr>
      </w:pPr>
    </w:p>
    <w:p w14:paraId="3C7738B6">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（供应商名称）在此承诺：</w:t>
      </w:r>
    </w:p>
    <w:p w14:paraId="1BA9A01A">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1、我单位同意并响应</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采购文件的所有内容。</w:t>
      </w:r>
    </w:p>
    <w:p w14:paraId="4659CD68">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2、本公司（单位）对本项目（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）所提供的服务符合国家相关规定和采购人要求；</w:t>
      </w:r>
    </w:p>
    <w:p w14:paraId="2C12134F">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我单位满足《中华人民共和国政府采购法》第二十二条规定</w:t>
      </w:r>
      <w:r>
        <w:rPr>
          <w:rFonts w:hint="eastAsia" w:ascii="宋体" w:hAnsi="宋体" w:eastAsia="宋体" w:cs="宋体"/>
          <w:bCs/>
          <w:color w:val="auto"/>
          <w:sz w:val="24"/>
          <w:szCs w:val="24"/>
          <w:highlight w:val="none"/>
        </w:rPr>
        <w:t>；</w:t>
      </w:r>
    </w:p>
    <w:p w14:paraId="48FFA744">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列入失信被执行人、重大税收违法失信主体、政府采购严重违法失信行为记录名单；</w:t>
      </w:r>
    </w:p>
    <w:p w14:paraId="25575BE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5、如违背上述承诺，本公司（单位）将承担一切法律责任。</w:t>
      </w:r>
    </w:p>
    <w:p w14:paraId="3BA8C8C1">
      <w:pPr>
        <w:jc w:val="center"/>
        <w:rPr>
          <w:rFonts w:hint="eastAsia" w:ascii="宋体" w:hAnsi="宋体" w:eastAsia="宋体" w:cs="宋体"/>
          <w:b/>
          <w:bCs/>
          <w:color w:val="auto"/>
          <w:sz w:val="32"/>
          <w:szCs w:val="32"/>
          <w:highlight w:val="none"/>
        </w:rPr>
      </w:pPr>
    </w:p>
    <w:p w14:paraId="4E607CFC">
      <w:pPr>
        <w:tabs>
          <w:tab w:val="left" w:pos="4860"/>
        </w:tabs>
        <w:ind w:right="1560" w:firstLine="6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8BAA0C0">
      <w:pPr>
        <w:tabs>
          <w:tab w:val="left" w:pos="4860"/>
        </w:tabs>
        <w:ind w:right="1560" w:firstLine="6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p>
    <w:p w14:paraId="2B0811FF">
      <w:pPr>
        <w:tabs>
          <w:tab w:val="left" w:pos="4860"/>
        </w:tabs>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BCA0A7C">
      <w:pPr>
        <w:tabs>
          <w:tab w:val="left" w:pos="4860"/>
        </w:tabs>
        <w:ind w:right="1560" w:firstLine="480"/>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日  期：</w:t>
      </w:r>
    </w:p>
    <w:p w14:paraId="31F579B8">
      <w:pPr>
        <w:jc w:val="center"/>
        <w:rPr>
          <w:rFonts w:hint="eastAsia" w:ascii="宋体" w:hAnsi="宋体" w:eastAsia="宋体" w:cs="宋体"/>
          <w:b/>
          <w:bCs/>
          <w:color w:val="auto"/>
          <w:sz w:val="32"/>
          <w:szCs w:val="32"/>
          <w:highlight w:val="none"/>
        </w:rPr>
      </w:pPr>
    </w:p>
    <w:p w14:paraId="3D057882">
      <w:pPr>
        <w:jc w:val="center"/>
        <w:rPr>
          <w:rFonts w:hint="eastAsia" w:ascii="宋体" w:hAnsi="宋体" w:eastAsia="宋体" w:cs="宋体"/>
          <w:b/>
          <w:bCs/>
          <w:color w:val="auto"/>
          <w:sz w:val="32"/>
          <w:szCs w:val="32"/>
          <w:highlight w:val="none"/>
        </w:rPr>
      </w:pPr>
    </w:p>
    <w:p w14:paraId="3C3F46A6">
      <w:pPr>
        <w:jc w:val="center"/>
        <w:rPr>
          <w:rFonts w:hint="eastAsia" w:ascii="宋体" w:hAnsi="宋体" w:eastAsia="宋体" w:cs="宋体"/>
          <w:b/>
          <w:bCs/>
          <w:color w:val="auto"/>
          <w:sz w:val="32"/>
          <w:szCs w:val="32"/>
          <w:highlight w:val="none"/>
        </w:rPr>
      </w:pPr>
    </w:p>
    <w:p w14:paraId="4D2689A3">
      <w:pPr>
        <w:pStyle w:val="2"/>
        <w:rPr>
          <w:rFonts w:hint="eastAsia" w:ascii="宋体" w:hAnsi="宋体" w:eastAsia="宋体" w:cs="宋体"/>
          <w:b/>
          <w:bCs/>
          <w:color w:val="auto"/>
          <w:sz w:val="32"/>
          <w:szCs w:val="32"/>
          <w:highlight w:val="none"/>
        </w:rPr>
      </w:pPr>
    </w:p>
    <w:p w14:paraId="04405876">
      <w:pPr>
        <w:rPr>
          <w:rFonts w:hint="eastAsia" w:ascii="宋体" w:hAnsi="宋体" w:eastAsia="宋体" w:cs="宋体"/>
          <w:b/>
          <w:bCs/>
          <w:color w:val="auto"/>
          <w:sz w:val="32"/>
          <w:szCs w:val="32"/>
          <w:highlight w:val="none"/>
        </w:rPr>
      </w:pPr>
    </w:p>
    <w:p w14:paraId="09A2F500">
      <w:pPr>
        <w:pStyle w:val="58"/>
        <w:rPr>
          <w:rFonts w:hint="eastAsia" w:ascii="宋体" w:hAnsi="宋体" w:eastAsia="宋体" w:cs="宋体"/>
          <w:b/>
          <w:bCs/>
          <w:color w:val="auto"/>
          <w:sz w:val="32"/>
          <w:szCs w:val="32"/>
          <w:highlight w:val="none"/>
        </w:rPr>
      </w:pPr>
    </w:p>
    <w:p w14:paraId="6DF10F7A">
      <w:pPr>
        <w:pStyle w:val="58"/>
        <w:rPr>
          <w:rFonts w:hint="eastAsia" w:ascii="宋体" w:hAnsi="宋体" w:eastAsia="宋体" w:cs="宋体"/>
          <w:b/>
          <w:bCs/>
          <w:color w:val="auto"/>
          <w:sz w:val="32"/>
          <w:szCs w:val="32"/>
          <w:highlight w:val="none"/>
        </w:rPr>
      </w:pPr>
    </w:p>
    <w:p w14:paraId="55D02ABA">
      <w:pPr>
        <w:rPr>
          <w:rFonts w:hint="eastAsia" w:ascii="宋体" w:hAnsi="宋体" w:eastAsia="宋体" w:cs="宋体"/>
          <w:b/>
          <w:bCs/>
          <w:color w:val="auto"/>
          <w:sz w:val="32"/>
          <w:szCs w:val="32"/>
          <w:highlight w:val="none"/>
        </w:rPr>
      </w:pPr>
    </w:p>
    <w:p w14:paraId="3327233B">
      <w:pPr>
        <w:pStyle w:val="2"/>
        <w:rPr>
          <w:rFonts w:hint="eastAsia" w:ascii="宋体" w:hAnsi="宋体" w:eastAsia="宋体" w:cs="宋体"/>
          <w:b/>
          <w:bCs/>
          <w:color w:val="auto"/>
          <w:sz w:val="32"/>
          <w:szCs w:val="32"/>
          <w:highlight w:val="none"/>
        </w:rPr>
      </w:pPr>
    </w:p>
    <w:p w14:paraId="1CEA84B9">
      <w:pPr>
        <w:rPr>
          <w:rFonts w:hint="eastAsia" w:ascii="宋体" w:hAnsi="宋体" w:eastAsia="宋体" w:cs="宋体"/>
          <w:b/>
          <w:bCs/>
          <w:color w:val="auto"/>
          <w:sz w:val="32"/>
          <w:szCs w:val="32"/>
          <w:highlight w:val="none"/>
        </w:rPr>
      </w:pPr>
    </w:p>
    <w:p w14:paraId="168E1865">
      <w:pPr>
        <w:pStyle w:val="19"/>
        <w:rPr>
          <w:rFonts w:hint="eastAsia"/>
          <w:color w:val="auto"/>
        </w:rPr>
      </w:pPr>
    </w:p>
    <w:p w14:paraId="0A81EFBE">
      <w:pPr>
        <w:pStyle w:val="19"/>
        <w:rPr>
          <w:rFonts w:hint="eastAsia" w:ascii="宋体" w:hAnsi="宋体" w:eastAsia="宋体" w:cs="宋体"/>
          <w:b/>
          <w:bCs/>
          <w:color w:val="auto"/>
          <w:sz w:val="32"/>
          <w:szCs w:val="32"/>
          <w:highlight w:val="none"/>
        </w:rPr>
      </w:pPr>
    </w:p>
    <w:p w14:paraId="35D553DC">
      <w:pPr>
        <w:spacing w:line="360" w:lineRule="auto"/>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十五、其它（供应商认为有必要提供的声明和文件，如有自拟并自行添加）</w:t>
      </w:r>
    </w:p>
    <w:p w14:paraId="2FD48998">
      <w:pPr>
        <w:pStyle w:val="13"/>
        <w:overflowPunct w:val="0"/>
        <w:spacing w:line="400" w:lineRule="exact"/>
        <w:jc w:val="both"/>
        <w:rPr>
          <w:rFonts w:hint="eastAsia" w:ascii="宋体" w:hAnsi="宋体" w:eastAsia="宋体" w:cs="宋体"/>
          <w:color w:val="auto"/>
          <w:sz w:val="21"/>
          <w:szCs w:val="20"/>
          <w:highlight w:val="none"/>
        </w:rPr>
      </w:pPr>
    </w:p>
    <w:p w14:paraId="44CB3470">
      <w:pPr>
        <w:pStyle w:val="13"/>
        <w:overflowPunct w:val="0"/>
        <w:spacing w:line="400" w:lineRule="exact"/>
        <w:jc w:val="both"/>
        <w:rPr>
          <w:rFonts w:hint="eastAsia" w:ascii="宋体" w:hAnsi="宋体" w:eastAsia="宋体" w:cs="宋体"/>
          <w:color w:val="auto"/>
          <w:sz w:val="21"/>
          <w:szCs w:val="20"/>
          <w:highlight w:val="none"/>
        </w:rPr>
      </w:pPr>
    </w:p>
    <w:p w14:paraId="55163B3E">
      <w:pPr>
        <w:pStyle w:val="13"/>
        <w:overflowPunct w:val="0"/>
        <w:spacing w:line="400" w:lineRule="exact"/>
        <w:jc w:val="both"/>
        <w:rPr>
          <w:rFonts w:hint="eastAsia" w:ascii="宋体" w:hAnsi="宋体" w:eastAsia="宋体" w:cs="宋体"/>
          <w:color w:val="auto"/>
          <w:sz w:val="21"/>
          <w:szCs w:val="20"/>
          <w:highlight w:val="none"/>
        </w:rPr>
      </w:pPr>
    </w:p>
    <w:p w14:paraId="493CF287">
      <w:pPr>
        <w:pStyle w:val="13"/>
        <w:overflowPunct w:val="0"/>
        <w:spacing w:line="400" w:lineRule="exact"/>
        <w:jc w:val="both"/>
        <w:rPr>
          <w:rFonts w:hint="eastAsia" w:ascii="宋体" w:hAnsi="宋体" w:eastAsia="宋体" w:cs="宋体"/>
          <w:color w:val="auto"/>
          <w:sz w:val="21"/>
          <w:szCs w:val="20"/>
          <w:highlight w:val="none"/>
        </w:rPr>
      </w:pPr>
    </w:p>
    <w:p w14:paraId="635E8AAD">
      <w:pPr>
        <w:pStyle w:val="13"/>
        <w:overflowPunct w:val="0"/>
        <w:spacing w:line="400" w:lineRule="exact"/>
        <w:jc w:val="both"/>
        <w:rPr>
          <w:rFonts w:hint="eastAsia" w:ascii="宋体" w:hAnsi="宋体" w:eastAsia="宋体" w:cs="宋体"/>
          <w:color w:val="auto"/>
          <w:sz w:val="21"/>
          <w:szCs w:val="20"/>
          <w:highlight w:val="none"/>
        </w:rPr>
      </w:pPr>
    </w:p>
    <w:p w14:paraId="0C5325C5">
      <w:pPr>
        <w:pStyle w:val="13"/>
        <w:overflowPunct w:val="0"/>
        <w:spacing w:line="400" w:lineRule="exact"/>
        <w:jc w:val="both"/>
        <w:rPr>
          <w:rFonts w:hint="eastAsia" w:ascii="宋体" w:hAnsi="宋体" w:eastAsia="宋体" w:cs="宋体"/>
          <w:color w:val="auto"/>
          <w:sz w:val="21"/>
          <w:szCs w:val="20"/>
          <w:highlight w:val="none"/>
        </w:rPr>
      </w:pPr>
    </w:p>
    <w:p w14:paraId="70558A0D">
      <w:pPr>
        <w:pStyle w:val="13"/>
        <w:overflowPunct w:val="0"/>
        <w:spacing w:line="400" w:lineRule="exact"/>
        <w:jc w:val="both"/>
        <w:rPr>
          <w:rFonts w:hint="eastAsia" w:ascii="宋体" w:hAnsi="宋体" w:eastAsia="宋体" w:cs="宋体"/>
          <w:color w:val="auto"/>
          <w:sz w:val="21"/>
          <w:szCs w:val="20"/>
          <w:highlight w:val="none"/>
        </w:rPr>
      </w:pPr>
    </w:p>
    <w:p w14:paraId="638BCF0A">
      <w:pPr>
        <w:pStyle w:val="13"/>
        <w:overflowPunct w:val="0"/>
        <w:spacing w:line="400" w:lineRule="exact"/>
        <w:jc w:val="both"/>
        <w:rPr>
          <w:rFonts w:hint="eastAsia" w:ascii="宋体" w:hAnsi="宋体" w:eastAsia="宋体" w:cs="宋体"/>
          <w:color w:val="auto"/>
          <w:sz w:val="21"/>
          <w:szCs w:val="20"/>
          <w:highlight w:val="none"/>
        </w:rPr>
      </w:pPr>
    </w:p>
    <w:p w14:paraId="12A2F443">
      <w:pPr>
        <w:pStyle w:val="13"/>
        <w:overflowPunct w:val="0"/>
        <w:spacing w:line="400" w:lineRule="exact"/>
        <w:jc w:val="both"/>
        <w:rPr>
          <w:rFonts w:hint="eastAsia" w:ascii="宋体" w:hAnsi="宋体" w:eastAsia="宋体" w:cs="宋体"/>
          <w:color w:val="auto"/>
          <w:sz w:val="21"/>
          <w:szCs w:val="20"/>
          <w:highlight w:val="none"/>
        </w:rPr>
      </w:pPr>
    </w:p>
    <w:p w14:paraId="4CB7BFDC">
      <w:pPr>
        <w:pStyle w:val="13"/>
        <w:overflowPunct w:val="0"/>
        <w:spacing w:line="400" w:lineRule="exact"/>
        <w:jc w:val="both"/>
        <w:rPr>
          <w:rFonts w:hint="eastAsia" w:ascii="宋体" w:hAnsi="宋体" w:eastAsia="宋体" w:cs="宋体"/>
          <w:color w:val="auto"/>
          <w:sz w:val="21"/>
          <w:szCs w:val="20"/>
          <w:highlight w:val="none"/>
        </w:rPr>
      </w:pPr>
    </w:p>
    <w:p w14:paraId="65B7FC60">
      <w:pPr>
        <w:pStyle w:val="13"/>
        <w:overflowPunct w:val="0"/>
        <w:spacing w:line="400" w:lineRule="exact"/>
        <w:jc w:val="both"/>
        <w:rPr>
          <w:rFonts w:hint="eastAsia" w:ascii="宋体" w:hAnsi="宋体" w:eastAsia="宋体" w:cs="宋体"/>
          <w:color w:val="auto"/>
          <w:sz w:val="21"/>
          <w:szCs w:val="20"/>
          <w:highlight w:val="none"/>
        </w:rPr>
      </w:pPr>
    </w:p>
    <w:p w14:paraId="1D31AC2A">
      <w:pPr>
        <w:pStyle w:val="13"/>
        <w:overflowPunct w:val="0"/>
        <w:spacing w:line="400" w:lineRule="exact"/>
        <w:jc w:val="both"/>
        <w:rPr>
          <w:rFonts w:hint="eastAsia" w:ascii="宋体" w:hAnsi="宋体" w:eastAsia="宋体" w:cs="宋体"/>
          <w:color w:val="auto"/>
          <w:sz w:val="21"/>
          <w:szCs w:val="20"/>
          <w:highlight w:val="none"/>
        </w:rPr>
      </w:pPr>
    </w:p>
    <w:p w14:paraId="4AD4D033">
      <w:pPr>
        <w:pStyle w:val="13"/>
        <w:overflowPunct w:val="0"/>
        <w:spacing w:line="400" w:lineRule="exact"/>
        <w:jc w:val="both"/>
        <w:rPr>
          <w:rFonts w:hint="eastAsia" w:ascii="宋体" w:hAnsi="宋体" w:eastAsia="宋体" w:cs="宋体"/>
          <w:color w:val="auto"/>
          <w:sz w:val="21"/>
          <w:szCs w:val="20"/>
          <w:highlight w:val="none"/>
        </w:rPr>
      </w:pPr>
    </w:p>
    <w:p w14:paraId="1A8C6BED">
      <w:pPr>
        <w:pStyle w:val="13"/>
        <w:overflowPunct w:val="0"/>
        <w:spacing w:line="400" w:lineRule="exact"/>
        <w:jc w:val="both"/>
        <w:rPr>
          <w:rFonts w:hint="eastAsia" w:ascii="宋体" w:hAnsi="宋体" w:eastAsia="宋体" w:cs="宋体"/>
          <w:color w:val="auto"/>
          <w:sz w:val="21"/>
          <w:szCs w:val="20"/>
          <w:highlight w:val="none"/>
        </w:rPr>
      </w:pPr>
    </w:p>
    <w:p w14:paraId="11E2225D">
      <w:pPr>
        <w:pStyle w:val="13"/>
        <w:overflowPunct w:val="0"/>
        <w:spacing w:line="400" w:lineRule="exact"/>
        <w:jc w:val="both"/>
        <w:rPr>
          <w:rFonts w:hint="eastAsia" w:ascii="宋体" w:hAnsi="宋体" w:eastAsia="宋体" w:cs="宋体"/>
          <w:color w:val="auto"/>
          <w:sz w:val="21"/>
          <w:szCs w:val="20"/>
          <w:highlight w:val="none"/>
        </w:rPr>
      </w:pPr>
    </w:p>
    <w:p w14:paraId="520CE374">
      <w:pPr>
        <w:pStyle w:val="13"/>
        <w:overflowPunct w:val="0"/>
        <w:spacing w:line="400" w:lineRule="exact"/>
        <w:jc w:val="both"/>
        <w:rPr>
          <w:rFonts w:hint="eastAsia" w:ascii="宋体" w:hAnsi="宋体" w:eastAsia="宋体" w:cs="宋体"/>
          <w:color w:val="auto"/>
          <w:sz w:val="21"/>
          <w:szCs w:val="20"/>
          <w:highlight w:val="none"/>
        </w:rPr>
      </w:pPr>
    </w:p>
    <w:p w14:paraId="5BBBCD72">
      <w:pPr>
        <w:pStyle w:val="13"/>
        <w:overflowPunct w:val="0"/>
        <w:spacing w:line="400" w:lineRule="exact"/>
        <w:jc w:val="both"/>
        <w:rPr>
          <w:rFonts w:hint="eastAsia" w:ascii="宋体" w:hAnsi="宋体" w:eastAsia="宋体" w:cs="宋体"/>
          <w:color w:val="auto"/>
          <w:sz w:val="21"/>
          <w:szCs w:val="20"/>
          <w:highlight w:val="none"/>
        </w:rPr>
      </w:pPr>
    </w:p>
    <w:p w14:paraId="4F8E54C2">
      <w:pPr>
        <w:pStyle w:val="13"/>
        <w:overflowPunct w:val="0"/>
        <w:spacing w:line="400" w:lineRule="exact"/>
        <w:jc w:val="both"/>
        <w:rPr>
          <w:rFonts w:hint="eastAsia" w:ascii="宋体" w:hAnsi="宋体" w:eastAsia="宋体" w:cs="宋体"/>
          <w:color w:val="auto"/>
          <w:sz w:val="21"/>
          <w:szCs w:val="20"/>
          <w:highlight w:val="none"/>
        </w:rPr>
      </w:pPr>
    </w:p>
    <w:p w14:paraId="394F2435">
      <w:pPr>
        <w:pStyle w:val="13"/>
        <w:overflowPunct w:val="0"/>
        <w:spacing w:line="400" w:lineRule="exact"/>
        <w:jc w:val="both"/>
        <w:rPr>
          <w:rFonts w:hint="eastAsia" w:ascii="宋体" w:hAnsi="宋体" w:eastAsia="宋体" w:cs="宋体"/>
          <w:color w:val="auto"/>
          <w:sz w:val="21"/>
          <w:szCs w:val="20"/>
          <w:highlight w:val="none"/>
        </w:rPr>
      </w:pPr>
    </w:p>
    <w:p w14:paraId="0AD57FB4">
      <w:pPr>
        <w:pStyle w:val="13"/>
        <w:overflowPunct w:val="0"/>
        <w:spacing w:line="400" w:lineRule="exact"/>
        <w:jc w:val="both"/>
        <w:rPr>
          <w:rFonts w:hint="eastAsia" w:ascii="宋体" w:hAnsi="宋体" w:eastAsia="宋体" w:cs="宋体"/>
          <w:color w:val="auto"/>
          <w:sz w:val="21"/>
          <w:szCs w:val="20"/>
          <w:highlight w:val="none"/>
        </w:rPr>
      </w:pPr>
    </w:p>
    <w:p w14:paraId="4DAFDF69">
      <w:pPr>
        <w:pStyle w:val="13"/>
        <w:overflowPunct w:val="0"/>
        <w:spacing w:line="400" w:lineRule="exact"/>
        <w:jc w:val="both"/>
        <w:rPr>
          <w:rFonts w:hint="eastAsia" w:ascii="宋体" w:hAnsi="宋体" w:eastAsia="宋体" w:cs="宋体"/>
          <w:color w:val="auto"/>
          <w:sz w:val="21"/>
          <w:szCs w:val="20"/>
          <w:highlight w:val="none"/>
        </w:rPr>
      </w:pPr>
    </w:p>
    <w:p w14:paraId="7E87BE8F">
      <w:pPr>
        <w:pStyle w:val="13"/>
        <w:overflowPunct w:val="0"/>
        <w:spacing w:line="400" w:lineRule="exact"/>
        <w:jc w:val="both"/>
        <w:rPr>
          <w:rFonts w:hint="eastAsia" w:ascii="宋体" w:hAnsi="宋体" w:eastAsia="宋体" w:cs="宋体"/>
          <w:color w:val="auto"/>
          <w:sz w:val="21"/>
          <w:szCs w:val="20"/>
          <w:highlight w:val="none"/>
        </w:rPr>
      </w:pPr>
    </w:p>
    <w:p w14:paraId="2045A8DB">
      <w:pPr>
        <w:pStyle w:val="13"/>
        <w:overflowPunct w:val="0"/>
        <w:spacing w:line="400" w:lineRule="exact"/>
        <w:jc w:val="both"/>
        <w:rPr>
          <w:rFonts w:hint="eastAsia" w:ascii="宋体" w:hAnsi="宋体" w:eastAsia="宋体" w:cs="宋体"/>
          <w:color w:val="auto"/>
          <w:sz w:val="21"/>
          <w:szCs w:val="20"/>
          <w:highlight w:val="none"/>
        </w:rPr>
      </w:pPr>
    </w:p>
    <w:p w14:paraId="58769CCB">
      <w:pPr>
        <w:pStyle w:val="13"/>
        <w:overflowPunct w:val="0"/>
        <w:spacing w:line="400" w:lineRule="exact"/>
        <w:jc w:val="both"/>
        <w:rPr>
          <w:rFonts w:hint="eastAsia" w:ascii="宋体" w:hAnsi="宋体" w:eastAsia="宋体" w:cs="宋体"/>
          <w:color w:val="auto"/>
          <w:sz w:val="21"/>
          <w:szCs w:val="20"/>
          <w:highlight w:val="none"/>
        </w:rPr>
      </w:pPr>
    </w:p>
    <w:p w14:paraId="549B5F0C">
      <w:pPr>
        <w:pStyle w:val="13"/>
        <w:overflowPunct w:val="0"/>
        <w:spacing w:line="400" w:lineRule="exact"/>
        <w:jc w:val="both"/>
        <w:rPr>
          <w:rFonts w:hint="eastAsia" w:ascii="宋体" w:hAnsi="宋体" w:eastAsia="宋体" w:cs="宋体"/>
          <w:color w:val="auto"/>
          <w:sz w:val="21"/>
          <w:szCs w:val="20"/>
          <w:highlight w:val="none"/>
        </w:rPr>
      </w:pPr>
    </w:p>
    <w:p w14:paraId="7515ADB9">
      <w:pPr>
        <w:pStyle w:val="13"/>
        <w:overflowPunct w:val="0"/>
        <w:spacing w:line="400" w:lineRule="exact"/>
        <w:jc w:val="both"/>
        <w:rPr>
          <w:rFonts w:hint="eastAsia" w:ascii="宋体" w:hAnsi="宋体" w:eastAsia="宋体" w:cs="宋体"/>
          <w:color w:val="auto"/>
          <w:sz w:val="21"/>
          <w:szCs w:val="20"/>
          <w:highlight w:val="none"/>
        </w:rPr>
      </w:pPr>
    </w:p>
    <w:p w14:paraId="1DE1C0C8">
      <w:pPr>
        <w:pStyle w:val="13"/>
        <w:overflowPunct w:val="0"/>
        <w:spacing w:line="400" w:lineRule="exact"/>
        <w:jc w:val="both"/>
        <w:rPr>
          <w:rFonts w:hint="eastAsia" w:ascii="宋体" w:hAnsi="宋体" w:eastAsia="宋体" w:cs="宋体"/>
          <w:color w:val="auto"/>
          <w:sz w:val="21"/>
          <w:szCs w:val="20"/>
          <w:highlight w:val="none"/>
        </w:rPr>
      </w:pPr>
    </w:p>
    <w:p w14:paraId="699A0256">
      <w:pPr>
        <w:pStyle w:val="13"/>
        <w:overflowPunct w:val="0"/>
        <w:spacing w:line="400" w:lineRule="exact"/>
        <w:jc w:val="both"/>
        <w:rPr>
          <w:rFonts w:hint="eastAsia" w:ascii="宋体" w:hAnsi="宋体" w:eastAsia="宋体" w:cs="宋体"/>
          <w:color w:val="auto"/>
          <w:sz w:val="21"/>
          <w:szCs w:val="20"/>
          <w:highlight w:val="none"/>
        </w:rPr>
      </w:pPr>
    </w:p>
    <w:p w14:paraId="098F5A66">
      <w:pPr>
        <w:pStyle w:val="13"/>
        <w:overflowPunct w:val="0"/>
        <w:spacing w:line="400" w:lineRule="exact"/>
        <w:jc w:val="both"/>
        <w:rPr>
          <w:rFonts w:hint="eastAsia" w:ascii="宋体" w:hAnsi="宋体" w:eastAsia="宋体" w:cs="宋体"/>
          <w:color w:val="auto"/>
          <w:sz w:val="21"/>
          <w:szCs w:val="20"/>
          <w:highlight w:val="none"/>
        </w:rPr>
      </w:pPr>
    </w:p>
    <w:p w14:paraId="4E782E49">
      <w:pPr>
        <w:pStyle w:val="13"/>
        <w:overflowPunct w:val="0"/>
        <w:spacing w:line="400" w:lineRule="exact"/>
        <w:jc w:val="both"/>
        <w:rPr>
          <w:rFonts w:hint="eastAsia" w:ascii="宋体" w:hAnsi="宋体" w:eastAsia="宋体" w:cs="宋体"/>
          <w:color w:val="auto"/>
          <w:sz w:val="21"/>
          <w:szCs w:val="20"/>
          <w:highlight w:val="none"/>
        </w:rPr>
      </w:pPr>
    </w:p>
    <w:p w14:paraId="6E094105">
      <w:pPr>
        <w:pStyle w:val="13"/>
        <w:overflowPunct w:val="0"/>
        <w:spacing w:line="400" w:lineRule="exact"/>
        <w:jc w:val="both"/>
        <w:rPr>
          <w:rFonts w:hint="eastAsia" w:ascii="宋体" w:hAnsi="宋体" w:eastAsia="宋体" w:cs="宋体"/>
          <w:color w:val="auto"/>
          <w:sz w:val="21"/>
          <w:szCs w:val="20"/>
          <w:highlight w:val="none"/>
        </w:rPr>
      </w:pPr>
    </w:p>
    <w:p w14:paraId="72249626">
      <w:pPr>
        <w:jc w:val="center"/>
        <w:rPr>
          <w:rFonts w:ascii="仿宋" w:hAnsi="仿宋" w:eastAsia="仿宋" w:cs="仿宋"/>
          <w:b/>
          <w:bCs/>
          <w:color w:val="auto"/>
          <w:sz w:val="40"/>
          <w:szCs w:val="40"/>
        </w:rPr>
      </w:pPr>
      <w:r>
        <w:rPr>
          <w:rFonts w:hint="eastAsia" w:ascii="仿宋" w:hAnsi="仿宋" w:eastAsia="仿宋" w:cs="仿宋"/>
          <w:b/>
          <w:bCs/>
          <w:color w:val="auto"/>
          <w:sz w:val="40"/>
          <w:szCs w:val="40"/>
        </w:rPr>
        <w:t>质疑函范本</w:t>
      </w:r>
    </w:p>
    <w:p w14:paraId="29C3A04A">
      <w:pPr>
        <w:adjustRightInd w:val="0"/>
        <w:snapToGrid w:val="0"/>
        <w:spacing w:beforeLines="100" w:line="360" w:lineRule="auto"/>
        <w:rPr>
          <w:rFonts w:ascii="黑体" w:hAnsi="黑体" w:eastAsia="黑体" w:cs="仿宋"/>
          <w:bCs/>
          <w:color w:val="auto"/>
          <w:sz w:val="28"/>
          <w:szCs w:val="28"/>
        </w:rPr>
      </w:pPr>
      <w:r>
        <w:rPr>
          <w:rFonts w:hint="eastAsia" w:ascii="黑体" w:hAnsi="黑体" w:eastAsia="黑体" w:cs="仿宋"/>
          <w:bCs/>
          <w:color w:val="auto"/>
          <w:sz w:val="28"/>
          <w:szCs w:val="28"/>
        </w:rPr>
        <w:t>一、质疑供应商基本信息</w:t>
      </w:r>
    </w:p>
    <w:p w14:paraId="15584844">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质疑供应商：</w:t>
      </w:r>
      <w:r>
        <w:rPr>
          <w:rFonts w:hint="eastAsia" w:ascii="仿宋" w:hAnsi="仿宋" w:eastAsia="仿宋" w:cs="仿宋"/>
          <w:color w:val="auto"/>
          <w:sz w:val="28"/>
          <w:szCs w:val="28"/>
          <w:u w:val="dotted"/>
        </w:rPr>
        <w:t xml:space="preserve">                                        </w:t>
      </w:r>
    </w:p>
    <w:p w14:paraId="47F3B42B">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地址：</w:t>
      </w:r>
      <w:r>
        <w:rPr>
          <w:rFonts w:hint="eastAsia" w:ascii="仿宋" w:hAnsi="仿宋" w:eastAsia="仿宋" w:cs="仿宋"/>
          <w:color w:val="auto"/>
          <w:sz w:val="28"/>
          <w:szCs w:val="28"/>
          <w:u w:val="dotted"/>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dotted"/>
        </w:rPr>
        <w:t xml:space="preserve">                                                   </w:t>
      </w:r>
    </w:p>
    <w:p w14:paraId="73699631">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联系人：</w:t>
      </w:r>
      <w:r>
        <w:rPr>
          <w:rFonts w:hint="eastAsia" w:ascii="仿宋" w:hAnsi="仿宋" w:eastAsia="仿宋" w:cs="仿宋"/>
          <w:color w:val="auto"/>
          <w:sz w:val="28"/>
          <w:szCs w:val="28"/>
          <w:u w:val="dotted"/>
        </w:rPr>
        <w:t xml:space="preserve">                      </w:t>
      </w:r>
      <w:r>
        <w:rPr>
          <w:rFonts w:hint="eastAsia" w:ascii="仿宋" w:hAnsi="仿宋" w:eastAsia="仿宋" w:cs="仿宋"/>
          <w:color w:val="auto"/>
          <w:sz w:val="28"/>
          <w:szCs w:val="28"/>
        </w:rPr>
        <w:t>联系电话：</w:t>
      </w:r>
      <w:r>
        <w:rPr>
          <w:rFonts w:hint="eastAsia" w:ascii="仿宋" w:hAnsi="仿宋" w:eastAsia="仿宋" w:cs="仿宋"/>
          <w:color w:val="auto"/>
          <w:sz w:val="28"/>
          <w:szCs w:val="28"/>
          <w:u w:val="dotted"/>
        </w:rPr>
        <w:t xml:space="preserve">                              </w:t>
      </w:r>
    </w:p>
    <w:p w14:paraId="0834E3C7">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授权代表：</w:t>
      </w:r>
      <w:r>
        <w:rPr>
          <w:rFonts w:hint="eastAsia" w:ascii="仿宋" w:hAnsi="仿宋" w:eastAsia="仿宋" w:cs="仿宋"/>
          <w:color w:val="auto"/>
          <w:sz w:val="28"/>
          <w:szCs w:val="28"/>
          <w:u w:val="dotted"/>
        </w:rPr>
        <w:t xml:space="preserve">                                          </w:t>
      </w:r>
    </w:p>
    <w:p w14:paraId="5A146F5F">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联系电话：</w:t>
      </w:r>
      <w:r>
        <w:rPr>
          <w:rFonts w:hint="eastAsia" w:ascii="仿宋" w:hAnsi="仿宋" w:eastAsia="仿宋" w:cs="仿宋"/>
          <w:color w:val="auto"/>
          <w:sz w:val="28"/>
          <w:szCs w:val="28"/>
          <w:u w:val="dotted"/>
        </w:rPr>
        <w:t xml:space="preserve">                                           </w:t>
      </w:r>
      <w:r>
        <w:rPr>
          <w:rFonts w:ascii="仿宋" w:hAnsi="仿宋" w:eastAsia="仿宋" w:cs="仿宋"/>
          <w:color w:val="auto"/>
          <w:sz w:val="28"/>
          <w:szCs w:val="28"/>
        </w:rPr>
        <w:t xml:space="preserve"> </w:t>
      </w:r>
    </w:p>
    <w:p w14:paraId="4458394A">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地址：</w:t>
      </w:r>
      <w:r>
        <w:rPr>
          <w:rFonts w:ascii="仿宋" w:hAnsi="仿宋" w:eastAsia="仿宋" w:cs="仿宋"/>
          <w:color w:val="auto"/>
          <w:sz w:val="28"/>
          <w:szCs w:val="28"/>
        </w:rPr>
        <w:t xml:space="preserve"> </w:t>
      </w:r>
      <w:r>
        <w:rPr>
          <w:rFonts w:hint="eastAsia" w:ascii="仿宋" w:hAnsi="仿宋" w:eastAsia="仿宋" w:cs="仿宋"/>
          <w:color w:val="auto"/>
          <w:sz w:val="28"/>
          <w:szCs w:val="28"/>
          <w:u w:val="dotted"/>
        </w:rPr>
        <w:t xml:space="preserve">                        </w:t>
      </w:r>
      <w:r>
        <w:rPr>
          <w:rFonts w:hint="eastAsia" w:ascii="仿宋" w:hAnsi="仿宋" w:eastAsia="仿宋" w:cs="仿宋"/>
          <w:color w:val="auto"/>
          <w:sz w:val="28"/>
          <w:szCs w:val="28"/>
        </w:rPr>
        <w:t>邮编：</w:t>
      </w:r>
      <w:r>
        <w:rPr>
          <w:rFonts w:hint="eastAsia" w:ascii="仿宋" w:hAnsi="仿宋" w:eastAsia="仿宋" w:cs="仿宋"/>
          <w:color w:val="auto"/>
          <w:sz w:val="28"/>
          <w:szCs w:val="28"/>
          <w:u w:val="dotted"/>
        </w:rPr>
        <w:t xml:space="preserve">                                                </w:t>
      </w:r>
    </w:p>
    <w:p w14:paraId="636AA91D">
      <w:pPr>
        <w:adjustRightInd w:val="0"/>
        <w:snapToGrid w:val="0"/>
        <w:spacing w:line="360" w:lineRule="auto"/>
        <w:rPr>
          <w:rFonts w:ascii="黑体" w:hAnsi="黑体" w:eastAsia="黑体" w:cs="仿宋"/>
          <w:bCs/>
          <w:color w:val="auto"/>
          <w:sz w:val="28"/>
          <w:szCs w:val="28"/>
        </w:rPr>
      </w:pPr>
      <w:r>
        <w:rPr>
          <w:rFonts w:hint="eastAsia" w:ascii="黑体" w:hAnsi="黑体" w:eastAsia="黑体" w:cs="仿宋"/>
          <w:bCs/>
          <w:color w:val="auto"/>
          <w:sz w:val="28"/>
          <w:szCs w:val="28"/>
        </w:rPr>
        <w:t>二、质疑项目基本情况</w:t>
      </w:r>
    </w:p>
    <w:p w14:paraId="375DB099">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质疑项目的名称：</w:t>
      </w:r>
      <w:r>
        <w:rPr>
          <w:rFonts w:hint="eastAsia" w:ascii="仿宋" w:hAnsi="仿宋" w:eastAsia="仿宋" w:cs="仿宋"/>
          <w:color w:val="auto"/>
          <w:sz w:val="28"/>
          <w:szCs w:val="28"/>
          <w:u w:val="dotted"/>
        </w:rPr>
        <w:t xml:space="preserve">                                      </w:t>
      </w:r>
    </w:p>
    <w:p w14:paraId="21FCBE2C">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质疑项目的编号：</w:t>
      </w:r>
      <w:r>
        <w:rPr>
          <w:rFonts w:hint="eastAsia" w:ascii="仿宋" w:hAnsi="仿宋" w:eastAsia="仿宋" w:cs="仿宋"/>
          <w:color w:val="auto"/>
          <w:sz w:val="28"/>
          <w:szCs w:val="28"/>
          <w:u w:val="dotted"/>
        </w:rPr>
        <w:t xml:space="preserve">               </w:t>
      </w:r>
      <w:r>
        <w:rPr>
          <w:rFonts w:hint="eastAsia" w:ascii="仿宋" w:hAnsi="仿宋" w:eastAsia="仿宋" w:cs="仿宋"/>
          <w:color w:val="auto"/>
          <w:sz w:val="28"/>
          <w:szCs w:val="28"/>
        </w:rPr>
        <w:t>包号：</w:t>
      </w:r>
      <w:r>
        <w:rPr>
          <w:rFonts w:hint="eastAsia" w:ascii="仿宋" w:hAnsi="仿宋" w:eastAsia="仿宋" w:cs="仿宋"/>
          <w:color w:val="auto"/>
          <w:sz w:val="28"/>
          <w:szCs w:val="28"/>
          <w:u w:val="dotted"/>
        </w:rPr>
        <w:t xml:space="preserve">                 </w:t>
      </w:r>
    </w:p>
    <w:p w14:paraId="7D859D7F">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采购人名称：</w:t>
      </w:r>
      <w:r>
        <w:rPr>
          <w:rFonts w:hint="eastAsia" w:ascii="仿宋" w:hAnsi="仿宋" w:eastAsia="仿宋" w:cs="仿宋"/>
          <w:color w:val="auto"/>
          <w:sz w:val="28"/>
          <w:szCs w:val="28"/>
          <w:u w:val="dotted"/>
        </w:rPr>
        <w:t xml:space="preserve">                                         </w:t>
      </w:r>
    </w:p>
    <w:p w14:paraId="6E9E10B4">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采购文件获取日期：</w:t>
      </w:r>
      <w:r>
        <w:rPr>
          <w:rFonts w:hint="eastAsia" w:ascii="仿宋" w:hAnsi="仿宋" w:eastAsia="仿宋" w:cs="仿宋"/>
          <w:color w:val="auto"/>
          <w:sz w:val="28"/>
          <w:szCs w:val="28"/>
          <w:u w:val="dotted"/>
        </w:rPr>
        <w:t xml:space="preserve">                                           </w:t>
      </w:r>
    </w:p>
    <w:p w14:paraId="6139C604">
      <w:pPr>
        <w:adjustRightInd w:val="0"/>
        <w:snapToGrid w:val="0"/>
        <w:spacing w:line="360" w:lineRule="auto"/>
        <w:rPr>
          <w:rFonts w:ascii="黑体" w:hAnsi="黑体" w:eastAsia="黑体" w:cs="仿宋"/>
          <w:bCs/>
          <w:color w:val="auto"/>
          <w:sz w:val="28"/>
          <w:szCs w:val="28"/>
        </w:rPr>
      </w:pPr>
      <w:r>
        <w:rPr>
          <w:rFonts w:hint="eastAsia" w:ascii="黑体" w:hAnsi="黑体" w:eastAsia="黑体" w:cs="仿宋"/>
          <w:bCs/>
          <w:color w:val="auto"/>
          <w:sz w:val="28"/>
          <w:szCs w:val="28"/>
        </w:rPr>
        <w:t>三、质疑事项具体内容</w:t>
      </w:r>
    </w:p>
    <w:p w14:paraId="6B83145D">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质疑事项1：</w:t>
      </w:r>
      <w:r>
        <w:rPr>
          <w:rFonts w:hint="eastAsia" w:ascii="仿宋" w:hAnsi="仿宋" w:eastAsia="仿宋" w:cs="仿宋"/>
          <w:color w:val="auto"/>
          <w:sz w:val="28"/>
          <w:szCs w:val="28"/>
          <w:u w:val="dotted"/>
        </w:rPr>
        <w:t xml:space="preserve">                                         </w:t>
      </w:r>
    </w:p>
    <w:p w14:paraId="130A1CC3">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事实依据：</w:t>
      </w:r>
      <w:r>
        <w:rPr>
          <w:rFonts w:hint="eastAsia" w:ascii="仿宋" w:hAnsi="仿宋" w:eastAsia="仿宋" w:cs="仿宋"/>
          <w:color w:val="auto"/>
          <w:sz w:val="28"/>
          <w:szCs w:val="28"/>
          <w:u w:val="dotted"/>
        </w:rPr>
        <w:t xml:space="preserve">                                          </w:t>
      </w:r>
    </w:p>
    <w:p w14:paraId="4C433CFD">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u w:val="dotted"/>
        </w:rPr>
        <w:t xml:space="preserve">                                                       </w:t>
      </w:r>
    </w:p>
    <w:p w14:paraId="3E28BFCB">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法律依据：</w:t>
      </w:r>
      <w:r>
        <w:rPr>
          <w:rFonts w:hint="eastAsia" w:ascii="仿宋" w:hAnsi="仿宋" w:eastAsia="仿宋" w:cs="仿宋"/>
          <w:color w:val="auto"/>
          <w:sz w:val="28"/>
          <w:szCs w:val="28"/>
          <w:u w:val="dotted"/>
        </w:rPr>
        <w:t xml:space="preserve">                                          </w:t>
      </w:r>
    </w:p>
    <w:p w14:paraId="10C61CF6">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u w:val="dotted"/>
        </w:rPr>
        <w:t xml:space="preserve">                                                     </w:t>
      </w:r>
    </w:p>
    <w:p w14:paraId="0ECF615F">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质疑事项2</w:t>
      </w:r>
    </w:p>
    <w:p w14:paraId="72A35D7D">
      <w:pPr>
        <w:adjustRightInd w:val="0"/>
        <w:snapToGrid w:val="0"/>
        <w:spacing w:line="360" w:lineRule="auto"/>
        <w:rPr>
          <w:rFonts w:ascii="仿宋" w:hAnsi="仿宋" w:eastAsia="仿宋" w:cs="仿宋"/>
          <w:color w:val="auto"/>
          <w:sz w:val="28"/>
          <w:szCs w:val="28"/>
        </w:rPr>
      </w:pPr>
      <w:r>
        <w:rPr>
          <w:rFonts w:hint="eastAsia" w:ascii="仿宋" w:hAnsi="仿宋" w:eastAsia="仿宋" w:cs="仿宋"/>
          <w:color w:val="auto"/>
          <w:sz w:val="28"/>
          <w:szCs w:val="28"/>
        </w:rPr>
        <w:t>……</w:t>
      </w:r>
    </w:p>
    <w:p w14:paraId="613B24EA">
      <w:pPr>
        <w:adjustRightInd w:val="0"/>
        <w:snapToGrid w:val="0"/>
        <w:spacing w:line="360" w:lineRule="auto"/>
        <w:rPr>
          <w:rFonts w:ascii="黑体" w:hAnsi="黑体" w:eastAsia="黑体" w:cs="仿宋"/>
          <w:bCs/>
          <w:color w:val="auto"/>
          <w:sz w:val="28"/>
          <w:szCs w:val="28"/>
        </w:rPr>
      </w:pPr>
      <w:r>
        <w:rPr>
          <w:rFonts w:hint="eastAsia" w:ascii="黑体" w:hAnsi="黑体" w:eastAsia="黑体" w:cs="仿宋"/>
          <w:bCs/>
          <w:color w:val="auto"/>
          <w:sz w:val="28"/>
          <w:szCs w:val="28"/>
        </w:rPr>
        <w:t>四、与质疑事项相关的质疑请求</w:t>
      </w:r>
    </w:p>
    <w:p w14:paraId="3C77F480">
      <w:pPr>
        <w:adjustRightInd w:val="0"/>
        <w:snapToGrid w:val="0"/>
        <w:spacing w:line="360" w:lineRule="auto"/>
        <w:rPr>
          <w:rFonts w:ascii="仿宋" w:hAnsi="仿宋" w:eastAsia="仿宋" w:cs="仿宋"/>
          <w:color w:val="auto"/>
          <w:sz w:val="28"/>
          <w:szCs w:val="28"/>
          <w:u w:val="dotted"/>
        </w:rPr>
      </w:pPr>
      <w:r>
        <w:rPr>
          <w:rFonts w:hint="eastAsia" w:ascii="仿宋" w:hAnsi="仿宋" w:eastAsia="仿宋" w:cs="仿宋"/>
          <w:color w:val="auto"/>
          <w:sz w:val="28"/>
          <w:szCs w:val="28"/>
        </w:rPr>
        <w:t>请求：</w:t>
      </w:r>
      <w:r>
        <w:rPr>
          <w:rFonts w:hint="eastAsia" w:ascii="仿宋" w:hAnsi="仿宋" w:eastAsia="仿宋" w:cs="仿宋"/>
          <w:color w:val="auto"/>
          <w:sz w:val="28"/>
          <w:szCs w:val="28"/>
          <w:u w:val="dotted"/>
        </w:rPr>
        <w:t xml:space="preserve">                                               </w:t>
      </w:r>
    </w:p>
    <w:p w14:paraId="0EB3511F">
      <w:pPr>
        <w:rPr>
          <w:rFonts w:ascii="仿宋_GB2312" w:eastAsia="仿宋_GB2312"/>
          <w:color w:val="auto"/>
          <w:sz w:val="28"/>
          <w:szCs w:val="28"/>
        </w:rPr>
      </w:pPr>
      <w:r>
        <w:rPr>
          <w:rFonts w:hint="eastAsia" w:ascii="仿宋_GB2312" w:eastAsia="仿宋_GB2312"/>
          <w:color w:val="auto"/>
          <w:sz w:val="28"/>
          <w:szCs w:val="28"/>
        </w:rPr>
        <w:t xml:space="preserve">签字(签章)：                   公章：                      </w:t>
      </w:r>
    </w:p>
    <w:p w14:paraId="03EBC6F8">
      <w:pPr>
        <w:pStyle w:val="13"/>
        <w:overflowPunct w:val="0"/>
        <w:spacing w:line="400" w:lineRule="exact"/>
        <w:ind w:left="0" w:leftChars="0" w:firstLine="0" w:firstLineChars="0"/>
        <w:jc w:val="both"/>
        <w:rPr>
          <w:rFonts w:hint="eastAsia" w:ascii="宋体" w:hAnsi="宋体" w:eastAsia="宋体" w:cs="宋体"/>
          <w:color w:val="auto"/>
          <w:sz w:val="20"/>
          <w:szCs w:val="18"/>
          <w:highlight w:val="none"/>
        </w:rPr>
      </w:pPr>
      <w:r>
        <w:rPr>
          <w:rFonts w:hint="eastAsia" w:ascii="仿宋_GB2312" w:eastAsia="仿宋_GB2312"/>
          <w:color w:val="auto"/>
          <w:sz w:val="28"/>
          <w:szCs w:val="28"/>
        </w:rPr>
        <w:t>日期：</w:t>
      </w:r>
    </w:p>
    <w:bookmarkEnd w:id="230"/>
    <w:p w14:paraId="4CA59386">
      <w:pPr>
        <w:jc w:val="center"/>
        <w:rPr>
          <w:rFonts w:hint="eastAsia" w:ascii="宋体" w:hAnsi="宋体" w:eastAsia="宋体" w:cs="宋体"/>
          <w:b/>
          <w:bCs/>
          <w:color w:val="auto"/>
          <w:sz w:val="28"/>
          <w:szCs w:val="28"/>
          <w:highlight w:val="none"/>
        </w:rPr>
      </w:pPr>
    </w:p>
    <w:sectPr>
      <w:footerReference r:id="rId3" w:type="default"/>
      <w:pgSz w:w="11906" w:h="16838"/>
      <w:pgMar w:top="1429" w:right="1633" w:bottom="1440" w:left="1582"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715C431-179B-494B-A716-280CA4149AD3}"/>
  </w:font>
  <w:font w:name="黑体">
    <w:panose1 w:val="02010609060101010101"/>
    <w:charset w:val="86"/>
    <w:family w:val="auto"/>
    <w:pitch w:val="default"/>
    <w:sig w:usb0="800002BF" w:usb1="38CF7CFA" w:usb2="00000016" w:usb3="00000000" w:csb0="00040001" w:csb1="00000000"/>
    <w:embedRegular r:id="rId2" w:fontKey="{44DDA3B2-92B6-4231-8C50-8EF17F1520C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embedRegular r:id="rId3" w:fontKey="{0585E150-7FD6-4EB7-A9BA-AA778421DF7F}"/>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4" w:fontKey="{AE54A140-5DBB-4B76-9F92-65D528F8F3DA}"/>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5" w:fontKey="{56810759-9872-48C1-8191-215734F8942C}"/>
  </w:font>
  <w:font w:name="??¨¬?">
    <w:altName w:val="Arial"/>
    <w:panose1 w:val="00000000000000000000"/>
    <w:charset w:val="00"/>
    <w:family w:val="swiss"/>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Trebuchet MS">
    <w:panose1 w:val="020B0603020202020204"/>
    <w:charset w:val="00"/>
    <w:family w:val="swiss"/>
    <w:pitch w:val="default"/>
    <w:sig w:usb0="00000687" w:usb1="00000000" w:usb2="00000000" w:usb3="00000000" w:csb0="200000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CG Times">
    <w:altName w:val="Times New Roman"/>
    <w:panose1 w:val="00000000000000000000"/>
    <w:charset w:val="00"/>
    <w:family w:val="roman"/>
    <w:pitch w:val="default"/>
    <w:sig w:usb0="00000000" w:usb1="00000000" w:usb2="00000000" w:usb3="00000000" w:csb0="00000001" w:csb1="00000000"/>
  </w:font>
  <w:font w:name="仿宋体">
    <w:altName w:val="宋体"/>
    <w:panose1 w:val="00000000000000000000"/>
    <w:charset w:val="86"/>
    <w:family w:val="auto"/>
    <w:pitch w:val="default"/>
    <w:sig w:usb0="00000000" w:usb1="00000000" w:usb2="00000010" w:usb3="00000000" w:csb0="00040000" w:csb1="00000000"/>
  </w:font>
  <w:font w:name="IDCSansSerif">
    <w:altName w:val="Times New Roman"/>
    <w:panose1 w:val="00000000000000000000"/>
    <w:charset w:val="00"/>
    <w:family w:val="auto"/>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Garamond">
    <w:panose1 w:val="02020404030301010803"/>
    <w:charset w:val="00"/>
    <w:family w:val="roman"/>
    <w:pitch w:val="default"/>
    <w:sig w:usb0="00000287" w:usb1="00000000" w:usb2="00000000" w:usb3="00000000" w:csb0="0000009F" w:csb1="DFD70000"/>
  </w:font>
  <w:font w:name="Microsoft Sans Serif">
    <w:panose1 w:val="020B0604020202020204"/>
    <w:charset w:val="00"/>
    <w:family w:val="swiss"/>
    <w:pitch w:val="default"/>
    <w:sig w:usb0="E5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WPSEMBED4">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0EBB1B">
    <w:pPr>
      <w:pStyle w:val="32"/>
    </w:pPr>
    <w:r>
      <mc:AlternateContent>
        <mc:Choice Requires="wps">
          <w:drawing>
            <wp:anchor distT="0" distB="0" distL="114300" distR="114300" simplePos="0" relativeHeight="251659264" behindDoc="0" locked="0" layoutInCell="1" allowOverlap="1">
              <wp:simplePos x="0" y="0"/>
              <wp:positionH relativeFrom="margin">
                <wp:posOffset>2712085</wp:posOffset>
              </wp:positionH>
              <wp:positionV relativeFrom="paragraph">
                <wp:posOffset>-688340</wp:posOffset>
              </wp:positionV>
              <wp:extent cx="365760" cy="84963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65760" cy="8496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B53E9">
                          <w:pPr>
                            <w:pStyle w:val="32"/>
                          </w:pPr>
                        </w:p>
                        <w:p w14:paraId="0170E737">
                          <w:pPr>
                            <w:pStyle w:val="32"/>
                          </w:pPr>
                        </w:p>
                        <w:p w14:paraId="58763058">
                          <w:pPr>
                            <w:pStyle w:val="32"/>
                          </w:pPr>
                        </w:p>
                        <w:p w14:paraId="0C730518">
                          <w:pPr>
                            <w:pStyle w:val="32"/>
                          </w:pPr>
                        </w:p>
                        <w:p w14:paraId="21108466">
                          <w:pPr>
                            <w:pStyle w:val="32"/>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13.55pt;margin-top:-54.2pt;height:66.9pt;width:28.8pt;mso-position-horizontal-relative:margin;z-index:251659264;mso-width-relative:page;mso-height-relative:page;" filled="f" stroked="f" coordsize="21600,21600" o:gfxdata="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buzAB2gAAAAsBAAAPAAAAAAAAAAEAIAAAACIAAABkcnMvZG93bnJldi54&#10;bWxQSwECFAAUAAAACACHTuJAiS5kojECAABVBAAADgAAAAAAAAABACAAAAApAQAAZHJzL2Uyb0Rv&#10;Yy54bWxQSwUGAAAAAAYABgBZAQAAzAUAAAAA&#10;">
              <v:fill on="f" focussize="0,0"/>
              <v:stroke on="f" weight="0.5pt"/>
              <v:imagedata o:title=""/>
              <o:lock v:ext="edit" aspectratio="f"/>
              <v:textbox inset="0mm,0mm,0mm,0mm">
                <w:txbxContent>
                  <w:p w14:paraId="0B6B53E9">
                    <w:pPr>
                      <w:pStyle w:val="32"/>
                    </w:pPr>
                  </w:p>
                  <w:p w14:paraId="0170E737">
                    <w:pPr>
                      <w:pStyle w:val="32"/>
                    </w:pPr>
                  </w:p>
                  <w:p w14:paraId="58763058">
                    <w:pPr>
                      <w:pStyle w:val="32"/>
                    </w:pPr>
                  </w:p>
                  <w:p w14:paraId="0C730518">
                    <w:pPr>
                      <w:pStyle w:val="32"/>
                    </w:pPr>
                  </w:p>
                  <w:p w14:paraId="21108466">
                    <w:pPr>
                      <w:pStyle w:val="32"/>
                    </w:pPr>
                    <w:r>
                      <w:fldChar w:fldCharType="begin"/>
                    </w:r>
                    <w:r>
                      <w:instrText xml:space="preserve"> PAGE  \* MERGEFORMAT </w:instrText>
                    </w:r>
                    <w:r>
                      <w:fldChar w:fldCharType="separate"/>
                    </w:r>
                    <w:r>
                      <w:t>46</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chineseCounting"/>
      <w:suff w:val="nothing"/>
      <w:lvlText w:val="%1、"/>
      <w:lvlJc w:val="left"/>
      <w:pPr>
        <w:ind w:left="0" w:firstLine="420"/>
      </w:pPr>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88B902"/>
    <w:multiLevelType w:val="multilevel"/>
    <w:tmpl w:val="9288B902"/>
    <w:lvl w:ilvl="0" w:tentative="0">
      <w:start w:val="1"/>
      <w:numFmt w:val="chineseCounting"/>
      <w:suff w:val="nothing"/>
      <w:lvlText w:val="（%1）"/>
      <w:lvlJc w:val="left"/>
      <w:rPr>
        <w:rFonts w:hint="eastAsia"/>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E923771"/>
    <w:multiLevelType w:val="multilevel"/>
    <w:tmpl w:val="BE923771"/>
    <w:lvl w:ilvl="0" w:tentative="0">
      <w:start w:val="1"/>
      <w:numFmt w:val="japaneseCounting"/>
      <w:suff w:val="nothing"/>
      <w:lvlText w:val="（%1）"/>
      <w:lvlJc w:val="left"/>
      <w:rPr>
        <w:rFonts w:cs="宋体" w:asciiTheme="minorEastAsia" w:hAnsiTheme="minorEastAsia" w:eastAsiaTheme="minorEastAsia"/>
        <w:b w:val="0"/>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8879AEF"/>
    <w:multiLevelType w:val="multilevel"/>
    <w:tmpl w:val="C8879AEF"/>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D7F9FE59"/>
    <w:multiLevelType w:val="multilevel"/>
    <w:tmpl w:val="D7F9FE5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F4B5D9F5"/>
    <w:multiLevelType w:val="multilevel"/>
    <w:tmpl w:val="F4B5D9F5"/>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248C179"/>
    <w:multiLevelType w:val="multilevel"/>
    <w:tmpl w:val="0248C179"/>
    <w:lvl w:ilvl="0" w:tentative="0">
      <w:start w:val="1"/>
      <w:numFmt w:val="chineseCounting"/>
      <w:suff w:val="nothing"/>
      <w:lvlText w:val="%1、"/>
      <w:lvlJc w:val="left"/>
      <w:pPr>
        <w:ind w:left="0" w:firstLine="420"/>
      </w:pPr>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E74305F"/>
    <w:multiLevelType w:val="multilevel"/>
    <w:tmpl w:val="0E74305F"/>
    <w:lvl w:ilvl="0" w:tentative="0">
      <w:start w:val="1"/>
      <w:numFmt w:val="chineseCounting"/>
      <w:suff w:val="nothing"/>
      <w:lvlText w:val="（%1）"/>
      <w:lvlJc w:val="left"/>
      <w:pPr>
        <w:ind w:left="0" w:firstLine="420"/>
      </w:pPr>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1D614917"/>
    <w:multiLevelType w:val="multilevel"/>
    <w:tmpl w:val="1D614917"/>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1EA37902"/>
    <w:multiLevelType w:val="multilevel"/>
    <w:tmpl w:val="1EA37902"/>
    <w:lvl w:ilvl="0" w:tentative="0">
      <w:start w:val="1"/>
      <w:numFmt w:val="chineseCounting"/>
      <w:suff w:val="space"/>
      <w:lvlText w:val="第%1节"/>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A703A35"/>
    <w:multiLevelType w:val="multilevel"/>
    <w:tmpl w:val="2A703A35"/>
    <w:lvl w:ilvl="0" w:tentative="0">
      <w:start w:val="1"/>
      <w:numFmt w:val="chineseCounting"/>
      <w:suff w:val="space"/>
      <w:lvlText w:val="第%1条"/>
      <w:lvlJc w:val="left"/>
      <w:rPr>
        <w:rFonts w:hint="eastAsia"/>
        <w:lang w:val="en-U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2A8F537B"/>
    <w:multiLevelType w:val="multilevel"/>
    <w:tmpl w:val="2A8F537B"/>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39E0A972"/>
    <w:multiLevelType w:val="singleLevel"/>
    <w:tmpl w:val="39E0A972"/>
    <w:lvl w:ilvl="0" w:tentative="0">
      <w:start w:val="4"/>
      <w:numFmt w:val="chineseCounting"/>
      <w:suff w:val="space"/>
      <w:lvlText w:val="第%1章"/>
      <w:lvlJc w:val="left"/>
      <w:rPr>
        <w:rFonts w:hint="eastAsia"/>
      </w:rPr>
    </w:lvl>
  </w:abstractNum>
  <w:abstractNum w:abstractNumId="16">
    <w:nsid w:val="4D4DC07F"/>
    <w:multiLevelType w:val="multilevel"/>
    <w:tmpl w:val="4D4DC07F"/>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7">
    <w:nsid w:val="5A241D34"/>
    <w:multiLevelType w:val="multilevel"/>
    <w:tmpl w:val="5A241D34"/>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629F7852"/>
    <w:multiLevelType w:val="multilevel"/>
    <w:tmpl w:val="629F7852"/>
    <w:lvl w:ilvl="0" w:tentative="0">
      <w:start w:val="1"/>
      <w:numFmt w:val="chineseCounting"/>
      <w:suff w:val="nothing"/>
      <w:lvlText w:val="%1、"/>
      <w:lvlJc w:val="left"/>
      <w:pPr>
        <w:ind w:left="0" w:firstLine="420"/>
      </w:pPr>
      <w:rPr>
        <w:rFonts w:hint="eastAsia"/>
        <w:b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9">
    <w:nsid w:val="7CA44CB7"/>
    <w:multiLevelType w:val="singleLevel"/>
    <w:tmpl w:val="7CA44CB7"/>
    <w:lvl w:ilvl="0" w:tentative="0">
      <w:start w:val="11"/>
      <w:numFmt w:val="chineseCounting"/>
      <w:suff w:val="space"/>
      <w:lvlText w:val="第%1部分"/>
      <w:lvlJc w:val="left"/>
      <w:rPr>
        <w:rFonts w:hint="eastAsia"/>
      </w:rPr>
    </w:lvl>
  </w:abstractNum>
  <w:num w:numId="1">
    <w:abstractNumId w:val="8"/>
  </w:num>
  <w:num w:numId="2">
    <w:abstractNumId w:val="1"/>
  </w:num>
  <w:num w:numId="3">
    <w:abstractNumId w:val="14"/>
  </w:num>
  <w:num w:numId="4">
    <w:abstractNumId w:val="17"/>
  </w:num>
  <w:num w:numId="5">
    <w:abstractNumId w:val="4"/>
  </w:num>
  <w:num w:numId="6">
    <w:abstractNumId w:val="16"/>
  </w:num>
  <w:num w:numId="7">
    <w:abstractNumId w:val="7"/>
  </w:num>
  <w:num w:numId="8">
    <w:abstractNumId w:val="12"/>
  </w:num>
  <w:num w:numId="9">
    <w:abstractNumId w:val="6"/>
  </w:num>
  <w:num w:numId="10">
    <w:abstractNumId w:val="5"/>
  </w:num>
  <w:num w:numId="11">
    <w:abstractNumId w:val="3"/>
  </w:num>
  <w:num w:numId="12">
    <w:abstractNumId w:val="18"/>
  </w:num>
  <w:num w:numId="13">
    <w:abstractNumId w:val="2"/>
  </w:num>
  <w:num w:numId="14">
    <w:abstractNumId w:val="0"/>
  </w:num>
  <w:num w:numId="15">
    <w:abstractNumId w:val="19"/>
  </w:num>
  <w:num w:numId="16">
    <w:abstractNumId w:val="15"/>
  </w:num>
  <w:num w:numId="17">
    <w:abstractNumId w:val="10"/>
  </w:num>
  <w:num w:numId="18">
    <w:abstractNumId w:val="13"/>
  </w:num>
  <w:num w:numId="19">
    <w:abstractNumId w:val="11"/>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0ZTNkODhjMjliYTZiYWY1ZjlkMTFlNGUxYmVlZDQifQ=="/>
  </w:docVars>
  <w:rsids>
    <w:rsidRoot w:val="005C3C13"/>
    <w:rsid w:val="000511E8"/>
    <w:rsid w:val="000B6281"/>
    <w:rsid w:val="0014083A"/>
    <w:rsid w:val="0014622E"/>
    <w:rsid w:val="00213CF6"/>
    <w:rsid w:val="0026177A"/>
    <w:rsid w:val="002B1D04"/>
    <w:rsid w:val="003C468C"/>
    <w:rsid w:val="005574FC"/>
    <w:rsid w:val="005B3476"/>
    <w:rsid w:val="005C3C13"/>
    <w:rsid w:val="006004A4"/>
    <w:rsid w:val="006511A3"/>
    <w:rsid w:val="006B0C66"/>
    <w:rsid w:val="007145E2"/>
    <w:rsid w:val="00764A4C"/>
    <w:rsid w:val="007834DB"/>
    <w:rsid w:val="007A707F"/>
    <w:rsid w:val="008110E3"/>
    <w:rsid w:val="00925632"/>
    <w:rsid w:val="00986981"/>
    <w:rsid w:val="009B0BD6"/>
    <w:rsid w:val="00A24E76"/>
    <w:rsid w:val="00A4702C"/>
    <w:rsid w:val="00AE3E9B"/>
    <w:rsid w:val="00BD1E2A"/>
    <w:rsid w:val="00C00DE5"/>
    <w:rsid w:val="00C50EB6"/>
    <w:rsid w:val="00C90317"/>
    <w:rsid w:val="00CC3A93"/>
    <w:rsid w:val="00D2421E"/>
    <w:rsid w:val="00D76A67"/>
    <w:rsid w:val="00E13486"/>
    <w:rsid w:val="00E230EE"/>
    <w:rsid w:val="00E81187"/>
    <w:rsid w:val="00EB0CCE"/>
    <w:rsid w:val="00F000A6"/>
    <w:rsid w:val="00F02706"/>
    <w:rsid w:val="00F31E4A"/>
    <w:rsid w:val="00F525C6"/>
    <w:rsid w:val="00F90192"/>
    <w:rsid w:val="00FA5BF3"/>
    <w:rsid w:val="00FB7CB9"/>
    <w:rsid w:val="012313A8"/>
    <w:rsid w:val="017936BE"/>
    <w:rsid w:val="018067FB"/>
    <w:rsid w:val="01E7687A"/>
    <w:rsid w:val="01EB45BC"/>
    <w:rsid w:val="022E6257"/>
    <w:rsid w:val="02532161"/>
    <w:rsid w:val="027520D7"/>
    <w:rsid w:val="029678E0"/>
    <w:rsid w:val="02B04EBD"/>
    <w:rsid w:val="02D66A6D"/>
    <w:rsid w:val="02DA23DE"/>
    <w:rsid w:val="02FC7B8A"/>
    <w:rsid w:val="03011BBD"/>
    <w:rsid w:val="03265180"/>
    <w:rsid w:val="034C108A"/>
    <w:rsid w:val="03993BA4"/>
    <w:rsid w:val="039F7AC2"/>
    <w:rsid w:val="04011E8E"/>
    <w:rsid w:val="041E22FB"/>
    <w:rsid w:val="04540AFB"/>
    <w:rsid w:val="04561A95"/>
    <w:rsid w:val="04583A5F"/>
    <w:rsid w:val="04E84DE3"/>
    <w:rsid w:val="04F27A0F"/>
    <w:rsid w:val="05031C1C"/>
    <w:rsid w:val="05137CB8"/>
    <w:rsid w:val="053A13B6"/>
    <w:rsid w:val="05654685"/>
    <w:rsid w:val="0573252D"/>
    <w:rsid w:val="05A03D9E"/>
    <w:rsid w:val="060019EB"/>
    <w:rsid w:val="064047AA"/>
    <w:rsid w:val="065A1D10"/>
    <w:rsid w:val="06BA417B"/>
    <w:rsid w:val="06F7130D"/>
    <w:rsid w:val="07097292"/>
    <w:rsid w:val="07630750"/>
    <w:rsid w:val="0768045D"/>
    <w:rsid w:val="077C69D1"/>
    <w:rsid w:val="07A34FF1"/>
    <w:rsid w:val="082A1E9F"/>
    <w:rsid w:val="082C4FE6"/>
    <w:rsid w:val="0870581B"/>
    <w:rsid w:val="08801DC0"/>
    <w:rsid w:val="08E81855"/>
    <w:rsid w:val="09267C87"/>
    <w:rsid w:val="09395E3C"/>
    <w:rsid w:val="094B5940"/>
    <w:rsid w:val="09B5666A"/>
    <w:rsid w:val="09B87908"/>
    <w:rsid w:val="09C15C02"/>
    <w:rsid w:val="0A0501E5"/>
    <w:rsid w:val="0A2166A1"/>
    <w:rsid w:val="0A404766"/>
    <w:rsid w:val="0A557AA3"/>
    <w:rsid w:val="0A640721"/>
    <w:rsid w:val="0A83110A"/>
    <w:rsid w:val="0AAD4289"/>
    <w:rsid w:val="0ABF0098"/>
    <w:rsid w:val="0AC13253"/>
    <w:rsid w:val="0AC92D6E"/>
    <w:rsid w:val="0ACB4F8A"/>
    <w:rsid w:val="0AE918B4"/>
    <w:rsid w:val="0B177CB0"/>
    <w:rsid w:val="0B48191A"/>
    <w:rsid w:val="0B512FB6"/>
    <w:rsid w:val="0B61144B"/>
    <w:rsid w:val="0B6A37C8"/>
    <w:rsid w:val="0BCB720C"/>
    <w:rsid w:val="0C012C2E"/>
    <w:rsid w:val="0C62191E"/>
    <w:rsid w:val="0CAD06C0"/>
    <w:rsid w:val="0CBD16F5"/>
    <w:rsid w:val="0D0F4ED6"/>
    <w:rsid w:val="0D1E27E8"/>
    <w:rsid w:val="0DC363ED"/>
    <w:rsid w:val="0DE620DB"/>
    <w:rsid w:val="0E745939"/>
    <w:rsid w:val="0EA77ABC"/>
    <w:rsid w:val="0F1A0E99"/>
    <w:rsid w:val="0F307AB2"/>
    <w:rsid w:val="0F3734C7"/>
    <w:rsid w:val="0F3A26DF"/>
    <w:rsid w:val="0F9221C8"/>
    <w:rsid w:val="0FB74124"/>
    <w:rsid w:val="0FCA3970"/>
    <w:rsid w:val="0FF122ED"/>
    <w:rsid w:val="1001144E"/>
    <w:rsid w:val="10131D60"/>
    <w:rsid w:val="1032785A"/>
    <w:rsid w:val="10480E2B"/>
    <w:rsid w:val="10B4026F"/>
    <w:rsid w:val="10F1501F"/>
    <w:rsid w:val="10FB40F0"/>
    <w:rsid w:val="11586E4C"/>
    <w:rsid w:val="11603F53"/>
    <w:rsid w:val="117417AC"/>
    <w:rsid w:val="11BB73DB"/>
    <w:rsid w:val="11CA7181"/>
    <w:rsid w:val="1213601D"/>
    <w:rsid w:val="124B7CE0"/>
    <w:rsid w:val="124C29E6"/>
    <w:rsid w:val="129F0AAB"/>
    <w:rsid w:val="12CE7286"/>
    <w:rsid w:val="12DB7D35"/>
    <w:rsid w:val="1336476B"/>
    <w:rsid w:val="134823D8"/>
    <w:rsid w:val="138438B5"/>
    <w:rsid w:val="138F0644"/>
    <w:rsid w:val="13D749A0"/>
    <w:rsid w:val="13E81526"/>
    <w:rsid w:val="14143273"/>
    <w:rsid w:val="14302302"/>
    <w:rsid w:val="144B2114"/>
    <w:rsid w:val="14863CD0"/>
    <w:rsid w:val="149F4D92"/>
    <w:rsid w:val="14B44CE1"/>
    <w:rsid w:val="14E46C49"/>
    <w:rsid w:val="14E54E9B"/>
    <w:rsid w:val="150F537F"/>
    <w:rsid w:val="151E215B"/>
    <w:rsid w:val="151F6B75"/>
    <w:rsid w:val="15284A62"/>
    <w:rsid w:val="153D4CD7"/>
    <w:rsid w:val="159702D6"/>
    <w:rsid w:val="15A24B3A"/>
    <w:rsid w:val="15B8610B"/>
    <w:rsid w:val="15BC0587"/>
    <w:rsid w:val="15F15AC1"/>
    <w:rsid w:val="15F57554"/>
    <w:rsid w:val="160F0D71"/>
    <w:rsid w:val="161812A0"/>
    <w:rsid w:val="16750F4E"/>
    <w:rsid w:val="169E79F7"/>
    <w:rsid w:val="16B5089D"/>
    <w:rsid w:val="17033CFE"/>
    <w:rsid w:val="173B5246"/>
    <w:rsid w:val="17A96653"/>
    <w:rsid w:val="17AF1790"/>
    <w:rsid w:val="17E458DD"/>
    <w:rsid w:val="17EC02EE"/>
    <w:rsid w:val="182B350C"/>
    <w:rsid w:val="183028D1"/>
    <w:rsid w:val="1840063A"/>
    <w:rsid w:val="18FC6C57"/>
    <w:rsid w:val="191C2E55"/>
    <w:rsid w:val="192835A8"/>
    <w:rsid w:val="19305A9C"/>
    <w:rsid w:val="195E736E"/>
    <w:rsid w:val="19613A04"/>
    <w:rsid w:val="196F567B"/>
    <w:rsid w:val="19C15F05"/>
    <w:rsid w:val="19E219A9"/>
    <w:rsid w:val="19FE255B"/>
    <w:rsid w:val="1A5F5690"/>
    <w:rsid w:val="1A954C6D"/>
    <w:rsid w:val="1AA228CD"/>
    <w:rsid w:val="1ABB1EE9"/>
    <w:rsid w:val="1ABF7F3C"/>
    <w:rsid w:val="1AEB3784"/>
    <w:rsid w:val="1AEB4D0D"/>
    <w:rsid w:val="1AF82529"/>
    <w:rsid w:val="1B140288"/>
    <w:rsid w:val="1B1D2938"/>
    <w:rsid w:val="1B245FF1"/>
    <w:rsid w:val="1B610FF3"/>
    <w:rsid w:val="1B991477"/>
    <w:rsid w:val="1BE03F4B"/>
    <w:rsid w:val="1C200EAE"/>
    <w:rsid w:val="1C2F4C4D"/>
    <w:rsid w:val="1CA67605"/>
    <w:rsid w:val="1CCB2BC8"/>
    <w:rsid w:val="1CD34598"/>
    <w:rsid w:val="1CD422FC"/>
    <w:rsid w:val="1CDB5F2B"/>
    <w:rsid w:val="1CF245F9"/>
    <w:rsid w:val="1D0600A4"/>
    <w:rsid w:val="1D2C5B01"/>
    <w:rsid w:val="1D451C6F"/>
    <w:rsid w:val="1D7A55DB"/>
    <w:rsid w:val="1DB16262"/>
    <w:rsid w:val="1DBC69B5"/>
    <w:rsid w:val="1DED4DC0"/>
    <w:rsid w:val="1E380731"/>
    <w:rsid w:val="1E602E33"/>
    <w:rsid w:val="1E636E30"/>
    <w:rsid w:val="1EDB0A36"/>
    <w:rsid w:val="1F122D30"/>
    <w:rsid w:val="1F1862B1"/>
    <w:rsid w:val="1F1C7EA1"/>
    <w:rsid w:val="1F354C71"/>
    <w:rsid w:val="1F615A66"/>
    <w:rsid w:val="1F941266"/>
    <w:rsid w:val="202A380B"/>
    <w:rsid w:val="2063580D"/>
    <w:rsid w:val="208F215E"/>
    <w:rsid w:val="20C75D9C"/>
    <w:rsid w:val="20CE0FBC"/>
    <w:rsid w:val="20E53274"/>
    <w:rsid w:val="21020207"/>
    <w:rsid w:val="21274A8D"/>
    <w:rsid w:val="212E5E1B"/>
    <w:rsid w:val="216058A9"/>
    <w:rsid w:val="21656917"/>
    <w:rsid w:val="21740DB3"/>
    <w:rsid w:val="219E4D4F"/>
    <w:rsid w:val="21A76A51"/>
    <w:rsid w:val="21AB121A"/>
    <w:rsid w:val="21B87493"/>
    <w:rsid w:val="2221328A"/>
    <w:rsid w:val="225315BC"/>
    <w:rsid w:val="22BD2FB3"/>
    <w:rsid w:val="22BE4F7D"/>
    <w:rsid w:val="22CA3922"/>
    <w:rsid w:val="22E80A0F"/>
    <w:rsid w:val="22F028ED"/>
    <w:rsid w:val="23236E35"/>
    <w:rsid w:val="23496F3C"/>
    <w:rsid w:val="23767DCF"/>
    <w:rsid w:val="239F090A"/>
    <w:rsid w:val="23C40371"/>
    <w:rsid w:val="23E17175"/>
    <w:rsid w:val="23EE4FF8"/>
    <w:rsid w:val="24150BCD"/>
    <w:rsid w:val="24EC5DD1"/>
    <w:rsid w:val="24EE4E82"/>
    <w:rsid w:val="24F15196"/>
    <w:rsid w:val="253F23A5"/>
    <w:rsid w:val="25832D76"/>
    <w:rsid w:val="259D70CC"/>
    <w:rsid w:val="25C428AA"/>
    <w:rsid w:val="25C66C19"/>
    <w:rsid w:val="25E84E29"/>
    <w:rsid w:val="26192BF6"/>
    <w:rsid w:val="26243349"/>
    <w:rsid w:val="26306192"/>
    <w:rsid w:val="266B541C"/>
    <w:rsid w:val="269A1FA8"/>
    <w:rsid w:val="26A015AD"/>
    <w:rsid w:val="26B24AFF"/>
    <w:rsid w:val="26B601C4"/>
    <w:rsid w:val="26F07CA0"/>
    <w:rsid w:val="27196C26"/>
    <w:rsid w:val="276B055C"/>
    <w:rsid w:val="27F8683B"/>
    <w:rsid w:val="28327F9F"/>
    <w:rsid w:val="28546167"/>
    <w:rsid w:val="288527C5"/>
    <w:rsid w:val="289B1FE8"/>
    <w:rsid w:val="2912392D"/>
    <w:rsid w:val="2927562A"/>
    <w:rsid w:val="2932067B"/>
    <w:rsid w:val="296A5517"/>
    <w:rsid w:val="299D769A"/>
    <w:rsid w:val="29DD3F3B"/>
    <w:rsid w:val="2A05418F"/>
    <w:rsid w:val="2AAD1B5F"/>
    <w:rsid w:val="2AB41DAD"/>
    <w:rsid w:val="2ABD7324"/>
    <w:rsid w:val="2ACA2D88"/>
    <w:rsid w:val="2AD96DF8"/>
    <w:rsid w:val="2B373B1E"/>
    <w:rsid w:val="2B50008C"/>
    <w:rsid w:val="2B5B5A5F"/>
    <w:rsid w:val="2B5C55F5"/>
    <w:rsid w:val="2B65243A"/>
    <w:rsid w:val="2B87561F"/>
    <w:rsid w:val="2BAA0794"/>
    <w:rsid w:val="2BB17205"/>
    <w:rsid w:val="2C1856FE"/>
    <w:rsid w:val="2C281A02"/>
    <w:rsid w:val="2C866204"/>
    <w:rsid w:val="2CA3146B"/>
    <w:rsid w:val="2CA945A8"/>
    <w:rsid w:val="2D276AF5"/>
    <w:rsid w:val="2D8C1F00"/>
    <w:rsid w:val="2D8C63A3"/>
    <w:rsid w:val="2D8F19F0"/>
    <w:rsid w:val="2D993853"/>
    <w:rsid w:val="2DBA2F11"/>
    <w:rsid w:val="2DBC2973"/>
    <w:rsid w:val="2DE03FF9"/>
    <w:rsid w:val="2E2959A0"/>
    <w:rsid w:val="2F267660"/>
    <w:rsid w:val="2F3341ED"/>
    <w:rsid w:val="2F4C52F8"/>
    <w:rsid w:val="2F6173BC"/>
    <w:rsid w:val="2F972FE7"/>
    <w:rsid w:val="2FAD2145"/>
    <w:rsid w:val="2FB63264"/>
    <w:rsid w:val="2FD63906"/>
    <w:rsid w:val="2FE51F21"/>
    <w:rsid w:val="302B2641"/>
    <w:rsid w:val="30320F2A"/>
    <w:rsid w:val="304B42F4"/>
    <w:rsid w:val="30850E88"/>
    <w:rsid w:val="30912C7A"/>
    <w:rsid w:val="30AE6631"/>
    <w:rsid w:val="310B75DF"/>
    <w:rsid w:val="310D2A89"/>
    <w:rsid w:val="319F0D78"/>
    <w:rsid w:val="31D245A1"/>
    <w:rsid w:val="31E56082"/>
    <w:rsid w:val="3207424B"/>
    <w:rsid w:val="32163D42"/>
    <w:rsid w:val="326F5A48"/>
    <w:rsid w:val="32870EE7"/>
    <w:rsid w:val="329234F1"/>
    <w:rsid w:val="331D35FA"/>
    <w:rsid w:val="33A8380B"/>
    <w:rsid w:val="33C824FA"/>
    <w:rsid w:val="33D77C4D"/>
    <w:rsid w:val="33EE5DC4"/>
    <w:rsid w:val="34083A9E"/>
    <w:rsid w:val="34142C4F"/>
    <w:rsid w:val="343D03F7"/>
    <w:rsid w:val="3442239D"/>
    <w:rsid w:val="344828F8"/>
    <w:rsid w:val="34621C0C"/>
    <w:rsid w:val="34B540E3"/>
    <w:rsid w:val="34E73EBF"/>
    <w:rsid w:val="34FD7E90"/>
    <w:rsid w:val="350B2E4A"/>
    <w:rsid w:val="35747E49"/>
    <w:rsid w:val="35853DF1"/>
    <w:rsid w:val="35BB24DE"/>
    <w:rsid w:val="35DF103A"/>
    <w:rsid w:val="36154CD1"/>
    <w:rsid w:val="361C52AB"/>
    <w:rsid w:val="365722C5"/>
    <w:rsid w:val="36617CA1"/>
    <w:rsid w:val="368C4D1E"/>
    <w:rsid w:val="369F2A57"/>
    <w:rsid w:val="36A93B22"/>
    <w:rsid w:val="36AC3612"/>
    <w:rsid w:val="36BC3278"/>
    <w:rsid w:val="3700570C"/>
    <w:rsid w:val="370301F6"/>
    <w:rsid w:val="376B702A"/>
    <w:rsid w:val="37702892"/>
    <w:rsid w:val="37823A1A"/>
    <w:rsid w:val="378400EB"/>
    <w:rsid w:val="37991DE9"/>
    <w:rsid w:val="37B7226F"/>
    <w:rsid w:val="37DA5F5D"/>
    <w:rsid w:val="37E62305"/>
    <w:rsid w:val="37F52D97"/>
    <w:rsid w:val="3870241E"/>
    <w:rsid w:val="3894610C"/>
    <w:rsid w:val="38B85138"/>
    <w:rsid w:val="38EA6674"/>
    <w:rsid w:val="38F40FA4"/>
    <w:rsid w:val="39274C31"/>
    <w:rsid w:val="399F120C"/>
    <w:rsid w:val="39DD30F7"/>
    <w:rsid w:val="3A456EFA"/>
    <w:rsid w:val="3A545430"/>
    <w:rsid w:val="3A7206CF"/>
    <w:rsid w:val="3A940645"/>
    <w:rsid w:val="3AFA0DF0"/>
    <w:rsid w:val="3B084CDB"/>
    <w:rsid w:val="3B286FE0"/>
    <w:rsid w:val="3B4E1FB5"/>
    <w:rsid w:val="3B856EE2"/>
    <w:rsid w:val="3B871F58"/>
    <w:rsid w:val="3B8E1539"/>
    <w:rsid w:val="3BD968A7"/>
    <w:rsid w:val="3BF873F4"/>
    <w:rsid w:val="3C125CC6"/>
    <w:rsid w:val="3C2B6D87"/>
    <w:rsid w:val="3C495460"/>
    <w:rsid w:val="3C77021F"/>
    <w:rsid w:val="3CF308FC"/>
    <w:rsid w:val="3CF36666"/>
    <w:rsid w:val="3D193084"/>
    <w:rsid w:val="3D9A038E"/>
    <w:rsid w:val="3DA949B1"/>
    <w:rsid w:val="3DAD40DA"/>
    <w:rsid w:val="3DBF00CF"/>
    <w:rsid w:val="3E38578C"/>
    <w:rsid w:val="3E4E4FAF"/>
    <w:rsid w:val="3E9C5D1B"/>
    <w:rsid w:val="3EDB4941"/>
    <w:rsid w:val="3EE37DED"/>
    <w:rsid w:val="3F30131B"/>
    <w:rsid w:val="3F6E3B5B"/>
    <w:rsid w:val="3F7921D3"/>
    <w:rsid w:val="3F8D223A"/>
    <w:rsid w:val="3F9133A5"/>
    <w:rsid w:val="3FA530A3"/>
    <w:rsid w:val="3FBF6165"/>
    <w:rsid w:val="3FD82B5C"/>
    <w:rsid w:val="3FF83425"/>
    <w:rsid w:val="3FFB2F15"/>
    <w:rsid w:val="402828F4"/>
    <w:rsid w:val="4052078C"/>
    <w:rsid w:val="40752CC7"/>
    <w:rsid w:val="40864ED4"/>
    <w:rsid w:val="40905D53"/>
    <w:rsid w:val="40D820D9"/>
    <w:rsid w:val="40E1210B"/>
    <w:rsid w:val="40FF07E3"/>
    <w:rsid w:val="41393CF5"/>
    <w:rsid w:val="4175577C"/>
    <w:rsid w:val="419B050B"/>
    <w:rsid w:val="4230334A"/>
    <w:rsid w:val="425A2175"/>
    <w:rsid w:val="427A554F"/>
    <w:rsid w:val="42843695"/>
    <w:rsid w:val="42DD6902"/>
    <w:rsid w:val="42F779C3"/>
    <w:rsid w:val="437B23A2"/>
    <w:rsid w:val="43862551"/>
    <w:rsid w:val="43AA712C"/>
    <w:rsid w:val="43B35ED7"/>
    <w:rsid w:val="43C24475"/>
    <w:rsid w:val="440F51E1"/>
    <w:rsid w:val="441F5424"/>
    <w:rsid w:val="446C43E1"/>
    <w:rsid w:val="449D27EC"/>
    <w:rsid w:val="449F20CC"/>
    <w:rsid w:val="44C16FBB"/>
    <w:rsid w:val="44C91833"/>
    <w:rsid w:val="44F734F0"/>
    <w:rsid w:val="45006725"/>
    <w:rsid w:val="45626FA9"/>
    <w:rsid w:val="45C80749"/>
    <w:rsid w:val="45E856EE"/>
    <w:rsid w:val="46314E17"/>
    <w:rsid w:val="464E5266"/>
    <w:rsid w:val="468362AC"/>
    <w:rsid w:val="468C305F"/>
    <w:rsid w:val="46AF15B1"/>
    <w:rsid w:val="46DD3374"/>
    <w:rsid w:val="470E1780"/>
    <w:rsid w:val="472C7346"/>
    <w:rsid w:val="47382C25"/>
    <w:rsid w:val="475C698F"/>
    <w:rsid w:val="476475F1"/>
    <w:rsid w:val="47DC1663"/>
    <w:rsid w:val="47DD2506"/>
    <w:rsid w:val="48082673"/>
    <w:rsid w:val="48296FFE"/>
    <w:rsid w:val="48912668"/>
    <w:rsid w:val="48F10BB6"/>
    <w:rsid w:val="490E3CB9"/>
    <w:rsid w:val="49753D38"/>
    <w:rsid w:val="49D37AE3"/>
    <w:rsid w:val="49E52C6C"/>
    <w:rsid w:val="4A203559"/>
    <w:rsid w:val="4A317C5F"/>
    <w:rsid w:val="4A4B2CCE"/>
    <w:rsid w:val="4A78588E"/>
    <w:rsid w:val="4AC27CB3"/>
    <w:rsid w:val="4AC52021"/>
    <w:rsid w:val="4AC5484B"/>
    <w:rsid w:val="4ACA54A6"/>
    <w:rsid w:val="4AEC1DD8"/>
    <w:rsid w:val="4B005883"/>
    <w:rsid w:val="4B187FD5"/>
    <w:rsid w:val="4B1F5D09"/>
    <w:rsid w:val="4B367A03"/>
    <w:rsid w:val="4B422584"/>
    <w:rsid w:val="4B4C2876"/>
    <w:rsid w:val="4B6776B0"/>
    <w:rsid w:val="4B8866C2"/>
    <w:rsid w:val="4B933874"/>
    <w:rsid w:val="4BA90F70"/>
    <w:rsid w:val="4BAC3564"/>
    <w:rsid w:val="4C1B1256"/>
    <w:rsid w:val="4C683B50"/>
    <w:rsid w:val="4C8B25BA"/>
    <w:rsid w:val="4CAA019C"/>
    <w:rsid w:val="4CE52F83"/>
    <w:rsid w:val="4CE94821"/>
    <w:rsid w:val="4CF06115"/>
    <w:rsid w:val="4CFF2296"/>
    <w:rsid w:val="4D2910C1"/>
    <w:rsid w:val="4D2B76CB"/>
    <w:rsid w:val="4DAB1581"/>
    <w:rsid w:val="4DBC71D7"/>
    <w:rsid w:val="4DE324D1"/>
    <w:rsid w:val="4E102281"/>
    <w:rsid w:val="4E5B174E"/>
    <w:rsid w:val="4E7E543D"/>
    <w:rsid w:val="4E97500C"/>
    <w:rsid w:val="4EBE1CDD"/>
    <w:rsid w:val="4F29184C"/>
    <w:rsid w:val="4F391364"/>
    <w:rsid w:val="4F5A1A06"/>
    <w:rsid w:val="4F5F701C"/>
    <w:rsid w:val="4F630698"/>
    <w:rsid w:val="4FA12AB9"/>
    <w:rsid w:val="4FB629B4"/>
    <w:rsid w:val="4FBB06C6"/>
    <w:rsid w:val="50250266"/>
    <w:rsid w:val="504F7091"/>
    <w:rsid w:val="50791A80"/>
    <w:rsid w:val="507B7E86"/>
    <w:rsid w:val="50BE4988"/>
    <w:rsid w:val="50D3612E"/>
    <w:rsid w:val="50F03837"/>
    <w:rsid w:val="50F128FC"/>
    <w:rsid w:val="512D6CA6"/>
    <w:rsid w:val="513403C7"/>
    <w:rsid w:val="513C2DC5"/>
    <w:rsid w:val="51415D0A"/>
    <w:rsid w:val="51624BA2"/>
    <w:rsid w:val="516B4EDB"/>
    <w:rsid w:val="517174DB"/>
    <w:rsid w:val="51776E20"/>
    <w:rsid w:val="51B573C7"/>
    <w:rsid w:val="51DE05D4"/>
    <w:rsid w:val="52306A4E"/>
    <w:rsid w:val="52BD3EDA"/>
    <w:rsid w:val="52C05046"/>
    <w:rsid w:val="52F663E8"/>
    <w:rsid w:val="532076DA"/>
    <w:rsid w:val="532D7918"/>
    <w:rsid w:val="535F3A8F"/>
    <w:rsid w:val="53650979"/>
    <w:rsid w:val="53672943"/>
    <w:rsid w:val="53901E9A"/>
    <w:rsid w:val="551C1463"/>
    <w:rsid w:val="55332B2A"/>
    <w:rsid w:val="55480552"/>
    <w:rsid w:val="554F0614"/>
    <w:rsid w:val="55B5418A"/>
    <w:rsid w:val="55F266CF"/>
    <w:rsid w:val="5621327D"/>
    <w:rsid w:val="56424FA2"/>
    <w:rsid w:val="56955A19"/>
    <w:rsid w:val="56BC6B02"/>
    <w:rsid w:val="56D95517"/>
    <w:rsid w:val="56DD6C8E"/>
    <w:rsid w:val="56DE46C2"/>
    <w:rsid w:val="56E524FD"/>
    <w:rsid w:val="5740253A"/>
    <w:rsid w:val="57664CC0"/>
    <w:rsid w:val="577D2735"/>
    <w:rsid w:val="578B4AA6"/>
    <w:rsid w:val="57E91B79"/>
    <w:rsid w:val="584414A5"/>
    <w:rsid w:val="58562F86"/>
    <w:rsid w:val="586B6A32"/>
    <w:rsid w:val="58CC2784"/>
    <w:rsid w:val="58CD5BED"/>
    <w:rsid w:val="58DC16DE"/>
    <w:rsid w:val="59D2676E"/>
    <w:rsid w:val="5A1C2E82"/>
    <w:rsid w:val="5A871B1D"/>
    <w:rsid w:val="5A97574E"/>
    <w:rsid w:val="5AB01825"/>
    <w:rsid w:val="5AD76600"/>
    <w:rsid w:val="5B231846"/>
    <w:rsid w:val="5B557525"/>
    <w:rsid w:val="5B57329D"/>
    <w:rsid w:val="5B5C5EAD"/>
    <w:rsid w:val="5B6A710B"/>
    <w:rsid w:val="5B9E711E"/>
    <w:rsid w:val="5BFE7BBD"/>
    <w:rsid w:val="5C0056E3"/>
    <w:rsid w:val="5C1318BA"/>
    <w:rsid w:val="5C3679EE"/>
    <w:rsid w:val="5C6043D4"/>
    <w:rsid w:val="5CCA7E15"/>
    <w:rsid w:val="5CCB3F43"/>
    <w:rsid w:val="5CDC1CAC"/>
    <w:rsid w:val="5D235B2D"/>
    <w:rsid w:val="5D292A17"/>
    <w:rsid w:val="5D3970FE"/>
    <w:rsid w:val="5D4D4FBA"/>
    <w:rsid w:val="5D5932FD"/>
    <w:rsid w:val="5D7C523D"/>
    <w:rsid w:val="5D7F6ADB"/>
    <w:rsid w:val="5DB619E8"/>
    <w:rsid w:val="5DD92690"/>
    <w:rsid w:val="5E437B09"/>
    <w:rsid w:val="5E856373"/>
    <w:rsid w:val="5EDA28B3"/>
    <w:rsid w:val="5F037E6E"/>
    <w:rsid w:val="5F1F2324"/>
    <w:rsid w:val="5F61293D"/>
    <w:rsid w:val="5F8B5C0B"/>
    <w:rsid w:val="5F9F5ABD"/>
    <w:rsid w:val="5FB07420"/>
    <w:rsid w:val="5FD96977"/>
    <w:rsid w:val="600D03CE"/>
    <w:rsid w:val="602F1937"/>
    <w:rsid w:val="60883EF9"/>
    <w:rsid w:val="60DF07F0"/>
    <w:rsid w:val="611A0258"/>
    <w:rsid w:val="615D0EE2"/>
    <w:rsid w:val="615F4C5A"/>
    <w:rsid w:val="61670D1E"/>
    <w:rsid w:val="617A5F38"/>
    <w:rsid w:val="619C1A0A"/>
    <w:rsid w:val="61A62889"/>
    <w:rsid w:val="61A706BB"/>
    <w:rsid w:val="61AD3530"/>
    <w:rsid w:val="61E41603"/>
    <w:rsid w:val="6280185C"/>
    <w:rsid w:val="629D1EDE"/>
    <w:rsid w:val="62E2422A"/>
    <w:rsid w:val="63164F1A"/>
    <w:rsid w:val="634C6D2B"/>
    <w:rsid w:val="636724EC"/>
    <w:rsid w:val="6384309D"/>
    <w:rsid w:val="63A66B70"/>
    <w:rsid w:val="63DC07E4"/>
    <w:rsid w:val="63DD630A"/>
    <w:rsid w:val="63F83144"/>
    <w:rsid w:val="64267DED"/>
    <w:rsid w:val="642C0296"/>
    <w:rsid w:val="647357C6"/>
    <w:rsid w:val="64A70DF2"/>
    <w:rsid w:val="651F4CA4"/>
    <w:rsid w:val="65663232"/>
    <w:rsid w:val="65766A16"/>
    <w:rsid w:val="65847385"/>
    <w:rsid w:val="658B4525"/>
    <w:rsid w:val="65DA6FA5"/>
    <w:rsid w:val="65EB11B2"/>
    <w:rsid w:val="65FD149A"/>
    <w:rsid w:val="660364FC"/>
    <w:rsid w:val="66263051"/>
    <w:rsid w:val="66652D12"/>
    <w:rsid w:val="66D31693"/>
    <w:rsid w:val="66D47E98"/>
    <w:rsid w:val="67080B97"/>
    <w:rsid w:val="670A38BA"/>
    <w:rsid w:val="67220A66"/>
    <w:rsid w:val="67420AC8"/>
    <w:rsid w:val="676669E2"/>
    <w:rsid w:val="67835E17"/>
    <w:rsid w:val="67A91325"/>
    <w:rsid w:val="67AC671F"/>
    <w:rsid w:val="67E4447B"/>
    <w:rsid w:val="67EA7C20"/>
    <w:rsid w:val="680447AD"/>
    <w:rsid w:val="689C49E5"/>
    <w:rsid w:val="68BC3C6B"/>
    <w:rsid w:val="68D45260"/>
    <w:rsid w:val="68E70901"/>
    <w:rsid w:val="69112CDD"/>
    <w:rsid w:val="691B0000"/>
    <w:rsid w:val="692F7608"/>
    <w:rsid w:val="69814F78"/>
    <w:rsid w:val="69997176"/>
    <w:rsid w:val="69B33D95"/>
    <w:rsid w:val="69B67849"/>
    <w:rsid w:val="6A06480C"/>
    <w:rsid w:val="6A0B7E74"/>
    <w:rsid w:val="6A2553CF"/>
    <w:rsid w:val="6A3F387A"/>
    <w:rsid w:val="6A6F632C"/>
    <w:rsid w:val="6AA14697"/>
    <w:rsid w:val="6AF6662F"/>
    <w:rsid w:val="6B07507B"/>
    <w:rsid w:val="6B1D2F80"/>
    <w:rsid w:val="6BCD6950"/>
    <w:rsid w:val="6C21592D"/>
    <w:rsid w:val="6C2E004A"/>
    <w:rsid w:val="6C3D4C85"/>
    <w:rsid w:val="6C3F7E5D"/>
    <w:rsid w:val="6C6B6ABC"/>
    <w:rsid w:val="6C7517D5"/>
    <w:rsid w:val="6CD04C5E"/>
    <w:rsid w:val="6CE40709"/>
    <w:rsid w:val="6D125276"/>
    <w:rsid w:val="6D203490"/>
    <w:rsid w:val="6D624DC9"/>
    <w:rsid w:val="6DC9627D"/>
    <w:rsid w:val="6DEC3D19"/>
    <w:rsid w:val="6E906D9A"/>
    <w:rsid w:val="6F1352D6"/>
    <w:rsid w:val="6FCC5BB0"/>
    <w:rsid w:val="70346922"/>
    <w:rsid w:val="703B6CD7"/>
    <w:rsid w:val="706C2EEF"/>
    <w:rsid w:val="70BC3E77"/>
    <w:rsid w:val="70E8214D"/>
    <w:rsid w:val="716B6A1A"/>
    <w:rsid w:val="718524BB"/>
    <w:rsid w:val="718C1A9B"/>
    <w:rsid w:val="71DB20DB"/>
    <w:rsid w:val="71E511AB"/>
    <w:rsid w:val="71EA4A14"/>
    <w:rsid w:val="71F81675"/>
    <w:rsid w:val="72B017B9"/>
    <w:rsid w:val="72BB1CA7"/>
    <w:rsid w:val="72FA3ECD"/>
    <w:rsid w:val="7382796F"/>
    <w:rsid w:val="73B52DFF"/>
    <w:rsid w:val="73D03795"/>
    <w:rsid w:val="73F90F3E"/>
    <w:rsid w:val="74051971"/>
    <w:rsid w:val="74493C73"/>
    <w:rsid w:val="74A964C0"/>
    <w:rsid w:val="75473464"/>
    <w:rsid w:val="7561323F"/>
    <w:rsid w:val="75622B13"/>
    <w:rsid w:val="75B4336E"/>
    <w:rsid w:val="75B74C0D"/>
    <w:rsid w:val="75D22831"/>
    <w:rsid w:val="76521EAA"/>
    <w:rsid w:val="768E6855"/>
    <w:rsid w:val="769211D6"/>
    <w:rsid w:val="770C0F88"/>
    <w:rsid w:val="774249AA"/>
    <w:rsid w:val="774C749B"/>
    <w:rsid w:val="774D2A6C"/>
    <w:rsid w:val="77660698"/>
    <w:rsid w:val="77E65C7D"/>
    <w:rsid w:val="78306C18"/>
    <w:rsid w:val="78B11DE7"/>
    <w:rsid w:val="79020895"/>
    <w:rsid w:val="792151BF"/>
    <w:rsid w:val="792B7DEB"/>
    <w:rsid w:val="792F0F5E"/>
    <w:rsid w:val="79314CD6"/>
    <w:rsid w:val="793B779E"/>
    <w:rsid w:val="79614ED0"/>
    <w:rsid w:val="79FA77BE"/>
    <w:rsid w:val="7A4D3D91"/>
    <w:rsid w:val="7A6B246A"/>
    <w:rsid w:val="7A6C06BC"/>
    <w:rsid w:val="7A7C2E15"/>
    <w:rsid w:val="7A9667B8"/>
    <w:rsid w:val="7ADB139D"/>
    <w:rsid w:val="7AF4420D"/>
    <w:rsid w:val="7B5D6F9B"/>
    <w:rsid w:val="7B607AF4"/>
    <w:rsid w:val="7B6A105D"/>
    <w:rsid w:val="7B7977D6"/>
    <w:rsid w:val="7BB00237"/>
    <w:rsid w:val="7BE95D3C"/>
    <w:rsid w:val="7BF54D21"/>
    <w:rsid w:val="7C483A9E"/>
    <w:rsid w:val="7CCC0CBD"/>
    <w:rsid w:val="7CE02C9B"/>
    <w:rsid w:val="7CFA197A"/>
    <w:rsid w:val="7D761A2B"/>
    <w:rsid w:val="7D7F20C4"/>
    <w:rsid w:val="7DC223A1"/>
    <w:rsid w:val="7DC43CDE"/>
    <w:rsid w:val="7DF60A5D"/>
    <w:rsid w:val="7E132BFC"/>
    <w:rsid w:val="7E327526"/>
    <w:rsid w:val="7E3D5ECB"/>
    <w:rsid w:val="7E564737"/>
    <w:rsid w:val="7E723DC7"/>
    <w:rsid w:val="7EC044E7"/>
    <w:rsid w:val="7ED346BF"/>
    <w:rsid w:val="7F3C6183"/>
    <w:rsid w:val="7F7620D7"/>
    <w:rsid w:val="7F932083"/>
    <w:rsid w:val="7FB81CAD"/>
    <w:rsid w:val="7FCD6197"/>
    <w:rsid w:val="7FCE14D1"/>
    <w:rsid w:val="7FDE27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257"/>
    <w:qFormat/>
    <w:uiPriority w:val="9"/>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4">
    <w:name w:val="heading 2"/>
    <w:basedOn w:val="1"/>
    <w:next w:val="1"/>
    <w:link w:val="25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261"/>
    <w:unhideWhenUsed/>
    <w:qFormat/>
    <w:uiPriority w:val="0"/>
    <w:pPr>
      <w:keepNext/>
      <w:keepLines/>
      <w:spacing w:before="260" w:after="260" w:line="416" w:lineRule="auto"/>
      <w:outlineLvl w:val="2"/>
    </w:pPr>
    <w:rPr>
      <w:b/>
      <w:bCs/>
      <w:sz w:val="32"/>
      <w:szCs w:val="32"/>
    </w:rPr>
  </w:style>
  <w:style w:type="paragraph" w:styleId="2">
    <w:name w:val="heading 4"/>
    <w:basedOn w:val="1"/>
    <w:next w:val="1"/>
    <w:link w:val="29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675"/>
    <w:unhideWhenUsed/>
    <w:qFormat/>
    <w:uiPriority w:val="0"/>
    <w:pPr>
      <w:keepNext/>
      <w:keepLines/>
      <w:spacing w:before="280" w:after="290" w:line="376" w:lineRule="auto"/>
      <w:outlineLvl w:val="4"/>
    </w:pPr>
    <w:rPr>
      <w:rFonts w:eastAsia="宋体"/>
      <w:b/>
      <w:bCs/>
      <w:sz w:val="28"/>
      <w:szCs w:val="28"/>
    </w:rPr>
  </w:style>
  <w:style w:type="paragraph" w:styleId="7">
    <w:name w:val="heading 6"/>
    <w:basedOn w:val="1"/>
    <w:next w:val="1"/>
    <w:link w:val="676"/>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8">
    <w:name w:val="heading 7"/>
    <w:basedOn w:val="1"/>
    <w:next w:val="1"/>
    <w:link w:val="677"/>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9">
    <w:name w:val="heading 8"/>
    <w:basedOn w:val="1"/>
    <w:next w:val="1"/>
    <w:link w:val="678"/>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0">
    <w:name w:val="heading 9"/>
    <w:basedOn w:val="1"/>
    <w:next w:val="1"/>
    <w:link w:val="679"/>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2520" w:firstLine="200"/>
      <w:jc w:val="left"/>
    </w:pPr>
    <w:rPr>
      <w:rFonts w:ascii="Calibri" w:hAnsi="Calibri" w:eastAsia="仿宋" w:cs="Times New Roman"/>
      <w:sz w:val="28"/>
    </w:rPr>
  </w:style>
  <w:style w:type="paragraph" w:styleId="12">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3">
    <w:name w:val="Normal Indent"/>
    <w:basedOn w:val="1"/>
    <w:unhideWhenUsed/>
    <w:qFormat/>
    <w:uiPriority w:val="0"/>
    <w:pPr>
      <w:ind w:firstLine="420"/>
      <w:jc w:val="left"/>
    </w:pPr>
    <w:rPr>
      <w:rFonts w:ascii="Times New Roman" w:hAnsi="Times New Roman" w:eastAsia="宋体"/>
      <w:sz w:val="28"/>
      <w:szCs w:val="24"/>
    </w:rPr>
  </w:style>
  <w:style w:type="paragraph" w:styleId="14">
    <w:name w:val="caption"/>
    <w:basedOn w:val="1"/>
    <w:next w:val="1"/>
    <w:link w:val="683"/>
    <w:qFormat/>
    <w:uiPriority w:val="0"/>
    <w:pPr>
      <w:widowControl/>
      <w:spacing w:after="200"/>
      <w:ind w:firstLine="200"/>
      <w:jc w:val="left"/>
    </w:pPr>
    <w:rPr>
      <w:rFonts w:ascii="Calibri" w:hAnsi="Calibri" w:eastAsia="仿宋" w:cstheme="majorBidi"/>
      <w:b/>
      <w:bCs/>
      <w:color w:val="4F81BD"/>
      <w:sz w:val="18"/>
      <w:szCs w:val="18"/>
      <w:lang w:eastAsia="en-US" w:bidi="en-US"/>
    </w:rPr>
  </w:style>
  <w:style w:type="paragraph" w:styleId="15">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16">
    <w:name w:val="Document Map"/>
    <w:basedOn w:val="1"/>
    <w:link w:val="687"/>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17">
    <w:name w:val="annotation text"/>
    <w:basedOn w:val="1"/>
    <w:link w:val="321"/>
    <w:qFormat/>
    <w:uiPriority w:val="0"/>
    <w:pPr>
      <w:ind w:firstLine="200"/>
      <w:jc w:val="left"/>
    </w:pPr>
    <w:rPr>
      <w:rFonts w:ascii="Times New Roman" w:hAnsi="Times New Roman" w:eastAsia="仿宋"/>
      <w:sz w:val="28"/>
      <w:szCs w:val="24"/>
    </w:rPr>
  </w:style>
  <w:style w:type="paragraph" w:styleId="18">
    <w:name w:val="Body Text"/>
    <w:basedOn w:val="1"/>
    <w:next w:val="19"/>
    <w:link w:val="345"/>
    <w:unhideWhenUsed/>
    <w:qFormat/>
    <w:uiPriority w:val="0"/>
    <w:pPr>
      <w:spacing w:after="120"/>
    </w:pPr>
    <w:rPr>
      <w:sz w:val="20"/>
      <w:szCs w:val="20"/>
    </w:rPr>
  </w:style>
  <w:style w:type="paragraph" w:styleId="19">
    <w:name w:val="Body Text First Indent"/>
    <w:basedOn w:val="18"/>
    <w:next w:val="1"/>
    <w:qFormat/>
    <w:uiPriority w:val="0"/>
    <w:pPr>
      <w:ind w:firstLine="420" w:firstLineChars="100"/>
    </w:pPr>
    <w:rPr>
      <w:rFonts w:ascii="Verdana" w:hAnsi="Verdana"/>
      <w:szCs w:val="28"/>
      <w:lang w:eastAsia="en-US"/>
    </w:rPr>
  </w:style>
  <w:style w:type="paragraph" w:styleId="20">
    <w:name w:val="Body Text Indent"/>
    <w:basedOn w:val="1"/>
    <w:unhideWhenUsed/>
    <w:qFormat/>
    <w:uiPriority w:val="99"/>
    <w:pPr>
      <w:spacing w:after="120"/>
      <w:ind w:left="420" w:leftChars="200"/>
    </w:pPr>
    <w:rPr>
      <w:sz w:val="20"/>
      <w:szCs w:val="20"/>
    </w:rPr>
  </w:style>
  <w:style w:type="paragraph" w:styleId="21">
    <w:name w:val="List 2"/>
    <w:basedOn w:val="1"/>
    <w:qFormat/>
    <w:uiPriority w:val="0"/>
    <w:pPr>
      <w:widowControl/>
      <w:spacing w:after="156" w:afterLines="50"/>
      <w:ind w:left="100" w:leftChars="200" w:hanging="200" w:hangingChars="200"/>
      <w:jc w:val="left"/>
    </w:pPr>
    <w:rPr>
      <w:sz w:val="24"/>
      <w:szCs w:val="20"/>
    </w:rPr>
  </w:style>
  <w:style w:type="paragraph" w:styleId="22">
    <w:name w:val="List Bullet 2"/>
    <w:basedOn w:val="1"/>
    <w:qFormat/>
    <w:uiPriority w:val="0"/>
    <w:pPr>
      <w:tabs>
        <w:tab w:val="left" w:pos="780"/>
      </w:tabs>
      <w:ind w:left="780" w:hanging="360"/>
      <w:contextualSpacing/>
    </w:pPr>
    <w:rPr>
      <w:rFonts w:ascii="Times New Roman" w:hAnsi="Times New Roman" w:eastAsia="宋体" w:cs="Times New Roman"/>
      <w:szCs w:val="24"/>
    </w:rPr>
  </w:style>
  <w:style w:type="paragraph" w:styleId="23">
    <w:name w:val="index 4"/>
    <w:basedOn w:val="1"/>
    <w:next w:val="1"/>
    <w:qFormat/>
    <w:uiPriority w:val="0"/>
    <w:pPr>
      <w:ind w:left="600"/>
    </w:pPr>
    <w:rPr>
      <w:rFonts w:ascii="Verdana" w:hAnsi="Verdana"/>
      <w:szCs w:val="20"/>
    </w:rPr>
  </w:style>
  <w:style w:type="paragraph" w:styleId="24">
    <w:name w:val="toc 5"/>
    <w:basedOn w:val="1"/>
    <w:next w:val="1"/>
    <w:unhideWhenUsed/>
    <w:qFormat/>
    <w:uiPriority w:val="39"/>
    <w:pPr>
      <w:ind w:left="1680" w:firstLine="200"/>
      <w:jc w:val="left"/>
    </w:pPr>
    <w:rPr>
      <w:rFonts w:ascii="Calibri" w:hAnsi="Calibri" w:eastAsia="仿宋" w:cs="Times New Roman"/>
      <w:sz w:val="28"/>
    </w:rPr>
  </w:style>
  <w:style w:type="paragraph" w:styleId="25">
    <w:name w:val="toc 3"/>
    <w:basedOn w:val="1"/>
    <w:next w:val="1"/>
    <w:unhideWhenUsed/>
    <w:qFormat/>
    <w:uiPriority w:val="39"/>
    <w:pPr>
      <w:ind w:left="840" w:firstLine="200"/>
      <w:jc w:val="left"/>
    </w:pPr>
    <w:rPr>
      <w:rFonts w:ascii="Calibri" w:hAnsi="Calibri" w:eastAsia="仿宋" w:cs="Times New Roman"/>
      <w:sz w:val="28"/>
      <w:szCs w:val="24"/>
    </w:rPr>
  </w:style>
  <w:style w:type="paragraph" w:styleId="26">
    <w:name w:val="Plain Text"/>
    <w:basedOn w:val="1"/>
    <w:next w:val="27"/>
    <w:link w:val="688"/>
    <w:qFormat/>
    <w:uiPriority w:val="0"/>
    <w:pPr>
      <w:widowControl/>
      <w:spacing w:after="200" w:line="360" w:lineRule="auto"/>
      <w:ind w:firstLine="200"/>
      <w:jc w:val="left"/>
    </w:pPr>
    <w:rPr>
      <w:rFonts w:ascii="宋体" w:hAnsi="Courier New" w:eastAsia="仿宋"/>
      <w:sz w:val="24"/>
      <w:szCs w:val="20"/>
      <w:lang w:eastAsia="en-US"/>
    </w:rPr>
  </w:style>
  <w:style w:type="paragraph" w:customStyle="1" w:styleId="27">
    <w:name w:val="正文zw"/>
    <w:basedOn w:val="1"/>
    <w:qFormat/>
    <w:uiPriority w:val="0"/>
    <w:pPr>
      <w:autoSpaceDE w:val="0"/>
      <w:autoSpaceDN w:val="0"/>
      <w:snapToGrid w:val="0"/>
      <w:spacing w:line="360" w:lineRule="auto"/>
      <w:ind w:left="420" w:firstLine="420"/>
    </w:pPr>
    <w:rPr>
      <w:rFonts w:hint="eastAsia" w:ascii="宋体" w:hAnsi="宋体"/>
      <w:kern w:val="0"/>
      <w:sz w:val="28"/>
      <w:szCs w:val="28"/>
    </w:rPr>
  </w:style>
  <w:style w:type="paragraph" w:styleId="28">
    <w:name w:val="toc 8"/>
    <w:basedOn w:val="1"/>
    <w:next w:val="1"/>
    <w:unhideWhenUsed/>
    <w:qFormat/>
    <w:uiPriority w:val="39"/>
    <w:pPr>
      <w:ind w:left="2940" w:firstLine="200"/>
      <w:jc w:val="left"/>
    </w:pPr>
    <w:rPr>
      <w:rFonts w:ascii="Calibri" w:hAnsi="Calibri" w:eastAsia="仿宋" w:cs="Times New Roman"/>
      <w:sz w:val="28"/>
    </w:rPr>
  </w:style>
  <w:style w:type="paragraph" w:styleId="29">
    <w:name w:val="Body Text Indent 2"/>
    <w:basedOn w:val="1"/>
    <w:qFormat/>
    <w:uiPriority w:val="0"/>
    <w:pPr>
      <w:spacing w:line="400" w:lineRule="exact"/>
      <w:ind w:firstLine="412"/>
    </w:pPr>
    <w:rPr>
      <w:rFonts w:ascii="仿宋_GB2312" w:eastAsia="仿宋_GB2312"/>
      <w:sz w:val="24"/>
    </w:rPr>
  </w:style>
  <w:style w:type="paragraph" w:styleId="30">
    <w:name w:val="endnote text"/>
    <w:basedOn w:val="1"/>
    <w:link w:val="205"/>
    <w:semiHidden/>
    <w:unhideWhenUsed/>
    <w:qFormat/>
    <w:uiPriority w:val="99"/>
    <w:rPr>
      <w:sz w:val="20"/>
    </w:rPr>
  </w:style>
  <w:style w:type="paragraph" w:styleId="31">
    <w:name w:val="Balloon Text"/>
    <w:basedOn w:val="1"/>
    <w:link w:val="689"/>
    <w:unhideWhenUsed/>
    <w:qFormat/>
    <w:uiPriority w:val="99"/>
    <w:pPr>
      <w:ind w:firstLine="200"/>
      <w:jc w:val="left"/>
    </w:pPr>
    <w:rPr>
      <w:sz w:val="18"/>
      <w:szCs w:val="18"/>
    </w:rPr>
  </w:style>
  <w:style w:type="paragraph" w:styleId="32">
    <w:name w:val="footer"/>
    <w:basedOn w:val="1"/>
    <w:link w:val="682"/>
    <w:unhideWhenUsed/>
    <w:qFormat/>
    <w:uiPriority w:val="99"/>
    <w:pPr>
      <w:tabs>
        <w:tab w:val="center" w:pos="4153"/>
        <w:tab w:val="right" w:pos="8306"/>
      </w:tabs>
      <w:jc w:val="left"/>
    </w:pPr>
    <w:rPr>
      <w:sz w:val="18"/>
      <w:szCs w:val="18"/>
    </w:rPr>
  </w:style>
  <w:style w:type="paragraph" w:styleId="33">
    <w:name w:val="header"/>
    <w:basedOn w:val="1"/>
    <w:link w:val="681"/>
    <w:unhideWhenUsed/>
    <w:qFormat/>
    <w:uiPriority w:val="0"/>
    <w:pPr>
      <w:pBdr>
        <w:bottom w:val="single" w:color="auto" w:sz="6" w:space="1"/>
      </w:pBdr>
      <w:tabs>
        <w:tab w:val="center" w:pos="4153"/>
        <w:tab w:val="right" w:pos="8306"/>
      </w:tabs>
      <w:jc w:val="center"/>
    </w:pPr>
    <w:rPr>
      <w:sz w:val="18"/>
      <w:szCs w:val="18"/>
    </w:rPr>
  </w:style>
  <w:style w:type="paragraph" w:styleId="34">
    <w:name w:val="toc 1"/>
    <w:basedOn w:val="1"/>
    <w:next w:val="1"/>
    <w:unhideWhenUsed/>
    <w:qFormat/>
    <w:uiPriority w:val="39"/>
    <w:pPr>
      <w:ind w:firstLine="200"/>
      <w:jc w:val="left"/>
    </w:pPr>
    <w:rPr>
      <w:rFonts w:ascii="Calibri" w:hAnsi="Calibri" w:eastAsia="仿宋" w:cs="Times New Roman"/>
      <w:b/>
      <w:sz w:val="28"/>
      <w:szCs w:val="24"/>
    </w:rPr>
  </w:style>
  <w:style w:type="paragraph" w:styleId="35">
    <w:name w:val="toc 4"/>
    <w:basedOn w:val="1"/>
    <w:next w:val="1"/>
    <w:unhideWhenUsed/>
    <w:qFormat/>
    <w:uiPriority w:val="39"/>
    <w:pPr>
      <w:ind w:left="1260" w:firstLine="200"/>
      <w:jc w:val="left"/>
    </w:pPr>
    <w:rPr>
      <w:rFonts w:ascii="Calibri" w:hAnsi="Calibri" w:eastAsia="仿宋" w:cs="Times New Roman"/>
      <w:sz w:val="28"/>
    </w:rPr>
  </w:style>
  <w:style w:type="paragraph" w:styleId="36">
    <w:name w:val="Subtitle"/>
    <w:basedOn w:val="1"/>
    <w:next w:val="1"/>
    <w:link w:val="685"/>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7">
    <w:name w:val="footnote text"/>
    <w:basedOn w:val="1"/>
    <w:link w:val="680"/>
    <w:qFormat/>
    <w:uiPriority w:val="0"/>
    <w:pPr>
      <w:spacing w:line="312" w:lineRule="atLeast"/>
    </w:pPr>
    <w:rPr>
      <w:rFonts w:ascii="Times New Roman" w:hAnsi="Times New Roman" w:eastAsia="宋体" w:cs="Times New Roman"/>
      <w:sz w:val="18"/>
      <w:szCs w:val="20"/>
    </w:rPr>
  </w:style>
  <w:style w:type="paragraph" w:styleId="38">
    <w:name w:val="toc 6"/>
    <w:basedOn w:val="1"/>
    <w:next w:val="1"/>
    <w:unhideWhenUsed/>
    <w:qFormat/>
    <w:uiPriority w:val="39"/>
    <w:pPr>
      <w:ind w:left="2100" w:firstLine="200"/>
      <w:jc w:val="left"/>
    </w:pPr>
    <w:rPr>
      <w:rFonts w:ascii="Calibri" w:hAnsi="Calibri" w:eastAsia="仿宋" w:cs="Times New Roman"/>
      <w:sz w:val="28"/>
    </w:rPr>
  </w:style>
  <w:style w:type="paragraph" w:styleId="39">
    <w:name w:val="Body Text Indent 3"/>
    <w:basedOn w:val="1"/>
    <w:link w:val="686"/>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40">
    <w:name w:val="table of figures"/>
    <w:basedOn w:val="1"/>
    <w:next w:val="1"/>
    <w:unhideWhenUsed/>
    <w:qFormat/>
    <w:uiPriority w:val="99"/>
  </w:style>
  <w:style w:type="paragraph" w:styleId="41">
    <w:name w:val="toc 2"/>
    <w:basedOn w:val="1"/>
    <w:next w:val="1"/>
    <w:unhideWhenUsed/>
    <w:qFormat/>
    <w:uiPriority w:val="39"/>
    <w:pPr>
      <w:ind w:left="420" w:firstLine="200"/>
      <w:jc w:val="left"/>
    </w:pPr>
    <w:rPr>
      <w:rFonts w:ascii="Calibri" w:hAnsi="Calibri" w:eastAsia="仿宋" w:cs="Times New Roman"/>
      <w:sz w:val="28"/>
      <w:szCs w:val="24"/>
    </w:rPr>
  </w:style>
  <w:style w:type="paragraph" w:styleId="42">
    <w:name w:val="toc 9"/>
    <w:basedOn w:val="1"/>
    <w:next w:val="1"/>
    <w:unhideWhenUsed/>
    <w:qFormat/>
    <w:uiPriority w:val="39"/>
    <w:pPr>
      <w:ind w:left="3360" w:firstLine="200"/>
      <w:jc w:val="left"/>
    </w:pPr>
    <w:rPr>
      <w:rFonts w:ascii="Calibri" w:hAnsi="Calibri" w:eastAsia="仿宋" w:cs="Times New Roman"/>
      <w:sz w:val="28"/>
    </w:rPr>
  </w:style>
  <w:style w:type="paragraph" w:styleId="43">
    <w:name w:val="Body Text 2"/>
    <w:basedOn w:val="1"/>
    <w:qFormat/>
    <w:uiPriority w:val="99"/>
    <w:rPr>
      <w:rFonts w:eastAsia="仿宋_GB2312"/>
      <w:color w:val="000000"/>
    </w:rPr>
  </w:style>
  <w:style w:type="paragraph" w:styleId="44">
    <w:name w:val="Normal (Web)"/>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styleId="45">
    <w:name w:val="Title"/>
    <w:basedOn w:val="1"/>
    <w:next w:val="1"/>
    <w:link w:val="684"/>
    <w:qFormat/>
    <w:uiPriority w:val="0"/>
    <w:pPr>
      <w:widowControl/>
      <w:pBdr>
        <w:bottom w:val="single" w:color="4F81BD" w:sz="8" w:space="4"/>
      </w:pBdr>
      <w:spacing w:after="300"/>
      <w:ind w:firstLine="200"/>
      <w:contextualSpacing/>
      <w:jc w:val="left"/>
    </w:pPr>
    <w:rPr>
      <w:rFonts w:ascii="Cambria" w:hAnsi="Cambria" w:eastAsia="仿宋"/>
      <w:color w:val="17365D"/>
      <w:spacing w:val="5"/>
      <w:sz w:val="52"/>
      <w:szCs w:val="52"/>
      <w:lang w:eastAsia="en-US" w:bidi="en-US"/>
    </w:rPr>
  </w:style>
  <w:style w:type="paragraph" w:styleId="46">
    <w:name w:val="Body Text First Indent 2"/>
    <w:basedOn w:val="20"/>
    <w:qFormat/>
    <w:uiPriority w:val="0"/>
    <w:pPr>
      <w:spacing w:line="300" w:lineRule="auto"/>
    </w:pPr>
    <w:rPr>
      <w:rFonts w:eastAsia="仿宋_GB2312"/>
      <w:sz w:val="28"/>
      <w:szCs w:val="20"/>
    </w:rPr>
  </w:style>
  <w:style w:type="table" w:styleId="48">
    <w:name w:val="Table Grid"/>
    <w:basedOn w:val="4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0">
    <w:name w:val="Strong"/>
    <w:basedOn w:val="49"/>
    <w:qFormat/>
    <w:uiPriority w:val="0"/>
    <w:rPr>
      <w:b/>
      <w:bCs/>
    </w:rPr>
  </w:style>
  <w:style w:type="character" w:styleId="51">
    <w:name w:val="endnote reference"/>
    <w:basedOn w:val="49"/>
    <w:semiHidden/>
    <w:unhideWhenUsed/>
    <w:qFormat/>
    <w:uiPriority w:val="99"/>
    <w:rPr>
      <w:vertAlign w:val="superscript"/>
    </w:rPr>
  </w:style>
  <w:style w:type="character" w:styleId="52">
    <w:name w:val="page number"/>
    <w:basedOn w:val="49"/>
    <w:qFormat/>
    <w:uiPriority w:val="0"/>
  </w:style>
  <w:style w:type="character" w:styleId="53">
    <w:name w:val="FollowedHyperlink"/>
    <w:qFormat/>
    <w:uiPriority w:val="0"/>
    <w:rPr>
      <w:color w:val="800080"/>
      <w:u w:val="single"/>
    </w:rPr>
  </w:style>
  <w:style w:type="character" w:styleId="54">
    <w:name w:val="Emphasis"/>
    <w:qFormat/>
    <w:uiPriority w:val="0"/>
    <w:rPr>
      <w:rFonts w:ascii="宋体" w:eastAsia="仿宋"/>
      <w:iCs/>
      <w:color w:val="auto"/>
      <w:sz w:val="28"/>
      <w:u w:val="single"/>
    </w:rPr>
  </w:style>
  <w:style w:type="character" w:styleId="55">
    <w:name w:val="Hyperlink"/>
    <w:qFormat/>
    <w:uiPriority w:val="99"/>
    <w:rPr>
      <w:color w:val="0000FF"/>
      <w:u w:val="single"/>
    </w:rPr>
  </w:style>
  <w:style w:type="character" w:styleId="56">
    <w:name w:val="annotation reference"/>
    <w:qFormat/>
    <w:uiPriority w:val="0"/>
    <w:rPr>
      <w:rFonts w:eastAsia="宋体"/>
      <w:sz w:val="18"/>
    </w:rPr>
  </w:style>
  <w:style w:type="character" w:styleId="57">
    <w:name w:val="footnote reference"/>
    <w:qFormat/>
    <w:uiPriority w:val="0"/>
    <w:rPr>
      <w:vertAlign w:val="superscript"/>
    </w:rPr>
  </w:style>
  <w:style w:type="paragraph" w:customStyle="1" w:styleId="58">
    <w:name w:val="列出段落1"/>
    <w:basedOn w:val="1"/>
    <w:link w:val="341"/>
    <w:qFormat/>
    <w:uiPriority w:val="0"/>
    <w:pPr>
      <w:ind w:firstLine="420"/>
    </w:pPr>
    <w:rPr>
      <w:rFonts w:ascii="Calibri" w:hAnsi="Calibri" w:eastAsia="宋体" w:cs="Times New Roman"/>
      <w:sz w:val="20"/>
      <w:szCs w:val="20"/>
    </w:rPr>
  </w:style>
  <w:style w:type="paragraph" w:customStyle="1" w:styleId="59">
    <w:name w:val="正文文本1"/>
    <w:basedOn w:val="1"/>
    <w:next w:val="1"/>
    <w:link w:val="246"/>
    <w:qFormat/>
    <w:uiPriority w:val="0"/>
    <w:pPr>
      <w:spacing w:after="120"/>
    </w:pPr>
    <w:rPr>
      <w:rFonts w:ascii="Times New Roman" w:hAnsi="Times New Roman" w:eastAsia="仿宋"/>
      <w:sz w:val="28"/>
      <w:szCs w:val="24"/>
    </w:rPr>
  </w:style>
  <w:style w:type="paragraph" w:customStyle="1" w:styleId="60">
    <w:name w:val="首行缩进"/>
    <w:basedOn w:val="1"/>
    <w:qFormat/>
    <w:uiPriority w:val="0"/>
    <w:pPr>
      <w:widowControl/>
      <w:ind w:firstLine="480" w:firstLineChars="200"/>
      <w:jc w:val="left"/>
    </w:pPr>
    <w:rPr>
      <w:sz w:val="24"/>
      <w:szCs w:val="20"/>
      <w:lang w:val="zh-CN"/>
    </w:rPr>
  </w:style>
  <w:style w:type="character" w:customStyle="1" w:styleId="61">
    <w:name w:val="Heading 1 Char"/>
    <w:basedOn w:val="49"/>
    <w:qFormat/>
    <w:uiPriority w:val="9"/>
    <w:rPr>
      <w:rFonts w:ascii="Arial" w:hAnsi="Arial" w:eastAsia="Arial" w:cs="Arial"/>
      <w:sz w:val="40"/>
      <w:szCs w:val="40"/>
    </w:rPr>
  </w:style>
  <w:style w:type="character" w:customStyle="1" w:styleId="62">
    <w:name w:val="Heading 2 Char"/>
    <w:basedOn w:val="49"/>
    <w:qFormat/>
    <w:uiPriority w:val="9"/>
    <w:rPr>
      <w:rFonts w:ascii="Arial" w:hAnsi="Arial" w:eastAsia="Arial" w:cs="Arial"/>
      <w:sz w:val="34"/>
    </w:rPr>
  </w:style>
  <w:style w:type="character" w:customStyle="1" w:styleId="63">
    <w:name w:val="Heading 3 Char"/>
    <w:basedOn w:val="49"/>
    <w:qFormat/>
    <w:uiPriority w:val="9"/>
    <w:rPr>
      <w:rFonts w:ascii="Arial" w:hAnsi="Arial" w:eastAsia="Arial" w:cs="Arial"/>
      <w:sz w:val="30"/>
      <w:szCs w:val="30"/>
    </w:rPr>
  </w:style>
  <w:style w:type="character" w:customStyle="1" w:styleId="64">
    <w:name w:val="Heading 4 Char"/>
    <w:basedOn w:val="49"/>
    <w:link w:val="65"/>
    <w:qFormat/>
    <w:uiPriority w:val="9"/>
    <w:rPr>
      <w:rFonts w:ascii="Arial" w:hAnsi="Arial" w:eastAsia="Arial" w:cs="Arial"/>
      <w:b/>
      <w:bCs/>
      <w:sz w:val="26"/>
      <w:szCs w:val="26"/>
    </w:rPr>
  </w:style>
  <w:style w:type="paragraph" w:customStyle="1" w:styleId="65">
    <w:name w:val="标题 42"/>
    <w:basedOn w:val="1"/>
    <w:next w:val="66"/>
    <w:link w:val="64"/>
    <w:qFormat/>
    <w:uiPriority w:val="0"/>
    <w:pPr>
      <w:widowControl/>
      <w:spacing w:before="180" w:after="180" w:line="300" w:lineRule="auto"/>
      <w:ind w:firstLine="454"/>
      <w:jc w:val="left"/>
    </w:pPr>
    <w:rPr>
      <w:rFonts w:ascii="Times New Roman" w:hAnsi="Times New Roman" w:eastAsia="宋体" w:cs="Times New Roman"/>
      <w:b/>
      <w:spacing w:val="6"/>
      <w:szCs w:val="24"/>
    </w:rPr>
  </w:style>
  <w:style w:type="paragraph" w:customStyle="1" w:styleId="66">
    <w:name w:val="标题 41"/>
    <w:basedOn w:val="1"/>
    <w:next w:val="1"/>
    <w:link w:val="213"/>
    <w:qFormat/>
    <w:uiPriority w:val="0"/>
    <w:pPr>
      <w:keepNext/>
      <w:keepLines/>
      <w:spacing w:before="280" w:after="290" w:line="376" w:lineRule="auto"/>
      <w:ind w:left="864" w:hanging="864"/>
      <w:outlineLvl w:val="3"/>
    </w:pPr>
    <w:rPr>
      <w:rFonts w:ascii="Cambria" w:hAnsi="Cambria" w:eastAsia="宋体" w:cs="Times New Roman"/>
      <w:b/>
      <w:bCs/>
      <w:sz w:val="28"/>
      <w:szCs w:val="28"/>
    </w:rPr>
  </w:style>
  <w:style w:type="character" w:customStyle="1" w:styleId="67">
    <w:name w:val="Heading 5 Char"/>
    <w:basedOn w:val="49"/>
    <w:qFormat/>
    <w:uiPriority w:val="9"/>
    <w:rPr>
      <w:rFonts w:ascii="Arial" w:hAnsi="Arial" w:eastAsia="Arial" w:cs="Arial"/>
      <w:b/>
      <w:bCs/>
      <w:sz w:val="24"/>
      <w:szCs w:val="24"/>
    </w:rPr>
  </w:style>
  <w:style w:type="character" w:customStyle="1" w:styleId="68">
    <w:name w:val="Heading 6 Char"/>
    <w:basedOn w:val="49"/>
    <w:qFormat/>
    <w:uiPriority w:val="9"/>
    <w:rPr>
      <w:rFonts w:ascii="Arial" w:hAnsi="Arial" w:eastAsia="Arial" w:cs="Arial"/>
      <w:b/>
      <w:bCs/>
      <w:sz w:val="22"/>
      <w:szCs w:val="22"/>
    </w:rPr>
  </w:style>
  <w:style w:type="character" w:customStyle="1" w:styleId="69">
    <w:name w:val="Heading 7 Char"/>
    <w:basedOn w:val="49"/>
    <w:qFormat/>
    <w:uiPriority w:val="9"/>
    <w:rPr>
      <w:rFonts w:ascii="Arial" w:hAnsi="Arial" w:eastAsia="Arial" w:cs="Arial"/>
      <w:b/>
      <w:bCs/>
      <w:i/>
      <w:iCs/>
      <w:sz w:val="22"/>
      <w:szCs w:val="22"/>
    </w:rPr>
  </w:style>
  <w:style w:type="character" w:customStyle="1" w:styleId="70">
    <w:name w:val="Heading 8 Char"/>
    <w:basedOn w:val="49"/>
    <w:qFormat/>
    <w:uiPriority w:val="9"/>
    <w:rPr>
      <w:rFonts w:ascii="Arial" w:hAnsi="Arial" w:eastAsia="Arial" w:cs="Arial"/>
      <w:i/>
      <w:iCs/>
      <w:sz w:val="22"/>
      <w:szCs w:val="22"/>
    </w:rPr>
  </w:style>
  <w:style w:type="character" w:customStyle="1" w:styleId="71">
    <w:name w:val="Heading 9 Char"/>
    <w:basedOn w:val="49"/>
    <w:qFormat/>
    <w:uiPriority w:val="9"/>
    <w:rPr>
      <w:rFonts w:ascii="Arial" w:hAnsi="Arial" w:eastAsia="Arial" w:cs="Arial"/>
      <w:i/>
      <w:iCs/>
      <w:sz w:val="21"/>
      <w:szCs w:val="21"/>
    </w:rPr>
  </w:style>
  <w:style w:type="character" w:customStyle="1" w:styleId="72">
    <w:name w:val="Title Char"/>
    <w:basedOn w:val="49"/>
    <w:qFormat/>
    <w:uiPriority w:val="10"/>
    <w:rPr>
      <w:sz w:val="48"/>
      <w:szCs w:val="48"/>
    </w:rPr>
  </w:style>
  <w:style w:type="character" w:customStyle="1" w:styleId="73">
    <w:name w:val="Subtitle Char"/>
    <w:basedOn w:val="49"/>
    <w:qFormat/>
    <w:uiPriority w:val="11"/>
    <w:rPr>
      <w:sz w:val="24"/>
      <w:szCs w:val="24"/>
    </w:rPr>
  </w:style>
  <w:style w:type="character" w:customStyle="1" w:styleId="74">
    <w:name w:val="Quote Char"/>
    <w:qFormat/>
    <w:uiPriority w:val="29"/>
    <w:rPr>
      <w:i/>
    </w:rPr>
  </w:style>
  <w:style w:type="character" w:customStyle="1" w:styleId="75">
    <w:name w:val="Intense Quote Char"/>
    <w:qFormat/>
    <w:uiPriority w:val="30"/>
    <w:rPr>
      <w:i/>
    </w:rPr>
  </w:style>
  <w:style w:type="character" w:customStyle="1" w:styleId="76">
    <w:name w:val="Header Char"/>
    <w:basedOn w:val="49"/>
    <w:qFormat/>
    <w:uiPriority w:val="99"/>
  </w:style>
  <w:style w:type="character" w:customStyle="1" w:styleId="77">
    <w:name w:val="Footer Char"/>
    <w:basedOn w:val="49"/>
    <w:qFormat/>
    <w:uiPriority w:val="99"/>
  </w:style>
  <w:style w:type="character" w:customStyle="1" w:styleId="78">
    <w:name w:val="Caption Char"/>
    <w:qFormat/>
    <w:uiPriority w:val="99"/>
  </w:style>
  <w:style w:type="table" w:customStyle="1" w:styleId="79">
    <w:name w:val="Table Grid Light"/>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7">
    <w:name w:val="Grid Table 1 Light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8">
    <w:name w:val="Grid Table 1 Light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9">
    <w:name w:val="Grid Table 1 Light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0">
    <w:name w:val="Grid Table 1 Light - Accent 5"/>
    <w:basedOn w:val="4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1">
    <w:name w:val="Grid Table 1 Light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2">
    <w:name w:val="网格表 2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4">
    <w:name w:val="Grid Table 2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2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2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2 - Accent 5"/>
    <w:basedOn w:val="4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2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31"/>
    <w:basedOn w:val="4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1">
    <w:name w:val="Grid Table 3 - Accent 2"/>
    <w:basedOn w:val="4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2">
    <w:name w:val="Grid Table 3 - Accent 3"/>
    <w:basedOn w:val="4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3">
    <w:name w:val="Grid Table 3 - Accent 4"/>
    <w:basedOn w:val="4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4">
    <w:name w:val="Grid Table 3 - Accent 5"/>
    <w:basedOn w:val="4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5">
    <w:name w:val="Grid Table 3 - Accent 6"/>
    <w:basedOn w:val="4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6">
    <w:name w:val="网格表 41"/>
    <w:basedOn w:val="4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8">
    <w:name w:val="Grid Table 4 - Accent 2"/>
    <w:basedOn w:val="4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9">
    <w:name w:val="Grid Table 4 - Accent 3"/>
    <w:basedOn w:val="4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0">
    <w:name w:val="Grid Table 4 - Accent 4"/>
    <w:basedOn w:val="4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1">
    <w:name w:val="Grid Table 4 - Accent 5"/>
    <w:basedOn w:val="4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2">
    <w:name w:val="Grid Table 4 - Accent 6"/>
    <w:basedOn w:val="4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3">
    <w:name w:val="网格表 5 深色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5">
    <w:name w:val="Grid Table 5 Dark - Accent 2"/>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6">
    <w:name w:val="Grid Table 5 Dark - Accent 3"/>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7">
    <w:name w:val="Grid Table 5 Dark- Accent 4"/>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8">
    <w:name w:val="Grid Table 5 Dark - Accent 5"/>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9">
    <w:name w:val="Grid Table 5 Dark - Accent 6"/>
    <w:basedOn w:val="4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0">
    <w:name w:val="网格表 6 彩色1"/>
    <w:basedOn w:val="4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4">
    <w:name w:val="Grid Table 6 Colorful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6">
    <w:name w:val="Grid Table 6 Colorful - Accent 6"/>
    <w:basedOn w:val="4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7">
    <w:name w:val="网格表 7 彩色1"/>
    <w:basedOn w:val="4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31">
    <w:name w:val="Grid Table 7 Colorful - Accent 4"/>
    <w:basedOn w:val="4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3">
    <w:name w:val="Grid Table 7 Colorful - Accent 6"/>
    <w:basedOn w:val="4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4">
    <w:name w:val="清单表 1 浅色1"/>
    <w:basedOn w:val="4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6">
    <w:name w:val="List Table 1 Light - Accent 2"/>
    <w:basedOn w:val="4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7">
    <w:name w:val="List Table 1 Light - Accent 3"/>
    <w:basedOn w:val="4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8">
    <w:name w:val="List Table 1 Light - Accent 4"/>
    <w:basedOn w:val="4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9">
    <w:name w:val="List Table 1 Light - Accent 5"/>
    <w:basedOn w:val="4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0">
    <w:name w:val="List Table 1 Light - Accent 6"/>
    <w:basedOn w:val="4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1">
    <w:name w:val="清单表 21"/>
    <w:basedOn w:val="4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2 - Accent 2"/>
    <w:basedOn w:val="4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2 - Accent 3"/>
    <w:basedOn w:val="4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2 - Accent 4"/>
    <w:basedOn w:val="4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2 - Accent 5"/>
    <w:basedOn w:val="4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2 - Accent 6"/>
    <w:basedOn w:val="4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清单表 3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0">
    <w:name w:val="List Table 3 - Accent 2"/>
    <w:basedOn w:val="4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1">
    <w:name w:val="List Table 3 - Accent 3"/>
    <w:basedOn w:val="4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2">
    <w:name w:val="List Table 3 - Accent 4"/>
    <w:basedOn w:val="4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3">
    <w:name w:val="List Table 3 - Accent 5"/>
    <w:basedOn w:val="4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4">
    <w:name w:val="List Table 3 - Accent 6"/>
    <w:basedOn w:val="4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5">
    <w:name w:val="清单表 41"/>
    <w:basedOn w:val="4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7">
    <w:name w:val="List Table 4 - Accent 2"/>
    <w:basedOn w:val="4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8">
    <w:name w:val="List Table 4 - Accent 3"/>
    <w:basedOn w:val="4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9">
    <w:name w:val="List Table 4 - Accent 4"/>
    <w:basedOn w:val="4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0">
    <w:name w:val="List Table 4 - Accent 5"/>
    <w:basedOn w:val="4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1">
    <w:name w:val="List Table 4 - Accent 6"/>
    <w:basedOn w:val="4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2">
    <w:name w:val="清单表 5 深色1"/>
    <w:basedOn w:val="4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4">
    <w:name w:val="List Table 5 Dark - Accent 2"/>
    <w:basedOn w:val="4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5">
    <w:name w:val="List Table 5 Dark - Accent 3"/>
    <w:basedOn w:val="4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6">
    <w:name w:val="List Table 5 Dark - Accent 4"/>
    <w:basedOn w:val="4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7">
    <w:name w:val="List Table 5 Dark - Accent 5"/>
    <w:basedOn w:val="4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8">
    <w:name w:val="List Table 5 Dark - Accent 6"/>
    <w:basedOn w:val="4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9">
    <w:name w:val="清单表 6 彩色1"/>
    <w:basedOn w:val="4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1">
    <w:name w:val="List Table 6 Colorful - Accent 2"/>
    <w:basedOn w:val="4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8">
    <w:name w:val="List Table 7 Colorful - Accent 2"/>
    <w:basedOn w:val="4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5">
    <w:name w:val="Lined - Accent 2"/>
    <w:basedOn w:val="4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6">
    <w:name w:val="Lined - Accent 3"/>
    <w:basedOn w:val="4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7">
    <w:name w:val="Lined - Accent 4"/>
    <w:basedOn w:val="4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8">
    <w:name w:val="Lined - Accent 5"/>
    <w:basedOn w:val="4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9">
    <w:name w:val="Lined - Accent 6"/>
    <w:basedOn w:val="4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0">
    <w:name w:val="Bordered &amp; Lined - Accent"/>
    <w:basedOn w:val="4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2">
    <w:name w:val="Bordered &amp; Lined - Accent 2"/>
    <w:basedOn w:val="4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3">
    <w:name w:val="Bordered &amp; Lined - Accent 3"/>
    <w:basedOn w:val="4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4">
    <w:name w:val="Bordered &amp; Lined - Accent 4"/>
    <w:basedOn w:val="4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5">
    <w:name w:val="Bordered &amp; Lined - Accent 5"/>
    <w:basedOn w:val="4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6">
    <w:name w:val="Bordered &amp; Lined - Accent 6"/>
    <w:basedOn w:val="4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7">
    <w:name w:val="Bordered"/>
    <w:basedOn w:val="4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9">
    <w:name w:val="Bordered - Accent 2"/>
    <w:basedOn w:val="4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0">
    <w:name w:val="Bordered - Accent 3"/>
    <w:basedOn w:val="4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1">
    <w:name w:val="Bordered - Accent 4"/>
    <w:basedOn w:val="4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2">
    <w:name w:val="Bordered - Accent 5"/>
    <w:basedOn w:val="4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3">
    <w:name w:val="Bordered - Accent 6"/>
    <w:basedOn w:val="4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4">
    <w:name w:val="Footnote Text Char"/>
    <w:qFormat/>
    <w:uiPriority w:val="99"/>
    <w:rPr>
      <w:sz w:val="18"/>
    </w:rPr>
  </w:style>
  <w:style w:type="character" w:customStyle="1" w:styleId="205">
    <w:name w:val="尾注文本 Char"/>
    <w:link w:val="30"/>
    <w:qFormat/>
    <w:uiPriority w:val="99"/>
    <w:rPr>
      <w:sz w:val="20"/>
    </w:rPr>
  </w:style>
  <w:style w:type="paragraph" w:customStyle="1" w:styleId="206">
    <w:name w:val="TOC 标题1"/>
    <w:unhideWhenUsed/>
    <w:qFormat/>
    <w:uiPriority w:val="39"/>
    <w:rPr>
      <w:rFonts w:asciiTheme="minorHAnsi" w:hAnsiTheme="minorHAnsi" w:eastAsiaTheme="minorEastAsia" w:cstheme="minorBidi"/>
      <w:lang w:val="en-US" w:eastAsia="zh-CN" w:bidi="ar-SA"/>
    </w:rPr>
  </w:style>
  <w:style w:type="paragraph" w:customStyle="1" w:styleId="207">
    <w:name w:val="段"/>
    <w:next w:val="1"/>
    <w:link w:val="208"/>
    <w:qFormat/>
    <w:uiPriority w:val="0"/>
    <w:pPr>
      <w:tabs>
        <w:tab w:val="center" w:pos="4201"/>
        <w:tab w:val="right" w:leader="dot" w:pos="9298"/>
      </w:tabs>
      <w:spacing w:after="200" w:line="276" w:lineRule="auto"/>
      <w:ind w:firstLine="420"/>
      <w:jc w:val="both"/>
    </w:pPr>
    <w:rPr>
      <w:rFonts w:ascii="宋体" w:hAnsiTheme="minorHAnsi" w:eastAsiaTheme="minorEastAsia" w:cstheme="minorBidi"/>
      <w:lang w:val="en-US" w:eastAsia="zh-CN" w:bidi="ar-SA"/>
    </w:rPr>
  </w:style>
  <w:style w:type="character" w:customStyle="1" w:styleId="208">
    <w:name w:val="段 Char"/>
    <w:link w:val="207"/>
    <w:qFormat/>
    <w:uiPriority w:val="0"/>
    <w:rPr>
      <w:rFonts w:ascii="宋体"/>
    </w:rPr>
  </w:style>
  <w:style w:type="paragraph" w:customStyle="1" w:styleId="209">
    <w:name w:val="正文段落内容"/>
    <w:basedOn w:val="1"/>
    <w:link w:val="210"/>
    <w:qFormat/>
    <w:uiPriority w:val="0"/>
    <w:pPr>
      <w:ind w:firstLine="200"/>
      <w:jc w:val="left"/>
    </w:pPr>
    <w:rPr>
      <w:rFonts w:ascii="Times New Roman" w:hAnsi="Times New Roman"/>
      <w:sz w:val="20"/>
      <w:szCs w:val="24"/>
      <w:lang w:bidi="en-US"/>
    </w:rPr>
  </w:style>
  <w:style w:type="character" w:customStyle="1" w:styleId="210">
    <w:name w:val="正文段落内容 Char"/>
    <w:link w:val="209"/>
    <w:qFormat/>
    <w:uiPriority w:val="0"/>
    <w:rPr>
      <w:rFonts w:ascii="Times New Roman" w:hAnsi="Times New Roman"/>
      <w:szCs w:val="24"/>
      <w:lang w:bidi="en-US"/>
    </w:rPr>
  </w:style>
  <w:style w:type="paragraph" w:customStyle="1" w:styleId="211">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212">
    <w:name w:val="标题 31"/>
    <w:basedOn w:val="1"/>
    <w:next w:val="1"/>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character" w:customStyle="1" w:styleId="213">
    <w:name w:val="标题 4 Char"/>
    <w:link w:val="66"/>
    <w:qFormat/>
    <w:uiPriority w:val="0"/>
    <w:rPr>
      <w:rFonts w:ascii="Cambria" w:hAnsi="Cambria" w:eastAsia="宋体" w:cs="Times New Roman"/>
      <w:b/>
      <w:bCs/>
      <w:sz w:val="28"/>
      <w:szCs w:val="28"/>
    </w:rPr>
  </w:style>
  <w:style w:type="paragraph" w:customStyle="1" w:styleId="214">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215">
    <w:name w:val="标题 61"/>
    <w:basedOn w:val="1"/>
    <w:next w:val="1"/>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216">
    <w:name w:val="标题 71"/>
    <w:basedOn w:val="1"/>
    <w:next w:val="1"/>
    <w:link w:val="217"/>
    <w:qFormat/>
    <w:uiPriority w:val="0"/>
    <w:pPr>
      <w:keepNext/>
      <w:keepLines/>
      <w:spacing w:before="240" w:after="64" w:line="320" w:lineRule="auto"/>
      <w:ind w:left="1296" w:hanging="1296"/>
      <w:outlineLvl w:val="6"/>
    </w:pPr>
    <w:rPr>
      <w:rFonts w:ascii="Calibri" w:hAnsi="Calibri" w:eastAsia="宋体" w:cs="Times New Roman"/>
      <w:b/>
      <w:bCs/>
      <w:sz w:val="24"/>
      <w:szCs w:val="24"/>
    </w:rPr>
  </w:style>
  <w:style w:type="character" w:customStyle="1" w:styleId="217">
    <w:name w:val="标题 7 Char1"/>
    <w:link w:val="216"/>
    <w:qFormat/>
    <w:uiPriority w:val="0"/>
    <w:rPr>
      <w:rFonts w:ascii="Calibri" w:hAnsi="Calibri" w:eastAsia="宋体" w:cs="Times New Roman"/>
      <w:b/>
      <w:bCs/>
      <w:sz w:val="24"/>
      <w:szCs w:val="24"/>
    </w:rPr>
  </w:style>
  <w:style w:type="paragraph" w:customStyle="1" w:styleId="218">
    <w:name w:val="标题 81"/>
    <w:basedOn w:val="1"/>
    <w:next w:val="1"/>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219">
    <w:name w:val="标题 91"/>
    <w:basedOn w:val="1"/>
    <w:next w:val="1"/>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220">
    <w:name w:val="样式 样式 正文缩进四号ALT+Z段1 Char Char Char段1 Char Char标题4body text鋘d... ...1"/>
    <w:basedOn w:val="1"/>
    <w:link w:val="221"/>
    <w:qFormat/>
    <w:uiPriority w:val="0"/>
    <w:rPr>
      <w:rFonts w:ascii="宋体" w:hAnsi="宋体" w:eastAsia="宋体" w:cs="Times New Roman"/>
      <w:sz w:val="20"/>
      <w:szCs w:val="21"/>
    </w:rPr>
  </w:style>
  <w:style w:type="character" w:customStyle="1" w:styleId="221">
    <w:name w:val="样式 样式 正文缩进四号ALT+Z段1 Char Char Char段1 Char Char标题4body text鋘d... ...1 Char Char"/>
    <w:link w:val="220"/>
    <w:qFormat/>
    <w:uiPriority w:val="0"/>
    <w:rPr>
      <w:rFonts w:ascii="宋体" w:hAnsi="宋体" w:eastAsia="宋体" w:cs="Times New Roman"/>
      <w:szCs w:val="21"/>
    </w:rPr>
  </w:style>
  <w:style w:type="paragraph" w:customStyle="1" w:styleId="222">
    <w:name w:val="AC-Image-图片"/>
    <w:next w:val="1"/>
    <w:qFormat/>
    <w:uiPriority w:val="0"/>
    <w:pPr>
      <w:jc w:val="center"/>
    </w:pPr>
    <w:rPr>
      <w:rFonts w:ascii="Times New Roman" w:hAnsi="Times New Roman" w:eastAsia="宋体" w:cs="Calibri"/>
      <w:sz w:val="24"/>
      <w:szCs w:val="21"/>
      <w:lang w:val="en-US" w:eastAsia="zh-CN" w:bidi="ar-SA"/>
    </w:rPr>
  </w:style>
  <w:style w:type="paragraph" w:customStyle="1" w:styleId="223">
    <w:name w:val="AC-Image-图表标题"/>
    <w:qFormat/>
    <w:uiPriority w:val="0"/>
    <w:pPr>
      <w:jc w:val="center"/>
    </w:pPr>
    <w:rPr>
      <w:rFonts w:ascii="Times New Roman" w:hAnsi="Times New Roman" w:eastAsia="微软雅黑" w:cs="宋体"/>
      <w:sz w:val="21"/>
      <w:lang w:val="en-US" w:eastAsia="zh-CN" w:bidi="ar-SA"/>
    </w:rPr>
  </w:style>
  <w:style w:type="paragraph" w:customStyle="1" w:styleId="224">
    <w:name w:val="列项"/>
    <w:basedOn w:val="1"/>
    <w:qFormat/>
    <w:uiPriority w:val="0"/>
    <w:pPr>
      <w:widowControl/>
      <w:ind w:left="425" w:hanging="425"/>
      <w:jc w:val="left"/>
    </w:pPr>
    <w:rPr>
      <w:rFonts w:ascii="宋体" w:hAnsi="Calibri" w:eastAsia="仿宋" w:cs="Times New Roman"/>
      <w:sz w:val="28"/>
      <w:szCs w:val="24"/>
    </w:rPr>
  </w:style>
  <w:style w:type="character" w:customStyle="1" w:styleId="225">
    <w:name w:val="标题 7 字符"/>
    <w:basedOn w:val="49"/>
    <w:semiHidden/>
    <w:qFormat/>
    <w:uiPriority w:val="9"/>
    <w:rPr>
      <w:b/>
      <w:bCs/>
      <w:sz w:val="24"/>
      <w:szCs w:val="24"/>
    </w:rPr>
  </w:style>
  <w:style w:type="paragraph" w:customStyle="1" w:styleId="226">
    <w:name w:val="标书突出内容（文字加粗）"/>
    <w:basedOn w:val="209"/>
    <w:next w:val="209"/>
    <w:link w:val="227"/>
    <w:qFormat/>
    <w:uiPriority w:val="0"/>
    <w:rPr>
      <w:b/>
    </w:rPr>
  </w:style>
  <w:style w:type="character" w:customStyle="1" w:styleId="227">
    <w:name w:val="标书突出内容（文字加粗） Char"/>
    <w:link w:val="226"/>
    <w:qFormat/>
    <w:uiPriority w:val="0"/>
    <w:rPr>
      <w:rFonts w:ascii="Times New Roman" w:hAnsi="Times New Roman"/>
      <w:b/>
      <w:szCs w:val="24"/>
      <w:lang w:bidi="en-US"/>
    </w:rPr>
  </w:style>
  <w:style w:type="character" w:customStyle="1" w:styleId="228">
    <w:name w:val="webdict"/>
    <w:basedOn w:val="49"/>
    <w:qFormat/>
    <w:uiPriority w:val="0"/>
  </w:style>
  <w:style w:type="character" w:customStyle="1" w:styleId="229">
    <w:name w:val="明显参考1"/>
    <w:qFormat/>
    <w:uiPriority w:val="0"/>
    <w:rPr>
      <w:b/>
      <w:bCs/>
      <w:smallCaps/>
      <w:color w:val="C0504D"/>
      <w:spacing w:val="5"/>
      <w:u w:val="single"/>
    </w:rPr>
  </w:style>
  <w:style w:type="paragraph" w:customStyle="1" w:styleId="230">
    <w:name w:val="图片（居中）"/>
    <w:basedOn w:val="1"/>
    <w:next w:val="209"/>
    <w:link w:val="231"/>
    <w:qFormat/>
    <w:uiPriority w:val="0"/>
    <w:pPr>
      <w:jc w:val="center"/>
    </w:pPr>
    <w:rPr>
      <w:rFonts w:ascii="宋体" w:hAnsi="宋体"/>
      <w:sz w:val="24"/>
      <w:szCs w:val="24"/>
      <w:lang w:bidi="en-US"/>
    </w:rPr>
  </w:style>
  <w:style w:type="character" w:customStyle="1" w:styleId="231">
    <w:name w:val="图片（居中） Char"/>
    <w:link w:val="230"/>
    <w:qFormat/>
    <w:uiPriority w:val="0"/>
    <w:rPr>
      <w:rFonts w:ascii="宋体" w:hAnsi="宋体"/>
      <w:sz w:val="24"/>
      <w:szCs w:val="24"/>
      <w:lang w:bidi="en-US"/>
    </w:rPr>
  </w:style>
  <w:style w:type="paragraph" w:customStyle="1" w:styleId="232">
    <w:name w:val="页眉1"/>
    <w:basedOn w:val="1"/>
    <w:link w:val="233"/>
    <w:qFormat/>
    <w:uiPriority w:val="0"/>
    <w:pPr>
      <w:pBdr>
        <w:bottom w:val="single" w:color="auto" w:sz="6" w:space="1"/>
      </w:pBdr>
      <w:tabs>
        <w:tab w:val="center" w:pos="4153"/>
        <w:tab w:val="right" w:pos="8306"/>
      </w:tabs>
      <w:jc w:val="center"/>
    </w:pPr>
    <w:rPr>
      <w:sz w:val="18"/>
      <w:szCs w:val="18"/>
    </w:rPr>
  </w:style>
  <w:style w:type="character" w:customStyle="1" w:styleId="233">
    <w:name w:val="页眉 Char"/>
    <w:link w:val="232"/>
    <w:qFormat/>
    <w:uiPriority w:val="0"/>
    <w:rPr>
      <w:sz w:val="18"/>
      <w:szCs w:val="18"/>
    </w:rPr>
  </w:style>
  <w:style w:type="paragraph" w:customStyle="1" w:styleId="234">
    <w:name w:val="段落内容三级列表"/>
    <w:basedOn w:val="1"/>
    <w:link w:val="235"/>
    <w:qFormat/>
    <w:uiPriority w:val="30"/>
    <w:pPr>
      <w:tabs>
        <w:tab w:val="left" w:pos="4848"/>
      </w:tabs>
      <w:ind w:left="4848" w:hanging="1418"/>
      <w:jc w:val="left"/>
    </w:pPr>
    <w:rPr>
      <w:rFonts w:ascii="宋体" w:hAnsi="宋体" w:eastAsia="仿宋"/>
      <w:sz w:val="28"/>
      <w:szCs w:val="24"/>
      <w:lang w:bidi="en-US"/>
    </w:rPr>
  </w:style>
  <w:style w:type="character" w:customStyle="1" w:styleId="235">
    <w:name w:val="段落内容三级列表 Char"/>
    <w:link w:val="234"/>
    <w:qFormat/>
    <w:uiPriority w:val="30"/>
    <w:rPr>
      <w:rFonts w:ascii="宋体" w:hAnsi="宋体" w:eastAsia="仿宋"/>
      <w:sz w:val="28"/>
      <w:szCs w:val="24"/>
      <w:lang w:bidi="en-US"/>
    </w:rPr>
  </w:style>
  <w:style w:type="paragraph" w:customStyle="1" w:styleId="236">
    <w:name w:val="段落内容一级列表"/>
    <w:basedOn w:val="1"/>
    <w:link w:val="237"/>
    <w:qFormat/>
    <w:uiPriority w:val="29"/>
    <w:pPr>
      <w:tabs>
        <w:tab w:val="left" w:pos="4281"/>
      </w:tabs>
      <w:ind w:left="100" w:hanging="1276"/>
      <w:jc w:val="left"/>
    </w:pPr>
    <w:rPr>
      <w:rFonts w:ascii="宋体" w:hAnsi="宋体"/>
      <w:sz w:val="24"/>
      <w:szCs w:val="24"/>
      <w:lang w:bidi="en-US"/>
    </w:rPr>
  </w:style>
  <w:style w:type="character" w:customStyle="1" w:styleId="237">
    <w:name w:val="段落内容一级列表 Char"/>
    <w:link w:val="236"/>
    <w:qFormat/>
    <w:uiPriority w:val="29"/>
    <w:rPr>
      <w:rFonts w:ascii="宋体" w:hAnsi="宋体"/>
      <w:sz w:val="24"/>
      <w:szCs w:val="24"/>
      <w:lang w:bidi="en-US"/>
    </w:rPr>
  </w:style>
  <w:style w:type="character" w:customStyle="1" w:styleId="238">
    <w:name w:val="标题 3 Char"/>
    <w:qFormat/>
    <w:uiPriority w:val="0"/>
    <w:rPr>
      <w:rFonts w:eastAsia="黑体"/>
      <w:b/>
      <w:color w:val="000000"/>
      <w:sz w:val="28"/>
      <w:szCs w:val="32"/>
    </w:rPr>
  </w:style>
  <w:style w:type="paragraph" w:customStyle="1" w:styleId="239">
    <w:name w:val="段落内容无序列表"/>
    <w:basedOn w:val="1"/>
    <w:link w:val="240"/>
    <w:qFormat/>
    <w:uiPriority w:val="32"/>
    <w:pPr>
      <w:widowControl/>
      <w:tabs>
        <w:tab w:val="left" w:pos="720"/>
      </w:tabs>
      <w:ind w:left="250" w:hanging="720"/>
      <w:jc w:val="left"/>
    </w:pPr>
    <w:rPr>
      <w:rFonts w:ascii="宋体" w:hAnsi="宋体" w:eastAsia="仿宋"/>
      <w:sz w:val="24"/>
      <w:szCs w:val="24"/>
      <w:lang w:bidi="en-US"/>
    </w:rPr>
  </w:style>
  <w:style w:type="character" w:customStyle="1" w:styleId="240">
    <w:name w:val="段落内容无序列表 Char"/>
    <w:link w:val="239"/>
    <w:qFormat/>
    <w:uiPriority w:val="32"/>
    <w:rPr>
      <w:rFonts w:ascii="宋体" w:hAnsi="宋体" w:eastAsia="仿宋"/>
      <w:sz w:val="24"/>
      <w:szCs w:val="24"/>
      <w:lang w:bidi="en-US"/>
    </w:rPr>
  </w:style>
  <w:style w:type="character" w:customStyle="1" w:styleId="241">
    <w:name w:val="书籍标题1"/>
    <w:qFormat/>
    <w:uiPriority w:val="0"/>
    <w:rPr>
      <w:b/>
      <w:bCs/>
      <w:smallCaps/>
      <w:spacing w:val="5"/>
    </w:rPr>
  </w:style>
  <w:style w:type="character" w:customStyle="1" w:styleId="242">
    <w:name w:val="明显强调1"/>
    <w:qFormat/>
    <w:uiPriority w:val="21"/>
    <w:rPr>
      <w:b/>
      <w:bCs/>
      <w:i/>
      <w:iCs/>
      <w:color w:val="4F81BD"/>
    </w:rPr>
  </w:style>
  <w:style w:type="character" w:customStyle="1" w:styleId="243">
    <w:name w:val="标题 5 Char"/>
    <w:qFormat/>
    <w:uiPriority w:val="0"/>
    <w:rPr>
      <w:rFonts w:eastAsia="黑体"/>
      <w:b/>
      <w:bCs/>
      <w:sz w:val="28"/>
      <w:szCs w:val="28"/>
      <w:lang w:bidi="en-US"/>
    </w:rPr>
  </w:style>
  <w:style w:type="paragraph" w:customStyle="1" w:styleId="244">
    <w:name w:val="标题 11"/>
    <w:basedOn w:val="1"/>
    <w:next w:val="1"/>
    <w:link w:val="245"/>
    <w:qFormat/>
    <w:uiPriority w:val="0"/>
    <w:pPr>
      <w:keepNext/>
      <w:keepLines/>
      <w:pageBreakBefore/>
      <w:spacing w:before="340" w:after="330" w:line="578" w:lineRule="auto"/>
      <w:outlineLvl w:val="0"/>
    </w:pPr>
    <w:rPr>
      <w:rFonts w:eastAsia="黑体"/>
      <w:b/>
      <w:bCs/>
      <w:sz w:val="32"/>
      <w:szCs w:val="44"/>
    </w:rPr>
  </w:style>
  <w:style w:type="character" w:customStyle="1" w:styleId="245">
    <w:name w:val="标题 1 Char"/>
    <w:link w:val="244"/>
    <w:qFormat/>
    <w:uiPriority w:val="0"/>
    <w:rPr>
      <w:rFonts w:eastAsia="黑体"/>
      <w:b/>
      <w:bCs/>
      <w:sz w:val="32"/>
      <w:szCs w:val="44"/>
    </w:rPr>
  </w:style>
  <w:style w:type="character" w:customStyle="1" w:styleId="246">
    <w:name w:val="正文文本 Char"/>
    <w:link w:val="59"/>
    <w:qFormat/>
    <w:uiPriority w:val="0"/>
    <w:rPr>
      <w:rFonts w:ascii="Times New Roman" w:hAnsi="Times New Roman" w:eastAsia="仿宋"/>
      <w:sz w:val="28"/>
      <w:szCs w:val="24"/>
    </w:rPr>
  </w:style>
  <w:style w:type="paragraph" w:customStyle="1" w:styleId="247">
    <w:name w:val="页脚1"/>
    <w:basedOn w:val="1"/>
    <w:link w:val="248"/>
    <w:qFormat/>
    <w:uiPriority w:val="0"/>
    <w:pPr>
      <w:tabs>
        <w:tab w:val="center" w:pos="4153"/>
        <w:tab w:val="right" w:pos="8306"/>
      </w:tabs>
      <w:jc w:val="left"/>
    </w:pPr>
    <w:rPr>
      <w:rFonts w:ascii="Times New Roman" w:hAnsi="Times New Roman"/>
      <w:sz w:val="18"/>
      <w:szCs w:val="18"/>
    </w:rPr>
  </w:style>
  <w:style w:type="character" w:customStyle="1" w:styleId="248">
    <w:name w:val="页脚 Char"/>
    <w:link w:val="247"/>
    <w:qFormat/>
    <w:uiPriority w:val="0"/>
    <w:rPr>
      <w:rFonts w:ascii="Times New Roman" w:hAnsi="Times New Roman"/>
      <w:sz w:val="18"/>
      <w:szCs w:val="18"/>
    </w:rPr>
  </w:style>
  <w:style w:type="character" w:customStyle="1" w:styleId="249">
    <w:name w:val="标题 2 Char"/>
    <w:qFormat/>
    <w:uiPriority w:val="0"/>
    <w:rPr>
      <w:rFonts w:eastAsia="黑体"/>
      <w:b/>
      <w:bCs/>
      <w:color w:val="000000"/>
      <w:sz w:val="30"/>
      <w:szCs w:val="32"/>
    </w:rPr>
  </w:style>
  <w:style w:type="character" w:customStyle="1" w:styleId="250">
    <w:name w:val="不明显参考1"/>
    <w:qFormat/>
    <w:uiPriority w:val="0"/>
    <w:rPr>
      <w:smallCaps/>
      <w:color w:val="C0504D"/>
      <w:u w:val="single"/>
    </w:rPr>
  </w:style>
  <w:style w:type="character" w:customStyle="1" w:styleId="251">
    <w:name w:val="不明显强调1"/>
    <w:qFormat/>
    <w:uiPriority w:val="0"/>
    <w:rPr>
      <w:i/>
      <w:iCs/>
      <w:color w:val="4040FF"/>
    </w:rPr>
  </w:style>
  <w:style w:type="paragraph" w:customStyle="1" w:styleId="252">
    <w:name w:val="章节71"/>
    <w:basedOn w:val="4"/>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53">
    <w:name w:val="标题 2 Char1"/>
    <w:basedOn w:val="49"/>
    <w:link w:val="4"/>
    <w:qFormat/>
    <w:uiPriority w:val="0"/>
    <w:rPr>
      <w:rFonts w:asciiTheme="majorHAnsi" w:hAnsiTheme="majorHAnsi" w:eastAsiaTheme="majorEastAsia" w:cstheme="majorBidi"/>
      <w:b/>
      <w:bCs/>
      <w:sz w:val="32"/>
      <w:szCs w:val="32"/>
    </w:rPr>
  </w:style>
  <w:style w:type="paragraph" w:customStyle="1" w:styleId="254">
    <w:name w:val="章节6.1"/>
    <w:basedOn w:val="4"/>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55">
    <w:name w:val="章节2-1"/>
    <w:basedOn w:val="1"/>
    <w:qFormat/>
    <w:uiPriority w:val="0"/>
    <w:pPr>
      <w:jc w:val="left"/>
    </w:pPr>
    <w:rPr>
      <w:rFonts w:ascii="黑体" w:hAnsi="Calibri" w:eastAsia="黑体" w:cs="Times New Roman"/>
      <w:sz w:val="28"/>
      <w:szCs w:val="24"/>
    </w:rPr>
  </w:style>
  <w:style w:type="paragraph" w:customStyle="1" w:styleId="256">
    <w:name w:val="附录标题"/>
    <w:basedOn w:val="3"/>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57">
    <w:name w:val="标题 1 Char1"/>
    <w:basedOn w:val="49"/>
    <w:link w:val="3"/>
    <w:qFormat/>
    <w:uiPriority w:val="9"/>
    <w:rPr>
      <w:rFonts w:ascii="Times New Roman" w:hAnsi="Times New Roman" w:eastAsia="黑体"/>
      <w:b/>
      <w:bCs/>
      <w:spacing w:val="20"/>
      <w:sz w:val="48"/>
      <w:szCs w:val="44"/>
    </w:rPr>
  </w:style>
  <w:style w:type="character" w:customStyle="1" w:styleId="258">
    <w:name w:val="标题 字符"/>
    <w:basedOn w:val="49"/>
    <w:qFormat/>
    <w:uiPriority w:val="10"/>
    <w:rPr>
      <w:rFonts w:asciiTheme="majorHAnsi" w:hAnsiTheme="majorHAnsi" w:eastAsiaTheme="majorEastAsia" w:cstheme="majorBidi"/>
      <w:b/>
      <w:bCs/>
      <w:sz w:val="32"/>
      <w:szCs w:val="32"/>
    </w:rPr>
  </w:style>
  <w:style w:type="paragraph" w:customStyle="1" w:styleId="259">
    <w:name w:val="术语"/>
    <w:basedOn w:val="1"/>
    <w:qFormat/>
    <w:uiPriority w:val="0"/>
    <w:pPr>
      <w:ind w:firstLine="200"/>
      <w:jc w:val="left"/>
    </w:pPr>
    <w:rPr>
      <w:rFonts w:ascii="黑体" w:hAnsi="Calibri" w:eastAsia="黑体" w:cs="Times New Roman"/>
      <w:sz w:val="28"/>
      <w:szCs w:val="24"/>
    </w:rPr>
  </w:style>
  <w:style w:type="paragraph" w:customStyle="1" w:styleId="260">
    <w:name w:val="章节5.7.1"/>
    <w:basedOn w:val="5"/>
    <w:qFormat/>
    <w:uiPriority w:val="0"/>
    <w:pPr>
      <w:widowControl/>
      <w:spacing w:line="240" w:lineRule="auto"/>
      <w:ind w:left="1680" w:hanging="420"/>
      <w:jc w:val="left"/>
    </w:pPr>
    <w:rPr>
      <w:rFonts w:ascii="黑体" w:hAnsi="黑体" w:eastAsia="仿宋" w:cs="黑体"/>
      <w:color w:val="000000"/>
      <w:sz w:val="30"/>
      <w:szCs w:val="21"/>
      <w:lang w:eastAsia="en-US" w:bidi="en-US"/>
    </w:rPr>
  </w:style>
  <w:style w:type="character" w:customStyle="1" w:styleId="261">
    <w:name w:val="标题 3 Char1"/>
    <w:basedOn w:val="49"/>
    <w:link w:val="5"/>
    <w:qFormat/>
    <w:uiPriority w:val="0"/>
    <w:rPr>
      <w:b/>
      <w:bCs/>
      <w:sz w:val="32"/>
      <w:szCs w:val="32"/>
    </w:rPr>
  </w:style>
  <w:style w:type="paragraph" w:customStyle="1" w:styleId="262">
    <w:name w:val="章节2-3"/>
    <w:basedOn w:val="255"/>
    <w:qFormat/>
    <w:uiPriority w:val="0"/>
    <w:pPr>
      <w:ind w:left="567" w:hanging="567"/>
    </w:pPr>
  </w:style>
  <w:style w:type="paragraph" w:customStyle="1" w:styleId="263">
    <w:name w:val="章节3"/>
    <w:basedOn w:val="5"/>
    <w:qFormat/>
    <w:uiPriority w:val="0"/>
    <w:pPr>
      <w:widowControl/>
      <w:tabs>
        <w:tab w:val="left" w:pos="57"/>
      </w:tabs>
      <w:spacing w:line="240" w:lineRule="auto"/>
      <w:ind w:left="709" w:hanging="709"/>
      <w:jc w:val="left"/>
    </w:pPr>
    <w:rPr>
      <w:rFonts w:ascii="黑体" w:hAnsi="Calibri" w:eastAsia="仿宋" w:cs="黑体"/>
      <w:sz w:val="30"/>
      <w:szCs w:val="21"/>
      <w:lang w:bidi="en-US"/>
    </w:rPr>
  </w:style>
  <w:style w:type="paragraph" w:customStyle="1" w:styleId="264">
    <w:name w:val="章节841"/>
    <w:basedOn w:val="5"/>
    <w:qFormat/>
    <w:uiPriority w:val="0"/>
    <w:pPr>
      <w:widowControl/>
      <w:spacing w:line="240" w:lineRule="auto"/>
      <w:ind w:left="1080" w:hanging="1080"/>
      <w:jc w:val="left"/>
    </w:pPr>
    <w:rPr>
      <w:rFonts w:ascii="黑体" w:hAnsi="黑体" w:eastAsia="仿宋" w:cs="黑体"/>
      <w:color w:val="000000"/>
      <w:sz w:val="30"/>
      <w:szCs w:val="21"/>
      <w:lang w:eastAsia="en-US" w:bidi="en-US"/>
    </w:rPr>
  </w:style>
  <w:style w:type="paragraph" w:customStyle="1" w:styleId="265">
    <w:name w:val="Char"/>
    <w:basedOn w:val="1"/>
    <w:qFormat/>
    <w:uiPriority w:val="0"/>
    <w:pPr>
      <w:ind w:firstLine="200"/>
      <w:jc w:val="left"/>
    </w:pPr>
    <w:rPr>
      <w:rFonts w:ascii="Calibri" w:hAnsi="Calibri" w:eastAsia="仿宋" w:cs="Times New Roman"/>
      <w:sz w:val="28"/>
      <w:szCs w:val="24"/>
    </w:rPr>
  </w:style>
  <w:style w:type="paragraph" w:customStyle="1" w:styleId="266">
    <w:name w:val="章节3-5"/>
    <w:basedOn w:val="263"/>
    <w:qFormat/>
    <w:uiPriority w:val="0"/>
    <w:pPr>
      <w:spacing w:before="312" w:after="312"/>
      <w:ind w:left="0" w:firstLine="0"/>
    </w:pPr>
  </w:style>
  <w:style w:type="paragraph" w:customStyle="1" w:styleId="267">
    <w:name w:val="章节6.1.1"/>
    <w:basedOn w:val="5"/>
    <w:qFormat/>
    <w:uiPriority w:val="0"/>
    <w:pPr>
      <w:widowControl/>
      <w:tabs>
        <w:tab w:val="left" w:pos="786"/>
      </w:tabs>
      <w:spacing w:line="240" w:lineRule="auto"/>
      <w:ind w:left="1794" w:hanging="1368"/>
    </w:pPr>
    <w:rPr>
      <w:rFonts w:ascii="黑体" w:hAnsi="Calibri" w:eastAsia="仿宋" w:cs="黑体"/>
      <w:sz w:val="30"/>
      <w:szCs w:val="21"/>
      <w:lang w:bidi="en-US"/>
    </w:rPr>
  </w:style>
  <w:style w:type="paragraph" w:customStyle="1" w:styleId="268">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269">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270">
    <w:name w:val="引言内容"/>
    <w:basedOn w:val="1"/>
    <w:qFormat/>
    <w:uiPriority w:val="0"/>
    <w:pPr>
      <w:ind w:firstLine="454"/>
      <w:jc w:val="left"/>
    </w:pPr>
    <w:rPr>
      <w:rFonts w:ascii="Calibri" w:hAnsi="Calibri" w:eastAsia="仿宋" w:cs="Times New Roman"/>
      <w:sz w:val="28"/>
      <w:szCs w:val="21"/>
    </w:rPr>
  </w:style>
  <w:style w:type="paragraph" w:customStyle="1" w:styleId="271">
    <w:name w:val="附录1"/>
    <w:basedOn w:val="3"/>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272">
    <w:name w:val="一致性程度标识"/>
    <w:basedOn w:val="1"/>
    <w:qFormat/>
    <w:uiPriority w:val="0"/>
    <w:pPr>
      <w:ind w:firstLine="200"/>
      <w:jc w:val="center"/>
    </w:pPr>
    <w:rPr>
      <w:rFonts w:ascii="宋体" w:hAnsi="宋体" w:eastAsia="宋体" w:cs="Times New Roman"/>
      <w:sz w:val="28"/>
      <w:szCs w:val="28"/>
    </w:rPr>
  </w:style>
  <w:style w:type="paragraph" w:customStyle="1" w:styleId="273">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274">
    <w:name w:val="章节3-5-3"/>
    <w:basedOn w:val="266"/>
    <w:qFormat/>
    <w:uiPriority w:val="0"/>
    <w:pPr>
      <w:ind w:left="1260" w:hanging="420"/>
    </w:pPr>
  </w:style>
  <w:style w:type="paragraph" w:customStyle="1" w:styleId="275">
    <w:name w:val="TOC 标题11"/>
    <w:basedOn w:val="244"/>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276">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277">
    <w:name w:val="章节2"/>
    <w:basedOn w:val="278"/>
    <w:qFormat/>
    <w:uiPriority w:val="0"/>
    <w:pPr>
      <w:tabs>
        <w:tab w:val="left" w:pos="0"/>
      </w:tabs>
      <w:ind w:left="0" w:firstLine="0"/>
    </w:pPr>
    <w:rPr>
      <w:lang w:val="zh-CN"/>
    </w:rPr>
  </w:style>
  <w:style w:type="paragraph" w:customStyle="1" w:styleId="278">
    <w:name w:val="章节1"/>
    <w:basedOn w:val="3"/>
    <w:qFormat/>
    <w:uiPriority w:val="0"/>
    <w:pPr>
      <w:widowControl/>
      <w:tabs>
        <w:tab w:val="left" w:pos="0"/>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279">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280">
    <w:name w:val="_正文"/>
    <w:basedOn w:val="1"/>
    <w:qFormat/>
    <w:uiPriority w:val="0"/>
    <w:pPr>
      <w:ind w:firstLine="480"/>
      <w:jc w:val="left"/>
    </w:pPr>
    <w:rPr>
      <w:rFonts w:ascii="Calibri" w:hAnsi="Calibri" w:eastAsia="仿宋" w:cs="Times New Roman"/>
      <w:sz w:val="28"/>
      <w:szCs w:val="24"/>
    </w:rPr>
  </w:style>
  <w:style w:type="paragraph" w:customStyle="1" w:styleId="281">
    <w:name w:val="章节5.8.1"/>
    <w:basedOn w:val="266"/>
    <w:qFormat/>
    <w:uiPriority w:val="0"/>
    <w:pPr>
      <w:jc w:val="both"/>
    </w:pPr>
    <w:rPr>
      <w:color w:val="000000"/>
    </w:rPr>
  </w:style>
  <w:style w:type="paragraph" w:customStyle="1" w:styleId="282">
    <w:name w:val="附录c21"/>
    <w:basedOn w:val="5"/>
    <w:qFormat/>
    <w:uiPriority w:val="0"/>
    <w:pPr>
      <w:widowControl/>
      <w:spacing w:line="240" w:lineRule="auto"/>
      <w:ind w:left="1260" w:hanging="420"/>
      <w:jc w:val="left"/>
    </w:pPr>
    <w:rPr>
      <w:rFonts w:ascii="黑体" w:hAnsi="黑体" w:eastAsia="仿宋" w:cs="黑体"/>
      <w:sz w:val="30"/>
      <w:szCs w:val="21"/>
      <w:lang w:eastAsia="en-US" w:bidi="en-US"/>
    </w:rPr>
  </w:style>
  <w:style w:type="paragraph" w:customStyle="1" w:styleId="283">
    <w:name w:val="章节7.1"/>
    <w:basedOn w:val="254"/>
    <w:qFormat/>
    <w:uiPriority w:val="0"/>
  </w:style>
  <w:style w:type="paragraph" w:customStyle="1" w:styleId="284">
    <w:name w:val="附录3"/>
    <w:basedOn w:val="5"/>
    <w:next w:val="1"/>
    <w:qFormat/>
    <w:uiPriority w:val="0"/>
    <w:pPr>
      <w:widowControl/>
      <w:tabs>
        <w:tab w:val="left" w:pos="709"/>
      </w:tabs>
      <w:spacing w:line="240" w:lineRule="auto"/>
      <w:ind w:left="720" w:hanging="720"/>
      <w:jc w:val="left"/>
    </w:pPr>
    <w:rPr>
      <w:rFonts w:ascii="黑体" w:hAnsi="黑体" w:eastAsia="仿宋" w:cs="黑体"/>
      <w:sz w:val="30"/>
      <w:szCs w:val="21"/>
      <w:lang w:eastAsia="en-US" w:bidi="en-US"/>
    </w:rPr>
  </w:style>
  <w:style w:type="paragraph" w:customStyle="1" w:styleId="285">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286">
    <w:name w:val="附录表标题"/>
    <w:basedOn w:val="1"/>
    <w:next w:val="207"/>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287">
    <w:name w:val="三级条标题"/>
    <w:basedOn w:val="1"/>
    <w:next w:val="207"/>
    <w:qFormat/>
    <w:uiPriority w:val="0"/>
    <w:pPr>
      <w:widowControl/>
      <w:spacing w:line="276" w:lineRule="auto"/>
      <w:jc w:val="left"/>
      <w:outlineLvl w:val="4"/>
    </w:pPr>
    <w:rPr>
      <w:rFonts w:ascii="黑体" w:hAnsi="Calibri" w:eastAsia="黑体" w:cs="Times New Roman"/>
    </w:rPr>
  </w:style>
  <w:style w:type="paragraph" w:customStyle="1" w:styleId="288">
    <w:name w:val="样式1"/>
    <w:basedOn w:val="2"/>
    <w:link w:val="289"/>
    <w:qFormat/>
    <w:uiPriority w:val="0"/>
    <w:pPr>
      <w:tabs>
        <w:tab w:val="left" w:pos="2141"/>
      </w:tabs>
      <w:ind w:left="2945" w:hanging="1668"/>
    </w:pPr>
    <w:rPr>
      <w:rFonts w:ascii="Arial" w:hAnsi="Arial" w:eastAsia="仿宋" w:cs="Times New Roman"/>
    </w:rPr>
  </w:style>
  <w:style w:type="character" w:customStyle="1" w:styleId="289">
    <w:name w:val="样式1 Char Char"/>
    <w:link w:val="288"/>
    <w:qFormat/>
    <w:uiPriority w:val="0"/>
    <w:rPr>
      <w:rFonts w:ascii="Arial" w:hAnsi="Arial" w:eastAsia="仿宋" w:cs="Times New Roman"/>
      <w:b/>
      <w:bCs/>
      <w:sz w:val="28"/>
      <w:szCs w:val="28"/>
    </w:rPr>
  </w:style>
  <w:style w:type="character" w:customStyle="1" w:styleId="290">
    <w:name w:val="标题 4 Char1"/>
    <w:basedOn w:val="49"/>
    <w:link w:val="2"/>
    <w:qFormat/>
    <w:uiPriority w:val="0"/>
    <w:rPr>
      <w:rFonts w:asciiTheme="majorHAnsi" w:hAnsiTheme="majorHAnsi" w:eastAsiaTheme="majorEastAsia" w:cstheme="majorBidi"/>
      <w:b/>
      <w:bCs/>
      <w:sz w:val="28"/>
      <w:szCs w:val="28"/>
    </w:rPr>
  </w:style>
  <w:style w:type="paragraph" w:customStyle="1" w:styleId="291">
    <w:name w:val="2"/>
    <w:next w:val="1"/>
    <w:qFormat/>
    <w:uiPriority w:val="0"/>
    <w:pPr>
      <w:widowControl w:val="0"/>
      <w:ind w:firstLine="200"/>
    </w:pPr>
    <w:rPr>
      <w:rFonts w:ascii="Calibri" w:hAnsi="Calibri" w:eastAsia="仿宋" w:cs="Times New Roman"/>
      <w:sz w:val="28"/>
      <w:szCs w:val="24"/>
      <w:lang w:val="en-US" w:eastAsia="zh-CN" w:bidi="ar-SA"/>
    </w:rPr>
  </w:style>
  <w:style w:type="paragraph" w:customStyle="1" w:styleId="292">
    <w:name w:val="附录c"/>
    <w:basedOn w:val="4"/>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293">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294">
    <w:name w:val="章节7.1.1"/>
    <w:basedOn w:val="5"/>
    <w:qFormat/>
    <w:uiPriority w:val="0"/>
    <w:pPr>
      <w:widowControl/>
      <w:spacing w:line="240" w:lineRule="auto"/>
      <w:ind w:left="1430" w:hanging="720"/>
    </w:pPr>
    <w:rPr>
      <w:rFonts w:ascii="黑体" w:hAnsi="黑体" w:eastAsia="仿宋" w:cs="黑体"/>
      <w:color w:val="000000"/>
      <w:sz w:val="30"/>
      <w:szCs w:val="21"/>
      <w:lang w:bidi="en-US"/>
    </w:rPr>
  </w:style>
  <w:style w:type="paragraph" w:customStyle="1" w:styleId="295">
    <w:name w:val="章节821"/>
    <w:basedOn w:val="5"/>
    <w:qFormat/>
    <w:uiPriority w:val="0"/>
    <w:pPr>
      <w:widowControl/>
      <w:spacing w:line="240" w:lineRule="auto"/>
      <w:ind w:left="1740" w:hanging="420"/>
      <w:jc w:val="left"/>
    </w:pPr>
    <w:rPr>
      <w:rFonts w:ascii="黑体" w:hAnsi="黑体" w:eastAsia="仿宋" w:cs="黑体"/>
      <w:color w:val="000000"/>
      <w:sz w:val="30"/>
      <w:szCs w:val="21"/>
      <w:lang w:bidi="en-US"/>
    </w:rPr>
  </w:style>
  <w:style w:type="paragraph" w:customStyle="1" w:styleId="296">
    <w:name w:val="章节8631"/>
    <w:basedOn w:val="2"/>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297">
    <w:name w:val="章节8.1"/>
    <w:basedOn w:val="4"/>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298">
    <w:name w:val="附录2"/>
    <w:basedOn w:val="4"/>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299">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300">
    <w:name w:val="章节8621"/>
    <w:basedOn w:val="2"/>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301">
    <w:name w:val="章节831"/>
    <w:basedOn w:val="5"/>
    <w:qFormat/>
    <w:uiPriority w:val="0"/>
    <w:pPr>
      <w:widowControl/>
      <w:spacing w:line="240" w:lineRule="auto"/>
      <w:ind w:left="1430" w:hanging="720"/>
      <w:jc w:val="left"/>
    </w:pPr>
    <w:rPr>
      <w:rFonts w:ascii="黑体" w:hAnsi="黑体" w:eastAsia="仿宋" w:cs="黑体"/>
      <w:color w:val="000000"/>
      <w:sz w:val="30"/>
      <w:szCs w:val="21"/>
      <w:lang w:bidi="en-US"/>
    </w:rPr>
  </w:style>
  <w:style w:type="paragraph" w:customStyle="1" w:styleId="302">
    <w:name w:val="章节2-5"/>
    <w:basedOn w:val="255"/>
    <w:qFormat/>
    <w:uiPriority w:val="0"/>
    <w:pPr>
      <w:tabs>
        <w:tab w:val="left" w:pos="567"/>
      </w:tabs>
      <w:ind w:left="576" w:hanging="576"/>
    </w:pPr>
  </w:style>
  <w:style w:type="paragraph" w:customStyle="1" w:styleId="303">
    <w:name w:val="附录4"/>
    <w:basedOn w:val="284"/>
    <w:qFormat/>
    <w:uiPriority w:val="0"/>
    <w:pPr>
      <w:ind w:left="2100" w:hanging="420"/>
      <w:outlineLvl w:val="3"/>
    </w:pPr>
  </w:style>
  <w:style w:type="paragraph" w:customStyle="1" w:styleId="304">
    <w:name w:val="章节8.1.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5">
    <w:name w:val="附录3新"/>
    <w:basedOn w:val="284"/>
    <w:next w:val="1"/>
    <w:qFormat/>
    <w:uiPriority w:val="0"/>
    <w:pPr>
      <w:spacing w:before="50" w:after="50"/>
      <w:ind w:left="1680" w:hanging="420"/>
    </w:pPr>
  </w:style>
  <w:style w:type="paragraph" w:customStyle="1" w:styleId="306">
    <w:name w:val="章节86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7">
    <w:name w:val="表题"/>
    <w:basedOn w:val="1"/>
    <w:qFormat/>
    <w:uiPriority w:val="0"/>
    <w:pPr>
      <w:jc w:val="center"/>
    </w:pPr>
    <w:rPr>
      <w:rFonts w:ascii="黑体" w:hAnsi="Calibri" w:eastAsia="仿宋" w:cs="Times New Roman"/>
      <w:b/>
      <w:sz w:val="28"/>
      <w:szCs w:val="24"/>
    </w:rPr>
  </w:style>
  <w:style w:type="paragraph" w:customStyle="1" w:styleId="308">
    <w:name w:val="章节731"/>
    <w:basedOn w:val="294"/>
    <w:qFormat/>
    <w:uiPriority w:val="0"/>
  </w:style>
  <w:style w:type="paragraph" w:customStyle="1" w:styleId="309">
    <w:name w:val="章节5.6.1"/>
    <w:basedOn w:val="274"/>
    <w:qFormat/>
    <w:uiPriority w:val="0"/>
    <w:pPr>
      <w:ind w:left="840"/>
    </w:pPr>
  </w:style>
  <w:style w:type="paragraph" w:customStyle="1" w:styleId="310">
    <w:name w:val="章节5.9.1"/>
    <w:basedOn w:val="5"/>
    <w:qFormat/>
    <w:uiPriority w:val="0"/>
    <w:pPr>
      <w:widowControl/>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11">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12">
    <w:name w:val="标准名称"/>
    <w:basedOn w:val="1"/>
    <w:qFormat/>
    <w:uiPriority w:val="0"/>
    <w:pPr>
      <w:ind w:firstLine="200"/>
      <w:jc w:val="center"/>
    </w:pPr>
    <w:rPr>
      <w:rFonts w:ascii="黑体" w:hAnsi="华文中宋" w:eastAsia="黑体" w:cs="Times New Roman"/>
      <w:sz w:val="52"/>
      <w:szCs w:val="52"/>
    </w:rPr>
  </w:style>
  <w:style w:type="paragraph" w:customStyle="1" w:styleId="313">
    <w:name w:val="章节5.1"/>
    <w:basedOn w:val="4"/>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14">
    <w:name w:val="中文标准正文"/>
    <w:basedOn w:val="1"/>
    <w:qFormat/>
    <w:uiPriority w:val="0"/>
    <w:pPr>
      <w:spacing w:line="360" w:lineRule="auto"/>
      <w:ind w:firstLine="200"/>
      <w:jc w:val="left"/>
    </w:pPr>
    <w:rPr>
      <w:rFonts w:ascii="Times New Roman" w:hAnsi="Times New Roman" w:eastAsia="宋体" w:cs="Times New Roman"/>
      <w:sz w:val="28"/>
      <w:szCs w:val="21"/>
    </w:rPr>
  </w:style>
  <w:style w:type="paragraph" w:customStyle="1" w:styleId="315">
    <w:name w:val="msolistparagraph"/>
    <w:basedOn w:val="1"/>
    <w:qFormat/>
    <w:uiPriority w:val="0"/>
    <w:pPr>
      <w:ind w:firstLine="200"/>
    </w:pPr>
    <w:rPr>
      <w:rFonts w:ascii="Calibri" w:hAnsi="Calibri" w:eastAsia="宋体" w:cs="Times New Roman"/>
    </w:rPr>
  </w:style>
  <w:style w:type="paragraph" w:customStyle="1" w:styleId="316">
    <w:name w:val="正文文本缩进1"/>
    <w:basedOn w:val="1"/>
    <w:link w:val="317"/>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17">
    <w:name w:val="正文文本缩进 Char1"/>
    <w:link w:val="316"/>
    <w:qFormat/>
    <w:uiPriority w:val="0"/>
    <w:rPr>
      <w:rFonts w:ascii="Times New Roman" w:hAnsi="Times New Roman" w:eastAsia="楷体_GB2312" w:cs="Times New Roman"/>
      <w:sz w:val="24"/>
      <w:szCs w:val="24"/>
    </w:rPr>
  </w:style>
  <w:style w:type="paragraph" w:customStyle="1" w:styleId="318">
    <w:name w:val="样式 宋体 小四 行距: 1.5 倍行距 首行缩进:  2 字符"/>
    <w:basedOn w:val="1"/>
    <w:qFormat/>
    <w:uiPriority w:val="0"/>
    <w:pPr>
      <w:spacing w:line="360" w:lineRule="auto"/>
      <w:ind w:firstLine="480"/>
    </w:pPr>
    <w:rPr>
      <w:rFonts w:ascii="宋体" w:hAnsi="宋体" w:eastAsia="宋体" w:cs="宋体"/>
      <w:sz w:val="24"/>
      <w:szCs w:val="20"/>
    </w:rPr>
  </w:style>
  <w:style w:type="paragraph" w:customStyle="1" w:styleId="319">
    <w:name w:val="样式 正文缩进 + 首行缩进:  2 字符"/>
    <w:basedOn w:val="13"/>
    <w:qFormat/>
    <w:uiPriority w:val="0"/>
    <w:pPr>
      <w:spacing w:line="360" w:lineRule="auto"/>
      <w:ind w:firstLine="200"/>
      <w:jc w:val="both"/>
    </w:pPr>
    <w:rPr>
      <w:rFonts w:cs="Times New Roman"/>
      <w:sz w:val="24"/>
      <w:szCs w:val="20"/>
    </w:rPr>
  </w:style>
  <w:style w:type="paragraph" w:customStyle="1" w:styleId="320">
    <w:name w:val="批注主题1"/>
    <w:basedOn w:val="17"/>
    <w:next w:val="17"/>
    <w:qFormat/>
    <w:uiPriority w:val="0"/>
    <w:pPr>
      <w:ind w:firstLine="0"/>
    </w:pPr>
    <w:rPr>
      <w:rFonts w:eastAsia="宋体" w:cs="Times New Roman"/>
      <w:b/>
      <w:bCs/>
      <w:sz w:val="21"/>
    </w:rPr>
  </w:style>
  <w:style w:type="character" w:customStyle="1" w:styleId="321">
    <w:name w:val="批注文字 Char"/>
    <w:link w:val="17"/>
    <w:qFormat/>
    <w:uiPriority w:val="0"/>
    <w:rPr>
      <w:rFonts w:ascii="Times New Roman" w:hAnsi="Times New Roman" w:eastAsia="仿宋"/>
      <w:sz w:val="28"/>
      <w:szCs w:val="24"/>
    </w:rPr>
  </w:style>
  <w:style w:type="paragraph" w:customStyle="1" w:styleId="322">
    <w:name w:val="正文首行缩进1"/>
    <w:basedOn w:val="59"/>
    <w:link w:val="323"/>
    <w:qFormat/>
    <w:uiPriority w:val="0"/>
    <w:pPr>
      <w:spacing w:line="360" w:lineRule="auto"/>
      <w:ind w:firstLine="200"/>
    </w:pPr>
    <w:rPr>
      <w:rFonts w:eastAsia="宋体" w:cs="Times New Roman"/>
      <w:sz w:val="24"/>
      <w:szCs w:val="20"/>
    </w:rPr>
  </w:style>
  <w:style w:type="character" w:customStyle="1" w:styleId="323">
    <w:name w:val="正文首行缩进 Char"/>
    <w:link w:val="322"/>
    <w:qFormat/>
    <w:uiPriority w:val="0"/>
    <w:rPr>
      <w:rFonts w:ascii="Times New Roman" w:hAnsi="Times New Roman" w:eastAsia="宋体" w:cs="Times New Roman"/>
      <w:sz w:val="24"/>
    </w:rPr>
  </w:style>
  <w:style w:type="paragraph" w:customStyle="1" w:styleId="324">
    <w:name w:val="注释标题1"/>
    <w:basedOn w:val="1"/>
    <w:next w:val="1"/>
    <w:link w:val="325"/>
    <w:qFormat/>
    <w:uiPriority w:val="0"/>
    <w:pPr>
      <w:jc w:val="center"/>
    </w:pPr>
    <w:rPr>
      <w:rFonts w:ascii="宋体" w:hAnsi="Times New Roman"/>
      <w:spacing w:val="-20"/>
      <w:position w:val="-6"/>
      <w:sz w:val="20"/>
      <w:szCs w:val="44"/>
    </w:rPr>
  </w:style>
  <w:style w:type="character" w:customStyle="1" w:styleId="325">
    <w:name w:val="注释标题 Char"/>
    <w:link w:val="324"/>
    <w:qFormat/>
    <w:uiPriority w:val="0"/>
    <w:rPr>
      <w:rFonts w:ascii="宋体" w:hAnsi="Times New Roman"/>
      <w:spacing w:val="-20"/>
      <w:position w:val="-6"/>
      <w:szCs w:val="44"/>
    </w:rPr>
  </w:style>
  <w:style w:type="paragraph" w:customStyle="1" w:styleId="326">
    <w:name w:val="文档结构图1"/>
    <w:basedOn w:val="1"/>
    <w:qFormat/>
    <w:uiPriority w:val="0"/>
    <w:rPr>
      <w:rFonts w:ascii="宋体" w:hAnsi="Calibri" w:eastAsia="宋体" w:cs="Times New Roman"/>
      <w:sz w:val="18"/>
      <w:szCs w:val="18"/>
    </w:rPr>
  </w:style>
  <w:style w:type="paragraph" w:customStyle="1" w:styleId="327">
    <w:name w:val="正文文本 31"/>
    <w:basedOn w:val="1"/>
    <w:link w:val="328"/>
    <w:qFormat/>
    <w:uiPriority w:val="0"/>
    <w:pPr>
      <w:spacing w:after="120"/>
    </w:pPr>
    <w:rPr>
      <w:rFonts w:ascii="Times New Roman" w:hAnsi="Times New Roman"/>
      <w:sz w:val="16"/>
      <w:szCs w:val="16"/>
    </w:rPr>
  </w:style>
  <w:style w:type="character" w:customStyle="1" w:styleId="328">
    <w:name w:val="正文文本 3 Char"/>
    <w:link w:val="327"/>
    <w:qFormat/>
    <w:uiPriority w:val="0"/>
    <w:rPr>
      <w:rFonts w:ascii="Times New Roman" w:hAnsi="Times New Roman"/>
      <w:sz w:val="16"/>
      <w:szCs w:val="16"/>
    </w:rPr>
  </w:style>
  <w:style w:type="paragraph" w:customStyle="1" w:styleId="329">
    <w:name w:val="日期1"/>
    <w:basedOn w:val="1"/>
    <w:next w:val="1"/>
    <w:qFormat/>
    <w:uiPriority w:val="0"/>
    <w:rPr>
      <w:rFonts w:ascii="Times New Roman" w:hAnsi="Times New Roman" w:eastAsia="宋体" w:cs="Times New Roman"/>
      <w:sz w:val="24"/>
    </w:rPr>
  </w:style>
  <w:style w:type="paragraph" w:customStyle="1" w:styleId="330">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paragraph" w:customStyle="1" w:styleId="331">
    <w:name w:val="正文首行缩进 21"/>
    <w:basedOn w:val="316"/>
    <w:link w:val="332"/>
    <w:qFormat/>
    <w:uiPriority w:val="0"/>
    <w:pPr>
      <w:spacing w:after="120" w:line="240" w:lineRule="auto"/>
      <w:ind w:left="200" w:firstLine="200"/>
    </w:pPr>
    <w:rPr>
      <w:rFonts w:eastAsia="仿宋" w:cstheme="minorBidi"/>
      <w:sz w:val="28"/>
    </w:rPr>
  </w:style>
  <w:style w:type="character" w:customStyle="1" w:styleId="332">
    <w:name w:val="正文首行缩进 2 Char"/>
    <w:basedOn w:val="49"/>
    <w:link w:val="331"/>
    <w:qFormat/>
    <w:uiPriority w:val="0"/>
    <w:rPr>
      <w:rFonts w:ascii="Times New Roman" w:hAnsi="Times New Roman" w:eastAsia="仿宋"/>
      <w:sz w:val="28"/>
      <w:szCs w:val="24"/>
    </w:rPr>
  </w:style>
  <w:style w:type="paragraph" w:customStyle="1" w:styleId="333">
    <w:name w:val="正文文本缩进 3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34">
    <w:name w:val="正文文本 21"/>
    <w:basedOn w:val="1"/>
    <w:link w:val="335"/>
    <w:qFormat/>
    <w:uiPriority w:val="0"/>
    <w:pPr>
      <w:spacing w:after="120" w:line="480" w:lineRule="auto"/>
    </w:pPr>
    <w:rPr>
      <w:rFonts w:ascii="Times New Roman" w:hAnsi="Times New Roman"/>
      <w:sz w:val="20"/>
      <w:szCs w:val="24"/>
    </w:rPr>
  </w:style>
  <w:style w:type="character" w:customStyle="1" w:styleId="335">
    <w:name w:val="正文文本 2 Char"/>
    <w:link w:val="334"/>
    <w:qFormat/>
    <w:uiPriority w:val="0"/>
    <w:rPr>
      <w:rFonts w:ascii="Times New Roman" w:hAnsi="Times New Roman"/>
      <w:szCs w:val="24"/>
    </w:rPr>
  </w:style>
  <w:style w:type="paragraph" w:customStyle="1" w:styleId="336">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37">
    <w:name w:val="批注框文本 Char Char"/>
    <w:basedOn w:val="1"/>
    <w:link w:val="338"/>
    <w:qFormat/>
    <w:uiPriority w:val="0"/>
    <w:rPr>
      <w:rFonts w:ascii="Calibri" w:hAnsi="Calibri" w:eastAsia="宋体" w:cs="Times New Roman"/>
      <w:sz w:val="18"/>
      <w:szCs w:val="18"/>
    </w:rPr>
  </w:style>
  <w:style w:type="character" w:customStyle="1" w:styleId="338">
    <w:name w:val="批注框文本 Char Char Char Char"/>
    <w:link w:val="337"/>
    <w:qFormat/>
    <w:uiPriority w:val="0"/>
    <w:rPr>
      <w:rFonts w:ascii="Calibri" w:hAnsi="Calibri" w:eastAsia="宋体" w:cs="Times New Roman"/>
      <w:sz w:val="18"/>
      <w:szCs w:val="18"/>
    </w:rPr>
  </w:style>
  <w:style w:type="paragraph" w:customStyle="1" w:styleId="339">
    <w:name w:val="Char Char Char Char Char Char Char1 Char Char Char Char Char Char Char"/>
    <w:basedOn w:val="326"/>
    <w:next w:val="1"/>
    <w:qFormat/>
    <w:uiPriority w:val="0"/>
  </w:style>
  <w:style w:type="paragraph" w:customStyle="1" w:styleId="340">
    <w:name w:val="文挡编号"/>
    <w:basedOn w:val="1"/>
    <w:next w:val="1"/>
    <w:qFormat/>
    <w:uiPriority w:val="0"/>
    <w:pPr>
      <w:widowControl/>
      <w:spacing w:before="480" w:after="120" w:line="360" w:lineRule="auto"/>
    </w:pPr>
    <w:rPr>
      <w:rFonts w:ascii="Times New Roman" w:hAnsi="Times New Roman" w:eastAsia="宋体" w:cs="Times New Roman"/>
      <w:szCs w:val="20"/>
    </w:rPr>
  </w:style>
  <w:style w:type="character" w:customStyle="1" w:styleId="341">
    <w:name w:val="列出段落 Char"/>
    <w:link w:val="58"/>
    <w:qFormat/>
    <w:uiPriority w:val="0"/>
    <w:rPr>
      <w:rFonts w:ascii="Calibri" w:hAnsi="Calibri" w:eastAsia="宋体" w:cs="Times New Roman"/>
    </w:rPr>
  </w:style>
  <w:style w:type="paragraph" w:customStyle="1" w:styleId="342">
    <w:name w:val="正文缩进1"/>
    <w:basedOn w:val="1"/>
    <w:link w:val="343"/>
    <w:qFormat/>
    <w:uiPriority w:val="0"/>
    <w:pPr>
      <w:ind w:firstLine="420"/>
    </w:pPr>
    <w:rPr>
      <w:rFonts w:ascii="Calibri" w:hAnsi="Calibri" w:eastAsia="宋体" w:cs="Times New Roman"/>
      <w:sz w:val="20"/>
      <w:szCs w:val="20"/>
    </w:rPr>
  </w:style>
  <w:style w:type="character" w:customStyle="1" w:styleId="343">
    <w:name w:val="正文缩进 Char"/>
    <w:link w:val="342"/>
    <w:qFormat/>
    <w:uiPriority w:val="0"/>
    <w:rPr>
      <w:rFonts w:ascii="Calibri" w:hAnsi="Calibri" w:eastAsia="宋体" w:cs="Times New Roman"/>
    </w:rPr>
  </w:style>
  <w:style w:type="paragraph" w:customStyle="1" w:styleId="344">
    <w:name w:val="样式 正文文本 + 左侧:  2 字符 首行缩进:  2 字符 段前: 0.5 行"/>
    <w:basedOn w:val="18"/>
    <w:qFormat/>
    <w:uiPriority w:val="0"/>
    <w:pPr>
      <w:widowControl/>
      <w:spacing w:line="300" w:lineRule="auto"/>
      <w:ind w:firstLine="420"/>
      <w:jc w:val="left"/>
    </w:pPr>
    <w:rPr>
      <w:rFonts w:ascii="Times New Roman" w:hAnsi="Times New Roman" w:eastAsia="宋体" w:cs="宋体"/>
      <w:sz w:val="21"/>
    </w:rPr>
  </w:style>
  <w:style w:type="character" w:customStyle="1" w:styleId="345">
    <w:name w:val="正文文本 Char1"/>
    <w:basedOn w:val="49"/>
    <w:link w:val="18"/>
    <w:qFormat/>
    <w:uiPriority w:val="0"/>
  </w:style>
  <w:style w:type="paragraph" w:customStyle="1" w:styleId="346">
    <w:name w:val="cLevel1"/>
    <w:basedOn w:val="244"/>
    <w:qFormat/>
    <w:uiPriority w:val="0"/>
    <w:pPr>
      <w:tabs>
        <w:tab w:val="left" w:pos="-180"/>
      </w:tabs>
      <w:spacing w:before="240" w:after="240" w:line="480" w:lineRule="auto"/>
      <w:jc w:val="center"/>
    </w:pPr>
    <w:rPr>
      <w:rFonts w:ascii="Times New Roman" w:hAnsi="Times New Roman"/>
      <w:sz w:val="48"/>
    </w:rPr>
  </w:style>
  <w:style w:type="paragraph" w:customStyle="1" w:styleId="347">
    <w:name w:val="cLevel2"/>
    <w:basedOn w:val="211"/>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48">
    <w:name w:val="cx标题三"/>
    <w:basedOn w:val="212"/>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49">
    <w:name w:val="cxLevel4"/>
    <w:basedOn w:val="66"/>
    <w:link w:val="350"/>
    <w:qFormat/>
    <w:uiPriority w:val="0"/>
    <w:pPr>
      <w:tabs>
        <w:tab w:val="left" w:pos="4205"/>
      </w:tabs>
      <w:spacing w:before="0" w:after="0" w:line="360" w:lineRule="auto"/>
      <w:ind w:left="0" w:firstLine="100"/>
    </w:pPr>
    <w:rPr>
      <w:rFonts w:ascii="Arial" w:hAnsi="Arial"/>
    </w:rPr>
  </w:style>
  <w:style w:type="character" w:customStyle="1" w:styleId="350">
    <w:name w:val="cxLevel4 Char Char"/>
    <w:link w:val="349"/>
    <w:qFormat/>
    <w:uiPriority w:val="0"/>
    <w:rPr>
      <w:rFonts w:ascii="Arial" w:hAnsi="Arial" w:eastAsia="宋体" w:cs="Times New Roman"/>
      <w:b/>
      <w:bCs/>
      <w:sz w:val="28"/>
      <w:szCs w:val="28"/>
    </w:rPr>
  </w:style>
  <w:style w:type="paragraph" w:customStyle="1" w:styleId="351">
    <w:name w:val="cxLevel5"/>
    <w:basedOn w:val="214"/>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52">
    <w:name w:val="Default"/>
    <w:qFormat/>
    <w:uiPriority w:val="0"/>
    <w:pPr>
      <w:widowControl w:val="0"/>
    </w:pPr>
    <w:rPr>
      <w:rFonts w:ascii="黑体" w:hAnsi="Times New Roman" w:eastAsia="黑体" w:cs="黑体"/>
      <w:color w:val="000000"/>
      <w:sz w:val="24"/>
      <w:szCs w:val="24"/>
      <w:lang w:val="en-US" w:eastAsia="zh-CN" w:bidi="ar-SA"/>
    </w:rPr>
  </w:style>
  <w:style w:type="paragraph" w:customStyle="1" w:styleId="353">
    <w:name w:val="• NCS bullet list"/>
    <w:qFormat/>
    <w:uiPriority w:val="0"/>
    <w:pPr>
      <w:tabs>
        <w:tab w:val="left" w:pos="720"/>
        <w:tab w:val="left" w:pos="1584"/>
      </w:tabs>
      <w:spacing w:before="120" w:after="60"/>
      <w:ind w:left="-4896" w:hanging="360"/>
    </w:pPr>
    <w:rPr>
      <w:rFonts w:ascii="Trebuchet MS" w:hAnsi="Trebuchet MS" w:eastAsia="宋体" w:cs="Calibri"/>
      <w:lang w:val="en-US" w:eastAsia="ar-SA" w:bidi="ar-SA"/>
    </w:rPr>
  </w:style>
  <w:style w:type="paragraph" w:customStyle="1" w:styleId="354">
    <w:name w:val="标准文本"/>
    <w:basedOn w:val="1"/>
    <w:link w:val="355"/>
    <w:qFormat/>
    <w:uiPriority w:val="0"/>
    <w:pPr>
      <w:spacing w:line="360" w:lineRule="auto"/>
      <w:ind w:firstLine="480"/>
    </w:pPr>
    <w:rPr>
      <w:rFonts w:ascii="Calibri" w:hAnsi="Calibri" w:eastAsia="宋体" w:cs="宋体"/>
      <w:sz w:val="24"/>
      <w:szCs w:val="20"/>
    </w:rPr>
  </w:style>
  <w:style w:type="character" w:customStyle="1" w:styleId="355">
    <w:name w:val="标准文本 Char Char"/>
    <w:link w:val="354"/>
    <w:qFormat/>
    <w:uiPriority w:val="0"/>
    <w:rPr>
      <w:rFonts w:ascii="Calibri" w:hAnsi="Calibri" w:eastAsia="宋体" w:cs="宋体"/>
      <w:sz w:val="24"/>
    </w:rPr>
  </w:style>
  <w:style w:type="paragraph" w:customStyle="1" w:styleId="356">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357">
    <w:name w:val="样式 标题 4 + 段前: 14 磅 段后: 14.5 磅 行距: 多倍行距 1.57 字行"/>
    <w:basedOn w:val="66"/>
    <w:qFormat/>
    <w:uiPriority w:val="0"/>
    <w:pPr>
      <w:tabs>
        <w:tab w:val="left" w:pos="0"/>
      </w:tabs>
      <w:ind w:left="0" w:firstLine="0"/>
    </w:pPr>
    <w:rPr>
      <w:rFonts w:ascii="Arial" w:hAnsi="Arial" w:eastAsia="黑体" w:cs="宋体"/>
      <w:b w:val="0"/>
      <w:sz w:val="24"/>
      <w:szCs w:val="24"/>
    </w:rPr>
  </w:style>
  <w:style w:type="paragraph" w:customStyle="1" w:styleId="358">
    <w:name w:val="样式 样式 正文zhang + 首行缩进:  2 字符 段前: 0.5 行 段后: 0.5 行 + 段前: 0.5 行 段后:... Char"/>
    <w:basedOn w:val="1"/>
    <w:link w:val="359"/>
    <w:qFormat/>
    <w:uiPriority w:val="0"/>
    <w:pPr>
      <w:spacing w:line="360" w:lineRule="exact"/>
      <w:ind w:firstLine="480"/>
    </w:pPr>
    <w:rPr>
      <w:rFonts w:ascii="Calibri" w:hAnsi="Calibri" w:eastAsia="宋体" w:cs="宋体"/>
      <w:sz w:val="24"/>
      <w:szCs w:val="20"/>
    </w:rPr>
  </w:style>
  <w:style w:type="character" w:customStyle="1" w:styleId="359">
    <w:name w:val="样式 样式 正文zhang + 首行缩进:  2 字符 段前: 0.5 行 段后: 0.5 行 + 段前: 0.5 行 段后:... Char Char Char"/>
    <w:link w:val="358"/>
    <w:qFormat/>
    <w:uiPriority w:val="0"/>
    <w:rPr>
      <w:rFonts w:ascii="Calibri" w:hAnsi="Calibri" w:eastAsia="宋体" w:cs="宋体"/>
      <w:sz w:val="24"/>
    </w:rPr>
  </w:style>
  <w:style w:type="paragraph" w:customStyle="1" w:styleId="360">
    <w:name w:val="纯文本1"/>
    <w:basedOn w:val="1"/>
    <w:qFormat/>
    <w:uiPriority w:val="0"/>
    <w:pPr>
      <w:spacing w:line="312" w:lineRule="atLeast"/>
    </w:pPr>
    <w:rPr>
      <w:rFonts w:ascii="Arial Black" w:hAnsi="Courier New" w:eastAsia="宋体" w:cs="Times New Roman"/>
      <w:szCs w:val="20"/>
    </w:rPr>
  </w:style>
  <w:style w:type="paragraph" w:customStyle="1" w:styleId="361">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62">
    <w:name w:val="Char Char Char1 Char Char Char Char Char Char Char Char Char"/>
    <w:basedOn w:val="1"/>
    <w:qFormat/>
    <w:uiPriority w:val="0"/>
    <w:pPr>
      <w:spacing w:line="360" w:lineRule="auto"/>
    </w:pPr>
    <w:rPr>
      <w:rFonts w:ascii="Times New Roman" w:hAnsi="Times New Roman" w:eastAsia="宋体" w:cs="宋体"/>
      <w:b/>
      <w:sz w:val="24"/>
      <w:szCs w:val="20"/>
    </w:rPr>
  </w:style>
  <w:style w:type="paragraph" w:customStyle="1" w:styleId="363">
    <w:name w:val="样式 样式 宋体 首行缩进:  2 字符 段前: 0.5 行 + 首行缩进:  2 字符 段前: 0.5 行"/>
    <w:basedOn w:val="1"/>
    <w:qFormat/>
    <w:uiPriority w:val="0"/>
    <w:pPr>
      <w:spacing w:line="300" w:lineRule="auto"/>
      <w:ind w:firstLine="480"/>
    </w:pPr>
    <w:rPr>
      <w:rFonts w:ascii="Times New Roman" w:hAnsi="Times New Roman" w:eastAsia="宋体" w:cs="宋体"/>
      <w:sz w:val="24"/>
      <w:szCs w:val="20"/>
    </w:rPr>
  </w:style>
  <w:style w:type="paragraph" w:customStyle="1" w:styleId="364">
    <w:name w:val="FA正文"/>
    <w:basedOn w:val="1"/>
    <w:qFormat/>
    <w:uiPriority w:val="0"/>
    <w:pPr>
      <w:ind w:firstLine="200"/>
    </w:pPr>
    <w:rPr>
      <w:rFonts w:ascii="Calibri" w:hAnsi="宋体" w:eastAsia="宋体" w:cs="宋体"/>
      <w:bCs/>
      <w:sz w:val="24"/>
      <w:szCs w:val="21"/>
    </w:rPr>
  </w:style>
  <w:style w:type="paragraph" w:customStyle="1" w:styleId="365">
    <w:name w:val="文档正文"/>
    <w:basedOn w:val="1"/>
    <w:qFormat/>
    <w:uiPriority w:val="0"/>
    <w:pPr>
      <w:spacing w:line="312" w:lineRule="atLeast"/>
      <w:ind w:right="-107"/>
    </w:pPr>
    <w:rPr>
      <w:rFonts w:ascii="宋体" w:hAnsi="宋体" w:eastAsia="宋体" w:cs="Times New Roman"/>
      <w:spacing w:val="6"/>
      <w:sz w:val="24"/>
      <w:szCs w:val="24"/>
    </w:rPr>
  </w:style>
  <w:style w:type="paragraph" w:customStyle="1" w:styleId="366">
    <w:name w:val="样式 cz正文 + 仿宋_GB2312"/>
    <w:basedOn w:val="367"/>
    <w:qFormat/>
    <w:uiPriority w:val="0"/>
    <w:rPr>
      <w:rFonts w:ascii="仿宋_GB2312" w:hAnsi="仿宋_GB2312"/>
    </w:rPr>
  </w:style>
  <w:style w:type="paragraph" w:customStyle="1" w:styleId="367">
    <w:name w:val="cz正文"/>
    <w:basedOn w:val="1"/>
    <w:link w:val="368"/>
    <w:qFormat/>
    <w:uiPriority w:val="0"/>
    <w:pPr>
      <w:spacing w:line="360" w:lineRule="auto"/>
      <w:ind w:firstLine="480"/>
    </w:pPr>
    <w:rPr>
      <w:rFonts w:ascii="宋体" w:hAnsi="宋体" w:eastAsia="宋体" w:cs="宋体"/>
      <w:sz w:val="24"/>
      <w:szCs w:val="24"/>
    </w:rPr>
  </w:style>
  <w:style w:type="character" w:customStyle="1" w:styleId="368">
    <w:name w:val="cz正文 Char Char"/>
    <w:link w:val="367"/>
    <w:qFormat/>
    <w:uiPriority w:val="0"/>
    <w:rPr>
      <w:rFonts w:ascii="宋体" w:hAnsi="宋体" w:eastAsia="宋体" w:cs="宋体"/>
      <w:sz w:val="24"/>
      <w:szCs w:val="24"/>
    </w:rPr>
  </w:style>
  <w:style w:type="paragraph" w:customStyle="1" w:styleId="369">
    <w:name w:val="yh正文"/>
    <w:basedOn w:val="1"/>
    <w:qFormat/>
    <w:uiPriority w:val="0"/>
    <w:pPr>
      <w:spacing w:line="360" w:lineRule="auto"/>
      <w:ind w:firstLine="480"/>
    </w:pPr>
    <w:rPr>
      <w:rFonts w:ascii="Calibri" w:hAnsi="宋体" w:eastAsia="宋体" w:cs="宋体"/>
      <w:sz w:val="24"/>
      <w:szCs w:val="21"/>
    </w:rPr>
  </w:style>
  <w:style w:type="paragraph" w:customStyle="1" w:styleId="370">
    <w:name w:val="正文4"/>
    <w:basedOn w:val="1"/>
    <w:qFormat/>
    <w:uiPriority w:val="0"/>
    <w:pPr>
      <w:widowControl/>
      <w:spacing w:line="480" w:lineRule="atLeast"/>
      <w:ind w:left="3780"/>
      <w:jc w:val="left"/>
    </w:pPr>
    <w:rPr>
      <w:rFonts w:ascii="Times New Roman" w:hAnsi="Times New Roman" w:eastAsia="宋体" w:cs="Times New Roman"/>
      <w:sz w:val="24"/>
      <w:szCs w:val="24"/>
    </w:rPr>
  </w:style>
  <w:style w:type="paragraph" w:customStyle="1" w:styleId="371">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372">
    <w:name w:val="Table Heading"/>
    <w:basedOn w:val="311"/>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373">
    <w:name w:val="符号缩进"/>
    <w:basedOn w:val="342"/>
    <w:qFormat/>
    <w:uiPriority w:val="0"/>
    <w:pPr>
      <w:spacing w:before="120"/>
      <w:ind w:left="200" w:firstLine="200"/>
    </w:pPr>
    <w:rPr>
      <w:rFonts w:ascii="Arial" w:hAnsi="Arial" w:eastAsia="楷体_GB2312"/>
      <w:color w:val="000000"/>
      <w:sz w:val="24"/>
      <w:szCs w:val="22"/>
    </w:rPr>
  </w:style>
  <w:style w:type="paragraph" w:customStyle="1" w:styleId="374">
    <w:name w:val="样式 标题 1 + 居中"/>
    <w:basedOn w:val="244"/>
    <w:qFormat/>
    <w:uiPriority w:val="0"/>
    <w:pPr>
      <w:tabs>
        <w:tab w:val="left" w:pos="1283"/>
      </w:tabs>
      <w:ind w:left="1283" w:hanging="432"/>
      <w:jc w:val="center"/>
    </w:pPr>
    <w:rPr>
      <w:rFonts w:ascii="Times New Roman" w:hAnsi="Times New Roman" w:cs="宋体"/>
      <w:sz w:val="44"/>
      <w:szCs w:val="20"/>
    </w:rPr>
  </w:style>
  <w:style w:type="paragraph" w:customStyle="1" w:styleId="375">
    <w:name w:val="样式 样式 样式 宋体 小四 首行缩进:  0.74 厘米 行距: 最小值 18 磅 + 段前: 0.5 行 段后: 0.5 行..."/>
    <w:basedOn w:val="1"/>
    <w:link w:val="376"/>
    <w:qFormat/>
    <w:uiPriority w:val="0"/>
    <w:pPr>
      <w:spacing w:line="360" w:lineRule="auto"/>
      <w:ind w:firstLine="420"/>
    </w:pPr>
    <w:rPr>
      <w:rFonts w:ascii="宋体" w:hAnsi="Times New Roman" w:eastAsia="宋体" w:cs="宋体"/>
      <w:sz w:val="24"/>
      <w:szCs w:val="20"/>
    </w:rPr>
  </w:style>
  <w:style w:type="character" w:customStyle="1" w:styleId="376">
    <w:name w:val="样式 样式 样式 宋体 小四 首行缩进:  0.74 厘米 行距: 最小值 18 磅 + 段前: 0.5 行 段后: 0.5 行... Char3"/>
    <w:link w:val="375"/>
    <w:qFormat/>
    <w:uiPriority w:val="0"/>
    <w:rPr>
      <w:rFonts w:ascii="宋体" w:hAnsi="Times New Roman" w:eastAsia="宋体" w:cs="宋体"/>
      <w:sz w:val="24"/>
    </w:rPr>
  </w:style>
  <w:style w:type="paragraph" w:customStyle="1" w:styleId="377">
    <w:name w:val="样式 样式 样式 样式 宋体 小四 首行缩进:  0.74 厘米 行距: 最小值 18 磅 + 段前: 0.5 行 段后: 0...."/>
    <w:basedOn w:val="375"/>
    <w:link w:val="378"/>
    <w:qFormat/>
    <w:uiPriority w:val="0"/>
    <w:pPr>
      <w:spacing w:before="50" w:after="50" w:line="240" w:lineRule="auto"/>
    </w:pPr>
    <w:rPr>
      <w:rFonts w:hAnsi="宋体"/>
    </w:rPr>
  </w:style>
  <w:style w:type="character" w:customStyle="1" w:styleId="378">
    <w:name w:val="样式 样式 样式 样式 宋体 小四 首行缩进:  0.74 厘米 行距: 最小值 18 磅 + 段前: 0.5 行 段后: 0.... Char3"/>
    <w:link w:val="377"/>
    <w:qFormat/>
    <w:uiPriority w:val="0"/>
    <w:rPr>
      <w:rFonts w:ascii="宋体" w:hAnsi="宋体" w:eastAsia="宋体" w:cs="宋体"/>
      <w:sz w:val="24"/>
    </w:rPr>
  </w:style>
  <w:style w:type="paragraph" w:customStyle="1" w:styleId="379">
    <w:name w:val="样式 标题 22nd levelh22Header 2l2节Titre2Head 2H2heading 2+..."/>
    <w:basedOn w:val="211"/>
    <w:qFormat/>
    <w:uiPriority w:val="0"/>
    <w:pPr>
      <w:tabs>
        <w:tab w:val="left" w:pos="0"/>
      </w:tabs>
      <w:spacing w:before="360" w:after="0" w:line="240" w:lineRule="auto"/>
      <w:ind w:left="0" w:firstLine="0"/>
    </w:pPr>
    <w:rPr>
      <w:rFonts w:ascii="Arial" w:hAnsi="Arial" w:eastAsia="黑体" w:cs="宋体"/>
      <w:b w:val="0"/>
    </w:rPr>
  </w:style>
  <w:style w:type="paragraph" w:customStyle="1" w:styleId="380">
    <w:name w:val="样式 正文（首行缩进两字）正文双线正文非缩进表正文特点四号ALT+Z段1 + 宋体 段前: 5 磅 段后: 5..."/>
    <w:basedOn w:val="342"/>
    <w:link w:val="381"/>
    <w:qFormat/>
    <w:uiPriority w:val="0"/>
    <w:pPr>
      <w:spacing w:before="100" w:after="100" w:line="360" w:lineRule="auto"/>
    </w:pPr>
    <w:rPr>
      <w:rFonts w:ascii="宋体" w:hAnsi="宋体" w:cs="宋体"/>
      <w:sz w:val="24"/>
    </w:rPr>
  </w:style>
  <w:style w:type="character" w:customStyle="1" w:styleId="381">
    <w:name w:val="样式 正文（首行缩进两字）正文双线正文非缩进表正文特点四号ALT+Z段1 + 宋体 段前: 5 磅 段后: 5... Char Char"/>
    <w:link w:val="380"/>
    <w:qFormat/>
    <w:uiPriority w:val="0"/>
    <w:rPr>
      <w:rFonts w:ascii="宋体" w:hAnsi="宋体" w:eastAsia="宋体" w:cs="宋体"/>
      <w:sz w:val="24"/>
    </w:rPr>
  </w:style>
  <w:style w:type="paragraph" w:customStyle="1" w:styleId="382">
    <w:name w:val="样式 标题 3一1h33rd levelH3l3CTHeading 3 - oldLevel 3 Head3..."/>
    <w:basedOn w:val="212"/>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383">
    <w:name w:val="列表1"/>
    <w:basedOn w:val="1"/>
    <w:qFormat/>
    <w:uiPriority w:val="0"/>
    <w:pPr>
      <w:ind w:left="200" w:hanging="200"/>
    </w:pPr>
    <w:rPr>
      <w:rFonts w:ascii="Times New Roman" w:hAnsi="Times New Roman" w:eastAsia="宋体" w:cs="Times New Roman"/>
      <w:szCs w:val="24"/>
    </w:rPr>
  </w:style>
  <w:style w:type="paragraph" w:customStyle="1" w:styleId="384">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385">
    <w:name w:val="样式 样式 样式 样式 样式 宋体 小四 首行缩进:  0.74 厘米 行距: 最小值 18 磅 + 段前: 0.5 行 段后:..."/>
    <w:basedOn w:val="377"/>
    <w:qFormat/>
    <w:uiPriority w:val="0"/>
    <w:rPr>
      <w:szCs w:val="22"/>
    </w:rPr>
  </w:style>
  <w:style w:type="paragraph" w:customStyle="1" w:styleId="386">
    <w:name w:val="样式 样式 样式 样式 样式 宋体 小四 首行缩进:  0.74 厘米 行距: 最小值 18 磅 + 段前: 0.5 行 段后:...1"/>
    <w:basedOn w:val="377"/>
    <w:qFormat/>
    <w:uiPriority w:val="0"/>
    <w:rPr>
      <w:szCs w:val="22"/>
    </w:rPr>
  </w:style>
  <w:style w:type="paragraph" w:customStyle="1" w:styleId="387">
    <w:name w:val="样式 样式 样式 样式 样式 样式 宋体 小四 首行缩进:  0.74 厘米 行距: 最小值 18 磅 + 段前: 0.5 行 ..."/>
    <w:basedOn w:val="386"/>
    <w:qFormat/>
    <w:uiPriority w:val="0"/>
    <w:pPr>
      <w:spacing w:line="320" w:lineRule="exact"/>
    </w:pPr>
  </w:style>
  <w:style w:type="paragraph" w:customStyle="1" w:styleId="388">
    <w:name w:val="样式 样式 样式 样式 样式 样式 样式 宋体 小四 首行缩进:  0.74 厘米 行距: 最小值 18 磅 + 段前: 0.5..."/>
    <w:basedOn w:val="387"/>
    <w:qFormat/>
    <w:uiPriority w:val="0"/>
    <w:pPr>
      <w:spacing w:line="360" w:lineRule="exact"/>
      <w:ind w:left="100" w:firstLine="454"/>
    </w:pPr>
  </w:style>
  <w:style w:type="paragraph" w:customStyle="1" w:styleId="389">
    <w:name w:val="样式 样式 标题 4 + 段前: 14 磅 段后: 14.5 磅 行距: 多倍行距 1.57 字行 + 左侧:  1.48 厘米"/>
    <w:basedOn w:val="357"/>
    <w:qFormat/>
    <w:uiPriority w:val="0"/>
    <w:pPr>
      <w:spacing w:before="240" w:after="0" w:line="240" w:lineRule="auto"/>
    </w:pPr>
    <w:rPr>
      <w:rFonts w:eastAsia="宋体"/>
      <w:b/>
      <w:szCs w:val="20"/>
    </w:rPr>
  </w:style>
  <w:style w:type="paragraph" w:customStyle="1" w:styleId="390">
    <w:name w:val="wen_2"/>
    <w:basedOn w:val="1"/>
    <w:qFormat/>
    <w:uiPriority w:val="0"/>
    <w:pPr>
      <w:widowControl/>
      <w:spacing w:before="100" w:beforeAutospacing="1" w:after="100" w:afterAutospacing="1" w:line="324" w:lineRule="auto"/>
      <w:jc w:val="left"/>
    </w:pPr>
    <w:rPr>
      <w:rFonts w:ascii="ˎ̥" w:hAnsi="ˎ̥" w:eastAsia="宋体" w:cs="宋体"/>
      <w:color w:val="000000"/>
      <w:sz w:val="18"/>
      <w:szCs w:val="18"/>
    </w:rPr>
  </w:style>
  <w:style w:type="paragraph" w:customStyle="1" w:styleId="391">
    <w:name w:val="样式 样式 样式 样式 样式 样式 样式 样式 宋体 小四 首行缩进:  0.74 厘米 行距: 最小值 18 磅 + 段前: ... Char"/>
    <w:basedOn w:val="388"/>
    <w:qFormat/>
    <w:uiPriority w:val="0"/>
    <w:pPr>
      <w:spacing w:line="240" w:lineRule="auto"/>
      <w:ind w:left="0" w:firstLine="0"/>
    </w:pPr>
    <w:rPr>
      <w:rFonts w:ascii="Calibri" w:hAnsi="Calibri"/>
      <w:sz w:val="21"/>
    </w:rPr>
  </w:style>
  <w:style w:type="paragraph" w:customStyle="1" w:styleId="392">
    <w:name w:val="封面标准名称"/>
    <w:qFormat/>
    <w:uiPriority w:val="0"/>
    <w:pPr>
      <w:widowControl w:val="0"/>
      <w:spacing w:after="200" w:line="680" w:lineRule="exact"/>
      <w:ind w:left="135"/>
      <w:jc w:val="center"/>
    </w:pPr>
    <w:rPr>
      <w:rFonts w:ascii="黑体" w:hAnsi="Calibri" w:eastAsia="黑体" w:cs="Calibri"/>
      <w:sz w:val="52"/>
      <w:szCs w:val="22"/>
      <w:lang w:val="en-US" w:eastAsia="zh-CN" w:bidi="ar-SA"/>
    </w:rPr>
  </w:style>
  <w:style w:type="paragraph" w:customStyle="1" w:styleId="393">
    <w:name w:val="Char2"/>
    <w:basedOn w:val="1"/>
    <w:qFormat/>
    <w:uiPriority w:val="0"/>
    <w:rPr>
      <w:rFonts w:ascii="仿宋_GB2312" w:hAnsi="Times New Roman" w:eastAsia="仿宋_GB2312" w:cs="Times New Roman"/>
      <w:b/>
      <w:sz w:val="32"/>
      <w:szCs w:val="32"/>
    </w:rPr>
  </w:style>
  <w:style w:type="paragraph" w:customStyle="1" w:styleId="394">
    <w:name w:val="正文悬挂缩进"/>
    <w:basedOn w:val="1"/>
    <w:qFormat/>
    <w:uiPriority w:val="0"/>
    <w:pPr>
      <w:tabs>
        <w:tab w:val="left" w:pos="450"/>
        <w:tab w:val="right" w:leader="dot" w:pos="9174"/>
      </w:tabs>
    </w:pPr>
    <w:rPr>
      <w:rFonts w:ascii="Times New Roman" w:hAnsi="Times New Roman" w:eastAsia="宋体" w:cs="Times New Roman"/>
      <w:szCs w:val="24"/>
    </w:rPr>
  </w:style>
  <w:style w:type="paragraph" w:customStyle="1" w:styleId="395">
    <w:name w:val="Char Char Char Char Char Char Char"/>
    <w:basedOn w:val="1"/>
    <w:link w:val="396"/>
    <w:qFormat/>
    <w:uiPriority w:val="0"/>
    <w:rPr>
      <w:rFonts w:ascii="Tahoma" w:hAnsi="Tahoma" w:eastAsia="宋体" w:cs="Times New Roman"/>
      <w:sz w:val="24"/>
      <w:szCs w:val="20"/>
    </w:rPr>
  </w:style>
  <w:style w:type="character" w:customStyle="1" w:styleId="396">
    <w:name w:val="Char Char Char Char Char Char Char Char Char Char Char Char"/>
    <w:link w:val="395"/>
    <w:qFormat/>
    <w:uiPriority w:val="0"/>
    <w:rPr>
      <w:rFonts w:ascii="Tahoma" w:hAnsi="Tahoma" w:eastAsia="宋体" w:cs="Times New Roman"/>
      <w:sz w:val="24"/>
    </w:rPr>
  </w:style>
  <w:style w:type="paragraph" w:customStyle="1" w:styleId="397">
    <w:name w:val="Char Char Char Char"/>
    <w:basedOn w:val="326"/>
    <w:qFormat/>
    <w:uiPriority w:val="0"/>
    <w:pPr>
      <w:shd w:val="clear" w:color="auto" w:fill="000080"/>
      <w:spacing w:line="360" w:lineRule="auto"/>
    </w:pPr>
    <w:rPr>
      <w:rFonts w:ascii="Tahoma" w:hAnsi="Tahoma"/>
      <w:sz w:val="24"/>
      <w:szCs w:val="24"/>
    </w:rPr>
  </w:style>
  <w:style w:type="paragraph" w:customStyle="1" w:styleId="398">
    <w:name w:val="样式 标题 3H3h3Level 3 Topic HeadingMap一13rd levell3CTHead..."/>
    <w:basedOn w:val="212"/>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399">
    <w:name w:val="样式 宋体 小四 首行缩进:  0.74 厘米 行距: 最小值 18 磅"/>
    <w:basedOn w:val="1"/>
    <w:qFormat/>
    <w:uiPriority w:val="0"/>
    <w:pPr>
      <w:spacing w:line="320" w:lineRule="exact"/>
      <w:ind w:firstLine="420"/>
    </w:pPr>
    <w:rPr>
      <w:rFonts w:ascii="宋体" w:hAnsi="Times New Roman" w:eastAsia="宋体" w:cs="宋体"/>
      <w:sz w:val="24"/>
      <w:szCs w:val="24"/>
    </w:rPr>
  </w:style>
  <w:style w:type="paragraph" w:customStyle="1" w:styleId="400">
    <w:name w:val="样式 样式 宋体 小四 首行缩进:  0.74 厘米 行距: 最小值 18 磅 + 段前: 0.5 行 段后: 0.5 行 Char"/>
    <w:basedOn w:val="399"/>
    <w:qFormat/>
    <w:uiPriority w:val="0"/>
    <w:pPr>
      <w:spacing w:line="360" w:lineRule="auto"/>
    </w:pPr>
    <w:rPr>
      <w:szCs w:val="20"/>
    </w:rPr>
  </w:style>
  <w:style w:type="paragraph" w:customStyle="1" w:styleId="401">
    <w:name w:val="11"/>
    <w:basedOn w:val="1"/>
    <w:next w:val="327"/>
    <w:qFormat/>
    <w:uiPriority w:val="0"/>
    <w:pPr>
      <w:jc w:val="center"/>
    </w:pPr>
    <w:rPr>
      <w:rFonts w:ascii="Times New Roman" w:hAnsi="Times New Roman" w:eastAsia="宋体" w:cs="Times New Roman"/>
      <w:color w:val="000000"/>
      <w:sz w:val="28"/>
      <w:szCs w:val="28"/>
      <w:lang w:val="zh-CN"/>
    </w:rPr>
  </w:style>
  <w:style w:type="paragraph" w:customStyle="1" w:styleId="402">
    <w:name w:val="10"/>
    <w:basedOn w:val="1"/>
    <w:next w:val="342"/>
    <w:qFormat/>
    <w:uiPriority w:val="0"/>
    <w:pPr>
      <w:spacing w:before="240"/>
      <w:ind w:left="200" w:firstLine="200"/>
    </w:pPr>
    <w:rPr>
      <w:rFonts w:ascii="Times New Roman" w:hAnsi="Times New Roman" w:eastAsia="楷体_GB2312" w:cs="Times New Roman"/>
      <w:sz w:val="24"/>
      <w:szCs w:val="20"/>
    </w:rPr>
  </w:style>
  <w:style w:type="paragraph" w:customStyle="1" w:styleId="403">
    <w:name w:val="样式 标题 2H2Heading 2 HiddenHeading 2 CCBSheading 2第一章 标题 2IS..."/>
    <w:basedOn w:val="211"/>
    <w:qFormat/>
    <w:uiPriority w:val="0"/>
    <w:pPr>
      <w:spacing w:line="400" w:lineRule="atLeast"/>
      <w:ind w:left="992" w:firstLine="0"/>
    </w:pPr>
    <w:rPr>
      <w:rFonts w:ascii="Arial" w:hAnsi="Arial" w:eastAsia="黑体" w:cs="宋体"/>
      <w:b w:val="0"/>
      <w:bCs w:val="0"/>
      <w:sz w:val="24"/>
      <w:szCs w:val="20"/>
    </w:rPr>
  </w:style>
  <w:style w:type="paragraph" w:customStyle="1" w:styleId="404">
    <w:name w:val="9"/>
    <w:basedOn w:val="1"/>
    <w:next w:val="342"/>
    <w:qFormat/>
    <w:uiPriority w:val="0"/>
    <w:pPr>
      <w:ind w:firstLine="420"/>
    </w:pPr>
    <w:rPr>
      <w:rFonts w:ascii="Times New Roman" w:hAnsi="Times New Roman" w:eastAsia="宋体" w:cs="Times New Roman"/>
      <w:szCs w:val="24"/>
    </w:rPr>
  </w:style>
  <w:style w:type="paragraph" w:customStyle="1" w:styleId="405">
    <w:name w:val="8"/>
    <w:basedOn w:val="1"/>
    <w:next w:val="316"/>
    <w:qFormat/>
    <w:uiPriority w:val="0"/>
    <w:pPr>
      <w:spacing w:after="120"/>
      <w:ind w:left="420"/>
    </w:pPr>
    <w:rPr>
      <w:rFonts w:ascii="Times New Roman" w:hAnsi="Times New Roman" w:eastAsia="宋体" w:cs="Times New Roman"/>
      <w:szCs w:val="24"/>
    </w:rPr>
  </w:style>
  <w:style w:type="paragraph" w:customStyle="1" w:styleId="406">
    <w:name w:val="索引 11"/>
    <w:basedOn w:val="1"/>
    <w:next w:val="1"/>
    <w:qFormat/>
    <w:uiPriority w:val="0"/>
    <w:rPr>
      <w:rFonts w:ascii="Times New Roman" w:hAnsi="Times New Roman" w:eastAsia="宋体" w:cs="Times New Roman"/>
      <w:szCs w:val="24"/>
    </w:rPr>
  </w:style>
  <w:style w:type="paragraph" w:customStyle="1" w:styleId="407">
    <w:name w:val="7"/>
    <w:basedOn w:val="1"/>
    <w:next w:val="316"/>
    <w:qFormat/>
    <w:uiPriority w:val="0"/>
    <w:pPr>
      <w:spacing w:after="120"/>
      <w:ind w:left="420"/>
    </w:pPr>
    <w:rPr>
      <w:rFonts w:ascii="Times New Roman" w:hAnsi="Times New Roman" w:eastAsia="宋体" w:cs="Times New Roman"/>
      <w:szCs w:val="24"/>
    </w:rPr>
  </w:style>
  <w:style w:type="paragraph" w:customStyle="1" w:styleId="408">
    <w:name w:val="表名"/>
    <w:basedOn w:val="1"/>
    <w:qFormat/>
    <w:uiPriority w:val="0"/>
    <w:pPr>
      <w:spacing w:line="227" w:lineRule="atLeast"/>
      <w:ind w:left="1920" w:firstLine="360"/>
      <w:jc w:val="center"/>
    </w:pPr>
    <w:rPr>
      <w:rFonts w:ascii="Times New Roman" w:hAnsi="Times New Roman" w:eastAsia="宋体" w:cs="Times New Roman"/>
      <w:b/>
      <w:sz w:val="18"/>
      <w:szCs w:val="20"/>
    </w:rPr>
  </w:style>
  <w:style w:type="paragraph" w:customStyle="1" w:styleId="409">
    <w:name w:val="主正文"/>
    <w:basedOn w:val="1"/>
    <w:qFormat/>
    <w:uiPriority w:val="0"/>
    <w:pPr>
      <w:spacing w:line="360" w:lineRule="exact"/>
      <w:ind w:left="200" w:firstLine="200"/>
    </w:pPr>
    <w:rPr>
      <w:rFonts w:ascii="宋体" w:hAnsi="宋体" w:eastAsia="宋体" w:cs="Times New Roman"/>
      <w:sz w:val="24"/>
      <w:szCs w:val="20"/>
    </w:rPr>
  </w:style>
  <w:style w:type="paragraph" w:customStyle="1" w:styleId="410">
    <w:name w:val="一般正文"/>
    <w:basedOn w:val="1"/>
    <w:qFormat/>
    <w:uiPriority w:val="0"/>
    <w:pPr>
      <w:spacing w:line="380" w:lineRule="exact"/>
      <w:ind w:firstLine="480"/>
    </w:pPr>
    <w:rPr>
      <w:rFonts w:ascii="宋体" w:hAnsi="宋体" w:eastAsia="宋体" w:cs="Times New Roman"/>
      <w:sz w:val="24"/>
      <w:szCs w:val="20"/>
    </w:rPr>
  </w:style>
  <w:style w:type="paragraph" w:customStyle="1" w:styleId="411">
    <w:name w:val="序号正文"/>
    <w:basedOn w:val="360"/>
    <w:qFormat/>
    <w:uiPriority w:val="0"/>
    <w:pPr>
      <w:tabs>
        <w:tab w:val="left" w:pos="720"/>
      </w:tabs>
      <w:ind w:left="200" w:firstLine="200"/>
    </w:pPr>
    <w:rPr>
      <w:sz w:val="24"/>
    </w:rPr>
  </w:style>
  <w:style w:type="paragraph" w:customStyle="1" w:styleId="412">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eastAsia="宋体" w:cs="宋体"/>
      <w:sz w:val="24"/>
      <w:szCs w:val="24"/>
    </w:rPr>
  </w:style>
  <w:style w:type="paragraph" w:customStyle="1" w:styleId="413">
    <w:name w:val="z-窗体顶端1"/>
    <w:basedOn w:val="1"/>
    <w:next w:val="1"/>
    <w:link w:val="414"/>
    <w:qFormat/>
    <w:uiPriority w:val="0"/>
    <w:pPr>
      <w:widowControl/>
      <w:pBdr>
        <w:bottom w:val="single" w:color="auto" w:sz="6" w:space="1"/>
      </w:pBdr>
      <w:jc w:val="center"/>
    </w:pPr>
    <w:rPr>
      <w:rFonts w:ascii="Arial" w:hAnsi="Arial" w:eastAsia="宋体" w:cs="Arial"/>
      <w:vanish/>
      <w:sz w:val="16"/>
      <w:szCs w:val="16"/>
    </w:rPr>
  </w:style>
  <w:style w:type="character" w:customStyle="1" w:styleId="414">
    <w:name w:val="z-窗体顶端 Char"/>
    <w:link w:val="413"/>
    <w:qFormat/>
    <w:uiPriority w:val="0"/>
    <w:rPr>
      <w:rFonts w:ascii="Arial" w:hAnsi="Arial" w:eastAsia="宋体" w:cs="Arial"/>
      <w:vanish/>
      <w:sz w:val="16"/>
      <w:szCs w:val="16"/>
    </w:rPr>
  </w:style>
  <w:style w:type="paragraph" w:customStyle="1" w:styleId="415">
    <w:name w:val="z-窗体底端1"/>
    <w:basedOn w:val="1"/>
    <w:next w:val="1"/>
    <w:link w:val="416"/>
    <w:qFormat/>
    <w:uiPriority w:val="0"/>
    <w:pPr>
      <w:widowControl/>
      <w:pBdr>
        <w:top w:val="single" w:color="auto" w:sz="6" w:space="1"/>
      </w:pBdr>
      <w:jc w:val="center"/>
    </w:pPr>
    <w:rPr>
      <w:rFonts w:ascii="Arial" w:hAnsi="Arial" w:eastAsia="宋体" w:cs="Arial"/>
      <w:vanish/>
      <w:sz w:val="16"/>
      <w:szCs w:val="16"/>
    </w:rPr>
  </w:style>
  <w:style w:type="character" w:customStyle="1" w:styleId="416">
    <w:name w:val="z-窗体底端 Char"/>
    <w:link w:val="415"/>
    <w:qFormat/>
    <w:uiPriority w:val="0"/>
    <w:rPr>
      <w:rFonts w:ascii="Arial" w:hAnsi="Arial" w:eastAsia="宋体" w:cs="Arial"/>
      <w:vanish/>
      <w:sz w:val="16"/>
      <w:szCs w:val="16"/>
    </w:rPr>
  </w:style>
  <w:style w:type="paragraph" w:customStyle="1" w:styleId="417">
    <w:name w:val="题头"/>
    <w:basedOn w:val="212"/>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18">
    <w:name w:val="样式 论文正文__最新 Char Char"/>
    <w:basedOn w:val="1"/>
    <w:qFormat/>
    <w:uiPriority w:val="0"/>
    <w:pPr>
      <w:spacing w:line="400" w:lineRule="exact"/>
      <w:ind w:left="210" w:firstLine="510"/>
    </w:pPr>
    <w:rPr>
      <w:rFonts w:ascii="Times New Roman" w:hAnsi="Times New Roman" w:eastAsia="宋体" w:cs="宋体"/>
      <w:sz w:val="24"/>
      <w:szCs w:val="24"/>
    </w:rPr>
  </w:style>
  <w:style w:type="paragraph" w:customStyle="1" w:styleId="419">
    <w:name w:val="索引 51"/>
    <w:basedOn w:val="1"/>
    <w:next w:val="1"/>
    <w:qFormat/>
    <w:uiPriority w:val="0"/>
    <w:pPr>
      <w:spacing w:line="227" w:lineRule="atLeast"/>
      <w:ind w:left="800"/>
    </w:pPr>
    <w:rPr>
      <w:rFonts w:ascii="宋体" w:hAnsi="Times New Roman" w:eastAsia="宋体" w:cs="Times New Roman"/>
      <w:szCs w:val="20"/>
    </w:rPr>
  </w:style>
  <w:style w:type="paragraph" w:customStyle="1" w:styleId="420">
    <w:name w:val="样式 正文缩进特点四号段1标题4body text鋘drad????ndBody Te?ndBo段1 Cha...1"/>
    <w:basedOn w:val="342"/>
    <w:qFormat/>
    <w:uiPriority w:val="0"/>
    <w:pPr>
      <w:spacing w:line="300" w:lineRule="auto"/>
      <w:ind w:left="480" w:firstLine="480"/>
    </w:pPr>
    <w:rPr>
      <w:rFonts w:eastAsia="仿宋_GB2312" w:cs="宋体"/>
      <w:sz w:val="24"/>
      <w:szCs w:val="22"/>
    </w:rPr>
  </w:style>
  <w:style w:type="paragraph" w:customStyle="1" w:styleId="421">
    <w:name w:val="样式 标题 22nd levelh22Header 2l2节Titre2Head 2H2heading 2+...1"/>
    <w:basedOn w:val="211"/>
    <w:qFormat/>
    <w:uiPriority w:val="0"/>
    <w:pPr>
      <w:tabs>
        <w:tab w:val="left" w:pos="425"/>
      </w:tabs>
      <w:spacing w:line="415" w:lineRule="auto"/>
      <w:ind w:left="578" w:hanging="578"/>
    </w:pPr>
    <w:rPr>
      <w:rFonts w:ascii="Arial" w:hAnsi="Arial" w:eastAsia="黑体" w:cs="宋体"/>
      <w:szCs w:val="20"/>
    </w:rPr>
  </w:style>
  <w:style w:type="paragraph" w:customStyle="1" w:styleId="422">
    <w:name w:val="样式 正文缩进特点四号段1标题4body text鋘drad????ndBody Te?ndBo段1 Cha..."/>
    <w:basedOn w:val="342"/>
    <w:qFormat/>
    <w:uiPriority w:val="0"/>
    <w:pPr>
      <w:spacing w:line="360" w:lineRule="auto"/>
      <w:ind w:left="480" w:firstLine="400"/>
    </w:pPr>
    <w:rPr>
      <w:rFonts w:eastAsia="仿宋_GB2312" w:cs="宋体"/>
      <w:sz w:val="24"/>
      <w:szCs w:val="22"/>
    </w:rPr>
  </w:style>
  <w:style w:type="paragraph" w:customStyle="1" w:styleId="423">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24">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25">
    <w:name w:val="样式 主正文 + 左侧:  2 字符 首行缩进:  2 字符 段前: 0.5 行"/>
    <w:basedOn w:val="409"/>
    <w:qFormat/>
    <w:uiPriority w:val="0"/>
    <w:rPr>
      <w:rFonts w:cs="宋体"/>
    </w:rPr>
  </w:style>
  <w:style w:type="paragraph" w:customStyle="1" w:styleId="426">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27">
    <w:name w:val="样式 标题 3一1h33rd levelH3l3CTHeading 3 - oldLevel 3 Head3...1"/>
    <w:basedOn w:val="212"/>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28">
    <w:name w:val="样式 jerry + 左侧:  0 厘米 段前: 0.5 行 段后: 0.5 行"/>
    <w:basedOn w:val="1"/>
    <w:qFormat/>
    <w:uiPriority w:val="0"/>
    <w:pPr>
      <w:ind w:firstLine="420"/>
    </w:pPr>
    <w:rPr>
      <w:rFonts w:ascii="Times New Roman" w:hAnsi="Times New Roman" w:eastAsia="宋体" w:cs="Times New Roman"/>
      <w:sz w:val="24"/>
      <w:szCs w:val="20"/>
    </w:rPr>
  </w:style>
  <w:style w:type="paragraph" w:customStyle="1" w:styleId="429">
    <w:name w:val="aaaaa"/>
    <w:basedOn w:val="1"/>
    <w:qFormat/>
    <w:uiPriority w:val="0"/>
    <w:pPr>
      <w:spacing w:before="120" w:after="120" w:line="300" w:lineRule="auto"/>
      <w:ind w:firstLine="420"/>
    </w:pPr>
    <w:rPr>
      <w:rFonts w:ascii="仿宋_GB2312" w:hAnsi="Times New Roman" w:eastAsia="宋体" w:cs="Times New Roman"/>
      <w:sz w:val="28"/>
      <w:szCs w:val="28"/>
    </w:rPr>
  </w:style>
  <w:style w:type="paragraph" w:customStyle="1" w:styleId="430">
    <w:name w:val="样式 标题 2H2Heading 2 HiddenHeading 2 CCBSheading 2第一章 标题 2IS...1"/>
    <w:basedOn w:val="211"/>
    <w:qFormat/>
    <w:uiPriority w:val="0"/>
    <w:pPr>
      <w:spacing w:line="415" w:lineRule="auto"/>
      <w:ind w:left="0" w:firstLine="0"/>
    </w:pPr>
    <w:rPr>
      <w:rFonts w:ascii="Times New Roman" w:hAnsi="Times New Roman" w:eastAsia="黑体"/>
      <w:b w:val="0"/>
      <w:bCs w:val="0"/>
    </w:rPr>
  </w:style>
  <w:style w:type="paragraph" w:customStyle="1" w:styleId="431">
    <w:name w:val="样式 标题 2H2Heading 2 HiddenHeading 2 CCBSheading 2第一章 标题 2IS...2"/>
    <w:basedOn w:val="211"/>
    <w:qFormat/>
    <w:uiPriority w:val="0"/>
    <w:pPr>
      <w:spacing w:line="415" w:lineRule="auto"/>
      <w:ind w:left="0" w:firstLine="0"/>
    </w:pPr>
    <w:rPr>
      <w:rFonts w:ascii="Times New Roman" w:hAnsi="Times New Roman" w:eastAsia="黑体"/>
      <w:b w:val="0"/>
      <w:bCs w:val="0"/>
    </w:rPr>
  </w:style>
  <w:style w:type="paragraph" w:customStyle="1" w:styleId="432">
    <w:name w:val="样式 标题 2H2Heading 2 HiddenHeading 2 CCBSheading 2第一章 标题 2IS...3"/>
    <w:basedOn w:val="211"/>
    <w:qFormat/>
    <w:uiPriority w:val="0"/>
    <w:pPr>
      <w:ind w:left="0" w:firstLine="0"/>
    </w:pPr>
    <w:rPr>
      <w:rFonts w:ascii="Times New Roman" w:hAnsi="Times New Roman" w:eastAsia="黑体"/>
      <w:b w:val="0"/>
      <w:bCs w:val="0"/>
    </w:rPr>
  </w:style>
  <w:style w:type="paragraph" w:customStyle="1" w:styleId="433">
    <w:name w:val="样式 标题 2H2Heading 2 HiddenHeading 2 CCBSheading 2第一章 标题 2IS...4"/>
    <w:basedOn w:val="211"/>
    <w:qFormat/>
    <w:uiPriority w:val="0"/>
    <w:pPr>
      <w:ind w:left="0" w:firstLine="0"/>
    </w:pPr>
    <w:rPr>
      <w:rFonts w:ascii="Times New Roman" w:hAnsi="Times New Roman" w:eastAsia="黑体"/>
      <w:b w:val="0"/>
      <w:bCs w:val="0"/>
    </w:rPr>
  </w:style>
  <w:style w:type="paragraph" w:customStyle="1" w:styleId="434">
    <w:name w:val="样式 标题 4h4H4Ref Heading 1rh1Heading sqlsect 1.2.3.4PIM 4第..."/>
    <w:basedOn w:val="66"/>
    <w:link w:val="435"/>
    <w:qFormat/>
    <w:uiPriority w:val="0"/>
    <w:pPr>
      <w:tabs>
        <w:tab w:val="left" w:pos="2240"/>
      </w:tabs>
      <w:spacing w:before="120" w:line="240" w:lineRule="auto"/>
      <w:ind w:left="2240" w:hanging="420"/>
    </w:pPr>
    <w:rPr>
      <w:rFonts w:ascii="Times New Roman" w:hAnsi="Times New Roman" w:cs="宋体"/>
    </w:rPr>
  </w:style>
  <w:style w:type="character" w:customStyle="1" w:styleId="435">
    <w:name w:val="样式 标题 4h4H4Ref Heading 1rh1Heading sqlsect 1.2.3.4PIM 4第... Char Char"/>
    <w:link w:val="434"/>
    <w:qFormat/>
    <w:uiPriority w:val="0"/>
    <w:rPr>
      <w:rFonts w:ascii="Times New Roman" w:hAnsi="Times New Roman" w:eastAsia="宋体" w:cs="宋体"/>
      <w:b/>
      <w:bCs/>
      <w:sz w:val="28"/>
      <w:szCs w:val="28"/>
    </w:rPr>
  </w:style>
  <w:style w:type="paragraph" w:customStyle="1" w:styleId="436">
    <w:name w:val="样式 宋体 小四 行距: 1.5 倍行距"/>
    <w:basedOn w:val="1"/>
    <w:link w:val="437"/>
    <w:qFormat/>
    <w:uiPriority w:val="0"/>
    <w:pPr>
      <w:spacing w:line="300" w:lineRule="auto"/>
      <w:ind w:firstLine="540"/>
      <w:jc w:val="left"/>
    </w:pPr>
    <w:rPr>
      <w:rFonts w:ascii="宋体" w:hAnsi="Times New Roman" w:eastAsia="宋体" w:cs="宋体"/>
      <w:color w:val="000000"/>
      <w:sz w:val="24"/>
      <w:szCs w:val="21"/>
    </w:rPr>
  </w:style>
  <w:style w:type="character" w:customStyle="1" w:styleId="437">
    <w:name w:val="样式 宋体 小四 行距: 1.5 倍行距 Char Char"/>
    <w:link w:val="436"/>
    <w:qFormat/>
    <w:uiPriority w:val="0"/>
    <w:rPr>
      <w:rFonts w:ascii="宋体" w:hAnsi="Times New Roman" w:eastAsia="宋体" w:cs="宋体"/>
      <w:color w:val="000000"/>
      <w:sz w:val="24"/>
      <w:szCs w:val="21"/>
    </w:rPr>
  </w:style>
  <w:style w:type="paragraph" w:customStyle="1" w:styleId="438">
    <w:name w:val="样式 正文缩进正文（首行缩进两字）表正文正文非缩进特点段1四号正文不缩进特点 CharALT+Z水上软件 +..."/>
    <w:basedOn w:val="342"/>
    <w:qFormat/>
    <w:uiPriority w:val="0"/>
    <w:pPr>
      <w:spacing w:line="360" w:lineRule="auto"/>
      <w:ind w:firstLine="480"/>
    </w:pPr>
    <w:rPr>
      <w:sz w:val="24"/>
      <w:szCs w:val="22"/>
    </w:rPr>
  </w:style>
  <w:style w:type="paragraph" w:customStyle="1" w:styleId="439">
    <w:name w:val="标书正文"/>
    <w:basedOn w:val="1"/>
    <w:link w:val="440"/>
    <w:qFormat/>
    <w:uiPriority w:val="0"/>
    <w:pPr>
      <w:spacing w:before="120" w:after="120" w:line="360" w:lineRule="auto"/>
      <w:ind w:firstLine="540"/>
    </w:pPr>
    <w:rPr>
      <w:rFonts w:ascii="华文中宋" w:hAnsi="宋体" w:eastAsia="宋体" w:cs="宋体"/>
      <w:color w:val="000000"/>
      <w:sz w:val="28"/>
      <w:szCs w:val="28"/>
    </w:rPr>
  </w:style>
  <w:style w:type="character" w:customStyle="1" w:styleId="440">
    <w:name w:val="标书正文 Char2"/>
    <w:link w:val="439"/>
    <w:qFormat/>
    <w:uiPriority w:val="0"/>
    <w:rPr>
      <w:rFonts w:ascii="华文中宋" w:hAnsi="宋体" w:eastAsia="宋体" w:cs="宋体"/>
      <w:color w:val="000000"/>
      <w:sz w:val="28"/>
      <w:szCs w:val="28"/>
    </w:rPr>
  </w:style>
  <w:style w:type="paragraph" w:customStyle="1" w:styleId="441">
    <w:name w:val="样式14"/>
    <w:basedOn w:val="1"/>
    <w:next w:val="214"/>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442">
    <w:name w:val="样式 正文缩进特点四号段1标题4body text鋘drad????ndBody Te?ndBo段1 Cha...3"/>
    <w:basedOn w:val="342"/>
    <w:qFormat/>
    <w:uiPriority w:val="0"/>
    <w:pPr>
      <w:spacing w:line="300" w:lineRule="auto"/>
      <w:ind w:firstLine="200"/>
    </w:pPr>
    <w:rPr>
      <w:rFonts w:hAnsi="宋体" w:cs="宋体"/>
      <w:sz w:val="24"/>
      <w:szCs w:val="22"/>
    </w:rPr>
  </w:style>
  <w:style w:type="paragraph" w:customStyle="1" w:styleId="443">
    <w:name w:val="段落要点2"/>
    <w:basedOn w:val="1"/>
    <w:qFormat/>
    <w:uiPriority w:val="0"/>
    <w:pPr>
      <w:tabs>
        <w:tab w:val="left" w:pos="900"/>
        <w:tab w:val="left" w:pos="1320"/>
      </w:tabs>
      <w:spacing w:line="300" w:lineRule="auto"/>
      <w:ind w:left="1320" w:hanging="420"/>
      <w:jc w:val="left"/>
    </w:pPr>
    <w:rPr>
      <w:rFonts w:ascii="Times New Roman" w:hAnsi="Times New Roman" w:eastAsia="宋体" w:cs="Times New Roman"/>
      <w:sz w:val="24"/>
      <w:szCs w:val="24"/>
    </w:rPr>
  </w:style>
  <w:style w:type="paragraph" w:customStyle="1" w:styleId="444">
    <w:name w:val="样式 (中文) 仿宋_GB2312 小四 行距: 1.5 倍行距"/>
    <w:basedOn w:val="1"/>
    <w:link w:val="445"/>
    <w:qFormat/>
    <w:uiPriority w:val="0"/>
    <w:pPr>
      <w:spacing w:before="240" w:line="360" w:lineRule="auto"/>
      <w:ind w:firstLine="480"/>
    </w:pPr>
    <w:rPr>
      <w:rFonts w:ascii="Times New Roman" w:hAnsi="Times New Roman" w:eastAsia="仿宋_GB2312" w:cs="宋体"/>
      <w:sz w:val="24"/>
      <w:szCs w:val="20"/>
    </w:rPr>
  </w:style>
  <w:style w:type="character" w:customStyle="1" w:styleId="445">
    <w:name w:val="样式 (中文) 仿宋_GB2312 小四 行距: 1.5 倍行距 Char Char"/>
    <w:link w:val="444"/>
    <w:qFormat/>
    <w:uiPriority w:val="0"/>
    <w:rPr>
      <w:rFonts w:ascii="Times New Roman" w:hAnsi="Times New Roman" w:eastAsia="仿宋_GB2312" w:cs="宋体"/>
      <w:sz w:val="24"/>
    </w:rPr>
  </w:style>
  <w:style w:type="paragraph" w:customStyle="1" w:styleId="446">
    <w:name w:val="样式 左侧:  2 字符 首行缩进:  2 字符 段前: 0.5 行2"/>
    <w:basedOn w:val="1"/>
    <w:link w:val="447"/>
    <w:qFormat/>
    <w:uiPriority w:val="0"/>
    <w:pPr>
      <w:ind w:left="480" w:firstLine="480"/>
    </w:pPr>
    <w:rPr>
      <w:rFonts w:ascii="Times New Roman" w:hAnsi="Times New Roman" w:eastAsia="仿宋_GB2312" w:cs="宋体"/>
      <w:sz w:val="24"/>
      <w:szCs w:val="20"/>
    </w:rPr>
  </w:style>
  <w:style w:type="character" w:customStyle="1" w:styleId="447">
    <w:name w:val="样式 左侧:  2 字符 首行缩进:  2 字符 段前: 0.5 行2 Char1"/>
    <w:link w:val="446"/>
    <w:qFormat/>
    <w:uiPriority w:val="0"/>
    <w:rPr>
      <w:rFonts w:ascii="Times New Roman" w:hAnsi="Times New Roman" w:eastAsia="仿宋_GB2312" w:cs="宋体"/>
      <w:sz w:val="24"/>
    </w:rPr>
  </w:style>
  <w:style w:type="paragraph" w:customStyle="1" w:styleId="448">
    <w:name w:val="样式 样式 正文缩进四号ALT+Z段1 Char Char Char段1 Char Char标题4body text鋘d... ..."/>
    <w:basedOn w:val="1"/>
    <w:link w:val="449"/>
    <w:qFormat/>
    <w:uiPriority w:val="0"/>
    <w:pPr>
      <w:spacing w:line="300" w:lineRule="auto"/>
      <w:ind w:firstLine="640"/>
    </w:pPr>
    <w:rPr>
      <w:rFonts w:ascii="宋体" w:hAnsi="宋体" w:eastAsia="宋体" w:cs="宋体"/>
      <w:sz w:val="32"/>
      <w:szCs w:val="32"/>
    </w:rPr>
  </w:style>
  <w:style w:type="character" w:customStyle="1" w:styleId="449">
    <w:name w:val="样式 样式 正文缩进四号ALT+Z段1 Char Char Char段1 Char Char标题4body text鋘d... ... Char Char"/>
    <w:link w:val="448"/>
    <w:qFormat/>
    <w:uiPriority w:val="0"/>
    <w:rPr>
      <w:rFonts w:ascii="宋体" w:hAnsi="宋体" w:eastAsia="宋体" w:cs="宋体"/>
      <w:sz w:val="32"/>
      <w:szCs w:val="32"/>
    </w:rPr>
  </w:style>
  <w:style w:type="paragraph" w:customStyle="1" w:styleId="450">
    <w:name w:val="SG186正文"/>
    <w:basedOn w:val="1"/>
    <w:qFormat/>
    <w:uiPriority w:val="0"/>
    <w:pPr>
      <w:tabs>
        <w:tab w:val="left" w:pos="900"/>
      </w:tabs>
      <w:spacing w:line="360" w:lineRule="auto"/>
      <w:ind w:left="900" w:hanging="420"/>
      <w:jc w:val="left"/>
    </w:pPr>
    <w:rPr>
      <w:rFonts w:ascii="宋体" w:hAnsi="宋体" w:eastAsia="宋体" w:cs="宋体"/>
      <w:sz w:val="24"/>
      <w:szCs w:val="20"/>
    </w:rPr>
  </w:style>
  <w:style w:type="paragraph" w:customStyle="1" w:styleId="451">
    <w:name w:val="样式 样式 样式 正文缩进四号ALT+Z段1 Char Char Char段1 Char Char标题4body text鋘d...."/>
    <w:basedOn w:val="448"/>
    <w:link w:val="452"/>
    <w:qFormat/>
    <w:uiPriority w:val="0"/>
    <w:rPr>
      <w:rFonts w:ascii="Times New Roman" w:hAnsi="Times New Roman"/>
      <w:sz w:val="24"/>
      <w:szCs w:val="24"/>
    </w:rPr>
  </w:style>
  <w:style w:type="character" w:customStyle="1" w:styleId="452">
    <w:name w:val="样式 样式 样式 正文缩进四号ALT+Z段1 Char Char Char段1 Char Char标题4body text鋘d.... Char Char"/>
    <w:link w:val="451"/>
    <w:qFormat/>
    <w:uiPriority w:val="0"/>
    <w:rPr>
      <w:rFonts w:ascii="Times New Roman" w:hAnsi="Times New Roman" w:eastAsia="宋体" w:cs="宋体"/>
      <w:sz w:val="24"/>
      <w:szCs w:val="24"/>
    </w:rPr>
  </w:style>
  <w:style w:type="paragraph" w:customStyle="1" w:styleId="453">
    <w:name w:val="样式 样式 样式 样式 样式 样式 样式 样式 样式 宋体 小四 首行缩进:  0.74 厘米 行距: 最小值 18 磅 + 段..."/>
    <w:basedOn w:val="391"/>
    <w:qFormat/>
    <w:uiPriority w:val="0"/>
    <w:pPr>
      <w:spacing w:line="300" w:lineRule="auto"/>
      <w:ind w:firstLine="200"/>
    </w:pPr>
    <w:rPr>
      <w:rFonts w:ascii="Times New Roman" w:hAnsi="Times New Roman"/>
      <w:sz w:val="24"/>
      <w:szCs w:val="24"/>
    </w:rPr>
  </w:style>
  <w:style w:type="paragraph" w:customStyle="1" w:styleId="454">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455">
    <w:name w:val="样式2"/>
    <w:basedOn w:val="211"/>
    <w:next w:val="1"/>
    <w:qFormat/>
    <w:uiPriority w:val="0"/>
    <w:pPr>
      <w:tabs>
        <w:tab w:val="left" w:pos="1080"/>
      </w:tabs>
      <w:ind w:left="0" w:firstLine="0"/>
    </w:pPr>
    <w:rPr>
      <w:rFonts w:ascii="Arial" w:hAnsi="Arial" w:eastAsia="黑体"/>
    </w:rPr>
  </w:style>
  <w:style w:type="paragraph" w:customStyle="1" w:styleId="456">
    <w:name w:val="样式5"/>
    <w:basedOn w:val="211"/>
    <w:qFormat/>
    <w:uiPriority w:val="0"/>
    <w:pPr>
      <w:tabs>
        <w:tab w:val="left" w:pos="1500"/>
      </w:tabs>
      <w:ind w:left="420" w:firstLine="0"/>
    </w:pPr>
    <w:rPr>
      <w:rFonts w:ascii="Arial" w:hAnsi="Arial" w:eastAsia="黑体"/>
    </w:rPr>
  </w:style>
  <w:style w:type="paragraph" w:customStyle="1" w:styleId="457">
    <w:name w:val="样式 正文缩进四号ALT+Z段1 Char Char Char段1 Char Char标题4body text鋘d..."/>
    <w:basedOn w:val="342"/>
    <w:link w:val="458"/>
    <w:qFormat/>
    <w:uiPriority w:val="0"/>
    <w:pPr>
      <w:spacing w:line="300" w:lineRule="auto"/>
      <w:ind w:firstLine="200"/>
    </w:pPr>
    <w:rPr>
      <w:rFonts w:ascii="宋体" w:hAnsi="宋体" w:cs="宋体"/>
      <w:sz w:val="24"/>
      <w:szCs w:val="24"/>
    </w:rPr>
  </w:style>
  <w:style w:type="character" w:customStyle="1" w:styleId="458">
    <w:name w:val="样式 正文缩进四号ALT+Z段1 Char Char Char段1 Char Char标题4body text鋘d... Char Char"/>
    <w:link w:val="457"/>
    <w:qFormat/>
    <w:uiPriority w:val="0"/>
    <w:rPr>
      <w:rFonts w:ascii="宋体" w:hAnsi="宋体" w:eastAsia="宋体" w:cs="宋体"/>
      <w:sz w:val="24"/>
      <w:szCs w:val="24"/>
    </w:rPr>
  </w:style>
  <w:style w:type="paragraph" w:customStyle="1" w:styleId="459">
    <w:name w:val="样式 标题 1H1标书1Heading 0PIM 1h1Head1Heading apps合同标题标题一1s..."/>
    <w:basedOn w:val="244"/>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60">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61">
    <w:name w:val="融信正文"/>
    <w:basedOn w:val="1"/>
    <w:qFormat/>
    <w:uiPriority w:val="0"/>
    <w:pPr>
      <w:spacing w:line="360" w:lineRule="auto"/>
      <w:ind w:right="240" w:firstLine="480"/>
    </w:pPr>
    <w:rPr>
      <w:rFonts w:ascii="仿宋_GB2312" w:hAnsi="Arial" w:eastAsia="仿宋_GB2312" w:cs="Arial"/>
      <w:sz w:val="24"/>
      <w:szCs w:val="24"/>
    </w:rPr>
  </w:style>
  <w:style w:type="paragraph" w:customStyle="1" w:styleId="462">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463">
    <w:name w:val="项目符号2"/>
    <w:basedOn w:val="1"/>
    <w:qFormat/>
    <w:uiPriority w:val="0"/>
    <w:pPr>
      <w:widowControl/>
      <w:tabs>
        <w:tab w:val="left" w:pos="0"/>
      </w:tabs>
      <w:spacing w:line="360" w:lineRule="auto"/>
      <w:jc w:val="left"/>
    </w:pPr>
    <w:rPr>
      <w:rFonts w:ascii="Times New Roman" w:hAnsi="Times New Roman" w:eastAsia="宋体" w:cs="Times New Roman"/>
      <w:szCs w:val="20"/>
    </w:rPr>
  </w:style>
  <w:style w:type="paragraph" w:customStyle="1" w:styleId="464">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465">
    <w:name w:val="正文段落"/>
    <w:basedOn w:val="342"/>
    <w:qFormat/>
    <w:uiPriority w:val="0"/>
    <w:pPr>
      <w:widowControl/>
      <w:spacing w:after="120" w:line="360" w:lineRule="auto"/>
      <w:ind w:firstLine="200"/>
    </w:pPr>
    <w:rPr>
      <w:sz w:val="24"/>
      <w:szCs w:val="24"/>
    </w:rPr>
  </w:style>
  <w:style w:type="paragraph" w:customStyle="1" w:styleId="466">
    <w:name w:val="Sale_Header 2"/>
    <w:next w:val="1"/>
    <w:link w:val="467"/>
    <w:qFormat/>
    <w:uiPriority w:val="0"/>
    <w:rPr>
      <w:rFonts w:ascii="Arial" w:hAnsi="Arial" w:eastAsia="宋体" w:cs="Calibri"/>
      <w:b/>
      <w:i/>
      <w:iCs/>
      <w:color w:val="000000"/>
      <w:sz w:val="28"/>
      <w:szCs w:val="24"/>
      <w:lang w:val="en-US" w:eastAsia="zh-CN" w:bidi="ar-SA"/>
    </w:rPr>
  </w:style>
  <w:style w:type="character" w:customStyle="1" w:styleId="467">
    <w:name w:val="Sale_Header 2 Char Char"/>
    <w:link w:val="466"/>
    <w:qFormat/>
    <w:uiPriority w:val="0"/>
    <w:rPr>
      <w:rFonts w:ascii="Arial" w:hAnsi="Arial" w:eastAsia="宋体" w:cs="Calibri"/>
      <w:b/>
      <w:i/>
      <w:iCs/>
      <w:color w:val="000000"/>
      <w:sz w:val="28"/>
      <w:szCs w:val="24"/>
    </w:rPr>
  </w:style>
  <w:style w:type="paragraph" w:customStyle="1" w:styleId="468">
    <w:name w:val="Default Text"/>
    <w:link w:val="469"/>
    <w:qFormat/>
    <w:uiPriority w:val="0"/>
    <w:pPr>
      <w:widowControl w:val="0"/>
      <w:tabs>
        <w:tab w:val="left" w:pos="720"/>
      </w:tabs>
      <w:ind w:left="289" w:hanging="181"/>
    </w:pPr>
    <w:rPr>
      <w:rFonts w:ascii="Arial" w:hAnsi="Arial" w:eastAsia="宋体" w:cs="Calibri"/>
      <w:sz w:val="18"/>
      <w:szCs w:val="18"/>
      <w:lang w:val="en-US" w:eastAsia="zh-CN" w:bidi="ar-SA"/>
    </w:rPr>
  </w:style>
  <w:style w:type="character" w:customStyle="1" w:styleId="469">
    <w:name w:val="Default Text Char Char"/>
    <w:link w:val="468"/>
    <w:qFormat/>
    <w:uiPriority w:val="0"/>
    <w:rPr>
      <w:rFonts w:ascii="Arial" w:hAnsi="Arial" w:eastAsia="宋体" w:cs="Calibri"/>
      <w:sz w:val="18"/>
      <w:szCs w:val="18"/>
    </w:rPr>
  </w:style>
  <w:style w:type="paragraph" w:customStyle="1" w:styleId="470">
    <w:name w:val="Normal (Arial)"/>
    <w:basedOn w:val="1"/>
    <w:qFormat/>
    <w:uiPriority w:val="0"/>
    <w:pPr>
      <w:widowControl/>
      <w:jc w:val="left"/>
    </w:pPr>
    <w:rPr>
      <w:rFonts w:ascii="Arial" w:hAnsi="Arial" w:eastAsia="宋体" w:cs="Arial"/>
      <w:sz w:val="20"/>
      <w:szCs w:val="20"/>
      <w:lang w:eastAsia="en-US"/>
    </w:rPr>
  </w:style>
  <w:style w:type="paragraph" w:customStyle="1" w:styleId="471">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szCs w:val="24"/>
    </w:rPr>
  </w:style>
  <w:style w:type="paragraph" w:customStyle="1" w:styleId="472">
    <w:name w:val="正文缩进3"/>
    <w:qFormat/>
    <w:uiPriority w:val="0"/>
    <w:pPr>
      <w:ind w:firstLine="200"/>
    </w:pPr>
    <w:rPr>
      <w:rFonts w:ascii="Times New Roman" w:hAnsi="Times New Roman" w:eastAsia="宋体" w:cs="Calibri"/>
      <w:sz w:val="24"/>
      <w:lang w:val="en-US" w:eastAsia="zh-CN" w:bidi="ar-SA"/>
    </w:rPr>
  </w:style>
  <w:style w:type="paragraph" w:customStyle="1" w:styleId="473">
    <w:name w:val="列表 1"/>
    <w:qFormat/>
    <w:uiPriority w:val="0"/>
    <w:pPr>
      <w:tabs>
        <w:tab w:val="left" w:pos="840"/>
      </w:tabs>
      <w:ind w:left="840" w:hanging="420"/>
    </w:pPr>
    <w:rPr>
      <w:rFonts w:ascii="Times New Roman" w:hAnsi="Times New Roman" w:eastAsia="楷体_GB2312" w:cs="Calibri"/>
      <w:sz w:val="24"/>
      <w:lang w:val="en-US" w:eastAsia="zh-CN" w:bidi="ar-SA"/>
    </w:rPr>
  </w:style>
  <w:style w:type="paragraph" w:customStyle="1" w:styleId="474">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475">
    <w:name w:val="Body"/>
    <w:basedOn w:val="1"/>
    <w:qFormat/>
    <w:uiPriority w:val="0"/>
    <w:pPr>
      <w:widowControl/>
      <w:spacing w:after="200"/>
      <w:jc w:val="left"/>
    </w:pPr>
    <w:rPr>
      <w:rFonts w:ascii="Times New Roman" w:hAnsi="Times New Roman" w:eastAsia="宋体" w:cs="Times New Roman"/>
      <w:sz w:val="22"/>
      <w:szCs w:val="20"/>
    </w:rPr>
  </w:style>
  <w:style w:type="paragraph" w:customStyle="1" w:styleId="476">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477">
    <w:name w:val="基准索引样式"/>
    <w:basedOn w:val="1"/>
    <w:qFormat/>
    <w:uiPriority w:val="0"/>
    <w:pPr>
      <w:widowControl/>
      <w:spacing w:line="220" w:lineRule="atLeast"/>
      <w:ind w:left="360" w:firstLine="576"/>
      <w:jc w:val="left"/>
    </w:pPr>
    <w:rPr>
      <w:rFonts w:ascii="Times New Roman" w:hAnsi="Times New Roman" w:eastAsia="宋体" w:cs="Times New Roman"/>
      <w:sz w:val="20"/>
      <w:szCs w:val="20"/>
    </w:rPr>
  </w:style>
  <w:style w:type="paragraph" w:customStyle="1" w:styleId="478">
    <w:name w:val="Heading2REP"/>
    <w:basedOn w:val="59"/>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479">
    <w:name w:val="BodyREP"/>
    <w:basedOn w:val="59"/>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480">
    <w:name w:val="Bullet1"/>
    <w:basedOn w:val="1"/>
    <w:qFormat/>
    <w:uiPriority w:val="0"/>
    <w:pPr>
      <w:widowControl/>
      <w:jc w:val="left"/>
    </w:pPr>
    <w:rPr>
      <w:rFonts w:ascii="CG Times" w:hAnsi="CG Times" w:eastAsia="宋体" w:cs="Times New Roman"/>
      <w:sz w:val="20"/>
      <w:szCs w:val="20"/>
    </w:rPr>
  </w:style>
  <w:style w:type="paragraph" w:customStyle="1" w:styleId="481">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482">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483">
    <w:name w:val="Picture"/>
    <w:basedOn w:val="1"/>
    <w:next w:val="14"/>
    <w:qFormat/>
    <w:uiPriority w:val="0"/>
    <w:pPr>
      <w:keepNext/>
      <w:widowControl/>
    </w:pPr>
    <w:rPr>
      <w:rFonts w:hint="eastAsia" w:ascii="楷体" w:hAnsi="Arial" w:eastAsia="楷体" w:cs="Times New Roman"/>
      <w:b/>
      <w:spacing w:val="-5"/>
      <w:sz w:val="24"/>
      <w:szCs w:val="20"/>
    </w:rPr>
  </w:style>
  <w:style w:type="paragraph" w:customStyle="1" w:styleId="484">
    <w:name w:val="TableTitle"/>
    <w:basedOn w:val="485"/>
    <w:qFormat/>
    <w:uiPriority w:val="0"/>
    <w:pPr>
      <w:spacing w:before="0" w:after="120"/>
    </w:pPr>
  </w:style>
  <w:style w:type="paragraph" w:customStyle="1" w:styleId="485">
    <w:name w:val="TableNumber"/>
    <w:basedOn w:val="1"/>
    <w:next w:val="484"/>
    <w:qFormat/>
    <w:uiPriority w:val="0"/>
    <w:pPr>
      <w:keepNext/>
      <w:widowControl/>
      <w:spacing w:before="75" w:after="40" w:line="260" w:lineRule="atLeast"/>
      <w:jc w:val="center"/>
    </w:pPr>
    <w:rPr>
      <w:rFonts w:ascii="IDCSansSerif" w:hAnsi="IDCSansSerif" w:eastAsia="宋体" w:cs="Times New Roman"/>
      <w:b/>
      <w:sz w:val="22"/>
      <w:szCs w:val="20"/>
    </w:rPr>
  </w:style>
  <w:style w:type="paragraph" w:customStyle="1" w:styleId="486">
    <w:name w:val="TH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7">
    <w:name w:val="TH_CTR"/>
    <w:basedOn w:val="486"/>
    <w:qFormat/>
    <w:uiPriority w:val="0"/>
    <w:pPr>
      <w:jc w:val="center"/>
    </w:pPr>
  </w:style>
  <w:style w:type="paragraph" w:customStyle="1" w:styleId="488">
    <w:name w:val="TB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9">
    <w:name w:val="TB_FR"/>
    <w:basedOn w:val="488"/>
    <w:qFormat/>
    <w:uiPriority w:val="0"/>
    <w:pPr>
      <w:jc w:val="right"/>
    </w:pPr>
  </w:style>
  <w:style w:type="paragraph" w:customStyle="1" w:styleId="490">
    <w:name w:val="TFN"/>
    <w:basedOn w:val="488"/>
    <w:qFormat/>
    <w:uiPriority w:val="0"/>
    <w:pPr>
      <w:spacing w:after="0"/>
    </w:pPr>
  </w:style>
  <w:style w:type="paragraph" w:customStyle="1" w:styleId="491">
    <w:name w:val="ymtext"/>
    <w:basedOn w:val="1"/>
    <w:qFormat/>
    <w:uiPriority w:val="0"/>
    <w:pPr>
      <w:widowControl/>
      <w:spacing w:after="100" w:line="500" w:lineRule="atLeast"/>
      <w:ind w:firstLine="547"/>
      <w:jc w:val="left"/>
    </w:pPr>
    <w:rPr>
      <w:rFonts w:hint="eastAsia" w:ascii="宋体" w:hAnsi="Times New Roman" w:eastAsia="宋体" w:cs="Times New Roman"/>
      <w:spacing w:val="40"/>
      <w:sz w:val="24"/>
      <w:szCs w:val="20"/>
    </w:rPr>
  </w:style>
  <w:style w:type="paragraph" w:customStyle="1" w:styleId="492">
    <w:name w:val="正文1"/>
    <w:basedOn w:val="1"/>
    <w:next w:val="1"/>
    <w:qFormat/>
    <w:uiPriority w:val="0"/>
    <w:pPr>
      <w:spacing w:before="156" w:line="360" w:lineRule="auto"/>
      <w:jc w:val="left"/>
    </w:pPr>
    <w:rPr>
      <w:rFonts w:ascii="华文楷体" w:hAnsi="Times New Roman" w:eastAsia="宋体" w:cs="Times New Roman"/>
      <w:sz w:val="24"/>
      <w:szCs w:val="20"/>
    </w:rPr>
  </w:style>
  <w:style w:type="paragraph" w:customStyle="1" w:styleId="493">
    <w:name w:val="text"/>
    <w:basedOn w:val="66"/>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494">
    <w:name w:val="正文文字（缩进2字）"/>
    <w:basedOn w:val="59"/>
    <w:qFormat/>
    <w:uiPriority w:val="0"/>
    <w:pPr>
      <w:ind w:firstLine="422"/>
    </w:pPr>
    <w:rPr>
      <w:b/>
      <w:bCs/>
      <w:szCs w:val="20"/>
    </w:rPr>
  </w:style>
  <w:style w:type="paragraph" w:customStyle="1" w:styleId="495">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496">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497">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498">
    <w:name w:val="图片"/>
    <w:basedOn w:val="1"/>
    <w:next w:val="1"/>
    <w:qFormat/>
    <w:uiPriority w:val="0"/>
    <w:pPr>
      <w:jc w:val="center"/>
    </w:pPr>
    <w:rPr>
      <w:rFonts w:ascii="Times New Roman" w:hAnsi="Times New Roman" w:eastAsia="宋体" w:cs="Times New Roman"/>
      <w:szCs w:val="24"/>
    </w:rPr>
  </w:style>
  <w:style w:type="paragraph" w:customStyle="1" w:styleId="499">
    <w:name w:val="图名"/>
    <w:basedOn w:val="1"/>
    <w:next w:val="1"/>
    <w:qFormat/>
    <w:uiPriority w:val="0"/>
    <w:pPr>
      <w:spacing w:line="360" w:lineRule="auto"/>
      <w:jc w:val="center"/>
    </w:pPr>
    <w:rPr>
      <w:rFonts w:ascii="Arial" w:hAnsi="Arial" w:eastAsia="黑体" w:cs="Times New Roman"/>
      <w:b/>
      <w:szCs w:val="24"/>
    </w:rPr>
  </w:style>
  <w:style w:type="paragraph" w:customStyle="1" w:styleId="500">
    <w:name w:val="项目 1"/>
    <w:basedOn w:val="342"/>
    <w:qFormat/>
    <w:uiPriority w:val="0"/>
    <w:pPr>
      <w:spacing w:line="360" w:lineRule="auto"/>
      <w:ind w:firstLine="0"/>
    </w:pPr>
    <w:rPr>
      <w:sz w:val="24"/>
      <w:szCs w:val="24"/>
    </w:rPr>
  </w:style>
  <w:style w:type="paragraph" w:customStyle="1" w:styleId="501">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szCs w:val="24"/>
    </w:rPr>
  </w:style>
  <w:style w:type="paragraph" w:customStyle="1" w:styleId="502">
    <w:name w:val="封面落款"/>
    <w:basedOn w:val="1"/>
    <w:qFormat/>
    <w:uiPriority w:val="0"/>
    <w:pPr>
      <w:spacing w:line="360" w:lineRule="auto"/>
      <w:jc w:val="center"/>
    </w:pPr>
    <w:rPr>
      <w:rFonts w:ascii="Arial" w:hAnsi="Arial" w:eastAsia="黑体" w:cs="Times New Roman"/>
      <w:sz w:val="32"/>
      <w:szCs w:val="24"/>
    </w:rPr>
  </w:style>
  <w:style w:type="paragraph" w:customStyle="1" w:styleId="503">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504">
    <w:name w:val="Char Char1"/>
    <w:basedOn w:val="1"/>
    <w:qFormat/>
    <w:uiPriority w:val="0"/>
    <w:pPr>
      <w:spacing w:line="360" w:lineRule="auto"/>
    </w:pPr>
    <w:rPr>
      <w:rFonts w:ascii="Tahoma" w:hAnsi="Tahoma" w:eastAsia="宋体" w:cs="Times New Roman"/>
      <w:sz w:val="24"/>
      <w:szCs w:val="20"/>
    </w:rPr>
  </w:style>
  <w:style w:type="paragraph" w:customStyle="1" w:styleId="505">
    <w:name w:val="Char1 Char Char Char Char Char"/>
    <w:basedOn w:val="1"/>
    <w:qFormat/>
    <w:uiPriority w:val="0"/>
    <w:pPr>
      <w:spacing w:before="240" w:after="120" w:line="288" w:lineRule="auto"/>
      <w:ind w:firstLine="200"/>
      <w:jc w:val="left"/>
    </w:pPr>
    <w:rPr>
      <w:rFonts w:ascii="Tahoma" w:hAnsi="Tahoma" w:eastAsia="宋体" w:cs="Times New Roman"/>
      <w:sz w:val="24"/>
      <w:szCs w:val="24"/>
    </w:rPr>
  </w:style>
  <w:style w:type="paragraph" w:customStyle="1" w:styleId="506">
    <w:name w:val="WW-正文缩进"/>
    <w:basedOn w:val="1"/>
    <w:qFormat/>
    <w:uiPriority w:val="0"/>
    <w:pPr>
      <w:ind w:firstLine="420"/>
    </w:pPr>
    <w:rPr>
      <w:rFonts w:ascii="Times New Roman" w:hAnsi="Times New Roman" w:eastAsia="宋体" w:cs="Times New Roman"/>
      <w:szCs w:val="20"/>
      <w:lang w:eastAsia="ar-SA"/>
    </w:rPr>
  </w:style>
  <w:style w:type="paragraph" w:customStyle="1" w:styleId="507">
    <w:name w:val="Table Text Bullet"/>
    <w:basedOn w:val="311"/>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08">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szCs w:val="21"/>
    </w:rPr>
  </w:style>
  <w:style w:type="paragraph" w:customStyle="1" w:styleId="509">
    <w:name w:val="bullet box 2 (arrows)"/>
    <w:basedOn w:val="1"/>
    <w:qFormat/>
    <w:uiPriority w:val="0"/>
    <w:pPr>
      <w:widowControl/>
      <w:tabs>
        <w:tab w:val="left" w:pos="720"/>
      </w:tabs>
      <w:spacing w:before="120"/>
      <w:ind w:left="720" w:hanging="720"/>
    </w:pPr>
    <w:rPr>
      <w:rFonts w:ascii="Arial" w:hAnsi="Arial" w:eastAsia="宋体" w:cs="Times New Roman"/>
      <w:sz w:val="20"/>
      <w:szCs w:val="20"/>
      <w:lang w:eastAsia="en-US"/>
    </w:rPr>
  </w:style>
  <w:style w:type="paragraph" w:customStyle="1" w:styleId="510">
    <w:name w:val="表格项目符号"/>
    <w:basedOn w:val="15"/>
    <w:qFormat/>
    <w:uiPriority w:val="0"/>
    <w:pPr>
      <w:widowControl w:val="0"/>
      <w:tabs>
        <w:tab w:val="left" w:pos="249"/>
        <w:tab w:val="left" w:pos="360"/>
        <w:tab w:val="clear" w:pos="480"/>
      </w:tabs>
      <w:spacing w:after="0" w:line="300" w:lineRule="auto"/>
      <w:ind w:left="249" w:hanging="249"/>
      <w:jc w:val="both"/>
    </w:pPr>
    <w:rPr>
      <w:rFonts w:ascii="Times New Roman" w:hAnsi="Times New Roman" w:cs="Times New Roman"/>
      <w:sz w:val="21"/>
      <w:szCs w:val="24"/>
    </w:rPr>
  </w:style>
  <w:style w:type="paragraph" w:customStyle="1" w:styleId="511">
    <w:name w:val="附图标题"/>
    <w:basedOn w:val="1"/>
    <w:next w:val="342"/>
    <w:qFormat/>
    <w:uiPriority w:val="0"/>
    <w:pPr>
      <w:tabs>
        <w:tab w:val="left" w:pos="720"/>
      </w:tabs>
      <w:ind w:left="420" w:hanging="420"/>
      <w:jc w:val="center"/>
    </w:pPr>
    <w:rPr>
      <w:rFonts w:ascii="Arial" w:hAnsi="Arial" w:eastAsia="黑体" w:cs="Times New Roman"/>
      <w:b/>
      <w:sz w:val="18"/>
      <w:szCs w:val="24"/>
    </w:rPr>
  </w:style>
  <w:style w:type="paragraph" w:customStyle="1" w:styleId="512">
    <w:name w:val="bullet box 1"/>
    <w:basedOn w:val="1"/>
    <w:qFormat/>
    <w:uiPriority w:val="0"/>
    <w:pPr>
      <w:widowControl/>
      <w:tabs>
        <w:tab w:val="left" w:pos="1080"/>
      </w:tabs>
      <w:spacing w:before="120"/>
      <w:ind w:left="1080" w:hanging="360"/>
    </w:pPr>
    <w:rPr>
      <w:rFonts w:ascii="Arial" w:hAnsi="Arial" w:eastAsia="宋体" w:cs="Times New Roman"/>
      <w:sz w:val="20"/>
      <w:szCs w:val="20"/>
      <w:lang w:eastAsia="en-US"/>
    </w:rPr>
  </w:style>
  <w:style w:type="paragraph" w:customStyle="1" w:styleId="513">
    <w:name w:val="Char1 Char Char Char Char Char Char Char Char Char Char"/>
    <w:basedOn w:val="1"/>
    <w:qFormat/>
    <w:uiPriority w:val="0"/>
    <w:rPr>
      <w:rFonts w:ascii="Tahoma" w:hAnsi="Tahoma" w:eastAsia="宋体" w:cs="Times New Roman"/>
      <w:sz w:val="24"/>
      <w:szCs w:val="20"/>
    </w:rPr>
  </w:style>
  <w:style w:type="paragraph" w:customStyle="1" w:styleId="514">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515">
    <w:name w:val="Char Char Char Char1 Char Char"/>
    <w:basedOn w:val="1"/>
    <w:qFormat/>
    <w:uiPriority w:val="0"/>
    <w:pPr>
      <w:jc w:val="center"/>
    </w:pPr>
    <w:rPr>
      <w:rFonts w:ascii="Tahoma" w:hAnsi="Tahoma" w:eastAsia="宋体" w:cs="Times New Roman"/>
      <w:sz w:val="24"/>
      <w:szCs w:val="24"/>
    </w:rPr>
  </w:style>
  <w:style w:type="paragraph" w:customStyle="1" w:styleId="516">
    <w:name w:val="Char1 Char Char"/>
    <w:basedOn w:val="1"/>
    <w:qFormat/>
    <w:uiPriority w:val="0"/>
    <w:rPr>
      <w:rFonts w:ascii="Tahoma" w:hAnsi="Tahoma" w:eastAsia="宋体" w:cs="Times New Roman"/>
      <w:sz w:val="24"/>
      <w:szCs w:val="20"/>
    </w:rPr>
  </w:style>
  <w:style w:type="paragraph" w:customStyle="1" w:styleId="517">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sz w:val="23"/>
      <w:szCs w:val="23"/>
    </w:rPr>
  </w:style>
  <w:style w:type="paragraph" w:customStyle="1" w:styleId="518">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519">
    <w:name w:val="纯文本11"/>
    <w:basedOn w:val="1"/>
    <w:qFormat/>
    <w:uiPriority w:val="0"/>
    <w:rPr>
      <w:rFonts w:ascii="宋体" w:hAnsi="宋体" w:eastAsia="宋体" w:cs="Times New Roman"/>
      <w:szCs w:val="20"/>
      <w:lang w:eastAsia="ar-SA"/>
    </w:rPr>
  </w:style>
  <w:style w:type="paragraph" w:customStyle="1" w:styleId="520">
    <w:name w:val="批注文字1"/>
    <w:basedOn w:val="1"/>
    <w:qFormat/>
    <w:uiPriority w:val="0"/>
    <w:pPr>
      <w:jc w:val="left"/>
    </w:pPr>
    <w:rPr>
      <w:rFonts w:ascii="Times New Roman" w:hAnsi="Times New Roman" w:eastAsia="宋体" w:cs="Times New Roman"/>
      <w:szCs w:val="24"/>
      <w:lang w:eastAsia="ar-SA"/>
    </w:rPr>
  </w:style>
  <w:style w:type="paragraph" w:customStyle="1" w:styleId="521">
    <w:name w:val="正文s"/>
    <w:basedOn w:val="1"/>
    <w:next w:val="1"/>
    <w:qFormat/>
    <w:uiPriority w:val="0"/>
    <w:pPr>
      <w:spacing w:after="50" w:line="400" w:lineRule="exact"/>
      <w:ind w:firstLine="200"/>
    </w:pPr>
    <w:rPr>
      <w:rFonts w:ascii="Times New Roman" w:hAnsi="Times New Roman" w:eastAsia="宋体" w:cs="Times New Roman"/>
      <w:sz w:val="24"/>
      <w:szCs w:val="24"/>
      <w:lang w:eastAsia="ar-SA"/>
    </w:rPr>
  </w:style>
  <w:style w:type="paragraph" w:customStyle="1" w:styleId="522">
    <w:name w:val="Bullet List"/>
    <w:basedOn w:val="1"/>
    <w:qFormat/>
    <w:uiPriority w:val="0"/>
    <w:pPr>
      <w:widowControl/>
      <w:tabs>
        <w:tab w:val="left" w:pos="820"/>
      </w:tabs>
      <w:spacing w:before="120"/>
      <w:ind w:left="820" w:hanging="420"/>
    </w:pPr>
    <w:rPr>
      <w:rFonts w:ascii="Courier New" w:hAnsi="Courier New" w:eastAsia="宋体" w:cs="Times New Roman"/>
      <w:sz w:val="20"/>
      <w:szCs w:val="20"/>
    </w:rPr>
  </w:style>
  <w:style w:type="paragraph" w:customStyle="1" w:styleId="523">
    <w:name w:val="表格正文"/>
    <w:basedOn w:val="1"/>
    <w:qFormat/>
    <w:uiPriority w:val="0"/>
    <w:pPr>
      <w:spacing w:line="300" w:lineRule="auto"/>
    </w:pPr>
    <w:rPr>
      <w:rFonts w:ascii="Times New Roman" w:hAnsi="Times New Roman" w:eastAsia="宋体" w:cs="Times New Roman"/>
      <w:szCs w:val="24"/>
    </w:rPr>
  </w:style>
  <w:style w:type="paragraph" w:customStyle="1" w:styleId="524">
    <w:name w:val="Alt+X_首行空2"/>
    <w:basedOn w:val="1"/>
    <w:qFormat/>
    <w:uiPriority w:val="0"/>
    <w:pPr>
      <w:spacing w:line="360" w:lineRule="auto"/>
      <w:ind w:firstLine="480"/>
    </w:pPr>
    <w:rPr>
      <w:rFonts w:ascii="Times New Roman" w:hAnsi="Times New Roman" w:eastAsia="宋体" w:cs="宋体"/>
      <w:sz w:val="24"/>
      <w:szCs w:val="24"/>
    </w:rPr>
  </w:style>
  <w:style w:type="paragraph" w:customStyle="1" w:styleId="525">
    <w:name w:val="缺省文本"/>
    <w:basedOn w:val="1"/>
    <w:qFormat/>
    <w:uiPriority w:val="0"/>
    <w:pPr>
      <w:jc w:val="left"/>
    </w:pPr>
    <w:rPr>
      <w:rFonts w:ascii="Times New Roman" w:hAnsi="Times New Roman" w:eastAsia="宋体" w:cs="Times New Roman"/>
      <w:sz w:val="24"/>
      <w:szCs w:val="24"/>
    </w:rPr>
  </w:style>
  <w:style w:type="paragraph" w:customStyle="1" w:styleId="526">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527">
    <w:name w:val="表格首行"/>
    <w:basedOn w:val="1"/>
    <w:qFormat/>
    <w:uiPriority w:val="0"/>
    <w:pPr>
      <w:jc w:val="center"/>
    </w:pPr>
    <w:rPr>
      <w:rFonts w:ascii="宋体" w:hAnsi="宋体" w:eastAsia="宋体" w:cs="Times New Roman"/>
      <w:szCs w:val="24"/>
    </w:rPr>
  </w:style>
  <w:style w:type="paragraph" w:customStyle="1" w:styleId="528">
    <w:name w:val="样式8"/>
    <w:basedOn w:val="66"/>
    <w:next w:val="66"/>
    <w:qFormat/>
    <w:uiPriority w:val="0"/>
    <w:pPr>
      <w:tabs>
        <w:tab w:val="left" w:pos="864"/>
      </w:tabs>
      <w:spacing w:before="120" w:line="415" w:lineRule="auto"/>
      <w:ind w:hanging="144"/>
    </w:pPr>
    <w:rPr>
      <w:rFonts w:ascii="Arial" w:hAnsi="Arial" w:eastAsia="黑体"/>
    </w:rPr>
  </w:style>
  <w:style w:type="paragraph" w:customStyle="1" w:styleId="529">
    <w:name w:val="样式 标题 3level_3PIM 3H3Level 3 HeadHeading 3 - oldsl3Headin..."/>
    <w:basedOn w:val="212"/>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30">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31">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32">
    <w:name w:val="font9"/>
    <w:basedOn w:val="1"/>
    <w:qFormat/>
    <w:uiPriority w:val="0"/>
    <w:pPr>
      <w:widowControl/>
      <w:spacing w:before="100" w:beforeAutospacing="1" w:after="100" w:afterAutospacing="1"/>
      <w:jc w:val="left"/>
    </w:pPr>
    <w:rPr>
      <w:rFonts w:ascii="Times New Roman" w:hAnsi="Times New Roman" w:eastAsia="宋体" w:cs="Times New Roman"/>
      <w:b/>
      <w:bCs/>
      <w:sz w:val="24"/>
      <w:szCs w:val="24"/>
      <w:u w:val="single"/>
    </w:rPr>
  </w:style>
  <w:style w:type="paragraph" w:customStyle="1" w:styleId="533">
    <w:name w:val="TABLE"/>
    <w:basedOn w:val="1"/>
    <w:qFormat/>
    <w:uiPriority w:val="0"/>
    <w:pPr>
      <w:jc w:val="left"/>
    </w:pPr>
    <w:rPr>
      <w:rFonts w:ascii="Microsoft Sans Serif" w:hAnsi="Microsoft Sans Serif" w:eastAsia="宋体" w:cs="Microsoft Sans Serif"/>
      <w:b/>
      <w:szCs w:val="21"/>
    </w:rPr>
  </w:style>
  <w:style w:type="paragraph" w:customStyle="1" w:styleId="534">
    <w:name w:val="默认段落字体 Para Char Char Char 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535">
    <w:name w:val="正文2"/>
    <w:qFormat/>
    <w:uiPriority w:val="0"/>
    <w:pPr>
      <w:widowControl w:val="0"/>
      <w:spacing w:line="312" w:lineRule="atLeast"/>
      <w:jc w:val="both"/>
    </w:pPr>
    <w:rPr>
      <w:rFonts w:ascii="宋体" w:hAnsi="Times New Roman" w:eastAsia="宋体" w:cs="Calibri"/>
      <w:sz w:val="34"/>
      <w:lang w:val="en-US" w:eastAsia="zh-CN" w:bidi="ar-SA"/>
    </w:rPr>
  </w:style>
  <w:style w:type="paragraph" w:customStyle="1" w:styleId="536">
    <w:name w:val="标题 4 + 两端对齐 段后: 0 磅 行距: 单倍行距1"/>
    <w:basedOn w:val="66"/>
    <w:link w:val="537"/>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37">
    <w:name w:val="标题 4 + 两端对齐 段后: 0 磅 行距: 单倍行距1 Char Char"/>
    <w:link w:val="536"/>
    <w:qFormat/>
    <w:uiPriority w:val="0"/>
    <w:rPr>
      <w:rFonts w:ascii="Times New Roman" w:hAnsi="Times New Roman" w:eastAsia="宋体" w:cs="宋体"/>
      <w:b/>
      <w:bCs/>
      <w:spacing w:val="5"/>
      <w:sz w:val="28"/>
      <w:szCs w:val="28"/>
    </w:rPr>
  </w:style>
  <w:style w:type="paragraph" w:customStyle="1" w:styleId="538">
    <w:name w:val="Char Char Char Char1"/>
    <w:basedOn w:val="326"/>
    <w:qFormat/>
    <w:uiPriority w:val="0"/>
    <w:pPr>
      <w:shd w:val="clear" w:color="auto" w:fill="000080"/>
      <w:spacing w:line="360" w:lineRule="auto"/>
    </w:pPr>
    <w:rPr>
      <w:rFonts w:ascii="Tahoma" w:hAnsi="Tahoma"/>
      <w:sz w:val="24"/>
      <w:szCs w:val="24"/>
    </w:rPr>
  </w:style>
  <w:style w:type="paragraph" w:customStyle="1" w:styleId="539">
    <w:name w:val="缩紧正文 Char Char Char"/>
    <w:basedOn w:val="1"/>
    <w:link w:val="540"/>
    <w:qFormat/>
    <w:uiPriority w:val="0"/>
    <w:pPr>
      <w:widowControl/>
      <w:spacing w:before="120" w:after="120" w:line="400" w:lineRule="exact"/>
      <w:ind w:firstLine="480"/>
      <w:jc w:val="left"/>
    </w:pPr>
    <w:rPr>
      <w:rFonts w:ascii="宋体" w:hAnsi="宋体" w:eastAsia="宋体" w:cs="宋体"/>
      <w:sz w:val="24"/>
      <w:szCs w:val="24"/>
    </w:rPr>
  </w:style>
  <w:style w:type="character" w:customStyle="1" w:styleId="540">
    <w:name w:val="缩紧正文 Char Char Char Char Char"/>
    <w:link w:val="539"/>
    <w:qFormat/>
    <w:uiPriority w:val="0"/>
    <w:rPr>
      <w:rFonts w:ascii="宋体" w:hAnsi="宋体" w:eastAsia="宋体" w:cs="宋体"/>
      <w:sz w:val="24"/>
      <w:szCs w:val="24"/>
    </w:rPr>
  </w:style>
  <w:style w:type="paragraph" w:customStyle="1" w:styleId="541">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542">
    <w:name w:val="正文（首行缩进）"/>
    <w:basedOn w:val="1"/>
    <w:qFormat/>
    <w:uiPriority w:val="0"/>
    <w:pPr>
      <w:spacing w:line="360" w:lineRule="auto"/>
      <w:ind w:firstLine="200"/>
    </w:pPr>
    <w:rPr>
      <w:rFonts w:ascii="Times New Roman" w:hAnsi="Times New Roman" w:eastAsia="宋体" w:cs="Times New Roman"/>
      <w:sz w:val="24"/>
      <w:szCs w:val="24"/>
    </w:rPr>
  </w:style>
  <w:style w:type="paragraph" w:customStyle="1" w:styleId="543">
    <w:name w:val="列表 31"/>
    <w:basedOn w:val="1"/>
    <w:qFormat/>
    <w:uiPriority w:val="0"/>
    <w:pPr>
      <w:ind w:left="100" w:hanging="200"/>
      <w:contextualSpacing/>
    </w:pPr>
    <w:rPr>
      <w:rFonts w:ascii="Times New Roman" w:hAnsi="Times New Roman" w:eastAsia="宋体" w:cs="Times New Roman"/>
      <w:szCs w:val="24"/>
    </w:rPr>
  </w:style>
  <w:style w:type="paragraph" w:customStyle="1" w:styleId="544">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45">
    <w:name w:val="Style Verdana Before:  0.76 cm"/>
    <w:basedOn w:val="1"/>
    <w:qFormat/>
    <w:uiPriority w:val="0"/>
    <w:pPr>
      <w:widowControl/>
      <w:spacing w:before="240" w:line="300" w:lineRule="auto"/>
      <w:ind w:left="2280" w:firstLine="480"/>
      <w:jc w:val="left"/>
    </w:pPr>
    <w:rPr>
      <w:rFonts w:ascii="Verdana" w:hAnsi="Verdana" w:eastAsia="宋体" w:cs="Times New Roman"/>
      <w:sz w:val="24"/>
      <w:szCs w:val="20"/>
    </w:rPr>
  </w:style>
  <w:style w:type="paragraph" w:customStyle="1" w:styleId="546">
    <w:name w:val="Style Verdana Centered"/>
    <w:basedOn w:val="1"/>
    <w:qFormat/>
    <w:uiPriority w:val="0"/>
    <w:pPr>
      <w:widowControl/>
      <w:spacing w:before="240" w:line="300" w:lineRule="auto"/>
      <w:ind w:left="2268"/>
      <w:jc w:val="center"/>
    </w:pPr>
    <w:rPr>
      <w:rFonts w:ascii="Verdana" w:hAnsi="Verdana" w:eastAsia="宋体" w:cs="Times New Roman"/>
      <w:sz w:val="24"/>
      <w:szCs w:val="20"/>
    </w:rPr>
  </w:style>
  <w:style w:type="paragraph" w:customStyle="1" w:styleId="547">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eastAsia="宋体" w:cs="宋体"/>
      <w:sz w:val="24"/>
      <w:szCs w:val="20"/>
    </w:rPr>
  </w:style>
  <w:style w:type="paragraph" w:customStyle="1" w:styleId="548">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54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50">
    <w:name w:val="Char Char2"/>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51">
    <w:name w:val="样式 样式 左 首行缩进:2 字符 + 首行缩进:  2 字符 + 首行缩进:  2 字符"/>
    <w:basedOn w:val="1"/>
    <w:qFormat/>
    <w:uiPriority w:val="0"/>
    <w:pPr>
      <w:spacing w:line="360" w:lineRule="auto"/>
      <w:ind w:firstLine="480"/>
    </w:pPr>
    <w:rPr>
      <w:rFonts w:ascii="宋体" w:hAnsi="宋体" w:eastAsia="宋体" w:cs="宋体"/>
      <w:sz w:val="24"/>
      <w:szCs w:val="24"/>
    </w:rPr>
  </w:style>
  <w:style w:type="paragraph" w:customStyle="1" w:styleId="552">
    <w:name w:val="正文 + 小四"/>
    <w:basedOn w:val="1"/>
    <w:qFormat/>
    <w:uiPriority w:val="0"/>
    <w:pPr>
      <w:spacing w:line="312" w:lineRule="auto"/>
      <w:ind w:firstLine="480"/>
    </w:pPr>
    <w:rPr>
      <w:rFonts w:ascii="宋体" w:hAnsi="宋体" w:eastAsia="宋体" w:cs="Times New Roman"/>
      <w:sz w:val="24"/>
      <w:szCs w:val="24"/>
    </w:rPr>
  </w:style>
  <w:style w:type="paragraph" w:customStyle="1" w:styleId="553">
    <w:name w:val="题注 + 居中"/>
    <w:basedOn w:val="1"/>
    <w:qFormat/>
    <w:uiPriority w:val="0"/>
    <w:rPr>
      <w:rFonts w:ascii="Times New Roman" w:hAnsi="Times New Roman" w:eastAsia="宋体" w:cs="Times New Roman"/>
      <w:szCs w:val="24"/>
    </w:rPr>
  </w:style>
  <w:style w:type="paragraph" w:customStyle="1" w:styleId="554">
    <w:name w:val="样式 正文缩进 + 小四 首行缩进:  2 字符"/>
    <w:basedOn w:val="342"/>
    <w:qFormat/>
    <w:uiPriority w:val="0"/>
    <w:pPr>
      <w:spacing w:line="360" w:lineRule="auto"/>
      <w:ind w:firstLine="200"/>
    </w:pPr>
    <w:rPr>
      <w:rFonts w:cs="宋体"/>
      <w:sz w:val="24"/>
      <w:szCs w:val="22"/>
    </w:rPr>
  </w:style>
  <w:style w:type="paragraph" w:customStyle="1" w:styleId="555">
    <w:name w:val="pic-info"/>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56">
    <w:name w:val="Char Char Char Char Char Char"/>
    <w:basedOn w:val="1"/>
    <w:qFormat/>
    <w:uiPriority w:val="0"/>
    <w:pPr>
      <w:widowControl/>
      <w:spacing w:after="160" w:line="240" w:lineRule="exact"/>
      <w:jc w:val="left"/>
    </w:pPr>
    <w:rPr>
      <w:rFonts w:ascii="宋体" w:hAnsi="宋体" w:eastAsia="宋体" w:cs="Times New Roman"/>
      <w:b/>
      <w:sz w:val="24"/>
      <w:szCs w:val="20"/>
      <w:lang w:eastAsia="en-US"/>
    </w:rPr>
  </w:style>
  <w:style w:type="paragraph" w:customStyle="1" w:styleId="557">
    <w:name w:val="样式 小四 行距: 1.5 倍行距"/>
    <w:basedOn w:val="1"/>
    <w:qFormat/>
    <w:uiPriority w:val="0"/>
    <w:pPr>
      <w:spacing w:line="360" w:lineRule="auto"/>
      <w:ind w:firstLine="200"/>
    </w:pPr>
    <w:rPr>
      <w:rFonts w:ascii="Times New Roman" w:hAnsi="Times New Roman" w:eastAsia="宋体" w:cs="宋体"/>
      <w:sz w:val="24"/>
      <w:szCs w:val="20"/>
    </w:rPr>
  </w:style>
  <w:style w:type="paragraph" w:customStyle="1" w:styleId="558">
    <w:name w:val="CSS1级正文 Char Char"/>
    <w:basedOn w:val="59"/>
    <w:link w:val="559"/>
    <w:qFormat/>
    <w:uiPriority w:val="0"/>
    <w:pPr>
      <w:spacing w:after="0" w:line="360" w:lineRule="auto"/>
      <w:ind w:firstLine="480"/>
    </w:pPr>
    <w:rPr>
      <w:rFonts w:cs="宋体"/>
      <w:sz w:val="24"/>
    </w:rPr>
  </w:style>
  <w:style w:type="character" w:customStyle="1" w:styleId="559">
    <w:name w:val="CSS1级正文 Char Char Char Char"/>
    <w:link w:val="558"/>
    <w:qFormat/>
    <w:uiPriority w:val="0"/>
    <w:rPr>
      <w:rFonts w:ascii="Times New Roman" w:hAnsi="Times New Roman" w:eastAsia="仿宋" w:cs="宋体"/>
      <w:sz w:val="24"/>
      <w:szCs w:val="24"/>
    </w:rPr>
  </w:style>
  <w:style w:type="paragraph" w:customStyle="1" w:styleId="560">
    <w:name w:val="CSS1级编号 Char"/>
    <w:basedOn w:val="561"/>
    <w:next w:val="561"/>
    <w:link w:val="563"/>
    <w:qFormat/>
    <w:uiPriority w:val="0"/>
  </w:style>
  <w:style w:type="paragraph" w:customStyle="1" w:styleId="561">
    <w:name w:val="CSS1级编号 Char1"/>
    <w:basedOn w:val="562"/>
    <w:next w:val="562"/>
    <w:link w:val="564"/>
    <w:qFormat/>
    <w:uiPriority w:val="0"/>
  </w:style>
  <w:style w:type="paragraph" w:customStyle="1" w:styleId="562">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563">
    <w:name w:val="CSS1级编号 Char Char1"/>
    <w:link w:val="560"/>
    <w:qFormat/>
    <w:uiPriority w:val="0"/>
    <w:rPr>
      <w:rFonts w:ascii="Times New Roman" w:hAnsi="Times New Roman" w:eastAsia="宋体" w:cs="Times New Roman"/>
      <w:sz w:val="24"/>
      <w:szCs w:val="24"/>
    </w:rPr>
  </w:style>
  <w:style w:type="character" w:customStyle="1" w:styleId="564">
    <w:name w:val="CSS1级编号 Char1 Char Char"/>
    <w:link w:val="561"/>
    <w:qFormat/>
    <w:uiPriority w:val="0"/>
    <w:rPr>
      <w:rFonts w:ascii="Times New Roman" w:hAnsi="Times New Roman" w:eastAsia="宋体" w:cs="Times New Roman"/>
      <w:sz w:val="24"/>
      <w:szCs w:val="24"/>
    </w:rPr>
  </w:style>
  <w:style w:type="paragraph" w:customStyle="1" w:styleId="565">
    <w:name w:val="CSS2级正文"/>
    <w:basedOn w:val="334"/>
    <w:link w:val="566"/>
    <w:qFormat/>
    <w:uiPriority w:val="0"/>
    <w:pPr>
      <w:spacing w:after="0" w:line="360" w:lineRule="auto"/>
      <w:ind w:left="480" w:firstLine="480"/>
    </w:pPr>
    <w:rPr>
      <w:rFonts w:cs="宋体"/>
      <w:sz w:val="24"/>
    </w:rPr>
  </w:style>
  <w:style w:type="character" w:customStyle="1" w:styleId="566">
    <w:name w:val="CSS2级正文 Char Char"/>
    <w:link w:val="565"/>
    <w:qFormat/>
    <w:uiPriority w:val="0"/>
    <w:rPr>
      <w:rFonts w:ascii="Times New Roman" w:hAnsi="Times New Roman" w:cs="宋体"/>
      <w:sz w:val="24"/>
      <w:szCs w:val="24"/>
    </w:rPr>
  </w:style>
  <w:style w:type="paragraph" w:customStyle="1" w:styleId="567">
    <w:name w:val="CSS3级正文"/>
    <w:basedOn w:val="327"/>
    <w:link w:val="568"/>
    <w:qFormat/>
    <w:uiPriority w:val="0"/>
    <w:pPr>
      <w:spacing w:after="0" w:line="360" w:lineRule="auto"/>
      <w:ind w:left="960" w:firstLine="480"/>
    </w:pPr>
    <w:rPr>
      <w:rFonts w:cs="宋体"/>
      <w:sz w:val="24"/>
    </w:rPr>
  </w:style>
  <w:style w:type="character" w:customStyle="1" w:styleId="568">
    <w:name w:val="CSS3级正文 Char Char"/>
    <w:link w:val="567"/>
    <w:qFormat/>
    <w:uiPriority w:val="0"/>
    <w:rPr>
      <w:rFonts w:ascii="Times New Roman" w:hAnsi="Times New Roman" w:cs="宋体"/>
      <w:sz w:val="24"/>
      <w:szCs w:val="16"/>
    </w:rPr>
  </w:style>
  <w:style w:type="paragraph" w:customStyle="1" w:styleId="569">
    <w:name w:val="正文文本4"/>
    <w:basedOn w:val="327"/>
    <w:qFormat/>
    <w:uiPriority w:val="0"/>
    <w:pPr>
      <w:spacing w:after="0" w:line="360" w:lineRule="auto"/>
      <w:ind w:left="600" w:firstLine="200"/>
    </w:pPr>
    <w:rPr>
      <w:sz w:val="24"/>
    </w:rPr>
  </w:style>
  <w:style w:type="paragraph" w:customStyle="1" w:styleId="570">
    <w:name w:val="CSS4级正文"/>
    <w:basedOn w:val="1"/>
    <w:qFormat/>
    <w:uiPriority w:val="0"/>
    <w:pPr>
      <w:spacing w:line="360" w:lineRule="auto"/>
    </w:pPr>
    <w:rPr>
      <w:rFonts w:ascii="Times New Roman" w:hAnsi="Times New Roman" w:eastAsia="宋体" w:cs="宋体"/>
      <w:sz w:val="24"/>
      <w:szCs w:val="20"/>
    </w:rPr>
  </w:style>
  <w:style w:type="paragraph" w:customStyle="1" w:styleId="571">
    <w:name w:val="列表 21"/>
    <w:basedOn w:val="1"/>
    <w:qFormat/>
    <w:uiPriority w:val="0"/>
    <w:pPr>
      <w:spacing w:line="360" w:lineRule="auto"/>
    </w:pPr>
    <w:rPr>
      <w:rFonts w:ascii="Times New Roman" w:hAnsi="Times New Roman" w:eastAsia="宋体" w:cs="Times New Roman"/>
      <w:sz w:val="24"/>
      <w:szCs w:val="24"/>
    </w:rPr>
  </w:style>
  <w:style w:type="paragraph" w:customStyle="1" w:styleId="572">
    <w:name w:val="列表 41"/>
    <w:basedOn w:val="1"/>
    <w:qFormat/>
    <w:uiPriority w:val="0"/>
    <w:pPr>
      <w:spacing w:line="360" w:lineRule="auto"/>
      <w:ind w:left="1361" w:hanging="864"/>
    </w:pPr>
    <w:rPr>
      <w:rFonts w:ascii="Times New Roman" w:hAnsi="Times New Roman" w:eastAsia="宋体" w:cs="Times New Roman"/>
      <w:sz w:val="24"/>
      <w:szCs w:val="24"/>
    </w:rPr>
  </w:style>
  <w:style w:type="paragraph" w:customStyle="1" w:styleId="573">
    <w:name w:val="样式 CSS1级编号 Char + 宋体 黑色 Char"/>
    <w:basedOn w:val="561"/>
    <w:link w:val="574"/>
    <w:qFormat/>
    <w:uiPriority w:val="0"/>
    <w:rPr>
      <w:rFonts w:ascii="宋体" w:hAnsi="宋体"/>
      <w:color w:val="000000"/>
    </w:rPr>
  </w:style>
  <w:style w:type="character" w:customStyle="1" w:styleId="574">
    <w:name w:val="样式 CSS1级编号 Char + 宋体 黑色 Char Char Char"/>
    <w:link w:val="573"/>
    <w:qFormat/>
    <w:uiPriority w:val="0"/>
    <w:rPr>
      <w:rFonts w:ascii="宋体" w:hAnsi="宋体" w:eastAsia="宋体" w:cs="Times New Roman"/>
      <w:color w:val="000000"/>
      <w:sz w:val="24"/>
      <w:szCs w:val="24"/>
    </w:rPr>
  </w:style>
  <w:style w:type="paragraph" w:customStyle="1" w:styleId="575">
    <w:name w:val="CSS1级正文"/>
    <w:basedOn w:val="59"/>
    <w:qFormat/>
    <w:uiPriority w:val="0"/>
    <w:pPr>
      <w:spacing w:after="0" w:line="360" w:lineRule="auto"/>
      <w:ind w:firstLine="480"/>
    </w:pPr>
    <w:rPr>
      <w:rFonts w:cs="宋体"/>
      <w:sz w:val="24"/>
      <w:szCs w:val="20"/>
    </w:rPr>
  </w:style>
  <w:style w:type="paragraph" w:customStyle="1" w:styleId="576">
    <w:name w:val="CSS1级正文 Char Char Char Char Char Char Char Char Char Char Char Char Char Char Char Char"/>
    <w:basedOn w:val="59"/>
    <w:link w:val="577"/>
    <w:qFormat/>
    <w:uiPriority w:val="0"/>
    <w:pPr>
      <w:spacing w:after="0" w:line="360" w:lineRule="auto"/>
      <w:ind w:firstLine="480"/>
    </w:pPr>
    <w:rPr>
      <w:rFonts w:cs="宋体"/>
      <w:sz w:val="24"/>
    </w:rPr>
  </w:style>
  <w:style w:type="character" w:customStyle="1" w:styleId="577">
    <w:name w:val="CSS1级正文 Char Char Char Char Char Char Char Char Char Char Char Char Char Char Char Char Char Char"/>
    <w:link w:val="576"/>
    <w:qFormat/>
    <w:uiPriority w:val="0"/>
    <w:rPr>
      <w:rFonts w:ascii="Times New Roman" w:hAnsi="Times New Roman" w:eastAsia="仿宋" w:cs="宋体"/>
      <w:sz w:val="24"/>
      <w:szCs w:val="24"/>
    </w:rPr>
  </w:style>
  <w:style w:type="paragraph" w:customStyle="1" w:styleId="578">
    <w:name w:val="表格文字"/>
    <w:basedOn w:val="1"/>
    <w:qFormat/>
    <w:uiPriority w:val="0"/>
    <w:rPr>
      <w:rFonts w:ascii="Times New Roman" w:hAnsi="Times New Roman" w:eastAsia="宋体" w:cs="Times New Roman"/>
      <w:spacing w:val="10"/>
      <w:sz w:val="24"/>
      <w:szCs w:val="24"/>
    </w:rPr>
  </w:style>
  <w:style w:type="paragraph" w:customStyle="1" w:styleId="579">
    <w:name w:val="CSS一级中文编号"/>
    <w:basedOn w:val="1"/>
    <w:next w:val="575"/>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580">
    <w:name w:val="CSS二级中文编号"/>
    <w:basedOn w:val="1"/>
    <w:next w:val="565"/>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581">
    <w:name w:val="ICSS标书首行缩进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582">
    <w:name w:val="AC-Table-表格标题行"/>
    <w:qFormat/>
    <w:uiPriority w:val="0"/>
    <w:pPr>
      <w:spacing w:line="320" w:lineRule="exact"/>
      <w:jc w:val="center"/>
    </w:pPr>
    <w:rPr>
      <w:rFonts w:ascii="Times New Roman" w:hAnsi="Times New Roman" w:eastAsia="黑体" w:cs="Calibri"/>
      <w:sz w:val="21"/>
      <w:szCs w:val="21"/>
      <w:lang w:val="en-US" w:eastAsia="zh-CN" w:bidi="ar-SA"/>
    </w:rPr>
  </w:style>
  <w:style w:type="paragraph" w:customStyle="1" w:styleId="583">
    <w:name w:val="AC-Table-表格正文行"/>
    <w:qFormat/>
    <w:uiPriority w:val="0"/>
    <w:pPr>
      <w:spacing w:line="320" w:lineRule="exact"/>
    </w:pPr>
    <w:rPr>
      <w:rFonts w:ascii="Times New Roman" w:hAnsi="Times New Roman" w:eastAsia="宋体" w:cs="Calibri"/>
      <w:sz w:val="21"/>
      <w:szCs w:val="21"/>
      <w:lang w:val="en-US" w:eastAsia="zh-CN" w:bidi="ar-SA"/>
    </w:rPr>
  </w:style>
  <w:style w:type="paragraph" w:customStyle="1" w:styleId="584">
    <w:name w:val="封面主标题"/>
    <w:next w:val="1"/>
    <w:qFormat/>
    <w:uiPriority w:val="0"/>
    <w:pPr>
      <w:spacing w:before="2400" w:after="400"/>
      <w:jc w:val="center"/>
    </w:pPr>
    <w:rPr>
      <w:rFonts w:ascii="Times New Roman" w:hAnsi="Times New Roman" w:eastAsia="黑体" w:cs="Calibri"/>
      <w:b/>
      <w:spacing w:val="20"/>
      <w:sz w:val="72"/>
      <w:szCs w:val="72"/>
      <w:lang w:val="en-US" w:eastAsia="zh-CN" w:bidi="ar-SA"/>
    </w:rPr>
  </w:style>
  <w:style w:type="paragraph" w:customStyle="1" w:styleId="585">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586">
    <w:name w:val="样式 标题 4Heading 4 Charh4PIM 4H4 + 加宽量  1 磅"/>
    <w:basedOn w:val="66"/>
    <w:qFormat/>
    <w:uiPriority w:val="0"/>
    <w:pPr>
      <w:spacing w:line="360" w:lineRule="auto"/>
      <w:ind w:left="862" w:hanging="862"/>
    </w:pPr>
    <w:rPr>
      <w:rFonts w:ascii="Arial" w:hAnsi="Arial" w:eastAsia="黑体"/>
      <w:b w:val="0"/>
      <w:bCs w:val="0"/>
      <w:spacing w:val="20"/>
      <w:sz w:val="24"/>
      <w:szCs w:val="24"/>
    </w:rPr>
  </w:style>
  <w:style w:type="paragraph" w:customStyle="1" w:styleId="587">
    <w:name w:val="样式 标题 5 + 段前: 1 行 段后: 1 行"/>
    <w:basedOn w:val="214"/>
    <w:qFormat/>
    <w:uiPriority w:val="0"/>
    <w:pPr>
      <w:spacing w:line="360" w:lineRule="auto"/>
      <w:ind w:left="0" w:firstLine="0"/>
    </w:pPr>
    <w:rPr>
      <w:rFonts w:ascii="Arial" w:hAnsi="Arial" w:eastAsia="黑体" w:cs="宋体"/>
      <w:b w:val="0"/>
      <w:bCs w:val="0"/>
      <w:spacing w:val="10"/>
      <w:sz w:val="24"/>
      <w:szCs w:val="24"/>
    </w:rPr>
  </w:style>
  <w:style w:type="paragraph" w:customStyle="1" w:styleId="588">
    <w:name w:val="样式 首行缩进:  2 字符1"/>
    <w:basedOn w:val="1"/>
    <w:qFormat/>
    <w:uiPriority w:val="0"/>
    <w:pPr>
      <w:spacing w:line="360" w:lineRule="auto"/>
      <w:ind w:firstLine="480"/>
    </w:pPr>
    <w:rPr>
      <w:rFonts w:ascii="Times New Roman" w:hAnsi="Times New Roman" w:eastAsia="宋体" w:cs="宋体"/>
      <w:sz w:val="24"/>
      <w:szCs w:val="20"/>
    </w:rPr>
  </w:style>
  <w:style w:type="paragraph" w:customStyle="1" w:styleId="589">
    <w:name w:val="JHTitle1"/>
    <w:basedOn w:val="244"/>
    <w:qFormat/>
    <w:uiPriority w:val="0"/>
    <w:pPr>
      <w:tabs>
        <w:tab w:val="left" w:pos="1134"/>
      </w:tabs>
      <w:spacing w:line="360" w:lineRule="auto"/>
      <w:ind w:left="851" w:hanging="851"/>
      <w:jc w:val="left"/>
    </w:pPr>
    <w:rPr>
      <w:rFonts w:ascii="Times New Roman" w:hAnsi="Times New Roman"/>
      <w:szCs w:val="32"/>
    </w:rPr>
  </w:style>
  <w:style w:type="paragraph" w:customStyle="1" w:styleId="590">
    <w:name w:val="样式 标题 3H3h33rd level3Head 3section:3section:31section:32..."/>
    <w:basedOn w:val="212"/>
    <w:next w:val="588"/>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591">
    <w:name w:val="样式 标题 2 + 宋体 小三 非倾斜 段后: 1 行"/>
    <w:basedOn w:val="211"/>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592">
    <w:name w:val="正文表格"/>
    <w:basedOn w:val="1"/>
    <w:qFormat/>
    <w:uiPriority w:val="0"/>
    <w:pPr>
      <w:spacing w:before="40" w:after="40"/>
    </w:pPr>
    <w:rPr>
      <w:rFonts w:ascii="Times New Roman" w:hAnsi="Times New Roman" w:eastAsia="宋体" w:cs="Times New Roman"/>
      <w:sz w:val="24"/>
      <w:szCs w:val="20"/>
    </w:rPr>
  </w:style>
  <w:style w:type="paragraph" w:customStyle="1" w:styleId="593">
    <w:name w:val="AC-目录标题"/>
    <w:qFormat/>
    <w:uiPriority w:val="0"/>
    <w:pPr>
      <w:jc w:val="center"/>
    </w:pPr>
    <w:rPr>
      <w:rFonts w:ascii="Times New Roman" w:hAnsi="Times New Roman" w:eastAsia="黑体" w:cs="Calibri"/>
      <w:b/>
      <w:sz w:val="36"/>
      <w:szCs w:val="21"/>
      <w:lang w:val="en-US" w:eastAsia="zh-CN" w:bidi="ar-SA"/>
    </w:rPr>
  </w:style>
  <w:style w:type="paragraph" w:customStyle="1" w:styleId="594">
    <w:name w:val="AC-文档标题"/>
    <w:qFormat/>
    <w:uiPriority w:val="0"/>
    <w:pPr>
      <w:jc w:val="center"/>
    </w:pPr>
    <w:rPr>
      <w:rFonts w:ascii="Times New Roman" w:hAnsi="Times New Roman" w:eastAsia="黑体" w:cs="Calibri"/>
      <w:b/>
      <w:sz w:val="44"/>
      <w:szCs w:val="21"/>
      <w:lang w:val="en-US" w:eastAsia="zh-CN" w:bidi="ar-SA"/>
    </w:rPr>
  </w:style>
  <w:style w:type="paragraph" w:customStyle="1" w:styleId="595">
    <w:name w:val="修订1"/>
    <w:qFormat/>
    <w:uiPriority w:val="0"/>
    <w:rPr>
      <w:rFonts w:ascii="Times New Roman" w:hAnsi="Times New Roman" w:eastAsia="宋体" w:cs="Calibri"/>
      <w:sz w:val="24"/>
      <w:szCs w:val="24"/>
      <w:lang w:val="en-US" w:eastAsia="zh-CN" w:bidi="ar-SA"/>
    </w:rPr>
  </w:style>
  <w:style w:type="paragraph" w:customStyle="1" w:styleId="596">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97">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8">
    <w:name w:val="Char Char Char Char Char Char Char Char Char Char"/>
    <w:basedOn w:val="1"/>
    <w:link w:val="599"/>
    <w:qFormat/>
    <w:uiPriority w:val="0"/>
    <w:rPr>
      <w:rFonts w:ascii="Tahoma" w:hAnsi="Tahoma" w:eastAsia="宋体" w:cs="Times New Roman"/>
      <w:sz w:val="24"/>
      <w:szCs w:val="20"/>
    </w:rPr>
  </w:style>
  <w:style w:type="character" w:customStyle="1" w:styleId="599">
    <w:name w:val="Char Char Char Char Char Char Char Char Char Char Char Char Char"/>
    <w:basedOn w:val="49"/>
    <w:link w:val="598"/>
    <w:qFormat/>
    <w:uiPriority w:val="0"/>
    <w:rPr>
      <w:rFonts w:ascii="Tahoma" w:hAnsi="Tahoma" w:eastAsia="宋体" w:cs="Times New Roman"/>
      <w:sz w:val="24"/>
    </w:rPr>
  </w:style>
  <w:style w:type="paragraph" w:customStyle="1" w:styleId="600">
    <w:name w:val="列出段落2"/>
    <w:basedOn w:val="1"/>
    <w:qFormat/>
    <w:uiPriority w:val="0"/>
    <w:pPr>
      <w:ind w:firstLine="420"/>
    </w:pPr>
    <w:rPr>
      <w:rFonts w:ascii="Calibri" w:hAnsi="Calibri" w:eastAsia="宋体" w:cs="Times New Roman"/>
    </w:rPr>
  </w:style>
  <w:style w:type="paragraph" w:customStyle="1" w:styleId="601">
    <w:name w:val="文档结构图2"/>
    <w:basedOn w:val="1"/>
    <w:qFormat/>
    <w:uiPriority w:val="0"/>
    <w:rPr>
      <w:rFonts w:ascii="宋体" w:hAnsi="Calibri" w:eastAsia="宋体" w:cs="Times New Roman"/>
      <w:sz w:val="18"/>
      <w:szCs w:val="18"/>
    </w:rPr>
  </w:style>
  <w:style w:type="paragraph" w:customStyle="1" w:styleId="602">
    <w:name w:val="列出段落21"/>
    <w:basedOn w:val="1"/>
    <w:qFormat/>
    <w:uiPriority w:val="0"/>
    <w:pPr>
      <w:ind w:firstLine="420"/>
    </w:pPr>
    <w:rPr>
      <w:rFonts w:ascii="Calibri" w:hAnsi="Calibri" w:eastAsia="宋体" w:cs="Times New Roman"/>
    </w:rPr>
  </w:style>
  <w:style w:type="character" w:customStyle="1" w:styleId="603">
    <w:name w:val="标题 2 Char2"/>
    <w:basedOn w:val="49"/>
    <w:qFormat/>
    <w:uiPriority w:val="0"/>
    <w:rPr>
      <w:rFonts w:ascii="Arial" w:hAnsi="Arial" w:eastAsia="黑体"/>
      <w:sz w:val="32"/>
    </w:rPr>
  </w:style>
  <w:style w:type="character" w:customStyle="1" w:styleId="604">
    <w:name w:val="标题 3 Char2"/>
    <w:basedOn w:val="49"/>
    <w:qFormat/>
    <w:uiPriority w:val="0"/>
    <w:rPr>
      <w:rFonts w:ascii="Arial" w:hAnsi="Arial" w:eastAsia="黑体"/>
      <w:sz w:val="24"/>
      <w:szCs w:val="30"/>
    </w:rPr>
  </w:style>
  <w:style w:type="character" w:customStyle="1" w:styleId="605">
    <w:name w:val="标题 5 Char2"/>
    <w:basedOn w:val="49"/>
    <w:qFormat/>
    <w:uiPriority w:val="0"/>
    <w:rPr>
      <w:bCs/>
      <w:sz w:val="24"/>
      <w:szCs w:val="28"/>
    </w:rPr>
  </w:style>
  <w:style w:type="character" w:customStyle="1" w:styleId="606">
    <w:name w:val="标题 6 Char1"/>
    <w:basedOn w:val="49"/>
    <w:qFormat/>
    <w:uiPriority w:val="0"/>
    <w:rPr>
      <w:rFonts w:ascii="Arial" w:hAnsi="Arial" w:eastAsia="黑体"/>
      <w:b/>
      <w:bCs/>
      <w:sz w:val="24"/>
      <w:szCs w:val="24"/>
    </w:rPr>
  </w:style>
  <w:style w:type="character" w:customStyle="1" w:styleId="607">
    <w:name w:val="标题 8 Char1"/>
    <w:basedOn w:val="49"/>
    <w:qFormat/>
    <w:uiPriority w:val="0"/>
    <w:rPr>
      <w:rFonts w:ascii="Arial" w:hAnsi="Arial" w:eastAsia="黑体"/>
      <w:sz w:val="24"/>
      <w:szCs w:val="24"/>
    </w:rPr>
  </w:style>
  <w:style w:type="character" w:customStyle="1" w:styleId="608">
    <w:name w:val="标题 9 Char1"/>
    <w:basedOn w:val="49"/>
    <w:qFormat/>
    <w:uiPriority w:val="0"/>
    <w:rPr>
      <w:rFonts w:ascii="Arial" w:hAnsi="Arial" w:eastAsia="黑体"/>
      <w:sz w:val="21"/>
      <w:szCs w:val="21"/>
    </w:rPr>
  </w:style>
  <w:style w:type="character" w:customStyle="1" w:styleId="609">
    <w:name w:val="页码1"/>
    <w:basedOn w:val="49"/>
    <w:qFormat/>
    <w:uiPriority w:val="0"/>
  </w:style>
  <w:style w:type="character" w:customStyle="1" w:styleId="610">
    <w:name w:val="Char Char15"/>
    <w:qFormat/>
    <w:uiPriority w:val="0"/>
    <w:rPr>
      <w:rFonts w:ascii="Cambria" w:hAnsi="Cambria"/>
      <w:b/>
      <w:bCs/>
      <w:sz w:val="32"/>
      <w:szCs w:val="32"/>
    </w:rPr>
  </w:style>
  <w:style w:type="character" w:customStyle="1" w:styleId="611">
    <w:name w:val="Char Char16"/>
    <w:qFormat/>
    <w:uiPriority w:val="0"/>
    <w:rPr>
      <w:b/>
      <w:bCs/>
      <w:sz w:val="36"/>
      <w:szCs w:val="44"/>
    </w:rPr>
  </w:style>
  <w:style w:type="character" w:customStyle="1" w:styleId="612">
    <w:name w:val="样式 (西文) 幼圆"/>
    <w:qFormat/>
    <w:uiPriority w:val="0"/>
    <w:rPr>
      <w:rFonts w:ascii="幼圆" w:hAnsi="幼圆" w:eastAsia="宋体"/>
      <w:sz w:val="24"/>
    </w:rPr>
  </w:style>
  <w:style w:type="character" w:customStyle="1" w:styleId="613">
    <w:name w:val="apple-style-span"/>
    <w:basedOn w:val="49"/>
    <w:qFormat/>
    <w:uiPriority w:val="0"/>
  </w:style>
  <w:style w:type="character" w:customStyle="1" w:styleId="614">
    <w:name w:val="已访问的超链接1"/>
    <w:qFormat/>
    <w:uiPriority w:val="0"/>
    <w:rPr>
      <w:color w:val="800080"/>
      <w:u w:val="single"/>
    </w:rPr>
  </w:style>
  <w:style w:type="character" w:customStyle="1" w:styleId="615">
    <w:name w:val="unnamed31"/>
    <w:qFormat/>
    <w:uiPriority w:val="0"/>
    <w:rPr>
      <w:color w:val="000000"/>
      <w:spacing w:val="440"/>
      <w:sz w:val="22"/>
      <w:szCs w:val="22"/>
      <w:u w:val="none"/>
    </w:rPr>
  </w:style>
  <w:style w:type="character" w:customStyle="1" w:styleId="616">
    <w:name w:val="line1"/>
    <w:qFormat/>
    <w:uiPriority w:val="0"/>
    <w:rPr>
      <w:spacing w:val="360"/>
    </w:rPr>
  </w:style>
  <w:style w:type="character" w:customStyle="1" w:styleId="617">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18">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19">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20">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21">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22">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23">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24">
    <w:name w:val="样式 样式 样式 样式 样式 宋体 小四 首行缩进:  0.74 厘米 行距: 最小值 18 磅 + 段前: 0.5 行 段后:...1 Char Char"/>
    <w:basedOn w:val="623"/>
    <w:qFormat/>
    <w:uiPriority w:val="0"/>
    <w:rPr>
      <w:rFonts w:ascii="宋体" w:hAnsi="宋体" w:eastAsia="宋体" w:cs="宋体"/>
      <w:sz w:val="24"/>
      <w:lang w:val="en-US" w:eastAsia="zh-CN" w:bidi="ar-SA"/>
    </w:rPr>
  </w:style>
  <w:style w:type="character" w:customStyle="1" w:styleId="625">
    <w:name w:val="样式 样式 样式 样式 样式 样式 宋体 小四 首行缩进:  0.74 厘米 行距: 最小值 18 磅 + 段前: 0.5 行 ... Char Char"/>
    <w:basedOn w:val="624"/>
    <w:qFormat/>
    <w:uiPriority w:val="0"/>
    <w:rPr>
      <w:rFonts w:ascii="宋体" w:hAnsi="宋体" w:eastAsia="宋体" w:cs="宋体"/>
      <w:sz w:val="24"/>
      <w:lang w:val="en-US" w:eastAsia="zh-CN" w:bidi="ar-SA"/>
    </w:rPr>
  </w:style>
  <w:style w:type="character" w:customStyle="1" w:styleId="626">
    <w:name w:val="样式 样式 样式 样式 样式 样式 样式 宋体 小四 首行缩进:  0.74 厘米 行距: 最小值 18 磅 + 段前: 0.5... Char Char"/>
    <w:basedOn w:val="625"/>
    <w:qFormat/>
    <w:uiPriority w:val="0"/>
    <w:rPr>
      <w:rFonts w:ascii="宋体" w:hAnsi="宋体" w:eastAsia="宋体" w:cs="宋体"/>
      <w:sz w:val="24"/>
      <w:lang w:val="en-US" w:eastAsia="zh-CN" w:bidi="ar-SA"/>
    </w:rPr>
  </w:style>
  <w:style w:type="character" w:customStyle="1" w:styleId="627">
    <w:name w:val="样式 样式 样式 样式 样式 样式 样式 样式 宋体 小四 首行缩进:  0.74 厘米 行距: 最小值 18 磅 + 段前: ... Char Char Char"/>
    <w:basedOn w:val="626"/>
    <w:qFormat/>
    <w:uiPriority w:val="0"/>
    <w:rPr>
      <w:rFonts w:ascii="宋体" w:hAnsi="宋体" w:eastAsia="宋体" w:cs="宋体"/>
      <w:sz w:val="24"/>
      <w:lang w:val="en-US" w:eastAsia="zh-CN" w:bidi="ar-SA"/>
    </w:rPr>
  </w:style>
  <w:style w:type="character" w:customStyle="1" w:styleId="628">
    <w:name w:val="Char Char151"/>
    <w:qFormat/>
    <w:uiPriority w:val="0"/>
    <w:rPr>
      <w:rFonts w:ascii="Cambria" w:hAnsi="Cambria"/>
      <w:b/>
      <w:bCs/>
      <w:sz w:val="32"/>
      <w:szCs w:val="32"/>
    </w:rPr>
  </w:style>
  <w:style w:type="character" w:customStyle="1" w:styleId="629">
    <w:name w:val="Char Char161"/>
    <w:qFormat/>
    <w:uiPriority w:val="0"/>
    <w:rPr>
      <w:b/>
      <w:bCs/>
      <w:sz w:val="36"/>
      <w:szCs w:val="44"/>
    </w:rPr>
  </w:style>
  <w:style w:type="character" w:customStyle="1" w:styleId="630">
    <w:name w:val="h Char Char"/>
    <w:qFormat/>
    <w:uiPriority w:val="0"/>
    <w:rPr>
      <w:sz w:val="18"/>
      <w:szCs w:val="18"/>
    </w:rPr>
  </w:style>
  <w:style w:type="character" w:customStyle="1" w:styleId="631">
    <w:name w:val="Char Char18"/>
    <w:basedOn w:val="49"/>
    <w:qFormat/>
    <w:uiPriority w:val="0"/>
    <w:rPr>
      <w:sz w:val="18"/>
      <w:szCs w:val="18"/>
    </w:rPr>
  </w:style>
  <w:style w:type="character" w:customStyle="1" w:styleId="632">
    <w:name w:val="Char Char17"/>
    <w:basedOn w:val="49"/>
    <w:qFormat/>
    <w:uiPriority w:val="0"/>
    <w:rPr>
      <w:rFonts w:ascii="Times New Roman" w:hAnsi="Times New Roman" w:eastAsia="宋体" w:cs="Times New Roman"/>
      <w:szCs w:val="24"/>
      <w:shd w:val="clear" w:color="auto" w:fill="000080"/>
    </w:rPr>
  </w:style>
  <w:style w:type="character" w:customStyle="1" w:styleId="633">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34">
    <w:name w:val="样式 样式 宋体 小四 首行缩进:  0.74 厘米 行距: 最小值 18 磅 + 段前: 0.5 行 段后: 0.5 行 Char Char Char"/>
    <w:basedOn w:val="633"/>
    <w:qFormat/>
    <w:uiPriority w:val="0"/>
    <w:rPr>
      <w:rFonts w:ascii="宋体" w:eastAsia="宋体" w:cs="宋体"/>
      <w:sz w:val="24"/>
      <w:szCs w:val="24"/>
      <w:lang w:val="en-US" w:eastAsia="zh-CN" w:bidi="ar-SA"/>
    </w:rPr>
  </w:style>
  <w:style w:type="character" w:customStyle="1" w:styleId="635">
    <w:name w:val="Char Char14"/>
    <w:basedOn w:val="49"/>
    <w:qFormat/>
    <w:uiPriority w:val="0"/>
    <w:rPr>
      <w:rFonts w:ascii="Times New Roman" w:hAnsi="Times New Roman" w:eastAsia="宋体" w:cs="Times New Roman"/>
      <w:szCs w:val="24"/>
    </w:rPr>
  </w:style>
  <w:style w:type="character" w:customStyle="1" w:styleId="636">
    <w:name w:val="Char Char11"/>
    <w:basedOn w:val="49"/>
    <w:qFormat/>
    <w:uiPriority w:val="0"/>
    <w:rPr>
      <w:rFonts w:ascii="Times New Roman" w:hAnsi="Times New Roman" w:eastAsia="宋体" w:cs="Times New Roman"/>
      <w:sz w:val="18"/>
      <w:szCs w:val="18"/>
    </w:rPr>
  </w:style>
  <w:style w:type="character" w:customStyle="1" w:styleId="637">
    <w:name w:val="141"/>
    <w:qFormat/>
    <w:uiPriority w:val="0"/>
    <w:rPr>
      <w:rFonts w:hint="default"/>
      <w:color w:val="000000"/>
      <w:spacing w:val="320"/>
      <w:u w:val="none"/>
    </w:rPr>
  </w:style>
  <w:style w:type="character" w:customStyle="1" w:styleId="638">
    <w:name w:val="bodycopy1"/>
    <w:qFormat/>
    <w:uiPriority w:val="0"/>
    <w:rPr>
      <w:rFonts w:hint="default" w:ascii="Arial" w:hAnsi="Arial" w:cs="Arial"/>
      <w:color w:val="000000"/>
      <w:sz w:val="18"/>
      <w:szCs w:val="18"/>
      <w:u w:val="none"/>
    </w:rPr>
  </w:style>
  <w:style w:type="character" w:customStyle="1" w:styleId="639">
    <w:name w:val="parahead21"/>
    <w:qFormat/>
    <w:uiPriority w:val="0"/>
    <w:rPr>
      <w:rFonts w:hint="default" w:ascii="Arial" w:hAnsi="Arial" w:cs="Arial"/>
      <w:b/>
      <w:bCs/>
      <w:color w:val="336699"/>
      <w:sz w:val="21"/>
      <w:szCs w:val="21"/>
      <w:u w:val="none"/>
    </w:rPr>
  </w:style>
  <w:style w:type="character" w:customStyle="1" w:styleId="640">
    <w:name w:val="Char Char8"/>
    <w:basedOn w:val="635"/>
    <w:qFormat/>
    <w:uiPriority w:val="0"/>
    <w:rPr>
      <w:rFonts w:ascii="Times New Roman" w:hAnsi="Times New Roman" w:eastAsia="宋体" w:cs="Times New Roman"/>
      <w:sz w:val="24"/>
      <w:szCs w:val="20"/>
    </w:rPr>
  </w:style>
  <w:style w:type="character" w:customStyle="1" w:styleId="641">
    <w:name w:val="cont1"/>
    <w:qFormat/>
    <w:uiPriority w:val="0"/>
    <w:rPr>
      <w:rFonts w:hint="default" w:ascii="ˎ̥" w:hAnsi="ˎ̥"/>
      <w:color w:val="000000"/>
      <w:sz w:val="21"/>
      <w:szCs w:val="21"/>
      <w:u w:val="none"/>
    </w:rPr>
  </w:style>
  <w:style w:type="character" w:customStyle="1" w:styleId="642">
    <w:name w:val="可研标题 3"/>
    <w:qFormat/>
    <w:uiPriority w:val="0"/>
    <w:rPr>
      <w:rFonts w:ascii="仿宋_GB2312" w:eastAsia="黑体"/>
      <w:b/>
      <w:bCs/>
      <w:sz w:val="28"/>
      <w:szCs w:val="32"/>
      <w:lang w:val="en-US" w:eastAsia="zh-CN" w:bidi="ar-SA"/>
    </w:rPr>
  </w:style>
  <w:style w:type="character" w:customStyle="1" w:styleId="643">
    <w:name w:val="可研标题 4"/>
    <w:qFormat/>
    <w:uiPriority w:val="0"/>
    <w:rPr>
      <w:rFonts w:ascii="仿宋_GB2312" w:eastAsia="仿宋_GB2312"/>
      <w:b/>
      <w:bCs/>
      <w:sz w:val="24"/>
      <w:szCs w:val="32"/>
      <w:lang w:val="en-US" w:eastAsia="zh-CN" w:bidi="ar-SA"/>
    </w:rPr>
  </w:style>
  <w:style w:type="character" w:customStyle="1" w:styleId="644">
    <w:name w:val="正文缩进 Char1"/>
    <w:qFormat/>
    <w:uiPriority w:val="0"/>
    <w:rPr>
      <w:rFonts w:eastAsia="宋体"/>
      <w:sz w:val="21"/>
      <w:szCs w:val="24"/>
      <w:lang w:val="en-US" w:eastAsia="zh-CN" w:bidi="ar-SA"/>
    </w:rPr>
  </w:style>
  <w:style w:type="character" w:customStyle="1" w:styleId="645">
    <w:name w:val="title_emph"/>
    <w:basedOn w:val="49"/>
    <w:qFormat/>
    <w:uiPriority w:val="0"/>
  </w:style>
  <w:style w:type="character" w:customStyle="1" w:styleId="646">
    <w:name w:val="style8"/>
    <w:basedOn w:val="49"/>
    <w:qFormat/>
    <w:uiPriority w:val="0"/>
  </w:style>
  <w:style w:type="character" w:customStyle="1" w:styleId="647">
    <w:name w:val="Body Text(ch) Char"/>
    <w:qFormat/>
    <w:uiPriority w:val="0"/>
    <w:rPr>
      <w:rFonts w:ascii="Times New Roman" w:hAnsi="Times New Roman" w:eastAsia="宋体" w:cs="Times New Roman"/>
      <w:szCs w:val="24"/>
    </w:rPr>
  </w:style>
  <w:style w:type="character" w:customStyle="1" w:styleId="648">
    <w:name w:val="H1 Char1"/>
    <w:qFormat/>
    <w:uiPriority w:val="0"/>
    <w:rPr>
      <w:rFonts w:ascii="Times New Roman" w:hAnsi="Times New Roman" w:eastAsia="宋体" w:cs="Times New Roman"/>
      <w:b/>
      <w:bCs/>
      <w:sz w:val="44"/>
      <w:szCs w:val="44"/>
    </w:rPr>
  </w:style>
  <w:style w:type="character" w:customStyle="1" w:styleId="649">
    <w:name w:val="批注引用1"/>
    <w:qFormat/>
    <w:uiPriority w:val="0"/>
    <w:rPr>
      <w:sz w:val="16"/>
      <w:szCs w:val="16"/>
    </w:rPr>
  </w:style>
  <w:style w:type="character" w:customStyle="1" w:styleId="650">
    <w:name w:val="样式 宋体"/>
    <w:qFormat/>
    <w:uiPriority w:val="0"/>
    <w:rPr>
      <w:rFonts w:ascii="宋体" w:hAnsi="宋体" w:eastAsia="宋体"/>
      <w:sz w:val="24"/>
    </w:rPr>
  </w:style>
  <w:style w:type="character" w:customStyle="1" w:styleId="651">
    <w:name w:val="headline-content"/>
    <w:qFormat/>
    <w:uiPriority w:val="0"/>
  </w:style>
  <w:style w:type="character" w:customStyle="1" w:styleId="652">
    <w:name w:val="CSS3级编号 Char"/>
    <w:qFormat/>
    <w:uiPriority w:val="0"/>
    <w:rPr>
      <w:rFonts w:eastAsia="宋体"/>
      <w:sz w:val="24"/>
      <w:szCs w:val="24"/>
      <w:lang w:val="en-US" w:eastAsia="zh-CN" w:bidi="ar-SA"/>
    </w:rPr>
  </w:style>
  <w:style w:type="character" w:customStyle="1" w:styleId="653">
    <w:name w:val="批注文字 Char1"/>
    <w:qFormat/>
    <w:uiPriority w:val="0"/>
    <w:rPr>
      <w:sz w:val="24"/>
      <w:szCs w:val="24"/>
    </w:rPr>
  </w:style>
  <w:style w:type="character" w:customStyle="1" w:styleId="654">
    <w:name w:val="批注主题 Char1"/>
    <w:qFormat/>
    <w:uiPriority w:val="0"/>
    <w:rPr>
      <w:b/>
      <w:bCs/>
      <w:sz w:val="24"/>
      <w:szCs w:val="24"/>
    </w:rPr>
  </w:style>
  <w:style w:type="character" w:customStyle="1" w:styleId="655">
    <w:name w:val="纯文本 Char1"/>
    <w:qFormat/>
    <w:uiPriority w:val="0"/>
    <w:rPr>
      <w:rFonts w:ascii="宋体" w:hAnsi="Courier New" w:cs="Courier New"/>
      <w:sz w:val="21"/>
      <w:szCs w:val="21"/>
    </w:rPr>
  </w:style>
  <w:style w:type="character" w:customStyle="1" w:styleId="656">
    <w:name w:val="apple-converted-space"/>
    <w:qFormat/>
    <w:uiPriority w:val="0"/>
  </w:style>
  <w:style w:type="character" w:customStyle="1" w:styleId="657">
    <w:name w:val="文档结构图 Char1"/>
    <w:basedOn w:val="49"/>
    <w:qFormat/>
    <w:uiPriority w:val="99"/>
    <w:rPr>
      <w:rFonts w:ascii="宋体" w:cs="Times New Roman"/>
      <w:sz w:val="18"/>
      <w:szCs w:val="18"/>
    </w:rPr>
  </w:style>
  <w:style w:type="paragraph" w:customStyle="1" w:styleId="658">
    <w:name w:val="l正文"/>
    <w:qFormat/>
    <w:uiPriority w:val="0"/>
    <w:pPr>
      <w:spacing w:line="360" w:lineRule="auto"/>
      <w:ind w:firstLine="200"/>
    </w:pPr>
    <w:rPr>
      <w:rFonts w:ascii="Times New Roman" w:hAnsi="Times New Roman" w:eastAsia="宋体" w:cs="Times New Roman"/>
      <w:sz w:val="22"/>
      <w:szCs w:val="22"/>
      <w:lang w:val="en-US" w:eastAsia="zh-CN" w:bidi="ar-SA"/>
    </w:rPr>
  </w:style>
  <w:style w:type="paragraph" w:customStyle="1" w:styleId="659">
    <w:name w:val="l列表1"/>
    <w:qFormat/>
    <w:uiPriority w:val="0"/>
    <w:pPr>
      <w:tabs>
        <w:tab w:val="left" w:pos="735"/>
      </w:tabs>
      <w:spacing w:line="360" w:lineRule="auto"/>
      <w:ind w:left="350" w:hanging="150"/>
    </w:pPr>
    <w:rPr>
      <w:rFonts w:ascii="Times New Roman" w:hAnsi="Times New Roman" w:eastAsia="宋体" w:cs="Times New Roman"/>
      <w:iCs/>
      <w:sz w:val="22"/>
      <w:szCs w:val="22"/>
      <w:lang w:val="en-US" w:eastAsia="zh-CN" w:bidi="ar-SA"/>
    </w:rPr>
  </w:style>
  <w:style w:type="paragraph" w:customStyle="1" w:styleId="660">
    <w:name w:val="样式7"/>
    <w:basedOn w:val="1"/>
    <w:qFormat/>
    <w:uiPriority w:val="0"/>
    <w:pPr>
      <w:spacing w:line="440" w:lineRule="atLeast"/>
      <w:ind w:firstLine="601"/>
    </w:pPr>
    <w:rPr>
      <w:rFonts w:ascii="宋体" w:hAnsi="Calibri" w:eastAsia="宋体" w:cs="Times New Roman"/>
      <w:sz w:val="24"/>
      <w:szCs w:val="20"/>
    </w:rPr>
  </w:style>
  <w:style w:type="paragraph" w:customStyle="1" w:styleId="661">
    <w:name w:val="FinBodyStyle"/>
    <w:basedOn w:val="1"/>
    <w:qFormat/>
    <w:uiPriority w:val="0"/>
    <w:pPr>
      <w:widowControl/>
      <w:spacing w:line="360" w:lineRule="auto"/>
      <w:ind w:firstLine="480"/>
      <w:jc w:val="left"/>
    </w:pPr>
    <w:rPr>
      <w:rFonts w:hint="eastAsia" w:ascii="宋体" w:hAnsi="宋体" w:eastAsia="宋体" w:cs="宋体"/>
      <w:sz w:val="24"/>
      <w:szCs w:val="20"/>
    </w:rPr>
  </w:style>
  <w:style w:type="paragraph" w:customStyle="1" w:styleId="662">
    <w:name w:val="FinListStyle"/>
    <w:basedOn w:val="1"/>
    <w:qFormat/>
    <w:uiPriority w:val="0"/>
    <w:pPr>
      <w:widowControl/>
      <w:spacing w:line="360" w:lineRule="auto"/>
      <w:jc w:val="left"/>
    </w:pPr>
    <w:rPr>
      <w:rFonts w:hint="eastAsia" w:ascii="宋体" w:hAnsi="宋体" w:eastAsia="宋体" w:cs="宋体"/>
      <w:sz w:val="24"/>
      <w:szCs w:val="20"/>
    </w:rPr>
  </w:style>
  <w:style w:type="paragraph" w:customStyle="1" w:styleId="663">
    <w:name w:val="FinShapeStyle"/>
    <w:basedOn w:val="1"/>
    <w:qFormat/>
    <w:uiPriority w:val="0"/>
    <w:pPr>
      <w:widowControl/>
      <w:jc w:val="center"/>
    </w:pPr>
    <w:rPr>
      <w:rFonts w:ascii="Times New Roman" w:hAnsi="Times New Roman" w:eastAsia="宋体" w:cs="Times New Roman"/>
      <w:sz w:val="20"/>
      <w:szCs w:val="20"/>
    </w:rPr>
  </w:style>
  <w:style w:type="paragraph" w:customStyle="1" w:styleId="664">
    <w:name w:val="WPSOffice手动目录 1"/>
    <w:qFormat/>
    <w:uiPriority w:val="0"/>
    <w:rPr>
      <w:rFonts w:ascii="Times New Roman" w:hAnsi="Times New Roman" w:eastAsia="宋体" w:cs="Times New Roman"/>
      <w:lang w:val="en-US" w:eastAsia="zh-CN" w:bidi="ar-SA"/>
    </w:rPr>
  </w:style>
  <w:style w:type="paragraph" w:customStyle="1" w:styleId="665">
    <w:name w:val="WPSOffice手动目录 2"/>
    <w:qFormat/>
    <w:uiPriority w:val="0"/>
    <w:pPr>
      <w:ind w:left="200"/>
    </w:pPr>
    <w:rPr>
      <w:rFonts w:ascii="Times New Roman" w:hAnsi="Times New Roman" w:eastAsia="宋体" w:cs="Times New Roman"/>
      <w:lang w:val="en-US" w:eastAsia="zh-CN" w:bidi="ar-SA"/>
    </w:rPr>
  </w:style>
  <w:style w:type="paragraph" w:customStyle="1" w:styleId="666">
    <w:name w:val="WPSOffice手动目录 3"/>
    <w:qFormat/>
    <w:uiPriority w:val="0"/>
    <w:pPr>
      <w:ind w:left="400"/>
    </w:pPr>
    <w:rPr>
      <w:rFonts w:ascii="Times New Roman" w:hAnsi="Times New Roman" w:eastAsia="宋体" w:cs="Times New Roman"/>
      <w:lang w:val="en-US" w:eastAsia="zh-CN" w:bidi="ar-SA"/>
    </w:rPr>
  </w:style>
  <w:style w:type="character" w:customStyle="1" w:styleId="667">
    <w:name w:val="answer-title"/>
    <w:basedOn w:val="49"/>
    <w:qFormat/>
    <w:uiPriority w:val="0"/>
  </w:style>
  <w:style w:type="character" w:customStyle="1" w:styleId="668">
    <w:name w:val="del-btn"/>
    <w:basedOn w:val="49"/>
    <w:qFormat/>
    <w:uiPriority w:val="0"/>
  </w:style>
  <w:style w:type="character" w:customStyle="1" w:styleId="669">
    <w:name w:val="bg"/>
    <w:basedOn w:val="49"/>
    <w:qFormat/>
    <w:uiPriority w:val="0"/>
    <w:rPr>
      <w:shd w:val="clear" w:color="auto" w:fill="000000"/>
    </w:rPr>
  </w:style>
  <w:style w:type="character" w:customStyle="1" w:styleId="670">
    <w:name w:val="bg1"/>
    <w:basedOn w:val="49"/>
    <w:qFormat/>
    <w:uiPriority w:val="0"/>
    <w:rPr>
      <w:shd w:val="clear" w:color="auto" w:fill="000000"/>
    </w:rPr>
  </w:style>
  <w:style w:type="character" w:customStyle="1" w:styleId="671">
    <w:name w:val="fontborder"/>
    <w:basedOn w:val="49"/>
    <w:qFormat/>
    <w:uiPriority w:val="0"/>
  </w:style>
  <w:style w:type="character" w:customStyle="1" w:styleId="672">
    <w:name w:val="fontstrikethrough"/>
    <w:basedOn w:val="49"/>
    <w:qFormat/>
    <w:uiPriority w:val="0"/>
    <w:rPr>
      <w:strike/>
    </w:rPr>
  </w:style>
  <w:style w:type="paragraph" w:customStyle="1" w:styleId="673">
    <w:name w:val="样式3"/>
    <w:basedOn w:val="1"/>
    <w:link w:val="674"/>
    <w:qFormat/>
    <w:uiPriority w:val="0"/>
    <w:pPr>
      <w:widowControl/>
      <w:spacing w:after="3" w:line="360" w:lineRule="auto"/>
      <w:ind w:firstLine="480"/>
      <w:jc w:val="left"/>
    </w:pPr>
    <w:rPr>
      <w:rFonts w:ascii="宋体" w:hAnsi="宋体" w:eastAsia="宋体" w:cs="仿宋"/>
      <w:color w:val="000000"/>
      <w:sz w:val="24"/>
      <w:szCs w:val="20"/>
    </w:rPr>
  </w:style>
  <w:style w:type="character" w:customStyle="1" w:styleId="674">
    <w:name w:val="样式3 字符"/>
    <w:basedOn w:val="49"/>
    <w:link w:val="673"/>
    <w:qFormat/>
    <w:uiPriority w:val="0"/>
    <w:rPr>
      <w:rFonts w:ascii="宋体" w:hAnsi="宋体" w:eastAsia="宋体" w:cs="仿宋"/>
      <w:color w:val="000000"/>
      <w:sz w:val="24"/>
    </w:rPr>
  </w:style>
  <w:style w:type="character" w:customStyle="1" w:styleId="675">
    <w:name w:val="标题 5 Char1"/>
    <w:basedOn w:val="49"/>
    <w:link w:val="6"/>
    <w:qFormat/>
    <w:uiPriority w:val="0"/>
    <w:rPr>
      <w:rFonts w:eastAsia="宋体"/>
      <w:b/>
      <w:bCs/>
      <w:sz w:val="28"/>
      <w:szCs w:val="28"/>
    </w:rPr>
  </w:style>
  <w:style w:type="character" w:customStyle="1" w:styleId="676">
    <w:name w:val="标题 6 Char"/>
    <w:link w:val="7"/>
    <w:qFormat/>
    <w:uiPriority w:val="0"/>
    <w:rPr>
      <w:rFonts w:ascii="Calibri" w:hAnsi="Calibri" w:eastAsia="黑体" w:cs="Times New Roman"/>
      <w:b/>
      <w:bCs/>
      <w:sz w:val="28"/>
      <w:szCs w:val="24"/>
    </w:rPr>
  </w:style>
  <w:style w:type="character" w:customStyle="1" w:styleId="677">
    <w:name w:val="标题 7 Char"/>
    <w:link w:val="8"/>
    <w:qFormat/>
    <w:uiPriority w:val="0"/>
    <w:rPr>
      <w:rFonts w:ascii="Calibri" w:hAnsi="Calibri" w:eastAsia="黑体" w:cs="Times New Roman"/>
      <w:b/>
      <w:bCs/>
    </w:rPr>
  </w:style>
  <w:style w:type="character" w:customStyle="1" w:styleId="678">
    <w:name w:val="标题 8 Char"/>
    <w:link w:val="9"/>
    <w:qFormat/>
    <w:uiPriority w:val="0"/>
    <w:rPr>
      <w:rFonts w:ascii="Calibri" w:hAnsi="Calibri" w:eastAsia="黑体" w:cs="Times New Roman"/>
    </w:rPr>
  </w:style>
  <w:style w:type="character" w:customStyle="1" w:styleId="679">
    <w:name w:val="标题 9 Char"/>
    <w:link w:val="10"/>
    <w:qFormat/>
    <w:uiPriority w:val="0"/>
    <w:rPr>
      <w:rFonts w:ascii="Calibri" w:hAnsi="Calibri" w:eastAsia="黑体" w:cs="Times New Roman"/>
      <w:b/>
    </w:rPr>
  </w:style>
  <w:style w:type="character" w:customStyle="1" w:styleId="680">
    <w:name w:val="脚注文本 Char"/>
    <w:basedOn w:val="49"/>
    <w:link w:val="37"/>
    <w:qFormat/>
    <w:uiPriority w:val="0"/>
    <w:rPr>
      <w:rFonts w:ascii="Times New Roman" w:hAnsi="Times New Roman" w:eastAsia="宋体" w:cs="Times New Roman"/>
      <w:sz w:val="18"/>
    </w:rPr>
  </w:style>
  <w:style w:type="character" w:customStyle="1" w:styleId="681">
    <w:name w:val="页眉 Char1"/>
    <w:basedOn w:val="49"/>
    <w:link w:val="33"/>
    <w:qFormat/>
    <w:uiPriority w:val="0"/>
    <w:rPr>
      <w:sz w:val="18"/>
      <w:szCs w:val="18"/>
    </w:rPr>
  </w:style>
  <w:style w:type="character" w:customStyle="1" w:styleId="682">
    <w:name w:val="页脚 Char1"/>
    <w:basedOn w:val="49"/>
    <w:link w:val="32"/>
    <w:qFormat/>
    <w:uiPriority w:val="99"/>
    <w:rPr>
      <w:sz w:val="18"/>
      <w:szCs w:val="18"/>
    </w:rPr>
  </w:style>
  <w:style w:type="character" w:customStyle="1" w:styleId="683">
    <w:name w:val="题注 Char"/>
    <w:link w:val="14"/>
    <w:qFormat/>
    <w:uiPriority w:val="0"/>
    <w:rPr>
      <w:rFonts w:ascii="Calibri" w:hAnsi="Calibri" w:eastAsia="仿宋" w:cstheme="majorBidi"/>
      <w:b/>
      <w:bCs/>
      <w:color w:val="4F81BD"/>
      <w:sz w:val="18"/>
      <w:szCs w:val="18"/>
      <w:lang w:eastAsia="en-US" w:bidi="en-US"/>
    </w:rPr>
  </w:style>
  <w:style w:type="character" w:customStyle="1" w:styleId="684">
    <w:name w:val="标题 Char"/>
    <w:link w:val="45"/>
    <w:qFormat/>
    <w:uiPriority w:val="0"/>
    <w:rPr>
      <w:rFonts w:ascii="Cambria" w:hAnsi="Cambria" w:eastAsia="仿宋"/>
      <w:color w:val="17365D"/>
      <w:spacing w:val="5"/>
      <w:sz w:val="52"/>
      <w:szCs w:val="52"/>
      <w:lang w:eastAsia="en-US" w:bidi="en-US"/>
    </w:rPr>
  </w:style>
  <w:style w:type="character" w:customStyle="1" w:styleId="685">
    <w:name w:val="副标题 Char"/>
    <w:link w:val="36"/>
    <w:qFormat/>
    <w:uiPriority w:val="0"/>
    <w:rPr>
      <w:rFonts w:ascii="Cambria" w:hAnsi="Cambria" w:eastAsia="仿宋"/>
      <w:i/>
      <w:iCs/>
      <w:color w:val="4F81BD"/>
      <w:spacing w:val="15"/>
      <w:sz w:val="24"/>
      <w:szCs w:val="24"/>
      <w:lang w:eastAsia="en-US" w:bidi="en-US"/>
    </w:rPr>
  </w:style>
  <w:style w:type="character" w:customStyle="1" w:styleId="686">
    <w:name w:val="正文文本缩进 3 Char"/>
    <w:link w:val="39"/>
    <w:qFormat/>
    <w:uiPriority w:val="0"/>
    <w:rPr>
      <w:rFonts w:ascii="宋体" w:hAnsi="宋体" w:eastAsia="仿宋"/>
      <w:sz w:val="24"/>
      <w:szCs w:val="24"/>
    </w:rPr>
  </w:style>
  <w:style w:type="character" w:customStyle="1" w:styleId="687">
    <w:name w:val="文档结构图 Char"/>
    <w:link w:val="16"/>
    <w:qFormat/>
    <w:uiPriority w:val="0"/>
    <w:rPr>
      <w:rFonts w:eastAsia="仿宋"/>
      <w:sz w:val="24"/>
      <w:shd w:val="clear" w:color="auto" w:fill="000080"/>
      <w:lang w:eastAsia="en-US" w:bidi="en-US"/>
    </w:rPr>
  </w:style>
  <w:style w:type="character" w:customStyle="1" w:styleId="688">
    <w:name w:val="纯文本 Char"/>
    <w:link w:val="26"/>
    <w:qFormat/>
    <w:uiPriority w:val="0"/>
    <w:rPr>
      <w:rFonts w:ascii="宋体" w:hAnsi="Courier New" w:eastAsia="仿宋"/>
      <w:sz w:val="24"/>
      <w:lang w:eastAsia="en-US"/>
    </w:rPr>
  </w:style>
  <w:style w:type="character" w:customStyle="1" w:styleId="689">
    <w:name w:val="批注框文本 Char"/>
    <w:link w:val="31"/>
    <w:qFormat/>
    <w:uiPriority w:val="99"/>
    <w:rPr>
      <w:sz w:val="18"/>
      <w:szCs w:val="18"/>
    </w:rPr>
  </w:style>
  <w:style w:type="paragraph" w:styleId="690">
    <w:name w:val="No Spacing"/>
    <w:qFormat/>
    <w:uiPriority w:val="0"/>
    <w:rPr>
      <w:rFonts w:ascii="Calibri" w:hAnsi="Calibri" w:eastAsia="宋体" w:cs="Times New Roman"/>
      <w:sz w:val="22"/>
      <w:szCs w:val="22"/>
      <w:lang w:val="en-US" w:eastAsia="en-US" w:bidi="en-US"/>
    </w:rPr>
  </w:style>
  <w:style w:type="paragraph" w:styleId="691">
    <w:name w:val="List Paragraph"/>
    <w:basedOn w:val="1"/>
    <w:link w:val="692"/>
    <w:qFormat/>
    <w:uiPriority w:val="34"/>
    <w:pPr>
      <w:ind w:firstLine="420"/>
    </w:pPr>
    <w:rPr>
      <w:sz w:val="20"/>
      <w:szCs w:val="20"/>
    </w:rPr>
  </w:style>
  <w:style w:type="character" w:customStyle="1" w:styleId="692">
    <w:name w:val="列出段落 Char1"/>
    <w:link w:val="691"/>
    <w:qFormat/>
    <w:uiPriority w:val="34"/>
  </w:style>
  <w:style w:type="paragraph" w:styleId="693">
    <w:name w:val="Quote"/>
    <w:basedOn w:val="1"/>
    <w:next w:val="1"/>
    <w:link w:val="694"/>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694">
    <w:name w:val="引用 Char"/>
    <w:link w:val="693"/>
    <w:qFormat/>
    <w:uiPriority w:val="0"/>
    <w:rPr>
      <w:rFonts w:ascii="Times New Roman" w:hAnsi="Times New Roman" w:eastAsia="仿宋"/>
      <w:i/>
      <w:iCs/>
      <w:color w:val="000080"/>
      <w:sz w:val="28"/>
      <w:szCs w:val="24"/>
    </w:rPr>
  </w:style>
  <w:style w:type="paragraph" w:styleId="695">
    <w:name w:val="Intense Quote"/>
    <w:basedOn w:val="1"/>
    <w:next w:val="1"/>
    <w:link w:val="696"/>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696">
    <w:name w:val="明显引用 Char"/>
    <w:link w:val="695"/>
    <w:qFormat/>
    <w:uiPriority w:val="0"/>
    <w:rPr>
      <w:rFonts w:ascii="Times New Roman" w:hAnsi="Times New Roman" w:eastAsia="仿宋"/>
      <w:b/>
      <w:bCs/>
      <w:i/>
      <w:iCs/>
      <w:color w:val="4F81BD"/>
      <w:sz w:val="28"/>
      <w:szCs w:val="24"/>
    </w:rPr>
  </w:style>
  <w:style w:type="paragraph" w:customStyle="1" w:styleId="697">
    <w:name w:val="*正文"/>
    <w:basedOn w:val="1"/>
    <w:qFormat/>
    <w:uiPriority w:val="0"/>
    <w:pPr>
      <w:spacing w:line="360" w:lineRule="auto"/>
      <w:ind w:firstLine="480"/>
    </w:pPr>
    <w:rPr>
      <w:rFonts w:ascii="宋体" w:hAnsi="宋体" w:eastAsia="宋体" w:cs="Times New Roman"/>
      <w:sz w:val="24"/>
      <w:szCs w:val="24"/>
    </w:rPr>
  </w:style>
  <w:style w:type="character" w:customStyle="1" w:styleId="698">
    <w:name w:val="NormalCharacter"/>
    <w:qFormat/>
    <w:uiPriority w:val="0"/>
  </w:style>
  <w:style w:type="paragraph" w:customStyle="1" w:styleId="699">
    <w:name w:val="样式 首行缩进:  2 字符"/>
    <w:basedOn w:val="1"/>
    <w:qFormat/>
    <w:uiPriority w:val="0"/>
    <w:pPr>
      <w:spacing w:line="360" w:lineRule="auto"/>
      <w:ind w:firstLine="480" w:firstLineChars="200"/>
    </w:pPr>
    <w:rPr>
      <w:rFonts w:cs="宋体"/>
      <w:sz w:val="24"/>
    </w:rPr>
  </w:style>
  <w:style w:type="paragraph" w:customStyle="1" w:styleId="700">
    <w:name w:val="@正文文本首行缩进 Alt＋w"/>
    <w:basedOn w:val="1"/>
    <w:qFormat/>
    <w:uiPriority w:val="0"/>
    <w:pPr>
      <w:adjustRightInd w:val="0"/>
      <w:snapToGrid w:val="0"/>
      <w:spacing w:line="360" w:lineRule="auto"/>
      <w:ind w:firstLine="200" w:firstLineChars="200"/>
    </w:pPr>
    <w:rPr>
      <w:rFonts w:ascii="仿宋_GB2312" w:hAnsi="宋体" w:eastAsia="仿宋_GB2312" w:cs="宋体"/>
      <w:color w:val="000000"/>
      <w:sz w:val="32"/>
      <w:szCs w:val="32"/>
      <w:lang w:val="zh-CN"/>
    </w:rPr>
  </w:style>
  <w:style w:type="paragraph" w:customStyle="1" w:styleId="701">
    <w:name w:val="DAS正文"/>
    <w:basedOn w:val="1"/>
    <w:qFormat/>
    <w:uiPriority w:val="0"/>
    <w:pPr>
      <w:spacing w:line="360" w:lineRule="auto"/>
      <w:ind w:right="181" w:firstLine="480"/>
    </w:pPr>
    <w:rPr>
      <w:rFonts w:ascii="Verdana" w:hAnsi="Verdana" w:eastAsia="宋体" w:cs="Times New Roman"/>
      <w:szCs w:val="24"/>
    </w:rPr>
  </w:style>
  <w:style w:type="paragraph" w:customStyle="1" w:styleId="702">
    <w:name w:val="Plain Text1"/>
    <w:basedOn w:val="1"/>
    <w:next w:val="11"/>
    <w:qFormat/>
    <w:uiPriority w:val="0"/>
    <w:pPr>
      <w:spacing w:line="360" w:lineRule="auto"/>
      <w:ind w:firstLine="3584"/>
    </w:pPr>
  </w:style>
  <w:style w:type="paragraph" w:customStyle="1" w:styleId="703">
    <w:name w:val="xl31"/>
    <w:basedOn w:val="1"/>
    <w:next w:val="19"/>
    <w:qFormat/>
    <w:uiPriority w:val="0"/>
    <w:pPr>
      <w:widowControl/>
      <w:spacing w:before="280" w:after="280"/>
      <w:ind w:firstLine="3584"/>
    </w:pPr>
  </w:style>
  <w:style w:type="paragraph" w:customStyle="1" w:styleId="704">
    <w:name w:val="表格内容"/>
    <w:basedOn w:val="1"/>
    <w:qFormat/>
    <w:uiPriority w:val="0"/>
    <w:pPr>
      <w:spacing w:line="360" w:lineRule="auto"/>
      <w:ind w:firstLine="200" w:firstLineChars="200"/>
    </w:pPr>
    <w:rPr>
      <w:rFonts w:ascii="Calibri" w:hAnsi="Calibri"/>
      <w:sz w:val="20"/>
    </w:rPr>
  </w:style>
  <w:style w:type="table" w:customStyle="1" w:styleId="705">
    <w:name w:val="网格型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706">
    <w:name w:val="网格型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07">
    <w:name w:val="p0"/>
    <w:basedOn w:val="1"/>
    <w:qFormat/>
    <w:uiPriority w:val="0"/>
    <w:pPr>
      <w:widowControl/>
    </w:pPr>
    <w:rPr>
      <w:szCs w:val="21"/>
    </w:rPr>
  </w:style>
  <w:style w:type="character" w:customStyle="1" w:styleId="708">
    <w:name w:val="16"/>
    <w:qFormat/>
    <w:uiPriority w:val="0"/>
    <w:rPr>
      <w:rFonts w:hint="default" w:ascii="Cambria" w:hAnsi="Cambria"/>
      <w:b/>
      <w:bCs/>
      <w:sz w:val="32"/>
      <w:szCs w:val="32"/>
    </w:rPr>
  </w:style>
  <w:style w:type="paragraph" w:customStyle="1" w:styleId="709">
    <w:name w:val="正文112"/>
    <w:next w:val="710"/>
    <w:qFormat/>
    <w:uiPriority w:val="0"/>
    <w:rPr>
      <w:rFonts w:ascii="宋体" w:hAnsi="宋体" w:eastAsia="宋体" w:cs="Times New Roman"/>
      <w:sz w:val="24"/>
      <w:szCs w:val="24"/>
      <w:lang w:val="en-US" w:eastAsia="zh-CN" w:bidi="ar-SA"/>
    </w:rPr>
  </w:style>
  <w:style w:type="paragraph" w:customStyle="1" w:styleId="710">
    <w:name w:val="无间隔1"/>
    <w:qFormat/>
    <w:uiPriority w:val="0"/>
    <w:pPr>
      <w:widowControl w:val="0"/>
      <w:spacing w:line="312" w:lineRule="exact"/>
      <w:jc w:val="center"/>
    </w:pPr>
    <w:rPr>
      <w:rFonts w:ascii="Times New Roman" w:hAnsi="Times New Roman" w:eastAsia="仿宋_GB2312" w:cs="Times New Roman"/>
      <w:sz w:val="21"/>
      <w:szCs w:val="24"/>
      <w:lang w:val="en-US" w:eastAsia="zh-CN" w:bidi="ar-SA"/>
    </w:rPr>
  </w:style>
  <w:style w:type="paragraph" w:customStyle="1" w:styleId="711">
    <w:name w:val="正文11"/>
    <w:next w:val="1"/>
    <w:qFormat/>
    <w:uiPriority w:val="0"/>
    <w:pPr>
      <w:widowControl w:val="0"/>
      <w:jc w:val="both"/>
    </w:pPr>
    <w:rPr>
      <w:rFonts w:ascii="Calibri" w:hAnsi="Calibri" w:eastAsia="宋体" w:cs="Times New Roman"/>
      <w:sz w:val="21"/>
      <w:szCs w:val="24"/>
      <w:lang w:val="en-US" w:eastAsia="zh-CN" w:bidi="ar-SA"/>
    </w:rPr>
  </w:style>
  <w:style w:type="paragraph" w:customStyle="1" w:styleId="712">
    <w:name w:val="正文文本11"/>
    <w:basedOn w:val="711"/>
    <w:next w:val="711"/>
    <w:qFormat/>
    <w:uiPriority w:val="0"/>
    <w:pPr>
      <w:spacing w:after="120"/>
    </w:pPr>
  </w:style>
  <w:style w:type="table" w:customStyle="1" w:styleId="713">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1FB867-F1DA-4770-8D5C-571B6C20B16D}">
  <ds:schemaRefs/>
</ds:datastoreItem>
</file>

<file path=docProps/app.xml><?xml version="1.0" encoding="utf-8"?>
<Properties xmlns="http://schemas.openxmlformats.org/officeDocument/2006/extended-properties" xmlns:vt="http://schemas.openxmlformats.org/officeDocument/2006/docPropsVTypes">
  <Template>Normal</Template>
  <Pages>90</Pages>
  <Words>23431</Words>
  <Characters>24450</Characters>
  <Lines>1</Lines>
  <Paragraphs>1</Paragraphs>
  <TotalTime>1</TotalTime>
  <ScaleCrop>false</ScaleCrop>
  <LinksUpToDate>false</LinksUpToDate>
  <CharactersWithSpaces>24621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2025-02-05T03:26:00Z</dcterms:created>
  <dc:creator>华强</dc:creator>
  <cp:lastModifiedBy>袁清</cp:lastModifiedBy>
  <cp:lastPrinted>2025-03-27T06:11:00Z</cp:lastPrinted>
  <dcterms:modified xsi:type="dcterms:W3CDTF">2026-08-04T06:00:56Z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50E846223D184B4AAE9BDCAA4F1F9979_13</vt:lpwstr>
  </property>
  <property fmtid="{D5CDD505-2E9C-101B-9397-08002B2CF9AE}" pid="4" name="KSOTemplateDocerSaveRecord">
    <vt:lpwstr>eyJoZGlkIjoiNWNkMGZmZGUxNzNkMTZmNDUwMjEzYmY4NTVhNzIxZDgiLCJ1c2VySWQiOiIzMTU1ODEyOTcifQ==</vt:lpwstr>
  </property>
</Properties>
</file>