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JSZC-321200-HWZX-G2026-0504</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0675-266JOC003795</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血液透析机采购项目</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62"/>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2026年8月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血液透析机采购项目</w:t>
      </w:r>
      <w:r>
        <w:rPr>
          <w:rFonts w:hint="eastAsia" w:cs="仿宋" w:asciiTheme="minorEastAsia" w:hAnsiTheme="minorEastAsia" w:eastAsiaTheme="minorEastAsia"/>
          <w:color w:val="000000" w:themeColor="text1"/>
          <w:sz w:val="24"/>
          <w:szCs w:val="24"/>
        </w:rPr>
        <w:t xml:space="preserve">招标</w:t>
      </w:r>
      <w:r>
        <w:rPr>
          <w:rFonts w:hint="eastAsia" w:cs="仿宋" w:asciiTheme="minorEastAsia" w:hAnsiTheme="minorEastAsia" w:eastAsiaTheme="minorEastAsia"/>
          <w:color w:val="000000" w:themeColor="text1"/>
          <w:sz w:val="24"/>
          <w:szCs w:val="24"/>
        </w:rPr>
        <w:t xml:space="preserve">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6"/>
            <w:rFonts w:hint="eastAsia" w:cs="仿宋" w:asciiTheme="minorEastAsia" w:hAnsiTheme="minorEastAsia" w:eastAsiaTheme="minorEastAsia"/>
            <w:color w:val="000000" w:themeColor="text1"/>
            <w:sz w:val="24"/>
            <w:szCs w:val="24"/>
            <w:u w:val="none"/>
          </w:rPr>
          <w:t xml:space="preserve">，并于</w:t>
        </w:r>
        <w:r>
          <w:rPr>
            <w:rStyle w:val="866"/>
            <w:rFonts w:hint="eastAsia" w:cs="仿宋" w:asciiTheme="minorEastAsia" w:hAnsiTheme="minorEastAsia" w:eastAsiaTheme="minorEastAsia"/>
            <w:color w:val="000000" w:themeColor="text1"/>
            <w:sz w:val="24"/>
            <w:szCs w:val="24"/>
          </w:rPr>
          <w:t xml:space="preserve">2026年</w:t>
        </w:r>
        <w:r>
          <w:rPr>
            <w:rStyle w:val="866"/>
            <w:rFonts w:hint="eastAsia" w:cs="仿宋" w:asciiTheme="minorEastAsia" w:hAnsiTheme="minorEastAsia" w:eastAsiaTheme="minorEastAsia"/>
            <w:color w:val="000000" w:themeColor="text1"/>
            <w:sz w:val="24"/>
            <w:szCs w:val="24"/>
          </w:rPr>
          <w:t xml:space="preserve">9</w:t>
        </w:r>
        <w:r>
          <w:rPr>
            <w:rStyle w:val="866"/>
            <w:rFonts w:hint="eastAsia" w:cs="仿宋" w:asciiTheme="minorEastAsia" w:hAnsiTheme="minorEastAsia" w:eastAsiaTheme="minorEastAsia"/>
            <w:color w:val="000000" w:themeColor="text1"/>
            <w:sz w:val="24"/>
            <w:szCs w:val="24"/>
          </w:rPr>
          <w:t xml:space="preserve">月</w:t>
        </w:r>
      </w:hyperlink>
      <w:r>
        <w:rPr>
          <w:rStyle w:val="866"/>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u w:val="single"/>
        </w:rPr>
        <w:t xml:space="preserve">日14时30分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JSZC-321200-HWZX-G2026-0504</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0675-266JOC003795</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血液透析机采购项目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318.5</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318.5</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9"/>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378"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hint="eastAsia" w:cs="仿宋" w:asciiTheme="minorEastAsia" w:hAnsiTheme="minorEastAsia" w:eastAsiaTheme="minorEastAsia"/>
                <w:color w:val="000000" w:themeColor="text1"/>
                <w:sz w:val="24"/>
                <w:szCs w:val="24"/>
              </w:rPr>
              <w:t xml:space="preserve">血液透析机</w:t>
            </w:r>
            <w:r>
              <w:rPr>
                <w:rFonts w:hint="eastAsia" w:cs="仿宋" w:asciiTheme="minorEastAsia" w:hAnsiTheme="minorEastAsia" w:eastAsiaTheme="minorEastAsia"/>
                <w:color w:val="000000" w:themeColor="text1"/>
                <w:sz w:val="24"/>
                <w:szCs w:val="24"/>
              </w:rPr>
              <w:t xml:space="preserve"> </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台</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318.5</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1023"/>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1023"/>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19" w:name="OLE_LINK1"/>
      <w:r>
        <w:rPr>
          <w:rFonts w:hint="eastAsia" w:ascii="宋体" w:hAnsi="宋体" w:eastAsia="宋体"/>
          <w:bCs/>
          <w:sz w:val="24"/>
          <w:szCs w:val="24"/>
        </w:rPr>
        <w:t xml:space="preserve">/</w:t>
      </w:r>
      <w:bookmarkEnd w:id="19"/>
      <w:r>
        <w:rPr>
          <w:rFonts w:hint="eastAsia" w:ascii="宋体" w:hAnsi="宋体" w:eastAsia="宋体"/>
          <w:bCs/>
          <w:sz w:val="24"/>
          <w:szCs w:val="24"/>
        </w:rPr>
        <w:t xml:space="preserve">医疗器械备案凭证；</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w:t>
      </w:r>
      <w:r>
        <w:rPr>
          <w:rFonts w:hint="eastAsia" w:cs="仿宋" w:asciiTheme="minorEastAsia" w:hAnsiTheme="minorEastAsia" w:eastAsiaTheme="minorEastAsia"/>
          <w:color w:val="000000" w:themeColor="text1"/>
          <w:sz w:val="24"/>
          <w:szCs w:val="24"/>
        </w:rPr>
        <w:t xml:space="preserve">作，将自行承担所产生的风险。</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rPr>
        <w:t xml:space="preserve">日14时30分（北京时间）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22"/>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lang w:val="zh-CN"/>
        </w:rPr>
        <w:t xml:space="preserve">胡女士 </w:t>
      </w:r>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hint="eastAsia"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血液透析机采购项目</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3</w:t>
            </w:r>
            <w:r>
              <w:rPr>
                <w:rFonts w:cs="仿宋" w:asciiTheme="minorEastAsia" w:hAnsiTheme="minorEastAsia" w:eastAsiaTheme="minorEastAsia"/>
                <w:iCs/>
                <w:color w:val="000000" w:themeColor="text1"/>
                <w:sz w:val="24"/>
                <w:szCs w:val="24"/>
              </w:rPr>
              <w:t xml:space="preserve">18.5</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3</w:t>
            </w:r>
            <w:r>
              <w:rPr>
                <w:rFonts w:cs="仿宋" w:asciiTheme="minorEastAsia" w:hAnsiTheme="minorEastAsia" w:eastAsiaTheme="minorEastAsia"/>
                <w:iCs/>
                <w:color w:val="000000" w:themeColor="text1"/>
                <w:sz w:val="24"/>
                <w:szCs w:val="24"/>
              </w:rPr>
              <w:t xml:space="preserve">18.5</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rPr>
              <w:t xml:space="preserve">日14时30分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rPr>
              <w:t xml:space="preserve">日14时30分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9"/>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5"/>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166" w:type="dxa"/>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1、履行期间付款：验收合格后，</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应向最终用户提供真实、合法的全额销售发票，由最终用户单位签章、经市、县（市、区）卫生健康委盖章确认的验收报告回</w:t>
            </w:r>
            <w:r>
              <w:rPr>
                <w:rFonts w:hint="eastAsia" w:ascii="宋体" w:hAnsi="宋体" w:eastAsia="宋体" w:cs="仿宋"/>
                <w:sz w:val="24"/>
                <w:szCs w:val="24"/>
                <w:lang w:val="zh-CN"/>
              </w:rPr>
              <w:t xml:space="preserve">执作为付款的依据。在设备验收合格交付使用，</w:t>
            </w:r>
            <w:r>
              <w:rPr>
                <w:rFonts w:hint="eastAsia" w:ascii="宋体" w:hAnsi="宋体" w:eastAsia="宋体" w:cs="仿宋"/>
                <w:sz w:val="24"/>
                <w:szCs w:val="24"/>
              </w:rPr>
              <w:t xml:space="preserve">供货商</w:t>
            </w:r>
            <w:r>
              <w:rPr>
                <w:rFonts w:hint="eastAsia" w:ascii="宋体" w:hAnsi="宋体" w:eastAsia="宋体" w:cs="仿宋"/>
                <w:sz w:val="24"/>
                <w:szCs w:val="24"/>
                <w:lang w:val="zh-CN"/>
              </w:rPr>
              <w:t xml:space="preserve">提供前述完整的付款材料后，</w:t>
            </w:r>
            <w:r>
              <w:rPr>
                <w:rFonts w:hint="eastAsia" w:ascii="宋体" w:hAnsi="宋体" w:eastAsia="宋体" w:cs="仿宋"/>
                <w:sz w:val="24"/>
                <w:szCs w:val="24"/>
              </w:rPr>
              <w:t xml:space="preserve">采购人（含</w:t>
            </w:r>
            <w:r>
              <w:rPr>
                <w:rFonts w:hint="eastAsia" w:ascii="宋体" w:hAnsi="宋体" w:eastAsia="宋体" w:cs="仿宋"/>
                <w:sz w:val="24"/>
                <w:szCs w:val="24"/>
                <w:lang w:val="zh-CN"/>
              </w:rPr>
              <w:t xml:space="preserve">确认的设备最终用户单位</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应向</w:t>
            </w:r>
            <w:r>
              <w:rPr>
                <w:rFonts w:hint="eastAsia" w:ascii="宋体" w:hAnsi="宋体" w:eastAsia="宋体" w:cs="仿宋"/>
                <w:sz w:val="24"/>
                <w:szCs w:val="24"/>
              </w:rPr>
              <w:t xml:space="preserve">供货商</w:t>
            </w:r>
            <w:r>
              <w:rPr>
                <w:rFonts w:hint="eastAsia" w:ascii="宋体" w:hAnsi="宋体" w:eastAsia="宋体" w:cs="仿宋"/>
                <w:sz w:val="24"/>
                <w:szCs w:val="24"/>
                <w:lang w:val="zh-CN"/>
              </w:rPr>
              <w:t xml:space="preserve">支付合同总价的90％。</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2、尾款：交付使用</w:t>
            </w:r>
            <w:r>
              <w:rPr>
                <w:rFonts w:hint="eastAsia" w:ascii="宋体" w:hAnsi="宋体" w:eastAsia="宋体" w:cs="仿宋"/>
                <w:sz w:val="24"/>
                <w:szCs w:val="24"/>
              </w:rPr>
              <w:t xml:space="preserve">12</w:t>
            </w:r>
            <w:r>
              <w:rPr>
                <w:rFonts w:hint="eastAsia" w:ascii="宋体" w:hAnsi="宋体" w:eastAsia="宋体" w:cs="仿宋"/>
                <w:sz w:val="24"/>
                <w:szCs w:val="24"/>
                <w:lang w:val="zh-CN"/>
              </w:rPr>
              <w:t xml:space="preserve">个月后，</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须对全部设备进行一次实地回访，经最终用户确认的回访回执为依据，</w:t>
            </w:r>
            <w:r>
              <w:rPr>
                <w:rFonts w:hint="eastAsia" w:ascii="宋体" w:hAnsi="宋体" w:eastAsia="宋体" w:cs="仿宋"/>
                <w:sz w:val="24"/>
                <w:szCs w:val="24"/>
              </w:rPr>
              <w:t xml:space="preserve">采购人（含</w:t>
            </w:r>
            <w:r>
              <w:rPr>
                <w:rFonts w:hint="eastAsia" w:ascii="宋体" w:hAnsi="宋体" w:eastAsia="宋体" w:cs="仿宋"/>
                <w:sz w:val="24"/>
                <w:szCs w:val="24"/>
                <w:lang w:val="zh-CN"/>
              </w:rPr>
              <w:t xml:space="preserve">确认的设备最终用户单位</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支付剩余合同总价的10％。（</w:t>
            </w:r>
            <w:r>
              <w:rPr>
                <w:rFonts w:hint="eastAsia" w:ascii="宋体" w:hAnsi="宋体" w:eastAsia="宋体" w:cs="仿宋"/>
                <w:sz w:val="24"/>
                <w:szCs w:val="24"/>
              </w:rPr>
              <w:t xml:space="preserve">如果中标人为中小企业，按《保障中小企业款项支付条例》（国令第802号）相关要求执行。</w:t>
            </w:r>
            <w:r>
              <w:rPr>
                <w:rFonts w:hint="eastAsia" w:ascii="宋体" w:hAnsi="宋体" w:eastAsia="宋体" w:cs="仿宋"/>
                <w:sz w:val="24"/>
                <w:szCs w:val="24"/>
                <w:lang w:val="zh-CN"/>
              </w:rPr>
              <w:t xml:space="preserve">）</w:t>
            </w:r>
            <w:r/>
          </w:p>
          <w:p>
            <w:pPr>
              <w:ind w:right="-117"/>
              <w:jc w:val="left"/>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cs="仿宋"/>
                <w:sz w:val="24"/>
                <w:szCs w:val="24"/>
                <w:lang w:val="zh-CN"/>
              </w:rPr>
              <w:t xml:space="preserve">3、税费：本合同执行中相关的一切税费均由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166" w:type="dxa"/>
            <w:textDirection w:val="lrTb"/>
            <w:noWrap w:val="false"/>
          </w:tcPr>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本项目由泰州市卫健委组织实施集中统一采购，最终用户为各县域医共体单位，资金支付方为各县域医共体单位，因此本项目不适宜由采购人支付代理服务费。领取中标通知书前，由</w:t>
            </w:r>
            <w:r>
              <w:rPr>
                <w:rFonts w:hint="eastAsia" w:cs="仿宋" w:asciiTheme="minorEastAsia" w:hAnsiTheme="minorEastAsia" w:eastAsiaTheme="minorEastAsia"/>
                <w:bCs/>
                <w:color w:val="000000" w:themeColor="text1"/>
                <w:szCs w:val="24"/>
              </w:rPr>
              <w:t xml:space="preserve">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795</w:t>
            </w:r>
            <w:r>
              <w:rPr>
                <w:rFonts w:hint="eastAsia" w:cs="仿宋" w:asciiTheme="minorEastAsia" w:hAnsiTheme="minorEastAsia" w:eastAsiaTheme="minorEastAsia"/>
                <w:bCs/>
                <w:color w:val="000000" w:themeColor="text1"/>
                <w:szCs w:val="24"/>
              </w:rPr>
              <w:t xml:space="preserve">代理服务费。</w:t>
            </w:r>
            <w:r/>
          </w:p>
          <w:p>
            <w:pPr>
              <w:pStyle w:val="1025"/>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5"/>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w:t>
            </w:r>
            <w:r>
              <w:rPr>
                <w:rFonts w:hint="eastAsia" w:cs="仿宋" w:asciiTheme="minorEastAsia" w:hAnsiTheme="minorEastAsia" w:eastAsiaTheme="minorEastAsia"/>
                <w:color w:val="000000" w:themeColor="text1"/>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w:t>
      </w:r>
      <w:r>
        <w:rPr>
          <w:rFonts w:hint="eastAsia" w:cs="仿宋" w:asciiTheme="minorEastAsia" w:hAnsiTheme="minorEastAsia" w:eastAsiaTheme="minorEastAsia"/>
          <w:color w:val="000000" w:themeColor="text1"/>
          <w:sz w:val="24"/>
          <w:szCs w:val="24"/>
        </w:rPr>
        <w:t xml:space="preserve">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5"/>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4"/>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w:t>
      </w:r>
      <w:r>
        <w:rPr>
          <w:rFonts w:hint="eastAsia" w:cs="仿宋" w:asciiTheme="minorEastAsia" w:hAnsiTheme="minorEastAsia" w:eastAsiaTheme="minorEastAsia"/>
          <w:color w:val="000000" w:themeColor="text1"/>
          <w:sz w:val="24"/>
          <w:szCs w:val="24"/>
        </w:rPr>
        <w:t xml:space="preserve">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5"/>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9"/>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w:t>
      </w:r>
      <w:r>
        <w:rPr>
          <w:rFonts w:hint="eastAsia" w:cs="仿宋" w:asciiTheme="minorEastAsia" w:hAnsiTheme="minorEastAsia" w:eastAsiaTheme="minorEastAsia"/>
          <w:color w:val="000000" w:themeColor="text1"/>
          <w:sz w:val="24"/>
          <w:szCs w:val="24"/>
        </w:rPr>
        <w:t xml:space="preserve">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w:t>
      </w:r>
      <w:r>
        <w:rPr>
          <w:rFonts w:hint="eastAsia" w:cs="仿宋" w:asciiTheme="minorEastAsia" w:hAnsiTheme="minorEastAsia" w:eastAsiaTheme="minorEastAsia"/>
          <w:color w:val="000000" w:themeColor="text1"/>
          <w:szCs w:val="24"/>
        </w:rPr>
        <w:t xml:space="preserve">价和比较投标的所有资料，有关授予合同的信息都不应向投标人或与评标无关的其他人泄露。</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w:t>
      </w:r>
      <w:r>
        <w:rPr>
          <w:rFonts w:hint="eastAsia" w:cs="仿宋" w:asciiTheme="minorEastAsia" w:hAnsiTheme="minorEastAsia" w:eastAsiaTheme="minorEastAsia"/>
          <w:color w:val="000000" w:themeColor="text1"/>
          <w:szCs w:val="24"/>
        </w:rPr>
        <w:t xml:space="preserve">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6.关于异常低价的审查</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w:t>
      </w:r>
      <w:r>
        <w:rPr>
          <w:rFonts w:hint="eastAsia" w:cs="仿宋" w:asciiTheme="minorEastAsia" w:hAnsiTheme="minorEastAsia" w:eastAsiaTheme="minorEastAsia"/>
          <w:color w:val="000000" w:themeColor="text1"/>
          <w:szCs w:val="24"/>
        </w:rPr>
        <w:t xml:space="preserve">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5"/>
        <w:ind w:firstLine="431"/>
        <w:jc w:val="both"/>
        <w:spacing w:line="360" w:lineRule="auto"/>
        <w:rPr>
          <w:rFonts w:hint="eastAsia" w:cs="仿宋" w:asciiTheme="minorEastAsia" w:hAnsiTheme="minorEastAsia" w:eastAsiaTheme="minorEastAsia"/>
          <w:color w:val="000000" w:themeColor="text1"/>
          <w:szCs w:val="24"/>
        </w:rPr>
      </w:pPr>
      <w:r/>
      <w:bookmarkStart w:id="37"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5"/>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5"/>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8" w:name="_Toc388026586"/>
      <w:r/>
      <w:bookmarkEnd w:id="37"/>
      <w:r/>
      <w:r/>
    </w:p>
    <w:p>
      <w:pPr>
        <w:pStyle w:val="1025"/>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25"/>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38"/>
      <w:r>
        <w:rPr>
          <w:rFonts w:hint="eastAsia" w:cs="仿宋" w:asciiTheme="minorEastAsia" w:hAnsiTheme="minorEastAsia" w:eastAsiaTheme="minorEastAsia"/>
          <w:b/>
          <w:color w:val="000000" w:themeColor="text1"/>
          <w:sz w:val="32"/>
          <w:szCs w:val="32"/>
        </w:rPr>
        <w:t xml:space="preserve">需求</w:t>
      </w:r>
      <w:r/>
    </w:p>
    <w:p>
      <w:pPr>
        <w:pStyle w:val="879"/>
        <w:ind w:left="720" w:firstLine="0"/>
        <w:jc w:val="left"/>
        <w:spacing w:line="360" w:lineRule="auto"/>
        <w:tabs>
          <w:tab w:val="left" w:pos="1260" w:leader="none"/>
        </w:tabs>
        <w:rPr>
          <w:rFonts w:hint="eastAsia" w:ascii="宋体" w:hAnsi="宋体" w:eastAsia="宋体"/>
          <w:b/>
          <w:sz w:val="28"/>
          <w:szCs w:val="28"/>
        </w:rPr>
      </w:pPr>
      <w:r/>
      <w:bookmarkStart w:id="39" w:name="_Toc388026588"/>
      <w:r/>
      <w:bookmarkStart w:id="40"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9"/>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1"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血液透析机</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台</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1"/>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tbl>
      <w:tblPr>
        <w:tblStyle w:val="1049"/>
        <w:tblW w:w="359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tblGrid>
      <w:tr>
        <w:trPr>
          <w:jc w:val="center"/>
          <w:trHeight w:val="707"/>
        </w:trPr>
        <w:tc>
          <w:tcPr>
            <w:tcW w:w="75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37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最终用户名称</w:t>
            </w:r>
            <w:r/>
          </w:p>
        </w:tc>
        <w:tc>
          <w:tcPr>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1</w:t>
            </w:r>
            <w:r/>
          </w:p>
        </w:tc>
        <w:tc>
          <w:tcPr>
            <w:shd w:val="clear" w:color="auto" w:fill="ffffff"/>
            <w:tcW w:w="3376"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泰兴市人民医院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5台</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shd w:val="clear" w:color="auto" w:fill="ffffff"/>
            <w:tcW w:w="3376"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泰州市中西医结合医院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4台</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shd w:val="clear" w:color="auto" w:fill="ffffff"/>
            <w:tcW w:w="3376"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泰州市第三人民医院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shd w:val="clear" w:color="auto" w:fill="ffffff"/>
            <w:tcW w:w="3376"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泰州市第四人民医院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10台</w:t>
            </w:r>
            <w:r/>
          </w:p>
        </w:tc>
      </w:tr>
      <w:tr>
        <w:trPr>
          <w:jc w:val="center"/>
          <w:trHeight w:val="472" w:hRule="exact"/>
        </w:trPr>
        <w:tc>
          <w:tcPr>
            <w:shd w:val="clear" w:color="auto" w:fill="ffffff"/>
            <w:tcW w:w="753"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shd w:val="clear" w:color="auto" w:fill="ffffff"/>
            <w:tcW w:w="3376"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泰州市姜堰中医院</w:t>
            </w:r>
            <w:r/>
          </w:p>
        </w:tc>
        <w:tc>
          <w:tcPr>
            <w:shd w:val="clear" w:color="auto" w:fill="ffffff"/>
            <w:tcW w:w="8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2台</w:t>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spacing w:line="360" w:lineRule="auto"/>
        <w:rPr>
          <w:rFonts w:hint="eastAsia" w:ascii="宋体" w:hAnsi="宋体" w:eastAsia="宋体"/>
          <w:sz w:val="24"/>
          <w:szCs w:val="24"/>
        </w:rPr>
      </w:pPr>
      <w:r>
        <w:rPr>
          <w:rFonts w:hint="eastAsia" w:ascii="宋体" w:hAnsi="宋体" w:eastAsia="宋体"/>
          <w:sz w:val="24"/>
          <w:szCs w:val="24"/>
        </w:rPr>
        <w:t xml:space="preserve">1、供电：220V AC，50Hz。</w:t>
      </w:r>
      <w:r/>
    </w:p>
    <w:p>
      <w:pPr>
        <w:spacing w:line="360" w:lineRule="auto"/>
        <w:rPr>
          <w:rFonts w:hint="eastAsia" w:ascii="宋体" w:hAnsi="宋体" w:eastAsia="宋体"/>
          <w:sz w:val="24"/>
          <w:szCs w:val="24"/>
        </w:rPr>
      </w:pPr>
      <w:r>
        <w:rPr>
          <w:rFonts w:hint="eastAsia" w:ascii="宋体" w:hAnsi="宋体" w:eastAsia="宋体"/>
          <w:sz w:val="24"/>
          <w:szCs w:val="24"/>
        </w:rPr>
        <w:t xml:space="preserve">2、设备使用年限：≥10年。</w:t>
      </w:r>
      <w:r/>
    </w:p>
    <w:p>
      <w:pPr>
        <w:spacing w:line="360" w:lineRule="auto"/>
        <w:rPr>
          <w:rFonts w:hint="eastAsia" w:ascii="宋体" w:hAnsi="宋体" w:eastAsia="宋体"/>
          <w:sz w:val="24"/>
          <w:szCs w:val="24"/>
        </w:rPr>
      </w:pPr>
      <w:r>
        <w:rPr>
          <w:rFonts w:hint="eastAsia" w:ascii="宋体" w:hAnsi="宋体" w:eastAsia="宋体"/>
          <w:sz w:val="24"/>
          <w:szCs w:val="24"/>
        </w:rPr>
        <w:t xml:space="preserve">3、供水: 压力范围：至少包含1.5-6bar；温度范围：至少包含5 ℃~30 ℃。</w:t>
      </w:r>
      <w:r/>
    </w:p>
    <w:p>
      <w:pPr>
        <w:spacing w:line="360" w:lineRule="auto"/>
        <w:rPr>
          <w:rFonts w:hint="eastAsia" w:ascii="宋体" w:hAnsi="宋体" w:eastAsia="宋体"/>
          <w:sz w:val="24"/>
          <w:szCs w:val="24"/>
        </w:rPr>
      </w:pPr>
      <w:r>
        <w:rPr>
          <w:rFonts w:hint="eastAsia" w:ascii="宋体" w:hAnsi="宋体" w:eastAsia="宋体"/>
          <w:sz w:val="24"/>
          <w:szCs w:val="24"/>
        </w:rPr>
        <w:t xml:space="preserve">4、透析液流速：至少包含300~700mL/min，连续可调</w:t>
      </w:r>
      <w:r/>
    </w:p>
    <w:p>
      <w:pPr>
        <w:spacing w:line="360" w:lineRule="auto"/>
        <w:rPr>
          <w:rFonts w:hint="eastAsia" w:ascii="宋体" w:hAnsi="宋体" w:eastAsia="宋体"/>
          <w:sz w:val="24"/>
          <w:szCs w:val="24"/>
        </w:rPr>
      </w:pPr>
      <w:r>
        <w:rPr>
          <w:rFonts w:hint="eastAsia" w:ascii="宋体" w:hAnsi="宋体" w:eastAsia="宋体"/>
          <w:sz w:val="24"/>
          <w:szCs w:val="24"/>
        </w:rPr>
        <w:t xml:space="preserve">5、透析液温度：实时监测可调，有超温保护装置。</w:t>
      </w:r>
      <w:r/>
    </w:p>
    <w:p>
      <w:pPr>
        <w:spacing w:line="360" w:lineRule="auto"/>
        <w:rPr>
          <w:rFonts w:hint="eastAsia" w:ascii="宋体" w:hAnsi="宋体" w:eastAsia="宋体"/>
          <w:sz w:val="24"/>
          <w:szCs w:val="24"/>
        </w:rPr>
      </w:pPr>
      <w:r>
        <w:rPr>
          <w:rFonts w:hint="eastAsia" w:ascii="宋体" w:hAnsi="宋体" w:eastAsia="宋体"/>
          <w:sz w:val="24"/>
          <w:szCs w:val="24"/>
        </w:rPr>
        <w:t xml:space="preserve">6、超滤速度：可调。</w:t>
      </w:r>
      <w:r/>
    </w:p>
    <w:p>
      <w:pPr>
        <w:spacing w:line="360" w:lineRule="auto"/>
        <w:rPr>
          <w:rFonts w:hint="eastAsia" w:ascii="宋体" w:hAnsi="宋体" w:eastAsia="宋体"/>
          <w:sz w:val="24"/>
          <w:szCs w:val="24"/>
        </w:rPr>
      </w:pPr>
      <w:r>
        <w:rPr>
          <w:rFonts w:hint="eastAsia" w:ascii="宋体" w:hAnsi="宋体" w:eastAsia="宋体"/>
          <w:sz w:val="24"/>
          <w:szCs w:val="24"/>
        </w:rPr>
        <w:t xml:space="preserve">7、动脉血泵：至少包含40~400mL/min。</w:t>
      </w:r>
      <w:r/>
    </w:p>
    <w:p>
      <w:pPr>
        <w:spacing w:line="360" w:lineRule="auto"/>
        <w:rPr>
          <w:rFonts w:hint="eastAsia" w:ascii="宋体" w:hAnsi="宋体" w:eastAsia="宋体"/>
          <w:sz w:val="24"/>
          <w:szCs w:val="24"/>
        </w:rPr>
      </w:pPr>
      <w:r>
        <w:rPr>
          <w:rFonts w:hint="eastAsia" w:ascii="宋体" w:hAnsi="宋体" w:eastAsia="宋体"/>
          <w:sz w:val="24"/>
          <w:szCs w:val="24"/>
        </w:rPr>
        <w:t xml:space="preserve">8、肝素泵：设置范围可调；注射器类型：至少包含20mL、30mL。可设定停止时间，单次注入量。</w:t>
      </w:r>
      <w:r/>
    </w:p>
    <w:p>
      <w:pPr>
        <w:spacing w:line="360" w:lineRule="auto"/>
        <w:rPr>
          <w:rFonts w:hint="eastAsia" w:ascii="宋体" w:hAnsi="宋体" w:eastAsia="宋体"/>
          <w:sz w:val="24"/>
          <w:szCs w:val="24"/>
        </w:rPr>
      </w:pPr>
      <w:r>
        <w:rPr>
          <w:rFonts w:hint="eastAsia" w:ascii="宋体" w:hAnsi="宋体" w:eastAsia="宋体"/>
          <w:sz w:val="24"/>
          <w:szCs w:val="24"/>
        </w:rPr>
        <w:t xml:space="preserve">9、动脉压：具备动脉压监测功能。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10、静脉压：具备静脉压监测功能。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11、TMP（跨膜压）：具备跨膜压监测功能。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12、透析液压：具备透析液压监测功能。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13、透析液浓度（总电导率）测量：具备透析液浓度监测功能。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14、治疗模式：用于血液净化治疗，具有血液透析、单纯超滤。</w:t>
      </w:r>
      <w:r/>
    </w:p>
    <w:p>
      <w:pPr>
        <w:spacing w:line="360" w:lineRule="auto"/>
        <w:rPr>
          <w:rFonts w:hint="eastAsia" w:ascii="宋体" w:hAnsi="宋体" w:eastAsia="宋体"/>
          <w:sz w:val="24"/>
          <w:szCs w:val="24"/>
        </w:rPr>
      </w:pPr>
      <w:r>
        <w:rPr>
          <w:rFonts w:hint="eastAsia" w:ascii="宋体" w:hAnsi="宋体" w:eastAsia="宋体"/>
          <w:sz w:val="24"/>
          <w:szCs w:val="24"/>
        </w:rPr>
        <w:t xml:space="preserve">15、人机交互：≥10英寸彩色液晶显示器，中文操作系统。</w:t>
      </w:r>
      <w:r/>
    </w:p>
    <w:p>
      <w:pPr>
        <w:spacing w:line="360" w:lineRule="auto"/>
        <w:rPr>
          <w:rFonts w:hint="eastAsia" w:ascii="宋体" w:hAnsi="宋体" w:eastAsia="宋体"/>
          <w:sz w:val="24"/>
          <w:szCs w:val="24"/>
        </w:rPr>
      </w:pPr>
      <w:r>
        <w:rPr>
          <w:rFonts w:hint="eastAsia" w:ascii="宋体" w:hAnsi="宋体" w:eastAsia="宋体"/>
          <w:sz w:val="24"/>
          <w:szCs w:val="24"/>
        </w:rPr>
        <w:t xml:space="preserve">16、▲可实时图文显示参数，包括动脉压、静脉压、跨膜压、总电导度、碳酸氢盐电导度、透析液温度、血流速度、超滤速度等。</w:t>
      </w:r>
      <w:r/>
    </w:p>
    <w:p>
      <w:pPr>
        <w:spacing w:line="360" w:lineRule="auto"/>
        <w:rPr>
          <w:rFonts w:hint="eastAsia" w:ascii="宋体" w:hAnsi="宋体" w:eastAsia="宋体"/>
          <w:sz w:val="24"/>
          <w:szCs w:val="24"/>
        </w:rPr>
      </w:pPr>
      <w:r>
        <w:rPr>
          <w:rFonts w:hint="eastAsia" w:ascii="宋体" w:hAnsi="宋体" w:eastAsia="宋体"/>
          <w:sz w:val="24"/>
          <w:szCs w:val="24"/>
        </w:rPr>
        <w:t xml:space="preserve">17、消毒模式：具备药液消毒和热消毒方式，热水柠檬酸消毒温度最高可达85℃，消毒脱钙一体化完成时间≤40min。原液吸液管路可联机清洗消毒。</w:t>
      </w:r>
      <w:r/>
    </w:p>
    <w:p>
      <w:pPr>
        <w:spacing w:line="360" w:lineRule="auto"/>
        <w:rPr>
          <w:rFonts w:hint="eastAsia" w:ascii="宋体" w:hAnsi="宋体" w:eastAsia="宋体"/>
          <w:sz w:val="24"/>
          <w:szCs w:val="24"/>
        </w:rPr>
      </w:pPr>
      <w:r>
        <w:rPr>
          <w:rFonts w:hint="eastAsia" w:ascii="宋体" w:hAnsi="宋体" w:eastAsia="宋体"/>
          <w:sz w:val="24"/>
          <w:szCs w:val="24"/>
        </w:rPr>
        <w:t xml:space="preserve">18、设备至少包含热水柠檬酸、次氯酸钠消毒。</w:t>
      </w:r>
      <w:r/>
    </w:p>
    <w:p>
      <w:pPr>
        <w:spacing w:line="360" w:lineRule="auto"/>
        <w:rPr>
          <w:rFonts w:hint="eastAsia" w:ascii="宋体" w:hAnsi="宋体" w:eastAsia="宋体"/>
          <w:sz w:val="24"/>
          <w:szCs w:val="24"/>
        </w:rPr>
      </w:pPr>
      <w:r>
        <w:rPr>
          <w:rFonts w:hint="eastAsia" w:ascii="宋体" w:hAnsi="宋体" w:eastAsia="宋体"/>
          <w:sz w:val="24"/>
          <w:szCs w:val="24"/>
        </w:rPr>
        <w:t xml:space="preserve">19、后备电池：停电时自动跳转后备电池供电，支持体外循环监测，报警系统。运行时间≥15分钟，断电数据保存功能。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20、▲浓度曲线：可进行透析液浓度和碳酸氢盐浓度曲线治疗，有多种曲线可选，实现个性化透析。</w:t>
      </w:r>
      <w:r/>
    </w:p>
    <w:p>
      <w:pPr>
        <w:spacing w:line="360" w:lineRule="auto"/>
        <w:rPr>
          <w:rFonts w:hint="eastAsia" w:ascii="宋体" w:hAnsi="宋体" w:eastAsia="宋体"/>
          <w:sz w:val="24"/>
          <w:szCs w:val="24"/>
        </w:rPr>
      </w:pPr>
      <w:r>
        <w:rPr>
          <w:rFonts w:hint="eastAsia" w:ascii="宋体" w:hAnsi="宋体" w:eastAsia="宋体"/>
          <w:sz w:val="24"/>
          <w:szCs w:val="24"/>
        </w:rPr>
        <w:t xml:space="preserve">21、超滤曲线：可进行可调超滤曲线治疗，有多种曲线可选，实现个性化透析。</w:t>
      </w:r>
      <w:r/>
    </w:p>
    <w:p>
      <w:pPr>
        <w:spacing w:line="360" w:lineRule="auto"/>
        <w:rPr>
          <w:rFonts w:hint="eastAsia" w:ascii="宋体" w:hAnsi="宋体" w:eastAsia="宋体"/>
          <w:sz w:val="24"/>
          <w:szCs w:val="24"/>
        </w:rPr>
      </w:pPr>
      <w:r>
        <w:rPr>
          <w:rFonts w:hint="eastAsia" w:ascii="宋体" w:hAnsi="宋体" w:eastAsia="宋体"/>
          <w:sz w:val="24"/>
          <w:szCs w:val="24"/>
        </w:rPr>
        <w:t xml:space="preserve">22、自检：全功能数字化自检，包括所有控制、监测、水路等系统，自检不可跳过。</w:t>
      </w:r>
      <w:r/>
    </w:p>
    <w:p>
      <w:pPr>
        <w:spacing w:line="360" w:lineRule="auto"/>
        <w:rPr>
          <w:rFonts w:hint="eastAsia" w:ascii="宋体" w:hAnsi="宋体" w:eastAsia="宋体"/>
          <w:sz w:val="24"/>
          <w:szCs w:val="24"/>
        </w:rPr>
      </w:pPr>
      <w:r>
        <w:rPr>
          <w:rFonts w:hint="eastAsia" w:ascii="宋体" w:hAnsi="宋体" w:eastAsia="宋体"/>
          <w:sz w:val="24"/>
          <w:szCs w:val="24"/>
        </w:rPr>
        <w:t xml:space="preserve">23、具有一键排液功能，治疗结束后可以一键自动排出透析器膜内、膜外和管</w:t>
      </w:r>
      <w:r>
        <w:rPr>
          <w:rFonts w:hint="eastAsia" w:ascii="宋体" w:hAnsi="宋体" w:eastAsia="宋体"/>
          <w:sz w:val="24"/>
          <w:szCs w:val="24"/>
        </w:rPr>
        <w:t xml:space="preserve">路内液体。</w:t>
      </w:r>
      <w:r/>
    </w:p>
    <w:p>
      <w:pPr>
        <w:spacing w:line="360" w:lineRule="auto"/>
        <w:rPr>
          <w:rFonts w:hint="eastAsia" w:ascii="宋体" w:hAnsi="宋体" w:eastAsia="宋体"/>
          <w:sz w:val="24"/>
          <w:szCs w:val="24"/>
        </w:rPr>
      </w:pPr>
      <w:r>
        <w:rPr>
          <w:rFonts w:hint="eastAsia" w:ascii="宋体" w:hAnsi="宋体" w:eastAsia="宋体"/>
          <w:sz w:val="24"/>
          <w:szCs w:val="24"/>
        </w:rPr>
        <w:t xml:space="preserve">24、采用水电路分离设计，增加机器安全性。</w:t>
      </w:r>
      <w:r/>
    </w:p>
    <w:p>
      <w:pPr>
        <w:spacing w:line="360" w:lineRule="auto"/>
        <w:rPr>
          <w:rFonts w:hint="eastAsia" w:ascii="宋体" w:hAnsi="宋体" w:eastAsia="宋体"/>
          <w:sz w:val="24"/>
          <w:szCs w:val="24"/>
        </w:rPr>
      </w:pPr>
      <w:r>
        <w:rPr>
          <w:rFonts w:hint="eastAsia" w:ascii="宋体" w:hAnsi="宋体" w:eastAsia="宋体"/>
          <w:sz w:val="24"/>
          <w:szCs w:val="24"/>
        </w:rPr>
        <w:t xml:space="preserve">25、设备可记录操作信息和设定信息，具备搜索查找操作记录功能。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26、可提供血压监测功能。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27、可提供血容监测功能。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28、可提供血温监测功能。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29、可提供在线清除率监测功能。</w:t>
      </w:r>
      <w:r/>
    </w:p>
    <w:p>
      <w:pPr>
        <w:spacing w:line="360" w:lineRule="auto"/>
        <w:rPr>
          <w:rFonts w:hint="eastAsia" w:ascii="宋体" w:hAnsi="宋体" w:eastAsia="宋体"/>
          <w:sz w:val="24"/>
          <w:szCs w:val="24"/>
        </w:rPr>
      </w:pPr>
      <w:r>
        <w:rPr>
          <w:rFonts w:hint="eastAsia" w:ascii="宋体" w:hAnsi="宋体" w:eastAsia="宋体"/>
          <w:sz w:val="24"/>
          <w:szCs w:val="24"/>
        </w:rPr>
        <w:t xml:space="preserve">30、系统对接：设备应具备良好的兼容性，能够与医院现有的信息系统（如HIS系统）进行对接，实现数据共享和管理。</w:t>
      </w:r>
      <w:r/>
    </w:p>
    <w:p>
      <w:pPr>
        <w:spacing w:line="360" w:lineRule="auto"/>
        <w:rPr>
          <w:rFonts w:hint="eastAsia" w:ascii="宋体" w:hAnsi="宋体" w:eastAsia="宋体"/>
          <w:sz w:val="24"/>
          <w:szCs w:val="24"/>
        </w:rPr>
      </w:pPr>
      <w:r>
        <w:rPr>
          <w:rFonts w:hint="eastAsia" w:ascii="宋体" w:hAnsi="宋体" w:eastAsia="宋体"/>
          <w:sz w:val="24"/>
          <w:szCs w:val="24"/>
        </w:rPr>
        <w:t xml:space="preserve">31、具有透析液流速比例控制功能。调节血泵速度后，透析液流速可按比例自动调整。</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rPr>
              <w:t xml:space="preserve">合同签订后30</w:t>
            </w:r>
            <w:r>
              <w:rPr>
                <w:rFonts w:hint="eastAsia" w:ascii="宋体" w:hAnsi="宋体" w:eastAsia="宋体" w:cs="仿宋"/>
                <w:sz w:val="24"/>
                <w:szCs w:val="24"/>
              </w:rPr>
              <w:t xml:space="preserve">个工作日</w:t>
            </w:r>
            <w:r>
              <w:rPr>
                <w:rFonts w:hint="eastAsia" w:ascii="宋体" w:hAnsi="宋体" w:eastAsia="宋体" w:cs="仿宋"/>
                <w:sz w:val="24"/>
                <w:szCs w:val="24"/>
              </w:rPr>
              <w:t xml:space="preserve">内，分发到各指定医院现场完成交货</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提供5年及以上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1、</w:t>
            </w:r>
            <w:r>
              <w:rPr>
                <w:rFonts w:hint="eastAsia" w:ascii="宋体" w:hAnsi="宋体" w:eastAsia="宋体" w:cs="仿宋"/>
                <w:sz w:val="24"/>
                <w:szCs w:val="24"/>
                <w:lang w:val="zh-CN"/>
              </w:rPr>
              <w:t xml:space="preserve">合同签订完毕后</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各</w:t>
            </w:r>
            <w:r>
              <w:rPr>
                <w:rFonts w:hint="eastAsia" w:ascii="宋体" w:hAnsi="宋体" w:eastAsia="宋体" w:cs="仿宋"/>
                <w:sz w:val="24"/>
                <w:szCs w:val="24"/>
                <w:lang w:val="zh-CN"/>
              </w:rPr>
              <w:t xml:space="preserve">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w:t>
            </w:r>
            <w:r>
              <w:rPr>
                <w:rFonts w:hint="eastAsia" w:ascii="宋体" w:hAnsi="宋体" w:eastAsia="宋体" w:cs="仿宋"/>
                <w:sz w:val="24"/>
                <w:szCs w:val="24"/>
                <w:lang w:val="zh-CN"/>
              </w:rPr>
              <w:t xml:space="preserve">3</w:t>
            </w:r>
            <w:r>
              <w:rPr>
                <w:rFonts w:hint="eastAsia" w:ascii="宋体" w:hAnsi="宋体" w:eastAsia="宋体" w:cs="仿宋"/>
                <w:sz w:val="24"/>
                <w:szCs w:val="24"/>
                <w:lang w:val="zh-CN"/>
              </w:rPr>
              <w:t xml:space="preserve">0％</w:t>
            </w:r>
            <w:r>
              <w:rPr>
                <w:rFonts w:hint="eastAsia" w:ascii="宋体" w:hAnsi="宋体" w:eastAsia="宋体" w:cs="仿宋"/>
                <w:sz w:val="24"/>
                <w:szCs w:val="24"/>
                <w:lang w:val="zh-CN"/>
              </w:rPr>
              <w:t xml:space="preserve">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w:t>
            </w:r>
            <w:r>
              <w:rPr>
                <w:rFonts w:hint="eastAsia" w:ascii="宋体" w:hAnsi="宋体" w:eastAsia="宋体" w:cs="仿宋"/>
                <w:sz w:val="24"/>
                <w:szCs w:val="24"/>
                <w:lang w:val="zh-CN"/>
              </w:rPr>
              <w:t xml:space="preserve">向最终用户</w:t>
            </w:r>
            <w:r>
              <w:rPr>
                <w:rFonts w:hint="eastAsia" w:ascii="宋体" w:hAnsi="宋体" w:eastAsia="宋体" w:cs="仿宋"/>
                <w:sz w:val="24"/>
                <w:szCs w:val="24"/>
                <w:lang w:val="zh-CN"/>
              </w:rPr>
              <w:t xml:space="preserve">开具</w:t>
            </w:r>
            <w:r>
              <w:rPr>
                <w:rFonts w:hint="eastAsia" w:ascii="宋体" w:hAnsi="宋体" w:eastAsia="宋体" w:cs="仿宋"/>
                <w:sz w:val="24"/>
                <w:szCs w:val="24"/>
                <w:lang w:val="zh-CN"/>
              </w:rPr>
              <w:t xml:space="preserve">真实、合法的全额销售发票，最终用户</w:t>
            </w:r>
            <w:r>
              <w:rPr>
                <w:rFonts w:hint="eastAsia" w:ascii="宋体" w:hAnsi="宋体" w:eastAsia="宋体" w:cs="仿宋"/>
                <w:sz w:val="24"/>
                <w:szCs w:val="24"/>
                <w:lang w:val="zh-CN"/>
              </w:rPr>
              <w:t xml:space="preserve">在收到发票后30日内</w:t>
            </w:r>
            <w:r>
              <w:rPr>
                <w:rFonts w:hint="eastAsia" w:ascii="宋体" w:hAnsi="宋体" w:eastAsia="宋体" w:cs="仿宋"/>
                <w:sz w:val="24"/>
                <w:szCs w:val="24"/>
                <w:lang w:val="zh-CN"/>
              </w:rPr>
              <w:t xml:space="preserve">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支付合同总价的</w:t>
            </w:r>
            <w:r>
              <w:rPr>
                <w:rFonts w:hint="eastAsia" w:ascii="宋体" w:hAnsi="宋体" w:eastAsia="宋体" w:cs="仿宋"/>
                <w:sz w:val="24"/>
                <w:szCs w:val="24"/>
                <w:lang w:val="zh-CN"/>
              </w:rPr>
              <w:t xml:space="preserve">7</w:t>
            </w:r>
            <w:r>
              <w:rPr>
                <w:rFonts w:hint="eastAsia" w:ascii="宋体" w:hAnsi="宋体" w:eastAsia="宋体" w:cs="仿宋"/>
                <w:sz w:val="24"/>
                <w:szCs w:val="24"/>
                <w:lang w:val="zh-CN"/>
              </w:rPr>
              <w:t xml:space="preserve">0％</w:t>
            </w:r>
            <w:r>
              <w:rPr>
                <w:rFonts w:hint="eastAsia" w:ascii="宋体" w:hAnsi="宋体" w:eastAsia="宋体" w:cs="仿宋"/>
                <w:sz w:val="24"/>
                <w:szCs w:val="24"/>
                <w:lang w:val="zh-CN"/>
              </w:rPr>
              <w:t xml:space="preserve">的货款</w:t>
            </w:r>
            <w:r>
              <w:rPr>
                <w:rFonts w:hint="eastAsia" w:ascii="宋体" w:hAnsi="宋体" w:eastAsia="宋体" w:cs="仿宋"/>
                <w:sz w:val="24"/>
                <w:szCs w:val="24"/>
                <w:lang w:val="zh-CN"/>
              </w:rPr>
              <w:t xml:space="preserve">。</w:t>
            </w:r>
            <w:r/>
          </w:p>
          <w:p>
            <w:pPr>
              <w:spacing w:line="360" w:lineRule="exact"/>
              <w:rPr>
                <w:rFonts w:hint="eastAsia" w:ascii="宋体" w:hAnsi="宋体" w:eastAsia="宋体" w:cs="仿宋"/>
                <w:sz w:val="24"/>
                <w:szCs w:val="24"/>
              </w:rPr>
            </w:pPr>
            <w:r>
              <w:rPr>
                <w:rFonts w:hint="eastAsia" w:ascii="宋体" w:hAnsi="宋体" w:eastAsia="宋体" w:cs="仿宋"/>
                <w:sz w:val="24"/>
                <w:szCs w:val="24"/>
                <w:lang w:val="zh-CN"/>
              </w:rPr>
              <w:t xml:space="preserve">2</w:t>
            </w:r>
            <w:r>
              <w:rPr>
                <w:rFonts w:hint="eastAsia" w:ascii="宋体" w:hAnsi="宋体" w:eastAsia="宋体" w:cs="仿宋"/>
                <w:sz w:val="24"/>
                <w:szCs w:val="24"/>
                <w:lang w:val="zh-CN"/>
              </w:rPr>
              <w:t xml:space="preserve">、税费：本合同执行中相关的一切税费均由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1</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设备验收由</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负责具体实施；应当按招投标文件的要求及投标文件承诺</w:t>
            </w:r>
            <w:r>
              <w:rPr>
                <w:rFonts w:hint="eastAsia" w:ascii="宋体" w:hAnsi="宋体" w:eastAsia="宋体" w:cs="仿宋"/>
                <w:sz w:val="24"/>
                <w:szCs w:val="24"/>
                <w:lang w:val="zh-CN"/>
              </w:rPr>
              <w:t xml:space="preserve">(以更优者为准)</w:t>
            </w:r>
            <w:r>
              <w:rPr>
                <w:rFonts w:hint="eastAsia" w:ascii="宋体" w:hAnsi="宋体" w:eastAsia="宋体" w:cs="仿宋"/>
                <w:sz w:val="24"/>
                <w:szCs w:val="24"/>
                <w:lang w:val="zh-CN"/>
              </w:rPr>
              <w:t xml:space="preserve">的配置要求对全部设备(如型号、规格、数量</w:t>
            </w:r>
            <w:r>
              <w:rPr>
                <w:rFonts w:hint="eastAsia" w:ascii="宋体" w:hAnsi="宋体" w:eastAsia="宋体" w:cs="仿宋"/>
                <w:sz w:val="24"/>
                <w:szCs w:val="24"/>
                <w:lang w:val="zh-CN"/>
              </w:rPr>
              <w:t xml:space="preserve">等)</w:t>
            </w:r>
            <w:r>
              <w:rPr>
                <w:rFonts w:hint="eastAsia" w:ascii="宋体" w:hAnsi="宋体" w:eastAsia="宋体" w:cs="仿宋"/>
                <w:sz w:val="24"/>
                <w:szCs w:val="24"/>
                <w:lang w:val="zh-CN"/>
              </w:rPr>
              <w:t xml:space="preserve">以及文件(如装箱清单、产品合格证明文件，使用说明书、软件介质</w:t>
            </w:r>
            <w:r>
              <w:rPr>
                <w:rFonts w:hint="eastAsia" w:ascii="宋体" w:hAnsi="宋体" w:eastAsia="宋体" w:cs="仿宋"/>
                <w:sz w:val="24"/>
                <w:szCs w:val="24"/>
                <w:lang w:val="zh-CN"/>
              </w:rPr>
              <w:t xml:space="preserve">等)</w:t>
            </w:r>
            <w:r>
              <w:rPr>
                <w:rFonts w:hint="eastAsia" w:ascii="宋体" w:hAnsi="宋体" w:eastAsia="宋体" w:cs="仿宋"/>
                <w:sz w:val="24"/>
                <w:szCs w:val="24"/>
                <w:lang w:val="zh-CN"/>
              </w:rPr>
              <w:t xml:space="preserve">进行验收；应当按招投标文件技术要求对设备应能实现的技术功能进行测试验收，在测试或运行中出现性能指标或功能上不符合投标文件承诺和合同要求时，</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应及时解决。不符合招投标文件要求的，将视情况按验收不合格设备进行处置。设备验收前提供原厂（或国内总代）出具的质保函。（投标文件中单独提供承诺函）</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2</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交货前应对设备及配件作出全面检查和对验收文件进行整理，并列出清单。</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交付设备及配件时，必须提交国家规定的关于其质量、价格、使用及售后服务的相关资料和文件，同时必须将本次投标文件关于其质量、服务及相关承诺的复印件、加盖</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公章的销售发票复印件交与</w:t>
            </w:r>
            <w:r>
              <w:rPr>
                <w:rFonts w:hint="eastAsia" w:ascii="宋体" w:hAnsi="宋体" w:eastAsia="宋体" w:cs="仿宋"/>
                <w:sz w:val="24"/>
                <w:szCs w:val="24"/>
              </w:rPr>
              <w:t xml:space="preserve">医院</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应向</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至少提供以下文档：装箱清单，产品合格证明文件、原厂售后服务承诺，易损件和试剂耗材价格(未提供视同质保期内免费提供),中文使用说明书等。</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3</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验收报告经</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和</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确认后，作为付款条件之一。资料不齐全、验收不合格设备，</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有权拒收，</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应在限期内整改和更换到位。</w:t>
            </w:r>
            <w:r/>
          </w:p>
          <w:p>
            <w:pPr>
              <w:spacing w:line="360" w:lineRule="exact"/>
              <w:rPr>
                <w:rFonts w:hint="eastAsia" w:ascii="宋体" w:hAnsi="宋体" w:eastAsia="宋体" w:cs="仿宋"/>
                <w:sz w:val="24"/>
                <w:szCs w:val="24"/>
                <w:lang w:val="zh-CN"/>
              </w:rPr>
            </w:pPr>
            <w:r>
              <w:rPr>
                <w:rFonts w:hint="eastAsia" w:ascii="宋体" w:hAnsi="宋体" w:eastAsia="宋体" w:cs="仿宋"/>
                <w:sz w:val="24"/>
                <w:szCs w:val="24"/>
                <w:lang w:val="zh-CN"/>
              </w:rPr>
              <w:t xml:space="preserve">4</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提供的设备需负责安装并免费向</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提供现场技术培训，培训应按照</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投标文件提供的培训方案实施，并协助</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一起调试，直到符合技术要求，</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才做最终验收。</w:t>
            </w:r>
            <w:r/>
          </w:p>
          <w:p>
            <w:pPr>
              <w:spacing w:line="360" w:lineRule="exact"/>
              <w:rPr>
                <w:rFonts w:hint="eastAsia" w:ascii="宋体" w:hAnsi="宋体" w:eastAsia="宋体" w:cs="仿宋"/>
                <w:sz w:val="24"/>
                <w:szCs w:val="24"/>
              </w:rPr>
            </w:pPr>
            <w:r>
              <w:rPr>
                <w:rFonts w:hint="eastAsia" w:ascii="宋体" w:hAnsi="宋体" w:eastAsia="宋体" w:cs="仿宋"/>
                <w:sz w:val="24"/>
                <w:szCs w:val="24"/>
                <w:lang w:val="zh-CN"/>
              </w:rPr>
              <w:t xml:space="preserve">5</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验收时双方如果就质量问题有争议，可以委托江苏省省级法定检测机构进行检测评定。质量合格的检测费用由</w:t>
            </w:r>
            <w:r>
              <w:rPr>
                <w:rFonts w:hint="eastAsia" w:ascii="宋体" w:hAnsi="宋体" w:eastAsia="宋体" w:cs="仿宋"/>
                <w:sz w:val="24"/>
                <w:szCs w:val="24"/>
              </w:rPr>
              <w:t xml:space="preserve">最终用户</w:t>
            </w:r>
            <w:r>
              <w:rPr>
                <w:rFonts w:hint="eastAsia" w:ascii="宋体" w:hAnsi="宋体" w:eastAsia="宋体" w:cs="仿宋"/>
                <w:sz w:val="24"/>
                <w:szCs w:val="24"/>
                <w:lang w:val="zh-CN"/>
              </w:rPr>
              <w:t xml:space="preserve">承担，质量不合格的，检测费用由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承担。</w:t>
            </w:r>
            <w:r/>
          </w:p>
        </w:tc>
      </w:tr>
      <w:tr>
        <w:trPr>
          <w:jc w:val="center"/>
          <w:trHeight w:val="90"/>
        </w:trPr>
        <w:tc>
          <w:tcPr>
            <w:tcW w:w="465" w:type="pct"/>
            <w:vAlign w:val="center"/>
            <w:textDirection w:val="lrTb"/>
            <w:noWrap w:val="false"/>
          </w:tcPr>
          <w:p>
            <w:pPr>
              <w:jc w:val="center"/>
              <w:spacing w:line="400" w:lineRule="exact"/>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1.供应商提供的设备应为全新、未使用过的原装合格正品，并且符合国家有关质量技术标准及相关法律、法规规定的要求。设备的质量标准、应用操作培训、售后服务及维修、耗材的供应价格等，按招标文件要求、供应商投标文件承诺及国家规定的相关标准执行。</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供应商提供整体售后服务方案</w:t>
            </w:r>
            <w:r>
              <w:rPr>
                <w:rFonts w:hint="eastAsia" w:ascii="宋体" w:hAnsi="宋体" w:eastAsia="宋体" w:cs="仿宋"/>
                <w:sz w:val="24"/>
                <w:szCs w:val="24"/>
              </w:rPr>
              <w:t xml:space="preserve">(响应</w:t>
            </w:r>
            <w:r>
              <w:rPr>
                <w:rFonts w:hint="eastAsia" w:ascii="宋体" w:hAnsi="宋体" w:eastAsia="宋体" w:cs="仿宋"/>
                <w:sz w:val="24"/>
                <w:szCs w:val="24"/>
              </w:rPr>
              <w:t xml:space="preserve">时间，回访巡检方案、故障解决措施、技术人员</w:t>
            </w:r>
            <w:r>
              <w:rPr>
                <w:rFonts w:hint="eastAsia" w:ascii="宋体" w:hAnsi="宋体" w:eastAsia="宋体" w:cs="仿宋"/>
                <w:sz w:val="24"/>
                <w:szCs w:val="24"/>
              </w:rPr>
              <w:t xml:space="preserve">保障、备品配件价格</w:t>
            </w:r>
            <w:r>
              <w:rPr>
                <w:rFonts w:hint="eastAsia" w:ascii="宋体" w:hAnsi="宋体" w:eastAsia="宋体" w:cs="仿宋"/>
                <w:sz w:val="24"/>
                <w:szCs w:val="24"/>
              </w:rPr>
              <w:t xml:space="preserve">等)</w:t>
            </w:r>
            <w:r>
              <w:rPr>
                <w:rFonts w:hint="eastAsia" w:ascii="宋体" w:hAnsi="宋体" w:eastAsia="宋体" w:cs="仿宋"/>
                <w:sz w:val="24"/>
                <w:szCs w:val="24"/>
              </w:rPr>
              <w:t xml:space="preserve">、本地化服务方案</w:t>
            </w:r>
            <w:r>
              <w:rPr>
                <w:rFonts w:hint="eastAsia" w:ascii="宋体" w:hAnsi="宋体" w:eastAsia="宋体" w:cs="仿宋"/>
                <w:sz w:val="24"/>
                <w:szCs w:val="24"/>
              </w:rPr>
              <w:t xml:space="preserve">(江苏省</w:t>
            </w:r>
            <w:r>
              <w:rPr>
                <w:rFonts w:hint="eastAsia" w:ascii="宋体" w:hAnsi="宋体" w:eastAsia="宋体" w:cs="仿宋"/>
                <w:sz w:val="24"/>
                <w:szCs w:val="24"/>
              </w:rPr>
              <w:t xml:space="preserve">内各服务网点、维修网点设置情况以及技术人员安排</w:t>
            </w:r>
            <w:r>
              <w:rPr>
                <w:rFonts w:hint="eastAsia" w:ascii="宋体" w:hAnsi="宋体" w:eastAsia="宋体" w:cs="仿宋"/>
                <w:sz w:val="24"/>
                <w:szCs w:val="24"/>
              </w:rPr>
              <w:t xml:space="preserve">情况)</w:t>
            </w:r>
            <w:r>
              <w:rPr>
                <w:rFonts w:hint="eastAsia" w:ascii="宋体" w:hAnsi="宋体" w:eastAsia="宋体" w:cs="仿宋"/>
                <w:sz w:val="24"/>
                <w:szCs w:val="24"/>
              </w:rPr>
              <w:t xml:space="preserve">等服务内容；供应商按照招标文件要求提供免费质保期承诺，鼓励增加免费质保期。</w:t>
            </w:r>
            <w:r/>
          </w:p>
          <w:p>
            <w:pPr>
              <w:pStyle w:val="834"/>
              <w:ind w:firstLine="0"/>
              <w:spacing w:line="360" w:lineRule="exact"/>
              <w:rPr>
                <w:rFonts w:hint="eastAsia" w:ascii="宋体" w:hAnsi="宋体" w:eastAsia="宋体" w:cs="仿宋"/>
                <w:sz w:val="24"/>
                <w:szCs w:val="24"/>
              </w:rPr>
            </w:pPr>
            <w:r>
              <w:rPr>
                <w:rFonts w:hint="eastAsia" w:ascii="宋体" w:hAnsi="宋体" w:eastAsia="宋体" w:cs="仿宋"/>
                <w:sz w:val="24"/>
                <w:szCs w:val="24"/>
              </w:rPr>
              <w:t xml:space="preserve">供应商提供整体应急保障方案（应急响应组织架构、应急响应时间、备件保障方案、备用设备替代方案等）。</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2.供应商提供的设备在质保期内因设备本身的质量问题发生故障，供应商应负责免费上门维修。设备自验收合格之日起6个月内，若因质量问题累计维修超过3次且严重影响临床诊疗的，中标供应商须无条件免费更换全新同型号设备。对达不到技术要求者，根据实际情</w:t>
            </w:r>
            <w:r>
              <w:rPr>
                <w:rFonts w:hint="eastAsia" w:ascii="宋体" w:hAnsi="宋体" w:eastAsia="宋体" w:cs="仿宋"/>
                <w:sz w:val="24"/>
                <w:szCs w:val="24"/>
              </w:rPr>
              <w:t xml:space="preserve">况，最终用户可选择按以下办法处理：</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(1)更换：由供应商承担所发生的全部费用。</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(2)退货：供应商应退还院方支付的货款，同时应承担该设备的直接费用(运输、保险、检验、货款利息及银行手续费</w:t>
            </w:r>
            <w:r>
              <w:rPr>
                <w:rFonts w:hint="eastAsia" w:ascii="宋体" w:hAnsi="宋体" w:eastAsia="宋体" w:cs="仿宋"/>
                <w:sz w:val="24"/>
                <w:szCs w:val="24"/>
              </w:rPr>
              <w:t xml:space="preserve">等)</w:t>
            </w:r>
            <w:r>
              <w:rPr>
                <w:rFonts w:hint="eastAsia" w:ascii="宋体" w:hAnsi="宋体" w:eastAsia="宋体" w:cs="仿宋"/>
                <w:sz w:val="24"/>
                <w:szCs w:val="24"/>
              </w:rPr>
              <w:t xml:space="preserve">及由此对院方造成的损失。</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3.在质保期内，供应商应对设备出现的质量及安全问题负责处理解决并承担一切费用。</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4.超过质保期的机器设备，维修时只收部件成本费用，不收取工时等杂费，成本费用不得高于投标文件所作的承诺。</w:t>
            </w:r>
            <w:r/>
          </w:p>
          <w:p>
            <w:pPr>
              <w:spacing w:line="360" w:lineRule="exact"/>
              <w:rPr>
                <w:rFonts w:hint="eastAsia" w:ascii="宋体" w:hAnsi="宋体" w:eastAsia="宋体"/>
                <w:sz w:val="24"/>
                <w:szCs w:val="24"/>
              </w:rPr>
            </w:pPr>
            <w:r>
              <w:rPr>
                <w:rFonts w:hint="eastAsia" w:ascii="宋体" w:hAnsi="宋体" w:eastAsia="宋体" w:cs="仿宋"/>
                <w:sz w:val="24"/>
                <w:szCs w:val="24"/>
              </w:rPr>
              <w:t xml:space="preserve">5.为了确保设备正常运行，供应商应提供技术服务热线(7*24小时),负责解答院方在设备使用中遇到的问题，并及时提出解决问题的建议和操作方法；提供7*8小时现场</w:t>
            </w:r>
            <w:r>
              <w:rPr>
                <w:rFonts w:hint="eastAsia" w:ascii="宋体" w:hAnsi="宋体" w:eastAsia="宋体" w:cs="仿宋"/>
                <w:sz w:val="24"/>
                <w:szCs w:val="24"/>
              </w:rPr>
              <w:t xml:space="preserve">维修和技术支持服务；如果在48小时内无法解决故障，须提供不低于采购型号规格档次的备用机；供应商应当设立投诉专线，接受院方的投诉。</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6.承诺在硬件条件允许的情况下，终身免费升级软件，并对新软件的功能免费培训。</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7.提供医院能正常采购设备配套耗材（试剂）（建议采购江苏省药品和医用耗材招采管理系统平台内的配套耗材（试剂）)，并提供设备配套耗材（试剂）明细清单、招采平台中标信息及耗材（试剂）的相关资质。如果设备需配套耗材或试剂的，请说明具体名称、规格/型号；若耗材或试剂为专机专用，需提供生产厂家专机专用承诺函（盖生产厂家盖公章）。</w:t>
            </w:r>
            <w:r/>
          </w:p>
          <w:p>
            <w:pPr>
              <w:spacing w:line="360" w:lineRule="exact"/>
              <w:rPr>
                <w:rFonts w:hint="eastAsia" w:ascii="宋体" w:hAnsi="宋体" w:eastAsia="宋体" w:cs="仿宋"/>
                <w:sz w:val="24"/>
                <w:szCs w:val="24"/>
              </w:rPr>
            </w:pPr>
            <w:r>
              <w:rPr>
                <w:rFonts w:hint="eastAsia" w:ascii="宋体" w:hAnsi="宋体" w:eastAsia="宋体" w:cs="仿宋"/>
                <w:sz w:val="24"/>
                <w:szCs w:val="24"/>
              </w:rPr>
              <w:t xml:space="preserve">8.培训要求：中标供应商供货时应免费向医院提供现场技术培训，或根据院方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院方要求。</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向履行本项目有关的人员提供，也应注意保密并限于履行的必需范围。</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1.供应商逾期交付设备的，院方可从货款中扣除相应的误期赔偿费，延期交货和延期服务的赔偿费每周按合同价款的百分之2</w:t>
            </w:r>
            <w:r>
              <w:rPr>
                <w:rFonts w:hint="eastAsia" w:ascii="宋体" w:hAnsi="宋体" w:eastAsia="宋体" w:cs="仿宋"/>
                <w:sz w:val="24"/>
                <w:szCs w:val="24"/>
              </w:rPr>
              <w:t xml:space="preserve">(2%)</w:t>
            </w:r>
            <w:r>
              <w:rPr>
                <w:rFonts w:hint="eastAsia" w:ascii="宋体" w:hAnsi="宋体" w:eastAsia="宋体" w:cs="仿宋"/>
                <w:sz w:val="24"/>
                <w:szCs w:val="24"/>
              </w:rPr>
              <w:t xml:space="preserve">计收，直至交货或提供服务为止。但误期赔偿费的最高限额不超过合同价款的百分之二十(20%)。一周按7天计算，不足7天按一周计算。一旦达到误期赔偿的最高限额，甲方有权终止合同。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货处理。供应商拒绝更换设备的，院方可单方面解除项目，供应商应向院方支付货款总值5%的违约金，如造成院方损失超过违约金的，超出部分由供应商继续承担赔偿责任。</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40" w:lineRule="exact"/>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40" w:lineRule="exact"/>
              <w:rPr>
                <w:rFonts w:hint="eastAsia"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28"/>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9"/>
      <w:r/>
      <w:bookmarkEnd w:id="40"/>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2" w:name="_Hlk147842034"/>
      <w:r>
        <w:rPr>
          <w:rFonts w:cs="仿宋" w:asciiTheme="minorEastAsia" w:hAnsiTheme="minorEastAsia" w:eastAsiaTheme="minorEastAsia"/>
          <w:b/>
          <w:color w:val="000000" w:themeColor="text1"/>
          <w:sz w:val="24"/>
          <w:szCs w:val="24"/>
        </w:rPr>
        <w:br w:type="page" w:clear="all"/>
      </w:r>
      <w:r/>
    </w:p>
    <w:p>
      <w:pPr>
        <w:pStyle w:val="862"/>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3572"/>
        </w:trPr>
        <w:tc>
          <w:tcPr>
            <w:tcW w:w="395"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1</w:t>
            </w:r>
            <w:r/>
          </w:p>
        </w:tc>
        <w:tc>
          <w:tcPr>
            <w:tcW w:w="704"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报价</w:t>
            </w:r>
            <w:r/>
          </w:p>
        </w:tc>
        <w:tc>
          <w:tcPr>
            <w:tcW w:w="3430" w:type="pct"/>
            <w:vAlign w:val="center"/>
            <w:textDirection w:val="lrTb"/>
            <w:noWrap w:val="false"/>
          </w:tcPr>
          <w:p>
            <w:pPr>
              <w:jc w:val="left"/>
              <w:rPr>
                <w:rFonts w:hint="eastAsia" w:ascii="宋体" w:hAnsi="宋体" w:eastAsia="宋体" w:cs="仿宋"/>
                <w:sz w:val="24"/>
                <w:szCs w:val="24"/>
              </w:rPr>
            </w:pPr>
            <w:r>
              <w:rPr>
                <w:rFonts w:hint="eastAsia" w:ascii="宋体" w:hAnsi="宋体" w:eastAsia="宋体" w:cs="仿宋"/>
                <w:sz w:val="24"/>
                <w:szCs w:val="24"/>
              </w:rPr>
              <w:t xml:space="preserve">按满足</w:t>
            </w:r>
            <w:r>
              <w:rPr>
                <w:rFonts w:hint="eastAsia" w:ascii="宋体" w:hAnsi="宋体" w:eastAsia="宋体" w:cs="仿宋"/>
                <w:sz w:val="24"/>
                <w:szCs w:val="24"/>
              </w:rPr>
              <w:t xml:space="preserve">公开招标</w:t>
            </w:r>
            <w:r>
              <w:rPr>
                <w:rFonts w:hint="eastAsia" w:ascii="宋体" w:hAnsi="宋体" w:eastAsia="宋体" w:cs="仿宋"/>
                <w:sz w:val="24"/>
                <w:szCs w:val="24"/>
              </w:rPr>
              <w:t xml:space="preserve">文件要求且最终有效投标价格最低的投标报价作为评审基准价，其价格分为满分</w:t>
            </w:r>
            <w:r>
              <w:rPr>
                <w:rFonts w:hint="eastAsia" w:ascii="宋体" w:hAnsi="宋体" w:eastAsia="宋体" w:cs="仿宋"/>
                <w:b/>
                <w:bCs/>
                <w:sz w:val="24"/>
                <w:szCs w:val="24"/>
              </w:rPr>
              <w:t xml:space="preserve">30分</w:t>
            </w:r>
            <w:r>
              <w:rPr>
                <w:rFonts w:hint="eastAsia" w:ascii="宋体" w:hAnsi="宋体" w:eastAsia="宋体" w:cs="仿宋"/>
                <w:sz w:val="24"/>
                <w:szCs w:val="24"/>
              </w:rPr>
              <w:t xml:space="preserve">：</w:t>
            </w:r>
            <w:r/>
          </w:p>
          <w:p>
            <w:pPr>
              <w:numPr>
                <w:ilvl w:val="0"/>
                <w:numId w:val="10"/>
              </w:numPr>
              <w:jc w:val="left"/>
              <w:tabs>
                <w:tab w:val="left" w:pos="312" w:leader="none"/>
              </w:tabs>
              <w:rPr>
                <w:rFonts w:hint="eastAsia" w:ascii="宋体" w:hAnsi="宋体" w:eastAsia="宋体" w:cs="仿宋"/>
                <w:sz w:val="24"/>
                <w:szCs w:val="24"/>
              </w:rPr>
            </w:pPr>
            <w:r>
              <w:rPr>
                <w:rFonts w:hint="eastAsia" w:ascii="宋体" w:hAnsi="宋体" w:eastAsia="宋体" w:cs="仿宋"/>
                <w:sz w:val="24"/>
                <w:szCs w:val="24"/>
              </w:rPr>
              <w:t xml:space="preserve">设备报价满分</w:t>
            </w:r>
            <w:r>
              <w:rPr>
                <w:rFonts w:hint="eastAsia" w:ascii="宋体" w:hAnsi="宋体" w:eastAsia="宋体" w:cs="仿宋"/>
                <w:b/>
                <w:bCs/>
                <w:sz w:val="24"/>
                <w:szCs w:val="24"/>
              </w:rPr>
              <w:t xml:space="preserve">30分</w:t>
            </w:r>
            <w:r>
              <w:rPr>
                <w:rFonts w:hint="eastAsia" w:ascii="宋体" w:hAnsi="宋体" w:eastAsia="宋体" w:cs="仿宋"/>
                <w:sz w:val="24"/>
                <w:szCs w:val="24"/>
              </w:rPr>
              <w:t xml:space="preserve">，其他供应商的价格分按以下公式计算：设备投标报价得分=(评审基准价/最终投标报价)×</w:t>
            </w:r>
            <w:r>
              <w:rPr>
                <w:rFonts w:hint="eastAsia" w:ascii="宋体" w:hAnsi="宋体" w:eastAsia="宋体" w:cs="仿宋"/>
                <w:b/>
                <w:bCs/>
                <w:sz w:val="24"/>
                <w:szCs w:val="24"/>
              </w:rPr>
              <w:t xml:space="preserve">30</w:t>
            </w:r>
            <w:r>
              <w:rPr>
                <w:rFonts w:hint="eastAsia" w:ascii="宋体" w:hAnsi="宋体" w:eastAsia="宋体" w:cs="仿宋"/>
                <w:sz w:val="24"/>
                <w:szCs w:val="24"/>
              </w:rPr>
              <w:t xml:space="preserve">(分值保留两位小数)。</w:t>
            </w:r>
            <w:r>
              <w:rPr>
                <w:rFonts w:hint="eastAsia" w:ascii="宋体" w:hAnsi="宋体" w:eastAsia="宋体" w:cs="仿宋"/>
                <w:sz w:val="24"/>
                <w:szCs w:val="24"/>
              </w:rPr>
              <w:t xml:space="preserve">价格扣除：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5741"/>
        </w:trPr>
        <w:tc>
          <w:tcPr>
            <w:tcW w:w="395"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2</w:t>
            </w:r>
            <w:r/>
          </w:p>
        </w:tc>
        <w:tc>
          <w:tcPr>
            <w:tcW w:w="704" w:type="pct"/>
            <w:vAlign w:val="center"/>
            <w:textDirection w:val="lrTb"/>
            <w:noWrap w:val="false"/>
          </w:tcPr>
          <w:p>
            <w:pPr>
              <w:jc w:val="center"/>
              <w:rPr>
                <w:rFonts w:hint="eastAsia" w:ascii="宋体" w:hAnsi="宋体" w:eastAsia="宋体" w:cs="仿宋"/>
                <w:b/>
                <w:sz w:val="24"/>
                <w:szCs w:val="24"/>
              </w:rPr>
            </w:pPr>
            <w:r>
              <w:rPr>
                <w:rFonts w:hint="eastAsia" w:ascii="宋体" w:hAnsi="宋体" w:eastAsia="宋体" w:cs="仿宋"/>
                <w:b/>
                <w:sz w:val="24"/>
                <w:szCs w:val="24"/>
              </w:rPr>
              <w:t xml:space="preserve">技术、性</w:t>
            </w:r>
            <w:r/>
          </w:p>
          <w:p>
            <w:pPr>
              <w:jc w:val="center"/>
              <w:rPr>
                <w:rFonts w:hint="eastAsia" w:ascii="宋体" w:hAnsi="宋体" w:eastAsia="宋体" w:cs="仿宋"/>
                <w:sz w:val="24"/>
                <w:szCs w:val="24"/>
              </w:rPr>
            </w:pPr>
            <w:r>
              <w:rPr>
                <w:rFonts w:hint="eastAsia" w:ascii="宋体" w:hAnsi="宋体" w:eastAsia="宋体" w:cs="仿宋"/>
                <w:b/>
                <w:sz w:val="24"/>
                <w:szCs w:val="24"/>
              </w:rPr>
              <w:t xml:space="preserve">能、配置</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rPr>
                <w:rFonts w:hint="eastAsia" w:ascii="宋体" w:hAnsi="宋体" w:eastAsia="宋体" w:cs="仿宋"/>
                <w:sz w:val="24"/>
                <w:szCs w:val="24"/>
              </w:rPr>
            </w:pPr>
            <w:r>
              <w:rPr>
                <w:rFonts w:hint="eastAsia" w:ascii="宋体" w:hAnsi="宋体" w:eastAsia="宋体" w:cs="仿宋"/>
                <w:sz w:val="24"/>
                <w:szCs w:val="24"/>
              </w:rPr>
              <w:t xml:space="preserve">1.全部满足标书基本要求得35分，正偏离不加分，</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为核心技术指标（如有），</w:t>
            </w:r>
            <w:r>
              <w:rPr>
                <w:rFonts w:hint="eastAsia" w:ascii="宋体" w:hAnsi="宋体" w:eastAsia="宋体" w:cs="仿宋"/>
                <w:sz w:val="24"/>
                <w:szCs w:val="24"/>
              </w:rPr>
              <w:t xml:space="preserve">有一项★号指标负偏离做废标处理；</w:t>
            </w:r>
            <w:r/>
          </w:p>
          <w:p>
            <w:pPr>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仿宋"/>
                <w:sz w:val="24"/>
                <w:szCs w:val="24"/>
              </w:rPr>
              <w:t xml:space="preserve"> ▲号指标</w:t>
            </w:r>
            <w:r>
              <w:rPr>
                <w:rFonts w:hint="eastAsia" w:ascii="宋体" w:hAnsi="宋体" w:eastAsia="宋体" w:cs="仿宋"/>
                <w:sz w:val="24"/>
                <w:szCs w:val="24"/>
              </w:rPr>
              <w:t xml:space="preserve">为关键技术指标，</w:t>
            </w:r>
            <w:r>
              <w:rPr>
                <w:rFonts w:hint="eastAsia" w:ascii="宋体" w:hAnsi="宋体" w:eastAsia="宋体" w:cs="仿宋"/>
                <w:sz w:val="24"/>
                <w:szCs w:val="24"/>
              </w:rPr>
              <w:t xml:space="preserve">有一项▲号指标负偏离扣3分；（★号、▲号指标</w:t>
            </w:r>
            <w:r>
              <w:rPr>
                <w:rFonts w:hint="eastAsia" w:ascii="宋体" w:hAnsi="宋体" w:eastAsia="宋体" w:cs="仿宋"/>
                <w:sz w:val="24"/>
                <w:szCs w:val="24"/>
              </w:rPr>
              <w:t xml:space="preserve">均</w:t>
            </w:r>
            <w:r>
              <w:rPr>
                <w:rFonts w:hint="eastAsia" w:ascii="宋体" w:hAnsi="宋体" w:eastAsia="宋体" w:cs="仿宋"/>
                <w:sz w:val="24"/>
                <w:szCs w:val="24"/>
              </w:rPr>
              <w:t xml:space="preserve">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rPr>
                <w:rFonts w:hint="eastAsia" w:ascii="宋体" w:hAnsi="宋体" w:eastAsia="宋体" w:cs="仿宋"/>
                <w:sz w:val="24"/>
                <w:szCs w:val="24"/>
              </w:rPr>
            </w:pPr>
            <w:r>
              <w:rPr>
                <w:rFonts w:hint="eastAsia" w:ascii="宋体" w:hAnsi="宋体" w:eastAsia="宋体" w:cs="仿宋"/>
                <w:sz w:val="24"/>
                <w:szCs w:val="24"/>
              </w:rPr>
              <w:t xml:space="preserve">3.</w:t>
            </w:r>
            <w:r>
              <w:rPr>
                <w:rFonts w:hint="eastAsia" w:ascii="宋体" w:hAnsi="宋体" w:eastAsia="宋体" w:cs="仿宋"/>
                <w:sz w:val="24"/>
                <w:szCs w:val="24"/>
              </w:rPr>
              <w:t xml:space="preserve">未标注</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为一般技术指标，</w:t>
            </w:r>
            <w:r>
              <w:rPr>
                <w:rFonts w:hint="eastAsia" w:ascii="宋体" w:hAnsi="宋体" w:eastAsia="宋体" w:cs="仿宋"/>
                <w:sz w:val="24"/>
                <w:szCs w:val="24"/>
              </w:rPr>
              <w:t xml:space="preserve">每负偏离一项扣1分，扣完为止。其中技术部分负偏离 超过半数的，或该项分值得0分或经评委会评议负偏离可能实质性影响使用的，将判定为实质性不符合采购要求，做无效响应处理。</w:t>
            </w:r>
            <w:r/>
          </w:p>
          <w:p>
            <w:pPr>
              <w:rPr>
                <w:rFonts w:hint="eastAsia" w:ascii="宋体" w:hAnsi="宋体" w:eastAsia="宋体" w:cs="仿宋"/>
                <w:sz w:val="24"/>
                <w:szCs w:val="24"/>
              </w:rPr>
            </w:pPr>
            <w:r>
              <w:rPr>
                <w:rFonts w:hint="eastAsia" w:ascii="宋体" w:hAnsi="宋体" w:eastAsia="宋体" w:cs="仿宋"/>
                <w:sz w:val="24"/>
                <w:szCs w:val="24"/>
              </w:rPr>
              <w:t xml:space="preserve">4.产品交付验收时，招标人将对技术规格要求中的★号、▲号指标进行逐一核实验收，如发现虚假应标，或无法实现关键技术指标功能，有权向采购主管部门进行举报，由成交供应商承担一切法律责任。</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35分</w:t>
            </w:r>
            <w:r/>
          </w:p>
        </w:tc>
      </w:tr>
      <w:tr>
        <w:trPr>
          <w:jc w:val="center"/>
          <w:trHeight w:val="3964"/>
        </w:trPr>
        <w:tc>
          <w:tcPr>
            <w:tcW w:w="395"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bCs/>
                <w:sz w:val="24"/>
                <w:szCs w:val="24"/>
              </w:rPr>
              <w:t xml:space="preserve">3</w:t>
            </w:r>
            <w:r/>
          </w:p>
        </w:tc>
        <w:tc>
          <w:tcPr>
            <w:tcW w:w="704"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技术培训方案</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供应商提供对用户的操作培训、业务功能培训等相关培训计划方案，除正常操作培训外，针对甲方的特点，提出其他技术培训保障方案：</w:t>
            </w:r>
            <w:r/>
          </w:p>
          <w:p>
            <w:pPr>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1.技术培训保障方案内容详实、科学、合理，考虑周全，培训计划针对性强、内容详实，培训人员配备齐全、技术水平高、分工明确、岗位设置科学合理，培训率承诺高，得7分。</w:t>
            </w:r>
            <w:r/>
          </w:p>
          <w:p>
            <w:pPr>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2.技术培训保障方案内容详实、考虑较全，培训计划具体，培训人员齐全，培训率承诺较高，得5分。</w:t>
            </w:r>
            <w:r/>
          </w:p>
          <w:p>
            <w:pPr>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3.技术培训保障方案表述简单，培训计划简单、培训人员较少，培训率承诺一般，得3分。</w:t>
            </w:r>
            <w:r/>
          </w:p>
          <w:p>
            <w:pPr>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3657"/>
        </w:trPr>
        <w:tc>
          <w:tcPr>
            <w:tcW w:w="395"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4</w:t>
            </w:r>
            <w:r/>
          </w:p>
        </w:tc>
        <w:tc>
          <w:tcPr>
            <w:tcW w:w="704"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b/>
                <w:sz w:val="24"/>
                <w:szCs w:val="24"/>
              </w:rPr>
              <w:t xml:space="preserve">项目实施方案</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4713"/>
        </w:trPr>
        <w:tc>
          <w:tcPr>
            <w:tcW w:w="395" w:type="pct"/>
            <w:vAlign w:val="center"/>
            <w:textDirection w:val="lrTb"/>
            <w:noWrap w:val="false"/>
          </w:tcPr>
          <w:p>
            <w:pPr>
              <w:jc w:val="center"/>
              <w:rPr>
                <w:rFonts w:hint="eastAsia" w:ascii="宋体" w:hAnsi="宋体" w:eastAsia="宋体" w:cs="仿宋"/>
                <w:b/>
                <w:sz w:val="24"/>
                <w:szCs w:val="24"/>
              </w:rPr>
            </w:pPr>
            <w:r>
              <w:rPr>
                <w:rFonts w:hint="eastAsia" w:ascii="宋体" w:hAnsi="宋体" w:eastAsia="宋体" w:cs="仿宋"/>
                <w:b/>
                <w:sz w:val="24"/>
                <w:szCs w:val="24"/>
              </w:rPr>
              <w:t xml:space="preserve">5</w:t>
            </w:r>
            <w:r/>
          </w:p>
        </w:tc>
        <w:tc>
          <w:tcPr>
            <w:tcW w:w="704" w:type="pct"/>
            <w:vAlign w:val="center"/>
            <w:textDirection w:val="lrTb"/>
            <w:noWrap w:val="false"/>
          </w:tcPr>
          <w:p>
            <w:pPr>
              <w:jc w:val="center"/>
              <w:rPr>
                <w:rFonts w:hint="eastAsia" w:ascii="宋体" w:hAnsi="宋体" w:eastAsia="宋体" w:cs="仿宋"/>
                <w:b/>
                <w:sz w:val="24"/>
                <w:szCs w:val="24"/>
              </w:rPr>
            </w:pPr>
            <w:r>
              <w:rPr>
                <w:rFonts w:hint="eastAsia" w:ascii="宋体" w:hAnsi="宋体" w:eastAsia="宋体" w:cs="仿宋"/>
                <w:b/>
                <w:bCs/>
                <w:sz w:val="24"/>
                <w:szCs w:val="24"/>
              </w:rPr>
              <w:t xml:space="preserve">售后服务</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2.售后方案内容详实、考虑较全，对产品质量管控措施要求到位，相关服务承诺内容具体，人员配备齐全、设备配备齐全者，得5分；</w:t>
            </w:r>
            <w:r/>
          </w:p>
          <w:p>
            <w:pPr>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3.技术培训保障方案表述简单，培训计划简单、培训人员较少，培训率承诺一般者，得3分；</w:t>
            </w:r>
            <w:r/>
          </w:p>
          <w:p>
            <w:pPr>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3378"/>
        </w:trPr>
        <w:tc>
          <w:tcPr>
            <w:tcW w:w="395" w:type="pct"/>
            <w:vAlign w:val="center"/>
            <w:textDirection w:val="lrTb"/>
            <w:noWrap w:val="false"/>
          </w:tcPr>
          <w:p>
            <w:pPr>
              <w:jc w:val="center"/>
              <w:rPr>
                <w:rFonts w:hint="eastAsia" w:ascii="宋体" w:hAnsi="宋体" w:eastAsia="宋体" w:cs="仿宋"/>
                <w:b/>
                <w:sz w:val="24"/>
                <w:szCs w:val="24"/>
              </w:rPr>
            </w:pPr>
            <w:r>
              <w:rPr>
                <w:rFonts w:hint="eastAsia" w:ascii="宋体" w:hAnsi="宋体" w:eastAsia="宋体" w:cs="仿宋"/>
                <w:b/>
                <w:sz w:val="24"/>
                <w:szCs w:val="24"/>
              </w:rPr>
              <w:t xml:space="preserve">6</w:t>
            </w:r>
            <w:r/>
          </w:p>
        </w:tc>
        <w:tc>
          <w:tcPr>
            <w:tcW w:w="704"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应急保障方案</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pStyle w:val="834"/>
              <w:ind w:firstLine="0"/>
              <w:rPr>
                <w:rFonts w:hint="eastAsia" w:ascii="宋体" w:hAnsi="宋体" w:eastAsia="宋体"/>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1670"/>
        </w:trPr>
        <w:tc>
          <w:tcPr>
            <w:tcW w:w="395"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7</w:t>
            </w:r>
            <w:r/>
          </w:p>
        </w:tc>
        <w:tc>
          <w:tcPr>
            <w:tcW w:w="704"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业绩</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2024年1月1日（以合同签订时间为准）至今，类似产品销售业绩证明文件【主要标的物：同品牌、同型号设备，同一采购单位不重复计分，提供合同需加盖供应商公章】，每份有效业绩得0.5分，最高得4分。</w:t>
            </w:r>
            <w:r/>
          </w:p>
          <w:p>
            <w:pPr>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4分</w:t>
            </w:r>
            <w:r/>
          </w:p>
        </w:tc>
      </w:tr>
      <w:tr>
        <w:trPr>
          <w:jc w:val="center"/>
          <w:trHeight w:val="1086"/>
        </w:trPr>
        <w:tc>
          <w:tcPr>
            <w:tcW w:w="395" w:type="pct"/>
            <w:vAlign w:val="center"/>
            <w:textDirection w:val="lrTb"/>
            <w:noWrap w:val="false"/>
          </w:tcPr>
          <w:p>
            <w:pPr>
              <w:jc w:val="center"/>
              <w:rPr>
                <w:rFonts w:hint="eastAsia" w:ascii="宋体" w:hAnsi="宋体" w:eastAsia="宋体" w:cs="仿宋"/>
                <w:b/>
                <w:bCs/>
                <w:sz w:val="24"/>
                <w:szCs w:val="24"/>
              </w:rPr>
            </w:pPr>
            <w:r>
              <w:rPr>
                <w:rFonts w:hint="eastAsia" w:ascii="宋体" w:hAnsi="宋体" w:eastAsia="宋体" w:cs="仿宋"/>
                <w:b/>
                <w:bCs/>
                <w:sz w:val="24"/>
                <w:szCs w:val="24"/>
              </w:rPr>
              <w:t xml:space="preserve">8</w:t>
            </w:r>
            <w:r/>
          </w:p>
        </w:tc>
        <w:tc>
          <w:tcPr>
            <w:tcW w:w="704" w:type="pct"/>
            <w:vAlign w:val="center"/>
            <w:textDirection w:val="lrTb"/>
            <w:noWrap w:val="false"/>
          </w:tcPr>
          <w:p>
            <w:pPr>
              <w:jc w:val="center"/>
              <w:rPr>
                <w:rFonts w:hint="eastAsia" w:ascii="宋体" w:hAnsi="宋体" w:eastAsia="宋体"/>
                <w:sz w:val="24"/>
                <w:szCs w:val="24"/>
              </w:rPr>
            </w:pPr>
            <w:r>
              <w:rPr>
                <w:rFonts w:hint="eastAsia" w:ascii="宋体" w:hAnsi="宋体" w:eastAsia="宋体" w:cs="仿宋"/>
                <w:b/>
                <w:bCs/>
                <w:sz w:val="24"/>
                <w:szCs w:val="24"/>
              </w:rPr>
              <w:t xml:space="preserve">质保期</w:t>
            </w:r>
            <w:r/>
          </w:p>
        </w:tc>
        <w:tc>
          <w:tcPr>
            <w:tcW w:w="3430" w:type="pct"/>
            <w:vAlign w:val="center"/>
            <w:textDirection w:val="lrTb"/>
            <w:noWrap w:val="false"/>
          </w:tcPr>
          <w:p>
            <w:pPr>
              <w:rPr>
                <w:rFonts w:hint="eastAsia" w:ascii="宋体" w:hAnsi="宋体" w:eastAsia="宋体" w:cs="仿宋"/>
                <w:sz w:val="24"/>
                <w:szCs w:val="24"/>
              </w:rPr>
            </w:pPr>
            <w:r>
              <w:rPr>
                <w:rFonts w:hint="eastAsia" w:ascii="宋体" w:hAnsi="宋体" w:eastAsia="宋体" w:cs="仿宋"/>
                <w:sz w:val="24"/>
                <w:szCs w:val="24"/>
              </w:rPr>
              <w:t xml:space="preserve">供应商提供的售后服务承诺书需响应采购文件要求的免费质保期，满足得2分，每超过1年加1分，最多得7分。</w:t>
            </w:r>
            <w:r/>
          </w:p>
        </w:tc>
        <w:tc>
          <w:tcPr>
            <w:tcW w:w="471" w:type="pct"/>
            <w:vAlign w:val="center"/>
            <w:textDirection w:val="lrTb"/>
            <w:noWrap w:val="false"/>
          </w:tcPr>
          <w:p>
            <w:pPr>
              <w:jc w:val="center"/>
              <w:rPr>
                <w:rFonts w:hint="eastAsia" w:ascii="宋体" w:hAnsi="宋体" w:eastAsia="宋体" w:cs="仿宋"/>
                <w:sz w:val="24"/>
                <w:szCs w:val="24"/>
              </w:rPr>
            </w:pPr>
            <w:r>
              <w:rPr>
                <w:rFonts w:hint="eastAsia" w:ascii="宋体" w:hAnsi="宋体" w:eastAsia="宋体" w:cs="仿宋"/>
                <w:sz w:val="24"/>
                <w:szCs w:val="24"/>
              </w:rPr>
              <w:t xml:space="preserve">7分</w:t>
            </w:r>
            <w:r/>
          </w:p>
        </w:tc>
      </w:tr>
    </w:tbl>
    <w:p>
      <w:pPr>
        <w:pStyle w:val="862"/>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2"/>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w:t>
      </w:r>
      <w:r>
        <w:rPr>
          <w:rFonts w:hint="eastAsia" w:ascii="宋体" w:hAnsi="宋体" w:eastAsia="宋体"/>
          <w:position w:val="-10"/>
          <w:sz w:val="24"/>
          <w:szCs w:val="24"/>
        </w:rPr>
        <w:t xml:space="preserve">每日万分之五，累计不超过合同总价10%</w:t>
      </w:r>
      <w:r>
        <w:rPr>
          <w:rFonts w:hint="eastAsia" w:ascii="宋体" w:hAnsi="宋体" w:eastAsia="宋体"/>
          <w:position w:val="-10"/>
          <w:sz w:val="24"/>
          <w:szCs w:val="24"/>
        </w:rPr>
        <w:t xml:space="preserve">，</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62"/>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62"/>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3" w:name="_Hlt26955039"/>
      <w:r/>
      <w:bookmarkStart w:id="44" w:name="_Hlt26671244"/>
      <w:r/>
      <w:bookmarkStart w:id="45" w:name="_Toc26554094"/>
      <w:r/>
      <w:bookmarkStart w:id="46" w:name="_Toc120614282"/>
      <w:r/>
      <w:bookmarkStart w:id="47" w:name="_Toc49090576"/>
      <w:r/>
      <w:bookmarkEnd w:id="43"/>
      <w:r/>
      <w:bookmarkEnd w:id="44"/>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2"/>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48"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48"/>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49" w:name="_Toc120614284"/>
      <w:r/>
      <w:bookmarkEnd w:id="45"/>
      <w:r/>
      <w:bookmarkEnd w:id="46"/>
      <w:r/>
      <w:bookmarkEnd w:id="47"/>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32"/>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0" w:name="_Hlt26671380"/>
      <w:r/>
      <w:bookmarkStart w:id="51" w:name="_格式3__银行出具的资信证明"/>
      <w:r/>
      <w:bookmarkStart w:id="52" w:name="_Hlt26955070"/>
      <w:r/>
      <w:bookmarkEnd w:id="50"/>
      <w:r/>
      <w:bookmarkEnd w:id="51"/>
      <w:r/>
      <w:bookmarkEnd w:id="52"/>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32"/>
        <w:spacing w:line="360" w:lineRule="auto"/>
      </w:pPr>
      <w:r/>
      <w:r/>
    </w:p>
    <w:p>
      <w:pPr>
        <w:pStyle w:val="832"/>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32"/>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4"/>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560"/>
        <w:spacing w:line="360" w:lineRule="auto"/>
        <w:rPr>
          <w:rFonts w:hint="eastAsia" w:ascii="宋体" w:hAnsi="宋体"/>
          <w:sz w:val="28"/>
          <w:szCs w:val="28"/>
        </w:rPr>
      </w:pPr>
      <w:r>
        <w:rPr>
          <w:rFonts w:hint="eastAsia" w:ascii="宋体" w:hAnsi="宋体"/>
          <w:sz w:val="28"/>
          <w:szCs w:val="28"/>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480"/>
        <w:spacing w:line="360" w:lineRule="auto"/>
        <w:rPr>
          <w:rFonts w:hint="eastAsia" w:ascii="宋体" w:hAnsi="宋体"/>
          <w:sz w:val="24"/>
          <w:szCs w:val="24"/>
        </w:rPr>
      </w:pPr>
      <w:r>
        <w:rPr>
          <w:rFonts w:hint="eastAsia" w:ascii="宋体" w:hAnsi="宋体"/>
          <w:sz w:val="24"/>
          <w:szCs w:val="24"/>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5"/>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56"/>
        <w:spacing w:line="360" w:lineRule="auto"/>
        <w:rPr>
          <w:rFonts w:hint="eastAsia" w:ascii="宋体" w:hAnsi="宋体"/>
          <w:b/>
          <w:spacing w:val="6"/>
          <w:sz w:val="30"/>
          <w:szCs w:val="30"/>
        </w:rPr>
      </w:pPr>
      <w:r>
        <w:rPr>
          <w:rFonts w:hint="eastAsia" w:ascii="宋体" w:hAnsi="宋体"/>
          <w:b/>
          <w:spacing w:val="6"/>
          <w:sz w:val="30"/>
          <w:szCs w:val="30"/>
        </w:rPr>
      </w:r>
      <w:r/>
    </w:p>
    <w:p>
      <w:pPr>
        <w:pStyle w:val="1055"/>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57"/>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57"/>
        <w:ind w:firstLine="3629"/>
        <w:jc w:val="left"/>
        <w:spacing w:line="360" w:lineRule="auto"/>
        <w:rPr>
          <w:rFonts w:hint="eastAsia" w:ascii="宋体" w:hAnsi="宋体"/>
          <w:sz w:val="24"/>
        </w:rPr>
      </w:pPr>
      <w:r>
        <w:rPr>
          <w:rFonts w:hint="eastAsia" w:ascii="宋体" w:hAnsi="宋体"/>
          <w:sz w:val="24"/>
        </w:rPr>
      </w:r>
      <w:r/>
    </w:p>
    <w:p>
      <w:pPr>
        <w:pStyle w:val="1057"/>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3"/>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56"/>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58"/>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55"/>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5"/>
          <w:rFonts w:hint="eastAsia" w:ascii="方正魏碑_GBK" w:hAnsi="方正魏碑_GBK" w:eastAsia="方正魏碑_GBK" w:cs="方正魏碑_GBK"/>
          <w:i w:val="0"/>
          <w:color w:val="ff0000"/>
          <w:u w:val="single"/>
          <w:shd w:val="clear" w:color="auto" w:fill="ffffff"/>
        </w:rPr>
        <w:t xml:space="preserve">（产品名称1）</w:t>
      </w:r>
      <w:r>
        <w:rPr>
          <w:rStyle w:val="86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Style w:val="86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Style w:val="86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55"/>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r/>
      <w:r/>
    </w:p>
    <w:p>
      <w:pPr>
        <w:pStyle w:val="832"/>
        <w:spacing w:line="360" w:lineRule="auto"/>
      </w:pPr>
      <w:r/>
      <w:r/>
    </w:p>
    <w:p>
      <w:pPr>
        <w:spacing w:line="360" w:lineRule="auto"/>
      </w:pPr>
      <w:r/>
      <w:r/>
    </w:p>
    <w:p>
      <w:pPr>
        <w:pStyle w:val="832"/>
        <w:spacing w:line="360" w:lineRule="auto"/>
      </w:pPr>
      <w:r/>
      <w:r/>
    </w:p>
    <w:p>
      <w:pPr>
        <w:pStyle w:val="832"/>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3" w:name="_Toc11176"/>
      <w:r>
        <w:rPr>
          <w:rFonts w:hint="eastAsia" w:eastAsia="黑体" w:cs="黑体"/>
          <w:b/>
          <w:sz w:val="32"/>
          <w:szCs w:val="24"/>
        </w:rPr>
        <w:t xml:space="preserve">十、</w:t>
      </w:r>
      <w:bookmarkEnd w:id="53"/>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4" w:name="_Toc28140"/>
      <w:r>
        <w:rPr>
          <w:rFonts w:hint="eastAsia" w:eastAsia="黑体" w:cs="黑体"/>
          <w:b/>
          <w:sz w:val="32"/>
          <w:szCs w:val="24"/>
        </w:rPr>
        <w:t xml:space="preserve">十一</w:t>
      </w:r>
      <w:r>
        <w:rPr>
          <w:rFonts w:eastAsia="黑体" w:cs="黑体"/>
          <w:b/>
          <w:sz w:val="32"/>
          <w:szCs w:val="24"/>
        </w:rPr>
        <w:t xml:space="preserve">、投标所需其他材料</w:t>
      </w:r>
      <w:bookmarkEnd w:id="54"/>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49"/>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5" w:name="_Hlt26955066"/>
      <w:r/>
      <w:bookmarkStart w:id="56" w:name="_Hlt26671374"/>
      <w:r/>
      <w:bookmarkStart w:id="57" w:name="_Hlt26609389"/>
      <w:r/>
      <w:bookmarkStart w:id="58" w:name="_Toc462564146"/>
      <w:r/>
      <w:bookmarkEnd w:id="55"/>
      <w:r/>
      <w:bookmarkEnd w:id="56"/>
      <w:r/>
      <w:bookmarkEnd w:id="57"/>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59" w:name="_格式2__法定代表人授权书"/>
      <w:r/>
      <w:bookmarkEnd w:id="58"/>
      <w:r/>
      <w:bookmarkEnd w:id="59"/>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5"/>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829"/>
    <w:link w:val="820"/>
    <w:uiPriority w:val="9"/>
    <w:rPr>
      <w:rFonts w:ascii="Arial" w:hAnsi="Arial" w:eastAsia="Arial" w:cs="Arial"/>
      <w:sz w:val="40"/>
      <w:szCs w:val="40"/>
    </w:rPr>
  </w:style>
  <w:style w:type="character" w:styleId="784">
    <w:name w:val="Heading 2 Char"/>
    <w:basedOn w:val="829"/>
    <w:link w:val="821"/>
    <w:uiPriority w:val="9"/>
    <w:rPr>
      <w:rFonts w:ascii="Arial" w:hAnsi="Arial" w:eastAsia="Arial" w:cs="Arial"/>
      <w:sz w:val="34"/>
    </w:rPr>
  </w:style>
  <w:style w:type="character" w:styleId="785">
    <w:name w:val="Heading 3 Char"/>
    <w:basedOn w:val="829"/>
    <w:link w:val="822"/>
    <w:uiPriority w:val="9"/>
    <w:rPr>
      <w:rFonts w:ascii="Arial" w:hAnsi="Arial" w:eastAsia="Arial" w:cs="Arial"/>
      <w:sz w:val="30"/>
      <w:szCs w:val="30"/>
    </w:rPr>
  </w:style>
  <w:style w:type="character" w:styleId="786">
    <w:name w:val="Heading 4 Char"/>
    <w:basedOn w:val="829"/>
    <w:link w:val="823"/>
    <w:uiPriority w:val="9"/>
    <w:rPr>
      <w:rFonts w:ascii="Arial" w:hAnsi="Arial" w:eastAsia="Arial" w:cs="Arial"/>
      <w:b/>
      <w:bCs/>
      <w:sz w:val="26"/>
      <w:szCs w:val="26"/>
    </w:rPr>
  </w:style>
  <w:style w:type="character" w:styleId="787">
    <w:name w:val="Heading 5 Char"/>
    <w:basedOn w:val="829"/>
    <w:link w:val="824"/>
    <w:uiPriority w:val="9"/>
    <w:rPr>
      <w:rFonts w:ascii="Arial" w:hAnsi="Arial" w:eastAsia="Arial" w:cs="Arial"/>
      <w:b/>
      <w:bCs/>
      <w:sz w:val="24"/>
      <w:szCs w:val="24"/>
    </w:rPr>
  </w:style>
  <w:style w:type="character" w:styleId="788">
    <w:name w:val="Heading 6 Char"/>
    <w:basedOn w:val="829"/>
    <w:link w:val="825"/>
    <w:uiPriority w:val="9"/>
    <w:rPr>
      <w:rFonts w:ascii="Arial" w:hAnsi="Arial" w:eastAsia="Arial" w:cs="Arial"/>
      <w:b/>
      <w:bCs/>
      <w:sz w:val="22"/>
      <w:szCs w:val="22"/>
    </w:rPr>
  </w:style>
  <w:style w:type="character" w:styleId="789">
    <w:name w:val="Heading 7 Char"/>
    <w:basedOn w:val="829"/>
    <w:link w:val="826"/>
    <w:uiPriority w:val="9"/>
    <w:rPr>
      <w:rFonts w:ascii="Arial" w:hAnsi="Arial" w:eastAsia="Arial" w:cs="Arial"/>
      <w:b/>
      <w:bCs/>
      <w:i/>
      <w:iCs/>
      <w:sz w:val="22"/>
      <w:szCs w:val="22"/>
    </w:rPr>
  </w:style>
  <w:style w:type="character" w:styleId="790">
    <w:name w:val="Heading 8 Char"/>
    <w:basedOn w:val="829"/>
    <w:link w:val="827"/>
    <w:uiPriority w:val="9"/>
    <w:rPr>
      <w:rFonts w:ascii="Arial" w:hAnsi="Arial" w:eastAsia="Arial" w:cs="Arial"/>
      <w:i/>
      <w:iCs/>
      <w:sz w:val="22"/>
      <w:szCs w:val="22"/>
    </w:rPr>
  </w:style>
  <w:style w:type="character" w:styleId="791">
    <w:name w:val="Heading 9 Char"/>
    <w:basedOn w:val="829"/>
    <w:link w:val="828"/>
    <w:uiPriority w:val="9"/>
    <w:rPr>
      <w:rFonts w:ascii="Arial" w:hAnsi="Arial" w:eastAsia="Arial" w:cs="Arial"/>
      <w:i/>
      <w:iCs/>
      <w:sz w:val="21"/>
      <w:szCs w:val="21"/>
    </w:rPr>
  </w:style>
  <w:style w:type="character" w:styleId="792">
    <w:name w:val="Title Char"/>
    <w:basedOn w:val="829"/>
    <w:link w:val="860"/>
    <w:uiPriority w:val="10"/>
    <w:rPr>
      <w:sz w:val="48"/>
      <w:szCs w:val="48"/>
    </w:rPr>
  </w:style>
  <w:style w:type="character" w:styleId="793">
    <w:name w:val="Subtitle Char"/>
    <w:basedOn w:val="829"/>
    <w:link w:val="852"/>
    <w:uiPriority w:val="11"/>
    <w:rPr>
      <w:sz w:val="24"/>
      <w:szCs w:val="24"/>
    </w:rPr>
  </w:style>
  <w:style w:type="character" w:styleId="794">
    <w:name w:val="Quote Char"/>
    <w:link w:val="883"/>
    <w:uiPriority w:val="29"/>
    <w:rPr>
      <w:i/>
    </w:rPr>
  </w:style>
  <w:style w:type="character" w:styleId="795">
    <w:name w:val="Intense Quote Char"/>
    <w:link w:val="885"/>
    <w:uiPriority w:val="30"/>
    <w:rPr>
      <w:i/>
    </w:rPr>
  </w:style>
  <w:style w:type="character" w:styleId="796">
    <w:name w:val="Caption Char"/>
    <w:basedOn w:val="835"/>
    <w:link w:val="845"/>
    <w:uiPriority w:val="99"/>
  </w:style>
  <w:style w:type="table" w:styleId="797">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Footnote Text Char"/>
    <w:link w:val="853"/>
    <w:uiPriority w:val="99"/>
    <w:rPr>
      <w:sz w:val="18"/>
    </w:rPr>
  </w:style>
  <w:style w:type="character" w:styleId="817">
    <w:name w:val="Endnote Text Char"/>
    <w:link w:val="843"/>
    <w:uiPriority w:val="99"/>
    <w:rPr>
      <w:sz w:val="20"/>
    </w:rPr>
  </w:style>
  <w:style w:type="paragraph" w:styleId="818">
    <w:name w:val="TOC Heading"/>
    <w:uiPriority w:val="39"/>
    <w:unhideWhenUsed/>
  </w:style>
  <w:style w:type="paragraph" w:styleId="819" w:default="1">
    <w:name w:val="Normal"/>
    <w:next w:val="832"/>
    <w:qFormat/>
    <w:pPr>
      <w:jc w:val="both"/>
      <w:widowControl w:val="off"/>
    </w:pPr>
    <w:rPr>
      <w:rFonts w:eastAsia="楷体_GB2312"/>
      <w:sz w:val="26"/>
    </w:rPr>
  </w:style>
  <w:style w:type="paragraph" w:styleId="820">
    <w:name w:val="Heading 1"/>
    <w:basedOn w:val="819"/>
    <w:next w:val="819"/>
    <w:link w:val="870"/>
    <w:qFormat/>
    <w:pPr>
      <w:jc w:val="center"/>
      <w:keepLines/>
      <w:keepNext/>
      <w:spacing w:line="360" w:lineRule="auto"/>
      <w:outlineLvl w:val="0"/>
    </w:pPr>
    <w:rPr>
      <w:rFonts w:eastAsia="宋体"/>
      <w:b/>
      <w:sz w:val="32"/>
    </w:rPr>
  </w:style>
  <w:style w:type="paragraph" w:styleId="821">
    <w:name w:val="Heading 2"/>
    <w:basedOn w:val="819"/>
    <w:next w:val="819"/>
    <w:link w:val="871"/>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2"/>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3"/>
    <w:uiPriority w:val="9"/>
    <w:unhideWhenUsed/>
    <w:qFormat/>
    <w:pPr>
      <w:keepLines/>
      <w:keepNext/>
      <w:spacing w:before="320" w:after="200"/>
      <w:outlineLvl w:val="3"/>
    </w:pPr>
    <w:rPr>
      <w:rFonts w:ascii="Arial" w:hAnsi="Arial" w:eastAsia="Arial" w:cs="Arial"/>
      <w:b/>
      <w:bCs/>
      <w:szCs w:val="26"/>
    </w:rPr>
  </w:style>
  <w:style w:type="paragraph" w:styleId="824">
    <w:name w:val="Heading 5"/>
    <w:basedOn w:val="819"/>
    <w:next w:val="819"/>
    <w:link w:val="874"/>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5"/>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77"/>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78"/>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Body Text"/>
    <w:basedOn w:val="819"/>
    <w:next w:val="819"/>
    <w:qFormat/>
    <w:rPr>
      <w:rFonts w:ascii="楷体_GB2312" w:hAnsi="Arial"/>
      <w:sz w:val="28"/>
    </w:rPr>
  </w:style>
  <w:style w:type="paragraph" w:styleId="833">
    <w:name w:val="toc 7"/>
    <w:basedOn w:val="819"/>
    <w:next w:val="819"/>
    <w:uiPriority w:val="39"/>
    <w:unhideWhenUsed/>
    <w:qFormat/>
    <w:pPr>
      <w:ind w:left="1701"/>
      <w:spacing w:after="57"/>
    </w:pPr>
  </w:style>
  <w:style w:type="paragraph" w:styleId="834">
    <w:name w:val="Normal Indent"/>
    <w:basedOn w:val="819"/>
    <w:next w:val="819"/>
    <w:uiPriority w:val="99"/>
    <w:qFormat/>
    <w:pPr>
      <w:ind w:firstLine="200"/>
    </w:pPr>
  </w:style>
  <w:style w:type="paragraph" w:styleId="835">
    <w:name w:val="Caption"/>
    <w:basedOn w:val="819"/>
    <w:next w:val="819"/>
    <w:uiPriority w:val="35"/>
    <w:semiHidden/>
    <w:unhideWhenUsed/>
    <w:qFormat/>
    <w:pPr>
      <w:spacing w:line="276" w:lineRule="auto"/>
    </w:pPr>
    <w:rPr>
      <w:b/>
      <w:bCs/>
      <w:color w:val="4f81bd"/>
      <w:sz w:val="18"/>
      <w:szCs w:val="18"/>
    </w:rPr>
  </w:style>
  <w:style w:type="paragraph" w:styleId="836">
    <w:name w:val="annotation text"/>
    <w:basedOn w:val="819"/>
    <w:link w:val="1052"/>
    <w:uiPriority w:val="99"/>
    <w:semiHidden/>
    <w:unhideWhenUsed/>
    <w:qFormat/>
    <w:pPr>
      <w:jc w:val="left"/>
    </w:pPr>
  </w:style>
  <w:style w:type="paragraph" w:styleId="837">
    <w:name w:val="Body Text Indent"/>
    <w:basedOn w:val="819"/>
    <w:qFormat/>
    <w:pPr>
      <w:ind w:firstLine="645"/>
    </w:pPr>
    <w:rPr>
      <w:rFonts w:ascii="楷体_GB2312" w:hAnsi="Calibri"/>
      <w:sz w:val="32"/>
      <w:szCs w:val="22"/>
    </w:rPr>
  </w:style>
  <w:style w:type="paragraph" w:styleId="838">
    <w:name w:val="Block Text"/>
    <w:basedOn w:val="819"/>
    <w:qFormat/>
    <w:pPr>
      <w:ind w:left="525" w:right="-1" w:firstLine="525"/>
      <w:spacing w:line="312" w:lineRule="atLeast"/>
    </w:pPr>
    <w:rPr>
      <w:sz w:val="28"/>
      <w:szCs w:val="28"/>
    </w:rPr>
  </w:style>
  <w:style w:type="paragraph" w:styleId="839">
    <w:name w:val="toc 5"/>
    <w:basedOn w:val="819"/>
    <w:next w:val="819"/>
    <w:uiPriority w:val="39"/>
    <w:unhideWhenUsed/>
    <w:qFormat/>
    <w:pPr>
      <w:ind w:left="1134"/>
      <w:spacing w:after="57"/>
    </w:pPr>
  </w:style>
  <w:style w:type="paragraph" w:styleId="840">
    <w:name w:val="toc 3"/>
    <w:basedOn w:val="819"/>
    <w:next w:val="819"/>
    <w:uiPriority w:val="39"/>
    <w:unhideWhenUsed/>
    <w:qFormat/>
    <w:pPr>
      <w:ind w:left="567"/>
      <w:spacing w:after="57"/>
    </w:pPr>
  </w:style>
  <w:style w:type="paragraph" w:styleId="841">
    <w:name w:val="Plain Text"/>
    <w:basedOn w:val="819"/>
    <w:next w:val="834"/>
    <w:qFormat/>
    <w:rPr>
      <w:rFonts w:ascii="宋体"/>
    </w:rPr>
  </w:style>
  <w:style w:type="paragraph" w:styleId="842">
    <w:name w:val="toc 8"/>
    <w:basedOn w:val="819"/>
    <w:next w:val="819"/>
    <w:uiPriority w:val="39"/>
    <w:unhideWhenUsed/>
    <w:qFormat/>
    <w:pPr>
      <w:ind w:left="1984"/>
      <w:spacing w:after="57"/>
    </w:pPr>
  </w:style>
  <w:style w:type="paragraph" w:styleId="843">
    <w:name w:val="endnote text"/>
    <w:basedOn w:val="819"/>
    <w:link w:val="1016"/>
    <w:uiPriority w:val="99"/>
    <w:semiHidden/>
    <w:unhideWhenUsed/>
    <w:qFormat/>
    <w:rPr>
      <w:sz w:val="20"/>
    </w:rPr>
  </w:style>
  <w:style w:type="paragraph" w:styleId="844">
    <w:name w:val="Balloon Text"/>
    <w:basedOn w:val="819"/>
    <w:link w:val="1048"/>
    <w:uiPriority w:val="99"/>
    <w:semiHidden/>
    <w:unhideWhenUsed/>
    <w:qFormat/>
    <w:rPr>
      <w:sz w:val="18"/>
      <w:szCs w:val="18"/>
    </w:rPr>
  </w:style>
  <w:style w:type="paragraph" w:styleId="845">
    <w:name w:val="Footer"/>
    <w:basedOn w:val="819"/>
    <w:link w:val="889"/>
    <w:uiPriority w:val="99"/>
    <w:unhideWhenUsed/>
    <w:qFormat/>
    <w:pPr>
      <w:tabs>
        <w:tab w:val="center" w:pos="7143" w:leader="none"/>
        <w:tab w:val="right" w:pos="14287" w:leader="none"/>
      </w:tabs>
    </w:pPr>
  </w:style>
  <w:style w:type="paragraph" w:styleId="846">
    <w:name w:val="envelope return"/>
    <w:basedOn w:val="847"/>
    <w:uiPriority w:val="99"/>
    <w:unhideWhenUsed/>
    <w:qFormat/>
    <w:rPr>
      <w:rFonts w:ascii="Arial" w:hAnsi="Arial"/>
    </w:rPr>
  </w:style>
  <w:style w:type="paragraph" w:styleId="847" w:customStyle="1">
    <w:name w:val="Normal_19"/>
    <w:next w:val="848"/>
    <w:qFormat/>
    <w:pPr>
      <w:jc w:val="both"/>
      <w:widowControl w:val="off"/>
    </w:pPr>
    <w:rPr>
      <w:sz w:val="21"/>
      <w:szCs w:val="24"/>
    </w:rPr>
  </w:style>
  <w:style w:type="paragraph" w:styleId="848" w:customStyle="1">
    <w:name w:val="正文文本缩进1"/>
    <w:basedOn w:val="819"/>
    <w:next w:val="846"/>
    <w:unhideWhenUsed/>
    <w:qFormat/>
    <w:pPr>
      <w:ind w:firstLine="570"/>
    </w:pPr>
    <w:rPr>
      <w:rFonts w:ascii="宋体" w:eastAsia="宋体"/>
      <w:sz w:val="28"/>
    </w:rPr>
  </w:style>
  <w:style w:type="paragraph" w:styleId="849">
    <w:name w:val="Header"/>
    <w:basedOn w:val="819"/>
    <w:link w:val="1018"/>
    <w:qFormat/>
    <w:pPr>
      <w:jc w:val="center"/>
      <w:tabs>
        <w:tab w:val="center" w:pos="4153" w:leader="none"/>
        <w:tab w:val="right" w:pos="8306" w:leader="none"/>
      </w:tabs>
    </w:pPr>
    <w:rPr>
      <w:sz w:val="18"/>
      <w:szCs w:val="18"/>
    </w:rPr>
  </w:style>
  <w:style w:type="paragraph" w:styleId="850">
    <w:name w:val="toc 1"/>
    <w:basedOn w:val="819"/>
    <w:next w:val="819"/>
    <w:uiPriority w:val="39"/>
    <w:unhideWhenUsed/>
    <w:qFormat/>
    <w:pPr>
      <w:spacing w:after="57"/>
    </w:pPr>
  </w:style>
  <w:style w:type="paragraph" w:styleId="851">
    <w:name w:val="toc 4"/>
    <w:basedOn w:val="819"/>
    <w:next w:val="819"/>
    <w:uiPriority w:val="39"/>
    <w:unhideWhenUsed/>
    <w:qFormat/>
    <w:pPr>
      <w:ind w:left="850"/>
      <w:spacing w:after="57"/>
    </w:pPr>
  </w:style>
  <w:style w:type="paragraph" w:styleId="852">
    <w:name w:val="Subtitle"/>
    <w:basedOn w:val="819"/>
    <w:next w:val="819"/>
    <w:link w:val="882"/>
    <w:uiPriority w:val="11"/>
    <w:qFormat/>
    <w:pPr>
      <w:spacing w:before="200" w:after="200"/>
    </w:pPr>
    <w:rPr>
      <w:sz w:val="24"/>
      <w:szCs w:val="24"/>
    </w:rPr>
  </w:style>
  <w:style w:type="paragraph" w:styleId="853">
    <w:name w:val="footnote text"/>
    <w:basedOn w:val="819"/>
    <w:link w:val="1015"/>
    <w:uiPriority w:val="99"/>
    <w:semiHidden/>
    <w:unhideWhenUsed/>
    <w:qFormat/>
    <w:pPr>
      <w:spacing w:after="40"/>
    </w:pPr>
    <w:rPr>
      <w:sz w:val="18"/>
    </w:rPr>
  </w:style>
  <w:style w:type="paragraph" w:styleId="854">
    <w:name w:val="toc 6"/>
    <w:basedOn w:val="819"/>
    <w:next w:val="819"/>
    <w:uiPriority w:val="39"/>
    <w:unhideWhenUsed/>
    <w:qFormat/>
    <w:pPr>
      <w:ind w:left="1417"/>
      <w:spacing w:after="57"/>
    </w:pPr>
  </w:style>
  <w:style w:type="paragraph" w:styleId="855">
    <w:name w:val="table of figures"/>
    <w:basedOn w:val="819"/>
    <w:next w:val="819"/>
    <w:uiPriority w:val="99"/>
    <w:unhideWhenUsed/>
    <w:qFormat/>
  </w:style>
  <w:style w:type="paragraph" w:styleId="856">
    <w:name w:val="toc 2"/>
    <w:basedOn w:val="819"/>
    <w:next w:val="819"/>
    <w:uiPriority w:val="39"/>
    <w:unhideWhenUsed/>
    <w:qFormat/>
    <w:pPr>
      <w:ind w:left="283"/>
      <w:spacing w:after="57"/>
    </w:pPr>
  </w:style>
  <w:style w:type="paragraph" w:styleId="857">
    <w:name w:val="toc 9"/>
    <w:basedOn w:val="819"/>
    <w:next w:val="819"/>
    <w:uiPriority w:val="39"/>
    <w:unhideWhenUsed/>
    <w:qFormat/>
    <w:pPr>
      <w:ind w:left="2268"/>
      <w:spacing w:after="57"/>
    </w:pPr>
  </w:style>
  <w:style w:type="paragraph" w:styleId="858">
    <w:name w:val="HTML Preformatted"/>
    <w:basedOn w:val="819"/>
    <w:link w:val="1060"/>
    <w:uiPriority w:val="99"/>
    <w:semiHidden/>
    <w:unhideWhenUsed/>
    <w:qFormat/>
    <w:rPr>
      <w:rFonts w:ascii="Courier New" w:hAnsi="Courier New" w:cs="Courier New"/>
      <w:sz w:val="20"/>
    </w:rPr>
  </w:style>
  <w:style w:type="paragraph" w:styleId="859">
    <w:name w:val="Normal (Web)"/>
    <w:basedOn w:val="819"/>
    <w:uiPriority w:val="99"/>
    <w:qFormat/>
    <w:pPr>
      <w:jc w:val="left"/>
      <w:spacing w:before="100" w:beforeAutospacing="1" w:after="100" w:afterAutospacing="1"/>
      <w:widowControl/>
    </w:pPr>
    <w:rPr>
      <w:rFonts w:ascii="宋体" w:hAnsi="宋体"/>
      <w:color w:val="000000"/>
      <w:sz w:val="24"/>
      <w:szCs w:val="24"/>
    </w:rPr>
  </w:style>
  <w:style w:type="paragraph" w:styleId="860">
    <w:name w:val="Title"/>
    <w:basedOn w:val="819"/>
    <w:next w:val="819"/>
    <w:link w:val="881"/>
    <w:uiPriority w:val="10"/>
    <w:qFormat/>
    <w:pPr>
      <w:contextualSpacing/>
      <w:spacing w:before="300" w:after="200"/>
    </w:pPr>
    <w:rPr>
      <w:sz w:val="48"/>
      <w:szCs w:val="48"/>
    </w:rPr>
  </w:style>
  <w:style w:type="paragraph" w:styleId="861">
    <w:name w:val="Body Text First Indent"/>
    <w:basedOn w:val="832"/>
    <w:next w:val="862"/>
    <w:qFormat/>
    <w:pPr>
      <w:ind w:firstLine="420"/>
    </w:pPr>
  </w:style>
  <w:style w:type="paragraph" w:styleId="862">
    <w:name w:val="Body Text First Indent 2"/>
    <w:basedOn w:val="837"/>
    <w:uiPriority w:val="99"/>
    <w:unhideWhenUsed/>
    <w:qFormat/>
    <w:pPr>
      <w:ind w:firstLine="200"/>
    </w:pPr>
  </w:style>
  <w:style w:type="table" w:styleId="863">
    <w:name w:val="Table Grid"/>
    <w:basedOn w:val="8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endnote reference"/>
    <w:uiPriority w:val="99"/>
    <w:semiHidden/>
    <w:unhideWhenUsed/>
    <w:qFormat/>
    <w:rPr>
      <w:vertAlign w:val="superscript"/>
    </w:rPr>
  </w:style>
  <w:style w:type="character" w:styleId="865">
    <w:name w:val="Emphasis"/>
    <w:qFormat/>
    <w:rPr>
      <w:rFonts w:ascii="Times New Roman" w:hAnsi="Times New Roman" w:eastAsia="宋体" w:cs="Times New Roman"/>
      <w:i/>
    </w:rPr>
  </w:style>
  <w:style w:type="character" w:styleId="866">
    <w:name w:val="Hyperlink"/>
    <w:uiPriority w:val="99"/>
    <w:unhideWhenUsed/>
    <w:qFormat/>
    <w:rPr>
      <w:color w:val="0563c1"/>
      <w:u w:val="single"/>
    </w:rPr>
  </w:style>
  <w:style w:type="character" w:styleId="867">
    <w:name w:val="annotation reference"/>
    <w:basedOn w:val="829"/>
    <w:uiPriority w:val="99"/>
    <w:semiHidden/>
    <w:unhideWhenUsed/>
    <w:qFormat/>
    <w:rPr>
      <w:sz w:val="21"/>
      <w:szCs w:val="21"/>
    </w:rPr>
  </w:style>
  <w:style w:type="character" w:styleId="868">
    <w:name w:val="footnote reference"/>
    <w:uiPriority w:val="99"/>
    <w:unhideWhenUsed/>
    <w:qFormat/>
    <w:rPr>
      <w:vertAlign w:val="superscript"/>
    </w:rPr>
  </w:style>
  <w:style w:type="paragraph" w:styleId="869" w:customStyle="1">
    <w:name w:val="标题 31"/>
    <w:basedOn w:val="819"/>
    <w:next w:val="819"/>
    <w:qFormat/>
    <w:pPr>
      <w:keepLines/>
      <w:keepNext/>
      <w:spacing w:before="260" w:after="260" w:line="416" w:lineRule="auto"/>
      <w:outlineLvl w:val="2"/>
    </w:pPr>
    <w:rPr>
      <w:b/>
      <w:bCs/>
      <w:sz w:val="32"/>
      <w:szCs w:val="32"/>
    </w:rPr>
  </w:style>
  <w:style w:type="character" w:styleId="870" w:customStyle="1">
    <w:name w:val="标题 1 字符"/>
    <w:link w:val="820"/>
    <w:qFormat/>
    <w:rPr>
      <w:rFonts w:ascii="Arial" w:hAnsi="Arial" w:eastAsia="Arial" w:cs="Arial"/>
      <w:sz w:val="40"/>
      <w:szCs w:val="40"/>
    </w:rPr>
  </w:style>
  <w:style w:type="character" w:styleId="871" w:customStyle="1">
    <w:name w:val="标题 2 字符"/>
    <w:link w:val="821"/>
    <w:uiPriority w:val="9"/>
    <w:qFormat/>
    <w:rPr>
      <w:rFonts w:ascii="Arial" w:hAnsi="Arial" w:eastAsia="Arial" w:cs="Arial"/>
      <w:sz w:val="34"/>
    </w:rPr>
  </w:style>
  <w:style w:type="character" w:styleId="872" w:customStyle="1">
    <w:name w:val="标题 3 字符"/>
    <w:link w:val="822"/>
    <w:uiPriority w:val="9"/>
    <w:qFormat/>
    <w:rPr>
      <w:rFonts w:ascii="Arial" w:hAnsi="Arial" w:eastAsia="Arial" w:cs="Arial"/>
      <w:sz w:val="30"/>
      <w:szCs w:val="30"/>
    </w:rPr>
  </w:style>
  <w:style w:type="character" w:styleId="873" w:customStyle="1">
    <w:name w:val="标题 4 字符"/>
    <w:link w:val="823"/>
    <w:uiPriority w:val="9"/>
    <w:qFormat/>
    <w:rPr>
      <w:rFonts w:ascii="Arial" w:hAnsi="Arial" w:eastAsia="Arial" w:cs="Arial"/>
      <w:b/>
      <w:bCs/>
      <w:sz w:val="26"/>
      <w:szCs w:val="26"/>
    </w:rPr>
  </w:style>
  <w:style w:type="character" w:styleId="874" w:customStyle="1">
    <w:name w:val="标题 5 字符"/>
    <w:link w:val="824"/>
    <w:uiPriority w:val="9"/>
    <w:qFormat/>
    <w:rPr>
      <w:rFonts w:ascii="Arial" w:hAnsi="Arial" w:eastAsia="Arial" w:cs="Arial"/>
      <w:b/>
      <w:bCs/>
      <w:sz w:val="24"/>
      <w:szCs w:val="24"/>
    </w:rPr>
  </w:style>
  <w:style w:type="character" w:styleId="875" w:customStyle="1">
    <w:name w:val="标题 6 字符"/>
    <w:link w:val="825"/>
    <w:uiPriority w:val="9"/>
    <w:qFormat/>
    <w:rPr>
      <w:rFonts w:ascii="Arial" w:hAnsi="Arial" w:eastAsia="Arial" w:cs="Arial"/>
      <w:b/>
      <w:bCs/>
      <w:sz w:val="22"/>
      <w:szCs w:val="22"/>
    </w:rPr>
  </w:style>
  <w:style w:type="character" w:styleId="876" w:customStyle="1">
    <w:name w:val="标题 7 字符"/>
    <w:link w:val="826"/>
    <w:uiPriority w:val="9"/>
    <w:qFormat/>
    <w:rPr>
      <w:rFonts w:ascii="Arial" w:hAnsi="Arial" w:eastAsia="Arial" w:cs="Arial"/>
      <w:b/>
      <w:bCs/>
      <w:i/>
      <w:iCs/>
      <w:sz w:val="22"/>
      <w:szCs w:val="22"/>
    </w:rPr>
  </w:style>
  <w:style w:type="character" w:styleId="877" w:customStyle="1">
    <w:name w:val="标题 8 字符"/>
    <w:link w:val="827"/>
    <w:uiPriority w:val="9"/>
    <w:qFormat/>
    <w:rPr>
      <w:rFonts w:ascii="Arial" w:hAnsi="Arial" w:eastAsia="Arial" w:cs="Arial"/>
      <w:i/>
      <w:iCs/>
      <w:sz w:val="22"/>
      <w:szCs w:val="22"/>
    </w:rPr>
  </w:style>
  <w:style w:type="character" w:styleId="878" w:customStyle="1">
    <w:name w:val="标题 9 字符"/>
    <w:link w:val="828"/>
    <w:uiPriority w:val="9"/>
    <w:qFormat/>
    <w:rPr>
      <w:rFonts w:ascii="Arial" w:hAnsi="Arial" w:eastAsia="Arial" w:cs="Arial"/>
      <w:i/>
      <w:iCs/>
      <w:sz w:val="21"/>
      <w:szCs w:val="21"/>
    </w:rPr>
  </w:style>
  <w:style w:type="paragraph" w:styleId="879">
    <w:name w:val="List Paragraph"/>
    <w:basedOn w:val="819"/>
    <w:qFormat/>
    <w:pPr>
      <w:ind w:firstLine="420"/>
    </w:pPr>
  </w:style>
  <w:style w:type="paragraph" w:styleId="880">
    <w:name w:val="No Spacing"/>
    <w:uiPriority w:val="1"/>
    <w:qFormat/>
  </w:style>
  <w:style w:type="character" w:styleId="881" w:customStyle="1">
    <w:name w:val="标题 字符"/>
    <w:link w:val="860"/>
    <w:uiPriority w:val="10"/>
    <w:qFormat/>
    <w:rPr>
      <w:sz w:val="48"/>
      <w:szCs w:val="48"/>
    </w:rPr>
  </w:style>
  <w:style w:type="character" w:styleId="882" w:customStyle="1">
    <w:name w:val="副标题 字符"/>
    <w:link w:val="852"/>
    <w:uiPriority w:val="11"/>
    <w:qFormat/>
    <w:rPr>
      <w:sz w:val="24"/>
      <w:szCs w:val="24"/>
    </w:rPr>
  </w:style>
  <w:style w:type="paragraph" w:styleId="883">
    <w:name w:val="Quote"/>
    <w:basedOn w:val="819"/>
    <w:next w:val="819"/>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19"/>
    <w:next w:val="819"/>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uiPriority w:val="99"/>
    <w:qFormat/>
  </w:style>
  <w:style w:type="character" w:styleId="888" w:customStyle="1">
    <w:name w:val="Footer Char"/>
    <w:uiPriority w:val="99"/>
    <w:qFormat/>
  </w:style>
  <w:style w:type="character" w:styleId="889" w:customStyle="1">
    <w:name w:val="页脚 字符"/>
    <w:link w:val="845"/>
    <w:uiPriority w:val="99"/>
    <w:qFormat/>
  </w:style>
  <w:style w:type="table" w:styleId="8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3" w:customStyle="1">
    <w:name w:val="无格式表格 31"/>
    <w:uiPriority w:val="99"/>
    <w:qFormat/>
    <w:tblPr>
      <w:tblCellMar>
        <w:left w:w="0" w:type="dxa"/>
        <w:top w:w="0" w:type="dxa"/>
        <w:right w:w="0" w:type="dxa"/>
        <w:bottom w:w="0" w:type="dxa"/>
      </w:tblCellMar>
    </w:tblPr>
  </w:style>
  <w:style w:type="table" w:styleId="894" w:customStyle="1">
    <w:name w:val="无格式表格 41"/>
    <w:uiPriority w:val="99"/>
    <w:qFormat/>
    <w:tblPr>
      <w:tblCellMar>
        <w:left w:w="0" w:type="dxa"/>
        <w:top w:w="0" w:type="dxa"/>
        <w:right w:w="0" w:type="dxa"/>
        <w:bottom w:w="0" w:type="dxa"/>
      </w:tblCellMar>
    </w:tblPr>
  </w:style>
  <w:style w:type="table" w:styleId="895" w:customStyle="1">
    <w:name w:val="无格式表格 51"/>
    <w:uiPriority w:val="99"/>
    <w:qFormat/>
    <w:tblPr>
      <w:tblCellMar>
        <w:left w:w="0" w:type="dxa"/>
        <w:top w:w="0" w:type="dxa"/>
        <w:right w:w="0" w:type="dxa"/>
        <w:bottom w:w="0" w:type="dxa"/>
      </w:tblCellMar>
    </w:tblPr>
  </w:style>
  <w:style w:type="table" w:styleId="89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清单表 1 浅色1"/>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脚注文本 字符"/>
    <w:link w:val="853"/>
    <w:uiPriority w:val="99"/>
    <w:qFormat/>
    <w:rPr>
      <w:sz w:val="18"/>
    </w:rPr>
  </w:style>
  <w:style w:type="character" w:styleId="1016" w:customStyle="1">
    <w:name w:val="尾注文本 字符"/>
    <w:link w:val="843"/>
    <w:uiPriority w:val="99"/>
    <w:qFormat/>
    <w:rPr>
      <w:sz w:val="20"/>
    </w:rPr>
  </w:style>
  <w:style w:type="paragraph" w:styleId="1017" w:customStyle="1">
    <w:name w:val="TOC 标题1"/>
    <w:uiPriority w:val="39"/>
    <w:unhideWhenUsed/>
    <w:qFormat/>
  </w:style>
  <w:style w:type="character" w:styleId="1018" w:customStyle="1">
    <w:name w:val="页眉 字符"/>
    <w:link w:val="849"/>
    <w:qFormat/>
    <w:rPr>
      <w:rFonts w:ascii="Times New Roman" w:hAnsi="Times New Roman" w:eastAsia="楷体_GB2312"/>
      <w:sz w:val="18"/>
      <w:szCs w:val="18"/>
    </w:rPr>
  </w:style>
  <w:style w:type="paragraph" w:styleId="1019" w:customStyle="1">
    <w:name w:val="索引 41"/>
    <w:basedOn w:val="819"/>
    <w:next w:val="819"/>
    <w:qFormat/>
    <w:pPr>
      <w:ind w:left="600"/>
    </w:pPr>
    <w:rPr>
      <w:szCs w:val="21"/>
    </w:rPr>
  </w:style>
  <w:style w:type="paragraph" w:styleId="1020" w:customStyle="1">
    <w:name w:val="正文首行缩进 21"/>
    <w:basedOn w:val="848"/>
    <w:uiPriority w:val="99"/>
    <w:unhideWhenUsed/>
    <w:qFormat/>
    <w:pPr>
      <w:ind w:firstLine="420"/>
    </w:pPr>
  </w:style>
  <w:style w:type="paragraph" w:styleId="1021" w:customStyle="1">
    <w:name w:val="目录 11"/>
    <w:basedOn w:val="819"/>
    <w:next w:val="819"/>
    <w:unhideWhenUsed/>
    <w:qFormat/>
    <w:pPr>
      <w:jc w:val="left"/>
    </w:pPr>
    <w:rPr>
      <w:sz w:val="24"/>
    </w:rPr>
  </w:style>
  <w:style w:type="paragraph" w:styleId="1022" w:customStyle="1">
    <w:name w:val="标题 21"/>
    <w:basedOn w:val="819"/>
    <w:next w:val="819"/>
    <w:qFormat/>
    <w:pPr>
      <w:keepLines/>
      <w:keepNext/>
      <w:spacing w:before="260" w:after="260" w:line="416" w:lineRule="auto"/>
      <w:outlineLvl w:val="1"/>
    </w:pPr>
    <w:rPr>
      <w:rFonts w:ascii="Cambria" w:hAnsi="Cambria" w:eastAsia="宋体"/>
      <w:b/>
      <w:bCs/>
      <w:sz w:val="32"/>
      <w:szCs w:val="32"/>
    </w:rPr>
  </w:style>
  <w:style w:type="paragraph" w:styleId="1023" w:customStyle="1">
    <w:name w:val="Default"/>
    <w:qFormat/>
    <w:pPr>
      <w:widowControl w:val="off"/>
    </w:pPr>
    <w:rPr>
      <w:rFonts w:ascii="仿宋" w:eastAsia="仿宋" w:cs="仿宋"/>
      <w:color w:val="000000"/>
      <w:sz w:val="24"/>
      <w:szCs w:val="24"/>
    </w:rPr>
  </w:style>
  <w:style w:type="paragraph" w:styleId="1024" w:customStyle="1">
    <w:name w:val="纯文本1111"/>
    <w:basedOn w:val="819"/>
    <w:next w:val="1025"/>
    <w:unhideWhenUsed/>
    <w:qFormat/>
    <w:rPr>
      <w:rFonts w:ascii="宋体" w:hAnsi="Courier New"/>
    </w:rPr>
  </w:style>
  <w:style w:type="paragraph" w:styleId="1025" w:customStyle="1">
    <w:name w:val="正文缩进1"/>
    <w:basedOn w:val="819"/>
    <w:unhideWhenUsed/>
    <w:qFormat/>
    <w:pPr>
      <w:ind w:firstLine="420"/>
      <w:jc w:val="left"/>
    </w:pPr>
    <w:rPr>
      <w:sz w:val="24"/>
    </w:rPr>
  </w:style>
  <w:style w:type="paragraph" w:styleId="1026" w:customStyle="1">
    <w:name w:val="首行缩进"/>
    <w:basedOn w:val="819"/>
    <w:qFormat/>
    <w:pPr>
      <w:ind w:firstLine="480"/>
      <w:spacing w:line="360" w:lineRule="auto"/>
    </w:pPr>
    <w:rPr>
      <w:rFonts w:hAnsi="宋体" w:eastAsia="宋体" w:cs="宋体"/>
      <w:sz w:val="24"/>
      <w:szCs w:val="24"/>
    </w:rPr>
  </w:style>
  <w:style w:type="paragraph" w:styleId="1027" w:customStyle="1">
    <w:name w:val="Char"/>
    <w:basedOn w:val="819"/>
    <w:qFormat/>
  </w:style>
  <w:style w:type="paragraph" w:styleId="1028" w:customStyle="1">
    <w:name w:val="标题 11"/>
    <w:basedOn w:val="819"/>
    <w:next w:val="819"/>
    <w:qFormat/>
    <w:pPr>
      <w:keepLines/>
      <w:keepNext/>
      <w:spacing w:before="340" w:after="330" w:line="578" w:lineRule="auto"/>
      <w:outlineLvl w:val="0"/>
    </w:pPr>
    <w:rPr>
      <w:b/>
      <w:sz w:val="44"/>
    </w:rPr>
  </w:style>
  <w:style w:type="paragraph" w:styleId="1029" w:customStyle="1">
    <w:name w:val="纯文本1"/>
    <w:basedOn w:val="819"/>
    <w:qFormat/>
    <w:rPr>
      <w:rFonts w:ascii="宋体" w:hAnsi="Courier New"/>
    </w:rPr>
  </w:style>
  <w:style w:type="paragraph" w:styleId="1030" w:customStyle="1">
    <w:name w:val="正文2"/>
    <w:basedOn w:val="819"/>
    <w:qFormat/>
    <w:pPr>
      <w:ind w:firstLine="510"/>
      <w:spacing w:before="156" w:line="360" w:lineRule="auto"/>
    </w:pPr>
    <w:rPr>
      <w:sz w:val="24"/>
    </w:rPr>
  </w:style>
  <w:style w:type="character" w:styleId="1031" w:customStyle="1">
    <w:name w:val="要点1"/>
    <w:qFormat/>
    <w:rPr>
      <w:b/>
      <w:bCs/>
    </w:rPr>
  </w:style>
  <w:style w:type="paragraph" w:styleId="1032" w:customStyle="1">
    <w:name w:val="普通(网站)1"/>
    <w:basedOn w:val="819"/>
    <w:unhideWhenUsed/>
    <w:qFormat/>
    <w:pPr>
      <w:jc w:val="left"/>
      <w:spacing w:before="100" w:beforeAutospacing="1" w:after="100" w:afterAutospacing="1"/>
      <w:widowControl/>
    </w:pPr>
    <w:rPr>
      <w:rFonts w:ascii="宋体" w:hAnsi="宋体" w:cs="宋体"/>
      <w:sz w:val="24"/>
    </w:rPr>
  </w:style>
  <w:style w:type="paragraph" w:styleId="1033" w:customStyle="1">
    <w:name w:val="正文文本缩进 21"/>
    <w:basedOn w:val="819"/>
    <w:unhideWhenUsed/>
    <w:qFormat/>
    <w:pPr>
      <w:ind w:left="420"/>
      <w:spacing w:after="120" w:line="480" w:lineRule="auto"/>
    </w:pPr>
  </w:style>
  <w:style w:type="paragraph" w:styleId="1034" w:customStyle="1">
    <w:name w:val="纯文本11"/>
    <w:basedOn w:val="819"/>
    <w:uiPriority w:val="99"/>
    <w:qFormat/>
    <w:rPr>
      <w:rFonts w:ascii="宋体" w:hAnsi="Courier New"/>
    </w:rPr>
  </w:style>
  <w:style w:type="paragraph" w:styleId="1035" w:customStyle="1">
    <w:name w:val="索引 11"/>
    <w:basedOn w:val="819"/>
    <w:next w:val="819"/>
    <w:unhideWhenUsed/>
    <w:qFormat/>
    <w:pPr>
      <w:jc w:val="center"/>
      <w:spacing w:line="220" w:lineRule="exact"/>
    </w:pPr>
    <w:rPr>
      <w:rFonts w:ascii="仿宋_GB2312" w:eastAsia="仿宋_GB2312"/>
      <w:szCs w:val="21"/>
    </w:rPr>
  </w:style>
  <w:style w:type="paragraph" w:styleId="1036" w:customStyle="1">
    <w:name w:val="正文文本1"/>
    <w:basedOn w:val="819"/>
    <w:unhideWhenUsed/>
    <w:qFormat/>
    <w:rPr>
      <w:rFonts w:ascii="楷体_GB2312"/>
      <w:b/>
      <w:bCs/>
      <w:sz w:val="28"/>
    </w:rPr>
  </w:style>
  <w:style w:type="paragraph" w:styleId="1037" w:customStyle="1">
    <w:name w:val="页眉1"/>
    <w:basedOn w:val="819"/>
    <w:unhideWhenUsed/>
    <w:qFormat/>
    <w:pPr>
      <w:jc w:val="center"/>
      <w:tabs>
        <w:tab w:val="center" w:pos="4153" w:leader="none"/>
        <w:tab w:val="right" w:pos="8306" w:leader="none"/>
      </w:tabs>
      <w:pBdr>
        <w:bottom w:val="single" w:color="000000" w:sz="6" w:space="1"/>
      </w:pBdr>
    </w:pPr>
    <w:rPr>
      <w:sz w:val="18"/>
    </w:rPr>
  </w:style>
  <w:style w:type="paragraph" w:styleId="1038" w:customStyle="1">
    <w:name w:val="页脚1"/>
    <w:basedOn w:val="819"/>
    <w:unhideWhenUsed/>
    <w:qFormat/>
    <w:pPr>
      <w:jc w:val="left"/>
      <w:tabs>
        <w:tab w:val="center" w:pos="4153" w:leader="none"/>
        <w:tab w:val="right" w:pos="8306" w:leader="none"/>
      </w:tabs>
    </w:pPr>
    <w:rPr>
      <w:sz w:val="18"/>
    </w:rPr>
  </w:style>
  <w:style w:type="character" w:styleId="1039" w:customStyle="1">
    <w:name w:val="font81"/>
    <w:qFormat/>
    <w:rPr>
      <w:rFonts w:ascii="Times New Roman" w:hAnsi="Times New Roman" w:cs="Times New Roman"/>
      <w:color w:val="000000"/>
      <w:sz w:val="22"/>
      <w:szCs w:val="22"/>
      <w:u w:val="none"/>
    </w:rPr>
  </w:style>
  <w:style w:type="character" w:styleId="1040" w:customStyle="1">
    <w:name w:val="font11"/>
    <w:qFormat/>
    <w:rPr>
      <w:rFonts w:hint="eastAsia" w:ascii="仿宋" w:hAnsi="仿宋" w:eastAsia="仿宋" w:cs="仿宋"/>
      <w:color w:val="000000"/>
      <w:sz w:val="22"/>
      <w:szCs w:val="22"/>
      <w:u w:val="none"/>
    </w:rPr>
  </w:style>
  <w:style w:type="character" w:styleId="1041" w:customStyle="1">
    <w:name w:val="font101"/>
    <w:qFormat/>
    <w:rPr>
      <w:rFonts w:ascii="Arial" w:hAnsi="Arial" w:cs="Arial"/>
      <w:color w:val="000000"/>
      <w:sz w:val="22"/>
      <w:szCs w:val="22"/>
      <w:u w:val="none"/>
    </w:rPr>
  </w:style>
  <w:style w:type="paragraph" w:styleId="1042" w:customStyle="1">
    <w:name w:val="List Paragraph_f0420307-4c65-4cf4-ac34-e8950b7bacb1"/>
    <w:basedOn w:val="819"/>
    <w:qFormat/>
    <w:pPr>
      <w:ind w:firstLine="420"/>
    </w:pPr>
    <w:rPr>
      <w:rFonts w:eastAsia="宋体"/>
      <w:sz w:val="21"/>
      <w:szCs w:val="21"/>
    </w:rPr>
  </w:style>
  <w:style w:type="character" w:styleId="1043" w:customStyle="1">
    <w:name w:val="font51"/>
    <w:basedOn w:val="829"/>
    <w:qFormat/>
    <w:rPr>
      <w:rFonts w:hint="default" w:ascii="Times New Roman" w:hAnsi="Times New Roman" w:cs="Times New Roman"/>
      <w:color w:val="000000"/>
      <w:sz w:val="21"/>
      <w:szCs w:val="21"/>
      <w:u w:val="none"/>
    </w:rPr>
  </w:style>
  <w:style w:type="character" w:styleId="1044" w:customStyle="1">
    <w:name w:val="font31"/>
    <w:basedOn w:val="829"/>
    <w:qFormat/>
    <w:rPr>
      <w:rFonts w:hint="eastAsia" w:ascii="宋体" w:hAnsi="宋体" w:eastAsia="宋体" w:cs="宋体"/>
      <w:color w:val="000000"/>
      <w:sz w:val="21"/>
      <w:szCs w:val="21"/>
      <w:u w:val="none"/>
    </w:rPr>
  </w:style>
  <w:style w:type="character" w:styleId="1045" w:customStyle="1">
    <w:name w:val="font21"/>
    <w:basedOn w:val="829"/>
    <w:qFormat/>
    <w:rPr>
      <w:rFonts w:hint="default" w:ascii="Times New Roman" w:hAnsi="Times New Roman" w:cs="Times New Roman"/>
      <w:color w:val="000000"/>
      <w:sz w:val="21"/>
      <w:szCs w:val="21"/>
      <w:u w:val="none"/>
    </w:rPr>
  </w:style>
  <w:style w:type="character" w:styleId="1046" w:customStyle="1">
    <w:name w:val="font61"/>
    <w:basedOn w:val="829"/>
    <w:qFormat/>
    <w:rPr>
      <w:rFonts w:hint="eastAsia" w:ascii="宋体" w:hAnsi="宋体" w:eastAsia="宋体" w:cs="宋体"/>
      <w:color w:val="000000"/>
      <w:sz w:val="21"/>
      <w:szCs w:val="21"/>
      <w:u w:val="none"/>
    </w:rPr>
  </w:style>
  <w:style w:type="character" w:styleId="1047" w:customStyle="1">
    <w:name w:val="font41"/>
    <w:basedOn w:val="829"/>
    <w:qFormat/>
    <w:rPr>
      <w:rFonts w:hint="default" w:ascii="Times New Roman" w:hAnsi="Times New Roman" w:cs="Times New Roman"/>
      <w:color w:val="000000"/>
      <w:sz w:val="20"/>
      <w:szCs w:val="20"/>
      <w:u w:val="none"/>
    </w:rPr>
  </w:style>
  <w:style w:type="character" w:styleId="1048" w:customStyle="1">
    <w:name w:val="批注框文本 字符"/>
    <w:basedOn w:val="829"/>
    <w:link w:val="844"/>
    <w:uiPriority w:val="99"/>
    <w:semiHidden/>
    <w:qFormat/>
    <w:rPr>
      <w:rFonts w:eastAsia="楷体_GB2312"/>
      <w:sz w:val="18"/>
      <w:szCs w:val="18"/>
    </w:rPr>
  </w:style>
  <w:style w:type="table" w:styleId="1049" w:customStyle="1">
    <w:name w:val="Table Normal"/>
    <w:semiHidden/>
    <w:unhideWhenUsed/>
    <w:qFormat/>
    <w:tblPr>
      <w:tblCellMar>
        <w:left w:w="0" w:type="dxa"/>
        <w:top w:w="0" w:type="dxa"/>
        <w:right w:w="0" w:type="dxa"/>
        <w:bottom w:w="0" w:type="dxa"/>
      </w:tblCellMar>
    </w:tblPr>
  </w:style>
  <w:style w:type="paragraph" w:styleId="1050" w:customStyle="1">
    <w:name w:val="样式 首行缩进:  2 字符"/>
    <w:basedOn w:val="819"/>
    <w:link w:val="1051"/>
    <w:qFormat/>
    <w:pPr>
      <w:ind w:firstLine="480"/>
      <w:spacing w:line="360" w:lineRule="auto"/>
    </w:pPr>
    <w:rPr>
      <w:rFonts w:eastAsia="宋体"/>
      <w:sz w:val="24"/>
    </w:rPr>
  </w:style>
  <w:style w:type="character" w:styleId="1051" w:customStyle="1">
    <w:name w:val="样式 首行缩进:  2 字符 Char Char"/>
    <w:link w:val="1050"/>
    <w:qFormat/>
    <w:rPr>
      <w:sz w:val="24"/>
    </w:rPr>
  </w:style>
  <w:style w:type="character" w:styleId="1052" w:customStyle="1">
    <w:name w:val="批注文字 字符"/>
    <w:basedOn w:val="829"/>
    <w:link w:val="836"/>
    <w:uiPriority w:val="99"/>
    <w:semiHidden/>
    <w:qFormat/>
    <w:rPr>
      <w:rFonts w:eastAsia="楷体_GB2312"/>
      <w:sz w:val="26"/>
    </w:rPr>
  </w:style>
  <w:style w:type="paragraph" w:styleId="1053" w:customStyle="1">
    <w:name w:val="Normal_17_1"/>
    <w:qFormat/>
    <w:pPr>
      <w:jc w:val="both"/>
      <w:widowControl w:val="off"/>
    </w:pPr>
    <w:rPr>
      <w:rFonts w:ascii="Calibri" w:hAnsi="Calibri"/>
      <w:sz w:val="21"/>
      <w:szCs w:val="22"/>
    </w:rPr>
  </w:style>
  <w:style w:type="paragraph" w:styleId="1054" w:customStyle="1">
    <w:name w:val="Normal_16_1"/>
    <w:qFormat/>
    <w:rPr>
      <w:rFonts w:ascii="宋体" w:hAnsi="宋体"/>
      <w:sz w:val="32"/>
      <w:szCs w:val="24"/>
    </w:rPr>
  </w:style>
  <w:style w:type="paragraph" w:styleId="1055" w:customStyle="1">
    <w:name w:val="正文_9_0_1"/>
    <w:qFormat/>
    <w:pPr>
      <w:jc w:val="both"/>
      <w:widowControl w:val="off"/>
    </w:pPr>
    <w:rPr>
      <w:rFonts w:ascii="Calibri" w:hAnsi="Calibri"/>
      <w:sz w:val="21"/>
      <w:szCs w:val="22"/>
    </w:rPr>
  </w:style>
  <w:style w:type="paragraph" w:styleId="1056" w:customStyle="1">
    <w:name w:val="正文_8_1_1"/>
    <w:qFormat/>
    <w:pPr>
      <w:jc w:val="both"/>
      <w:widowControl w:val="off"/>
    </w:pPr>
    <w:rPr>
      <w:rFonts w:ascii="Calibri" w:hAnsi="Calibri"/>
      <w:sz w:val="21"/>
      <w:szCs w:val="22"/>
    </w:rPr>
  </w:style>
  <w:style w:type="paragraph" w:styleId="1057" w:customStyle="1">
    <w:name w:val="正文_1_0_0_0_0_0"/>
    <w:qFormat/>
    <w:pPr>
      <w:jc w:val="both"/>
      <w:widowControl w:val="off"/>
    </w:pPr>
    <w:rPr>
      <w:sz w:val="21"/>
    </w:rPr>
  </w:style>
  <w:style w:type="paragraph" w:styleId="1058" w:customStyle="1">
    <w:name w:val="列出段落_2"/>
    <w:basedOn w:val="1056"/>
    <w:uiPriority w:val="34"/>
    <w:qFormat/>
    <w:pPr>
      <w:ind w:firstLine="420"/>
    </w:pPr>
  </w:style>
  <w:style w:type="paragraph" w:styleId="1059" w:customStyle="1">
    <w:name w:val="Other|1"/>
    <w:basedOn w:val="819"/>
    <w:qFormat/>
    <w:rPr>
      <w:rFonts w:ascii="宋体" w:hAnsi="宋体" w:eastAsia="宋体" w:cs="宋体"/>
      <w:sz w:val="21"/>
      <w:lang w:val="zh-TW" w:eastAsia="zh-TW" w:bidi="zh-TW"/>
    </w:rPr>
  </w:style>
  <w:style w:type="character" w:styleId="1060" w:customStyle="1">
    <w:name w:val="HTML 预设格式 字符"/>
    <w:basedOn w:val="829"/>
    <w:link w:val="858"/>
    <w:uiPriority w:val="99"/>
    <w:semiHidden/>
    <w:qFormat/>
    <w:rPr>
      <w:rFonts w:ascii="Courier New" w:hAnsi="Courier New" w:eastAsia="楷体_GB2312"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29E3C6-87FE-4ACD-951F-61BF891D7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21</cp:revision>
  <dcterms:created xsi:type="dcterms:W3CDTF">2026-08-11T05:29:00Z</dcterms:created>
  <dcterms:modified xsi:type="dcterms:W3CDTF">2026-08-28T10:09:40Z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