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color w:val="auto"/>
          <w:sz w:val="21"/>
          <w:szCs w:val="21"/>
          <w:highlight w:val="none"/>
        </w:rPr>
      </w:pPr>
      <w:r/>
      <w:bookmarkStart w:id="0" w:name="_Hlk192713327"/>
      <w:r>
        <w:rPr>
          <w:rFonts w:hint="eastAsia" w:ascii="宋体" w:hAnsi="宋体" w:eastAsia="宋体" w:cs="宋体"/>
          <w:b/>
          <w:color w:val="auto"/>
          <w:sz w:val="72"/>
          <w:highlight w:val="none"/>
        </w:rPr>
        <w:tab/>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pacing w:val="20"/>
          <w:sz w:val="72"/>
          <w:szCs w:val="72"/>
          <w:highlight w:val="none"/>
        </w:rPr>
      </w:pPr>
      <w:r/>
      <w:bookmarkStart w:id="1" w:name="_Hlk192713293"/>
      <w:r>
        <w:rPr>
          <w:rFonts w:hint="eastAsia" w:ascii="宋体" w:hAnsi="宋体" w:eastAsia="宋体" w:cs="宋体"/>
          <w:b/>
          <w:color w:val="auto"/>
          <w:spacing w:val="20"/>
          <w:sz w:val="72"/>
          <w:szCs w:val="72"/>
          <w:highlight w:val="none"/>
        </w:rPr>
        <w:t xml:space="preserve">泰州市政府采购</w:t>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 xml:space="preserve">公开</w:t>
      </w:r>
      <w:bookmarkEnd w:id="1"/>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ab/>
      </w:r>
      <w:r>
        <w:rPr>
          <w:rFonts w:hint="eastAsia" w:ascii="宋体" w:hAnsi="宋体" w:eastAsia="宋体" w:cs="宋体"/>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pacing w:val="20"/>
          <w:sz w:val="52"/>
          <w:szCs w:val="52"/>
          <w:highlight w:val="none"/>
        </w:rPr>
        <w:t xml:space="preserve">招标文件</w:t>
      </w:r>
      <w:r>
        <w:rPr>
          <w:rFonts w:hint="eastAsia" w:ascii="宋体" w:hAnsi="宋体" w:eastAsia="宋体" w:cs="宋体"/>
          <w:b/>
          <w:color w:val="auto"/>
          <w:spacing w:val="20"/>
          <w:sz w:val="52"/>
          <w:szCs w:val="52"/>
          <w:highlight w:val="none"/>
        </w:rPr>
        <w:t xml:space="preserve">（二次）</w:t>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30"/>
          <w:highlight w:val="none"/>
        </w:rPr>
        <w:t xml:space="preserve">（全流程电子化不见面开标）</w:t>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1060"/>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0"/>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rPr>
          <w:rFonts w:hint="eastAsia" w:ascii="宋体" w:hAnsi="宋体" w:eastAsia="宋体" w:cs="宋体"/>
          <w:b/>
          <w:bCs/>
          <w:color w:val="0000ff"/>
          <w:sz w:val="32"/>
          <w:szCs w:val="32"/>
          <w:highlight w:val="none"/>
        </w:rPr>
        <w:t xml:space="preserve">JSZC-321200-JTTZ-G2026-0017</w:t>
      </w:r>
      <w:r/>
    </w:p>
    <w:p>
      <w:pPr>
        <w:ind w:left="1960" w:hanging="154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项目名称：泰州市人民医院大孔径CT模拟定位机采购项目</w:t>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94"/>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采购人：泰州市人民医院</w:t>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采购代理机构：江苏建泰工程项目管理有限公司</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2026年</w:t>
      </w:r>
      <w:r>
        <w:rPr>
          <w:rFonts w:hint="eastAsia" w:ascii="宋体" w:hAnsi="宋体" w:eastAsia="宋体" w:cs="宋体"/>
          <w:b/>
          <w:color w:val="auto"/>
          <w:sz w:val="32"/>
          <w:szCs w:val="32"/>
          <w:highlight w:val="none"/>
          <w:lang w:val="en-US" w:eastAsia="zh-CN"/>
        </w:rPr>
        <w:t xml:space="preserve">8</w:t>
      </w:r>
      <w:r>
        <w:rPr>
          <w:rFonts w:hint="eastAsia" w:ascii="宋体" w:hAnsi="宋体" w:eastAsia="宋体" w:cs="宋体"/>
          <w:b/>
          <w:color w:val="auto"/>
          <w:sz w:val="32"/>
          <w:szCs w:val="32"/>
          <w:highlight w:val="none"/>
        </w:rPr>
        <w:t xml:space="preserve">月</w:t>
      </w:r>
      <w:r/>
    </w:p>
    <w:p>
      <w:pPr>
        <w:ind w:right="840"/>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目  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6"/>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TOC  \* MERGEFORMAT</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第一章 招标公告</w:t>
      </w:r>
      <w:r/>
    </w:p>
    <w:p>
      <w:pPr>
        <w:pStyle w:val="1046"/>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第二章 投标人须知</w:t>
      </w:r>
      <w:r/>
    </w:p>
    <w:p>
      <w:pPr>
        <w:pStyle w:val="1046"/>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第三章 采购需求</w:t>
      </w:r>
      <w:r/>
    </w:p>
    <w:p>
      <w:pPr>
        <w:pStyle w:val="1046"/>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第四章 评标办法及评标标准</w:t>
      </w:r>
      <w:r/>
    </w:p>
    <w:p>
      <w:pPr>
        <w:pStyle w:val="1046"/>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第五章 合同条款</w:t>
      </w:r>
      <w:r/>
    </w:p>
    <w:p>
      <w:pPr>
        <w:pStyle w:val="1046"/>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t xml:space="preserve">第六章 投标文件格式</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color w:val="auto"/>
          <w:sz w:val="21"/>
          <w:szCs w:val="21"/>
          <w:highlight w:val="none"/>
        </w:rPr>
        <w:br w:type="page" w:clear="all"/>
      </w:r>
      <w:bookmarkStart w:id="2" w:name="_Toc409438817"/>
      <w:r/>
      <w:bookmarkStart w:id="3" w:name="_Toc388026584"/>
      <w:r>
        <w:rPr>
          <w:rFonts w:hint="eastAsia" w:ascii="宋体" w:hAnsi="宋体" w:eastAsia="宋体" w:cs="宋体"/>
          <w:b/>
          <w:color w:val="auto"/>
          <w:spacing w:val="15"/>
          <w:sz w:val="32"/>
          <w:szCs w:val="32"/>
          <w:highlight w:val="none"/>
        </w:rPr>
        <w:t xml:space="preserve">第一章</w:t>
      </w:r>
      <w:r>
        <w:rPr>
          <w:rFonts w:hint="eastAsia" w:ascii="宋体" w:hAnsi="宋体" w:eastAsia="宋体" w:cs="宋体"/>
          <w:color w:val="auto"/>
          <w:sz w:val="24"/>
          <w:szCs w:val="24"/>
          <w:highlight w:val="none"/>
        </w:rPr>
        <w:t xml:space="preserve"> </w:t>
      </w:r>
      <w:bookmarkStart w:id="4" w:name="_Toc258329824"/>
      <w:r/>
      <w:bookmarkEnd w:id="4"/>
      <w:r/>
      <w:bookmarkStart w:id="5" w:name="_Toc417477665"/>
      <w:r/>
      <w:bookmarkEnd w:id="5"/>
      <w:r/>
      <w:bookmarkStart w:id="6" w:name="_Toc228679947"/>
      <w:r/>
      <w:bookmarkEnd w:id="6"/>
      <w:r>
        <w:rPr>
          <w:rFonts w:hint="eastAsia" w:ascii="宋体" w:hAnsi="宋体" w:eastAsia="宋体" w:cs="宋体"/>
          <w:b/>
          <w:color w:val="auto"/>
          <w:spacing w:val="15"/>
          <w:sz w:val="32"/>
          <w:szCs w:val="32"/>
          <w:highlight w:val="none"/>
        </w:rPr>
        <w:t xml:space="preserve">招标公告</w:t>
      </w:r>
      <w:r/>
    </w:p>
    <w:p>
      <w:pPr>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8"/>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rPr>
        <w:t xml:space="preserve">泰州市人民医院大孔径CT模拟定位机采购项目</w:t>
      </w:r>
      <w:r>
        <w:rPr>
          <w:rFonts w:hint="eastAsia" w:ascii="宋体" w:hAnsi="宋体" w:eastAsia="宋体" w:cs="宋体"/>
          <w:color w:val="auto"/>
          <w:sz w:val="24"/>
          <w:szCs w:val="24"/>
          <w:highlight w:val="none"/>
        </w:rPr>
        <w:t xml:space="preserve">的潜在投标人应在江苏政府采购“苏采云”系统获取招标文件，并于</w:t>
      </w:r>
      <w:r>
        <w:rPr>
          <w:rFonts w:hint="eastAsia" w:ascii="宋体" w:hAnsi="宋体" w:eastAsia="宋体" w:cs="宋体"/>
          <w:color w:val="0000ff"/>
          <w:sz w:val="24"/>
          <w:szCs w:val="24"/>
          <w:highlight w:val="none"/>
          <w:u w:val="single"/>
        </w:rPr>
        <w:t xml:space="preserve">2026年</w:t>
      </w:r>
      <w:r>
        <w:rPr>
          <w:rFonts w:hint="eastAsia" w:ascii="宋体" w:hAnsi="宋体" w:eastAsia="宋体" w:cs="宋体"/>
          <w:color w:val="0000ff"/>
          <w:sz w:val="24"/>
          <w:szCs w:val="24"/>
          <w:highlight w:val="none"/>
          <w:u w:val="single"/>
          <w:lang w:val="en-US" w:eastAsia="zh-CN"/>
        </w:rPr>
        <w:t xml:space="preserve">9</w:t>
      </w:r>
      <w:r>
        <w:rPr>
          <w:rFonts w:hint="eastAsia" w:ascii="宋体" w:hAnsi="宋体" w:eastAsia="宋体" w:cs="宋体"/>
          <w:color w:val="0000ff"/>
          <w:sz w:val="24"/>
          <w:szCs w:val="24"/>
          <w:highlight w:val="none"/>
          <w:u w:val="single"/>
        </w:rPr>
        <w:t xml:space="preserve">月</w:t>
      </w:r>
      <w:r>
        <w:rPr>
          <w:rFonts w:hint="eastAsia" w:ascii="宋体" w:hAnsi="宋体" w:eastAsia="宋体" w:cs="宋体"/>
          <w:color w:val="0000ff"/>
          <w:sz w:val="24"/>
          <w:szCs w:val="24"/>
          <w:highlight w:val="none"/>
          <w:u w:val="single"/>
          <w:lang w:val="en-US" w:eastAsia="zh-CN"/>
        </w:rPr>
        <w:t xml:space="preserve">1</w:t>
      </w:r>
      <w:r>
        <w:rPr>
          <w:rFonts w:hint="eastAsia" w:ascii="宋体" w:hAnsi="宋体" w:eastAsia="宋体" w:cs="宋体"/>
          <w:color w:val="0000ff"/>
          <w:sz w:val="24"/>
          <w:szCs w:val="24"/>
          <w:highlight w:val="none"/>
          <w:u w:val="single"/>
        </w:rPr>
        <w:t xml:space="preserve">日</w:t>
      </w:r>
      <w:r>
        <w:rPr>
          <w:rFonts w:hint="eastAsia" w:ascii="宋体" w:hAnsi="宋体" w:eastAsia="宋体" w:cs="宋体"/>
          <w:color w:val="0000ff"/>
          <w:sz w:val="24"/>
          <w:szCs w:val="24"/>
          <w:highlight w:val="none"/>
          <w:u w:val="single"/>
          <w:lang w:val="en-US" w:eastAsia="zh-CN"/>
        </w:rPr>
        <w:t xml:space="preserve">14</w:t>
      </w:r>
      <w:r>
        <w:rPr>
          <w:rFonts w:hint="eastAsia" w:ascii="宋体" w:hAnsi="宋体" w:eastAsia="宋体" w:cs="宋体"/>
          <w:color w:val="0000ff"/>
          <w:sz w:val="24"/>
          <w:szCs w:val="24"/>
          <w:highlight w:val="none"/>
          <w:u w:val="single"/>
          <w:lang w:eastAsia="zh-CN"/>
        </w:rPr>
        <w:t xml:space="preserve">：</w:t>
      </w:r>
      <w:r>
        <w:rPr>
          <w:rFonts w:hint="eastAsia" w:ascii="宋体" w:hAnsi="宋体" w:eastAsia="宋体" w:cs="宋体"/>
          <w:color w:val="0000ff"/>
          <w:sz w:val="24"/>
          <w:szCs w:val="24"/>
          <w:highlight w:val="none"/>
          <w:u w:val="single"/>
          <w:lang w:val="en-US" w:eastAsia="zh-CN"/>
        </w:rPr>
        <w:t xml:space="preserve">3</w:t>
      </w:r>
      <w:r>
        <w:rPr>
          <w:rFonts w:hint="eastAsia" w:ascii="宋体" w:hAnsi="宋体" w:eastAsia="宋体" w:cs="宋体"/>
          <w:color w:val="0000ff"/>
          <w:sz w:val="24"/>
          <w:szCs w:val="24"/>
          <w:highlight w:val="none"/>
          <w:u w:val="single"/>
        </w:rPr>
        <w:t xml:space="preserve">0</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1008"/>
        <w:spacing w:before="0" w:after="0" w:line="480" w:lineRule="exact"/>
        <w:rPr>
          <w:rFonts w:hint="eastAsia" w:ascii="宋体" w:hAnsi="宋体" w:eastAsia="宋体" w:cs="宋体"/>
          <w:b w:val="0"/>
          <w:color w:val="auto"/>
          <w:sz w:val="24"/>
          <w:szCs w:val="24"/>
          <w:highlight w:val="none"/>
        </w:rPr>
        <w:outlineLvl w:val="9"/>
      </w:pPr>
      <w:r/>
      <w:bookmarkStart w:id="7" w:name="_Toc28359079"/>
      <w:r/>
      <w:bookmarkStart w:id="8" w:name="_Toc28359002"/>
      <w:r/>
      <w:bookmarkStart w:id="9" w:name="_Toc35393621"/>
      <w:r/>
      <w:bookmarkStart w:id="10" w:name="_Toc35393790"/>
      <w:r/>
      <w:bookmarkStart w:id="11" w:name="_Hlk24379207"/>
      <w:r>
        <w:rPr>
          <w:rFonts w:hint="eastAsia" w:ascii="宋体" w:hAnsi="宋体" w:eastAsia="宋体" w:cs="宋体"/>
          <w:b w:val="0"/>
          <w:color w:val="auto"/>
          <w:sz w:val="24"/>
          <w:szCs w:val="24"/>
          <w:highlight w:val="none"/>
        </w:rPr>
        <w:t xml:space="preserve">一、项目基本情况</w:t>
      </w:r>
      <w:bookmarkEnd w:id="7"/>
      <w:r/>
      <w:bookmarkEnd w:id="8"/>
      <w:r/>
      <w:bookmarkEnd w:id="9"/>
      <w:r/>
      <w:bookmarkEnd w:id="10"/>
      <w:r/>
      <w:r/>
    </w:p>
    <w:p>
      <w:pPr>
        <w:ind w:firstLine="488"/>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0000ff"/>
          <w:sz w:val="24"/>
          <w:szCs w:val="24"/>
          <w:highlight w:val="none"/>
        </w:rPr>
        <w:t xml:space="preserve">JSZC-321200-JTTZ-G2026-0017</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bookmarkEnd w:id="11"/>
      <w:r>
        <w:rPr>
          <w:rFonts w:hint="eastAsia" w:ascii="宋体" w:hAnsi="宋体" w:eastAsia="宋体" w:cs="宋体"/>
          <w:color w:val="auto"/>
          <w:sz w:val="24"/>
          <w:szCs w:val="24"/>
          <w:highlight w:val="none"/>
        </w:rPr>
        <w:t xml:space="preserve">泰州市人民医院大孔径CT模拟定位机采购项目</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650</w:t>
      </w:r>
      <w:r>
        <w:rPr>
          <w:rFonts w:hint="eastAsia" w:ascii="宋体" w:hAnsi="宋体" w:eastAsia="宋体" w:cs="宋体"/>
          <w:color w:val="auto"/>
          <w:sz w:val="24"/>
          <w:szCs w:val="24"/>
          <w:highlight w:val="none"/>
        </w:rPr>
        <w:t xml:space="preserve">万元</w:t>
      </w:r>
      <w:r/>
    </w:p>
    <w:p>
      <w:pPr>
        <w:ind w:firstLine="488"/>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650</w:t>
      </w:r>
      <w:r>
        <w:rPr>
          <w:rFonts w:hint="eastAsia" w:ascii="宋体" w:hAnsi="宋体" w:eastAsia="宋体" w:cs="宋体"/>
          <w:color w:val="auto"/>
          <w:sz w:val="24"/>
          <w:szCs w:val="24"/>
          <w:highlight w:val="none"/>
        </w:rPr>
        <w:t xml:space="preserve">万元</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大孔径CT模拟定位机</w:t>
      </w:r>
      <w:r>
        <w:rPr>
          <w:rFonts w:hint="eastAsia" w:ascii="宋体" w:hAnsi="宋体" w:eastAsia="宋体" w:cs="宋体"/>
          <w:color w:val="auto"/>
          <w:sz w:val="24"/>
          <w:szCs w:val="24"/>
          <w:highlight w:val="none"/>
          <w:lang w:val="en-US" w:eastAsia="zh-CN"/>
        </w:rPr>
        <w:t xml:space="preserve">1套，</w:t>
      </w:r>
      <w:r>
        <w:rPr>
          <w:rFonts w:hint="eastAsia" w:ascii="宋体" w:hAnsi="宋体" w:eastAsia="宋体" w:cs="宋体"/>
          <w:color w:val="auto"/>
          <w:sz w:val="24"/>
          <w:szCs w:val="24"/>
          <w:highlight w:val="none"/>
        </w:rPr>
        <w:t xml:space="preserve">具体要求详见招标文件。</w:t>
      </w:r>
      <w:r/>
    </w:p>
    <w:p>
      <w:pPr>
        <w:pStyle w:val="839"/>
        <w:ind w:firstLine="480"/>
        <w:jc w:val="both"/>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rPr>
          <w:rFonts w:hint="eastAsia" w:ascii="宋体" w:hAnsi="宋体" w:eastAsia="宋体" w:cs="宋体"/>
          <w:color w:val="auto"/>
          <w:sz w:val="24"/>
          <w:szCs w:val="24"/>
          <w:highlight w:val="none"/>
        </w:rPr>
        <w:t xml:space="preserve">：合同签署</w:t>
      </w:r>
      <w:r>
        <w:rPr>
          <w:rFonts w:hint="eastAsia" w:ascii="宋体" w:hAnsi="宋体" w:eastAsia="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接到采购人通知后30</w:t>
      </w:r>
      <w:r>
        <w:rPr>
          <w:rFonts w:hint="eastAsia" w:ascii="宋体" w:hAnsi="宋体" w:eastAsia="宋体" w:cs="宋体"/>
          <w:color w:val="auto"/>
          <w:sz w:val="24"/>
          <w:szCs w:val="24"/>
          <w:highlight w:val="none"/>
        </w:rPr>
        <w:t xml:space="preserve">日内完成供货和安装。</w:t>
      </w:r>
      <w:r/>
    </w:p>
    <w:p>
      <w:pPr>
        <w:pStyle w:val="839"/>
        <w:ind w:firstLine="480"/>
        <w:jc w:val="both"/>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本项目（是/否）接受联合体投标：否</w:t>
      </w:r>
      <w:r/>
    </w:p>
    <w:p>
      <w:pPr>
        <w:pStyle w:val="1008"/>
        <w:spacing w:before="0" w:after="0" w:line="480" w:lineRule="exact"/>
        <w:rPr>
          <w:rFonts w:hint="eastAsia" w:ascii="宋体" w:hAnsi="宋体" w:eastAsia="宋体" w:cs="宋体"/>
          <w:b w:val="0"/>
          <w:color w:val="auto"/>
          <w:sz w:val="24"/>
          <w:szCs w:val="24"/>
          <w:highlight w:val="none"/>
        </w:rPr>
        <w:outlineLvl w:val="9"/>
      </w:pPr>
      <w:r/>
      <w:bookmarkStart w:id="12" w:name="_Toc28359003"/>
      <w:r/>
      <w:bookmarkStart w:id="13" w:name="_Toc35393622"/>
      <w:r/>
      <w:bookmarkStart w:id="14" w:name="_Toc28359080"/>
      <w:r/>
      <w:bookmarkStart w:id="15" w:name="_Toc35393791"/>
      <w:r>
        <w:rPr>
          <w:rFonts w:hint="eastAsia" w:ascii="宋体" w:hAnsi="宋体" w:eastAsia="宋体" w:cs="宋体"/>
          <w:b w:val="0"/>
          <w:color w:val="auto"/>
          <w:sz w:val="24"/>
          <w:szCs w:val="24"/>
          <w:highlight w:val="none"/>
        </w:rPr>
        <w:t xml:space="preserve">二、申请人的资格要求：</w:t>
      </w:r>
      <w:bookmarkEnd w:id="12"/>
      <w:r/>
      <w:bookmarkEnd w:id="13"/>
      <w:r/>
      <w:bookmarkEnd w:id="14"/>
      <w:r/>
      <w:bookmarkEnd w:id="15"/>
      <w:r/>
      <w:r/>
    </w:p>
    <w:p>
      <w:pPr>
        <w:ind w:firstLine="488"/>
        <w:spacing w:line="480" w:lineRule="exact"/>
        <w:rPr>
          <w:rFonts w:hint="eastAsia" w:ascii="宋体" w:hAnsi="宋体" w:eastAsia="宋体" w:cs="宋体"/>
          <w:color w:val="auto"/>
          <w:sz w:val="24"/>
          <w:szCs w:val="24"/>
          <w:highlight w:val="none"/>
        </w:rPr>
      </w:pPr>
      <w:r/>
      <w:bookmarkStart w:id="16" w:name="_Hlk227768296"/>
      <w:r>
        <w:rPr>
          <w:rFonts w:hint="eastAsia" w:ascii="宋体" w:hAnsi="宋体" w:eastAsia="宋体" w:cs="宋体"/>
          <w:color w:val="auto"/>
          <w:sz w:val="24"/>
          <w:szCs w:val="24"/>
          <w:highlight w:val="none"/>
        </w:rPr>
        <w:t xml:space="preserve">（一）满足《中华人民共和国政府采购法》第二十二条规定：</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spacing w:line="480" w:lineRule="exact"/>
        <w:rPr>
          <w:rFonts w:hint="eastAsia" w:ascii="宋体" w:hAnsi="宋体" w:eastAsia="宋体" w:cs="宋体"/>
          <w:color w:val="auto"/>
          <w:sz w:val="24"/>
          <w:szCs w:val="24"/>
          <w:highlight w:val="none"/>
        </w:rPr>
      </w:pPr>
      <w:r/>
      <w:bookmarkStart w:id="17" w:name="_Toc28359081"/>
      <w:r/>
      <w:bookmarkStart w:id="18" w:name="_Toc28359004"/>
      <w:r>
        <w:rPr>
          <w:rFonts w:hint="eastAsia" w:ascii="宋体" w:hAnsi="宋体" w:eastAsia="宋体" w:cs="宋体"/>
          <w:color w:val="auto"/>
          <w:sz w:val="24"/>
          <w:szCs w:val="24"/>
          <w:highlight w:val="none"/>
        </w:rPr>
        <w:t xml:space="preserve">（二）落实政府采购政策需满足的资格要求：</w:t>
      </w:r>
      <w:r/>
    </w:p>
    <w:p>
      <w:pPr>
        <w:ind w:firstLine="488"/>
        <w:spacing w:line="480" w:lineRule="exact"/>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1.本项目属于工业行业，不专门面向中小微企业、监狱企业、残疾人福利性单位，对所投产品制造商符合小型和微型企业、残疾人福利性单位、监狱企业条件的给予10%的扣除价格，用扣除后的价格参与评审。</w:t>
      </w:r>
      <w:r/>
    </w:p>
    <w:p>
      <w:pPr>
        <w:ind w:firstLine="488"/>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highlight w:val="none"/>
          <w:u w:val="none"/>
        </w:rPr>
        <w:t xml:space="preserve">2.根据《国务院办公厅关于在政府采购中实施本国产品标准及相关政策的通知》（国办发</w:t>
      </w:r>
      <w:r>
        <w:rPr>
          <w:rFonts w:hint="eastAsia" w:ascii="宋体" w:hAnsi="宋体" w:eastAsia="宋体" w:cs="宋体"/>
          <w:color w:val="auto"/>
          <w:sz w:val="24"/>
          <w:highlight w:val="none"/>
          <w:u w:val="none"/>
          <w:lang w:eastAsia="zh-CN"/>
        </w:rPr>
        <w:t xml:space="preserve">〔2025〕34号</w:t>
      </w:r>
      <w:r>
        <w:rPr>
          <w:rFonts w:hint="eastAsia" w:ascii="宋体" w:hAnsi="宋体" w:eastAsia="宋体" w:cs="宋体"/>
          <w:color w:val="auto"/>
          <w:sz w:val="24"/>
          <w:highlight w:val="none"/>
          <w:u w:val="none"/>
        </w:rPr>
        <w:t xml:space="preserve">）和《关于贯彻落实《国务院办公厅关于在政府采购中实施本国产品标准及相关政策的通知》的意见》（财库</w:t>
      </w:r>
      <w:r>
        <w:rPr>
          <w:rFonts w:hint="eastAsia" w:ascii="宋体" w:hAnsi="宋体" w:eastAsia="宋体" w:cs="宋体"/>
          <w:color w:val="auto"/>
          <w:sz w:val="24"/>
          <w:highlight w:val="none"/>
          <w:u w:val="none"/>
          <w:lang w:eastAsia="zh-CN"/>
        </w:rPr>
        <w:t xml:space="preserve">〔2025〕30号</w:t>
      </w:r>
      <w:r>
        <w:rPr>
          <w:rFonts w:hint="eastAsia" w:ascii="宋体" w:hAnsi="宋体" w:eastAsia="宋体" w:cs="宋体"/>
          <w:color w:val="auto"/>
          <w:sz w:val="24"/>
          <w:highlight w:val="none"/>
          <w:u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1.投标产品按国家规定须医疗器械注册证的，投标人须提供投标产品的《医疗器械注册证》或者《产品备案凭证》；</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医疗器械生产企业投标本企业产品的，须提供《医疗器械生产许可证》或者《医疗器械生产备案凭证》；投标人为医疗器械经营企业的，须根据投标产品的类别，提供投标人的《医疗器械经营许可证》或者《医疗器械经营备案凭证》；</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3.医疗器械生产企业投标本企业产品的，需按照国家规定提供《辐射安全许可证》；投标人为医疗器械经营企业的，需按照国家规定提供投标人以及医疗器械生产企业的《辐射安全许可证》。</w:t>
      </w:r>
      <w:bookmarkEnd w:id="16"/>
      <w:r/>
      <w:r/>
    </w:p>
    <w:p>
      <w:pPr>
        <w:ind w:firstLine="480"/>
        <w:spacing w:line="520" w:lineRule="exact"/>
        <w:rPr>
          <w:rFonts w:hint="eastAsia" w:ascii="宋体" w:hAnsi="宋体" w:eastAsia="宋体" w:cs="宋体"/>
          <w:color w:val="auto"/>
          <w:sz w:val="24"/>
          <w:szCs w:val="24"/>
          <w:highlight w:val="none"/>
        </w:rPr>
      </w:pPr>
      <w:r/>
      <w:bookmarkStart w:id="19" w:name="_Toc35393623"/>
      <w:r/>
      <w:bookmarkStart w:id="20" w:name="_Toc35393792"/>
      <w:r>
        <w:rPr>
          <w:rFonts w:hint="eastAsia" w:ascii="宋体" w:hAnsi="宋体" w:eastAsia="宋体" w:cs="宋体"/>
          <w:color w:val="auto"/>
          <w:sz w:val="24"/>
          <w:szCs w:val="24"/>
          <w:highlight w:val="none"/>
        </w:rPr>
        <w:t xml:space="preserve">（四）供应商未被“信用中国”网站（www.creditchina.gov.cn）列入失信被执行人、重大税收违法失信主体、政府采购严重失信行为记录名单；</w:t>
      </w:r>
      <w:r/>
    </w:p>
    <w:p>
      <w:pPr>
        <w:ind w:firstLine="480"/>
        <w:spacing w:line="52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）供应商单位负责人为同一人或者存在直接控股、管理关系的不同供应商，不得参加同一合同项下的采购活动。</w:t>
      </w:r>
      <w:r/>
    </w:p>
    <w:p>
      <w:pPr>
        <w:pStyle w:val="1008"/>
        <w:spacing w:before="0" w:after="0" w:line="48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rPr>
        <w:t xml:space="preserve">三、获取招标文件</w:t>
      </w:r>
      <w:bookmarkEnd w:id="17"/>
      <w:r/>
      <w:bookmarkEnd w:id="18"/>
      <w:r/>
      <w:bookmarkEnd w:id="19"/>
      <w:r/>
      <w:bookmarkEnd w:id="20"/>
      <w:r>
        <w:rPr>
          <w:rFonts w:hint="eastAsia" w:ascii="宋体" w:hAnsi="宋体" w:eastAsia="宋体" w:cs="宋体"/>
          <w:b w:val="0"/>
          <w:color w:val="auto"/>
          <w:sz w:val="24"/>
          <w:szCs w:val="24"/>
          <w:highlight w:val="none"/>
        </w:rPr>
        <w:t xml:space="preserve">：</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0000ff"/>
          <w:sz w:val="24"/>
          <w:szCs w:val="24"/>
          <w:highlight w:val="none"/>
        </w:rPr>
        <w:t xml:space="preserve">2026年</w:t>
      </w:r>
      <w:bookmarkStart w:id="84" w:name="_GoBack"/>
      <w:r>
        <w:rPr>
          <w:rFonts w:hint="eastAsia" w:ascii="宋体" w:hAnsi="宋体" w:eastAsia="宋体" w:cs="宋体"/>
          <w:color w:val="0000ff"/>
          <w:sz w:val="24"/>
          <w:szCs w:val="24"/>
          <w:highlight w:val="none"/>
          <w:lang w:val="en-US" w:eastAsia="zh-CN"/>
        </w:rPr>
        <w:t xml:space="preserve">8</w:t>
      </w:r>
      <w:r>
        <w:rPr>
          <w:rFonts w:hint="eastAsia" w:ascii="宋体" w:hAnsi="宋体" w:eastAsia="宋体" w:cs="宋体"/>
          <w:color w:val="0000ff"/>
          <w:sz w:val="24"/>
          <w:szCs w:val="24"/>
          <w:highlight w:val="none"/>
        </w:rPr>
        <w:t xml:space="preserve">月</w:t>
      </w:r>
      <w:bookmarkEnd w:id="84"/>
      <w:r>
        <w:rPr>
          <w:rFonts w:hint="eastAsia" w:ascii="宋体" w:hAnsi="宋体" w:eastAsia="宋体" w:cs="宋体"/>
          <w:color w:val="0000ff"/>
          <w:sz w:val="24"/>
          <w:szCs w:val="24"/>
          <w:highlight w:val="none"/>
          <w:lang w:val="en-US" w:eastAsia="zh-CN"/>
        </w:rPr>
        <w:t xml:space="preserve">12</w:t>
      </w:r>
      <w:r>
        <w:rPr>
          <w:rFonts w:hint="eastAsia" w:ascii="宋体" w:hAnsi="宋体" w:eastAsia="宋体" w:cs="宋体"/>
          <w:color w:val="0000ff"/>
          <w:sz w:val="24"/>
          <w:szCs w:val="24"/>
          <w:highlight w:val="none"/>
        </w:rPr>
        <w:t xml:space="preserve">日0:00-2026年</w:t>
      </w:r>
      <w:r>
        <w:rPr>
          <w:rFonts w:hint="eastAsia" w:ascii="宋体" w:hAnsi="宋体" w:eastAsia="宋体" w:cs="宋体"/>
          <w:color w:val="0000ff"/>
          <w:sz w:val="24"/>
          <w:szCs w:val="24"/>
          <w:highlight w:val="none"/>
          <w:lang w:val="en-US" w:eastAsia="zh-CN"/>
        </w:rPr>
        <w:t xml:space="preserve">8</w:t>
      </w:r>
      <w:r>
        <w:rPr>
          <w:rFonts w:hint="eastAsia" w:ascii="宋体" w:hAnsi="宋体" w:eastAsia="宋体" w:cs="宋体"/>
          <w:color w:val="0000ff"/>
          <w:sz w:val="24"/>
          <w:szCs w:val="24"/>
          <w:highlight w:val="none"/>
        </w:rPr>
        <w:t xml:space="preserve">月</w:t>
      </w:r>
      <w:r>
        <w:rPr>
          <w:rFonts w:hint="eastAsia" w:ascii="宋体" w:hAnsi="宋体" w:eastAsia="宋体" w:cs="宋体"/>
          <w:color w:val="0000ff"/>
          <w:sz w:val="24"/>
          <w:szCs w:val="24"/>
          <w:highlight w:val="none"/>
          <w:lang w:val="en-US" w:eastAsia="zh-CN"/>
        </w:rPr>
        <w:t xml:space="preserve">19</w:t>
      </w:r>
      <w:r>
        <w:rPr>
          <w:rFonts w:hint="eastAsia" w:ascii="宋体" w:hAnsi="宋体" w:eastAsia="宋体" w:cs="宋体"/>
          <w:color w:val="0000ff"/>
          <w:sz w:val="24"/>
          <w:szCs w:val="24"/>
          <w:highlight w:val="none"/>
        </w:rPr>
        <w:t xml:space="preserve">日0:00</w:t>
      </w:r>
      <w:r/>
    </w:p>
    <w:p>
      <w:pPr>
        <w:pStyle w:val="1008"/>
        <w:ind w:firstLine="480"/>
        <w:spacing w:before="0" w:after="0" w:line="480" w:lineRule="exact"/>
        <w:rPr>
          <w:rFonts w:hint="eastAsia" w:ascii="宋体" w:hAnsi="宋体" w:eastAsia="宋体" w:cs="宋体"/>
          <w:b w:val="0"/>
          <w:bCs w:val="0"/>
          <w:color w:val="auto"/>
          <w:sz w:val="24"/>
          <w:szCs w:val="24"/>
          <w:highlight w:val="none"/>
        </w:rPr>
        <w:outlineLvl w:val="9"/>
      </w:pPr>
      <w:r/>
      <w:bookmarkStart w:id="21" w:name="_Toc28359005"/>
      <w:r/>
      <w:bookmarkStart w:id="22" w:name="_Toc28359082"/>
      <w:r/>
      <w:bookmarkStart w:id="23" w:name="_Toc35393793"/>
      <w:r/>
      <w:bookmarkStart w:id="24" w:name="_Toc35393624"/>
      <w:r>
        <w:rPr>
          <w:rFonts w:hint="eastAsia" w:ascii="宋体" w:hAnsi="宋体" w:eastAsia="宋体" w:cs="宋体"/>
          <w:b w:val="0"/>
          <w:bCs w:val="0"/>
          <w:color w:val="auto"/>
          <w:sz w:val="24"/>
          <w:szCs w:val="24"/>
          <w:highlight w:val="none"/>
        </w:rPr>
        <w:t xml:space="preserve">地点：江苏政府采购“苏采云”系统</w:t>
      </w:r>
      <w:r/>
    </w:p>
    <w:p>
      <w:pPr>
        <w:pStyle w:val="1008"/>
        <w:ind w:firstLine="480"/>
        <w:spacing w:before="0" w:after="0" w:line="48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方式：供应商完成注册并办理CA证书后登录江苏政府采购“苏采云”系统下载本项目招标文件</w:t>
      </w:r>
      <w:r/>
    </w:p>
    <w:p>
      <w:pPr>
        <w:pStyle w:val="1008"/>
        <w:ind w:firstLine="480"/>
        <w:spacing w:before="0" w:after="0" w:line="48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售价：0.00元</w:t>
      </w:r>
      <w:r/>
    </w:p>
    <w:p>
      <w:pPr>
        <w:pStyle w:val="1008"/>
        <w:spacing w:before="0" w:after="0" w:line="48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rPr>
        <w:t xml:space="preserve">四、提交投标文件</w:t>
      </w:r>
      <w:bookmarkEnd w:id="21"/>
      <w:r/>
      <w:bookmarkEnd w:id="22"/>
      <w:r>
        <w:rPr>
          <w:rFonts w:hint="eastAsia" w:ascii="宋体" w:hAnsi="宋体" w:eastAsia="宋体" w:cs="宋体"/>
          <w:b w:val="0"/>
          <w:color w:val="auto"/>
          <w:sz w:val="24"/>
          <w:szCs w:val="24"/>
          <w:highlight w:val="none"/>
        </w:rPr>
        <w:t xml:space="preserve">截止时间、开标时间和地点</w:t>
      </w:r>
      <w:bookmarkEnd w:id="23"/>
      <w:r/>
      <w:bookmarkEnd w:id="24"/>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0000ff"/>
          <w:sz w:val="24"/>
          <w:szCs w:val="24"/>
          <w:highlight w:val="none"/>
        </w:rPr>
        <w:t xml:space="preserve">2026年</w:t>
      </w:r>
      <w:r>
        <w:rPr>
          <w:rFonts w:hint="eastAsia" w:ascii="宋体" w:hAnsi="宋体" w:eastAsia="宋体" w:cs="宋体"/>
          <w:color w:val="0000ff"/>
          <w:sz w:val="24"/>
          <w:szCs w:val="24"/>
          <w:highlight w:val="none"/>
          <w:lang w:val="en-US" w:eastAsia="zh-CN"/>
        </w:rPr>
        <w:t xml:space="preserve">9</w:t>
      </w:r>
      <w:r>
        <w:rPr>
          <w:rFonts w:hint="eastAsia" w:ascii="宋体" w:hAnsi="宋体" w:eastAsia="宋体" w:cs="宋体"/>
          <w:color w:val="0000ff"/>
          <w:sz w:val="24"/>
          <w:szCs w:val="24"/>
          <w:highlight w:val="none"/>
        </w:rPr>
        <w:t xml:space="preserve">月</w:t>
      </w:r>
      <w:r>
        <w:rPr>
          <w:rFonts w:hint="eastAsia" w:ascii="宋体" w:hAnsi="宋体" w:eastAsia="宋体" w:cs="宋体"/>
          <w:color w:val="0000ff"/>
          <w:sz w:val="24"/>
          <w:szCs w:val="24"/>
          <w:highlight w:val="none"/>
          <w:lang w:val="en-US" w:eastAsia="zh-CN"/>
        </w:rPr>
        <w:t xml:space="preserve">1</w:t>
      </w:r>
      <w:r>
        <w:rPr>
          <w:rFonts w:hint="eastAsia" w:ascii="宋体" w:hAnsi="宋体" w:eastAsia="宋体" w:cs="宋体"/>
          <w:color w:val="0000ff"/>
          <w:sz w:val="24"/>
          <w:szCs w:val="24"/>
          <w:highlight w:val="none"/>
        </w:rPr>
        <w:t xml:space="preserve">日</w:t>
      </w:r>
      <w:r>
        <w:rPr>
          <w:rFonts w:hint="eastAsia" w:ascii="宋体" w:hAnsi="宋体" w:eastAsia="宋体" w:cs="宋体"/>
          <w:color w:val="0000ff"/>
          <w:sz w:val="24"/>
          <w:szCs w:val="24"/>
          <w:highlight w:val="none"/>
          <w:lang w:val="en-US" w:eastAsia="zh-CN"/>
        </w:rPr>
        <w:t xml:space="preserve">14</w:t>
      </w:r>
      <w:r>
        <w:rPr>
          <w:rFonts w:hint="eastAsia" w:ascii="宋体" w:hAnsi="宋体" w:eastAsia="宋体" w:cs="宋体"/>
          <w:color w:val="0000ff"/>
          <w:sz w:val="24"/>
          <w:szCs w:val="24"/>
          <w:highlight w:val="none"/>
        </w:rPr>
        <w:t xml:space="preserve">点</w:t>
      </w:r>
      <w:r>
        <w:rPr>
          <w:rFonts w:hint="eastAsia" w:ascii="宋体" w:hAnsi="宋体" w:eastAsia="宋体" w:cs="宋体"/>
          <w:color w:val="0000ff"/>
          <w:sz w:val="24"/>
          <w:szCs w:val="24"/>
          <w:highlight w:val="none"/>
          <w:lang w:val="en-US" w:eastAsia="zh-CN"/>
        </w:rPr>
        <w:t xml:space="preserve">3</w:t>
      </w:r>
      <w:r>
        <w:rPr>
          <w:rFonts w:hint="eastAsia" w:ascii="宋体" w:hAnsi="宋体" w:eastAsia="宋体" w:cs="宋体"/>
          <w:color w:val="0000ff"/>
          <w:sz w:val="24"/>
          <w:szCs w:val="24"/>
          <w:highlight w:val="none"/>
        </w:rPr>
        <w:t xml:space="preserve">0分</w:t>
      </w:r>
      <w:r>
        <w:rPr>
          <w:rFonts w:hint="eastAsia" w:ascii="宋体" w:hAnsi="宋体" w:eastAsia="宋体" w:cs="宋体"/>
          <w:color w:val="auto"/>
          <w:sz w:val="24"/>
          <w:szCs w:val="24"/>
          <w:highlight w:val="none"/>
        </w:rPr>
        <w:t xml:space="preserve">（北京时间）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p>
      <w:pPr>
        <w:pStyle w:val="1008"/>
        <w:spacing w:before="0" w:after="0" w:line="480" w:lineRule="exact"/>
        <w:rPr>
          <w:rFonts w:hint="eastAsia" w:ascii="宋体" w:hAnsi="宋体" w:eastAsia="宋体" w:cs="宋体"/>
          <w:b w:val="0"/>
          <w:color w:val="auto"/>
          <w:sz w:val="24"/>
          <w:szCs w:val="24"/>
          <w:highlight w:val="none"/>
        </w:rPr>
        <w:outlineLvl w:val="9"/>
      </w:pPr>
      <w:r/>
      <w:bookmarkStart w:id="25" w:name="_Toc28359084"/>
      <w:r/>
      <w:bookmarkStart w:id="26" w:name="_Toc28359007"/>
      <w:r/>
      <w:bookmarkStart w:id="27" w:name="_Toc35393625"/>
      <w:r/>
      <w:bookmarkStart w:id="28" w:name="_Toc35393794"/>
      <w:r>
        <w:rPr>
          <w:rFonts w:hint="eastAsia" w:ascii="宋体" w:hAnsi="宋体" w:eastAsia="宋体" w:cs="宋体"/>
          <w:b w:val="0"/>
          <w:color w:val="auto"/>
          <w:sz w:val="24"/>
          <w:szCs w:val="24"/>
          <w:highlight w:val="none"/>
        </w:rPr>
        <w:t xml:space="preserve">五、公告期限</w:t>
      </w:r>
      <w:bookmarkEnd w:id="25"/>
      <w:r/>
      <w:bookmarkEnd w:id="26"/>
      <w:r/>
      <w:bookmarkEnd w:id="27"/>
      <w:r/>
      <w:bookmarkEnd w:id="28"/>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1008"/>
        <w:spacing w:before="0" w:after="0" w:line="480" w:lineRule="exact"/>
        <w:rPr>
          <w:rFonts w:hint="eastAsia" w:ascii="宋体" w:hAnsi="宋体" w:eastAsia="宋体" w:cs="宋体"/>
          <w:b w:val="0"/>
          <w:color w:val="auto"/>
          <w:sz w:val="24"/>
          <w:szCs w:val="24"/>
          <w:highlight w:val="none"/>
        </w:rPr>
        <w:outlineLvl w:val="9"/>
      </w:pPr>
      <w:r/>
      <w:bookmarkStart w:id="29" w:name="_Toc35393795"/>
      <w:r/>
      <w:bookmarkStart w:id="30" w:name="_Toc35393626"/>
      <w:r>
        <w:rPr>
          <w:rFonts w:hint="eastAsia" w:ascii="宋体" w:hAnsi="宋体" w:eastAsia="宋体" w:cs="宋体"/>
          <w:b w:val="0"/>
          <w:color w:val="auto"/>
          <w:sz w:val="24"/>
          <w:szCs w:val="24"/>
          <w:highlight w:val="none"/>
        </w:rPr>
        <w:t xml:space="preserve">六、其他补充事宜</w:t>
      </w:r>
      <w:bookmarkEnd w:id="29"/>
      <w:r/>
      <w:bookmarkEnd w:id="30"/>
      <w:r/>
      <w:r/>
    </w:p>
    <w:p>
      <w:pPr>
        <w:ind w:firstLine="480"/>
        <w:spacing w:line="480" w:lineRule="exact"/>
        <w:rPr>
          <w:rFonts w:hint="eastAsia" w:ascii="宋体" w:hAnsi="宋体" w:eastAsia="宋体" w:cs="宋体"/>
          <w:color w:val="auto"/>
          <w:sz w:val="24"/>
          <w:szCs w:val="24"/>
          <w:highlight w:val="none"/>
        </w:rPr>
      </w:pPr>
      <w:r/>
      <w:bookmarkStart w:id="31" w:name="_Toc28359008"/>
      <w:r/>
      <w:bookmarkStart w:id="32" w:name="_Toc35393796"/>
      <w:r/>
      <w:bookmarkStart w:id="33" w:name="_Toc35393627"/>
      <w:r/>
      <w:bookmarkStart w:id="34" w:name="_Toc28359085"/>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.本项目采用网上注册登记方式。潜在投标人访问电子招标投标交易平台的网络地址和方法如下：</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（1）登录http://jszfcg.jsczt.cn/，点击“苏采云”进入系统。</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.采购代理机构将数据电文形式的招标文件加载至电子招标投标交易平台，供潜在投标人下载或者查阅。</w:t>
      </w:r>
      <w:r/>
    </w:p>
    <w:p>
      <w:pPr>
        <w:ind w:firstLine="480"/>
        <w:spacing w:line="480" w:lineRule="exact"/>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.有关本次招标的事项若存在变动或修改，敬请及时关注“江苏政府采购网”发布的更正公告。</w:t>
      </w:r>
      <w:r/>
    </w:p>
    <w:p>
      <w:pPr>
        <w:pStyle w:val="1008"/>
        <w:ind w:firstLine="480"/>
        <w:keepLines w:val="0"/>
        <w:keepNext w:val="0"/>
        <w:spacing w:before="0" w:after="0" w:line="48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在评标结束前，各投标人授权代表应保持手机畅通，以便及时澄清答疑。</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.如潜在投标人未按上述要求操作，将自行承担所产生的风险。</w:t>
      </w:r>
      <w:r/>
    </w:p>
    <w:p>
      <w:pPr>
        <w:pStyle w:val="1008"/>
        <w:spacing w:before="0" w:after="0" w:line="48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七、对本次招标</w:t>
      </w:r>
      <w:r>
        <w:rPr>
          <w:rFonts w:hint="eastAsia" w:ascii="宋体" w:hAnsi="宋体" w:eastAsia="宋体" w:cs="宋体"/>
          <w:b w:val="0"/>
          <w:color w:val="auto"/>
          <w:sz w:val="24"/>
          <w:szCs w:val="24"/>
          <w:highlight w:val="none"/>
        </w:rPr>
        <w:t xml:space="preserve">提出询问，请按以下方式联系。</w:t>
      </w:r>
      <w:bookmarkEnd w:id="31"/>
      <w:r/>
      <w:bookmarkEnd w:id="32"/>
      <w:r/>
      <w:bookmarkEnd w:id="33"/>
      <w:r/>
      <w:bookmarkEnd w:id="34"/>
      <w:r/>
      <w:r/>
    </w:p>
    <w:p>
      <w:pPr>
        <w:ind w:firstLine="48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eastAsia="宋体" w:cs="宋体"/>
          <w:bCs/>
          <w:color w:val="auto"/>
          <w:sz w:val="24"/>
          <w:szCs w:val="24"/>
          <w:highlight w:val="none"/>
        </w:rPr>
        <w:t xml:space="preserve">泰州市人民医院</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单位地址：泰州市医药高新区太湖路366号</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联系人：孙</w:t>
      </w:r>
      <w:r>
        <w:rPr>
          <w:rFonts w:hint="eastAsia" w:ascii="宋体" w:hAnsi="宋体" w:eastAsia="宋体" w:cs="宋体"/>
          <w:bCs/>
          <w:color w:val="auto"/>
          <w:sz w:val="24"/>
          <w:szCs w:val="24"/>
          <w:highlight w:val="none"/>
        </w:rPr>
        <w:t xml:space="preserve">先生</w:t>
      </w:r>
      <w:r>
        <w:rPr>
          <w:rFonts w:hint="eastAsia" w:ascii="宋体" w:hAnsi="宋体" w:eastAsia="宋体" w:cs="宋体"/>
          <w:color w:val="auto"/>
          <w:sz w:val="24"/>
          <w:szCs w:val="24"/>
          <w:highlight w:val="none"/>
        </w:rPr>
        <w:t xml:space="preserve">  </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35" w:name="_Toc28359086"/>
      <w:r/>
      <w:bookmarkStart w:id="36" w:name="_Toc28359009"/>
      <w:r>
        <w:rPr>
          <w:rFonts w:hint="eastAsia" w:ascii="宋体" w:hAnsi="宋体" w:eastAsia="宋体" w:cs="宋体"/>
          <w:color w:val="auto"/>
          <w:sz w:val="24"/>
          <w:szCs w:val="24"/>
          <w:highlight w:val="none"/>
        </w:rPr>
        <w:t xml:space="preserve">0523-89890040</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35"/>
      <w:r/>
      <w:bookmarkEnd w:id="36"/>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单位名称：江苏建泰工程项目管理有限公司</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单位地址：泰州</w:t>
      </w:r>
      <w:r>
        <w:rPr>
          <w:rFonts w:hint="eastAsia" w:ascii="宋体" w:hAnsi="宋体" w:eastAsia="宋体" w:cs="宋体"/>
          <w:color w:val="auto"/>
          <w:sz w:val="24"/>
          <w:szCs w:val="24"/>
          <w:highlight w:val="none"/>
          <w:lang w:val="en-US" w:eastAsia="zh-CN"/>
        </w:rPr>
        <w:t xml:space="preserve">医药高新</w:t>
      </w:r>
      <w:r>
        <w:rPr>
          <w:rFonts w:hint="eastAsia" w:ascii="宋体" w:hAnsi="宋体" w:eastAsia="宋体" w:cs="宋体"/>
          <w:color w:val="auto"/>
          <w:sz w:val="24"/>
          <w:szCs w:val="24"/>
          <w:highlight w:val="none"/>
        </w:rPr>
        <w:t xml:space="preserve">区华润万象城双子塔东塔52楼5203室</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联系人：周女士</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37" w:name="_Toc28359010"/>
      <w:r/>
      <w:bookmarkStart w:id="38" w:name="_Toc28359087"/>
      <w:r>
        <w:rPr>
          <w:rFonts w:hint="eastAsia" w:ascii="宋体" w:hAnsi="宋体" w:eastAsia="宋体" w:cs="宋体"/>
          <w:color w:val="auto"/>
          <w:sz w:val="24"/>
          <w:szCs w:val="24"/>
          <w:highlight w:val="none"/>
        </w:rPr>
        <w:t xml:space="preserve">0523-81908859</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bookmarkEnd w:id="37"/>
      <w:r/>
      <w:bookmarkEnd w:id="38"/>
      <w:r/>
      <w:r/>
    </w:p>
    <w:p>
      <w:pPr>
        <w:pStyle w:val="1031"/>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项目联系人：周女士</w:t>
      </w:r>
      <w:r/>
    </w:p>
    <w:p>
      <w:pPr>
        <w:pStyle w:val="1031"/>
        <w:ind w:firstLine="480"/>
        <w:spacing w:line="48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电　话：0523-81908859</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 xml:space="preserve">第二章 投标人须知</w:t>
      </w:r>
      <w:bookmarkEnd w:id="2"/>
      <w:r/>
      <w:bookmarkEnd w:id="3"/>
      <w:r/>
      <w:r/>
    </w:p>
    <w:p>
      <w:pPr>
        <w:ind w:right="840"/>
        <w:jc w:val="center"/>
        <w:spacing w:line="360" w:lineRule="auto"/>
        <w:widowControl/>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t xml:space="preserve">    投标人须知前附表</w:t>
      </w:r>
      <w:r/>
    </w:p>
    <w:tbl>
      <w:tblPr>
        <w:tblStyle w:val="787"/>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709"/>
        <w:gridCol w:w="7319"/>
      </w:tblGrid>
      <w:tr>
        <w:trPr>
          <w:jc w:val="center"/>
          <w:trHeight w:val="570"/>
        </w:trPr>
        <w:tc>
          <w:tcPr>
            <w:tcW w:w="7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70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31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Height w:val="649"/>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泰州市人民医院大孔径CT模拟定位机采购项目</w:t>
            </w:r>
            <w:r/>
          </w:p>
        </w:tc>
      </w:tr>
      <w:tr>
        <w:trPr>
          <w:jc w:val="center"/>
          <w:trHeight w:val="80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招标内容</w:t>
            </w:r>
            <w:r/>
          </w:p>
        </w:tc>
        <w:tc>
          <w:tcPr>
            <w:tcW w:w="7319" w:type="dxa"/>
            <w:vAlign w:val="center"/>
            <w:textDirection w:val="lrTb"/>
            <w:noWrap w:val="false"/>
          </w:tcPr>
          <w:p>
            <w:pPr>
              <w:spacing w:line="480" w:lineRule="exact"/>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大孔径CT模拟定位机</w:t>
            </w:r>
            <w:r>
              <w:rPr>
                <w:rFonts w:hint="eastAsia" w:ascii="宋体" w:hAnsi="宋体" w:eastAsia="宋体" w:cs="宋体"/>
                <w:color w:val="auto"/>
                <w:sz w:val="24"/>
                <w:szCs w:val="24"/>
                <w:highlight w:val="none"/>
                <w:lang w:val="en-US" w:eastAsia="zh-CN"/>
              </w:rPr>
              <w:t xml:space="preserve">1套，</w:t>
            </w:r>
            <w:r>
              <w:rPr>
                <w:rFonts w:hint="eastAsia" w:ascii="宋体" w:hAnsi="宋体" w:eastAsia="宋体" w:cs="宋体"/>
                <w:color w:val="auto"/>
                <w:sz w:val="24"/>
                <w:szCs w:val="24"/>
                <w:highlight w:val="none"/>
              </w:rPr>
              <w:t xml:space="preserve">具体要求详见招标文件。</w:t>
            </w:r>
            <w:r/>
          </w:p>
        </w:tc>
      </w:tr>
      <w:tr>
        <w:trPr>
          <w:jc w:val="center"/>
          <w:trHeight w:val="64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0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合同履行期限</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合同签署</w:t>
            </w:r>
            <w:r>
              <w:rPr>
                <w:rFonts w:hint="eastAsia" w:ascii="宋体" w:hAnsi="宋体" w:eastAsia="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接到采购人通知后3</w:t>
            </w:r>
            <w:r>
              <w:rPr>
                <w:rFonts w:hint="eastAsia" w:ascii="宋体" w:hAnsi="宋体" w:eastAsia="宋体" w:cs="宋体"/>
                <w:color w:val="auto"/>
                <w:sz w:val="24"/>
                <w:szCs w:val="24"/>
                <w:highlight w:val="none"/>
              </w:rPr>
              <w:t xml:space="preserve">0日内完成供货和安装。</w:t>
            </w:r>
            <w:r/>
          </w:p>
        </w:tc>
      </w:tr>
      <w:tr>
        <w:trPr>
          <w:jc w:val="center"/>
          <w:trHeight w:val="90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最高投标限价</w:t>
            </w:r>
            <w:r/>
          </w:p>
        </w:tc>
        <w:tc>
          <w:tcPr>
            <w:tcW w:w="731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iCs/>
                <w:color w:val="auto"/>
                <w:sz w:val="24"/>
                <w:szCs w:val="24"/>
                <w:highlight w:val="none"/>
                <w:lang w:val="en-US" w:eastAsia="zh-CN"/>
              </w:rPr>
              <w:t xml:space="preserve">650</w:t>
            </w:r>
            <w:r>
              <w:rPr>
                <w:rFonts w:hint="eastAsia" w:ascii="宋体" w:hAnsi="宋体" w:eastAsia="宋体" w:cs="宋体"/>
                <w:iCs/>
                <w:color w:val="auto"/>
                <w:sz w:val="24"/>
                <w:szCs w:val="24"/>
                <w:highlight w:val="none"/>
              </w:rPr>
              <w:t xml:space="preserve">万元，各投标人的投标报价不得超过招标文件规定的最高投标限价，否则按无效投标文件处理。</w:t>
            </w:r>
            <w:r/>
          </w:p>
        </w:tc>
      </w:tr>
      <w:tr>
        <w:trPr>
          <w:jc w:val="center"/>
          <w:trHeight w:val="78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合格投标人资格要求</w:t>
            </w:r>
            <w:r/>
          </w:p>
        </w:tc>
        <w:tc>
          <w:tcPr>
            <w:tcW w:w="7319"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详见招标公告</w:t>
            </w:r>
            <w:r/>
          </w:p>
        </w:tc>
      </w:tr>
      <w:tr>
        <w:trPr>
          <w:jc w:val="center"/>
          <w:trHeight w:val="8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☑不接受，招标文件中有关联合体的规定均不适用。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jc w:val="center"/>
          <w:trHeight w:val="161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319"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☑不组织，自行考察；如投标人需自行考察，费用自理。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□组织，考察时间：/年/月/日/时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jc w:val="center"/>
          <w:trHeight w:val="99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投标答疑会</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jc w:val="center"/>
          <w:trHeight w:val="50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jc w:val="center"/>
          <w:trHeight w:val="107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731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固定单价合同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固定总价合同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r>
      <w:tr>
        <w:trPr>
          <w:jc w:val="center"/>
          <w:trHeight w:val="65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319"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依据苏财购〔2020〕52号文件精神，本项目免收投标保证金。</w:t>
            </w:r>
            <w:r/>
          </w:p>
        </w:tc>
      </w:tr>
      <w:tr>
        <w:trPr>
          <w:jc w:val="center"/>
          <w:trHeight w:val="64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投标文件有效期</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日历天（从投标截止之日算起）</w:t>
            </w:r>
            <w:r/>
          </w:p>
        </w:tc>
      </w:tr>
      <w:tr>
        <w:trPr>
          <w:cantSplit/>
          <w:jc w:val="center"/>
          <w:trHeight w:val="665"/>
        </w:trPr>
        <w:tc>
          <w:tcPr>
            <w:tcW w:w="796"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0000ff"/>
                <w:sz w:val="24"/>
                <w:szCs w:val="24"/>
                <w:highlight w:val="none"/>
                <w:u w:val="single"/>
              </w:rPr>
              <w:t xml:space="preserve">2026 </w:t>
            </w:r>
            <w:r>
              <w:rPr>
                <w:rFonts w:hint="eastAsia" w:ascii="宋体" w:hAnsi="宋体" w:eastAsia="宋体" w:cs="宋体"/>
                <w:b/>
                <w:bCs/>
                <w:color w:val="0000ff"/>
                <w:sz w:val="24"/>
                <w:szCs w:val="24"/>
                <w:highlight w:val="none"/>
              </w:rPr>
              <w:t xml:space="preserve">年</w:t>
            </w:r>
            <w:r>
              <w:rPr>
                <w:rFonts w:hint="eastAsia" w:ascii="宋体" w:hAnsi="宋体" w:eastAsia="宋体" w:cs="宋体"/>
                <w:b/>
                <w:bCs/>
                <w:color w:val="0000ff"/>
                <w:sz w:val="24"/>
                <w:szCs w:val="24"/>
                <w:highlight w:val="none"/>
                <w:u w:val="single"/>
              </w:rPr>
              <w:t xml:space="preserve"> </w:t>
            </w:r>
            <w:r>
              <w:rPr>
                <w:rFonts w:hint="eastAsia" w:ascii="宋体" w:hAnsi="宋体" w:eastAsia="宋体" w:cs="宋体"/>
                <w:b/>
                <w:bCs/>
                <w:color w:val="0000ff"/>
                <w:sz w:val="24"/>
                <w:szCs w:val="24"/>
                <w:highlight w:val="none"/>
                <w:u w:val="single"/>
                <w:lang w:val="en-US" w:eastAsia="zh-CN"/>
              </w:rPr>
              <w:t xml:space="preserve">9</w:t>
            </w:r>
            <w:r>
              <w:rPr>
                <w:rFonts w:hint="eastAsia" w:ascii="宋体" w:hAnsi="宋体" w:eastAsia="宋体" w:cs="宋体"/>
                <w:b/>
                <w:bCs/>
                <w:color w:val="0000ff"/>
                <w:sz w:val="24"/>
                <w:szCs w:val="24"/>
                <w:highlight w:val="none"/>
                <w:u w:val="single"/>
              </w:rPr>
              <w:t xml:space="preserve"> </w:t>
            </w:r>
            <w:r>
              <w:rPr>
                <w:rFonts w:hint="eastAsia" w:ascii="宋体" w:hAnsi="宋体" w:eastAsia="宋体" w:cs="宋体"/>
                <w:b/>
                <w:bCs/>
                <w:color w:val="0000ff"/>
                <w:sz w:val="24"/>
                <w:szCs w:val="24"/>
                <w:highlight w:val="none"/>
              </w:rPr>
              <w:t xml:space="preserve">月</w:t>
            </w:r>
            <w:r>
              <w:rPr>
                <w:rFonts w:hint="eastAsia" w:ascii="宋体" w:hAnsi="宋体" w:eastAsia="宋体" w:cs="宋体"/>
                <w:b/>
                <w:bCs/>
                <w:color w:val="0000ff"/>
                <w:sz w:val="24"/>
                <w:szCs w:val="24"/>
                <w:highlight w:val="none"/>
                <w:u w:val="single"/>
              </w:rPr>
              <w:t xml:space="preserve"> </w:t>
            </w:r>
            <w:r>
              <w:rPr>
                <w:rFonts w:hint="eastAsia" w:ascii="宋体" w:hAnsi="宋体" w:eastAsia="宋体" w:cs="宋体"/>
                <w:b/>
                <w:bCs/>
                <w:color w:val="0000ff"/>
                <w:sz w:val="24"/>
                <w:szCs w:val="24"/>
                <w:highlight w:val="none"/>
                <w:u w:val="single"/>
                <w:lang w:val="en-US" w:eastAsia="zh-CN"/>
              </w:rPr>
              <w:t xml:space="preserve">1 </w:t>
            </w:r>
            <w:r>
              <w:rPr>
                <w:rFonts w:hint="eastAsia" w:ascii="宋体" w:hAnsi="宋体" w:eastAsia="宋体" w:cs="宋体"/>
                <w:b/>
                <w:bCs/>
                <w:color w:val="0000ff"/>
                <w:sz w:val="24"/>
                <w:szCs w:val="24"/>
                <w:highlight w:val="none"/>
              </w:rPr>
              <w:t xml:space="preserve">日</w:t>
            </w:r>
            <w:r>
              <w:rPr>
                <w:rFonts w:hint="eastAsia" w:ascii="宋体" w:hAnsi="宋体" w:eastAsia="宋体" w:cs="宋体"/>
                <w:b/>
                <w:bCs/>
                <w:color w:val="0000ff"/>
                <w:sz w:val="24"/>
                <w:szCs w:val="24"/>
                <w:highlight w:val="none"/>
                <w:u w:val="single"/>
              </w:rPr>
              <w:t xml:space="preserve"> </w:t>
            </w:r>
            <w:r>
              <w:rPr>
                <w:rFonts w:hint="eastAsia" w:ascii="宋体" w:hAnsi="宋体" w:eastAsia="宋体" w:cs="宋体"/>
                <w:b/>
                <w:bCs/>
                <w:color w:val="0000ff"/>
                <w:sz w:val="24"/>
                <w:szCs w:val="24"/>
                <w:highlight w:val="none"/>
                <w:u w:val="single"/>
                <w:lang w:val="en-US" w:eastAsia="zh-CN"/>
              </w:rPr>
              <w:t xml:space="preserve">14</w:t>
            </w:r>
            <w:r>
              <w:rPr>
                <w:rFonts w:hint="eastAsia" w:ascii="宋体" w:hAnsi="宋体" w:eastAsia="宋体" w:cs="宋体"/>
                <w:b/>
                <w:bCs/>
                <w:color w:val="0000ff"/>
                <w:sz w:val="24"/>
                <w:szCs w:val="24"/>
                <w:highlight w:val="none"/>
                <w:u w:val="single"/>
              </w:rPr>
              <w:t xml:space="preserve"> </w:t>
            </w:r>
            <w:r>
              <w:rPr>
                <w:rFonts w:hint="eastAsia" w:ascii="宋体" w:hAnsi="宋体" w:eastAsia="宋体" w:cs="宋体"/>
                <w:b/>
                <w:bCs/>
                <w:color w:val="0000ff"/>
                <w:sz w:val="24"/>
                <w:szCs w:val="24"/>
                <w:highlight w:val="none"/>
              </w:rPr>
              <w:t xml:space="preserve">时</w:t>
            </w:r>
            <w:r>
              <w:rPr>
                <w:rFonts w:hint="eastAsia" w:ascii="宋体" w:hAnsi="宋体" w:eastAsia="宋体" w:cs="宋体"/>
                <w:b/>
                <w:bCs/>
                <w:color w:val="0000ff"/>
                <w:sz w:val="24"/>
                <w:szCs w:val="24"/>
                <w:highlight w:val="none"/>
                <w:u w:val="single"/>
              </w:rPr>
              <w:t xml:space="preserve"> </w:t>
            </w:r>
            <w:r>
              <w:rPr>
                <w:rFonts w:hint="eastAsia" w:ascii="宋体" w:hAnsi="宋体" w:eastAsia="宋体" w:cs="宋体"/>
                <w:b/>
                <w:bCs/>
                <w:color w:val="0000ff"/>
                <w:sz w:val="24"/>
                <w:szCs w:val="24"/>
                <w:highlight w:val="none"/>
                <w:u w:val="single"/>
                <w:lang w:val="en-US" w:eastAsia="zh-CN"/>
              </w:rPr>
              <w:t xml:space="preserve">3</w:t>
            </w:r>
            <w:r>
              <w:rPr>
                <w:rFonts w:hint="eastAsia" w:ascii="宋体" w:hAnsi="宋体" w:eastAsia="宋体" w:cs="宋体"/>
                <w:b/>
                <w:bCs/>
                <w:color w:val="0000ff"/>
                <w:sz w:val="24"/>
                <w:szCs w:val="24"/>
                <w:highlight w:val="none"/>
                <w:u w:val="single"/>
              </w:rPr>
              <w:t xml:space="preserve">0 </w:t>
            </w:r>
            <w:r>
              <w:rPr>
                <w:rFonts w:hint="eastAsia" w:ascii="宋体" w:hAnsi="宋体" w:eastAsia="宋体" w:cs="宋体"/>
                <w:b/>
                <w:bCs/>
                <w:color w:val="0000ff"/>
                <w:sz w:val="24"/>
                <w:szCs w:val="24"/>
                <w:highlight w:val="none"/>
              </w:rPr>
              <w:t xml:space="preserve">分</w:t>
            </w:r>
            <w:r/>
          </w:p>
        </w:tc>
      </w:tr>
      <w:tr>
        <w:trPr>
          <w:cantSplit/>
          <w:jc w:val="center"/>
          <w:trHeight w:val="644"/>
        </w:trPr>
        <w:tc>
          <w:tcPr>
            <w:tcW w:w="796"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75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0000ff"/>
                <w:sz w:val="24"/>
                <w:szCs w:val="24"/>
                <w:highlight w:val="none"/>
                <w:u w:val="single"/>
              </w:rPr>
              <w:t xml:space="preserve">2026 </w:t>
            </w:r>
            <w:r>
              <w:rPr>
                <w:rFonts w:hint="eastAsia" w:ascii="宋体" w:hAnsi="宋体" w:eastAsia="宋体" w:cs="宋体"/>
                <w:b/>
                <w:bCs/>
                <w:color w:val="0000ff"/>
                <w:sz w:val="24"/>
                <w:szCs w:val="24"/>
                <w:highlight w:val="none"/>
              </w:rPr>
              <w:t xml:space="preserve">年</w:t>
            </w:r>
            <w:r>
              <w:rPr>
                <w:rFonts w:hint="eastAsia" w:ascii="宋体" w:hAnsi="宋体" w:eastAsia="宋体" w:cs="宋体"/>
                <w:b/>
                <w:bCs/>
                <w:color w:val="0000ff"/>
                <w:sz w:val="24"/>
                <w:szCs w:val="24"/>
                <w:highlight w:val="none"/>
                <w:u w:val="single"/>
              </w:rPr>
              <w:t xml:space="preserve"> </w:t>
            </w:r>
            <w:r>
              <w:rPr>
                <w:rFonts w:hint="eastAsia" w:ascii="宋体" w:hAnsi="宋体" w:eastAsia="宋体" w:cs="宋体"/>
                <w:b/>
                <w:bCs/>
                <w:color w:val="0000ff"/>
                <w:sz w:val="24"/>
                <w:szCs w:val="24"/>
                <w:highlight w:val="none"/>
                <w:u w:val="single"/>
                <w:lang w:val="en-US" w:eastAsia="zh-CN"/>
              </w:rPr>
              <w:t xml:space="preserve">9</w:t>
            </w:r>
            <w:r>
              <w:rPr>
                <w:rFonts w:hint="eastAsia" w:ascii="宋体" w:hAnsi="宋体" w:eastAsia="宋体" w:cs="宋体"/>
                <w:b/>
                <w:bCs/>
                <w:color w:val="0000ff"/>
                <w:sz w:val="24"/>
                <w:szCs w:val="24"/>
                <w:highlight w:val="none"/>
                <w:u w:val="single"/>
              </w:rPr>
              <w:t xml:space="preserve"> </w:t>
            </w:r>
            <w:r>
              <w:rPr>
                <w:rFonts w:hint="eastAsia" w:ascii="宋体" w:hAnsi="宋体" w:eastAsia="宋体" w:cs="宋体"/>
                <w:b/>
                <w:bCs/>
                <w:color w:val="0000ff"/>
                <w:sz w:val="24"/>
                <w:szCs w:val="24"/>
                <w:highlight w:val="none"/>
              </w:rPr>
              <w:t xml:space="preserve">月</w:t>
            </w:r>
            <w:r>
              <w:rPr>
                <w:rFonts w:hint="eastAsia" w:ascii="宋体" w:hAnsi="宋体" w:eastAsia="宋体" w:cs="宋体"/>
                <w:b/>
                <w:bCs/>
                <w:color w:val="0000ff"/>
                <w:sz w:val="24"/>
                <w:szCs w:val="24"/>
                <w:highlight w:val="none"/>
                <w:u w:val="single"/>
              </w:rPr>
              <w:t xml:space="preserve"> </w:t>
            </w:r>
            <w:r>
              <w:rPr>
                <w:rFonts w:hint="eastAsia" w:ascii="宋体" w:hAnsi="宋体" w:eastAsia="宋体" w:cs="宋体"/>
                <w:b/>
                <w:bCs/>
                <w:color w:val="0000ff"/>
                <w:sz w:val="24"/>
                <w:szCs w:val="24"/>
                <w:highlight w:val="none"/>
                <w:u w:val="single"/>
                <w:lang w:val="en-US" w:eastAsia="zh-CN"/>
              </w:rPr>
              <w:t xml:space="preserve">1</w:t>
            </w:r>
            <w:r>
              <w:rPr>
                <w:rFonts w:hint="eastAsia" w:ascii="宋体" w:hAnsi="宋体" w:eastAsia="宋体" w:cs="宋体"/>
                <w:b/>
                <w:bCs/>
                <w:color w:val="0000ff"/>
                <w:sz w:val="24"/>
                <w:szCs w:val="24"/>
                <w:highlight w:val="none"/>
                <w:u w:val="single"/>
              </w:rPr>
              <w:t xml:space="preserve"> </w:t>
            </w:r>
            <w:r>
              <w:rPr>
                <w:rFonts w:hint="eastAsia" w:ascii="宋体" w:hAnsi="宋体" w:eastAsia="宋体" w:cs="宋体"/>
                <w:b/>
                <w:bCs/>
                <w:color w:val="0000ff"/>
                <w:sz w:val="24"/>
                <w:szCs w:val="24"/>
                <w:highlight w:val="none"/>
              </w:rPr>
              <w:t xml:space="preserve">日</w:t>
            </w:r>
            <w:r>
              <w:rPr>
                <w:rFonts w:hint="eastAsia" w:ascii="宋体" w:hAnsi="宋体" w:eastAsia="宋体" w:cs="宋体"/>
                <w:b/>
                <w:bCs/>
                <w:color w:val="0000ff"/>
                <w:sz w:val="24"/>
                <w:szCs w:val="24"/>
                <w:highlight w:val="none"/>
                <w:u w:val="single"/>
              </w:rPr>
              <w:t xml:space="preserve"> </w:t>
            </w:r>
            <w:r>
              <w:rPr>
                <w:rFonts w:hint="eastAsia" w:ascii="宋体" w:hAnsi="宋体" w:eastAsia="宋体" w:cs="宋体"/>
                <w:b/>
                <w:bCs/>
                <w:color w:val="0000ff"/>
                <w:sz w:val="24"/>
                <w:szCs w:val="24"/>
                <w:highlight w:val="none"/>
                <w:u w:val="single"/>
                <w:lang w:val="en-US" w:eastAsia="zh-CN"/>
              </w:rPr>
              <w:t xml:space="preserve">14</w:t>
            </w:r>
            <w:r>
              <w:rPr>
                <w:rFonts w:hint="eastAsia" w:ascii="宋体" w:hAnsi="宋体" w:eastAsia="宋体" w:cs="宋体"/>
                <w:b/>
                <w:bCs/>
                <w:color w:val="0000ff"/>
                <w:sz w:val="24"/>
                <w:szCs w:val="24"/>
                <w:highlight w:val="none"/>
                <w:u w:val="single"/>
              </w:rPr>
              <w:t xml:space="preserve"> </w:t>
            </w:r>
            <w:r>
              <w:rPr>
                <w:rFonts w:hint="eastAsia" w:ascii="宋体" w:hAnsi="宋体" w:eastAsia="宋体" w:cs="宋体"/>
                <w:b/>
                <w:bCs/>
                <w:color w:val="0000ff"/>
                <w:sz w:val="24"/>
                <w:szCs w:val="24"/>
                <w:highlight w:val="none"/>
              </w:rPr>
              <w:t xml:space="preserve">时</w:t>
            </w:r>
            <w:r>
              <w:rPr>
                <w:rFonts w:hint="eastAsia" w:ascii="宋体" w:hAnsi="宋体" w:eastAsia="宋体" w:cs="宋体"/>
                <w:b/>
                <w:bCs/>
                <w:color w:val="0000ff"/>
                <w:sz w:val="24"/>
                <w:szCs w:val="24"/>
                <w:highlight w:val="none"/>
                <w:u w:val="single"/>
              </w:rPr>
              <w:t xml:space="preserve"> </w:t>
            </w:r>
            <w:r>
              <w:rPr>
                <w:rFonts w:hint="eastAsia" w:ascii="宋体" w:hAnsi="宋体" w:eastAsia="宋体" w:cs="宋体"/>
                <w:b/>
                <w:bCs/>
                <w:color w:val="0000ff"/>
                <w:sz w:val="24"/>
                <w:szCs w:val="24"/>
                <w:highlight w:val="none"/>
                <w:u w:val="single"/>
                <w:lang w:val="en-US" w:eastAsia="zh-CN"/>
              </w:rPr>
              <w:t xml:space="preserve">3</w:t>
            </w:r>
            <w:r>
              <w:rPr>
                <w:rFonts w:hint="eastAsia" w:ascii="宋体" w:hAnsi="宋体" w:eastAsia="宋体" w:cs="宋体"/>
                <w:b/>
                <w:bCs/>
                <w:color w:val="0000ff"/>
                <w:sz w:val="24"/>
                <w:szCs w:val="24"/>
                <w:highlight w:val="none"/>
                <w:u w:val="single"/>
              </w:rPr>
              <w:t xml:space="preserve">0 </w:t>
            </w:r>
            <w:r>
              <w:rPr>
                <w:rFonts w:hint="eastAsia" w:ascii="宋体" w:hAnsi="宋体" w:eastAsia="宋体" w:cs="宋体"/>
                <w:b/>
                <w:bCs/>
                <w:color w:val="0000ff"/>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817"/>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7319" w:type="dxa"/>
            <w:vAlign w:val="center"/>
            <w:textDirection w:val="lrTb"/>
            <w:noWrap w:val="false"/>
          </w:tcPr>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☑综合评分法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□最低评标价法  </w:t>
            </w:r>
            <w:r>
              <w:rPr>
                <w:rFonts w:hint="eastAsia" w:ascii="宋体" w:hAnsi="宋体" w:eastAsia="宋体" w:cs="宋体"/>
                <w:color w:val="auto"/>
                <w:sz w:val="24"/>
                <w:szCs w:val="24"/>
                <w:highlight w:val="none"/>
                <w:u w:val="single"/>
              </w:rPr>
              <w:t xml:space="preserve">   </w:t>
            </w:r>
            <w:r/>
          </w:p>
        </w:tc>
      </w:tr>
      <w:tr>
        <w:trPr>
          <w:jc w:val="center"/>
          <w:trHeight w:val="66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采购人根据评标委员会推荐的中标候选投标人顺序确定中标人。</w:t>
            </w:r>
            <w:r/>
          </w:p>
        </w:tc>
      </w:tr>
      <w:tr>
        <w:trPr>
          <w:jc w:val="center"/>
          <w:trHeight w:val="26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□不提交，招标文件中有关履约保证金的规定均不适用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金额：中标价的10%计取。</w:t>
            </w:r>
            <w:r/>
          </w:p>
          <w:p>
            <w:pPr>
              <w:pStyle w:val="102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形式：</w:t>
            </w:r>
            <w:r>
              <w:rPr>
                <w:rFonts w:hint="eastAsia" w:ascii="宋体" w:hAnsi="宋体" w:eastAsia="宋体" w:cs="宋体"/>
                <w:color w:val="auto"/>
                <w:szCs w:val="24"/>
                <w:highlight w:val="none"/>
              </w:rPr>
              <w:t xml:space="preserve">电汇、转账、支票、汇票、本票、保函、保证保险等非现金形式</w:t>
            </w:r>
            <w:r/>
          </w:p>
          <w:p>
            <w:pPr>
              <w:pStyle w:val="102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提交时间：收到中标通知书后签订合同前</w:t>
            </w:r>
            <w:r/>
          </w:p>
          <w:p>
            <w:pPr>
              <w:pStyle w:val="102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退还时间：货物安装后1年且运行状态良好采购人无息退还合同总价4%的履约保证金，质保期满后采购人无息退还剩余履约保证金。</w:t>
            </w:r>
            <w:r/>
          </w:p>
        </w:tc>
      </w:tr>
      <w:tr>
        <w:trPr>
          <w:jc w:val="center"/>
          <w:trHeight w:val="88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中标通知书发出之日起</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日内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签订合同地点：泰州市人民医院</w:t>
            </w:r>
            <w:r/>
          </w:p>
        </w:tc>
      </w:tr>
      <w:tr>
        <w:trPr>
          <w:jc w:val="center"/>
          <w:trHeight w:val="959"/>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7319" w:type="dxa"/>
            <w:vAlign w:val="center"/>
            <w:textDirection w:val="lrTb"/>
            <w:noWrap w:val="false"/>
          </w:tcPr>
          <w:p>
            <w:pPr>
              <w:pStyle w:val="102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合同签订后付合同价的</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0%，货到，安装，验收合格后凭甲方出具的验收报告按甲方财务流程支付尾款</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0%。 </w:t>
            </w:r>
            <w:r/>
          </w:p>
        </w:tc>
      </w:tr>
      <w:tr>
        <w:trPr>
          <w:jc w:val="center"/>
          <w:trHeight w:val="1388"/>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中标服务费</w:t>
            </w:r>
            <w:r/>
          </w:p>
        </w:tc>
        <w:tc>
          <w:tcPr>
            <w:tcW w:w="7319" w:type="dxa"/>
            <w:vAlign w:val="center"/>
            <w:textDirection w:val="lrTb"/>
            <w:noWrap w:val="false"/>
          </w:tcPr>
          <w:p>
            <w:pPr>
              <w:pStyle w:val="102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招标代理费</w:t>
            </w:r>
            <w:r>
              <w:rPr>
                <w:rFonts w:hint="eastAsia" w:ascii="宋体" w:hAnsi="宋体" w:eastAsia="宋体" w:cs="宋体"/>
                <w:color w:val="auto"/>
                <w:highlight w:val="none"/>
              </w:rPr>
              <w:t xml:space="preserve">按照《关于印发&lt;江苏省政府采购代理服务收费指导意见&gt;的通知》（苏政采协〔2024〕20号）文件规定的收费标准的10%计取</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由采购人支付</w:t>
            </w:r>
            <w:r>
              <w:rPr>
                <w:rFonts w:hint="eastAsia" w:ascii="宋体" w:hAnsi="宋体" w:eastAsia="宋体" w:cs="宋体"/>
                <w:color w:val="auto"/>
                <w:szCs w:val="24"/>
                <w:highlight w:val="none"/>
              </w:rPr>
              <w:t xml:space="preserve">。</w:t>
            </w:r>
            <w:r/>
          </w:p>
        </w:tc>
      </w:tr>
      <w:tr>
        <w:trPr>
          <w:jc w:val="center"/>
          <w:trHeight w:val="74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7319" w:type="dxa"/>
            <w:vAlign w:val="center"/>
            <w:textDirection w:val="lrTb"/>
            <w:noWrap w:val="false"/>
          </w:tcPr>
          <w:p>
            <w:pPr>
              <w:pStyle w:val="102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解释：本文件的解释权属于采购人（或代理机构）。</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一、说明和释义</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1.说明  </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1.1本招标文件仅适用于江苏建泰工程项目管理有限公司组织的招标活动。</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1.2本次招标活动及因本次招标产生的合同受中国法律制约和保护。</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1.3本招标文件的解释权属于采购人（或代理机构）。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2.词语释义</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2.1采购人：指依法进行采购的国家机关、事业单位、团体组织。</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2.2供应商、投标人：指向采购人提供货物、工程或服务的法人、其他组织或者自然人，不包括其分公司。</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2.3采购代理机构：指依法接受采购人委托，从事货物、工程和服务等采购招标代理业务的社会中介机构。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2.4招标采购单位：采购人及采购代理机构的统称。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2.6响应：投标人根据采购人或采购代理机构发售的招标文件，编制投标文件并按规定投标的行为。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2.7知识产权：指专利权、商标权、著作权等无形财产专有权的统称。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2.8天：日历天。</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2.9服务地点：合同中明确约定的乙方履行服务的最终地点。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2.10不可抗力：不能预见、不能避免并且不能克服的客观情况。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2.11实质性响应：满足有关本次采购标的、数量、质量、价款或者报酬、履行期限、履行地点和方式、违约责任和解决争议方法等要求。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2.12书面形式：指书面文字、合同书、信件等可以有形地表现所载内容的形式。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3.合格投标人资格要求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（一）满足《中华人民共和国政府采购法》第二十二条规定：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488"/>
        <w:spacing w:line="480" w:lineRule="exact"/>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1.本项目属于工业行业，不专门面向中小微企业、监狱企业、残疾人福利性单位，对所投产品制造商符合小型和微型企业、残疾人福利性单位、监狱企业条件的给予10%的扣除价格，用扣除后的价格参与评审。</w:t>
      </w:r>
      <w:r/>
    </w:p>
    <w:p>
      <w:pPr>
        <w:ind w:firstLine="488"/>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highlight w:val="none"/>
          <w:u w:val="none"/>
        </w:rPr>
        <w:t xml:space="preserve">2.根据《国务院办公厅关于在政府采购中实施本国产品标准及相关政策的通知》（国办发</w:t>
      </w:r>
      <w:r>
        <w:rPr>
          <w:rFonts w:hint="eastAsia" w:ascii="宋体" w:hAnsi="宋体" w:eastAsia="宋体" w:cs="宋体"/>
          <w:color w:val="auto"/>
          <w:sz w:val="24"/>
          <w:highlight w:val="none"/>
          <w:u w:val="none"/>
          <w:lang w:eastAsia="zh-CN"/>
        </w:rPr>
        <w:t xml:space="preserve">〔2025〕34号</w:t>
      </w:r>
      <w:r>
        <w:rPr>
          <w:rFonts w:hint="eastAsia" w:ascii="宋体" w:hAnsi="宋体" w:eastAsia="宋体" w:cs="宋体"/>
          <w:color w:val="auto"/>
          <w:sz w:val="24"/>
          <w:highlight w:val="none"/>
          <w:u w:val="none"/>
        </w:rPr>
        <w:t xml:space="preserve">）和《关于贯彻落实《国务院办公厅关于在政府采购中实施本国产品标准及相关政策的通知》的意见》（财库</w:t>
      </w:r>
      <w:r>
        <w:rPr>
          <w:rFonts w:hint="eastAsia" w:ascii="宋体" w:hAnsi="宋体" w:eastAsia="宋体" w:cs="宋体"/>
          <w:color w:val="auto"/>
          <w:sz w:val="24"/>
          <w:highlight w:val="none"/>
          <w:u w:val="none"/>
          <w:lang w:eastAsia="zh-CN"/>
        </w:rPr>
        <w:t xml:space="preserve">〔2025〕30号</w:t>
      </w:r>
      <w:r>
        <w:rPr>
          <w:rFonts w:hint="eastAsia" w:ascii="宋体" w:hAnsi="宋体" w:eastAsia="宋体" w:cs="宋体"/>
          <w:color w:val="auto"/>
          <w:sz w:val="24"/>
          <w:highlight w:val="none"/>
          <w:u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1.投标产品按国家规定须医疗器械注册证的，投标人须提供投标产品的《医疗器械注册证》或者《产品备案凭证》；</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医疗器械生产企业投标本企业产品的，须提供《医疗器械生产许可证》或者《医疗器械生产备案凭证》；投标人为医疗器械经营企业的，须根据投标产品的类别，提供投标人的《医疗器械经营许可证》或者《医疗器械经营备案凭证》；</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3.医疗器械生产企业投标本企业产品的，需按照国家规定提供《辐射安全许可证》；投标人为医疗器械经营企业的，需按照国家规定提供投标人以及医疗器械生产企业的《辐射安全许可证》。</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（四）供应商未被“信用中国”网站（www.creditchina.gov.cn）列入失信被执行人、重大税收违法失信主体、政府采购严重失信行为记录名单；</w:t>
      </w:r>
      <w:r/>
    </w:p>
    <w:p>
      <w:pPr>
        <w:ind w:firstLine="480"/>
        <w:spacing w:line="52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）供应商单位负责人为同一人或者存在直接控股、管理关系的不同供应商，不得参加同一合同项下的采购活动。</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4.投标人应在江苏政府采购“苏采云”系统（http://jszfcg.jsczt.cn/下同）下载招标文件及有关资料，按招标文件要求提交全部资料并对招标文件各项内容做出实质性响应。</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5.投标人代表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5.1指全权代表投标人参加投标活动并签署投标文件的人，如果投标人代表不是法人代表，须持有《法人代表授权委托书》（详见统一格式）。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6.不接受联合体投标。</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7.投标人有下列情形之一的不能参加本次投标：</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（1）因重大经济问题正在接受国家有关部门审查的；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（2）正在被其他企业兼并（或收购）或因重大经济纠纷正在进行诉讼或仲裁的；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（3）因腐败和欺诈行为而被有关部门处理的。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（4）被责令停业的；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（5）被暂停或取消投标资格的；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（6）财产被接管或冻结的；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（7）在最近三年内有骗取中标或严重违约或重大工程质量问题的；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（8）在投标过程中弄虚作假、行贿或有其他违法违规行为的；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（9）违反法律法规相关规定的。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三、招标文件说明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8.招标文件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9.现场考察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对有关现场和周围环境进行认真充分的考察，以获取编制投标文件和签署合同所需的信息。考察现场所发生的费用由投标人自己承担。</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10.招标文件的澄清和修改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10.1投标人在购买招标文件后，若有问题需要询问和澄清，应于前附表规定的时间提出。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10.2如需召开投标答疑会的，招标采购单位将按前附表规定的时间、地点召开招标答疑会。</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10.3迟于前附表规定时间的询问和提交的疑问，采购人和采购代理机构有权拒绝回答，也不承担由此带来的对投标人投标结果的影响。</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10.5为使投标人有足够的时间按招标文件的修改要求考虑修正投标文件，或出于其他原因，招标采购单位有权推迟投标截止日期和开标日期，并将此变更通知所有招标文件的接收人。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10.6招标文件的更正（含澄清、修改等）内容与原招标文件在同一内容上表述不一致时，以发出日期最接近开标时间的公告为准。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10.7招标文件的更正（含澄清、修改等）内容将作为招标文件的组成部分，对投标人起约束作用。</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四、投标文件说明</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11.投标文件计量单位和使用文字</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11.1投标文件中所使用的计量单位，除招标文件中有特殊要求外，均应使用中华人民共和国法定计量单位。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1031"/>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11.3投标人应当同时凭CA数字证书登录“江苏政府采购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bookmarkStart w:id="39" w:name="_Toc217446047"/>
      <w:r>
        <w:rPr>
          <w:rFonts w:hint="eastAsia" w:ascii="宋体" w:hAnsi="宋体" w:eastAsia="宋体" w:cs="宋体"/>
          <w:b/>
          <w:color w:val="auto"/>
          <w:sz w:val="24"/>
          <w:szCs w:val="24"/>
          <w:highlight w:val="none"/>
        </w:rPr>
        <w:t xml:space="preserve">2.知识产权</w:t>
      </w:r>
      <w:bookmarkEnd w:id="39"/>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13.投标文件的组成</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w:t>
      </w:r>
      <w:r>
        <w:rPr>
          <w:rFonts w:hint="eastAsia" w:ascii="宋体" w:hAnsi="宋体" w:eastAsia="宋体" w:cs="宋体"/>
          <w:b/>
          <w:bCs/>
          <w:color w:val="auto"/>
          <w:sz w:val="24"/>
          <w:szCs w:val="24"/>
          <w:highlight w:val="none"/>
        </w:rPr>
        <w:t xml:space="preserve">（格式见附件）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2.资格、资信等证明文件：</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（2）法定代表人资格证明书</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投标人法定代表人授权委托书（格式见附件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color w:val="auto"/>
          <w:sz w:val="24"/>
          <w:szCs w:val="24"/>
          <w:highlight w:val="none"/>
        </w:rPr>
        <w:t xml:space="preserve">法人或其他组织的营业执照或相关部门的登记证明文件扫描件； </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rPr>
        <w:t xml:space="preserve">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color w:val="auto"/>
          <w:sz w:val="24"/>
          <w:szCs w:val="24"/>
          <w:highlight w:val="none"/>
        </w:rPr>
        <w:t xml:space="preserve">提供投标人近六个月中任意一个月份（不含投标响应文件递交当月）依法缴纳税收及缴纳社会保障资金的证明材料。投标人依法享受缓缴、免缴税收、社会保障资金的提供证明材料，企业成立不满一个月的可不提供。</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（6）具备履行合同所必需的设备和专业技术能力的书面声明</w:t>
      </w:r>
      <w:r>
        <w:rPr>
          <w:rFonts w:hint="eastAsia" w:ascii="宋体" w:hAnsi="宋体" w:eastAsia="宋体" w:cs="宋体"/>
          <w:b/>
          <w:bCs/>
          <w:color w:val="auto"/>
          <w:sz w:val="24"/>
          <w:szCs w:val="24"/>
          <w:highlight w:val="none"/>
        </w:rPr>
        <w:t xml:space="preserve">（格式自拟）</w:t>
      </w:r>
      <w:r>
        <w:rPr>
          <w:rFonts w:hint="eastAsia" w:ascii="宋体" w:hAnsi="宋体" w:eastAsia="宋体" w:cs="宋体"/>
          <w:color w:val="auto"/>
          <w:sz w:val="24"/>
          <w:szCs w:val="24"/>
          <w:highlight w:val="none"/>
        </w:rPr>
        <w:t xml:space="preserve">；</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（7）参加政府采购活动前3年内在经营活动中没有重大违法记录的书面声明</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根据采购公告“</w:t>
      </w:r>
      <w:r>
        <w:rPr>
          <w:rFonts w:hint="eastAsia" w:ascii="宋体" w:hAnsi="宋体" w:eastAsia="宋体" w:cs="宋体"/>
          <w:color w:val="auto"/>
          <w:sz w:val="24"/>
          <w:highlight w:val="none"/>
        </w:rPr>
        <w:t xml:space="preserve">二、申请人的资格要求</w:t>
      </w:r>
      <w:r>
        <w:rPr>
          <w:rFonts w:hint="eastAsia" w:ascii="宋体" w:hAnsi="宋体" w:eastAsia="宋体" w:cs="宋体"/>
          <w:color w:val="auto"/>
          <w:sz w:val="24"/>
          <w:highlight w:val="none"/>
          <w:lang w:val="en-US" w:eastAsia="zh-CN"/>
        </w:rPr>
        <w:t xml:space="preserve">”之（三）“</w:t>
      </w:r>
      <w:r>
        <w:rPr>
          <w:rFonts w:hint="eastAsia" w:ascii="宋体" w:hAnsi="宋体" w:eastAsia="宋体" w:cs="宋体"/>
          <w:color w:val="auto"/>
          <w:sz w:val="24"/>
          <w:highlight w:val="none"/>
        </w:rPr>
        <w:t xml:space="preserve">本项目的特定资格要求</w:t>
      </w:r>
      <w:r>
        <w:rPr>
          <w:rFonts w:hint="eastAsia" w:ascii="宋体" w:hAnsi="宋体" w:eastAsia="宋体" w:cs="宋体"/>
          <w:color w:val="auto"/>
          <w:sz w:val="24"/>
          <w:highlight w:val="none"/>
          <w:lang w:val="en-US" w:eastAsia="zh-CN"/>
        </w:rPr>
        <w:t xml:space="preserve">”需要提供的相关材料</w:t>
      </w:r>
      <w:r>
        <w:rPr>
          <w:rFonts w:hint="eastAsia" w:ascii="宋体" w:hAnsi="宋体" w:eastAsia="宋体" w:cs="宋体"/>
          <w:color w:val="auto"/>
          <w:sz w:val="24"/>
          <w:highlight w:val="none"/>
        </w:rPr>
        <w:t xml:space="preserve">：</w:t>
      </w:r>
      <w:r/>
    </w:p>
    <w:p>
      <w:pPr>
        <w:pStyle w:val="1127"/>
        <w:numPr>
          <w:ilvl w:val="1"/>
          <w:numId w:val="0"/>
        </w:numPr>
        <w:ind w:firstLine="480"/>
        <w:spacing w:line="520" w:lineRule="exact"/>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中小企业声明函或残疾人福利性单位声明函或监狱企业的证明资料</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各投标人视情况提供，</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pStyle w:val="1127"/>
        <w:numPr>
          <w:ilvl w:val="1"/>
          <w:numId w:val="0"/>
        </w:numPr>
        <w:ind w:firstLine="480"/>
        <w:spacing w:line="520" w:lineRule="exact"/>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lang w:eastAsia="zh-CN"/>
        </w:rPr>
        <w:t xml:space="preserve">）关于符合本国产品标准的声明函</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各投标人视情况提供，</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）承诺书（格式见附件）。</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3.开标一览表（格式见附件）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4.投标报价明细表（格式见附件）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.商务偏离表（格式见附件）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.技术偏离表（格式见附件）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.评分标准中对应的其他所需证明材料（如有自行添加）</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.其他（投标人认为有必要提供的声明和文件，如有自拟并自行添加）</w:t>
      </w:r>
      <w:r/>
    </w:p>
    <w:p>
      <w:pPr>
        <w:ind w:firstLine="480"/>
        <w:spacing w:line="520" w:lineRule="exact"/>
        <w:tabs>
          <w:tab w:val="left" w:pos="2850" w:leader="none"/>
          <w:tab w:val="center" w:pos="4153" w:leader="none"/>
        </w:tabs>
        <w:rPr>
          <w:rFonts w:hint="eastAsia" w:ascii="宋体" w:hAnsi="宋体" w:eastAsia="宋体" w:cs="宋体"/>
          <w:b/>
          <w:color w:val="auto"/>
          <w:sz w:val="24"/>
          <w:highlight w:val="none"/>
          <w:u w:val="single"/>
        </w:rPr>
      </w:pPr>
      <w:r>
        <w:rPr>
          <w:rFonts w:hint="eastAsia" w:ascii="宋体" w:hAnsi="宋体" w:eastAsia="宋体" w:cs="宋体"/>
          <w:color w:val="auto"/>
          <w:sz w:val="24"/>
          <w:szCs w:val="24"/>
          <w:highlight w:val="none"/>
        </w:rPr>
        <w:t xml:space="preserve">上述1-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14.投标文件编制及递交要求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14.1所有文件、往来函件均应使用简体中文（规格、型号辅助符号例外）。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14.3如无特别说明，投标人报价一律以人民币为投标结算货币，结算单位为“元”。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14.4投标文件不应有涂改、增删和潦草之处，如有必须修改时，修改处必须有投标人盖章、法定代表人或法定代表人授权代表的签字。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14.5投标费用自理。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14.6投标人应当同时凭CA数字证书登录“江苏政府采购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15.投标报价（编制）要求的说明</w:t>
      </w:r>
      <w:r/>
    </w:p>
    <w:p>
      <w:pPr>
        <w:pStyle w:val="1020"/>
        <w:ind w:firstLine="480"/>
        <w:jc w:val="both"/>
        <w:spacing w:line="520" w:lineRule="exact"/>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 xml:space="preserve">15.1投标人对《开标一览表》中的全部服务的报价应包括在本项目合同期内所需要全部费用，包括所需要的</w:t>
      </w:r>
      <w:r>
        <w:rPr>
          <w:rFonts w:hint="eastAsia" w:ascii="宋体" w:hAnsi="宋体" w:eastAsia="宋体" w:cs="宋体"/>
          <w:color w:val="auto"/>
          <w:szCs w:val="24"/>
          <w:highlight w:val="none"/>
          <w:lang w:val="en-US" w:eastAsia="zh-CN"/>
        </w:rPr>
        <w:t xml:space="preserve">设备购置</w:t>
      </w:r>
      <w:r>
        <w:rPr>
          <w:rFonts w:hint="eastAsia" w:ascii="宋体" w:hAnsi="宋体" w:eastAsia="宋体" w:cs="宋体"/>
          <w:color w:val="auto"/>
          <w:szCs w:val="24"/>
          <w:highlight w:val="none"/>
        </w:rPr>
        <w:t xml:space="preserve">费、材料费、</w:t>
      </w:r>
      <w:r>
        <w:rPr>
          <w:rFonts w:hint="eastAsia" w:ascii="宋体" w:hAnsi="宋体" w:eastAsia="宋体" w:cs="宋体"/>
          <w:color w:val="auto"/>
          <w:szCs w:val="24"/>
          <w:highlight w:val="none"/>
          <w:lang w:val="en-US" w:eastAsia="zh-CN"/>
        </w:rPr>
        <w:t xml:space="preserve">运输费、</w:t>
      </w:r>
      <w:r>
        <w:rPr>
          <w:rFonts w:hint="eastAsia" w:ascii="宋体" w:hAnsi="宋体" w:eastAsia="宋体" w:cs="宋体"/>
          <w:color w:val="auto"/>
          <w:szCs w:val="24"/>
          <w:highlight w:val="none"/>
        </w:rPr>
        <w:t xml:space="preserve">施工机具使用费、</w:t>
      </w:r>
      <w:r>
        <w:rPr>
          <w:rFonts w:hint="eastAsia" w:ascii="宋体" w:hAnsi="宋体" w:eastAsia="宋体" w:cs="宋体"/>
          <w:color w:val="auto"/>
          <w:szCs w:val="24"/>
          <w:highlight w:val="none"/>
          <w:lang w:val="en-US" w:eastAsia="zh-CN"/>
        </w:rPr>
        <w:t xml:space="preserve">安装调试费、培训费、</w:t>
      </w:r>
      <w:r>
        <w:rPr>
          <w:rFonts w:hint="eastAsia" w:ascii="宋体" w:hAnsi="宋体" w:eastAsia="宋体" w:cs="宋体"/>
          <w:color w:val="auto"/>
          <w:szCs w:val="24"/>
          <w:highlight w:val="none"/>
        </w:rPr>
        <w:t xml:space="preserve">企业管理费、利润、措施项目费、其它项目费、规费、税金、有关文件规定的政策性调价等以及各种可能发生的风险费用以及招标文件约定的其他等各项费用。</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15.2投标人应对招标文件内所要采购的全部内容进行报价，只投其中部分内容者，其标书将被拒绝。</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15.3一项投标内容只允许一个报价，采购单位不接受任何有选择性的投标报价。</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15.4投标文件报价中的单价和总价全部采用人民币表示，除非合同的特殊条款另有规定。</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16.投标保证金</w:t>
      </w:r>
      <w:r/>
    </w:p>
    <w:p>
      <w:pPr>
        <w:pStyle w:val="1009"/>
        <w:ind w:firstLine="480"/>
        <w:keepLines w:val="0"/>
        <w:keepNext w:val="0"/>
        <w:spacing w:before="0" w:after="0" w:line="52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依据苏财购</w:t>
      </w:r>
      <w:r>
        <w:rPr>
          <w:rFonts w:hint="eastAsia" w:ascii="宋体" w:hAnsi="宋体" w:eastAsia="宋体" w:cs="宋体"/>
          <w:color w:val="auto"/>
          <w:sz w:val="24"/>
          <w:szCs w:val="24"/>
          <w:highlight w:val="none"/>
        </w:rPr>
        <w:t xml:space="preserve">〔2020〕</w:t>
      </w:r>
      <w:r>
        <w:rPr>
          <w:rFonts w:hint="eastAsia" w:ascii="宋体" w:hAnsi="宋体" w:eastAsia="宋体" w:cs="宋体"/>
          <w:b w:val="0"/>
          <w:bCs w:val="0"/>
          <w:color w:val="auto"/>
          <w:sz w:val="24"/>
          <w:szCs w:val="24"/>
          <w:highlight w:val="none"/>
        </w:rPr>
        <w:t xml:space="preserve">52号文件精神，本项目免收投标保证金。 </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17.投标文件的有效期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17.1在本招标文件前附表规定的投标文件有效期内，投标人所提交的投标文件应保持有效。有效期短于这个规定期限的投标文件，将被认定为未实质性响应招标文件要求。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18.投标文件的拒收</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采购人拒绝接收在其规定的投标截止时间后上传的任何投标文件。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五、投标文件的递交</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20.投标截止日期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21.投标文件的修改和撤回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21.3在投标截止时间之后，投标人不得对其电子投标文件作任何修改。</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22.开标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22.2开标仪式由采购代理机构组织。“江苏政府采购“苏采云”系统”将自动对项目进行开标，并宣读各投标人的《开标一览表》。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22.5开标时，投标文件中开标一览表内容与投标文件中明细表内容不一致的，以开标一览表为准。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22.6投标人未参加开标的，视同认可开标结果。</w:t>
      </w:r>
      <w:r/>
    </w:p>
    <w:p>
      <w:pPr>
        <w:ind w:firstLine="482"/>
        <w:spacing w:line="520" w:lineRule="exact"/>
        <w:tabs>
          <w:tab w:val="center" w:pos="4479"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23.评标委员会</w:t>
      </w:r>
      <w:r>
        <w:rPr>
          <w:rFonts w:hint="eastAsia" w:ascii="宋体" w:hAnsi="宋体" w:eastAsia="宋体" w:cs="宋体"/>
          <w:b/>
          <w:color w:val="auto"/>
          <w:sz w:val="24"/>
          <w:szCs w:val="24"/>
          <w:highlight w:val="none"/>
        </w:rPr>
        <w:tab/>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23.1评标委员会由招标采购单位依法组建，负责本项目的评标事务。</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23.2评标委员会应当独立履行下列职责：</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23.2.1审查投标文件是否符合招标文件的要求，并作出评价；</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23.2.2可以要求投标供应商对投标文件有关事项作出解释或澄清；</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23.2.3推荐中标候选供应商名单，或者受采购人委托按照事先确定的办法直接确定中标供应商；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23.2.4向招标采购单位或者有关部门报告非法干预评标工作的行为。</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23.3评标委员会成员应当履行下列义务：</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23.3.1遵纪守法，客观、公正、廉洁地履行职责；</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23.3.2按照招标文件规定的评标办法和评标标准进行评标，对评审意见承担个人责任；</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23.3.3对评标过程和结果，以及投标人的商业秘密保密；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23.3.4参与评标报告的起草；</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23.3.5配合相关部门的投诉处理工作；</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23.3.6配合招标采购单位答复投标供应商提出的质疑。</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24.评标内容的保密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24.1公开开标后，直到宣布授予中标人合同为止，凡属于审查、澄清、评价和比较投标的所有资料，有关授予合同的信息都不应向投标人或与评标无关的其他人泄露。</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24.2在投标文件的审查、澄清、评价和比较以及授予合同的过程中，投标人对招标采购单位和评标委员会成员施加影响的任何行为，都将取消其投标资格。</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24.3在评标期间，招标采购单位将通过指定联络人与投标人进行联系。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25.对投标文件进行初审</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25.1投标文件初审分为资格性检查和符合性检查。</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25.1.1资格性检查。依据法律法规和招标文件的规定，对投标文件中的资格证明、投标保证金等进行审查，以确定投标供应商是否具备投标资格。</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25.1.2符合性检查。依据招标文件的规定，从投标文件的有效性、完整性和对招标文件的响应程度进行审查，以确定是否对招标文件的实质性要求作出响应。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投标人有下列情况之一的，投标文件无效：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1）投标人未在规定时间内成功解密电子投标文件的；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2）投标人未按照招标文件要求上传电子投标文件的；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3）投标文件未按照招标文件要求加盖电子签章或签署的；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4）投标人的法定代表人授权代表，无法定代表人授权委托书的；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5）不具备招标文件中规定的资格要求或未按招标文件规定的要求提供资格、资信证明文件的；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6）被“信用中国”网站（www.creditchina.gov.cn）列入失信被执行人、重大税收违法案件当事人名单、政府采购严重违法失信行为记录名单的；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7）投标文件未按招标文件规定的内容和要求填写的；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8）投标文件中有招标文件未允许提供的选择性内容的；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9）不同投标人的投标文件由同一单位或者个人编制的；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bookmarkStart w:id="40" w:name="_Hlk193034237"/>
      <w:r>
        <w:rPr>
          <w:rFonts w:hint="eastAsia" w:ascii="宋体" w:hAnsi="宋体" w:eastAsia="宋体" w:cs="宋体"/>
          <w:color w:val="auto"/>
          <w:sz w:val="24"/>
          <w:szCs w:val="24"/>
          <w:highlight w:val="none"/>
        </w:rPr>
        <w:t xml:space="preserve">不同投标人委托同一单位或者个人办理投标事宜的（包含使用同一MAC地址的计算机提交或者解密电子响应文件的情形）；</w:t>
      </w:r>
      <w:bookmarkEnd w:id="40"/>
      <w:r/>
      <w:bookmarkStart w:id="41" w:name="OLE_LINK8"/>
      <w:r/>
      <w:bookmarkEnd w:id="4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bookmarkStart w:id="42" w:name="OLE_LINK10"/>
      <w:r>
        <w:rPr>
          <w:rFonts w:hint="eastAsia" w:ascii="宋体" w:hAnsi="宋体" w:eastAsia="宋体" w:cs="宋体"/>
          <w:color w:val="auto"/>
          <w:sz w:val="24"/>
          <w:szCs w:val="24"/>
          <w:highlight w:val="none"/>
        </w:rPr>
        <w:t xml:space="preserve">不同的投标人响应文件制作的MAC地址一致的；</w:t>
      </w:r>
      <w:bookmarkEnd w:id="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12）不同投标人的投标文件载明的项目管理成员或者联系人员为同一人的；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13）不同投标人的投标文件异常一致或者投标报价呈规律性差异的；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14）不同投标人的单位负责人为同一人或者存在直接控股、管理关系的；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15）项目（标段）投标总价或单价超过本项目（标段）预算金额或最高限价的；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16）不同投标人的履约保证金从同一单位或者个人账户转出的、购买履约保证保险单的费用从同一单位转出或由同一个人账户支付的；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根据《关于推动解决政府采购异常低价问题的通知》（财库〔2026〕2号）文件要求，评标委员会对于报价异常低价情况启动审查程序后，报价人不能提供书面说明、证明材料，或者提供的书面说明、证明材料不能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19）除单一来源采购项目外，为采购项目提供整体设计、规范编制或者项目管理、监理、检测等服务的；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20）投标文件内容不全或不符合招标文件中规定的其他实质性要求的；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21）改变招标文件中规定的应急措施处置费的；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22）改变招标文件清单给出的名称、实施范围、工作内容、计量单位、工程量、养护等级等；</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23）提供虚假材料的；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52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25.5招标采购单位对投标文件的判定，只依据投标内容本身，不依靠开标后的任何外来证明。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25.6招标采购单位将拒绝被确定为非实质性响应的投标，投标人不能通过修正或撤销不符之处而使其投标成为实质性响应的投标。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26.投标文件的澄清</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26.1对投标文件中含义不明确、</w:t>
      </w:r>
      <w:r>
        <w:rPr>
          <w:rFonts w:hint="eastAsia" w:ascii="宋体" w:hAnsi="宋体" w:eastAsia="宋体" w:cs="宋体"/>
          <w:color w:val="auto"/>
          <w:szCs w:val="24"/>
          <w:highlight w:val="none"/>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在招标采购中，出现下列情形之一的，应予废标：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1.符合专业条件的投标人或者对招标文件作出实质性响应的投标人不足三家；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3.投标人的报价均超过采购预算，采购人不能支付的；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5.因“江苏政府采购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系统”系统重大故障原因无法继续开评标的。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28.投标文件的评价和比较</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28.1评标委员会按招标文件规定的评标方法和标准，对符合性检查合格的投标文件进行商务和技术评估，综合比较与评价。</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28.2最低的投标报价或最高的折扣比例是中标的重要条件，但不是唯一条件。</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28.3</w:t>
      </w:r>
      <w:r>
        <w:rPr>
          <w:rFonts w:hint="eastAsia" w:ascii="宋体" w:hAnsi="宋体" w:eastAsia="宋体" w:cs="宋体"/>
          <w:b/>
          <w:bCs/>
          <w:color w:val="auto"/>
          <w:szCs w:val="24"/>
          <w:highlight w:val="none"/>
        </w:rPr>
        <w:t xml:space="preserve">相同品牌产品的投标</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非单一产品采购项目，采购人应当根据采购项目技术构成、产品价格比重等合理确定核心产品，并在招标文件中载明。多家投标人提供的</w:t>
      </w:r>
      <w:r>
        <w:rPr>
          <w:rFonts w:hint="eastAsia" w:ascii="宋体" w:hAnsi="宋体" w:eastAsia="宋体" w:cs="宋体"/>
          <w:b/>
          <w:bCs/>
          <w:color w:val="auto"/>
          <w:szCs w:val="24"/>
          <w:highlight w:val="none"/>
        </w:rPr>
        <w:t xml:space="preserve">核心产品</w:t>
      </w:r>
      <w:r>
        <w:rPr>
          <w:rFonts w:hint="eastAsia" w:ascii="宋体" w:hAnsi="宋体" w:eastAsia="宋体" w:cs="宋体"/>
          <w:color w:val="auto"/>
          <w:szCs w:val="24"/>
          <w:highlight w:val="none"/>
        </w:rPr>
        <w:t xml:space="preserve">品牌相同的，按前两款规定处理。</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29.质疑处理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29.1 提出质疑的投标人应当是参与所质疑项目采购活动的供应商。潜在供应商依法获取其可质疑的采购文件的，可以对采购文件提出质疑。</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29.2.1对可以质疑的采购文件提出质疑的，为收到采购文件之日或者采购文件公告期限届满之日；</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29.2.2对采购过程提出质疑的，为各采购程序环节结束之日；</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29.2.3对中标结果提出质疑的，为中标结果公告期限届满之日。</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29.4采购人及采购代理机构只接受以纸质原件形式送达的质疑。质疑接收人及联系方式见招标文件第一章。</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 以下情形的质疑不予受理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29.5.1内容不符合《政府采购质疑和投诉办法》第十二条规定的质疑。</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29.5.2超出政府采购法定期限的质疑。</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29.5.3以传真、电子邮件等方式递交的非原件形式的质疑。</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29.5.4未参加投标活动的供应商或在投标活动中自身权益未受到损害的供应商所提出的质疑。</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29.5.5供应商组成联合体参加投标，联合体中任何一方或多方未按要求签字、盖章、加盖公章的质疑。</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30.中标人的确认</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30.1评标委员会按招标文件规定的评标方法和标准进行详细评审后，按招标采购单位的委托向招标采购单位推荐中标候选单位或根据采购人授权直接确定中标供应商。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30.2中标无效的确认：</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（1）提供虚假材料谋取中标的；</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（2）采取不正当手段诋毁、排挤其他投标人的；</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（3）与招标采购单位、其他投标人恶意串通的；</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（4）向招标采购单位行贿或者提供其他不正当利益的；</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（6）拒绝有关部门监督检查或者提供虚假情况的。</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30.3经评标委员</w:t>
      </w:r>
      <w:r>
        <w:rPr>
          <w:rFonts w:hint="eastAsia" w:ascii="宋体" w:hAnsi="宋体" w:eastAsia="宋体" w:cs="宋体"/>
          <w:color w:val="auto"/>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31.合同授予标准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31.1招标采购单位将把合同授予其投标文件在实质上响应招标文件要求且综合评分得分最高的投标人。</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32.中标通知书</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32.2中标通知书将成为合同的组成部分。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32.3招标采购单位对未中标供应商不承担解释未中标原因的义务。</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33.履约保证金</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33.1中标人应按规定提交履约保证金。</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33.2中标人必须在合同签订前按规定向采购人缴纳履约保证金。中标人未按招标文件要求提交履约保证金的，采购人可取消其中标资格。</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33.3履约保证金（无息）将在合同期结束且经双方验收合格后无息退还给中标单位。</w:t>
      </w:r>
      <w:r/>
    </w:p>
    <w:p>
      <w:pPr>
        <w:ind w:firstLine="480"/>
        <w:spacing w:line="50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33.3履约保证金用以约束供应商在合同履行中的行为，弥补合同执行中由于自身行为可能给采购人带来的各种损失。</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34.合同的签订</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34.1中标人应按中标通知书中规定的时间和地点，由法定代表人或委托代理人与采购人代表签订合同。</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34.2签订合同及合同条款应以招标文件和中标人的投标文件及其澄清文件为依据。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35.政府采购政策</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w:t>
      </w:r>
      <w:r>
        <w:rPr>
          <w:rFonts w:hint="eastAsia" w:ascii="宋体" w:hAnsi="宋体" w:eastAsia="宋体" w:cs="宋体"/>
          <w:bCs/>
          <w:color w:val="auto"/>
          <w:sz w:val="24"/>
          <w:szCs w:val="24"/>
          <w:highlight w:val="none"/>
        </w:rPr>
        <w:t xml:space="preserve">采购项目需要落实的政府采购政策：依据《中华人民共和国政府采购法》《中华人民共和国政府采购法实施条例》和《政府采购竞争性磋商采购方式管理办法》的有关规定，落实政府采购政策。</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35.1.1</w:t>
      </w:r>
      <w:r>
        <w:rPr>
          <w:rFonts w:hint="eastAsia" w:ascii="宋体" w:hAnsi="宋体" w:eastAsia="宋体" w:cs="宋体"/>
          <w:color w:val="auto"/>
          <w:sz w:val="24"/>
          <w:highlight w:val="none"/>
          <w:lang w:bidi="ar"/>
        </w:rPr>
        <w:t xml:space="preserve">小微型企业价格扣除</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（1）本项目对小型和微型企业产品给予10%的扣除价格，用扣除后的价格参与评审。</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（2）供应商需按照采购文件的要求提供相应的《中小企业声明函》。</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（3）本次采购标的属于</w:t>
      </w:r>
      <w:r>
        <w:rPr>
          <w:rFonts w:hint="eastAsia" w:ascii="宋体" w:hAnsi="宋体" w:eastAsia="宋体" w:cs="宋体"/>
          <w:b/>
          <w:bCs/>
          <w:color w:val="auto"/>
          <w:sz w:val="24"/>
          <w:highlight w:val="none"/>
          <w:u w:val="single"/>
          <w:lang w:bidi="ar"/>
        </w:rPr>
        <w:t xml:space="preserve"> 工业 </w:t>
      </w:r>
      <w:r>
        <w:rPr>
          <w:rFonts w:hint="eastAsia" w:ascii="宋体" w:hAnsi="宋体" w:eastAsia="宋体" w:cs="宋体"/>
          <w:color w:val="auto"/>
          <w:sz w:val="24"/>
          <w:highlight w:val="none"/>
          <w:lang w:bidi="ar"/>
        </w:rPr>
        <w:t xml:space="preserve">。</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（4）在货物采购项目中，供应商提供的货物既有中小企业制造货物，也有大型企业制造货物的，不享受本办法规定的中小企业扶持政策。</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35.1.2</w:t>
      </w:r>
      <w:r>
        <w:rPr>
          <w:rFonts w:hint="eastAsia" w:ascii="宋体" w:hAnsi="宋体" w:eastAsia="宋体" w:cs="宋体"/>
          <w:color w:val="auto"/>
          <w:sz w:val="24"/>
          <w:highlight w:val="none"/>
          <w:lang w:bidi="ar"/>
        </w:rPr>
        <w:t xml:space="preserve">残疾人福利性单位价格扣除政策</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（1）本项目对残疾人福利性单位视同小型、微型企业，给予10%的价格扣除，用扣除后的价格参与评审。</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（2）残疾人福利性单位需按照采购文件的要求提供《残疾人福利性单位声明函》。</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（3）残疾人福利性单位标准参照《关于促进残疾人就业政府采购政策的通知》（财库〔2017〕141号）。</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35.1.3</w:t>
      </w:r>
      <w:r>
        <w:rPr>
          <w:rFonts w:hint="eastAsia" w:ascii="宋体" w:hAnsi="宋体" w:eastAsia="宋体" w:cs="宋体"/>
          <w:color w:val="auto"/>
          <w:sz w:val="24"/>
          <w:highlight w:val="none"/>
          <w:lang w:bidi="ar"/>
        </w:rPr>
        <w:t xml:space="preserve">监狱和戒毒企业价格扣除</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（1）本项目对监狱和戒毒企业（简称监狱企业）视同小型、微型企业，给予10%的价格扣除，用扣除后的价格参与评审。</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（3）监狱企业标准参照《关于政府采购支持监狱企业发展有关问题的通知》（财库〔2014〕68号）。</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35.1.4</w:t>
      </w:r>
      <w:r>
        <w:rPr>
          <w:rFonts w:hint="eastAsia" w:ascii="宋体" w:hAnsi="宋体" w:eastAsia="宋体" w:cs="宋体"/>
          <w:color w:val="auto"/>
          <w:sz w:val="24"/>
          <w:highlight w:val="none"/>
          <w:lang w:bidi="ar"/>
        </w:rPr>
        <w:t xml:space="preserve">残疾人福利性单位、监狱企业属于小型、微型企业的，不重复享受政策。</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35.1.5</w:t>
      </w:r>
      <w:r>
        <w:rPr>
          <w:rFonts w:hint="eastAsia" w:ascii="宋体" w:hAnsi="宋体" w:eastAsia="宋体" w:cs="宋体"/>
          <w:color w:val="auto"/>
          <w:sz w:val="24"/>
          <w:highlight w:val="none"/>
          <w:lang w:bidi="ar"/>
        </w:rPr>
        <w:t xml:space="preserve">若供应商提供的《中小企业声明函》《残疾人福利性单位声明函》及监狱企业认定证明等材料为虚假材料，按《中华人民共和国政府采购法》相关规定处理并报请政府采购监管部门给予行政处罚。</w:t>
      </w:r>
      <w:r/>
    </w:p>
    <w:p>
      <w:pPr>
        <w:pStyle w:val="1020"/>
        <w:ind w:firstLine="480"/>
        <w:jc w:val="both"/>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35.1.6</w:t>
      </w:r>
      <w:r>
        <w:rPr>
          <w:rFonts w:hint="eastAsia" w:ascii="宋体" w:hAnsi="宋体" w:eastAsia="宋体" w:cs="宋体"/>
          <w:color w:val="auto"/>
          <w:sz w:val="24"/>
          <w:highlight w:val="none"/>
          <w:lang w:bidi="ar"/>
        </w:rPr>
        <w:t xml:space="preserve">未按要求提供相关材料的，不享受相关政策。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35.2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35.3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35.4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36.采购本国产品的支持政策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36.3本项目政府采购活动中既有本国产品又有非本国产品参与竞争的，依法对本国产品给予价格评审优惠，对本国产品的报价给予20%的价格扣除，用扣除后的价格参与评审。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36.5供应商需按照招标文件的要求提供《关于符合本国产品标准的声明函》（以下简称《声明函》），如不提供将不享受本国产品价格评审优惠。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.特别提醒</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.1投标单位如有提供不实评审材料，弄虚作假者，一律作废标处理，该不良行为将予以公示。</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在本项目评审结束前，各供应商授权代表应保持手机畅通，如有必要需供应商针对自身投标文件进行澄清的，供应商需在第一时间配合评委会的询问进行澄清。接到评委会澄清要求的投标人如未按规定作出澄清，其风险由投标人自行承担。</w:t>
      </w:r>
      <w:bookmarkEnd w:id="0"/>
      <w:r/>
      <w:bookmarkStart w:id="43" w:name="_Toc409438818"/>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.3投标文件中需签字或盖章处均可以用电子签名或电子章代替。</w:t>
      </w:r>
      <w:r/>
    </w:p>
    <w:p>
      <w:pPr>
        <w:pStyle w:val="1020"/>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bookmarkEnd w:id="43"/>
      <w:r/>
      <w:r/>
    </w:p>
    <w:p>
      <w:pPr>
        <w:jc w:val="center"/>
        <w:spacing w:line="360" w:lineRule="auto"/>
        <w:widowControl/>
        <w:rPr>
          <w:rFonts w:hint="eastAsia" w:ascii="宋体" w:hAnsi="宋体" w:eastAsia="宋体" w:cs="宋体"/>
          <w:b/>
          <w:color w:val="auto"/>
          <w:spacing w:val="15"/>
          <w:sz w:val="32"/>
          <w:szCs w:val="32"/>
          <w:highlight w:val="none"/>
        </w:rPr>
      </w:pPr>
      <w:r/>
      <w:bookmarkStart w:id="44" w:name="_Toc388026586"/>
      <w:r>
        <w:rPr>
          <w:rFonts w:hint="eastAsia" w:ascii="宋体" w:hAnsi="宋体" w:eastAsia="宋体" w:cs="宋体"/>
          <w:b/>
          <w:color w:val="auto"/>
          <w:spacing w:val="15"/>
          <w:sz w:val="32"/>
          <w:szCs w:val="32"/>
          <w:highlight w:val="none"/>
        </w:rPr>
        <w:t xml:space="preserve">第三章 采购需求</w:t>
      </w:r>
      <w:r/>
    </w:p>
    <w:p>
      <w:pPr>
        <w:pStyle w:val="1171"/>
        <w:ind w:firstLine="482"/>
        <w:jc w:val="both"/>
        <w:spacing w:line="520" w:lineRule="exact"/>
        <w:rPr>
          <w:rFonts w:hint="eastAsia" w:ascii="宋体" w:hAnsi="宋体" w:eastAsia="宋体" w:cs="宋体"/>
          <w:b/>
          <w:bCs/>
          <w:color w:val="auto"/>
          <w:sz w:val="24"/>
          <w:szCs w:val="24"/>
          <w:highlight w:val="none"/>
          <w:lang w:val="en-US" w:eastAsia="zh-CN"/>
        </w:rPr>
      </w:pPr>
      <w:r/>
      <w:bookmarkStart w:id="45" w:name="OLE_LINK29"/>
      <w:r>
        <w:rPr>
          <w:rFonts w:hint="eastAsia" w:ascii="宋体" w:hAnsi="宋体" w:eastAsia="宋体" w:cs="宋体"/>
          <w:b/>
          <w:bCs/>
          <w:color w:val="auto"/>
          <w:sz w:val="24"/>
          <w:szCs w:val="24"/>
          <w:highlight w:val="none"/>
          <w:lang w:val="en-US" w:eastAsia="zh-CN"/>
        </w:rPr>
        <w:t xml:space="preserve">一、配置需求</w:t>
      </w:r>
      <w:r/>
    </w:p>
    <w:p>
      <w:pPr>
        <w:ind w:left="0" w:firstLine="480"/>
        <w:jc w:val="both"/>
        <w:keepLines w:val="0"/>
        <w:keepNext w:val="0"/>
        <w:pageBreakBefore w:val="0"/>
        <w:spacing w:line="520" w:lineRule="exact"/>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★1.主机部分</w:t>
      </w:r>
      <w:r/>
    </w:p>
    <w:p>
      <w:pPr>
        <w:ind w:left="0" w:firstLine="480"/>
        <w:jc w:val="both"/>
        <w:keepLines w:val="0"/>
        <w:keepNext w:val="0"/>
        <w:pageBreakBefore w:val="0"/>
        <w:spacing w:line="520" w:lineRule="exact"/>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主机、主控台系统工作站、影像处理工作站、影像存储服务器、三轴放疗激光定位系统、呼吸门控+4D-CT动态成像系统、CT模拟机质控系统。</w:t>
      </w:r>
      <w:r/>
    </w:p>
    <w:p>
      <w:pPr>
        <w:ind w:left="0" w:firstLine="480"/>
        <w:jc w:val="both"/>
        <w:keepLines w:val="0"/>
        <w:keepNext w:val="0"/>
        <w:pageBreakBefore w:val="0"/>
        <w:spacing w:line="520" w:lineRule="exact"/>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2.配套设备</w:t>
      </w:r>
      <w:r/>
    </w:p>
    <w:p>
      <w:pPr>
        <w:ind w:left="0" w:firstLine="480"/>
        <w:jc w:val="both"/>
        <w:keepLines w:val="0"/>
        <w:keepNext w:val="0"/>
        <w:pageBreakBefore w:val="0"/>
        <w:spacing w:line="520" w:lineRule="exact"/>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★2.1环境监测与人员防护部分：</w:t>
      </w:r>
      <w:r/>
    </w:p>
    <w:tbl>
      <w:tblPr>
        <w:tblStyle w:val="787"/>
        <w:tblW w:w="8396" w:type="dxa"/>
        <w:jc w:val="center"/>
        <w:tblLayout w:type="autofit"/>
        <w:tblCellMar>
          <w:left w:w="108" w:type="dxa"/>
          <w:top w:w="0" w:type="dxa"/>
          <w:right w:w="108" w:type="dxa"/>
          <w:bottom w:w="0" w:type="dxa"/>
        </w:tblCellMar>
        <w:tblLook w:val="04A0" w:firstRow="1" w:lastRow="0" w:firstColumn="1" w:lastColumn="0" w:noHBand="0" w:noVBand="1"/>
      </w:tblPr>
      <w:tblGrid>
        <w:gridCol w:w="6270"/>
        <w:gridCol w:w="2126"/>
      </w:tblGrid>
      <w:tr>
        <w:trPr>
          <w:jc w:val="center"/>
          <w:trHeight w:val="351"/>
        </w:trPr>
        <w:tc>
          <w:tcPr>
            <w:tcBorders>
              <w:top w:val="single" w:color="auto" w:sz="4" w:space="0"/>
              <w:left w:val="single" w:color="auto" w:sz="2" w:space="0"/>
              <w:bottom w:val="single" w:color="auto" w:sz="4" w:space="0"/>
              <w:right w:val="single" w:color="auto" w:sz="4" w:space="0"/>
            </w:tcBorders>
            <w:tcW w:w="6270"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铅当量 0.5mmpb 铅衣（无铅）</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铅当量 1.0mmpb 铅衣</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铅当量0.5mmpb 铅手套</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铅当量0.5mmpb 铅眼镜</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铅当量0.5mmpb 铅内裤</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铅当量0.5mmpb 铅围脖、铅帽</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电离辐射防护门</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便携式辐射监测仪</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个人剂量报警仪</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活度计</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bl>
    <w:p>
      <w:pPr>
        <w:ind w:left="0" w:firstLine="480"/>
        <w:jc w:val="both"/>
        <w:keepLines w:val="0"/>
        <w:keepNext w:val="0"/>
        <w:pageBreakBefore w:val="0"/>
        <w:spacing w:line="520" w:lineRule="exact"/>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★2.2拓展治疗部分</w:t>
      </w:r>
      <w:r/>
    </w:p>
    <w:tbl>
      <w:tblPr>
        <w:tblStyle w:val="787"/>
        <w:tblW w:w="8396" w:type="dxa"/>
        <w:jc w:val="center"/>
        <w:tblLayout w:type="autofit"/>
        <w:tblCellMar>
          <w:left w:w="108" w:type="dxa"/>
          <w:top w:w="0" w:type="dxa"/>
          <w:right w:w="108" w:type="dxa"/>
          <w:bottom w:w="0" w:type="dxa"/>
        </w:tblCellMar>
        <w:tblLook w:val="04A0" w:firstRow="1" w:lastRow="0" w:firstColumn="1" w:lastColumn="0" w:noHBand="0" w:noVBand="1"/>
      </w:tblPr>
      <w:tblGrid>
        <w:gridCol w:w="6270"/>
        <w:gridCol w:w="2126"/>
      </w:tblGrid>
      <w:tr>
        <w:trPr>
          <w:jc w:val="center"/>
          <w:trHeight w:val="391"/>
        </w:trPr>
        <w:tc>
          <w:tcPr>
            <w:tcBorders>
              <w:top w:val="single" w:color="auto" w:sz="4" w:space="0"/>
              <w:left w:val="single" w:color="auto" w:sz="2" w:space="0"/>
              <w:bottom w:val="single" w:color="auto" w:sz="4" w:space="0"/>
              <w:right w:val="single" w:color="auto" w:sz="4" w:space="0"/>
            </w:tcBorders>
            <w:tcW w:w="6270"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r>
      <w:tr>
        <w:trPr>
          <w:jc w:val="center"/>
          <w:trHeight w:val="39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手术用监护仪</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r>
      <w:tr>
        <w:trPr>
          <w:jc w:val="center"/>
          <w:trHeight w:val="39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除颤仪（需包含要经皮起搏功能）</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39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急救药品车</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39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双通道注射泵</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r>
      <w:tr>
        <w:trPr>
          <w:jc w:val="center"/>
          <w:trHeight w:val="39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单道高压注射器</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39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双道高压注射器</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r>
    </w:tbl>
    <w:p>
      <w:pPr>
        <w:pStyle w:val="1171"/>
        <w:ind w:firstLine="482"/>
        <w:jc w:val="both"/>
        <w:spacing w:line="5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二、技术参数（包含硬件及配套软件技术参数）</w:t>
      </w:r>
      <w:r/>
    </w:p>
    <w:tbl>
      <w:tblPr>
        <w:tblStyle w:val="787"/>
        <w:tblW w:w="99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7"/>
        <w:gridCol w:w="2322"/>
        <w:gridCol w:w="6325"/>
      </w:tblGrid>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bookmarkStart w:id="46" w:name="OLE_LINK2"/>
            <w:r>
              <w:rPr>
                <w:rFonts w:hint="eastAsia" w:ascii="宋体" w:hAnsi="宋体" w:eastAsia="宋体" w:cs="宋体"/>
                <w:b/>
                <w:bCs/>
                <w:color w:val="auto"/>
                <w:sz w:val="21"/>
                <w:szCs w:val="21"/>
                <w:highlight w:val="none"/>
              </w:rPr>
              <w:t xml:space="preserve">序号</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主要技术指标</w:t>
            </w:r>
            <w:r/>
          </w:p>
        </w:tc>
        <w:tc>
          <w:tcPr>
            <w:tcMar>
              <w:left w:w="0" w:type="dxa"/>
              <w:right w:w="0" w:type="dxa"/>
            </w:tcMar>
            <w:tcW w:w="6325"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规格要求</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设备基本要求</w:t>
            </w:r>
            <w:r/>
          </w:p>
        </w:tc>
        <w:tc>
          <w:tcPr>
            <w:tcMar>
              <w:left w:w="0" w:type="dxa"/>
              <w:right w:w="0" w:type="dxa"/>
            </w:tcMar>
            <w:tcW w:w="6325" w:type="dxa"/>
            <w:vAlign w:val="center"/>
            <w:textDirection w:val="lrTb"/>
            <w:noWrap w:val="false"/>
          </w:tcPr>
          <w:p>
            <w:pP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功能与资质</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产品具备放疗模拟定位功能，或支持提供用于放射治疗计划的图像，提供注册证佐证</w:t>
            </w:r>
            <w:r/>
          </w:p>
        </w:tc>
      </w:tr>
      <w:tr>
        <w:trPr>
          <w:jc w:val="center"/>
          <w:trHeight w:val="1104"/>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产品稳定性</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保证设备稳定性，核心部件包括球管，探测器及高压发生器与CT主机为相同原厂或相同品牌</w:t>
            </w:r>
            <w:r>
              <w:rPr>
                <w:rFonts w:hint="eastAsia" w:ascii="宋体" w:hAnsi="宋体" w:eastAsia="宋体" w:cs="宋体"/>
                <w:b/>
                <w:bCs/>
                <w:color w:val="auto"/>
                <w:sz w:val="21"/>
                <w:szCs w:val="21"/>
                <w:highlight w:val="none"/>
              </w:rPr>
              <w:t xml:space="preserve">（提供产品制造商公开发布的彩页或产品公开发布的产品说明书或国家认可的检测机构出具的检测报告）</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技术参数</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机架系统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机架孔径</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≥85cm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滑环类型</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低压滑环</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机架物理倾斜角</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焦点到等中心距离（mm）</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≤650 mm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焦点到探测器的距离（mm）</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≤1115mm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冷却方式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风冷</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≤0.5s/r（秒/圈）</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内置激光灯</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提供内置三维激光定位系统</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X线系统及高压发生器</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高压发生器实际功率</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≥75kW</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球管轴承技术</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液态金属轴承 X 线球管</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球管热容量和最大散热率</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保证连续4D-CT扫描及高毫安条件下球管寿命及热稳定性，球管阳极热容量（非等效）≥8.0 MHU 且阳极最大散热率≥1600kHU/min</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小焦点尺寸（mm）</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≤0.64mm²</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大焦点尺寸（mm）</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≤1.2mm²</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最大球管电流</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≥625mA</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最小管电压</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≤70kV</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最大球管电压</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≥140KV</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球管电压可调档位数量</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≥5档</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探测器</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探测器排数</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≥32排</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Z轴有效覆盖范围</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≥19.2mm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每排探测器实际物理数量</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≥900个/排</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扫描参数</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最大真实扫描视野SFOV</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≥60cm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最大显示视野 EFOV</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≥85cm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最薄扫描层厚</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≤0.625mm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扫描转速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≤0.5s/r</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重建图像矩阵</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提供512 x 512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768 x 768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1024 x 1024</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最大连续螺旋曝光时间（s）</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≥200s</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重建速度（幅/每秒）</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≥35fps</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图像质量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X-Y轴空间分辨率</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lp/cm@MTF10%</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低密度分辨率</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≤5mm @ 0.3%</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CT值范围</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+3,000</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真实视野CT值精度</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 HU</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噪声水平（%）</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迭代重建算法</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提供厂家最新微辐射影像重建算法</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扫描床系统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bookmarkStart w:id="47" w:name="OLE_LINK6"/>
            <w:r/>
            <w:bookmarkEnd w:id="47"/>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放疗专用模拟定位平板床面</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原厂放疗专用碳纤维平板床，具备加速器治疗床索引系统，分别适配于瓦里安、联影和医科达</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床面无需扩展水平轴向扫描范围(mm)</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≥1350mm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床面无需扩展水平螺旋扫描范围(mm)</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≥1350mm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原厂床最大允许承重(kg)</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≥220kg</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床垂直运动范围（mm）</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≥470mm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水平运动速度（mm/s）</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≥200mm/s</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最大垂直运动速度（mm/s）</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≥28mm/s</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床控制开关</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提供扫描床控制脚踏开关</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扫描床运动精度</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定位精度±0.25mm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6.10</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扫描床运动精度</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 TG66 国际放疗标准，提供产品制造商公开发布的彩页或产品公开发布的产品说明书或国家认可的检测机构出具的检测报告</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扫描床水平运动</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支持独立水平运动，且不影响垂直方向坐标</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扫描床垂直运动</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支持独立垂直运动，且不影响水平方向坐标</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主控台系统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工作站</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配置主控制台工作站</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提供高清液晶显示屏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配备液晶显示器，≥24寸*2，1920x1080</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主控台CPU</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≥3.0GHz，6核</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主控台内存</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≥32GB</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硬盘容量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≥4TB</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硬盘存储容量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≥800万幅（512*512无压缩）</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操作系统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各家提供最新操作系统</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高级临床应用功能</w:t>
            </w:r>
            <w:r/>
          </w:p>
        </w:tc>
        <w:tc>
          <w:tcPr>
            <w:tcMar>
              <w:left w:w="0" w:type="dxa"/>
              <w:right w:w="0" w:type="dxa"/>
            </w:tcMar>
            <w:tcW w:w="6325" w:type="dxa"/>
            <w:vAlign w:val="center"/>
            <w:textDirection w:val="lrTb"/>
            <w:noWrap w:val="false"/>
          </w:tcPr>
          <w:p>
            <w:pP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多平面重建MPR</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提供多平面重建MPR</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最大密度投影</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MIP</w:t>
            </w:r>
            <w:r>
              <w:rPr>
                <w:rFonts w:hint="eastAsia" w:ascii="宋体" w:hAnsi="宋体" w:eastAsia="宋体" w:cs="宋体"/>
                <w:color w:val="auto"/>
                <w:sz w:val="21"/>
                <w:szCs w:val="21"/>
                <w:highlight w:val="none"/>
                <w:lang w:eastAsia="zh-CN"/>
              </w:rPr>
              <w:t xml:space="preserve">）</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提供最大密度投影</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MIP</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最小密度投影</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MinIP</w:t>
            </w:r>
            <w:r>
              <w:rPr>
                <w:rFonts w:hint="eastAsia" w:ascii="宋体" w:hAnsi="宋体" w:eastAsia="宋体" w:cs="宋体"/>
                <w:color w:val="auto"/>
                <w:sz w:val="21"/>
                <w:szCs w:val="21"/>
                <w:highlight w:val="none"/>
                <w:lang w:eastAsia="zh-CN"/>
              </w:rPr>
              <w:t xml:space="preserve">）</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提供最小密度投影</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MinIP</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曲面重建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CPR</w:t>
            </w:r>
            <w:r>
              <w:rPr>
                <w:rFonts w:hint="eastAsia" w:ascii="宋体" w:hAnsi="宋体" w:eastAsia="宋体" w:cs="宋体"/>
                <w:color w:val="auto"/>
                <w:sz w:val="21"/>
                <w:szCs w:val="21"/>
                <w:highlight w:val="none"/>
                <w:lang w:eastAsia="zh-CN"/>
              </w:rPr>
              <w:t xml:space="preserve">）</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提供曲面重建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CPR</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容积三维重建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VR</w:t>
            </w:r>
            <w:r>
              <w:rPr>
                <w:rFonts w:hint="eastAsia" w:ascii="宋体" w:hAnsi="宋体" w:eastAsia="宋体" w:cs="宋体"/>
                <w:color w:val="auto"/>
                <w:sz w:val="21"/>
                <w:szCs w:val="21"/>
                <w:highlight w:val="none"/>
                <w:lang w:eastAsia="zh-CN"/>
              </w:rPr>
              <w:t xml:space="preserve">）</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提供容积三维重建 (VR)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表面重建（SSD）</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提供表面重建（SSD）</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容积漫游（VRT）</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提供容积漫游（VRT）</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组织裁剪</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提供组织裁剪</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自适应滤波条状伪影消除技术</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提供自适应滤波条状伪影消除技术</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图像增强技术</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提供图像增强技术</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CT电影功能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提供CT电影功能</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专业去金属伪影功能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提供厂家最新去金属算法</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提供承诺书加盖投标供应商公章</w:t>
            </w:r>
            <w:r>
              <w:rPr>
                <w:rFonts w:hint="eastAsia" w:ascii="宋体" w:hAnsi="宋体" w:eastAsia="宋体" w:cs="宋体"/>
                <w:b/>
                <w:bCs/>
                <w:color w:val="auto"/>
                <w:sz w:val="21"/>
                <w:szCs w:val="21"/>
                <w:highlight w:val="none"/>
                <w:lang w:eastAsia="zh-CN"/>
              </w:rPr>
              <w:t xml:space="preserve">）</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造影剂自动跟踪</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提供造影剂自动跟踪软件</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齿科软件</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提供齿科软件</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儿童低剂量成像软件和扫描序列</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具备儿童低剂量成像软件和扫描序列</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CT血管造影（CTA）</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提供C血管造影（CTA）</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CT 仿真内窥镜功能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提供CT仿真内窥镜功能</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薄块浏览</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提供薄块浏览</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实时三维软件</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提供实时三维软件</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8.20</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动态剂量调制</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提供动态剂量调制</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智能循迹切割</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提供智能循迹切割</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自动层面相关显示</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提供自动层面相关显示</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图像智能优化显示软件</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提供图像智能优化显示软件</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容积三维重建</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提供容积三维重建</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肿瘤专用扫描方案</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提供肿瘤专用扫描方案</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自动毫安选择功能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提供自动毫安选择功能</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自动语音系统及双向语音传输</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提供自动语音系统及双向语音传输</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多任务并行处理功能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提供多任务并行处理功能</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具备激光相机DICOM接口功能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具备激光相机DICOM接口功能</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8.30</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自动照相技术</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提供自动照相技术</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影像处理工作站</w:t>
            </w:r>
            <w:r/>
          </w:p>
        </w:tc>
        <w:tc>
          <w:tcPr>
            <w:tcMar>
              <w:left w:w="0" w:type="dxa"/>
              <w:right w:w="0" w:type="dxa"/>
            </w:tcMar>
            <w:tcW w:w="6325" w:type="dxa"/>
            <w:vAlign w:val="center"/>
            <w:textDirection w:val="lrTb"/>
            <w:noWrap w:val="false"/>
          </w:tcPr>
          <w:p>
            <w:pP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主机</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独立影像处理工作站</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CPU</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≥3.5GHz*6 核</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GPU</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独立GPU图形处理器</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硬盘</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≥4TB</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内存</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≥32GB</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高分辨率彩色双屏视野显示</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配备液晶显示器，≥24寸，1920x1080</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不间断电源</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提供主控台主机30分钟不间断电源</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影像处理功能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基础影像浏览工具</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包含患者影像列、设置影像浏览布局、影像浏览工具等</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轮廓编辑工具</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画笔工具、笔刷工具、支持在选定范围或者选定结构内，进行基于灰度值的轮廓提取功能、支持基于融合后的叠加图像进行勾画</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全身OAR自动勾画</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支持基于平扫或增强 CT上的全身危及器官OAR的自动勾画，超过 100个器官</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图像融合</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支持多模态图像刚性/弹性配准</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肿瘤肺转移检测</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提供肿瘤肺转移检测模块</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图文报告</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支持将已标注病灶对比结果生成图文随访报告。（提供国家认可的权威机构检测报告或证书及投标产品功能截图）</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影像比对</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支持同一病人不同时期影像上的病灶之间的对比、编辑、标注。（提供国家认可的权威机构的检测报告或证书及投标产品功能截图）</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肺结节检出功能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3-50mm可以根据肺结节大小对要显示的结节进行筛选</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肺结节显示与测量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可实现任意斜切面 MPR、肺结节体积。</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10.10</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病灶影像描述</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根据病灶情况智能生成影像描述，支持一键复制查询、新建、查看、导入、复制、拆分、编辑和删除数据集</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数据传输、存储管理及网络</w:t>
            </w:r>
            <w:r/>
          </w:p>
        </w:tc>
        <w:tc>
          <w:tcPr>
            <w:tcMar>
              <w:left w:w="0" w:type="dxa"/>
              <w:right w:w="0" w:type="dxa"/>
            </w:tcMar>
            <w:tcW w:w="6325" w:type="dxa"/>
            <w:vAlign w:val="center"/>
            <w:textDirection w:val="lrTb"/>
            <w:noWrap w:val="false"/>
          </w:tcPr>
          <w:p>
            <w:pP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网络软硬件及软件系统适配</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提供医用千兆网络传输模块；适配放疗网络、TPS、PACS 系统对接软件接口</w:t>
            </w:r>
            <w:r/>
          </w:p>
        </w:tc>
      </w:tr>
      <w:tr>
        <w:trPr>
          <w:jc w:val="center"/>
          <w:trHeight w:val="108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DICOM协议支持</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全面支持DICOM 3.0标准、DICOM RT全部标准子协议，支持DICOM MWL、MPPS、结构化报告、3D时序影像、呼吸波形结构化数据传输，不阉割 DICOM 扩展标签、不封闭私有数据格式。</w:t>
            </w:r>
            <w:r/>
          </w:p>
        </w:tc>
      </w:tr>
      <w:tr>
        <w:trPr>
          <w:jc w:val="center"/>
          <w:trHeight w:val="1128"/>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系统接口开放</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完整开放 DICOM3.0全服务、全套DICOM RT、HL7 V2.51、RESTful API 接口，无加密、无终端数量限制、无年度接口授权费，原厂提供完整接口文档并免费配合院内HIS/PACS/TPS/加速器联调，不得私有协议封锁数据。</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影像存储、检索系统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独立影像存储服务器，配置功能满足11.４.1、11.４.2、11.４.3要求</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11.4.１</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硬件配置</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RAID5三盘冗余，裸容量12TB，可用容量约9.6TB；稳定承载2万名以上患者无压缩标准CT图像存储全周期影像归档。</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11.4.２</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兼容标准</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兼容 DICOM3.0、DICOM RT，完整存储静态CT、4D序列、能谱图像、AI勾画RT结构、DRR定位图。无缝对接院内PACS、放疗TPS、直线加速器。</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11.4.３</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数据检索与管理</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多条件复合检索：患者ID、姓名、扫描日期、病灶部位、肿瘤分型一键调取全套病案。</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提供原厂双能量扫描功能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双能成像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设备硬件原生支持双能量成像</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单KeV能量图</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能产生单KeV能量图</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能级图像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提供150个能级图像</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水、碘、钙化等物质分离</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可进行水、碘、钙化等物质分离</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碘基图和水基图</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可生成碘基图和水基图</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能量成像，降低辐射剂量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迭代平台下实现能量成像，降低辐射剂量</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智能毫安</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不同KV扫描智能毫安，适应不同部位扫描</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能量去除金属伪影</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具备能量去除金属伪影</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主机能量扫描协议</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提供主机能量扫描协议</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12.10</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虚拟平扫（VNC）</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具备VNC功能</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呼吸门控+4D-CT动态成像系统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呼吸门控软、硬件设备</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提供原厂完整呼吸门控设备，包括红外或腹压带方式的信号采集硬件设备，以及4D CT重建算法；或腹部肿瘤工具包一套</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呼吸门控设备接口</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呼吸门控设备接口，可兼容包括RGSC，RPM，C-Rad等主流呼吸门控设备</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交互式呼吸引导功能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提供扫描全程交互式呼吸引导功能</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回顾式螺旋扫描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配合CT机采集4DCT图像，支持回顾式螺旋扫描</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回顾式螺旋扫描后处理重建方式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回顾式螺旋扫描必须能够提供基于时相及幅值的两种后处理重建方式</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呼吸时相编辑功能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能编辑、添加、删除呼吸时相</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最大密度投影图，最小密度投影图，平均密度投影图3种图像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支持在CT主机上生成最大密度投影图，最小密度投影图，平均密度投影图4种图像，无需后处理工作站</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多气相电影播放</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支持多气相电影播放</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图像和模拟定位数据传输</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上述4DCT图像和模拟定位数据可传输至配套的治疗计划系统进行相关放射治疗计划设计</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三轴放疗激光定位系统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激光灯硬件</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吊顶 + 双侧三轴交叉激光，激光轨移动范围≥70cm，与加速器激光坐标系同源统一。</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移动定位精度</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激光灯的移动定位精度为≤±0.25mm。（医疗器械注册信息或官方证明）</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模拟定位及复位比对功能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系统须支持DICOM RT标准，能够接收TPS下发的移床值自动计算并引导治疗中心复位，支持实时影像与DRR的配准比对验证。</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质控系统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设备构成及要求</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满足AAPM TG 66要求的质控设备，包含：激光对准模体、CT ACR 464模体、先进电子密度模体、CTDI模体及适配电离室和静电计（证明材料）</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模体组件设计</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提供影像质控模体，分体式设计，具备头部模体和体部模体功能</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影CT值准确性</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影像质控模体可测试CT值准确性</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CT值均匀度</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提供模体可测试CT值均匀度</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空间分辨率</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提供模体可测试空间分辨率</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低密度分辨率</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提供模体可测试低密度分辨率</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图像噪声</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提供模体可测试图像噪声</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机械精度质控模体</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提供机械精度质控模体</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机架激光灯与扫描平面一致性</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机械模体可测试机架激光灯与扫描平面一致性</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15.10</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床体水平度</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机械模体可测试床体水平度</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床的运动和位置显示的精确性</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机械模体可测试CT控制下床的运动和位置显示的精确性</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自动质控分析软件</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主机质控分析软件，一键式分析多项参数</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双筒高压注射器及单筒高压注射器</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注射器功能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双筒电动高压注射器，单筒容积200mL，支持两相、三相多阶段增强注射程序</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流速及压力保护</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注射流速0.1~10mL/s，压力 0~1200PSI</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单筒</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，压力 0~</w:t>
            </w:r>
            <w:r>
              <w:rPr>
                <w:rFonts w:hint="eastAsia" w:ascii="宋体" w:hAnsi="宋体" w:eastAsia="宋体" w:cs="宋体"/>
                <w:b/>
                <w:bCs/>
                <w:color w:val="auto"/>
                <w:sz w:val="21"/>
                <w:szCs w:val="21"/>
                <w:highlight w:val="none"/>
                <w:lang w:val="en-US" w:eastAsia="zh-CN"/>
              </w:rPr>
              <w:t xml:space="preserve">350</w:t>
            </w:r>
            <w:r>
              <w:rPr>
                <w:rFonts w:hint="eastAsia" w:ascii="宋体" w:hAnsi="宋体" w:eastAsia="宋体" w:cs="宋体"/>
                <w:b/>
                <w:bCs/>
                <w:color w:val="auto"/>
                <w:sz w:val="21"/>
                <w:szCs w:val="21"/>
                <w:highlight w:val="none"/>
              </w:rPr>
              <w:t xml:space="preserve">PSI</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双筒</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阻力异常自动停机保护</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与CT同步联动</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硬件与CT扫描信号同步联动，配套设备联动开放接口</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注射方案预置</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预置放疗标准化注射方案，注射时序、造影剂用量数据。</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附属配置要求</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防护用品</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提供满足国家对CT运行相关标准要求的铅衣、铅帽、铅眼镜等个人防护用品</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软件授权及升级</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全部配套软件原厂永久授权许可，无年度租赁、功能订阅费用，终身免费迭代升级，无额外收费。</w:t>
            </w:r>
            <w:r/>
          </w:p>
        </w:tc>
      </w:tr>
      <w:tr>
        <w:trPr>
          <w:jc w:val="center"/>
          <w:trHeight w:val="1332"/>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安装及培训</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免费提供设备安装、调试、院内放疗网络对接培训；针对放疗医师、物理师、技师开展设备操作、日常质控、放疗虚拟模拟、能谱放疗临床应用专项培训，培训内容包含MAR金属伪影校正、基物质电子密度测算、最优单能量选取等实操课程，培训完成后出具原厂培训合格证明。</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控制台</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满足设备运行的控制台桌椅</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语音对讲系统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自动语音系统及双向语音传输</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视频监控</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机房、控制室、防护门外部署摄像头，全覆盖患者体位与防护门，包含高清摄像头、监视器及主机</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电离辐射防护门</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提供满足≥6MV高能X线安全防护要求防护门并负责设计和安装，配合机房的环评卫评，并确保屏蔽性能符合验收标准</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门洞尺寸（高：215cm； 宽：138cm）</w:t>
            </w:r>
            <w:r/>
          </w:p>
        </w:tc>
      </w:tr>
      <w:tr>
        <w:trPr>
          <w:jc w:val="center"/>
          <w:trHeight w:val="386"/>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便携式辐射监测仪</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监测X、γ及硬β射线，图形式液晶显示，背光，有声音判断辐射强弱功能</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测量范围:计数率0-500000CPM，0–8000CPS</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剂量率0.01-1000uSv/h，0.01-100mR/h</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能量范围:40KeV-3MeV</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灵敏度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≥3000CPM/mR/h</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个人剂量报警仪</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监测X、γ射线，实时显示辐射剂量率，并同步记录累积剂量；</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支持剂量率与累积剂量报警，阈值在量程内任意可调；</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声音、闪光、震动三种报警方式，满足不同环境需求；</w:t>
            </w:r>
            <w:r/>
          </w:p>
          <w:p>
            <w:pPr>
              <w:ind w:left="210" w:hanging="21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测量范围：0.1μSv/h-300mSv/h；1μSv-10Sv；</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能量范围：48keV-3MeV；</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能量响应：≤±15%；</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相对固有误差：≤±12%；</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17.10</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活度计</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用于核医学诊断与治疗用放射性核素的活度精确测量。</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符合GB/T 10256及JJG 377检定规程。标配涵盖⁹⁹ᵐTc、¹³¹I、¹⁸F、¹²⁵I、⁸⁹Sr、⁹⁰Y、¹⁷⁷Lu等常用核素；</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高压密封薄壁深井型电离室，能量响应范围25keV～3MeV。</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量程：⁹⁹ᵐTc下 0.1 μCi～10 Ci（3.7kBq～370GBq），自动量程切换。准确度≤±2%，重复性≤±1%，非线性误差≤±2%。读数稳定时间≤3秒，支持一键自动本底扣除。</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≥8英寸彩色触摸屏，全中文界面，支持戴手套操作。配备RS-232/USB，支持数据导出及与核医学科信息系统对接。</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双通道注射泵</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能精确控制药物微量泵入。除基本功能外，还需要具备镇痛药、化疗药物、胰岛素的输注适应症及移动输液架。</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心电监护仪</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需包含有创压，可接入BIS功能</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无需提供产品信息，提供承诺书加盖投标供应商公章</w:t>
            </w:r>
            <w:r>
              <w:rPr>
                <w:rFonts w:hint="eastAsia" w:ascii="宋体" w:hAnsi="宋体" w:eastAsia="宋体" w:cs="宋体"/>
                <w:b/>
                <w:bCs/>
                <w:color w:val="auto"/>
                <w:sz w:val="21"/>
                <w:szCs w:val="21"/>
                <w:highlight w:val="none"/>
                <w:lang w:eastAsia="zh-CN"/>
              </w:rPr>
              <w:t xml:space="preserve">）</w:t>
            </w:r>
            <w:bookmarkEnd w:id="46"/>
            <w:r/>
            <w:r/>
          </w:p>
        </w:tc>
      </w:tr>
    </w:tbl>
    <w:p>
      <w:pPr>
        <w:pStyle w:val="1171"/>
        <w:ind w:firstLine="482"/>
        <w:jc w:val="both"/>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、供货要求</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要求提供生产日期6个月以内的产品，采购人有权对</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所供货物进行验收，</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需按采购人要求根据采购文件及</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响应文件准备好相关产品，验收合格后方可进行安装，如验收不合格，不合格产品作退场处理，因此造成的一切责任及损失由</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自行负责。</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需保证所供设备全新、型号最新、保持完好的原包装，系新机，不可为翻新机，符合国家法律法规的规定，其质量技术满足中国国家标准或国际相关行业标准。</w:t>
      </w:r>
      <w:r/>
    </w:p>
    <w:p>
      <w:pPr>
        <w:pStyle w:val="1171"/>
        <w:ind w:firstLine="482"/>
        <w:jc w:val="both"/>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、质保要求</w:t>
      </w:r>
      <w:r/>
    </w:p>
    <w:p>
      <w:pPr>
        <w:pStyle w:val="1171"/>
        <w:ind w:firstLine="482"/>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免费质保期≥5年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.保修范围为全保，含所</w:t>
      </w:r>
      <w:r>
        <w:rPr>
          <w:rFonts w:hint="eastAsia" w:ascii="宋体" w:hAnsi="宋体" w:eastAsia="宋体" w:cs="宋体"/>
          <w:b w:val="0"/>
          <w:bCs w:val="0"/>
          <w:color w:val="auto"/>
          <w:sz w:val="24"/>
          <w:szCs w:val="24"/>
          <w:highlight w:val="none"/>
          <w:lang w:val="en-US" w:eastAsia="zh-CN"/>
        </w:rPr>
        <w:t xml:space="preserve">有需要免费质保的</w:t>
      </w:r>
      <w:r>
        <w:rPr>
          <w:rFonts w:hint="eastAsia" w:ascii="宋体" w:hAnsi="宋体" w:eastAsia="宋体" w:cs="宋体"/>
          <w:b w:val="0"/>
          <w:bCs w:val="0"/>
          <w:color w:val="auto"/>
          <w:sz w:val="24"/>
          <w:szCs w:val="24"/>
          <w:highlight w:val="none"/>
        </w:rPr>
        <w:t xml:space="preserve">配件、所有损耗品、人工费、维修人员差旅费，终身维护，每年免费对该设备进行预防性维护保养二次并出具厂家保养报告，以上材料成交供应商提供由原厂出具的售后服务承诺函。因设备配置或制造质量问题而引起的故障，</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应在24小时内立即予以免费维修或更换，由此引起的一切费用由</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承担。</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质保期内出现产品质量问题，在收到采购人通知后12小时内响应，24小时内到达问题现场，与甲方协商并及时解决；24小时没有答复或72小时内没有解决问题的，视为承认质量问题，采购人可委托其他人维修且维修费用由成交供应商承担；质保期内设备经二次维修仍出现故障的，应无条件更换同样型号品牌的新产品。</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.技术支持响应时间，一般问题 2小时内电话支持，难点、重点问题1天内现场解决。除本文件规定服务要求外，供应商所能承诺的售后服务应详细说明，同时负责免费向采购人提供设备维修或操作人员的培训。报修响应时间为路程正常时间加3小时。</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.质保期外出现产品质量问题，在收到采购人通知后，应派员到问题现场，与采购人协商并及时解决，并酌情收取材料成本费和适当的维修费，采购人可提供协助工作。</w:t>
      </w:r>
      <w:r/>
    </w:p>
    <w:p>
      <w:pPr>
        <w:pStyle w:val="1171"/>
        <w:ind w:firstLine="482"/>
        <w:jc w:val="lef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、验收标准</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按照本文件的有关规定提供合格产品，负责安装和调试，同时必须满足文件中所列出的全部规格、型号、具体配置、技术条件、材料工艺以及供应商承诺的其他指标；</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2.项目验收包括：数量、外观、质量、性能以及采购清单中列出的所有参数，供应商对质量问题负责包退、包换和包修，因此产生的费用以及对采购人财产和服务期延误造成的损失由成交供应商承担。</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3.交货过程中如发现不符合本文件所规定产品，供应商无条件退换。</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4.验收时须向买方免费提供全套资料，含说明书，合格证、出厂计量合格证（必要时）、操作手册、维修手册（含详细电路图）、海关报关单（必要时）、商检合格证明（必要时）等相关材料。</w:t>
      </w:r>
      <w:r/>
    </w:p>
    <w:p>
      <w:pPr>
        <w:pStyle w:val="1171"/>
        <w:ind w:firstLine="482"/>
        <w:jc w:val="lef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商务要求</w:t>
      </w:r>
      <w:r/>
    </w:p>
    <w:p>
      <w:pPr>
        <w:pStyle w:val="1171"/>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1.本次招标采用项目总承包方式，</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报价包括为实施委托项目约定范围内所需的全部费用。供应商要认真阅读</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文件及各类规范政策，慎重报价，采购人不再支付其他任何费用，如有漏项采购人视同优惠。</w:t>
      </w:r>
      <w:r/>
    </w:p>
    <w:p>
      <w:pPr>
        <w:pStyle w:val="1171"/>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2.合同履行期限：合同签署</w:t>
      </w:r>
      <w:r>
        <w:rPr>
          <w:rFonts w:hint="eastAsia" w:ascii="宋体" w:hAnsi="宋体" w:eastAsia="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接到采购人通知后3</w:t>
      </w:r>
      <w:r>
        <w:rPr>
          <w:rFonts w:hint="eastAsia" w:ascii="宋体" w:hAnsi="宋体" w:eastAsia="宋体" w:cs="宋体"/>
          <w:color w:val="auto"/>
          <w:sz w:val="24"/>
          <w:szCs w:val="24"/>
          <w:highlight w:val="none"/>
        </w:rPr>
        <w:t xml:space="preserve">0日内完成供货和安装。</w:t>
      </w:r>
      <w:r/>
    </w:p>
    <w:p>
      <w:pPr>
        <w:pStyle w:val="1171"/>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3.本次投标设最高限价为</w:t>
      </w:r>
      <w:r>
        <w:rPr>
          <w:rFonts w:hint="eastAsia" w:ascii="宋体" w:hAnsi="宋体" w:eastAsia="宋体" w:cs="宋体"/>
          <w:b/>
          <w:bCs/>
          <w:color w:val="auto"/>
          <w:sz w:val="24"/>
          <w:szCs w:val="24"/>
          <w:highlight w:val="none"/>
          <w:u w:val="single"/>
          <w:lang w:val="en-US" w:eastAsia="zh-CN"/>
        </w:rPr>
        <w:t xml:space="preserve">650</w:t>
      </w:r>
      <w:r>
        <w:rPr>
          <w:rFonts w:hint="eastAsia" w:ascii="宋体" w:hAnsi="宋体" w:eastAsia="宋体" w:cs="宋体"/>
          <w:color w:val="auto"/>
          <w:sz w:val="24"/>
          <w:szCs w:val="24"/>
          <w:highlight w:val="none"/>
        </w:rPr>
        <w:t xml:space="preserve">万元，各供应商的投标报价不得高于上述限价，否则视为无效响应文件处理。</w:t>
      </w:r>
      <w:r/>
    </w:p>
    <w:p>
      <w:pPr>
        <w:pStyle w:val="1171"/>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4.合同形式：固定</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价合同。</w:t>
      </w:r>
      <w:r/>
    </w:p>
    <w:p>
      <w:pPr>
        <w:pStyle w:val="1171"/>
        <w:ind w:firstLine="480"/>
        <w:jc w:val="left"/>
        <w:spacing w:line="520" w:lineRule="exact"/>
        <w:rPr>
          <w:rFonts w:hint="eastAsia" w:ascii="宋体" w:hAnsi="宋体" w:eastAsia="宋体" w:cs="宋体"/>
          <w:color w:val="auto"/>
          <w:spacing w:val="15"/>
          <w:sz w:val="24"/>
          <w:szCs w:val="24"/>
          <w:highlight w:val="none"/>
          <w:lang w:val="en-US" w:eastAsia="zh-CN"/>
        </w:rPr>
      </w:pPr>
      <w:r>
        <w:rPr>
          <w:rFonts w:hint="eastAsia" w:ascii="宋体" w:hAnsi="宋体" w:eastAsia="宋体" w:cs="宋体"/>
          <w:color w:val="auto"/>
          <w:sz w:val="24"/>
          <w:szCs w:val="24"/>
          <w:highlight w:val="none"/>
        </w:rPr>
        <w:t xml:space="preserve">5.付款方式：</w:t>
      </w:r>
      <w:r>
        <w:rPr>
          <w:rFonts w:hint="eastAsia" w:ascii="宋体" w:hAnsi="宋体" w:eastAsia="宋体" w:cs="宋体"/>
          <w:color w:val="auto"/>
          <w:sz w:val="24"/>
          <w:szCs w:val="24"/>
          <w:highlight w:val="none"/>
          <w:lang w:val="en-US" w:eastAsia="zh-CN"/>
        </w:rPr>
        <w:t xml:space="preserve">合同签订后付合同价的40%，</w:t>
      </w:r>
      <w:r>
        <w:rPr>
          <w:rFonts w:hint="eastAsia" w:ascii="宋体" w:hAnsi="宋体" w:eastAsia="宋体" w:cs="宋体"/>
          <w:color w:val="auto"/>
          <w:sz w:val="24"/>
          <w:szCs w:val="24"/>
          <w:highlight w:val="none"/>
        </w:rPr>
        <w:t xml:space="preserve">货到，安装，验收合格后凭甲方出具的验收报告按甲方财务流程</w:t>
      </w:r>
      <w:r>
        <w:rPr>
          <w:rFonts w:hint="eastAsia" w:ascii="宋体" w:hAnsi="宋体" w:eastAsia="宋体" w:cs="宋体"/>
          <w:color w:val="auto"/>
          <w:sz w:val="24"/>
          <w:szCs w:val="24"/>
          <w:highlight w:val="none"/>
          <w:lang w:val="en-US" w:eastAsia="zh-CN"/>
        </w:rPr>
        <w:t xml:space="preserve">支付尾款60%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p>
      <w:pPr>
        <w:ind w:firstLine="480"/>
        <w:jc w:val="left"/>
        <w:spacing w:line="520" w:lineRule="exac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6.履约保证金：本项目履约保证金为成交价的10%（供应商自主选择以电汇、转账、支票、汇票、本票、保函、保证保险等非现金形式缴纳或提交），履约保证金在合同签订前缴纳至采购人指定账号，</w:t>
      </w:r>
      <w:r>
        <w:rPr>
          <w:rFonts w:hint="eastAsia" w:ascii="宋体" w:hAnsi="宋体" w:eastAsia="宋体" w:cs="宋体"/>
          <w:color w:val="auto"/>
          <w:sz w:val="24"/>
          <w:szCs w:val="24"/>
          <w:highlight w:val="none"/>
          <w:lang w:val="en-US" w:eastAsia="zh-CN" w:bidi="ar-SA"/>
        </w:rPr>
        <w:t xml:space="preserve">货物安装后1年且运行状态良好采购人无息退还合同总价4%的履约保证金，质保期满后采购人无息退还剩余履约保证金。</w:t>
      </w:r>
      <w:r/>
    </w:p>
    <w:p>
      <w:pPr>
        <w:pStyle w:val="1171"/>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如采用电子履约保函，则相关要求执行市财政局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44"/>
      <w:r/>
      <w:bookmarkEnd w:id="45"/>
      <w:r/>
      <w:r/>
    </w:p>
    <w:p>
      <w:pPr>
        <w:pStyle w:val="1007"/>
        <w:jc w:val="center"/>
        <w:spacing w:before="0" w:after="0" w:line="360" w:lineRule="auto"/>
        <w:rPr>
          <w:rFonts w:hint="eastAsia" w:ascii="宋体" w:hAnsi="宋体" w:eastAsia="宋体" w:cs="宋体"/>
          <w:color w:val="auto"/>
          <w:sz w:val="32"/>
          <w:szCs w:val="32"/>
          <w:highlight w:val="none"/>
        </w:rPr>
      </w:pPr>
      <w:r/>
      <w:bookmarkStart w:id="48" w:name="_Toc409438821"/>
      <w:r/>
      <w:bookmarkStart w:id="49" w:name="_Toc388026588"/>
      <w:r/>
      <w:bookmarkStart w:id="50" w:name="OLE_LINK32"/>
      <w:r>
        <w:rPr>
          <w:rFonts w:hint="eastAsia" w:ascii="宋体" w:hAnsi="宋体" w:eastAsia="宋体" w:cs="宋体"/>
          <w:color w:val="auto"/>
          <w:sz w:val="32"/>
          <w:szCs w:val="32"/>
          <w:highlight w:val="none"/>
        </w:rPr>
        <w:t xml:space="preserve">第四章  评标办法及标准</w:t>
      </w:r>
      <w:bookmarkEnd w:id="48"/>
      <w:r/>
      <w:bookmarkEnd w:id="49"/>
      <w:r/>
      <w:bookmarkEnd w:id="50"/>
      <w:r/>
      <w:r/>
    </w:p>
    <w:p>
      <w:pPr>
        <w:pStyle w:val="1076"/>
        <w:ind w:firstLine="480"/>
        <w:keepLines w:val="0"/>
        <w:keepNext w:val="0"/>
        <w:pageBreakBefore w:val="0"/>
        <w:spacing w:line="500" w:lineRule="exact"/>
        <w:widowControl w:val="off"/>
        <w:rPr>
          <w:rFonts w:hint="eastAsia" w:ascii="宋体" w:hAnsi="宋体" w:eastAsia="宋体" w:cs="宋体"/>
          <w:color w:val="auto"/>
          <w:sz w:val="24"/>
          <w:szCs w:val="18"/>
          <w:highlight w:val="none"/>
        </w:rPr>
      </w:pPr>
      <w:r>
        <w:rPr>
          <w:rFonts w:hint="eastAsia" w:ascii="宋体" w:hAnsi="宋体" w:eastAsia="宋体" w:cs="宋体"/>
          <w:color w:val="auto"/>
          <w:sz w:val="24"/>
          <w:szCs w:val="24"/>
          <w:highlight w:val="none"/>
        </w:rPr>
        <w:t xml:space="preserve">1.本次招标评标采用</w:t>
      </w:r>
      <w:r>
        <w:rPr>
          <w:rFonts w:hint="eastAsia" w:ascii="宋体" w:hAnsi="宋体" w:eastAsia="宋体" w:cs="宋体"/>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。即在满足招标文件实质性要求前提下，按照招标文件中规定的评分标准和各项因素进行综合评审后，以评标总得分最高的投标人作为中标候选供应商或中标人。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2.评标时，评标委员会成员按照招标文件规定的评分标准，独立对每个投标人的投标文件进行评价、打分。价格得分按相关规定的计算公式直接计算取得。评分过程中采用“四舍五入”法，并保留小数点后2位。</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3.评分标准：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（1）评标采用综合评分法。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（2）评标考虑的主要因素及其权值：详见评分细则。</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highlight w:val="none"/>
        </w:rPr>
        <w:t xml:space="preserve">关于异常低价的审查</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根据财库〔2026〕2号文《财政部关于推动解决政府采购异常低价问题的通知》：</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（1）政府采购评审中出现下列情形之一的，评审委员会应当启动异常低价投标（响应）审查程序：</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③投标（响应）报价低于采购项目最高限价45%的，即投标（响应）报价&lt;采购项目最高限价×45%；</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④评审委员会基于专业判断，认为供应商报价过低，有可能影响产品质量或者不能诚信履约的其他情形。</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99"/>
        <w:ind w:firstLine="480"/>
        <w:keepLines w:val="0"/>
        <w:keepNext w:val="0"/>
        <w:pageBreakBefore w:val="0"/>
        <w:spacing w:line="500" w:lineRule="exact"/>
        <w:widowControl w:val="off"/>
        <w:rPr>
          <w:rFonts w:hint="eastAsia" w:ascii="宋体" w:hAnsi="宋体" w:eastAsia="宋体" w:cs="宋体"/>
          <w:b/>
          <w:bCs/>
          <w:color w:val="auto"/>
          <w:sz w:val="24"/>
          <w:szCs w:val="28"/>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.评标委员会应根据各投标人的最终得分，按照从高到低的顺序进行排序。当投标人最终得分相同时，投标报价低者居前，如投标报价也相同，技术得分高者居前，如技术得分也相同，招标人可抽签确定中标人。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.确定中标候选人：根据各投标人的排序，评标委员会应在评标报告中推选前3名作为中标候选人。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确定中标人：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799"/>
        <w:ind w:firstLine="482"/>
        <w:spacing w:line="520" w:lineRule="exact"/>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pStyle w:val="790"/>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pStyle w:val="790"/>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pStyle w:val="799"/>
        <w:ind w:firstLine="482"/>
        <w:spacing w:line="520" w:lineRule="exact"/>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评分细则：</w:t>
      </w:r>
      <w:r/>
    </w:p>
    <w:tbl>
      <w:tblPr>
        <w:tblStyle w:val="787"/>
        <w:tblW w:w="9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142"/>
        <w:gridCol w:w="739"/>
        <w:gridCol w:w="6781"/>
      </w:tblGrid>
      <w:tr>
        <w:trPr>
          <w:jc w:val="center"/>
          <w:trHeight w:val="702"/>
        </w:trPr>
        <w:tc>
          <w:tcPr>
            <w:tcW w:w="686"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142"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w:t>
            </w:r>
            <w:r/>
          </w:p>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因素</w:t>
            </w:r>
            <w:r/>
          </w:p>
        </w:tc>
        <w:tc>
          <w:tcPr>
            <w:tcW w:w="739"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6781" w:type="dxa"/>
            <w:vAlign w:val="center"/>
            <w:textDirection w:val="lrTb"/>
            <w:noWrap w:val="false"/>
          </w:tcPr>
          <w:p>
            <w:pPr>
              <w:ind w:firstLine="480"/>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评分内容</w:t>
            </w:r>
            <w:r/>
          </w:p>
        </w:tc>
      </w:tr>
      <w:tr>
        <w:trPr>
          <w:jc w:val="center"/>
          <w:trHeight w:val="454"/>
        </w:trPr>
        <w:tc>
          <w:tcPr>
            <w:gridSpan w:val="4"/>
            <w:tcW w:w="9348" w:type="dxa"/>
            <w:vAlign w:val="center"/>
            <w:textDirection w:val="lrTb"/>
            <w:noWrap w:val="false"/>
          </w:tcPr>
          <w:p>
            <w:pPr>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一、报价评审（30分）</w:t>
            </w:r>
            <w:r/>
          </w:p>
        </w:tc>
      </w:tr>
      <w:tr>
        <w:trPr>
          <w:jc w:val="center"/>
          <w:trHeight w:val="1010"/>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142"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tcW w:w="739"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文件要求且</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报价最低的供应商的价格为</w:t>
            </w:r>
            <w:r>
              <w:rPr>
                <w:rFonts w:hint="eastAsia" w:ascii="宋体" w:hAnsi="宋体" w:eastAsia="宋体" w:cs="宋体"/>
                <w:color w:val="auto"/>
                <w:sz w:val="21"/>
                <w:szCs w:val="21"/>
                <w:highlight w:val="none"/>
                <w:lang w:val="en-US" w:eastAsia="zh-CN"/>
              </w:rPr>
              <w:t xml:space="preserve">评标</w:t>
            </w:r>
            <w:r>
              <w:rPr>
                <w:rFonts w:hint="eastAsia" w:ascii="宋体" w:hAnsi="宋体" w:eastAsia="宋体" w:cs="宋体"/>
                <w:color w:val="auto"/>
                <w:sz w:val="21"/>
                <w:szCs w:val="21"/>
                <w:highlight w:val="none"/>
              </w:rPr>
              <w:t xml:space="preserve">基准价，其价格分为满分30分。其他供应商的价格分统一按照下列公式计算：</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报价得分＝（</w:t>
            </w:r>
            <w:r>
              <w:rPr>
                <w:rFonts w:hint="eastAsia" w:ascii="宋体" w:hAnsi="宋体" w:eastAsia="宋体" w:cs="宋体"/>
                <w:color w:val="auto"/>
                <w:sz w:val="21"/>
                <w:szCs w:val="21"/>
                <w:highlight w:val="none"/>
                <w:lang w:val="en-US" w:eastAsia="zh-CN"/>
              </w:rPr>
              <w:t xml:space="preserve">评标</w:t>
            </w:r>
            <w:r>
              <w:rPr>
                <w:rFonts w:hint="eastAsia" w:ascii="宋体" w:hAnsi="宋体" w:eastAsia="宋体" w:cs="宋体"/>
                <w:color w:val="auto"/>
                <w:sz w:val="21"/>
                <w:szCs w:val="21"/>
                <w:highlight w:val="none"/>
              </w:rPr>
              <w:t xml:space="preserve">基准价/</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报价）×30分（保留两位小数，四舍五入）。</w:t>
            </w:r>
            <w:r/>
          </w:p>
        </w:tc>
      </w:tr>
      <w:tr>
        <w:trPr>
          <w:jc w:val="center"/>
          <w:trHeight w:val="477"/>
        </w:trPr>
        <w:tc>
          <w:tcPr>
            <w:gridSpan w:val="4"/>
            <w:tcW w:w="9348"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二、商务评审（</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r>
      <w:tr>
        <w:trPr>
          <w:jc w:val="center"/>
          <w:trHeight w:val="477"/>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114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业绩</w:t>
            </w:r>
            <w:r/>
          </w:p>
        </w:tc>
        <w:tc>
          <w:tcPr>
            <w:tcW w:w="739"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所投产品（同品牌同类型）自2022年1月1日至响应截止时间（以合同签订日期为准）有销售业绩。每提供1份业绩合同得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分，本项最多得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提供合同</w:t>
            </w:r>
            <w:r>
              <w:rPr>
                <w:rFonts w:hint="eastAsia" w:ascii="宋体" w:hAnsi="宋体" w:eastAsia="宋体" w:cs="宋体"/>
                <w:color w:val="auto"/>
                <w:sz w:val="21"/>
                <w:szCs w:val="21"/>
                <w:highlight w:val="none"/>
              </w:rPr>
              <w:t xml:space="preserve">扫描件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未提供或未按要求提供不得分。</w:t>
            </w:r>
            <w:r/>
          </w:p>
        </w:tc>
      </w:tr>
      <w:tr>
        <w:trPr>
          <w:jc w:val="center"/>
          <w:trHeight w:val="477"/>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W w:w="114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质保期</w:t>
            </w:r>
            <w:r/>
          </w:p>
        </w:tc>
        <w:tc>
          <w:tcPr>
            <w:tcW w:w="73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在采购文件要求的免费质保期（5年）的基础上，供应商承诺每增加1年免费质保期得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分。提供承诺书加盖公章，格式</w:t>
            </w:r>
            <w:r>
              <w:rPr>
                <w:rFonts w:hint="eastAsia" w:ascii="宋体" w:hAnsi="宋体" w:eastAsia="宋体" w:cs="宋体"/>
                <w:color w:val="auto"/>
                <w:sz w:val="21"/>
                <w:szCs w:val="21"/>
                <w:highlight w:val="none"/>
                <w:lang w:val="en-US" w:eastAsia="zh-CN"/>
              </w:rPr>
              <w:t xml:space="preserve">见附件</w:t>
            </w:r>
            <w:r>
              <w:rPr>
                <w:rFonts w:hint="eastAsia" w:ascii="宋体" w:hAnsi="宋体" w:eastAsia="宋体" w:cs="宋体"/>
                <w:color w:val="auto"/>
                <w:sz w:val="21"/>
                <w:szCs w:val="21"/>
                <w:highlight w:val="none"/>
              </w:rPr>
              <w:t xml:space="preserve">。</w:t>
            </w:r>
            <w:r/>
          </w:p>
        </w:tc>
      </w:tr>
      <w:tr>
        <w:trPr>
          <w:jc w:val="center"/>
          <w:trHeight w:val="895"/>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W w:w="114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维保费率</w:t>
            </w:r>
            <w:r/>
          </w:p>
        </w:tc>
        <w:tc>
          <w:tcPr>
            <w:tcW w:w="73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免费质保期</w:t>
            </w:r>
            <w:r>
              <w:rPr>
                <w:rFonts w:hint="eastAsia" w:ascii="宋体" w:hAnsi="宋体" w:eastAsia="宋体" w:cs="宋体"/>
                <w:color w:val="auto"/>
                <w:sz w:val="21"/>
                <w:szCs w:val="21"/>
                <w:highlight w:val="none"/>
                <w:lang w:val="en-US" w:eastAsia="zh-CN"/>
              </w:rPr>
              <w:t xml:space="preserve">后，设备的整机维保费率不得高于8%，7%得1分，6%得2分，5%得3分，本项最高得3分（以中标总价作为维保费率的结算基数）。</w:t>
            </w:r>
            <w:r/>
          </w:p>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提供承诺书加盖公章，格式</w:t>
            </w:r>
            <w:r>
              <w:rPr>
                <w:rFonts w:hint="eastAsia" w:ascii="宋体" w:hAnsi="宋体" w:eastAsia="宋体" w:cs="宋体"/>
                <w:color w:val="auto"/>
                <w:sz w:val="21"/>
                <w:szCs w:val="21"/>
                <w:highlight w:val="none"/>
                <w:lang w:val="en-US" w:eastAsia="zh-CN"/>
              </w:rPr>
              <w:t xml:space="preserve">见附件</w:t>
            </w:r>
            <w:r>
              <w:rPr>
                <w:rFonts w:hint="eastAsia" w:ascii="宋体" w:hAnsi="宋体" w:eastAsia="宋体" w:cs="宋体"/>
                <w:color w:val="auto"/>
                <w:sz w:val="21"/>
                <w:szCs w:val="21"/>
                <w:highlight w:val="none"/>
              </w:rPr>
              <w:t xml:space="preserve">。</w:t>
            </w:r>
            <w:r/>
          </w:p>
        </w:tc>
      </w:tr>
      <w:tr>
        <w:trPr>
          <w:jc w:val="center"/>
          <w:trHeight w:val="454"/>
        </w:trPr>
        <w:tc>
          <w:tcPr>
            <w:gridSpan w:val="4"/>
            <w:tcW w:w="9348"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三、技术评审（</w:t>
            </w:r>
            <w:r>
              <w:rPr>
                <w:rFonts w:hint="eastAsia" w:ascii="宋体" w:hAnsi="宋体" w:eastAsia="宋体" w:cs="宋体"/>
                <w:color w:val="auto"/>
                <w:sz w:val="21"/>
                <w:szCs w:val="21"/>
                <w:highlight w:val="none"/>
                <w:lang w:val="en-US" w:eastAsia="zh-CN"/>
              </w:rPr>
              <w:t xml:space="preserve">61</w:t>
            </w:r>
            <w:r>
              <w:rPr>
                <w:rFonts w:hint="eastAsia" w:ascii="宋体" w:hAnsi="宋体" w:eastAsia="宋体" w:cs="宋体"/>
                <w:color w:val="auto"/>
                <w:sz w:val="21"/>
                <w:szCs w:val="21"/>
                <w:highlight w:val="none"/>
              </w:rPr>
              <w:t xml:space="preserve">分）</w:t>
            </w:r>
            <w:r/>
          </w:p>
        </w:tc>
      </w:tr>
      <w:tr>
        <w:trPr>
          <w:jc w:val="center"/>
          <w:trHeight w:val="744"/>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1142" w:type="dxa"/>
            <w:vAlign w:val="center"/>
            <w:textDirection w:val="lrTb"/>
            <w:noWrap w:val="false"/>
          </w:tcPr>
          <w:p>
            <w:pPr>
              <w:jc w:val="center"/>
              <w:spacing w:line="24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技术参数响应</w:t>
            </w:r>
            <w:r/>
          </w:p>
        </w:tc>
        <w:tc>
          <w:tcPr>
            <w:tcW w:w="73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需求</w:t>
            </w:r>
            <w:r>
              <w:rPr>
                <w:rFonts w:hint="eastAsia" w:ascii="宋体" w:hAnsi="宋体" w:eastAsia="宋体" w:cs="宋体"/>
                <w:color w:val="auto"/>
                <w:sz w:val="21"/>
                <w:szCs w:val="21"/>
                <w:highlight w:val="none"/>
              </w:rPr>
              <w:t xml:space="preserve">中，加★项为核心条款，存在负偏离的视为无效响应文件；加▲的参数负偏离的扣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分；未加★</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▲项的参数，有一项负偏离的扣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最多扣40</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上述技术参数响应须提供《</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及商务响应偏离表》及相应证明材料（包括制造商盖章的技术白皮书、Data Sheet、国家承认的第三方机构出具的检测报告、厂家公开发行的宣传彩页、音视频截图等）。供应商提供的证明材料不能证明符合技术参数要求的视为负偏离。</w:t>
            </w:r>
            <w:r/>
          </w:p>
        </w:tc>
      </w:tr>
      <w:tr>
        <w:trPr>
          <w:jc w:val="center"/>
          <w:trHeight w:val="416"/>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W w:w="1142"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项目供货建设方案</w:t>
            </w:r>
            <w:r/>
          </w:p>
        </w:tc>
        <w:tc>
          <w:tcPr>
            <w:tcW w:w="73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根据供应商提供的供货方案、保护措施、供货周期、安装调试等各项内容的科学性、合理性、可行性进行综合评审。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（1）科学性、合理性、可行性强的，得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（2）科学性、合理性、可行性一般的，得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（3）科学性、合理性、可行性差的，得1分；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（4）不提供不得分。</w:t>
            </w:r>
            <w:r/>
          </w:p>
        </w:tc>
      </w:tr>
      <w:tr>
        <w:trPr>
          <w:jc w:val="center"/>
          <w:trHeight w:val="90"/>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W w:w="1142"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质量保证措施</w:t>
            </w:r>
            <w:r/>
          </w:p>
        </w:tc>
        <w:tc>
          <w:tcPr>
            <w:tcW w:w="73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根据供应商提供的产品质量保证措施的科学性、合理性、可行性进行综合评审，酌情评定。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（1）科学性、合理性、可行性强的，得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（2）科学性、合理性、可行性一般的，得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（3）科学性、合理性、可行性差的，得1分；</w:t>
            </w:r>
            <w:r/>
          </w:p>
          <w:p>
            <w:pPr>
              <w:spacing w:line="400" w:lineRule="exact"/>
              <w:rPr>
                <w:rFonts w:hint="eastAsia"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rPr>
              <w:t xml:space="preserve">（4）不提供不得分。</w:t>
            </w:r>
            <w:r/>
          </w:p>
        </w:tc>
      </w:tr>
      <w:tr>
        <w:trPr>
          <w:jc w:val="center"/>
          <w:trHeight w:val="703"/>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W w:w="1142"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售后服务方案</w:t>
            </w:r>
            <w:r/>
          </w:p>
        </w:tc>
        <w:tc>
          <w:tcPr>
            <w:tcW w:w="73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根据供应商提供的售后服务方案（售后服务方案包括售后服务网点、易损配件储备及易损配件价格、技术支持等内容）的完整性，可实施性进行综合评审，酌情评定。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（1）完整性，可实施性强的，得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（2）完整性，可实施性一般的，得4分；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（3）完整性，可实施性差的，得1分；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（4）不提供不得分。</w:t>
            </w:r>
            <w:r/>
          </w:p>
        </w:tc>
      </w:tr>
      <w:tr>
        <w:trPr>
          <w:jc w:val="center"/>
          <w:trHeight w:val="703"/>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W w:w="1142"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培训方案</w:t>
            </w:r>
            <w:r/>
          </w:p>
        </w:tc>
        <w:tc>
          <w:tcPr>
            <w:tcW w:w="73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培训方案（培训方案包括：培训人员数量及资质，培训时间与次数，培训课程全面性与合理性，培训团队资质与实力，培训计划完整性与合理性等内容）的完整性、清晰性、合理性进行评审，酌情评定。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（1）完整性、清晰性、合理性强的，得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（2）完整性、清晰性、合理性一般的，得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（3）完整性、清晰性、合理性差的，得1分；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（4）不提供不得分。</w:t>
            </w:r>
            <w:r/>
          </w:p>
        </w:tc>
      </w:tr>
    </w:tbl>
    <w:p>
      <w:pPr>
        <w:ind w:firstLine="480"/>
        <w:keepLines w:val="0"/>
        <w:keepNext w:val="0"/>
        <w:pageBreakBefore w:val="0"/>
        <w:spacing w:line="420" w:lineRule="exact"/>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注：1.以上评分标准中每一条，各供应商均应提供相关的资料并作出相应的对比供评分评判。</w:t>
      </w:r>
      <w:r/>
    </w:p>
    <w:p>
      <w:pPr>
        <w:ind w:firstLine="480"/>
        <w:keepLines w:val="0"/>
        <w:keepNext w:val="0"/>
        <w:pageBreakBefore w:val="0"/>
        <w:spacing w:line="420" w:lineRule="exact"/>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2.</w:t>
      </w:r>
      <w:r>
        <w:rPr>
          <w:rFonts w:hint="eastAsia" w:ascii="宋体" w:hAnsi="宋体" w:eastAsia="宋体" w:cs="宋体"/>
          <w:b w:val="0"/>
          <w:bCs w:val="0"/>
          <w:color w:val="auto"/>
          <w:sz w:val="24"/>
          <w:szCs w:val="28"/>
          <w:highlight w:val="none"/>
          <w:lang w:val="en-US" w:eastAsia="zh-CN"/>
        </w:rPr>
        <w:t xml:space="preserve">投标</w:t>
      </w:r>
      <w:r>
        <w:rPr>
          <w:rFonts w:hint="eastAsia" w:ascii="宋体" w:hAnsi="宋体" w:eastAsia="宋体" w:cs="宋体"/>
          <w:b w:val="0"/>
          <w:bCs w:val="0"/>
          <w:color w:val="auto"/>
          <w:sz w:val="24"/>
          <w:szCs w:val="28"/>
          <w:highlight w:val="none"/>
        </w:rPr>
        <w:t xml:space="preserve">文件中如出现前后不一致时，</w:t>
      </w:r>
      <w:r>
        <w:rPr>
          <w:rFonts w:hint="eastAsia" w:ascii="宋体" w:hAnsi="宋体" w:eastAsia="宋体" w:cs="宋体"/>
          <w:color w:val="auto"/>
          <w:sz w:val="24"/>
          <w:szCs w:val="24"/>
          <w:highlight w:val="none"/>
        </w:rPr>
        <w:t xml:space="preserve">评标委员会</w:t>
      </w:r>
      <w:r>
        <w:rPr>
          <w:rFonts w:hint="eastAsia" w:ascii="宋体" w:hAnsi="宋体" w:eastAsia="宋体" w:cs="宋体"/>
          <w:b w:val="0"/>
          <w:bCs w:val="0"/>
          <w:color w:val="auto"/>
          <w:sz w:val="24"/>
          <w:szCs w:val="28"/>
          <w:highlight w:val="none"/>
        </w:rPr>
        <w:t xml:space="preserve">有权请供应商澄清说明，澄清说明事项涉及评分时，该项不得分。</w:t>
      </w:r>
      <w:r/>
    </w:p>
    <w:p>
      <w:pPr>
        <w:ind w:firstLine="480"/>
        <w:keepLines w:val="0"/>
        <w:keepNext w:val="0"/>
        <w:pageBreakBefore w:val="0"/>
        <w:spacing w:line="420" w:lineRule="exact"/>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3.供应商承诺所提供的商务、技术、业绩资料全部真实，如有伪造，视作供应商自动放弃投标及</w:t>
      </w:r>
      <w:r>
        <w:rPr>
          <w:rFonts w:hint="eastAsia" w:ascii="宋体" w:hAnsi="宋体" w:eastAsia="宋体" w:cs="宋体"/>
          <w:b w:val="0"/>
          <w:bCs w:val="0"/>
          <w:color w:val="auto"/>
          <w:sz w:val="24"/>
          <w:szCs w:val="28"/>
          <w:highlight w:val="none"/>
          <w:lang w:val="en-US" w:eastAsia="zh-CN"/>
        </w:rPr>
        <w:t xml:space="preserve">中标</w:t>
      </w:r>
      <w:r>
        <w:rPr>
          <w:rFonts w:hint="eastAsia" w:ascii="宋体" w:hAnsi="宋体" w:eastAsia="宋体" w:cs="宋体"/>
          <w:b w:val="0"/>
          <w:bCs w:val="0"/>
          <w:color w:val="auto"/>
          <w:sz w:val="24"/>
          <w:szCs w:val="28"/>
          <w:highlight w:val="none"/>
        </w:rPr>
        <w:t xml:space="preserve">资格，并视作供应商自愿接受相关处罚。</w:t>
      </w:r>
      <w:r/>
    </w:p>
    <w:p>
      <w:pPr>
        <w:ind w:firstLine="480"/>
        <w:keepLines w:val="0"/>
        <w:keepNext w:val="0"/>
        <w:pageBreakBefore w:val="0"/>
        <w:spacing w:line="420" w:lineRule="exact"/>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4.</w:t>
      </w:r>
      <w:r>
        <w:rPr>
          <w:rFonts w:hint="eastAsia" w:ascii="宋体" w:hAnsi="宋体" w:eastAsia="宋体" w:cs="宋体"/>
          <w:b w:val="0"/>
          <w:bCs w:val="0"/>
          <w:color w:val="auto"/>
          <w:sz w:val="24"/>
          <w:szCs w:val="28"/>
          <w:highlight w:val="none"/>
          <w:lang w:val="en-US" w:eastAsia="zh-CN"/>
        </w:rPr>
        <w:t xml:space="preserve">投标</w:t>
      </w:r>
      <w:r>
        <w:rPr>
          <w:rFonts w:hint="eastAsia" w:ascii="宋体" w:hAnsi="宋体" w:eastAsia="宋体" w:cs="宋体"/>
          <w:b w:val="0"/>
          <w:bCs w:val="0"/>
          <w:color w:val="auto"/>
          <w:sz w:val="24"/>
          <w:szCs w:val="28"/>
          <w:highlight w:val="none"/>
        </w:rPr>
        <w:t xml:space="preserve">报价超过最高限价的，不得进入评标程序。</w:t>
      </w:r>
      <w:r/>
    </w:p>
    <w:p>
      <w:pPr>
        <w:ind w:firstLine="480"/>
        <w:keepLines w:val="0"/>
        <w:keepNext w:val="0"/>
        <w:pageBreakBefore w:val="0"/>
        <w:spacing w:line="420" w:lineRule="exact"/>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 xml:space="preserve">5</w:t>
      </w:r>
      <w:r>
        <w:rPr>
          <w:rFonts w:hint="eastAsia" w:ascii="宋体" w:hAnsi="宋体" w:eastAsia="宋体" w:cs="宋体"/>
          <w:b w:val="0"/>
          <w:bCs w:val="0"/>
          <w:color w:val="auto"/>
          <w:sz w:val="24"/>
          <w:szCs w:val="28"/>
          <w:highlight w:val="none"/>
        </w:rPr>
        <w:t xml:space="preserve">.供应商应根据国家政策调整规律进行报价，充分考虑服务期内的市场因素和成本变化状况的风险。</w:t>
      </w:r>
      <w:r/>
    </w:p>
    <w:p>
      <w:pPr>
        <w:ind w:firstLine="480"/>
        <w:keepLines w:val="0"/>
        <w:keepNext w:val="0"/>
        <w:pageBreakBefore w:val="0"/>
        <w:spacing w:line="420" w:lineRule="exact"/>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 xml:space="preserve">6</w:t>
      </w:r>
      <w:r>
        <w:rPr>
          <w:rFonts w:hint="eastAsia" w:ascii="宋体" w:hAnsi="宋体" w:eastAsia="宋体" w:cs="宋体"/>
          <w:b w:val="0"/>
          <w:bCs w:val="0"/>
          <w:color w:val="auto"/>
          <w:sz w:val="24"/>
          <w:szCs w:val="28"/>
          <w:highlight w:val="none"/>
        </w:rPr>
        <w:t xml:space="preserve">.响应供应商应认真进行现场勘察工作，场地现状及限制性因素由响应供应商向采购人查询并自行勘察核实，供应商的响应行为视为已充分调查、了解、核实场地现状，并同意接受准备履约合同。</w:t>
      </w:r>
      <w:r/>
    </w:p>
    <w:p>
      <w:pPr>
        <w:ind w:firstLine="480"/>
        <w:keepLines w:val="0"/>
        <w:keepNext w:val="0"/>
        <w:pageBreakBefore w:val="0"/>
        <w:spacing w:line="420" w:lineRule="exact"/>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 xml:space="preserve">7</w:t>
      </w:r>
      <w:r>
        <w:rPr>
          <w:rFonts w:hint="eastAsia" w:ascii="宋体" w:hAnsi="宋体" w:eastAsia="宋体" w:cs="宋体"/>
          <w:b w:val="0"/>
          <w:bCs w:val="0"/>
          <w:color w:val="auto"/>
          <w:sz w:val="24"/>
          <w:szCs w:val="28"/>
          <w:highlight w:val="none"/>
        </w:rPr>
        <w:t xml:space="preserve">.本办法未尽事宜，由</w:t>
      </w:r>
      <w:r>
        <w:rPr>
          <w:rFonts w:hint="eastAsia" w:ascii="宋体" w:hAnsi="宋体" w:eastAsia="宋体" w:cs="宋体"/>
          <w:color w:val="auto"/>
          <w:sz w:val="24"/>
          <w:szCs w:val="24"/>
          <w:highlight w:val="none"/>
        </w:rPr>
        <w:t xml:space="preserve">评标委员会</w:t>
      </w:r>
      <w:r>
        <w:rPr>
          <w:rFonts w:hint="eastAsia" w:ascii="宋体" w:hAnsi="宋体" w:eastAsia="宋体" w:cs="宋体"/>
          <w:b w:val="0"/>
          <w:bCs w:val="0"/>
          <w:color w:val="auto"/>
          <w:sz w:val="24"/>
          <w:szCs w:val="28"/>
          <w:highlight w:val="none"/>
        </w:rPr>
        <w:t xml:space="preserve">依据有关法规研究解决。</w:t>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第五章 合同条款</w:t>
      </w:r>
      <w:r/>
    </w:p>
    <w:p>
      <w:pPr>
        <w:pStyle w:val="1008"/>
        <w:jc w:val="center"/>
        <w:rPr>
          <w:rFonts w:hint="eastAsia" w:ascii="宋体" w:hAnsi="宋体" w:eastAsia="宋体" w:cs="宋体"/>
          <w:b w:val="0"/>
          <w:bCs/>
          <w:color w:val="auto"/>
          <w:sz w:val="21"/>
          <w:szCs w:val="21"/>
          <w:highlight w:val="none"/>
        </w:rPr>
      </w:pPr>
      <w:r/>
      <w:bookmarkStart w:id="51" w:name="_Toc518041191"/>
      <w:r/>
      <w:bookmarkStart w:id="52" w:name="_Toc434410155"/>
      <w:r>
        <w:rPr>
          <w:rFonts w:hint="eastAsia" w:ascii="宋体" w:hAnsi="宋体" w:eastAsia="宋体" w:cs="宋体"/>
          <w:b w:val="0"/>
          <w:bCs/>
          <w:color w:val="auto"/>
          <w:sz w:val="21"/>
          <w:szCs w:val="21"/>
          <w:highlight w:val="none"/>
        </w:rPr>
        <w:t xml:space="preserve">（以实际签订合同为准 合同的签订内容以采购文件的具体内容为准）</w:t>
      </w:r>
      <w:bookmarkEnd w:id="51"/>
      <w:r/>
      <w:bookmarkEnd w:id="52"/>
      <w:r/>
      <w:r/>
    </w:p>
    <w:p>
      <w:pPr>
        <w:jc w:val="center"/>
        <w:keepLines w:val="0"/>
        <w:keepNext w:val="0"/>
        <w:pageBreakBefore w:val="0"/>
        <w:spacing w:line="360" w:lineRule="auto"/>
        <w:widowControl/>
        <w:rPr>
          <w:rFonts w:hint="eastAsia" w:ascii="宋体" w:hAnsi="宋体" w:eastAsia="宋体" w:cs="宋体"/>
          <w:b/>
          <w:color w:val="auto"/>
          <w:sz w:val="36"/>
          <w:szCs w:val="36"/>
          <w:highlight w:val="none"/>
          <w:vertAlign w:val="superscript"/>
          <w:lang w:eastAsia="zh-CN"/>
        </w:rPr>
        <w:suppressLineNumbers w:val="0"/>
      </w:pPr>
      <w:r/>
      <w:bookmarkStart w:id="53" w:name="hetongStart"/>
      <w:r/>
      <w:bookmarkEnd w:id="53"/>
      <w:r>
        <w:rPr>
          <w:rFonts w:hint="eastAsia" w:ascii="宋体" w:hAnsi="宋体" w:eastAsia="宋体" w:cs="宋体"/>
          <w:b/>
          <w:color w:val="auto"/>
          <w:sz w:val="30"/>
          <w:szCs w:val="30"/>
          <w:highlight w:val="none"/>
          <w:lang w:val="en-US" w:eastAsia="zh-CN"/>
        </w:rPr>
        <w:t xml:space="preserve">XX</w:t>
      </w:r>
      <w:r>
        <w:rPr>
          <w:rFonts w:hint="eastAsia" w:ascii="宋体" w:hAnsi="宋体" w:eastAsia="宋体" w:cs="宋体"/>
          <w:b/>
          <w:color w:val="auto"/>
          <w:sz w:val="30"/>
          <w:szCs w:val="30"/>
          <w:highlight w:val="none"/>
        </w:rPr>
        <w:t xml:space="preserve">采购合同</w:t>
      </w:r>
      <w:r>
        <w:rPr>
          <w:rFonts w:hint="eastAsia" w:ascii="宋体" w:hAnsi="宋体" w:eastAsia="宋体" w:cs="宋体"/>
          <w:b/>
          <w:color w:val="auto"/>
          <w:sz w:val="30"/>
          <w:szCs w:val="30"/>
          <w:highlight w:val="none"/>
          <w:lang w:eastAsia="zh-CN"/>
        </w:rPr>
        <w:t xml:space="preserve">（</w:t>
      </w:r>
      <w:r>
        <w:rPr>
          <w:rFonts w:hint="eastAsia" w:ascii="宋体" w:hAnsi="宋体" w:eastAsia="宋体" w:cs="宋体"/>
          <w:b/>
          <w:color w:val="auto"/>
          <w:sz w:val="30"/>
          <w:szCs w:val="30"/>
          <w:highlight w:val="none"/>
          <w:lang w:val="en-US" w:eastAsia="zh-CN"/>
        </w:rPr>
        <w:t xml:space="preserve">采购包</w:t>
      </w:r>
      <w:r>
        <w:rPr>
          <w:rFonts w:hint="eastAsia" w:ascii="宋体" w:hAnsi="宋体" w:eastAsia="宋体" w:cs="宋体"/>
          <w:b/>
          <w:color w:val="auto"/>
          <w:sz w:val="30"/>
          <w:szCs w:val="30"/>
          <w:highlight w:val="none"/>
          <w:u w:val="single"/>
          <w:lang w:val="en-US" w:eastAsia="zh-CN"/>
        </w:rPr>
        <w:t xml:space="preserve">   </w:t>
      </w:r>
      <w:r>
        <w:rPr>
          <w:rFonts w:hint="eastAsia" w:ascii="宋体" w:hAnsi="宋体" w:eastAsia="宋体" w:cs="宋体"/>
          <w:b/>
          <w:color w:val="auto"/>
          <w:sz w:val="30"/>
          <w:szCs w:val="30"/>
          <w:highlight w:val="none"/>
          <w:lang w:eastAsia="zh-CN"/>
        </w:rPr>
        <w:t xml:space="preserve">）</w:t>
      </w:r>
      <w:r/>
    </w:p>
    <w:p>
      <w:pPr>
        <w:ind w:left="0"/>
        <w:jc w:val="both"/>
        <w:keepLines w:val="0"/>
        <w:keepNext w:val="0"/>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甲方：泰州市人民医院</w:t>
      </w:r>
      <w:r/>
    </w:p>
    <w:p>
      <w:pPr>
        <w:ind w:left="0"/>
        <w:jc w:val="both"/>
        <w:keepLines w:val="0"/>
        <w:keepNext w:val="0"/>
        <w:pageBreakBefore w:val="0"/>
        <w:spacing w:line="520" w:lineRule="exact"/>
        <w:widowControl/>
        <w:rPr>
          <w:rFonts w:hint="eastAsia" w:ascii="宋体" w:hAnsi="宋体" w:eastAsia="宋体" w:cs="宋体"/>
          <w:b/>
          <w:color w:val="auto"/>
          <w:sz w:val="24"/>
          <w:szCs w:val="24"/>
          <w:highlight w:val="none"/>
          <w:lang w:val="en-US" w:eastAsia="zh-CN"/>
        </w:rPr>
        <w:suppressLineNumbers w:val="0"/>
      </w:pPr>
      <w:r>
        <w:rPr>
          <w:rFonts w:hint="eastAsia" w:ascii="宋体" w:hAnsi="宋体" w:eastAsia="宋体" w:cs="宋体"/>
          <w:b/>
          <w:bCs/>
          <w:color w:val="auto"/>
          <w:sz w:val="24"/>
          <w:szCs w:val="24"/>
          <w:highlight w:val="none"/>
        </w:rPr>
        <w:t xml:space="preserve">乙方：</w:t>
      </w:r>
      <w:r>
        <w:rPr>
          <w:rFonts w:hint="eastAsia" w:ascii="宋体" w:hAnsi="宋体" w:eastAsia="宋体" w:cs="宋体"/>
          <w:b/>
          <w:color w:val="auto"/>
          <w:sz w:val="24"/>
          <w:szCs w:val="24"/>
          <w:highlight w:val="none"/>
          <w:lang w:val="en-US" w:eastAsia="zh-CN"/>
        </w:rPr>
        <w:t xml:space="preserve">XX有限公司</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经甲、乙双方友好协商，就乙方销售给甲方设备，双方达成如下协议：</w:t>
      </w:r>
      <w:r/>
    </w:p>
    <w:p>
      <w:pPr>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rPr>
        <w:t xml:space="preserve">合同主要信息</w:t>
      </w:r>
      <w:r/>
    </w:p>
    <w:tbl>
      <w:tblPr>
        <w:tblStyle w:val="787"/>
        <w:tblW w:w="9050"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8"/>
        <w:gridCol w:w="1920"/>
        <w:gridCol w:w="1175"/>
        <w:gridCol w:w="813"/>
        <w:gridCol w:w="1355"/>
        <w:gridCol w:w="1247"/>
        <w:gridCol w:w="942"/>
      </w:tblGrid>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招标编号</w:t>
            </w:r>
            <w:r/>
          </w:p>
        </w:tc>
        <w:tc>
          <w:tcPr>
            <w:gridSpan w:val="6"/>
            <w:tcMar>
              <w:left w:w="-1" w:type="dxa"/>
              <w:top w:w="-1" w:type="dxa"/>
              <w:right w:w="-1" w:type="dxa"/>
              <w:bottom w:w="-1" w:type="dxa"/>
            </w:tcMar>
            <w:tcW w:w="745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XXXXXX</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设备名称</w:t>
            </w:r>
            <w:r/>
          </w:p>
        </w:tc>
        <w:tc>
          <w:tcPr>
            <w:tcMar>
              <w:left w:w="-1" w:type="dxa"/>
              <w:top w:w="-1" w:type="dxa"/>
              <w:right w:w="-1" w:type="dxa"/>
              <w:bottom w:w="-1" w:type="dxa"/>
            </w:tcMar>
            <w:tcW w:w="192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生产厂家</w:t>
            </w:r>
            <w:r/>
          </w:p>
        </w:tc>
        <w:tc>
          <w:tcPr>
            <w:tcMar>
              <w:left w:w="-1" w:type="dxa"/>
              <w:top w:w="-1" w:type="dxa"/>
              <w:right w:w="-1" w:type="dxa"/>
              <w:bottom w:w="-1" w:type="dxa"/>
            </w:tcMar>
            <w:tcW w:w="117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规格型号</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Mar>
              <w:left w:w="-1" w:type="dxa"/>
              <w:top w:w="-1" w:type="dxa"/>
              <w:right w:w="-1" w:type="dxa"/>
              <w:bottom w:w="-1" w:type="dxa"/>
            </w:tcMar>
            <w:tcW w:w="135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单价（元）</w:t>
            </w:r>
            <w:r/>
          </w:p>
        </w:tc>
        <w:tc>
          <w:tcPr>
            <w:tcMar>
              <w:left w:w="-1" w:type="dxa"/>
              <w:top w:w="-1" w:type="dxa"/>
              <w:right w:w="-1" w:type="dxa"/>
              <w:bottom w:w="-1" w:type="dxa"/>
            </w:tcMar>
            <w:tcW w:w="1247"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 xml:space="preserve">总</w:t>
            </w:r>
            <w:r>
              <w:rPr>
                <w:rFonts w:hint="eastAsia" w:ascii="宋体" w:hAnsi="宋体" w:eastAsia="宋体" w:cs="宋体"/>
                <w:b/>
                <w:bCs/>
                <w:color w:val="auto"/>
                <w:sz w:val="21"/>
                <w:szCs w:val="21"/>
                <w:highlight w:val="none"/>
                <w:lang w:val="en-US" w:eastAsia="zh-CN"/>
              </w:rPr>
              <w:t xml:space="preserve">价</w:t>
            </w:r>
            <w:r>
              <w:rPr>
                <w:rFonts w:hint="eastAsia" w:ascii="宋体" w:hAnsi="宋体" w:eastAsia="宋体" w:cs="宋体"/>
                <w:b/>
                <w:bCs/>
                <w:color w:val="auto"/>
                <w:sz w:val="21"/>
                <w:szCs w:val="21"/>
                <w:highlight w:val="none"/>
              </w:rPr>
              <w:t xml:space="preserve">（元）</w:t>
            </w:r>
            <w:r/>
          </w:p>
        </w:tc>
        <w:tc>
          <w:tcPr>
            <w:tcMar>
              <w:left w:w="-1" w:type="dxa"/>
              <w:top w:w="-1" w:type="dxa"/>
              <w:right w:w="-1" w:type="dxa"/>
              <w:bottom w:w="-1" w:type="dxa"/>
            </w:tcMar>
            <w:tcW w:w="942"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质保期</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w:t>
            </w:r>
            <w:r/>
          </w:p>
        </w:tc>
        <w:tc>
          <w:tcPr>
            <w:tcMar>
              <w:left w:w="-1" w:type="dxa"/>
              <w:top w:w="-1" w:type="dxa"/>
              <w:right w:w="-1" w:type="dxa"/>
              <w:bottom w:w="-1" w:type="dxa"/>
            </w:tcMar>
            <w:tcW w:w="19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XXX</w:t>
            </w:r>
            <w:r/>
          </w:p>
        </w:tc>
        <w:tc>
          <w:tcPr>
            <w:tcMar>
              <w:left w:w="-1" w:type="dxa"/>
              <w:top w:w="-1" w:type="dxa"/>
              <w:right w:w="-1" w:type="dxa"/>
              <w:bottom w:w="-1" w:type="dxa"/>
            </w:tcMar>
            <w:tcW w:w="11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w:t>
            </w:r>
            <w:r/>
          </w:p>
        </w:tc>
        <w:tc>
          <w:tcPr>
            <w:tcMar>
              <w:left w:w="-1" w:type="dxa"/>
              <w:top w:w="-1" w:type="dxa"/>
              <w:right w:w="-1" w:type="dxa"/>
              <w:bottom w:w="-1" w:type="dxa"/>
            </w:tcMar>
            <w:tcW w:w="13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Mar>
              <w:left w:w="-1" w:type="dxa"/>
              <w:top w:w="-1" w:type="dxa"/>
              <w:right w:w="-1" w:type="dxa"/>
              <w:bottom w:w="-1" w:type="dxa"/>
            </w:tcMar>
            <w:tcW w:w="12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Mar>
              <w:left w:w="-1" w:type="dxa"/>
              <w:top w:w="-1" w:type="dxa"/>
              <w:right w:w="-1" w:type="dxa"/>
              <w:bottom w:w="-1" w:type="dxa"/>
            </w:tcMar>
            <w:tcW w:w="9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X年</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总计（大写）</w:t>
            </w:r>
            <w:r/>
          </w:p>
        </w:tc>
        <w:tc>
          <w:tcPr>
            <w:gridSpan w:val="2"/>
            <w:tcMar>
              <w:left w:w="-1" w:type="dxa"/>
              <w:top w:w="-1" w:type="dxa"/>
              <w:right w:w="-1" w:type="dxa"/>
              <w:bottom w:w="-1" w:type="dxa"/>
            </w:tcMar>
            <w:tcW w:w="30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小写</w:t>
            </w:r>
            <w:r/>
          </w:p>
        </w:tc>
        <w:tc>
          <w:tcPr>
            <w:gridSpan w:val="3"/>
            <w:tcMar>
              <w:left w:w="-1" w:type="dxa"/>
              <w:top w:w="-1" w:type="dxa"/>
              <w:right w:w="-1" w:type="dxa"/>
              <w:bottom w:w="-1" w:type="dxa"/>
            </w:tcMar>
            <w:tcW w:w="3544"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乙方</w:t>
            </w:r>
            <w:r>
              <w:rPr>
                <w:rFonts w:hint="eastAsia" w:ascii="宋体" w:hAnsi="宋体" w:eastAsia="宋体" w:cs="宋体"/>
                <w:b/>
                <w:bCs/>
                <w:color w:val="auto"/>
                <w:sz w:val="21"/>
                <w:szCs w:val="21"/>
                <w:highlight w:val="none"/>
              </w:rPr>
              <w:t xml:space="preserve">开户行</w:t>
            </w:r>
            <w:r/>
          </w:p>
        </w:tc>
        <w:tc>
          <w:tcPr>
            <w:gridSpan w:val="2"/>
            <w:tcMar>
              <w:left w:w="-1" w:type="dxa"/>
              <w:top w:w="-1" w:type="dxa"/>
              <w:right w:w="-1" w:type="dxa"/>
              <w:bottom w:w="-1" w:type="dxa"/>
            </w:tcMar>
            <w:tcW w:w="30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XXXXXXXXXXX</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账</w:t>
            </w:r>
            <w:r>
              <w:rPr>
                <w:rFonts w:hint="eastAsia" w:ascii="宋体" w:hAnsi="宋体" w:eastAsia="宋体" w:cs="宋体"/>
                <w:b/>
                <w:bCs/>
                <w:color w:val="auto"/>
                <w:sz w:val="21"/>
                <w:szCs w:val="21"/>
                <w:highlight w:val="none"/>
              </w:rPr>
              <w:t xml:space="preserve">号</w:t>
            </w:r>
            <w:r/>
          </w:p>
        </w:tc>
        <w:tc>
          <w:tcPr>
            <w:gridSpan w:val="3"/>
            <w:tcMar>
              <w:left w:w="-1" w:type="dxa"/>
              <w:top w:w="-1" w:type="dxa"/>
              <w:right w:w="-1" w:type="dxa"/>
              <w:bottom w:w="-1" w:type="dxa"/>
            </w:tcMar>
            <w:tcW w:w="3544"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XXXXXXXXXXX</w:t>
            </w:r>
            <w:r/>
          </w:p>
        </w:tc>
      </w:tr>
      <w:tr>
        <w:trPr>
          <w:jc w:val="center"/>
          <w:trHeight w:val="87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付款方式</w:t>
            </w:r>
            <w:r/>
          </w:p>
        </w:tc>
        <w:tc>
          <w:tcPr>
            <w:gridSpan w:val="6"/>
            <w:tcMar>
              <w:left w:w="-1" w:type="dxa"/>
              <w:top w:w="-1" w:type="dxa"/>
              <w:right w:w="-1" w:type="dxa"/>
              <w:bottom w:w="-1" w:type="dxa"/>
            </w:tcMar>
            <w:tcW w:w="745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合同签订后付合同价的40%，货到，安装，验收合格后凭甲方出具的验收报告按甲方财务流程支付尾款60%。</w:t>
            </w:r>
            <w:r/>
          </w:p>
        </w:tc>
      </w:tr>
    </w:tbl>
    <w:p>
      <w:pPr>
        <w:pStyle w:val="1208"/>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rPr>
        <w:t xml:space="preserve">发票与付款前提</w:t>
      </w:r>
      <w:r>
        <w:rPr>
          <w:rFonts w:hint="eastAsia" w:ascii="宋体" w:hAnsi="宋体" w:eastAsia="宋体" w:cs="宋体"/>
          <w:color w:val="auto"/>
          <w:sz w:val="24"/>
          <w:szCs w:val="24"/>
          <w:highlight w:val="none"/>
        </w:rPr>
        <w:t xml:space="preserve">：乙方应在设备验收合格后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天内，向甲方出具与合同及验收报告内容完全一致、不得分拆的等额增值税普通发票。甲方收到合法有效发票及验收报告等文件后方启动付款流程，因乙方延迟或发票问题导致的一切损失由乙方承担，甲方有权暂停支付未付款项</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、交货期及交货地点：合同签署</w:t>
      </w:r>
      <w:r>
        <w:rPr>
          <w:rFonts w:hint="eastAsia" w:ascii="宋体" w:hAnsi="宋体" w:eastAsia="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接到采购人通知后</w:t>
      </w:r>
      <w:r>
        <w:rPr>
          <w:rFonts w:hint="eastAsia" w:ascii="宋体" w:hAnsi="宋体" w:eastAsia="宋体" w:cs="宋体"/>
          <w:color w:val="auto"/>
          <w:sz w:val="24"/>
          <w:szCs w:val="24"/>
          <w:highlight w:val="none"/>
          <w:lang w:val="en-US" w:eastAsia="zh-CN"/>
        </w:rPr>
        <w:t xml:space="preserve">30天之</w:t>
      </w:r>
      <w:r>
        <w:rPr>
          <w:rFonts w:hint="eastAsia" w:ascii="宋体" w:hAnsi="宋体" w:eastAsia="宋体" w:cs="宋体"/>
          <w:color w:val="auto"/>
          <w:sz w:val="24"/>
          <w:szCs w:val="24"/>
          <w:highlight w:val="none"/>
        </w:rPr>
        <w:t xml:space="preserve">内货物运抵甲方指定</w:t>
      </w:r>
      <w:r>
        <w:rPr>
          <w:rFonts w:hint="eastAsia" w:ascii="宋体" w:hAnsi="宋体" w:eastAsia="宋体" w:cs="宋体"/>
          <w:color w:val="auto"/>
          <w:sz w:val="24"/>
          <w:szCs w:val="24"/>
          <w:highlight w:val="none"/>
          <w:lang w:val="en-US" w:eastAsia="zh-CN"/>
        </w:rPr>
        <w:t xml:space="preserve">的医院机房</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、乙方保证所供设备全新、型号最新、最近</w:t>
      </w:r>
      <w:r>
        <w:rPr>
          <w:rFonts w:hint="eastAsia" w:ascii="宋体" w:hAnsi="宋体" w:eastAsia="宋体" w:cs="宋体"/>
          <w:b/>
          <w:bCs/>
          <w:color w:val="auto"/>
          <w:sz w:val="24"/>
          <w:szCs w:val="24"/>
          <w:highlight w:val="none"/>
          <w:u w:val="single"/>
          <w:lang w:val="en-US" w:eastAsia="zh-CN"/>
        </w:rPr>
        <w:t xml:space="preserve">陆个月</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生产、保持完好的原包装，系新机，不可为翻新机，符合国家</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其质量技术满足中国国家标准或国际相关行业标准，否则，甲方可视为乙方违约，甲方有权解除本合同，造成的一切损失由乙方负全部责任。因设备质量缺陷所引起的医疗损害责任纠纷，乙方承担全部的法律和经济责任，即使甲方对受损方承担赔偿责任，也可以向乙方等额追偿</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、根据国家规定，对需要提供3C认证证书和标记的设备及有关配置，乙方应当及时提供。</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、乙方所供设备经验收不合格，根据甲方的要求，乙方必须无条件换货或退货，由此引起的一切损失由乙方承担。</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、设备安装后，乙方应配合甲方按厂方技术参数、国家标准等进行质量验收。若有异议，甲方有权委托中国有资格的机构对该设备进行质量检测，费用由乙方承担。</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八</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特别条款一：</w:t>
      </w:r>
      <w:r>
        <w:rPr>
          <w:rFonts w:hint="eastAsia" w:ascii="宋体" w:hAnsi="宋体" w:eastAsia="宋体" w:cs="宋体"/>
          <w:color w:val="auto"/>
          <w:sz w:val="24"/>
          <w:szCs w:val="24"/>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w:t>
      </w:r>
      <w:r>
        <w:rPr>
          <w:rFonts w:hint="eastAsia" w:ascii="宋体" w:hAnsi="宋体" w:eastAsia="宋体" w:cs="宋体"/>
          <w:color w:val="auto"/>
          <w:sz w:val="24"/>
          <w:szCs w:val="24"/>
          <w:highlight w:val="none"/>
          <w:lang w:eastAsia="zh-CN"/>
        </w:rPr>
        <w:t xml:space="preserve">提供合法票据（</w:t>
      </w:r>
      <w:r>
        <w:rPr>
          <w:rFonts w:hint="eastAsia" w:ascii="宋体" w:hAnsi="宋体" w:eastAsia="宋体" w:cs="宋体"/>
          <w:color w:val="auto"/>
          <w:sz w:val="24"/>
          <w:szCs w:val="24"/>
          <w:highlight w:val="none"/>
          <w:lang w:val="en-US" w:eastAsia="zh-CN"/>
        </w:rPr>
        <w:t xml:space="preserve">必须是国税部门认可的票据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，发现疑似问题票据一旦认定，款项拒付并立刻终止合同，相关公司和人员列入本院黑名单。</w:t>
      </w:r>
      <w:r>
        <w:rPr>
          <w:rFonts w:hint="eastAsia" w:ascii="宋体" w:hAnsi="宋体" w:eastAsia="宋体" w:cs="宋体"/>
          <w:color w:val="auto"/>
          <w:sz w:val="24"/>
          <w:szCs w:val="24"/>
          <w:highlight w:val="none"/>
        </w:rPr>
        <w:t xml:space="preserve">e、其他未提及事项必须符合国家</w:t>
      </w:r>
      <w:r>
        <w:rPr>
          <w:rFonts w:hint="eastAsia" w:ascii="宋体" w:hAnsi="宋体" w:eastAsia="宋体" w:cs="宋体"/>
          <w:color w:val="auto"/>
          <w:sz w:val="24"/>
          <w:szCs w:val="24"/>
          <w:highlight w:val="none"/>
          <w:lang w:eastAsia="zh-CN"/>
        </w:rPr>
        <w:t xml:space="preserve">药品监督管理局</w:t>
      </w:r>
      <w:r>
        <w:rPr>
          <w:rFonts w:hint="eastAsia" w:ascii="宋体" w:hAnsi="宋体" w:eastAsia="宋体" w:cs="宋体"/>
          <w:color w:val="auto"/>
          <w:sz w:val="24"/>
          <w:szCs w:val="24"/>
          <w:highlight w:val="none"/>
        </w:rPr>
        <w:t xml:space="preserve">的相关规定。以上条款乙方必须满足，否则，乙方将承担不利后果。</w:t>
      </w:r>
      <w:r>
        <w:rPr>
          <w:rFonts w:hint="eastAsia" w:ascii="宋体" w:hAnsi="宋体" w:eastAsia="宋体" w:cs="宋体"/>
          <w:color w:val="auto"/>
          <w:sz w:val="24"/>
          <w:szCs w:val="24"/>
          <w:highlight w:val="none"/>
          <w:lang w:val="en-US" w:eastAsia="zh-CN"/>
        </w:rPr>
        <w:t xml:space="preserve"> </w:t>
      </w:r>
      <w:r/>
    </w:p>
    <w:p>
      <w:pPr>
        <w:ind w:left="0"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特别条款二：</w:t>
      </w:r>
      <w:r>
        <w:rPr>
          <w:rFonts w:hint="eastAsia" w:ascii="宋体" w:hAnsi="宋体" w:eastAsia="宋体" w:cs="宋体"/>
          <w:color w:val="auto"/>
          <w:sz w:val="24"/>
          <w:szCs w:val="24"/>
          <w:highlight w:val="none"/>
        </w:rPr>
        <w:t xml:space="preserve">乙方应至少提前三天通知甲方采购员，以便甲方安排好相关收货工作。设备到达甲方医院时，乙方代表必须随机到达，由乙方负责卸货并搬运至甲方指定的地点，待设备搬运完毕后，甲乙双方办理交接手续。如未按上述规定执行，乙方承担全部责任。</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九、</w:t>
      </w:r>
      <w:r>
        <w:rPr>
          <w:rFonts w:hint="eastAsia" w:ascii="宋体" w:hAnsi="宋体" w:eastAsia="宋体" w:cs="宋体"/>
          <w:color w:val="auto"/>
          <w:sz w:val="24"/>
          <w:szCs w:val="24"/>
          <w:highlight w:val="none"/>
          <w:lang w:val="en-US" w:eastAsia="zh-CN"/>
        </w:rPr>
        <w:t xml:space="preserve">服务条款：</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rPr>
        <w:t xml:space="preserve">免费提前为甲方提供设备安装图纸，</w:t>
      </w:r>
      <w:r>
        <w:rPr>
          <w:rFonts w:hint="eastAsia" w:ascii="宋体" w:hAnsi="宋体" w:eastAsia="宋体" w:cs="宋体"/>
          <w:b w:val="0"/>
          <w:bCs/>
          <w:color w:val="auto"/>
          <w:sz w:val="24"/>
          <w:szCs w:val="24"/>
          <w:highlight w:val="none"/>
          <w:lang w:val="en-US" w:eastAsia="zh-CN"/>
        </w:rPr>
        <w:t xml:space="preserve">乙方负责设备机房改造全部事宜，甲方提供乙方所需要求（包含且不限于：a、提供符合厂家装机要求的电缆及电箱到指定位置；b、提供符合厂家装机要求的上下水系统。）。</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设备安装时，乙方负责设备的免费安装和调试，但乙方必须事先与甲方的医疗设备科联系，并与医疗设备科共同参与，否则引起的一切责任由乙方承担。</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乙方如逾期交付货物，则按每逾期一天，乙方向甲方支付货款总额5‰的滞纳金；如乙方逾期交货达10天，甲方有权解除合同。</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设备安装、调试结束后，甲方对设备进行</w:t>
      </w:r>
      <w:r>
        <w:rPr>
          <w:rFonts w:hint="eastAsia" w:ascii="宋体" w:hAnsi="宋体" w:eastAsia="宋体" w:cs="宋体"/>
          <w:color w:val="auto"/>
          <w:sz w:val="24"/>
          <w:szCs w:val="24"/>
          <w:highlight w:val="none"/>
          <w:lang w:val="en-US" w:eastAsia="zh-CN"/>
        </w:rPr>
        <w:t xml:space="preserve">调试</w:t>
      </w:r>
      <w:r>
        <w:rPr>
          <w:rFonts w:hint="eastAsia" w:ascii="宋体" w:hAnsi="宋体" w:eastAsia="宋体" w:cs="宋体"/>
          <w:color w:val="auto"/>
          <w:sz w:val="24"/>
          <w:szCs w:val="24"/>
          <w:highlight w:val="none"/>
        </w:rPr>
        <w:t xml:space="preserve">验收（时间由甲、乙双方另行商定），乙方免费派工程师</w:t>
      </w:r>
      <w:r>
        <w:rPr>
          <w:rFonts w:hint="eastAsia" w:ascii="宋体" w:hAnsi="宋体" w:eastAsia="宋体" w:cs="宋体"/>
          <w:color w:val="auto"/>
          <w:sz w:val="24"/>
          <w:szCs w:val="24"/>
          <w:highlight w:val="none"/>
          <w:lang w:eastAsia="zh-CN"/>
        </w:rPr>
        <w:t xml:space="preserve">到</w:t>
      </w:r>
      <w:r>
        <w:rPr>
          <w:rFonts w:hint="eastAsia" w:ascii="宋体" w:hAnsi="宋体" w:eastAsia="宋体" w:cs="宋体"/>
          <w:color w:val="auto"/>
          <w:sz w:val="24"/>
          <w:szCs w:val="24"/>
          <w:highlight w:val="none"/>
        </w:rPr>
        <w:t xml:space="preserve">现场协助验收工作。调试完成后进行试用，试用不应少于一个月，具体程序由乙方提供并经甲乙双方协商一致后确认。在试用期间，如果未能达到合同约定的要求或者质量标准，或者试用期内因设备本身原因出现故障达两次，乙方则必须根据甲方要求无条件换货或退货，由此引起的一切损失由乙方承担。</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自甲方验收合格之日起算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上述设备</w:t>
      </w:r>
      <w:r>
        <w:rPr>
          <w:rFonts w:hint="eastAsia" w:ascii="宋体" w:hAnsi="宋体" w:eastAsia="宋体" w:cs="宋体"/>
          <w:b/>
          <w:bCs/>
          <w:color w:val="auto"/>
          <w:sz w:val="24"/>
          <w:szCs w:val="24"/>
          <w:highlight w:val="none"/>
          <w:u w:val="single"/>
          <w:lang w:val="en-US" w:eastAsia="zh-CN"/>
        </w:rPr>
        <w:t xml:space="preserve">质保期</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原厂免费</w:t>
      </w:r>
      <w:r>
        <w:rPr>
          <w:rFonts w:hint="eastAsia" w:ascii="宋体" w:hAnsi="宋体" w:eastAsia="宋体" w:cs="宋体"/>
          <w:color w:val="auto"/>
          <w:sz w:val="24"/>
          <w:szCs w:val="24"/>
          <w:highlight w:val="none"/>
          <w:lang w:val="en-US" w:eastAsia="zh-CN"/>
        </w:rPr>
        <w:t xml:space="preserve">整</w:t>
      </w:r>
      <w:r>
        <w:rPr>
          <w:rFonts w:hint="eastAsia" w:ascii="宋体" w:hAnsi="宋体" w:eastAsia="宋体" w:cs="宋体"/>
          <w:color w:val="auto"/>
          <w:sz w:val="24"/>
          <w:szCs w:val="24"/>
          <w:highlight w:val="none"/>
        </w:rPr>
        <w:t xml:space="preserve">机</w:t>
      </w:r>
      <w:r>
        <w:rPr>
          <w:rFonts w:hint="eastAsia" w:ascii="宋体" w:hAnsi="宋体" w:eastAsia="宋体" w:cs="宋体"/>
          <w:color w:val="auto"/>
          <w:sz w:val="24"/>
          <w:szCs w:val="24"/>
          <w:highlight w:val="none"/>
          <w:lang w:val="en-US" w:eastAsia="zh-CN"/>
        </w:rPr>
        <w:t xml:space="preserve">质保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保修</w:t>
      </w:r>
      <w:r>
        <w:rPr>
          <w:rFonts w:hint="eastAsia" w:ascii="宋体" w:hAnsi="宋体" w:eastAsia="宋体" w:cs="宋体"/>
          <w:color w:val="auto"/>
          <w:sz w:val="24"/>
          <w:szCs w:val="24"/>
          <w:highlight w:val="none"/>
          <w:lang w:eastAsia="zh-CN"/>
        </w:rPr>
        <w:t xml:space="preserve">范围</w:t>
      </w:r>
      <w:r>
        <w:rPr>
          <w:rFonts w:hint="eastAsia" w:ascii="宋体" w:hAnsi="宋体" w:eastAsia="宋体" w:cs="宋体"/>
          <w:color w:val="auto"/>
          <w:sz w:val="24"/>
          <w:szCs w:val="24"/>
          <w:highlight w:val="none"/>
        </w:rPr>
        <w:t xml:space="preserve">为全保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含所</w:t>
      </w:r>
      <w:r>
        <w:rPr>
          <w:rFonts w:hint="eastAsia" w:ascii="宋体" w:hAnsi="宋体" w:eastAsia="宋体" w:cs="宋体"/>
          <w:b w:val="0"/>
          <w:bCs w:val="0"/>
          <w:color w:val="auto"/>
          <w:sz w:val="24"/>
          <w:szCs w:val="24"/>
          <w:highlight w:val="none"/>
          <w:lang w:val="en-US" w:eastAsia="zh-CN"/>
        </w:rPr>
        <w:t xml:space="preserve">有需要免费质保的</w:t>
      </w:r>
      <w:r>
        <w:rPr>
          <w:rFonts w:hint="eastAsia" w:ascii="宋体" w:hAnsi="宋体" w:eastAsia="宋体" w:cs="宋体"/>
          <w:b w:val="0"/>
          <w:bCs w:val="0"/>
          <w:color w:val="auto"/>
          <w:sz w:val="24"/>
          <w:szCs w:val="24"/>
          <w:highlight w:val="none"/>
        </w:rPr>
        <w:t xml:space="preserve">配件、</w:t>
      </w:r>
      <w:r>
        <w:rPr>
          <w:rFonts w:hint="eastAsia" w:ascii="宋体" w:hAnsi="宋体" w:eastAsia="宋体" w:cs="宋体"/>
          <w:color w:val="auto"/>
          <w:sz w:val="24"/>
          <w:szCs w:val="24"/>
          <w:highlight w:val="none"/>
        </w:rPr>
        <w:t xml:space="preserve">人工费、维修人员差旅费，终身维护。每年免费对该设备进行预防性维护保养二次并出具厂家保养报告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并确保设备保修期内开机率为95%，如设备故障停机率超过5%（一年按365天计算，每年18天），每超过一天，保修期延长两周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以上材料乙方提供由原厂出具的售后服务承诺函</w:t>
      </w:r>
      <w:r>
        <w:rPr>
          <w:rFonts w:hint="eastAsia" w:ascii="宋体" w:hAnsi="宋体" w:eastAsia="宋体" w:cs="宋体"/>
          <w:color w:val="auto"/>
          <w:sz w:val="24"/>
          <w:szCs w:val="24"/>
          <w:highlight w:val="none"/>
        </w:rPr>
        <w:t xml:space="preserve">。保修期满后，乙方对本设备终身负责维修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但只收配件费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免收人工费。</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如设备发生故障，乙方在接到甲方报修电话后12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rPr>
        <w:t xml:space="preserve">无论在保修期内还是保修期外，乙方均应当上门维修，乙方工程师至甲方维修本设备，必须事先与甲方医疗设备科取得联系，在完成相应登记手续后，与甲方工程师共同完成维修工作。否则，引起的一切责任由乙方承担。</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应当提供</w:t>
      </w:r>
      <w:r>
        <w:rPr>
          <w:rFonts w:hint="eastAsia" w:ascii="宋体" w:hAnsi="宋体" w:eastAsia="宋体" w:cs="宋体"/>
          <w:color w:val="auto"/>
          <w:sz w:val="24"/>
          <w:szCs w:val="24"/>
          <w:highlight w:val="none"/>
          <w:lang w:eastAsia="zh-CN"/>
        </w:rPr>
        <w:t xml:space="preserve">该设备的</w:t>
      </w:r>
      <w:r>
        <w:rPr>
          <w:rFonts w:hint="eastAsia" w:ascii="宋体" w:hAnsi="宋体" w:eastAsia="宋体" w:cs="宋体"/>
          <w:color w:val="auto"/>
          <w:sz w:val="24"/>
          <w:szCs w:val="24"/>
          <w:highlight w:val="none"/>
        </w:rPr>
        <w:t xml:space="preserve">维护手册、维修手册、软件备份、故障代码表、备件清单、零部件、维修密码等维护维修必需的材料和信息</w:t>
      </w:r>
      <w:r>
        <w:rPr>
          <w:rFonts w:hint="eastAsia" w:ascii="宋体" w:hAnsi="宋体" w:eastAsia="宋体" w:cs="宋体"/>
          <w:b w:val="0"/>
          <w:i w:val="0"/>
          <w:caps w:val="0"/>
          <w:color w:val="auto"/>
          <w:spacing w:val="0"/>
          <w:sz w:val="24"/>
          <w:szCs w:val="24"/>
          <w:highlight w:val="none"/>
          <w:shd w:val="clear" w:color="auto" w:fill="ffffff"/>
        </w:rPr>
        <w:t xml:space="preserve">。</w:t>
      </w:r>
      <w:r>
        <w:rPr>
          <w:rFonts w:hint="eastAsia" w:ascii="宋体" w:hAnsi="宋体" w:eastAsia="宋体" w:cs="宋体"/>
          <w:color w:val="auto"/>
          <w:sz w:val="24"/>
          <w:szCs w:val="24"/>
          <w:highlight w:val="none"/>
        </w:rPr>
        <w:t xml:space="preserve">如设备软件升级，乙方负责免费软件升级，并按照甲方信息化建设要求及网络安全规范，提供必要的、安全的接口服务，配合完成与医院信息系统的数据对接。</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rPr>
        <w:t xml:space="preserve">乙方免费提供全套技术资料（维修说明书包括详细电路图、操作说明书及光盘），如技术资料不全，甲方有权不支付货款。</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rPr>
        <w:t xml:space="preserve">①现场技术培训：在安装过程中或安装结束后，乙方工程师或有关人员有义务对甲方工程师和操作人员进行现场维修、保养、操作培训并提供快捷操作指南</w:t>
      </w:r>
      <w:r>
        <w:rPr>
          <w:rFonts w:hint="eastAsia" w:ascii="宋体" w:hAnsi="宋体" w:eastAsia="宋体" w:cs="宋体"/>
          <w:b/>
          <w:color w:val="auto"/>
          <w:sz w:val="24"/>
          <w:szCs w:val="24"/>
          <w:highlight w:val="none"/>
        </w:rPr>
        <w:t xml:space="preserve">（塑胶封好，挂在设备上）</w:t>
      </w:r>
      <w:r>
        <w:rPr>
          <w:rFonts w:hint="eastAsia" w:ascii="宋体" w:hAnsi="宋体" w:eastAsia="宋体" w:cs="宋体"/>
          <w:color w:val="auto"/>
          <w:sz w:val="24"/>
          <w:szCs w:val="24"/>
          <w:highlight w:val="none"/>
        </w:rPr>
        <w:t xml:space="preserve">，解答甲方人员提出的问题。②正规培训班培训：详见乙方的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文件及承诺书。</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rPr>
        <w:t xml:space="preserve">如乙方提供的设备设有维修软件密码，乙方保证无条件地为甲方永久免费打开。</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rPr>
        <w:t xml:space="preserve">乙方提供的设备</w:t>
      </w:r>
      <w:r>
        <w:rPr>
          <w:rFonts w:hint="eastAsia" w:ascii="宋体" w:hAnsi="宋体" w:eastAsia="宋体" w:cs="宋体"/>
          <w:color w:val="auto"/>
          <w:sz w:val="24"/>
          <w:szCs w:val="24"/>
          <w:highlight w:val="none"/>
          <w:lang w:eastAsia="zh-CN"/>
        </w:rPr>
        <w:t xml:space="preserve">系统工作站应可以接入医院</w:t>
      </w:r>
      <w:r>
        <w:rPr>
          <w:rFonts w:hint="eastAsia" w:ascii="宋体" w:hAnsi="宋体" w:eastAsia="宋体" w:cs="宋体"/>
          <w:color w:val="auto"/>
          <w:sz w:val="24"/>
          <w:szCs w:val="24"/>
          <w:highlight w:val="none"/>
          <w:lang w:val="en-US" w:eastAsia="zh-CN"/>
        </w:rPr>
        <w:t xml:space="preserve">HIS系统，并按照甲方信息化建设要求，与医院各类信息系统做好接口对接，实现数据交互，乙方负责协调设备相关软件服务，如需产生费用由乙方承担。</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十、</w:t>
      </w:r>
      <w:r>
        <w:rPr>
          <w:rFonts w:hint="eastAsia" w:ascii="宋体" w:hAnsi="宋体" w:eastAsia="宋体" w:cs="宋体"/>
          <w:color w:val="auto"/>
          <w:sz w:val="24"/>
          <w:szCs w:val="24"/>
          <w:highlight w:val="none"/>
        </w:rPr>
        <w:t xml:space="preserve">保密条款：乙方承诺在合作期间内接触的各项甲方的信息、资料文件等负有保密责任，不得向第三方披露。否则甲方可追究其违约责任，造成损失的，甲方有权向乙方追偿。此保密义务在本协议期满、解除或终止后仍然有效。</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十一、</w:t>
      </w:r>
      <w:r>
        <w:rPr>
          <w:rFonts w:hint="eastAsia" w:ascii="宋体" w:hAnsi="宋体" w:eastAsia="宋体" w:cs="宋体"/>
          <w:color w:val="auto"/>
          <w:sz w:val="24"/>
          <w:szCs w:val="24"/>
          <w:highlight w:val="none"/>
          <w:lang w:val="en-US" w:eastAsia="zh-CN"/>
        </w:rPr>
        <w:t xml:space="preserve">本合同除签字盖章部分，均为打印文本，凡添加手写内容一律无效，合同自双方签字并盖章后生效。</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十二、采购文件、乙方响应文件（含澄清文件及承诺）均为本合同的组成部分。若上述文件与本合同约定不一致，以最有利于甲方利益的条款为准。</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十三、《</w:t>
      </w:r>
      <w:r>
        <w:rPr>
          <w:rFonts w:hint="eastAsia" w:ascii="宋体" w:hAnsi="宋体" w:eastAsia="宋体" w:cs="宋体"/>
          <w:color w:val="auto"/>
          <w:sz w:val="24"/>
          <w:szCs w:val="24"/>
          <w:highlight w:val="none"/>
          <w:lang w:eastAsia="zh-CN"/>
        </w:rPr>
        <w:t xml:space="preserve">医疗设备采购</w:t>
      </w:r>
      <w:r>
        <w:rPr>
          <w:rFonts w:hint="eastAsia" w:ascii="宋体" w:hAnsi="宋体" w:eastAsia="宋体" w:cs="宋体"/>
          <w:color w:val="auto"/>
          <w:sz w:val="24"/>
          <w:szCs w:val="24"/>
          <w:highlight w:val="none"/>
        </w:rPr>
        <w:t xml:space="preserve">廉洁购销</w:t>
      </w:r>
      <w:r>
        <w:rPr>
          <w:rFonts w:hint="eastAsia" w:ascii="宋体" w:hAnsi="宋体" w:eastAsia="宋体" w:cs="宋体"/>
          <w:color w:val="auto"/>
          <w:sz w:val="24"/>
          <w:szCs w:val="24"/>
          <w:highlight w:val="none"/>
          <w:lang w:eastAsia="zh-CN"/>
        </w:rPr>
        <w:t xml:space="preserve">协议》作为本合同的附件，具备同等的法律效力，双方需严格遵守《医疗设备采购</w:t>
      </w:r>
      <w:r>
        <w:rPr>
          <w:rFonts w:hint="eastAsia" w:ascii="宋体" w:hAnsi="宋体" w:eastAsia="宋体" w:cs="宋体"/>
          <w:color w:val="auto"/>
          <w:sz w:val="24"/>
          <w:szCs w:val="24"/>
          <w:highlight w:val="none"/>
        </w:rPr>
        <w:t xml:space="preserve">廉洁购销</w:t>
      </w:r>
      <w:r>
        <w:rPr>
          <w:rFonts w:hint="eastAsia" w:ascii="宋体" w:hAnsi="宋体" w:eastAsia="宋体" w:cs="宋体"/>
          <w:color w:val="auto"/>
          <w:sz w:val="24"/>
          <w:szCs w:val="24"/>
          <w:highlight w:val="none"/>
          <w:lang w:eastAsia="zh-CN"/>
        </w:rPr>
        <w:t xml:space="preserve">协议》。</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本合同一式四份，甲方执三份，乙方执一份。甲乙双方如发生合同争议，可向甲方住所地人民法院提起诉讼。</w:t>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52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rPr>
        <w:t xml:space="preserve">甲方（盖章）：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乙方（盖章）：</w:t>
      </w:r>
      <w:r/>
    </w:p>
    <w:p>
      <w:pPr>
        <w:ind w:firstLine="24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法人或</w:t>
      </w:r>
      <w:r>
        <w:rPr>
          <w:rFonts w:hint="eastAsia" w:ascii="宋体" w:hAnsi="宋体" w:eastAsia="宋体" w:cs="宋体"/>
          <w:color w:val="auto"/>
          <w:sz w:val="24"/>
          <w:szCs w:val="24"/>
          <w:highlight w:val="none"/>
          <w:lang w:eastAsia="zh-CN"/>
        </w:rPr>
        <w:t xml:space="preserve">其授权代表</w:t>
      </w: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法人或</w:t>
      </w:r>
      <w:r>
        <w:rPr>
          <w:rFonts w:hint="eastAsia" w:ascii="宋体" w:hAnsi="宋体" w:eastAsia="宋体" w:cs="宋体"/>
          <w:color w:val="auto"/>
          <w:sz w:val="24"/>
          <w:szCs w:val="24"/>
          <w:highlight w:val="none"/>
          <w:lang w:eastAsia="zh-CN"/>
        </w:rPr>
        <w:t xml:space="preserve">其授权代表</w:t>
      </w:r>
      <w:r>
        <w:rPr>
          <w:rFonts w:hint="eastAsia" w:ascii="宋体" w:hAnsi="宋体" w:eastAsia="宋体" w:cs="宋体"/>
          <w:color w:val="auto"/>
          <w:sz w:val="24"/>
          <w:szCs w:val="24"/>
          <w:highlight w:val="none"/>
        </w:rPr>
        <w:t xml:space="preserve">签字：</w:t>
      </w:r>
      <w:r/>
    </w:p>
    <w:p>
      <w:pPr>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业务部门代表签字：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业务代表签字：</w:t>
      </w:r>
      <w:r/>
    </w:p>
    <w:p>
      <w:pPr>
        <w:keepLines w:val="0"/>
        <w:keepNext w:val="0"/>
        <w:pageBreakBefore w:val="0"/>
        <w:spacing w:line="520" w:lineRule="exact"/>
        <w:widowControl w:val="off"/>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0523-</w:t>
      </w:r>
      <w:r>
        <w:rPr>
          <w:rFonts w:hint="eastAsia" w:ascii="宋体" w:hAnsi="宋体" w:eastAsia="宋体" w:cs="宋体"/>
          <w:color w:val="auto"/>
          <w:sz w:val="24"/>
          <w:szCs w:val="24"/>
          <w:highlight w:val="none"/>
          <w:u w:val="single"/>
          <w:lang w:val="en-US" w:eastAsia="zh-CN"/>
        </w:rPr>
        <w:t xml:space="preserve">89890057</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p>
    <w:p>
      <w:pPr>
        <w:keepLines w:val="0"/>
        <w:keepNext w:val="0"/>
        <w:pageBreakBefore w:val="0"/>
        <w:spacing w:line="520" w:lineRule="exact"/>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附件：</w:t>
      </w:r>
      <w:r/>
    </w:p>
    <w:p>
      <w:pPr>
        <w:ind w:firstLine="281"/>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8"/>
          <w:szCs w:val="28"/>
          <w:highlight w:val="none"/>
          <w:lang w:val="en-US" w:eastAsia="zh-CN"/>
        </w:rPr>
        <w:t xml:space="preserve">XX（型号：XX）配置清单</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p>
    <w:tbl>
      <w:tblPr>
        <w:tblStyle w:val="1152"/>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90"/>
        <w:gridCol w:w="2120"/>
        <w:gridCol w:w="675"/>
        <w:gridCol w:w="675"/>
        <w:gridCol w:w="2489"/>
      </w:tblGrid>
      <w:tr>
        <w:trPr>
          <w:trHeight w:val="454" w:hRule="exact"/>
          <w:tblHeader/>
        </w:trPr>
        <w:tc>
          <w:tcPr>
            <w:tcW w:w="2890"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 xml:space="preserve">名称</w:t>
            </w:r>
            <w:r/>
          </w:p>
        </w:tc>
        <w:tc>
          <w:tcPr>
            <w:tcW w:w="2120"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2"/>
                <w:sz w:val="21"/>
                <w:szCs w:val="21"/>
                <w:highlight w:val="none"/>
              </w:rPr>
              <w:t xml:space="preserve">规格/型号</w:t>
            </w:r>
            <w:r/>
          </w:p>
        </w:tc>
        <w:tc>
          <w:tcPr>
            <w:tcW w:w="675"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 xml:space="preserve">单位</w:t>
            </w:r>
            <w:r/>
          </w:p>
        </w:tc>
        <w:tc>
          <w:tcPr>
            <w:tcW w:w="675"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 xml:space="preserve">数量</w:t>
            </w:r>
            <w:r/>
          </w:p>
        </w:tc>
        <w:tc>
          <w:tcPr>
            <w:tcW w:w="2489"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 xml:space="preserve">备注</w:t>
            </w:r>
            <w:r/>
          </w:p>
        </w:tc>
      </w:tr>
      <w:tr>
        <w:trPr>
          <w:trHeight w:val="454" w:hRule="exact"/>
        </w:trPr>
        <w:tc>
          <w:tcPr>
            <w:shd w:val="clear" w:color="auto" w:fill="auto"/>
            <w:tcW w:w="2890"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2120"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r>
      <w:tr>
        <w:trPr>
          <w:trHeight w:val="454" w:hRule="exact"/>
        </w:trPr>
        <w:tc>
          <w:tcPr>
            <w:shd w:val="clear" w:color="auto" w:fill="auto"/>
            <w:tcW w:w="2890"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2120"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r>
      <w:tr>
        <w:trPr>
          <w:trHeight w:val="454" w:hRule="exact"/>
        </w:trPr>
        <w:tc>
          <w:tcPr>
            <w:shd w:val="clear" w:color="auto" w:fill="auto"/>
            <w:tcW w:w="2890"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2120"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75"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75"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454" w:hRule="exact"/>
        </w:trPr>
        <w:tc>
          <w:tcPr>
            <w:shd w:val="clear" w:color="auto" w:fill="auto"/>
            <w:tcW w:w="2890"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2120"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75"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75"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医疗设备采购廉洁购销协议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为进一步加强医疗卫生行风建设，规范医疗卫生机构</w:t>
      </w:r>
      <w:r>
        <w:rPr>
          <w:rFonts w:hint="eastAsia" w:ascii="宋体" w:hAnsi="宋体" w:eastAsia="宋体" w:cs="宋体"/>
          <w:color w:val="auto"/>
          <w:sz w:val="24"/>
          <w:szCs w:val="24"/>
          <w:highlight w:val="none"/>
          <w:lang w:eastAsia="zh-CN"/>
        </w:rPr>
        <w:t xml:space="preserve">医疗设备</w:t>
      </w:r>
      <w:r>
        <w:rPr>
          <w:rFonts w:hint="eastAsia" w:ascii="宋体" w:hAnsi="宋体" w:eastAsia="宋体" w:cs="宋体"/>
          <w:color w:val="auto"/>
          <w:sz w:val="24"/>
          <w:szCs w:val="24"/>
          <w:highlight w:val="none"/>
        </w:rPr>
        <w:t xml:space="preserve">购销行为，有效防范商业贿赂行为，营造公平交易、诚实守信的购销环境，经甲、乙双方协商，共同遵守</w:t>
      </w:r>
      <w:r>
        <w:rPr>
          <w:rFonts w:hint="eastAsia" w:ascii="宋体" w:hAnsi="宋体" w:eastAsia="宋体" w:cs="宋体"/>
          <w:color w:val="auto"/>
          <w:sz w:val="24"/>
          <w:szCs w:val="24"/>
          <w:highlight w:val="none"/>
          <w:lang w:eastAsia="zh-CN"/>
        </w:rPr>
        <w:t xml:space="preserve">以下协议</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甲乙双方按照</w:t>
      </w:r>
      <w:r>
        <w:rPr>
          <w:rFonts w:hint="eastAsia" w:ascii="宋体" w:hAnsi="宋体" w:eastAsia="宋体" w:cs="宋体"/>
          <w:color w:val="auto"/>
          <w:sz w:val="24"/>
          <w:szCs w:val="24"/>
          <w:highlight w:val="none"/>
          <w:lang w:eastAsia="zh-CN"/>
        </w:rPr>
        <w:t xml:space="preserve">《中华人民共和国民法典》</w:t>
      </w:r>
      <w:r>
        <w:rPr>
          <w:rFonts w:hint="eastAsia" w:ascii="宋体" w:hAnsi="宋体" w:eastAsia="宋体" w:cs="宋体"/>
          <w:color w:val="auto"/>
          <w:sz w:val="24"/>
          <w:szCs w:val="24"/>
          <w:highlight w:val="none"/>
        </w:rPr>
        <w:t xml:space="preserve">及医药产品购销合同约定购销药品、医用设备、医用耗材等医药产品。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甲方应当严格执行医药产品购销合同验收、入库制度，对采购医药产品及发票进行查验，不得违反有关规定合同外采购、违价采购或从非规定渠道采购。</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严禁甲方工作人员利用任何途径和方式，为乙方统计医师个人及临床科室有关医药产品用量信息，或为乙方统计提供便利。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乙方不得以回扣、宴请等方式影响甲方工作人员采购或使用医药产品的选择权，不得在学术活动中提供旅游、超标准支付食宿费用。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乙方指定</w:t>
      </w:r>
      <w:r>
        <w:rPr>
          <w:rFonts w:hint="eastAsia" w:ascii="宋体" w:hAnsi="宋体" w:eastAsia="宋体" w:cs="宋体"/>
          <w:color w:val="auto"/>
          <w:sz w:val="24"/>
          <w:szCs w:val="24"/>
          <w:highlight w:val="none"/>
          <w:lang w:eastAsia="zh-CN"/>
        </w:rPr>
        <w:t xml:space="preserve">业务代表</w:t>
      </w:r>
      <w:r>
        <w:rPr>
          <w:rFonts w:hint="eastAsia" w:ascii="宋体" w:hAnsi="宋体" w:eastAsia="宋体" w:cs="宋体"/>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乙方如违反本</w:t>
      </w:r>
      <w:r>
        <w:rPr>
          <w:rFonts w:hint="eastAsia" w:ascii="宋体" w:hAnsi="宋体" w:eastAsia="宋体" w:cs="宋体"/>
          <w:color w:val="auto"/>
          <w:sz w:val="24"/>
          <w:szCs w:val="24"/>
          <w:highlight w:val="none"/>
          <w:lang w:eastAsia="zh-CN"/>
        </w:rPr>
        <w:t xml:space="preserve">协议</w:t>
      </w:r>
      <w:r>
        <w:rPr>
          <w:rFonts w:hint="eastAsia" w:ascii="宋体" w:hAnsi="宋体" w:eastAsia="宋体" w:cs="宋体"/>
          <w:color w:val="auto"/>
          <w:sz w:val="24"/>
          <w:szCs w:val="24"/>
          <w:highlight w:val="none"/>
        </w:rPr>
        <w:t xml:space="preserve">，一经发现，甲方有权终止</w:t>
      </w:r>
      <w:r>
        <w:rPr>
          <w:rFonts w:hint="eastAsia" w:ascii="宋体" w:hAnsi="宋体" w:eastAsia="宋体" w:cs="宋体"/>
          <w:color w:val="auto"/>
          <w:sz w:val="24"/>
          <w:szCs w:val="24"/>
          <w:highlight w:val="none"/>
          <w:lang w:val="en-US" w:eastAsia="zh-CN"/>
        </w:rPr>
        <w:t xml:space="preserve">购销</w:t>
      </w:r>
      <w:r>
        <w:rPr>
          <w:rFonts w:hint="eastAsia" w:ascii="宋体" w:hAnsi="宋体" w:eastAsia="宋体" w:cs="宋体"/>
          <w:color w:val="auto"/>
          <w:sz w:val="24"/>
          <w:szCs w:val="24"/>
          <w:highlight w:val="none"/>
        </w:rPr>
        <w:t xml:space="preserve">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lang w:eastAsia="zh-CN"/>
        </w:rPr>
        <w:t xml:space="preserve">协议</w:t>
      </w:r>
      <w:r>
        <w:rPr>
          <w:rFonts w:hint="eastAsia" w:ascii="宋体" w:hAnsi="宋体" w:eastAsia="宋体" w:cs="宋体"/>
          <w:color w:val="auto"/>
          <w:sz w:val="24"/>
          <w:szCs w:val="24"/>
          <w:highlight w:val="none"/>
        </w:rPr>
        <w:t xml:space="preserve">作为</w:t>
      </w:r>
      <w:r>
        <w:rPr>
          <w:rFonts w:hint="eastAsia" w:ascii="宋体" w:hAnsi="宋体" w:eastAsia="宋体" w:cs="宋体"/>
          <w:color w:val="auto"/>
          <w:sz w:val="24"/>
          <w:szCs w:val="24"/>
          <w:highlight w:val="none"/>
          <w:lang w:eastAsia="zh-CN"/>
        </w:rPr>
        <w:t xml:space="preserve">医疗设备采购</w:t>
      </w:r>
      <w:r>
        <w:rPr>
          <w:rFonts w:hint="eastAsia" w:ascii="宋体" w:hAnsi="宋体" w:eastAsia="宋体" w:cs="宋体"/>
          <w:color w:val="auto"/>
          <w:sz w:val="24"/>
          <w:szCs w:val="24"/>
          <w:highlight w:val="none"/>
        </w:rPr>
        <w:t xml:space="preserve">合同的重要组成部分，与</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合同一并执行，具有同等的法律效力。</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9.甲乙双方均需严格遵守以上协议</w:t>
      </w:r>
      <w:r>
        <w:rPr>
          <w:rFonts w:hint="eastAsia" w:ascii="宋体" w:hAnsi="宋体" w:eastAsia="宋体" w:cs="宋体"/>
          <w:color w:val="auto"/>
          <w:sz w:val="24"/>
          <w:szCs w:val="24"/>
          <w:highlight w:val="none"/>
        </w:rPr>
        <w:t xml:space="preserve">并从签订之日起生效。</w:t>
      </w:r>
      <w:r/>
    </w:p>
    <w:p>
      <w:pPr>
        <w:ind w:firstLine="420"/>
        <w:spacing w:line="520" w:lineRule="exact"/>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007"/>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07"/>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07"/>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投标文件格式</w:t>
      </w:r>
      <w:r/>
    </w:p>
    <w:p>
      <w:pPr>
        <w:pStyle w:val="1020"/>
        <w:ind w:firstLine="2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highlight w:val="none"/>
        </w:rPr>
        <w:t xml:space="preserve">1.说明：对本章所有的投标书格式，除开标一览表外，投标人可根据自身情况进行补充和修改，但补充和修改不得造成与本格式内容有实质性的违背。</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24"/>
          <w:highlight w:val="none"/>
        </w:rPr>
        <w:t xml:space="preserve">  2.投标人应按采购包准备投标文件并清楚注明采购包名称，否则造成的一切后果由投标人自行承担。</w:t>
      </w:r>
      <w:r>
        <w:rPr>
          <w:rFonts w:hint="eastAsia" w:ascii="宋体" w:hAnsi="宋体" w:eastAsia="宋体" w:cs="宋体"/>
          <w:color w:val="auto"/>
          <w:sz w:val="32"/>
          <w:szCs w:val="32"/>
          <w:highlight w:val="none"/>
        </w:rPr>
        <w:br w:type="page" w:clear="all"/>
      </w:r>
      <w:bookmarkStart w:id="54" w:name="_Toc250041691"/>
      <w:r/>
      <w:bookmarkStart w:id="55" w:name="_Toc263753600"/>
      <w:r/>
      <w:bookmarkStart w:id="56" w:name="_Toc256175382"/>
      <w:r/>
      <w:bookmarkStart w:id="57" w:name="_Toc263768864"/>
      <w:r/>
      <w:bookmarkStart w:id="58" w:name="_Toc297204985"/>
      <w:r/>
      <w:bookmarkStart w:id="59" w:name="_Toc237145385"/>
      <w:r/>
      <w:bookmarkStart w:id="60" w:name="_Toc217446085"/>
      <w:r/>
      <w:r/>
    </w:p>
    <w:p>
      <w:pPr>
        <w:jc w:val="center"/>
        <w:rPr>
          <w:rFonts w:hint="eastAsia" w:ascii="宋体" w:hAnsi="宋体" w:eastAsia="宋体" w:cs="宋体"/>
          <w:bCs/>
          <w:color w:val="auto"/>
          <w:sz w:val="52"/>
          <w:szCs w:val="52"/>
          <w:highlight w:val="none"/>
        </w:rPr>
      </w:pPr>
      <w:r/>
      <w:bookmarkStart w:id="61" w:name="_Toc13296_WPSOffice_Level1"/>
      <w:r/>
      <w:bookmarkStart w:id="62" w:name="_Toc217446086"/>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bookmarkEnd w:id="61"/>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63" w:name="_Toc677_WPSOffice_Level1"/>
      <w:r>
        <w:rPr>
          <w:rFonts w:hint="eastAsia" w:ascii="宋体" w:hAnsi="宋体" w:eastAsia="宋体" w:cs="宋体"/>
          <w:bCs/>
          <w:color w:val="auto"/>
          <w:sz w:val="52"/>
          <w:szCs w:val="52"/>
          <w:highlight w:val="none"/>
        </w:rPr>
        <w:t xml:space="preserve">标</w:t>
      </w:r>
      <w:bookmarkEnd w:id="63"/>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64" w:name="_Toc2949_WPSOffice_Level1"/>
      <w:r>
        <w:rPr>
          <w:rFonts w:hint="eastAsia" w:ascii="宋体" w:hAnsi="宋体" w:eastAsia="宋体" w:cs="宋体"/>
          <w:bCs/>
          <w:color w:val="auto"/>
          <w:sz w:val="52"/>
          <w:szCs w:val="52"/>
          <w:highlight w:val="none"/>
        </w:rPr>
        <w:t xml:space="preserve">文</w:t>
      </w:r>
      <w:bookmarkEnd w:id="64"/>
      <w:r/>
      <w:r/>
    </w:p>
    <w:p>
      <w:pPr>
        <w:rPr>
          <w:rFonts w:hint="eastAsia" w:ascii="宋体" w:hAnsi="宋体" w:eastAsia="宋体" w:cs="宋体"/>
          <w:bCs/>
          <w:color w:val="auto"/>
          <w:sz w:val="72"/>
          <w:szCs w:val="72"/>
          <w:highlight w:val="none"/>
        </w:rPr>
      </w:pPr>
      <w:r>
        <w:rPr>
          <w:rFonts w:hint="eastAsia" w:ascii="宋体" w:hAnsi="宋体" w:eastAsia="宋体" w:cs="宋体"/>
          <w:bCs/>
          <w:color w:val="auto"/>
          <w:sz w:val="72"/>
          <w:szCs w:val="72"/>
          <w:highlight w:val="none"/>
        </w:rPr>
      </w:r>
      <w:r/>
    </w:p>
    <w:p>
      <w:pPr>
        <w:jc w:val="center"/>
        <w:rPr>
          <w:rFonts w:hint="eastAsia" w:ascii="宋体" w:hAnsi="宋体" w:eastAsia="宋体" w:cs="宋体"/>
          <w:bCs/>
          <w:color w:val="auto"/>
          <w:sz w:val="52"/>
          <w:szCs w:val="52"/>
          <w:highlight w:val="none"/>
        </w:rPr>
      </w:pPr>
      <w:r/>
      <w:bookmarkStart w:id="65" w:name="_Toc31964_WPSOffice_Level1"/>
      <w:r>
        <w:rPr>
          <w:rFonts w:hint="eastAsia" w:ascii="宋体" w:hAnsi="宋体" w:eastAsia="宋体" w:cs="宋体"/>
          <w:bCs/>
          <w:color w:val="auto"/>
          <w:sz w:val="52"/>
          <w:szCs w:val="52"/>
          <w:highlight w:val="none"/>
        </w:rPr>
        <w:t xml:space="preserve">件</w:t>
      </w:r>
      <w:bookmarkEnd w:id="65"/>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spacing w:line="360" w:lineRule="auto"/>
        <w:rPr>
          <w:rFonts w:hint="eastAsia" w:ascii="宋体" w:hAnsi="宋体" w:eastAsia="宋体" w:cs="宋体"/>
          <w:bCs/>
          <w:color w:val="auto"/>
          <w:sz w:val="28"/>
          <w:szCs w:val="28"/>
          <w:highlight w:val="none"/>
        </w:rPr>
      </w:pPr>
      <w:r/>
      <w:bookmarkStart w:id="66" w:name="_Toc1060_WPSOffice_Level1"/>
      <w:r>
        <w:rPr>
          <w:rFonts w:hint="eastAsia" w:ascii="宋体" w:hAnsi="宋体" w:eastAsia="宋体" w:cs="宋体"/>
          <w:bCs/>
          <w:color w:val="auto"/>
          <w:sz w:val="28"/>
          <w:szCs w:val="28"/>
          <w:highlight w:val="none"/>
        </w:rPr>
        <w:t xml:space="preserve">采购项目编号：</w:t>
      </w:r>
      <w:bookmarkEnd w:id="66"/>
      <w:r/>
      <w:r/>
    </w:p>
    <w:p>
      <w:pPr>
        <w:spacing w:line="360" w:lineRule="auto"/>
        <w:rPr>
          <w:rFonts w:hint="eastAsia" w:ascii="宋体" w:hAnsi="宋体" w:eastAsia="宋体" w:cs="宋体"/>
          <w:bCs/>
          <w:color w:val="auto"/>
          <w:sz w:val="28"/>
          <w:szCs w:val="28"/>
          <w:highlight w:val="none"/>
        </w:rPr>
      </w:pPr>
      <w:r/>
      <w:bookmarkStart w:id="67" w:name="_Toc7891_WPSOffice_Level1"/>
      <w:r>
        <w:rPr>
          <w:rFonts w:hint="eastAsia" w:ascii="宋体" w:hAnsi="宋体" w:eastAsia="宋体" w:cs="宋体"/>
          <w:bCs/>
          <w:color w:val="auto"/>
          <w:sz w:val="28"/>
          <w:szCs w:val="28"/>
          <w:highlight w:val="none"/>
        </w:rPr>
        <w:t xml:space="preserve">采购项目名称：</w:t>
      </w:r>
      <w:bookmarkEnd w:id="67"/>
      <w:r/>
      <w:bookmarkStart w:id="68" w:name="_Toc13794_WPSOffice_Level1"/>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28"/>
          <w:szCs w:val="28"/>
          <w:highlight w:val="none"/>
        </w:rPr>
        <w:t xml:space="preserve">采购包号：</w:t>
      </w:r>
      <w:r>
        <w:rPr>
          <w:rFonts w:hint="eastAsia" w:ascii="宋体" w:hAnsi="宋体" w:eastAsia="宋体" w:cs="宋体"/>
          <w:bCs/>
          <w:color w:val="auto"/>
          <w:sz w:val="30"/>
          <w:szCs w:val="30"/>
          <w:highlight w:val="none"/>
        </w:rPr>
        <w:t xml:space="preserve"> </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w:t>
      </w:r>
      <w:bookmarkEnd w:id="68"/>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bookmarkStart w:id="69" w:name="_Toc4431_WPSOffice_Level1"/>
      <w:r>
        <w:rPr>
          <w:rFonts w:hint="eastAsia" w:ascii="宋体" w:hAnsi="宋体" w:eastAsia="宋体" w:cs="宋体"/>
          <w:bCs/>
          <w:color w:val="auto"/>
          <w:sz w:val="36"/>
          <w:szCs w:val="36"/>
          <w:highlight w:val="none"/>
        </w:rPr>
        <w:t xml:space="preserve">   年  月  日</w:t>
      </w:r>
      <w:bookmarkEnd w:id="69"/>
      <w:r/>
      <w:r/>
    </w:p>
    <w:p>
      <w:pPr>
        <w:jc w:val="left"/>
        <w:rPr>
          <w:rStyle w:val="1063"/>
          <w:rFonts w:hint="eastAsia" w:ascii="宋体" w:hAnsi="宋体" w:eastAsia="宋体" w:cs="宋体"/>
          <w:b w:val="0"/>
          <w:color w:val="auto"/>
          <w:highlight w:val="none"/>
        </w:rPr>
      </w:pPr>
      <w:r>
        <w:rPr>
          <w:rFonts w:hint="eastAsia" w:ascii="宋体" w:hAnsi="宋体" w:eastAsia="宋体" w:cs="宋体"/>
          <w:color w:val="auto"/>
          <w:sz w:val="32"/>
          <w:szCs w:val="32"/>
          <w:highlight w:val="none"/>
        </w:rPr>
        <w:br w:type="page" w:clear="all"/>
      </w:r>
      <w:r/>
    </w:p>
    <w:p>
      <w:pPr>
        <w:jc w:val="center"/>
        <w:keepLines/>
        <w:keepNext/>
        <w:spacing w:line="600" w:lineRule="exact"/>
        <w:rPr>
          <w:rFonts w:hint="eastAsia" w:ascii="宋体" w:hAnsi="宋体" w:eastAsia="宋体" w:cs="宋体"/>
          <w:b/>
          <w:bCs/>
          <w:color w:val="auto"/>
          <w:sz w:val="24"/>
          <w:highlight w:val="none"/>
        </w:rPr>
        <w:outlineLvl w:val="1"/>
      </w:pPr>
      <w:r>
        <w:rPr>
          <w:rFonts w:hint="eastAsia" w:ascii="宋体" w:hAnsi="宋体" w:eastAsia="宋体" w:cs="宋体"/>
          <w:b/>
          <w:bCs/>
          <w:color w:val="auto"/>
          <w:sz w:val="32"/>
          <w:szCs w:val="32"/>
          <w:highlight w:val="none"/>
        </w:rPr>
        <w:t xml:space="preserve">开标一览表</w:t>
      </w:r>
      <w:r/>
    </w:p>
    <w:p>
      <w:pPr>
        <w:pStyle w:val="105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项目编号：</w:t>
      </w:r>
      <w:r>
        <w:rPr>
          <w:rFonts w:hint="eastAsia" w:ascii="宋体" w:hAnsi="宋体" w:eastAsia="宋体" w:cs="宋体"/>
          <w:color w:val="auto"/>
          <w:sz w:val="27"/>
          <w:szCs w:val="27"/>
          <w:highlight w:val="none"/>
          <w:shd w:val="clear" w:color="auto" w:fill="ffffff"/>
        </w:rPr>
        <w:t xml:space="preserve">项目编号</w:t>
      </w:r>
      <w:r>
        <w:rPr>
          <w:rFonts w:hint="eastAsia" w:ascii="宋体" w:hAnsi="宋体" w:eastAsia="宋体" w:cs="宋体"/>
          <w:color w:val="auto"/>
          <w:sz w:val="27"/>
          <w:szCs w:val="27"/>
          <w:highlight w:val="none"/>
        </w:rPr>
        <w:t xml:space="preserve"> </w:t>
      </w:r>
      <w:r/>
    </w:p>
    <w:p>
      <w:pPr>
        <w:pStyle w:val="105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货币单位：人民币元</w:t>
      </w:r>
      <w:r/>
    </w:p>
    <w:tbl>
      <w:tblPr>
        <w:tblStyle w:val="787"/>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项目名称</w:t>
            </w:r>
            <w:r/>
          </w:p>
        </w:tc>
        <w:tc>
          <w:tcPr>
            <w:tcW w:w="2700"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项目内容</w:t>
            </w:r>
            <w:r/>
          </w:p>
        </w:tc>
        <w:tc>
          <w:tcPr>
            <w:tcW w:w="3927"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 总价（小写）</w:t>
            </w:r>
            <w:r/>
          </w:p>
        </w:tc>
      </w:tr>
      <w:tr>
        <w:trPr/>
        <w:tc>
          <w:tcPr>
            <w:tcW w:w="2270"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shd w:val="clear" w:color="auto" w:fill="ffffff"/>
              </w:rPr>
              <w:t xml:space="preserve">项目名称</w:t>
            </w:r>
            <w:r>
              <w:rPr>
                <w:rFonts w:hint="eastAsia" w:ascii="宋体" w:hAnsi="宋体" w:eastAsia="宋体" w:cs="宋体"/>
                <w:color w:val="auto"/>
                <w:sz w:val="27"/>
                <w:szCs w:val="27"/>
                <w:highlight w:val="none"/>
              </w:rPr>
              <w:t xml:space="preserve"> </w:t>
            </w:r>
            <w:r/>
          </w:p>
        </w:tc>
        <w:tc>
          <w:tcPr>
            <w:tcW w:w="2700"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详见投标文件</w:t>
            </w:r>
            <w:r/>
          </w:p>
        </w:tc>
        <w:tc>
          <w:tcPr>
            <w:tcW w:w="3927" w:type="dxa"/>
            <w:vAlign w:val="center"/>
            <w:textDirection w:val="lrTb"/>
            <w:noWrap w:val="false"/>
          </w:tcPr>
          <w:p>
            <w:pPr>
              <w:pStyle w:val="1051"/>
              <w:rPr>
                <w:rFonts w:hint="eastAsia" w:ascii="宋体" w:hAnsi="宋体" w:eastAsia="宋体" w:cs="宋体"/>
                <w:color w:val="auto"/>
                <w:highlight w:val="none"/>
              </w:rPr>
            </w:pPr>
            <w:r/>
            <w:bookmarkStart w:id="70" w:name="_1742295356"/>
            <w:r/>
            <w:bookmarkEnd w:id="70"/>
            <w:r>
              <w:rPr>
                <w:rFonts w:hint="eastAsia" w:ascii="宋体" w:hAnsi="宋体" w:eastAsia="宋体" w:cs="宋体"/>
                <w:color w:val="auto"/>
                <w:sz w:val="27"/>
                <w:szCs w:val="27"/>
                <w:highlight w:val="none"/>
                <w:shd w:val="clear" w:color="auto" w:fill="ffffff"/>
              </w:rPr>
              <w:fldChar w:fldCharType="begin"/>
            </w:r>
            <w:r>
              <w:rPr>
                <w:rFonts w:hint="eastAsia" w:ascii="宋体" w:hAnsi="宋体" w:eastAsia="宋体" w:cs="宋体"/>
                <w:color w:val="auto"/>
                <w:highlight w:val="none"/>
              </w:rPr>
              <w:instrText xml:space="preserve"> CONTROL Forms.HTML:Text.1 \s  \* MERGEFORMAT</w:instrText>
            </w:r>
            <w:r>
              <w:rPr>
                <w:rFonts w:hint="eastAsia" w:ascii="宋体" w:hAnsi="宋体" w:eastAsia="宋体" w:cs="宋体"/>
                <w:color w:val="auto"/>
                <w:sz w:val="27"/>
                <w:szCs w:val="27"/>
                <w:highlight w:val="none"/>
                <w:shd w:val="clear" w:color="auto" w:fill="ffffff"/>
              </w:rPr>
              <w:fldChar w:fldCharType="separate"/>
            </w:r>
            <w:r>
              <w:rPr>
                <w:rFonts w:hint="eastAsia" w:ascii="宋体" w:hAnsi="宋体" w:eastAsia="宋体" w:cs="宋体"/>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3810" b="11430"/>
                      <wp:docPr id="5"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0pt;height:18.0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auto"/>
                <w:sz w:val="27"/>
                <w:szCs w:val="27"/>
                <w:highlight w:val="none"/>
                <w:shd w:val="clear" w:color="auto" w:fill="ffffff"/>
              </w:rPr>
              <w:fldChar w:fldCharType="end"/>
            </w:r>
            <w:r>
              <w:rPr>
                <w:rFonts w:hint="eastAsia" w:ascii="宋体" w:hAnsi="宋体" w:eastAsia="宋体" w:cs="宋体"/>
                <w:color w:val="auto"/>
                <w:sz w:val="27"/>
                <w:szCs w:val="27"/>
                <w:highlight w:val="none"/>
              </w:rPr>
              <w:t xml:space="preserve"> 元</w:t>
            </w:r>
            <w:r/>
          </w:p>
        </w:tc>
      </w:tr>
      <w:tr>
        <w:trPr/>
        <w:tc>
          <w:tcPr>
            <w:tcW w:w="2270"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总价（大写）：</w:t>
            </w:r>
            <w:r/>
          </w:p>
        </w:tc>
        <w:tc>
          <w:tcPr>
            <w:gridSpan w:val="2"/>
            <w:tcW w:w="6627"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金额大写 </w:t>
            </w:r>
            <w:r/>
          </w:p>
        </w:tc>
      </w:tr>
    </w:tbl>
    <w:p>
      <w:pPr>
        <w:pStyle w:val="105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05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05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05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投标人公章： （电子签章）</w:t>
      </w:r>
      <w:r/>
    </w:p>
    <w:p>
      <w:pP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bookmarkStart w:id="71" w:name="NF"/>
      <w:r/>
      <w:bookmarkEnd w:id="71"/>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bookmarkStart w:id="72" w:name="YF"/>
      <w:r/>
      <w:bookmarkEnd w:id="72"/>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bookmarkStart w:id="73" w:name="RI"/>
      <w:r/>
      <w:bookmarkEnd w:id="73"/>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7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796"/>
        <w:rPr>
          <w:rFonts w:hint="eastAsia" w:ascii="宋体" w:hAnsi="宋体" w:eastAsia="宋体" w:cs="宋体"/>
          <w:color w:val="auto"/>
          <w:highlight w:val="none"/>
        </w:rPr>
      </w:pPr>
      <w:r>
        <w:rPr>
          <w:rFonts w:hint="eastAsia" w:ascii="宋体" w:hAnsi="宋体" w:eastAsia="宋体" w:cs="宋体"/>
          <w:color w:val="auto"/>
          <w:highlight w:val="none"/>
        </w:rPr>
      </w:r>
      <w:bookmarkEnd w:id="62"/>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 标 函</w:t>
      </w:r>
      <w:r/>
    </w:p>
    <w:p>
      <w:pPr>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6"/>
        <w:ind w:left="0"/>
        <w:spacing w:after="0" w:line="360" w:lineRule="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u w:val="single"/>
        </w:rPr>
        <w:t xml:space="preserve">泰州市人民医院</w:t>
      </w:r>
      <w:r>
        <w:rPr>
          <w:rFonts w:hint="eastAsia" w:ascii="宋体" w:hAnsi="宋体" w:eastAsia="宋体" w:cs="宋体"/>
          <w:bCs/>
          <w:iCs/>
          <w:color w:val="auto"/>
          <w:sz w:val="24"/>
          <w:szCs w:val="24"/>
          <w:highlight w:val="none"/>
        </w:rPr>
        <w:t xml:space="preserve">：</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iCs/>
          <w:color w:val="auto"/>
          <w:sz w:val="24"/>
          <w:szCs w:val="24"/>
          <w:highlight w:val="none"/>
        </w:rPr>
        <w:t xml:space="preserve">我方全面研究了 </w:t>
      </w:r>
      <w:r>
        <w:rPr>
          <w:rFonts w:hint="eastAsia" w:ascii="宋体" w:hAnsi="宋体" w:eastAsia="宋体" w:cs="宋体"/>
          <w:b/>
          <w:bCs/>
          <w:i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项目招标文件，决定参加贵单位组织的本项目投标。</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1.我方自愿按照招标文件规定的各项要求向采购人提供所需货物及服务。</w:t>
      </w:r>
      <w:r/>
    </w:p>
    <w:p>
      <w:pPr>
        <w:pStyle w:val="1036"/>
        <w:ind w:left="0" w:firstLine="60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2.一旦我方中标，</w:t>
      </w:r>
      <w:r>
        <w:rPr>
          <w:rFonts w:hint="eastAsia" w:ascii="宋体" w:hAnsi="宋体" w:eastAsia="宋体" w:cs="宋体"/>
          <w:color w:val="auto"/>
          <w:sz w:val="24"/>
          <w:szCs w:val="24"/>
          <w:highlight w:val="none"/>
        </w:rPr>
        <w:t xml:space="preserve">我们将严格履行招标文件中规定的每一项要求，按期、按质、按量履行合同的义务。</w:t>
      </w:r>
      <w:r/>
    </w:p>
    <w:p>
      <w:pPr>
        <w:pStyle w:val="1138"/>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3.我们已详细审查全部招标文件，包括更正文件（如有），对招标文件及更正公告（如有）无任何异议。我们完全理解并同意放弃对这方面有不明及误解的权利。</w:t>
      </w:r>
      <w:r/>
    </w:p>
    <w:p>
      <w:pPr>
        <w:pStyle w:val="1138"/>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4.我们同意按照招标文件中的规定，本投标书的有效期限为自投标截止之日起60天。</w:t>
      </w:r>
      <w:r/>
    </w:p>
    <w:p>
      <w:pPr>
        <w:pStyle w:val="1138"/>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5.我们愿意提供招标采购单位在招标文件中要求的所有资料。</w:t>
      </w:r>
      <w:r/>
    </w:p>
    <w:p>
      <w:pPr>
        <w:pStyle w:val="1138"/>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6.我们愿意遵守招标文件中所列的收费标准。</w:t>
      </w:r>
      <w:r/>
    </w:p>
    <w:p>
      <w:pPr>
        <w:pStyle w:val="1138"/>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7.我们承诺该项投标在开标后的全过程中保持有效，不作任何更改和变动。</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8.我方愿意提供贵单位可能另外要求的，与投标有关的文件资料，并保证我方已提供和将要提供的文件资料是真实、准确的。</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br w:type="page" w:clear="all"/>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4"/>
          <w:szCs w:val="24"/>
          <w:highlight w:val="none"/>
          <w:u w:val="single"/>
        </w:rPr>
        <w:t xml:space="preserve">泰州市人民医院</w:t>
      </w:r>
      <w:r>
        <w:rPr>
          <w:rFonts w:hint="eastAsia" w:ascii="宋体" w:hAnsi="宋体" w:eastAsia="宋体" w:cs="宋体"/>
          <w:bCs/>
          <w:iCs/>
          <w:color w:val="auto"/>
          <w:sz w:val="24"/>
          <w:szCs w:val="24"/>
          <w:highlight w:val="none"/>
        </w:rPr>
        <w:t xml:space="preserve">：</w:t>
      </w:r>
      <w:r/>
    </w:p>
    <w:p>
      <w:pPr>
        <w:pStyle w:val="1061"/>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按照采购文件的要求，我方（投标供应商）提交的资格证明文件及有关资料，用于你方（采购人）审查我方参加</w:t>
      </w:r>
      <w:r>
        <w:rPr>
          <w:rFonts w:hint="eastAsia" w:ascii="宋体" w:hAnsi="宋体" w:eastAsia="宋体" w:cs="宋体"/>
          <w:bCs/>
          <w:color w:val="auto"/>
          <w:sz w:val="24"/>
          <w:szCs w:val="24"/>
          <w:highlight w:val="none"/>
          <w:u w:val="single"/>
        </w:rPr>
        <w:t xml:space="preserve">          （项目名称）</w:t>
      </w:r>
      <w:r>
        <w:rPr>
          <w:rFonts w:hint="eastAsia" w:ascii="宋体" w:hAnsi="宋体" w:eastAsia="宋体" w:cs="宋体"/>
          <w:bCs/>
          <w:color w:val="auto"/>
          <w:sz w:val="24"/>
          <w:szCs w:val="24"/>
          <w:highlight w:val="none"/>
        </w:rPr>
        <w:t xml:space="preserve">政府采购活动的投标资格。我方在此声明：</w:t>
      </w:r>
      <w:r/>
    </w:p>
    <w:p>
      <w:pPr>
        <w:pStyle w:val="1061"/>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1.所提交的资格证明文件及有关资料内容完整、真实和准确。</w:t>
      </w:r>
      <w:r/>
    </w:p>
    <w:p>
      <w:pPr>
        <w:pStyle w:val="1061"/>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2.我方未以他人名义投标、串标或以其他方式弄虚作假投标。</w:t>
      </w:r>
      <w:r/>
    </w:p>
    <w:p>
      <w:pPr>
        <w:pStyle w:val="1061"/>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3.我方未向采购人或评标委员会行贿谋取中标。</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4.我方若有违法违规行为，自愿承担违诺违规责任，取消响应资格，列入政府采购不良行为记录，并根据《中华人民共和国政府采购法》、《中华人民共和国政府采购法实施条例》等有关</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和规章中的相关条款进行处罚。如已中标的，自动取消中标资格；给采购人造成损失的，依法承担赔偿责任。</w:t>
      </w:r>
      <w:r/>
    </w:p>
    <w:p>
      <w:pPr>
        <w:pStyle w:val="8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bookmarkStart w:id="74" w:name="OLE_LINK21"/>
      <w:r>
        <w:rPr>
          <w:rFonts w:hint="eastAsia" w:ascii="宋体" w:hAnsi="宋体" w:eastAsia="宋体" w:cs="宋体"/>
          <w:bCs/>
          <w:color w:val="auto"/>
          <w:sz w:val="24"/>
          <w:highlight w:val="none"/>
        </w:rPr>
        <w:t xml:space="preserve">单位名称：（加盖CA电子公章）</w:t>
      </w:r>
      <w:r/>
    </w:p>
    <w:p>
      <w:pPr>
        <w:ind w:firstLine="56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End w:id="74"/>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32"/>
          <w:szCs w:val="32"/>
          <w:highlight w:val="none"/>
          <w:lang w:val="en-US" w:eastAsia="zh-CN" w:bidi="ar-SA"/>
        </w:rPr>
      </w:pPr>
      <w:r/>
      <w:bookmarkStart w:id="75" w:name="_Toc541"/>
      <w:r>
        <w:rPr>
          <w:rFonts w:hint="eastAsia" w:ascii="宋体" w:hAnsi="宋体" w:eastAsia="宋体" w:cs="宋体"/>
          <w:b/>
          <w:color w:val="auto"/>
          <w:sz w:val="32"/>
          <w:szCs w:val="32"/>
          <w:highlight w:val="none"/>
          <w:lang w:val="en-US" w:eastAsia="zh-CN" w:bidi="ar-SA"/>
        </w:rPr>
        <w:t xml:space="preserve">法定代表人资格证明书</w:t>
      </w:r>
      <w:bookmarkEnd w:id="75"/>
      <w:r/>
      <w:r/>
    </w:p>
    <w:p>
      <w:pPr>
        <w:pStyle w:val="83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（法定代表人姓名）在（供应商名称）处任（职务名称）职务，是（供应商名称）的法定代表人。</w:t>
      </w:r>
      <w:r/>
    </w:p>
    <w:p>
      <w:pPr>
        <w:pStyle w:val="839"/>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法定代表人身份证复印件（正反两面均需复印，加盖公章）：</w:t>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87"/>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法定代表人身份证正面复印件</w:t>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子</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章</w:t>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07" w:type="dxa"/>
            <w:textDirection w:val="lrTb"/>
            <w:noWrap w:val="false"/>
          </w:tcPr>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法定代表人身份证反面复印件</w:t>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1060"/>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0"/>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0"/>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0"/>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0"/>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lang w:val="en-US" w:eastAsia="zh-CN" w:bidi="ar-SA"/>
        </w:rPr>
      </w:pPr>
      <w:r/>
      <w:bookmarkStart w:id="76" w:name="_Toc32139"/>
      <w:r/>
      <w:bookmarkStart w:id="77" w:name="_Toc30840"/>
      <w:r/>
      <w:bookmarkStart w:id="78" w:name="_Toc17493"/>
      <w:r/>
      <w:bookmarkStart w:id="79" w:name="_Toc24313"/>
      <w:r>
        <w:rPr>
          <w:rFonts w:hint="eastAsia" w:ascii="宋体" w:hAnsi="宋体" w:eastAsia="宋体" w:cs="宋体"/>
          <w:b/>
          <w:color w:val="auto"/>
          <w:sz w:val="32"/>
          <w:szCs w:val="32"/>
          <w:highlight w:val="none"/>
          <w:lang w:val="en-US" w:eastAsia="zh-CN" w:bidi="ar-SA"/>
        </w:rPr>
        <w:t xml:space="preserve">法定代表人授权委托书</w:t>
      </w:r>
      <w:bookmarkEnd w:id="76"/>
      <w:r/>
      <w:bookmarkEnd w:id="77"/>
      <w:r/>
      <w:bookmarkEnd w:id="78"/>
      <w:r/>
      <w:bookmarkEnd w:id="79"/>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江苏建泰工程项目管理有限公司：</w:t>
      </w:r>
      <w:r/>
    </w:p>
    <w:p>
      <w:pPr>
        <w:pStyle w:val="1124"/>
        <w:ind w:firstLine="42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（法定代表人姓名）授权________（被授权人的姓名）为我方就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项目采购活动的合法代理人，以本公司名义全权处理一切与该项目采购有关的事务。</w:t>
      </w:r>
      <w:r/>
    </w:p>
    <w:p>
      <w:pPr>
        <w:pStyle w:val="1124"/>
        <w:ind w:firstLine="42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我公司（单位）对被授权代表的签名负全部责任。</w:t>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被授权代表情况：</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性别：                    电话：               </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授权代表身份证复印件（正反两面均需复印）（骑缝处加盖公章）：</w:t>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87"/>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709"/>
        <w:gridCol w:w="3827"/>
      </w:tblGrid>
      <w:tr>
        <w:trPr>
          <w:trHeight w:val="2540"/>
        </w:trPr>
        <w:tc>
          <w:tcPr>
            <w:tcW w:w="3609" w:type="dxa"/>
            <w:textDirection w:val="lrTb"/>
            <w:noWrap w:val="false"/>
          </w:tcPr>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授权代表身份证正面复印件</w:t>
            </w:r>
            <w:r/>
          </w:p>
        </w:tc>
        <w:tc>
          <w:tcPr>
            <w:tcBorders>
              <w:top w:val="none" w:color="000000" w:sz="4" w:space="0"/>
              <w:bottom w:val="none" w:color="000000" w:sz="4" w:space="0"/>
            </w:tcBorders>
            <w:tcW w:w="709" w:type="dxa"/>
            <w:textDirection w:val="lrTb"/>
            <w:noWrap w:val="false"/>
          </w:tcPr>
          <w:p>
            <w:pPr>
              <w:pStyle w:val="102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加</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盖</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CA</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子</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章</w:t>
            </w:r>
            <w:r/>
          </w:p>
          <w:p>
            <w:pPr>
              <w:pStyle w:val="102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827" w:type="dxa"/>
            <w:textDirection w:val="lrTb"/>
            <w:noWrap w:val="false"/>
          </w:tcPr>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授权代表身份证反面复印件</w:t>
            </w:r>
            <w:r/>
          </w:p>
        </w:tc>
      </w:tr>
    </w:tbl>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说明：上述证明文件在响应文件中附有授权代表身份证复印件（身份证两面均应复印，身份证复印件加盖公章）时才能生效。</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End w:id="54"/>
      <w:r/>
      <w:bookmarkEnd w:id="55"/>
      <w:r/>
      <w:bookmarkEnd w:id="56"/>
      <w:r/>
      <w:bookmarkEnd w:id="57"/>
      <w:r/>
      <w:bookmarkEnd w:id="58"/>
      <w:r/>
      <w:bookmarkEnd w:id="59"/>
      <w:r/>
      <w:bookmarkEnd w:id="60"/>
      <w:r/>
      <w:r/>
    </w:p>
    <w:p>
      <w:pPr>
        <w:pStyle w:val="1124"/>
        <w:jc w:val="center"/>
        <w:tabs>
          <w:tab w:val="left" w:pos="360" w:leader="none"/>
        </w:tabs>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参加政府采购活动前 3 年内在经营活动中没有重大违法</w:t>
      </w:r>
      <w:r/>
    </w:p>
    <w:p>
      <w:pPr>
        <w:pStyle w:val="1124"/>
        <w:jc w:val="center"/>
        <w:tabs>
          <w:tab w:val="left" w:pos="360" w:leader="none"/>
        </w:tabs>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记录的书面声明</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790"/>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790"/>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116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18"/>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18"/>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18"/>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18"/>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90"/>
        <w:ind w:firstLine="0"/>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90"/>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t xml:space="preserve">具备履行合同所必需的设备和专业技术能力的书面声明</w:t>
      </w:r>
      <w:r/>
    </w:p>
    <w:p>
      <w:pPr>
        <w:pStyle w:val="790"/>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90"/>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1124"/>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在此承诺：</w:t>
      </w:r>
      <w:r/>
    </w:p>
    <w:p>
      <w:pPr>
        <w:pStyle w:val="1124"/>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我单位具备履行本项采购合同所必需的设备和专业技术能力，为履行本项采购合同我公司具备如下主要设备和主要专业技术能力：</w:t>
      </w:r>
      <w:r/>
    </w:p>
    <w:p>
      <w:pPr>
        <w:pStyle w:val="1124"/>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 </w:t>
      </w:r>
      <w:r/>
    </w:p>
    <w:p>
      <w:pPr>
        <w:pStyle w:val="1124"/>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790"/>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u w:val="singl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pacing w:val="20"/>
          <w:sz w:val="32"/>
          <w:szCs w:val="32"/>
          <w:highlight w:val="none"/>
        </w:rPr>
        <w:t xml:space="preserve">承诺书</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我单位郑重承诺以下事项：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1.本公司（单位）对本项目（项目编号：              ）所提供的</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不低于采购文件要求的标准。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2.本公司未被“信用中国”网站（www.creditchina.gov.cn）列入失信被执行人、重大税收违法失信主体、政府采购严重违法失信行为记录名单。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3.本公司承诺响应招标文件所有内容。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4.本公司承诺，对招标文件中所提及的相关</w:t>
      </w:r>
      <w:r>
        <w:rPr>
          <w:rFonts w:hint="eastAsia" w:ascii="宋体" w:hAnsi="宋体" w:eastAsia="宋体" w:cs="宋体"/>
          <w:color w:val="auto"/>
          <w:sz w:val="24"/>
          <w:szCs w:val="24"/>
          <w:highlight w:val="none"/>
          <w:lang w:val="en-US" w:eastAsia="zh-CN"/>
        </w:rPr>
        <w:t xml:space="preserve">配置要求、参数</w:t>
      </w:r>
      <w:r>
        <w:rPr>
          <w:rFonts w:hint="eastAsia" w:ascii="宋体" w:hAnsi="宋体" w:eastAsia="宋体" w:cs="宋体"/>
          <w:color w:val="auto"/>
          <w:sz w:val="24"/>
          <w:szCs w:val="24"/>
          <w:highlight w:val="none"/>
        </w:rPr>
        <w:t xml:space="preserve">要求、验收要求、</w:t>
      </w:r>
      <w:r>
        <w:rPr>
          <w:rFonts w:hint="eastAsia" w:ascii="宋体" w:hAnsi="宋体" w:eastAsia="宋体" w:cs="宋体"/>
          <w:color w:val="auto"/>
          <w:sz w:val="24"/>
          <w:szCs w:val="24"/>
          <w:highlight w:val="none"/>
          <w:lang w:val="en-US" w:eastAsia="zh-CN"/>
        </w:rPr>
        <w:t xml:space="preserve">质保要求、供货</w:t>
      </w:r>
      <w:r>
        <w:rPr>
          <w:rFonts w:hint="eastAsia" w:ascii="宋体" w:hAnsi="宋体" w:eastAsia="宋体" w:cs="宋体"/>
          <w:color w:val="auto"/>
          <w:sz w:val="24"/>
          <w:szCs w:val="24"/>
          <w:highlight w:val="none"/>
        </w:rPr>
        <w:t xml:space="preserve">要求等条款，本公司将严格按照条款要求执行。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5.我单位承诺如果服务过程中未按上述要求履行，我单位承担违约责任，双倍赔偿采购人损失，采购人可直接解除合同，并没收履约保证金。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6.如违背上述承诺，本公司（单位）将承担一切法律责任。  </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2"/>
        <w:jc w:val="righ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color w:val="auto"/>
          <w:sz w:val="24"/>
          <w:highlight w:val="none"/>
        </w:rPr>
        <w:t xml:space="preserve">加盖CA电子公章</w:t>
      </w:r>
      <w:r>
        <w:rPr>
          <w:rFonts w:hint="eastAsia" w:ascii="宋体" w:hAnsi="宋体" w:eastAsia="宋体" w:cs="宋体"/>
          <w:color w:val="auto"/>
          <w:highlight w:val="none"/>
        </w:rPr>
        <w:t xml:space="preserve">）</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4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r/>
    </w:p>
    <w:p>
      <w:pPr>
        <w:jc w:val="center"/>
        <w:keepLines/>
        <w:keepNext/>
        <w:spacing w:before="120" w:after="120"/>
        <w:rPr>
          <w:rFonts w:hint="eastAsia" w:ascii="宋体" w:hAnsi="宋体" w:eastAsia="宋体" w:cs="宋体"/>
          <w:b/>
          <w:bCs/>
          <w:color w:val="auto"/>
          <w:sz w:val="32"/>
          <w:szCs w:val="32"/>
          <w:highlight w:val="none"/>
        </w:rPr>
        <w:outlineLvl w:val="0"/>
      </w:pPr>
      <w:r/>
      <w:bookmarkStart w:id="80" w:name="_Toc22881_WPSOffice_Level1"/>
      <w:r/>
      <w:bookmarkStart w:id="81" w:name="_Toc1623_WPSOffice_Level1"/>
      <w:r/>
      <w:bookmarkStart w:id="82" w:name="_Toc22143_WPSOffice_Level1"/>
      <w:r/>
      <w:bookmarkStart w:id="83" w:name="_Toc32173"/>
      <w:r>
        <w:rPr>
          <w:rFonts w:hint="eastAsia" w:ascii="宋体" w:hAnsi="宋体" w:eastAsia="宋体" w:cs="宋体"/>
          <w:b/>
          <w:bCs/>
          <w:color w:val="auto"/>
          <w:sz w:val="32"/>
          <w:szCs w:val="32"/>
          <w:highlight w:val="none"/>
        </w:rPr>
        <w:t xml:space="preserve">商务偏离表</w:t>
      </w:r>
      <w:bookmarkEnd w:id="80"/>
      <w:r/>
      <w:bookmarkEnd w:id="81"/>
      <w:r/>
      <w:bookmarkEnd w:id="82"/>
      <w:r/>
      <w:bookmarkEnd w:id="83"/>
      <w:r/>
      <w:r/>
    </w:p>
    <w:tbl>
      <w:tblPr>
        <w:tblStyle w:val="787"/>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若无偏离，在“有无偏离”栏中填写“无”；若有偏离在“有无偏离”栏中填写“有”并在“偏离内容及原因”栏中作出说明。</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787"/>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7"/>
        <w:gridCol w:w="2558"/>
        <w:gridCol w:w="1590"/>
        <w:gridCol w:w="1962"/>
      </w:tblGrid>
      <w:tr>
        <w:trP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若无偏离，在“有无偏离”栏中填写“无”；若有偏离在“有无偏离”栏中填写“有”并在“偏离内容及原因”栏中作出说明，未填写内容的视为全部响应 。</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1"/>
        <w:jc w:val="center"/>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lang w:val="en-US" w:eastAsia="zh-CN" w:bidi="ar-SA"/>
        </w:rPr>
        <w:t xml:space="preserve">中小企业声明函</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bCs/>
          <w:color w:val="auto"/>
          <w:sz w:val="24"/>
          <w:szCs w:val="24"/>
          <w:highlight w:val="none"/>
          <w:lang w:val="en-US" w:eastAsia="zh-CN"/>
        </w:rPr>
        <w:t xml:space="preserve">泰州市人民医院</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w:t>
      </w:r>
      <w:r>
        <w:rPr>
          <w:rFonts w:hint="eastAsia" w:ascii="宋体" w:hAnsi="宋体" w:eastAsia="宋体" w:cs="宋体"/>
          <w:bCs/>
          <w:color w:val="auto"/>
          <w:sz w:val="24"/>
          <w:szCs w:val="24"/>
          <w:highlight w:val="none"/>
          <w:lang w:val="en-US" w:eastAsia="zh-CN"/>
        </w:rPr>
        <w:t xml:space="preserve">提供的货物</w:t>
      </w:r>
      <w:r>
        <w:rPr>
          <w:rFonts w:hint="eastAsia" w:ascii="宋体" w:hAnsi="宋体" w:eastAsia="宋体" w:cs="宋体"/>
          <w:bCs/>
          <w:color w:val="auto"/>
          <w:sz w:val="24"/>
          <w:szCs w:val="24"/>
          <w:highlight w:val="none"/>
        </w:rPr>
        <w:t xml:space="preserve">全部由符合政策要求的中小企业</w:t>
      </w:r>
      <w:r>
        <w:rPr>
          <w:rFonts w:hint="eastAsia" w:ascii="宋体" w:hAnsi="宋体" w:eastAsia="宋体" w:cs="宋体"/>
          <w:bCs/>
          <w:color w:val="auto"/>
          <w:sz w:val="24"/>
          <w:szCs w:val="24"/>
          <w:highlight w:val="none"/>
          <w:lang w:val="en-US" w:eastAsia="zh-CN"/>
        </w:rPr>
        <w:t xml:space="preserve">制造</w:t>
      </w:r>
      <w:r>
        <w:rPr>
          <w:rFonts w:hint="eastAsia" w:ascii="宋体" w:hAnsi="宋体" w:eastAsia="宋体" w:cs="宋体"/>
          <w:bCs/>
          <w:color w:val="auto"/>
          <w:sz w:val="24"/>
          <w:szCs w:val="24"/>
          <w:highlight w:val="none"/>
        </w:rPr>
        <w:t xml:space="preserve">。相关企业（含联合体中的中小企业、签订分包意向协议的中小企业）的具体情况如下：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lang w:val="en-US" w:eastAsia="zh-CN"/>
        </w:rPr>
        <w:t xml:space="preserve">工业行业</w:t>
      </w:r>
      <w:r>
        <w:rPr>
          <w:rFonts w:hint="eastAsia" w:ascii="宋体" w:hAnsi="宋体" w:eastAsia="宋体" w:cs="宋体"/>
          <w:bCs/>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制造商</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lang w:val="en-US" w:eastAsia="zh-CN"/>
        </w:rPr>
        <w:t xml:space="preserve">工业行业</w:t>
      </w:r>
      <w:r>
        <w:rPr>
          <w:rFonts w:hint="eastAsia" w:ascii="宋体" w:hAnsi="宋体" w:eastAsia="宋体" w:cs="宋体"/>
          <w:bCs/>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制造商</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本企业对上述声明</w:t>
      </w:r>
      <w:r>
        <w:rPr>
          <w:rFonts w:hint="eastAsia" w:ascii="宋体" w:hAnsi="宋体" w:eastAsia="宋体" w:cs="宋体"/>
          <w:bCs/>
          <w:color w:val="auto"/>
          <w:sz w:val="24"/>
          <w:szCs w:val="24"/>
          <w:highlight w:val="none"/>
          <w:lang w:val="en-US" w:eastAsia="zh-CN"/>
        </w:rPr>
        <w:t xml:space="preserve">内容</w:t>
      </w:r>
      <w:r>
        <w:rPr>
          <w:rFonts w:hint="eastAsia" w:ascii="宋体" w:hAnsi="宋体" w:eastAsia="宋体" w:cs="宋体"/>
          <w:bCs/>
          <w:color w:val="auto"/>
          <w:sz w:val="24"/>
          <w:szCs w:val="24"/>
          <w:highlight w:val="none"/>
        </w:rPr>
        <w:t xml:space="preserve">的真实性负责。如有虚假，将依法承担相应责任。</w:t>
      </w:r>
      <w:r/>
    </w:p>
    <w:p>
      <w:pPr>
        <w:ind w:right="48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2.中小微企业划型标准请对照《关于印发中小企业划型标准规定的通知》（工信部联企业〔2011〕300号），文件网址如下：https://www.miit.gov.cn/jgsj/qyj/wjfb/art/2011/art_235af1ade45c4865957adeed23f9d949.html。</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本项目采购标的所属行业为</w:t>
      </w:r>
      <w:r>
        <w:rPr>
          <w:rFonts w:hint="eastAsia" w:ascii="宋体" w:hAnsi="宋体" w:eastAsia="宋体" w:cs="宋体"/>
          <w:color w:val="auto"/>
          <w:sz w:val="24"/>
          <w:szCs w:val="24"/>
          <w:highlight w:val="none"/>
          <w:u w:val="single"/>
          <w:lang w:val="en-US" w:eastAsia="zh-CN"/>
        </w:rPr>
        <w:t xml:space="preserve">工</w:t>
      </w:r>
      <w:r>
        <w:rPr>
          <w:rFonts w:hint="eastAsia" w:ascii="宋体" w:hAnsi="宋体" w:eastAsia="宋体" w:cs="宋体"/>
          <w:color w:val="auto"/>
          <w:sz w:val="24"/>
          <w:szCs w:val="24"/>
          <w:highlight w:val="none"/>
          <w:u w:val="single"/>
        </w:rPr>
        <w:t xml:space="preserve">业 </w:t>
      </w:r>
      <w:r>
        <w:rPr>
          <w:rFonts w:hint="eastAsia" w:ascii="宋体" w:hAnsi="宋体" w:eastAsia="宋体" w:cs="宋体"/>
          <w:color w:val="auto"/>
          <w:sz w:val="24"/>
          <w:szCs w:val="24"/>
          <w:highlight w:val="none"/>
        </w:rPr>
        <w:t xml:space="preserve">。</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3.成交供应商的中小企业声明函将在结果公告中对外公示，声明函内容不实的，属于提供虚假材料谋取成交，将依照《中华人民共和国政府采购法》等国家有关规定追究相应责任。</w:t>
      </w:r>
      <w:r/>
    </w:p>
    <w:p>
      <w:pPr>
        <w:pStyle w:val="1051"/>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br w:type="page" w:clear="all"/>
      </w:r>
      <w:r>
        <w:rPr>
          <w:rFonts w:hint="eastAsia" w:ascii="宋体" w:hAnsi="宋体" w:eastAsia="宋体" w:cs="宋体"/>
          <w:color w:val="auto"/>
          <w:sz w:val="24"/>
          <w:szCs w:val="24"/>
          <w:highlight w:val="none"/>
        </w:rPr>
        <w:t xml:space="preserve">附件5：</w:t>
      </w:r>
      <w:r/>
    </w:p>
    <w:p>
      <w:pPr>
        <w:pStyle w:val="1051"/>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残疾人福利性单位声明函</w:t>
      </w:r>
      <w:r/>
    </w:p>
    <w:p>
      <w:pPr>
        <w:pStyle w:val="113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项目采购活动提供服务。</w:t>
      </w:r>
      <w:r/>
    </w:p>
    <w:p>
      <w:pPr>
        <w:pStyle w:val="113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1.非残疾人福利性单位不需提供此声明函。</w:t>
      </w:r>
      <w:r/>
    </w:p>
    <w:p>
      <w:pPr>
        <w:pStyle w:val="11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1"/>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051"/>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监狱企业声明函</w:t>
      </w:r>
      <w:r/>
    </w:p>
    <w:p>
      <w:pPr>
        <w:pStyle w:val="11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13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项目的采购活动，并由本单位为本项目提供服务。</w:t>
      </w:r>
      <w:r/>
    </w:p>
    <w:p>
      <w:pPr>
        <w:pStyle w:val="113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11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1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1"/>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br w:type="page" w:clear="all"/>
      </w:r>
      <w:r/>
    </w:p>
    <w:p>
      <w:pPr>
        <w:pStyle w:val="1051"/>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关于符合本国产品标准的声明函</w:t>
      </w:r>
      <w:r/>
    </w:p>
    <w:p>
      <w:pPr>
        <w:pStyle w:val="105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1209"/>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1209"/>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1209"/>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1209"/>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1209"/>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1051"/>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1051"/>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投标人名称（加盖CA电子公章）：</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1051"/>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51"/>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_____________________________</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pStyle w:val="835"/>
        <w:keepLines w:val="0"/>
        <w:keepNext w:val="0"/>
        <w:pageBreakBefore w:val="0"/>
        <w:spacing w:line="360" w:lineRule="auto"/>
        <w:rPr>
          <w:rFonts w:hint="eastAsia" w:ascii="宋体" w:hAnsi="宋体" w:eastAsia="宋体" w:cs="宋体"/>
          <w:color w:val="auto"/>
          <w:sz w:val="24"/>
          <w:szCs w:val="24"/>
          <w:highlight w:val="none"/>
          <w:lang w:val="en-US" w:eastAsia="zh-CN" w:bidi="ar"/>
        </w:rPr>
        <w:sectPr>
          <w:footerReference w:type="default" r:id="rId9"/>
          <w:footnotePr/>
          <w:endnotePr/>
          <w:type w:val="nextPage"/>
          <w:pgSz w:w="11907" w:h="16840" w:orient="portrait"/>
          <w:pgMar w:top="1440" w:right="1463" w:bottom="1440" w:left="1463" w:header="851" w:footer="851" w:gutter="0"/>
          <w:cols w:num="1" w:sep="0" w:space="1701" w:equalWidth="1"/>
          <w:docGrid w:linePitch="360"/>
        </w:sectPr>
      </w:pPr>
      <w:r>
        <w:rPr>
          <w:rFonts w:hint="eastAsia" w:ascii="宋体" w:hAnsi="宋体" w:eastAsia="宋体" w:cs="宋体"/>
          <w:color w:val="auto"/>
          <w:sz w:val="24"/>
          <w:szCs w:val="24"/>
          <w:highlight w:val="none"/>
          <w:lang w:val="en-US" w:eastAsia="zh-CN" w:bidi="ar"/>
        </w:rPr>
      </w:r>
      <w:r/>
    </w:p>
    <w:p>
      <w:pPr>
        <w:jc w:val="center"/>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投标报价明细表</w:t>
      </w:r>
      <w:r/>
    </w:p>
    <w:p>
      <w:pPr>
        <w:jc w:val="center"/>
        <w:spacing w:line="520" w:lineRule="exac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87"/>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062"/>
        <w:gridCol w:w="1035"/>
        <w:gridCol w:w="832"/>
        <w:gridCol w:w="1118"/>
        <w:gridCol w:w="1049"/>
        <w:gridCol w:w="1876"/>
      </w:tblGrid>
      <w:tr>
        <w:trPr>
          <w:jc w:val="center"/>
          <w:trHeight w:val="562"/>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泰州市人民医院大孔径CT模拟定位机采购项目</w:t>
            </w:r>
            <w:r/>
          </w:p>
        </w:tc>
      </w:tr>
      <w:tr>
        <w:trPr>
          <w:jc w:val="center"/>
          <w:trHeight w:val="122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标的名称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合计</w:t>
            </w:r>
            <w:r/>
          </w:p>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所投产品品牌或生产厂家名称</w:t>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rPr>
              <w:t xml:space="preserve">大孔径CT模拟定位机</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1395"/>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总价：</w:t>
            </w:r>
            <w:r>
              <w:rPr>
                <w:rFonts w:hint="eastAsia" w:ascii="宋体" w:hAnsi="宋体" w:eastAsia="宋体" w:cs="宋体"/>
                <w:b/>
                <w:bCs/>
                <w:color w:val="auto"/>
                <w:sz w:val="24"/>
                <w:szCs w:val="24"/>
                <w:highlight w:val="none"/>
                <w:u w:val="single"/>
                <w:lang w:bidi="ar"/>
              </w:rPr>
              <w:t xml:space="preserve">          </w:t>
            </w:r>
            <w:r>
              <w:rPr>
                <w:rFonts w:hint="eastAsia" w:ascii="宋体" w:hAnsi="宋体" w:eastAsia="宋体" w:cs="宋体"/>
                <w:b/>
                <w:bCs/>
                <w:color w:val="auto"/>
                <w:sz w:val="24"/>
                <w:szCs w:val="24"/>
                <w:highlight w:val="none"/>
                <w:lang w:bidi="ar"/>
              </w:rPr>
              <w:t xml:space="preserve">元</w:t>
            </w:r>
            <w:r>
              <w:rPr>
                <w:rFonts w:hint="eastAsia" w:ascii="宋体" w:hAnsi="宋体" w:eastAsia="宋体" w:cs="宋体"/>
                <w:color w:val="auto"/>
                <w:sz w:val="24"/>
                <w:szCs w:val="24"/>
                <w:highlight w:val="none"/>
                <w:lang w:bidi="ar"/>
              </w:rPr>
              <w:t xml:space="preserve"> </w:t>
            </w:r>
            <w:r/>
          </w:p>
        </w:tc>
      </w:tr>
    </w:tbl>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spacing w:line="520" w:lineRule="exact"/>
        <w:rPr>
          <w:rFonts w:hint="eastAsia" w:ascii="宋体" w:hAnsi="宋体" w:eastAsia="宋体" w:cs="宋体"/>
          <w:b/>
          <w:color w:val="auto"/>
          <w:spacing w:val="-4"/>
          <w:sz w:val="24"/>
          <w:szCs w:val="24"/>
          <w:highlight w:val="none"/>
        </w:rPr>
      </w:pPr>
      <w:r>
        <w:rPr>
          <w:rFonts w:hint="eastAsia" w:ascii="宋体" w:hAnsi="宋体" w:eastAsia="宋体" w:cs="宋体"/>
          <w:color w:val="auto"/>
          <w:sz w:val="24"/>
          <w:szCs w:val="24"/>
          <w:highlight w:val="none"/>
        </w:rPr>
        <w:t xml:space="preserve">年   月   日 </w:t>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
          <w:bCs w:val="0"/>
          <w:color w:val="auto"/>
          <w:sz w:val="32"/>
          <w:szCs w:val="32"/>
          <w:highlight w:val="none"/>
        </w:rPr>
        <w:t xml:space="preserve">质保期</w:t>
      </w:r>
      <w:r>
        <w:rPr>
          <w:rFonts w:hint="eastAsia" w:ascii="宋体" w:hAnsi="宋体" w:eastAsia="宋体" w:cs="宋体"/>
          <w:b/>
          <w:bCs w:val="0"/>
          <w:color w:val="auto"/>
          <w:sz w:val="32"/>
          <w:szCs w:val="32"/>
          <w:highlight w:val="none"/>
          <w:lang w:val="en-US" w:eastAsia="zh-CN"/>
        </w:rPr>
        <w:t xml:space="preserve">及整机维保费率</w:t>
      </w:r>
      <w:r>
        <w:rPr>
          <w:rFonts w:hint="eastAsia" w:ascii="宋体" w:hAnsi="宋体" w:eastAsia="宋体" w:cs="宋体"/>
          <w:b/>
          <w:bCs w:val="0"/>
          <w:color w:val="auto"/>
          <w:sz w:val="32"/>
          <w:szCs w:val="32"/>
          <w:highlight w:val="none"/>
        </w:rPr>
        <w:t xml:space="preserve">响应表</w:t>
      </w:r>
      <w:r/>
    </w:p>
    <w:tbl>
      <w:tblPr>
        <w:tblStyle w:val="787"/>
        <w:tblW w:w="96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2160"/>
        <w:gridCol w:w="2106"/>
        <w:gridCol w:w="2160"/>
        <w:gridCol w:w="2323"/>
      </w:tblGrid>
      <w:tr>
        <w:trPr>
          <w:jc w:val="center"/>
          <w:trHeight w:val="656"/>
        </w:trPr>
        <w:tc>
          <w:tcPr>
            <w:tcW w:w="9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160" w:type="dxa"/>
            <w:vAlign w:val="center"/>
            <w:textDirection w:val="lrTb"/>
            <w:noWrap w:val="false"/>
          </w:tcPr>
          <w:p>
            <w:pPr>
              <w:jc w:val="cente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采购文件要求的</w:t>
            </w:r>
            <w:r>
              <w:rPr>
                <w:rFonts w:hint="eastAsia" w:ascii="宋体" w:hAnsi="宋体" w:eastAsia="宋体" w:cs="宋体"/>
                <w:b/>
                <w:bCs/>
                <w:color w:val="auto"/>
                <w:sz w:val="24"/>
                <w:szCs w:val="24"/>
                <w:highlight w:val="none"/>
              </w:rPr>
              <w:t xml:space="preserve">免费质保期</w:t>
            </w:r>
            <w:r/>
          </w:p>
        </w:tc>
        <w:tc>
          <w:tcPr>
            <w:tcW w:w="2106"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供应商承诺的</w:t>
            </w:r>
            <w:r>
              <w:rPr>
                <w:rFonts w:hint="eastAsia" w:ascii="宋体" w:hAnsi="宋体" w:eastAsia="宋体" w:cs="宋体"/>
                <w:b/>
                <w:bCs/>
                <w:sz w:val="24"/>
                <w:szCs w:val="24"/>
                <w:lang w:val="en-US" w:eastAsia="zh-CN"/>
              </w:rPr>
              <w:t xml:space="preserve">免费质保期</w:t>
            </w:r>
            <w:r/>
          </w:p>
        </w:tc>
        <w:tc>
          <w:tcPr>
            <w:tcW w:w="2160"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采购文件要求的免费质保期后</w:t>
            </w:r>
            <w:r>
              <w:rPr>
                <w:rFonts w:hint="eastAsia" w:ascii="宋体" w:hAnsi="宋体" w:eastAsia="宋体" w:cs="宋体"/>
                <w:b/>
                <w:bCs/>
                <w:sz w:val="24"/>
                <w:szCs w:val="24"/>
                <w:lang w:val="en-US" w:eastAsia="zh-CN"/>
              </w:rPr>
              <w:t xml:space="preserve">整机维保费率</w:t>
            </w:r>
            <w:r/>
          </w:p>
        </w:tc>
        <w:tc>
          <w:tcPr>
            <w:tcW w:w="2323"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供应商承诺的</w:t>
            </w:r>
            <w:r>
              <w:rPr>
                <w:rFonts w:hint="eastAsia" w:ascii="宋体" w:hAnsi="宋体" w:eastAsia="宋体" w:cs="宋体"/>
                <w:b/>
                <w:bCs/>
                <w:sz w:val="24"/>
                <w:szCs w:val="24"/>
                <w:lang w:val="en-US" w:eastAsia="zh-CN"/>
              </w:rPr>
              <w:t xml:space="preserve">免费质保期</w:t>
            </w:r>
            <w:r>
              <w:rPr>
                <w:rFonts w:hint="eastAsia" w:ascii="宋体" w:hAnsi="宋体" w:eastAsia="宋体" w:cs="宋体"/>
                <w:sz w:val="24"/>
                <w:szCs w:val="24"/>
                <w:lang w:val="en-US" w:eastAsia="zh-CN"/>
              </w:rPr>
              <w:t xml:space="preserve">后</w:t>
            </w:r>
            <w:r>
              <w:rPr>
                <w:rFonts w:hint="eastAsia" w:ascii="宋体" w:hAnsi="宋体" w:eastAsia="宋体" w:cs="宋体"/>
                <w:b/>
                <w:bCs/>
                <w:sz w:val="24"/>
                <w:szCs w:val="24"/>
                <w:lang w:val="en-US" w:eastAsia="zh-CN"/>
              </w:rPr>
              <w:t xml:space="preserve">整机维保费率</w:t>
            </w:r>
            <w:r/>
          </w:p>
        </w:tc>
      </w:tr>
      <w:tr>
        <w:trPr>
          <w:jc w:val="center"/>
          <w:trHeight w:val="599"/>
        </w:trPr>
        <w:tc>
          <w:tcPr>
            <w:tcW w:w="904" w:type="dxa"/>
            <w:vAlign w:val="center"/>
            <w:textDirection w:val="lrTb"/>
            <w:noWrap w:val="false"/>
          </w:tcPr>
          <w:p>
            <w:pPr>
              <w:jc w:val="center"/>
              <w:spacing w:line="240" w:lineRule="auto"/>
              <w:tabs>
                <w:tab w:val="left" w:pos="6300" w:leader="none"/>
              </w:tabs>
              <w:rPr>
                <w:rFonts w:hint="eastAsia" w:ascii="宋体" w:hAnsi="宋体" w:eastAsia="宋体" w:cs="宋体"/>
                <w:szCs w:val="21"/>
                <w:lang w:val="en-US" w:eastAsia="zh-CN"/>
              </w:rPr>
              <w:outlineLvl w:val="1"/>
            </w:pPr>
            <w:r>
              <w:rPr>
                <w:rFonts w:hint="eastAsia" w:ascii="宋体" w:hAnsi="宋体" w:eastAsia="宋体" w:cs="宋体"/>
                <w:szCs w:val="21"/>
                <w:lang w:val="en-US" w:eastAsia="zh-CN"/>
              </w:rPr>
              <w:t xml:space="preserve">1</w:t>
            </w:r>
            <w:r/>
          </w:p>
        </w:tc>
        <w:tc>
          <w:tcPr>
            <w:tcW w:w="2160" w:type="dxa"/>
            <w:vAlign w:val="center"/>
            <w:textDirection w:val="lrTb"/>
            <w:noWrap w:val="false"/>
          </w:tcPr>
          <w:p>
            <w:pPr>
              <w:jc w:val="center"/>
              <w:spacing w:line="240" w:lineRule="auto"/>
              <w:tabs>
                <w:tab w:val="left" w:pos="6300" w:leader="none"/>
              </w:tabs>
              <w:rPr>
                <w:rFonts w:hint="eastAsia" w:ascii="宋体" w:hAnsi="宋体" w:eastAsia="宋体" w:cs="宋体"/>
                <w:szCs w:val="21"/>
                <w:lang w:val="en-US" w:eastAsia="zh-CN"/>
              </w:rPr>
              <w:outlineLvl w:val="1"/>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年</w:t>
            </w:r>
            <w:r/>
          </w:p>
        </w:tc>
        <w:tc>
          <w:tcPr>
            <w:tcW w:w="2106" w:type="dxa"/>
            <w:vAlign w:val="center"/>
            <w:textDirection w:val="lrTb"/>
            <w:noWrap w:val="false"/>
          </w:tcPr>
          <w:p>
            <w:pPr>
              <w:jc w:val="center"/>
              <w:spacing w:line="240" w:lineRule="auto"/>
              <w:tabs>
                <w:tab w:val="left" w:pos="6300" w:leader="none"/>
              </w:tabs>
              <w:rPr>
                <w:rFonts w:hint="eastAsia" w:ascii="宋体" w:hAnsi="宋体" w:eastAsia="宋体" w:cs="宋体"/>
                <w:szCs w:val="21"/>
              </w:rPr>
              <w:outlineLvl w:val="1"/>
            </w:pPr>
            <w:r>
              <w:rPr>
                <w:rFonts w:hint="eastAsia" w:ascii="宋体" w:hAnsi="宋体" w:eastAsia="宋体" w:cs="宋体"/>
                <w:szCs w:val="21"/>
              </w:rPr>
            </w:r>
            <w:r/>
          </w:p>
        </w:tc>
        <w:tc>
          <w:tcPr>
            <w:tcW w:w="2160" w:type="dxa"/>
            <w:vAlign w:val="center"/>
            <w:textDirection w:val="lrTb"/>
            <w:noWrap w:val="false"/>
          </w:tcPr>
          <w:p>
            <w:pPr>
              <w:jc w:val="center"/>
              <w:spacing w:line="240" w:lineRule="auto"/>
              <w:tabs>
                <w:tab w:val="left" w:pos="6300" w:leader="none"/>
              </w:tabs>
              <w:rPr>
                <w:rFonts w:hint="eastAsia" w:ascii="宋体" w:hAnsi="宋体" w:eastAsia="宋体" w:cs="宋体"/>
                <w:szCs w:val="21"/>
              </w:rPr>
              <w:outlineLvl w:val="1"/>
            </w:pPr>
            <w:r>
              <w:rPr>
                <w:rFonts w:hint="eastAsia" w:ascii="宋体" w:hAnsi="宋体" w:eastAsia="宋体" w:cs="宋体"/>
                <w:b/>
                <w:bCs/>
                <w:color w:val="auto"/>
                <w:sz w:val="24"/>
                <w:szCs w:val="24"/>
                <w:highlight w:val="none"/>
              </w:rPr>
              <w:t xml:space="preserve">不得高于8%</w:t>
            </w:r>
            <w:r/>
          </w:p>
        </w:tc>
        <w:tc>
          <w:tcPr>
            <w:tcW w:w="2323" w:type="dxa"/>
            <w:vAlign w:val="center"/>
            <w:textDirection w:val="lrTb"/>
            <w:noWrap w:val="false"/>
          </w:tcPr>
          <w:p>
            <w:pPr>
              <w:jc w:val="center"/>
              <w:spacing w:line="240" w:lineRule="auto"/>
              <w:tabs>
                <w:tab w:val="left" w:pos="6300" w:leader="none"/>
              </w:tabs>
              <w:rPr>
                <w:rFonts w:hint="eastAsia" w:ascii="宋体" w:hAnsi="宋体" w:eastAsia="宋体" w:cs="宋体"/>
                <w:szCs w:val="21"/>
              </w:rPr>
              <w:outlineLvl w:val="1"/>
            </w:pPr>
            <w:r>
              <w:rPr>
                <w:rFonts w:hint="eastAsia" w:ascii="宋体" w:hAnsi="宋体" w:eastAsia="宋体" w:cs="宋体"/>
                <w:szCs w:val="21"/>
              </w:rPr>
            </w:r>
            <w:r/>
          </w:p>
        </w:tc>
      </w:tr>
      <w:tr>
        <w:trPr>
          <w:jc w:val="center"/>
          <w:trHeight w:val="599"/>
        </w:trPr>
        <w:tc>
          <w:tcPr>
            <w:tcW w:w="904" w:type="dxa"/>
            <w:vAlign w:val="center"/>
            <w:textDirection w:val="lrTb"/>
            <w:noWrap w:val="false"/>
          </w:tcPr>
          <w:p>
            <w:pPr>
              <w:jc w:val="center"/>
              <w:spacing w:line="240" w:lineRule="auto"/>
              <w:tabs>
                <w:tab w:val="left" w:pos="6300" w:leader="none"/>
              </w:tabs>
              <w:rPr>
                <w:rFonts w:hint="default" w:ascii="宋体" w:hAnsi="宋体" w:eastAsia="宋体" w:cs="宋体"/>
                <w:szCs w:val="21"/>
                <w:lang w:val="en-US" w:eastAsia="zh-CN"/>
              </w:rPr>
              <w:outlineLvl w:val="1"/>
            </w:pPr>
            <w:r>
              <w:rPr>
                <w:rFonts w:hint="eastAsia" w:ascii="宋体" w:hAnsi="宋体" w:eastAsia="宋体" w:cs="宋体"/>
                <w:szCs w:val="21"/>
                <w:lang w:val="en-US" w:eastAsia="zh-CN"/>
              </w:rPr>
              <w:t xml:space="preserve">2</w:t>
            </w:r>
            <w:r/>
          </w:p>
        </w:tc>
        <w:tc>
          <w:tcPr>
            <w:tcW w:w="2160" w:type="dxa"/>
            <w:vAlign w:val="center"/>
            <w:textDirection w:val="lrTb"/>
            <w:noWrap w:val="false"/>
          </w:tcPr>
          <w:p>
            <w:pPr>
              <w:jc w:val="center"/>
              <w:spacing w:line="240" w:lineRule="auto"/>
              <w:tabs>
                <w:tab w:val="left" w:pos="630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tc>
        <w:tc>
          <w:tcPr>
            <w:tcW w:w="2106" w:type="dxa"/>
            <w:vAlign w:val="center"/>
            <w:textDirection w:val="lrTb"/>
            <w:noWrap w:val="false"/>
          </w:tcPr>
          <w:p>
            <w:pPr>
              <w:jc w:val="center"/>
              <w:spacing w:line="240" w:lineRule="auto"/>
              <w:tabs>
                <w:tab w:val="left" w:pos="6300" w:leader="none"/>
              </w:tabs>
              <w:rPr>
                <w:rFonts w:hint="eastAsia" w:ascii="宋体" w:hAnsi="宋体" w:eastAsia="宋体" w:cs="宋体"/>
                <w:szCs w:val="21"/>
              </w:rPr>
              <w:outlineLvl w:val="1"/>
            </w:pPr>
            <w:r>
              <w:rPr>
                <w:rFonts w:hint="eastAsia" w:ascii="宋体" w:hAnsi="宋体" w:eastAsia="宋体" w:cs="宋体"/>
                <w:szCs w:val="21"/>
              </w:rPr>
            </w:r>
            <w:r/>
          </w:p>
        </w:tc>
        <w:tc>
          <w:tcPr>
            <w:tcW w:w="2160" w:type="dxa"/>
            <w:vAlign w:val="center"/>
            <w:textDirection w:val="lrTb"/>
            <w:noWrap w:val="false"/>
          </w:tcPr>
          <w:p>
            <w:pPr>
              <w:jc w:val="center"/>
              <w:spacing w:line="240" w:lineRule="auto"/>
              <w:tabs>
                <w:tab w:val="left" w:pos="6300" w:leader="none"/>
              </w:tabs>
              <w:rPr>
                <w:rFonts w:hint="eastAsia" w:ascii="宋体" w:hAnsi="宋体" w:eastAsia="宋体" w:cs="宋体"/>
                <w:szCs w:val="21"/>
              </w:rPr>
              <w:outlineLvl w:val="1"/>
            </w:pPr>
            <w:r>
              <w:rPr>
                <w:rFonts w:hint="eastAsia" w:ascii="宋体" w:hAnsi="宋体" w:eastAsia="宋体" w:cs="宋体"/>
                <w:szCs w:val="21"/>
              </w:rPr>
            </w:r>
            <w:r/>
          </w:p>
        </w:tc>
        <w:tc>
          <w:tcPr>
            <w:tcW w:w="2323" w:type="dxa"/>
            <w:vAlign w:val="center"/>
            <w:textDirection w:val="lrTb"/>
            <w:noWrap w:val="false"/>
          </w:tcPr>
          <w:p>
            <w:pPr>
              <w:jc w:val="center"/>
              <w:spacing w:line="240" w:lineRule="auto"/>
              <w:tabs>
                <w:tab w:val="left" w:pos="6300" w:leader="none"/>
              </w:tabs>
              <w:rPr>
                <w:rFonts w:hint="eastAsia" w:ascii="宋体" w:hAnsi="宋体" w:eastAsia="宋体" w:cs="宋体"/>
                <w:szCs w:val="21"/>
              </w:rPr>
              <w:outlineLvl w:val="1"/>
            </w:pPr>
            <w:r>
              <w:rPr>
                <w:rFonts w:hint="eastAsia" w:ascii="宋体" w:hAnsi="宋体" w:eastAsia="宋体" w:cs="宋体"/>
                <w:szCs w:val="21"/>
              </w:rPr>
            </w:r>
            <w:r/>
          </w:p>
        </w:tc>
      </w:tr>
    </w:tbl>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供应商名称：</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（盖单位章）</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法定代表人或授权代表（签字或盖章）： </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日期：  　年　月　日</w:t>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一、质疑供应商基本信息</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质疑供应商：</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联系人：联系电话：</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授权代表：</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二、质疑项目基本情况</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质疑项目的名称：</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质疑项目的编号：包号：</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采购人名称：</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采购文件获取日期：</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三、质疑事项具体内容</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质疑事项1：</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事实依据：</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法律依据：</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质疑事项2</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四、与质疑事项相关的质疑请求</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请求：</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签字（签字或盖章）：    公章：</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质疑函制作说明：</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1.供应商质疑时，应提交质疑函和必要的证明材料。</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3.质疑供应商若对项目的某一分包进行质疑，质疑函中应列明具体分包号。</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4.质疑函的质疑事项应具体、明确，并有必要的事实依据和法律依据。</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5.质疑函的质疑请求应与质疑事项相关。</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8"/>
      <w:footerReference w:type="default" r:id="rId10"/>
      <w:footerReference w:type="first" r:id="rId11"/>
      <w:footnotePr/>
      <w:endnotePr/>
      <w:type w:val="nextPage"/>
      <w:pgSz w:w="11906" w:h="16838" w:orient="portrait"/>
      <w:pgMar w:top="1440" w:right="1418" w:bottom="1440" w:left="1418"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490" w:leader="none"/>
        <w:tab w:val="clear" w:pos="7143"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6">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5">
    <w:name w:val="TOC Heading"/>
    <w:uiPriority w:val="39"/>
    <w:unhideWhenUsed/>
  </w:style>
  <w:style w:type="paragraph" w:styleId="776" w:default="1">
    <w:name w:val="Normal"/>
    <w:link w:val="1210"/>
    <w:uiPriority w:val="0"/>
    <w:qFormat/>
    <w:pPr>
      <w:jc w:val="both"/>
      <w:widowControl w:val="off"/>
    </w:pPr>
    <w:rPr>
      <w:rFonts w:ascii="Times New Roman" w:hAnsi="Times New Roman" w:eastAsia="楷体_GB2312" w:cs="Times New Roman"/>
      <w:sz w:val="26"/>
      <w:lang w:val="en-US" w:eastAsia="zh-CN" w:bidi="ar-SA"/>
    </w:rPr>
  </w:style>
  <w:style w:type="paragraph" w:styleId="777">
    <w:name w:val="Heading 1"/>
    <w:basedOn w:val="776"/>
    <w:next w:val="776"/>
    <w:link w:val="1015"/>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81"/>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82"/>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83"/>
    <w:uiPriority w:val="9"/>
    <w:unhideWhenUsed/>
    <w:qFormat/>
    <w:pPr>
      <w:keepLines/>
      <w:keepNext/>
      <w:spacing w:before="320" w:after="200"/>
      <w:outlineLvl w:val="3"/>
    </w:pPr>
    <w:rPr>
      <w:rFonts w:ascii="Arial" w:hAnsi="Arial" w:eastAsia="Arial" w:cs="Arial"/>
      <w:b/>
      <w:bCs/>
      <w:szCs w:val="26"/>
    </w:rPr>
  </w:style>
  <w:style w:type="paragraph" w:styleId="781">
    <w:name w:val="Heading 5"/>
    <w:basedOn w:val="776"/>
    <w:next w:val="776"/>
    <w:link w:val="884"/>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85"/>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87"/>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88"/>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spacing w:after="57"/>
    </w:pPr>
  </w:style>
  <w:style w:type="paragraph" w:styleId="789">
    <w:name w:val="table of authorities"/>
    <w:basedOn w:val="776"/>
    <w:next w:val="776"/>
    <w:uiPriority w:val="99"/>
    <w:qFormat/>
    <w:pPr>
      <w:jc w:val="center"/>
      <w:spacing w:after="200"/>
    </w:pPr>
    <w:rPr>
      <w:rFonts w:eastAsia="黑体"/>
      <w:b/>
      <w:sz w:val="18"/>
    </w:rPr>
  </w:style>
  <w:style w:type="paragraph" w:styleId="790">
    <w:name w:val="Normal Indent"/>
    <w:basedOn w:val="776"/>
    <w:link w:val="1161"/>
    <w:uiPriority w:val="0"/>
    <w:unhideWhenUsed/>
    <w:qFormat/>
    <w:pPr>
      <w:ind w:firstLine="420"/>
      <w:jc w:val="left"/>
    </w:pPr>
    <w:rPr>
      <w:sz w:val="24"/>
    </w:rPr>
  </w:style>
  <w:style w:type="paragraph" w:styleId="791">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2">
    <w:name w:val="Document Map"/>
    <w:basedOn w:val="776"/>
    <w:uiPriority w:val="0"/>
    <w:unhideWhenUsed/>
    <w:qFormat/>
    <w:pPr>
      <w:shd w:val="clear" w:color="auto" w:fill="000080"/>
    </w:pPr>
    <w:rPr>
      <w:rFonts w:eastAsia="宋体"/>
      <w:sz w:val="21"/>
      <w:szCs w:val="24"/>
    </w:rPr>
  </w:style>
  <w:style w:type="paragraph" w:styleId="793">
    <w:name w:val="annotation text"/>
    <w:basedOn w:val="776"/>
    <w:uiPriority w:val="0"/>
    <w:qFormat/>
    <w:pPr>
      <w:jc w:val="left"/>
    </w:pPr>
  </w:style>
  <w:style w:type="paragraph" w:styleId="794">
    <w:name w:val="Body Text"/>
    <w:basedOn w:val="776"/>
    <w:uiPriority w:val="0"/>
    <w:qFormat/>
    <w:rPr>
      <w:rFonts w:ascii="楷体_GB2312" w:hAnsi="Arial"/>
      <w:sz w:val="28"/>
    </w:rPr>
  </w:style>
  <w:style w:type="paragraph" w:styleId="795">
    <w:name w:val="Body Text Indent"/>
    <w:basedOn w:val="776"/>
    <w:link w:val="1202"/>
    <w:uiPriority w:val="0"/>
    <w:qFormat/>
    <w:pPr>
      <w:ind w:firstLine="645"/>
    </w:pPr>
    <w:rPr>
      <w:rFonts w:ascii="楷体_GB2312" w:hAnsiTheme="minorHAnsi" w:cstheme="minorBidi"/>
      <w:sz w:val="32"/>
      <w:szCs w:val="22"/>
    </w:rPr>
  </w:style>
  <w:style w:type="paragraph" w:styleId="796">
    <w:name w:val="index 4"/>
    <w:basedOn w:val="776"/>
    <w:next w:val="776"/>
    <w:uiPriority w:val="0"/>
    <w:semiHidden/>
    <w:qFormat/>
    <w:pPr>
      <w:ind w:left="1260"/>
    </w:pPr>
  </w:style>
  <w:style w:type="paragraph" w:styleId="797">
    <w:name w:val="toc 5"/>
    <w:basedOn w:val="776"/>
    <w:next w:val="776"/>
    <w:uiPriority w:val="39"/>
    <w:unhideWhenUsed/>
    <w:qFormat/>
    <w:pPr>
      <w:ind w:left="1134"/>
      <w:spacing w:after="57"/>
    </w:pPr>
  </w:style>
  <w:style w:type="paragraph" w:styleId="798">
    <w:name w:val="toc 3"/>
    <w:basedOn w:val="776"/>
    <w:next w:val="776"/>
    <w:uiPriority w:val="39"/>
    <w:unhideWhenUsed/>
    <w:qFormat/>
    <w:pPr>
      <w:ind w:left="567"/>
      <w:spacing w:after="57"/>
    </w:pPr>
  </w:style>
  <w:style w:type="paragraph" w:styleId="799">
    <w:name w:val="Plain Text"/>
    <w:basedOn w:val="776"/>
    <w:next w:val="790"/>
    <w:link w:val="1155"/>
    <w:uiPriority w:val="0"/>
    <w:unhideWhenUsed/>
    <w:qFormat/>
    <w:rPr>
      <w:rFonts w:ascii="宋体" w:hAnsi="Courier New"/>
    </w:rPr>
  </w:style>
  <w:style w:type="paragraph" w:styleId="800">
    <w:name w:val="toc 8"/>
    <w:basedOn w:val="776"/>
    <w:next w:val="776"/>
    <w:uiPriority w:val="39"/>
    <w:unhideWhenUsed/>
    <w:qFormat/>
    <w:pPr>
      <w:ind w:left="1984"/>
      <w:spacing w:after="57"/>
    </w:pPr>
  </w:style>
  <w:style w:type="paragraph" w:styleId="801">
    <w:name w:val="endnote text"/>
    <w:basedOn w:val="776"/>
    <w:link w:val="1005"/>
    <w:uiPriority w:val="99"/>
    <w:semiHidden/>
    <w:unhideWhenUsed/>
    <w:qFormat/>
    <w:rPr>
      <w:sz w:val="20"/>
    </w:rPr>
  </w:style>
  <w:style w:type="paragraph" w:styleId="802">
    <w:name w:val="Footer"/>
    <w:basedOn w:val="776"/>
    <w:link w:val="897"/>
    <w:uiPriority w:val="99"/>
    <w:unhideWhenUsed/>
    <w:qFormat/>
    <w:pPr>
      <w:tabs>
        <w:tab w:val="center" w:pos="7143" w:leader="none"/>
        <w:tab w:val="right" w:pos="14287" w:leader="none"/>
      </w:tabs>
    </w:pPr>
  </w:style>
  <w:style w:type="paragraph" w:styleId="803">
    <w:name w:val="envelope return"/>
    <w:basedOn w:val="776"/>
    <w:uiPriority w:val="0"/>
    <w:unhideWhenUsed/>
    <w:qFormat/>
    <w:rPr>
      <w:rFonts w:ascii="Arial" w:hAnsi="Arial"/>
    </w:rPr>
  </w:style>
  <w:style w:type="paragraph" w:styleId="804">
    <w:name w:val="Header"/>
    <w:basedOn w:val="776"/>
    <w:link w:val="895"/>
    <w:uiPriority w:val="99"/>
    <w:unhideWhenUsed/>
    <w:qFormat/>
    <w:pPr>
      <w:tabs>
        <w:tab w:val="center" w:pos="7143" w:leader="none"/>
        <w:tab w:val="right" w:pos="14287" w:leader="none"/>
      </w:tabs>
    </w:pPr>
  </w:style>
  <w:style w:type="paragraph" w:styleId="805">
    <w:name w:val="toc 1"/>
    <w:basedOn w:val="776"/>
    <w:next w:val="776"/>
    <w:uiPriority w:val="39"/>
    <w:unhideWhenUsed/>
    <w:qFormat/>
    <w:pPr>
      <w:spacing w:after="57"/>
    </w:pPr>
  </w:style>
  <w:style w:type="paragraph" w:styleId="806">
    <w:name w:val="toc 4"/>
    <w:basedOn w:val="776"/>
    <w:next w:val="776"/>
    <w:uiPriority w:val="39"/>
    <w:unhideWhenUsed/>
    <w:qFormat/>
    <w:pPr>
      <w:ind w:left="850"/>
      <w:spacing w:after="57"/>
    </w:pPr>
  </w:style>
  <w:style w:type="paragraph" w:styleId="807">
    <w:name w:val="Subtitle"/>
    <w:basedOn w:val="776"/>
    <w:next w:val="776"/>
    <w:link w:val="890"/>
    <w:uiPriority w:val="11"/>
    <w:qFormat/>
    <w:pPr>
      <w:spacing w:before="200" w:after="200"/>
    </w:pPr>
    <w:rPr>
      <w:sz w:val="24"/>
      <w:szCs w:val="24"/>
    </w:rPr>
  </w:style>
  <w:style w:type="paragraph" w:styleId="808">
    <w:name w:val="footnote text"/>
    <w:basedOn w:val="776"/>
    <w:link w:val="1004"/>
    <w:uiPriority w:val="99"/>
    <w:semiHidden/>
    <w:unhideWhenUsed/>
    <w:qFormat/>
    <w:pPr>
      <w:spacing w:after="40"/>
    </w:pPr>
    <w:rPr>
      <w:sz w:val="18"/>
    </w:rPr>
  </w:style>
  <w:style w:type="paragraph" w:styleId="809">
    <w:name w:val="toc 6"/>
    <w:basedOn w:val="776"/>
    <w:next w:val="776"/>
    <w:uiPriority w:val="39"/>
    <w:unhideWhenUsed/>
    <w:qFormat/>
    <w:pPr>
      <w:ind w:left="1417"/>
      <w:spacing w:after="57"/>
    </w:pPr>
  </w:style>
  <w:style w:type="paragraph" w:styleId="810">
    <w:name w:val="table of figures"/>
    <w:basedOn w:val="776"/>
    <w:next w:val="776"/>
    <w:uiPriority w:val="99"/>
    <w:unhideWhenUsed/>
    <w:qFormat/>
  </w:style>
  <w:style w:type="paragraph" w:styleId="811">
    <w:name w:val="toc 2"/>
    <w:basedOn w:val="776"/>
    <w:next w:val="776"/>
    <w:uiPriority w:val="39"/>
    <w:unhideWhenUsed/>
    <w:qFormat/>
    <w:pPr>
      <w:ind w:left="283"/>
      <w:spacing w:after="57"/>
    </w:pPr>
  </w:style>
  <w:style w:type="paragraph" w:styleId="812">
    <w:name w:val="toc 9"/>
    <w:basedOn w:val="776"/>
    <w:next w:val="776"/>
    <w:uiPriority w:val="39"/>
    <w:unhideWhenUsed/>
    <w:qFormat/>
    <w:pPr>
      <w:ind w:left="2268"/>
      <w:spacing w:after="57"/>
    </w:pPr>
  </w:style>
  <w:style w:type="paragraph" w:styleId="813">
    <w:name w:val="Body Text 2"/>
    <w:basedOn w:val="776"/>
    <w:uiPriority w:val="0"/>
    <w:qFormat/>
    <w:pPr>
      <w:jc w:val="center"/>
    </w:pPr>
    <w:rPr>
      <w:rFonts w:ascii="仿宋_GB2312" w:eastAsia="仿宋_GB2312"/>
      <w:sz w:val="44"/>
    </w:rPr>
  </w:style>
  <w:style w:type="paragraph" w:styleId="814">
    <w:name w:val="Normal (Web)"/>
    <w:basedOn w:val="776"/>
    <w:uiPriority w:val="0"/>
    <w:unhideWhenUsed/>
    <w:qFormat/>
    <w:pPr>
      <w:jc w:val="left"/>
      <w:spacing w:beforeAutospacing="1" w:afterAutospacing="1"/>
    </w:pPr>
    <w:rPr>
      <w:sz w:val="24"/>
    </w:rPr>
  </w:style>
  <w:style w:type="paragraph" w:styleId="815">
    <w:name w:val="Title"/>
    <w:basedOn w:val="776"/>
    <w:next w:val="776"/>
    <w:link w:val="889"/>
    <w:uiPriority w:val="10"/>
    <w:qFormat/>
    <w:pPr>
      <w:contextualSpacing/>
      <w:spacing w:before="300" w:after="200"/>
    </w:pPr>
    <w:rPr>
      <w:sz w:val="48"/>
      <w:szCs w:val="48"/>
    </w:rPr>
  </w:style>
  <w:style w:type="paragraph" w:styleId="816">
    <w:name w:val="annotation subject"/>
    <w:basedOn w:val="793"/>
    <w:next w:val="817"/>
    <w:uiPriority w:val="0"/>
    <w:qFormat/>
    <w:rPr>
      <w:b/>
      <w:bCs/>
    </w:rPr>
  </w:style>
  <w:style w:type="paragraph" w:styleId="817" w:customStyle="1">
    <w:name w:val="Plain Text1"/>
    <w:basedOn w:val="776"/>
    <w:next w:val="788"/>
    <w:uiPriority w:val="0"/>
    <w:qFormat/>
    <w:pPr>
      <w:ind w:firstLine="3584"/>
      <w:spacing w:line="360" w:lineRule="auto"/>
    </w:pPr>
  </w:style>
  <w:style w:type="paragraph" w:styleId="818">
    <w:name w:val="Body Text First Indent"/>
    <w:basedOn w:val="794"/>
    <w:uiPriority w:val="0"/>
    <w:qFormat/>
    <w:pPr>
      <w:ind w:firstLine="420"/>
    </w:pPr>
    <w:rPr>
      <w:rFonts w:ascii="Verdana" w:hAnsi="Verdana"/>
      <w:szCs w:val="28"/>
      <w:lang w:eastAsia="en-US"/>
    </w:rPr>
  </w:style>
  <w:style w:type="paragraph" w:styleId="819">
    <w:name w:val="Body Text First Indent 2"/>
    <w:basedOn w:val="795"/>
    <w:uiPriority w:val="99"/>
    <w:unhideWhenUsed/>
    <w:qFormat/>
    <w:pPr>
      <w:ind w:firstLine="200"/>
    </w:pPr>
  </w:style>
  <w:style w:type="table" w:styleId="8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Strong"/>
    <w:basedOn w:val="786"/>
    <w:uiPriority w:val="0"/>
    <w:qFormat/>
    <w:rPr>
      <w:b/>
      <w:bCs/>
    </w:rPr>
  </w:style>
  <w:style w:type="character" w:styleId="822">
    <w:name w:val="endnote reference"/>
    <w:uiPriority w:val="99"/>
    <w:semiHidden/>
    <w:unhideWhenUsed/>
    <w:qFormat/>
    <w:rPr>
      <w:vertAlign w:val="superscript"/>
    </w:rPr>
  </w:style>
  <w:style w:type="character" w:styleId="823">
    <w:name w:val="FollowedHyperlink"/>
    <w:basedOn w:val="786"/>
    <w:uiPriority w:val="99"/>
    <w:semiHidden/>
    <w:unhideWhenUsed/>
    <w:qFormat/>
    <w:rPr>
      <w:color w:val="5c5c5c"/>
      <w:u w:val="none"/>
    </w:rPr>
  </w:style>
  <w:style w:type="character" w:styleId="824">
    <w:name w:val="Emphasis"/>
    <w:basedOn w:val="786"/>
    <w:uiPriority w:val="20"/>
    <w:qFormat/>
    <w:rPr>
      <w:b/>
      <w:bCs/>
    </w:rPr>
  </w:style>
  <w:style w:type="character" w:styleId="825">
    <w:name w:val="HTML Definition"/>
    <w:basedOn w:val="786"/>
    <w:uiPriority w:val="99"/>
    <w:semiHidden/>
    <w:unhideWhenUsed/>
    <w:qFormat/>
  </w:style>
  <w:style w:type="character" w:styleId="826">
    <w:name w:val="HTML Typewriter"/>
    <w:basedOn w:val="786"/>
    <w:uiPriority w:val="99"/>
    <w:semiHidden/>
    <w:unhideWhenUsed/>
    <w:qFormat/>
    <w:rPr>
      <w:rFonts w:ascii="monospace" w:hAnsi="monospace" w:eastAsia="monospace" w:cs="monospace"/>
      <w:sz w:val="20"/>
    </w:rPr>
  </w:style>
  <w:style w:type="character" w:styleId="827">
    <w:name w:val="HTML Acronym"/>
    <w:basedOn w:val="786"/>
    <w:uiPriority w:val="99"/>
    <w:semiHidden/>
    <w:unhideWhenUsed/>
    <w:qFormat/>
  </w:style>
  <w:style w:type="character" w:styleId="828">
    <w:name w:val="HTML Variable"/>
    <w:basedOn w:val="786"/>
    <w:uiPriority w:val="99"/>
    <w:semiHidden/>
    <w:unhideWhenUsed/>
    <w:qFormat/>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HTML Code"/>
    <w:basedOn w:val="786"/>
    <w:uiPriority w:val="99"/>
    <w:semiHidden/>
    <w:unhideWhenUsed/>
    <w:qFormat/>
    <w:rPr>
      <w:rFonts w:hint="default" w:ascii="monospace" w:hAnsi="monospace" w:eastAsia="monospace" w:cs="monospace"/>
      <w:vanish/>
      <w:sz w:val="20"/>
    </w:rPr>
  </w:style>
  <w:style w:type="character" w:styleId="831">
    <w:name w:val="HTML Cite"/>
    <w:basedOn w:val="786"/>
    <w:uiPriority w:val="99"/>
    <w:semiHidden/>
    <w:unhideWhenUsed/>
    <w:qFormat/>
  </w:style>
  <w:style w:type="character" w:styleId="832">
    <w:name w:val="footnote reference"/>
    <w:uiPriority w:val="99"/>
    <w:unhideWhenUsed/>
    <w:qFormat/>
    <w:rPr>
      <w:vertAlign w:val="superscript"/>
    </w:rPr>
  </w:style>
  <w:style w:type="character" w:styleId="833">
    <w:name w:val="HTML Keyboard"/>
    <w:basedOn w:val="786"/>
    <w:uiPriority w:val="99"/>
    <w:semiHidden/>
    <w:unhideWhenUsed/>
    <w:qFormat/>
    <w:rPr>
      <w:rFonts w:hint="default" w:ascii="monospace" w:hAnsi="monospace" w:eastAsia="monospace" w:cs="monospace"/>
      <w:sz w:val="20"/>
    </w:rPr>
  </w:style>
  <w:style w:type="character" w:styleId="834">
    <w:name w:val="HTML Sample"/>
    <w:basedOn w:val="786"/>
    <w:uiPriority w:val="99"/>
    <w:semiHidden/>
    <w:unhideWhenUsed/>
    <w:qFormat/>
    <w:rPr>
      <w:rFonts w:hint="default" w:ascii="monospace" w:hAnsi="monospace" w:eastAsia="monospace" w:cs="monospace"/>
    </w:rPr>
  </w:style>
  <w:style w:type="paragraph" w:styleId="835" w:customStyle="1">
    <w:name w:val="正文文本1"/>
    <w:basedOn w:val="776"/>
    <w:link w:val="1028"/>
    <w:uiPriority w:val="0"/>
    <w:unhideWhenUsed/>
    <w:qFormat/>
    <w:rPr>
      <w:rFonts w:ascii="楷体_GB2312"/>
      <w:b/>
      <w:bCs/>
      <w:sz w:val="28"/>
    </w:rPr>
  </w:style>
  <w:style w:type="paragraph" w:styleId="836" w:customStyle="1">
    <w:name w:val="正文文本缩进1"/>
    <w:basedOn w:val="776"/>
    <w:next w:val="837"/>
    <w:link w:val="1029"/>
    <w:uiPriority w:val="0"/>
    <w:unhideWhenUsed/>
    <w:qFormat/>
    <w:pPr>
      <w:ind w:firstLine="570"/>
    </w:pPr>
    <w:rPr>
      <w:rFonts w:ascii="宋体" w:eastAsia="宋体"/>
      <w:sz w:val="28"/>
    </w:rPr>
  </w:style>
  <w:style w:type="paragraph" w:styleId="837" w:customStyle="1">
    <w:name w:val="寄信人地址1"/>
    <w:basedOn w:val="776"/>
    <w:uiPriority w:val="99"/>
    <w:unhideWhenUsed/>
    <w:qFormat/>
    <w:rPr>
      <w:rFonts w:ascii="Arial" w:hAnsi="Arial"/>
    </w:rPr>
  </w:style>
  <w:style w:type="paragraph" w:styleId="838" w:customStyle="1">
    <w:name w:val="列出段落1"/>
    <w:basedOn w:val="776"/>
    <w:uiPriority w:val="0"/>
    <w:qFormat/>
    <w:pPr>
      <w:ind w:firstLine="420"/>
    </w:pPr>
    <w:rPr>
      <w:rFonts w:ascii="Calibri" w:hAnsi="Calibri" w:eastAsia="宋体"/>
      <w:sz w:val="21"/>
      <w:szCs w:val="22"/>
    </w:rPr>
  </w:style>
  <w:style w:type="paragraph" w:styleId="839"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840" w:customStyle="1">
    <w:name w:val="正文文本11"/>
    <w:basedOn w:val="776"/>
    <w:next w:val="776"/>
    <w:uiPriority w:val="0"/>
    <w:qFormat/>
    <w:rPr>
      <w:rFonts w:ascii="楷体_GB2312" w:hAnsi="Arial"/>
      <w:sz w:val="28"/>
    </w:rPr>
  </w:style>
  <w:style w:type="table" w:styleId="841" w:customStyle="1">
    <w:name w:val="无格式表格 11"/>
    <w:basedOn w:val="7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basedOn w:val="7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basedOn w:val="78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basedOn w:val="78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basedOn w:val="78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basedOn w:val="7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网格表 2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网格表 3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basedOn w:val="7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网格表 5 深色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网格表 6 彩色1"/>
    <w:basedOn w:val="7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网格表 7 彩色1"/>
    <w:basedOn w:val="7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清单表 1 浅色1"/>
    <w:basedOn w:val="78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清单表 21"/>
    <w:basedOn w:val="7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清单表 3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清单表 4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清单表 5 深色1"/>
    <w:basedOn w:val="7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清单表 6 彩色1"/>
    <w:basedOn w:val="78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清单表 7 彩色1"/>
    <w:basedOn w:val="78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0" w:customStyle="1">
    <w:name w:val="TOC 标题1"/>
    <w:uiPriority w:val="39"/>
    <w:unhideWhenUsed/>
    <w:qFormat/>
    <w:rPr>
      <w:rFonts w:ascii="Times New Roman" w:hAnsi="Times New Roman" w:eastAsia="宋体" w:cs="Times New Roman"/>
      <w:lang w:val="en-US" w:eastAsia="zh-CN" w:bidi="ar-SA"/>
    </w:rPr>
  </w:style>
  <w:style w:type="paragraph" w:styleId="861" w:customStyle="1">
    <w:name w:val="TOC 标题112"/>
    <w:uiPriority w:val="39"/>
    <w:unhideWhenUsed/>
    <w:qFormat/>
    <w:rPr>
      <w:rFonts w:ascii="Times New Roman" w:hAnsi="Times New Roman" w:eastAsia="宋体" w:cs="Times New Roman"/>
      <w:lang w:val="en-US" w:eastAsia="zh-CN" w:bidi="ar-SA"/>
    </w:rPr>
  </w:style>
  <w:style w:type="paragraph" w:styleId="862">
    <w:name w:val="List Paragraph"/>
    <w:basedOn w:val="776"/>
    <w:uiPriority w:val="34"/>
    <w:qFormat/>
    <w:pPr>
      <w:ind w:firstLine="420"/>
    </w:pPr>
    <w:rPr>
      <w:rFonts w:ascii="Calibri" w:hAnsi="Calibri" w:eastAsia="宋体"/>
      <w:sz w:val="21"/>
      <w:szCs w:val="22"/>
    </w:rPr>
  </w:style>
  <w:style w:type="character" w:styleId="863" w:customStyle="1">
    <w:name w:val="Heading 2 Char"/>
    <w:basedOn w:val="786"/>
    <w:uiPriority w:val="9"/>
    <w:qFormat/>
    <w:rPr>
      <w:rFonts w:ascii="Arial" w:hAnsi="Arial" w:eastAsia="Arial" w:cs="Arial"/>
      <w:sz w:val="34"/>
    </w:rPr>
  </w:style>
  <w:style w:type="character" w:styleId="864" w:customStyle="1">
    <w:name w:val="Heading 3 Char"/>
    <w:basedOn w:val="786"/>
    <w:uiPriority w:val="9"/>
    <w:qFormat/>
    <w:rPr>
      <w:rFonts w:ascii="Arial" w:hAnsi="Arial" w:eastAsia="Arial" w:cs="Arial"/>
      <w:sz w:val="30"/>
      <w:szCs w:val="30"/>
    </w:rPr>
  </w:style>
  <w:style w:type="character" w:styleId="865" w:customStyle="1">
    <w:name w:val="Heading 4 Char"/>
    <w:basedOn w:val="786"/>
    <w:uiPriority w:val="9"/>
    <w:qFormat/>
    <w:rPr>
      <w:rFonts w:ascii="Arial" w:hAnsi="Arial" w:eastAsia="Arial" w:cs="Arial"/>
      <w:b/>
      <w:bCs/>
      <w:sz w:val="26"/>
      <w:szCs w:val="26"/>
    </w:rPr>
  </w:style>
  <w:style w:type="character" w:styleId="866" w:customStyle="1">
    <w:name w:val="Heading 5 Char"/>
    <w:basedOn w:val="786"/>
    <w:uiPriority w:val="9"/>
    <w:qFormat/>
    <w:rPr>
      <w:rFonts w:ascii="Arial" w:hAnsi="Arial" w:eastAsia="Arial" w:cs="Arial"/>
      <w:b/>
      <w:bCs/>
      <w:sz w:val="24"/>
      <w:szCs w:val="24"/>
    </w:rPr>
  </w:style>
  <w:style w:type="character" w:styleId="867" w:customStyle="1">
    <w:name w:val="Heading 6 Char"/>
    <w:basedOn w:val="786"/>
    <w:uiPriority w:val="9"/>
    <w:qFormat/>
    <w:rPr>
      <w:rFonts w:ascii="Arial" w:hAnsi="Arial" w:eastAsia="Arial" w:cs="Arial"/>
      <w:b/>
      <w:bCs/>
      <w:sz w:val="22"/>
      <w:szCs w:val="22"/>
    </w:rPr>
  </w:style>
  <w:style w:type="character" w:styleId="868" w:customStyle="1">
    <w:name w:val="Heading 7 Char"/>
    <w:basedOn w:val="786"/>
    <w:uiPriority w:val="9"/>
    <w:qFormat/>
    <w:rPr>
      <w:rFonts w:ascii="Arial" w:hAnsi="Arial" w:eastAsia="Arial" w:cs="Arial"/>
      <w:b/>
      <w:bCs/>
      <w:i/>
      <w:iCs/>
      <w:sz w:val="22"/>
      <w:szCs w:val="22"/>
    </w:rPr>
  </w:style>
  <w:style w:type="character" w:styleId="869" w:customStyle="1">
    <w:name w:val="Heading 8 Char"/>
    <w:basedOn w:val="786"/>
    <w:uiPriority w:val="9"/>
    <w:qFormat/>
    <w:rPr>
      <w:rFonts w:ascii="Arial" w:hAnsi="Arial" w:eastAsia="Arial" w:cs="Arial"/>
      <w:i/>
      <w:iCs/>
      <w:sz w:val="22"/>
      <w:szCs w:val="22"/>
    </w:rPr>
  </w:style>
  <w:style w:type="character" w:styleId="870" w:customStyle="1">
    <w:name w:val="Heading 9 Char"/>
    <w:basedOn w:val="786"/>
    <w:uiPriority w:val="9"/>
    <w:qFormat/>
    <w:rPr>
      <w:rFonts w:ascii="Arial" w:hAnsi="Arial" w:eastAsia="Arial" w:cs="Arial"/>
      <w:i/>
      <w:iCs/>
      <w:sz w:val="21"/>
      <w:szCs w:val="21"/>
    </w:rPr>
  </w:style>
  <w:style w:type="character" w:styleId="871" w:customStyle="1">
    <w:name w:val="Title Char"/>
    <w:basedOn w:val="786"/>
    <w:uiPriority w:val="10"/>
    <w:qFormat/>
    <w:rPr>
      <w:sz w:val="48"/>
      <w:szCs w:val="48"/>
    </w:rPr>
  </w:style>
  <w:style w:type="character" w:styleId="872" w:customStyle="1">
    <w:name w:val="Subtitle Char"/>
    <w:basedOn w:val="786"/>
    <w:uiPriority w:val="11"/>
    <w:qFormat/>
    <w:rPr>
      <w:sz w:val="24"/>
      <w:szCs w:val="24"/>
    </w:rPr>
  </w:style>
  <w:style w:type="character" w:styleId="873" w:customStyle="1">
    <w:name w:val="Quote Char"/>
    <w:uiPriority w:val="29"/>
    <w:qFormat/>
    <w:rPr>
      <w:i/>
    </w:rPr>
  </w:style>
  <w:style w:type="character" w:styleId="874" w:customStyle="1">
    <w:name w:val="Intense Quote Char"/>
    <w:uiPriority w:val="30"/>
    <w:qFormat/>
    <w:rPr>
      <w:i/>
    </w:rPr>
  </w:style>
  <w:style w:type="character" w:styleId="875" w:customStyle="1">
    <w:name w:val="Header Char"/>
    <w:basedOn w:val="786"/>
    <w:uiPriority w:val="99"/>
    <w:qFormat/>
  </w:style>
  <w:style w:type="character" w:styleId="876" w:customStyle="1">
    <w:name w:val="Caption Char"/>
    <w:uiPriority w:val="99"/>
    <w:qFormat/>
  </w:style>
  <w:style w:type="character" w:styleId="877" w:customStyle="1">
    <w:name w:val="Footnote Text Char"/>
    <w:uiPriority w:val="99"/>
    <w:qFormat/>
    <w:rPr>
      <w:sz w:val="18"/>
    </w:rPr>
  </w:style>
  <w:style w:type="character" w:styleId="878" w:customStyle="1">
    <w:name w:val="Endnote Text Char"/>
    <w:uiPriority w:val="99"/>
    <w:qFormat/>
    <w:rPr>
      <w:sz w:val="20"/>
    </w:rPr>
  </w:style>
  <w:style w:type="paragraph" w:styleId="879" w:customStyle="1">
    <w:name w:val="TOC 标题111"/>
    <w:uiPriority w:val="39"/>
    <w:unhideWhenUsed/>
    <w:qFormat/>
    <w:rPr>
      <w:rFonts w:ascii="Calibri" w:hAnsi="Calibri" w:eastAsia="宋体" w:cs="Calibri"/>
      <w:lang w:val="en-US" w:eastAsia="zh-CN" w:bidi="ar-SA"/>
    </w:rPr>
  </w:style>
  <w:style w:type="character" w:styleId="880" w:customStyle="1">
    <w:name w:val="Heading 1 Char"/>
    <w:uiPriority w:val="9"/>
    <w:qFormat/>
    <w:rPr>
      <w:rFonts w:ascii="Arial" w:hAnsi="Arial" w:eastAsia="Arial" w:cs="Arial"/>
      <w:sz w:val="40"/>
      <w:szCs w:val="40"/>
    </w:rPr>
  </w:style>
  <w:style w:type="character" w:styleId="881" w:customStyle="1">
    <w:name w:val="标题 2 字符"/>
    <w:link w:val="778"/>
    <w:uiPriority w:val="9"/>
    <w:qFormat/>
    <w:rPr>
      <w:rFonts w:ascii="Arial" w:hAnsi="Arial" w:eastAsia="Arial" w:cs="Arial"/>
      <w:sz w:val="34"/>
    </w:rPr>
  </w:style>
  <w:style w:type="character" w:styleId="882" w:customStyle="1">
    <w:name w:val="标题 3 字符"/>
    <w:link w:val="779"/>
    <w:uiPriority w:val="9"/>
    <w:qFormat/>
    <w:rPr>
      <w:rFonts w:ascii="Arial" w:hAnsi="Arial" w:eastAsia="Arial" w:cs="Arial"/>
      <w:sz w:val="30"/>
      <w:szCs w:val="30"/>
    </w:rPr>
  </w:style>
  <w:style w:type="character" w:styleId="883" w:customStyle="1">
    <w:name w:val="标题 4 字符"/>
    <w:link w:val="780"/>
    <w:uiPriority w:val="9"/>
    <w:qFormat/>
    <w:rPr>
      <w:rFonts w:ascii="Arial" w:hAnsi="Arial" w:eastAsia="Arial" w:cs="Arial"/>
      <w:b/>
      <w:bCs/>
      <w:sz w:val="26"/>
      <w:szCs w:val="26"/>
    </w:rPr>
  </w:style>
  <w:style w:type="character" w:styleId="884" w:customStyle="1">
    <w:name w:val="标题 5 字符"/>
    <w:link w:val="781"/>
    <w:uiPriority w:val="9"/>
    <w:qFormat/>
    <w:rPr>
      <w:rFonts w:ascii="Arial" w:hAnsi="Arial" w:eastAsia="Arial" w:cs="Arial"/>
      <w:b/>
      <w:bCs/>
      <w:sz w:val="24"/>
      <w:szCs w:val="24"/>
    </w:rPr>
  </w:style>
  <w:style w:type="character" w:styleId="885" w:customStyle="1">
    <w:name w:val="标题 6 字符"/>
    <w:link w:val="782"/>
    <w:uiPriority w:val="9"/>
    <w:qFormat/>
    <w:rPr>
      <w:rFonts w:ascii="Arial" w:hAnsi="Arial" w:eastAsia="Arial" w:cs="Arial"/>
      <w:b/>
      <w:bCs/>
      <w:sz w:val="22"/>
      <w:szCs w:val="22"/>
    </w:rPr>
  </w:style>
  <w:style w:type="character" w:styleId="886" w:customStyle="1">
    <w:name w:val="标题 7 字符"/>
    <w:link w:val="783"/>
    <w:uiPriority w:val="9"/>
    <w:qFormat/>
    <w:rPr>
      <w:rFonts w:ascii="Arial" w:hAnsi="Arial" w:eastAsia="Arial" w:cs="Arial"/>
      <w:b/>
      <w:bCs/>
      <w:i/>
      <w:iCs/>
      <w:sz w:val="22"/>
      <w:szCs w:val="22"/>
    </w:rPr>
  </w:style>
  <w:style w:type="character" w:styleId="887" w:customStyle="1">
    <w:name w:val="标题 8 字符"/>
    <w:link w:val="784"/>
    <w:uiPriority w:val="9"/>
    <w:qFormat/>
    <w:rPr>
      <w:rFonts w:ascii="Arial" w:hAnsi="Arial" w:eastAsia="Arial" w:cs="Arial"/>
      <w:i/>
      <w:iCs/>
      <w:sz w:val="22"/>
      <w:szCs w:val="22"/>
    </w:rPr>
  </w:style>
  <w:style w:type="character" w:styleId="888" w:customStyle="1">
    <w:name w:val="标题 9 字符"/>
    <w:link w:val="785"/>
    <w:uiPriority w:val="9"/>
    <w:qFormat/>
    <w:rPr>
      <w:rFonts w:ascii="Arial" w:hAnsi="Arial" w:eastAsia="Arial" w:cs="Arial"/>
      <w:i/>
      <w:iCs/>
      <w:sz w:val="21"/>
      <w:szCs w:val="21"/>
    </w:rPr>
  </w:style>
  <w:style w:type="character" w:styleId="889" w:customStyle="1">
    <w:name w:val="标题 字符"/>
    <w:link w:val="815"/>
    <w:uiPriority w:val="10"/>
    <w:qFormat/>
    <w:rPr>
      <w:sz w:val="48"/>
      <w:szCs w:val="48"/>
    </w:rPr>
  </w:style>
  <w:style w:type="character" w:styleId="890" w:customStyle="1">
    <w:name w:val="副标题 字符"/>
    <w:link w:val="807"/>
    <w:uiPriority w:val="11"/>
    <w:qFormat/>
    <w:rPr>
      <w:sz w:val="24"/>
      <w:szCs w:val="24"/>
    </w:rPr>
  </w:style>
  <w:style w:type="paragraph" w:styleId="891">
    <w:name w:val="Quote"/>
    <w:basedOn w:val="776"/>
    <w:next w:val="776"/>
    <w:link w:val="892"/>
    <w:uiPriority w:val="29"/>
    <w:qFormat/>
    <w:pPr>
      <w:ind w:left="720" w:right="720"/>
    </w:pPr>
    <w:rPr>
      <w:i/>
    </w:rPr>
  </w:style>
  <w:style w:type="character" w:styleId="892" w:customStyle="1">
    <w:name w:val="引用 字符"/>
    <w:link w:val="891"/>
    <w:uiPriority w:val="29"/>
    <w:qFormat/>
    <w:rPr>
      <w:i/>
    </w:rPr>
  </w:style>
  <w:style w:type="paragraph" w:styleId="893">
    <w:name w:val="Intense Quote"/>
    <w:basedOn w:val="776"/>
    <w:next w:val="776"/>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明显引用 字符"/>
    <w:link w:val="893"/>
    <w:uiPriority w:val="30"/>
    <w:qFormat/>
    <w:rPr>
      <w:i/>
    </w:rPr>
  </w:style>
  <w:style w:type="character" w:styleId="895" w:customStyle="1">
    <w:name w:val="页眉 字符"/>
    <w:link w:val="804"/>
    <w:uiPriority w:val="99"/>
    <w:qFormat/>
  </w:style>
  <w:style w:type="character" w:styleId="896" w:customStyle="1">
    <w:name w:val="Footer Char"/>
    <w:uiPriority w:val="99"/>
    <w:qFormat/>
  </w:style>
  <w:style w:type="character" w:styleId="897" w:customStyle="1">
    <w:name w:val="页脚 字符"/>
    <w:link w:val="802"/>
    <w:uiPriority w:val="99"/>
    <w:qFormat/>
  </w:style>
  <w:style w:type="table" w:styleId="89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脚注文本 字符"/>
    <w:link w:val="808"/>
    <w:uiPriority w:val="99"/>
    <w:qFormat/>
    <w:rPr>
      <w:sz w:val="18"/>
    </w:rPr>
  </w:style>
  <w:style w:type="character" w:styleId="1005" w:customStyle="1">
    <w:name w:val="尾注文本 字符"/>
    <w:link w:val="801"/>
    <w:uiPriority w:val="99"/>
    <w:qFormat/>
    <w:rPr>
      <w:sz w:val="20"/>
    </w:rPr>
  </w:style>
  <w:style w:type="paragraph" w:styleId="1006" w:customStyle="1">
    <w:name w:val="TOC 标题11"/>
    <w:uiPriority w:val="39"/>
    <w:unhideWhenUsed/>
    <w:qFormat/>
    <w:rPr>
      <w:rFonts w:ascii="Times New Roman" w:hAnsi="Times New Roman" w:eastAsia="宋体" w:cs="Times New Roman"/>
      <w:lang w:val="en-US" w:eastAsia="zh-CN" w:bidi="ar-SA"/>
    </w:rPr>
  </w:style>
  <w:style w:type="paragraph" w:styleId="1007" w:customStyle="1">
    <w:name w:val="标题 11"/>
    <w:basedOn w:val="776"/>
    <w:next w:val="776"/>
    <w:uiPriority w:val="0"/>
    <w:qFormat/>
    <w:pPr>
      <w:keepLines/>
      <w:keepNext/>
      <w:spacing w:before="340" w:after="330" w:line="578" w:lineRule="auto"/>
      <w:outlineLvl w:val="0"/>
    </w:pPr>
    <w:rPr>
      <w:b/>
      <w:sz w:val="44"/>
    </w:rPr>
  </w:style>
  <w:style w:type="paragraph" w:styleId="1008" w:customStyle="1">
    <w:name w:val="标题 21"/>
    <w:basedOn w:val="776"/>
    <w:next w:val="776"/>
    <w:link w:val="1016"/>
    <w:uiPriority w:val="0"/>
    <w:qFormat/>
    <w:pPr>
      <w:keepLines/>
      <w:keepNext/>
      <w:spacing w:before="260" w:after="260" w:line="416" w:lineRule="auto"/>
      <w:outlineLvl w:val="1"/>
    </w:pPr>
    <w:rPr>
      <w:rFonts w:ascii="Cambria" w:hAnsi="Cambria" w:eastAsia="宋体"/>
      <w:b/>
      <w:bCs/>
      <w:sz w:val="32"/>
      <w:szCs w:val="32"/>
    </w:rPr>
  </w:style>
  <w:style w:type="paragraph" w:styleId="1009" w:customStyle="1">
    <w:name w:val="标题 31"/>
    <w:basedOn w:val="776"/>
    <w:next w:val="776"/>
    <w:link w:val="1017"/>
    <w:uiPriority w:val="0"/>
    <w:qFormat/>
    <w:pPr>
      <w:keepLines/>
      <w:keepNext/>
      <w:spacing w:before="260" w:after="260" w:line="416" w:lineRule="auto"/>
      <w:outlineLvl w:val="2"/>
    </w:pPr>
    <w:rPr>
      <w:b/>
      <w:bCs/>
      <w:sz w:val="32"/>
      <w:szCs w:val="32"/>
    </w:rPr>
  </w:style>
  <w:style w:type="paragraph" w:styleId="1010" w:customStyle="1">
    <w:name w:val="标题 41"/>
    <w:basedOn w:val="776"/>
    <w:next w:val="776"/>
    <w:link w:val="1018"/>
    <w:uiPriority w:val="0"/>
    <w:qFormat/>
    <w:pPr>
      <w:keepLines/>
      <w:keepNext/>
      <w:spacing w:before="280" w:after="290" w:line="376" w:lineRule="auto"/>
      <w:outlineLvl w:val="3"/>
    </w:pPr>
    <w:rPr>
      <w:rFonts w:ascii="Cambria" w:hAnsi="Cambria" w:eastAsia="宋体"/>
      <w:b/>
      <w:bCs/>
      <w:sz w:val="28"/>
      <w:szCs w:val="28"/>
    </w:rPr>
  </w:style>
  <w:style w:type="paragraph" w:styleId="1011" w:customStyle="1">
    <w:name w:val="标题 51"/>
    <w:basedOn w:val="776"/>
    <w:next w:val="776"/>
    <w:link w:val="1019"/>
    <w:uiPriority w:val="0"/>
    <w:qFormat/>
    <w:pPr>
      <w:jc w:val="center"/>
      <w:keepLines/>
      <w:keepNext/>
      <w:outlineLvl w:val="4"/>
    </w:pPr>
    <w:rPr>
      <w:rFonts w:eastAsia="宋体"/>
      <w:b/>
      <w:bCs/>
      <w:sz w:val="28"/>
      <w:szCs w:val="28"/>
    </w:rPr>
  </w:style>
  <w:style w:type="character" w:styleId="1012" w:customStyle="1">
    <w:name w:val="默认段落字体1"/>
    <w:uiPriority w:val="1"/>
    <w:unhideWhenUsed/>
    <w:qFormat/>
  </w:style>
  <w:style w:type="table" w:styleId="1013" w:customStyle="1">
    <w:name w:val="普通表格1"/>
    <w:uiPriority w:val="99"/>
    <w:unhideWhenUsed/>
    <w:qFormat/>
    <w:tblPr>
      <w:tblCellMar>
        <w:left w:w="0" w:type="dxa"/>
        <w:top w:w="0" w:type="dxa"/>
        <w:right w:w="0" w:type="dxa"/>
        <w:bottom w:w="0" w:type="dxa"/>
      </w:tblCellMar>
    </w:tblPr>
  </w:style>
  <w:style w:type="paragraph" w:styleId="1014" w:customStyle="1">
    <w:name w:val="DAS正文"/>
    <w:basedOn w:val="776"/>
    <w:uiPriority w:val="0"/>
    <w:qFormat/>
    <w:pPr>
      <w:ind w:right="181" w:firstLine="480"/>
      <w:spacing w:line="360" w:lineRule="auto"/>
    </w:pPr>
    <w:rPr>
      <w:rFonts w:ascii="Verdana" w:hAnsi="Verdana"/>
      <w:sz w:val="24"/>
      <w:szCs w:val="24"/>
    </w:rPr>
  </w:style>
  <w:style w:type="character" w:styleId="1015" w:customStyle="1">
    <w:name w:val="标题 1 字符"/>
    <w:basedOn w:val="786"/>
    <w:link w:val="777"/>
    <w:uiPriority w:val="9"/>
    <w:qFormat/>
    <w:rPr>
      <w:rFonts w:eastAsia="楷体_GB2312"/>
      <w:b/>
      <w:sz w:val="44"/>
    </w:rPr>
  </w:style>
  <w:style w:type="character" w:styleId="1016" w:customStyle="1">
    <w:name w:val="标题 2 Char"/>
    <w:link w:val="1008"/>
    <w:uiPriority w:val="0"/>
    <w:qFormat/>
    <w:rPr>
      <w:rFonts w:ascii="Cambria" w:hAnsi="Cambria" w:eastAsia="宋体" w:cs="Times New Roman"/>
      <w:b/>
      <w:bCs/>
      <w:sz w:val="32"/>
      <w:szCs w:val="32"/>
    </w:rPr>
  </w:style>
  <w:style w:type="character" w:styleId="1017" w:customStyle="1">
    <w:name w:val="标题 3 Char"/>
    <w:link w:val="1009"/>
    <w:uiPriority w:val="0"/>
    <w:qFormat/>
    <w:rPr>
      <w:rFonts w:eastAsia="楷体_GB2312"/>
      <w:b/>
      <w:bCs/>
      <w:sz w:val="32"/>
      <w:szCs w:val="32"/>
    </w:rPr>
  </w:style>
  <w:style w:type="character" w:styleId="1018" w:customStyle="1">
    <w:name w:val="标题 4 Char"/>
    <w:link w:val="1010"/>
    <w:uiPriority w:val="0"/>
    <w:qFormat/>
    <w:rPr>
      <w:rFonts w:ascii="Cambria" w:hAnsi="Cambria" w:eastAsia="宋体" w:cs="Times New Roman"/>
      <w:b/>
      <w:bCs/>
      <w:sz w:val="28"/>
      <w:szCs w:val="28"/>
    </w:rPr>
  </w:style>
  <w:style w:type="character" w:styleId="1019" w:customStyle="1">
    <w:name w:val="标题 5 Char"/>
    <w:link w:val="1011"/>
    <w:uiPriority w:val="0"/>
    <w:qFormat/>
    <w:rPr>
      <w:b/>
      <w:bCs/>
      <w:sz w:val="28"/>
      <w:szCs w:val="28"/>
    </w:rPr>
  </w:style>
  <w:style w:type="paragraph" w:styleId="1020" w:customStyle="1">
    <w:name w:val="正文缩进1"/>
    <w:basedOn w:val="776"/>
    <w:next w:val="776"/>
    <w:link w:val="1021"/>
    <w:uiPriority w:val="0"/>
    <w:unhideWhenUsed/>
    <w:qFormat/>
    <w:pPr>
      <w:ind w:firstLine="420"/>
      <w:jc w:val="left"/>
    </w:pPr>
    <w:rPr>
      <w:sz w:val="24"/>
    </w:rPr>
  </w:style>
  <w:style w:type="character" w:styleId="1021" w:customStyle="1">
    <w:name w:val="正文缩进 Char"/>
    <w:link w:val="1020"/>
    <w:uiPriority w:val="0"/>
    <w:qFormat/>
    <w:rPr>
      <w:rFonts w:eastAsia="楷体_GB2312"/>
      <w:sz w:val="24"/>
    </w:rPr>
  </w:style>
  <w:style w:type="paragraph" w:styleId="1022" w:customStyle="1">
    <w:name w:val="文档结构图1"/>
    <w:basedOn w:val="776"/>
    <w:link w:val="1023"/>
    <w:uiPriority w:val="0"/>
    <w:unhideWhenUsed/>
    <w:qFormat/>
    <w:pPr>
      <w:shd w:val="clear" w:color="auto" w:fill="000080"/>
    </w:pPr>
    <w:rPr>
      <w:rFonts w:eastAsia="宋体"/>
      <w:sz w:val="21"/>
      <w:szCs w:val="24"/>
    </w:rPr>
  </w:style>
  <w:style w:type="character" w:styleId="1023" w:customStyle="1">
    <w:name w:val="文档结构图 Char"/>
    <w:link w:val="1022"/>
    <w:uiPriority w:val="0"/>
    <w:qFormat/>
    <w:rPr>
      <w:sz w:val="21"/>
      <w:szCs w:val="24"/>
      <w:shd w:val="clear" w:color="auto" w:fill="000080"/>
    </w:rPr>
  </w:style>
  <w:style w:type="paragraph" w:styleId="1024" w:customStyle="1">
    <w:name w:val="批注文字1"/>
    <w:basedOn w:val="776"/>
    <w:link w:val="1025"/>
    <w:uiPriority w:val="0"/>
    <w:qFormat/>
    <w:pPr>
      <w:jc w:val="left"/>
    </w:pPr>
  </w:style>
  <w:style w:type="character" w:styleId="1025" w:customStyle="1">
    <w:name w:val="批注文字 Char"/>
    <w:link w:val="1024"/>
    <w:uiPriority w:val="0"/>
    <w:qFormat/>
    <w:rPr>
      <w:rFonts w:eastAsia="楷体_GB2312"/>
      <w:sz w:val="26"/>
    </w:rPr>
  </w:style>
  <w:style w:type="paragraph" w:styleId="1026" w:customStyle="1">
    <w:name w:val="正文文本 31"/>
    <w:basedOn w:val="776"/>
    <w:link w:val="1027"/>
    <w:uiPriority w:val="0"/>
    <w:unhideWhenUsed/>
    <w:qFormat/>
    <w:pPr>
      <w:jc w:val="center"/>
    </w:pPr>
    <w:rPr>
      <w:rFonts w:ascii="宋体" w:hAnsi="宋体"/>
    </w:rPr>
  </w:style>
  <w:style w:type="character" w:styleId="1027" w:customStyle="1">
    <w:name w:val="正文文本 3 Char"/>
    <w:link w:val="1026"/>
    <w:uiPriority w:val="0"/>
    <w:qFormat/>
    <w:rPr>
      <w:rFonts w:ascii="宋体" w:hAnsi="宋体" w:eastAsia="楷体_GB2312"/>
      <w:sz w:val="26"/>
    </w:rPr>
  </w:style>
  <w:style w:type="character" w:styleId="1028" w:customStyle="1">
    <w:name w:val="正文文本 Char1"/>
    <w:link w:val="835"/>
    <w:uiPriority w:val="0"/>
    <w:qFormat/>
    <w:rPr>
      <w:rFonts w:ascii="楷体_GB2312" w:eastAsia="楷体_GB2312"/>
      <w:b/>
      <w:bCs/>
      <w:sz w:val="28"/>
    </w:rPr>
  </w:style>
  <w:style w:type="character" w:styleId="1029" w:customStyle="1">
    <w:name w:val="正文文本缩进 Char"/>
    <w:link w:val="836"/>
    <w:uiPriority w:val="0"/>
    <w:qFormat/>
    <w:rPr>
      <w:rFonts w:ascii="宋体"/>
      <w:sz w:val="28"/>
    </w:rPr>
  </w:style>
  <w:style w:type="paragraph" w:styleId="1030" w:customStyle="1">
    <w:name w:val="目录 31"/>
    <w:basedOn w:val="776"/>
    <w:next w:val="776"/>
    <w:uiPriority w:val="0"/>
    <w:qFormat/>
    <w:pPr>
      <w:ind w:left="359"/>
      <w:tabs>
        <w:tab w:val="right" w:pos="8302" w:leader="dot"/>
      </w:tabs>
    </w:pPr>
    <w:rPr>
      <w:rFonts w:eastAsia="宋体"/>
      <w:sz w:val="21"/>
      <w:szCs w:val="24"/>
    </w:rPr>
  </w:style>
  <w:style w:type="paragraph" w:styleId="1031" w:customStyle="1">
    <w:name w:val="纯文本1111"/>
    <w:basedOn w:val="776"/>
    <w:next w:val="1032"/>
    <w:link w:val="1033"/>
    <w:uiPriority w:val="0"/>
    <w:unhideWhenUsed/>
    <w:qFormat/>
    <w:rPr>
      <w:rFonts w:ascii="宋体" w:hAnsi="Courier New"/>
    </w:rPr>
  </w:style>
  <w:style w:type="paragraph" w:styleId="1032" w:customStyle="1">
    <w:name w:val="正文缩进11"/>
    <w:basedOn w:val="776"/>
    <w:uiPriority w:val="0"/>
    <w:unhideWhenUsed/>
    <w:qFormat/>
    <w:pPr>
      <w:ind w:firstLine="420"/>
      <w:jc w:val="left"/>
    </w:pPr>
    <w:rPr>
      <w:sz w:val="24"/>
    </w:rPr>
  </w:style>
  <w:style w:type="character" w:styleId="1033" w:customStyle="1">
    <w:name w:val="纯文本 Char"/>
    <w:link w:val="1031"/>
    <w:uiPriority w:val="0"/>
    <w:qFormat/>
    <w:rPr>
      <w:rFonts w:ascii="宋体" w:hAnsi="Courier New" w:eastAsia="楷体_GB2312"/>
      <w:sz w:val="26"/>
    </w:rPr>
  </w:style>
  <w:style w:type="paragraph" w:styleId="1034" w:customStyle="1">
    <w:name w:val="日期1"/>
    <w:basedOn w:val="776"/>
    <w:next w:val="776"/>
    <w:link w:val="1035"/>
    <w:uiPriority w:val="0"/>
    <w:unhideWhenUsed/>
    <w:qFormat/>
    <w:rPr>
      <w:rFonts w:ascii="宋体" w:hAnsi="宋体"/>
      <w:sz w:val="24"/>
    </w:rPr>
  </w:style>
  <w:style w:type="character" w:styleId="1035" w:customStyle="1">
    <w:name w:val="日期 Char"/>
    <w:link w:val="1034"/>
    <w:uiPriority w:val="0"/>
    <w:qFormat/>
    <w:rPr>
      <w:rFonts w:ascii="宋体" w:hAnsi="宋体" w:eastAsia="楷体_GB2312"/>
      <w:sz w:val="24"/>
    </w:rPr>
  </w:style>
  <w:style w:type="paragraph" w:styleId="1036" w:customStyle="1">
    <w:name w:val="正文文本缩进 21"/>
    <w:basedOn w:val="776"/>
    <w:link w:val="1037"/>
    <w:uiPriority w:val="0"/>
    <w:unhideWhenUsed/>
    <w:qFormat/>
    <w:pPr>
      <w:ind w:left="420"/>
      <w:spacing w:after="120" w:line="480" w:lineRule="auto"/>
    </w:pPr>
  </w:style>
  <w:style w:type="character" w:styleId="1037" w:customStyle="1">
    <w:name w:val="正文文本缩进 2 Char"/>
    <w:link w:val="1036"/>
    <w:uiPriority w:val="0"/>
    <w:qFormat/>
    <w:rPr>
      <w:rFonts w:eastAsia="楷体_GB2312"/>
      <w:sz w:val="26"/>
    </w:rPr>
  </w:style>
  <w:style w:type="paragraph" w:styleId="1038" w:customStyle="1">
    <w:name w:val="尾注文本1"/>
    <w:basedOn w:val="776"/>
    <w:link w:val="1039"/>
    <w:uiPriority w:val="0"/>
    <w:unhideWhenUsed/>
    <w:qFormat/>
    <w:pPr>
      <w:jc w:val="left"/>
    </w:pPr>
    <w:rPr>
      <w:rFonts w:ascii="宋体" w:hAnsi="宋体" w:eastAsia="宋体"/>
      <w:sz w:val="21"/>
      <w:szCs w:val="24"/>
    </w:rPr>
  </w:style>
  <w:style w:type="character" w:styleId="1039" w:customStyle="1">
    <w:name w:val="尾注文本 Char"/>
    <w:link w:val="1038"/>
    <w:uiPriority w:val="0"/>
    <w:qFormat/>
    <w:rPr>
      <w:rFonts w:ascii="宋体" w:hAnsi="宋体"/>
      <w:sz w:val="21"/>
      <w:szCs w:val="24"/>
    </w:rPr>
  </w:style>
  <w:style w:type="paragraph" w:styleId="1040" w:customStyle="1">
    <w:name w:val="批注框文本1"/>
    <w:basedOn w:val="776"/>
    <w:link w:val="1041"/>
    <w:uiPriority w:val="0"/>
    <w:qFormat/>
    <w:rPr>
      <w:sz w:val="18"/>
      <w:szCs w:val="18"/>
    </w:rPr>
  </w:style>
  <w:style w:type="character" w:styleId="1041" w:customStyle="1">
    <w:name w:val="批注框文本 Char"/>
    <w:link w:val="1040"/>
    <w:uiPriority w:val="0"/>
    <w:qFormat/>
    <w:rPr>
      <w:rFonts w:eastAsia="楷体_GB2312"/>
      <w:sz w:val="18"/>
      <w:szCs w:val="18"/>
    </w:rPr>
  </w:style>
  <w:style w:type="paragraph" w:styleId="1042" w:customStyle="1">
    <w:name w:val="页脚1"/>
    <w:basedOn w:val="776"/>
    <w:link w:val="1043"/>
    <w:uiPriority w:val="0"/>
    <w:unhideWhenUsed/>
    <w:qFormat/>
    <w:pPr>
      <w:jc w:val="left"/>
      <w:tabs>
        <w:tab w:val="center" w:pos="4153" w:leader="none"/>
        <w:tab w:val="right" w:pos="8306" w:leader="none"/>
      </w:tabs>
    </w:pPr>
    <w:rPr>
      <w:sz w:val="18"/>
    </w:rPr>
  </w:style>
  <w:style w:type="character" w:styleId="1043" w:customStyle="1">
    <w:name w:val="页脚 Char"/>
    <w:link w:val="1042"/>
    <w:uiPriority w:val="0"/>
    <w:qFormat/>
    <w:rPr>
      <w:rFonts w:eastAsia="楷体_GB2312"/>
      <w:sz w:val="18"/>
    </w:rPr>
  </w:style>
  <w:style w:type="paragraph" w:styleId="1044" w:customStyle="1">
    <w:name w:val="页眉1"/>
    <w:basedOn w:val="776"/>
    <w:link w:val="1045"/>
    <w:uiPriority w:val="0"/>
    <w:unhideWhenUsed/>
    <w:qFormat/>
    <w:pPr>
      <w:jc w:val="center"/>
      <w:tabs>
        <w:tab w:val="center" w:pos="4153" w:leader="none"/>
        <w:tab w:val="right" w:pos="8306" w:leader="none"/>
      </w:tabs>
      <w:pBdr>
        <w:bottom w:val="single" w:color="000000" w:sz="6" w:space="1"/>
      </w:pBdr>
    </w:pPr>
    <w:rPr>
      <w:sz w:val="18"/>
    </w:rPr>
  </w:style>
  <w:style w:type="character" w:styleId="1045" w:customStyle="1">
    <w:name w:val="页眉 Char"/>
    <w:link w:val="1044"/>
    <w:uiPriority w:val="0"/>
    <w:qFormat/>
    <w:rPr>
      <w:rFonts w:eastAsia="楷体_GB2312"/>
      <w:sz w:val="18"/>
    </w:rPr>
  </w:style>
  <w:style w:type="paragraph" w:styleId="1046" w:customStyle="1">
    <w:name w:val="目录 11"/>
    <w:basedOn w:val="776"/>
    <w:next w:val="776"/>
    <w:uiPriority w:val="0"/>
    <w:unhideWhenUsed/>
    <w:qFormat/>
    <w:pPr>
      <w:jc w:val="left"/>
    </w:pPr>
    <w:rPr>
      <w:sz w:val="24"/>
    </w:rPr>
  </w:style>
  <w:style w:type="paragraph" w:styleId="1047" w:customStyle="1">
    <w:name w:val="副标题1"/>
    <w:basedOn w:val="776"/>
    <w:link w:val="1048"/>
    <w:uiPriority w:val="0"/>
    <w:qFormat/>
    <w:pPr>
      <w:jc w:val="center"/>
      <w:spacing w:before="240" w:after="60" w:line="312" w:lineRule="auto"/>
      <w:outlineLvl w:val="1"/>
    </w:pPr>
    <w:rPr>
      <w:rFonts w:ascii="Arial" w:hAnsi="Arial" w:eastAsia="宋体"/>
      <w:b/>
      <w:bCs/>
      <w:sz w:val="32"/>
      <w:szCs w:val="32"/>
    </w:rPr>
  </w:style>
  <w:style w:type="character" w:styleId="1048" w:customStyle="1">
    <w:name w:val="副标题 Char"/>
    <w:link w:val="1047"/>
    <w:uiPriority w:val="0"/>
    <w:qFormat/>
    <w:rPr>
      <w:rFonts w:ascii="Arial" w:hAnsi="Arial" w:cs="Arial"/>
      <w:b/>
      <w:bCs/>
      <w:sz w:val="32"/>
      <w:szCs w:val="32"/>
    </w:rPr>
  </w:style>
  <w:style w:type="paragraph" w:styleId="1049" w:customStyle="1">
    <w:name w:val="目录 21"/>
    <w:basedOn w:val="776"/>
    <w:next w:val="776"/>
    <w:uiPriority w:val="0"/>
    <w:unhideWhenUsed/>
    <w:qFormat/>
    <w:pPr>
      <w:ind w:left="420"/>
    </w:pPr>
  </w:style>
  <w:style w:type="paragraph" w:styleId="1050" w:customStyle="1">
    <w:name w:val="目录 91"/>
    <w:basedOn w:val="776"/>
    <w:next w:val="776"/>
    <w:uiPriority w:val="0"/>
    <w:semiHidden/>
    <w:qFormat/>
    <w:pPr>
      <w:ind w:left="3360"/>
    </w:pPr>
  </w:style>
  <w:style w:type="paragraph" w:styleId="1051" w:customStyle="1">
    <w:name w:val="普通(网站)1"/>
    <w:basedOn w:val="776"/>
    <w:uiPriority w:val="0"/>
    <w:unhideWhenUsed/>
    <w:qFormat/>
    <w:pPr>
      <w:jc w:val="left"/>
      <w:spacing w:before="100" w:beforeAutospacing="1" w:after="100" w:afterAutospacing="1"/>
      <w:widowControl/>
    </w:pPr>
    <w:rPr>
      <w:rFonts w:ascii="宋体" w:hAnsi="宋体" w:cs="宋体"/>
      <w:sz w:val="24"/>
    </w:rPr>
  </w:style>
  <w:style w:type="paragraph" w:styleId="1052" w:customStyle="1">
    <w:name w:val="索引 11"/>
    <w:basedOn w:val="776"/>
    <w:next w:val="776"/>
    <w:uiPriority w:val="0"/>
    <w:unhideWhenUsed/>
    <w:qFormat/>
    <w:pPr>
      <w:jc w:val="center"/>
      <w:spacing w:line="220" w:lineRule="exact"/>
    </w:pPr>
    <w:rPr>
      <w:rFonts w:ascii="仿宋_GB2312" w:eastAsia="仿宋_GB2312"/>
      <w:szCs w:val="21"/>
    </w:rPr>
  </w:style>
  <w:style w:type="paragraph" w:styleId="1053" w:customStyle="1">
    <w:name w:val="标题1"/>
    <w:basedOn w:val="776"/>
    <w:link w:val="1054"/>
    <w:uiPriority w:val="10"/>
    <w:qFormat/>
    <w:pPr>
      <w:jc w:val="center"/>
      <w:spacing w:before="240" w:after="60"/>
      <w:outlineLvl w:val="0"/>
    </w:pPr>
    <w:rPr>
      <w:rFonts w:ascii="Arial" w:hAnsi="Arial" w:eastAsia="宋体"/>
      <w:b/>
      <w:bCs/>
      <w:sz w:val="32"/>
      <w:szCs w:val="32"/>
    </w:rPr>
  </w:style>
  <w:style w:type="character" w:styleId="1054" w:customStyle="1">
    <w:name w:val="标题 Char"/>
    <w:link w:val="1053"/>
    <w:uiPriority w:val="10"/>
    <w:qFormat/>
    <w:rPr>
      <w:rFonts w:ascii="Arial" w:hAnsi="Arial"/>
      <w:b/>
      <w:bCs/>
      <w:sz w:val="32"/>
      <w:szCs w:val="32"/>
    </w:rPr>
  </w:style>
  <w:style w:type="paragraph" w:styleId="1055" w:customStyle="1">
    <w:name w:val="批注主题1"/>
    <w:basedOn w:val="1024"/>
    <w:next w:val="1024"/>
    <w:link w:val="1056"/>
    <w:uiPriority w:val="99"/>
    <w:qFormat/>
    <w:rPr>
      <w:b/>
      <w:bCs/>
    </w:rPr>
  </w:style>
  <w:style w:type="character" w:styleId="1056" w:customStyle="1">
    <w:name w:val="批注主题 Char"/>
    <w:link w:val="1055"/>
    <w:uiPriority w:val="99"/>
    <w:qFormat/>
    <w:rPr>
      <w:b/>
      <w:bCs/>
    </w:rPr>
  </w:style>
  <w:style w:type="paragraph" w:styleId="1057" w:customStyle="1">
    <w:name w:val="正文首行缩进1"/>
    <w:basedOn w:val="835"/>
    <w:link w:val="1058"/>
    <w:uiPriority w:val="0"/>
    <w:unhideWhenUsed/>
    <w:qFormat/>
    <w:pPr>
      <w:ind w:firstLine="420"/>
      <w:spacing w:after="120"/>
    </w:pPr>
    <w:rPr>
      <w:rFonts w:ascii="Times New Roman" w:eastAsia="宋体"/>
      <w:b w:val="0"/>
      <w:bCs w:val="0"/>
      <w:sz w:val="21"/>
      <w:szCs w:val="24"/>
    </w:rPr>
  </w:style>
  <w:style w:type="character" w:styleId="1058" w:customStyle="1">
    <w:name w:val="正文首行缩进 Char"/>
    <w:link w:val="1057"/>
    <w:uiPriority w:val="0"/>
    <w:qFormat/>
  </w:style>
  <w:style w:type="character" w:styleId="1059" w:customStyle="1">
    <w:name w:val="正文文本 Char"/>
    <w:uiPriority w:val="0"/>
    <w:qFormat/>
    <w:rPr>
      <w:sz w:val="21"/>
      <w:szCs w:val="24"/>
    </w:rPr>
  </w:style>
  <w:style w:type="paragraph" w:styleId="1060" w:customStyle="1">
    <w:name w:val="正文首行缩进 21"/>
    <w:basedOn w:val="836"/>
    <w:next w:val="1061"/>
    <w:uiPriority w:val="99"/>
    <w:unhideWhenUsed/>
    <w:qFormat/>
    <w:pPr>
      <w:ind w:firstLine="420"/>
    </w:pPr>
  </w:style>
  <w:style w:type="paragraph" w:styleId="1061" w:customStyle="1">
    <w:name w:val="正文11"/>
    <w:next w:val="1060"/>
    <w:uiPriority w:val="0"/>
    <w:qFormat/>
    <w:pPr>
      <w:jc w:val="both"/>
      <w:widowControl w:val="off"/>
    </w:pPr>
    <w:rPr>
      <w:rFonts w:ascii="Times New Roman" w:hAnsi="Times New Roman" w:eastAsia="宋体" w:cs="Times New Roman"/>
      <w:sz w:val="21"/>
      <w:szCs w:val="22"/>
      <w:lang w:val="en-US" w:eastAsia="zh-CN" w:bidi="ar-SA"/>
    </w:rPr>
  </w:style>
  <w:style w:type="table" w:styleId="1062" w:customStyle="1">
    <w:name w:val="网格型1"/>
    <w:basedOn w:val="1013"/>
    <w:uiPriority w:val="0"/>
    <w:unhideWhenUsed/>
    <w:qFormat/>
    <w:pPr>
      <w:jc w:val="both"/>
      <w:widowControl w:val="off"/>
    </w:pPr>
    <w:tblPr/>
  </w:style>
  <w:style w:type="character" w:styleId="1063" w:customStyle="1">
    <w:name w:val="要点1"/>
    <w:uiPriority w:val="0"/>
    <w:qFormat/>
    <w:rPr>
      <w:b/>
      <w:bCs/>
    </w:rPr>
  </w:style>
  <w:style w:type="character" w:styleId="1064" w:customStyle="1">
    <w:name w:val="页码1"/>
    <w:uiPriority w:val="0"/>
    <w:unhideWhenUsed/>
    <w:qFormat/>
  </w:style>
  <w:style w:type="character" w:styleId="1065" w:customStyle="1">
    <w:name w:val="访问过的超链接1"/>
    <w:uiPriority w:val="0"/>
    <w:qFormat/>
    <w:rPr>
      <w:rFonts w:ascii="微软雅黑" w:hAnsi="微软雅黑" w:eastAsia="微软雅黑" w:cs="微软雅黑"/>
      <w:color w:val="3d3d3d"/>
      <w:u w:val="none"/>
    </w:rPr>
  </w:style>
  <w:style w:type="character" w:styleId="1066" w:customStyle="1">
    <w:name w:val="超链接1"/>
    <w:uiPriority w:val="99"/>
    <w:unhideWhenUsed/>
    <w:qFormat/>
    <w:rPr>
      <w:rFonts w:hint="eastAsia" w:ascii="微软雅黑" w:hAnsi="微软雅黑" w:eastAsia="微软雅黑" w:cs="微软雅黑"/>
      <w:color w:val="3d3d3d"/>
      <w:u w:val="none"/>
    </w:rPr>
  </w:style>
  <w:style w:type="character" w:styleId="1067" w:customStyle="1">
    <w:name w:val="批注引用1"/>
    <w:uiPriority w:val="0"/>
    <w:qFormat/>
    <w:rPr>
      <w:sz w:val="21"/>
      <w:szCs w:val="21"/>
    </w:rPr>
  </w:style>
  <w:style w:type="character" w:styleId="1068" w:customStyle="1">
    <w:name w:val="font11"/>
    <w:uiPriority w:val="0"/>
    <w:qFormat/>
    <w:rPr>
      <w:rFonts w:hint="eastAsia" w:ascii="宋体" w:hAnsi="宋体" w:eastAsia="宋体" w:cs="宋体"/>
      <w:color w:val="000000"/>
      <w:sz w:val="20"/>
      <w:szCs w:val="20"/>
      <w:u w:val="none"/>
    </w:rPr>
  </w:style>
  <w:style w:type="character" w:styleId="1069" w:customStyle="1">
    <w:name w:val="z-窗体底端 Char"/>
    <w:link w:val="1070"/>
    <w:uiPriority w:val="0"/>
    <w:qFormat/>
    <w:rPr>
      <w:rFonts w:ascii="Arial" w:hAnsi="Arial" w:cs="Arial"/>
      <w:vanish/>
      <w:sz w:val="16"/>
      <w:szCs w:val="16"/>
    </w:rPr>
  </w:style>
  <w:style w:type="paragraph" w:styleId="1070" w:customStyle="1">
    <w:name w:val="z-窗体底端1"/>
    <w:basedOn w:val="776"/>
    <w:next w:val="776"/>
    <w:link w:val="1069"/>
    <w:uiPriority w:val="0"/>
    <w:unhideWhenUsed/>
    <w:qFormat/>
    <w:pPr>
      <w:jc w:val="center"/>
      <w:pBdr>
        <w:top w:val="single" w:color="000000" w:sz="6" w:space="1"/>
      </w:pBdr>
    </w:pPr>
    <w:rPr>
      <w:rFonts w:ascii="Arial" w:hAnsi="Arial" w:eastAsia="宋体" w:cs="Arial"/>
      <w:vanish/>
      <w:sz w:val="16"/>
      <w:szCs w:val="16"/>
    </w:rPr>
  </w:style>
  <w:style w:type="character" w:styleId="1071" w:customStyle="1">
    <w:name w:val="Char Char Char"/>
    <w:uiPriority w:val="0"/>
    <w:qFormat/>
    <w:rPr>
      <w:rFonts w:hint="eastAsia" w:ascii="黑体" w:hAnsi="黑体" w:eastAsia="黑体"/>
      <w:bCs/>
      <w:sz w:val="28"/>
      <w:szCs w:val="32"/>
      <w:lang w:val="en-US" w:eastAsia="zh-CN" w:bidi="ar-SA"/>
    </w:rPr>
  </w:style>
  <w:style w:type="character" w:styleId="1072" w:customStyle="1">
    <w:name w:val="尾注文本 Char1"/>
    <w:uiPriority w:val="99"/>
    <w:semiHidden/>
    <w:qFormat/>
    <w:rPr>
      <w:rFonts w:eastAsia="楷体_GB2312"/>
      <w:sz w:val="26"/>
    </w:rPr>
  </w:style>
  <w:style w:type="character" w:styleId="1073" w:customStyle="1">
    <w:name w:val="font01"/>
    <w:uiPriority w:val="0"/>
    <w:qFormat/>
    <w:rPr>
      <w:rFonts w:ascii="Calibri" w:hAnsi="Calibri" w:cs="Calibri"/>
      <w:color w:val="000000"/>
      <w:sz w:val="20"/>
      <w:szCs w:val="20"/>
      <w:u w:val="none"/>
    </w:rPr>
  </w:style>
  <w:style w:type="character" w:styleId="1074" w:customStyle="1">
    <w:name w:val="纯文本 Char Char"/>
    <w:uiPriority w:val="0"/>
    <w:qFormat/>
    <w:rPr>
      <w:rFonts w:ascii="宋体" w:hAnsi="Courier New" w:eastAsia="宋体" w:cs="Courier New"/>
      <w:sz w:val="21"/>
      <w:szCs w:val="21"/>
      <w:lang w:val="en-US" w:eastAsia="zh-CN" w:bidi="ar-SA"/>
    </w:rPr>
  </w:style>
  <w:style w:type="character" w:styleId="1075" w:customStyle="1">
    <w:name w:val="Plain Text Char Char"/>
    <w:link w:val="1076"/>
    <w:uiPriority w:val="0"/>
    <w:qFormat/>
    <w:rPr>
      <w:rFonts w:ascii="宋体" w:hAnsi="Courier New" w:eastAsia="楷体_GB2312"/>
      <w:sz w:val="26"/>
      <w:lang w:val="en-US" w:eastAsia="zh-CN" w:bidi="ar-SA"/>
    </w:rPr>
  </w:style>
  <w:style w:type="paragraph" w:styleId="1076" w:customStyle="1">
    <w:name w:val="纯文本1"/>
    <w:basedOn w:val="776"/>
    <w:link w:val="1075"/>
    <w:uiPriority w:val="0"/>
    <w:qFormat/>
    <w:rPr>
      <w:rFonts w:ascii="宋体" w:hAnsi="Courier New"/>
    </w:rPr>
  </w:style>
  <w:style w:type="character" w:styleId="1077" w:customStyle="1">
    <w:name w:val="样式 粉红"/>
    <w:uiPriority w:val="0"/>
    <w:qFormat/>
    <w:rPr>
      <w:color w:val="000000"/>
      <w:u w:val="none"/>
    </w:rPr>
  </w:style>
  <w:style w:type="character" w:styleId="1078" w:customStyle="1">
    <w:name w:val="Char Char5"/>
    <w:uiPriority w:val="0"/>
    <w:qFormat/>
    <w:rPr>
      <w:rFonts w:hint="eastAsia" w:ascii="黑体" w:hAnsi="黑体" w:eastAsia="黑体"/>
      <w:b/>
      <w:bCs/>
      <w:sz w:val="72"/>
      <w:szCs w:val="44"/>
      <w:lang w:val="en-US" w:eastAsia="zh-CN" w:bidi="ar-SA"/>
    </w:rPr>
  </w:style>
  <w:style w:type="character" w:styleId="1079" w:customStyle="1">
    <w:name w:val="文档结构图 Char1"/>
    <w:uiPriority w:val="99"/>
    <w:semiHidden/>
    <w:qFormat/>
    <w:rPr>
      <w:rFonts w:ascii="宋体"/>
      <w:sz w:val="18"/>
      <w:szCs w:val="18"/>
    </w:rPr>
  </w:style>
  <w:style w:type="character" w:styleId="1080" w:customStyle="1">
    <w:name w:val="font112"/>
    <w:uiPriority w:val="0"/>
    <w:qFormat/>
    <w:rPr>
      <w:rFonts w:hint="eastAsia" w:ascii="宋体" w:hAnsi="宋体" w:eastAsia="宋体" w:cs="宋体"/>
      <w:color w:val="000000"/>
      <w:sz w:val="20"/>
      <w:szCs w:val="20"/>
      <w:u w:val="none"/>
    </w:rPr>
  </w:style>
  <w:style w:type="character" w:styleId="1081" w:customStyle="1">
    <w:name w:val="Char Char1"/>
    <w:uiPriority w:val="0"/>
    <w:qFormat/>
    <w:rPr>
      <w:rFonts w:ascii="Arial" w:hAnsi="Arial" w:eastAsia="黑体"/>
      <w:b/>
      <w:bCs/>
      <w:sz w:val="32"/>
      <w:szCs w:val="32"/>
      <w:lang w:val="en-US" w:eastAsia="zh-CN" w:bidi="ar-SA"/>
    </w:rPr>
  </w:style>
  <w:style w:type="character" w:styleId="1082" w:customStyle="1">
    <w:name w:val="z-窗体顶端 Char1"/>
    <w:link w:val="1083"/>
    <w:uiPriority w:val="0"/>
    <w:qFormat/>
    <w:rPr>
      <w:rFonts w:ascii="Arial" w:hAnsi="Arial" w:cs="Arial"/>
      <w:vanish/>
      <w:sz w:val="16"/>
      <w:szCs w:val="16"/>
    </w:rPr>
  </w:style>
  <w:style w:type="paragraph" w:styleId="1083" w:customStyle="1">
    <w:name w:val="z-窗体顶端1"/>
    <w:basedOn w:val="776"/>
    <w:next w:val="776"/>
    <w:link w:val="1082"/>
    <w:uiPriority w:val="0"/>
    <w:qFormat/>
    <w:pPr>
      <w:jc w:val="center"/>
      <w:pBdr>
        <w:bottom w:val="single" w:color="000000" w:sz="6" w:space="1"/>
      </w:pBdr>
    </w:pPr>
    <w:rPr>
      <w:rFonts w:ascii="Arial" w:hAnsi="Arial" w:eastAsia="宋体" w:cs="Arial"/>
      <w:vanish/>
      <w:sz w:val="16"/>
      <w:szCs w:val="16"/>
    </w:rPr>
  </w:style>
  <w:style w:type="character" w:styleId="1084" w:customStyle="1">
    <w:name w:val="grame"/>
    <w:uiPriority w:val="0"/>
    <w:qFormat/>
  </w:style>
  <w:style w:type="character" w:styleId="1085" w:customStyle="1">
    <w:name w:val="Heading #1|1_"/>
    <w:link w:val="1086"/>
    <w:uiPriority w:val="0"/>
    <w:qFormat/>
    <w:rPr>
      <w:rFonts w:ascii="宋体" w:hAnsi="宋体" w:eastAsia="宋体" w:cs="宋体"/>
      <w:color w:val="fc5c77"/>
      <w:sz w:val="138"/>
      <w:szCs w:val="138"/>
      <w:lang w:val="zh-TW" w:eastAsia="zh-TW" w:bidi="zh-TW"/>
    </w:rPr>
  </w:style>
  <w:style w:type="paragraph" w:styleId="1086" w:customStyle="1">
    <w:name w:val="Heading #1|1"/>
    <w:basedOn w:val="776"/>
    <w:link w:val="1085"/>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087" w:customStyle="1">
    <w:name w:val="font21"/>
    <w:uiPriority w:val="0"/>
    <w:qFormat/>
    <w:rPr>
      <w:rFonts w:hint="eastAsia" w:ascii="宋体" w:hAnsi="宋体" w:eastAsia="宋体" w:cs="宋体"/>
      <w:color w:val="000000"/>
      <w:sz w:val="20"/>
      <w:szCs w:val="20"/>
      <w:u w:val="none"/>
    </w:rPr>
  </w:style>
  <w:style w:type="character" w:styleId="1088" w:customStyle="1">
    <w:name w:val="z-窗体顶端 Char"/>
    <w:link w:val="1089"/>
    <w:uiPriority w:val="0"/>
    <w:qFormat/>
    <w:rPr>
      <w:rFonts w:ascii="Arial" w:hAnsi="Arial" w:cs="Arial"/>
      <w:vanish/>
      <w:sz w:val="16"/>
      <w:szCs w:val="16"/>
    </w:rPr>
  </w:style>
  <w:style w:type="paragraph" w:styleId="1089" w:customStyle="1">
    <w:name w:val="z-窗体顶端11"/>
    <w:basedOn w:val="776"/>
    <w:next w:val="776"/>
    <w:link w:val="1088"/>
    <w:uiPriority w:val="0"/>
    <w:unhideWhenUsed/>
    <w:qFormat/>
    <w:pPr>
      <w:jc w:val="center"/>
      <w:pBdr>
        <w:bottom w:val="single" w:color="000000" w:sz="6" w:space="1"/>
      </w:pBdr>
    </w:pPr>
    <w:rPr>
      <w:rFonts w:ascii="Arial" w:hAnsi="Arial" w:eastAsia="宋体" w:cs="Arial"/>
      <w:vanish/>
      <w:sz w:val="16"/>
      <w:szCs w:val="16"/>
    </w:rPr>
  </w:style>
  <w:style w:type="character" w:styleId="1090" w:customStyle="1">
    <w:name w:val="标题 Char1"/>
    <w:uiPriority w:val="10"/>
    <w:qFormat/>
    <w:rPr>
      <w:rFonts w:ascii="Cambria" w:hAnsi="Cambria" w:cs="Times New Roman"/>
      <w:b/>
      <w:bCs/>
      <w:sz w:val="32"/>
      <w:szCs w:val="32"/>
    </w:rPr>
  </w:style>
  <w:style w:type="character" w:styleId="1091" w:customStyle="1">
    <w:name w:val="Char Char3"/>
    <w:uiPriority w:val="0"/>
    <w:qFormat/>
    <w:rPr>
      <w:b/>
      <w:bCs/>
      <w:sz w:val="32"/>
      <w:szCs w:val="32"/>
    </w:rPr>
  </w:style>
  <w:style w:type="character" w:styleId="1092" w:customStyle="1">
    <w:name w:val="Blockquote Char Char"/>
    <w:link w:val="1093"/>
    <w:uiPriority w:val="0"/>
    <w:qFormat/>
    <w:rPr>
      <w:rFonts w:cs="宋体"/>
      <w:sz w:val="24"/>
      <w:szCs w:val="24"/>
    </w:rPr>
  </w:style>
  <w:style w:type="paragraph" w:styleId="1093" w:customStyle="1">
    <w:name w:val="Blockquote"/>
    <w:basedOn w:val="776"/>
    <w:link w:val="1092"/>
    <w:uiPriority w:val="0"/>
    <w:qFormat/>
    <w:pPr>
      <w:ind w:left="360" w:right="360"/>
      <w:jc w:val="left"/>
      <w:spacing w:before="100" w:after="100"/>
    </w:pPr>
    <w:rPr>
      <w:rFonts w:eastAsia="宋体" w:cs="宋体"/>
      <w:sz w:val="24"/>
      <w:szCs w:val="24"/>
    </w:rPr>
  </w:style>
  <w:style w:type="character" w:styleId="1094" w:customStyle="1">
    <w:name w:val="Char Char4"/>
    <w:uiPriority w:val="0"/>
    <w:qFormat/>
    <w:rPr>
      <w:rFonts w:ascii="Arial" w:hAnsi="Arial" w:eastAsia="黑体" w:cs="Arial"/>
      <w:bCs/>
      <w:sz w:val="24"/>
      <w:szCs w:val="28"/>
      <w:lang w:val="en-US" w:eastAsia="zh-CN" w:bidi="ar-SA"/>
    </w:rPr>
  </w:style>
  <w:style w:type="character" w:styleId="1095" w:customStyle="1">
    <w:name w:val="Other|1_"/>
    <w:link w:val="1096"/>
    <w:uiPriority w:val="0"/>
    <w:qFormat/>
    <w:rPr>
      <w:rFonts w:ascii="宋体" w:hAnsi="宋体" w:eastAsia="宋体" w:cs="宋体"/>
      <w:color w:val="4e4a50"/>
      <w:lang w:val="zh-TW" w:eastAsia="zh-TW" w:bidi="zh-TW"/>
    </w:rPr>
  </w:style>
  <w:style w:type="paragraph" w:styleId="1096" w:customStyle="1">
    <w:name w:val="Other|1"/>
    <w:basedOn w:val="776"/>
    <w:link w:val="1095"/>
    <w:uiPriority w:val="0"/>
    <w:qFormat/>
    <w:pPr>
      <w:jc w:val="center"/>
      <w:spacing w:line="308" w:lineRule="exact"/>
    </w:pPr>
    <w:rPr>
      <w:rFonts w:ascii="宋体" w:hAnsi="宋体" w:eastAsia="宋体" w:cs="宋体"/>
      <w:color w:val="4e4a50"/>
      <w:sz w:val="20"/>
      <w:lang w:val="zh-TW" w:eastAsia="zh-TW" w:bidi="zh-TW"/>
    </w:rPr>
  </w:style>
  <w:style w:type="character" w:styleId="1097" w:customStyle="1">
    <w:name w:val="z-窗体底端 Char2"/>
    <w:uiPriority w:val="99"/>
    <w:semiHidden/>
    <w:qFormat/>
    <w:rPr>
      <w:rFonts w:ascii="Arial" w:hAnsi="Arial" w:eastAsia="楷体_GB2312" w:cs="Arial"/>
      <w:vanish/>
      <w:sz w:val="16"/>
      <w:szCs w:val="16"/>
    </w:rPr>
  </w:style>
  <w:style w:type="character" w:styleId="1098" w:customStyle="1">
    <w:name w:val="font61"/>
    <w:uiPriority w:val="0"/>
    <w:qFormat/>
    <w:rPr>
      <w:rFonts w:ascii="Calibri" w:hAnsi="Calibri" w:cs="Calibri"/>
      <w:color w:val="000000"/>
      <w:sz w:val="20"/>
      <w:szCs w:val="20"/>
      <w:u w:val="none"/>
    </w:rPr>
  </w:style>
  <w:style w:type="character" w:styleId="1099" w:customStyle="1">
    <w:name w:val="Body text|3_"/>
    <w:link w:val="1100"/>
    <w:uiPriority w:val="0"/>
    <w:qFormat/>
    <w:rPr>
      <w:color w:val="5c575b"/>
      <w:sz w:val="26"/>
      <w:szCs w:val="26"/>
      <w:lang w:val="zh-TW" w:eastAsia="zh-TW" w:bidi="zh-TW"/>
    </w:rPr>
  </w:style>
  <w:style w:type="paragraph" w:styleId="1100" w:customStyle="1">
    <w:name w:val="Body text|3"/>
    <w:basedOn w:val="776"/>
    <w:link w:val="1099"/>
    <w:uiPriority w:val="0"/>
    <w:qFormat/>
    <w:pPr>
      <w:jc w:val="left"/>
    </w:pPr>
    <w:rPr>
      <w:rFonts w:eastAsia="宋体"/>
      <w:color w:val="5c575b"/>
      <w:szCs w:val="26"/>
      <w:lang w:val="zh-TW" w:eastAsia="zh-TW" w:bidi="zh-TW"/>
    </w:rPr>
  </w:style>
  <w:style w:type="character" w:styleId="1101" w:customStyle="1">
    <w:name w:val="Char Char2"/>
    <w:uiPriority w:val="0"/>
    <w:qFormat/>
    <w:rPr>
      <w:rFonts w:ascii="Arial" w:hAnsi="Arial" w:eastAsia="黑体" w:cs="Arial"/>
      <w:b/>
      <w:bCs/>
      <w:sz w:val="32"/>
      <w:szCs w:val="32"/>
      <w:lang w:val="en-US" w:eastAsia="zh-CN" w:bidi="ar-SA"/>
    </w:rPr>
  </w:style>
  <w:style w:type="character" w:styleId="1102" w:customStyle="1">
    <w:name w:val="z-窗体顶端 Char2"/>
    <w:uiPriority w:val="99"/>
    <w:semiHidden/>
    <w:qFormat/>
    <w:rPr>
      <w:rFonts w:ascii="Arial" w:hAnsi="Arial" w:eastAsia="楷体_GB2312" w:cs="Arial"/>
      <w:vanish/>
      <w:sz w:val="16"/>
      <w:szCs w:val="16"/>
    </w:rPr>
  </w:style>
  <w:style w:type="character" w:styleId="1103" w:customStyle="1">
    <w:name w:val="Header or footer|2_"/>
    <w:link w:val="1104"/>
    <w:uiPriority w:val="0"/>
    <w:qFormat/>
    <w:rPr>
      <w:lang w:val="zh-TW" w:eastAsia="zh-TW" w:bidi="zh-TW"/>
    </w:rPr>
  </w:style>
  <w:style w:type="paragraph" w:styleId="1104" w:customStyle="1">
    <w:name w:val="Header or footer|2"/>
    <w:basedOn w:val="776"/>
    <w:link w:val="1103"/>
    <w:uiPriority w:val="0"/>
    <w:qFormat/>
    <w:pPr>
      <w:jc w:val="left"/>
    </w:pPr>
    <w:rPr>
      <w:rFonts w:eastAsia="宋体"/>
      <w:sz w:val="20"/>
      <w:lang w:val="zh-TW" w:eastAsia="zh-TW" w:bidi="zh-TW"/>
    </w:rPr>
  </w:style>
  <w:style w:type="character" w:styleId="1105" w:customStyle="1">
    <w:name w:val="正文首行缩进 Char1"/>
    <w:uiPriority w:val="0"/>
    <w:qFormat/>
  </w:style>
  <w:style w:type="character" w:styleId="1106" w:customStyle="1">
    <w:name w:val="Body text|1_"/>
    <w:link w:val="1107"/>
    <w:uiPriority w:val="0"/>
    <w:qFormat/>
    <w:rPr>
      <w:rFonts w:ascii="宋体" w:hAnsi="宋体" w:eastAsia="宋体" w:cs="宋体"/>
      <w:color w:val="4e4a50"/>
      <w:sz w:val="26"/>
      <w:szCs w:val="26"/>
      <w:lang w:val="zh-TW" w:eastAsia="zh-TW" w:bidi="zh-TW"/>
    </w:rPr>
  </w:style>
  <w:style w:type="paragraph" w:styleId="1107" w:customStyle="1">
    <w:name w:val="Body text|1"/>
    <w:basedOn w:val="776"/>
    <w:link w:val="1106"/>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108" w:customStyle="1">
    <w:name w:val="Picture caption|1_"/>
    <w:link w:val="1109"/>
    <w:uiPriority w:val="0"/>
    <w:qFormat/>
    <w:rPr>
      <w:rFonts w:ascii="宋体" w:hAnsi="宋体" w:eastAsia="宋体" w:cs="宋体"/>
      <w:color w:val="4e4a50"/>
      <w:sz w:val="26"/>
      <w:szCs w:val="26"/>
      <w:lang w:val="zh-TW" w:eastAsia="zh-TW" w:bidi="zh-TW"/>
    </w:rPr>
  </w:style>
  <w:style w:type="paragraph" w:styleId="1109" w:customStyle="1">
    <w:name w:val="Picture caption|1"/>
    <w:basedOn w:val="776"/>
    <w:link w:val="1108"/>
    <w:uiPriority w:val="0"/>
    <w:qFormat/>
    <w:pPr>
      <w:jc w:val="left"/>
    </w:pPr>
    <w:rPr>
      <w:rFonts w:ascii="宋体" w:hAnsi="宋体" w:eastAsia="宋体" w:cs="宋体"/>
      <w:color w:val="4e4a50"/>
      <w:szCs w:val="26"/>
      <w:lang w:val="zh-TW" w:eastAsia="zh-TW" w:bidi="zh-TW"/>
    </w:rPr>
  </w:style>
  <w:style w:type="character" w:styleId="1110" w:customStyle="1">
    <w:name w:val="Char Char"/>
    <w:uiPriority w:val="0"/>
    <w:qFormat/>
    <w:rPr>
      <w:rFonts w:eastAsia="黑体"/>
      <w:bCs/>
      <w:sz w:val="28"/>
      <w:szCs w:val="32"/>
      <w:lang w:val="en-US" w:eastAsia="zh-CN" w:bidi="ar-SA"/>
    </w:rPr>
  </w:style>
  <w:style w:type="character" w:styleId="1111" w:customStyle="1">
    <w:name w:val="Heading #2|1_"/>
    <w:link w:val="1112"/>
    <w:uiPriority w:val="0"/>
    <w:qFormat/>
    <w:rPr>
      <w:rFonts w:ascii="宋体" w:hAnsi="宋体" w:eastAsia="宋体" w:cs="宋体"/>
      <w:color w:val="4e4a50"/>
      <w:sz w:val="40"/>
      <w:szCs w:val="40"/>
      <w:lang w:val="zh-TW" w:eastAsia="zh-TW" w:bidi="zh-TW"/>
    </w:rPr>
  </w:style>
  <w:style w:type="paragraph" w:styleId="1112" w:customStyle="1">
    <w:name w:val="Heading #2|1"/>
    <w:basedOn w:val="776"/>
    <w:link w:val="1111"/>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13" w:customStyle="1">
    <w:name w:val="font51"/>
    <w:uiPriority w:val="0"/>
    <w:qFormat/>
    <w:rPr>
      <w:rFonts w:hint="eastAsia" w:ascii="宋体" w:hAnsi="宋体" w:eastAsia="宋体" w:cs="宋体"/>
      <w:color w:val="000000"/>
      <w:sz w:val="20"/>
      <w:szCs w:val="20"/>
      <w:u w:val="none"/>
    </w:rPr>
  </w:style>
  <w:style w:type="character" w:styleId="1114" w:customStyle="1">
    <w:name w:val="z-窗体底端 Char1"/>
    <w:link w:val="1115"/>
    <w:uiPriority w:val="0"/>
    <w:qFormat/>
    <w:rPr>
      <w:rFonts w:ascii="Arial" w:hAnsi="Arial" w:cs="Arial"/>
      <w:vanish/>
      <w:sz w:val="16"/>
      <w:szCs w:val="16"/>
    </w:rPr>
  </w:style>
  <w:style w:type="paragraph" w:styleId="1115" w:customStyle="1">
    <w:name w:val="z-窗体底端2"/>
    <w:basedOn w:val="776"/>
    <w:next w:val="776"/>
    <w:link w:val="1114"/>
    <w:uiPriority w:val="0"/>
    <w:qFormat/>
    <w:pPr>
      <w:jc w:val="center"/>
      <w:pBdr>
        <w:top w:val="single" w:color="000000" w:sz="6" w:space="1"/>
      </w:pBdr>
    </w:pPr>
    <w:rPr>
      <w:rFonts w:ascii="Arial" w:hAnsi="Arial" w:eastAsia="宋体" w:cs="Arial"/>
      <w:vanish/>
      <w:sz w:val="16"/>
      <w:szCs w:val="16"/>
    </w:rPr>
  </w:style>
  <w:style w:type="paragraph" w:styleId="1116" w:customStyle="1">
    <w:name w:val="样式 标题 2 + Times New Roman 四号 非加粗 段前: 5 磅 段后: 0 磅 行距: 固定值 20..."/>
    <w:basedOn w:val="1008"/>
    <w:uiPriority w:val="0"/>
    <w:qFormat/>
    <w:pPr>
      <w:jc w:val="center"/>
      <w:spacing w:before="100" w:after="0" w:line="400" w:lineRule="exact"/>
    </w:pPr>
    <w:rPr>
      <w:rFonts w:ascii="Times New Roman" w:hAnsi="Times New Roman" w:cs="宋体"/>
      <w:b w:val="0"/>
      <w:bCs w:val="0"/>
      <w:sz w:val="28"/>
      <w:szCs w:val="20"/>
    </w:rPr>
  </w:style>
  <w:style w:type="paragraph" w:styleId="1117" w:customStyle="1">
    <w:name w:val="正文首行缩进两字符"/>
    <w:basedOn w:val="776"/>
    <w:uiPriority w:val="0"/>
    <w:qFormat/>
    <w:pPr>
      <w:ind w:firstLine="200"/>
      <w:spacing w:line="360" w:lineRule="auto"/>
    </w:pPr>
    <w:rPr>
      <w:rFonts w:eastAsia="宋体"/>
      <w:sz w:val="21"/>
      <w:szCs w:val="24"/>
    </w:rPr>
  </w:style>
  <w:style w:type="paragraph" w:styleId="1118" w:customStyle="1">
    <w:name w:val="red"/>
    <w:basedOn w:val="776"/>
    <w:uiPriority w:val="0"/>
    <w:qFormat/>
    <w:pPr>
      <w:jc w:val="left"/>
      <w:spacing w:before="100" w:beforeAutospacing="1" w:after="100" w:afterAutospacing="1"/>
      <w:widowControl/>
    </w:pPr>
    <w:rPr>
      <w:rFonts w:ascii="宋体" w:hAnsi="宋体" w:eastAsia="宋体" w:cs="宋体"/>
      <w:sz w:val="21"/>
      <w:szCs w:val="21"/>
    </w:rPr>
  </w:style>
  <w:style w:type="paragraph" w:styleId="1119" w:customStyle="1">
    <w:name w:val="z-窗体底端3"/>
    <w:basedOn w:val="776"/>
    <w:next w:val="776"/>
    <w:uiPriority w:val="0"/>
    <w:unhideWhenUsed/>
    <w:qFormat/>
    <w:pPr>
      <w:jc w:val="center"/>
      <w:pBdr>
        <w:top w:val="single" w:color="000000" w:sz="6" w:space="1"/>
      </w:pBdr>
    </w:pPr>
    <w:rPr>
      <w:rFonts w:ascii="Arial" w:hAnsi="Arial" w:eastAsia="宋体" w:cs="Arial"/>
      <w:vanish/>
      <w:sz w:val="16"/>
      <w:szCs w:val="16"/>
    </w:rPr>
  </w:style>
  <w:style w:type="paragraph" w:styleId="1120" w:customStyle="1">
    <w:name w:val="_Style 4"/>
    <w:basedOn w:val="776"/>
    <w:next w:val="776"/>
    <w:uiPriority w:val="0"/>
    <w:qFormat/>
    <w:pPr>
      <w:ind w:firstLine="420"/>
    </w:pPr>
    <w:rPr>
      <w:rFonts w:ascii="Calibri" w:hAnsi="Calibri" w:eastAsia="宋体"/>
      <w:sz w:val="21"/>
      <w:szCs w:val="22"/>
    </w:rPr>
  </w:style>
  <w:style w:type="paragraph" w:styleId="1121"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22"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123" w:customStyle="1">
    <w:name w:val="默认段落字体 Para Char Char Char Char Char Char Char"/>
    <w:basedOn w:val="776"/>
    <w:uiPriority w:val="0"/>
    <w:qFormat/>
    <w:rPr>
      <w:rFonts w:ascii="Tahoma" w:hAnsi="Tahoma" w:eastAsia="宋体"/>
      <w:sz w:val="24"/>
    </w:rPr>
  </w:style>
  <w:style w:type="paragraph" w:styleId="1124" w:customStyle="1">
    <w:name w:val="Char"/>
    <w:basedOn w:val="776"/>
    <w:uiPriority w:val="0"/>
    <w:qFormat/>
    <w:rPr>
      <w:rFonts w:ascii="Tahoma" w:hAnsi="Tahoma" w:eastAsia="宋体"/>
      <w:sz w:val="24"/>
    </w:rPr>
  </w:style>
  <w:style w:type="paragraph" w:styleId="1125" w:customStyle="1">
    <w:name w:val="样式1"/>
    <w:basedOn w:val="1010"/>
    <w:uiPriority w:val="0"/>
    <w:qFormat/>
    <w:pPr>
      <w:jc w:val="left"/>
      <w:spacing w:before="0" w:after="0" w:line="240" w:lineRule="auto"/>
    </w:pPr>
    <w:rPr>
      <w:rFonts w:ascii="黑体" w:hAnsi="宋体" w:eastAsia="黑体" w:cs="黑体"/>
      <w:b w:val="0"/>
      <w:color w:val="000000"/>
      <w:sz w:val="21"/>
    </w:rPr>
  </w:style>
  <w:style w:type="paragraph" w:styleId="1126" w:customStyle="1">
    <w:name w:val="修订1"/>
    <w:uiPriority w:val="99"/>
    <w:unhideWhenUsed/>
    <w:qFormat/>
    <w:rPr>
      <w:rFonts w:ascii="Times New Roman" w:hAnsi="Times New Roman" w:eastAsia="楷体_GB2312" w:cs="Times New Roman"/>
      <w:sz w:val="26"/>
      <w:lang w:val="en-US" w:eastAsia="zh-CN" w:bidi="ar-SA"/>
    </w:rPr>
  </w:style>
  <w:style w:type="paragraph" w:styleId="1127" w:customStyle="1">
    <w:name w:val="列出段落"/>
    <w:basedOn w:val="776"/>
    <w:uiPriority w:val="0"/>
    <w:qFormat/>
    <w:pPr>
      <w:ind w:firstLine="420"/>
    </w:pPr>
  </w:style>
  <w:style w:type="paragraph" w:styleId="1128" w:customStyle="1">
    <w:name w:val="样式 样式 宋体 + 首行缩进:  1 字符"/>
    <w:basedOn w:val="1129"/>
    <w:uiPriority w:val="0"/>
    <w:qFormat/>
    <w:pPr>
      <w:spacing w:line="240" w:lineRule="auto"/>
    </w:pPr>
  </w:style>
  <w:style w:type="paragraph" w:styleId="1129" w:customStyle="1">
    <w:name w:val="样式 宋体"/>
    <w:basedOn w:val="776"/>
    <w:uiPriority w:val="0"/>
    <w:qFormat/>
    <w:pPr>
      <w:ind w:firstLine="100"/>
      <w:spacing w:line="360" w:lineRule="auto"/>
    </w:pPr>
    <w:rPr>
      <w:rFonts w:ascii="宋体" w:hAnsi="宋体" w:eastAsia="宋体" w:cs="宋体"/>
      <w:sz w:val="21"/>
    </w:rPr>
  </w:style>
  <w:style w:type="paragraph" w:styleId="1130" w:customStyle="1">
    <w:name w:val="正文1"/>
    <w:basedOn w:val="776"/>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131" w:customStyle="1">
    <w:name w:val="正文 + 黑体"/>
    <w:basedOn w:val="776"/>
    <w:uiPriority w:val="0"/>
    <w:qFormat/>
    <w:pPr>
      <w:jc w:val="left"/>
    </w:pPr>
    <w:rPr>
      <w:rFonts w:ascii="黑体" w:hAnsi="宋体" w:eastAsia="黑体" w:cs="TimesNewRomanPSMT"/>
      <w:sz w:val="24"/>
      <w:szCs w:val="24"/>
    </w:rPr>
  </w:style>
  <w:style w:type="paragraph" w:styleId="1132" w:customStyle="1">
    <w:name w:val="1"/>
    <w:basedOn w:val="776"/>
    <w:uiPriority w:val="0"/>
    <w:qFormat/>
    <w:rPr>
      <w:rFonts w:eastAsia="宋体"/>
      <w:sz w:val="21"/>
      <w:szCs w:val="24"/>
    </w:rPr>
  </w:style>
  <w:style w:type="paragraph" w:styleId="1133" w:customStyle="1">
    <w:name w:val="[基本段落]"/>
    <w:basedOn w:val="776"/>
    <w:uiPriority w:val="99"/>
    <w:qFormat/>
    <w:pPr>
      <w:jc w:val="left"/>
      <w:spacing w:line="288" w:lineRule="auto"/>
    </w:pPr>
    <w:rPr>
      <w:rFonts w:ascii="Myriad Roman" w:hAnsi="Myriad Roman" w:cs="Myriad Roman"/>
      <w:color w:val="000000"/>
      <w:sz w:val="24"/>
    </w:rPr>
  </w:style>
  <w:style w:type="paragraph" w:styleId="1134" w:customStyle="1">
    <w:name w:val="纯文本4"/>
    <w:basedOn w:val="776"/>
    <w:uiPriority w:val="0"/>
    <w:qFormat/>
    <w:rPr>
      <w:rFonts w:ascii="宋体" w:hAnsi="Courier New" w:eastAsia="宋体"/>
      <w:sz w:val="28"/>
      <w:szCs w:val="24"/>
    </w:rPr>
  </w:style>
  <w:style w:type="paragraph" w:styleId="1135" w:customStyle="1">
    <w:name w:val="Address"/>
    <w:basedOn w:val="776"/>
    <w:uiPriority w:val="0"/>
    <w:qFormat/>
    <w:pPr>
      <w:jc w:val="left"/>
      <w:spacing w:line="249" w:lineRule="auto"/>
      <w:widowControl/>
    </w:pPr>
    <w:rPr>
      <w:rFonts w:ascii="Centaur" w:hAnsi="Centaur"/>
      <w:sz w:val="20"/>
      <w:lang w:eastAsia="en-US"/>
    </w:rPr>
  </w:style>
  <w:style w:type="paragraph" w:styleId="1136" w:customStyle="1">
    <w:name w:val="金安桥正文"/>
    <w:basedOn w:val="836"/>
    <w:uiPriority w:val="0"/>
    <w:qFormat/>
    <w:pPr>
      <w:ind w:firstLine="200"/>
      <w:jc w:val="left"/>
      <w:spacing w:line="300" w:lineRule="auto"/>
    </w:pPr>
    <w:rPr>
      <w:rFonts w:ascii="Times New Roman"/>
      <w:sz w:val="24"/>
    </w:rPr>
  </w:style>
  <w:style w:type="paragraph" w:styleId="1137" w:customStyle="1">
    <w:name w:val="普通正文"/>
    <w:basedOn w:val="776"/>
    <w:uiPriority w:val="0"/>
    <w:qFormat/>
    <w:pPr>
      <w:ind w:firstLine="480"/>
      <w:jc w:val="left"/>
      <w:spacing w:before="120" w:after="120" w:line="360" w:lineRule="auto"/>
    </w:pPr>
    <w:rPr>
      <w:rFonts w:ascii="Arial" w:hAnsi="Arial"/>
      <w:sz w:val="24"/>
    </w:rPr>
  </w:style>
  <w:style w:type="paragraph" w:styleId="1138" w:customStyle="1">
    <w:name w:val="纯文本11"/>
    <w:basedOn w:val="776"/>
    <w:uiPriority w:val="99"/>
    <w:qFormat/>
    <w:rPr>
      <w:rFonts w:ascii="宋体" w:hAnsi="Courier New"/>
    </w:rPr>
  </w:style>
  <w:style w:type="paragraph" w:styleId="1139" w:customStyle="1">
    <w:name w:val="WPS Plain"/>
    <w:uiPriority w:val="0"/>
    <w:qFormat/>
    <w:rPr>
      <w:rFonts w:ascii="Times New Roman" w:hAnsi="Times New Roman" w:eastAsia="宋体" w:cs="Times New Roman"/>
      <w:lang w:val="en-US" w:eastAsia="zh-CN" w:bidi="ar-SA"/>
    </w:rPr>
  </w:style>
  <w:style w:type="paragraph" w:styleId="1140" w:customStyle="1">
    <w:name w:val="p0"/>
    <w:basedOn w:val="776"/>
    <w:uiPriority w:val="0"/>
    <w:qFormat/>
    <w:pPr>
      <w:widowControl/>
    </w:pPr>
    <w:rPr>
      <w:rFonts w:ascii="黑体" w:hAnsi="黑体"/>
      <w:szCs w:val="21"/>
    </w:rPr>
  </w:style>
  <w:style w:type="paragraph" w:styleId="1141" w:customStyle="1">
    <w:name w:val="首行缩进"/>
    <w:basedOn w:val="776"/>
    <w:uiPriority w:val="0"/>
    <w:qFormat/>
    <w:pPr>
      <w:ind w:firstLine="480"/>
      <w:spacing w:line="360" w:lineRule="auto"/>
    </w:pPr>
    <w:rPr>
      <w:rFonts w:hAnsi="宋体" w:eastAsia="宋体" w:cs="宋体"/>
      <w:sz w:val="24"/>
      <w:szCs w:val="24"/>
    </w:rPr>
  </w:style>
  <w:style w:type="paragraph" w:styleId="1142" w:customStyle="1">
    <w:name w:val="Char1"/>
    <w:basedOn w:val="776"/>
    <w:uiPriority w:val="0"/>
    <w:qFormat/>
    <w:pPr>
      <w:tabs>
        <w:tab w:val="left" w:pos="360" w:leader="none"/>
      </w:tabs>
    </w:pPr>
    <w:rPr>
      <w:rFonts w:eastAsia="宋体"/>
      <w:sz w:val="24"/>
      <w:szCs w:val="24"/>
    </w:rPr>
  </w:style>
  <w:style w:type="paragraph" w:styleId="1143" w:customStyle="1">
    <w:name w:val="z-窗体顶端2"/>
    <w:basedOn w:val="776"/>
    <w:next w:val="776"/>
    <w:uiPriority w:val="0"/>
    <w:unhideWhenUsed/>
    <w:qFormat/>
    <w:pPr>
      <w:jc w:val="center"/>
      <w:pBdr>
        <w:bottom w:val="single" w:color="000000" w:sz="6" w:space="1"/>
      </w:pBdr>
    </w:pPr>
    <w:rPr>
      <w:rFonts w:ascii="Arial" w:hAnsi="Arial" w:eastAsia="宋体" w:cs="Arial"/>
      <w:vanish/>
      <w:sz w:val="16"/>
      <w:szCs w:val="16"/>
    </w:rPr>
  </w:style>
  <w:style w:type="paragraph" w:styleId="1144" w:customStyle="1">
    <w:name w:val="样式 标题 3 + (中文) 黑体 小四 非加粗 段前: 7.8 磅 段后: 0 磅 行距: 固定值 20 磅"/>
    <w:basedOn w:val="1009"/>
    <w:next w:val="776"/>
    <w:uiPriority w:val="0"/>
    <w:qFormat/>
    <w:pPr>
      <w:spacing w:before="0" w:after="0" w:line="400" w:lineRule="exact"/>
    </w:pPr>
    <w:rPr>
      <w:rFonts w:eastAsia="宋体"/>
      <w:sz w:val="24"/>
      <w:szCs w:val="20"/>
    </w:rPr>
  </w:style>
  <w:style w:type="paragraph" w:styleId="1145"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146">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47" w:customStyle="1">
    <w:name w:val="Char Char Char Char Char Char Char Char Char Char"/>
    <w:basedOn w:val="776"/>
    <w:uiPriority w:val="0"/>
    <w:qFormat/>
    <w:pPr>
      <w:ind w:hanging="425"/>
      <w:keepNext/>
      <w:spacing w:before="80" w:after="80"/>
      <w:widowControl/>
      <w:tabs>
        <w:tab w:val="left" w:pos="425" w:leader="none"/>
      </w:tabs>
    </w:pPr>
    <w:rPr>
      <w:rFonts w:eastAsia="宋体"/>
      <w:sz w:val="20"/>
    </w:rPr>
  </w:style>
  <w:style w:type="paragraph" w:styleId="1148" w:customStyle="1">
    <w:name w:val="Style1"/>
    <w:basedOn w:val="776"/>
    <w:uiPriority w:val="0"/>
    <w:qFormat/>
    <w:pPr>
      <w:spacing w:after="120"/>
      <w:widowControl/>
      <w:tabs>
        <w:tab w:val="left" w:pos="-720" w:leader="none"/>
      </w:tabs>
    </w:pPr>
    <w:rPr>
      <w:spacing w:val="-3"/>
      <w:sz w:val="24"/>
      <w:lang w:val="en-AU" w:eastAsia="en-US"/>
    </w:rPr>
  </w:style>
  <w:style w:type="paragraph" w:styleId="1149" w:customStyle="1">
    <w:name w:val="样式2"/>
    <w:basedOn w:val="776"/>
    <w:next w:val="1011"/>
    <w:uiPriority w:val="0"/>
    <w:qFormat/>
    <w:pPr>
      <w:jc w:val="center"/>
    </w:pPr>
    <w:rPr>
      <w:rFonts w:ascii="宋体" w:hAnsi="宋体" w:eastAsia="宋体" w:cs="Arial"/>
      <w:b/>
      <w:color w:val="000000"/>
      <w:sz w:val="21"/>
      <w:szCs w:val="21"/>
    </w:rPr>
  </w:style>
  <w:style w:type="paragraph" w:styleId="1150" w:customStyle="1">
    <w:name w:val="纯文本3"/>
    <w:basedOn w:val="776"/>
    <w:uiPriority w:val="0"/>
    <w:qFormat/>
    <w:rPr>
      <w:rFonts w:hint="eastAsia" w:ascii="宋体" w:hAnsi="Courier New"/>
      <w:sz w:val="28"/>
    </w:rPr>
  </w:style>
  <w:style w:type="paragraph" w:styleId="1151" w:customStyle="1">
    <w:name w:val="Table Paragraph"/>
    <w:basedOn w:val="776"/>
    <w:uiPriority w:val="1"/>
    <w:qFormat/>
  </w:style>
  <w:style w:type="table" w:styleId="1152" w:customStyle="1">
    <w:name w:val="Table Normal"/>
    <w:uiPriority w:val="2"/>
    <w:unhideWhenUsed/>
    <w:qFormat/>
    <w:tblPr>
      <w:tblCellMar>
        <w:left w:w="0" w:type="dxa"/>
        <w:top w:w="0" w:type="dxa"/>
        <w:right w:w="0" w:type="dxa"/>
        <w:bottom w:w="0" w:type="dxa"/>
      </w:tblCellMar>
    </w:tblPr>
  </w:style>
  <w:style w:type="paragraph" w:styleId="1153" w:customStyle="1">
    <w:name w:val="段"/>
    <w:next w:val="776"/>
    <w:uiPriority w:val="0"/>
    <w:qFormat/>
    <w:pPr>
      <w:ind w:firstLine="200"/>
      <w:jc w:val="both"/>
    </w:pPr>
    <w:rPr>
      <w:rFonts w:ascii="宋体" w:hAnsi="Times New Roman" w:eastAsia="宋体" w:cs="Times New Roman"/>
      <w:sz w:val="21"/>
      <w:szCs w:val="22"/>
      <w:lang w:val="en-US" w:eastAsia="zh-CN" w:bidi="ar-SA"/>
    </w:rPr>
  </w:style>
  <w:style w:type="paragraph" w:styleId="1154" w:customStyle="1">
    <w:name w:val="纯文本111"/>
    <w:basedOn w:val="776"/>
    <w:uiPriority w:val="0"/>
    <w:qFormat/>
    <w:rPr>
      <w:rFonts w:ascii="宋体" w:hAnsi="Courier New"/>
    </w:rPr>
  </w:style>
  <w:style w:type="character" w:styleId="1155" w:customStyle="1">
    <w:name w:val="纯文本 字符"/>
    <w:basedOn w:val="786"/>
    <w:link w:val="799"/>
    <w:uiPriority w:val="0"/>
    <w:qFormat/>
    <w:rPr>
      <w:rFonts w:hint="eastAsia" w:ascii="宋体" w:hAnsi="Courier New" w:eastAsia="宋体" w:cs="Courier New"/>
      <w:sz w:val="26"/>
    </w:rPr>
  </w:style>
  <w:style w:type="character" w:styleId="1156" w:customStyle="1">
    <w:name w:val="未处理的提及1"/>
    <w:basedOn w:val="786"/>
    <w:uiPriority w:val="99"/>
    <w:semiHidden/>
    <w:unhideWhenUsed/>
    <w:qFormat/>
    <w:rPr>
      <w:color w:val="605e5c"/>
      <w:shd w:val="clear" w:color="auto" w:fill="e1dfdd"/>
    </w:rPr>
  </w:style>
  <w:style w:type="character" w:styleId="1157" w:customStyle="1">
    <w:name w:val="未处理的提及2"/>
    <w:basedOn w:val="786"/>
    <w:uiPriority w:val="99"/>
    <w:semiHidden/>
    <w:unhideWhenUsed/>
    <w:qFormat/>
    <w:rPr>
      <w:color w:val="605e5c"/>
      <w:shd w:val="clear" w:color="auto" w:fill="e1dfdd"/>
    </w:rPr>
  </w:style>
  <w:style w:type="character" w:styleId="1158" w:customStyle="1">
    <w:name w:val="font41"/>
    <w:basedOn w:val="786"/>
    <w:uiPriority w:val="0"/>
    <w:qFormat/>
    <w:rPr>
      <w:rFonts w:ascii="黑体" w:hAnsi="宋体" w:eastAsia="黑体" w:cs="黑体"/>
      <w:color w:val="000000"/>
      <w:sz w:val="18"/>
      <w:szCs w:val="18"/>
      <w:u w:val="none"/>
    </w:rPr>
  </w:style>
  <w:style w:type="character" w:styleId="1159" w:customStyle="1">
    <w:name w:val="font31"/>
    <w:basedOn w:val="786"/>
    <w:uiPriority w:val="0"/>
    <w:qFormat/>
    <w:rPr>
      <w:rFonts w:ascii="方正仿宋_GBK" w:hAnsi="方正仿宋_GBK" w:eastAsia="方正仿宋_GBK" w:cs="方正仿宋_GBK"/>
      <w:color w:val="000000"/>
      <w:sz w:val="18"/>
      <w:szCs w:val="18"/>
      <w:u w:val="none"/>
    </w:rPr>
  </w:style>
  <w:style w:type="paragraph" w:styleId="1160" w:customStyle="1">
    <w:name w:val="Table Text"/>
    <w:basedOn w:val="776"/>
    <w:uiPriority w:val="0"/>
    <w:semiHidden/>
    <w:qFormat/>
    <w:rPr>
      <w:rFonts w:ascii="宋体" w:hAnsi="宋体" w:eastAsia="宋体" w:cs="宋体"/>
      <w:sz w:val="20"/>
      <w:lang w:eastAsia="en-US"/>
    </w:rPr>
  </w:style>
  <w:style w:type="character" w:styleId="1161" w:customStyle="1">
    <w:name w:val="正文缩进 字符"/>
    <w:link w:val="790"/>
    <w:uiPriority w:val="0"/>
    <w:qFormat/>
    <w:rPr>
      <w:rFonts w:eastAsia="楷体_GB2312"/>
      <w:sz w:val="24"/>
    </w:rPr>
  </w:style>
  <w:style w:type="paragraph" w:styleId="1162" w:customStyle="1">
    <w:name w:val="正文(其它)"/>
    <w:basedOn w:val="776"/>
    <w:uiPriority w:val="0"/>
    <w:qFormat/>
    <w:pPr>
      <w:jc w:val="center"/>
      <w:spacing w:line="312" w:lineRule="auto"/>
    </w:pPr>
    <w:rPr>
      <w:rFonts w:ascii="黑体" w:eastAsia="黑体"/>
      <w:sz w:val="32"/>
      <w:szCs w:val="32"/>
    </w:rPr>
  </w:style>
  <w:style w:type="character" w:styleId="1163" w:customStyle="1">
    <w:name w:val="jj101"/>
    <w:uiPriority w:val="0"/>
    <w:qFormat/>
    <w:rPr>
      <w:sz w:val="20"/>
      <w:szCs w:val="20"/>
      <w:u w:val="none"/>
    </w:rPr>
  </w:style>
  <w:style w:type="character" w:styleId="1164" w:customStyle="1">
    <w:name w:val="apple-style-span"/>
    <w:basedOn w:val="786"/>
    <w:uiPriority w:val="0"/>
    <w:qFormat/>
  </w:style>
  <w:style w:type="paragraph" w:styleId="1165" w:customStyle="1">
    <w:name w:val="xl31"/>
    <w:basedOn w:val="776"/>
    <w:next w:val="818"/>
    <w:uiPriority w:val="0"/>
    <w:qFormat/>
    <w:pPr>
      <w:ind w:firstLine="3584"/>
      <w:spacing w:before="280" w:after="280"/>
      <w:widowControl/>
    </w:pPr>
  </w:style>
  <w:style w:type="paragraph" w:styleId="1166" w:customStyle="1">
    <w:name w:val="样式 小四 段前: 5 磅 段后: 5 磅 首行缩进:  2 字符"/>
    <w:basedOn w:val="776"/>
    <w:uiPriority w:val="0"/>
    <w:qFormat/>
    <w:pPr>
      <w:spacing w:line="360" w:lineRule="auto"/>
    </w:pPr>
    <w:rPr>
      <w:rFonts w:ascii="宋体" w:hAnsi="宋体"/>
      <w:szCs w:val="21"/>
    </w:rPr>
  </w:style>
  <w:style w:type="character" w:styleId="1167" w:customStyle="1">
    <w:name w:val="hover"/>
    <w:basedOn w:val="786"/>
    <w:uiPriority w:val="0"/>
    <w:qFormat/>
    <w:rPr>
      <w:color w:val="2590eb"/>
      <w:shd w:val="clear" w:color="auto" w:fill="e9f4fd"/>
    </w:rPr>
  </w:style>
  <w:style w:type="character" w:styleId="1168" w:customStyle="1">
    <w:name w:val="hover1"/>
    <w:basedOn w:val="786"/>
    <w:uiPriority w:val="0"/>
    <w:qFormat/>
  </w:style>
  <w:style w:type="character" w:styleId="1169" w:customStyle="1">
    <w:name w:val="hover2"/>
    <w:basedOn w:val="786"/>
    <w:uiPriority w:val="0"/>
    <w:qFormat/>
    <w:rPr>
      <w:color w:val="2590eb"/>
    </w:rPr>
  </w:style>
  <w:style w:type="character" w:styleId="1170" w:customStyle="1">
    <w:name w:val="hover3"/>
    <w:basedOn w:val="786"/>
    <w:uiPriority w:val="0"/>
    <w:qFormat/>
    <w:rPr>
      <w:color w:val="2590eb"/>
    </w:rPr>
  </w:style>
  <w:style w:type="paragraph" w:styleId="1171" w:customStyle="1">
    <w:name w:val="注释标题1"/>
    <w:basedOn w:val="776"/>
    <w:next w:val="776"/>
    <w:uiPriority w:val="0"/>
    <w:qFormat/>
    <w:pPr>
      <w:ind w:firstLine="480"/>
      <w:jc w:val="center"/>
      <w:spacing w:line="360" w:lineRule="auto"/>
    </w:pPr>
    <w:rPr>
      <w:rFonts w:eastAsia="宋体"/>
      <w:sz w:val="21"/>
      <w:szCs w:val="24"/>
      <w:lang w:val="zh-CN"/>
    </w:rPr>
  </w:style>
  <w:style w:type="paragraph" w:styleId="1172" w:customStyle="1">
    <w:name w:val="列表段落1"/>
    <w:basedOn w:val="776"/>
    <w:uiPriority w:val="34"/>
    <w:qFormat/>
    <w:pPr>
      <w:ind w:firstLine="420"/>
    </w:pPr>
    <w:rPr>
      <w:rFonts w:eastAsia="宋体"/>
      <w:sz w:val="21"/>
      <w:szCs w:val="24"/>
    </w:rPr>
  </w:style>
  <w:style w:type="character" w:styleId="1173" w:customStyle="1">
    <w:name w:val="明显强调1"/>
    <w:basedOn w:val="786"/>
    <w:uiPriority w:val="21"/>
    <w:qFormat/>
    <w:rPr>
      <w:i/>
      <w:iCs/>
      <w:color w:val="0f4761"/>
    </w:rPr>
  </w:style>
  <w:style w:type="character" w:styleId="1174" w:customStyle="1">
    <w:name w:val="明显参考1"/>
    <w:basedOn w:val="786"/>
    <w:uiPriority w:val="32"/>
    <w:qFormat/>
    <w:rPr>
      <w:b/>
      <w:bCs/>
      <w:smallCaps/>
      <w:color w:val="0f4761"/>
      <w:spacing w:val="5"/>
    </w:rPr>
  </w:style>
  <w:style w:type="table" w:styleId="1175" w:customStyle="1">
    <w:name w:val="网格型2"/>
    <w:basedOn w:val="78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6" w:customStyle="1">
    <w:name w:val="网格型11"/>
    <w:basedOn w:val="78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7" w:customStyle="1">
    <w:name w:val="msonormal"/>
    <w:basedOn w:val="776"/>
    <w:uiPriority w:val="0"/>
    <w:qFormat/>
    <w:pPr>
      <w:jc w:val="left"/>
      <w:spacing w:before="100" w:beforeAutospacing="1" w:after="100" w:afterAutospacing="1"/>
      <w:widowControl/>
    </w:pPr>
    <w:rPr>
      <w:rFonts w:ascii="宋体" w:hAnsi="宋体" w:eastAsia="宋体" w:cs="宋体"/>
      <w:sz w:val="24"/>
      <w:szCs w:val="24"/>
    </w:rPr>
  </w:style>
  <w:style w:type="paragraph" w:styleId="1178" w:customStyle="1">
    <w:name w:val="font0"/>
    <w:basedOn w:val="776"/>
    <w:uiPriority w:val="0"/>
    <w:qFormat/>
    <w:pPr>
      <w:jc w:val="left"/>
      <w:spacing w:before="100" w:beforeAutospacing="1" w:after="100" w:afterAutospacing="1"/>
      <w:widowControl/>
    </w:pPr>
    <w:rPr>
      <w:rFonts w:ascii="宋体" w:hAnsi="宋体" w:eastAsia="宋体" w:cs="宋体"/>
      <w:sz w:val="24"/>
      <w:szCs w:val="24"/>
    </w:rPr>
  </w:style>
  <w:style w:type="paragraph" w:styleId="1179" w:customStyle="1">
    <w:name w:val="font5"/>
    <w:basedOn w:val="776"/>
    <w:uiPriority w:val="0"/>
    <w:qFormat/>
    <w:pPr>
      <w:jc w:val="left"/>
      <w:spacing w:before="100" w:beforeAutospacing="1" w:after="100" w:afterAutospacing="1"/>
      <w:widowControl/>
    </w:pPr>
    <w:rPr>
      <w:rFonts w:ascii="宋体" w:hAnsi="宋体" w:eastAsia="宋体" w:cs="宋体"/>
      <w:sz w:val="18"/>
      <w:szCs w:val="18"/>
    </w:rPr>
  </w:style>
  <w:style w:type="paragraph" w:styleId="1180" w:customStyle="1">
    <w:name w:val="font6"/>
    <w:basedOn w:val="776"/>
    <w:uiPriority w:val="0"/>
    <w:qFormat/>
    <w:pPr>
      <w:jc w:val="left"/>
      <w:spacing w:before="100" w:beforeAutospacing="1" w:after="100" w:afterAutospacing="1"/>
      <w:widowControl/>
    </w:pPr>
    <w:rPr>
      <w:rFonts w:ascii="宋体" w:hAnsi="宋体" w:eastAsia="宋体" w:cs="宋体"/>
      <w:b/>
      <w:bCs/>
      <w:sz w:val="24"/>
      <w:szCs w:val="24"/>
    </w:rPr>
  </w:style>
  <w:style w:type="paragraph" w:styleId="1181" w:customStyle="1">
    <w:name w:val="font7"/>
    <w:basedOn w:val="776"/>
    <w:uiPriority w:val="0"/>
    <w:qFormat/>
    <w:pPr>
      <w:jc w:val="left"/>
      <w:spacing w:before="100" w:beforeAutospacing="1" w:after="100" w:afterAutospacing="1"/>
      <w:widowControl/>
    </w:pPr>
    <w:rPr>
      <w:rFonts w:ascii="宋体" w:hAnsi="宋体" w:eastAsia="宋体" w:cs="宋体"/>
      <w:b/>
      <w:bCs/>
      <w:sz w:val="24"/>
      <w:szCs w:val="24"/>
      <w:u w:val="single"/>
    </w:rPr>
  </w:style>
  <w:style w:type="paragraph" w:styleId="1182" w:customStyle="1">
    <w:name w:val="font8"/>
    <w:basedOn w:val="776"/>
    <w:uiPriority w:val="0"/>
    <w:qFormat/>
    <w:pPr>
      <w:jc w:val="left"/>
      <w:spacing w:before="100" w:beforeAutospacing="1" w:after="100" w:afterAutospacing="1"/>
      <w:widowControl/>
    </w:pPr>
    <w:rPr>
      <w:rFonts w:ascii="宋体" w:hAnsi="宋体" w:eastAsia="宋体" w:cs="宋体"/>
      <w:sz w:val="24"/>
      <w:szCs w:val="24"/>
    </w:rPr>
  </w:style>
  <w:style w:type="paragraph" w:styleId="1183" w:customStyle="1">
    <w:name w:val="font9"/>
    <w:basedOn w:val="776"/>
    <w:uiPriority w:val="0"/>
    <w:qFormat/>
    <w:pPr>
      <w:jc w:val="left"/>
      <w:spacing w:before="100" w:beforeAutospacing="1" w:after="100" w:afterAutospacing="1"/>
      <w:widowControl/>
    </w:pPr>
    <w:rPr>
      <w:rFonts w:ascii="宋体" w:hAnsi="宋体" w:eastAsia="宋体" w:cs="宋体"/>
      <w:color w:val="ff0000"/>
      <w:sz w:val="24"/>
      <w:szCs w:val="24"/>
    </w:rPr>
  </w:style>
  <w:style w:type="paragraph" w:styleId="1184" w:customStyle="1">
    <w:name w:val="font10"/>
    <w:basedOn w:val="776"/>
    <w:uiPriority w:val="0"/>
    <w:qFormat/>
    <w:pPr>
      <w:jc w:val="left"/>
      <w:spacing w:before="100" w:beforeAutospacing="1" w:after="100" w:afterAutospacing="1"/>
      <w:widowControl/>
    </w:pPr>
    <w:rPr>
      <w:rFonts w:ascii="宋体" w:hAnsi="宋体" w:eastAsia="宋体" w:cs="宋体"/>
      <w:b/>
      <w:bCs/>
      <w:color w:val="ff0000"/>
      <w:sz w:val="24"/>
      <w:szCs w:val="24"/>
      <w:u w:val="single"/>
    </w:rPr>
  </w:style>
  <w:style w:type="paragraph" w:styleId="1185" w:customStyle="1">
    <w:name w:val="xl6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6" w:customStyle="1">
    <w:name w:val="xl6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7" w:customStyle="1">
    <w:name w:val="xl6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8" w:customStyle="1">
    <w:name w:val="xl6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9" w:customStyle="1">
    <w:name w:val="xl6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90" w:customStyle="1">
    <w:name w:val="xl7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1" w:customStyle="1">
    <w:name w:val="xl7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92" w:customStyle="1">
    <w:name w:val="xl7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3" w:customStyle="1">
    <w:name w:val="xl7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4" w:customStyle="1">
    <w:name w:val="xl7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95" w:customStyle="1">
    <w:name w:val="xl75"/>
    <w:basedOn w:val="776"/>
    <w:uiPriority w:val="0"/>
    <w:qFormat/>
    <w:pPr>
      <w:jc w:val="center"/>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6" w:customStyle="1">
    <w:name w:val="xl76"/>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97" w:customStyle="1">
    <w:name w:val="xl7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8" w:customStyle="1">
    <w:name w:val="xl7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9" w:customStyle="1">
    <w:name w:val="xl7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00" w:customStyle="1">
    <w:name w:val="xl8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1" w:customStyle="1">
    <w:name w:val="xl8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character" w:styleId="1202" w:customStyle="1">
    <w:name w:val="正文文本缩进 字符"/>
    <w:basedOn w:val="786"/>
    <w:link w:val="795"/>
    <w:uiPriority w:val="0"/>
    <w:qFormat/>
    <w:rPr>
      <w:rFonts w:ascii="楷体_GB2312" w:eastAsia="楷体_GB2312" w:hAnsiTheme="minorHAnsi" w:cstheme="minorBidi"/>
      <w:sz w:val="32"/>
      <w:szCs w:val="22"/>
    </w:rPr>
  </w:style>
  <w:style w:type="paragraph" w:styleId="1203" w:customStyle="1">
    <w:name w:val="acbfdd8b-e11b-4d36-88ff-6049b138f862"/>
    <w:basedOn w:val="776"/>
    <w:link w:val="1204"/>
    <w:uiPriority w:val="0"/>
    <w:qFormat/>
    <w:pPr>
      <w:jc w:val="left"/>
      <w:spacing w:line="288" w:lineRule="auto"/>
    </w:pPr>
    <w:rPr>
      <w:rFonts w:ascii="微软雅黑" w:hAnsi="微软雅黑" w:eastAsia="微软雅黑"/>
      <w:color w:val="000000"/>
      <w:sz w:val="22"/>
      <w:szCs w:val="28"/>
    </w:rPr>
  </w:style>
  <w:style w:type="character" w:styleId="1204" w:customStyle="1">
    <w:name w:val="acbfdd8b-e11b-4d36-88ff-6049b138f862 字符"/>
    <w:basedOn w:val="786"/>
    <w:link w:val="1203"/>
    <w:uiPriority w:val="0"/>
    <w:qFormat/>
    <w:rPr>
      <w:rFonts w:ascii="微软雅黑" w:hAnsi="微软雅黑" w:eastAsia="微软雅黑"/>
      <w:color w:val="000000"/>
      <w:sz w:val="22"/>
      <w:szCs w:val="28"/>
    </w:rPr>
  </w:style>
  <w:style w:type="character" w:styleId="1205" w:customStyle="1">
    <w:name w:val="明显强调2"/>
    <w:basedOn w:val="786"/>
    <w:uiPriority w:val="21"/>
    <w:qFormat/>
    <w:rPr>
      <w:i/>
      <w:iCs/>
      <w:color w:val="4f81bd" w:themeColor="accent1"/>
      <w14:textFill>
        <w14:solidFill>
          <w14:schemeClr w14:val="accent1"/>
        </w14:solidFill>
      </w14:textFill>
    </w:rPr>
  </w:style>
  <w:style w:type="character" w:styleId="1206" w:customStyle="1">
    <w:name w:val="明显参考2"/>
    <w:basedOn w:val="786"/>
    <w:uiPriority w:val="32"/>
    <w:qFormat/>
    <w:rPr>
      <w:b/>
      <w:bCs/>
      <w:smallCaps/>
      <w:color w:val="4f81bd" w:themeColor="accent1"/>
      <w:spacing w:val="5"/>
      <w14:textFill>
        <w14:solidFill>
          <w14:schemeClr w14:val="accent1"/>
        </w14:solidFill>
      </w14:textFill>
    </w:rPr>
  </w:style>
  <w:style w:type="paragraph" w:styleId="1207" w:customStyle="1">
    <w:name w:val="null3"/>
    <w:uiPriority w:val="0"/>
    <w:qFormat/>
    <w:rPr>
      <w:rFonts w:asciiTheme="minorHAnsi" w:hAnsiTheme="minorHAnsi" w:eastAsiaTheme="minorEastAsia" w:cstheme="minorBidi"/>
      <w:lang w:val="en-US" w:eastAsia="zh-Hans" w:bidi="ar-SA"/>
    </w:rPr>
  </w:style>
  <w:style w:type="paragraph" w:styleId="1208" w:customStyle="1">
    <w:name w:val="p16"/>
    <w:basedOn w:val="776"/>
    <w:uiPriority w:val="0"/>
    <w:qFormat/>
    <w:pPr>
      <w:jc w:val="left"/>
      <w:widowControl/>
    </w:pPr>
    <w:rPr>
      <w:sz w:val="24"/>
      <w:szCs w:val="24"/>
    </w:rPr>
  </w:style>
  <w:style w:type="character" w:styleId="1209" w:customStyle="1">
    <w:name w:val="强调1"/>
    <w:basedOn w:val="1210"/>
    <w:link w:val="776"/>
    <w:uiPriority w:val="20"/>
    <w:qFormat/>
    <w:rPr>
      <w:rFonts w:ascii="Times New Roman" w:hAnsi="Times New Roman" w:eastAsia="楷体_GB2312" w:cs="Times New Roman"/>
      <w:sz w:val="26"/>
      <w:lang w:val="en-US" w:eastAsia="zh-CN" w:bidi="ar-SA"/>
    </w:rPr>
  </w:style>
  <w:style w:type="character" w:styleId="1210" w:customStyle="1">
    <w:name w:val="默认段落字体11"/>
    <w:link w:val="776"/>
    <w:uiPriority w:val="0"/>
    <w:semiHidden/>
    <w:qFormat/>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b69672ac-cd1d-48f2-b35b-df7b22eabb05</errorID>
      <errorWord>[2025]34号</errorWord>
      <group>L1_Knowledge</group>
      <groupName>知识性问题</groupName>
      <ability>L2_Knowledge</ability>
      <abilityName>其他知识</abilityName>
      <candidateList>
        <item>〔2025〕34号</item>
      </candidateList>
      <explain>发文字号格式错误。</explain>
      <paraID>53E09D06</paraID>
      <start>40</start>
      <end>49</end>
      <status>modified</status>
      <modifiedWord>〔2025〕34号</modifiedWord>
      <trackRevisions>false</trackRevisions>
    </reviewItem>
    <reviewItem>
      <errorID>8700d305-de4a-4ff3-bc40-49f3d4e0403d</errorID>
      <errorWord>《</errorWord>
      <group>L1_Punc</group>
      <groupName>标点问题</groupName>
      <ability>L2_Punc</ability>
      <abilityName>标点符号检查</abilityName>
      <candidateList/>
      <explain>同一形式括号套用。</explain>
      <paraID>53E09D06</paraID>
      <start>58</start>
      <end>59</end>
      <status>unmodified</status>
      <modifiedWord/>
      <trackRevisions>false</trackRevisions>
    </reviewItem>
    <reviewItem>
      <errorID>a8b36a54-246b-4679-9035-d515fc9d0ea2</errorID>
      <errorWord>》</errorWord>
      <group>L1_Punc</group>
      <groupName>标点问题</groupName>
      <ability>L2_Punc</ability>
      <abilityName>标点符号检查</abilityName>
      <candidateList/>
      <explain>同一形式括号套用。</explain>
      <paraID>53E09D06</paraID>
      <start>89</start>
      <end>90</end>
      <status>unmodified</status>
      <modifiedWord/>
      <trackRevisions>false</trackRevisions>
    </reviewItem>
    <reviewItem>
      <errorID>3d41d37e-288f-4ac1-bf76-06e8a7c946b0</errorID>
      <errorWord>[2025]30号</errorWord>
      <group>L1_Knowledge</group>
      <groupName>知识性问题</groupName>
      <ability>L2_Knowledge</ability>
      <abilityName>其他知识</abilityName>
      <candidateList>
        <item>〔2025〕30号</item>
      </candidateList>
      <explain>发文字号格式错误。</explain>
      <paraID>53E09D06</paraID>
      <start>97</start>
      <end>106</end>
      <status>modified</status>
      <modifiedWord>〔2025〕30号</modifiedWord>
      <trackRevisions>false</trackRevisions>
    </reviewItem>
    <reviewItem>
      <errorID>336a0370-e3b2-4ae3-a439-d735f629871b</errorID>
      <errorWord>须</errorWord>
      <group>L1_Word</group>
      <groupName>字词问题</groupName>
      <ability>L2_Typo</ability>
      <abilityName>字词错误</abilityName>
      <candidateList>
        <item>需</item>
      </candidateList>
      <explain>存在发音相同字词的误用。</explain>
      <paraID>3CF0B794</paraID>
      <start>30</start>
      <end>31</end>
      <status>unmodified</status>
      <modifiedWord/>
      <trackRevisions>false</trackRevisions>
    </reviewItem>
    <reviewItem>
      <errorID>f46bfbdd-3ce9-4a23-86eb-2b5721404ab9</errorID>
      <errorWord>：/</errorWord>
      <group>L1_Punc</group>
      <groupName>标点问题</groupName>
      <ability>L2_Punc</ability>
      <abilityName>标点符号检查</abilityName>
      <candidateList>
        <item>：</item>
      </candidateList>
      <explain/>
      <paraID>53A55542</paraID>
      <start>8</start>
      <end>10</end>
      <status>unmodified</status>
      <modifiedWord/>
      <trackRevisions>false</trackRevisions>
    </reviewItem>
    <reviewItem>
      <errorID>0492e8ea-39d1-47ed-974a-be87ef31d520</errorID>
      <errorWord>：/</errorWord>
      <group>L1_Punc</group>
      <groupName>标点问题</groupName>
      <ability>L2_Punc</ability>
      <abilityName>标点符号检查</abilityName>
      <candidateList>
        <item>：</item>
      </candidateList>
      <explain/>
      <paraID>15A1AC39</paraID>
      <start>12</start>
      <end>14</end>
      <status>unmodified</status>
      <modifiedWord/>
      <trackRevisions>false</trackRevisions>
    </reviewItem>
    <reviewItem>
      <errorID>657ae3e1-30d4-4b86-9480-31f9f2e58a0a</errorID>
      <errorWord>：/</errorWord>
      <group>L1_Punc</group>
      <groupName>标点问题</groupName>
      <ability>L2_Punc</ability>
      <abilityName>标点符号检查</abilityName>
      <candidateList>
        <item>：</item>
      </candidateList>
      <explain/>
      <paraID> 9DFBAD3</paraID>
      <start>3</start>
      <end>5</end>
      <status>unmodified</status>
      <modifiedWord/>
      <trackRevisions>false</trackRevisions>
    </reviewItem>
    <reviewItem>
      <errorID>fb2d0d80-f88a-45b0-b78e-9646708d9c72</errorID>
      <errorWord>：/</errorWord>
      <group>L1_Punc</group>
      <groupName>标点问题</groupName>
      <ability>L2_Punc</ability>
      <abilityName>标点符号检查</abilityName>
      <candidateList>
        <item>：</item>
      </candidateList>
      <explain/>
      <paraID> 9DFBAD3</paraID>
      <start>9</start>
      <end>11</end>
      <status>unmodified</status>
      <modifiedWord/>
      <trackRevisions>false</trackRevisions>
    </reviewItem>
    <reviewItem>
      <errorID>0f4a4ecf-a69f-4f35-9b4a-cc3b4e541cf8</errorID>
      <errorWord>：/</errorWord>
      <group>L1_Punc</group>
      <groupName>标点问题</groupName>
      <ability>L2_Punc</ability>
      <abilityName>标点符号检查</abilityName>
      <candidateList>
        <item>：</item>
      </candidateList>
      <explain/>
      <paraID>2B025A81</paraID>
      <start>4</start>
      <end>6</end>
      <status>unmodified</status>
      <modifiedWord/>
      <trackRevisions>false</trackRevisions>
    </reviewItem>
    <reviewItem>
      <errorID>057891bf-2da2-4409-8640-7b78ce95a5bc</errorID>
      <errorWord>后</errorWord>
      <group>L1_Word</group>
      <groupName>字词问题</groupName>
      <ability>L2_Typo</ability>
      <abilityName>字词错误</abilityName>
      <candidateList>
        <item>后支</item>
      </candidateList>
      <explain/>
      <paraID> 1F78549</paraID>
      <start>4</start>
      <end>5</end>
      <status>unmodified</status>
      <modifiedWord/>
      <trackRevisions>false</trackRevisions>
    </reviewItem>
    <reviewItem>
      <errorID>c1878fcc-d4ad-412a-bb73-820ee9a62f56</errorID>
      <errorWord>&lt;</errorWord>
      <group>L1_Format</group>
      <groupName>格式问题</groupName>
      <ability>L2_HalfPunc</ability>
      <abilityName>全半角检查</abilityName>
      <candidateList>
        <item>〈</item>
      </candidateList>
      <explain>文本全半角错误。</explain>
      <paraID>10FC655B</paraID>
      <start>12</start>
      <end>13</end>
      <status>unmodified</status>
      <modifiedWord/>
      <trackRevisions>false</trackRevisions>
    </reviewItem>
    <reviewItem>
      <errorID>a0f100a8-2dce-4b65-86e5-e1d35d62a4f1</errorID>
      <errorWord>&gt;的通知》</errorWord>
      <group>L1_Punc</group>
      <groupName>标点问题</groupName>
      <ability>L2_Punc</ability>
      <abilityName>标点符号检查</abilityName>
      <candidateList>
        <item>〉的通知》</item>
      </candidateList>
      <explain/>
      <paraID>10FC655B</paraID>
      <start>30</start>
      <end>35</end>
      <status>unmodified</status>
      <modifiedWord/>
      <trackRevisions>false</trackRevisions>
    </reviewItem>
    <reviewItem>
      <errorID>1edb2825-b4ec-4279-a480-2e0cd62cad02</errorID>
      <errorWord>[2025]34号</errorWord>
      <group>L1_Knowledge</group>
      <groupName>知识性问题</groupName>
      <ability>L2_Knowledge</ability>
      <abilityName>其他知识</abilityName>
      <candidateList>
        <item>〔2025〕34号</item>
      </candidateList>
      <explain>发文字号格式错误。</explain>
      <paraID>4904D29A</paraID>
      <start>40</start>
      <end>49</end>
      <status>modified</status>
      <modifiedWord>〔2025〕34号</modifiedWord>
      <trackRevisions>false</trackRevisions>
    </reviewItem>
    <reviewItem>
      <errorID>01744061-48fe-4d8c-98bc-98496bbe44f5</errorID>
      <errorWord>《</errorWord>
      <group>L1_Punc</group>
      <groupName>标点问题</groupName>
      <ability>L2_Punc</ability>
      <abilityName>标点符号检查</abilityName>
      <candidateList/>
      <explain>同一形式括号套用。</explain>
      <paraID>4904D29A</paraID>
      <start>58</start>
      <end>59</end>
      <status>unmodified</status>
      <modifiedWord/>
      <trackRevisions>false</trackRevisions>
    </reviewItem>
    <reviewItem>
      <errorID>f2e3868b-0471-4ea2-8bad-2076016d08f1</errorID>
      <errorWord>》</errorWord>
      <group>L1_Punc</group>
      <groupName>标点问题</groupName>
      <ability>L2_Punc</ability>
      <abilityName>标点符号检查</abilityName>
      <candidateList/>
      <explain>同一形式括号套用。</explain>
      <paraID>4904D29A</paraID>
      <start>89</start>
      <end>90</end>
      <status>unmodified</status>
      <modifiedWord/>
      <trackRevisions>false</trackRevisions>
    </reviewItem>
    <reviewItem>
      <errorID>3a090da1-dfc5-4290-a128-a03e3572acd1</errorID>
      <errorWord>[2025]30号</errorWord>
      <group>L1_Knowledge</group>
      <groupName>知识性问题</groupName>
      <ability>L2_Knowledge</ability>
      <abilityName>其他知识</abilityName>
      <candidateList>
        <item>〔2025〕30号</item>
      </candidateList>
      <explain>发文字号格式错误。</explain>
      <paraID>4904D29A</paraID>
      <start>97</start>
      <end>106</end>
      <status>modified</status>
      <modifiedWord>〔2025〕30号</modifiedWord>
      <trackRevisions>false</trackRevisions>
    </reviewItem>
    <reviewItem>
      <errorID>354caa95-0cb4-435b-9bdc-3a810bb0b31b</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5E084459</paraID>
      <start>27</start>
      <end>28</end>
      <status>modified</status>
      <modifiedWord>‘</modifiedWord>
      <trackRevisions>false</trackRevisions>
    </reviewItem>
    <reviewItem>
      <errorID>05e5e360-57bd-43d4-8953-22835c6f6fcd</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5E084459</paraID>
      <start>31</start>
      <end>32</end>
      <status>modified</status>
      <modifiedWord>’</modifiedWord>
      <trackRevisions>false</trackRevisions>
    </reviewItem>
    <reviewItem>
      <errorID>f3e66fd6-8910-4975-85a2-89d61ec6475f</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5CEE3360</paraID>
      <start>27</start>
      <end>28</end>
      <status>modified</status>
      <modifiedWord>‘</modifiedWord>
      <trackRevisions>false</trackRevisions>
    </reviewItem>
    <reviewItem>
      <errorID>37fc18f1-d2ff-4f72-8d51-65813684d003</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5CEE3360</paraID>
      <start>31</start>
      <end>32</end>
      <status>modified</status>
      <modifiedWord>’</modifiedWord>
      <trackRevisions>false</trackRevisions>
    </reviewItem>
    <reviewItem>
      <errorID>35bdc05b-839e-4f61-8e61-034b1dd21f74</errorID>
      <errorWord>其它</errorWord>
      <group>L1_Word</group>
      <groupName>字词问题</groupName>
      <ability>L2_Alias</ability>
      <abilityName>也作/曾用词</abilityName>
      <candidateList>
        <item>其他</item>
      </candidateList>
      <explain>词汇[其它]为不规范表述或旧称，其规范书面表述为[其他]。</explain>
      <paraID>49FAF847</paraID>
      <start>96</start>
      <end>98</end>
      <status>unmodified</status>
      <modifiedWord/>
      <trackRevisions>false</trackRevisions>
    </reviewItem>
    <reviewItem>
      <errorID>552bb40c-69e3-458e-ac13-85d836146249</errorID>
      <errorWord>其他等</errorWord>
      <group>L1_Word</group>
      <groupName>字词问题</groupName>
      <ability>L2_Typo</ability>
      <abilityName>字词错误</abilityName>
      <candidateList>
        <item>其他</item>
      </candidateList>
      <explain>〈代〉指示代词。别的：今天的文娱晚会，除了京剧、曲艺以外，还有～精彩节目。</explain>
      <paraID>49FAF847</paraID>
      <start>143</start>
      <end>146</end>
      <status>unmodified</status>
      <modifiedWord/>
      <trackRevisions>false</trackRevisions>
    </reviewItem>
    <reviewItem>
      <errorID>38b5b380-1628-45bd-b64e-2a7b9b2201e0</errorID>
      <errorWord>法律、法规</errorWord>
      <group>L1_Word</group>
      <groupName>字词问题</groupName>
      <ability>L2_Typo</ability>
      <abilityName>字词错误</abilityName>
      <candidateList>
        <item>法律法规</item>
      </candidateList>
      <explain/>
      <paraID>24F3148B</paraID>
      <start>3</start>
      <end>7</end>
      <status>modified</status>
      <modifiedWord>法律法规</modifiedWord>
      <trackRevisions>false</trackRevisions>
    </reviewItem>
    <reviewItem>
      <errorID>4ba9217c-0910-4274-a34c-b829958a6217</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1BC9967B</paraID>
      <start>10</start>
      <end>11</end>
      <status>modified</status>
      <modifiedWord>‘</modifiedWord>
      <trackRevisions>false</trackRevisions>
    </reviewItem>
    <reviewItem>
      <errorID>30eed9b7-90b0-4339-baeb-69917965f7cb</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1BC9967B</paraID>
      <start>14</start>
      <end>15</end>
      <status>modified</status>
      <modifiedWord>’</modifiedWord>
      <trackRevisions>false</trackRevisions>
    </reviewItem>
    <reviewItem>
      <errorID>a1e3485d-06ef-444b-8b37-c07fbfad1eed</errorID>
      <errorWord>包含要</errorWord>
      <group>L1_Word</group>
      <groupName>字词问题</groupName>
      <ability>L2_Typo</ability>
      <abilityName>字词错误</abilityName>
      <candidateList>
        <item>包含</item>
      </candidateList>
      <explain>〈动〉里边含有：这句话～好几层意思。</explain>
      <paraID>6A955EB6</paraID>
      <start>5</start>
      <end>8</end>
      <status>unmodified</status>
      <modifiedWord/>
      <trackRevisions>false</trackRevisions>
    </reviewItem>
    <reviewItem>
      <errorID>f5f17e27-7136-4a0a-a817-9de0c0fb8c4b</errorID>
      <errorWord>，</errorWord>
      <group>L1_Format</group>
      <groupName>格式问题</groupName>
      <ability>L2_HalfPunc</ability>
      <abilityName>全半角检查</abilityName>
      <candidateList>
        <item>,</item>
      </candidateList>
      <explain>文本全半角错误。</explain>
      <paraID> A9793F4</paraID>
      <start>6</start>
      <end>7</end>
      <status>modified</status>
      <modifiedWord>,</modifiedWord>
      <trackRevisions>false</trackRevisions>
    </reviewItem>
    <reviewItem>
      <errorID>4b5598bd-afdc-4517-b542-11f0bcfd1c2b</errorID>
      <errorWord>(</errorWord>
      <group>L1_Format</group>
      <groupName>格式问题</groupName>
      <ability>L2_HalfPunc</ability>
      <abilityName>全半角检查</abilityName>
      <candidateList>
        <item>（</item>
      </candidateList>
      <explain>文本全半角错误。</explain>
      <paraID>2A73350B</paraID>
      <start>6</start>
      <end>7</end>
      <status>modified</status>
      <modifiedWord>（</modifiedWord>
      <trackRevisions>false</trackRevisions>
    </reviewItem>
    <reviewItem>
      <errorID>af4a1c0a-4d44-447b-add8-31072ce2bb92</errorID>
      <errorWord>)</errorWord>
      <group>L1_Format</group>
      <groupName>格式问题</groupName>
      <ability>L2_HalfPunc</ability>
      <abilityName>全半角检查</abilityName>
      <candidateList>
        <item>）</item>
      </candidateList>
      <explain>文本全半角错误。</explain>
      <paraID>2A73350B</paraID>
      <start>10</start>
      <end>11</end>
      <status>modified</status>
      <modifiedWord>）</modifiedWord>
      <trackRevisions>false</trackRevisions>
    </reviewItem>
    <reviewItem>
      <errorID>039c29ce-8017-4ea5-bc2a-9245b4a47447</errorID>
      <errorWord>(</errorWord>
      <group>L1_Format</group>
      <groupName>格式问题</groupName>
      <ability>L2_HalfPunc</ability>
      <abilityName>全半角检查</abilityName>
      <candidateList>
        <item>（</item>
      </candidateList>
      <explain>文本全半角错误。</explain>
      <paraID>20C6BF57</paraID>
      <start>8</start>
      <end>9</end>
      <status>modified</status>
      <modifiedWord>（</modifiedWord>
      <trackRevisions>false</trackRevisions>
    </reviewItem>
    <reviewItem>
      <errorID>5d0b5ebb-0d68-4f11-8be3-edde460ea6da</errorID>
      <errorWord>)</errorWord>
      <group>L1_Format</group>
      <groupName>格式问题</groupName>
      <ability>L2_HalfPunc</ability>
      <abilityName>全半角检查</abilityName>
      <candidateList>
        <item>）</item>
      </candidateList>
      <explain>文本全半角错误。</explain>
      <paraID>20C6BF57</paraID>
      <start>12</start>
      <end>13</end>
      <status>modified</status>
      <modifiedWord>）</modifiedWord>
      <trackRevisions>false</trackRevisions>
    </reviewItem>
    <reviewItem>
      <errorID>f1518db4-64cc-4175-9bbb-56af220682c3</errorID>
      <errorWord>(</errorWord>
      <group>L1_Format</group>
      <groupName>格式问题</groupName>
      <ability>L2_HalfPunc</ability>
      <abilityName>全半角检查</abilityName>
      <candidateList>
        <item>（</item>
      </candidateList>
      <explain>文本全半角错误。</explain>
      <paraID>7721EBB9</paraID>
      <start>6</start>
      <end>7</end>
      <status>modified</status>
      <modifiedWord>（</modifiedWord>
      <trackRevisions>false</trackRevisions>
    </reviewItem>
    <reviewItem>
      <errorID>2687a531-ea4a-46df-a887-6f1795b2deb4</errorID>
      <errorWord>)</errorWord>
      <group>L1_Format</group>
      <groupName>格式问题</groupName>
      <ability>L2_HalfPunc</ability>
      <abilityName>全半角检查</abilityName>
      <candidateList>
        <item>）</item>
      </candidateList>
      <explain>文本全半角错误。</explain>
      <paraID>7721EBB9</paraID>
      <start>12</start>
      <end>13</end>
      <status>modified</status>
      <modifiedWord>）</modifiedWord>
      <trackRevisions>false</trackRevisions>
    </reviewItem>
    <reviewItem>
      <errorID>b8606070-57ab-442f-9ae8-bf31bf128ddf</errorID>
      <errorWord>(</errorWord>
      <group>L1_Format</group>
      <groupName>格式问题</groupName>
      <ability>L2_HalfPunc</ability>
      <abilityName>全半角检查</abilityName>
      <candidateList>
        <item>（</item>
      </candidateList>
      <explain>文本全半角错误。</explain>
      <paraID>6B5D0407</paraID>
      <start>8</start>
      <end>9</end>
      <status>modified</status>
      <modifiedWord>（</modifiedWord>
      <trackRevisions>false</trackRevisions>
    </reviewItem>
    <reviewItem>
      <errorID>59b5f884-60f8-415a-bea0-ea1a7dfc4fc9</errorID>
      <errorWord>)</errorWord>
      <group>L1_Format</group>
      <groupName>格式问题</groupName>
      <ability>L2_HalfPunc</ability>
      <abilityName>全半角检查</abilityName>
      <candidateList>
        <item>）</item>
      </candidateList>
      <explain>文本全半角错误。</explain>
      <paraID>6B5D0407</paraID>
      <start>14</start>
      <end>15</end>
      <status>modified</status>
      <modifiedWord>）</modifiedWord>
      <trackRevisions>false</trackRevisions>
    </reviewItem>
    <reviewItem>
      <errorID>cbc1acc1-e8a8-42f4-b8c2-5b4ee4f5a073</errorID>
      <errorWord>(</errorWord>
      <group>L1_Format</group>
      <groupName>格式问题</groupName>
      <ability>L2_HalfPunc</ability>
      <abilityName>全半角检查</abilityName>
      <candidateList>
        <item>（</item>
      </candidateList>
      <explain>文本全半角错误。</explain>
      <paraID>21CFD043</paraID>
      <start>4</start>
      <end>5</end>
      <status>modified</status>
      <modifiedWord>（</modifiedWord>
      <trackRevisions>false</trackRevisions>
    </reviewItem>
    <reviewItem>
      <errorID>16607292-2a4a-459b-836d-df878f597f2b</errorID>
      <errorWord>)</errorWord>
      <group>L1_Format</group>
      <groupName>格式问题</groupName>
      <ability>L2_HalfPunc</ability>
      <abilityName>全半角检查</abilityName>
      <candidateList>
        <item>）</item>
      </candidateList>
      <explain>文本全半角错误。</explain>
      <paraID>21CFD043</paraID>
      <start>8</start>
      <end>9</end>
      <status>modified</status>
      <modifiedWord>）</modifiedWord>
      <trackRevisions>false</trackRevisions>
    </reviewItem>
    <reviewItem>
      <errorID>67be6d0b-b0a3-402a-a6aa-9331159bd685</errorID>
      <errorWord>(</errorWord>
      <group>L1_Format</group>
      <groupName>格式问题</groupName>
      <ability>L2_HalfPunc</ability>
      <abilityName>全半角检查</abilityName>
      <candidateList>
        <item>（</item>
      </candidateList>
      <explain>文本全半角错误。</explain>
      <paraID>3C75614C</paraID>
      <start>6</start>
      <end>7</end>
      <status>modified</status>
      <modifiedWord>（</modifiedWord>
      <trackRevisions>false</trackRevisions>
    </reviewItem>
    <reviewItem>
      <errorID>6dc0323e-908e-4899-9901-40334d36b660</errorID>
      <errorWord>)</errorWord>
      <group>L1_Format</group>
      <groupName>格式问题</groupName>
      <ability>L2_HalfPunc</ability>
      <abilityName>全半角检查</abilityName>
      <candidateList>
        <item>）</item>
      </candidateList>
      <explain>文本全半角错误。</explain>
      <paraID>3C75614C</paraID>
      <start>10</start>
      <end>11</end>
      <status>modified</status>
      <modifiedWord>）</modifiedWord>
      <trackRevisions>false</trackRevisions>
    </reviewItem>
    <reviewItem>
      <errorID>ddeddb01-244e-4ae0-a685-77cd005f58f9</errorID>
      <errorWord>(</errorWord>
      <group>L1_Format</group>
      <groupName>格式问题</groupName>
      <ability>L2_HalfPunc</ability>
      <abilityName>全半角检查</abilityName>
      <candidateList>
        <item>（</item>
      </candidateList>
      <explain>文本全半角错误。</explain>
      <paraID>72077D79</paraID>
      <start>6</start>
      <end>7</end>
      <status>modified</status>
      <modifiedWord>（</modifiedWord>
      <trackRevisions>false</trackRevisions>
    </reviewItem>
    <reviewItem>
      <errorID>d4ec37ab-394c-48aa-b96c-6ac5f408fd67</errorID>
      <errorWord>)</errorWord>
      <group>L1_Format</group>
      <groupName>格式问题</groupName>
      <ability>L2_HalfPunc</ability>
      <abilityName>全半角检查</abilityName>
      <candidateList>
        <item>）</item>
      </candidateList>
      <explain>文本全半角错误。</explain>
      <paraID>72077D79</paraID>
      <start>9</start>
      <end>10</end>
      <status>modified</status>
      <modifiedWord>）</modifiedWord>
      <trackRevisions>false</trackRevisions>
    </reviewItem>
    <reviewItem>
      <errorID>fe840cfe-9509-4a3d-bfb5-ce798b2706fa</errorID>
      <errorWord>电影</errorWord>
      <group>L1_Word</group>
      <groupName>字词问题</groupName>
      <ability>L2_Typo</ability>
      <abilityName>字词错误</abilityName>
      <candidateList>
        <item>显影</item>
      </candidateList>
      <explain>存在发音相近字词的误用。</explain>
      <paraID>1F90D391</paraID>
      <start>2</start>
      <end>4</end>
      <status>unmodified</status>
      <modifiedWord/>
      <trackRevisions>false</trackRevisions>
    </reviewItem>
    <reviewItem>
      <errorID>7b8125f8-67d0-49e9-9cb6-8959f1679623</errorID>
      <errorWord>电影</errorWord>
      <group>L1_Word</group>
      <groupName>字词问题</groupName>
      <ability>L2_Typo</ability>
      <abilityName>字词错误</abilityName>
      <candidateList>
        <item>显影</item>
      </candidateList>
      <explain>存在发音相近字词的误用。</explain>
      <paraID>12112AEC</paraID>
      <start>4</start>
      <end>6</end>
      <status>unmodified</status>
      <modifiedWord/>
      <trackRevisions>false</trackRevisions>
    </reviewItem>
    <reviewItem>
      <errorID>bc0142a0-7281-430b-b232-cac6913ab069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259A4464</paraID>
      <start>1</start>
      <end>2</end>
      <status>unmodified</status>
      <modifiedWord/>
      <trackRevisions>false</trackRevisions>
    </reviewItem>
    <reviewItem>
      <errorID>125c6209-e4e0-4ca3-a279-349f03175997</errorID>
      <errorWord>４</errorWord>
      <group>L1_Format</group>
      <groupName>格式问题</groupName>
      <ability>L2_HalfPunc</ability>
      <abilityName>全半角检查</abilityName>
      <candidateList>
        <item>4</item>
      </candidateList>
      <explain>文本全半角错误。</explain>
      <paraID>2D21EC15</paraID>
      <start>19</start>
      <end>20</end>
      <status>unmodified</status>
      <modifiedWord/>
      <trackRevisions>false</trackRevisions>
    </reviewItem>
    <reviewItem>
      <errorID>58cf78d2-d925-4ae3-9999-1d637d0852f7</errorID>
      <errorWord>４</errorWord>
      <group>L1_Format</group>
      <groupName>格式问题</groupName>
      <ability>L2_HalfPunc</ability>
      <abilityName>全半角检查</abilityName>
      <candidateList>
        <item>4</item>
      </candidateList>
      <explain>文本全半角错误。</explain>
      <paraID>2D21EC15</paraID>
      <start>26</start>
      <end>27</end>
      <status>unmodified</status>
      <modifiedWord/>
      <trackRevisions>false</trackRevisions>
    </reviewItem>
    <reviewItem>
      <errorID>f6547ef5-f970-4a36-8f02-66ef8ed54255</errorID>
      <errorWord>４</errorWord>
      <group>L1_Format</group>
      <groupName>格式问题</groupName>
      <ability>L2_HalfPunc</ability>
      <abilityName>全半角检查</abilityName>
      <candidateList>
        <item>4</item>
      </candidateList>
      <explain>文本全半角错误。</explain>
      <paraID>2D21EC15</paraID>
      <start>33</start>
      <end>34</end>
      <status>unmodified</status>
      <modifiedWord/>
      <trackRevisions>false</trackRevisions>
    </reviewItem>
    <reviewItem>
      <errorID>09124ee9-8c6d-4a24-a39f-d959ffb5e59e</errorID>
      <errorWord>１</errorWord>
      <group>L1_Format</group>
      <groupName>格式问题</groupName>
      <ability>L2_HalfPunc</ability>
      <abilityName>全半角检查</abilityName>
      <candidateList>
        <item>1</item>
      </candidateList>
      <explain>文本全半角错误。</explain>
      <paraID>5E1422DC</paraID>
      <start>5</start>
      <end>6</end>
      <status>unmodified</status>
      <modifiedWord/>
      <trackRevisions>false</trackRevisions>
    </reviewItem>
    <reviewItem>
      <errorID>c0d39629-aa60-4160-a101-4be5c39f923f</errorID>
      <errorWord>２</errorWord>
      <group>L1_Format</group>
      <groupName>格式问题</groupName>
      <ability>L2_HalfPunc</ability>
      <abilityName>全半角检查</abilityName>
      <candidateList>
        <item>2</item>
      </candidateList>
      <explain>文本全半角错误。</explain>
      <paraID>6E084EDE</paraID>
      <start>5</start>
      <end>6</end>
      <status>unmodified</status>
      <modifiedWord/>
      <trackRevisions>false</trackRevisions>
    </reviewItem>
    <reviewItem>
      <errorID>174ec683-af82-4c51-b806-0e5c26cab64b</errorID>
      <errorWord>３</errorWord>
      <group>L1_Format</group>
      <groupName>格式问题</groupName>
      <ability>L2_HalfPunc</ability>
      <abilityName>全半角检查</abilityName>
      <candidateList>
        <item>3</item>
      </candidateList>
      <explain>文本全半角错误。</explain>
      <paraID>3E7635CE</paraID>
      <start>5</start>
      <end>6</end>
      <status>unmodified</status>
      <modifiedWord/>
      <trackRevisions>false</trackRevisions>
    </reviewItem>
    <reviewItem>
      <errorID>2d6aa893-59c2-4197-823b-9398b6ab3b4c</errorID>
      <errorWord>钙化</errorWord>
      <group>L1_Word</group>
      <groupName>字词问题</groupName>
      <ability>L2_Typo</ability>
      <abilityName>字词错误</abilityName>
      <candidateList>
        <item>钙</item>
      </candidateList>
      <explain/>
      <paraID>5EDC22F5</paraID>
      <start>4</start>
      <end>6</end>
      <status>unmodified</status>
      <modifiedWord/>
      <trackRevisions>false</trackRevisions>
    </reviewItem>
    <reviewItem>
      <errorID>bc15dec2-b582-4f29-b0f7-f0946a4d9d15</errorID>
      <errorWord>钙化</errorWord>
      <group>L1_Word</group>
      <groupName>字词问题</groupName>
      <ability>L2_Typo</ability>
      <abilityName>字词错误</abilityName>
      <candidateList>
        <item>钙</item>
      </candidateList>
      <explain/>
      <paraID>3E35F3FC</paraID>
      <start>7</start>
      <end>9</end>
      <status>unmodified</status>
      <modifiedWord/>
      <trackRevisions>false</trackRevisions>
    </reviewItem>
    <reviewItem>
      <errorID>0b2aa98f-d008-4c6d-a9e2-c3bc2d01aa3c</errorID>
      <errorWord>~</errorWord>
      <group>L1_Format</group>
      <groupName>格式问题</groupName>
      <ability>L2_HalfPunc</ability>
      <abilityName>全半角检查</abilityName>
      <candidateList>
        <item>～</item>
      </candidateList>
      <explain>文本全半角错误。</explain>
      <paraID>6B87A22A</paraID>
      <start>7</start>
      <end>8</end>
      <status>unmodified</status>
      <modifiedWord/>
      <trackRevisions>false</trackRevisions>
    </reviewItem>
    <reviewItem>
      <errorID>a56ba468-bbf8-4f08-9bc1-fdea7bc2c93e</errorID>
      <errorWord>:</errorWord>
      <group>L1_Format</group>
      <groupName>格式问题</groupName>
      <ability>L2_HalfPunc</ability>
      <abilityName>全半角检查</abilityName>
      <candidateList>
        <item>：</item>
      </candidateList>
      <explain>文本全半角错误。</explain>
      <paraID> F7C6670</paraID>
      <start>4</start>
      <end>5</end>
      <status>unmodified</status>
      <modifiedWord/>
      <trackRevisions>false</trackRevisions>
    </reviewItem>
    <reviewItem>
      <errorID>d17a67f0-d7c8-46be-b500-b8a48c68cb5f</errorID>
      <errorWord>:</errorWord>
      <group>L1_Format</group>
      <groupName>格式问题</groupName>
      <ability>L2_HalfPunc</ability>
      <abilityName>全半角检查</abilityName>
      <candidateList>
        <item>：</item>
      </candidateList>
      <explain>文本全半角错误。</explain>
      <paraID>239E210D</paraID>
      <start>4</start>
      <end>5</end>
      <status>unmodified</status>
      <modifiedWord/>
      <trackRevisions>false</trackRevisions>
    </reviewItem>
    <reviewItem>
      <errorID>443668dc-1002-4e6a-adde-803d896af365</errorID>
      <errorWord>后</errorWord>
      <group>L1_Word</group>
      <groupName>字词问题</groupName>
      <ability>L2_Typo</ability>
      <abilityName>字词错误</abilityName>
      <candidateList>
        <item>后支</item>
      </candidateList>
      <explain/>
      <paraID>5F75069A</paraID>
      <start>11</start>
      <end>12</end>
      <status>unmodified</status>
      <modifiedWord/>
      <trackRevisions>false</trackRevisions>
    </reviewItem>
    <reviewItem>
      <errorID>215445c2-1941-453b-998b-8729f077bef6</errorID>
      <errorWord>好</errorWord>
      <group>L1_Word</group>
      <groupName>字词问题</groupName>
      <ability>L2_Typo</ability>
      <abilityName>字词错误</abilityName>
      <candidateList>
        <item>好的</item>
      </candidateList>
      <explain/>
      <paraID>6BC95A76</paraID>
      <start>103</start>
      <end>104</end>
      <status>unmodified</status>
      <modifiedWord/>
      <trackRevisions>false</trackRevisions>
    </reviewItem>
    <reviewItem>
      <errorID>f938a869-0b26-4403-a777-5ba76b90e962</errorID>
      <errorWord>&lt;</errorWord>
      <group>L1_Format</group>
      <groupName>格式问题</groupName>
      <ability>L2_HalfPunc</ability>
      <abilityName>全半角检查</abilityName>
      <candidateList>
        <item>〈</item>
      </candidateList>
      <explain>文本全半角错误。</explain>
      <paraID>7480970B</paraID>
      <start>48</start>
      <end>49</end>
      <status>unmodified</status>
      <modifiedWord/>
      <trackRevisions>false</trackRevisions>
    </reviewItem>
    <reviewItem>
      <errorID>96636ba3-109f-4cf3-a829-6c3bf65e5afa</errorID>
      <errorWord>&lt;</errorWord>
      <group>L1_Format</group>
      <groupName>格式问题</groupName>
      <ability>L2_HalfPunc</ability>
      <abilityName>全半角检查</abilityName>
      <candidateList>
        <item>〈</item>
      </candidateList>
      <explain>文本全半角错误。</explain>
      <paraID>460C50F2</paraID>
      <start>48</start>
      <end>49</end>
      <status>unmodified</status>
      <modifiedWord/>
      <trackRevisions>false</trackRevisions>
    </reviewItem>
    <reviewItem>
      <errorID>5dfbc1e1-810c-464b-94f7-bccfd3f840d3</errorID>
      <errorWord>&lt;</errorWord>
      <group>L1_Format</group>
      <groupName>格式问题</groupName>
      <ability>L2_HalfPunc</ability>
      <abilityName>全半角检查</abilityName>
      <candidateList>
        <item>〈</item>
      </candidateList>
      <explain>文本全半角错误。</explain>
      <paraID>32A833E7</paraID>
      <start>33</start>
      <end>34</end>
      <status>unmodified</status>
      <modifiedWord/>
      <trackRevisions>false</trackRevisions>
    </reviewItem>
    <reviewItem>
      <errorID>6e15fc67-373c-478f-b8ee-dd64bd520447</errorID>
      <errorWord>，</errorWord>
      <group>L1_Word</group>
      <groupName>字词问题</groupName>
      <ability>L2_Typo</ability>
      <abilityName>字词错误</abilityName>
      <candidateList>
        <item>，并</item>
      </candidateList>
      <explain/>
      <paraID>6F120E41</paraID>
      <start>72</start>
      <end>73</end>
      <status>unmodified</status>
      <modifiedWord/>
      <trackRevisions>false</trackRevisions>
    </reviewItem>
    <reviewItem>
      <errorID>25f85b68-f021-4c17-ad47-e0e3f1e0ace7</errorID>
      <errorWord>后</errorWord>
      <group>L1_Word</group>
      <groupName>字词问题</groupName>
      <ability>L2_Typo</ability>
      <abilityName>字词错误</abilityName>
      <candidateList>
        <item>后支</item>
      </candidateList>
      <explain/>
      <paraID>340C3A80</paraID>
      <start>4</start>
      <end>5</end>
      <status>unmodified</status>
      <modifiedWord/>
      <trackRevisions>false</trackRevisions>
    </reviewItem>
    <reviewItem>
      <errorID>582f7406-5f21-4de5-91a1-66a80d7f2488</errorID>
      <errorWord>陆个月</errorWord>
      <group>L1_Word</group>
      <groupName>字词问题</groupName>
      <ability>L2_Typo</ability>
      <abilityName>字词错误</abilityName>
      <candidateList>
        <item>六个月</item>
      </candidateList>
      <explain>存在发音相近字词的误用。</explain>
      <paraID>3D9417E3</paraID>
      <start>20</start>
      <end>23</end>
      <status>unmodified</status>
      <modifiedWord/>
      <trackRevisions>false</trackRevisions>
    </reviewItem>
    <reviewItem>
      <errorID>5c002a36-a7b6-4aa3-a25c-2cd18b2e845e</errorID>
      <errorWord>机率为</errorWord>
      <group>L1_Word</group>
      <groupName>字词问题</groupName>
      <ability>L2_Typo</ability>
      <abilityName>字词错误</abilityName>
      <candidateList>
        <item>概率为</item>
      </candidateList>
      <explain/>
      <paraID>7D7F159E</paraID>
      <start>108</start>
      <end>111</end>
      <status>unmodified</status>
      <modifiedWord/>
      <trackRevisions>false</trackRevisions>
    </reviewItem>
    <reviewItem>
      <errorID>784f752f-51ea-4d08-84c7-af981c142add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3D41C611</paraID>
      <start>60</start>
      <end>63</end>
      <status>unmodified</status>
      <modifiedWord/>
      <trackRevisions>false</trackRevisions>
    </reviewItem>
    <reviewItem>
      <errorID>7457b3c1-3c39-4fd5-8a52-171e90d0267f</errorID>
      <errorWord>法律、法规</errorWord>
      <group>L1_Word</group>
      <groupName>字词问题</groupName>
      <ability>L2_Typo</ability>
      <abilityName>字词错误</abilityName>
      <candidateList>
        <item>法律法规</item>
      </candidateList>
      <explain/>
      <paraID>3D41C611</paraID>
      <start>83</start>
      <end>87</end>
      <status>modified</status>
      <modifiedWord>法律法规</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8948F8-AB70-4684-B4F8-F2EDE4E9B822}"/>
</file>

<file path=customXml/itemProps3.xml><?xml version="1.0" encoding="utf-8"?>
<ds:datastoreItem xmlns:ds="http://schemas.openxmlformats.org/officeDocument/2006/customXml" ds:itemID="{28935D2D-D4E9-41C4-B2A1-0BB002980A8A}"/>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周纯</cp:lastModifiedBy>
  <cp:revision>9</cp:revision>
  <dcterms:created xsi:type="dcterms:W3CDTF">2026-04-28T01:04:00Z</dcterms:created>
  <dcterms:modified xsi:type="dcterms:W3CDTF">2026-08-11T00:36:32Z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F87EC23D80064A7C82025107D764C665_13</vt:lpwstr>
  </property>
  <property fmtid="{D5CDD505-2E9C-101B-9397-08002B2CF9AE}" pid="4" name="KSOTemplateDocerSaveRecord">
    <vt:lpwstr>eyJoZGlkIjoiNWNkMGZmZGUxNzNkMTZmNDUwMjEzYmY4NTVhNzIxZDgiLCJ1c2VySWQiOiIzMTU1ODEyOTcifQ==</vt:lpwstr>
  </property>
</Properties>
</file>