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Cs/>
          <w:color w:val="auto"/>
          <w:spacing w:val="20"/>
          <w:sz w:val="72"/>
          <w:szCs w:val="72"/>
          <w:highlight w:val="none"/>
        </w:rPr>
      </w:pPr>
      <w:r/>
      <w:bookmarkStart w:id="0" w:name="_Toc120614210"/>
      <w:r/>
      <w:bookmarkStart w:id="1" w:name="_Toc20823272"/>
      <w:r/>
      <w:bookmarkStart w:id="2" w:name="_Toc513029200"/>
      <w:r/>
      <w:bookmarkStart w:id="3" w:name="_Toc523127445"/>
      <w:r/>
      <w:bookmarkStart w:id="4" w:name="_Toc16938516"/>
      <w:r/>
      <w:bookmarkStart w:id="5" w:name="_Toc479757206"/>
      <w:r/>
      <w:r/>
    </w:p>
    <w:p>
      <w:pPr>
        <w:jc w:val="center"/>
        <w:rPr>
          <w:rFonts w:ascii="宋体" w:hAnsi="宋体" w:cs="宋体"/>
          <w:bCs/>
          <w:color w:val="auto"/>
          <w:spacing w:val="20"/>
          <w:sz w:val="72"/>
          <w:szCs w:val="72"/>
          <w:highlight w:val="none"/>
        </w:rPr>
      </w:pPr>
      <w:r>
        <w:rPr>
          <w:rFonts w:hint="eastAsia" w:ascii="宋体" w:hAnsi="宋体" w:cs="宋体"/>
          <w:bCs/>
          <w:color w:val="auto"/>
          <w:spacing w:val="20"/>
          <w:sz w:val="72"/>
          <w:szCs w:val="72"/>
          <w:highlight w:val="none"/>
        </w:rPr>
        <w:t xml:space="preserve">泰 州 市 政 府 采 购</w:t>
      </w:r>
      <w:r/>
    </w:p>
    <w:p>
      <w:pPr>
        <w:rPr>
          <w:rFonts w:ascii="宋体" w:hAnsi="宋体" w:cs="宋体"/>
          <w:bCs/>
          <w:color w:val="auto"/>
          <w:sz w:val="30"/>
          <w:highlight w:val="none"/>
        </w:rPr>
      </w:pPr>
      <w:r>
        <w:rPr>
          <w:rFonts w:ascii="宋体" w:hAnsi="宋体" w:cs="宋体"/>
          <w:bCs/>
          <w:color w:val="auto"/>
          <w:sz w:val="30"/>
          <w:highlight w:val="none"/>
        </w:rPr>
      </w:r>
      <w:r/>
    </w:p>
    <w:p>
      <w:pPr>
        <w:pStyle w:val="755"/>
      </w:pPr>
      <w:r/>
      <w:r/>
    </w:p>
    <w:p>
      <w:pPr>
        <w:rPr>
          <w:rFonts w:ascii="宋体" w:hAnsi="宋体" w:cs="宋体"/>
          <w:bCs/>
          <w:color w:val="auto"/>
          <w:sz w:val="30"/>
          <w:highlight w:val="none"/>
        </w:rPr>
      </w:pPr>
      <w:r>
        <w:rPr>
          <w:rFonts w:ascii="宋体" w:hAnsi="宋体" w:cs="宋体"/>
          <w:bCs/>
          <w:color w:val="auto"/>
          <w:sz w:val="30"/>
          <w:highlight w:val="none"/>
        </w:rPr>
      </w:r>
      <w:r/>
    </w:p>
    <w:p>
      <w:pPr>
        <w:rPr>
          <w:rFonts w:ascii="宋体" w:hAnsi="宋体" w:cs="宋体"/>
          <w:bCs/>
          <w:color w:val="auto"/>
          <w:sz w:val="30"/>
          <w:highlight w:val="none"/>
        </w:rPr>
      </w:pPr>
      <w:r>
        <w:rPr>
          <w:rFonts w:ascii="宋体" w:hAnsi="宋体" w:cs="宋体"/>
          <w:bCs/>
          <w:color w:val="auto"/>
          <w:sz w:val="30"/>
          <w:highlight w:val="none"/>
        </w:rPr>
      </w:r>
      <w:r/>
    </w:p>
    <w:p>
      <w:pPr>
        <w:jc w:val="center"/>
        <w:rPr>
          <w:rFonts w:ascii="宋体" w:hAnsi="宋体" w:cs="宋体"/>
          <w:bCs/>
          <w:color w:val="auto"/>
          <w:spacing w:val="20"/>
          <w:sz w:val="52"/>
          <w:szCs w:val="52"/>
          <w:highlight w:val="none"/>
        </w:rPr>
      </w:pPr>
      <w:r>
        <w:rPr>
          <w:rFonts w:hint="eastAsia" w:ascii="宋体" w:hAnsi="宋体" w:cs="宋体"/>
          <w:bCs/>
          <w:color w:val="auto"/>
          <w:spacing w:val="20"/>
          <w:sz w:val="52"/>
          <w:szCs w:val="52"/>
          <w:highlight w:val="none"/>
        </w:rPr>
        <w:t xml:space="preserve">竞 争 性 磋 商   </w:t>
      </w:r>
      <w:r/>
    </w:p>
    <w:p>
      <w:pPr>
        <w:jc w:val="center"/>
        <w:rPr>
          <w:rFonts w:ascii="宋体" w:hAnsi="宋体" w:cs="宋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宋体" w:hAnsi="宋体" w:cs="宋体"/>
          <w:bCs/>
          <w:color w:val="auto"/>
          <w:spacing w:val="20"/>
          <w:sz w:val="52"/>
          <w:szCs w:val="52"/>
          <w:highlight w:val="none"/>
        </w:rPr>
        <w:t xml:space="preserve">采   购   文   件</w:t>
      </w:r>
      <w:r/>
    </w:p>
    <w:p>
      <w:pPr>
        <w:rPr>
          <w:rFonts w:ascii="宋体" w:hAnsi="宋体" w:cs="宋体"/>
          <w:bCs/>
          <w:color w:val="auto"/>
          <w:sz w:val="30"/>
          <w:highlight w:val="none"/>
        </w:rPr>
      </w:pPr>
      <w:r>
        <w:rPr>
          <w:rFonts w:ascii="宋体" w:hAnsi="宋体" w:cs="宋体"/>
          <w:bCs/>
          <w:color w:val="auto"/>
          <w:sz w:val="30"/>
          <w:highlight w:val="none"/>
        </w:rPr>
      </w:r>
      <w:r/>
    </w:p>
    <w:p>
      <w:pPr>
        <w:jc w:val="center"/>
        <w:tabs>
          <w:tab w:val="left" w:pos="9921" w:leader="none"/>
        </w:tabs>
        <w:rPr>
          <w:rFonts w:ascii="宋体" w:hAnsi="宋体" w:cs="宋体"/>
          <w:bCs/>
          <w:color w:val="auto"/>
          <w:sz w:val="30"/>
          <w:highlight w:val="none"/>
        </w:rPr>
      </w:pPr>
      <w:r>
        <w:rPr>
          <w:rFonts w:ascii="宋体" w:hAnsi="宋体" w:cs="宋体"/>
          <w:bCs/>
          <w:color w:val="auto"/>
          <w:sz w:val="30"/>
          <w:highlight w:val="none"/>
        </w:rPr>
      </w:r>
      <w:r/>
    </w:p>
    <w:p>
      <w:pPr>
        <w:pStyle w:val="755"/>
        <w:rPr>
          <w:rFonts w:ascii="宋体" w:hAnsi="宋体" w:cs="宋体"/>
          <w:bCs/>
          <w:color w:val="auto"/>
          <w:sz w:val="30"/>
          <w:highlight w:val="none"/>
        </w:rPr>
      </w:pPr>
      <w:r>
        <w:rPr>
          <w:rFonts w:ascii="宋体" w:hAnsi="宋体" w:cs="宋体"/>
          <w:bCs/>
          <w:color w:val="auto"/>
          <w:sz w:val="30"/>
          <w:highlight w:val="none"/>
        </w:rPr>
      </w:r>
      <w:r/>
    </w:p>
    <w:p>
      <w:pPr>
        <w:rPr>
          <w:rFonts w:ascii="宋体" w:hAnsi="宋体" w:cs="宋体"/>
          <w:bCs/>
          <w:color w:val="auto"/>
          <w:sz w:val="30"/>
          <w:highlight w:val="none"/>
        </w:rPr>
      </w:pPr>
      <w:r>
        <w:rPr>
          <w:rFonts w:ascii="宋体" w:hAnsi="宋体" w:cs="宋体"/>
          <w:bCs/>
          <w:color w:val="auto"/>
          <w:sz w:val="30"/>
          <w:highlight w:val="none"/>
        </w:rPr>
      </w:r>
      <w:r/>
    </w:p>
    <w:p>
      <w:pPr>
        <w:pStyle w:val="755"/>
      </w:pPr>
      <w:r/>
      <w:r/>
    </w:p>
    <w:p>
      <w:pPr>
        <w:rPr>
          <w:rFonts w:ascii="宋体" w:hAnsi="宋体" w:cs="宋体"/>
          <w:color w:val="auto"/>
          <w:highlight w:val="none"/>
        </w:rPr>
      </w:pPr>
      <w:r>
        <w:rPr>
          <w:rFonts w:ascii="宋体" w:hAnsi="宋体" w:cs="宋体"/>
          <w:color w:val="auto"/>
          <w:highlight w:val="none"/>
        </w:rPr>
      </w:r>
      <w:r/>
    </w:p>
    <w:p>
      <w:pPr>
        <w:pStyle w:val="1075"/>
        <w:ind w:firstLine="420"/>
        <w:rPr>
          <w:rFonts w:hAnsi="宋体" w:cs="宋体"/>
          <w:color w:val="auto"/>
          <w:highlight w:val="none"/>
        </w:rPr>
      </w:pPr>
      <w:r>
        <w:rPr>
          <w:rFonts w:hAnsi="宋体" w:cs="宋体"/>
          <w:color w:val="auto"/>
          <w:highlight w:val="none"/>
        </w:rPr>
      </w:r>
      <w:r/>
    </w:p>
    <w:p>
      <w:pPr>
        <w:ind w:firstLine="9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采购项目编号：</w:t>
      </w:r>
      <w:r>
        <w:rPr>
          <w:rFonts w:hint="eastAsia" w:ascii="宋体" w:hAnsi="宋体" w:cs="宋体"/>
          <w:bCs/>
          <w:color w:val="auto"/>
          <w:sz w:val="30"/>
          <w:szCs w:val="30"/>
          <w:highlight w:val="none"/>
          <w:lang w:eastAsia="zh-CN"/>
        </w:rPr>
        <w:t xml:space="preserve">JSZC-321200-ZFDL-C2026-0007</w:t>
      </w:r>
      <w:r/>
    </w:p>
    <w:p>
      <w:pPr>
        <w:ind w:firstLine="900"/>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泰州市人民医院蔡司设备维保服务采购项目</w:t>
      </w:r>
      <w:r/>
    </w:p>
    <w:p>
      <w:pPr>
        <w:ind w:firstLine="9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单 位：泰州市人民医院</w:t>
      </w:r>
      <w:r/>
    </w:p>
    <w:p>
      <w:pPr>
        <w:ind w:firstLine="9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采购代理机构：江苏正方工程项目管理房地产评估有限公司</w:t>
      </w:r>
      <w:r/>
    </w:p>
    <w:p>
      <w:pPr>
        <w:pStyle w:val="1075"/>
        <w:ind w:firstLine="560"/>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bCs/>
          <w:color w:val="auto"/>
          <w:sz w:val="30"/>
          <w:szCs w:val="30"/>
          <w:highlight w:val="none"/>
        </w:rPr>
        <w:t xml:space="preserve">二〇二</w:t>
      </w:r>
      <w:r>
        <w:rPr>
          <w:rFonts w:hint="eastAsia" w:ascii="宋体" w:hAnsi="宋体" w:eastAsia="宋体" w:cs="宋体"/>
          <w:bCs/>
          <w:color w:val="auto"/>
          <w:sz w:val="30"/>
          <w:szCs w:val="30"/>
          <w:highlight w:val="none"/>
          <w:lang w:val="en-US" w:eastAsia="zh-CN"/>
        </w:rPr>
        <w:t xml:space="preserve">六</w:t>
      </w:r>
      <w:r>
        <w:rPr>
          <w:rFonts w:hint="eastAsia" w:ascii="宋体" w:hAnsi="宋体" w:eastAsia="宋体" w:cs="宋体"/>
          <w:bCs/>
          <w:color w:val="auto"/>
          <w:sz w:val="30"/>
          <w:szCs w:val="30"/>
          <w:highlight w:val="none"/>
        </w:rPr>
        <w:t xml:space="preserve">年</w:t>
      </w:r>
      <w:r>
        <w:rPr>
          <w:rFonts w:hint="eastAsia" w:ascii="宋体" w:hAnsi="宋体" w:eastAsia="宋体" w:cs="宋体"/>
          <w:bCs/>
          <w:color w:val="auto"/>
          <w:sz w:val="30"/>
          <w:szCs w:val="30"/>
          <w:highlight w:val="none"/>
          <w:lang w:val="en-US" w:eastAsia="zh-CN"/>
        </w:rPr>
        <w:t xml:space="preserve">九</w:t>
      </w:r>
      <w:r>
        <w:rPr>
          <w:rFonts w:hint="eastAsia" w:ascii="宋体" w:hAnsi="宋体" w:eastAsia="宋体" w:cs="宋体"/>
          <w:bCs/>
          <w:color w:val="auto"/>
          <w:sz w:val="30"/>
          <w:szCs w:val="30"/>
          <w:highlight w:val="none"/>
        </w:rPr>
        <w:t xml:space="preserve">月</w:t>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480" w:lineRule="auto"/>
        <w:rPr>
          <w:rFonts w:hint="eastAsia" w:ascii="黑体" w:hAnsi="Arial" w:eastAsia="黑体"/>
          <w:b/>
          <w:color w:val="000000" w:themeColor="text1"/>
          <w:sz w:val="44"/>
          <w:szCs w:val="21"/>
          <w:highlight w:val="none"/>
          <w14:textFill>
            <w14:solidFill>
              <w14:schemeClr w14:val="tx1"/>
            </w14:solidFill>
          </w14:textFill>
        </w:rPr>
        <w:outlineLvl w:val="0"/>
      </w:pPr>
      <w:r>
        <w:rPr>
          <w:rFonts w:hint="eastAsia" w:ascii="宋体" w:hAnsi="宋体" w:cs="宋体"/>
          <w:b/>
          <w:bCs/>
          <w:color w:val="auto"/>
          <w:sz w:val="30"/>
          <w:szCs w:val="30"/>
          <w:highlight w:val="none"/>
        </w:rPr>
        <w:br w:type="page" w:clear="all"/>
      </w:r>
      <w:r>
        <w:rPr>
          <w:rFonts w:hint="eastAsia" w:ascii="黑体" w:hAnsi="Arial" w:eastAsia="黑体"/>
          <w:b/>
          <w:color w:val="000000" w:themeColor="text1"/>
          <w:sz w:val="44"/>
          <w:szCs w:val="21"/>
          <w:highlight w:val="none"/>
          <w14:textFill>
            <w14:solidFill>
              <w14:schemeClr w14:val="tx1"/>
            </w14:solidFill>
          </w14:textFill>
        </w:rPr>
        <w:t xml:space="preserve">目  录</w:t>
      </w:r>
      <w:r/>
    </w:p>
    <w:p>
      <w:pPr>
        <w:spacing w:line="480" w:lineRule="auto"/>
        <w:rPr>
          <w:rFonts w:hint="eastAsia" w:ascii="仿宋_GB2312" w:hAnsi="Arial" w:eastAsia="仿宋_GB2312"/>
          <w:b/>
          <w:color w:val="000000" w:themeColor="text1"/>
          <w:sz w:val="28"/>
          <w:szCs w:val="21"/>
          <w:highlight w:val="none"/>
          <w14:textFill>
            <w14:solidFill>
              <w14:schemeClr w14:val="tx1"/>
            </w14:solidFill>
          </w14:textFill>
        </w:rPr>
      </w:pPr>
      <w:r>
        <w:rPr>
          <w:rFonts w:hint="eastAsia" w:ascii="仿宋_GB2312" w:hAnsi="Arial" w:eastAsia="仿宋_GB2312"/>
          <w:b/>
          <w:color w:val="000000" w:themeColor="text1"/>
          <w:sz w:val="28"/>
          <w:szCs w:val="21"/>
          <w:highlight w:val="none"/>
          <w14:textFill>
            <w14:solidFill>
              <w14:schemeClr w14:val="tx1"/>
            </w14:solidFill>
          </w14:textFill>
        </w:rPr>
      </w:r>
      <w:r/>
    </w:p>
    <w:p>
      <w:pPr>
        <w:numPr>
          <w:ilvl w:val="0"/>
          <w:numId w:val="4"/>
        </w:numPr>
        <w:spacing w:line="480" w:lineRule="auto"/>
        <w:rPr>
          <w:rFonts w:hint="eastAsia" w:ascii="黑体" w:hAnsi="Showcard Gothic" w:eastAsia="黑体"/>
          <w:color w:val="000000" w:themeColor="text1"/>
          <w:sz w:val="32"/>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磋商邀请</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1"/>
      </w:pPr>
      <w:r>
        <w:rPr>
          <w:rFonts w:hint="eastAsia" w:ascii="黑体" w:hAnsi="宋体" w:eastAsia="黑体"/>
          <w:bCs/>
          <w:color w:val="000000" w:themeColor="text1"/>
          <w:sz w:val="36"/>
          <w:szCs w:val="36"/>
          <w:highlight w:val="none"/>
          <w14:textFill>
            <w14:solidFill>
              <w14:schemeClr w14:val="tx1"/>
            </w14:solidFill>
          </w14:textFill>
        </w:rPr>
        <w:t xml:space="preserve">供应商须知</w:t>
      </w:r>
      <w:r>
        <w:rPr>
          <w:rFonts w:hint="eastAsia" w:ascii="黑体" w:hAnsi="Showcard Gothic" w:eastAsia="黑体"/>
          <w:color w:val="000000" w:themeColor="text1"/>
          <w:sz w:val="36"/>
          <w:szCs w:val="21"/>
          <w:highlight w:val="none"/>
          <w14:textFill>
            <w14:solidFill>
              <w14:schemeClr w14:val="tx1"/>
            </w14:solidFill>
          </w14:textFill>
        </w:rPr>
        <w:t xml:space="preserve"> </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采购需求</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1"/>
      </w:pPr>
      <w:r>
        <w:rPr>
          <w:rFonts w:hint="eastAsia" w:ascii="黑体" w:hAnsi="Showcard Gothic" w:eastAsia="黑体"/>
          <w:color w:val="000000" w:themeColor="text1"/>
          <w:sz w:val="36"/>
          <w:szCs w:val="21"/>
          <w:highlight w:val="none"/>
          <w14:textFill>
            <w14:solidFill>
              <w14:schemeClr w14:val="tx1"/>
            </w14:solidFill>
          </w14:textFill>
        </w:rPr>
        <w:t xml:space="preserve">合同条款及格式</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1"/>
      </w:pPr>
      <w:r>
        <w:rPr>
          <w:rFonts w:hint="eastAsia" w:ascii="黑体" w:hAnsi="宋体" w:eastAsia="黑体"/>
          <w:bCs/>
          <w:color w:val="000000" w:themeColor="text1"/>
          <w:sz w:val="36"/>
          <w:szCs w:val="36"/>
          <w:highlight w:val="none"/>
          <w14:textFill>
            <w14:solidFill>
              <w14:schemeClr w14:val="tx1"/>
            </w14:solidFill>
          </w14:textFill>
        </w:rPr>
        <w:t xml:space="preserve">评审方法与评审标准</w:t>
      </w:r>
      <w:r/>
    </w:p>
    <w:p>
      <w:pPr>
        <w:numPr>
          <w:ilvl w:val="0"/>
          <w:numId w:val="4"/>
        </w:numPr>
        <w:spacing w:line="480" w:lineRule="auto"/>
        <w:rPr>
          <w:rFonts w:hint="eastAsia" w:ascii="黑体" w:hAnsi="Showcard Gothic" w:eastAsia="黑体"/>
          <w:color w:val="000000" w:themeColor="text1"/>
          <w:sz w:val="36"/>
          <w:szCs w:val="21"/>
          <w:highlight w:val="none"/>
          <w14:textFill>
            <w14:solidFill>
              <w14:schemeClr w14:val="tx1"/>
            </w14:solidFill>
          </w14:textFill>
        </w:rPr>
        <w:outlineLvl w:val="1"/>
      </w:pPr>
      <w:r>
        <w:rPr>
          <w:rFonts w:hint="eastAsia" w:ascii="黑体" w:hAnsi="宋体" w:eastAsia="黑体"/>
          <w:color w:val="000000" w:themeColor="text1"/>
          <w:sz w:val="36"/>
          <w:szCs w:val="21"/>
          <w:highlight w:val="none"/>
          <w14:textFill>
            <w14:solidFill>
              <w14:schemeClr w14:val="tx1"/>
            </w14:solidFill>
          </w14:textFill>
        </w:rPr>
        <w:t xml:space="preserve">响应文件格式</w:t>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黑体" w:hAnsi="Times New Roman" w:eastAsia="黑体"/>
          <w:color w:val="000000" w:themeColor="text1"/>
          <w:sz w:val="44"/>
          <w:szCs w:val="44"/>
          <w:highlight w:val="none"/>
          <w14:textFill>
            <w14:solidFill>
              <w14:schemeClr w14:val="tx1"/>
            </w14:solidFill>
          </w14:textFill>
        </w:rPr>
      </w:pPr>
      <w:r>
        <w:rPr>
          <w:rFonts w:hint="eastAsia" w:ascii="黑体" w:hAnsi="Times New Roman" w:eastAsia="黑体"/>
          <w:color w:val="000000" w:themeColor="text1"/>
          <w:sz w:val="44"/>
          <w:szCs w:val="44"/>
          <w:highlight w:val="none"/>
          <w14:textFill>
            <w14:solidFill>
              <w14:schemeClr w14:val="tx1"/>
            </w14:solidFill>
          </w14:textFill>
        </w:rPr>
        <w:br w:type="page" w:clear="all"/>
      </w:r>
      <w:r/>
    </w:p>
    <w:p>
      <w:pPr>
        <w:ind w:firstLine="0"/>
        <w:jc w:val="center"/>
        <w:keepNext/>
        <w:spacing w:line="560" w:lineRule="exact"/>
        <w:rPr>
          <w:rFonts w:hint="eastAsia" w:ascii="黑体" w:hAnsi="Times New Roman" w:eastAsia="黑体"/>
          <w:bCs/>
          <w:color w:val="000000" w:themeColor="text1"/>
          <w:sz w:val="44"/>
          <w:szCs w:val="44"/>
          <w:highlight w:val="none"/>
          <w14:textFill>
            <w14:solidFill>
              <w14:schemeClr w14:val="tx1"/>
            </w14:solidFill>
          </w14:textFill>
        </w:rPr>
        <w:outlineLvl w:val="0"/>
      </w:pPr>
      <w:r>
        <w:rPr>
          <w:rFonts w:hint="eastAsia" w:ascii="黑体" w:hAnsi="Times New Roman" w:eastAsia="黑体"/>
          <w:color w:val="000000" w:themeColor="text1"/>
          <w:sz w:val="44"/>
          <w:szCs w:val="44"/>
          <w:highlight w:val="none"/>
          <w14:textFill>
            <w14:solidFill>
              <w14:schemeClr w14:val="tx1"/>
            </w14:solidFill>
          </w14:textFill>
        </w:rPr>
        <w:t xml:space="preserve">第一章  </w:t>
      </w:r>
      <w:bookmarkEnd w:id="0"/>
      <w:r>
        <w:rPr>
          <w:rFonts w:hint="eastAsia" w:ascii="黑体" w:hAnsi="Times New Roman" w:eastAsia="黑体"/>
          <w:color w:val="000000" w:themeColor="text1"/>
          <w:sz w:val="44"/>
          <w:szCs w:val="44"/>
          <w:highlight w:val="none"/>
          <w14:textFill>
            <w14:solidFill>
              <w14:schemeClr w14:val="tx1"/>
            </w14:solidFill>
          </w14:textFill>
        </w:rPr>
        <w:t xml:space="preserve">磋商邀请</w:t>
      </w:r>
      <w:r/>
    </w:p>
    <w:p>
      <w:pPr>
        <w:ind w:firstLine="480"/>
        <w:spacing w:line="56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6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i w:val="0"/>
          <w:iCs w:val="0"/>
          <w:caps w:val="0"/>
          <w:spacing w:val="0"/>
          <w:sz w:val="28"/>
          <w:szCs w:val="28"/>
          <w:lang w:eastAsia="zh-CN"/>
        </w:rPr>
        <w:t xml:space="preserve">泰州市人民医院蔡司设备维保服务采购项目</w:t>
      </w:r>
      <w:r>
        <w:rPr>
          <w:rFonts w:hint="eastAsia" w:ascii="仿宋" w:hAnsi="仿宋" w:eastAsia="仿宋" w:cs="仿宋"/>
          <w:i w:val="0"/>
          <w:iCs w:val="0"/>
          <w:caps w:val="0"/>
          <w:spacing w:val="0"/>
          <w:sz w:val="28"/>
          <w:szCs w:val="28"/>
        </w:rPr>
        <w:t xml:space="preserve"> </w:t>
      </w:r>
      <w:r>
        <w:rPr>
          <w:rFonts w:hint="eastAsia" w:ascii="仿宋" w:hAnsi="仿宋" w:eastAsia="仿宋" w:cs="仿宋"/>
          <w:i w:val="0"/>
          <w:iCs w:val="0"/>
          <w:caps w:val="0"/>
          <w:spacing w:val="0"/>
          <w:sz w:val="28"/>
          <w:szCs w:val="28"/>
          <w:lang w:eastAsia="zh-CN"/>
        </w:rPr>
        <w:t xml:space="preserve">JSZC-321200-ZFDL-C2026-0007</w:t>
      </w:r>
      <w:r>
        <w:rPr>
          <w:rFonts w:hint="eastAsia" w:ascii="仿宋" w:hAnsi="仿宋" w:eastAsia="仿宋" w:cs="仿宋"/>
          <w:i w:val="0"/>
          <w:iCs w:val="0"/>
          <w:caps w:val="0"/>
          <w:spacing w:val="0"/>
          <w:sz w:val="28"/>
          <w:szCs w:val="28"/>
        </w:rPr>
        <w:t xml:space="preserve"> 采购项目的潜在供应商应在江苏省政府采购“苏采云”系统 获取采购文件，并于202</w:t>
      </w:r>
      <w:r>
        <w:rPr>
          <w:rFonts w:hint="eastAsia" w:ascii="仿宋" w:hAnsi="仿宋" w:eastAsia="仿宋" w:cs="仿宋"/>
          <w:i w:val="0"/>
          <w:iCs w:val="0"/>
          <w:caps w:val="0"/>
          <w:spacing w:val="0"/>
          <w:sz w:val="28"/>
          <w:szCs w:val="28"/>
          <w:lang w:val="en-US" w:eastAsia="zh-CN"/>
        </w:rPr>
        <w:t xml:space="preserve">6</w:t>
      </w:r>
      <w:r>
        <w:rPr>
          <w:rFonts w:hint="eastAsia" w:ascii="仿宋" w:hAnsi="仿宋" w:eastAsia="仿宋" w:cs="仿宋"/>
          <w:i w:val="0"/>
          <w:iCs w:val="0"/>
          <w:caps w:val="0"/>
          <w:spacing w:val="0"/>
          <w:sz w:val="28"/>
          <w:szCs w:val="28"/>
        </w:rPr>
        <w:t xml:space="preserve">-0</w:t>
      </w:r>
      <w:r>
        <w:rPr>
          <w:rFonts w:hint="eastAsia" w:ascii="仿宋" w:hAnsi="仿宋" w:eastAsia="仿宋" w:cs="仿宋"/>
          <w:i w:val="0"/>
          <w:iCs w:val="0"/>
          <w:caps w:val="0"/>
          <w:spacing w:val="0"/>
          <w:sz w:val="28"/>
          <w:szCs w:val="28"/>
          <w:lang w:val="en-US" w:eastAsia="zh-CN"/>
        </w:rPr>
        <w:t xml:space="preserve">9</w:t>
      </w:r>
      <w:r>
        <w:rPr>
          <w:rFonts w:hint="eastAsia" w:ascii="仿宋" w:hAnsi="仿宋" w:eastAsia="仿宋" w:cs="仿宋"/>
          <w:i w:val="0"/>
          <w:iCs w:val="0"/>
          <w:caps w:val="0"/>
          <w:spacing w:val="0"/>
          <w:sz w:val="28"/>
          <w:szCs w:val="28"/>
        </w:rPr>
        <w:t xml:space="preserve">-</w:t>
      </w:r>
      <w:r>
        <w:rPr>
          <w:rFonts w:hint="eastAsia" w:ascii="仿宋" w:hAnsi="仿宋" w:eastAsia="仿宋" w:cs="仿宋"/>
          <w:i w:val="0"/>
          <w:iCs w:val="0"/>
          <w:caps w:val="0"/>
          <w:spacing w:val="0"/>
          <w:sz w:val="28"/>
          <w:szCs w:val="28"/>
          <w:lang w:val="en-US" w:eastAsia="zh-CN"/>
        </w:rPr>
        <w:t xml:space="preserve">18</w:t>
      </w:r>
      <w:r>
        <w:rPr>
          <w:rFonts w:hint="eastAsia" w:ascii="仿宋" w:hAnsi="仿宋" w:eastAsia="仿宋" w:cs="仿宋"/>
          <w:i w:val="0"/>
          <w:iCs w:val="0"/>
          <w:caps w:val="0"/>
          <w:spacing w:val="0"/>
          <w:sz w:val="28"/>
          <w:szCs w:val="28"/>
        </w:rPr>
        <w:t xml:space="preserve"> 14:</w:t>
      </w:r>
      <w:r>
        <w:rPr>
          <w:rFonts w:hint="eastAsia" w:ascii="仿宋" w:hAnsi="仿宋" w:eastAsia="仿宋" w:cs="仿宋"/>
          <w:i w:val="0"/>
          <w:iCs w:val="0"/>
          <w:caps w:val="0"/>
          <w:spacing w:val="0"/>
          <w:sz w:val="28"/>
          <w:szCs w:val="28"/>
          <w:lang w:val="en-US" w:eastAsia="zh-CN"/>
        </w:rPr>
        <w:t xml:space="preserve">3</w:t>
      </w:r>
      <w:r>
        <w:rPr>
          <w:rFonts w:hint="eastAsia" w:ascii="仿宋" w:hAnsi="仿宋" w:eastAsia="仿宋" w:cs="仿宋"/>
          <w:i w:val="0"/>
          <w:iCs w:val="0"/>
          <w:caps w:val="0"/>
          <w:spacing w:val="0"/>
          <w:sz w:val="28"/>
          <w:szCs w:val="28"/>
        </w:rPr>
        <w:t xml:space="preserve">0 （北京时间）前提交响应文件。</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bookmarkStart w:id="6" w:name="_Toc28359079"/>
      <w:r/>
      <w:bookmarkStart w:id="7" w:name="_Toc35393790"/>
      <w:r/>
      <w:bookmarkStart w:id="8" w:name="_Toc38985263"/>
      <w:r/>
      <w:bookmarkStart w:id="9" w:name="_Toc35393621"/>
      <w:r/>
      <w:bookmarkStart w:id="10" w:name="_Hlk24379207"/>
      <w:r/>
      <w:bookmarkStart w:id="11" w:name="_Toc28359002"/>
      <w:r>
        <w:rPr>
          <w:rFonts w:hint="eastAsia" w:ascii="Times New Roman" w:hAnsi="Times New Roman"/>
          <w:b/>
          <w:bCs/>
          <w:color w:val="000000" w:themeColor="text1"/>
          <w:sz w:val="32"/>
          <w:szCs w:val="32"/>
          <w:highlight w:val="none"/>
          <w14:textFill>
            <w14:solidFill>
              <w14:schemeClr w14:val="tx1"/>
            </w14:solidFill>
          </w14:textFill>
        </w:rPr>
        <w:t xml:space="preserve">一、项目基本情况</w:t>
      </w:r>
      <w:bookmarkEnd w:id="6"/>
      <w:r/>
      <w:bookmarkEnd w:id="7"/>
      <w:r/>
      <w:bookmarkEnd w:id="8"/>
      <w:r/>
      <w:bookmarkEnd w:id="9"/>
      <w:r/>
      <w:bookmarkEnd w:id="10"/>
      <w:r/>
      <w:bookmarkEnd w:id="11"/>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JSZC-321200-ZFDL-C2026-0007</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2.项目名称：</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泰州市人民医院蔡司设备维保服务采购项目</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3.项目类型：</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服务</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4.项目行业：</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其他未列明行业</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5.预算金额：</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100万</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6.最高限价：</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100万</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元</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7.采购需求：</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泰州市人民医院蔡司设备维保服务采购项目</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详细内容见采购文件，请仔细研究。</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8"/>
          <w:szCs w:val="28"/>
          <w:highlight w:val="none"/>
          <w14:textFill>
            <w14:solidFill>
              <w14:schemeClr w14:val="tx1"/>
            </w14:solidFill>
          </w14:textFill>
        </w:rPr>
        <w:t xml:space="preserve">合同履行期限：</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2年。</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9.本项目不接受联合体投标。</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bookmarkStart w:id="12" w:name="_Toc38985264"/>
      <w:r/>
      <w:bookmarkStart w:id="13" w:name="_Toc28359080"/>
      <w:r/>
      <w:bookmarkStart w:id="14" w:name="_Toc28359003"/>
      <w:r/>
      <w:bookmarkStart w:id="15" w:name="_Toc35393791"/>
      <w:r/>
      <w:bookmarkStart w:id="16" w:name="_Toc35393622"/>
      <w:r>
        <w:rPr>
          <w:rFonts w:hint="eastAsia" w:ascii="Times New Roman" w:hAnsi="Times New Roman"/>
          <w:b/>
          <w:bCs/>
          <w:color w:val="000000" w:themeColor="text1"/>
          <w:sz w:val="32"/>
          <w:szCs w:val="32"/>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bookmarkStart w:id="17" w:name="_Toc28359081"/>
      <w:r/>
      <w:bookmarkStart w:id="18" w:name="_Toc35393792"/>
      <w:r/>
      <w:bookmarkStart w:id="19" w:name="_Toc28359004"/>
      <w:r/>
      <w:bookmarkStart w:id="20" w:name="_Toc38985265"/>
      <w:r/>
      <w:bookmarkStart w:id="21" w:name="_Toc35393623"/>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（一）满足《中华人民共和国政府采购法》第二十二条规定：</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1.具有独立承担民事责任的能力。</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2.具有良好的商业信誉和健全的财务会计制度。</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3.具有履行合同所必需的设备和专业技术能力。</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4.有依法缴纳税收和社会保障资金的良好记录。</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5.参加政府采购活动前三年内在经营活动中没有重大违法记录。</w:t>
      </w:r>
      <w:r/>
    </w:p>
    <w:p>
      <w:pPr>
        <w:numPr>
          <w:ilvl w:val="0"/>
          <w:numId w:val="0"/>
        </w:num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i w:val="0"/>
          <w:iCs w:val="0"/>
          <w:caps w:val="0"/>
          <w:spacing w:val="0"/>
          <w:sz w:val="28"/>
          <w:szCs w:val="28"/>
          <w:shd w:val="clear" w:color="auto" w:fill="ffffff"/>
        </w:rPr>
        <w:t xml:space="preserve">（二）落实政府采购政策需满足的资格要求</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numPr>
          <w:ilvl w:val="0"/>
          <w:numId w:val="0"/>
        </w:numPr>
        <w:ind w:firstLine="480"/>
        <w:spacing w:line="56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本项目专门面向中小微企业采购，供应商应为中小微企业、监狱企业、残疾人福利性单位。</w:t>
      </w:r>
      <w:r/>
    </w:p>
    <w:p>
      <w:pPr>
        <w:ind w:firstLine="480"/>
        <w:spacing w:line="56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8"/>
          <w:szCs w:val="28"/>
          <w:highlight w:val="none"/>
          <w14:textFill>
            <w14:solidFill>
              <w14:schemeClr w14:val="tx1"/>
            </w14:solidFill>
          </w14:textFill>
        </w:rPr>
        <w:t xml:space="preserve">）本项目的特定资格要求</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1.未被“信用中国”网站（www.creditchina.gov.cn）列入失信被执行人、重大税收违法案件当事人名单、政府采购严重失信行为记录名单。</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rPr>
          <w:rFonts w:hint="eastAsia" w:ascii="Times New Roman" w:hAnsi="Times New Roman"/>
          <w:b/>
          <w:bCs/>
          <w:color w:val="000000" w:themeColor="text1"/>
          <w:sz w:val="32"/>
          <w:szCs w:val="32"/>
          <w:highlight w:val="none"/>
          <w14:textFill>
            <w14:solidFill>
              <w14:schemeClr w14:val="tx1"/>
            </w14:solidFill>
          </w14:textFill>
        </w:rPr>
        <w:t xml:space="preserve">三、</w:t>
      </w:r>
      <w:bookmarkEnd w:id="17"/>
      <w:r/>
      <w:bookmarkEnd w:id="18"/>
      <w:r/>
      <w:bookmarkEnd w:id="19"/>
      <w:r/>
      <w:bookmarkEnd w:id="20"/>
      <w:r/>
      <w:bookmarkEnd w:id="21"/>
      <w:r>
        <w:rPr>
          <w:rFonts w:hint="eastAsia" w:ascii="Times New Roman" w:hAnsi="Times New Roman"/>
          <w:b/>
          <w:bCs/>
          <w:color w:val="000000" w:themeColor="text1"/>
          <w:sz w:val="32"/>
          <w:szCs w:val="32"/>
          <w:highlight w:val="none"/>
          <w14:textFill>
            <w14:solidFill>
              <w14:schemeClr w14:val="tx1"/>
            </w14:solidFill>
          </w14:textFill>
        </w:rPr>
        <w:t xml:space="preserve">获取采购文件</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bookmarkStart w:id="22" w:name="_Toc28359082"/>
      <w:r/>
      <w:bookmarkStart w:id="23" w:name="_Toc28359005"/>
      <w:r/>
      <w:bookmarkStart w:id="24" w:name="_Toc35393624"/>
      <w:r/>
      <w:bookmarkStart w:id="25" w:name="_Toc38985266"/>
      <w:r/>
      <w:bookmarkStart w:id="26" w:name="_Toc35393793"/>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时间：自磋商文件公告发布之日起5个工作日 </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地点：江苏省政府采购“苏采云”系统 </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方式：自行下载 </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售价：0.00元 </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rPr>
          <w:rFonts w:hint="eastAsia" w:ascii="Times New Roman" w:hAnsi="Times New Roman"/>
          <w:b/>
          <w:bCs/>
          <w:color w:val="000000" w:themeColor="text1"/>
          <w:sz w:val="32"/>
          <w:szCs w:val="32"/>
          <w:highlight w:val="none"/>
          <w14:textFill>
            <w14:solidFill>
              <w14:schemeClr w14:val="tx1"/>
            </w14:solidFill>
          </w14:textFill>
        </w:rPr>
        <w:t xml:space="preserve">四、提交</w:t>
      </w:r>
      <w:bookmarkEnd w:id="22"/>
      <w:r/>
      <w:bookmarkEnd w:id="23"/>
      <w:r>
        <w:rPr>
          <w:rFonts w:hint="eastAsia" w:ascii="Times New Roman" w:hAnsi="Times New Roman"/>
          <w:b/>
          <w:bCs/>
          <w:color w:val="000000" w:themeColor="text1"/>
          <w:sz w:val="32"/>
          <w:szCs w:val="32"/>
          <w:highlight w:val="none"/>
          <w14:textFill>
            <w14:solidFill>
              <w14:schemeClr w14:val="tx1"/>
            </w14:solidFill>
          </w14:textFill>
        </w:rPr>
        <w:t xml:space="preserve">响应文件截止时间</w:t>
      </w:r>
      <w:bookmarkEnd w:id="24"/>
      <w:r/>
      <w:bookmarkEnd w:id="25"/>
      <w:r/>
      <w:bookmarkEnd w:id="26"/>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截止时间：2026-09-18  14:30 （北京时间）</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地点：江苏省政府采购“苏采云”系统（登录系统在线提交电子响应文件）。</w:t>
      </w:r>
      <w:r/>
    </w:p>
    <w:p>
      <w:pPr>
        <w:ind w:firstLine="498"/>
        <w:keepLines/>
        <w:keepNext/>
        <w:spacing w:line="560" w:lineRule="exact"/>
        <w:rPr>
          <w:rFonts w:hint="default" w:ascii="Times New Roman" w:hAnsi="Times New Roman" w:eastAsia="宋体" w:cs="Times New Roman"/>
          <w:b/>
          <w:bCs/>
          <w:color w:val="000000" w:themeColor="text1"/>
          <w:sz w:val="32"/>
          <w:szCs w:val="32"/>
          <w:highlight w:val="none"/>
          <w14:textFill>
            <w14:solidFill>
              <w14:schemeClr w14:val="tx1"/>
            </w14:solidFill>
          </w14:textFill>
        </w:rPr>
        <w:outlineLvl w:val="1"/>
      </w:pPr>
      <w:r>
        <w:rPr>
          <w:rFonts w:hint="eastAsia" w:ascii="Times New Roman" w:hAnsi="Times New Roman" w:eastAsia="宋体" w:cs="Times New Roman"/>
          <w:b/>
          <w:bCs/>
          <w:color w:val="000000" w:themeColor="text1"/>
          <w:sz w:val="32"/>
          <w:szCs w:val="32"/>
          <w:highlight w:val="none"/>
          <w14:textFill>
            <w14:solidFill>
              <w14:schemeClr w14:val="tx1"/>
            </w14:solidFill>
          </w14:textFill>
        </w:rPr>
        <w:t xml:space="preserve">五、开启</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时间：2026-09-18</w:t>
      </w:r>
      <w:bookmarkStart w:id="185" w:name="_GoBack"/>
      <w:r/>
      <w:bookmarkEnd w:id="185"/>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14:30 （北京时间）</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地点：</w:t>
      </w:r>
      <w:r>
        <w:rPr>
          <w:rFonts w:ascii="FangSong" w:hAnsi="FangSong" w:eastAsia="FangSong" w:cs="FangSong"/>
          <w:color w:val="000000"/>
          <w:sz w:val="28"/>
          <w:highlight w:val="white"/>
        </w:rPr>
        <w:t xml:space="preserve">江苏省政府采购“苏采云”系统不见面开标大厅</w:t>
      </w: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bookmarkStart w:id="27" w:name="_Toc35393794"/>
      <w:r/>
      <w:bookmarkStart w:id="28" w:name="_Toc28359084"/>
      <w:r/>
      <w:bookmarkStart w:id="29" w:name="_Toc35393625"/>
      <w:r/>
      <w:bookmarkStart w:id="30" w:name="_Toc28359007"/>
      <w:r/>
      <w:bookmarkStart w:id="31" w:name="_Toc38985267"/>
      <w:r>
        <w:rPr>
          <w:rFonts w:hint="eastAsia"/>
          <w:b/>
          <w:bCs/>
          <w:color w:val="000000" w:themeColor="text1"/>
          <w:sz w:val="32"/>
          <w:szCs w:val="32"/>
          <w:highlight w:val="none"/>
          <w:lang w:val="en-US" w:eastAsia="zh-CN"/>
          <w14:textFill>
            <w14:solidFill>
              <w14:schemeClr w14:val="tx1"/>
            </w14:solidFill>
          </w14:textFill>
        </w:rPr>
        <w:t xml:space="preserve">六</w:t>
      </w:r>
      <w:r>
        <w:rPr>
          <w:rFonts w:hint="eastAsia" w:ascii="Times New Roman" w:hAnsi="Times New Roman"/>
          <w:b/>
          <w:bCs/>
          <w:color w:val="000000" w:themeColor="text1"/>
          <w:sz w:val="32"/>
          <w:szCs w:val="32"/>
          <w:highlight w:val="none"/>
          <w14:textFill>
            <w14:solidFill>
              <w14:schemeClr w14:val="tx1"/>
            </w14:solidFill>
          </w14:textFill>
        </w:rPr>
        <w:t xml:space="preserve">、公告期限</w:t>
      </w:r>
      <w:bookmarkEnd w:id="27"/>
      <w:r/>
      <w:bookmarkEnd w:id="28"/>
      <w:r/>
      <w:bookmarkEnd w:id="29"/>
      <w:r/>
      <w:bookmarkEnd w:id="30"/>
      <w:r/>
      <w:bookmarkEnd w:id="31"/>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bookmarkStart w:id="32" w:name="_Toc35393626"/>
      <w:r/>
      <w:bookmarkStart w:id="33" w:name="_Toc38985268"/>
      <w:r/>
      <w:bookmarkStart w:id="34" w:name="_Toc35393795"/>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自本公告发布之日起3个工作日。</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rPr>
          <w:rFonts w:hint="eastAsia"/>
          <w:b/>
          <w:bCs/>
          <w:color w:val="000000" w:themeColor="text1"/>
          <w:sz w:val="32"/>
          <w:szCs w:val="32"/>
          <w:highlight w:val="none"/>
          <w:lang w:val="en-US" w:eastAsia="zh-CN"/>
          <w14:textFill>
            <w14:solidFill>
              <w14:schemeClr w14:val="tx1"/>
            </w14:solidFill>
          </w14:textFill>
        </w:rPr>
        <w:t xml:space="preserve">七</w:t>
      </w:r>
      <w:r>
        <w:rPr>
          <w:rFonts w:hint="eastAsia" w:ascii="Times New Roman" w:hAnsi="Times New Roman"/>
          <w:b/>
          <w:bCs/>
          <w:color w:val="000000" w:themeColor="text1"/>
          <w:sz w:val="32"/>
          <w:szCs w:val="32"/>
          <w:highlight w:val="none"/>
          <w14:textFill>
            <w14:solidFill>
              <w14:schemeClr w14:val="tx1"/>
            </w14:solidFill>
          </w14:textFill>
        </w:rPr>
        <w:t xml:space="preserve">、其他补充事宜</w:t>
      </w:r>
      <w:bookmarkEnd w:id="32"/>
      <w:r/>
      <w:bookmarkEnd w:id="33"/>
      <w:r/>
      <w:bookmarkEnd w:id="34"/>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1.本项目采用网上注册登记方式。潜在供应商访问电子招标投标交易平台的网络地址和方法：</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（1）登录 https://jszfcg.jsczt.cn，点击“苏采云”进入系统。</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CA数字证书”的获取：供应商需办理CA锁。投标客户端工具及投标人操作手册可访问江苏省政府采购网，“资料下载”进行下载《江苏省政府采购管理交易系统（苏采云）供应商操作手册及政府采购客户端》。</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2.采购代理机构将数据电文形式的采购文件加载至电子招标投标交易平台，供潜在供应商下载或者查阅。</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请供应商确保电脑、系统及其他设备无误，且开标直至项目评审结束前始终保持系统在线状态。</w:t>
      </w:r>
      <w:r/>
    </w:p>
    <w:p>
      <w:pPr>
        <w:ind w:firstLine="498"/>
        <w:keepLines/>
        <w:keepNext/>
        <w:spacing w:line="560" w:lineRule="exact"/>
        <w:rPr>
          <w:rFonts w:ascii="Times New Roman" w:hAnsi="Times New Roman"/>
          <w:b/>
          <w:bCs/>
          <w:color w:val="000000" w:themeColor="text1"/>
          <w:sz w:val="32"/>
          <w:szCs w:val="32"/>
          <w:highlight w:val="none"/>
          <w14:textFill>
            <w14:solidFill>
              <w14:schemeClr w14:val="tx1"/>
            </w14:solidFill>
          </w14:textFill>
        </w:rPr>
        <w:outlineLvl w:val="1"/>
      </w:pPr>
      <w:r/>
      <w:bookmarkStart w:id="35" w:name="_Toc35393627"/>
      <w:r/>
      <w:bookmarkStart w:id="36" w:name="_Toc28359085"/>
      <w:r/>
      <w:bookmarkStart w:id="37" w:name="_Toc38985269"/>
      <w:r/>
      <w:bookmarkStart w:id="38" w:name="_Toc28359008"/>
      <w:r/>
      <w:bookmarkStart w:id="39" w:name="_Toc35393796"/>
      <w:r>
        <w:rPr>
          <w:rFonts w:hint="eastAsia"/>
          <w:b/>
          <w:bCs/>
          <w:color w:val="000000" w:themeColor="text1"/>
          <w:sz w:val="32"/>
          <w:szCs w:val="32"/>
          <w:highlight w:val="none"/>
          <w:lang w:val="en-US" w:eastAsia="zh-CN"/>
          <w14:textFill>
            <w14:solidFill>
              <w14:schemeClr w14:val="tx1"/>
            </w14:solidFill>
          </w14:textFill>
        </w:rPr>
        <w:t xml:space="preserve">八</w:t>
      </w:r>
      <w:r>
        <w:rPr>
          <w:rFonts w:hint="eastAsia" w:ascii="Times New Roman" w:hAnsi="Times New Roman"/>
          <w:b/>
          <w:bCs/>
          <w:color w:val="000000" w:themeColor="text1"/>
          <w:sz w:val="32"/>
          <w:szCs w:val="32"/>
          <w:highlight w:val="none"/>
          <w14:textFill>
            <w14:solidFill>
              <w14:schemeClr w14:val="tx1"/>
            </w14:solidFill>
          </w14:textFill>
        </w:rPr>
        <w:t xml:space="preserve">、本次磋商联系方式</w:t>
      </w:r>
      <w:bookmarkEnd w:id="35"/>
      <w:r/>
      <w:bookmarkEnd w:id="36"/>
      <w:r/>
      <w:bookmarkEnd w:id="37"/>
      <w:r/>
      <w:bookmarkEnd w:id="38"/>
      <w:r/>
      <w:bookmarkEnd w:id="39"/>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1.采购人信息</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单位名称：泰州市人民医院</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单位地址：江苏省泰州市海陵区东风南路8号</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联系人：孙先生</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联系电话：0523-89890040</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2.采购代理机构信息（如有）</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单位名称：江苏正方工程项目管理房地产评估有限公司</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单位地址：泰州市鼓楼南路286号B3幢1-3室</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联系人：陈先生</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联系电话：0523-86050105</w:t>
      </w:r>
      <w:r/>
    </w:p>
    <w:p>
      <w:pPr>
        <w:ind w:firstLine="480"/>
        <w:spacing w:line="56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3.项目联系方式</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项目联系人：陈先生</w:t>
      </w:r>
      <w:r/>
    </w:p>
    <w:p>
      <w:pPr>
        <w:ind w:firstLine="480"/>
        <w:spacing w:line="56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电话：0523-86050105</w:t>
      </w:r>
      <w:r/>
    </w:p>
    <w:p>
      <w:pPr>
        <w:ind w:firstLine="72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56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line="560" w:lineRule="exact"/>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keepLines/>
        <w:keepNext/>
        <w:spacing w:line="520" w:lineRule="exact"/>
        <w:rPr>
          <w:rFonts w:hint="eastAsia" w:ascii="黑体" w:hAnsi="Arial" w:eastAsia="黑体" w:cs="Arial"/>
          <w:color w:val="000000" w:themeColor="text1"/>
          <w:sz w:val="44"/>
          <w:szCs w:val="44"/>
          <w:highlight w:val="none"/>
          <w14:textFill>
            <w14:solidFill>
              <w14:schemeClr w14:val="tx1"/>
            </w14:solidFill>
          </w14:textFill>
        </w:rPr>
        <w:outlineLvl w:val="0"/>
      </w:pPr>
      <w:r/>
      <w:bookmarkStart w:id="40" w:name="_Toc120614211"/>
      <w:r>
        <w:rPr>
          <w:rFonts w:ascii="黑体" w:hAnsi="Arial" w:eastAsia="黑体" w:cs="Arial"/>
          <w:b/>
          <w:bCs/>
          <w:color w:val="000000" w:themeColor="text1"/>
          <w:sz w:val="44"/>
          <w:szCs w:val="44"/>
          <w:highlight w:val="none"/>
          <w14:textFill>
            <w14:solidFill>
              <w14:schemeClr w14:val="tx1"/>
            </w14:solidFill>
          </w14:textFill>
        </w:rPr>
        <w:br w:type="page" w:clear="all"/>
      </w:r>
      <w:r>
        <w:rPr>
          <w:rFonts w:hint="eastAsia" w:ascii="黑体" w:hAnsi="Arial" w:eastAsia="黑体" w:cs="Arial"/>
          <w:b/>
          <w:bCs/>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40"/>
      <w:r>
        <w:rPr>
          <w:rFonts w:hint="eastAsia" w:ascii="黑体" w:hAnsi="Arial" w:eastAsia="黑体" w:cs="Arial"/>
          <w:b/>
          <w:bCs/>
          <w:color w:val="000000" w:themeColor="text1"/>
          <w:sz w:val="44"/>
          <w:szCs w:val="44"/>
          <w:highlight w:val="none"/>
          <w14:textFill>
            <w14:solidFill>
              <w14:schemeClr w14:val="tx1"/>
            </w14:solidFill>
          </w14:textFill>
        </w:rPr>
        <w:t xml:space="preserve">供应商须知</w:t>
      </w:r>
      <w:r/>
    </w:p>
    <w:p>
      <w:pPr>
        <w:ind w:firstLine="498"/>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41" w:name="_Toc20823275"/>
      <w:r/>
      <w:bookmarkStart w:id="42" w:name="_Toc513029203"/>
      <w:r/>
      <w:bookmarkStart w:id="43" w:name="_Toc16938519"/>
      <w:r/>
      <w:bookmarkStart w:id="44" w:name="_Toc120614214"/>
      <w:r>
        <w:rPr>
          <w:rFonts w:hint="eastAsia" w:ascii="Times New Roman" w:hAnsi="Times New Roman"/>
          <w:b/>
          <w:bCs/>
          <w:color w:val="000000" w:themeColor="text1"/>
          <w:sz w:val="32"/>
          <w:szCs w:val="32"/>
          <w:highlight w:val="none"/>
          <w14:textFill>
            <w14:solidFill>
              <w14:schemeClr w14:val="tx1"/>
            </w14:solidFill>
          </w14:textFill>
        </w:rPr>
        <w:t xml:space="preserve">一、总则</w:t>
      </w:r>
      <w:bookmarkEnd w:id="41"/>
      <w:r/>
      <w:bookmarkEnd w:id="42"/>
      <w:r/>
      <w:bookmarkEnd w:id="43"/>
      <w:r/>
      <w:bookmarkEnd w:id="44"/>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2"/>
      </w:pPr>
      <w:r/>
      <w:bookmarkStart w:id="45" w:name="_Hlt16619475"/>
      <w:r/>
      <w:bookmarkEnd w:id="45"/>
      <w:r/>
      <w:bookmarkStart w:id="46" w:name="_Toc458694821"/>
      <w:r/>
      <w:bookmarkStart w:id="47" w:name="_Toc16938520"/>
      <w:r/>
      <w:bookmarkStart w:id="48" w:name="_Toc513029204"/>
      <w:r/>
      <w:bookmarkStart w:id="49" w:name="_Toc20823276"/>
      <w:r>
        <w:rPr>
          <w:rFonts w:hint="eastAsia" w:ascii="Arial" w:hAnsi="Arial" w:eastAsia="黑体" w:cs="Arial"/>
          <w:color w:val="000000" w:themeColor="text1"/>
          <w:sz w:val="28"/>
          <w:szCs w:val="28"/>
          <w:highlight w:val="none"/>
          <w14:textFill>
            <w14:solidFill>
              <w14:schemeClr w14:val="tx1"/>
            </w14:solidFill>
          </w14:textFill>
        </w:rPr>
        <w:t xml:space="preserve">1</w:t>
      </w:r>
      <w:bookmarkEnd w:id="46"/>
      <w:r>
        <w:rPr>
          <w:rFonts w:hint="eastAsia" w:ascii="Arial" w:hAnsi="Arial" w:eastAsia="黑体" w:cs="Arial"/>
          <w:color w:val="000000" w:themeColor="text1"/>
          <w:sz w:val="28"/>
          <w:szCs w:val="28"/>
          <w:highlight w:val="none"/>
          <w14:textFill>
            <w14:solidFill>
              <w14:schemeClr w14:val="tx1"/>
            </w14:solidFill>
          </w14:textFill>
        </w:rPr>
        <w:t xml:space="preserve">.采购方式</w:t>
      </w:r>
      <w:bookmarkEnd w:id="47"/>
      <w:r/>
      <w:bookmarkEnd w:id="48"/>
      <w:r/>
      <w:bookmarkEnd w:id="49"/>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1.1本次政府采购活动采取竞争性磋商</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以下简称磋商</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方式，本磋商文件仅适用于磋商公告中所述项目。</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2"/>
      </w:pPr>
      <w:r/>
      <w:bookmarkStart w:id="50" w:name="_Toc513029205"/>
      <w:r/>
      <w:bookmarkStart w:id="51" w:name="_Toc20823277"/>
      <w:r/>
      <w:bookmarkStart w:id="52" w:name="_Toc16938521"/>
      <w:r>
        <w:rPr>
          <w:rFonts w:hint="eastAsia" w:ascii="Arial" w:hAnsi="Arial" w:eastAsia="黑体" w:cs="Arial"/>
          <w:color w:val="000000" w:themeColor="text1"/>
          <w:sz w:val="28"/>
          <w:szCs w:val="28"/>
          <w:highlight w:val="none"/>
          <w14:textFill>
            <w14:solidFill>
              <w14:schemeClr w14:val="tx1"/>
            </w14:solidFill>
          </w14:textFill>
        </w:rPr>
        <w:t xml:space="preserve">2.合格的</w:t>
      </w:r>
      <w:bookmarkEnd w:id="50"/>
      <w:r/>
      <w:bookmarkEnd w:id="51"/>
      <w:r/>
      <w:bookmarkEnd w:id="52"/>
      <w:r>
        <w:rPr>
          <w:rFonts w:hint="eastAsia" w:ascii="Arial" w:hAnsi="Arial" w:eastAsia="黑体" w:cs="Arial"/>
          <w:color w:val="000000" w:themeColor="text1"/>
          <w:sz w:val="28"/>
          <w:szCs w:val="28"/>
          <w:highlight w:val="none"/>
          <w14:textFill>
            <w14:solidFill>
              <w14:schemeClr w14:val="tx1"/>
            </w14:solidFill>
          </w14:textFill>
        </w:rPr>
        <w:t xml:space="preserve">供应商</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2.1满足磋商公告中供应商资格要求的规定。</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2.2满足本磋商文件实质性要求和条件的规定。</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2"/>
      </w:pPr>
      <w:r/>
      <w:bookmarkStart w:id="53" w:name="_Toc20823278"/>
      <w:r/>
      <w:bookmarkStart w:id="54" w:name="_Toc16938522"/>
      <w:r/>
      <w:bookmarkStart w:id="55" w:name="_Toc513029206"/>
      <w:r>
        <w:rPr>
          <w:rFonts w:hint="eastAsia" w:ascii="Arial" w:hAnsi="Arial" w:eastAsia="黑体" w:cs="Arial"/>
          <w:color w:val="000000" w:themeColor="text1"/>
          <w:sz w:val="28"/>
          <w:szCs w:val="28"/>
          <w:highlight w:val="none"/>
          <w14:textFill>
            <w14:solidFill>
              <w14:schemeClr w14:val="tx1"/>
            </w14:solidFill>
          </w14:textFill>
        </w:rPr>
        <w:t xml:space="preserve">3.适用法律</w:t>
      </w:r>
      <w:bookmarkEnd w:id="53"/>
      <w:r/>
      <w:bookmarkEnd w:id="54"/>
      <w:r/>
      <w:bookmarkEnd w:id="55"/>
      <w:r/>
      <w:r/>
    </w:p>
    <w:p>
      <w:pPr>
        <w:ind w:firstLine="42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3.1本次磋商及由此产生的合同受中华人民共和国有关的法律法规制约和保护</w:t>
      </w:r>
      <w:r>
        <w:rPr>
          <w:rFonts w:ascii="宋体" w:hAnsi="宋体"/>
          <w:color w:val="000000" w:themeColor="text1"/>
          <w:sz w:val="24"/>
          <w:szCs w:val="21"/>
          <w:highlight w:val="none"/>
          <w14:textFill>
            <w14:solidFill>
              <w14:schemeClr w14:val="tx1"/>
            </w14:solidFill>
          </w14:textFill>
        </w:rPr>
        <w:t xml:space="preserve">。</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2"/>
      </w:pPr>
      <w:r/>
      <w:bookmarkStart w:id="56" w:name="_Toc20823279"/>
      <w:r/>
      <w:bookmarkStart w:id="57" w:name="_Toc16938523"/>
      <w:r/>
      <w:bookmarkStart w:id="58" w:name="_Toc513029207"/>
      <w:r/>
      <w:bookmarkStart w:id="59" w:name="_Toc462564067"/>
      <w:r>
        <w:rPr>
          <w:rFonts w:hint="eastAsia" w:ascii="Arial" w:hAnsi="Arial" w:eastAsia="黑体" w:cs="Arial"/>
          <w:color w:val="000000" w:themeColor="text1"/>
          <w:sz w:val="28"/>
          <w:szCs w:val="28"/>
          <w:highlight w:val="none"/>
          <w14:textFill>
            <w14:solidFill>
              <w14:schemeClr w14:val="tx1"/>
            </w14:solidFill>
          </w14:textFill>
        </w:rPr>
        <w:t xml:space="preserve">4.磋商费用</w:t>
      </w:r>
      <w:bookmarkEnd w:id="56"/>
      <w:r/>
      <w:bookmarkEnd w:id="57"/>
      <w:r/>
      <w:bookmarkEnd w:id="58"/>
      <w:r/>
      <w:bookmarkEnd w:id="59"/>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4.1</w:t>
      </w:r>
      <w:r>
        <w:rPr>
          <w:rFonts w:hint="eastAsia" w:ascii="宋体" w:hAnsi="宋体"/>
          <w:color w:val="000000" w:themeColor="text1"/>
          <w:sz w:val="24"/>
          <w:szCs w:val="21"/>
          <w:highlight w:val="none"/>
          <w14:textFill>
            <w14:solidFill>
              <w14:schemeClr w14:val="tx1"/>
            </w14:solidFill>
          </w14:textFill>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4.2本次磋商不收取标书工本费。</w:t>
      </w:r>
      <w:r/>
    </w:p>
    <w:p>
      <w:pPr>
        <w:ind w:firstLine="480"/>
        <w:spacing w:line="520" w:lineRule="exact"/>
        <w:rPr>
          <w:rFonts w:ascii="宋体" w:hAnsi="宋体" w:eastAsia="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lang w:val="en-US" w:eastAsia="zh-CN"/>
          <w14:textFill>
            <w14:solidFill>
              <w14:schemeClr w14:val="tx1"/>
            </w14:solidFill>
          </w14:textFill>
        </w:rPr>
        <w:t xml:space="preserve">4.3本项目采购代理服务费按照《关于印发〈江苏省政府采购代理服务收费指导意见</w:t>
      </w:r>
      <w:r>
        <w:rPr>
          <w:rFonts w:hint="default" w:ascii="Arial" w:hAnsi="Arial" w:eastAsia="Arial" w:cs="Arial"/>
          <w:i w:val="0"/>
          <w:iCs w:val="0"/>
          <w:caps w:val="0"/>
          <w:color w:val="333333"/>
          <w:spacing w:val="0"/>
          <w:sz w:val="24"/>
          <w:szCs w:val="24"/>
          <w:shd w:val="clear" w:color="auto" w:fill="ffffff"/>
        </w:rPr>
        <w:t xml:space="preserve">〉</w:t>
      </w:r>
      <w:r>
        <w:rPr>
          <w:rFonts w:hint="eastAsia" w:ascii="宋体" w:hAnsi="宋体"/>
          <w:color w:val="000000" w:themeColor="text1"/>
          <w:sz w:val="24"/>
          <w:szCs w:val="21"/>
          <w:highlight w:val="none"/>
          <w:lang w:val="en-US" w:eastAsia="zh-CN"/>
          <w14:textFill>
            <w14:solidFill>
              <w14:schemeClr w14:val="tx1"/>
            </w14:solidFill>
          </w14:textFill>
        </w:rPr>
        <w:t xml:space="preserve">的通知》苏政采协〔2024〕20号规定标准的45%计取，由采购人支付。</w:t>
      </w:r>
      <w:r/>
    </w:p>
    <w:p>
      <w:pPr>
        <w:ind w:firstLine="301"/>
        <w:keepLines/>
        <w:keepNext/>
        <w:spacing w:line="520" w:lineRule="exact"/>
        <w:rPr>
          <w:rFonts w:hint="eastAsia" w:ascii="黑体" w:hAnsi="宋体" w:eastAsia="黑体" w:cs="Arial"/>
          <w:color w:val="000000" w:themeColor="text1"/>
          <w:sz w:val="28"/>
          <w:szCs w:val="28"/>
          <w:highlight w:val="none"/>
          <w14:textFill>
            <w14:solidFill>
              <w14:schemeClr w14:val="tx1"/>
            </w14:solidFill>
          </w14:textFill>
        </w:rPr>
        <w:outlineLvl w:val="2"/>
      </w:pPr>
      <w:r>
        <w:rPr>
          <w:rFonts w:hint="eastAsia" w:ascii="宋体" w:hAnsi="宋体" w:eastAsia="黑体" w:cs="Arial"/>
          <w:b/>
          <w:bCs/>
          <w:color w:val="000000" w:themeColor="text1"/>
          <w:sz w:val="30"/>
          <w:szCs w:val="28"/>
          <w:highlight w:val="none"/>
          <w14:textFill>
            <w14:solidFill>
              <w14:schemeClr w14:val="tx1"/>
            </w14:solidFill>
          </w14:textFill>
        </w:rPr>
        <w:t xml:space="preserve">5.</w:t>
      </w:r>
      <w:r>
        <w:rPr>
          <w:rFonts w:hint="eastAsia" w:ascii="黑体" w:hAnsi="宋体" w:eastAsia="黑体" w:cs="Arial"/>
          <w:color w:val="000000" w:themeColor="text1"/>
          <w:sz w:val="28"/>
          <w:szCs w:val="28"/>
          <w:highlight w:val="none"/>
          <w14:textFill>
            <w14:solidFill>
              <w14:schemeClr w14:val="tx1"/>
            </w14:solidFill>
          </w14:textFill>
        </w:rPr>
        <w:t xml:space="preserve">磋商文件的约束力</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供应商一旦参加本项目采购活动，即被认为接受了本磋商文件的规定和约束。</w:t>
      </w:r>
      <w:r/>
    </w:p>
    <w:p>
      <w:pPr>
        <w:ind w:firstLine="321"/>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60" w:name="_Toc16938525"/>
      <w:r/>
      <w:bookmarkStart w:id="61" w:name="_Toc120614215"/>
      <w:r/>
      <w:bookmarkStart w:id="62" w:name="_Toc513029209"/>
      <w:r/>
      <w:bookmarkStart w:id="63" w:name="_Toc20823281"/>
      <w:r>
        <w:rPr>
          <w:rFonts w:hint="eastAsia" w:ascii="Times New Roman" w:hAnsi="Times New Roman"/>
          <w:b/>
          <w:bCs/>
          <w:color w:val="000000" w:themeColor="text1"/>
          <w:sz w:val="32"/>
          <w:szCs w:val="32"/>
          <w:highlight w:val="none"/>
          <w14:textFill>
            <w14:solidFill>
              <w14:schemeClr w14:val="tx1"/>
            </w14:solidFill>
          </w14:textFill>
        </w:rPr>
        <w:t xml:space="preserve">二、</w:t>
      </w:r>
      <w:bookmarkEnd w:id="60"/>
      <w:r/>
      <w:bookmarkEnd w:id="61"/>
      <w:r/>
      <w:bookmarkEnd w:id="62"/>
      <w:r/>
      <w:bookmarkEnd w:id="63"/>
      <w:r>
        <w:rPr>
          <w:rFonts w:hint="eastAsia" w:ascii="Times New Roman" w:hAnsi="Times New Roman"/>
          <w:b/>
          <w:bCs/>
          <w:color w:val="000000" w:themeColor="text1"/>
          <w:sz w:val="32"/>
          <w:szCs w:val="32"/>
          <w:highlight w:val="none"/>
          <w14:textFill>
            <w14:solidFill>
              <w14:schemeClr w14:val="tx1"/>
            </w14:solidFill>
          </w14:textFill>
        </w:rPr>
        <w:t xml:space="preserve">磋商文件</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64" w:name="_Toc513029210"/>
      <w:r/>
      <w:bookmarkStart w:id="65" w:name="_Toc16938526"/>
      <w:r/>
      <w:bookmarkStart w:id="66" w:name="_Toc20823282"/>
      <w:r>
        <w:rPr>
          <w:rFonts w:hint="eastAsia" w:ascii="Arial" w:hAnsi="Arial" w:eastAsia="黑体" w:cs="Arial"/>
          <w:color w:val="000000" w:themeColor="text1"/>
          <w:sz w:val="28"/>
          <w:szCs w:val="28"/>
          <w:highlight w:val="none"/>
          <w14:textFill>
            <w14:solidFill>
              <w14:schemeClr w14:val="tx1"/>
            </w14:solidFill>
          </w14:textFill>
        </w:rPr>
        <w:t xml:space="preserve">6.磋商文件构成</w:t>
      </w:r>
      <w:bookmarkEnd w:id="64"/>
      <w:r/>
      <w:bookmarkEnd w:id="65"/>
      <w:r/>
      <w:bookmarkEnd w:id="66"/>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6.1</w:t>
      </w:r>
      <w:r>
        <w:rPr>
          <w:rFonts w:hint="eastAsia" w:ascii="宋体" w:hAnsi="宋体"/>
          <w:color w:val="000000" w:themeColor="text1"/>
          <w:sz w:val="24"/>
          <w:szCs w:val="21"/>
          <w:highlight w:val="none"/>
          <w14:textFill>
            <w14:solidFill>
              <w14:schemeClr w14:val="tx1"/>
            </w14:solidFill>
          </w14:textFill>
        </w:rPr>
        <w:t xml:space="preserve">磋商文件由以下部分组成：</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（1）磋商</w:t>
      </w:r>
      <w:r>
        <w:rPr>
          <w:rFonts w:ascii="宋体" w:hAnsi="宋体"/>
          <w:color w:val="000000" w:themeColor="text1"/>
          <w:sz w:val="24"/>
          <w:szCs w:val="24"/>
          <w:highlight w:val="none"/>
          <w14:textFill>
            <w14:solidFill>
              <w14:schemeClr w14:val="tx1"/>
            </w14:solidFill>
          </w14:textFill>
        </w:rPr>
        <w:t xml:space="preserve">邀请</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（2）供应商须知</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（3）采购需求</w:t>
      </w:r>
      <w:r/>
    </w:p>
    <w:p>
      <w:pPr>
        <w:ind w:firstLine="360"/>
        <w:spacing w:line="520" w:lineRule="exact"/>
        <w:rPr>
          <w:rFonts w:hint="eastAsia"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Times New Roman" w:hAnsi="宋体"/>
          <w:color w:val="000000" w:themeColor="text1"/>
          <w:sz w:val="24"/>
          <w:szCs w:val="24"/>
          <w:highlight w:val="none"/>
          <w14:textFill>
            <w14:solidFill>
              <w14:schemeClr w14:val="tx1"/>
            </w14:solidFill>
          </w14:textFill>
        </w:rPr>
        <w:t xml:space="preserve">评审方法与评审标准</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（5）响应文件格式</w:t>
      </w:r>
      <w:r/>
    </w:p>
    <w:p>
      <w:pPr>
        <w:ind w:firstLine="36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（6）附件（如有）</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请仔细检查磋商文件是否齐全，如有缺漏请立即与采购人或采购代理机构联系解决。</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6.2</w:t>
      </w:r>
      <w:r>
        <w:rPr>
          <w:rFonts w:hint="eastAsia" w:ascii="宋体" w:hAnsi="宋体"/>
          <w:color w:val="000000" w:themeColor="text1"/>
          <w:sz w:val="24"/>
          <w:szCs w:val="21"/>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67" w:name="_Toc513029211"/>
      <w:r/>
      <w:bookmarkStart w:id="68" w:name="_Toc16938527"/>
      <w:r/>
      <w:bookmarkStart w:id="69" w:name="_Toc462564070"/>
      <w:r/>
      <w:bookmarkStart w:id="70" w:name="_Toc20823283"/>
      <w:r>
        <w:rPr>
          <w:rFonts w:hint="eastAsia" w:ascii="Arial" w:hAnsi="Arial" w:eastAsia="黑体" w:cs="Arial"/>
          <w:color w:val="000000" w:themeColor="text1"/>
          <w:sz w:val="28"/>
          <w:szCs w:val="28"/>
          <w:highlight w:val="none"/>
          <w14:textFill>
            <w14:solidFill>
              <w14:schemeClr w14:val="tx1"/>
            </w14:solidFill>
          </w14:textFill>
        </w:rPr>
        <w:t xml:space="preserve">7.磋商文件的澄清</w:t>
      </w:r>
      <w:bookmarkEnd w:id="67"/>
      <w:r/>
      <w:bookmarkEnd w:id="68"/>
      <w:r/>
      <w:bookmarkEnd w:id="69"/>
      <w:r/>
      <w:bookmarkEnd w:id="70"/>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7.1</w:t>
      </w:r>
      <w:r>
        <w:rPr>
          <w:rFonts w:hint="eastAsia" w:ascii="宋体" w:hAnsi="宋体"/>
          <w:color w:val="000000" w:themeColor="text1"/>
          <w:sz w:val="24"/>
          <w:szCs w:val="21"/>
          <w:highlight w:val="none"/>
          <w14:textFill>
            <w14:solidFill>
              <w14:schemeClr w14:val="tx1"/>
            </w14:solidFill>
          </w14:textFill>
        </w:rPr>
        <w:t xml:space="preserve">任何要求对磋商文件进行澄清的供应商，应在磋商截止期5日</w:t>
      </w:r>
      <w:r>
        <w:rPr>
          <w:rFonts w:hint="eastAsia" w:ascii="仿宋_GB2312" w:hAnsi="仿宋_GB2312"/>
          <w:color w:val="000000" w:themeColor="text1"/>
          <w:sz w:val="24"/>
          <w:szCs w:val="24"/>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按磋商公告中的通讯地址，以书面形式通知采购人或采购代理机构。</w:t>
      </w:r>
      <w:r/>
    </w:p>
    <w:p>
      <w:pPr>
        <w:ind w:firstLine="480"/>
        <w:spacing w:line="52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7.2采购人视情组织答疑会。</w:t>
      </w:r>
      <w:r/>
    </w:p>
    <w:p>
      <w:pPr>
        <w:ind w:firstLine="56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71" w:name="_Toc16938528"/>
      <w:r/>
      <w:bookmarkStart w:id="72" w:name="_Toc20823284"/>
      <w:r/>
      <w:bookmarkStart w:id="73" w:name="_Toc513029212"/>
      <w:r/>
      <w:bookmarkStart w:id="74" w:name="_Toc462564071"/>
      <w:r>
        <w:rPr>
          <w:rFonts w:hint="eastAsia" w:ascii="Arial" w:hAnsi="Arial" w:eastAsia="黑体" w:cs="Arial"/>
          <w:color w:val="000000" w:themeColor="text1"/>
          <w:sz w:val="28"/>
          <w:szCs w:val="28"/>
          <w:highlight w:val="none"/>
          <w14:textFill>
            <w14:solidFill>
              <w14:schemeClr w14:val="tx1"/>
            </w14:solidFill>
          </w14:textFill>
        </w:rPr>
        <w:t xml:space="preserve">8.磋商文件的澄清和修改</w:t>
      </w:r>
      <w:bookmarkEnd w:id="71"/>
      <w:r/>
      <w:bookmarkEnd w:id="72"/>
      <w:r/>
      <w:bookmarkEnd w:id="73"/>
      <w:r/>
      <w:bookmarkEnd w:id="74"/>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8.1</w:t>
      </w:r>
      <w:r>
        <w:rPr>
          <w:rFonts w:hint="eastAsia" w:ascii="宋体" w:hAnsi="宋体"/>
          <w:color w:val="000000" w:themeColor="text1"/>
          <w:sz w:val="24"/>
          <w:szCs w:val="21"/>
          <w:highlight w:val="none"/>
          <w14:textFill>
            <w14:solidFill>
              <w14:schemeClr w14:val="tx1"/>
            </w14:solidFill>
          </w14:textFill>
        </w:rPr>
        <w:t xml:space="preserve">在响应文件提交截止时间</w:t>
      </w:r>
      <w:r>
        <w:rPr>
          <w:rFonts w:hint="eastAsia" w:ascii="仿宋_GB2312" w:hAnsi="仿宋_GB2312"/>
          <w:color w:val="000000" w:themeColor="text1"/>
          <w:sz w:val="24"/>
          <w:szCs w:val="21"/>
          <w:highlight w:val="none"/>
          <w14:textFill>
            <w14:solidFill>
              <w14:schemeClr w14:val="tx1"/>
            </w14:solidFill>
          </w14:textFill>
        </w:rPr>
        <w:t xml:space="preserve">前</w:t>
      </w:r>
      <w:r>
        <w:rPr>
          <w:rFonts w:hint="eastAsia" w:ascii="宋体" w:hAnsi="宋体"/>
          <w:color w:val="000000" w:themeColor="text1"/>
          <w:sz w:val="24"/>
          <w:szCs w:val="21"/>
          <w:highlight w:val="none"/>
          <w14:textFill>
            <w14:solidFill>
              <w14:schemeClr w14:val="tx1"/>
            </w14:solidFill>
          </w14:textFill>
        </w:rPr>
        <w:t xml:space="preserve">，采购人或采购代理机构可以对磋商文件进行澄清和修改</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更正公告内容将作为磋商文件的组成部分，并对供应商具有约束力。不足5日的，采购人将顺延提交首次响应文件截止时间。</w:t>
      </w:r>
      <w:r/>
    </w:p>
    <w:p>
      <w:pPr>
        <w:ind w:firstLine="482"/>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75" w:name="_Toc513029213"/>
      <w:r/>
      <w:bookmarkStart w:id="76" w:name="_Toc16938529"/>
      <w:r/>
      <w:bookmarkStart w:id="77" w:name="_Toc120614216"/>
      <w:r/>
      <w:bookmarkStart w:id="78" w:name="_Toc20823285"/>
      <w:r/>
      <w:bookmarkStart w:id="79" w:name="_Toc462564072"/>
      <w:r>
        <w:rPr>
          <w:rFonts w:hint="eastAsia" w:ascii="Times New Roman" w:hAnsi="Times New Roman"/>
          <w:b/>
          <w:bCs/>
          <w:color w:val="000000" w:themeColor="text1"/>
          <w:sz w:val="32"/>
          <w:szCs w:val="32"/>
          <w:highlight w:val="none"/>
          <w14:textFill>
            <w14:solidFill>
              <w14:schemeClr w14:val="tx1"/>
            </w14:solidFill>
          </w14:textFill>
        </w:rPr>
        <w:t xml:space="preserve">三、响应文件的编制</w:t>
      </w:r>
      <w:bookmarkEnd w:id="75"/>
      <w:r/>
      <w:bookmarkEnd w:id="76"/>
      <w:r/>
      <w:bookmarkEnd w:id="77"/>
      <w:r/>
      <w:bookmarkEnd w:id="78"/>
      <w:r/>
      <w:bookmarkEnd w:id="79"/>
      <w:r/>
      <w:r/>
    </w:p>
    <w:p>
      <w:pPr>
        <w:ind w:firstLine="560"/>
        <w:keepLines/>
        <w:keepNext/>
        <w:spacing w:line="520" w:lineRule="exact"/>
        <w:rPr>
          <w:rFonts w:hint="eastAsia" w:ascii="Arial" w:hAnsi="Arial" w:eastAsia="黑体" w:cs="Arial"/>
          <w:b/>
          <w:color w:val="000000" w:themeColor="text1"/>
          <w:sz w:val="28"/>
          <w:szCs w:val="28"/>
          <w:highlight w:val="none"/>
          <w14:textFill>
            <w14:solidFill>
              <w14:schemeClr w14:val="tx1"/>
            </w14:solidFill>
          </w14:textFill>
        </w:rPr>
        <w:outlineLvl w:val="3"/>
      </w:pPr>
      <w:r/>
      <w:bookmarkStart w:id="80" w:name="_Toc513029214"/>
      <w:r/>
      <w:bookmarkStart w:id="81" w:name="_Toc462564073"/>
      <w:r/>
      <w:bookmarkStart w:id="82" w:name="_Toc16938530"/>
      <w:r/>
      <w:bookmarkStart w:id="83" w:name="_Toc20823286"/>
      <w:r>
        <w:rPr>
          <w:rFonts w:hint="eastAsia" w:ascii="Arial" w:hAnsi="Arial" w:eastAsia="黑体" w:cs="Arial"/>
          <w:color w:val="000000" w:themeColor="text1"/>
          <w:sz w:val="28"/>
          <w:szCs w:val="28"/>
          <w:highlight w:val="none"/>
          <w14:textFill>
            <w14:solidFill>
              <w14:schemeClr w14:val="tx1"/>
            </w14:solidFill>
          </w14:textFill>
        </w:rPr>
        <w:t xml:space="preserve">9.响应文件的语言及度量衡单位</w:t>
      </w:r>
      <w:bookmarkEnd w:id="80"/>
      <w:r/>
      <w:bookmarkEnd w:id="81"/>
      <w:r/>
      <w:bookmarkEnd w:id="82"/>
      <w:r/>
      <w:bookmarkEnd w:id="83"/>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9.1</w:t>
      </w:r>
      <w:r>
        <w:rPr>
          <w:rFonts w:hint="eastAsia" w:ascii="宋体" w:hAnsi="宋体"/>
          <w:color w:val="000000" w:themeColor="text1"/>
          <w:sz w:val="24"/>
          <w:szCs w:val="21"/>
          <w:highlight w:val="none"/>
          <w14:textFill>
            <w14:solidFill>
              <w14:schemeClr w14:val="tx1"/>
            </w14:solidFill>
          </w14:textFill>
        </w:rPr>
        <w:t xml:space="preserve">供应商提交的响应文件以及供应商与采购人就有关磋商的所有来往通知、函件和文件均应使用</w:t>
      </w:r>
      <w:r>
        <w:rPr>
          <w:rFonts w:hint="eastAsia" w:ascii="宋体" w:hAnsi="宋体"/>
          <w:b/>
          <w:bCs/>
          <w:color w:val="000000" w:themeColor="text1"/>
          <w:sz w:val="24"/>
          <w:szCs w:val="21"/>
          <w:highlight w:val="none"/>
          <w14:textFill>
            <w14:solidFill>
              <w14:schemeClr w14:val="tx1"/>
            </w14:solidFill>
          </w14:textFill>
        </w:rPr>
        <w:t xml:space="preserve">简体中文</w:t>
      </w:r>
      <w:r>
        <w:rPr>
          <w:rFonts w:hint="eastAsia" w:ascii="宋体" w:hAnsi="宋体"/>
          <w:color w:val="000000" w:themeColor="text1"/>
          <w:sz w:val="24"/>
          <w:szCs w:val="21"/>
          <w:highlight w:val="none"/>
          <w14:textFill>
            <w14:solidFill>
              <w14:schemeClr w14:val="tx1"/>
            </w14:solidFill>
          </w14:textFill>
        </w:rPr>
        <w:t xml:space="preserve">。</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9.2</w:t>
      </w:r>
      <w:r>
        <w:rPr>
          <w:rFonts w:hint="eastAsia" w:ascii="宋体" w:hAnsi="宋体"/>
          <w:color w:val="000000" w:themeColor="text1"/>
          <w:sz w:val="24"/>
          <w:szCs w:val="21"/>
          <w:highlight w:val="none"/>
          <w14:textFill>
            <w14:solidFill>
              <w14:schemeClr w14:val="tx1"/>
            </w14:solidFill>
          </w14:textFill>
        </w:rPr>
        <w:t xml:space="preserve">除技术性能另有规定外，响应文件所使用的度量衡单位，均须采用国家法定计量单位。</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84" w:name="_Toc20823287"/>
      <w:r/>
      <w:bookmarkStart w:id="85" w:name="_Toc16938531"/>
      <w:r/>
      <w:bookmarkStart w:id="86" w:name="_Toc513029215"/>
      <w:r/>
      <w:bookmarkStart w:id="87" w:name="_Toc462564074"/>
      <w:r>
        <w:rPr>
          <w:rFonts w:hint="eastAsia" w:ascii="Arial" w:hAnsi="Arial" w:eastAsia="黑体" w:cs="Arial"/>
          <w:color w:val="000000" w:themeColor="text1"/>
          <w:sz w:val="28"/>
          <w:szCs w:val="28"/>
          <w:highlight w:val="none"/>
          <w14:textFill>
            <w14:solidFill>
              <w14:schemeClr w14:val="tx1"/>
            </w14:solidFill>
          </w14:textFill>
        </w:rPr>
        <w:t xml:space="preserve">10.响应文件构成</w:t>
      </w:r>
      <w:bookmarkEnd w:id="84"/>
      <w:r/>
      <w:bookmarkEnd w:id="85"/>
      <w:r/>
      <w:bookmarkEnd w:id="86"/>
      <w:r/>
      <w:bookmarkEnd w:id="87"/>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10.1</w:t>
      </w:r>
      <w:r>
        <w:rPr>
          <w:rFonts w:hint="eastAsia" w:ascii="宋体" w:hAnsi="宋体"/>
          <w:color w:val="000000" w:themeColor="text1"/>
          <w:sz w:val="24"/>
          <w:szCs w:val="21"/>
          <w:highlight w:val="none"/>
          <w14:textFill>
            <w14:solidFill>
              <w14:schemeClr w14:val="tx1"/>
            </w14:solidFill>
          </w14:textFill>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10.2如标书制作工具中格式和内容与“江苏政府采购网”发布的磋商文件不一致，请以“江苏政府采购网”发布的磋商文件为准。</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88" w:name="_Hlt26954838"/>
      <w:r/>
      <w:bookmarkEnd w:id="88"/>
      <w:r/>
      <w:bookmarkStart w:id="89" w:name="_Hlt26668975"/>
      <w:r/>
      <w:bookmarkEnd w:id="89"/>
      <w:r/>
      <w:bookmarkStart w:id="90" w:name="_Hlt26670360"/>
      <w:r/>
      <w:bookmarkEnd w:id="90"/>
      <w:r/>
      <w:bookmarkStart w:id="91" w:name="_Toc14577354"/>
      <w:r/>
      <w:bookmarkStart w:id="92" w:name="_Toc49090507"/>
      <w:r/>
      <w:bookmarkStart w:id="93" w:name="_Toc49090509"/>
      <w:r/>
      <w:bookmarkStart w:id="94" w:name="_Toc513029216"/>
      <w:r/>
      <w:bookmarkStart w:id="95" w:name="_Toc14577357"/>
      <w:r/>
      <w:bookmarkStart w:id="96" w:name="_Toc513029219"/>
      <w:r/>
      <w:bookmarkStart w:id="97" w:name="_Toc14577355"/>
      <w:r/>
      <w:bookmarkStart w:id="98" w:name="_Toc49090508"/>
      <w:r>
        <w:rPr>
          <w:rFonts w:hint="eastAsia" w:ascii="Arial" w:hAnsi="Arial" w:eastAsia="黑体" w:cs="Arial"/>
          <w:color w:val="000000" w:themeColor="text1"/>
          <w:sz w:val="28"/>
          <w:szCs w:val="28"/>
          <w:highlight w:val="none"/>
          <w14:textFill>
            <w14:solidFill>
              <w14:schemeClr w14:val="tx1"/>
            </w14:solidFill>
          </w14:textFill>
        </w:rPr>
        <w:t xml:space="preserve">11.证明磋商响应标的符合磋商文件规定的文件</w:t>
      </w:r>
      <w:bookmarkEnd w:id="91"/>
      <w:r/>
      <w:bookmarkEnd w:id="92"/>
      <w:r/>
      <w:bookmarkEnd w:id="93"/>
      <w:r/>
      <w:bookmarkEnd w:id="94"/>
      <w:r/>
      <w:bookmarkEnd w:id="95"/>
      <w:r/>
      <w:bookmarkEnd w:id="96"/>
      <w:r/>
      <w:r/>
    </w:p>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11.1供应商应按照磋商文件要求提交证明文件，证明其及磋商响应标的符合磋商文件规定。</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bookmarkEnd w:id="97"/>
      <w:r/>
      <w:bookmarkEnd w:id="98"/>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12.分项报价表</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12.1</w:t>
      </w:r>
      <w:r>
        <w:rPr>
          <w:rFonts w:hint="eastAsia" w:ascii="宋体" w:hAnsi="宋体"/>
          <w:color w:val="000000" w:themeColor="text1"/>
          <w:sz w:val="24"/>
          <w:szCs w:val="21"/>
          <w:highlight w:val="none"/>
          <w14:textFill>
            <w14:solidFill>
              <w14:schemeClr w14:val="tx1"/>
            </w14:solidFill>
          </w14:textFill>
        </w:rPr>
        <w:t xml:space="preserve">供应商应按照磋商文件规定格式填报分项报价表。</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12.2</w:t>
      </w:r>
      <w:r>
        <w:rPr>
          <w:rFonts w:hint="eastAsia" w:ascii="宋体" w:hAnsi="宋体"/>
          <w:bCs/>
          <w:color w:val="000000" w:themeColor="text1"/>
          <w:sz w:val="24"/>
          <w:szCs w:val="21"/>
          <w:highlight w:val="none"/>
          <w14:textFill>
            <w14:solidFill>
              <w14:schemeClr w14:val="tx1"/>
            </w14:solidFill>
          </w14:textFill>
        </w:rPr>
        <w:t xml:space="preserve">磋商货币。响应文件中的单价和总价无特殊规定的采用人民币报价，以元为单位标注。</w:t>
      </w:r>
      <w:r>
        <w:rPr>
          <w:rFonts w:hint="eastAsia" w:ascii="宋体" w:hAnsi="宋体"/>
          <w:color w:val="000000" w:themeColor="text1"/>
          <w:sz w:val="24"/>
          <w:szCs w:val="21"/>
          <w:highlight w:val="none"/>
          <w14:textFill>
            <w14:solidFill>
              <w14:schemeClr w14:val="tx1"/>
            </w14:solidFill>
          </w14:textFill>
        </w:rPr>
        <w:t xml:space="preserve">磋商文件中另有规定的按规定执行。</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99" w:name="_Hlt26954846"/>
      <w:r/>
      <w:bookmarkEnd w:id="99"/>
      <w:r/>
      <w:bookmarkStart w:id="100" w:name="_Hlt26670482"/>
      <w:r/>
      <w:bookmarkEnd w:id="100"/>
      <w:r/>
      <w:bookmarkStart w:id="101" w:name="_Hlt26954731"/>
      <w:r/>
      <w:bookmarkEnd w:id="101"/>
      <w:r/>
      <w:bookmarkStart w:id="102" w:name="_Hlt26670486"/>
      <w:r/>
      <w:bookmarkEnd w:id="102"/>
      <w:r/>
      <w:bookmarkStart w:id="103" w:name="_Hlt26954848"/>
      <w:r/>
      <w:bookmarkEnd w:id="103"/>
      <w:r>
        <w:rPr>
          <w:rFonts w:hint="eastAsia" w:ascii="Arial" w:hAnsi="Arial" w:eastAsia="黑体" w:cs="Arial"/>
          <w:color w:val="000000" w:themeColor="text1"/>
          <w:sz w:val="28"/>
          <w:szCs w:val="28"/>
          <w:highlight w:val="none"/>
          <w14:textFill>
            <w14:solidFill>
              <w14:schemeClr w14:val="tx1"/>
            </w14:solidFill>
          </w14:textFill>
        </w:rPr>
        <w:t xml:space="preserve">13.技术要求响应及偏离表、商务要求响应及偏离表</w:t>
      </w:r>
      <w:r/>
    </w:p>
    <w:p>
      <w:pPr>
        <w:ind w:firstLine="480"/>
        <w:spacing w:line="520" w:lineRule="exact"/>
        <w:rPr>
          <w:rFonts w:hint="eastAsia" w:ascii="宋体" w:hAnsi="Arial" w:cs="宋体"/>
          <w:color w:val="000000" w:themeColor="text1"/>
          <w:sz w:val="24"/>
          <w:szCs w:val="21"/>
          <w:highlight w:val="none"/>
          <w14:textFill>
            <w14:solidFill>
              <w14:schemeClr w14:val="tx1"/>
            </w14:solidFill>
          </w14:textFill>
        </w:rPr>
      </w:pP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bCs/>
          <w:color w:val="000000" w:themeColor="text1"/>
          <w:sz w:val="24"/>
          <w:szCs w:val="21"/>
          <w:highlight w:val="none"/>
          <w:lang w:val="zh-CN"/>
          <w14:textFill>
            <w14:solidFill>
              <w14:schemeClr w14:val="tx1"/>
            </w14:solidFill>
          </w14:textFill>
        </w:rPr>
        <w:t xml:space="preserve">3</w:t>
      </w:r>
      <w:r>
        <w:rPr>
          <w:rFonts w:ascii="宋体" w:hAnsi="Arial" w:cs="宋体"/>
          <w:bCs/>
          <w:color w:val="000000" w:themeColor="text1"/>
          <w:sz w:val="24"/>
          <w:szCs w:val="21"/>
          <w:highlight w:val="none"/>
          <w:lang w:val="zh-CN"/>
          <w14:textFill>
            <w14:solidFill>
              <w14:schemeClr w14:val="tx1"/>
            </w14:solidFill>
          </w14:textFill>
        </w:rPr>
        <w:t xml:space="preserve">.1</w:t>
      </w:r>
      <w:r>
        <w:rPr>
          <w:rFonts w:hint="eastAsia" w:ascii="宋体" w:hAnsi="Arial" w:cs="宋体"/>
          <w:color w:val="000000" w:themeColor="text1"/>
          <w:sz w:val="24"/>
          <w:szCs w:val="21"/>
          <w:highlight w:val="none"/>
          <w:lang w:val="zh-CN"/>
          <w14:textFill>
            <w14:solidFill>
              <w14:schemeClr w14:val="tx1"/>
            </w14:solidFill>
          </w14:textFill>
        </w:rPr>
        <w:t xml:space="preserve">供应商需对磋商文件中的技术要求与商务要求逐项作出响应或偏离，并说明原因。</w:t>
      </w:r>
      <w:r/>
    </w:p>
    <w:p>
      <w:pPr>
        <w:ind w:firstLine="480"/>
        <w:spacing w:line="520" w:lineRule="exact"/>
        <w:rPr>
          <w:rFonts w:hint="eastAsia" w:ascii="宋体" w:hAnsi="Arial" w:cs="宋体"/>
          <w:color w:val="000000" w:themeColor="text1"/>
          <w:sz w:val="24"/>
          <w:szCs w:val="21"/>
          <w:highlight w:val="none"/>
          <w14:textFill>
            <w14:solidFill>
              <w14:schemeClr w14:val="tx1"/>
            </w14:solidFill>
          </w14:textFill>
        </w:rPr>
      </w:pPr>
      <w:r>
        <w:rPr>
          <w:rFonts w:hint="eastAsia" w:ascii="宋体" w:hAnsi="Arial" w:cs="宋体"/>
          <w:color w:val="000000" w:themeColor="text1"/>
          <w:sz w:val="24"/>
          <w:szCs w:val="21"/>
          <w:highlight w:val="none"/>
          <w:lang w:val="zh-CN"/>
          <w14:textFill>
            <w14:solidFill>
              <w14:schemeClr w14:val="tx1"/>
            </w14:solidFill>
          </w14:textFill>
        </w:rPr>
        <w:t xml:space="preserve">13.2供应商可在响应文件中提供认为需要的其他技术文件或说明。</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14.服务承诺、培训计划、人员安排及其他</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14.1</w:t>
      </w:r>
      <w:r>
        <w:rPr>
          <w:rFonts w:hint="eastAsia" w:ascii="宋体" w:hAnsi="宋体"/>
          <w:color w:val="000000" w:themeColor="text1"/>
          <w:sz w:val="24"/>
          <w:szCs w:val="24"/>
          <w:highlight w:val="none"/>
          <w14:textFill>
            <w14:solidFill>
              <w14:schemeClr w14:val="tx1"/>
            </w14:solidFill>
          </w14:textFill>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14.2供应商需根据磋商文件要求提供培训计划。</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14.3供应商需根据磋商文件要求提供</w:t>
      </w:r>
      <w:r>
        <w:rPr>
          <w:rFonts w:hint="eastAsia" w:ascii="宋体" w:hAnsi="Arial" w:cs="宋体"/>
          <w:color w:val="000000" w:themeColor="text1"/>
          <w:sz w:val="24"/>
          <w:szCs w:val="21"/>
          <w:highlight w:val="none"/>
          <w:lang w:val="zh-CN"/>
          <w14:textFill>
            <w14:solidFill>
              <w14:schemeClr w14:val="tx1"/>
            </w14:solidFill>
          </w14:textFill>
        </w:rPr>
        <w:t xml:space="preserve">磋商响应标的的主要组成部分、功能设计、实现思路及关键技术等。</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04" w:name="_Toc49090510"/>
      <w:r/>
      <w:bookmarkStart w:id="105" w:name="_Toc14577359"/>
      <w:r>
        <w:rPr>
          <w:rFonts w:hint="eastAsia" w:ascii="Arial" w:hAnsi="Arial" w:eastAsia="黑体" w:cs="Arial"/>
          <w:color w:val="000000" w:themeColor="text1"/>
          <w:sz w:val="28"/>
          <w:szCs w:val="28"/>
          <w:highlight w:val="none"/>
          <w14:textFill>
            <w14:solidFill>
              <w14:schemeClr w14:val="tx1"/>
            </w14:solidFill>
          </w14:textFill>
        </w:rPr>
        <w:t xml:space="preserve">15.磋商响应函</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15.1</w:t>
      </w:r>
      <w:r>
        <w:rPr>
          <w:rFonts w:hint="eastAsia" w:ascii="宋体" w:hAnsi="宋体"/>
          <w:color w:val="000000" w:themeColor="text1"/>
          <w:sz w:val="24"/>
          <w:szCs w:val="21"/>
          <w:highlight w:val="none"/>
          <w14:textFill>
            <w14:solidFill>
              <w14:schemeClr w14:val="tx1"/>
            </w14:solidFill>
          </w14:textFill>
        </w:rPr>
        <w:t xml:space="preserve">供应商应按照磋商文件中提供的格式完整、正确填写磋商响应函。</w:t>
      </w:r>
      <w:bookmarkEnd w:id="104"/>
      <w:r/>
      <w:bookmarkEnd w:id="105"/>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06" w:name="_Toc49090511"/>
      <w:r/>
      <w:bookmarkStart w:id="107" w:name="_Toc14577360"/>
      <w:r>
        <w:rPr>
          <w:rFonts w:hint="eastAsia" w:ascii="Arial" w:hAnsi="Arial" w:eastAsia="黑体" w:cs="Arial"/>
          <w:color w:val="000000" w:themeColor="text1"/>
          <w:sz w:val="28"/>
          <w:szCs w:val="28"/>
          <w:highlight w:val="none"/>
          <w14:textFill>
            <w14:solidFill>
              <w14:schemeClr w14:val="tx1"/>
            </w14:solidFill>
          </w14:textFill>
        </w:rPr>
        <w:t xml:space="preserve">16.磋商有效期</w:t>
      </w:r>
      <w:bookmarkEnd w:id="106"/>
      <w:r/>
      <w:bookmarkEnd w:id="107"/>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16.1磋商有效期为采购人规定的提交响应文件截止之日后</w:t>
      </w:r>
      <w:r>
        <w:rPr>
          <w:rFonts w:hint="eastAsia" w:ascii="仿宋_GB2312" w:hAnsi="仿宋_GB2312"/>
          <w:b/>
          <w:color w:val="000000" w:themeColor="text1"/>
          <w:sz w:val="24"/>
          <w:szCs w:val="21"/>
          <w:highlight w:val="none"/>
          <w:u w:val="single"/>
          <w14:textFill>
            <w14:solidFill>
              <w14:schemeClr w14:val="tx1"/>
            </w14:solidFill>
          </w14:textFill>
        </w:rPr>
        <w:t xml:space="preserve">六十（60）天</w:t>
      </w:r>
      <w:r>
        <w:rPr>
          <w:rFonts w:hint="eastAsia" w:ascii="宋体" w:hAnsi="宋体"/>
          <w:bCs/>
          <w:color w:val="000000" w:themeColor="text1"/>
          <w:sz w:val="24"/>
          <w:szCs w:val="21"/>
          <w:highlight w:val="none"/>
          <w14:textFill>
            <w14:solidFill>
              <w14:schemeClr w14:val="tx1"/>
            </w14:solidFill>
          </w14:textFill>
        </w:rPr>
        <w:t xml:space="preserve">。磋商有效期比规定短的将被视为非实质性响应磋商文件而予以拒绝。</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7</w:t>
      </w:r>
      <w:r>
        <w:rPr>
          <w:rFonts w:hint="eastAsia" w:ascii="Arial" w:hAnsi="Arial" w:eastAsia="黑体" w:cs="Arial"/>
          <w:color w:val="000000" w:themeColor="text1"/>
          <w:sz w:val="28"/>
          <w:szCs w:val="28"/>
          <w:highlight w:val="none"/>
          <w14:textFill>
            <w14:solidFill>
              <w14:schemeClr w14:val="tx1"/>
            </w14:solidFill>
          </w14:textFill>
        </w:rPr>
        <w:t xml:space="preserve">.磋商有效期的延长</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000000" w:themeColor="text1"/>
          <w:sz w:val="24"/>
          <w:szCs w:val="24"/>
          <w:highlight w:val="none"/>
          <w14:textFill>
            <w14:solidFill>
              <w14:schemeClr w14:val="tx1"/>
            </w14:solidFill>
          </w14:textFill>
        </w:rPr>
        <w:t xml:space="preserve">受磋商有效期约束的所有权利与义务均延长至新的有效期</w:t>
      </w:r>
      <w:r>
        <w:rPr>
          <w:rFonts w:hint="eastAsia" w:ascii="宋体" w:hAnsi="宋体"/>
          <w:bCs/>
          <w:color w:val="000000" w:themeColor="text1"/>
          <w:sz w:val="24"/>
          <w:szCs w:val="21"/>
          <w:highlight w:val="none"/>
          <w14:textFill>
            <w14:solidFill>
              <w14:schemeClr w14:val="tx1"/>
            </w14:solidFill>
          </w14:textFill>
        </w:rPr>
        <w:t xml:space="preserve">。</w:t>
      </w:r>
      <w:r/>
    </w:p>
    <w:p>
      <w:pPr>
        <w:ind w:firstLine="482"/>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108" w:name="_Hlt26954852"/>
      <w:r/>
      <w:bookmarkEnd w:id="108"/>
      <w:r/>
      <w:bookmarkStart w:id="109" w:name="_Hlt26954739"/>
      <w:r/>
      <w:bookmarkEnd w:id="109"/>
      <w:r/>
      <w:bookmarkStart w:id="110" w:name="_Toc20823296"/>
      <w:r/>
      <w:bookmarkStart w:id="111" w:name="_Toc513029224"/>
      <w:r/>
      <w:bookmarkStart w:id="112" w:name="_Toc16938540"/>
      <w:r/>
      <w:bookmarkStart w:id="113" w:name="_Toc120614217"/>
      <w:r>
        <w:rPr>
          <w:rFonts w:hint="eastAsia" w:ascii="Times New Roman" w:hAnsi="Times New Roman"/>
          <w:b/>
          <w:bCs/>
          <w:color w:val="000000" w:themeColor="text1"/>
          <w:sz w:val="32"/>
          <w:szCs w:val="32"/>
          <w:highlight w:val="none"/>
          <w14:textFill>
            <w14:solidFill>
              <w14:schemeClr w14:val="tx1"/>
            </w14:solidFill>
          </w14:textFill>
        </w:rPr>
        <w:t xml:space="preserve">四、响应文件的递交</w:t>
      </w:r>
      <w:bookmarkEnd w:id="110"/>
      <w:r/>
      <w:bookmarkEnd w:id="111"/>
      <w:r/>
      <w:bookmarkEnd w:id="112"/>
      <w:r/>
      <w:bookmarkEnd w:id="113"/>
      <w:r/>
      <w:r/>
    </w:p>
    <w:p>
      <w:pPr>
        <w:ind w:firstLine="560"/>
        <w:keepLines/>
        <w:keepNext/>
        <w:spacing w:line="520" w:lineRule="exact"/>
        <w:rPr>
          <w:rFonts w:hint="eastAsia" w:ascii="黑体" w:hAnsi="Arial" w:eastAsia="黑体" w:cs="Arial"/>
          <w:color w:val="000000" w:themeColor="text1"/>
          <w:sz w:val="28"/>
          <w:szCs w:val="28"/>
          <w:highlight w:val="none"/>
          <w14:textFill>
            <w14:solidFill>
              <w14:schemeClr w14:val="tx1"/>
            </w14:solidFill>
          </w14:textFill>
        </w:rPr>
        <w:outlineLvl w:val="3"/>
      </w:pPr>
      <w:r/>
      <w:bookmarkStart w:id="114" w:name="_Toc513029225"/>
      <w:r/>
      <w:bookmarkStart w:id="115" w:name="_Toc20823297"/>
      <w:r/>
      <w:bookmarkStart w:id="116" w:name="_Toc16938541"/>
      <w:r/>
      <w:bookmarkStart w:id="117" w:name="_Toc462564084"/>
      <w:r>
        <w:rPr>
          <w:rFonts w:hint="eastAsia" w:ascii="Arial" w:hAnsi="Arial" w:eastAsia="黑体" w:cs="Arial"/>
          <w:color w:val="000000" w:themeColor="text1"/>
          <w:sz w:val="28"/>
          <w:szCs w:val="28"/>
          <w:highlight w:val="none"/>
          <w14:textFill>
            <w14:solidFill>
              <w14:schemeClr w14:val="tx1"/>
            </w14:solidFill>
          </w14:textFill>
        </w:rPr>
        <w:t xml:space="preserve">1</w:t>
      </w:r>
      <w:r>
        <w:rPr>
          <w:rFonts w:ascii="Arial" w:hAnsi="Arial" w:eastAsia="黑体" w:cs="Arial"/>
          <w:color w:val="000000" w:themeColor="text1"/>
          <w:sz w:val="28"/>
          <w:szCs w:val="28"/>
          <w:highlight w:val="none"/>
          <w14:textFill>
            <w14:solidFill>
              <w14:schemeClr w14:val="tx1"/>
            </w14:solidFill>
          </w14:textFill>
        </w:rPr>
        <w:t xml:space="preserve">8</w:t>
      </w:r>
      <w:r>
        <w:rPr>
          <w:rFonts w:hint="eastAsia" w:ascii="Arial" w:hAnsi="Arial" w:eastAsia="黑体" w:cs="Arial"/>
          <w:color w:val="000000" w:themeColor="text1"/>
          <w:sz w:val="28"/>
          <w:szCs w:val="28"/>
          <w:highlight w:val="none"/>
          <w14:textFill>
            <w14:solidFill>
              <w14:schemeClr w14:val="tx1"/>
            </w14:solidFill>
          </w14:textFill>
        </w:rPr>
        <w:t xml:space="preserve">.电子</w:t>
      </w:r>
      <w:r>
        <w:rPr>
          <w:rFonts w:hint="eastAsia" w:ascii="黑体" w:hAnsi="Arial" w:eastAsia="黑体" w:cs="Arial"/>
          <w:color w:val="000000" w:themeColor="text1"/>
          <w:sz w:val="28"/>
          <w:szCs w:val="28"/>
          <w:highlight w:val="none"/>
          <w14:textFill>
            <w14:solidFill>
              <w14:schemeClr w14:val="tx1"/>
            </w14:solidFill>
          </w14:textFill>
        </w:rPr>
        <w:t xml:space="preserve">磋商</w:t>
      </w:r>
      <w:bookmarkEnd w:id="114"/>
      <w:r/>
      <w:bookmarkEnd w:id="115"/>
      <w:r/>
      <w:bookmarkEnd w:id="116"/>
      <w:r/>
      <w:bookmarkEnd w:id="117"/>
      <w:r>
        <w:rPr>
          <w:rFonts w:hint="eastAsia" w:ascii="黑体" w:hAnsi="Arial" w:eastAsia="黑体" w:cs="Arial"/>
          <w:color w:val="000000" w:themeColor="text1"/>
          <w:sz w:val="28"/>
          <w:szCs w:val="28"/>
          <w:highlight w:val="none"/>
          <w14:textFill>
            <w14:solidFill>
              <w14:schemeClr w14:val="tx1"/>
            </w14:solidFill>
          </w14:textFill>
        </w:rPr>
        <w:t xml:space="preserve">响应文件的递交</w:t>
      </w:r>
      <w:r/>
    </w:p>
    <w:p>
      <w:pPr>
        <w:ind w:firstLine="600"/>
        <w:spacing w:line="520" w:lineRule="exact"/>
        <w:rPr>
          <w:rFonts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18.1供应商应当按照《操作手册》规定，在提交响应文件截止时间前</w:t>
      </w:r>
      <w:r>
        <w:rPr>
          <w:rFonts w:ascii="宋体" w:hAnsi="宋体"/>
          <w:bCs/>
          <w:color w:val="000000" w:themeColor="text1"/>
          <w:sz w:val="24"/>
          <w:szCs w:val="21"/>
          <w:highlight w:val="none"/>
          <w14:textFill>
            <w14:solidFill>
              <w14:schemeClr w14:val="tx1"/>
            </w14:solidFill>
          </w14:textFill>
        </w:rPr>
        <w:t xml:space="preserve">制作</w:t>
      </w:r>
      <w:r>
        <w:rPr>
          <w:rFonts w:hint="eastAsia" w:ascii="宋体" w:hAnsi="宋体"/>
          <w:bCs/>
          <w:color w:val="000000" w:themeColor="text1"/>
          <w:sz w:val="24"/>
          <w:szCs w:val="21"/>
          <w:highlight w:val="none"/>
          <w14:textFill>
            <w14:solidFill>
              <w14:schemeClr w14:val="tx1"/>
            </w14:solidFill>
          </w14:textFill>
        </w:rPr>
        <w:t xml:space="preserve">并上传电子响应文件。</w:t>
      </w:r>
      <w:bookmarkStart w:id="118" w:name="_Toc16938542"/>
      <w:r/>
      <w:bookmarkStart w:id="119" w:name="_Toc20823298"/>
      <w:r/>
      <w:bookmarkStart w:id="120" w:name="_Toc513029226"/>
      <w:r/>
      <w:r/>
    </w:p>
    <w:p>
      <w:pPr>
        <w:ind w:firstLine="560"/>
        <w:keepLines/>
        <w:keepNext/>
        <w:spacing w:line="520" w:lineRule="exact"/>
        <w:rPr>
          <w:rFonts w:hint="eastAsia" w:ascii="宋体" w:hAnsi="宋体" w:eastAsia="黑体" w:cs="Arial"/>
          <w:bCs/>
          <w:color w:val="000000" w:themeColor="text1"/>
          <w:sz w:val="24"/>
          <w:szCs w:val="28"/>
          <w:highlight w:val="none"/>
          <w14:textFill>
            <w14:solidFill>
              <w14:schemeClr w14:val="tx1"/>
            </w14:solidFill>
          </w14:textFill>
        </w:rPr>
        <w:outlineLvl w:val="3"/>
      </w:pPr>
      <w:r>
        <w:rPr>
          <w:rFonts w:ascii="Arial" w:hAnsi="Arial" w:eastAsia="黑体" w:cs="Arial"/>
          <w:bCs/>
          <w:color w:val="000000" w:themeColor="text1"/>
          <w:sz w:val="28"/>
          <w:szCs w:val="28"/>
          <w:highlight w:val="none"/>
          <w14:textFill>
            <w14:solidFill>
              <w14:schemeClr w14:val="tx1"/>
            </w14:solidFill>
          </w14:textFill>
        </w:rPr>
        <w:t xml:space="preserve">19</w:t>
      </w:r>
      <w:r>
        <w:rPr>
          <w:rFonts w:hint="eastAsia" w:ascii="Arial" w:hAnsi="Arial" w:eastAsia="黑体" w:cs="Arial"/>
          <w:bCs/>
          <w:color w:val="000000" w:themeColor="text1"/>
          <w:sz w:val="28"/>
          <w:szCs w:val="28"/>
          <w:highlight w:val="none"/>
          <w14:textFill>
            <w14:solidFill>
              <w14:schemeClr w14:val="tx1"/>
            </w14:solidFill>
          </w14:textFill>
        </w:rPr>
        <w:t xml:space="preserve">.提交响应文件截止时间</w:t>
      </w:r>
      <w:bookmarkEnd w:id="118"/>
      <w:r/>
      <w:bookmarkEnd w:id="119"/>
      <w:r/>
      <w:bookmarkEnd w:id="120"/>
      <w:r/>
      <w:r/>
    </w:p>
    <w:p>
      <w:pPr>
        <w:ind w:firstLine="480"/>
        <w:spacing w:line="520" w:lineRule="exact"/>
        <w:rPr>
          <w:rFonts w:hint="eastAsia" w:ascii="宋体" w:hAnsi="宋体"/>
          <w:b/>
          <w:bCs/>
          <w:color w:val="000000" w:themeColor="text1"/>
          <w:sz w:val="24"/>
          <w:szCs w:val="21"/>
          <w:highlight w:val="none"/>
          <w:u w:val="singl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
          <w:bCs/>
          <w:color w:val="000000" w:themeColor="text1"/>
          <w:sz w:val="24"/>
          <w:szCs w:val="21"/>
          <w:highlight w:val="none"/>
          <w:u w:val="single"/>
          <w14:textFill>
            <w14:solidFill>
              <w14:schemeClr w14:val="tx1"/>
            </w14:solidFill>
          </w14:textFill>
        </w:rPr>
        <w:t xml:space="preserve">供应商上传电子响应文件的时间不得迟于磋商公告中规定的提交响应文件截止时间。</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w:t>
      </w:r>
      <w:r>
        <w:rPr>
          <w:rFonts w:hint="eastAsia" w:ascii="宋体" w:hAnsi="宋体"/>
          <w:bCs/>
          <w:color w:val="000000" w:themeColor="text1"/>
          <w:sz w:val="24"/>
          <w:szCs w:val="21"/>
          <w:highlight w:val="none"/>
          <w:lang w:eastAsia="zh-CN"/>
          <w14:textFill>
            <w14:solidFill>
              <w14:schemeClr w14:val="tx1"/>
            </w14:solidFill>
          </w14:textFill>
        </w:rPr>
        <w:t xml:space="preserve">作无效响应处理</w:t>
      </w:r>
      <w:r>
        <w:rPr>
          <w:rFonts w:hint="eastAsia" w:ascii="宋体" w:hAnsi="宋体"/>
          <w:bCs/>
          <w:color w:val="000000" w:themeColor="text1"/>
          <w:sz w:val="24"/>
          <w:szCs w:val="21"/>
          <w:highlight w:val="none"/>
          <w14:textFill>
            <w14:solidFill>
              <w14:schemeClr w14:val="tx1"/>
            </w14:solidFill>
          </w14:textFill>
        </w:rPr>
        <w:t xml:space="preserve">。</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19</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bCs/>
          <w:color w:val="000000" w:themeColor="text1"/>
          <w:sz w:val="24"/>
          <w:szCs w:val="21"/>
          <w:highlight w:val="none"/>
          <w14:textFill>
            <w14:solidFill>
              <w14:schemeClr w14:val="tx1"/>
            </w14:solidFill>
          </w14:textFill>
        </w:rPr>
        <w:t xml:space="preserve">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21" w:name="_Toc20823299"/>
      <w:r/>
      <w:bookmarkStart w:id="122" w:name="_Toc16938543"/>
      <w:r/>
      <w:bookmarkStart w:id="123" w:name="_Toc513029227"/>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0</w:t>
      </w:r>
      <w:r>
        <w:rPr>
          <w:rFonts w:hint="eastAsia" w:ascii="Arial" w:hAnsi="Arial" w:eastAsia="黑体" w:cs="Arial"/>
          <w:color w:val="000000" w:themeColor="text1"/>
          <w:sz w:val="28"/>
          <w:szCs w:val="28"/>
          <w:highlight w:val="none"/>
          <w14:textFill>
            <w14:solidFill>
              <w14:schemeClr w14:val="tx1"/>
            </w14:solidFill>
          </w14:textFill>
        </w:rPr>
        <w:t xml:space="preserve">.响应文件</w:t>
      </w:r>
      <w:bookmarkEnd w:id="121"/>
      <w:r/>
      <w:bookmarkEnd w:id="122"/>
      <w:r/>
      <w:bookmarkEnd w:id="123"/>
      <w:r>
        <w:rPr>
          <w:rFonts w:hint="eastAsia" w:ascii="Arial" w:hAnsi="Arial" w:eastAsia="黑体" w:cs="Arial"/>
          <w:color w:val="000000" w:themeColor="text1"/>
          <w:sz w:val="28"/>
          <w:szCs w:val="28"/>
          <w:highlight w:val="none"/>
          <w14:textFill>
            <w14:solidFill>
              <w14:schemeClr w14:val="tx1"/>
            </w14:solidFill>
          </w14:textFill>
        </w:rPr>
        <w:t xml:space="preserve">的拒收</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20.1 采购人拒绝接收在其规定的提交响应文件截止时间后上传的任何电子响应文件。</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24" w:name="_Toc20823300"/>
      <w:r/>
      <w:bookmarkStart w:id="125" w:name="_Toc513029228"/>
      <w:r/>
      <w:bookmarkStart w:id="126" w:name="_Toc16938544"/>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1</w:t>
      </w:r>
      <w:r>
        <w:rPr>
          <w:rFonts w:hint="eastAsia" w:ascii="Arial" w:hAnsi="Arial" w:eastAsia="黑体" w:cs="Arial"/>
          <w:color w:val="000000" w:themeColor="text1"/>
          <w:sz w:val="28"/>
          <w:szCs w:val="28"/>
          <w:highlight w:val="none"/>
          <w14:textFill>
            <w14:solidFill>
              <w14:schemeClr w14:val="tx1"/>
            </w14:solidFill>
          </w14:textFill>
        </w:rPr>
        <w:t xml:space="preserve">.响应文件的撤回和修改</w:t>
      </w:r>
      <w:bookmarkEnd w:id="124"/>
      <w:r/>
      <w:bookmarkEnd w:id="125"/>
      <w:r/>
      <w:bookmarkEnd w:id="126"/>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.1响应文件的撤回</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.1.1 电子响应文件的撤回</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供应商可在</w:t>
      </w:r>
      <w:r>
        <w:rPr>
          <w:rFonts w:hint="eastAsia" w:ascii="宋体" w:hAnsi="宋体"/>
          <w:bCs/>
          <w:color w:val="000000" w:themeColor="text1"/>
          <w:sz w:val="24"/>
          <w:szCs w:val="21"/>
          <w:highlight w:val="none"/>
          <w14:textFill>
            <w14:solidFill>
              <w14:schemeClr w14:val="tx1"/>
            </w14:solidFill>
          </w14:textFill>
        </w:rPr>
        <w:t xml:space="preserve">提交响应文件</w:t>
      </w:r>
      <w:r>
        <w:rPr>
          <w:rFonts w:hint="eastAsia" w:ascii="宋体" w:hAnsi="宋体"/>
          <w:color w:val="000000" w:themeColor="text1"/>
          <w:sz w:val="24"/>
          <w:szCs w:val="21"/>
          <w:highlight w:val="none"/>
          <w14:textFill>
            <w14:solidFill>
              <w14:schemeClr w14:val="tx1"/>
            </w14:solidFill>
          </w14:textFill>
        </w:rPr>
        <w:t xml:space="preserve">截止时间前，撤回其电子响应文件，具体操作方法见《操作手册》。</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供应商撤回电子响应文件，则认为其不再参与本项目磋商活动。</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.2响应文件的修改</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供应商可在</w:t>
      </w:r>
      <w:r>
        <w:rPr>
          <w:rFonts w:hint="eastAsia" w:ascii="宋体" w:hAnsi="宋体"/>
          <w:bCs/>
          <w:color w:val="000000" w:themeColor="text1"/>
          <w:sz w:val="24"/>
          <w:szCs w:val="21"/>
          <w:highlight w:val="none"/>
          <w14:textFill>
            <w14:solidFill>
              <w14:schemeClr w14:val="tx1"/>
            </w14:solidFill>
          </w14:textFill>
        </w:rPr>
        <w:t xml:space="preserve">提交响应文件</w:t>
      </w:r>
      <w:r>
        <w:rPr>
          <w:rFonts w:hint="eastAsia" w:ascii="宋体" w:hAnsi="宋体"/>
          <w:color w:val="000000" w:themeColor="text1"/>
          <w:sz w:val="24"/>
          <w:szCs w:val="21"/>
          <w:highlight w:val="none"/>
          <w14:textFill>
            <w14:solidFill>
              <w14:schemeClr w14:val="tx1"/>
            </w14:solidFill>
          </w14:textFill>
        </w:rPr>
        <w:t xml:space="preserve">截止时间前，对其电子响应文件进行修改，具体操作方法见《操作手册》。</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bCs/>
          <w:color w:val="000000" w:themeColor="text1"/>
          <w:sz w:val="24"/>
          <w:szCs w:val="21"/>
          <w:highlight w:val="none"/>
          <w14:textFill>
            <w14:solidFill>
              <w14:schemeClr w14:val="tx1"/>
            </w14:solidFill>
          </w14:textFill>
        </w:rPr>
        <w:t xml:space="preserve">在提交响应文件截止时间之后，供应商不得对其电子响应文件作任何修改。</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.4</w:t>
      </w:r>
      <w:r>
        <w:rPr>
          <w:rFonts w:hint="eastAsia" w:ascii="宋体" w:hAnsi="宋体"/>
          <w:bCs/>
          <w:color w:val="000000" w:themeColor="text1"/>
          <w:sz w:val="24"/>
          <w:szCs w:val="21"/>
          <w:highlight w:val="none"/>
          <w14:textFill>
            <w14:solidFill>
              <w14:schemeClr w14:val="tx1"/>
            </w14:solidFill>
          </w14:textFill>
        </w:rPr>
        <w:t xml:space="preserve">在提交响应文件截止时间至磋商文件中规定的磋商有效期满之间的这段时间内，供应商不得撤回其响应文件。</w:t>
      </w:r>
      <w:r/>
    </w:p>
    <w:p>
      <w:pPr>
        <w:ind w:firstLine="482"/>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127" w:name="_Toc20823301"/>
      <w:r/>
      <w:bookmarkStart w:id="128" w:name="_Toc120614218"/>
      <w:r/>
      <w:bookmarkStart w:id="129" w:name="_Toc16938545"/>
      <w:r/>
      <w:bookmarkStart w:id="130" w:name="_Toc513029229"/>
      <w:r>
        <w:rPr>
          <w:rFonts w:hint="eastAsia" w:ascii="Times New Roman" w:hAnsi="Times New Roman"/>
          <w:b/>
          <w:bCs/>
          <w:color w:val="000000" w:themeColor="text1"/>
          <w:sz w:val="32"/>
          <w:szCs w:val="32"/>
          <w:highlight w:val="none"/>
          <w14:textFill>
            <w14:solidFill>
              <w14:schemeClr w14:val="tx1"/>
            </w14:solidFill>
          </w14:textFill>
        </w:rPr>
        <w:t xml:space="preserve">五、响应文件的解密与评审</w:t>
      </w:r>
      <w:bookmarkEnd w:id="127"/>
      <w:r/>
      <w:bookmarkEnd w:id="128"/>
      <w:r/>
      <w:bookmarkEnd w:id="129"/>
      <w:r/>
      <w:bookmarkEnd w:id="130"/>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1" w:name="_Toc20823302"/>
      <w:r/>
      <w:bookmarkStart w:id="132" w:name="_Toc513029230"/>
      <w:r/>
      <w:bookmarkStart w:id="133" w:name="_Toc16938546"/>
      <w:r>
        <w:rPr>
          <w:rFonts w:hint="eastAsia" w:ascii="Arial" w:hAnsi="Arial" w:eastAsia="黑体" w:cs="Arial"/>
          <w:color w:val="000000" w:themeColor="text1"/>
          <w:sz w:val="28"/>
          <w:szCs w:val="28"/>
          <w:highlight w:val="none"/>
          <w14:textFill>
            <w14:solidFill>
              <w14:schemeClr w14:val="tx1"/>
            </w14:solidFill>
          </w14:textFill>
        </w:rPr>
        <w:t xml:space="preserve">22</w:t>
      </w:r>
      <w:bookmarkEnd w:id="131"/>
      <w:r/>
      <w:bookmarkEnd w:id="132"/>
      <w:r/>
      <w:bookmarkEnd w:id="133"/>
      <w:r>
        <w:rPr>
          <w:rFonts w:hint="eastAsia" w:ascii="Arial" w:hAnsi="Arial" w:eastAsia="黑体" w:cs="Arial"/>
          <w:color w:val="000000" w:themeColor="text1"/>
          <w:sz w:val="28"/>
          <w:szCs w:val="28"/>
          <w:highlight w:val="none"/>
          <w14:textFill>
            <w14:solidFill>
              <w14:schemeClr w14:val="tx1"/>
            </w14:solidFill>
          </w14:textFill>
        </w:rPr>
        <w:t xml:space="preserve">.响应文件解密</w:t>
      </w:r>
      <w:r/>
    </w:p>
    <w:p>
      <w:pPr>
        <w:ind w:firstLine="360"/>
        <w:spacing w:line="520" w:lineRule="exact"/>
        <w:rPr>
          <w:rFonts w:hint="eastAsia" w:ascii="Times New Roman" w:hAnsi="Times New Roman"/>
          <w:color w:val="000000" w:themeColor="text1"/>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供应商应当按照《操作手册》规定，在苏采云系统规定的时间内对磋商响应文件进行解密。</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4" w:name="_Toc16938547"/>
      <w:r/>
      <w:bookmarkStart w:id="135" w:name="_Toc20823303"/>
      <w:r/>
      <w:bookmarkStart w:id="136" w:name="_Toc513029231"/>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3</w:t>
      </w:r>
      <w:r>
        <w:rPr>
          <w:rFonts w:hint="eastAsia" w:ascii="Arial" w:hAnsi="Arial" w:eastAsia="黑体" w:cs="Arial"/>
          <w:color w:val="000000" w:themeColor="text1"/>
          <w:sz w:val="28"/>
          <w:szCs w:val="28"/>
          <w:highlight w:val="none"/>
          <w14:textFill>
            <w14:solidFill>
              <w14:schemeClr w14:val="tx1"/>
            </w14:solidFill>
          </w14:textFill>
        </w:rPr>
        <w:t xml:space="preserve">.磋商小组</w:t>
      </w:r>
      <w:r/>
    </w:p>
    <w:p>
      <w:pPr>
        <w:spacing w:line="52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采购代理机构</w:t>
      </w:r>
      <w:r>
        <w:rPr>
          <w:rFonts w:hint="eastAsia" w:ascii="宋体" w:hAnsi="宋体"/>
          <w:color w:val="000000" w:themeColor="text1"/>
          <w:sz w:val="24"/>
          <w:szCs w:val="24"/>
          <w:highlight w:val="none"/>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.2磋商小组独立工作，负责评审所有响应文件并确定成交</w:t>
      </w:r>
      <w:r>
        <w:rPr>
          <w:rFonts w:hint="eastAsia" w:ascii="宋体" w:hAnsi="宋体"/>
          <w:color w:val="000000" w:themeColor="text1"/>
          <w:sz w:val="24"/>
          <w:szCs w:val="24"/>
          <w:highlight w:val="none"/>
          <w:lang w:val="en-US" w:eastAsia="zh-CN"/>
          <w14:textFill>
            <w14:solidFill>
              <w14:schemeClr w14:val="tx1"/>
            </w14:solidFill>
          </w14:textFill>
        </w:rPr>
        <w:t xml:space="preserve">候选</w:t>
      </w:r>
      <w:r>
        <w:rPr>
          <w:rFonts w:hint="eastAsia" w:ascii="宋体" w:hAnsi="宋体"/>
          <w:color w:val="000000" w:themeColor="text1"/>
          <w:sz w:val="24"/>
          <w:szCs w:val="24"/>
          <w:highlight w:val="none"/>
          <w14:textFill>
            <w14:solidFill>
              <w14:schemeClr w14:val="tx1"/>
            </w14:solidFill>
          </w14:textFill>
        </w:rPr>
        <w:t xml:space="preserve">人。</w:t>
      </w:r>
      <w:r/>
    </w:p>
    <w:p>
      <w:pPr>
        <w:ind w:firstLine="420"/>
        <w:keepLines/>
        <w:keepNext/>
        <w:spacing w:line="520" w:lineRule="exact"/>
        <w:rPr>
          <w:rFonts w:hint="eastAsia" w:ascii="黑体" w:hAnsi="Arial" w:eastAsia="黑体" w:cs="Arial"/>
          <w:color w:val="000000" w:themeColor="text1"/>
          <w:sz w:val="28"/>
          <w:szCs w:val="28"/>
          <w:highlight w:val="none"/>
          <w14:textFill>
            <w14:solidFill>
              <w14:schemeClr w14:val="tx1"/>
            </w14:solidFill>
          </w14:textFill>
        </w:rPr>
        <w:outlineLvl w:val="3"/>
      </w:pPr>
      <w:r>
        <w:rPr>
          <w:rFonts w:hint="eastAsia" w:ascii="黑体" w:hAnsi="Arial" w:eastAsia="黑体" w:cs="Arial"/>
          <w:color w:val="000000" w:themeColor="text1"/>
          <w:sz w:val="28"/>
          <w:szCs w:val="28"/>
          <w:highlight w:val="none"/>
          <w14:textFill>
            <w14:solidFill>
              <w14:schemeClr w14:val="tx1"/>
            </w14:solidFill>
          </w14:textFill>
        </w:rPr>
        <w:t xml:space="preserve">2</w:t>
      </w:r>
      <w:r>
        <w:rPr>
          <w:rFonts w:ascii="黑体" w:hAnsi="Arial" w:eastAsia="黑体" w:cs="Arial"/>
          <w:color w:val="000000" w:themeColor="text1"/>
          <w:sz w:val="28"/>
          <w:szCs w:val="28"/>
          <w:highlight w:val="none"/>
          <w14:textFill>
            <w14:solidFill>
              <w14:schemeClr w14:val="tx1"/>
            </w14:solidFill>
          </w14:textFill>
        </w:rPr>
        <w:t xml:space="preserve">4</w:t>
      </w:r>
      <w:r>
        <w:rPr>
          <w:rFonts w:hint="eastAsia" w:ascii="黑体" w:hAnsi="Arial" w:eastAsia="黑体" w:cs="Arial"/>
          <w:color w:val="000000" w:themeColor="text1"/>
          <w:sz w:val="28"/>
          <w:szCs w:val="28"/>
          <w:highlight w:val="none"/>
          <w14:textFill>
            <w14:solidFill>
              <w14:schemeClr w14:val="tx1"/>
            </w14:solidFill>
          </w14:textFill>
        </w:rPr>
        <w:t xml:space="preserve">.评审过程的保密与公正</w:t>
      </w:r>
      <w:bookmarkEnd w:id="134"/>
      <w:r/>
      <w:bookmarkEnd w:id="135"/>
      <w:r/>
      <w:bookmarkEnd w:id="136"/>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在评审过程中，供应商不得以任何行为影响磋商评审过程，否则其响应文件将被作为无效响应文件。</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4</w:t>
      </w:r>
      <w:r>
        <w:rPr>
          <w:rFonts w:hint="eastAsia" w:ascii="宋体" w:hAnsi="宋体"/>
          <w:color w:val="000000" w:themeColor="text1"/>
          <w:sz w:val="24"/>
          <w:szCs w:val="21"/>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在项目评审期间，采购代理机构将设专门人员与供应商联系。</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24</w:t>
      </w:r>
      <w:r>
        <w:rPr>
          <w:rFonts w:hint="eastAsia" w:ascii="宋体" w:hAnsi="宋体"/>
          <w:color w:val="000000" w:themeColor="text1"/>
          <w:sz w:val="24"/>
          <w:szCs w:val="24"/>
          <w:highlight w:val="none"/>
          <w14:textFill>
            <w14:solidFill>
              <w14:schemeClr w14:val="tx1"/>
            </w14:solidFill>
          </w14:textFill>
        </w:rPr>
        <w:t xml:space="preserve">.4采购人和磋商小组不向未成交的供应商解释未成交原因，也不公布评审过程中的相关细节。</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37" w:name="_Toc20823304"/>
      <w:r/>
      <w:bookmarkStart w:id="138" w:name="_Toc513029232"/>
      <w:r/>
      <w:bookmarkStart w:id="139" w:name="_Toc16938548"/>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5</w:t>
      </w:r>
      <w:r>
        <w:rPr>
          <w:rFonts w:hint="eastAsia" w:ascii="Arial" w:hAnsi="Arial" w:eastAsia="黑体" w:cs="Arial"/>
          <w:color w:val="000000" w:themeColor="text1"/>
          <w:sz w:val="28"/>
          <w:szCs w:val="28"/>
          <w:highlight w:val="none"/>
          <w14:textFill>
            <w14:solidFill>
              <w14:schemeClr w14:val="tx1"/>
            </w14:solidFill>
          </w14:textFill>
        </w:rPr>
        <w:t xml:space="preserve">.评审过程中的澄清</w:t>
      </w:r>
      <w:bookmarkEnd w:id="137"/>
      <w:r/>
      <w:bookmarkEnd w:id="138"/>
      <w:r/>
      <w:bookmarkEnd w:id="139"/>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磋商小组并非对每个供应商都作澄清要求。</w:t>
      </w:r>
      <w:r/>
    </w:p>
    <w:p>
      <w:pPr>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2</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.2需要供应商进行澄清、说明和更正的，磋商小组将通过</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向供应商发布“澄清要求函”，接到“澄清要求函”的供应商应当按照要求在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中提交“澄清响应函”并加盖CA电子公章。澄清、说明和更正的内容作为响应文件的补充部分，具体</w:t>
      </w:r>
      <w:r>
        <w:rPr>
          <w:rFonts w:ascii="宋体" w:hAnsi="宋体" w:cs="宋体"/>
          <w:color w:val="000000" w:themeColor="text1"/>
          <w:sz w:val="24"/>
          <w:szCs w:val="24"/>
          <w:highlight w:val="none"/>
          <w14:textFill>
            <w14:solidFill>
              <w14:schemeClr w14:val="tx1"/>
            </w14:solidFill>
          </w14:textFill>
        </w:rPr>
        <w:t xml:space="preserve">操作</w:t>
      </w:r>
      <w:r>
        <w:rPr>
          <w:rFonts w:hint="eastAsia" w:ascii="宋体" w:hAnsi="宋体" w:cs="宋体"/>
          <w:color w:val="000000" w:themeColor="text1"/>
          <w:sz w:val="24"/>
          <w:szCs w:val="24"/>
          <w:highlight w:val="none"/>
          <w14:textFill>
            <w14:solidFill>
              <w14:schemeClr w14:val="tx1"/>
            </w14:solidFill>
          </w14:textFill>
        </w:rPr>
        <w:t xml:space="preserve">方式</w:t>
      </w:r>
      <w:r>
        <w:rPr>
          <w:rFonts w:ascii="宋体" w:hAnsi="宋体" w:cs="宋体"/>
          <w:color w:val="000000" w:themeColor="text1"/>
          <w:sz w:val="24"/>
          <w:szCs w:val="24"/>
          <w:highlight w:val="none"/>
          <w14:textFill>
            <w14:solidFill>
              <w14:schemeClr w14:val="tx1"/>
            </w14:solidFill>
          </w14:textFill>
        </w:rPr>
        <w:t xml:space="preserve">见</w:t>
      </w:r>
      <w:r>
        <w:rPr>
          <w:rFonts w:hint="eastAsia" w:ascii="宋体" w:hAnsi="宋体" w:cs="宋体"/>
          <w:color w:val="000000" w:themeColor="text1"/>
          <w:sz w:val="24"/>
          <w:szCs w:val="24"/>
          <w:highlight w:val="none"/>
          <w14:textFill>
            <w14:solidFill>
              <w14:schemeClr w14:val="tx1"/>
            </w14:solidFill>
          </w14:textFill>
        </w:rPr>
        <w:t xml:space="preserve">《操作手册》。</w:t>
      </w:r>
      <w:r/>
    </w:p>
    <w:p>
      <w:pPr>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.3接到磋商小组澄清、说明和更正要求的供应商如未按规定</w:t>
      </w:r>
      <w:r>
        <w:rPr>
          <w:rFonts w:hint="eastAsia" w:ascii="宋体" w:hAnsi="宋体"/>
          <w:color w:val="000000" w:themeColor="text1"/>
          <w:sz w:val="24"/>
          <w:szCs w:val="24"/>
          <w:highlight w:val="none"/>
          <w:lang w:eastAsia="zh-CN"/>
          <w14:textFill>
            <w14:solidFill>
              <w14:schemeClr w14:val="tx1"/>
            </w14:solidFill>
          </w14:textFill>
        </w:rPr>
        <w:t xml:space="preserve">作出</w:t>
      </w:r>
      <w:r>
        <w:rPr>
          <w:rFonts w:hint="eastAsia" w:ascii="宋体" w:hAnsi="宋体"/>
          <w:color w:val="000000" w:themeColor="text1"/>
          <w:sz w:val="24"/>
          <w:szCs w:val="24"/>
          <w:highlight w:val="none"/>
          <w14:textFill>
            <w14:solidFill>
              <w14:schemeClr w14:val="tx1"/>
            </w14:solidFill>
          </w14:textFill>
        </w:rPr>
        <w:t xml:space="preserve">澄清、说明和更正，其风险由供应商自行承担。</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bookmarkStart w:id="140" w:name="_Toc16938549"/>
      <w:r/>
      <w:bookmarkStart w:id="141" w:name="_Toc513029233"/>
      <w:r/>
      <w:bookmarkStart w:id="142" w:name="_Toc20823305"/>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6</w:t>
      </w:r>
      <w:r>
        <w:rPr>
          <w:rFonts w:hint="eastAsia" w:ascii="Arial" w:hAnsi="Arial" w:eastAsia="黑体" w:cs="Arial"/>
          <w:color w:val="000000" w:themeColor="text1"/>
          <w:sz w:val="28"/>
          <w:szCs w:val="28"/>
          <w:highlight w:val="none"/>
          <w14:textFill>
            <w14:solidFill>
              <w14:schemeClr w14:val="tx1"/>
            </w14:solidFill>
          </w14:textFill>
        </w:rPr>
        <w:t xml:space="preserve">.对响应文件的审</w:t>
      </w:r>
      <w:bookmarkEnd w:id="140"/>
      <w:r/>
      <w:bookmarkEnd w:id="141"/>
      <w:r/>
      <w:bookmarkEnd w:id="142"/>
      <w:r>
        <w:rPr>
          <w:rFonts w:hint="eastAsia" w:ascii="Arial" w:hAnsi="Arial" w:eastAsia="黑体" w:cs="Arial"/>
          <w:color w:val="000000" w:themeColor="text1"/>
          <w:sz w:val="28"/>
          <w:szCs w:val="28"/>
          <w:highlight w:val="none"/>
          <w14:textFill>
            <w14:solidFill>
              <w14:schemeClr w14:val="tx1"/>
            </w14:solidFill>
          </w14:textFill>
        </w:rPr>
        <w:t xml:space="preserve">查</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.1</w:t>
      </w:r>
      <w:r>
        <w:rPr>
          <w:rFonts w:hint="eastAsia" w:ascii="宋体" w:hAnsi="宋体"/>
          <w:bCs/>
          <w:color w:val="000000" w:themeColor="text1"/>
          <w:sz w:val="24"/>
          <w:szCs w:val="21"/>
          <w:highlight w:val="none"/>
          <w14:textFill>
            <w14:solidFill>
              <w14:schemeClr w14:val="tx1"/>
            </w14:solidFill>
          </w14:textFill>
        </w:rPr>
        <w:t xml:space="preserve">响应文件审查分为资格审查和符合性审查。</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.1.1资格审查：由</w:t>
      </w:r>
      <w:r>
        <w:rPr>
          <w:rFonts w:hint="eastAsia" w:ascii="宋体" w:hAnsi="宋体"/>
          <w:bCs/>
          <w:color w:val="000000" w:themeColor="text1"/>
          <w:sz w:val="24"/>
          <w:szCs w:val="21"/>
          <w:highlight w:val="none"/>
          <w:lang w:val="en-US" w:eastAsia="zh-CN"/>
          <w14:textFill>
            <w14:solidFill>
              <w14:schemeClr w14:val="tx1"/>
            </w14:solidFill>
          </w14:textFill>
        </w:rPr>
        <w:t xml:space="preserve">磋商小组</w:t>
      </w:r>
      <w:r>
        <w:rPr>
          <w:rFonts w:hint="eastAsia" w:ascii="宋体" w:hAnsi="宋体"/>
          <w:bCs/>
          <w:color w:val="000000" w:themeColor="text1"/>
          <w:sz w:val="24"/>
          <w:szCs w:val="21"/>
          <w:highlight w:val="none"/>
          <w14:textFill>
            <w14:solidFill>
              <w14:schemeClr w14:val="tx1"/>
            </w14:solidFill>
          </w14:textFill>
        </w:rPr>
        <w:t xml:space="preserve">依据法律法规和磋商文件的规定，对响应文件中的资格证明文件进行审查，以确定供应商是否具备参加磋商的资格。</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lang w:val="en-US" w:eastAsia="zh-CN"/>
          <w14:textFill>
            <w14:solidFill>
              <w14:schemeClr w14:val="tx1"/>
            </w14:solidFill>
          </w14:textFill>
        </w:rPr>
        <w:t xml:space="preserve">磋商小组</w:t>
      </w:r>
      <w:r>
        <w:rPr>
          <w:rFonts w:hint="eastAsia" w:ascii="宋体" w:hAnsi="宋体"/>
          <w:bCs/>
          <w:color w:val="000000" w:themeColor="text1"/>
          <w:sz w:val="24"/>
          <w:szCs w:val="21"/>
          <w:highlight w:val="none"/>
          <w14:textFill>
            <w14:solidFill>
              <w14:schemeClr w14:val="tx1"/>
            </w14:solidFill>
          </w14:textFill>
        </w:rPr>
        <w:t xml:space="preserve">在进行资格审查的同时，将在“信用中国”网站（www.creditchina.gov.cn）查询供应商的信用记录，以确定供应商是否具备磋商资格</w:t>
      </w:r>
      <w:r>
        <w:rPr>
          <w:rFonts w:hint="eastAsia" w:ascii="宋体" w:hAnsi="宋体"/>
          <w:bCs/>
          <w:color w:val="000000" w:themeColor="text1"/>
          <w:sz w:val="24"/>
          <w:szCs w:val="21"/>
          <w:highlight w:val="none"/>
          <w:lang w:eastAsia="zh-CN"/>
          <w14:textFill>
            <w14:solidFill>
              <w14:schemeClr w14:val="tx1"/>
            </w14:solidFill>
          </w14:textFill>
        </w:rPr>
        <w:t xml:space="preserve">，将</w:t>
      </w:r>
      <w:r>
        <w:rPr>
          <w:rFonts w:hint="eastAsia" w:ascii="宋体" w:hAnsi="宋体"/>
          <w:bCs/>
          <w:color w:val="000000" w:themeColor="text1"/>
          <w:sz w:val="24"/>
          <w:szCs w:val="21"/>
          <w:highlight w:val="none"/>
          <w14:textFill>
            <w14:solidFill>
              <w14:schemeClr w14:val="tx1"/>
            </w14:solidFill>
          </w14:textFill>
        </w:rPr>
        <w:t xml:space="preserve">查询结果留存并归档。</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szCs w:val="21"/>
          <w:highlight w:val="none"/>
          <w:lang w:eastAsia="zh-CN"/>
          <w14:textFill>
            <w14:solidFill>
              <w14:schemeClr w14:val="tx1"/>
            </w14:solidFill>
          </w14:textFill>
        </w:rPr>
        <w:t xml:space="preserve">，</w:t>
      </w:r>
      <w:r>
        <w:rPr>
          <w:rFonts w:hint="eastAsia" w:ascii="宋体" w:hAnsi="宋体"/>
          <w:bCs/>
          <w:color w:val="000000" w:themeColor="text1"/>
          <w:sz w:val="24"/>
          <w:szCs w:val="21"/>
          <w:highlight w:val="none"/>
          <w14:textFill>
            <w14:solidFill>
              <w14:schemeClr w14:val="tx1"/>
            </w14:solidFill>
          </w14:textFill>
        </w:rPr>
        <w:t xml:space="preserve">联合体成员中任何一方存在不良信用记录的，视同联合体存在不良</w:t>
      </w:r>
      <w:r>
        <w:rPr>
          <w:rFonts w:hint="eastAsia" w:ascii="宋体" w:hAnsi="宋体"/>
          <w:bCs/>
          <w:color w:val="000000" w:themeColor="text1"/>
          <w:sz w:val="24"/>
          <w:szCs w:val="21"/>
          <w:highlight w:val="none"/>
          <w:lang w:val="en-US" w:eastAsia="zh-CN"/>
          <w14:textFill>
            <w14:solidFill>
              <w14:schemeClr w14:val="tx1"/>
            </w14:solidFill>
          </w14:textFill>
        </w:rPr>
        <w:t xml:space="preserve">信</w:t>
      </w:r>
      <w:r>
        <w:rPr>
          <w:rFonts w:hint="eastAsia" w:ascii="宋体" w:hAnsi="宋体"/>
          <w:bCs/>
          <w:color w:val="000000" w:themeColor="text1"/>
          <w:sz w:val="24"/>
          <w:szCs w:val="21"/>
          <w:highlight w:val="none"/>
          <w14:textFill>
            <w14:solidFill>
              <w14:schemeClr w14:val="tx1"/>
            </w14:solidFill>
          </w14:textFill>
        </w:rPr>
        <w:t xml:space="preserve">用记录。</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6</w:t>
      </w:r>
      <w:r>
        <w:rPr>
          <w:rFonts w:hint="eastAsia" w:ascii="宋体" w:hAnsi="宋体"/>
          <w:bCs/>
          <w:color w:val="000000" w:themeColor="text1"/>
          <w:sz w:val="24"/>
          <w:szCs w:val="21"/>
          <w:highlight w:val="none"/>
          <w14:textFill>
            <w14:solidFill>
              <w14:schemeClr w14:val="tx1"/>
            </w14:solidFill>
          </w14:textFill>
        </w:rPr>
        <w:t xml:space="preserve">.1.3未通过资格审查或符合性审查的供应商，采购代理机构将在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26.3未实质性响应磋商文件的情形</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26.3.1供应商在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szCs w:val="21"/>
          <w:highlight w:val="none"/>
          <w14:textFill>
            <w14:solidFill>
              <w14:schemeClr w14:val="tx1"/>
            </w14:solidFill>
          </w14:textFill>
        </w:rPr>
        <w:t xml:space="preserve">规定的时间内未成功解密电子响应文件的。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26.3.2供应商未按照磋商文件要求上传电子响应文件的。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26.3.3同一供应商提交两个（含两个）以上不同的响应文件或者最后报价的。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26.3.4供应商不具备磋商文件中规定</w:t>
      </w:r>
      <w:r>
        <w:rPr>
          <w:rFonts w:hint="eastAsia" w:ascii="宋体" w:hAnsi="宋体"/>
          <w:bCs/>
          <w:color w:val="000000" w:themeColor="text1"/>
          <w:sz w:val="24"/>
          <w:szCs w:val="21"/>
          <w:highlight w:val="none"/>
          <w:lang w:eastAsia="zh-CN"/>
          <w14:textFill>
            <w14:solidFill>
              <w14:schemeClr w14:val="tx1"/>
            </w14:solidFill>
          </w14:textFill>
        </w:rPr>
        <w:t xml:space="preserve">的</w:t>
      </w:r>
      <w:r>
        <w:rPr>
          <w:rFonts w:hint="eastAsia" w:ascii="宋体" w:hAnsi="宋体"/>
          <w:bCs/>
          <w:color w:val="000000" w:themeColor="text1"/>
          <w:sz w:val="24"/>
          <w:szCs w:val="21"/>
          <w:highlight w:val="none"/>
          <w14:textFill>
            <w14:solidFill>
              <w14:schemeClr w14:val="tx1"/>
            </w14:solidFill>
          </w14:textFill>
        </w:rPr>
        <w:t xml:space="preserve">资格要求。</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26.3.5供应商的最后报价超过了采购预算。</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26.3.6不符合磋商文件中规定的实质性要求和条件的。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26.3.8响应文件含有采购人不能接受的附加条件的。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26.3.</w:t>
      </w:r>
      <w:r>
        <w:rPr>
          <w:rFonts w:hint="eastAsia" w:ascii="宋体" w:hAnsi="宋体"/>
          <w:bCs/>
          <w:color w:val="000000" w:themeColor="text1"/>
          <w:sz w:val="24"/>
          <w:szCs w:val="21"/>
          <w:highlight w:val="none"/>
          <w:lang w:val="en-US" w:eastAsia="zh-CN"/>
          <w14:textFill>
            <w14:solidFill>
              <w14:schemeClr w14:val="tx1"/>
            </w14:solidFill>
          </w14:textFill>
        </w:rPr>
        <w:t xml:space="preserve">9</w:t>
      </w:r>
      <w:r>
        <w:rPr>
          <w:rFonts w:hint="eastAsia" w:ascii="宋体" w:hAnsi="宋体"/>
          <w:bCs/>
          <w:color w:val="000000" w:themeColor="text1"/>
          <w:sz w:val="24"/>
          <w:szCs w:val="21"/>
          <w:highlight w:val="none"/>
          <w14:textFill>
            <w14:solidFill>
              <w14:schemeClr w14:val="tx1"/>
            </w14:solidFill>
          </w14:textFill>
        </w:rPr>
        <w:t xml:space="preserve">响应文件未按照磋商文件要求加盖CA电子公章的。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26.4未实质性响应磋商文件的响应文件按无效响应处理。</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.5</w:t>
      </w:r>
      <w:r>
        <w:rPr>
          <w:rFonts w:hint="eastAsia" w:ascii="宋体" w:hAnsi="宋体"/>
          <w:bCs/>
          <w:color w:val="000000" w:themeColor="text1"/>
          <w:sz w:val="24"/>
          <w:szCs w:val="21"/>
          <w:highlight w:val="none"/>
          <w14:textFill>
            <w14:solidFill>
              <w14:schemeClr w14:val="tx1"/>
            </w14:solidFill>
          </w14:textFill>
        </w:rPr>
        <w:t xml:space="preserve">如果响应文件实质上没有响应磋商文件的要求，磋商小组将予以拒绝，供应商不得通过修改或撤销</w:t>
      </w:r>
      <w:r>
        <w:rPr>
          <w:rFonts w:hint="eastAsia" w:ascii="宋体" w:hAnsi="宋体"/>
          <w:bCs/>
          <w:color w:val="000000" w:themeColor="text1"/>
          <w:sz w:val="24"/>
          <w:szCs w:val="21"/>
          <w:highlight w:val="none"/>
          <w:lang w:eastAsia="zh-CN"/>
          <w14:textFill>
            <w14:solidFill>
              <w14:schemeClr w14:val="tx1"/>
            </w14:solidFill>
          </w14:textFill>
        </w:rPr>
        <w:t xml:space="preserve">不符</w:t>
      </w:r>
      <w:r>
        <w:rPr>
          <w:rFonts w:hint="eastAsia" w:ascii="宋体" w:hAnsi="宋体"/>
          <w:bCs/>
          <w:color w:val="000000" w:themeColor="text1"/>
          <w:sz w:val="24"/>
          <w:szCs w:val="21"/>
          <w:highlight w:val="none"/>
          <w14:textFill>
            <w14:solidFill>
              <w14:schemeClr w14:val="tx1"/>
            </w14:solidFill>
          </w14:textFill>
        </w:rPr>
        <w:t xml:space="preserve">合要求的偏离或保留而使其成为实质性响应的文件。</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（1）响应文件中</w:t>
      </w:r>
      <w:r>
        <w:rPr>
          <w:rFonts w:hint="eastAsia" w:ascii="宋体" w:hAnsi="宋体"/>
          <w:bCs/>
          <w:color w:val="000000" w:themeColor="text1"/>
          <w:sz w:val="24"/>
          <w:szCs w:val="21"/>
          <w:highlight w:val="none"/>
          <w:lang w:eastAsia="zh-CN"/>
          <w14:textFill>
            <w14:solidFill>
              <w14:schemeClr w14:val="tx1"/>
            </w14:solidFill>
          </w14:textFill>
        </w:rPr>
        <w:t xml:space="preserve">磋商报价表</w:t>
      </w:r>
      <w:r>
        <w:rPr>
          <w:rFonts w:hint="eastAsia" w:ascii="宋体" w:hAnsi="宋体"/>
          <w:bCs/>
          <w:color w:val="000000" w:themeColor="text1"/>
          <w:sz w:val="24"/>
          <w:szCs w:val="21"/>
          <w:highlight w:val="none"/>
          <w14:textFill>
            <w14:solidFill>
              <w14:schemeClr w14:val="tx1"/>
            </w14:solidFill>
          </w14:textFill>
        </w:rPr>
        <w:t xml:space="preserve">内容与响应文件中相应内容不一致的，以</w:t>
      </w:r>
      <w:r>
        <w:rPr>
          <w:rFonts w:hint="eastAsia" w:ascii="宋体" w:hAnsi="宋体"/>
          <w:bCs/>
          <w:color w:val="000000" w:themeColor="text1"/>
          <w:sz w:val="24"/>
          <w:szCs w:val="21"/>
          <w:highlight w:val="none"/>
          <w:lang w:eastAsia="zh-CN"/>
          <w14:textFill>
            <w14:solidFill>
              <w14:schemeClr w14:val="tx1"/>
            </w14:solidFill>
          </w14:textFill>
        </w:rPr>
        <w:t xml:space="preserve">磋商报价表</w:t>
      </w:r>
      <w:r>
        <w:rPr>
          <w:rFonts w:hint="eastAsia" w:ascii="宋体" w:hAnsi="宋体"/>
          <w:bCs/>
          <w:color w:val="000000" w:themeColor="text1"/>
          <w:sz w:val="24"/>
          <w:szCs w:val="21"/>
          <w:highlight w:val="none"/>
          <w14:textFill>
            <w14:solidFill>
              <w14:schemeClr w14:val="tx1"/>
            </w14:solidFill>
          </w14:textFill>
        </w:rPr>
        <w:t xml:space="preserve">为准。</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（2）大写金额和小写金额不一致的，以大写金额为准。</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（3）单价金额小数点或者百分比有明显错位的，以</w:t>
      </w:r>
      <w:r>
        <w:rPr>
          <w:rFonts w:hint="eastAsia" w:ascii="宋体" w:hAnsi="宋体"/>
          <w:bCs/>
          <w:color w:val="000000" w:themeColor="text1"/>
          <w:sz w:val="24"/>
          <w:szCs w:val="21"/>
          <w:highlight w:val="none"/>
          <w:lang w:eastAsia="zh-CN"/>
          <w14:textFill>
            <w14:solidFill>
              <w14:schemeClr w14:val="tx1"/>
            </w14:solidFill>
          </w14:textFill>
        </w:rPr>
        <w:t xml:space="preserve">磋商报价表</w:t>
      </w:r>
      <w:r>
        <w:rPr>
          <w:rFonts w:hint="eastAsia" w:ascii="宋体" w:hAnsi="宋体"/>
          <w:bCs/>
          <w:color w:val="000000" w:themeColor="text1"/>
          <w:sz w:val="24"/>
          <w:szCs w:val="21"/>
          <w:highlight w:val="none"/>
          <w14:textFill>
            <w14:solidFill>
              <w14:schemeClr w14:val="tx1"/>
            </w14:solidFill>
          </w14:textFill>
        </w:rPr>
        <w:t xml:space="preserve">的总价为准，并修改单价。</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（4）总价金额与按单价汇总金额不一致的，以按单价汇总金额计算结果为准。</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同时出现两种以上错误的，按照前款规定的顺序修正。</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bookmarkStart w:id="143" w:name="_Toc513029234"/>
      <w:r/>
      <w:bookmarkStart w:id="144" w:name="_Toc20823306"/>
      <w:r/>
      <w:bookmarkStart w:id="145" w:name="_Toc16938550"/>
      <w:r>
        <w:rPr>
          <w:rFonts w:hint="eastAsia" w:ascii="宋体" w:hAnsi="宋体"/>
          <w:color w:val="000000" w:themeColor="text1"/>
          <w:sz w:val="24"/>
          <w:szCs w:val="21"/>
          <w:highlight w:val="none"/>
          <w14:textFill>
            <w14:solidFill>
              <w14:schemeClr w14:val="tx1"/>
            </w14:solidFill>
          </w14:textFill>
        </w:rPr>
        <w:t xml:space="preserve">2</w:t>
      </w: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.7供应商在项目评审全过程中应</w:t>
      </w:r>
      <w:r>
        <w:rPr>
          <w:rFonts w:hint="eastAsia" w:ascii="宋体" w:hAnsi="宋体"/>
          <w:color w:val="000000" w:themeColor="text1"/>
          <w:sz w:val="24"/>
          <w:szCs w:val="21"/>
          <w:highlight w:val="none"/>
          <w:lang w:eastAsia="zh-CN"/>
          <w14:textFill>
            <w14:solidFill>
              <w14:schemeClr w14:val="tx1"/>
            </w14:solidFill>
          </w14:textFill>
        </w:rPr>
        <w:t xml:space="preserve">保持通信畅通</w:t>
      </w:r>
      <w:r>
        <w:rPr>
          <w:rFonts w:hint="eastAsia" w:ascii="宋体" w:hAnsi="宋体"/>
          <w:color w:val="000000" w:themeColor="text1"/>
          <w:sz w:val="24"/>
          <w:szCs w:val="21"/>
          <w:highlight w:val="none"/>
          <w14:textFill>
            <w14:solidFill>
              <w14:schemeClr w14:val="tx1"/>
            </w14:solidFill>
          </w14:textFill>
        </w:rPr>
        <w:t xml:space="preserve">，并安排专人与采购人或采购代理机构及磋商小组联系。</w:t>
      </w:r>
      <w:r/>
    </w:p>
    <w:p>
      <w:pPr>
        <w:ind w:firstLine="420"/>
        <w:keepLines/>
        <w:keepNext/>
        <w:spacing w:line="520" w:lineRule="exact"/>
        <w:rPr>
          <w:rFonts w:hint="eastAsia" w:ascii="Arial" w:hAnsi="Arial" w:eastAsia="黑体" w:cs="Arial"/>
          <w:color w:val="000000" w:themeColor="text1"/>
          <w:sz w:val="28"/>
          <w:szCs w:val="28"/>
          <w:highlight w:val="none"/>
          <w14:textFill>
            <w14:solidFill>
              <w14:schemeClr w14:val="tx1"/>
            </w14:solidFill>
          </w14:textFill>
        </w:rPr>
        <w:outlineLvl w:val="3"/>
      </w:pPr>
      <w:r>
        <w:rPr>
          <w:rFonts w:hint="eastAsia" w:ascii="Arial" w:hAnsi="Arial" w:eastAsia="黑体" w:cs="Arial"/>
          <w:color w:val="000000" w:themeColor="text1"/>
          <w:sz w:val="28"/>
          <w:szCs w:val="28"/>
          <w:highlight w:val="none"/>
          <w14:textFill>
            <w14:solidFill>
              <w14:schemeClr w14:val="tx1"/>
            </w14:solidFill>
          </w14:textFill>
        </w:rPr>
        <w:t xml:space="preserve">2</w:t>
      </w:r>
      <w:r>
        <w:rPr>
          <w:rFonts w:ascii="Arial" w:hAnsi="Arial" w:eastAsia="黑体" w:cs="Arial"/>
          <w:color w:val="000000" w:themeColor="text1"/>
          <w:sz w:val="28"/>
          <w:szCs w:val="28"/>
          <w:highlight w:val="none"/>
          <w14:textFill>
            <w14:solidFill>
              <w14:schemeClr w14:val="tx1"/>
            </w14:solidFill>
          </w14:textFill>
        </w:rPr>
        <w:t xml:space="preserve">7</w:t>
      </w:r>
      <w:bookmarkEnd w:id="143"/>
      <w:r/>
      <w:bookmarkEnd w:id="144"/>
      <w:r/>
      <w:bookmarkEnd w:id="145"/>
      <w:r>
        <w:rPr>
          <w:rFonts w:hint="eastAsia" w:ascii="Arial" w:hAnsi="Arial" w:eastAsia="黑体" w:cs="Arial"/>
          <w:color w:val="000000" w:themeColor="text1"/>
          <w:sz w:val="28"/>
          <w:szCs w:val="28"/>
          <w:highlight w:val="none"/>
          <w14:textFill>
            <w14:solidFill>
              <w14:schemeClr w14:val="tx1"/>
            </w14:solidFill>
          </w14:textFill>
        </w:rPr>
        <w:t xml:space="preserve">.磋商程序及评审方法和评审标准</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27.1磋商程序</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27.1.2</w:t>
      </w:r>
      <w:r>
        <w:rPr>
          <w:rFonts w:ascii="宋体" w:hAnsi="宋体"/>
          <w:color w:val="000000" w:themeColor="text1"/>
          <w:sz w:val="24"/>
          <w:szCs w:val="24"/>
          <w:highlight w:val="none"/>
          <w14:textFill>
            <w14:solidFill>
              <w14:schemeClr w14:val="tx1"/>
            </w14:solidFill>
          </w14:textFill>
        </w:rPr>
        <w:t xml:space="preserve">磋商文件能够详细列明采购标的的技术、服务要求的，磋商结束后，磋商小组</w:t>
      </w:r>
      <w:r>
        <w:rPr>
          <w:rFonts w:hint="eastAsia" w:ascii="宋体" w:hAnsi="宋体"/>
          <w:color w:val="000000" w:themeColor="text1"/>
          <w:sz w:val="24"/>
          <w:szCs w:val="24"/>
          <w:highlight w:val="none"/>
          <w14:textFill>
            <w14:solidFill>
              <w14:schemeClr w14:val="tx1"/>
            </w14:solidFill>
          </w14:textFill>
        </w:rPr>
        <w:t xml:space="preserve">将在苏采云系统向所有</w:t>
      </w:r>
      <w:r>
        <w:rPr>
          <w:rFonts w:ascii="宋体" w:hAnsi="宋体"/>
          <w:color w:val="000000" w:themeColor="text1"/>
          <w:sz w:val="24"/>
          <w:szCs w:val="24"/>
          <w:highlight w:val="none"/>
          <w14:textFill>
            <w14:solidFill>
              <w14:schemeClr w14:val="tx1"/>
            </w14:solidFill>
          </w14:textFill>
        </w:rPr>
        <w:t xml:space="preserve">实质性响应的供应商</w:t>
      </w:r>
      <w:r>
        <w:rPr>
          <w:rFonts w:hint="eastAsia" w:ascii="宋体" w:hAnsi="宋体"/>
          <w:color w:val="000000" w:themeColor="text1"/>
          <w:sz w:val="24"/>
          <w:szCs w:val="24"/>
          <w:highlight w:val="none"/>
          <w14:textFill>
            <w14:solidFill>
              <w14:schemeClr w14:val="tx1"/>
            </w14:solidFill>
          </w14:textFill>
        </w:rPr>
        <w:t xml:space="preserve">发布“最后报价要求函”及最后报价格式表，</w:t>
      </w:r>
      <w:r>
        <w:rPr>
          <w:rFonts w:ascii="宋体" w:hAnsi="宋体"/>
          <w:color w:val="000000" w:themeColor="text1"/>
          <w:sz w:val="24"/>
          <w:szCs w:val="24"/>
          <w:highlight w:val="none"/>
          <w14:textFill>
            <w14:solidFill>
              <w14:schemeClr w14:val="tx1"/>
            </w14:solidFill>
          </w14:textFill>
        </w:rPr>
        <w:t xml:space="preserve">要求所有实质性响应的供应商在规定时间内提交最后报价。</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000000" w:themeColor="text1"/>
          <w:sz w:val="24"/>
          <w:szCs w:val="24"/>
          <w:highlight w:val="none"/>
          <w:lang w:eastAsia="zh-CN"/>
          <w14:textFill>
            <w14:solidFill>
              <w14:schemeClr w14:val="tx1"/>
            </w14:solidFill>
          </w14:textFill>
        </w:rPr>
        <w:t xml:space="preserve">，并</w:t>
      </w:r>
      <w:r>
        <w:rPr>
          <w:rFonts w:hint="eastAsia" w:ascii="宋体" w:hAnsi="宋体"/>
          <w:color w:val="000000" w:themeColor="text1"/>
          <w:sz w:val="24"/>
          <w:szCs w:val="24"/>
          <w:highlight w:val="none"/>
          <w14:textFill>
            <w14:solidFill>
              <w14:schemeClr w14:val="tx1"/>
            </w14:solidFill>
          </w14:textFill>
        </w:rPr>
        <w:t xml:space="preserve">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最后报价是供应商响应文件的有效组成部分。符合《政府采购竞争性磋商采购方式</w:t>
      </w:r>
      <w:r>
        <w:rPr>
          <w:rFonts w:hint="eastAsia" w:ascii="宋体" w:hAnsi="宋体"/>
          <w:color w:val="000000" w:themeColor="text1"/>
          <w:sz w:val="24"/>
          <w:szCs w:val="24"/>
          <w:highlight w:val="none"/>
          <w:lang w:val="en-US" w:eastAsia="zh-CN"/>
          <w14:textFill>
            <w14:solidFill>
              <w14:schemeClr w14:val="tx1"/>
            </w14:solidFill>
          </w14:textFill>
        </w:rPr>
        <w:t xml:space="preserve">管理</w:t>
      </w:r>
      <w:r>
        <w:rPr>
          <w:rFonts w:hint="eastAsia" w:ascii="宋体" w:hAnsi="宋体"/>
          <w:color w:val="000000" w:themeColor="text1"/>
          <w:sz w:val="24"/>
          <w:szCs w:val="24"/>
          <w:highlight w:val="none"/>
          <w14:textFill>
            <w14:solidFill>
              <w14:schemeClr w14:val="tx1"/>
            </w14:solidFill>
          </w14:textFill>
        </w:rPr>
        <w:t xml:space="preserve">暂行办法》第三条第一款第四项及《财政部关于竞争性磋商采购方式管理暂行办法有关问题的补充通知》财库</w:t>
      </w:r>
      <w:r>
        <w:rPr>
          <w:rFonts w:hint="eastAsia" w:ascii="宋体" w:hAnsi="宋体"/>
          <w:color w:val="000000" w:themeColor="text1"/>
          <w:sz w:val="24"/>
          <w:szCs w:val="24"/>
          <w:highlight w:val="none"/>
          <w:lang w:eastAsia="zh-CN"/>
          <w14:textFill>
            <w14:solidFill>
              <w14:schemeClr w14:val="tx1"/>
            </w14:solidFill>
          </w14:textFill>
        </w:rPr>
        <w:t xml:space="preserve">〔2015〕124号</w:t>
      </w:r>
      <w:r>
        <w:rPr>
          <w:rFonts w:hint="eastAsia" w:ascii="宋体" w:hAnsi="宋体"/>
          <w:color w:val="000000" w:themeColor="text1"/>
          <w:sz w:val="24"/>
          <w:szCs w:val="24"/>
          <w:highlight w:val="none"/>
          <w14:textFill>
            <w14:solidFill>
              <w14:schemeClr w14:val="tx1"/>
            </w14:solidFill>
          </w14:textFill>
        </w:rPr>
        <w:t xml:space="preserve">规定情形的，提交最后报价的供应商可以为2家。</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27.1.3供应商未在磋商小组规定的时间内在苏采云系统中提交最后报价视为放弃磋商，其响应文件按无效响应处理，最后报价格式表须加盖CA电子公章</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否则视为未提交最后报价。</w:t>
      </w:r>
      <w:r>
        <w:rPr>
          <w:rFonts w:ascii="宋体" w:hAnsi="宋体"/>
          <w:color w:val="000000" w:themeColor="text1"/>
          <w:sz w:val="24"/>
          <w:szCs w:val="24"/>
          <w:highlight w:val="none"/>
          <w14:textFill>
            <w14:solidFill>
              <w14:schemeClr w14:val="tx1"/>
            </w14:solidFill>
          </w14:textFill>
        </w:rPr>
        <w:t xml:space="preserve">已提交响应文件的供应商，在提交最后报价之前，可以根据磋商情况退出磋商</w:t>
      </w:r>
      <w:r>
        <w:rPr>
          <w:rFonts w:hint="eastAsia" w:ascii="宋体" w:hAnsi="宋体"/>
          <w:color w:val="000000" w:themeColor="text1"/>
          <w:sz w:val="24"/>
          <w:szCs w:val="24"/>
          <w:highlight w:val="none"/>
          <w14:textFill>
            <w14:solidFill>
              <w14:schemeClr w14:val="tx1"/>
            </w14:solidFill>
          </w14:textFill>
        </w:rPr>
        <w:t xml:space="preserve">，并在苏采云系统中提交“退出磋商函”并加盖CA电子公章</w:t>
      </w:r>
      <w:r>
        <w:rPr>
          <w:rFonts w:ascii="宋体" w:hAnsi="宋体"/>
          <w:color w:val="000000" w:themeColor="text1"/>
          <w:sz w:val="24"/>
          <w:szCs w:val="24"/>
          <w:highlight w:val="none"/>
          <w14:textFill>
            <w14:solidFill>
              <w14:schemeClr w14:val="tx1"/>
            </w14:solidFill>
          </w14:textFill>
        </w:rPr>
        <w:t xml:space="preserve">。</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27.2 评审方法和评审标准</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27.2.2评审标准</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见本磋商文件第四章规定。</w:t>
      </w:r>
      <w:r/>
    </w:p>
    <w:p>
      <w:pPr>
        <w:ind w:firstLine="477"/>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27.3采购活动终止的情况</w:t>
      </w:r>
      <w:r/>
    </w:p>
    <w:p>
      <w:pPr>
        <w:ind w:firstLine="360"/>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出现下列情形之一的，本次竞争性磋商采购活动将被终止：</w:t>
      </w:r>
      <w:r/>
    </w:p>
    <w:p>
      <w:pPr>
        <w:ind w:firstLine="360"/>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27.3.1因情况变化，不再符合规定的竞争性磋商采购方式适用情形的。</w:t>
      </w:r>
      <w:r/>
    </w:p>
    <w:p>
      <w:pPr>
        <w:ind w:firstLine="360"/>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27.3.2出现影响采购公正的违法、违规行为的。</w:t>
      </w:r>
      <w:r/>
    </w:p>
    <w:p>
      <w:pPr>
        <w:ind w:firstLine="360"/>
        <w:spacing w:line="520" w:lineRule="exact"/>
        <w:tabs>
          <w:tab w:val="left" w:pos="900"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27.3.4在</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规定时间内成功解密电子响应文件的供应商不足3家的。</w:t>
      </w:r>
      <w:r/>
    </w:p>
    <w:p>
      <w:pPr>
        <w:ind w:firstLine="482"/>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146" w:name="_Toc20823307"/>
      <w:r/>
      <w:bookmarkStart w:id="147" w:name="_Toc120614219"/>
      <w:r/>
      <w:bookmarkStart w:id="148" w:name="_Toc16938551"/>
      <w:r/>
      <w:bookmarkStart w:id="149" w:name="_Toc513029235"/>
      <w:r>
        <w:rPr>
          <w:rFonts w:hint="eastAsia" w:ascii="Times New Roman" w:hAnsi="Times New Roman"/>
          <w:b/>
          <w:bCs/>
          <w:color w:val="000000" w:themeColor="text1"/>
          <w:sz w:val="32"/>
          <w:szCs w:val="32"/>
          <w:highlight w:val="none"/>
          <w14:textFill>
            <w14:solidFill>
              <w14:schemeClr w14:val="tx1"/>
            </w14:solidFill>
          </w14:textFill>
        </w:rPr>
        <w:t xml:space="preserve">六、</w:t>
      </w:r>
      <w:bookmarkEnd w:id="146"/>
      <w:r/>
      <w:bookmarkEnd w:id="147"/>
      <w:r/>
      <w:bookmarkEnd w:id="148"/>
      <w:r/>
      <w:bookmarkEnd w:id="149"/>
      <w:r>
        <w:rPr>
          <w:rFonts w:hint="eastAsia" w:ascii="Times New Roman" w:hAnsi="Times New Roman"/>
          <w:b/>
          <w:bCs/>
          <w:color w:val="000000" w:themeColor="text1"/>
          <w:sz w:val="32"/>
          <w:szCs w:val="32"/>
          <w:highlight w:val="none"/>
          <w14:textFill>
            <w14:solidFill>
              <w14:schemeClr w14:val="tx1"/>
            </w14:solidFill>
          </w14:textFill>
        </w:rPr>
        <w:t xml:space="preserve">成交</w:t>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150" w:name="_Toc513029238"/>
      <w:r/>
      <w:bookmarkStart w:id="151" w:name="_Toc16938554"/>
      <w:r/>
      <w:bookmarkStart w:id="152" w:name="_Toc20823310"/>
      <w:r>
        <w:rPr>
          <w:rFonts w:hint="eastAsia" w:ascii="黑体" w:hAnsi="宋体" w:eastAsia="黑体"/>
          <w:bCs/>
          <w:color w:val="000000" w:themeColor="text1"/>
          <w:sz w:val="30"/>
          <w:szCs w:val="30"/>
          <w:highlight w:val="none"/>
          <w14:textFill>
            <w14:solidFill>
              <w14:schemeClr w14:val="tx1"/>
            </w14:solidFill>
          </w14:textFill>
        </w:rPr>
        <w:t xml:space="preserve">2</w:t>
      </w:r>
      <w:r>
        <w:rPr>
          <w:rFonts w:ascii="黑体" w:hAnsi="宋体" w:eastAsia="黑体"/>
          <w:bCs/>
          <w:color w:val="000000" w:themeColor="text1"/>
          <w:sz w:val="30"/>
          <w:szCs w:val="30"/>
          <w:highlight w:val="none"/>
          <w14:textFill>
            <w14:solidFill>
              <w14:schemeClr w14:val="tx1"/>
            </w14:solidFill>
          </w14:textFill>
        </w:rPr>
        <w:t xml:space="preserve">8</w:t>
      </w:r>
      <w:bookmarkEnd w:id="150"/>
      <w:r>
        <w:rPr>
          <w:rFonts w:hint="eastAsia" w:ascii="黑体" w:hAnsi="宋体" w:eastAsia="黑体"/>
          <w:bCs/>
          <w:color w:val="000000" w:themeColor="text1"/>
          <w:sz w:val="30"/>
          <w:szCs w:val="30"/>
          <w:highlight w:val="none"/>
          <w14:textFill>
            <w14:solidFill>
              <w14:schemeClr w14:val="tx1"/>
            </w14:solidFill>
          </w14:textFill>
        </w:rPr>
        <w:t xml:space="preserve">.确定</w:t>
      </w:r>
      <w:bookmarkEnd w:id="151"/>
      <w:r/>
      <w:bookmarkEnd w:id="152"/>
      <w:r>
        <w:rPr>
          <w:rFonts w:hint="eastAsia" w:ascii="黑体" w:hAnsi="宋体" w:eastAsia="黑体"/>
          <w:bCs/>
          <w:color w:val="000000" w:themeColor="text1"/>
          <w:sz w:val="30"/>
          <w:szCs w:val="30"/>
          <w:highlight w:val="none"/>
          <w14:textFill>
            <w14:solidFill>
              <w14:schemeClr w14:val="tx1"/>
            </w14:solidFill>
          </w14:textFill>
        </w:rPr>
        <w:t xml:space="preserve">成交单位</w:t>
      </w:r>
      <w:r/>
    </w:p>
    <w:p>
      <w:pPr>
        <w:ind w:firstLine="477"/>
        <w:spacing w:line="520" w:lineRule="exact"/>
        <w:tabs>
          <w:tab w:val="left" w:pos="900" w:leader="none"/>
        </w:tabs>
        <w:rPr>
          <w:rFonts w:hint="eastAsia" w:ascii="宋体" w:hAnsi="宋体"/>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.1</w:t>
      </w:r>
      <w:r>
        <w:rPr>
          <w:rFonts w:hint="eastAsia" w:ascii="宋体" w:hAnsi="宋体"/>
          <w:color w:val="000000" w:themeColor="text1"/>
          <w:sz w:val="24"/>
          <w:szCs w:val="21"/>
          <w:highlight w:val="non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w:t>
      </w:r>
      <w:r>
        <w:rPr>
          <w:rFonts w:ascii="宋体" w:hAnsi="宋体"/>
          <w:bCs/>
          <w:color w:val="000000" w:themeColor="text1"/>
          <w:sz w:val="24"/>
          <w:szCs w:val="21"/>
          <w:highlight w:val="none"/>
          <w14:textFill>
            <w14:solidFill>
              <w14:schemeClr w14:val="tx1"/>
            </w14:solidFill>
          </w14:textFill>
        </w:rPr>
        <w:t xml:space="preserve">8</w:t>
      </w:r>
      <w:r>
        <w:rPr>
          <w:rFonts w:hint="eastAsia" w:ascii="宋体" w:hAnsi="宋体"/>
          <w:bCs/>
          <w:color w:val="000000" w:themeColor="text1"/>
          <w:sz w:val="24"/>
          <w:szCs w:val="21"/>
          <w:highlight w:val="none"/>
          <w14:textFill>
            <w14:solidFill>
              <w14:schemeClr w14:val="tx1"/>
            </w14:solidFill>
          </w14:textFill>
        </w:rPr>
        <w:t xml:space="preserve">.2采购人应根据磋商小组推荐的成交候选供应商确定成交供应商。采购</w:t>
      </w:r>
      <w:r>
        <w:rPr>
          <w:rFonts w:hint="eastAsia" w:ascii="宋体" w:hAnsi="宋体"/>
          <w:bCs/>
          <w:color w:val="000000" w:themeColor="text1"/>
          <w:sz w:val="24"/>
          <w:szCs w:val="21"/>
          <w:highlight w:val="none"/>
          <w:lang w:eastAsia="zh-CN"/>
          <w14:textFill>
            <w14:solidFill>
              <w14:schemeClr w14:val="tx1"/>
            </w14:solidFill>
          </w14:textFill>
        </w:rPr>
        <w:t xml:space="preserve">人在确定成交供应商</w:t>
      </w:r>
      <w:r>
        <w:rPr>
          <w:rFonts w:hint="eastAsia" w:ascii="宋体" w:hAnsi="宋体"/>
          <w:bCs/>
          <w:color w:val="000000" w:themeColor="text1"/>
          <w:sz w:val="24"/>
          <w:szCs w:val="21"/>
          <w:highlight w:val="none"/>
          <w14:textFill>
            <w14:solidFill>
              <w14:schemeClr w14:val="tx1"/>
            </w14:solidFill>
          </w14:textFill>
        </w:rPr>
        <w:t xml:space="preserve">后，采购代理机构将在“江苏政府采购网”发布成交结果公告，公告期限为1个工作日。</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28.3若有充分证据证明，成交供应商出现下列情况之一的，一经查实，将被取消成交资格：</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28.3.1提供虚假材料谋取成交的。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28.3.2与评审专家、采购人、其他供应商或者采购代理机构工作人员恶意串通的。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28.3.3向评审专家、采购人或采购代理机构工作人员行贿或者提供其他不正当利益的。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28.3.4恶意竞争，最后报价明显低于其自身合理成本且又无法提供证明的。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28.3.5不满足本磋商文件规定的实质性要求，但在评审过程中又未被磋商小组发现的。</w:t>
      </w:r>
      <w:r/>
    </w:p>
    <w:p>
      <w:pPr>
        <w:ind w:firstLine="480"/>
        <w:spacing w:line="52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 xml:space="preserve">28.3.7将政府采购合同转包的。</w:t>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153" w:name="_Toc200451960"/>
      <w:r>
        <w:rPr>
          <w:rFonts w:ascii="黑体" w:hAnsi="宋体" w:eastAsia="黑体"/>
          <w:bCs/>
          <w:color w:val="000000" w:themeColor="text1"/>
          <w:sz w:val="30"/>
          <w:szCs w:val="30"/>
          <w:highlight w:val="none"/>
          <w14:textFill>
            <w14:solidFill>
              <w14:schemeClr w14:val="tx1"/>
            </w14:solidFill>
          </w14:textFill>
        </w:rPr>
        <w:t xml:space="preserve">29</w:t>
      </w:r>
      <w:r>
        <w:rPr>
          <w:rFonts w:hint="eastAsia" w:ascii="黑体" w:hAnsi="宋体" w:eastAsia="黑体"/>
          <w:bCs/>
          <w:color w:val="000000" w:themeColor="text1"/>
          <w:sz w:val="30"/>
          <w:szCs w:val="30"/>
          <w:highlight w:val="none"/>
          <w14:textFill>
            <w14:solidFill>
              <w14:schemeClr w14:val="tx1"/>
            </w14:solidFill>
          </w14:textFill>
        </w:rPr>
        <w:t xml:space="preserve">.质疑处理</w:t>
      </w:r>
      <w:bookmarkEnd w:id="153"/>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000000" w:themeColor="text1"/>
          <w:sz w:val="24"/>
          <w:szCs w:val="24"/>
          <w:highlight w:val="none"/>
          <w14:textFill>
            <w14:solidFill>
              <w14:schemeClr w14:val="tx1"/>
            </w14:solidFill>
          </w14:textFill>
        </w:rPr>
        <w:t xml:space="preserve">采购人或采购代理机构</w:t>
      </w:r>
      <w:r>
        <w:rPr>
          <w:rFonts w:hint="eastAsia" w:ascii="宋体" w:hAnsi="宋体"/>
          <w:color w:val="000000" w:themeColor="text1"/>
          <w:sz w:val="24"/>
          <w:szCs w:val="24"/>
          <w:highlight w:val="none"/>
          <w14:textFill>
            <w14:solidFill>
              <w14:schemeClr w14:val="tx1"/>
            </w14:solidFill>
          </w14:textFill>
        </w:rPr>
        <w:t xml:space="preserve">提出质疑。上述应知其权益受到损害之日，是指：</w:t>
      </w:r>
      <w:r/>
    </w:p>
    <w:p>
      <w:pPr>
        <w:ind w:firstLine="480"/>
        <w:spacing w:line="520" w:lineRule="exact"/>
        <w:rPr>
          <w:rFonts w:hint="eastAsia" w:ascii="Times New Roman"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.2.1</w:t>
      </w:r>
      <w:r>
        <w:rPr>
          <w:rFonts w:ascii="Times New Roman" w:hAnsi="宋体"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rPr>
          <w:rFonts w:hint="eastAsia" w:ascii="Times New Roman" w:hAnsi="宋体" w:cs="宋体"/>
          <w:color w:val="000000" w:themeColor="text1"/>
          <w:sz w:val="24"/>
          <w:szCs w:val="24"/>
          <w:highlight w:val="none"/>
          <w14:textFill>
            <w14:solidFill>
              <w14:schemeClr w14:val="tx1"/>
            </w14:solidFill>
          </w14:textFill>
        </w:rPr>
        <w:t xml:space="preserve">。</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.2.2</w:t>
      </w:r>
      <w:r>
        <w:rPr>
          <w:rFonts w:ascii="Times New Roman" w:hAnsi="宋体" w:cs="宋体"/>
          <w:color w:val="000000" w:themeColor="text1"/>
          <w:sz w:val="24"/>
          <w:szCs w:val="24"/>
          <w:highlight w:val="none"/>
          <w14:textFill>
            <w14:solidFill>
              <w14:schemeClr w14:val="tx1"/>
            </w14:solidFill>
          </w14:textFill>
        </w:rPr>
        <w:t xml:space="preserve">对采购过程提出质疑的，为各采购程序环节结束之日</w:t>
      </w:r>
      <w:r>
        <w:rPr>
          <w:rFonts w:hint="eastAsia" w:ascii="Times New Roman" w:hAnsi="宋体" w:cs="宋体"/>
          <w:color w:val="000000" w:themeColor="text1"/>
          <w:sz w:val="24"/>
          <w:szCs w:val="24"/>
          <w:highlight w:val="none"/>
          <w14:textFill>
            <w14:solidFill>
              <w14:schemeClr w14:val="tx1"/>
            </w14:solidFill>
          </w14:textFill>
        </w:rPr>
        <w:t xml:space="preserve">。</w:t>
      </w:r>
      <w:r>
        <w:rPr>
          <w:rFonts w:ascii="Times New Roman" w:hAnsi="宋体" w:cs="宋体"/>
          <w:color w:val="000000" w:themeColor="text1"/>
          <w:sz w:val="24"/>
          <w:szCs w:val="24"/>
          <w:highlight w:val="none"/>
          <w14:textFill>
            <w14:solidFill>
              <w14:schemeClr w14:val="tx1"/>
            </w14:solidFill>
          </w14:textFill>
        </w:rPr>
        <w:br w:type="textWrapping" w:clear="all"/>
      </w:r>
      <w:r>
        <w:rPr>
          <w:rFonts w:ascii="Times New Roman" w:hAnsi="宋体" w:cs="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.2.3</w:t>
      </w:r>
      <w:r>
        <w:rPr>
          <w:rFonts w:ascii="Times New Roman" w:hAnsi="宋体" w:cs="宋体"/>
          <w:color w:val="000000" w:themeColor="text1"/>
          <w:sz w:val="24"/>
          <w:szCs w:val="24"/>
          <w:highlight w:val="none"/>
          <w14:textFill>
            <w14:solidFill>
              <w14:schemeClr w14:val="tx1"/>
            </w14:solidFill>
          </w14:textFill>
        </w:rPr>
        <w:t xml:space="preserve">对成交结果提出质疑的，为成交结果公告期限届满之日。</w:t>
      </w:r>
      <w:r/>
    </w:p>
    <w:p>
      <w:pPr>
        <w:ind w:firstLine="480"/>
        <w:spacing w:line="520" w:lineRule="exact"/>
        <w:rPr>
          <w:rFonts w:hint="eastAsia" w:ascii="Times New Roman" w:hAnsi="宋体" w:cs="宋体"/>
          <w:color w:val="000000" w:themeColor="text1"/>
          <w:sz w:val="24"/>
          <w:szCs w:val="24"/>
          <w:highlight w:val="none"/>
          <w14:textFill>
            <w14:solidFill>
              <w14:schemeClr w14:val="tx1"/>
            </w14:solidFill>
          </w14:textFill>
        </w:rPr>
      </w:pPr>
      <w:r>
        <w:rPr>
          <w:rFonts w:hint="eastAsia" w:ascii="Times New Roman" w:hAnsi="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themeColor="text1"/>
          <w:sz w:val="24"/>
          <w:szCs w:val="24"/>
          <w:highlight w:val="none"/>
          <w14:textFill>
            <w14:solidFill>
              <w14:schemeClr w14:val="tx1"/>
            </w14:solidFill>
          </w14:textFill>
        </w:rPr>
        <w:t xml:space="preserve">采购人或采购代理机构</w:t>
      </w:r>
      <w:r>
        <w:rPr>
          <w:rFonts w:hint="eastAsia" w:ascii="Times New Roman" w:hAnsi="宋体" w:cs="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.4供应商（含潜在</w:t>
      </w:r>
      <w:r>
        <w:rPr>
          <w:rFonts w:ascii="宋体" w:hAnsi="宋体"/>
          <w:color w:val="000000" w:themeColor="text1"/>
          <w:sz w:val="24"/>
          <w:szCs w:val="24"/>
          <w:highlight w:val="none"/>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）对</w:t>
      </w:r>
      <w:r>
        <w:rPr>
          <w:rFonts w:ascii="宋体" w:hAnsi="宋体"/>
          <w:color w:val="000000" w:themeColor="text1"/>
          <w:sz w:val="24"/>
          <w:szCs w:val="24"/>
          <w:highlight w:val="none"/>
          <w14:textFill>
            <w14:solidFill>
              <w14:schemeClr w14:val="tx1"/>
            </w14:solidFill>
          </w14:textFill>
        </w:rPr>
        <w:t xml:space="preserve">采购方式、</w:t>
      </w:r>
      <w:r>
        <w:rPr>
          <w:rFonts w:hint="eastAsia" w:ascii="宋体" w:hAnsi="宋体"/>
          <w:color w:val="000000" w:themeColor="text1"/>
          <w:sz w:val="24"/>
          <w:szCs w:val="24"/>
          <w:highlight w:val="none"/>
          <w14:textFill>
            <w14:solidFill>
              <w14:schemeClr w14:val="tx1"/>
            </w14:solidFill>
          </w14:textFill>
        </w:rPr>
        <w:t xml:space="preserve">采购文件中采购</w:t>
      </w:r>
      <w:r>
        <w:rPr>
          <w:rFonts w:ascii="宋体" w:hAnsi="宋体"/>
          <w:color w:val="000000" w:themeColor="text1"/>
          <w:sz w:val="24"/>
          <w:szCs w:val="24"/>
          <w:highlight w:val="none"/>
          <w14:textFill>
            <w14:solidFill>
              <w14:schemeClr w14:val="tx1"/>
            </w14:solidFill>
          </w14:textFill>
        </w:rPr>
        <w:t xml:space="preserve">需求、</w:t>
      </w: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资格条件、</w:t>
      </w:r>
      <w:r>
        <w:rPr>
          <w:rFonts w:hint="eastAsia" w:ascii="宋体" w:hAnsi="宋体"/>
          <w:color w:val="000000" w:themeColor="text1"/>
          <w:sz w:val="24"/>
          <w:szCs w:val="24"/>
          <w:highlight w:val="none"/>
          <w14:textFill>
            <w14:solidFill>
              <w14:schemeClr w14:val="tx1"/>
            </w14:solidFill>
          </w14:textFill>
        </w:rPr>
        <w:t xml:space="preserve">评审方法</w:t>
      </w:r>
      <w:r>
        <w:rPr>
          <w:rFonts w:ascii="宋体" w:hAnsi="宋体"/>
          <w:color w:val="000000" w:themeColor="text1"/>
          <w:sz w:val="24"/>
          <w:szCs w:val="24"/>
          <w:highlight w:val="none"/>
          <w14:textFill>
            <w14:solidFill>
              <w14:schemeClr w14:val="tx1"/>
            </w14:solidFill>
          </w14:textFill>
        </w:rPr>
        <w:t xml:space="preserve">和评</w:t>
      </w:r>
      <w:r>
        <w:rPr>
          <w:rFonts w:hint="eastAsia" w:ascii="宋体" w:hAnsi="宋体"/>
          <w:color w:val="000000" w:themeColor="text1"/>
          <w:sz w:val="24"/>
          <w:szCs w:val="24"/>
          <w:highlight w:val="none"/>
          <w14:textFill>
            <w14:solidFill>
              <w14:schemeClr w14:val="tx1"/>
            </w14:solidFill>
          </w14:textFill>
        </w:rPr>
        <w:t xml:space="preserve">审</w:t>
      </w:r>
      <w:r>
        <w:rPr>
          <w:rFonts w:ascii="宋体" w:hAnsi="宋体"/>
          <w:color w:val="000000" w:themeColor="text1"/>
          <w:sz w:val="24"/>
          <w:szCs w:val="24"/>
          <w:highlight w:val="none"/>
          <w14:textFill>
            <w14:solidFill>
              <w14:schemeClr w14:val="tx1"/>
            </w14:solidFill>
          </w14:textFill>
        </w:rPr>
        <w:t xml:space="preserve">标准、合同文本</w:t>
      </w:r>
      <w:r>
        <w:rPr>
          <w:rFonts w:hint="eastAsia" w:ascii="宋体" w:hAnsi="宋体"/>
          <w:color w:val="000000" w:themeColor="text1"/>
          <w:sz w:val="24"/>
          <w:szCs w:val="24"/>
          <w:highlight w:val="none"/>
          <w14:textFill>
            <w14:solidFill>
              <w14:schemeClr w14:val="tx1"/>
            </w14:solidFill>
          </w14:textFill>
        </w:rPr>
        <w:t xml:space="preserve">及</w:t>
      </w:r>
      <w:r>
        <w:rPr>
          <w:rFonts w:ascii="宋体" w:hAnsi="宋体"/>
          <w:color w:val="000000" w:themeColor="text1"/>
          <w:sz w:val="24"/>
          <w:szCs w:val="24"/>
          <w:highlight w:val="none"/>
          <w14:textFill>
            <w14:solidFill>
              <w14:schemeClr w14:val="tx1"/>
            </w14:solidFill>
          </w14:textFill>
        </w:rPr>
        <w:t xml:space="preserve">资格</w:t>
      </w:r>
      <w:r>
        <w:rPr>
          <w:rFonts w:hint="eastAsia" w:ascii="宋体" w:hAnsi="宋体"/>
          <w:color w:val="000000" w:themeColor="text1"/>
          <w:sz w:val="24"/>
          <w:szCs w:val="24"/>
          <w:highlight w:val="none"/>
          <w14:textFill>
            <w14:solidFill>
              <w14:schemeClr w14:val="tx1"/>
            </w14:solidFill>
          </w14:textFill>
        </w:rPr>
        <w:t xml:space="preserve">审查结果的</w:t>
      </w:r>
      <w:r>
        <w:rPr>
          <w:rFonts w:ascii="宋体" w:hAnsi="宋体"/>
          <w:color w:val="000000" w:themeColor="text1"/>
          <w:sz w:val="24"/>
          <w:szCs w:val="24"/>
          <w:highlight w:val="none"/>
          <w14:textFill>
            <w14:solidFill>
              <w14:schemeClr w14:val="tx1"/>
            </w14:solidFill>
          </w14:textFill>
        </w:rPr>
        <w:t xml:space="preserve">询问</w:t>
      </w:r>
      <w:r>
        <w:rPr>
          <w:rFonts w:hint="eastAsia" w:ascii="宋体" w:hAnsi="宋体"/>
          <w:color w:val="000000" w:themeColor="text1"/>
          <w:sz w:val="24"/>
          <w:szCs w:val="24"/>
          <w:highlight w:val="none"/>
          <w14:textFill>
            <w14:solidFill>
              <w14:schemeClr w14:val="tx1"/>
            </w14:solidFill>
          </w14:textFill>
        </w:rPr>
        <w:t xml:space="preserve">、质疑</w:t>
      </w:r>
      <w:r>
        <w:rPr>
          <w:rFonts w:ascii="宋体" w:hAnsi="宋体"/>
          <w:color w:val="000000" w:themeColor="text1"/>
          <w:sz w:val="24"/>
          <w:szCs w:val="24"/>
          <w:highlight w:val="none"/>
          <w14:textFill>
            <w14:solidFill>
              <w14:schemeClr w14:val="tx1"/>
            </w14:solidFill>
          </w14:textFill>
        </w:rPr>
        <w:t xml:space="preserve">请向采购人提出，由采购人负责答复。</w:t>
      </w:r>
      <w:r>
        <w:rPr>
          <w:rFonts w:hint="eastAsia" w:ascii="宋体" w:hAnsi="宋体"/>
          <w:color w:val="000000" w:themeColor="text1"/>
          <w:sz w:val="24"/>
          <w:szCs w:val="24"/>
          <w:highlight w:val="none"/>
          <w14:textFill>
            <w14:solidFill>
              <w14:schemeClr w14:val="tx1"/>
            </w14:solidFill>
          </w14:textFill>
        </w:rPr>
        <w:t xml:space="preserve">关于评审方面的质疑，采购人可以组织原评审委员会协助答复质疑。</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采购人或采购代理机构只接收以纸质原件形式送达的质疑</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建议供应商尽量通过邮寄方式提交质疑（采购人或采购代理机构不接受未填写快递运单的快件）。</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采购人及采购代理机构质疑接收人及联系方式见本采购文件第一章。</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.5以下情形的质疑不予受理</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.5.1内容不符合《政府采购质疑和投诉办法》第十二条规定的质疑。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.5.2 超出政府采购法定期限的质疑。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.5.3 以传真、电子邮件等方式递交的非原件形式的质疑。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.5.4 未参加磋商活动的供应商或在磋商活动中自身权益未受到损害的供应商所提出的质疑。</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.5.5供应商组成联合体参加磋商，联合体中任何一方或多方未按要求签字、盖章、加盖公章的质疑。</w:t>
      </w:r>
      <w:r/>
    </w:p>
    <w:p>
      <w:pPr>
        <w:ind w:firstLine="468"/>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29</w:t>
      </w:r>
      <w:r>
        <w:rPr>
          <w:rFonts w:hint="eastAsia" w:ascii="宋体" w:hAnsi="宋体"/>
          <w:color w:val="000000" w:themeColor="text1"/>
          <w:sz w:val="24"/>
          <w:szCs w:val="24"/>
          <w:highlight w:val="none"/>
          <w14:textFill>
            <w14:solidFill>
              <w14:schemeClr w14:val="tx1"/>
            </w14:solidFill>
          </w14:textFill>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500" w:lineRule="exact"/>
        <w:shd w:val="clear" w:color="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29.7 </w:t>
      </w:r>
      <w:r>
        <w:rPr>
          <w:rFonts w:hint="eastAsia" w:ascii="宋体" w:hAnsi="宋体"/>
          <w:color w:val="000000" w:themeColor="text1"/>
          <w:highlight w:val="none"/>
          <w14:textFill>
            <w14:solidFill>
              <w14:schemeClr w14:val="tx1"/>
            </w14:solidFill>
          </w14:textFill>
        </w:rPr>
        <w:t xml:space="preserve">提出质疑的</w:t>
      </w:r>
      <w:r>
        <w:rPr>
          <w:rFonts w:hint="eastAsia" w:ascii="宋体" w:hAnsi="宋体" w:eastAsia="宋体"/>
          <w:color w:val="000000" w:themeColor="text1"/>
          <w:highlight w:val="none"/>
          <w14:textFill>
            <w14:solidFill>
              <w14:schemeClr w14:val="tx1"/>
            </w14:solidFill>
          </w14:textFill>
        </w:rPr>
        <w:t xml:space="preserve">投标人</w:t>
      </w:r>
      <w:r>
        <w:rPr>
          <w:rFonts w:hint="eastAsia" w:ascii="宋体" w:hAnsi="宋体"/>
          <w:color w:val="000000" w:themeColor="text1"/>
          <w:highlight w:val="none"/>
          <w14:textFill>
            <w14:solidFill>
              <w14:schemeClr w14:val="tx1"/>
            </w14:solidFill>
          </w14:textFill>
        </w:rPr>
        <w:t xml:space="preserve">对答复不满意的，或者采购人、采购代理机构未在规定期限内作出答复的，可以在答复期满后十五个工作日内向同级政府采购监督管理部门投诉。</w:t>
      </w:r>
      <w:r/>
    </w:p>
    <w:p>
      <w:pPr>
        <w:ind w:firstLine="480"/>
        <w:spacing w:line="500" w:lineRule="exact"/>
        <w:shd w:val="clear" w:color="auto"/>
        <w:rPr>
          <w:rFonts w:hint="eastAsia" w:ascii="宋体" w:hAnsi="宋体" w:eastAsia="宋体"/>
          <w:color w:val="000000" w:themeColor="text1"/>
          <w:sz w:val="24"/>
          <w:szCs w:val="24"/>
          <w:highlight w:val="none"/>
          <w14:textFill>
            <w14:solidFill>
              <w14:schemeClr w14:val="tx1"/>
            </w14:solidFill>
          </w14:textFill>
        </w:rPr>
      </w:pPr>
      <w:r/>
      <w:bookmarkStart w:id="154" w:name="EB8439d347654149b8973a575299810d6b"/>
      <w:r/>
      <w:bookmarkEnd w:id="154"/>
      <w:r>
        <w:rPr>
          <w:rFonts w:hint="eastAsia" w:ascii="宋体" w:hAnsi="宋体"/>
          <w:color w:val="000000" w:themeColor="text1"/>
          <w:highlight w:val="none"/>
          <w:lang w:val="en-US" w:eastAsia="zh-CN"/>
          <w14:textFill>
            <w14:solidFill>
              <w14:schemeClr w14:val="tx1"/>
            </w14:solidFill>
          </w14:textFill>
        </w:rPr>
        <w:t xml:space="preserve">29.8</w:t>
      </w:r>
      <w:r>
        <w:rPr>
          <w:rFonts w:hint="eastAsia" w:ascii="宋体" w:hAnsi="宋体"/>
          <w:color w:val="000000" w:themeColor="text1"/>
          <w:highlight w:val="none"/>
          <w14:textFill>
            <w14:solidFill>
              <w14:schemeClr w14:val="tx1"/>
            </w14:solidFill>
          </w14:textFill>
        </w:rPr>
        <w:t xml:space="preserve">供应商捏造事实、提供虚假材料或者以非法手段取得证明材料进行投诉的，由财政部门列入不良行为记录名单，禁止其1至3年内参加政府采购活动</w:t>
      </w:r>
      <w:r>
        <w:rPr>
          <w:rFonts w:hint="eastAsia" w:ascii="宋体" w:hAnsi="宋体"/>
          <w:color w:val="000000" w:themeColor="text1"/>
          <w:highlight w:val="none"/>
          <w:lang w:eastAsia="zh-CN"/>
          <w14:textFill>
            <w14:solidFill>
              <w14:schemeClr w14:val="tx1"/>
            </w14:solidFill>
          </w14:textFill>
        </w:rPr>
        <w:t xml:space="preserve">。</w:t>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0</w:t>
      </w:r>
      <w:r>
        <w:rPr>
          <w:rFonts w:hint="eastAsia" w:ascii="黑体" w:hAnsi="宋体" w:eastAsia="黑体"/>
          <w:bCs/>
          <w:color w:val="000000" w:themeColor="text1"/>
          <w:sz w:val="30"/>
          <w:szCs w:val="30"/>
          <w:highlight w:val="none"/>
          <w14:textFill>
            <w14:solidFill>
              <w14:schemeClr w14:val="tx1"/>
            </w14:solidFill>
          </w14:textFill>
        </w:rPr>
        <w:t xml:space="preserve">.成交通知书</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0</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成交结果确定后，采购人将向成交供应商发出成交通知书。</w:t>
      </w:r>
      <w:r>
        <w:rPr>
          <w:rFonts w:hint="eastAsia" w:ascii="宋体" w:hAnsi="宋体" w:cs="宋体"/>
          <w:color w:val="000000" w:themeColor="text1"/>
          <w:sz w:val="24"/>
          <w:szCs w:val="24"/>
          <w:highlight w:val="none"/>
          <w14:textFill>
            <w14:solidFill>
              <w14:schemeClr w14:val="tx1"/>
            </w14:solidFill>
          </w14:textFill>
        </w:rPr>
        <w:t xml:space="preserve">请成交供应商在成交结果公告届满之日起30日内</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使用CA数字证书登录</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及时下载成交通知书。因系统存储空间有限，自成交结果公告届满之日起30日后，</w:t>
      </w:r>
      <w:r>
        <w:rPr>
          <w:rFonts w:hint="eastAsia" w:ascii="宋体" w:hAnsi="宋体"/>
          <w:color w:val="000000" w:themeColor="text1"/>
          <w:sz w:val="24"/>
          <w:szCs w:val="24"/>
          <w:highlight w:val="none"/>
          <w14:textFill>
            <w14:solidFill>
              <w14:schemeClr w14:val="tx1"/>
            </w14:solidFill>
          </w14:textFill>
        </w:rPr>
        <w:t xml:space="preserve">苏采云系统</w:t>
      </w:r>
      <w:r>
        <w:rPr>
          <w:rFonts w:hint="eastAsia" w:ascii="宋体" w:hAnsi="宋体" w:cs="宋体"/>
          <w:color w:val="000000" w:themeColor="text1"/>
          <w:sz w:val="24"/>
          <w:szCs w:val="24"/>
          <w:highlight w:val="none"/>
          <w14:textFill>
            <w14:solidFill>
              <w14:schemeClr w14:val="tx1"/>
            </w14:solidFill>
          </w14:textFill>
        </w:rPr>
        <w:t xml:space="preserve">不再保证提供下载成交通知书服务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因未及时下载而造成的不利后果由成交供应商自行承担。</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Times New Roman" w:hAnsi="Times New Roman"/>
          <w:b/>
          <w:bCs/>
          <w:color w:val="000000" w:themeColor="text1"/>
          <w:sz w:val="32"/>
          <w:szCs w:val="32"/>
          <w:highlight w:val="none"/>
          <w14:textFill>
            <w14:solidFill>
              <w14:schemeClr w14:val="tx1"/>
            </w14:solidFill>
          </w14:textFill>
        </w:rPr>
        <w:outlineLvl w:val="1"/>
      </w:pPr>
      <w:r/>
      <w:bookmarkStart w:id="155" w:name="_Toc513029236"/>
      <w:r/>
      <w:bookmarkStart w:id="156" w:name="_Toc20823308"/>
      <w:r/>
      <w:bookmarkStart w:id="157" w:name="_Toc16938552"/>
      <w:r/>
      <w:bookmarkStart w:id="158" w:name="_Toc120614220"/>
      <w:r>
        <w:rPr>
          <w:rFonts w:hint="eastAsia" w:ascii="Times New Roman" w:hAnsi="Times New Roman"/>
          <w:b/>
          <w:bCs/>
          <w:color w:val="000000" w:themeColor="text1"/>
          <w:sz w:val="32"/>
          <w:szCs w:val="32"/>
          <w:highlight w:val="none"/>
          <w14:textFill>
            <w14:solidFill>
              <w14:schemeClr w14:val="tx1"/>
            </w14:solidFill>
          </w14:textFill>
        </w:rPr>
        <w:t xml:space="preserve">七、授予合同</w:t>
      </w:r>
      <w:bookmarkEnd w:id="155"/>
      <w:r/>
      <w:bookmarkEnd w:id="156"/>
      <w:r/>
      <w:bookmarkEnd w:id="157"/>
      <w:r/>
      <w:bookmarkEnd w:id="158"/>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bookmarkStart w:id="159" w:name="_Toc20823309"/>
      <w:r/>
      <w:bookmarkStart w:id="160" w:name="_Toc16938553"/>
      <w:r/>
      <w:bookmarkStart w:id="161" w:name="_Toc513029237"/>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1</w:t>
      </w:r>
      <w:r>
        <w:rPr>
          <w:rFonts w:hint="eastAsia" w:ascii="黑体" w:hAnsi="宋体" w:eastAsia="黑体"/>
          <w:bCs/>
          <w:color w:val="000000" w:themeColor="text1"/>
          <w:sz w:val="30"/>
          <w:szCs w:val="30"/>
          <w:highlight w:val="none"/>
          <w14:textFill>
            <w14:solidFill>
              <w14:schemeClr w14:val="tx1"/>
            </w14:solidFill>
          </w14:textFill>
        </w:rPr>
        <w:t xml:space="preserve">.签订合同</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.2磋商文件、成交供应商的响应文件及磋商过程中有关澄清、承诺文件均应作为合同附件。</w:t>
      </w:r>
      <w:r/>
    </w:p>
    <w:p>
      <w:pPr>
        <w:ind w:firstLine="60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.3 签订合同后，</w:t>
      </w:r>
      <w:r>
        <w:rPr>
          <w:rFonts w:hint="eastAsia" w:ascii="宋体" w:hAnsi="宋体"/>
          <w:b/>
          <w:color w:val="000000" w:themeColor="text1"/>
          <w:sz w:val="24"/>
          <w:szCs w:val="24"/>
          <w:highlight w:val="none"/>
          <w:u w:val="single"/>
          <w14:textFill>
            <w14:solidFill>
              <w14:schemeClr w14:val="tx1"/>
            </w14:solidFill>
          </w14:textFill>
        </w:rPr>
        <w:t xml:space="preserve">成交供应商不得将合同标的进行转包</w:t>
      </w:r>
      <w:r>
        <w:rPr>
          <w:rFonts w:hint="eastAsia" w:ascii="宋体" w:hAnsi="宋体"/>
          <w:color w:val="000000" w:themeColor="text1"/>
          <w:sz w:val="24"/>
          <w:szCs w:val="24"/>
          <w:highlight w:val="none"/>
          <w14:textFill>
            <w14:solidFill>
              <w14:schemeClr w14:val="tx1"/>
            </w14:solidFill>
          </w14:textFill>
        </w:rPr>
        <w:t xml:space="preserve">。未经采购人同意，成交供应商也不得采用分包形式履行合同</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否则采购人有权终止合同。转包或分包造成采购人损失的，成交供应商应承担相应赔偿责任。</w:t>
      </w:r>
      <w:r/>
    </w:p>
    <w:p>
      <w:pPr>
        <w:ind w:firstLine="600"/>
        <w:keepLines/>
        <w:keepNext/>
        <w:spacing w:line="520" w:lineRule="exact"/>
        <w:rPr>
          <w:rFonts w:hint="eastAsia" w:ascii="黑体" w:hAnsi="宋体" w:eastAsia="黑体"/>
          <w:bCs/>
          <w:color w:val="000000" w:themeColor="text1"/>
          <w:sz w:val="30"/>
          <w:szCs w:val="30"/>
          <w:highlight w:val="none"/>
          <w14:textFill>
            <w14:solidFill>
              <w14:schemeClr w14:val="tx1"/>
            </w14:solidFill>
          </w14:textFill>
        </w:rPr>
        <w:outlineLvl w:val="3"/>
      </w:pPr>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2</w:t>
      </w:r>
      <w:r>
        <w:rPr>
          <w:rFonts w:hint="eastAsia" w:ascii="黑体" w:hAnsi="宋体" w:eastAsia="黑体"/>
          <w:bCs/>
          <w:color w:val="000000" w:themeColor="text1"/>
          <w:sz w:val="30"/>
          <w:szCs w:val="30"/>
          <w:highlight w:val="none"/>
          <w14:textFill>
            <w14:solidFill>
              <w14:schemeClr w14:val="tx1"/>
            </w14:solidFill>
          </w14:textFill>
        </w:rPr>
        <w:t xml:space="preserve">.标的物的追加</w:t>
      </w:r>
      <w:r/>
    </w:p>
    <w:p>
      <w:pPr>
        <w:ind w:firstLine="480"/>
        <w:spacing w:line="52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59"/>
      <w:r/>
      <w:bookmarkEnd w:id="160"/>
      <w:r/>
      <w:bookmarkEnd w:id="161"/>
      <w:r/>
      <w:r/>
    </w:p>
    <w:p>
      <w:pPr>
        <w:ind w:firstLine="600"/>
        <w:keepLines/>
        <w:keepNext/>
        <w:spacing w:line="520" w:lineRule="exact"/>
        <w:rPr>
          <w:rFonts w:ascii="黑体" w:hAnsi="宋体" w:eastAsia="黑体"/>
          <w:bCs/>
          <w:color w:val="000000" w:themeColor="text1"/>
          <w:sz w:val="30"/>
          <w:szCs w:val="30"/>
          <w:highlight w:val="none"/>
          <w14:textFill>
            <w14:solidFill>
              <w14:schemeClr w14:val="tx1"/>
            </w14:solidFill>
          </w14:textFill>
        </w:rPr>
        <w:outlineLvl w:val="3"/>
      </w:pPr>
      <w:r/>
      <w:bookmarkStart w:id="162" w:name="_Toc20823314"/>
      <w:r/>
      <w:bookmarkStart w:id="163" w:name="_Toc479757207"/>
      <w:r/>
      <w:bookmarkStart w:id="164" w:name="_Toc16938558"/>
      <w:r/>
      <w:bookmarkStart w:id="165" w:name="_Toc513029242"/>
      <w:r/>
      <w:bookmarkStart w:id="166" w:name="_Toc120614221"/>
      <w:r>
        <w:rPr>
          <w:rFonts w:hint="eastAsia" w:ascii="黑体" w:hAnsi="宋体" w:eastAsia="黑体"/>
          <w:bCs/>
          <w:color w:val="000000" w:themeColor="text1"/>
          <w:sz w:val="30"/>
          <w:szCs w:val="30"/>
          <w:highlight w:val="none"/>
          <w14:textFill>
            <w14:solidFill>
              <w14:schemeClr w14:val="tx1"/>
            </w14:solidFill>
          </w14:textFill>
        </w:rPr>
        <w:t xml:space="preserve">3</w:t>
      </w:r>
      <w:r>
        <w:rPr>
          <w:rFonts w:ascii="黑体" w:hAnsi="宋体" w:eastAsia="黑体"/>
          <w:bCs/>
          <w:color w:val="000000" w:themeColor="text1"/>
          <w:sz w:val="30"/>
          <w:szCs w:val="30"/>
          <w:highlight w:val="none"/>
          <w14:textFill>
            <w14:solidFill>
              <w14:schemeClr w14:val="tx1"/>
            </w14:solidFill>
          </w14:textFill>
        </w:rPr>
        <w:t xml:space="preserve">3</w:t>
      </w:r>
      <w:r>
        <w:rPr>
          <w:rFonts w:hint="eastAsia" w:ascii="黑体" w:hAnsi="宋体" w:eastAsia="黑体"/>
          <w:bCs/>
          <w:color w:val="000000" w:themeColor="text1"/>
          <w:sz w:val="30"/>
          <w:szCs w:val="30"/>
          <w:highlight w:val="none"/>
          <w14:textFill>
            <w14:solidFill>
              <w14:schemeClr w14:val="tx1"/>
            </w14:solidFill>
          </w14:textFill>
        </w:rPr>
        <w:t xml:space="preserve">.政府采购履约资金扶持政策</w:t>
      </w:r>
      <w:r/>
    </w:p>
    <w:p>
      <w:pPr>
        <w:ind w:firstLine="555"/>
        <w:spacing w:line="52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成交供应商可凭政府采购合同办理融资贷款，详情请见江苏政府采购网“政采贷”专栏。</w:t>
      </w:r>
      <w:bookmarkEnd w:id="162"/>
      <w:r/>
      <w:bookmarkEnd w:id="163"/>
      <w:r/>
      <w:bookmarkEnd w:id="164"/>
      <w:r/>
      <w:bookmarkEnd w:id="165"/>
      <w:r/>
      <w:bookmarkEnd w:id="166"/>
      <w:r/>
      <w:bookmarkStart w:id="167" w:name="_Hlt16619350"/>
      <w:r/>
      <w:bookmarkStart w:id="168" w:name="_Toc120614244"/>
      <w:r/>
      <w:bookmarkStart w:id="169" w:name="_Toc16938590"/>
      <w:r/>
      <w:bookmarkStart w:id="170" w:name="_Toc20823346"/>
      <w:r/>
      <w:bookmarkStart w:id="171" w:name="_Toc462564139"/>
      <w:r/>
      <w:bookmarkStart w:id="172" w:name="_Toc479757211"/>
      <w:r/>
      <w:r/>
    </w:p>
    <w:p>
      <w:pPr>
        <w:ind w:firstLine="600"/>
        <w:keepLines/>
        <w:keepNext/>
        <w:spacing w:line="520" w:lineRule="exact"/>
        <w:rPr>
          <w:rFonts w:hint="eastAsia" w:ascii="黑体" w:hAnsi="宋体" w:eastAsia="黑体" w:cs="Times New Roman"/>
          <w:bCs/>
          <w:color w:val="000000" w:themeColor="text1"/>
          <w:sz w:val="30"/>
          <w:szCs w:val="30"/>
          <w:highlight w:val="none"/>
          <w14:textFill>
            <w14:solidFill>
              <w14:schemeClr w14:val="tx1"/>
            </w14:solidFill>
          </w14:textFill>
        </w:rPr>
        <w:outlineLvl w:val="3"/>
      </w:pPr>
      <w:r>
        <w:rPr>
          <w:rFonts w:hint="eastAsia" w:ascii="黑体" w:hAnsi="宋体" w:eastAsia="黑体" w:cs="Times New Roman"/>
          <w:bCs/>
          <w:color w:val="000000" w:themeColor="text1"/>
          <w:sz w:val="30"/>
          <w:szCs w:val="30"/>
          <w:highlight w:val="none"/>
          <w:lang w:val="en-US" w:eastAsia="zh-CN"/>
          <w14:textFill>
            <w14:solidFill>
              <w14:schemeClr w14:val="tx1"/>
            </w14:solidFill>
          </w14:textFill>
        </w:rPr>
        <w:t xml:space="preserve">八</w:t>
      </w:r>
      <w:r>
        <w:rPr>
          <w:rFonts w:hint="eastAsia" w:ascii="黑体" w:hAnsi="宋体" w:eastAsia="黑体" w:cs="Times New Roman"/>
          <w:bCs/>
          <w:color w:val="000000" w:themeColor="text1"/>
          <w:sz w:val="30"/>
          <w:szCs w:val="30"/>
          <w:highlight w:val="none"/>
          <w14:textFill>
            <w14:solidFill>
              <w14:schemeClr w14:val="tx1"/>
            </w14:solidFill>
          </w14:textFill>
        </w:rPr>
        <w:t xml:space="preserve">、其他事项说明：（落实的相关政策）</w:t>
      </w:r>
      <w:r/>
    </w:p>
    <w:p>
      <w:pPr>
        <w:ind w:firstLine="555"/>
        <w:spacing w:line="520" w:lineRule="exact"/>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（一）采购项目需要落实的政府采购政策：依据《中华人民共和国政府采购法》《中华人民共和国政府采购法实施条例》和《政府采购竞争性磋商采购方式管理办法》的有关规定，落实政府采购政策。</w:t>
      </w:r>
      <w:r/>
    </w:p>
    <w:p>
      <w:pPr>
        <w:ind w:firstLine="555"/>
        <w:spacing w:line="520" w:lineRule="exact"/>
        <w:rPr>
          <w:rFonts w:hint="eastAsia" w:ascii="宋体" w:hAnsi="宋体" w:eastAsia="宋体" w:cs="Times New Roman"/>
          <w:bCs/>
          <w:color w:val="000000" w:themeColor="text1"/>
          <w:sz w:val="24"/>
          <w:szCs w:val="24"/>
          <w:highlight w:val="none"/>
          <w:lang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14:textFill>
            <w14:solidFill>
              <w14:schemeClr w14:val="tx1"/>
            </w14:solidFill>
          </w14:textFill>
        </w:rPr>
        <w:t xml:space="preserve">本项目落实政府采购政策需满足的资格要求：</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本项目专门面向中小微企业采购，供应商应为中小微企业、监狱企业、残疾人福利性单位。</w:t>
      </w:r>
      <w:r/>
    </w:p>
    <w:p>
      <w:pPr>
        <w:ind w:firstLine="555"/>
        <w:spacing w:line="52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555"/>
        <w:spacing w:line="52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555"/>
        <w:spacing w:line="52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（3）参加报价的残疾人福利性单位，应根据《关于促进残疾人就业政府采购政策的通知》（财库〔2017〕141号）要求，提供《残疾人福利性单位声明函》，格式见附件。</w:t>
      </w:r>
      <w:r/>
    </w:p>
    <w:p>
      <w:pPr>
        <w:ind w:firstLine="555"/>
        <w:spacing w:line="52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14:textFill>
            <w14:solidFill>
              <w14:schemeClr w14:val="tx1"/>
            </w14:solidFill>
          </w14:textFill>
        </w:rPr>
        <w:t xml:space="preserve">）本次采购标的属于</w:t>
      </w:r>
      <w:r>
        <w:rPr>
          <w:rFonts w:hint="eastAsia" w:ascii="宋体" w:hAnsi="宋体" w:eastAsia="宋体" w:cs="Times New Roman"/>
          <w:b/>
          <w:bCs w:val="0"/>
          <w:color w:val="000000" w:themeColor="text1"/>
          <w:sz w:val="24"/>
          <w:szCs w:val="24"/>
          <w:highlight w:val="none"/>
          <w:u w:val="single"/>
          <w:lang w:val="en-US" w:eastAsia="zh-CN"/>
          <w14:textFill>
            <w14:solidFill>
              <w14:schemeClr w14:val="tx1"/>
            </w14:solidFill>
          </w14:textFill>
        </w:rPr>
        <w:t xml:space="preserve">其他未列明行业</w:t>
      </w:r>
      <w:r>
        <w:rPr>
          <w:rFonts w:hint="eastAsia" w:ascii="宋体" w:hAnsi="宋体" w:eastAsia="宋体" w:cs="Times New Roman"/>
          <w:bCs/>
          <w:color w:val="000000" w:themeColor="text1"/>
          <w:sz w:val="24"/>
          <w:szCs w:val="24"/>
          <w:highlight w:val="none"/>
          <w14:textFill>
            <w14:solidFill>
              <w14:schemeClr w14:val="tx1"/>
            </w14:solidFill>
          </w14:textFill>
        </w:rPr>
        <w:t xml:space="preserve">。</w:t>
      </w:r>
      <w:r/>
    </w:p>
    <w:p>
      <w:pPr>
        <w:ind w:firstLine="555"/>
        <w:spacing w:line="52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4"/>
          <w:szCs w:val="24"/>
          <w:highlight w:val="none"/>
          <w14:textFill>
            <w14:solidFill>
              <w14:schemeClr w14:val="tx1"/>
            </w14:solidFill>
          </w14:textFill>
        </w:rPr>
        <w:t xml:space="preserve">.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555"/>
        <w:spacing w:line="52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4"/>
          <w:szCs w:val="24"/>
          <w:highlight w:val="none"/>
          <w14:textFill>
            <w14:solidFill>
              <w14:schemeClr w14:val="tx1"/>
            </w14:solidFill>
          </w14:textFill>
        </w:rPr>
        <w:t xml:space="preserve">.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555"/>
        <w:spacing w:line="520" w:lineRule="exact"/>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bCs/>
          <w:color w:val="000000" w:themeColor="text1"/>
          <w:sz w:val="24"/>
          <w:szCs w:val="24"/>
          <w:highlight w:val="none"/>
          <w14:textFill>
            <w14:solidFill>
              <w14:schemeClr w14:val="tx1"/>
            </w14:solidFill>
          </w14:textFill>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5.未按要求提供相关材料的，不享受相关政策。</w:t>
      </w:r>
      <w:r/>
    </w:p>
    <w:p>
      <w:pPr>
        <w:ind w:firstLine="555"/>
        <w:spacing w:line="520" w:lineRule="exact"/>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eastAsia="宋体" w:cs="Times New Roman"/>
          <w:b/>
          <w:bCs w:val="0"/>
          <w:color w:val="000000" w:themeColor="text1"/>
          <w:sz w:val="24"/>
          <w:szCs w:val="24"/>
          <w:highlight w:val="none"/>
          <w14:textFill>
            <w14:solidFill>
              <w14:schemeClr w14:val="tx1"/>
            </w14:solidFill>
          </w14:textFill>
        </w:rPr>
        <w:t xml:space="preserve">（二）采购本国产品的支持政策</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3.本项目政府采购活动中既有本国产品又有非本国产品参与竞争的，依法对本国产品给予价格评审优惠，对本国产品的报价给予20%的价格扣除，用扣除后的价格参与评审。</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5.供应商需按照招标文件的要求提供《关于符合本国产品标准的声明函》（以下简称《声明函》），如不提供将不享受本国产品价格评审优惠。</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600"/>
        <w:keepLines/>
        <w:keepNext/>
        <w:spacing w:line="520" w:lineRule="exact"/>
        <w:rPr>
          <w:rFonts w:hint="eastAsia" w:ascii="黑体" w:hAnsi="宋体" w:eastAsia="黑体" w:cs="Times New Roman"/>
          <w:bCs/>
          <w:color w:val="000000" w:themeColor="text1"/>
          <w:sz w:val="30"/>
          <w:szCs w:val="30"/>
          <w:highlight w:val="none"/>
          <w:lang w:val="en-US" w:eastAsia="zh-CN"/>
          <w14:textFill>
            <w14:solidFill>
              <w14:schemeClr w14:val="tx1"/>
            </w14:solidFill>
          </w14:textFill>
        </w:rPr>
        <w:outlineLvl w:val="3"/>
      </w:pPr>
      <w:r>
        <w:rPr>
          <w:rFonts w:hint="eastAsia" w:ascii="黑体" w:hAnsi="宋体" w:eastAsia="黑体" w:cs="Times New Roman"/>
          <w:bCs/>
          <w:color w:val="000000" w:themeColor="text1"/>
          <w:sz w:val="30"/>
          <w:szCs w:val="30"/>
          <w:highlight w:val="none"/>
          <w:lang w:val="en-US" w:eastAsia="zh-CN"/>
          <w14:textFill>
            <w14:solidFill>
              <w14:schemeClr w14:val="tx1"/>
            </w14:solidFill>
          </w14:textFill>
        </w:rPr>
        <w:t xml:space="preserve">九、关于异常低价的审查</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根据财库〔2026〕2号文《财政部关于推动解决政府采购异常低价问题的通知》：</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1.政府采购评审中出现下列情形之一的，评审委员会应当启动异常低价投标（响应）审查程序：</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1.1投标（响应）报价低于全部通过符合性审查供应商投标（响应）报价平均值50%的，即投标（响应）报价</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全部通过符合性审查供应商投标（响应）报价平均值×50%；</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1.2投标（响应）报价低于通过符合性审查的次低报价供应商投标（响应）报价50%的，即投标（响应）报价</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通过符合性审查的次低报价供应商投标（响应）报价×50%；</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1.3投标（响应）报价低于采购项目最高限价45%的，即投标（响应）报价</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采购项目最高限价×45%；</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1.4评审委员会基于专业判断，认为供应商报价过低，有可能影响产品质量或者不能诚信履约的其他情形。</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5"/>
        <w:rPr>
          <w:rFonts w:hint="eastAsia"/>
          <w:lang w:val="en-US" w:eastAsia="zh-CN"/>
        </w:rPr>
      </w:pPr>
      <w:r>
        <w:rPr>
          <w:rFonts w:hint="eastAsia"/>
          <w:lang w:val="en-US" w:eastAsia="zh-CN"/>
        </w:rPr>
      </w:r>
      <w:r/>
    </w:p>
    <w:p>
      <w:pPr>
        <w:jc w:val="center"/>
        <w:spacing w:line="360" w:lineRule="auto"/>
        <w:rPr>
          <w:rFonts w:hint="eastAsia" w:ascii="仿宋" w:hAnsi="仿宋" w:eastAsia="仿宋"/>
          <w:bCs/>
          <w:color w:val="000000" w:themeColor="text1"/>
          <w:sz w:val="28"/>
          <w:szCs w:val="28"/>
          <w:highlight w:val="none"/>
          <w14:textFill>
            <w14:solidFill>
              <w14:schemeClr w14:val="tx1"/>
            </w14:solidFill>
          </w14:textFill>
        </w:rPr>
        <w:outlineLvl w:val="0"/>
      </w:pPr>
      <w:r>
        <w:rPr>
          <w:rFonts w:hint="eastAsia" w:ascii="黑体" w:hAnsi="Courier New" w:eastAsia="黑体" w:cs="Courier New"/>
          <w:bCs/>
          <w:color w:val="000000" w:themeColor="text1"/>
          <w:sz w:val="44"/>
          <w:szCs w:val="21"/>
          <w:highlight w:val="none"/>
          <w14:textFill>
            <w14:solidFill>
              <w14:schemeClr w14:val="tx1"/>
            </w14:solidFill>
          </w14:textFill>
        </w:rPr>
        <w:br w:type="page" w:clear="all"/>
      </w:r>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bookmarkEnd w:id="167"/>
      <w:r>
        <w:rPr>
          <w:rFonts w:hint="eastAsia" w:ascii="黑体" w:hAnsi="Courier New" w:eastAsia="黑体" w:cs="Courier New"/>
          <w:bCs/>
          <w:color w:val="000000" w:themeColor="text1"/>
          <w:sz w:val="44"/>
          <w:szCs w:val="21"/>
          <w:highlight w:val="none"/>
          <w14:textFill>
            <w14:solidFill>
              <w14:schemeClr w14:val="tx1"/>
            </w14:solidFill>
          </w14:textFill>
        </w:rPr>
        <w:t xml:space="preserve">三章 </w:t>
      </w:r>
      <w:r>
        <w:rPr>
          <w:rFonts w:hint="eastAsia" w:ascii="黑体" w:hAnsi="Courier New" w:eastAsia="黑体" w:cs="Courier New"/>
          <w:bCs/>
          <w:color w:val="000000" w:themeColor="text1"/>
          <w:sz w:val="44"/>
          <w:szCs w:val="21"/>
          <w:highlight w:val="none"/>
          <w:lang w:val="en-US" w:eastAsia="zh-CN"/>
          <w14:textFill>
            <w14:solidFill>
              <w14:schemeClr w14:val="tx1"/>
            </w14:solidFill>
          </w14:textFill>
        </w:rPr>
        <w:t xml:space="preserve">项目</w:t>
      </w:r>
      <w:r>
        <w:rPr>
          <w:rFonts w:hint="eastAsia" w:ascii="黑体" w:hAnsi="Courier New" w:eastAsia="黑体" w:cs="Courier New"/>
          <w:bCs/>
          <w:color w:val="000000" w:themeColor="text1"/>
          <w:sz w:val="44"/>
          <w:szCs w:val="21"/>
          <w:highlight w:val="none"/>
          <w14:textFill>
            <w14:solidFill>
              <w14:schemeClr w14:val="tx1"/>
            </w14:solidFill>
          </w14:textFill>
        </w:rPr>
        <w:t xml:space="preserve">需求</w:t>
      </w:r>
      <w:bookmarkEnd w:id="168"/>
      <w:r/>
      <w:bookmarkEnd w:id="169"/>
      <w:r/>
      <w:bookmarkEnd w:id="170"/>
      <w:r/>
      <w:bookmarkStart w:id="173" w:name="_Toc49090575"/>
      <w:r/>
      <w:bookmarkStart w:id="174" w:name="_Toc26554093"/>
      <w:r/>
      <w:r/>
    </w:p>
    <w:p>
      <w:pPr>
        <w:ind w:firstLine="560"/>
        <w:keepLines w:val="0"/>
        <w:keepNext w:val="0"/>
        <w:pageBreakBefore w:val="0"/>
        <w:spacing w:line="360" w:lineRule="auto"/>
        <w:rPr>
          <w:rFonts w:hint="default"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cs="宋体"/>
          <w:bCs/>
          <w:color w:val="000000" w:themeColor="text1"/>
          <w:sz w:val="28"/>
          <w:szCs w:val="28"/>
          <w:highlight w:val="none"/>
          <w:lang w:val="en-US" w:eastAsia="zh-CN"/>
          <w14:textFill>
            <w14:solidFill>
              <w14:schemeClr w14:val="tx1"/>
            </w14:solidFill>
          </w14:textFill>
        </w:rPr>
        <w:t xml:space="preserve">一、维保设备清单</w:t>
      </w:r>
      <w:r/>
    </w:p>
    <w:tbl>
      <w:tblPr>
        <w:tblStyle w:val="772"/>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3655"/>
        <w:gridCol w:w="708"/>
        <w:gridCol w:w="2689"/>
        <w:gridCol w:w="1380"/>
      </w:tblGrid>
      <w:tr>
        <w:trPr>
          <w:jc w:val="center"/>
          <w:trHeight w:val="419"/>
        </w:trPr>
        <w:tc>
          <w:tcPr>
            <w:tcW w:w="706"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品目</w:t>
            </w:r>
            <w:r/>
          </w:p>
        </w:tc>
        <w:tc>
          <w:tcPr>
            <w:tcW w:w="3655"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维保设备名称</w:t>
            </w:r>
            <w:r/>
          </w:p>
        </w:tc>
        <w:tc>
          <w:tcPr>
            <w:tcW w:w="708"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数量</w:t>
            </w:r>
            <w:r/>
          </w:p>
        </w:tc>
        <w:tc>
          <w:tcPr>
            <w:tcW w:w="2689"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设备型号</w:t>
            </w:r>
            <w:r/>
          </w:p>
        </w:tc>
        <w:tc>
          <w:tcPr>
            <w:tcW w:w="1380"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服务类型</w:t>
            </w:r>
            <w:r/>
          </w:p>
        </w:tc>
      </w:tr>
      <w:tr>
        <w:trPr>
          <w:jc w:val="center"/>
          <w:trHeight w:val="425"/>
        </w:trPr>
        <w:tc>
          <w:tcPr>
            <w:tcW w:w="706"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01</w:t>
            </w:r>
            <w:r/>
          </w:p>
        </w:tc>
        <w:tc>
          <w:tcPr>
            <w:tcW w:w="3655"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准分子角膜激光治疗仪</w:t>
            </w:r>
            <w:r/>
          </w:p>
        </w:tc>
        <w:tc>
          <w:tcPr>
            <w:tcW w:w="708"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2689"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蔡司 MEL90</w:t>
            </w:r>
            <w:r/>
          </w:p>
        </w:tc>
        <w:tc>
          <w:tcPr>
            <w:tcW w:w="1380"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全保</w:t>
            </w:r>
            <w:r/>
          </w:p>
        </w:tc>
      </w:tr>
      <w:tr>
        <w:trPr>
          <w:jc w:val="center"/>
          <w:trHeight w:val="425"/>
        </w:trPr>
        <w:tc>
          <w:tcPr>
            <w:tcW w:w="706"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02</w:t>
            </w:r>
            <w:r/>
          </w:p>
        </w:tc>
        <w:tc>
          <w:tcPr>
            <w:tcW w:w="3655"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眼科手术显微镜</w:t>
            </w:r>
            <w:r>
              <w:rPr>
                <w:rFonts w:hint="eastAsia" w:ascii="宋体" w:hAnsi="宋体" w:cs="宋体"/>
                <w:b w:val="0"/>
                <w:bCs/>
                <w:sz w:val="24"/>
                <w:szCs w:val="24"/>
                <w:lang w:eastAsia="zh-CN"/>
              </w:rPr>
              <w:t xml:space="preserve">（</w:t>
            </w:r>
            <w:r>
              <w:rPr>
                <w:rFonts w:hint="eastAsia" w:ascii="宋体" w:hAnsi="宋体" w:eastAsia="宋体" w:cs="宋体"/>
                <w:b w:val="0"/>
                <w:bCs/>
                <w:sz w:val="24"/>
                <w:szCs w:val="24"/>
              </w:rPr>
              <w:t xml:space="preserve">含导航Callisto eye和Resight700</w:t>
            </w:r>
            <w:r>
              <w:rPr>
                <w:rFonts w:hint="eastAsia" w:ascii="宋体" w:hAnsi="宋体" w:cs="宋体"/>
                <w:b w:val="0"/>
                <w:bCs/>
                <w:sz w:val="24"/>
                <w:szCs w:val="24"/>
                <w:lang w:eastAsia="zh-CN"/>
              </w:rPr>
              <w:t xml:space="preserve">）</w:t>
            </w:r>
            <w:r/>
          </w:p>
        </w:tc>
        <w:tc>
          <w:tcPr>
            <w:tcW w:w="708"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2689"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蔡司OPMI Lumera700</w:t>
            </w:r>
            <w:r/>
          </w:p>
        </w:tc>
        <w:tc>
          <w:tcPr>
            <w:tcW w:w="1380"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全保</w:t>
            </w:r>
            <w:r/>
          </w:p>
        </w:tc>
      </w:tr>
      <w:tr>
        <w:trPr>
          <w:jc w:val="center"/>
          <w:trHeight w:val="425"/>
        </w:trPr>
        <w:tc>
          <w:tcPr>
            <w:tcW w:w="706"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03</w:t>
            </w:r>
            <w:r/>
          </w:p>
        </w:tc>
        <w:tc>
          <w:tcPr>
            <w:tcW w:w="3655"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手术显微镜</w:t>
            </w:r>
            <w:r/>
          </w:p>
        </w:tc>
        <w:tc>
          <w:tcPr>
            <w:tcW w:w="708"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2689"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蔡司Tivato700</w:t>
            </w:r>
            <w:r/>
          </w:p>
        </w:tc>
        <w:tc>
          <w:tcPr>
            <w:tcW w:w="1380" w:type="dxa"/>
            <w:vAlign w:val="center"/>
            <w:textDirection w:val="lrTb"/>
            <w:noWrap w:val="false"/>
          </w:tcPr>
          <w:p>
            <w:pPr>
              <w:jc w:val="center"/>
              <w:spacing w:after="0"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全保</w:t>
            </w:r>
            <w:r/>
          </w:p>
        </w:tc>
      </w:tr>
    </w:tbl>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包含配件、人工、差旅、安装调试及相关技术支持</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全部费用。</w:t>
      </w:r>
      <w:r/>
    </w:p>
    <w:p>
      <w:pPr>
        <w:ind w:firstLine="560"/>
        <w:keepLines w:val="0"/>
        <w:keepNext w:val="0"/>
        <w:pageBreakBefore w:val="0"/>
        <w:spacing w:line="360" w:lineRule="auto"/>
        <w:rPr>
          <w:rFonts w:hint="default"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二、技术要求</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1.▲服务内容：在服务期限内若发生故障，则更换所有有问题的零部件；所更换的零部件必须为原厂全新备件。包含主机所有部件</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，包</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含激光管、扫描器、能量探测器、控制电脑等，不包含移机、耗材费用。准分子角膜激光治疗仪每年提供不少于4次（显微镜每年2次）预防性维护保养，包括但不限于机器清洁、性能测试及校准、必要的机械或电气检查、非紧急性质的补救性维修，确保系统能按照制造商的产品规格运行。</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2.维修响应时间：</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2.1报修后工程师电话响应时间不超过2小时，由原厂认证的在职资深工程师提供电话技术支持：答疑、即时诊断机器故障、制定维修方案。</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2.2现场检修：48小时以内到达现场（因不可抗力因素导致无法执行除外），由原厂认证授权的在职工程师提供快速优质的现场服务。</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2.3▲确保所有相关配件（含激光腔）国内有货，承诺院方所有备件的优先使用权，并在48小时之内送达医院。如维修不涉及零配件更换，应在48小时内修复完毕（软件重装除外）；如</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涉及</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零配件更换，应在3日内修复完毕。</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2.4全年开机率≥95%（按照一年365日计算），每年因设备故障原因停机累计不超过18个日历日。任何一台设备停机天数超过约定累计停机天数一天，保修期限延长1天。</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2.5 ▲使用原厂专用校准工具进行保养和维修。核心原厂配件（如：激光腔、扫描器、气体控制板SO1、POLO控制器）在更换时，需提供进口配件的报关单复印件及原厂证明材料。</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3.具备客户服务专线电话，全年可接通，有专人接听。</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4.投标人在国内设有零备件库，提供仓库地址面积等信息，并提供相关证明材料（提供零备件库的产权证明或租赁协议，如为租赁协议的，租赁期限需涵盖本项目服务期）</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5.投标人具有全套维修工具，并提供适用于本次维保设备的相关维修工具图片。</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6.</w:t>
      </w:r>
      <w:bookmarkStart w:id="175" w:name="_Hlk193985810"/>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服务期内，每次故障维修及保养，必须提供完整详细的维修、保养记录（含故障原因、解决过程及更换配件情况等，英文书写的需有中文备注），交院方设备处备案。</w:t>
      </w:r>
      <w:bookmarkEnd w:id="175"/>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7.维保期限内，根据临床需求提供准分子氟化氩气体1瓶/年，准分子测试纸1盒/年。</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8.维保期限内，根据临床需求提供Tivato 700显微镜原厂300W氙灯，1个/年。</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9.维保期限内，根据临床需求提供Lumera700显微镜原厂180W氙灯，4个/年。</w:t>
      </w:r>
      <w:r/>
    </w:p>
    <w:p>
      <w:pPr>
        <w:pStyle w:val="755"/>
        <w:rPr>
          <w:rFonts w:hint="eastAsia"/>
          <w:lang w:val="en-US" w:eastAsia="zh-CN"/>
        </w:rPr>
      </w:pPr>
      <w:r>
        <w:rPr>
          <w:rFonts w:hint="eastAsia"/>
          <w:lang w:val="en-US" w:eastAsia="zh-CN"/>
        </w:rPr>
      </w:r>
      <w:r/>
    </w:p>
    <w:p>
      <w:pPr>
        <w:ind w:firstLine="560"/>
        <w:keepLines w:val="0"/>
        <w:keepNext w:val="0"/>
        <w:pageBreakBefore w:val="0"/>
        <w:spacing w:line="360" w:lineRule="auto"/>
        <w:rPr>
          <w:rFonts w:hint="default" w:ascii="宋体" w:hAnsi="宋体" w:eastAsia="宋体" w:cs="宋体"/>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★三、商务要求</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1.付款方式：</w:t>
      </w:r>
      <w:r>
        <w:rPr>
          <w:rFonts w:hint="eastAsia" w:ascii="宋体" w:hAnsi="宋体" w:cs="Times New Roman"/>
          <w:bCs/>
          <w:color w:val="000000" w:themeColor="text1"/>
          <w:sz w:val="24"/>
          <w:szCs w:val="24"/>
          <w:highlight w:val="none"/>
          <w:lang w:val="en-US" w:eastAsia="zh-CN"/>
          <w14:textFill>
            <w14:solidFill>
              <w14:schemeClr w14:val="tx1"/>
            </w14:solidFill>
          </w14:textFill>
        </w:rPr>
        <w:t xml:space="preserve">分四期付款，合同签订后每半年支付一次</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2.服务地点：泰州市人民医院</w:t>
      </w:r>
      <w:r/>
    </w:p>
    <w:p>
      <w:pPr>
        <w:ind w:firstLine="555"/>
        <w:spacing w:line="520" w:lineRule="exact"/>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3.合同履行期限：2年</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4.履约保证金</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4.1本项目履约保证金额度为成交总价的10%。</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4.2依据泰财购〔2023〕11号精神，供应商应当以支票、汇票、本票或者金融机构、担保机构出具的保函、电子保函、保证保险、电子保证保险等非现金形式提交，履约保证金在合同签订前提交给采购人（具体采用哪种形式由供应商在签订合同前与采购人财务部门对接）。</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4.3履约保证金返还：合同履行完成后无息退还。</w:t>
      </w:r>
      <w:r/>
    </w:p>
    <w:p>
      <w:pPr>
        <w:ind w:firstLine="555"/>
        <w:spacing w:line="520" w:lineRule="exact"/>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4.4若成交供应商在执行合同中有任何不履约行为，视情节，采购人可从其履约保证金中取得补偿，不足部分，将依法追究其相应的法律责任。</w:t>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ind w:firstLine="555"/>
        <w:spacing w:line="520" w:lineRule="exact"/>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r>
      <w:r/>
    </w:p>
    <w:p>
      <w:pPr>
        <w:jc w:val="center"/>
        <w:keepNext/>
        <w:spacing w:line="360" w:lineRule="auto"/>
        <w:rPr>
          <w:rFonts w:ascii="宋体" w:hAnsi="宋体" w:cs="宋体"/>
          <w:b/>
          <w:bCs/>
          <w:color w:val="000000" w:themeColor="text1"/>
          <w:spacing w:val="-20"/>
          <w:sz w:val="48"/>
          <w:szCs w:val="48"/>
          <w:highlight w:val="none"/>
          <w14:textFill>
            <w14:solidFill>
              <w14:schemeClr w14:val="tx1"/>
            </w14:solidFill>
          </w14:textFill>
        </w:rPr>
        <w:outlineLvl w:val="0"/>
      </w:pPr>
      <w:r>
        <w:rPr>
          <w:rFonts w:hint="eastAsia" w:ascii="黑体" w:eastAsia="黑体"/>
          <w:bCs/>
          <w:color w:val="000000" w:themeColor="text1"/>
          <w:sz w:val="44"/>
          <w:szCs w:val="28"/>
          <w:highlight w:val="none"/>
          <w14:textFill>
            <w14:solidFill>
              <w14:schemeClr w14:val="tx1"/>
            </w14:solidFill>
          </w14:textFill>
        </w:rPr>
        <w:br w:type="page" w:clear="all"/>
      </w:r>
      <w:r>
        <w:rPr>
          <w:rFonts w:hint="eastAsia" w:ascii="黑体" w:hAnsi="Courier New" w:eastAsia="黑体" w:cs="Courier New"/>
          <w:bCs/>
          <w:color w:val="000000" w:themeColor="text1"/>
          <w:sz w:val="44"/>
          <w:szCs w:val="21"/>
          <w:highlight w:val="none"/>
          <w14:textFill>
            <w14:solidFill>
              <w14:schemeClr w14:val="tx1"/>
            </w14:solidFill>
          </w14:textFill>
        </w:rPr>
        <w:t xml:space="preserve">第</w:t>
      </w:r>
      <w:r>
        <w:rPr>
          <w:rFonts w:hint="eastAsia" w:ascii="黑体" w:hAnsi="Courier New" w:eastAsia="黑体" w:cs="Courier New"/>
          <w:bCs/>
          <w:color w:val="000000" w:themeColor="text1"/>
          <w:sz w:val="44"/>
          <w:szCs w:val="21"/>
          <w:highlight w:val="none"/>
          <w:lang w:val="en-US" w:eastAsia="zh-CN"/>
          <w14:textFill>
            <w14:solidFill>
              <w14:schemeClr w14:val="tx1"/>
            </w14:solidFill>
          </w14:textFill>
        </w:rPr>
        <w:t xml:space="preserve">四</w:t>
      </w:r>
      <w:r>
        <w:rPr>
          <w:rFonts w:hint="eastAsia" w:ascii="黑体" w:hAnsi="Courier New" w:eastAsia="黑体" w:cs="Courier New"/>
          <w:bCs/>
          <w:color w:val="000000" w:themeColor="text1"/>
          <w:sz w:val="44"/>
          <w:szCs w:val="21"/>
          <w:highlight w:val="none"/>
          <w14:textFill>
            <w14:solidFill>
              <w14:schemeClr w14:val="tx1"/>
            </w14:solidFill>
          </w14:textFill>
        </w:rPr>
        <w:t xml:space="preserve">章 </w:t>
      </w:r>
      <w:r>
        <w:rPr>
          <w:rFonts w:hint="eastAsia" w:ascii="黑体" w:eastAsia="黑体"/>
          <w:bCs/>
          <w:color w:val="000000" w:themeColor="text1"/>
          <w:sz w:val="44"/>
          <w:szCs w:val="28"/>
          <w:highlight w:val="none"/>
          <w14:textFill>
            <w14:solidFill>
              <w14:schemeClr w14:val="tx1"/>
            </w14:solidFill>
          </w14:textFill>
        </w:rPr>
        <w:t xml:space="preserve">合同条款及格式（参考）</w:t>
      </w:r>
      <w:bookmarkStart w:id="176" w:name="_Toc3995"/>
      <w:r/>
      <w:bookmarkEnd w:id="176"/>
      <w:r/>
      <w:bookmarkStart w:id="177" w:name="_Hlt16619369"/>
      <w:r/>
      <w:bookmarkEnd w:id="177"/>
      <w:r/>
      <w:r/>
    </w:p>
    <w:p>
      <w:pPr>
        <w:ind w:firstLine="480"/>
        <w:keepLines w:val="0"/>
        <w:keepNext w:val="0"/>
        <w:pageBreakBefore w:val="0"/>
        <w:spacing w:line="360" w:lineRule="auto"/>
        <w:widowControl w:val="off"/>
        <w:rPr>
          <w:rFonts w:hAnsi="宋体"/>
          <w:b w:val="0"/>
          <w:bCs/>
          <w:color w:val="000000" w:themeColor="text1"/>
          <w:szCs w:val="24"/>
          <w:highlight w:val="none"/>
          <w14:textFill>
            <w14:solidFill>
              <w14:schemeClr w14:val="tx1"/>
            </w14:solidFill>
          </w14:textFill>
        </w:rPr>
      </w:pPr>
      <w:r/>
      <w:bookmarkStart w:id="178" w:name="_Toc120614281"/>
      <w:r>
        <w:rPr>
          <w:rFonts w:hint="eastAsia" w:hAnsi="宋体"/>
          <w:bCs/>
          <w:color w:val="000000" w:themeColor="text1"/>
          <w:szCs w:val="24"/>
          <w:highlight w:val="none"/>
          <w14:textFill>
            <w14:solidFill>
              <w14:schemeClr w14:val="tx1"/>
            </w14:solidFill>
          </w14:textFill>
        </w:rPr>
        <w:t xml:space="preserve">注：本合同仅为合同的参考文本，合同签订双方可根据项目的具体要求进行修订，但不得更改实质性要求。</w:t>
      </w:r>
      <w:r/>
    </w:p>
    <w:p>
      <w:pPr>
        <w:keepLines w:val="0"/>
        <w:keepNext w:val="0"/>
        <w:pageBreakBefore w:val="0"/>
        <w:spacing w:line="360" w:lineRule="auto"/>
        <w:widowControl w:val="off"/>
        <w:rPr>
          <w:rFonts w:hAnsi="宋体"/>
          <w:bCs/>
          <w:color w:val="000000" w:themeColor="text1"/>
          <w:sz w:val="28"/>
          <w:szCs w:val="28"/>
          <w:highlight w:val="none"/>
          <w14:textFill>
            <w14:solidFill>
              <w14:schemeClr w14:val="tx1"/>
            </w14:solidFill>
          </w14:textFill>
        </w:rPr>
      </w:pPr>
      <w:r>
        <w:rPr>
          <w:rFonts w:hAnsi="宋体"/>
          <w:bCs/>
          <w:color w:val="000000" w:themeColor="text1"/>
          <w:sz w:val="28"/>
          <w:szCs w:val="28"/>
          <w:highlight w:val="none"/>
          <w14:textFill>
            <w14:solidFill>
              <w14:schemeClr w14:val="tx1"/>
            </w14:solidFill>
          </w14:textFill>
        </w:rPr>
      </w:r>
      <w:r/>
    </w:p>
    <w:p>
      <w:pPr>
        <w:jc w:val="center"/>
        <w:keepLines w:val="0"/>
        <w:keepNext w:val="0"/>
        <w:pageBreakBefore w:val="0"/>
        <w:widowControl w:val="off"/>
        <w:rPr>
          <w:rFonts w:ascii="黑体" w:hAnsi="黑体" w:eastAsia="黑体" w:cs="Times New Roman"/>
          <w:bCs/>
          <w:color w:val="000000" w:themeColor="text1"/>
          <w:sz w:val="30"/>
          <w:szCs w:val="20"/>
          <w:highlight w:val="none"/>
          <w14:textFill>
            <w14:solidFill>
              <w14:schemeClr w14:val="tx1"/>
            </w14:solidFill>
          </w14:textFill>
        </w:rPr>
        <w:outlineLvl w:val="0"/>
      </w:pPr>
      <w:r>
        <w:rPr>
          <w:rFonts w:hint="eastAsia" w:ascii="黑体" w:hAnsi="黑体" w:eastAsia="黑体" w:cs="Times New Roman"/>
          <w:color w:val="000000" w:themeColor="text1"/>
          <w:sz w:val="30"/>
          <w:szCs w:val="21"/>
          <w:highlight w:val="none"/>
          <w14:textFill>
            <w14:solidFill>
              <w14:schemeClr w14:val="tx1"/>
            </w14:solidFill>
          </w14:textFill>
        </w:rPr>
        <w:t xml:space="preserve">政府采购合同（服务类）（合同编号）</w:t>
      </w:r>
      <w:r/>
    </w:p>
    <w:p>
      <w:pPr>
        <w:keepLines w:val="0"/>
        <w:keepNext w:val="0"/>
        <w:pageBreakBefore w:val="0"/>
        <w:spacing w:before="120" w:after="120"/>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项目名称：                                       项目编号：</w:t>
      </w:r>
      <w:r/>
    </w:p>
    <w:p>
      <w:pPr>
        <w:keepLines w:val="0"/>
        <w:keepNext w:val="0"/>
        <w:pageBreakBefore w:val="0"/>
        <w:spacing w:before="120" w:after="120"/>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r>
      <w:r/>
    </w:p>
    <w:p>
      <w:pPr>
        <w:keepLines w:val="0"/>
        <w:keepNext w:val="0"/>
        <w:pageBreakBefore w:val="0"/>
        <w:spacing w:before="120" w:after="120"/>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甲方：（买方）</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p>
    <w:p>
      <w:pPr>
        <w:keepLines w:val="0"/>
        <w:keepNext w:val="0"/>
        <w:pageBreakBefore w:val="0"/>
        <w:spacing w:before="120" w:after="120"/>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乙方：（卖方）</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根据《中华人民共和国民法典（合同编）》、《中华人民共和国政府采购法》等法律法规的规定以及</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项目采购结果，甲乙双方遵循平等、自愿、公平、诚实信用的原则，就</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项目事宜经双方协商一致，订立本合同。</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t xml:space="preserve">一、</w:t>
      </w:r>
      <w:r>
        <w:rPr>
          <w:rFonts w:hint="eastAsia" w:ascii="宋体" w:hAnsi="宋体" w:eastAsia="宋体" w:cs="Times New Roman"/>
          <w:b/>
          <w:color w:val="000000" w:themeColor="text1"/>
          <w:sz w:val="24"/>
          <w:szCs w:val="24"/>
          <w:highlight w:val="none"/>
          <w14:textFill>
            <w14:solidFill>
              <w14:schemeClr w14:val="tx1"/>
            </w14:solidFill>
          </w14:textFill>
        </w:rPr>
        <w:t xml:space="preserve">合同</w:t>
      </w:r>
      <w:r>
        <w:rPr>
          <w:rFonts w:ascii="宋体" w:hAnsi="宋体" w:eastAsia="宋体" w:cs="Times New Roman"/>
          <w:b/>
          <w:color w:val="000000" w:themeColor="text1"/>
          <w:sz w:val="24"/>
          <w:szCs w:val="24"/>
          <w:highlight w:val="none"/>
          <w14:textFill>
            <w14:solidFill>
              <w14:schemeClr w14:val="tx1"/>
            </w14:solidFill>
          </w14:textFill>
        </w:rPr>
        <w:t xml:space="preserve">内容</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1.1 </w:t>
      </w:r>
      <w:r>
        <w:rPr>
          <w:rFonts w:hint="eastAsia" w:ascii="宋体" w:hAnsi="宋体" w:eastAsia="宋体" w:cs="Times New Roman"/>
          <w:color w:val="000000" w:themeColor="text1"/>
          <w:sz w:val="24"/>
          <w:szCs w:val="24"/>
          <w:highlight w:val="none"/>
          <w14:textFill>
            <w14:solidFill>
              <w14:schemeClr w14:val="tx1"/>
            </w14:solidFill>
          </w14:textFill>
        </w:rPr>
        <w:t xml:space="preserve">标的</w:t>
      </w:r>
      <w:r>
        <w:rPr>
          <w:rFonts w:ascii="宋体" w:hAnsi="宋体" w:eastAsia="宋体" w:cs="Times New Roman"/>
          <w:color w:val="000000" w:themeColor="text1"/>
          <w:sz w:val="24"/>
          <w:szCs w:val="24"/>
          <w:highlight w:val="none"/>
          <w14:textFill>
            <w14:solidFill>
              <w14:schemeClr w14:val="tx1"/>
            </w14:solidFill>
          </w14:textFill>
        </w:rPr>
        <w:t xml:space="preserve">名称：</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1.2</w:t>
      </w:r>
      <w:r>
        <w:rPr>
          <w:rFonts w:hint="eastAsia" w:ascii="宋体" w:hAnsi="宋体" w:eastAsia="宋体" w:cs="Times New Roman"/>
          <w:color w:val="000000" w:themeColor="text1"/>
          <w:sz w:val="24"/>
          <w:szCs w:val="24"/>
          <w:highlight w:val="none"/>
          <w14:textFill>
            <w14:solidFill>
              <w14:schemeClr w14:val="tx1"/>
            </w14:solidFill>
          </w14:textFill>
        </w:rPr>
        <w:t xml:space="preserve">标的质量：</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1.3 服务内容及范围（规模）：</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1.4 履行时间（期限）：</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1.5 履行地点：</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1.</w:t>
      </w:r>
      <w:r>
        <w:rPr>
          <w:rFonts w:hint="eastAsia" w:ascii="宋体" w:hAnsi="宋体" w:eastAsia="宋体" w:cs="Times New Roman"/>
          <w:color w:val="000000" w:themeColor="text1"/>
          <w:sz w:val="24"/>
          <w:szCs w:val="24"/>
          <w:highlight w:val="none"/>
          <w14:textFill>
            <w14:solidFill>
              <w14:schemeClr w14:val="tx1"/>
            </w14:solidFill>
          </w14:textFill>
        </w:rPr>
        <w:t xml:space="preserve">6履行方式：</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t xml:space="preserve">二、合同金额</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2.1 本合同金额为（大写）：____________________________________</w:t>
      </w:r>
      <w:r>
        <w:rPr>
          <w:rFonts w:hint="eastAsia" w:ascii="宋体" w:hAnsi="宋体" w:eastAsia="宋体" w:cs="Times New Roman"/>
          <w:color w:val="000000" w:themeColor="text1"/>
          <w:sz w:val="24"/>
          <w:szCs w:val="24"/>
          <w:highlight w:val="none"/>
          <w14:textFill>
            <w14:solidFill>
              <w14:schemeClr w14:val="tx1"/>
            </w14:solidFill>
          </w14:textFill>
        </w:rPr>
        <w:t xml:space="preserve">圆</w:t>
      </w:r>
      <w:r>
        <w:rPr>
          <w:rFonts w:ascii="宋体" w:hAnsi="宋体" w:eastAsia="宋体" w:cs="Times New Roman"/>
          <w:color w:val="000000" w:themeColor="text1"/>
          <w:sz w:val="24"/>
          <w:szCs w:val="24"/>
          <w:highlight w:val="none"/>
          <w14:textFill>
            <w14:solidFill>
              <w14:schemeClr w14:val="tx1"/>
            </w14:solidFill>
          </w14:textFill>
        </w:rPr>
        <w:t xml:space="preserve">（_______________元）人民币。</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t xml:space="preserve">三、技术资料</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3.</w:t>
      </w:r>
      <w:r>
        <w:rPr>
          <w:rFonts w:hint="eastAsia" w:ascii="宋体" w:hAnsi="宋体" w:eastAsia="宋体" w:cs="Times New Roman"/>
          <w:color w:val="000000" w:themeColor="text1"/>
          <w:sz w:val="24"/>
          <w:szCs w:val="24"/>
          <w:highlight w:val="none"/>
          <w14:textFill>
            <w14:solidFill>
              <w14:schemeClr w14:val="tx1"/>
            </w14:solidFill>
          </w14:textFill>
        </w:rPr>
        <w:t xml:space="preserve">1 </w:t>
      </w:r>
      <w:r>
        <w:rPr>
          <w:rFonts w:ascii="宋体" w:hAnsi="宋体" w:eastAsia="宋体" w:cs="Times New Roman"/>
          <w:color w:val="000000" w:themeColor="text1"/>
          <w:sz w:val="24"/>
          <w:szCs w:val="24"/>
          <w:highlight w:val="none"/>
          <w14:textFill>
            <w14:solidFill>
              <w14:schemeClr w14:val="tx1"/>
            </w14:solidFill>
          </w14:textFill>
        </w:rPr>
        <w:t xml:space="preserve">乙方应按采购文件规定的时间向甲方提供服务</w:t>
      </w:r>
      <w:r>
        <w:rPr>
          <w:rFonts w:hint="eastAsia" w:ascii="宋体" w:hAnsi="宋体" w:eastAsia="宋体" w:cs="Times New Roman"/>
          <w:color w:val="000000" w:themeColor="text1"/>
          <w:sz w:val="24"/>
          <w:szCs w:val="24"/>
          <w:highlight w:val="none"/>
          <w14:textFill>
            <w14:solidFill>
              <w14:schemeClr w14:val="tx1"/>
            </w14:solidFill>
          </w14:textFill>
        </w:rPr>
        <w:t xml:space="preserve">（包含与服务相关的产品）</w:t>
      </w:r>
      <w:r>
        <w:rPr>
          <w:rFonts w:ascii="宋体" w:hAnsi="宋体" w:eastAsia="宋体" w:cs="Times New Roman"/>
          <w:color w:val="000000" w:themeColor="text1"/>
          <w:sz w:val="24"/>
          <w:szCs w:val="24"/>
          <w:highlight w:val="none"/>
          <w14:textFill>
            <w14:solidFill>
              <w14:schemeClr w14:val="tx1"/>
            </w14:solidFill>
          </w14:textFill>
        </w:rPr>
        <w:t xml:space="preserve">的有关技术资料。</w:t>
      </w:r>
      <w:r/>
    </w:p>
    <w:p>
      <w:pPr>
        <w:ind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ascii="宋体" w:hAnsi="宋体" w:eastAsia="宋体" w:cs="Times New Roman"/>
          <w:color w:val="000000" w:themeColor="text1"/>
          <w:sz w:val="24"/>
          <w:szCs w:val="24"/>
          <w:highlight w:val="none"/>
          <w14:textFill>
            <w14:solidFill>
              <w14:schemeClr w14:val="tx1"/>
            </w14:solidFill>
          </w14:textFill>
        </w:rPr>
        <w:t xml:space="preserve">3.2</w:t>
      </w:r>
      <w:r>
        <w:rPr>
          <w:rFonts w:hint="eastAsia" w:ascii="宋体" w:hAnsi="宋体" w:eastAsia="宋体" w:cs="Times New Roman"/>
          <w:color w:val="000000" w:themeColor="text1"/>
          <w:sz w:val="24"/>
          <w:szCs w:val="24"/>
          <w:highlight w:val="none"/>
          <w14:textFill>
            <w14:solidFill>
              <w14:schemeClr w14:val="tx1"/>
            </w14:solidFill>
          </w14:textFill>
        </w:rPr>
        <w:t xml:space="preserve"> </w:t>
      </w:r>
      <w:r>
        <w:rPr>
          <w:rFonts w:ascii="宋体" w:hAnsi="宋体" w:eastAsia="宋体" w:cs="Times New Roman"/>
          <w:color w:val="000000" w:themeColor="text1"/>
          <w:sz w:val="24"/>
          <w:szCs w:val="24"/>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t xml:space="preserve">四、知识产权</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14:textFill>
            <w14:solidFill>
              <w14:schemeClr w14:val="tx1"/>
            </w14:solidFill>
          </w14:textFill>
        </w:rPr>
        <w:t xml:space="preserve">4.1</w:t>
      </w:r>
      <w:r>
        <w:rPr>
          <w:rFonts w:hint="eastAsia" w:ascii="宋体" w:hAnsi="宋体" w:eastAsia="宋体" w:cs="Courier New"/>
          <w:color w:val="000000" w:themeColor="text1"/>
          <w:sz w:val="24"/>
          <w:szCs w:val="24"/>
          <w:highlight w:val="non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乙</w:t>
      </w:r>
      <w:r>
        <w:rPr>
          <w:rFonts w:hint="eastAsia" w:ascii="宋体" w:hAnsi="宋体" w:eastAsia="宋体" w:cs="Courier New"/>
          <w:color w:val="000000" w:themeColor="text1"/>
          <w:sz w:val="24"/>
          <w:szCs w:val="24"/>
          <w:highlight w:val="none"/>
          <w14:textFill>
            <w14:solidFill>
              <w14:schemeClr w14:val="tx1"/>
            </w14:solidFill>
          </w14:textFill>
        </w:rPr>
        <w:t xml:space="preserve">方应保证甲方在使用、接受本合同服务（包含与服务相关的产品）或其任何一部分时不受第三方提出侵犯其专利权、版权、商标权和工业设计权等知识产权的起诉。一旦出现侵权，由乙方负全部责任。</w:t>
      </w:r>
      <w:r/>
    </w:p>
    <w:p>
      <w:pPr>
        <w:ind w:left="480" w:hanging="480"/>
        <w:keepLines w:val="0"/>
        <w:keepNext w:val="0"/>
        <w:pageBreakBefore w:val="0"/>
        <w:spacing w:before="120" w:after="120"/>
        <w:widowControl w:val="off"/>
        <w:rPr>
          <w:rFonts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14:textFill>
            <w14:solidFill>
              <w14:schemeClr w14:val="tx1"/>
            </w14:solidFill>
          </w14:textFill>
        </w:rPr>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ascii="宋体" w:hAnsi="宋体" w:eastAsia="宋体" w:cs="Times New Roman"/>
          <w:b/>
          <w:color w:val="000000" w:themeColor="text1"/>
          <w:sz w:val="24"/>
          <w:szCs w:val="24"/>
          <w:highlight w:val="none"/>
          <w14:textFill>
            <w14:solidFill>
              <w14:schemeClr w14:val="tx1"/>
            </w14:solidFill>
          </w14:textFill>
        </w:rPr>
        <w:t xml:space="preserve">五、产权担保</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14:textFill>
            <w14:solidFill>
              <w14:schemeClr w14:val="tx1"/>
            </w14:solidFill>
          </w14:textFill>
        </w:rPr>
        <w:t xml:space="preserve">5.1 乙方保证所交付的</w:t>
      </w:r>
      <w:r>
        <w:rPr>
          <w:rFonts w:hint="eastAsia" w:ascii="宋体" w:hAnsi="宋体" w:eastAsia="宋体" w:cs="Courier New"/>
          <w:color w:val="000000" w:themeColor="text1"/>
          <w:sz w:val="24"/>
          <w:szCs w:val="24"/>
          <w:highlight w:val="none"/>
          <w14:textFill>
            <w14:solidFill>
              <w14:schemeClr w14:val="tx1"/>
            </w14:solidFill>
          </w14:textFill>
        </w:rPr>
        <w:t xml:space="preserve">服务（包含与服务相关的产品）</w:t>
      </w:r>
      <w:r>
        <w:rPr>
          <w:rFonts w:ascii="宋体" w:hAnsi="宋体" w:eastAsia="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六、合同转包</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6.1 乙方不得将合同标的转包给他人履行。</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七</w:t>
      </w:r>
      <w:r>
        <w:rPr>
          <w:rFonts w:ascii="宋体" w:hAnsi="宋体" w:eastAsia="宋体" w:cs="Times New Roman"/>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color w:val="000000" w:themeColor="text1"/>
          <w:sz w:val="24"/>
          <w:szCs w:val="24"/>
          <w:highlight w:val="none"/>
          <w14:textFill>
            <w14:solidFill>
              <w14:schemeClr w14:val="tx1"/>
            </w14:solidFill>
          </w14:textFill>
        </w:rPr>
        <w:t xml:space="preserve">合同款项</w:t>
      </w:r>
      <w:r>
        <w:rPr>
          <w:rFonts w:ascii="宋体" w:hAnsi="宋体" w:eastAsia="宋体" w:cs="Times New Roman"/>
          <w:b/>
          <w:color w:val="000000" w:themeColor="text1"/>
          <w:sz w:val="24"/>
          <w:szCs w:val="24"/>
          <w:highlight w:val="none"/>
          <w14:textFill>
            <w14:solidFill>
              <w14:schemeClr w14:val="tx1"/>
            </w14:solidFill>
          </w14:textFill>
        </w:rPr>
        <w:t xml:space="preserve">支付</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Courier New"/>
          <w:bCs/>
          <w:color w:val="000000" w:themeColor="text1"/>
          <w:sz w:val="24"/>
          <w:szCs w:val="24"/>
          <w:highlight w:val="none"/>
          <w14:textFill>
            <w14:solidFill>
              <w14:schemeClr w14:val="tx1"/>
            </w14:solidFill>
          </w14:textFill>
        </w:rPr>
        <w:t xml:space="preserve">7</w:t>
      </w:r>
      <w:r>
        <w:rPr>
          <w:rFonts w:ascii="宋体" w:hAnsi="宋体" w:eastAsia="宋体" w:cs="Courier New"/>
          <w:bCs/>
          <w:color w:val="000000" w:themeColor="text1"/>
          <w:sz w:val="24"/>
          <w:szCs w:val="24"/>
          <w:highlight w:val="none"/>
          <w14:textFill>
            <w14:solidFill>
              <w14:schemeClr w14:val="tx1"/>
            </w14:solidFill>
          </w14:textFill>
        </w:rPr>
        <w:t xml:space="preserve">.1</w:t>
      </w:r>
      <w:r>
        <w:rPr>
          <w:rFonts w:hint="eastAsia" w:ascii="宋体" w:hAnsi="宋体" w:eastAsia="宋体" w:cs="Times New Roman"/>
          <w:color w:val="000000" w:themeColor="text1"/>
          <w:sz w:val="24"/>
          <w:szCs w:val="24"/>
          <w:highlight w:val="none"/>
          <w14:textFill>
            <w14:solidFill>
              <w14:schemeClr w14:val="tx1"/>
            </w14:solidFill>
          </w14:textFill>
        </w:rPr>
        <w:t xml:space="preserve">由甲方按下列程序在</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内付款</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7.2对于满足合同约定支付条件的，甲方应当自收到发票后</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日内将资金支付到合同约定的乙方账户，不得以机构变动、人员更替、政策调整等为由延迟付款，不得将采购文件和合同中未规定的义务作为向乙方付款的条件。</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八、税费</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8.1 本合同执行中相关的一切税费均由乙方负担。</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九</w:t>
      </w:r>
      <w:r>
        <w:rPr>
          <w:rFonts w:ascii="宋体" w:hAnsi="宋体" w:eastAsia="宋体" w:cs="Times New Roman"/>
          <w:b/>
          <w:color w:val="000000" w:themeColor="text1"/>
          <w:sz w:val="24"/>
          <w:szCs w:val="24"/>
          <w:highlight w:val="none"/>
          <w14:textFill>
            <w14:solidFill>
              <w14:schemeClr w14:val="tx1"/>
            </w14:solidFill>
          </w14:textFill>
        </w:rPr>
        <w:t xml:space="preserve">、</w:t>
      </w:r>
      <w:r>
        <w:rPr>
          <w:rFonts w:hint="eastAsia" w:ascii="宋体" w:hAnsi="宋体" w:eastAsia="宋体" w:cs="Times New Roman"/>
          <w:b/>
          <w:color w:val="000000" w:themeColor="text1"/>
          <w:sz w:val="24"/>
          <w:szCs w:val="24"/>
          <w:highlight w:val="none"/>
          <w14:textFill>
            <w14:solidFill>
              <w14:schemeClr w14:val="tx1"/>
            </w14:solidFill>
          </w14:textFill>
        </w:rPr>
        <w:t xml:space="preserve">项目</w:t>
      </w:r>
      <w:r>
        <w:rPr>
          <w:rFonts w:ascii="宋体" w:hAnsi="宋体" w:eastAsia="宋体" w:cs="Times New Roman"/>
          <w:b/>
          <w:color w:val="000000" w:themeColor="text1"/>
          <w:sz w:val="24"/>
          <w:szCs w:val="24"/>
          <w:highlight w:val="none"/>
          <w14:textFill>
            <w14:solidFill>
              <w14:schemeClr w14:val="tx1"/>
            </w14:solidFill>
          </w14:textFill>
        </w:rPr>
        <w:t xml:space="preserve">验收</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9.1 甲方依法组织履约验收工作。</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9.3 对于实际使用人和甲方分离的项目，甲方邀请实际使用人参与验收。</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9.4 如有必要，甲方邀请参加本项目的其他供应商、服务对象、第三方专业机构及专家参与验收，相关意见将作为验收书的参考资料。</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9.5 甲方成立验收小组，按照采购合同的约定对乙方的履约情况进行验收。验收时</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甲方按照采购合同的约定对每一项技术、服务、安全标准的履约情况进行确认。验收结束后</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验收小组出具验收书</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列明各项标准的验收情况及项目总体评价</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ind w:left="0" w:firstLine="480"/>
        <w:keepLines w:val="0"/>
        <w:keepNext w:val="0"/>
        <w:pageBreakBefore w:val="0"/>
        <w:spacing w:before="120" w:after="12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9.6 验收合格的项目</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w:t>
      </w:r>
      <w:r>
        <w:rPr>
          <w:rFonts w:hint="eastAsia" w:ascii="宋体" w:hAnsi="宋体" w:cs="Times New Roman"/>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甲方将及时报告本级财政部门。</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十</w:t>
      </w:r>
      <w:r>
        <w:rPr>
          <w:rFonts w:ascii="宋体" w:hAnsi="宋体" w:eastAsia="宋体" w:cs="Times New Roman"/>
          <w:b/>
          <w:color w:val="000000" w:themeColor="text1"/>
          <w:sz w:val="24"/>
          <w:szCs w:val="24"/>
          <w:highlight w:val="none"/>
          <w14:textFill>
            <w14:solidFill>
              <w14:schemeClr w14:val="tx1"/>
            </w14:solidFill>
          </w14:textFill>
        </w:rPr>
        <w:t xml:space="preserve">、违约责任</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w:t>
      </w:r>
      <w:r>
        <w:rPr>
          <w:rFonts w:ascii="宋体" w:hAnsi="宋体" w:eastAsia="宋体" w:cs="Courier New"/>
          <w:color w:val="000000" w:themeColor="text1"/>
          <w:sz w:val="24"/>
          <w:szCs w:val="24"/>
          <w:highlight w:val="none"/>
          <w14:textFill>
            <w14:solidFill>
              <w14:schemeClr w14:val="tx1"/>
            </w14:solidFill>
          </w14:textFill>
        </w:rPr>
        <w:t xml:space="preserve">.1 甲方无正当理由</w:t>
      </w:r>
      <w:r>
        <w:rPr>
          <w:rFonts w:hint="eastAsia" w:ascii="宋体" w:hAnsi="宋体" w:eastAsia="宋体" w:cs="Courier New"/>
          <w:color w:val="000000" w:themeColor="text1"/>
          <w:sz w:val="24"/>
          <w:szCs w:val="24"/>
          <w:highlight w:val="none"/>
          <w14:textFill>
            <w14:solidFill>
              <w14:schemeClr w14:val="tx1"/>
            </w14:solidFill>
          </w14:textFill>
        </w:rPr>
        <w:t xml:space="preserve">拒绝接受乙方提供服务</w:t>
      </w:r>
      <w:r>
        <w:rPr>
          <w:rFonts w:ascii="宋体" w:hAnsi="宋体" w:eastAsia="宋体" w:cs="Courier New"/>
          <w:color w:val="000000" w:themeColor="text1"/>
          <w:sz w:val="24"/>
          <w:szCs w:val="24"/>
          <w:highlight w:val="none"/>
          <w14:textFill>
            <w14:solidFill>
              <w14:schemeClr w14:val="tx1"/>
            </w14:solidFill>
          </w14:textFill>
        </w:rPr>
        <w:t xml:space="preserve">的，甲方向乙方偿付</w:t>
      </w:r>
      <w:r>
        <w:rPr>
          <w:rFonts w:hint="eastAsia" w:ascii="宋体" w:hAnsi="宋体" w:eastAsia="宋体" w:cs="Courier New"/>
          <w:color w:val="000000" w:themeColor="text1"/>
          <w:sz w:val="24"/>
          <w:szCs w:val="24"/>
          <w:highlight w:val="none"/>
          <w14:textFill>
            <w14:solidFill>
              <w14:schemeClr w14:val="tx1"/>
            </w14:solidFill>
          </w14:textFill>
        </w:rPr>
        <w:t xml:space="preserve">拒绝接受服务合同价款</w:t>
      </w:r>
      <w:r>
        <w:rPr>
          <w:rFonts w:ascii="宋体" w:hAnsi="宋体" w:eastAsia="宋体" w:cs="Courier New"/>
          <w:color w:val="000000" w:themeColor="text1"/>
          <w:sz w:val="24"/>
          <w:szCs w:val="24"/>
          <w:highlight w:val="none"/>
          <w14:textFill>
            <w14:solidFill>
              <w14:schemeClr w14:val="tx1"/>
            </w14:solidFill>
          </w14:textFill>
        </w:rPr>
        <w:t xml:space="preserve">总值</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的违约金。</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w:t>
      </w:r>
      <w:r>
        <w:rPr>
          <w:rFonts w:ascii="宋体" w:hAnsi="宋体" w:eastAsia="宋体" w:cs="Courier New"/>
          <w:color w:val="000000" w:themeColor="text1"/>
          <w:sz w:val="24"/>
          <w:szCs w:val="24"/>
          <w:highlight w:val="none"/>
          <w14:textFill>
            <w14:solidFill>
              <w14:schemeClr w14:val="tx1"/>
            </w14:solidFill>
          </w14:textFill>
        </w:rPr>
        <w:t xml:space="preserve">.2 甲方无故逾期验收和办理</w:t>
      </w:r>
      <w:r>
        <w:rPr>
          <w:rFonts w:hint="eastAsia" w:ascii="宋体" w:hAnsi="宋体" w:eastAsia="宋体" w:cs="Courier New"/>
          <w:color w:val="000000" w:themeColor="text1"/>
          <w:sz w:val="24"/>
          <w:szCs w:val="24"/>
          <w:highlight w:val="none"/>
          <w14:textFill>
            <w14:solidFill>
              <w14:schemeClr w14:val="tx1"/>
            </w14:solidFill>
          </w14:textFill>
        </w:rPr>
        <w:t xml:space="preserve">合同款项</w:t>
      </w:r>
      <w:r>
        <w:rPr>
          <w:rFonts w:ascii="宋体" w:hAnsi="宋体" w:eastAsia="宋体" w:cs="Courier New"/>
          <w:color w:val="000000" w:themeColor="text1"/>
          <w:sz w:val="24"/>
          <w:szCs w:val="24"/>
          <w:highlight w:val="none"/>
          <w14:textFill>
            <w14:solidFill>
              <w14:schemeClr w14:val="tx1"/>
            </w14:solidFill>
          </w14:textFill>
        </w:rPr>
        <w:t xml:space="preserve">支付手续的</w:t>
      </w:r>
      <w:r>
        <w:rPr>
          <w:rFonts w:hint="eastAsia" w:ascii="宋体" w:hAnsi="宋体" w:cs="Courier New"/>
          <w:color w:val="000000" w:themeColor="text1"/>
          <w:sz w:val="24"/>
          <w:szCs w:val="24"/>
          <w:highlight w:val="none"/>
          <w:lang w:eastAsia="zh-CN"/>
          <w14:textFill>
            <w14:solidFill>
              <w14:schemeClr w14:val="tx1"/>
            </w14:solidFill>
          </w14:textFill>
        </w:rPr>
        <w:t xml:space="preserve">，</w:t>
      </w:r>
      <w:r>
        <w:rPr>
          <w:rFonts w:ascii="宋体" w:hAnsi="宋体" w:eastAsia="宋体" w:cs="Courier New"/>
          <w:color w:val="000000" w:themeColor="text1"/>
          <w:sz w:val="24"/>
          <w:szCs w:val="24"/>
          <w:highlight w:val="none"/>
          <w14:textFill>
            <w14:solidFill>
              <w14:schemeClr w14:val="tx1"/>
            </w14:solidFill>
          </w14:textFill>
        </w:rPr>
        <w:t xml:space="preserve">甲方应按逾期付款总额</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每日</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向乙方支付违约金。</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w:t>
      </w:r>
      <w:r>
        <w:rPr>
          <w:rFonts w:ascii="宋体" w:hAnsi="宋体" w:eastAsia="宋体" w:cs="Courier New"/>
          <w:color w:val="000000" w:themeColor="text1"/>
          <w:sz w:val="24"/>
          <w:szCs w:val="24"/>
          <w:highlight w:val="none"/>
          <w14:textFill>
            <w14:solidFill>
              <w14:schemeClr w14:val="tx1"/>
            </w14:solidFill>
          </w14:textFill>
        </w:rPr>
        <w:t xml:space="preserve">.3 乙方逾期</w:t>
      </w:r>
      <w:r>
        <w:rPr>
          <w:rFonts w:hint="eastAsia" w:ascii="宋体" w:hAnsi="宋体" w:eastAsia="宋体" w:cs="Courier New"/>
          <w:color w:val="000000" w:themeColor="text1"/>
          <w:sz w:val="24"/>
          <w:szCs w:val="24"/>
          <w:highlight w:val="none"/>
          <w14:textFill>
            <w14:solidFill>
              <w14:schemeClr w14:val="tx1"/>
            </w14:solidFill>
          </w14:textFill>
        </w:rPr>
        <w:t xml:space="preserve">提供服务</w:t>
      </w:r>
      <w:r>
        <w:rPr>
          <w:rFonts w:ascii="宋体" w:hAnsi="宋体" w:eastAsia="宋体" w:cs="Courier New"/>
          <w:color w:val="000000" w:themeColor="text1"/>
          <w:sz w:val="24"/>
          <w:szCs w:val="24"/>
          <w:highlight w:val="none"/>
          <w14:textFill>
            <w14:solidFill>
              <w14:schemeClr w14:val="tx1"/>
            </w14:solidFill>
          </w14:textFill>
        </w:rPr>
        <w:t xml:space="preserve">的，乙方应按逾期</w:t>
      </w:r>
      <w:r>
        <w:rPr>
          <w:rFonts w:hint="eastAsia" w:ascii="宋体" w:hAnsi="宋体" w:eastAsia="宋体" w:cs="Courier New"/>
          <w:color w:val="000000" w:themeColor="text1"/>
          <w:sz w:val="24"/>
          <w:szCs w:val="24"/>
          <w:highlight w:val="none"/>
          <w14:textFill>
            <w14:solidFill>
              <w14:schemeClr w14:val="tx1"/>
            </w14:solidFill>
          </w14:textFill>
        </w:rPr>
        <w:t xml:space="preserve">提供服务合同</w:t>
      </w:r>
      <w:r>
        <w:rPr>
          <w:rFonts w:ascii="宋体" w:hAnsi="宋体" w:eastAsia="宋体" w:cs="Courier New"/>
          <w:color w:val="000000" w:themeColor="text1"/>
          <w:sz w:val="24"/>
          <w:szCs w:val="24"/>
          <w:highlight w:val="none"/>
          <w14:textFill>
            <w14:solidFill>
              <w14:schemeClr w14:val="tx1"/>
            </w14:solidFill>
          </w14:textFill>
        </w:rPr>
        <w:t xml:space="preserve">总额每日</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向甲方支付违约金，由甲方从待付</w:t>
      </w:r>
      <w:r>
        <w:rPr>
          <w:rFonts w:hint="eastAsia" w:ascii="宋体" w:hAnsi="宋体" w:eastAsia="宋体" w:cs="Courier New"/>
          <w:color w:val="000000" w:themeColor="text1"/>
          <w:sz w:val="24"/>
          <w:szCs w:val="24"/>
          <w:highlight w:val="none"/>
          <w14:textFill>
            <w14:solidFill>
              <w14:schemeClr w14:val="tx1"/>
            </w14:solidFill>
          </w14:textFill>
        </w:rPr>
        <w:t xml:space="preserve">合同款项</w:t>
      </w:r>
      <w:r>
        <w:rPr>
          <w:rFonts w:ascii="宋体" w:hAnsi="宋体" w:eastAsia="宋体" w:cs="Courier New"/>
          <w:color w:val="000000" w:themeColor="text1"/>
          <w:sz w:val="24"/>
          <w:szCs w:val="24"/>
          <w:highlight w:val="none"/>
          <w14:textFill>
            <w14:solidFill>
              <w14:schemeClr w14:val="tx1"/>
            </w14:solidFill>
          </w14:textFill>
        </w:rPr>
        <w:t xml:space="preserve">中扣除。逾期超过约定日期</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个工作日不能</w:t>
      </w:r>
      <w:r>
        <w:rPr>
          <w:rFonts w:hint="eastAsia" w:ascii="宋体" w:hAnsi="宋体" w:eastAsia="宋体" w:cs="Courier New"/>
          <w:color w:val="000000" w:themeColor="text1"/>
          <w:sz w:val="24"/>
          <w:szCs w:val="24"/>
          <w:highlight w:val="none"/>
          <w14:textFill>
            <w14:solidFill>
              <w14:schemeClr w14:val="tx1"/>
            </w14:solidFill>
          </w14:textFill>
        </w:rPr>
        <w:t xml:space="preserve">提供服务</w:t>
      </w:r>
      <w:r>
        <w:rPr>
          <w:rFonts w:ascii="宋体" w:hAnsi="宋体" w:eastAsia="宋体" w:cs="Courier New"/>
          <w:color w:val="000000" w:themeColor="text1"/>
          <w:sz w:val="24"/>
          <w:szCs w:val="24"/>
          <w:highlight w:val="none"/>
          <w14:textFill>
            <w14:solidFill>
              <w14:schemeClr w14:val="tx1"/>
            </w14:solidFill>
          </w14:textFill>
        </w:rPr>
        <w:t xml:space="preserve">的，甲方可解除本合同。乙方因逾期</w:t>
      </w:r>
      <w:r>
        <w:rPr>
          <w:rFonts w:hint="eastAsia" w:ascii="宋体" w:hAnsi="宋体" w:eastAsia="宋体" w:cs="Courier New"/>
          <w:color w:val="000000" w:themeColor="text1"/>
          <w:sz w:val="24"/>
          <w:szCs w:val="24"/>
          <w:highlight w:val="none"/>
          <w14:textFill>
            <w14:solidFill>
              <w14:schemeClr w14:val="tx1"/>
            </w14:solidFill>
          </w14:textFill>
        </w:rPr>
        <w:t xml:space="preserve">提供服务</w:t>
      </w:r>
      <w:r>
        <w:rPr>
          <w:rFonts w:ascii="宋体" w:hAnsi="宋体" w:eastAsia="宋体" w:cs="Courier New"/>
          <w:color w:val="000000" w:themeColor="text1"/>
          <w:sz w:val="24"/>
          <w:szCs w:val="24"/>
          <w:highlight w:val="none"/>
          <w14:textFill>
            <w14:solidFill>
              <w14:schemeClr w14:val="tx1"/>
            </w14:solidFill>
          </w14:textFill>
        </w:rPr>
        <w:t xml:space="preserve">或因其他违约行为导致甲方解除合同的，乙方应向甲方支付合同</w:t>
      </w:r>
      <w:r>
        <w:rPr>
          <w:rFonts w:hint="eastAsia" w:ascii="宋体" w:hAnsi="宋体" w:eastAsia="宋体" w:cs="Courier New"/>
          <w:color w:val="000000" w:themeColor="text1"/>
          <w:sz w:val="24"/>
          <w:szCs w:val="24"/>
          <w:highlight w:val="none"/>
          <w14:textFill>
            <w14:solidFill>
              <w14:schemeClr w14:val="tx1"/>
            </w14:solidFill>
          </w14:textFill>
        </w:rPr>
        <w:t xml:space="preserve">价款总额</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left="0" w:firstLine="480"/>
        <w:keepLines w:val="0"/>
        <w:keepNext w:val="0"/>
        <w:pageBreakBefore w:val="0"/>
        <w:spacing w:before="120" w:after="120" w:line="360" w:lineRule="auto"/>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10</w:t>
      </w:r>
      <w:r>
        <w:rPr>
          <w:rFonts w:ascii="宋体" w:hAnsi="宋体" w:eastAsia="宋体" w:cs="Courier New"/>
          <w:color w:val="000000" w:themeColor="text1"/>
          <w:sz w:val="24"/>
          <w:szCs w:val="24"/>
          <w:highlight w:val="none"/>
          <w14:textFill>
            <w14:solidFill>
              <w14:schemeClr w14:val="tx1"/>
            </w14:solidFill>
          </w14:textFill>
        </w:rPr>
        <w:t xml:space="preserve">.4 乙方</w:t>
      </w:r>
      <w:r>
        <w:rPr>
          <w:rFonts w:hint="eastAsia" w:ascii="宋体" w:hAnsi="宋体" w:eastAsia="宋体" w:cs="Courier New"/>
          <w:color w:val="000000" w:themeColor="text1"/>
          <w:sz w:val="24"/>
          <w:szCs w:val="24"/>
          <w:highlight w:val="none"/>
          <w14:textFill>
            <w14:solidFill>
              <w14:schemeClr w14:val="tx1"/>
            </w14:solidFill>
          </w14:textFill>
        </w:rPr>
        <w:t xml:space="preserve">所提供服务的标准</w:t>
      </w:r>
      <w:r>
        <w:rPr>
          <w:rFonts w:ascii="宋体" w:hAnsi="宋体" w:eastAsia="宋体" w:cs="Courier New"/>
          <w:color w:val="000000" w:themeColor="text1"/>
          <w:sz w:val="24"/>
          <w:szCs w:val="24"/>
          <w:highlight w:val="none"/>
          <w14:textFill>
            <w14:solidFill>
              <w14:schemeClr w14:val="tx1"/>
            </w14:solidFill>
          </w14:textFill>
        </w:rPr>
        <w:t xml:space="preserve">不符合合同规定及采购文件规定标准的，甲方有权</w:t>
      </w:r>
      <w:r>
        <w:rPr>
          <w:rFonts w:hint="eastAsia" w:ascii="宋体" w:hAnsi="宋体" w:eastAsia="宋体" w:cs="Courier New"/>
          <w:color w:val="000000" w:themeColor="text1"/>
          <w:sz w:val="24"/>
          <w:szCs w:val="24"/>
          <w:highlight w:val="none"/>
          <w14:textFill>
            <w14:solidFill>
              <w14:schemeClr w14:val="tx1"/>
            </w14:solidFill>
          </w14:textFill>
        </w:rPr>
        <w:t xml:space="preserve">拒绝接受服务</w:t>
      </w:r>
      <w:r>
        <w:rPr>
          <w:rFonts w:ascii="宋体" w:hAnsi="宋体" w:eastAsia="宋体" w:cs="Courier New"/>
          <w:color w:val="000000" w:themeColor="text1"/>
          <w:sz w:val="24"/>
          <w:szCs w:val="24"/>
          <w:highlight w:val="none"/>
          <w14:textFill>
            <w14:solidFill>
              <w14:schemeClr w14:val="tx1"/>
            </w14:solidFill>
          </w14:textFill>
        </w:rPr>
        <w:t xml:space="preserve">，</w:t>
      </w:r>
      <w:r>
        <w:rPr>
          <w:rFonts w:hint="eastAsia" w:ascii="宋体" w:hAnsi="宋体" w:eastAsia="宋体" w:cs="Courier New"/>
          <w:color w:val="000000" w:themeColor="text1"/>
          <w:sz w:val="24"/>
          <w:szCs w:val="24"/>
          <w:highlight w:val="none"/>
          <w14:textFill>
            <w14:solidFill>
              <w14:schemeClr w14:val="tx1"/>
            </w14:solidFill>
          </w14:textFill>
        </w:rPr>
        <w:t xml:space="preserve">并</w:t>
      </w:r>
      <w:r>
        <w:rPr>
          <w:rFonts w:ascii="宋体" w:hAnsi="宋体" w:eastAsia="宋体" w:cs="Courier New"/>
          <w:color w:val="000000" w:themeColor="text1"/>
          <w:sz w:val="24"/>
          <w:szCs w:val="24"/>
          <w:highlight w:val="none"/>
          <w14:textFill>
            <w14:solidFill>
              <w14:schemeClr w14:val="tx1"/>
            </w14:solidFill>
          </w14:textFill>
        </w:rPr>
        <w:t xml:space="preserve">可单方面解除合同。</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十一</w:t>
      </w:r>
      <w:r>
        <w:rPr>
          <w:rFonts w:ascii="宋体" w:hAnsi="宋体" w:eastAsia="宋体" w:cs="Times New Roman"/>
          <w:b/>
          <w:color w:val="000000" w:themeColor="text1"/>
          <w:sz w:val="24"/>
          <w:szCs w:val="24"/>
          <w:highlight w:val="none"/>
          <w14:textFill>
            <w14:solidFill>
              <w14:schemeClr w14:val="tx1"/>
            </w14:solidFill>
          </w14:textFill>
        </w:rPr>
        <w:t xml:space="preserve">、不可抗力事件处理</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11.1 在合同有效期内，任何一方因不可抗力事件导致不能履行合同，则合同履行期可延长，其延长期与不可抗力影响期相同。</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11.2 不可抗力事件发生后，应立即通知对方，并寄送有关权威机构出具的证明。</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11.3 不可抗力事件延续120天以上，双方应通过友好协商，确定是否继续履行合同。</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十二</w:t>
      </w:r>
      <w:r>
        <w:rPr>
          <w:rFonts w:ascii="宋体" w:hAnsi="宋体" w:eastAsia="宋体" w:cs="Times New Roman"/>
          <w:b/>
          <w:color w:val="000000" w:themeColor="text1"/>
          <w:sz w:val="24"/>
          <w:szCs w:val="24"/>
          <w:highlight w:val="none"/>
          <w14:textFill>
            <w14:solidFill>
              <w14:schemeClr w14:val="tx1"/>
            </w14:solidFill>
          </w14:textFill>
        </w:rPr>
        <w:t xml:space="preserve">、诉讼</w:t>
      </w:r>
      <w:r/>
    </w:p>
    <w:p>
      <w:pPr>
        <w:ind w:left="0" w:firstLine="480"/>
        <w:keepLines w:val="0"/>
        <w:keepNext w:val="0"/>
        <w:pageBreakBefore w:val="0"/>
        <w:spacing w:before="120" w:after="12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12</w:t>
      </w:r>
      <w:r>
        <w:rPr>
          <w:rFonts w:ascii="宋体" w:hAnsi="宋体" w:eastAsia="宋体" w:cs="Courier New"/>
          <w:color w:val="000000" w:themeColor="text1"/>
          <w:sz w:val="24"/>
          <w:szCs w:val="24"/>
          <w:highlight w:val="none"/>
          <w14:textFill>
            <w14:solidFill>
              <w14:schemeClr w14:val="tx1"/>
            </w14:solidFill>
          </w14:textFill>
        </w:rPr>
        <w:t xml:space="preserve">.1 双方在执行合同中所发生的一切争议，应通过协商解决。</w:t>
      </w:r>
      <w:r>
        <w:rPr>
          <w:rFonts w:ascii="宋体" w:hAnsi="宋体" w:eastAsia="宋体" w:cs="Times New Roman"/>
          <w:color w:val="000000" w:themeColor="text1"/>
          <w:sz w:val="24"/>
          <w:szCs w:val="24"/>
          <w:highlight w:val="none"/>
          <w14:textFill>
            <w14:solidFill>
              <w14:schemeClr w14:val="tx1"/>
            </w14:solidFill>
          </w14:textFill>
        </w:rPr>
        <w:t xml:space="preserve">如协商不成，可向合同签订地法院起诉，合同签订地在此约定为</w:t>
      </w:r>
      <w:r>
        <w:rPr>
          <w:rFonts w:hint="eastAsia" w:ascii="宋体" w:hAnsi="宋体" w:eastAsia="宋体" w:cs="Times New Roman"/>
          <w:color w:val="000000" w:themeColor="text1"/>
          <w:sz w:val="24"/>
          <w:szCs w:val="24"/>
          <w:highlight w:val="none"/>
          <w:u w:val="single"/>
          <w14:textFill>
            <w14:solidFill>
              <w14:schemeClr w14:val="tx1"/>
            </w14:solidFill>
          </w14:textFill>
        </w:rPr>
        <w:t xml:space="preserve">       </w:t>
      </w:r>
      <w:r>
        <w:rPr>
          <w:rFonts w:ascii="宋体" w:hAnsi="宋体" w:eastAsia="宋体" w:cs="Times New Roman"/>
          <w:color w:val="000000" w:themeColor="text1"/>
          <w:sz w:val="24"/>
          <w:szCs w:val="24"/>
          <w:highlight w:val="none"/>
          <w14:textFill>
            <w14:solidFill>
              <w14:schemeClr w14:val="tx1"/>
            </w14:solidFill>
          </w14:textFill>
        </w:rPr>
        <w:t xml:space="preserve">。</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十三、其他</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13.1 本合同所有附件、招标文件、投标文件、中标通知书均为合同的有效组成部分，与本合同具有同等法律效力。</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13.2 如一方地址、电话、传真号码有变更，应在变更当日内书面通知对方，否则，应承担相应责任。</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13.3 除甲方事先书面同意外，乙方不得部分或全部转让其应履行的合同项下的义务。</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13.4本合同未尽事宜，遵照《中华人民共和国民法典（合同编）》有关条文执行。</w:t>
      </w:r>
      <w:r/>
    </w:p>
    <w:p>
      <w:pPr>
        <w:keepLines w:val="0"/>
        <w:keepNext w:val="0"/>
        <w:pageBreakBefore w:val="0"/>
        <w:spacing w:before="120" w:after="120" w:line="600" w:lineRule="exact"/>
        <w:widowControl w:val="off"/>
        <w:rPr>
          <w:rFonts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14:textFill>
            <w14:solidFill>
              <w14:schemeClr w14:val="tx1"/>
            </w14:solidFill>
          </w14:textFill>
        </w:rPr>
        <w:t xml:space="preserve">十四</w:t>
      </w:r>
      <w:r>
        <w:rPr>
          <w:rFonts w:ascii="宋体" w:hAnsi="宋体" w:eastAsia="宋体" w:cs="Times New Roman"/>
          <w:b/>
          <w:color w:val="000000" w:themeColor="text1"/>
          <w:sz w:val="24"/>
          <w:szCs w:val="24"/>
          <w:highlight w:val="none"/>
          <w14:textFill>
            <w14:solidFill>
              <w14:schemeClr w14:val="tx1"/>
            </w14:solidFill>
          </w14:textFill>
        </w:rPr>
        <w:t xml:space="preserve">、合同生效</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14.1 合同经双方法定代表人或授权委托代表人签字并加盖单位公章后生效。</w:t>
      </w:r>
      <w:r/>
    </w:p>
    <w:p>
      <w:pPr>
        <w:ind w:left="0" w:firstLine="480"/>
        <w:keepLines w:val="0"/>
        <w:keepNext w:val="0"/>
        <w:pageBreakBefore w:val="0"/>
        <w:spacing w:before="120" w:after="120" w:line="360" w:lineRule="auto"/>
        <w:widowControl w:val="off"/>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14.2 本合同正本一式</w:t>
      </w:r>
      <w:r>
        <w:rPr>
          <w:rFonts w:hint="eastAsia" w:ascii="宋体" w:hAnsi="宋体" w:eastAsia="宋体" w:cs="Courier New"/>
          <w:color w:val="000000" w:themeColor="text1"/>
          <w:sz w:val="24"/>
          <w:szCs w:val="24"/>
          <w:highlight w:val="none"/>
          <w:u w:val="single"/>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份。</w:t>
      </w:r>
      <w:r/>
    </w:p>
    <w:p>
      <w:pPr>
        <w:ind w:left="480" w:hanging="480"/>
        <w:keepLines w:val="0"/>
        <w:keepNext w:val="0"/>
        <w:pageBreakBefore w:val="0"/>
        <w:spacing w:before="120" w:after="120" w:line="0" w:lineRule="atLeast"/>
        <w:widowControl w:val="off"/>
        <w:rPr>
          <w:rFonts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14:textFill>
            <w14:solidFill>
              <w14:schemeClr w14:val="tx1"/>
            </w14:solidFill>
          </w14:textFill>
        </w:rPr>
        <w:t xml:space="preserve">  </w:t>
      </w:r>
      <w:r/>
    </w:p>
    <w:p>
      <w:pPr>
        <w:rPr>
          <w:rFonts w:hint="eastAsia"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br w:type="page" w:clear="all"/>
      </w:r>
      <w:r/>
    </w:p>
    <w:p>
      <w:pPr>
        <w:ind w:left="480" w:hanging="480"/>
        <w:keepLines w:val="0"/>
        <w:keepNext w:val="0"/>
        <w:pageBreakBefore w:val="0"/>
        <w:spacing w:before="120" w:after="120" w:line="0" w:lineRule="atLeast"/>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甲方：                        乙方： </w:t>
      </w:r>
      <w:r/>
    </w:p>
    <w:p>
      <w:pPr>
        <w:keepLines w:val="0"/>
        <w:keepNext w:val="0"/>
        <w:pageBreakBefore w:val="0"/>
        <w:spacing w:before="120" w:after="120" w:line="0" w:lineRule="atLeast"/>
        <w:widowControl w:val="off"/>
        <w:rPr>
          <w:rFonts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14:textFill>
            <w14:solidFill>
              <w14:schemeClr w14:val="tx1"/>
            </w14:solidFill>
          </w14:textFill>
        </w:rPr>
        <w:t xml:space="preserve">  地址：                       </w:t>
      </w:r>
      <w:r>
        <w:rPr>
          <w:rFonts w:hint="eastAsia" w:ascii="宋体" w:hAnsi="宋体" w:eastAsia="宋体" w:cs="Courier New"/>
          <w:color w:val="000000" w:themeColor="text1"/>
          <w:sz w:val="24"/>
          <w:szCs w:val="24"/>
          <w:highlight w:val="non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地址： </w:t>
      </w:r>
      <w:r/>
    </w:p>
    <w:p>
      <w:pPr>
        <w:keepLines w:val="0"/>
        <w:keepNext w:val="0"/>
        <w:pageBreakBefore w:val="0"/>
        <w:spacing w:before="120" w:after="120" w:line="0" w:lineRule="atLeast"/>
        <w:widowControl w:val="off"/>
        <w:rPr>
          <w:rFonts w:ascii="宋体" w:hAnsi="宋体" w:eastAsia="宋体" w:cs="Courier New"/>
          <w:color w:val="000000" w:themeColor="text1"/>
          <w:sz w:val="24"/>
          <w:szCs w:val="24"/>
          <w:highlight w:val="none"/>
          <w14:textFill>
            <w14:solidFill>
              <w14:schemeClr w14:val="tx1"/>
            </w14:solidFill>
          </w14:textFill>
        </w:rPr>
      </w:pPr>
      <w:r>
        <w:rPr>
          <w:rFonts w:ascii="宋体" w:hAnsi="宋体" w:eastAsia="宋体" w:cs="Courier New"/>
          <w:color w:val="000000" w:themeColor="text1"/>
          <w:sz w:val="24"/>
          <w:szCs w:val="24"/>
          <w:highlight w:val="none"/>
          <w14:textFill>
            <w14:solidFill>
              <w14:schemeClr w14:val="tx1"/>
            </w14:solidFill>
          </w14:textFill>
        </w:rPr>
        <w:t xml:space="preserve">  法定代表人</w:t>
      </w:r>
      <w:r>
        <w:rPr>
          <w:rFonts w:hint="eastAsia" w:ascii="宋体" w:hAnsi="宋体" w:eastAsia="宋体" w:cs="Courier New"/>
          <w:color w:val="000000" w:themeColor="text1"/>
          <w:sz w:val="24"/>
          <w:szCs w:val="24"/>
          <w:highlight w:val="none"/>
          <w14:textFill>
            <w14:solidFill>
              <w14:schemeClr w14:val="tx1"/>
            </w14:solidFill>
          </w14:textFill>
        </w:rPr>
        <w:t xml:space="preserve">或授权代表</w:t>
      </w:r>
      <w:r>
        <w:rPr>
          <w:rFonts w:ascii="宋体" w:hAnsi="宋体" w:eastAsia="宋体" w:cs="Courier New"/>
          <w:color w:val="000000" w:themeColor="text1"/>
          <w:sz w:val="24"/>
          <w:szCs w:val="24"/>
          <w:highlight w:val="none"/>
          <w14:textFill>
            <w14:solidFill>
              <w14:schemeClr w14:val="tx1"/>
            </w14:solidFill>
          </w14:textFill>
        </w:rPr>
        <w:t xml:space="preserve">：        法定代表人</w:t>
      </w:r>
      <w:r>
        <w:rPr>
          <w:rFonts w:hint="eastAsia" w:ascii="宋体" w:hAnsi="宋体" w:eastAsia="宋体" w:cs="Courier New"/>
          <w:color w:val="000000" w:themeColor="text1"/>
          <w:sz w:val="24"/>
          <w:szCs w:val="24"/>
          <w:highlight w:val="none"/>
          <w14:textFill>
            <w14:solidFill>
              <w14:schemeClr w14:val="tx1"/>
            </w14:solidFill>
          </w14:textFill>
        </w:rPr>
        <w:t xml:space="preserve">或授权代表</w:t>
      </w:r>
      <w:r>
        <w:rPr>
          <w:rFonts w:ascii="宋体" w:hAnsi="宋体" w:eastAsia="宋体" w:cs="Courier New"/>
          <w:color w:val="000000" w:themeColor="text1"/>
          <w:sz w:val="24"/>
          <w:szCs w:val="24"/>
          <w:highlight w:val="none"/>
          <w14:textFill>
            <w14:solidFill>
              <w14:schemeClr w14:val="tx1"/>
            </w14:solidFill>
          </w14:textFill>
        </w:rPr>
        <w:t xml:space="preserve">：</w:t>
      </w:r>
      <w:r/>
    </w:p>
    <w:p>
      <w:pPr>
        <w:ind w:firstLine="240"/>
        <w:keepLines w:val="0"/>
        <w:keepNext w:val="0"/>
        <w:pageBreakBefore w:val="0"/>
        <w:spacing w:before="120" w:after="120" w:line="0" w:lineRule="atLeast"/>
        <w:widowControl w:val="off"/>
        <w:rPr>
          <w:rFonts w:ascii="宋体" w:hAnsi="宋体" w:eastAsia="宋体" w:cs="Courier New"/>
          <w:color w:val="000000" w:themeColor="text1"/>
          <w:sz w:val="24"/>
          <w:szCs w:val="24"/>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联系电话：                    联系电话：         </w:t>
      </w:r>
      <w:r/>
    </w:p>
    <w:p>
      <w:pPr>
        <w:ind w:firstLine="240"/>
        <w:keepLines w:val="0"/>
        <w:keepNext w:val="0"/>
        <w:pageBreakBefore w:val="0"/>
        <w:spacing w:before="120" w:after="120" w:line="0" w:lineRule="atLeast"/>
        <w:widowControl w:val="off"/>
        <w:rPr>
          <w:rFonts w:ascii="宋体" w:hAnsi="Courier New" w:eastAsia="宋体" w:cs="Courier New"/>
          <w:color w:val="000000" w:themeColor="text1"/>
          <w:szCs w:val="21"/>
          <w:highlight w:val="none"/>
          <w14:textFill>
            <w14:solidFill>
              <w14:schemeClr w14:val="tx1"/>
            </w14:solidFill>
          </w14:textFill>
        </w:rPr>
      </w:pPr>
      <w:r>
        <w:rPr>
          <w:rFonts w:hint="eastAsia" w:ascii="宋体" w:hAnsi="宋体" w:eastAsia="宋体" w:cs="Courier New"/>
          <w:color w:val="000000" w:themeColor="text1"/>
          <w:sz w:val="24"/>
          <w:szCs w:val="24"/>
          <w:highlight w:val="none"/>
          <w14:textFill>
            <w14:solidFill>
              <w14:schemeClr w14:val="tx1"/>
            </w14:solidFill>
          </w14:textFill>
        </w:rPr>
        <w:t xml:space="preserve"> </w:t>
      </w:r>
      <w:r/>
    </w:p>
    <w:p>
      <w:pPr>
        <w:keepLines w:val="0"/>
        <w:keepNext w:val="0"/>
        <w:pageBreakBefore w:val="0"/>
        <w:spacing w:before="120" w:after="120" w:line="0" w:lineRule="atLeast"/>
        <w:widowControl w:val="off"/>
        <w:rPr>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14:textFill>
            <w14:solidFill>
              <w14:schemeClr w14:val="tx1"/>
            </w14:solidFill>
          </w14:textFill>
        </w:rPr>
        <w:t xml:space="preserve"> </w:t>
      </w:r>
      <w:r>
        <w:rPr>
          <w:rFonts w:hint="eastAsia" w:ascii="宋体" w:hAnsi="宋体" w:eastAsia="宋体" w:cs="Courier New"/>
          <w:color w:val="000000" w:themeColor="text1"/>
          <w:sz w:val="24"/>
          <w:szCs w:val="24"/>
          <w:highlight w:val="non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签订日期：      年  </w:t>
      </w:r>
      <w:r>
        <w:rPr>
          <w:rFonts w:hint="eastAsia" w:ascii="宋体" w:hAnsi="宋体" w:eastAsia="宋体" w:cs="Courier New"/>
          <w:color w:val="000000" w:themeColor="text1"/>
          <w:sz w:val="24"/>
          <w:szCs w:val="24"/>
          <w:highlight w:val="non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月  </w:t>
      </w:r>
      <w:r>
        <w:rPr>
          <w:rFonts w:hint="eastAsia" w:ascii="宋体" w:hAnsi="宋体" w:eastAsia="宋体" w:cs="Courier New"/>
          <w:color w:val="000000" w:themeColor="text1"/>
          <w:sz w:val="24"/>
          <w:szCs w:val="24"/>
          <w:highlight w:val="none"/>
          <w14:textFill>
            <w14:solidFill>
              <w14:schemeClr w14:val="tx1"/>
            </w14:solidFill>
          </w14:textFill>
        </w:rPr>
        <w:t xml:space="preserve"> </w:t>
      </w:r>
      <w:r>
        <w:rPr>
          <w:rFonts w:ascii="宋体" w:hAnsi="宋体" w:eastAsia="宋体" w:cs="Courier New"/>
          <w:color w:val="000000" w:themeColor="text1"/>
          <w:sz w:val="24"/>
          <w:szCs w:val="24"/>
          <w:highlight w:val="none"/>
          <w14:textFill>
            <w14:solidFill>
              <w14:schemeClr w14:val="tx1"/>
            </w14:solidFill>
          </w14:textFill>
        </w:rPr>
        <w:t xml:space="preserve">日</w:t>
      </w:r>
      <w:r/>
    </w:p>
    <w:p>
      <w:pPr>
        <w:numPr>
          <w:ilvl w:val="0"/>
          <w:numId w:val="0"/>
        </w:numP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ascii="Times New Roman" w:hAnsi="Times New Roman" w:eastAsia="宋体"/>
          <w:b/>
          <w:bCs/>
          <w:color w:val="000000" w:themeColor="text1"/>
          <w:szCs w:val="21"/>
          <w:highlight w:val="none"/>
          <w14:textFill>
            <w14:solidFill>
              <w14:schemeClr w14:val="tx1"/>
            </w14:solidFill>
          </w14:textFill>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b/>
          <w:bCs/>
          <w:color w:val="000000" w:themeColor="text1"/>
          <w:szCs w:val="21"/>
          <w:highlight w:val="none"/>
          <w:lang w:val="en-US" w:eastAsia="zh-CN"/>
          <w14:textFill>
            <w14:solidFill>
              <w14:schemeClr w14:val="tx1"/>
            </w14:solidFill>
          </w14:textFill>
        </w:rPr>
        <w:t xml:space="preserve">注：本项目是维保采购，此合同版本仅供参考，最终签订版在不改变招标实质性条款的前提下以双方协商确认。</w:t>
      </w:r>
      <w:r/>
    </w:p>
    <w:p>
      <w:pPr>
        <w:pStyle w:val="779"/>
        <w:spacing w:line="360" w:lineRule="auto"/>
        <w:rPr>
          <w:rFonts w:hint="eastAsia" w:ascii="黑体" w:hAnsi="Times New Roman" w:eastAsia="黑体"/>
          <w:b/>
          <w:bCs/>
          <w:color w:val="000000" w:themeColor="text1"/>
          <w:sz w:val="44"/>
          <w:szCs w:val="28"/>
          <w:highlight w:val="none"/>
          <w14:textFill>
            <w14:solidFill>
              <w14:schemeClr w14:val="tx1"/>
            </w14:solidFill>
          </w14:textFill>
        </w:rPr>
      </w:pPr>
      <w:r>
        <w:rPr>
          <w:rFonts w:hint="eastAsia" w:ascii="黑体" w:hAnsi="Times New Roman" w:eastAsia="黑体"/>
          <w:bCs/>
          <w:color w:val="000000" w:themeColor="text1"/>
          <w:sz w:val="44"/>
          <w:szCs w:val="28"/>
          <w:highlight w:val="none"/>
          <w14:textFill>
            <w14:solidFill>
              <w14:schemeClr w14:val="tx1"/>
            </w14:solidFill>
          </w14:textFill>
        </w:rPr>
        <w:t xml:space="preserve">第</w:t>
      </w:r>
      <w:r>
        <w:rPr>
          <w:rFonts w:hint="eastAsia" w:ascii="黑体" w:eastAsia="黑体"/>
          <w:bCs/>
          <w:color w:val="000000" w:themeColor="text1"/>
          <w:sz w:val="44"/>
          <w:szCs w:val="28"/>
          <w:highlight w:val="none"/>
          <w:lang w:val="en-US" w:eastAsia="zh-CN"/>
          <w14:textFill>
            <w14:solidFill>
              <w14:schemeClr w14:val="tx1"/>
            </w14:solidFill>
          </w14:textFill>
        </w:rPr>
        <w:t xml:space="preserve">五</w:t>
      </w:r>
      <w:r>
        <w:rPr>
          <w:rFonts w:hint="eastAsia" w:ascii="黑体" w:hAnsi="Times New Roman" w:eastAsia="黑体"/>
          <w:bCs/>
          <w:color w:val="000000" w:themeColor="text1"/>
          <w:sz w:val="44"/>
          <w:szCs w:val="28"/>
          <w:highlight w:val="none"/>
          <w14:textFill>
            <w14:solidFill>
              <w14:schemeClr w14:val="tx1"/>
            </w14:solidFill>
          </w14:textFill>
        </w:rPr>
        <w:t xml:space="preserve">章  </w:t>
      </w:r>
      <w:r>
        <w:rPr>
          <w:rFonts w:hint="eastAsia" w:ascii="黑体" w:hAnsi="Times New Roman" w:eastAsia="黑体"/>
          <w:b/>
          <w:bCs/>
          <w:color w:val="000000" w:themeColor="text1"/>
          <w:sz w:val="44"/>
          <w:szCs w:val="28"/>
          <w:highlight w:val="none"/>
          <w14:textFill>
            <w14:solidFill>
              <w14:schemeClr w14:val="tx1"/>
            </w14:solidFill>
          </w14:textFill>
        </w:rPr>
        <w:t xml:space="preserve">评审方法与评审标准</w:t>
      </w:r>
      <w:r/>
    </w:p>
    <w:p>
      <w:pPr>
        <w:ind w:firstLine="48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一、评审方法</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评审方法采用综合评分法，总分值为100分。</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评审时，对每个合格供应商的响应文件进行评分，对评委的评分进行统计汇总，按算术平均方法计算出每个供应商的评审得分。（保留小数点后2位）</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评审结果按评审后得分由高到低顺序排列。评审得分相同的，按照最后报价由低到高的顺序推荐。评审得分且最后报价相同的，按照技术指标优劣顺序推荐。响应文件满足</w:t>
      </w:r>
      <w:r>
        <w:rPr>
          <w:rFonts w:hint="eastAsia"/>
          <w:color w:val="auto"/>
          <w:szCs w:val="21"/>
          <w:highlight w:val="none"/>
        </w:rPr>
        <w:t xml:space="preserve">磋商</w:t>
      </w:r>
      <w:r>
        <w:rPr>
          <w:rFonts w:hint="eastAsia" w:ascii="宋体" w:hAnsi="宋体" w:cs="宋体"/>
          <w:color w:val="auto"/>
          <w:szCs w:val="21"/>
          <w:highlight w:val="none"/>
        </w:rPr>
        <w:t xml:space="preserve">文件全部实质性要求，且综合评分得分最高的供应商为成交供应商。</w:t>
      </w:r>
      <w:r/>
    </w:p>
    <w:p>
      <w:pPr>
        <w:ind w:firstLine="48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二、评</w:t>
      </w:r>
      <w:r>
        <w:rPr>
          <w:rFonts w:hint="eastAsia" w:ascii="宋体" w:hAnsi="宋体" w:eastAsia="宋体" w:cs="宋体"/>
          <w:b/>
          <w:bCs/>
          <w:color w:val="auto"/>
          <w:szCs w:val="21"/>
          <w:highlight w:val="none"/>
          <w:lang w:val="en-US" w:eastAsia="zh-CN"/>
        </w:rPr>
        <w:t xml:space="preserve">审</w:t>
      </w:r>
      <w:r>
        <w:rPr>
          <w:rFonts w:hint="eastAsia" w:ascii="宋体" w:hAnsi="宋体" w:eastAsia="宋体" w:cs="宋体"/>
          <w:b/>
          <w:bCs/>
          <w:color w:val="auto"/>
          <w:szCs w:val="21"/>
          <w:highlight w:val="none"/>
        </w:rPr>
        <w:t xml:space="preserve">标准（总分100分）</w:t>
      </w:r>
      <w:r/>
    </w:p>
    <w:p>
      <w:pPr>
        <w:ind w:firstLine="480"/>
        <w:spacing w:line="24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各供应商得分为磋商小组成员评分的算术平均分，分值保留小数点后两位。</w:t>
      </w:r>
      <w:r/>
    </w:p>
    <w:p>
      <w:pPr>
        <w:pStyle w:val="75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bl>
      <w:tblPr>
        <w:tblStyle w:val="749"/>
        <w:tblW w:w="93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0"/>
        <w:gridCol w:w="1626"/>
        <w:gridCol w:w="6502"/>
      </w:tblGrid>
      <w:tr>
        <w:trPr>
          <w:jc w:val="center"/>
          <w:trHeight w:val="430"/>
        </w:trPr>
        <w:tc>
          <w:tcPr>
            <w:gridSpan w:val="3"/>
            <w:tcW w:w="9368"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报价部分</w:t>
            </w:r>
            <w:r/>
          </w:p>
        </w:tc>
      </w:tr>
      <w:tr>
        <w:trPr>
          <w:jc w:val="center"/>
          <w:trHeight w:val="430"/>
        </w:trPr>
        <w:tc>
          <w:tcPr>
            <w:tcW w:w="1240"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评分因素</w:t>
            </w:r>
            <w:r/>
          </w:p>
        </w:tc>
        <w:tc>
          <w:tcPr>
            <w:tcW w:w="1626"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分值</w:t>
            </w:r>
            <w:r/>
          </w:p>
        </w:tc>
        <w:tc>
          <w:tcPr>
            <w:tcW w:w="6502"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各评分因素细分项</w:t>
            </w:r>
            <w:r/>
          </w:p>
        </w:tc>
      </w:tr>
      <w:tr>
        <w:trPr>
          <w:jc w:val="center"/>
          <w:trHeight w:val="1691"/>
        </w:trPr>
        <w:tc>
          <w:tcPr>
            <w:tcW w:w="1240"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报价</w:t>
            </w:r>
            <w:r/>
          </w:p>
        </w:tc>
        <w:tc>
          <w:tcPr>
            <w:tcW w:w="1626" w:type="dxa"/>
            <w:vAlign w:val="center"/>
            <w:textDirection w:val="lrTb"/>
            <w:noWrap w:val="false"/>
          </w:tcPr>
          <w:p>
            <w:pPr>
              <w:jc w:val="center"/>
              <w:spacing w:line="400" w:lineRule="exact"/>
              <w:widowControl/>
              <w:rPr>
                <w:rFonts w:hint="eastAsia" w:eastAsia="宋体"/>
                <w:color w:val="auto"/>
                <w:highlight w:val="none"/>
                <w:lang w:val="en-US" w:eastAsia="zh-CN"/>
              </w:rPr>
            </w:pPr>
            <w:r>
              <w:rPr>
                <w:rFonts w:hint="eastAsia" w:ascii="宋体" w:hAnsi="宋体" w:cs="宋体"/>
                <w:color w:val="auto"/>
                <w:szCs w:val="21"/>
                <w:highlight w:val="none"/>
              </w:rPr>
              <w:t xml:space="preserve">30</w:t>
            </w:r>
            <w:r>
              <w:rPr>
                <w:rFonts w:hint="eastAsia" w:ascii="宋体" w:hAnsi="宋体" w:cs="宋体"/>
                <w:color w:val="auto"/>
                <w:szCs w:val="21"/>
                <w:highlight w:val="none"/>
                <w:lang w:val="en-US" w:eastAsia="zh-CN"/>
              </w:rPr>
              <w:t xml:space="preserve">分</w:t>
            </w:r>
            <w:r/>
          </w:p>
        </w:tc>
        <w:tc>
          <w:tcPr>
            <w:tcW w:w="6502" w:type="dxa"/>
            <w:vAlign w:val="center"/>
            <w:textDirection w:val="lrTb"/>
            <w:noWrap w:val="false"/>
          </w:tcPr>
          <w:p>
            <w:pPr>
              <w:ind w:firstLine="480"/>
              <w:jc w:val="left"/>
              <w:spacing w:line="400" w:lineRule="exact"/>
              <w:widowControl/>
              <w:rPr>
                <w:color w:val="auto"/>
                <w:highlight w:val="none"/>
              </w:rPr>
            </w:pPr>
            <w:r>
              <w:rPr>
                <w:rFonts w:hint="eastAsia"/>
                <w:color w:val="auto"/>
                <w:highlight w:val="none"/>
              </w:rPr>
              <w:t xml:space="preserve">最终有效报价最低的价格为评标基准价，其价格分为满分。其他供应商的价格分统一按照下列公式计算：</w:t>
            </w:r>
            <w:r/>
          </w:p>
          <w:p>
            <w:pPr>
              <w:pStyle w:val="751"/>
              <w:jc w:val="both"/>
              <w:spacing w:line="400" w:lineRule="exact"/>
              <w:rPr>
                <w:color w:val="auto"/>
                <w:highlight w:val="none"/>
              </w:rPr>
            </w:pPr>
            <w:r>
              <w:rPr>
                <w:rFonts w:hint="eastAsia"/>
                <w:color w:val="auto"/>
                <w:highlight w:val="none"/>
              </w:rPr>
              <w:t xml:space="preserve">报价得分=（评标基准价/</w:t>
            </w:r>
            <w:r>
              <w:rPr>
                <w:rFonts w:hint="eastAsia"/>
                <w:color w:val="auto"/>
                <w:highlight w:val="none"/>
                <w:lang w:val="en-US"/>
              </w:rPr>
              <w:t xml:space="preserve">最终</w:t>
            </w:r>
            <w:r>
              <w:rPr>
                <w:rFonts w:hint="eastAsia"/>
                <w:color w:val="auto"/>
                <w:highlight w:val="none"/>
              </w:rPr>
              <w:t xml:space="preserve">报价）×</w:t>
            </w:r>
            <w:r>
              <w:rPr>
                <w:rFonts w:hint="eastAsia"/>
                <w:color w:val="auto"/>
                <w:highlight w:val="none"/>
                <w:lang w:val="en-US"/>
              </w:rPr>
              <w:t xml:space="preserve">30</w:t>
            </w:r>
            <w:r>
              <w:rPr>
                <w:rFonts w:hint="eastAsia"/>
                <w:color w:val="auto"/>
                <w:highlight w:val="none"/>
              </w:rPr>
              <w:t xml:space="preserve">%×100（得分保留两位小数）</w:t>
            </w:r>
            <w:r/>
          </w:p>
        </w:tc>
      </w:tr>
      <w:tr>
        <w:trPr>
          <w:jc w:val="center"/>
          <w:trHeight w:val="436"/>
        </w:trPr>
        <w:tc>
          <w:tcPr>
            <w:gridSpan w:val="3"/>
            <w:tcW w:w="9368" w:type="dxa"/>
            <w:vAlign w:val="center"/>
            <w:textDirection w:val="lrTb"/>
            <w:noWrap w:val="false"/>
          </w:tcPr>
          <w:p>
            <w:pPr>
              <w:jc w:val="center"/>
              <w:spacing w:line="360" w:lineRule="auto"/>
              <w:widowControl/>
              <w:rPr>
                <w:rFonts w:hint="default" w:eastAsia="宋体"/>
                <w:color w:val="000000" w:themeColor="text1"/>
                <w:highlight w:val="none"/>
              </w:rPr>
            </w:pPr>
            <w:r>
              <w:rPr>
                <w:rFonts w:hint="eastAsia" w:ascii="宋体" w:hAnsi="宋体" w:eastAsia="宋体" w:cs="宋体"/>
                <w:b/>
                <w:bCs/>
                <w:color w:val="000000" w:themeColor="text1"/>
                <w:szCs w:val="21"/>
                <w:highlight w:val="none"/>
                <w:lang w:val="en-US" w:eastAsia="zh-CN"/>
              </w:rPr>
              <w:t xml:space="preserve">商务部分</w:t>
            </w:r>
            <w:r>
              <w:rPr>
                <w:color w:val="000000" w:themeColor="text1"/>
              </w:rPr>
            </w:r>
          </w:p>
        </w:tc>
      </w:tr>
      <w:tr>
        <w:trPr>
          <w:jc w:val="center"/>
          <w:trHeight w:val="1691"/>
        </w:trPr>
        <w:tc>
          <w:tcPr>
            <w:tcW w:w="1240" w:type="dxa"/>
            <w:vAlign w:val="center"/>
            <w:textDirection w:val="lrTb"/>
            <w:noWrap w:val="false"/>
          </w:tcPr>
          <w:p>
            <w:pPr>
              <w:jc w:val="center"/>
              <w:spacing w:line="360" w:lineRule="auto"/>
              <w:widowControl/>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业绩</w:t>
            </w:r>
            <w:r>
              <w:rPr>
                <w:color w:val="000000" w:themeColor="text1"/>
              </w:rPr>
            </w:r>
          </w:p>
        </w:tc>
        <w:tc>
          <w:tcPr>
            <w:tcW w:w="1626" w:type="dxa"/>
            <w:vAlign w:val="center"/>
            <w:textDirection w:val="lrTb"/>
            <w:noWrap w:val="false"/>
          </w:tcPr>
          <w:p>
            <w:pPr>
              <w:jc w:val="center"/>
              <w:spacing w:line="400" w:lineRule="exact"/>
              <w:widowControl/>
              <w:rPr>
                <w:rFonts w:hint="default" w:ascii="宋体" w:hAnsi="宋体" w:eastAsia="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6分</w:t>
            </w:r>
            <w:r>
              <w:rPr>
                <w:color w:val="000000" w:themeColor="text1"/>
              </w:rPr>
            </w:r>
          </w:p>
        </w:tc>
        <w:tc>
          <w:tcPr>
            <w:tcW w:w="6502" w:type="dxa"/>
            <w:vAlign w:val="center"/>
            <w:textDirection w:val="lrTb"/>
            <w:noWrap w:val="false"/>
          </w:tcPr>
          <w:p>
            <w:pPr>
              <w:ind w:firstLine="480"/>
              <w:jc w:val="left"/>
              <w:spacing w:line="400" w:lineRule="exact"/>
              <w:widowControl/>
              <w:rPr>
                <w:rFonts w:hint="eastAsia" w:ascii="Times New Roman" w:hAnsi="Times New Roman" w:eastAsia="宋体" w:cs="Times New Roman"/>
                <w:color w:val="000000" w:themeColor="text1"/>
                <w:highlight w:val="none"/>
              </w:rPr>
            </w:pPr>
            <w:r>
              <w:rPr>
                <w:rFonts w:hint="eastAsia" w:ascii="Times New Roman" w:hAnsi="Times New Roman" w:eastAsia="宋体" w:cs="Times New Roman"/>
                <w:color w:val="000000" w:themeColor="text1"/>
                <w:highlight w:val="none"/>
                <w:lang w:val="en-US" w:eastAsia="zh-CN"/>
              </w:rPr>
              <w:t xml:space="preserve">供应商</w:t>
            </w:r>
            <w:r>
              <w:rPr>
                <w:rFonts w:hint="eastAsia" w:ascii="Times New Roman" w:hAnsi="Times New Roman" w:eastAsia="宋体" w:cs="Times New Roman"/>
                <w:color w:val="000000" w:themeColor="text1"/>
                <w:highlight w:val="none"/>
              </w:rPr>
              <w:t xml:space="preserve">2023年1月1日</w:t>
            </w:r>
            <w:r>
              <w:rPr>
                <w:rFonts w:hint="eastAsia" w:ascii="宋体" w:hAnsi="宋体" w:cs="宋体"/>
                <w:color w:val="000000" w:themeColor="text1"/>
                <w:szCs w:val="21"/>
                <w:highlight w:val="none"/>
              </w:rPr>
              <w:t xml:space="preserve">以来</w:t>
            </w: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rPr>
              <w:t xml:space="preserve">以合同复印件为准</w:t>
            </w: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rPr>
              <w:t xml:space="preserve">，</w:t>
            </w:r>
            <w:r>
              <w:rPr>
                <w:rFonts w:hint="eastAsia" w:ascii="Times New Roman" w:hAnsi="Times New Roman" w:eastAsia="宋体" w:cs="Times New Roman"/>
                <w:color w:val="000000" w:themeColor="text1"/>
                <w:highlight w:val="none"/>
                <w:lang w:val="en-US" w:eastAsia="zh-CN"/>
              </w:rPr>
              <w:t xml:space="preserve">承担过</w:t>
            </w:r>
            <w:r>
              <w:rPr>
                <w:rFonts w:hint="eastAsia" w:ascii="Times New Roman" w:hAnsi="Times New Roman" w:eastAsia="宋体" w:cs="Times New Roman"/>
                <w:color w:val="000000" w:themeColor="text1"/>
                <w:highlight w:val="none"/>
              </w:rPr>
              <w:t xml:space="preserve">与本次维保设备同类项目的维保服务业绩（</w:t>
            </w:r>
            <w:r>
              <w:rPr>
                <w:rFonts w:hint="eastAsia" w:ascii="Times New Roman" w:hAnsi="Times New Roman" w:eastAsia="宋体" w:cs="Times New Roman"/>
                <w:color w:val="000000" w:themeColor="text1"/>
                <w:highlight w:val="none"/>
                <w:lang w:val="en-US" w:eastAsia="zh-CN"/>
              </w:rPr>
              <w:t xml:space="preserve">提供合同原件扫描件</w:t>
            </w:r>
            <w:r>
              <w:rPr>
                <w:rFonts w:hint="eastAsia" w:ascii="Times New Roman" w:hAnsi="Times New Roman" w:eastAsia="宋体" w:cs="Times New Roman"/>
                <w:color w:val="000000" w:themeColor="text1"/>
                <w:highlight w:val="none"/>
              </w:rPr>
              <w:t xml:space="preserve">。</w:t>
            </w:r>
            <w:r>
              <w:rPr>
                <w:rFonts w:hint="eastAsia" w:ascii="Times New Roman" w:hAnsi="Times New Roman" w:eastAsia="宋体" w:cs="Times New Roman"/>
                <w:color w:val="000000" w:themeColor="text1"/>
                <w:highlight w:val="none"/>
              </w:rPr>
              <w:t xml:space="preserve">合同中至少包含准分子激光角膜屈光治疗仪维保项目相关字样。合同中的价格和维保费用均无遮挡，否则不得分），每提供一份</w:t>
            </w:r>
            <w:r>
              <w:rPr>
                <w:rFonts w:hint="eastAsia" w:cs="Times New Roman"/>
                <w:color w:val="000000" w:themeColor="text1"/>
                <w:highlight w:val="none"/>
                <w:lang w:eastAsia="zh-CN"/>
              </w:rPr>
              <w:t xml:space="preserve">得</w:t>
            </w:r>
            <w:r>
              <w:rPr>
                <w:rFonts w:hint="eastAsia" w:ascii="Times New Roman" w:hAnsi="Times New Roman" w:eastAsia="宋体" w:cs="Times New Roman"/>
                <w:color w:val="000000" w:themeColor="text1"/>
                <w:highlight w:val="none"/>
              </w:rPr>
              <w:t xml:space="preserve">2分</w:t>
            </w:r>
            <w:r>
              <w:rPr>
                <w:rFonts w:hint="eastAsia" w:ascii="Times New Roman" w:hAnsi="Times New Roman" w:eastAsia="宋体" w:cs="Times New Roman"/>
                <w:color w:val="000000" w:themeColor="text1"/>
                <w:highlight w:val="none"/>
                <w:lang w:eastAsia="zh-CN"/>
              </w:rPr>
              <w:t xml:space="preserve">，</w:t>
            </w:r>
            <w:r>
              <w:rPr>
                <w:rFonts w:hint="eastAsia" w:ascii="Times New Roman" w:hAnsi="Times New Roman" w:eastAsia="宋体" w:cs="Times New Roman"/>
                <w:color w:val="000000" w:themeColor="text1"/>
                <w:highlight w:val="none"/>
                <w:lang w:val="en-US" w:eastAsia="zh-CN"/>
              </w:rPr>
              <w:t xml:space="preserve">本项最高得6分</w:t>
            </w:r>
            <w:r>
              <w:rPr>
                <w:rFonts w:hint="eastAsia" w:ascii="Times New Roman" w:hAnsi="Times New Roman" w:eastAsia="宋体" w:cs="Times New Roman"/>
                <w:color w:val="000000" w:themeColor="text1"/>
                <w:highlight w:val="none"/>
              </w:rPr>
              <w:t xml:space="preserve">。</w:t>
            </w:r>
            <w:r>
              <w:rPr>
                <w:color w:val="000000" w:themeColor="text1"/>
              </w:rPr>
            </w:r>
          </w:p>
        </w:tc>
      </w:tr>
      <w:tr>
        <w:trPr>
          <w:jc w:val="center"/>
          <w:trHeight w:val="436"/>
        </w:trPr>
        <w:tc>
          <w:tcPr>
            <w:gridSpan w:val="3"/>
            <w:tcW w:w="9368" w:type="dxa"/>
            <w:vAlign w:val="center"/>
            <w:textDirection w:val="lrTb"/>
            <w:noWrap w:val="false"/>
          </w:tcPr>
          <w:p>
            <w:pPr>
              <w:jc w:val="center"/>
              <w:spacing w:line="360" w:lineRule="auto"/>
              <w:widowControl/>
              <w:rPr>
                <w:rFonts w:hint="default" w:ascii="Times New Roman" w:hAnsi="Times New Roman" w:eastAsia="宋体" w:cs="Times New Roman"/>
                <w:color w:val="000000" w:themeColor="text1"/>
                <w:highlight w:val="none"/>
              </w:rPr>
            </w:pPr>
            <w:r>
              <w:rPr>
                <w:rFonts w:hint="eastAsia" w:ascii="宋体" w:hAnsi="宋体" w:eastAsia="宋体" w:cs="宋体"/>
                <w:b/>
                <w:bCs/>
                <w:color w:val="000000" w:themeColor="text1"/>
                <w:szCs w:val="21"/>
                <w:highlight w:val="none"/>
                <w:lang w:val="en-US" w:eastAsia="zh-CN"/>
              </w:rPr>
              <w:t xml:space="preserve">技术部分</w:t>
            </w:r>
            <w:r>
              <w:rPr>
                <w:color w:val="000000" w:themeColor="text1"/>
              </w:rPr>
            </w:r>
          </w:p>
        </w:tc>
      </w:tr>
      <w:tr>
        <w:trPr>
          <w:jc w:val="center"/>
          <w:trHeight w:val="1691"/>
        </w:trPr>
        <w:tc>
          <w:tcPr>
            <w:tcW w:w="1240" w:type="dxa"/>
            <w:vAlign w:val="center"/>
            <w:textDirection w:val="lrTb"/>
            <w:noWrap w:val="false"/>
          </w:tcPr>
          <w:p>
            <w:pPr>
              <w:jc w:val="center"/>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技术要求</w:t>
            </w:r>
            <w:r>
              <w:rPr>
                <w:color w:val="000000" w:themeColor="text1"/>
              </w:rPr>
            </w:r>
          </w:p>
        </w:tc>
        <w:tc>
          <w:tcPr>
            <w:tcW w:w="1626" w:type="dxa"/>
            <w:vAlign w:val="center"/>
            <w:textDirection w:val="lrTb"/>
            <w:noWrap w:val="false"/>
          </w:tcPr>
          <w:p>
            <w:pPr>
              <w:jc w:val="center"/>
              <w:spacing w:line="400" w:lineRule="exact"/>
              <w:widowControl/>
              <w:rPr>
                <w:rFonts w:hint="default"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32</w:t>
            </w:r>
            <w:r>
              <w:rPr>
                <w:rFonts w:hint="eastAsia" w:ascii="宋体" w:hAnsi="宋体" w:cs="宋体"/>
                <w:color w:val="000000" w:themeColor="text1"/>
                <w:szCs w:val="21"/>
                <w:highlight w:val="none"/>
                <w:lang w:val="en-US" w:eastAsia="zh-CN"/>
              </w:rPr>
              <w:t xml:space="preserve">分</w:t>
            </w:r>
            <w:r>
              <w:rPr>
                <w:color w:val="000000" w:themeColor="text1"/>
              </w:rPr>
            </w:r>
          </w:p>
        </w:tc>
        <w:tc>
          <w:tcPr>
            <w:tcW w:w="6502" w:type="dxa"/>
            <w:vAlign w:val="center"/>
            <w:textDirection w:val="lrTb"/>
            <w:noWrap w:val="false"/>
          </w:tcPr>
          <w:p>
            <w:pPr>
              <w:ind w:firstLine="480"/>
              <w:jc w:val="left"/>
              <w:spacing w:line="400" w:lineRule="exact"/>
              <w:widowControl/>
              <w:rPr>
                <w:rFonts w:hint="eastAsia" w:ascii="Times New Roman" w:hAnsi="Times New Roman" w:eastAsia="宋体" w:cs="Times New Roman"/>
                <w:color w:val="000000" w:themeColor="text1"/>
                <w:highlight w:val="none"/>
              </w:rPr>
            </w:pPr>
            <w:r>
              <w:rPr>
                <w:rFonts w:hint="eastAsia"/>
                <w:b w:val="0"/>
                <w:bCs/>
                <w:color w:val="000000" w:themeColor="text1"/>
                <w:lang w:val="en-US" w:eastAsia="zh-CN"/>
              </w:rPr>
              <w:t xml:space="preserve">采购文件第三章中，</w:t>
            </w:r>
            <w:r>
              <w:rPr>
                <w:rFonts w:hint="eastAsia" w:ascii="宋体" w:hAnsi="宋体" w:eastAsia="宋体" w:cs="宋体"/>
                <w:bCs/>
                <w:color w:val="000000" w:themeColor="text1"/>
                <w:sz w:val="24"/>
                <w:szCs w:val="24"/>
                <w:highlight w:val="none"/>
                <w:lang w:val="en-US" w:eastAsia="zh-CN"/>
              </w:rPr>
              <w:t xml:space="preserve">加★项为核心条款，存在负偏离的视为无效响应文件；</w:t>
            </w:r>
            <w:r>
              <w:rPr>
                <w:rFonts w:hint="eastAsia"/>
                <w:b w:val="0"/>
                <w:bCs/>
                <w:color w:val="000000" w:themeColor="text1"/>
                <w:lang w:val="en-US" w:eastAsia="zh-CN"/>
              </w:rPr>
              <w:t xml:space="preserve">加</w:t>
            </w:r>
            <w:r>
              <w:rPr>
                <w:rFonts w:hint="eastAsia"/>
                <w:b w:val="0"/>
                <w:bCs/>
                <w:color w:val="000000" w:themeColor="text1"/>
              </w:rPr>
              <w:t xml:space="preserve">▲号指标</w:t>
            </w:r>
            <w:r>
              <w:rPr>
                <w:rFonts w:hint="eastAsia"/>
                <w:b w:val="0"/>
                <w:bCs/>
                <w:color w:val="000000" w:themeColor="text1"/>
                <w:lang w:val="en-US" w:eastAsia="zh-CN"/>
              </w:rPr>
              <w:t xml:space="preserve">每</w:t>
            </w:r>
            <w:r>
              <w:rPr>
                <w:rFonts w:hint="eastAsia"/>
                <w:b w:val="0"/>
                <w:bCs/>
                <w:color w:val="000000" w:themeColor="text1"/>
              </w:rPr>
              <w:t xml:space="preserve">有一项负偏离</w:t>
            </w:r>
            <w:r>
              <w:rPr>
                <w:rFonts w:hint="eastAsia"/>
                <w:b w:val="0"/>
                <w:bCs/>
                <w:color w:val="000000" w:themeColor="text1"/>
                <w:lang w:val="en-US" w:eastAsia="zh-CN"/>
              </w:rPr>
              <w:t xml:space="preserve">的</w:t>
            </w:r>
            <w:r>
              <w:rPr>
                <w:rFonts w:hint="eastAsia"/>
                <w:b w:val="0"/>
                <w:bCs/>
                <w:color w:val="000000" w:themeColor="text1"/>
              </w:rPr>
              <w:t xml:space="preserve">扣4分，</w:t>
            </w:r>
            <w:r>
              <w:rPr>
                <w:rFonts w:hint="eastAsia" w:ascii="宋体" w:hAnsi="宋体" w:eastAsia="宋体" w:cs="宋体"/>
                <w:bCs/>
                <w:color w:val="000000" w:themeColor="text1"/>
                <w:sz w:val="24"/>
                <w:szCs w:val="24"/>
                <w:highlight w:val="none"/>
                <w:lang w:val="en-US" w:eastAsia="zh-CN"/>
              </w:rPr>
              <w:t xml:space="preserve">未加★和▲项的指标</w:t>
            </w:r>
            <w:r>
              <w:rPr>
                <w:rFonts w:hint="eastAsia"/>
                <w:b w:val="0"/>
                <w:bCs/>
                <w:color w:val="000000" w:themeColor="text1"/>
              </w:rPr>
              <w:t xml:space="preserve">有一项负偏离扣2分，扣完为止。</w:t>
            </w:r>
            <w:r>
              <w:rPr>
                <w:color w:val="000000" w:themeColor="text1"/>
              </w:rPr>
            </w:r>
          </w:p>
        </w:tc>
      </w:tr>
      <w:tr>
        <w:trPr>
          <w:jc w:val="center"/>
          <w:trHeight w:val="1691"/>
        </w:trPr>
        <w:tc>
          <w:tcPr>
            <w:tcW w:w="1240" w:type="dxa"/>
            <w:vAlign w:val="center"/>
            <w:vMerge w:val="restart"/>
            <w:textDirection w:val="lrTb"/>
            <w:noWrap w:val="false"/>
          </w:tcPr>
          <w:p>
            <w:pPr>
              <w:jc w:val="center"/>
              <w:spacing w:line="360" w:lineRule="auto"/>
              <w:widowControl/>
              <w:rPr>
                <w:rFonts w:hint="eastAsia" w:ascii="宋体" w:hAnsi="宋体" w:cs="宋体"/>
                <w:color w:val="000000" w:themeColor="text1"/>
                <w:szCs w:val="21"/>
                <w:highlight w:val="none"/>
              </w:rPr>
            </w:pPr>
            <w:r>
              <w:rPr>
                <w:rFonts w:hint="eastAsia"/>
                <w:b w:val="0"/>
                <w:bCs/>
                <w:color w:val="000000" w:themeColor="text1"/>
              </w:rPr>
              <w:t xml:space="preserve">服务</w:t>
            </w:r>
            <w:r>
              <w:rPr>
                <w:b w:val="0"/>
                <w:bCs/>
                <w:color w:val="000000" w:themeColor="text1"/>
              </w:rPr>
              <w:t xml:space="preserve">方案</w:t>
            </w:r>
            <w:r>
              <w:rPr>
                <w:color w:val="000000" w:themeColor="text1"/>
              </w:rPr>
            </w:r>
          </w:p>
        </w:tc>
        <w:tc>
          <w:tcPr>
            <w:tcW w:w="1626" w:type="dxa"/>
            <w:vAlign w:val="center"/>
            <w:vMerge w:val="restart"/>
            <w:textDirection w:val="lrTb"/>
            <w:noWrap w:val="false"/>
          </w:tcPr>
          <w:p>
            <w:pPr>
              <w:jc w:val="center"/>
              <w:spacing w:line="400" w:lineRule="exact"/>
              <w:widowControl/>
              <w:rPr>
                <w:rFonts w:hint="default"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32</w:t>
            </w:r>
            <w:r>
              <w:rPr>
                <w:rFonts w:hint="eastAsia" w:ascii="宋体" w:hAnsi="宋体" w:cs="宋体"/>
                <w:color w:val="000000" w:themeColor="text1"/>
                <w:szCs w:val="21"/>
                <w:highlight w:val="none"/>
                <w:lang w:val="en-US" w:eastAsia="zh-CN"/>
              </w:rPr>
              <w:t xml:space="preserve">分</w:t>
            </w:r>
            <w:r>
              <w:rPr>
                <w:color w:val="000000" w:themeColor="text1"/>
              </w:rPr>
            </w:r>
          </w:p>
        </w:tc>
        <w:tc>
          <w:tcPr>
            <w:tcW w:w="6502" w:type="dxa"/>
            <w:vAlign w:val="center"/>
            <w:textDirection w:val="lrTb"/>
            <w:noWrap w:val="false"/>
          </w:tcPr>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根据投标人提供的维修维护实施方案综合评分，包括定期维护巡检方案、维修响应时间节点、具体维修流程细则等（</w:t>
            </w:r>
            <w:r>
              <w:rPr>
                <w:rFonts w:hint="eastAsia"/>
                <w:b w:val="0"/>
                <w:bCs/>
                <w:color w:val="000000" w:themeColor="text1"/>
                <w:lang w:val="en-US" w:eastAsia="zh-CN"/>
              </w:rPr>
              <w:t xml:space="preserve">7</w:t>
            </w:r>
            <w:r>
              <w:rPr>
                <w:rFonts w:hint="eastAsia"/>
                <w:b w:val="0"/>
                <w:bCs/>
                <w:color w:val="000000" w:themeColor="text1"/>
                <w:lang w:val="en-US" w:eastAsia="zh-CN"/>
              </w:rPr>
              <w:t xml:space="preserve">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服务方案内容科学合理、完整、切实可行的得</w:t>
            </w:r>
            <w:r>
              <w:rPr>
                <w:rFonts w:hint="eastAsia"/>
                <w:b w:val="0"/>
                <w:bCs/>
                <w:color w:val="000000" w:themeColor="text1"/>
                <w:lang w:val="en-US" w:eastAsia="zh-CN"/>
              </w:rPr>
              <w:t xml:space="preserve">7</w:t>
            </w:r>
            <w:r>
              <w:rPr>
                <w:rFonts w:hint="eastAsia"/>
                <w:b w:val="0"/>
                <w:bCs/>
                <w:color w:val="000000" w:themeColor="text1"/>
                <w:lang w:val="en-US" w:eastAsia="zh-CN"/>
              </w:rPr>
              <w:t xml:space="preserve">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服务方案内容有所缺漏或可行性欠缺合理的得3分；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内容不完整，且可行性差的得1分。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方案不全面、不具备可执行性、未提供服务方案的不得分。</w:t>
            </w:r>
            <w:r>
              <w:rPr>
                <w:color w:val="000000" w:themeColor="text1"/>
              </w:rPr>
            </w:r>
          </w:p>
        </w:tc>
      </w:tr>
      <w:tr>
        <w:trPr>
          <w:jc w:val="center"/>
          <w:trHeight w:val="1691"/>
        </w:trPr>
        <w:tc>
          <w:tcPr>
            <w:tcW w:w="1240"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626" w:type="dxa"/>
            <w:vAlign w:val="center"/>
            <w:vMerge w:val="continue"/>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502" w:type="dxa"/>
            <w:vAlign w:val="center"/>
            <w:textDirection w:val="lrTb"/>
            <w:noWrap w:val="false"/>
          </w:tcPr>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应急预案：供应商须有能力应对突发事件应急预案，列明服务期内可能设备突发故障/其他突发情况、并做应对处置措施及方案，根据应答情况评审（</w:t>
            </w:r>
            <w:r>
              <w:rPr>
                <w:rFonts w:hint="eastAsia"/>
                <w:b w:val="0"/>
                <w:bCs/>
                <w:color w:val="000000" w:themeColor="text1"/>
                <w:lang w:val="en-US" w:eastAsia="zh-CN"/>
              </w:rPr>
              <w:t xml:space="preserve">7</w:t>
            </w:r>
            <w:r>
              <w:rPr>
                <w:rFonts w:hint="eastAsia"/>
                <w:b w:val="0"/>
                <w:bCs/>
                <w:color w:val="000000" w:themeColor="text1"/>
                <w:lang w:val="en-US" w:eastAsia="zh-CN"/>
              </w:rPr>
              <w:t xml:space="preserve">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服务方案内容科学合理、完整、切实可行的得</w:t>
            </w:r>
            <w:r>
              <w:rPr>
                <w:rFonts w:hint="eastAsia"/>
                <w:b w:val="0"/>
                <w:bCs/>
                <w:color w:val="000000" w:themeColor="text1"/>
                <w:lang w:val="en-US" w:eastAsia="zh-CN"/>
              </w:rPr>
              <w:t xml:space="preserve">7</w:t>
            </w:r>
            <w:r>
              <w:rPr>
                <w:rFonts w:hint="eastAsia"/>
                <w:b w:val="0"/>
                <w:bCs/>
                <w:color w:val="000000" w:themeColor="text1"/>
                <w:lang w:val="en-US" w:eastAsia="zh-CN"/>
              </w:rPr>
              <w:t xml:space="preserve">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服务方案内容有所缺漏或可行性欠缺合理的得3分；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内容不完整，且可行性差的得1分。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方案不全面、不具备可执行性、未提供服务方案的不得分。</w:t>
            </w:r>
            <w:r>
              <w:rPr>
                <w:color w:val="000000" w:themeColor="text1"/>
              </w:rPr>
            </w:r>
          </w:p>
        </w:tc>
      </w:tr>
      <w:tr>
        <w:trPr>
          <w:jc w:val="center"/>
          <w:trHeight w:val="1691"/>
        </w:trPr>
        <w:tc>
          <w:tcPr>
            <w:tcW w:w="1240"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626" w:type="dxa"/>
            <w:vAlign w:val="center"/>
            <w:vMerge w:val="continue"/>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502" w:type="dxa"/>
            <w:vAlign w:val="center"/>
            <w:textDirection w:val="lrTb"/>
            <w:noWrap w:val="false"/>
          </w:tcPr>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质量管控：供应商须有一系列保证服务质量的内部制度、实施方案和考核办法，项目现场工作规范要求等内容，根据应答情况评审（</w:t>
            </w:r>
            <w:r>
              <w:rPr>
                <w:rFonts w:hint="eastAsia"/>
                <w:b w:val="0"/>
                <w:bCs/>
                <w:color w:val="000000" w:themeColor="text1"/>
                <w:lang w:val="en-US" w:eastAsia="zh-CN"/>
              </w:rPr>
              <w:t xml:space="preserve">6</w:t>
            </w:r>
            <w:r>
              <w:rPr>
                <w:rFonts w:hint="eastAsia"/>
                <w:b w:val="0"/>
                <w:bCs/>
                <w:color w:val="000000" w:themeColor="text1"/>
                <w:lang w:val="en-US" w:eastAsia="zh-CN"/>
              </w:rPr>
              <w:t xml:space="preserve">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服务方案内容科学合理、完整、切实可行的得</w:t>
            </w:r>
            <w:r>
              <w:rPr>
                <w:rFonts w:hint="eastAsia"/>
                <w:b w:val="0"/>
                <w:bCs/>
                <w:color w:val="000000" w:themeColor="text1"/>
                <w:lang w:val="en-US" w:eastAsia="zh-CN"/>
              </w:rPr>
              <w:t xml:space="preserve">6</w:t>
            </w:r>
            <w:r>
              <w:rPr>
                <w:rFonts w:hint="eastAsia"/>
                <w:b w:val="0"/>
                <w:bCs/>
                <w:color w:val="000000" w:themeColor="text1"/>
                <w:lang w:val="en-US" w:eastAsia="zh-CN"/>
              </w:rPr>
              <w:t xml:space="preserve">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服务方案内容有所缺漏或可行性欠缺合理的得3分；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内容不完整，且可行性差的得1分。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方案不全面、不具备可执行性、未提供服务方案的不得分。</w:t>
            </w:r>
            <w:r>
              <w:rPr>
                <w:color w:val="000000" w:themeColor="text1"/>
              </w:rPr>
            </w:r>
          </w:p>
        </w:tc>
      </w:tr>
      <w:tr>
        <w:trPr>
          <w:jc w:val="center"/>
          <w:trHeight w:val="1691"/>
        </w:trPr>
        <w:tc>
          <w:tcPr>
            <w:tcW w:w="1240"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626" w:type="dxa"/>
            <w:vAlign w:val="center"/>
            <w:vMerge w:val="continue"/>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502" w:type="dxa"/>
            <w:vAlign w:val="center"/>
            <w:textDirection w:val="lrTb"/>
            <w:noWrap w:val="false"/>
          </w:tcPr>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团队配置方案：根据供应商为本项目所拟配置的服务人员团队配置（工程师以外人员）进行打分，包括但不限于团队配置的合理性，项目组员的工作经验等（</w:t>
            </w:r>
            <w:r>
              <w:rPr>
                <w:rFonts w:hint="eastAsia"/>
                <w:b w:val="0"/>
                <w:bCs/>
                <w:color w:val="000000" w:themeColor="text1"/>
                <w:lang w:val="en-US" w:eastAsia="zh-CN"/>
              </w:rPr>
              <w:t xml:space="preserve">6</w:t>
            </w:r>
            <w:r>
              <w:rPr>
                <w:rFonts w:hint="eastAsia"/>
                <w:b w:val="0"/>
                <w:bCs/>
                <w:color w:val="000000" w:themeColor="text1"/>
                <w:lang w:val="en-US" w:eastAsia="zh-CN"/>
              </w:rPr>
              <w:t xml:space="preserve">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服务方案内容科学合理、完整、切实可行的得</w:t>
            </w:r>
            <w:r>
              <w:rPr>
                <w:rFonts w:hint="eastAsia"/>
                <w:b w:val="0"/>
                <w:bCs/>
                <w:color w:val="000000" w:themeColor="text1"/>
                <w:lang w:val="en-US" w:eastAsia="zh-CN"/>
              </w:rPr>
              <w:t xml:space="preserve">6</w:t>
            </w:r>
            <w:r>
              <w:rPr>
                <w:rFonts w:hint="eastAsia"/>
                <w:b w:val="0"/>
                <w:bCs/>
                <w:color w:val="000000" w:themeColor="text1"/>
                <w:lang w:val="en-US" w:eastAsia="zh-CN"/>
              </w:rPr>
              <w:t xml:space="preserve">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服务方案内容有所缺漏或可行性欠缺合理的得3分；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内容不完整，且可行性差的得1分。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方案不全面、不具备可执行性、未提供服务方案的不得分。</w:t>
            </w:r>
            <w:r>
              <w:rPr>
                <w:color w:val="000000" w:themeColor="text1"/>
              </w:rPr>
            </w:r>
          </w:p>
        </w:tc>
      </w:tr>
      <w:tr>
        <w:trPr>
          <w:jc w:val="center"/>
          <w:trHeight w:val="1691"/>
        </w:trPr>
        <w:tc>
          <w:tcPr>
            <w:tcW w:w="1240"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1626" w:type="dxa"/>
            <w:vAlign w:val="center"/>
            <w:vMerge w:val="continue"/>
            <w:textDirection w:val="lrTb"/>
            <w:noWrap w:val="false"/>
          </w:tcPr>
          <w:p>
            <w:pPr>
              <w:jc w:val="center"/>
              <w:spacing w:line="40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tc>
        <w:tc>
          <w:tcPr>
            <w:tcW w:w="6502" w:type="dxa"/>
            <w:vAlign w:val="center"/>
            <w:textDirection w:val="lrTb"/>
            <w:noWrap w:val="false"/>
          </w:tcPr>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增值服务方案：根据供应商针对采购需求提供的增值服务方案（包括但不限于免费业务咨询、定制化多解决方案、协助医院相关人员业务培训）进行评价（</w:t>
            </w:r>
            <w:r>
              <w:rPr>
                <w:rFonts w:hint="eastAsia"/>
                <w:b w:val="0"/>
                <w:bCs/>
                <w:color w:val="000000" w:themeColor="text1"/>
                <w:lang w:val="en-US" w:eastAsia="zh-CN"/>
              </w:rPr>
              <w:t xml:space="preserve">6</w:t>
            </w:r>
            <w:r>
              <w:rPr>
                <w:rFonts w:hint="eastAsia"/>
                <w:b w:val="0"/>
                <w:bCs/>
                <w:color w:val="000000" w:themeColor="text1"/>
                <w:lang w:val="en-US" w:eastAsia="zh-CN"/>
              </w:rPr>
              <w:t xml:space="preserve">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服务方案内容科学合理、完整、切实可行的得</w:t>
            </w:r>
            <w:r>
              <w:rPr>
                <w:rFonts w:hint="eastAsia"/>
                <w:b w:val="0"/>
                <w:bCs/>
                <w:color w:val="000000" w:themeColor="text1"/>
                <w:lang w:val="en-US" w:eastAsia="zh-CN"/>
              </w:rPr>
              <w:t xml:space="preserve">6</w:t>
            </w:r>
            <w:r>
              <w:rPr>
                <w:rFonts w:hint="eastAsia"/>
                <w:b w:val="0"/>
                <w:bCs/>
                <w:color w:val="000000" w:themeColor="text1"/>
                <w:lang w:val="en-US" w:eastAsia="zh-CN"/>
              </w:rPr>
              <w:t xml:space="preserve">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服务方案内容有所缺漏或可行性欠缺合理的得3分；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内容不完整，且可行性差的得1分。</w:t>
            </w:r>
            <w:r>
              <w:rPr>
                <w:color w:val="000000" w:themeColor="text1"/>
              </w:rPr>
            </w:r>
          </w:p>
          <w:p>
            <w:pPr>
              <w:ind w:firstLine="480"/>
              <w:jc w:val="left"/>
              <w:spacing w:line="400" w:lineRule="exact"/>
              <w:widowControl/>
              <w:rPr>
                <w:rFonts w:hint="eastAsia"/>
                <w:b w:val="0"/>
                <w:bCs/>
                <w:color w:val="000000" w:themeColor="text1"/>
              </w:rPr>
            </w:pPr>
            <w:r>
              <w:rPr>
                <w:rFonts w:hint="eastAsia"/>
                <w:b w:val="0"/>
                <w:bCs/>
                <w:color w:val="000000" w:themeColor="text1"/>
                <w:lang w:val="en-US" w:eastAsia="zh-CN"/>
              </w:rPr>
              <w:t xml:space="preserve">方案不全面、不具备可执行性、未提供服务方案的不得分。</w:t>
            </w:r>
            <w:r>
              <w:rPr>
                <w:color w:val="000000" w:themeColor="text1"/>
              </w:rPr>
            </w:r>
          </w:p>
        </w:tc>
      </w:tr>
    </w:tbl>
    <w:p>
      <w:pP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755"/>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rPr>
      </w:r>
    </w:p>
    <w:p>
      <w:pPr>
        <w:pStyle w:val="755"/>
        <w:rPr>
          <w:rFonts w:hint="eastAsia"/>
          <w:color w:val="000000" w:themeColor="text1"/>
        </w:rPr>
      </w:pPr>
      <w:r>
        <w:rPr>
          <w:rFonts w:hint="eastAsia"/>
          <w:color w:val="000000" w:themeColor="text1"/>
        </w:rPr>
      </w:r>
      <w:r>
        <w:rPr>
          <w:color w:val="000000" w:themeColor="text1"/>
        </w:rP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rPr>
      </w:r>
    </w:p>
    <w:p>
      <w:pPr>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r>
      <w:r>
        <w:rPr>
          <w:color w:val="000000" w:themeColor="text1"/>
        </w:rP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br w:type="page" w:clear="all"/>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jc w:val="center"/>
        <w:keepNext/>
        <w:rPr>
          <w:rFonts w:hint="eastAsia" w:ascii="黑体" w:hAnsi="Times New Roman" w:eastAsia="黑体"/>
          <w:bCs/>
          <w:color w:val="000000" w:themeColor="text1"/>
          <w:sz w:val="44"/>
          <w:szCs w:val="28"/>
          <w:highlight w:val="none"/>
          <w14:textFill>
            <w14:solidFill>
              <w14:schemeClr w14:val="tx1"/>
            </w14:solidFill>
          </w14:textFill>
        </w:rPr>
        <w:outlineLvl w:val="0"/>
      </w:pPr>
      <w:r>
        <w:rPr>
          <w:rFonts w:hint="eastAsia" w:ascii="黑体" w:hAnsi="Times New Roman" w:eastAsia="黑体"/>
          <w:bCs/>
          <w:color w:val="000000" w:themeColor="text1"/>
          <w:sz w:val="44"/>
          <w:szCs w:val="28"/>
          <w:highlight w:val="none"/>
          <w14:textFill>
            <w14:solidFill>
              <w14:schemeClr w14:val="tx1"/>
            </w14:solidFill>
          </w14:textFill>
        </w:rPr>
        <w:t xml:space="preserve">第</w:t>
      </w:r>
      <w:r>
        <w:rPr>
          <w:rFonts w:hint="eastAsia" w:ascii="黑体" w:eastAsia="黑体"/>
          <w:bCs/>
          <w:color w:val="000000" w:themeColor="text1"/>
          <w:sz w:val="44"/>
          <w:szCs w:val="28"/>
          <w:highlight w:val="none"/>
          <w:lang w:val="en-US" w:eastAsia="zh-CN"/>
          <w14:textFill>
            <w14:solidFill>
              <w14:schemeClr w14:val="tx1"/>
            </w14:solidFill>
          </w14:textFill>
        </w:rPr>
        <w:t xml:space="preserve">六</w:t>
      </w:r>
      <w:r>
        <w:rPr>
          <w:rFonts w:hint="eastAsia" w:ascii="黑体" w:hAnsi="Times New Roman" w:eastAsia="黑体"/>
          <w:bCs/>
          <w:color w:val="000000" w:themeColor="text1"/>
          <w:sz w:val="44"/>
          <w:szCs w:val="28"/>
          <w:highlight w:val="none"/>
          <w14:textFill>
            <w14:solidFill>
              <w14:schemeClr w14:val="tx1"/>
            </w14:solidFill>
          </w14:textFill>
        </w:rPr>
        <w:t xml:space="preserve">章  </w:t>
      </w:r>
      <w:bookmarkEnd w:id="173"/>
      <w:r/>
      <w:bookmarkEnd w:id="174"/>
      <w:r/>
      <w:bookmarkEnd w:id="178"/>
      <w:r>
        <w:rPr>
          <w:rFonts w:hint="eastAsia" w:ascii="黑体" w:hAnsi="Times New Roman" w:eastAsia="黑体"/>
          <w:bCs/>
          <w:color w:val="000000" w:themeColor="text1"/>
          <w:sz w:val="44"/>
          <w:szCs w:val="28"/>
          <w:highlight w:val="none"/>
          <w14:textFill>
            <w14:solidFill>
              <w14:schemeClr w14:val="tx1"/>
            </w14:solidFill>
          </w14:textFill>
        </w:rPr>
        <w:t xml:space="preserve">响应文件格式</w:t>
      </w:r>
      <w:r/>
    </w:p>
    <w:p>
      <w:pPr>
        <w:jc w:val="center"/>
        <w:rPr>
          <w:rFonts w:hint="eastAsia" w:ascii="宋体" w:hAnsi="宋体"/>
          <w:b/>
          <w:color w:val="000000" w:themeColor="text1"/>
          <w:sz w:val="72"/>
          <w:szCs w:val="21"/>
          <w:highlight w:val="none"/>
          <w14:textFill>
            <w14:solidFill>
              <w14:schemeClr w14:val="tx1"/>
            </w14:solidFill>
          </w14:textFill>
        </w:rPr>
      </w:pPr>
      <w:r/>
      <w:bookmarkStart w:id="179" w:name="_Hlt26671244"/>
      <w:r/>
      <w:bookmarkEnd w:id="179"/>
      <w:r/>
      <w:bookmarkStart w:id="180" w:name="_Hlt26955039"/>
      <w:r/>
      <w:bookmarkEnd w:id="180"/>
      <w:r/>
      <w:bookmarkStart w:id="181" w:name="_Toc26554094"/>
      <w:r/>
      <w:bookmarkStart w:id="182" w:name="_Toc49090576"/>
      <w:r/>
      <w:bookmarkStart w:id="183" w:name="_Toc120614282"/>
      <w:r/>
      <w:r/>
    </w:p>
    <w:p>
      <w:pPr>
        <w:jc w:val="center"/>
        <w:rPr>
          <w:rFonts w:hint="eastAsia" w:ascii="宋体" w:hAnsi="宋体"/>
          <w:b/>
          <w:color w:val="000000" w:themeColor="text1"/>
          <w:sz w:val="72"/>
          <w:szCs w:val="21"/>
          <w:highlight w:val="none"/>
          <w14:textFill>
            <w14:solidFill>
              <w14:schemeClr w14:val="tx1"/>
            </w14:solidFill>
          </w14:textFill>
        </w:rPr>
        <w:outlineLvl w:val="0"/>
      </w:pPr>
      <w:r>
        <w:rPr>
          <w:rFonts w:hint="eastAsia" w:ascii="宋体" w:hAnsi="宋体"/>
          <w:b/>
          <w:color w:val="000000" w:themeColor="text1"/>
          <w:sz w:val="72"/>
          <w:szCs w:val="21"/>
          <w:highlight w:val="none"/>
          <w14:textFill>
            <w14:solidFill>
              <w14:schemeClr w14:val="tx1"/>
            </w14:solidFill>
          </w14:textFill>
        </w:rPr>
        <w:t xml:space="preserve">响  应  文  件</w:t>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ind w:firstLine="1084"/>
        <w:rPr>
          <w:rFonts w:hint="eastAsia" w:ascii="宋体" w:hAnsi="宋体"/>
          <w:b/>
          <w:color w:val="000000" w:themeColor="text1"/>
          <w:sz w:val="36"/>
          <w:szCs w:val="21"/>
          <w:highlight w:val="none"/>
          <w14:textFill>
            <w14:solidFill>
              <w14:schemeClr w14:val="tx1"/>
            </w14:solidFill>
          </w14:textFill>
        </w:rPr>
        <w:outlineLvl w:val="0"/>
      </w:pPr>
      <w:r>
        <w:rPr>
          <w:rFonts w:hint="eastAsia" w:ascii="宋体" w:hAnsi="宋体"/>
          <w:b/>
          <w:color w:val="000000" w:themeColor="text1"/>
          <w:sz w:val="36"/>
          <w:szCs w:val="21"/>
          <w:highlight w:val="none"/>
          <w14:textFill>
            <w14:solidFill>
              <w14:schemeClr w14:val="tx1"/>
            </w14:solidFill>
          </w14:textFill>
        </w:rPr>
        <w:t xml:space="preserve">项 目 名 称：</w:t>
      </w:r>
      <w:r>
        <w:rPr>
          <w:rFonts w:hint="eastAsia" w:ascii="宋体" w:hAnsi="宋体"/>
          <w:b/>
          <w:color w:val="000000" w:themeColor="text1"/>
          <w:sz w:val="36"/>
          <w:szCs w:val="21"/>
          <w:highlight w:val="none"/>
          <w:u w:val="single"/>
          <w14:textFill>
            <w14:solidFill>
              <w14:schemeClr w14:val="tx1"/>
            </w14:solidFill>
          </w14:textFill>
        </w:rPr>
        <w:t xml:space="preserve">               </w:t>
      </w:r>
      <w:r/>
    </w:p>
    <w:p>
      <w:pPr>
        <w:ind w:firstLine="1084"/>
        <w:rPr>
          <w:rFonts w:hint="eastAsia" w:ascii="宋体" w:hAnsi="宋体"/>
          <w:b/>
          <w:color w:val="000000" w:themeColor="text1"/>
          <w:sz w:val="36"/>
          <w:szCs w:val="21"/>
          <w:highlight w:val="none"/>
          <w:u w:val="single"/>
          <w14:textFill>
            <w14:solidFill>
              <w14:schemeClr w14:val="tx1"/>
            </w14:solidFill>
          </w14:textFill>
        </w:rPr>
        <w:outlineLvl w:val="0"/>
      </w:pPr>
      <w:r>
        <w:rPr>
          <w:rFonts w:hint="eastAsia" w:ascii="宋体" w:hAnsi="宋体"/>
          <w:b/>
          <w:color w:val="000000" w:themeColor="text1"/>
          <w:sz w:val="36"/>
          <w:szCs w:val="21"/>
          <w:highlight w:val="none"/>
          <w14:textFill>
            <w14:solidFill>
              <w14:schemeClr w14:val="tx1"/>
            </w14:solidFill>
          </w14:textFill>
        </w:rPr>
        <w:t xml:space="preserve">项 目 编 号：</w:t>
      </w:r>
      <w:r>
        <w:rPr>
          <w:rFonts w:hint="eastAsia" w:ascii="宋体" w:hAnsi="宋体"/>
          <w:b/>
          <w:color w:val="000000" w:themeColor="text1"/>
          <w:sz w:val="36"/>
          <w:szCs w:val="21"/>
          <w:highlight w:val="none"/>
          <w:u w:val="single"/>
          <w14:textFill>
            <w14:solidFill>
              <w14:schemeClr w14:val="tx1"/>
            </w14:solidFill>
          </w14:textFill>
        </w:rPr>
        <w:t xml:space="preserve">               </w:t>
      </w:r>
      <w:r/>
    </w:p>
    <w:p>
      <w:pPr>
        <w:rPr>
          <w:rFonts w:hint="eastAsia" w:ascii="宋体" w:hAnsi="宋体"/>
          <w:b/>
          <w:color w:val="000000" w:themeColor="text1"/>
          <w:sz w:val="36"/>
          <w:szCs w:val="21"/>
          <w:highlight w:val="none"/>
          <w:u w:val="single"/>
          <w14:textFill>
            <w14:solidFill>
              <w14:schemeClr w14:val="tx1"/>
            </w14:solidFill>
          </w14:textFill>
        </w:rPr>
        <w:outlineLvl w:val="0"/>
      </w:pPr>
      <w:r>
        <w:rPr>
          <w:rFonts w:hint="eastAsia" w:ascii="宋体" w:hAnsi="宋体"/>
          <w:b/>
          <w:color w:val="000000" w:themeColor="text1"/>
          <w:sz w:val="36"/>
          <w:szCs w:val="21"/>
          <w:highlight w:val="none"/>
          <w14:textFill>
            <w14:solidFill>
              <w14:schemeClr w14:val="tx1"/>
            </w14:solidFill>
          </w14:textFill>
        </w:rPr>
        <w:t xml:space="preserve">      供应商名称 ：</w:t>
      </w:r>
      <w:r>
        <w:rPr>
          <w:rFonts w:hint="eastAsia" w:ascii="宋体" w:hAnsi="宋体"/>
          <w:b/>
          <w:color w:val="000000" w:themeColor="text1"/>
          <w:sz w:val="36"/>
          <w:szCs w:val="21"/>
          <w:highlight w:val="none"/>
          <w:u w:val="single"/>
          <w14:textFill>
            <w14:solidFill>
              <w14:schemeClr w14:val="tx1"/>
            </w14:solidFill>
          </w14:textFill>
        </w:rPr>
        <w:t xml:space="preserve">（加盖CA电子公章）</w:t>
      </w:r>
      <w:r/>
    </w:p>
    <w:p>
      <w:pPr>
        <w:rPr>
          <w:rFonts w:hint="eastAsia" w:ascii="宋体" w:hAnsi="宋体"/>
          <w:b/>
          <w:color w:val="000000" w:themeColor="text1"/>
          <w:sz w:val="36"/>
          <w:szCs w:val="21"/>
          <w:highlight w:val="none"/>
          <w:u w:val="single"/>
          <w14:textFill>
            <w14:solidFill>
              <w14:schemeClr w14:val="tx1"/>
            </w14:solidFill>
          </w14:textFill>
        </w:rPr>
        <w:outlineLvl w:val="0"/>
      </w:pPr>
      <w:r>
        <w:rPr>
          <w:rFonts w:hint="eastAsia" w:ascii="宋体" w:hAnsi="宋体"/>
          <w:b/>
          <w:color w:val="000000" w:themeColor="text1"/>
          <w:sz w:val="36"/>
          <w:szCs w:val="21"/>
          <w:highlight w:val="none"/>
          <w14:textFill>
            <w14:solidFill>
              <w14:schemeClr w14:val="tx1"/>
            </w14:solidFill>
          </w14:textFill>
        </w:rPr>
        <w:t xml:space="preserve">      日      期 ：</w:t>
      </w:r>
      <w:r>
        <w:rPr>
          <w:rFonts w:hint="eastAsia" w:ascii="宋体" w:hAnsi="宋体"/>
          <w:b/>
          <w:color w:val="000000" w:themeColor="text1"/>
          <w:sz w:val="36"/>
          <w:szCs w:val="21"/>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pStyle w:val="778"/>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pStyle w:val="778"/>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pStyle w:val="778"/>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pStyle w:val="778"/>
        <w:rPr>
          <w:rFonts w:hint="eastAsia" w:ascii="宋体" w:hAnsi="宋体"/>
          <w:b/>
          <w:color w:val="000000" w:themeColor="text1"/>
          <w:sz w:val="36"/>
          <w:szCs w:val="21"/>
          <w:highlight w:val="none"/>
          <w:u w:val="single"/>
          <w14:textFill>
            <w14:solidFill>
              <w14:schemeClr w14:val="tx1"/>
            </w14:solidFill>
          </w14:textFill>
        </w:rPr>
      </w:pPr>
      <w:r>
        <w:rPr>
          <w:rFonts w:hint="eastAsia" w:ascii="宋体" w:hAnsi="宋体"/>
          <w:b/>
          <w:color w:val="000000" w:themeColor="text1"/>
          <w:sz w:val="36"/>
          <w:szCs w:val="21"/>
          <w:highlight w:val="none"/>
          <w:u w:val="single"/>
          <w14:textFill>
            <w14:solidFill>
              <w14:schemeClr w14:val="tx1"/>
            </w14:solidFill>
          </w14:textFill>
        </w:rPr>
      </w:r>
      <w:r/>
    </w:p>
    <w:p>
      <w:pPr>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560" w:lineRule="exact"/>
        <w:rPr>
          <w:rFonts w:hint="eastAsia" w:ascii="宋体" w:hAnsi="宋体"/>
          <w:b/>
          <w:bCs/>
          <w:color w:val="000000" w:themeColor="text1"/>
          <w:sz w:val="44"/>
          <w:szCs w:val="44"/>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响应文件目录</w:t>
      </w:r>
      <w:r/>
    </w:p>
    <w:p>
      <w:pPr>
        <w:jc w:val="center"/>
        <w:spacing w:line="56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left="482"/>
        <w:spacing w:line="720" w:lineRule="exact"/>
        <w:rPr>
          <w:rFonts w:hint="eastAsia" w:ascii="黑体" w:hAnsi="黑体" w:eastAsia="黑体"/>
          <w:color w:val="000000" w:themeColor="text1"/>
          <w:sz w:val="32"/>
          <w:szCs w:val="32"/>
          <w:highlight w:val="non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t xml:space="preserve">一、资格审查证明材料</w:t>
      </w:r>
      <w:r/>
    </w:p>
    <w:p>
      <w:pPr>
        <w:ind w:left="482"/>
        <w:spacing w:line="720" w:lineRule="exact"/>
        <w:rPr>
          <w:rFonts w:hint="eastAsia" w:ascii="黑体" w:hAnsi="黑体" w:eastAsia="黑体"/>
          <w:color w:val="000000" w:themeColor="text1"/>
          <w:sz w:val="32"/>
          <w:szCs w:val="32"/>
          <w:highlight w:val="non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t xml:space="preserve">二、商务、技术标</w:t>
      </w:r>
      <w:r/>
    </w:p>
    <w:p>
      <w:pPr>
        <w:ind w:left="482"/>
        <w:spacing w:line="720" w:lineRule="exact"/>
        <w:rPr>
          <w:rFonts w:hint="eastAsia" w:ascii="黑体" w:hAnsi="黑体" w:eastAsia="黑体"/>
          <w:color w:val="000000" w:themeColor="text1"/>
          <w:sz w:val="32"/>
          <w:szCs w:val="32"/>
          <w:highlight w:val="non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t xml:space="preserve">三、价格标</w:t>
      </w:r>
      <w:r/>
    </w:p>
    <w:p>
      <w:pPr>
        <w:ind w:left="482"/>
        <w:spacing w:line="720" w:lineRule="exact"/>
        <w:rPr>
          <w:rFonts w:ascii="宋体" w:hAnsi="宋体"/>
          <w:i/>
          <w:color w:val="000000" w:themeColor="text1"/>
          <w:sz w:val="24"/>
          <w:szCs w:val="21"/>
          <w:highlight w:val="none"/>
          <w:u w:val="singl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t xml:space="preserve">四、其他资料（如有）</w:t>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firstLine="640"/>
        <w:spacing w:line="560" w:lineRule="exact"/>
        <w:rPr>
          <w:rFonts w:hint="eastAsia" w:ascii="黑体" w:hAnsi="黑体" w:eastAsia="黑体"/>
          <w:color w:val="000000" w:themeColor="text1"/>
          <w:sz w:val="32"/>
          <w:szCs w:val="32"/>
          <w:highlight w:val="non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br w:type="page" w:clear="all"/>
      </w:r>
      <w:r>
        <w:rPr>
          <w:rFonts w:hint="eastAsia" w:ascii="黑体" w:hAnsi="黑体" w:eastAsia="黑体"/>
          <w:color w:val="000000" w:themeColor="text1"/>
          <w:sz w:val="32"/>
          <w:szCs w:val="32"/>
          <w:highlight w:val="none"/>
          <w14:textFill>
            <w14:solidFill>
              <w14:schemeClr w14:val="tx1"/>
            </w14:solidFill>
          </w14:textFill>
        </w:rPr>
        <w:t xml:space="preserve">一、资格审查证明材料</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满足《中华人民共和国政府采购法》第二十二条规定，并提供下列材料：</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1.1具有独立承担民事责任的能力</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提供法人或者其他组织的营业执照等证明文件，自然人的身份证明</w:t>
      </w:r>
      <w:r>
        <w:rPr>
          <w:rFonts w:hint="eastAsia" w:ascii="宋体" w:hAnsi="宋体" w:eastAsia="宋体" w:cs="宋体"/>
          <w:color w:val="auto"/>
          <w:szCs w:val="21"/>
          <w:highlight w:val="none"/>
        </w:rPr>
        <w:t xml:space="preserve">（原件扫描件）</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1.2具有良好的商业信誉和健全的财务会计制度</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auto"/>
          <w:szCs w:val="21"/>
          <w:highlight w:val="none"/>
        </w:rPr>
        <w:t xml:space="preserve">近三个月中任意一个月份（不含磋商响应文件递交截止时间当月）的财务状况报表（至少包括资产负债表和利润表）或由会计师事务所出具的近两年中任意一个年度的经审计的财务报告或银行出具的资信证明或财政部门认可的政府采购专业担保机构出具的投标担保函（提供原件扫描件）</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注：供应商单位成立至磋商响应文件递交截止时间不满一个月的可不提供。</w:t>
      </w:r>
      <w:r/>
    </w:p>
    <w:p>
      <w:pPr>
        <w:ind w:firstLine="480"/>
        <w:spacing w:line="560" w:lineRule="exact"/>
        <w:rPr>
          <w:rFonts w:hint="eastAsia" w:ascii="宋体" w:hAnsi="宋体" w:eastAsia="宋体" w:cs="宋体"/>
          <w:color w:val="auto"/>
          <w:szCs w:val="21"/>
          <w:highlight w:val="none"/>
        </w:rPr>
      </w:pPr>
      <w:r>
        <w:rPr>
          <w:rFonts w:hint="eastAsia" w:ascii="宋体" w:hAnsi="宋体"/>
          <w:color w:val="000000" w:themeColor="text1"/>
          <w:sz w:val="24"/>
          <w:szCs w:val="24"/>
          <w:highlight w:val="none"/>
          <w14:textFill>
            <w14:solidFill>
              <w14:schemeClr w14:val="tx1"/>
            </w14:solidFill>
          </w14:textFill>
        </w:rPr>
        <w:t xml:space="preserve">1.3有依法缴纳税收和社会保障资金的良好记录</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auto"/>
          <w:szCs w:val="21"/>
          <w:highlight w:val="none"/>
        </w:rPr>
        <w:t xml:space="preserve">近三个月中任意一个月份（不含磋商响应文件递交截止时间当月）的依法缴纳税收</w:t>
      </w:r>
      <w:r>
        <w:rPr>
          <w:rFonts w:hint="eastAsia" w:ascii="宋体" w:hAnsi="宋体"/>
          <w:color w:val="000000" w:themeColor="text1"/>
          <w:sz w:val="24"/>
          <w:szCs w:val="24"/>
          <w:highlight w:val="none"/>
          <w14:textFill>
            <w14:solidFill>
              <w14:schemeClr w14:val="tx1"/>
            </w14:solidFill>
          </w14:textFill>
        </w:rPr>
        <w:t xml:space="preserve">和社会保障资金</w:t>
      </w:r>
      <w:r>
        <w:rPr>
          <w:rFonts w:hint="eastAsia" w:ascii="宋体" w:hAnsi="宋体" w:eastAsia="宋体" w:cs="宋体"/>
          <w:color w:val="auto"/>
          <w:szCs w:val="21"/>
          <w:highlight w:val="none"/>
        </w:rPr>
        <w:t xml:space="preserve">的相关材料（提供相关主管部门证明或银行代扣证明，如免缴或缓缴需提供相关政策文件）原件扫描件；</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eastAsia="宋体" w:cs="宋体"/>
          <w:color w:val="auto"/>
          <w:szCs w:val="21"/>
          <w:highlight w:val="none"/>
        </w:rPr>
        <w:t xml:space="preserve">注：供应商单位成立至磋商响应文件递交截止时间不满一个月的可不提供。</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1.4具有履行合同所必需的设备和专业技术能力（提供书面声明）；</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1.5参加政府采购活动前3年内在经营活动中没有重大违法记录（提供书面声明）。</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w:t>
      </w:r>
      <w:r>
        <w:rPr>
          <w:rFonts w:hint="eastAsia" w:ascii="宋体" w:hAnsi="宋体" w:eastAsia="宋体" w:cs="宋体"/>
          <w:color w:val="auto"/>
          <w:szCs w:val="21"/>
          <w:highlight w:val="none"/>
        </w:rPr>
        <w:t xml:space="preserve">法定代表人授权书（格式见附件，法定代表人亲自参加的除外）</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.法定代表人身份</w:t>
      </w:r>
      <w:r>
        <w:rPr>
          <w:rFonts w:hint="eastAsia" w:ascii="宋体" w:hAnsi="宋体"/>
          <w:color w:val="000000" w:themeColor="text1"/>
          <w:sz w:val="24"/>
          <w:szCs w:val="24"/>
          <w:highlight w:val="none"/>
          <w:lang w:val="en-US" w:eastAsia="zh-CN"/>
          <w14:textFill>
            <w14:solidFill>
              <w14:schemeClr w14:val="tx1"/>
            </w14:solidFill>
          </w14:textFill>
        </w:rPr>
        <w:t xml:space="preserve">证</w:t>
      </w:r>
      <w:r>
        <w:rPr>
          <w:rFonts w:hint="eastAsia" w:ascii="宋体" w:hAnsi="宋体" w:eastAsia="宋体" w:cs="宋体"/>
          <w:color w:val="auto"/>
          <w:szCs w:val="21"/>
          <w:highlight w:val="none"/>
        </w:rPr>
        <w:t xml:space="preserve">原件扫描件</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auto"/>
          <w:szCs w:val="21"/>
          <w:highlight w:val="none"/>
        </w:rPr>
        <w:t xml:space="preserve">法定代表人授权代表身份证原件扫描件（法定代表人亲自参加的除外）</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.磋商响应函（格式见附件）；</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.采购公告中“落实政府采购政策需满足的资格要求”提供相应的佐证材料；</w:t>
      </w:r>
      <w:r/>
    </w:p>
    <w:p>
      <w:pPr>
        <w:ind w:firstLine="480"/>
        <w:spacing w:line="56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.采购公告中“本项目的特定资格要求”提供相应的佐证材料</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7.其他</w:t>
      </w:r>
      <w:r>
        <w:rPr>
          <w:rFonts w:hint="eastAsia" w:ascii="宋体" w:hAnsi="宋体"/>
          <w:color w:val="000000" w:themeColor="text1"/>
          <w:sz w:val="24"/>
          <w:szCs w:val="24"/>
          <w:highlight w:val="none"/>
          <w14:textFill>
            <w14:solidFill>
              <w14:schemeClr w14:val="tx1"/>
            </w14:solidFill>
          </w14:textFill>
        </w:rPr>
        <w:t xml:space="preserve">需要提交的资格审查证明材料</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如有）</w:t>
      </w:r>
      <w:r>
        <w:rPr>
          <w:rFonts w:hint="eastAsia" w:ascii="宋体" w:hAnsi="宋体"/>
          <w:color w:val="000000" w:themeColor="text1"/>
          <w:sz w:val="24"/>
          <w:szCs w:val="24"/>
          <w:highlight w:val="none"/>
          <w14:textFill>
            <w14:solidFill>
              <w14:schemeClr w14:val="tx1"/>
            </w14:solidFill>
          </w14:textFill>
        </w:rPr>
        <w:t xml:space="preserve">。</w:t>
      </w:r>
      <w:r/>
    </w:p>
    <w:p>
      <w:pPr>
        <w:ind w:firstLine="640"/>
        <w:spacing w:line="560" w:lineRule="exact"/>
        <w:rPr>
          <w:rFonts w:hint="eastAsia" w:ascii="黑体" w:hAnsi="黑体" w:eastAsia="黑体"/>
          <w:color w:val="000000" w:themeColor="text1"/>
          <w:sz w:val="32"/>
          <w:szCs w:val="32"/>
          <w:highlight w:val="non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t xml:space="preserve">二、商务、技术标</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1.商务部分正负偏离表（格式见附件）；</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2.技术部分正负偏离表（格式见附件）；</w:t>
      </w:r>
      <w:r/>
    </w:p>
    <w:p>
      <w:pPr>
        <w:ind w:firstLine="480"/>
        <w:spacing w:line="56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承诺函</w:t>
      </w:r>
      <w:r>
        <w:rPr>
          <w:rFonts w:hint="eastAsia" w:ascii="宋体" w:hAnsi="宋体"/>
          <w:color w:val="000000" w:themeColor="text1"/>
          <w:sz w:val="24"/>
          <w:szCs w:val="24"/>
          <w:highlight w:val="none"/>
          <w14:textFill>
            <w14:solidFill>
              <w14:schemeClr w14:val="tx1"/>
            </w14:solidFill>
          </w14:textFill>
        </w:rPr>
        <w:t xml:space="preserve">（格式见附件）</w:t>
      </w:r>
      <w:r/>
      <w:r>
        <w:rPr>
          <w:rFonts w:hint="eastAsia" w:ascii="宋体" w:hAnsi="宋体"/>
          <w:color w:val="000000" w:themeColor="text1"/>
          <w:sz w:val="24"/>
          <w:szCs w:val="24"/>
          <w:highlight w:val="none"/>
          <w:lang w:val="en-US" w:eastAsia="zh-CN"/>
          <w14:textFill>
            <w14:solidFill>
              <w14:schemeClr w14:val="tx1"/>
            </w14:solidFill>
          </w14:textFill>
        </w:rPr>
        <w:t xml:space="preserve">；</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商务、技术评分标准中</w:t>
      </w:r>
      <w:r>
        <w:rPr>
          <w:rFonts w:hint="eastAsia" w:ascii="宋体" w:hAnsi="宋体"/>
          <w:color w:val="000000" w:themeColor="text1"/>
          <w:sz w:val="24"/>
          <w:szCs w:val="24"/>
          <w:highlight w:val="none"/>
          <w:lang w:eastAsia="zh-CN"/>
          <w14:textFill>
            <w14:solidFill>
              <w14:schemeClr w14:val="tx1"/>
            </w14:solidFill>
          </w14:textFill>
        </w:rPr>
        <w:t xml:space="preserve">需</w:t>
      </w:r>
      <w:r>
        <w:rPr>
          <w:rFonts w:hint="eastAsia" w:ascii="宋体" w:hAnsi="宋体"/>
          <w:color w:val="000000" w:themeColor="text1"/>
          <w:sz w:val="24"/>
          <w:szCs w:val="24"/>
          <w:highlight w:val="none"/>
          <w14:textFill>
            <w14:solidFill>
              <w14:schemeClr w14:val="tx1"/>
            </w14:solidFill>
          </w14:textFill>
        </w:rPr>
        <w:t xml:space="preserve">提供的相关得分佐证材料；</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.供应商认为需要提交的其他商务、技术材料</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如有）</w:t>
      </w:r>
      <w:r>
        <w:rPr>
          <w:rFonts w:hint="eastAsia" w:ascii="宋体" w:hAnsi="宋体"/>
          <w:color w:val="000000" w:themeColor="text1"/>
          <w:sz w:val="24"/>
          <w:szCs w:val="24"/>
          <w:highlight w:val="none"/>
          <w14:textFill>
            <w14:solidFill>
              <w14:schemeClr w14:val="tx1"/>
            </w14:solidFill>
          </w14:textFill>
        </w:rPr>
        <w:t xml:space="preserve">。</w:t>
      </w:r>
      <w:r/>
    </w:p>
    <w:p>
      <w:pPr>
        <w:ind w:firstLine="640"/>
        <w:spacing w:line="560" w:lineRule="exact"/>
        <w:rPr>
          <w:rFonts w:hint="eastAsia" w:ascii="黑体" w:hAnsi="黑体" w:eastAsia="黑体"/>
          <w:color w:val="000000" w:themeColor="text1"/>
          <w:sz w:val="32"/>
          <w:szCs w:val="32"/>
          <w:highlight w:val="none"/>
          <w14:textFill>
            <w14:solidFill>
              <w14:schemeClr w14:val="tx1"/>
            </w14:solidFill>
          </w14:textFill>
        </w:rPr>
        <w:outlineLvl w:val="0"/>
      </w:pPr>
      <w:r>
        <w:rPr>
          <w:rFonts w:hint="eastAsia" w:ascii="黑体" w:hAnsi="黑体" w:eastAsia="黑体"/>
          <w:color w:val="000000" w:themeColor="text1"/>
          <w:sz w:val="32"/>
          <w:szCs w:val="32"/>
          <w:highlight w:val="none"/>
          <w14:textFill>
            <w14:solidFill>
              <w14:schemeClr w14:val="tx1"/>
            </w14:solidFill>
          </w14:textFill>
        </w:rPr>
        <w:t xml:space="preserve">三、价格标</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 磋商报价表</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格式详见苏采云系统</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2.分项报价明细表（</w:t>
      </w:r>
      <w:r>
        <w:rPr>
          <w:rFonts w:hint="eastAsia" w:ascii="宋体" w:hAnsi="宋体"/>
          <w:color w:val="000000" w:themeColor="text1"/>
          <w:sz w:val="24"/>
          <w:szCs w:val="24"/>
          <w:highlight w:val="none"/>
          <w:lang w:val="en-US" w:eastAsia="zh-CN"/>
          <w14:textFill>
            <w14:solidFill>
              <w14:schemeClr w14:val="tx1"/>
            </w14:solidFill>
          </w14:textFill>
        </w:rPr>
        <w:t xml:space="preserve">如有</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56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中小</w:t>
      </w:r>
      <w:r>
        <w:rPr>
          <w:rFonts w:hint="eastAsia" w:ascii="宋体" w:hAnsi="宋体"/>
          <w:color w:val="000000" w:themeColor="text1"/>
          <w:sz w:val="24"/>
          <w:szCs w:val="24"/>
          <w:highlight w:val="none"/>
          <w14:textFill>
            <w14:solidFill>
              <w14:schemeClr w14:val="tx1"/>
            </w14:solidFill>
          </w14:textFill>
        </w:rPr>
        <w:t xml:space="preserve">企业声明函（格式见附件）</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56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4.残疾人福利性单位声明函（如有）（格式见附件）</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560" w:lineRule="exact"/>
        <w:rPr>
          <w:rFonts w:hint="eastAsia" w:ascii="黑体" w:hAnsi="黑体" w:eastAsia="宋体"/>
          <w:color w:val="000000" w:themeColor="text1"/>
          <w:sz w:val="32"/>
          <w:szCs w:val="32"/>
          <w:highlight w:val="none"/>
          <w:u w:val="singl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5.监狱和戒毒企业证明材料（如有）（格式见附件）</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spacing w:line="440" w:lineRule="exact"/>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r>
      <w:r/>
    </w:p>
    <w:p>
      <w:pPr>
        <w:contextualSpacing/>
        <w:spacing w:line="400" w:lineRule="exact"/>
        <w:rPr>
          <w:rFonts w:ascii="Times New Roman" w:hAnsi="Times New Roman" w:eastAsia="方正黑体_GBK"/>
          <w:color w:val="000000" w:themeColor="text1"/>
          <w:sz w:val="32"/>
          <w:szCs w:val="32"/>
          <w:highlight w:val="none"/>
          <w14:textFill>
            <w14:solidFill>
              <w14:schemeClr w14:val="tx1"/>
            </w14:solidFill>
          </w14:textFill>
        </w:rPr>
        <w:outlineLvl w:val="0"/>
      </w:pPr>
      <w:r>
        <w:rPr>
          <w:rFonts w:ascii="宋体" w:hAnsi="宋体"/>
          <w:color w:val="000000" w:themeColor="text1"/>
          <w:sz w:val="24"/>
          <w:szCs w:val="21"/>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lang w:val="zh-CN"/>
          <w14:textFill>
            <w14:solidFill>
              <w14:schemeClr w14:val="tx1"/>
            </w14:solidFill>
          </w14:textFill>
        </w:rPr>
        <w:t xml:space="preserve">附件1</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具备履行合同所必需的设备和专业技术能力的书面声明</w:t>
      </w:r>
      <w:r/>
    </w:p>
    <w:p>
      <w:pPr>
        <w:spacing w:line="400" w:lineRule="exact"/>
        <w:rPr>
          <w:rFonts w:ascii="宋体" w:hAnsi="宋体" w:cs="宋体"/>
          <w:color w:val="auto"/>
          <w:highlight w:val="none"/>
        </w:rPr>
      </w:pPr>
      <w:r>
        <w:rPr>
          <w:rFonts w:ascii="宋体" w:hAnsi="宋体" w:cs="宋体"/>
          <w:color w:val="auto"/>
          <w:highlight w:val="none"/>
        </w:rPr>
      </w:r>
      <w:r/>
    </w:p>
    <w:p>
      <w:pPr>
        <w:spacing w:line="6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（采购单位名称）：</w:t>
      </w:r>
      <w:r/>
    </w:p>
    <w:p>
      <w:pPr>
        <w:ind w:firstLine="732"/>
        <w:spacing w:line="6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我单位   （供应商名称）郑重声明：我公司具备履行本项采购合同所必需的设备和专业技术能力。</w:t>
      </w:r>
      <w:r/>
    </w:p>
    <w:p>
      <w:pPr>
        <w:spacing w:line="400" w:lineRule="exact"/>
        <w:rPr>
          <w:rFonts w:ascii="宋体" w:hAnsi="宋体" w:cs="宋体"/>
          <w:color w:val="auto"/>
          <w:sz w:val="24"/>
          <w:szCs w:val="24"/>
          <w:highlight w:val="none"/>
        </w:rPr>
      </w:pPr>
      <w:r>
        <w:rPr>
          <w:rFonts w:ascii="宋体" w:hAnsi="宋体" w:cs="宋体"/>
          <w:color w:val="auto"/>
          <w:sz w:val="24"/>
          <w:szCs w:val="24"/>
          <w:highlight w:val="none"/>
        </w:rPr>
      </w:r>
      <w:r/>
    </w:p>
    <w:p>
      <w:pPr>
        <w:spacing w:line="400" w:lineRule="exact"/>
        <w:rPr>
          <w:rFonts w:ascii="宋体" w:hAnsi="宋体" w:cs="宋体"/>
          <w:color w:val="auto"/>
          <w:highlight w:val="none"/>
        </w:rPr>
      </w:pPr>
      <w:r>
        <w:rPr>
          <w:rFonts w:ascii="宋体" w:hAnsi="宋体" w:cs="宋体"/>
          <w:color w:val="auto"/>
          <w:highlight w:val="none"/>
        </w:rPr>
      </w:r>
      <w:r/>
    </w:p>
    <w:p>
      <w:pPr>
        <w:jc w:val="right"/>
        <w:rPr>
          <w:rFonts w:ascii="宋体" w:hAnsi="宋体" w:cs="宋体"/>
          <w:color w:val="auto"/>
          <w:sz w:val="24"/>
          <w:szCs w:val="24"/>
          <w:highlight w:val="none"/>
        </w:rPr>
      </w:pPr>
      <w:r>
        <w:rPr>
          <w:rFonts w:hint="eastAsia" w:ascii="宋体" w:hAnsi="宋体"/>
          <w:color w:val="auto"/>
          <w:sz w:val="24"/>
          <w:szCs w:val="24"/>
          <w:highlight w:val="none"/>
        </w:rPr>
        <w:t xml:space="preserve">供应商名称</w:t>
      </w:r>
      <w:r>
        <w:rPr>
          <w:rFonts w:hint="eastAsia" w:ascii="宋体" w:hAnsi="宋体" w:cs="宋体"/>
          <w:color w:val="auto"/>
          <w:sz w:val="24"/>
          <w:szCs w:val="24"/>
          <w:highlight w:val="none"/>
        </w:rPr>
        <w:t xml:space="preserve">（</w:t>
      </w:r>
      <w:r>
        <w:rPr>
          <w:rStyle w:val="1078"/>
          <w:rFonts w:hint="eastAsia" w:ascii="宋体" w:hAnsi="宋体"/>
          <w:color w:val="auto"/>
          <w:sz w:val="24"/>
          <w:highlight w:val="none"/>
        </w:rPr>
        <w:t xml:space="preserve">盖单位章</w:t>
      </w:r>
      <w:r>
        <w:rPr>
          <w:rFonts w:hint="eastAsia" w:ascii="宋体" w:hAnsi="宋体" w:cs="宋体"/>
          <w:color w:val="auto"/>
          <w:sz w:val="24"/>
          <w:szCs w:val="24"/>
          <w:highlight w:val="none"/>
        </w:rPr>
        <w:t xml:space="preserve">）：</w:t>
      </w:r>
      <w:r/>
    </w:p>
    <w:p>
      <w:pPr>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法定代表人或法定代表人授权代表（签字或盖章）：</w:t>
      </w:r>
      <w:r/>
    </w:p>
    <w:p>
      <w:pPr>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日  期：    年   月   日</w:t>
      </w:r>
      <w:r/>
    </w:p>
    <w:p>
      <w:pPr>
        <w:jc w:val="right"/>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contextualSpacing/>
        <w:spacing w:line="400" w:lineRule="exact"/>
        <w:rPr>
          <w:rFonts w:ascii="宋体" w:hAnsi="Times New Roman"/>
          <w:color w:val="000000" w:themeColor="text1"/>
          <w:sz w:val="32"/>
          <w:szCs w:val="32"/>
          <w:highlight w:val="none"/>
          <w14:textFill>
            <w14:solidFill>
              <w14:schemeClr w14:val="tx1"/>
            </w14:solidFill>
          </w14:textFill>
        </w:rPr>
        <w:outlineLvl w:val="0"/>
      </w:pPr>
      <w:r>
        <w:rPr>
          <w:rFonts w:ascii="宋体" w:hAnsi="宋体" w:cs="宋体"/>
          <w:color w:val="000000" w:themeColor="text1"/>
          <w:sz w:val="24"/>
          <w:szCs w:val="24"/>
          <w:highlight w:val="none"/>
          <w14:textFill>
            <w14:solidFill>
              <w14:schemeClr w14:val="tx1"/>
            </w14:solidFill>
          </w14:textFill>
        </w:rPr>
        <w:br w:type="page" w:clear="all"/>
      </w:r>
      <w:r>
        <w:rPr>
          <w:rFonts w:hint="eastAsia" w:ascii="宋体" w:hAnsi="宋体"/>
          <w:color w:val="000000" w:themeColor="text1"/>
          <w:sz w:val="32"/>
          <w:szCs w:val="32"/>
          <w:highlight w:val="none"/>
          <w:lang w:val="zh-CN"/>
          <w14:textFill>
            <w14:solidFill>
              <w14:schemeClr w14:val="tx1"/>
            </w14:solidFill>
          </w14:textFill>
        </w:rPr>
        <w:t xml:space="preserve">附件2</w:t>
      </w:r>
      <w:r/>
    </w:p>
    <w:p>
      <w:pPr>
        <w:ind w:firstLine="643"/>
        <w:jc w:val="center"/>
        <w:rPr>
          <w:rFonts w:ascii="宋体" w:hAnsi="Times New Roman"/>
          <w:b/>
          <w:color w:val="000000" w:themeColor="text1"/>
          <w:sz w:val="32"/>
          <w:szCs w:val="32"/>
          <w:highlight w:val="none"/>
          <w14:textFill>
            <w14:solidFill>
              <w14:schemeClr w14:val="tx1"/>
            </w14:solidFill>
          </w14:textFill>
        </w:rPr>
      </w:pPr>
      <w:r>
        <w:rPr>
          <w:rFonts w:ascii="宋体" w:hAnsi="Times New Roman"/>
          <w:b/>
          <w:color w:val="000000" w:themeColor="text1"/>
          <w:sz w:val="32"/>
          <w:szCs w:val="32"/>
          <w:highlight w:val="none"/>
          <w14:textFill>
            <w14:solidFill>
              <w14:schemeClr w14:val="tx1"/>
            </w14:solidFill>
          </w14:textFill>
        </w:rPr>
      </w:r>
      <w:r/>
    </w:p>
    <w:p>
      <w:pPr>
        <w:ind w:firstLine="643"/>
        <w:jc w:val="center"/>
        <w:rPr>
          <w:rFonts w:ascii="宋体" w:hAnsi="Times New Roman"/>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参加政府采购活动前</w:t>
      </w:r>
      <w:r>
        <w:rPr>
          <w:rFonts w:ascii="宋体" w:hAnsi="宋体"/>
          <w:b/>
          <w:color w:val="000000" w:themeColor="text1"/>
          <w:sz w:val="32"/>
          <w:szCs w:val="32"/>
          <w:highlight w:val="none"/>
          <w14:textFill>
            <w14:solidFill>
              <w14:schemeClr w14:val="tx1"/>
            </w14:solidFill>
          </w14:textFill>
        </w:rPr>
        <w:t xml:space="preserve"> 3 </w:t>
      </w:r>
      <w:r>
        <w:rPr>
          <w:rFonts w:hint="eastAsia" w:ascii="宋体" w:hAnsi="宋体"/>
          <w:b/>
          <w:color w:val="000000" w:themeColor="text1"/>
          <w:sz w:val="32"/>
          <w:szCs w:val="32"/>
          <w:highlight w:val="none"/>
          <w14:textFill>
            <w14:solidFill>
              <w14:schemeClr w14:val="tx1"/>
            </w14:solidFill>
          </w14:textFill>
        </w:rPr>
        <w:t xml:space="preserve">年内在经营活动中没有重大违法记</w:t>
      </w:r>
      <w:r>
        <w:rPr>
          <w:rFonts w:hint="eastAsia" w:ascii="宋体" w:hAnsi="宋体"/>
          <w:b/>
          <w:bCs/>
          <w:color w:val="000000" w:themeColor="text1"/>
          <w:sz w:val="32"/>
          <w:szCs w:val="32"/>
          <w:highlight w:val="none"/>
          <w14:textFill>
            <w14:solidFill>
              <w14:schemeClr w14:val="tx1"/>
            </w14:solidFill>
          </w14:textFill>
        </w:rPr>
        <w:t xml:space="preserve">录的书面声明</w:t>
      </w:r>
      <w:r/>
    </w:p>
    <w:p>
      <w:pPr>
        <w:spacing w:line="460" w:lineRule="exact"/>
        <w:rPr>
          <w:rFonts w:ascii="宋体" w:hAnsi="Times New Roman"/>
          <w:b/>
          <w:bCs/>
          <w:color w:val="000000" w:themeColor="text1"/>
          <w:sz w:val="44"/>
          <w:szCs w:val="44"/>
          <w:highlight w:val="none"/>
          <w14:textFill>
            <w14:solidFill>
              <w14:schemeClr w14:val="tx1"/>
            </w14:solidFill>
          </w14:textFill>
        </w:rPr>
      </w:pPr>
      <w:r>
        <w:rPr>
          <w:rFonts w:ascii="宋体" w:hAnsi="Times New Roman"/>
          <w:b/>
          <w:bCs/>
          <w:color w:val="000000" w:themeColor="text1"/>
          <w:sz w:val="44"/>
          <w:szCs w:val="44"/>
          <w:highlight w:val="none"/>
          <w14:textFill>
            <w14:solidFill>
              <w14:schemeClr w14:val="tx1"/>
            </w14:solidFill>
          </w14:textFill>
        </w:rPr>
      </w:r>
      <w:r/>
    </w:p>
    <w:p>
      <w:pPr>
        <w:ind w:firstLine="881"/>
        <w:jc w:val="center"/>
        <w:spacing w:line="460" w:lineRule="exact"/>
        <w:rPr>
          <w:rFonts w:ascii="宋体" w:hAnsi="Times New Roman"/>
          <w:b/>
          <w:bCs/>
          <w:color w:val="000000" w:themeColor="text1"/>
          <w:sz w:val="44"/>
          <w:szCs w:val="44"/>
          <w:highlight w:val="none"/>
          <w14:textFill>
            <w14:solidFill>
              <w14:schemeClr w14:val="tx1"/>
            </w14:solidFill>
          </w14:textFill>
        </w:rPr>
      </w:pPr>
      <w:r>
        <w:rPr>
          <w:rFonts w:ascii="宋体" w:hAnsi="Times New Roman"/>
          <w:b/>
          <w:bCs/>
          <w:color w:val="000000" w:themeColor="text1"/>
          <w:sz w:val="44"/>
          <w:szCs w:val="44"/>
          <w:highlight w:val="none"/>
          <w14:textFill>
            <w14:solidFill>
              <w14:schemeClr w14:val="tx1"/>
            </w14:solidFill>
          </w14:textFill>
        </w:rPr>
      </w:r>
      <w:r/>
    </w:p>
    <w:p>
      <w:pPr>
        <w:ind w:firstLine="482"/>
        <w:spacing w:line="500" w:lineRule="exact"/>
        <w:rPr>
          <w:rFonts w:ascii="宋体" w:hAnsi="Times New Roman"/>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我公司（本人）郑重声明：参加本次政府采购活动前</w:t>
      </w:r>
      <w:r>
        <w:rPr>
          <w:rFonts w:ascii="宋体" w:hAnsi="宋体"/>
          <w:bCs/>
          <w:color w:val="000000" w:themeColor="text1"/>
          <w:szCs w:val="21"/>
          <w:highlight w:val="none"/>
          <w14:textFill>
            <w14:solidFill>
              <w14:schemeClr w14:val="tx1"/>
            </w14:solidFill>
          </w14:textFill>
        </w:rPr>
        <w:t xml:space="preserve"> 3 </w:t>
      </w:r>
      <w:r>
        <w:rPr>
          <w:rFonts w:hint="eastAsia" w:ascii="宋体" w:hAnsi="宋体"/>
          <w:bCs/>
          <w:color w:val="000000" w:themeColor="text1"/>
          <w:szCs w:val="21"/>
          <w:highlight w:val="none"/>
          <w14:textFill>
            <w14:solidFill>
              <w14:schemeClr w14:val="tx1"/>
            </w14:solidFill>
          </w14:textFill>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Times New Roman"/>
          <w:color w:val="000000" w:themeColor="text1"/>
          <w:szCs w:val="21"/>
          <w:highlight w:val="none"/>
          <w14:textFill>
            <w14:solidFill>
              <w14:schemeClr w14:val="tx1"/>
            </w14:solidFill>
          </w14:textFill>
        </w:rPr>
      </w:pPr>
      <w:r>
        <w:rPr>
          <w:rFonts w:ascii="宋体" w:hAnsi="Times New Roman"/>
          <w:color w:val="000000" w:themeColor="text1"/>
          <w:szCs w:val="21"/>
          <w:highlight w:val="none"/>
          <w14:textFill>
            <w14:solidFill>
              <w14:schemeClr w14:val="tx1"/>
            </w14:solidFill>
          </w14:textFill>
        </w:rPr>
      </w:r>
      <w:r/>
    </w:p>
    <w:p>
      <w:pPr>
        <w:ind w:firstLine="482"/>
        <w:spacing w:line="500" w:lineRule="exact"/>
        <w:rPr>
          <w:rFonts w:ascii="宋体" w:hAnsi="Times New Roman"/>
          <w:color w:val="000000" w:themeColor="text1"/>
          <w:szCs w:val="21"/>
          <w:highlight w:val="none"/>
          <w14:textFill>
            <w14:solidFill>
              <w14:schemeClr w14:val="tx1"/>
            </w14:solidFill>
          </w14:textFill>
        </w:rPr>
      </w:pPr>
      <w:r>
        <w:rPr>
          <w:rFonts w:ascii="宋体" w:hAnsi="Times New Roman"/>
          <w:color w:val="000000" w:themeColor="text1"/>
          <w:szCs w:val="21"/>
          <w:highlight w:val="none"/>
          <w14:textFill>
            <w14:solidFill>
              <w14:schemeClr w14:val="tx1"/>
            </w14:solidFill>
          </w14:textFill>
        </w:rPr>
      </w:r>
      <w:r/>
    </w:p>
    <w:p>
      <w:pPr>
        <w:ind w:firstLine="482"/>
        <w:spacing w:line="500" w:lineRule="exact"/>
        <w:rPr>
          <w:rFonts w:ascii="宋体" w:hAnsi="Times New Roman"/>
          <w:color w:val="000000" w:themeColor="text1"/>
          <w:szCs w:val="21"/>
          <w:highlight w:val="none"/>
          <w14:textFill>
            <w14:solidFill>
              <w14:schemeClr w14:val="tx1"/>
            </w14:solidFill>
          </w14:textFill>
        </w:rPr>
      </w:pPr>
      <w:r>
        <w:rPr>
          <w:rFonts w:ascii="宋体" w:hAnsi="Times New Roman"/>
          <w:color w:val="000000" w:themeColor="text1"/>
          <w:szCs w:val="21"/>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ind w:firstLine="482"/>
        <w:spacing w:line="500" w:lineRule="exact"/>
        <w:rPr>
          <w:rFonts w:ascii="宋体" w:hAnsi="Times New Roman"/>
          <w:color w:val="000000" w:themeColor="text1"/>
          <w:sz w:val="24"/>
          <w:szCs w:val="24"/>
          <w:highlight w:val="none"/>
          <w14:textFill>
            <w14:solidFill>
              <w14:schemeClr w14:val="tx1"/>
            </w14:solidFill>
          </w14:textFill>
        </w:rPr>
      </w:pPr>
      <w:r>
        <w:rPr>
          <w:rFonts w:ascii="宋体" w:hAnsi="Times New Roman"/>
          <w:color w:val="000000" w:themeColor="text1"/>
          <w:sz w:val="24"/>
          <w:szCs w:val="24"/>
          <w:highlight w:val="none"/>
          <w14:textFill>
            <w14:solidFill>
              <w14:schemeClr w14:val="tx1"/>
            </w14:solidFill>
          </w14:textFill>
        </w:rPr>
      </w:r>
      <w:r/>
    </w:p>
    <w:p>
      <w:pPr>
        <w:spacing w:line="500" w:lineRule="exact"/>
        <w:rPr>
          <w:rFonts w:ascii="宋体" w:hAnsi="Times New Roman"/>
          <w:bCs/>
          <w:color w:val="000000" w:themeColor="text1"/>
          <w:sz w:val="24"/>
          <w:szCs w:val="21"/>
          <w:highlight w:val="none"/>
          <w14:textFill>
            <w14:solidFill>
              <w14:schemeClr w14:val="tx1"/>
            </w14:solidFill>
          </w14:textFill>
        </w:rPr>
      </w:pPr>
      <w:r>
        <w:rPr>
          <w:rFonts w:ascii="宋体" w:hAnsi="Times New Roman"/>
          <w:bCs/>
          <w:color w:val="000000" w:themeColor="text1"/>
          <w:sz w:val="24"/>
          <w:szCs w:val="21"/>
          <w:highlight w:val="none"/>
          <w14:textFill>
            <w14:solidFill>
              <w14:schemeClr w14:val="tx1"/>
            </w14:solidFill>
          </w14:textFill>
        </w:rPr>
      </w:r>
      <w:r/>
    </w:p>
    <w:p>
      <w:pPr>
        <w:spacing w:line="460" w:lineRule="exact"/>
        <w:rPr>
          <w:rFonts w:ascii="宋体" w:hAnsi="Times New Roman"/>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                               </w:t>
      </w: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供应商名称（公章）：</w:t>
      </w:r>
      <w:r/>
    </w:p>
    <w:p>
      <w:pPr>
        <w:spacing w:line="460" w:lineRule="exact"/>
        <w:rPr>
          <w:rFonts w:ascii="宋体" w:hAnsi="Times New Roman"/>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法定代表人或其授权委托人（签字或盖章）：</w:t>
      </w:r>
      <w:r/>
    </w:p>
    <w:p>
      <w:pPr>
        <w:spacing w:line="460" w:lineRule="exact"/>
        <w:rPr>
          <w:rFonts w:ascii="宋体" w:hAnsi="Times New Roman"/>
          <w:bCs/>
          <w:color w:val="000000" w:themeColor="text1"/>
          <w:szCs w:val="21"/>
          <w:highlight w:val="none"/>
          <w14:textFill>
            <w14:solidFill>
              <w14:schemeClr w14:val="tx1"/>
            </w14:solidFill>
          </w14:textFill>
        </w:rPr>
      </w:pPr>
      <w:r>
        <w:rPr>
          <w:rFonts w:ascii="宋体" w:hAnsi="宋体"/>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日期：</w:t>
      </w:r>
      <w:r>
        <w:rPr>
          <w:rFonts w:ascii="宋体" w:hAnsi="宋体"/>
          <w:bCs/>
          <w:color w:val="000000" w:themeColor="text1"/>
          <w:szCs w:val="21"/>
          <w:highlight w:val="none"/>
          <w:u w:val="none"/>
          <w14:textFill>
            <w14:solidFill>
              <w14:schemeClr w14:val="tx1"/>
            </w14:solidFill>
          </w14:textFill>
        </w:rPr>
        <w:t xml:space="preserve">______</w:t>
      </w:r>
      <w:r>
        <w:rPr>
          <w:rFonts w:hint="eastAsia" w:ascii="宋体" w:hAnsi="宋体"/>
          <w:bCs/>
          <w:color w:val="000000" w:themeColor="text1"/>
          <w:szCs w:val="21"/>
          <w:highlight w:val="none"/>
          <w:u w:val="none"/>
          <w14:textFill>
            <w14:solidFill>
              <w14:schemeClr w14:val="tx1"/>
            </w14:solidFill>
          </w14:textFill>
        </w:rPr>
        <w:t xml:space="preserve">年</w:t>
      </w:r>
      <w:r>
        <w:rPr>
          <w:rFonts w:ascii="宋体" w:hAnsi="宋体"/>
          <w:bCs/>
          <w:color w:val="000000" w:themeColor="text1"/>
          <w:szCs w:val="21"/>
          <w:highlight w:val="none"/>
          <w:u w:val="none"/>
          <w14:textFill>
            <w14:solidFill>
              <w14:schemeClr w14:val="tx1"/>
            </w14:solidFill>
          </w14:textFill>
        </w:rPr>
        <w:t xml:space="preserve">_____</w:t>
      </w:r>
      <w:r>
        <w:rPr>
          <w:rFonts w:hint="eastAsia" w:ascii="宋体" w:hAnsi="宋体"/>
          <w:bCs/>
          <w:color w:val="000000" w:themeColor="text1"/>
          <w:szCs w:val="21"/>
          <w:highlight w:val="none"/>
          <w:u w:val="none"/>
          <w14:textFill>
            <w14:solidFill>
              <w14:schemeClr w14:val="tx1"/>
            </w14:solidFill>
          </w14:textFill>
        </w:rPr>
        <w:t xml:space="preserve">月</w:t>
      </w:r>
      <w:r>
        <w:rPr>
          <w:rFonts w:ascii="宋体" w:hAnsi="宋体"/>
          <w:bCs/>
          <w:color w:val="000000" w:themeColor="text1"/>
          <w:szCs w:val="21"/>
          <w:highlight w:val="none"/>
          <w:u w:val="none"/>
          <w14:textFill>
            <w14:solidFill>
              <w14:schemeClr w14:val="tx1"/>
            </w14:solidFill>
          </w14:textFill>
        </w:rPr>
        <w:t xml:space="preserve">_____</w:t>
      </w:r>
      <w:r>
        <w:rPr>
          <w:rFonts w:hint="eastAsia" w:ascii="宋体" w:hAnsi="宋体"/>
          <w:bCs/>
          <w:color w:val="000000" w:themeColor="text1"/>
          <w:szCs w:val="21"/>
          <w:highlight w:val="none"/>
          <w:u w:val="none"/>
          <w14:textFill>
            <w14:solidFill>
              <w14:schemeClr w14:val="tx1"/>
            </w14:solidFill>
          </w14:textFill>
        </w:rPr>
        <w:t xml:space="preserve">日</w:t>
      </w:r>
      <w:r/>
    </w:p>
    <w:p>
      <w:pPr>
        <w:jc w:val="right"/>
        <w:spacing w:line="360" w:lineRule="auto"/>
        <w:rPr>
          <w:rFonts w:ascii="宋体" w:hAnsi="Times New Roman" w:cs="宋体"/>
          <w:color w:val="000000" w:themeColor="text1"/>
          <w:sz w:val="24"/>
          <w:szCs w:val="24"/>
          <w:highlight w:val="none"/>
          <w14:textFill>
            <w14:solidFill>
              <w14:schemeClr w14:val="tx1"/>
            </w14:solidFill>
          </w14:textFill>
        </w:rPr>
      </w:pPr>
      <w:r>
        <w:rPr>
          <w:rFonts w:ascii="宋体" w:hAnsi="Times New Roman" w:cs="宋体"/>
          <w:color w:val="000000" w:themeColor="text1"/>
          <w:sz w:val="24"/>
          <w:szCs w:val="24"/>
          <w:highlight w:val="none"/>
          <w14:textFill>
            <w14:solidFill>
              <w14:schemeClr w14:val="tx1"/>
            </w14:solidFill>
          </w14:textFill>
        </w:rPr>
      </w:r>
      <w:r/>
    </w:p>
    <w:p>
      <w:pPr>
        <w:spacing w:line="460" w:lineRule="exact"/>
        <w:rPr>
          <w:rFonts w:hint="eastAsia" w:ascii="Times New Roman" w:hAnsi="Times New Roman" w:eastAsia="方正黑体_GBK"/>
          <w:color w:val="000000" w:themeColor="text1"/>
          <w:sz w:val="32"/>
          <w:szCs w:val="32"/>
          <w:highlight w:val="none"/>
          <w:lang w:eastAsia="zh-CN"/>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br w:type="page" w:clear="all"/>
      </w:r>
      <w:bookmarkEnd w:id="181"/>
      <w:r/>
      <w:bookmarkEnd w:id="182"/>
      <w:r/>
      <w:bookmarkEnd w:id="183"/>
      <w:r/>
      <w:bookmarkStart w:id="184" w:name="_Toc120614284"/>
      <w:r>
        <w:rPr>
          <w:rFonts w:ascii="Times New Roman" w:hAnsi="Times New Roman" w:eastAsia="方正黑体_GBK"/>
          <w:color w:val="000000" w:themeColor="text1"/>
          <w:sz w:val="32"/>
          <w:szCs w:val="32"/>
          <w:highlight w:val="none"/>
          <w:lang w:val="zh-CN"/>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3</w:t>
      </w:r>
      <w:r/>
    </w:p>
    <w:p>
      <w:pPr>
        <w:pStyle w:val="1077"/>
        <w:ind w:firstLine="561"/>
        <w:jc w:val="center"/>
        <w:spacing w:line="360" w:lineRule="auto"/>
        <w:rPr>
          <w:rStyle w:val="1078"/>
          <w:rFonts w:hint="eastAsia" w:ascii="宋体" w:hAnsi="宋体" w:eastAsia="宋体" w:cs="宋体"/>
          <w:b w:val="0"/>
          <w:color w:val="auto"/>
          <w:highlight w:val="none"/>
        </w:rPr>
      </w:pPr>
      <w:r>
        <w:rPr>
          <w:rStyle w:val="1078"/>
          <w:rFonts w:hint="eastAsia" w:ascii="宋体" w:hAnsi="宋体" w:eastAsia="宋体" w:cs="宋体"/>
          <w:b w:val="0"/>
          <w:color w:val="auto"/>
          <w:highlight w:val="none"/>
        </w:rPr>
        <w:t xml:space="preserve">法定代表人授权书</w:t>
      </w:r>
      <w:r/>
    </w:p>
    <w:p>
      <w:pPr>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致：</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（采购人名称）</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我</w:t>
      </w:r>
      <w:r>
        <w:rPr>
          <w:rFonts w:hint="eastAsia" w:ascii="宋体" w:hAnsi="宋体" w:eastAsia="宋体" w:cs="宋体"/>
          <w:color w:val="auto"/>
          <w:spacing w:val="-4"/>
          <w:sz w:val="24"/>
          <w:szCs w:val="24"/>
          <w:highlight w:val="none"/>
          <w:u w:val="single"/>
        </w:rPr>
        <w:t xml:space="preserve"> （姓名）   </w:t>
      </w:r>
      <w:r>
        <w:rPr>
          <w:rFonts w:hint="eastAsia" w:ascii="宋体" w:hAnsi="宋体" w:eastAsia="宋体" w:cs="宋体"/>
          <w:color w:val="auto"/>
          <w:spacing w:val="-4"/>
          <w:sz w:val="24"/>
          <w:szCs w:val="24"/>
          <w:highlight w:val="none"/>
        </w:rPr>
        <w:t xml:space="preserve">系</w:t>
      </w:r>
      <w:r>
        <w:rPr>
          <w:rFonts w:hint="eastAsia" w:ascii="宋体" w:hAnsi="宋体" w:eastAsia="宋体" w:cs="宋体"/>
          <w:color w:val="auto"/>
          <w:spacing w:val="-4"/>
          <w:sz w:val="24"/>
          <w:szCs w:val="24"/>
          <w:highlight w:val="none"/>
          <w:u w:val="single"/>
        </w:rPr>
        <w:t xml:space="preserve"> （响应人名称） </w:t>
      </w:r>
      <w:r>
        <w:rPr>
          <w:rFonts w:hint="eastAsia" w:ascii="宋体" w:hAnsi="宋体" w:eastAsia="宋体" w:cs="宋体"/>
          <w:color w:val="auto"/>
          <w:spacing w:val="-4"/>
          <w:sz w:val="24"/>
          <w:szCs w:val="24"/>
          <w:highlight w:val="none"/>
        </w:rPr>
        <w:t xml:space="preserve">的法定代表人，现授权委托</w:t>
      </w:r>
      <w:r>
        <w:rPr>
          <w:rFonts w:hint="eastAsia" w:ascii="宋体" w:hAnsi="宋体" w:eastAsia="宋体" w:cs="宋体"/>
          <w:color w:val="auto"/>
          <w:spacing w:val="-4"/>
          <w:sz w:val="24"/>
          <w:szCs w:val="24"/>
          <w:highlight w:val="none"/>
          <w:u w:val="single"/>
        </w:rPr>
        <w:t xml:space="preserve">  （姓名）</w:t>
      </w:r>
      <w:r>
        <w:rPr>
          <w:rFonts w:hint="eastAsia" w:ascii="宋体" w:hAnsi="宋体" w:eastAsia="宋体" w:cs="宋体"/>
          <w:color w:val="auto"/>
          <w:spacing w:val="-4"/>
          <w:sz w:val="24"/>
          <w:szCs w:val="24"/>
          <w:highlight w:val="none"/>
        </w:rPr>
        <w:t xml:space="preserve">以我方的名义参加</w:t>
      </w:r>
      <w:r>
        <w:rPr>
          <w:rFonts w:hint="eastAsia" w:ascii="宋体" w:hAnsi="宋体" w:eastAsia="宋体" w:cs="宋体"/>
          <w:color w:val="auto"/>
          <w:spacing w:val="-4"/>
          <w:sz w:val="24"/>
          <w:szCs w:val="24"/>
          <w:highlight w:val="none"/>
          <w:u w:val="single"/>
          <w:lang w:val="en-US" w:eastAsia="zh-CN"/>
        </w:rPr>
        <w:t xml:space="preserve">                   </w:t>
      </w:r>
      <w:r>
        <w:rPr>
          <w:rFonts w:hint="eastAsia" w:ascii="宋体" w:hAnsi="宋体" w:eastAsia="宋体" w:cs="宋体"/>
          <w:color w:val="auto"/>
          <w:spacing w:val="-4"/>
          <w:sz w:val="24"/>
          <w:szCs w:val="24"/>
          <w:highlight w:val="none"/>
        </w:rPr>
        <w:t xml:space="preserve">项目（项目编号</w:t>
      </w:r>
      <w:r>
        <w:rPr>
          <w:rFonts w:hint="eastAsia" w:ascii="宋体" w:hAnsi="宋体" w:eastAsia="宋体" w:cs="宋体"/>
          <w:color w:val="auto"/>
          <w:spacing w:val="-4"/>
          <w:sz w:val="24"/>
          <w:szCs w:val="24"/>
          <w:highlight w:val="none"/>
          <w:lang w:eastAsia="zh-CN"/>
        </w:rPr>
        <w:t xml:space="preserve">：</w:t>
      </w:r>
      <w:r>
        <w:rPr>
          <w:rFonts w:hint="eastAsia" w:ascii="宋体" w:hAnsi="宋体" w:eastAsia="宋体" w:cs="宋体"/>
          <w:color w:val="auto"/>
          <w:spacing w:val="-4"/>
          <w:sz w:val="24"/>
          <w:szCs w:val="24"/>
          <w:highlight w:val="none"/>
        </w:rPr>
        <w:t xml:space="preserve">     ）的采购活动，以本公司名义全权处理一切与该项目采购有关的事务。</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我方对委托代理人的签名负全部法律责任。</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在撤销授权的书面通知以前，本授权书一直有效。委托代理人在授权书有效期内签署的所有文件不因授权的撤销而失效。</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委托代理人无转委托权，特此委托。</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法定代表人情况：</w:t>
      </w:r>
      <w:r/>
    </w:p>
    <w:p>
      <w:pPr>
        <w:ind w:firstLine="464"/>
        <w:spacing w:line="520" w:lineRule="exac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 xml:space="preserve">姓名：</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性别：</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电话：</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委托代理人情况：</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姓名：</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性别：</w:t>
      </w:r>
      <w:r>
        <w:rPr>
          <w:rFonts w:hint="eastAsia" w:ascii="宋体" w:hAnsi="宋体" w:eastAsia="宋体" w:cs="宋体"/>
          <w:color w:val="auto"/>
          <w:spacing w:val="-4"/>
          <w:sz w:val="24"/>
          <w:szCs w:val="24"/>
          <w:highlight w:val="none"/>
          <w:lang w:val="en-US" w:eastAsia="zh-CN"/>
        </w:rPr>
        <w:t xml:space="preserve">     </w:t>
      </w:r>
      <w:r>
        <w:rPr>
          <w:rFonts w:hint="eastAsia" w:ascii="宋体" w:hAnsi="宋体" w:eastAsia="宋体" w:cs="宋体"/>
          <w:color w:val="auto"/>
          <w:spacing w:val="-4"/>
          <w:sz w:val="24"/>
          <w:szCs w:val="24"/>
          <w:highlight w:val="none"/>
        </w:rPr>
        <w:t xml:space="preserve">电话：</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p>
      <w:pPr>
        <w:ind w:firstLine="464"/>
        <w:spacing w:line="520" w:lineRule="exact"/>
        <w:rPr>
          <w:rFonts w:hint="eastAsia" w:ascii="宋体" w:hAnsi="宋体" w:eastAsia="宋体" w:cs="宋体"/>
          <w:color w:val="auto"/>
          <w:spacing w:val="-4"/>
          <w:sz w:val="24"/>
          <w:szCs w:val="24"/>
          <w:highlight w:val="none"/>
          <w:u w:val="single"/>
        </w:rPr>
      </w:pPr>
      <w:r>
        <w:rPr>
          <w:rFonts w:hint="eastAsia" w:ascii="宋体" w:hAnsi="宋体" w:eastAsia="宋体" w:cs="宋体"/>
          <w:color w:val="auto"/>
          <w:spacing w:val="-4"/>
          <w:sz w:val="24"/>
          <w:szCs w:val="24"/>
          <w:highlight w:val="none"/>
        </w:rPr>
        <w:t xml:space="preserve">法定代表人：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（签字或盖章）</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p>
      <w:pPr>
        <w:ind w:firstLine="480"/>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 xml:space="preserve">（</w:t>
      </w:r>
      <w:r>
        <w:rPr>
          <w:rFonts w:hint="eastAsia" w:ascii="宋体" w:hAnsi="宋体"/>
          <w:color w:val="000000" w:themeColor="text1"/>
          <w:sz w:val="24"/>
          <w:szCs w:val="21"/>
          <w:highlight w:val="none"/>
          <w14:textFill>
            <w14:solidFill>
              <w14:schemeClr w14:val="tx1"/>
            </w14:solidFill>
          </w14:textFill>
        </w:rPr>
        <w:t xml:space="preserve">盖公章</w:t>
      </w:r>
      <w:r>
        <w:rPr>
          <w:rFonts w:hint="eastAsia" w:ascii="宋体" w:hAnsi="宋体" w:eastAsia="宋体" w:cs="宋体"/>
          <w:color w:val="auto"/>
          <w:spacing w:val="-4"/>
          <w:sz w:val="24"/>
          <w:szCs w:val="24"/>
          <w:highlight w:val="none"/>
        </w:rPr>
        <w:t xml:space="preserve">）</w:t>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r>
      <w:r/>
    </w:p>
    <w:p>
      <w:pPr>
        <w:ind w:firstLine="464"/>
        <w:spacing w:line="52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                                            年    月    日</w:t>
      </w:r>
      <w:r/>
    </w:p>
    <w:p>
      <w:pPr>
        <w:ind w:firstLine="420"/>
        <w:rPr>
          <w:rFonts w:hint="eastAsia" w:ascii="Times New Roman" w:hAnsi="Times New Roman"/>
          <w:i/>
          <w:color w:val="000000" w:themeColor="text1"/>
          <w:sz w:val="24"/>
          <w:szCs w:val="24"/>
          <w:highlight w:val="none"/>
          <w:u w:val="single"/>
          <w14:textFill>
            <w14:solidFill>
              <w14:schemeClr w14:val="tx1"/>
            </w14:solidFill>
          </w14:textFill>
        </w:rPr>
      </w:pPr>
      <w:r>
        <w:rPr>
          <w:rFonts w:hint="eastAsia" w:ascii="Times New Roman" w:hAnsi="Times New Roman"/>
          <w:i/>
          <w:color w:val="000000" w:themeColor="text1"/>
          <w:sz w:val="24"/>
          <w:szCs w:val="24"/>
          <w:highlight w:val="none"/>
          <w:u w:val="single"/>
          <w14:textFill>
            <w14:solidFill>
              <w14:schemeClr w14:val="tx1"/>
            </w14:solidFill>
          </w14:textFill>
        </w:rPr>
      </w:r>
      <w:r/>
    </w:p>
    <w:p>
      <w:pPr>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r>
      <w:r/>
    </w:p>
    <w:p>
      <w:pPr>
        <w:spacing w:line="46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contextualSpacing/>
        <w:spacing w:line="400" w:lineRule="exact"/>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宋体" w:hAnsi="宋体"/>
          <w:bCs/>
          <w:color w:val="000000" w:themeColor="text1"/>
          <w:sz w:val="24"/>
          <w:szCs w:val="21"/>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4</w:t>
      </w:r>
      <w:r/>
    </w:p>
    <w:p>
      <w:pPr>
        <w:jc w:val="center"/>
        <w:spacing w:line="56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磋商响应函</w:t>
      </w:r>
      <w:r/>
    </w:p>
    <w:p>
      <w:pPr>
        <w:jc w:val="left"/>
        <w:spacing w:line="42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致：采购人</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根据贵方的项目编号：</w:t>
      </w:r>
      <w:r>
        <w:rPr>
          <w:rFonts w:hint="eastAsia" w:ascii="宋体" w:hAnsi="宋体"/>
          <w:b/>
          <w:color w:val="000000" w:themeColor="text1"/>
          <w:sz w:val="36"/>
          <w:szCs w:val="24"/>
          <w:highlight w:val="none"/>
          <w:u w:val="single"/>
          <w14:textFill>
            <w14:solidFill>
              <w14:schemeClr w14:val="tx1"/>
            </w14:solidFill>
          </w14:textFill>
        </w:rPr>
        <w:t xml:space="preserve">    </w:t>
      </w:r>
      <w:r>
        <w:rPr>
          <w:rFonts w:hint="eastAsia" w:ascii="宋体" w:hAnsi="宋体"/>
          <w:color w:val="000000" w:themeColor="text1"/>
          <w:sz w:val="24"/>
          <w:szCs w:val="21"/>
          <w:highlight w:val="none"/>
          <w14:textFill>
            <w14:solidFill>
              <w14:schemeClr w14:val="tx1"/>
            </w14:solidFill>
          </w14:textFill>
        </w:rPr>
        <w:t xml:space="preserve">磋商文件，正式授权下述签字人______</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姓名</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代表我方______________（供应商的名称），全权处理本次项目磋商的有关事宜。</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2.我们完全理解贵方不一定将合同授予最低报价的供应商。</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.一旦我方成交</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我方将根据磋商文件的规定，严格履行合同的责任和义务</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并保证在磋商文件规定的时</w:t>
      </w:r>
      <w:r>
        <w:rPr>
          <w:rFonts w:hint="eastAsia" w:ascii="宋体" w:hAnsi="宋体"/>
          <w:color w:val="000000" w:themeColor="text1"/>
          <w:sz w:val="24"/>
          <w:szCs w:val="21"/>
          <w:highlight w:val="none"/>
          <w:lang w:eastAsia="zh-CN"/>
          <w14:textFill>
            <w14:solidFill>
              <w14:schemeClr w14:val="tx1"/>
            </w14:solidFill>
          </w14:textFill>
        </w:rPr>
        <w:t xml:space="preserve">间内</w:t>
      </w:r>
      <w:r>
        <w:rPr>
          <w:rFonts w:hint="eastAsia" w:ascii="宋体" w:hAnsi="宋体"/>
          <w:color w:val="000000" w:themeColor="text1"/>
          <w:sz w:val="24"/>
          <w:szCs w:val="21"/>
          <w:highlight w:val="none"/>
          <w14:textFill>
            <w14:solidFill>
              <w14:schemeClr w14:val="tx1"/>
            </w14:solidFill>
          </w14:textFill>
        </w:rPr>
        <w:t xml:space="preserve">完成项目，交付买方验收、使用。</w:t>
      </w:r>
      <w:r/>
    </w:p>
    <w:p>
      <w:pPr>
        <w:ind w:left="425"/>
        <w:jc w:val="left"/>
        <w:spacing w:line="420" w:lineRule="exact"/>
        <w:rPr>
          <w:rFonts w:hint="eastAsia"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.我方与本磋商有关的正式通讯地址为：</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供应商开户行：</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ind w:left="420" w:firstLine="480"/>
        <w:jc w:val="left"/>
        <w:spacing w:line="42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日           期：________年____月____日</w:t>
      </w:r>
      <w:r/>
    </w:p>
    <w:p>
      <w:pPr>
        <w:contextualSpacing/>
        <w:spacing w:line="40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left="420" w:firstLine="48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r>
      <w:r/>
    </w:p>
    <w:p>
      <w:pPr>
        <w:ind w:left="420" w:firstLine="240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响应供应商全称</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盖公章</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w:t>
      </w:r>
      <w:r/>
    </w:p>
    <w:p>
      <w:pPr>
        <w:ind w:left="420" w:firstLine="2400"/>
        <w:jc w:val="left"/>
        <w:spacing w:line="440" w:lineRule="exact"/>
        <w:rPr>
          <w:rFonts w:hint="eastAsia"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法定代表人（签字或盖章）：</w:t>
      </w:r>
      <w:r/>
    </w:p>
    <w:p>
      <w:pPr>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spacing w:line="460" w:lineRule="exact"/>
        <w:rPr>
          <w:rFonts w:ascii="Times New Roman" w:hAnsi="Times New Roman" w:eastAsia="方正黑体_GBK"/>
          <w:color w:val="000000" w:themeColor="text1"/>
          <w:sz w:val="32"/>
          <w:szCs w:val="32"/>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br w:type="page" w:clear="all"/>
      </w:r>
      <w:r/>
    </w:p>
    <w:p>
      <w:pPr>
        <w:contextualSpacing/>
        <w:spacing w:line="400" w:lineRule="exact"/>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5</w:t>
      </w:r>
      <w:r/>
    </w:p>
    <w:p>
      <w:pPr>
        <w:contextualSpacing/>
        <w:jc w:val="center"/>
        <w:spacing w:line="30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商务部分正负偏离表</w:t>
      </w:r>
      <w:r/>
    </w:p>
    <w:p>
      <w:pPr>
        <w:ind w:firstLine="560"/>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（由供应商据实填写，表格不够自行添加）</w:t>
      </w:r>
      <w:r/>
    </w:p>
    <w:tbl>
      <w:tblPr>
        <w:tblStyle w:val="749"/>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序号</w:t>
            </w:r>
            <w:r/>
          </w:p>
        </w:tc>
        <w:tc>
          <w:tcPr>
            <w:tcW w:w="2300"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货物或服务名称</w:t>
            </w:r>
            <w:r/>
          </w:p>
        </w:tc>
        <w:tc>
          <w:tcPr>
            <w:tcW w:w="2008"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磋商文件要求的商务条款</w:t>
            </w:r>
            <w:r/>
          </w:p>
        </w:tc>
        <w:tc>
          <w:tcPr>
            <w:tcW w:w="2591"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响应文件响应情况</w:t>
            </w:r>
            <w:r/>
          </w:p>
        </w:tc>
        <w:tc>
          <w:tcPr>
            <w:tcW w:w="1427"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偏离说明</w:t>
            </w:r>
            <w:r/>
          </w:p>
        </w:tc>
      </w:tr>
      <w:tr>
        <w:trPr>
          <w:trHeight w:val="414"/>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1</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r>
        <w:trPr>
          <w:trHeight w:val="548"/>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2</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r>
        <w:trPr>
          <w:trHeight w:val="400"/>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3</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r>
        <w:trPr>
          <w:trHeight w:val="419"/>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4</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bl>
    <w:p>
      <w:pPr>
        <w:contextualSpacing/>
        <w:spacing w:line="56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p>
    <w:p>
      <w:pPr>
        <w:contextualSpacing/>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1.供应商提交的响应文件中与</w:t>
      </w:r>
      <w:r>
        <w:rPr>
          <w:rFonts w:hint="eastAsia" w:ascii="宋体" w:hAnsi="宋体"/>
          <w:color w:val="000000" w:themeColor="text1"/>
          <w:sz w:val="24"/>
          <w:szCs w:val="24"/>
          <w:highlight w:val="none"/>
          <w:lang w:val="en-US" w:eastAsia="zh-CN"/>
          <w14:textFill>
            <w14:solidFill>
              <w14:schemeClr w14:val="tx1"/>
            </w14:solidFill>
          </w14:textFill>
        </w:rPr>
        <w:t xml:space="preserve">采购文件</w:t>
      </w:r>
      <w:r>
        <w:rPr>
          <w:rFonts w:hint="eastAsia" w:ascii="宋体" w:hAnsi="宋体"/>
          <w:color w:val="000000" w:themeColor="text1"/>
          <w:sz w:val="24"/>
          <w:szCs w:val="24"/>
          <w:highlight w:val="none"/>
          <w14:textFill>
            <w14:solidFill>
              <w14:schemeClr w14:val="tx1"/>
            </w14:solidFill>
          </w14:textFill>
        </w:rPr>
        <w:t xml:space="preserve">第三</w:t>
      </w:r>
      <w:r>
        <w:rPr>
          <w:rFonts w:hint="eastAsia" w:ascii="宋体" w:hAnsi="宋体"/>
          <w:color w:val="000000" w:themeColor="text1"/>
          <w:sz w:val="24"/>
          <w:szCs w:val="24"/>
          <w:highlight w:val="none"/>
          <w:lang w:val="en-US" w:eastAsia="zh-CN"/>
          <w14:textFill>
            <w14:solidFill>
              <w14:schemeClr w14:val="tx1"/>
            </w14:solidFill>
          </w14:textFill>
        </w:rPr>
        <w:t xml:space="preserve">章</w:t>
      </w:r>
      <w:r>
        <w:rPr>
          <w:rFonts w:hint="eastAsia" w:ascii="宋体" w:hAnsi="宋体"/>
          <w:color w:val="000000" w:themeColor="text1"/>
          <w:sz w:val="24"/>
          <w:szCs w:val="24"/>
          <w:highlight w:val="none"/>
          <w14:textFill>
            <w14:solidFill>
              <w14:schemeClr w14:val="tx1"/>
            </w14:solidFill>
          </w14:textFill>
        </w:rPr>
        <w:t xml:space="preserve">“项目需求”中的商务部分的要求，应逐条填列在偏离表中。</w:t>
      </w:r>
      <w:r>
        <w:rPr>
          <w:rFonts w:ascii="SimSun" w:hAnsi="SimSun" w:eastAsia="SimSun" w:cs="SimSun"/>
          <w:color w:val="000000"/>
          <w:sz w:val="24"/>
        </w:rPr>
        <w:t xml:space="preserve">项目需求中要求提供的证明材料附本表后（如有）</w:t>
      </w:r>
      <w:r>
        <w:rPr>
          <w:rFonts w:hint="eastAsia" w:ascii="宋体" w:hAnsi="宋体"/>
          <w:color w:val="000000" w:themeColor="text1"/>
          <w:sz w:val="24"/>
          <w:szCs w:val="24"/>
          <w:highlight w:val="none"/>
          <w14:textFill>
            <w14:solidFill>
              <w14:schemeClr w14:val="tx1"/>
            </w14:solidFill>
          </w14:textFill>
        </w:rPr>
      </w:r>
      <w:r/>
    </w:p>
    <w:p>
      <w:pPr>
        <w:contextualSpacing/>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“偏离说明”一栏选择</w:t>
      </w:r>
      <w:r>
        <w:rPr>
          <w:rFonts w:hint="eastAsia" w:ascii="宋体" w:hAnsi="宋体"/>
          <w:b/>
          <w:bCs/>
          <w:color w:val="000000" w:themeColor="text1"/>
          <w:sz w:val="24"/>
          <w:szCs w:val="24"/>
          <w:highlight w:val="none"/>
          <w14:textFill>
            <w14:solidFill>
              <w14:schemeClr w14:val="tx1"/>
            </w14:solidFill>
          </w14:textFill>
        </w:rPr>
        <w:t xml:space="preserve">“正偏离”“无偏离”“负偏离”</w:t>
      </w:r>
      <w:r>
        <w:rPr>
          <w:rFonts w:hint="eastAsia" w:ascii="宋体" w:hAnsi="宋体"/>
          <w:color w:val="000000" w:themeColor="text1"/>
          <w:sz w:val="24"/>
          <w:szCs w:val="24"/>
          <w:highlight w:val="none"/>
          <w14:textFill>
            <w14:solidFill>
              <w14:schemeClr w14:val="tx1"/>
            </w14:solidFill>
          </w14:textFill>
        </w:rPr>
        <w:t xml:space="preserve">进行填写。正偏离、无偏离的确认和负偏离的是否响应采购文件，由磋商小组认定。</w:t>
      </w:r>
      <w:r/>
    </w:p>
    <w:p>
      <w:pPr>
        <w:contextualSpacing/>
        <w:ind w:firstLine="480"/>
        <w:spacing w:line="5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供应商若提供其他增值服务，可以在表中自行据实填写。</w:t>
      </w:r>
      <w:r/>
    </w:p>
    <w:p>
      <w:pPr>
        <w:contextualSpacing/>
        <w:ind w:firstLine="540"/>
        <w:spacing w:line="56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r>
      <w:r/>
    </w:p>
    <w:p>
      <w:pPr>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contextualSpacing/>
        <w:spacing w:line="400" w:lineRule="exact"/>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宋体" w:hAnsi="宋体"/>
          <w:bCs/>
          <w:color w:val="000000" w:themeColor="text1"/>
          <w:sz w:val="24"/>
          <w:szCs w:val="21"/>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6</w:t>
      </w:r>
      <w:r/>
    </w:p>
    <w:p>
      <w:pPr>
        <w:contextualSpacing/>
        <w:jc w:val="center"/>
        <w:spacing w:line="30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技术部分正负偏离表</w:t>
      </w:r>
      <w:r/>
    </w:p>
    <w:p>
      <w:pPr>
        <w:ind w:firstLine="560"/>
        <w:jc w:val="center"/>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（由供应商据实填写，表格不够自行添加）</w:t>
      </w:r>
      <w:r/>
    </w:p>
    <w:tbl>
      <w:tblPr>
        <w:tblStyle w:val="749"/>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序号</w:t>
            </w:r>
            <w:r/>
          </w:p>
        </w:tc>
        <w:tc>
          <w:tcPr>
            <w:tcW w:w="2300"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货物或服务名称</w:t>
            </w:r>
            <w:r/>
          </w:p>
        </w:tc>
        <w:tc>
          <w:tcPr>
            <w:tcW w:w="2008"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磋商文件要求的技术要求</w:t>
            </w:r>
            <w:r/>
          </w:p>
        </w:tc>
        <w:tc>
          <w:tcPr>
            <w:tcW w:w="2591" w:type="dxa"/>
            <w:vAlign w:val="center"/>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响应文件响应情况</w:t>
            </w:r>
            <w:r/>
          </w:p>
        </w:tc>
        <w:tc>
          <w:tcPr>
            <w:tcW w:w="1427"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偏离说明</w:t>
            </w:r>
            <w:r/>
          </w:p>
        </w:tc>
      </w:tr>
      <w:tr>
        <w:trPr>
          <w:trHeight w:val="414"/>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1</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r>
        <w:trPr>
          <w:trHeight w:val="548"/>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2</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r>
        <w:trPr>
          <w:trHeight w:val="400"/>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3</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r>
        <w:trPr>
          <w:trHeight w:val="419"/>
        </w:trPr>
        <w:tc>
          <w:tcPr>
            <w:tcW w:w="843" w:type="dxa"/>
            <w:vAlign w:val="top"/>
            <w:textDirection w:val="lrTb"/>
            <w:noWrap w:val="false"/>
          </w:tcPr>
          <w:p>
            <w:pPr>
              <w:jc w:val="center"/>
              <w:spacing w:line="3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lang w:val="en-US" w:eastAsia="en-US" w:bidi="ar-SA"/>
                <w14:textFill>
                  <w14:solidFill>
                    <w14:schemeClr w14:val="tx1"/>
                  </w14:solidFill>
                </w14:textFill>
              </w:rPr>
              <w:t xml:space="preserve">4</w:t>
            </w:r>
            <w:r/>
          </w:p>
        </w:tc>
        <w:tc>
          <w:tcPr>
            <w:tcW w:w="2300"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008" w:type="dxa"/>
            <w:vAlign w:val="center"/>
            <w:textDirection w:val="lrTb"/>
            <w:noWrap w:val="false"/>
          </w:tcPr>
          <w:p>
            <w:pPr>
              <w:jc w:val="left"/>
              <w:spacing w:line="340" w:lineRule="exact"/>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W w:w="2591" w:type="dxa"/>
            <w:vAlign w:val="center"/>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c>
          <w:tcPr>
            <w:tcW w:w="1427" w:type="dxa"/>
            <w:vAlign w:val="top"/>
            <w:textDirection w:val="lrTb"/>
            <w:noWrap w:val="false"/>
          </w:tcPr>
          <w:p>
            <w:pPr>
              <w:jc w:val="left"/>
              <w:spacing w:line="340" w:lineRule="exact"/>
              <w:rPr>
                <w:rFonts w:ascii="Times New Roman" w:hAnsi="Times New Roman" w:eastAsia="宋体"/>
                <w:color w:val="000000" w:themeColor="text1"/>
                <w:sz w:val="24"/>
                <w:szCs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r>
            <w:r/>
          </w:p>
        </w:tc>
      </w:tr>
    </w:tbl>
    <w:p>
      <w:pPr>
        <w:contextualSpacing/>
        <w:spacing w:line="56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p>
    <w:p>
      <w:pPr>
        <w:contextualSpacing/>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1.供应商提交的响应文件中与磋商文件第三</w:t>
      </w:r>
      <w:r>
        <w:rPr>
          <w:rFonts w:hint="eastAsia" w:ascii="宋体" w:hAnsi="宋体"/>
          <w:color w:val="000000" w:themeColor="text1"/>
          <w:sz w:val="24"/>
          <w:szCs w:val="24"/>
          <w:highlight w:val="none"/>
          <w:lang w:val="en-US" w:eastAsia="zh-CN"/>
          <w14:textFill>
            <w14:solidFill>
              <w14:schemeClr w14:val="tx1"/>
            </w14:solidFill>
          </w14:textFill>
        </w:rPr>
        <w:t xml:space="preserve">章</w:t>
      </w:r>
      <w:r>
        <w:rPr>
          <w:rFonts w:hint="eastAsia" w:ascii="宋体" w:hAnsi="宋体"/>
          <w:color w:val="000000" w:themeColor="text1"/>
          <w:sz w:val="24"/>
          <w:szCs w:val="24"/>
          <w:highlight w:val="none"/>
          <w14:textFill>
            <w14:solidFill>
              <w14:schemeClr w14:val="tx1"/>
            </w14:solidFill>
          </w14:textFill>
        </w:rPr>
        <w:t xml:space="preserve">“项目需求”中的技术部分的要求，应逐条填列在偏离表中。</w:t>
      </w:r>
      <w:r>
        <w:rPr>
          <w:rFonts w:ascii="SimSun" w:hAnsi="SimSun" w:eastAsia="SimSun" w:cs="SimSun"/>
          <w:color w:val="000000"/>
          <w:sz w:val="24"/>
        </w:rPr>
        <w:t xml:space="preserve">项目需求中要求提供的证明材料附本表后（如有）</w:t>
      </w:r>
      <w:r>
        <w:rPr>
          <w:rFonts w:hint="eastAsia" w:ascii="宋体" w:hAnsi="宋体"/>
          <w:color w:val="000000" w:themeColor="text1"/>
          <w:sz w:val="24"/>
          <w:szCs w:val="24"/>
          <w:highlight w:val="none"/>
          <w14:textFill>
            <w14:solidFill>
              <w14:schemeClr w14:val="tx1"/>
            </w14:solidFill>
          </w14:textFill>
        </w:rPr>
      </w:r>
      <w:r/>
    </w:p>
    <w:p>
      <w:pPr>
        <w:contextualSpacing/>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Times New Roman" w:hAnsi="Times New Roman"/>
          <w:color w:val="000000" w:themeColor="text1"/>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“偏离说明”一栏选择</w:t>
      </w:r>
      <w:r>
        <w:rPr>
          <w:rFonts w:hint="eastAsia" w:ascii="宋体" w:hAnsi="宋体"/>
          <w:b/>
          <w:bCs/>
          <w:color w:val="000000" w:themeColor="text1"/>
          <w:sz w:val="24"/>
          <w:szCs w:val="24"/>
          <w:highlight w:val="none"/>
          <w14:textFill>
            <w14:solidFill>
              <w14:schemeClr w14:val="tx1"/>
            </w14:solidFill>
          </w14:textFill>
        </w:rPr>
        <w:t xml:space="preserve">“正偏离”“无偏离”“负偏离”</w:t>
      </w:r>
      <w:r>
        <w:rPr>
          <w:rFonts w:hint="eastAsia" w:ascii="宋体" w:hAnsi="宋体"/>
          <w:color w:val="000000" w:themeColor="text1"/>
          <w:sz w:val="24"/>
          <w:szCs w:val="24"/>
          <w:highlight w:val="none"/>
          <w14:textFill>
            <w14:solidFill>
              <w14:schemeClr w14:val="tx1"/>
            </w14:solidFill>
          </w14:textFill>
        </w:rPr>
        <w:t xml:space="preserve">进行填写。正偏离、无偏离的确认和负偏离的是否响应采购文件，由磋商小组认定。</w:t>
      </w:r>
      <w:r/>
    </w:p>
    <w:p>
      <w:pPr>
        <w:contextualSpacing/>
        <w:ind w:firstLine="480"/>
        <w:spacing w:line="5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供应商若提供其他增值服务，可以在表中自行据实填写。</w:t>
      </w:r>
      <w:r/>
    </w:p>
    <w:p>
      <w:pPr>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contextualSpacing/>
        <w:spacing w:line="400" w:lineRule="exact"/>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宋体" w:hAnsi="宋体"/>
          <w:bCs/>
          <w:color w:val="000000" w:themeColor="text1"/>
          <w:sz w:val="24"/>
          <w:szCs w:val="21"/>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7</w:t>
      </w:r>
      <w:r/>
    </w:p>
    <w:p>
      <w:pPr>
        <w:pStyle w:val="740"/>
        <w:jc w:val="center"/>
        <w:keepNext w:val="0"/>
        <w:widowControl/>
        <w:rPr>
          <w:color w:val="auto"/>
          <w:highlight w:val="none"/>
        </w:rPr>
      </w:pPr>
      <w:r>
        <w:rPr>
          <w:rStyle w:val="773"/>
          <w:rFonts w:hint="eastAsia"/>
          <w:b w:val="0"/>
          <w:color w:val="auto"/>
          <w:highlight w:val="none"/>
        </w:rPr>
        <w:t xml:space="preserve">磋商报价表</w:t>
      </w:r>
      <w:r/>
    </w:p>
    <w:p>
      <w:pPr>
        <w:pStyle w:val="770"/>
        <w:rPr>
          <w:color w:val="auto"/>
          <w:highlight w:val="none"/>
        </w:rPr>
      </w:pPr>
      <w:r>
        <w:rPr>
          <w:rFonts w:hint="eastAsia"/>
          <w:color w:val="auto"/>
          <w:highlight w:val="none"/>
        </w:rPr>
        <w:t xml:space="preserve">本次为首次报价                 货币单位：人民币元</w:t>
      </w:r>
      <w:r/>
    </w:p>
    <w:p>
      <w:pPr>
        <w:pStyle w:val="770"/>
        <w:rPr>
          <w:color w:val="auto"/>
          <w:highlight w:val="none"/>
        </w:rPr>
      </w:pPr>
      <w:r>
        <w:rPr>
          <w:rFonts w:hint="eastAsia"/>
          <w:color w:val="auto"/>
          <w:highlight w:val="none"/>
        </w:rPr>
        <w:t xml:space="preserve">项目编号：项目编号 </w:t>
      </w:r>
      <w:r/>
    </w:p>
    <w:tbl>
      <w:tblPr>
        <w:tblStyle w:val="749"/>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598"/>
        <w:gridCol w:w="2447"/>
        <w:gridCol w:w="4028"/>
      </w:tblGrid>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330" w:type="dxa"/>
            <w:vAlign w:val="center"/>
            <w:textDirection w:val="lrTb"/>
            <w:noWrap w:val="false"/>
          </w:tcPr>
          <w:p>
            <w:pPr>
              <w:pStyle w:val="770"/>
              <w:rPr>
                <w:color w:val="auto"/>
                <w:highlight w:val="none"/>
              </w:rPr>
            </w:pPr>
            <w:r>
              <w:rPr>
                <w:rFonts w:hint="eastAsia"/>
                <w:color w:val="auto"/>
                <w:highlight w:val="none"/>
              </w:rPr>
              <w:t xml:space="preserve">项目名称</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345" w:type="dxa"/>
            <w:vAlign w:val="center"/>
            <w:textDirection w:val="lrTb"/>
            <w:noWrap w:val="false"/>
          </w:tcPr>
          <w:p>
            <w:pPr>
              <w:pStyle w:val="770"/>
              <w:rPr>
                <w:color w:val="auto"/>
                <w:highlight w:val="none"/>
              </w:rPr>
            </w:pPr>
            <w:r>
              <w:rPr>
                <w:rFonts w:hint="eastAsia"/>
                <w:color w:val="auto"/>
                <w:highlight w:val="none"/>
              </w:rPr>
              <w:t xml:space="preserve">项目内容</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4980" w:type="dxa"/>
            <w:vAlign w:val="center"/>
            <w:textDirection w:val="lrTb"/>
            <w:noWrap w:val="false"/>
          </w:tcPr>
          <w:p>
            <w:pPr>
              <w:pStyle w:val="770"/>
              <w:rPr>
                <w:color w:val="auto"/>
                <w:highlight w:val="none"/>
              </w:rPr>
            </w:pPr>
            <w:r>
              <w:rPr>
                <w:rFonts w:hint="eastAsia"/>
                <w:color w:val="auto"/>
                <w:highlight w:val="none"/>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330" w:type="dxa"/>
            <w:vAlign w:val="center"/>
            <w:textDirection w:val="lrTb"/>
            <w:noWrap w:val="false"/>
          </w:tcPr>
          <w:p>
            <w:pPr>
              <w:pStyle w:val="770"/>
              <w:rPr>
                <w:color w:val="auto"/>
                <w:highlight w:val="none"/>
              </w:rPr>
            </w:pPr>
            <w:r>
              <w:rPr>
                <w:rFonts w:hint="eastAsia"/>
                <w:color w:val="auto"/>
                <w:highlight w:val="none"/>
              </w:rPr>
              <w:t xml:space="preserve">项目名称  </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345" w:type="dxa"/>
            <w:vAlign w:val="center"/>
            <w:textDirection w:val="lrTb"/>
            <w:noWrap w:val="false"/>
          </w:tcPr>
          <w:p>
            <w:pPr>
              <w:pStyle w:val="770"/>
              <w:rPr>
                <w:color w:val="auto"/>
                <w:highlight w:val="none"/>
              </w:rPr>
            </w:pPr>
            <w:r>
              <w:rPr>
                <w:rFonts w:hint="eastAsia"/>
                <w:color w:val="auto"/>
                <w:highlight w:val="none"/>
              </w:rPr>
              <w:t xml:space="preserve">详见响应文件</w:t>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4980" w:type="dxa"/>
            <w:vAlign w:val="center"/>
            <w:textDirection w:val="lrTb"/>
            <w:noWrap w:val="false"/>
          </w:tcPr>
          <w:p>
            <w:pPr>
              <w:pStyle w:val="770"/>
              <w:rPr>
                <w:color w:val="auto"/>
                <w:highlight w:val="none"/>
              </w:rPr>
            </w:pPr>
            <w:r>
              <w:rPr>
                <w:color w:val="auto"/>
                <w:highlight w:val="none"/>
              </w:rPr>
              <mc:AlternateContent>
                <mc:Choice Requires="wpg">
                  <w:drawing>
                    <wp:inline xmlns:wp="http://schemas.openxmlformats.org/drawingml/2006/wordprocessingDrawing" distT="0" distB="0" distL="0" distR="0">
                      <wp:extent cx="726440" cy="231775"/>
                      <wp:effectExtent l="0" t="0" r="16510" b="158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7"/>
                              <a:stretch/>
                            </pic:blipFill>
                            <pic:spPr bwMode="auto">
                              <a:xfrm>
                                <a:off x="0" y="0"/>
                                <a:ext cx="726440" cy="231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2pt;height:18.2pt;mso-wrap-distance-left:0.0pt;mso-wrap-distance-top:0.0pt;mso-wrap-distance-right:0.0pt;mso-wrap-distance-bottom:0.0pt;" stroked="f">
                      <v:path textboxrect="0,0,0,0"/>
                      <v:imagedata r:id="rId17" o:title=""/>
                    </v:shape>
                  </w:pict>
                </mc:Fallback>
              </mc:AlternateContent>
            </w:r>
            <w:r>
              <w:rPr>
                <w:rFonts w:hint="eastAsia"/>
                <w:color w:val="auto"/>
                <w:highlight w:val="none"/>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3330" w:type="dxa"/>
            <w:vAlign w:val="center"/>
            <w:textDirection w:val="lrTb"/>
            <w:noWrap w:val="false"/>
          </w:tcPr>
          <w:p>
            <w:pPr>
              <w:pStyle w:val="770"/>
              <w:rPr>
                <w:color w:val="auto"/>
                <w:highlight w:val="none"/>
              </w:rPr>
            </w:pPr>
            <w:r>
              <w:rPr>
                <w:rFonts w:hint="eastAsia"/>
                <w:color w:val="auto"/>
                <w:highlight w:val="none"/>
              </w:rPr>
              <w:t xml:space="preserve">总价（大写）：</w:t>
            </w:r>
            <w:r/>
          </w:p>
        </w:tc>
        <w:tc>
          <w:tcPr>
            <w:gridSpan w:val="2"/>
            <w:tcBorders>
              <w:top w:val="single" w:color="auto" w:sz="6" w:space="0"/>
              <w:left w:val="single" w:color="auto" w:sz="6" w:space="0"/>
              <w:bottom w:val="single" w:color="auto" w:sz="6" w:space="0"/>
              <w:right w:val="single" w:color="auto" w:sz="6" w:space="0"/>
            </w:tcBorders>
            <w:tcMar>
              <w:left w:w="15" w:type="dxa"/>
              <w:top w:w="15" w:type="dxa"/>
              <w:right w:w="15" w:type="dxa"/>
              <w:bottom w:w="15" w:type="dxa"/>
            </w:tcMar>
            <w:tcW w:w="8340" w:type="dxa"/>
            <w:vAlign w:val="center"/>
            <w:textDirection w:val="lrTb"/>
            <w:noWrap w:val="false"/>
          </w:tcPr>
          <w:p>
            <w:pPr>
              <w:pStyle w:val="770"/>
              <w:rPr>
                <w:color w:val="auto"/>
                <w:highlight w:val="none"/>
              </w:rPr>
            </w:pPr>
            <w:r>
              <w:rPr>
                <w:rFonts w:hint="eastAsia"/>
                <w:color w:val="auto"/>
                <w:highlight w:val="none"/>
              </w:rPr>
              <w:t xml:space="preserve">金额大写 </w:t>
            </w:r>
            <w:r/>
          </w:p>
        </w:tc>
      </w:tr>
    </w:tbl>
    <w:p>
      <w:pPr>
        <w:pStyle w:val="770"/>
        <w:rPr>
          <w:color w:val="auto"/>
          <w:highlight w:val="none"/>
        </w:rPr>
      </w:pPr>
      <w:r>
        <w:rPr>
          <w:rFonts w:hint="eastAsia"/>
          <w:color w:val="auto"/>
          <w:highlight w:val="none"/>
        </w:rPr>
        <w:t xml:space="preserve">报价说明：</w:t>
      </w:r>
      <w:r/>
    </w:p>
    <w:p>
      <w:pPr>
        <w:pStyle w:val="770"/>
        <w:rPr>
          <w:color w:val="auto"/>
          <w:highlight w:val="none"/>
        </w:rPr>
      </w:pPr>
      <w:r>
        <w:rPr>
          <w:rFonts w:hint="eastAsia"/>
          <w:color w:val="auto"/>
          <w:highlight w:val="none"/>
          <w:lang w:eastAsia="zh-CN"/>
        </w:rPr>
        <w:t xml:space="preserve">1.</w:t>
      </w:r>
      <w:r>
        <w:rPr>
          <w:rFonts w:hint="eastAsia"/>
          <w:color w:val="auto"/>
          <w:highlight w:val="none"/>
        </w:rPr>
        <w:t xml:space="preserve">报价包括完成项目的所有费用。采购人不再支付报价以外的任何费用。</w:t>
      </w:r>
      <w:r/>
    </w:p>
    <w:p>
      <w:pPr>
        <w:pStyle w:val="770"/>
        <w:rPr>
          <w:color w:val="auto"/>
          <w:highlight w:val="none"/>
        </w:rPr>
      </w:pPr>
      <w:r>
        <w:rPr>
          <w:rFonts w:hint="eastAsia"/>
          <w:color w:val="auto"/>
          <w:highlight w:val="none"/>
          <w:lang w:eastAsia="zh-CN"/>
        </w:rPr>
        <w:t xml:space="preserve">2.</w:t>
      </w:r>
      <w:r>
        <w:rPr>
          <w:rFonts w:hint="eastAsia"/>
          <w:color w:val="auto"/>
          <w:highlight w:val="none"/>
        </w:rPr>
        <w:t xml:space="preserve">报价以总价为准，大小写不一致以大写为准；</w:t>
      </w:r>
      <w:r/>
    </w:p>
    <w:p>
      <w:pPr>
        <w:pStyle w:val="770"/>
        <w:rPr>
          <w:color w:val="auto"/>
          <w:highlight w:val="none"/>
        </w:rPr>
      </w:pPr>
      <w:r>
        <w:rPr>
          <w:rFonts w:hint="eastAsia"/>
          <w:color w:val="auto"/>
          <w:highlight w:val="none"/>
          <w:lang w:eastAsia="zh-CN"/>
        </w:rPr>
        <w:t xml:space="preserve">3.</w:t>
      </w:r>
      <w:r>
        <w:rPr>
          <w:rFonts w:hint="eastAsia"/>
          <w:color w:val="auto"/>
          <w:highlight w:val="none"/>
        </w:rPr>
        <w:t xml:space="preserve">偏离说明：详见《偏离表》；</w:t>
      </w:r>
      <w:r/>
    </w:p>
    <w:p>
      <w:pPr>
        <w:pStyle w:val="770"/>
        <w:rPr>
          <w:color w:val="auto"/>
          <w:highlight w:val="none"/>
        </w:rPr>
      </w:pPr>
      <w:r>
        <w:rPr>
          <w:rFonts w:hint="eastAsia"/>
          <w:color w:val="auto"/>
          <w:szCs w:val="24"/>
          <w:highlight w:val="none"/>
          <w:lang w:eastAsia="zh-CN"/>
        </w:rPr>
        <w:t xml:space="preserve">4.</w:t>
      </w:r>
      <w:r>
        <w:rPr>
          <w:rFonts w:hint="eastAsia"/>
          <w:color w:val="auto"/>
          <w:szCs w:val="24"/>
          <w:highlight w:val="none"/>
        </w:rPr>
        <w:t xml:space="preserve">如最后报价未列明单价，则最后所报各项单价计算方法为：（最后报价/ 最初报价）* 各项最初报价的单价。</w:t>
      </w:r>
      <w:r/>
    </w:p>
    <w:p>
      <w:pPr>
        <w:pStyle w:val="770"/>
        <w:rPr>
          <w:color w:val="auto"/>
          <w:highlight w:val="none"/>
        </w:rPr>
      </w:pPr>
      <w:r>
        <w:rPr>
          <w:rFonts w:hint="eastAsia"/>
          <w:color w:val="auto"/>
          <w:highlight w:val="none"/>
        </w:rPr>
        <w:t xml:space="preserve">供应商（电子签章）：</w:t>
      </w:r>
      <w:r/>
    </w:p>
    <w:p>
      <w:pPr>
        <w:spacing w:line="5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注：《磋商报价表》与苏采云系统格式不一致的以苏采云系统格式为准。</w:t>
      </w:r>
      <w:r/>
    </w:p>
    <w:p>
      <w:pPr>
        <w:contextualSpacing/>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pStyle w:val="917"/>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pStyle w:val="917"/>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pStyle w:val="917"/>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pStyle w:val="917"/>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contextualSpacing/>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contextualSpacing/>
        <w:spacing w:line="400" w:lineRule="exact"/>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r>
      <w:r/>
    </w:p>
    <w:p>
      <w:pPr>
        <w:spacing w:line="300" w:lineRule="auto"/>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br w:type="page" w:clear="all"/>
      </w: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8</w:t>
      </w:r>
      <w:r/>
    </w:p>
    <w:p>
      <w:pPr>
        <w:pStyle w:val="739"/>
        <w:jc w:val="center"/>
        <w:tabs>
          <w:tab w:val="left" w:pos="420" w:leader="none"/>
        </w:tabs>
        <w:rPr>
          <w:rFonts w:ascii="宋体" w:hAnsi="宋体" w:cs="宋体"/>
          <w:szCs w:val="28"/>
          <w:highlight w:val="none"/>
        </w:rPr>
      </w:pPr>
      <w:r>
        <w:rPr>
          <w:rFonts w:hint="eastAsia" w:ascii="宋体" w:hAnsi="宋体" w:eastAsia="宋体" w:cs="宋体"/>
          <w:b/>
          <w:bCs/>
          <w:color w:val="auto"/>
          <w:sz w:val="30"/>
          <w:szCs w:val="30"/>
          <w:highlight w:val="none"/>
          <w:lang w:val="en-US" w:eastAsia="zh-CN" w:bidi="ar-SA"/>
        </w:rPr>
        <w:t xml:space="preserve">中小企业声明函（服务）</w:t>
      </w:r>
      <w:r/>
    </w:p>
    <w:p>
      <w:pPr>
        <w:pStyle w:val="755"/>
        <w:spacing w:before="5"/>
        <w:rPr>
          <w:rFonts w:ascii="宋体" w:hAnsi="宋体" w:eastAsia="宋体" w:cs="宋体"/>
          <w:b/>
          <w:szCs w:val="28"/>
          <w:highlight w:val="none"/>
        </w:rPr>
      </w:pPr>
      <w:r>
        <w:rPr>
          <w:rFonts w:ascii="宋体" w:hAnsi="宋体" w:eastAsia="宋体" w:cs="宋体"/>
          <w:b/>
          <w:szCs w:val="28"/>
          <w:highlight w:val="none"/>
        </w:rPr>
      </w:r>
      <w:r/>
    </w:p>
    <w:p>
      <w:pPr>
        <w:pStyle w:val="755"/>
        <w:ind w:right="415" w:firstLine="640"/>
        <w:spacing w:line="302" w:lineRule="auto"/>
        <w:rPr>
          <w:rFonts w:ascii="宋体" w:hAnsi="宋体" w:eastAsia="宋体" w:cs="宋体"/>
          <w:szCs w:val="28"/>
          <w:highlight w:val="none"/>
        </w:rPr>
      </w:pPr>
      <w:r>
        <w:rPr>
          <w:rFonts w:hint="eastAsia" w:ascii="宋体" w:hAnsi="宋体" w:eastAsia="宋体" w:cs="宋体"/>
          <w:spacing w:val="-2"/>
          <w:szCs w:val="28"/>
          <w:highlight w:val="none"/>
        </w:rPr>
        <w:t xml:space="preserve">本公司</w:t>
      </w:r>
      <w:r>
        <w:rPr>
          <w:rFonts w:hint="eastAsia" w:ascii="宋体" w:hAnsi="宋体" w:eastAsia="宋体" w:cs="宋体"/>
          <w:szCs w:val="28"/>
          <w:highlight w:val="none"/>
        </w:rPr>
        <w:t xml:space="preserve">（联合体</w:t>
      </w:r>
      <w:r>
        <w:rPr>
          <w:rFonts w:hint="eastAsia" w:ascii="宋体" w:hAnsi="宋体" w:eastAsia="宋体" w:cs="宋体"/>
          <w:spacing w:val="-5"/>
          <w:szCs w:val="28"/>
          <w:highlight w:val="none"/>
        </w:rPr>
        <w:t xml:space="preserve">）</w:t>
      </w:r>
      <w:r>
        <w:rPr>
          <w:rFonts w:hint="eastAsia" w:ascii="宋体" w:hAnsi="宋体" w:eastAsia="宋体" w:cs="宋体"/>
          <w:spacing w:val="-2"/>
          <w:szCs w:val="28"/>
          <w:highlight w:val="none"/>
        </w:rPr>
        <w:t xml:space="preserve">郑重声明，根据《政府采购促进中小</w:t>
      </w:r>
      <w:r>
        <w:rPr>
          <w:rFonts w:hint="eastAsia" w:ascii="宋体" w:hAnsi="宋体" w:eastAsia="宋体" w:cs="宋体"/>
          <w:spacing w:val="-18"/>
          <w:szCs w:val="28"/>
          <w:highlight w:val="none"/>
        </w:rPr>
        <w:t xml:space="preserve">企业发展管理办法》</w:t>
      </w:r>
      <w:r>
        <w:rPr>
          <w:rFonts w:hint="eastAsia" w:ascii="宋体" w:hAnsi="宋体" w:eastAsia="宋体" w:cs="宋体"/>
          <w:szCs w:val="28"/>
          <w:highlight w:val="none"/>
        </w:rPr>
        <w:t xml:space="preserve">（</w:t>
      </w:r>
      <w:r>
        <w:rPr>
          <w:rFonts w:hint="eastAsia" w:ascii="宋体" w:hAnsi="宋体" w:eastAsia="宋体" w:cs="宋体"/>
          <w:spacing w:val="5"/>
          <w:szCs w:val="28"/>
          <w:highlight w:val="none"/>
        </w:rPr>
        <w:t xml:space="preserve">财库</w:t>
      </w:r>
      <w:r>
        <w:rPr>
          <w:rFonts w:hint="eastAsia" w:ascii="宋体" w:hAnsi="宋体" w:eastAsia="宋体" w:cs="宋体"/>
          <w:szCs w:val="28"/>
          <w:highlight w:val="none"/>
        </w:rPr>
        <w:t xml:space="preserve">﹝2020﹞46</w:t>
      </w:r>
      <w:r>
        <w:rPr>
          <w:rFonts w:hint="eastAsia" w:ascii="宋体" w:hAnsi="宋体" w:eastAsia="宋体" w:cs="宋体"/>
          <w:spacing w:val="-38"/>
          <w:szCs w:val="28"/>
          <w:highlight w:val="none"/>
        </w:rPr>
        <w:t xml:space="preserve"> 号</w:t>
      </w:r>
      <w:r>
        <w:rPr>
          <w:rFonts w:hint="eastAsia" w:ascii="宋体" w:hAnsi="宋体" w:eastAsia="宋体" w:cs="宋体"/>
          <w:spacing w:val="5"/>
          <w:szCs w:val="28"/>
          <w:highlight w:val="none"/>
        </w:rPr>
        <w:t xml:space="preserve">）</w:t>
      </w:r>
      <w:r>
        <w:rPr>
          <w:rFonts w:hint="eastAsia" w:ascii="宋体" w:hAnsi="宋体" w:eastAsia="宋体" w:cs="宋体"/>
          <w:szCs w:val="28"/>
          <w:highlight w:val="none"/>
        </w:rPr>
        <w:t xml:space="preserve">的规定，本公司（联合体）</w:t>
      </w:r>
      <w:r>
        <w:rPr>
          <w:rFonts w:hint="eastAsia" w:ascii="宋体" w:hAnsi="宋体" w:eastAsia="宋体" w:cs="宋体"/>
          <w:spacing w:val="-8"/>
          <w:szCs w:val="28"/>
          <w:highlight w:val="none"/>
        </w:rPr>
        <w:t xml:space="preserve">参加</w:t>
      </w:r>
      <w:r>
        <w:rPr>
          <w:rFonts w:hint="eastAsia" w:ascii="宋体" w:hAnsi="宋体" w:eastAsia="宋体" w:cs="宋体"/>
          <w:spacing w:val="-8"/>
          <w:szCs w:val="28"/>
          <w:highlight w:val="none"/>
          <w:u w:val="single"/>
        </w:rPr>
        <w:t xml:space="preserve">     （采购单位名称）</w:t>
      </w:r>
      <w:r>
        <w:rPr>
          <w:rFonts w:hint="eastAsia" w:ascii="宋体" w:hAnsi="宋体" w:eastAsia="宋体" w:cs="宋体"/>
          <w:spacing w:val="-8"/>
          <w:szCs w:val="28"/>
          <w:highlight w:val="none"/>
        </w:rPr>
        <w:t xml:space="preserve">的</w:t>
      </w:r>
      <w:r>
        <w:rPr>
          <w:rFonts w:hint="eastAsia" w:ascii="宋体" w:hAnsi="宋体" w:eastAsia="宋体" w:cs="宋体"/>
          <w:spacing w:val="-8"/>
          <w:szCs w:val="28"/>
          <w:highlight w:val="none"/>
          <w:u w:val="single"/>
        </w:rPr>
        <w:t xml:space="preserve">       （项目名称）</w:t>
      </w:r>
      <w:r>
        <w:rPr>
          <w:rFonts w:hint="eastAsia" w:ascii="宋体" w:hAnsi="宋体" w:eastAsia="宋体" w:cs="宋体"/>
          <w:spacing w:val="-8"/>
          <w:szCs w:val="28"/>
          <w:highlight w:val="none"/>
        </w:rPr>
        <w:t xml:space="preserve">采购活动</w:t>
      </w:r>
      <w:r>
        <w:rPr>
          <w:rFonts w:hint="eastAsia" w:ascii="宋体" w:hAnsi="宋体" w:eastAsia="宋体" w:cs="宋体"/>
          <w:spacing w:val="-1"/>
          <w:szCs w:val="28"/>
          <w:highlight w:val="none"/>
        </w:rPr>
        <w:t xml:space="preserve">，工</w:t>
      </w:r>
      <w:r>
        <w:rPr>
          <w:rFonts w:hint="eastAsia" w:ascii="宋体" w:hAnsi="宋体" w:eastAsia="宋体" w:cs="宋体"/>
          <w:spacing w:val="-2"/>
          <w:szCs w:val="28"/>
          <w:highlight w:val="none"/>
        </w:rPr>
        <w:t xml:space="preserve">程的施工单位全部为符合政策要求的中小企业</w:t>
      </w:r>
      <w:r>
        <w:rPr>
          <w:rFonts w:hint="eastAsia" w:ascii="宋体" w:hAnsi="宋体" w:eastAsia="宋体" w:cs="宋体"/>
          <w:szCs w:val="28"/>
          <w:highlight w:val="none"/>
        </w:rPr>
        <w:t xml:space="preserve">（</w:t>
      </w:r>
      <w:r>
        <w:rPr>
          <w:rFonts w:hint="eastAsia" w:ascii="宋体" w:hAnsi="宋体" w:eastAsia="宋体" w:cs="宋体"/>
          <w:spacing w:val="-3"/>
          <w:szCs w:val="28"/>
          <w:highlight w:val="none"/>
        </w:rPr>
        <w:t xml:space="preserve">或者：服务</w:t>
      </w:r>
      <w:r>
        <w:rPr>
          <w:rFonts w:hint="eastAsia" w:ascii="宋体" w:hAnsi="宋体" w:eastAsia="宋体" w:cs="宋体"/>
          <w:spacing w:val="5"/>
          <w:szCs w:val="28"/>
          <w:highlight w:val="none"/>
        </w:rPr>
        <w:t xml:space="preserve">全部由符合政策要求的中小企业承接</w:t>
      </w:r>
      <w:r>
        <w:rPr>
          <w:rFonts w:hint="eastAsia" w:ascii="宋体" w:hAnsi="宋体" w:eastAsia="宋体" w:cs="宋体"/>
          <w:spacing w:val="-8"/>
          <w:szCs w:val="28"/>
          <w:highlight w:val="none"/>
          <w:u w:val="none"/>
        </w:rPr>
        <w:t xml:space="preserve">）。</w:t>
      </w:r>
      <w:r>
        <w:rPr>
          <w:rFonts w:hint="eastAsia" w:ascii="宋体" w:hAnsi="宋体" w:eastAsia="宋体" w:cs="宋体"/>
          <w:spacing w:val="6"/>
          <w:szCs w:val="28"/>
          <w:highlight w:val="none"/>
        </w:rPr>
        <w:t xml:space="preserve">相关企业</w:t>
      </w:r>
      <w:r>
        <w:rPr>
          <w:rFonts w:hint="eastAsia" w:ascii="宋体" w:hAnsi="宋体" w:eastAsia="宋体" w:cs="宋体"/>
          <w:spacing w:val="7"/>
          <w:szCs w:val="28"/>
          <w:highlight w:val="none"/>
        </w:rPr>
        <w:t xml:space="preserve">（</w:t>
      </w:r>
      <w:r>
        <w:rPr>
          <w:rFonts w:hint="eastAsia" w:ascii="宋体" w:hAnsi="宋体" w:eastAsia="宋体" w:cs="宋体"/>
          <w:spacing w:val="4"/>
          <w:szCs w:val="28"/>
          <w:highlight w:val="none"/>
        </w:rPr>
        <w:t xml:space="preserve">含联合</w:t>
      </w:r>
      <w:r>
        <w:rPr>
          <w:rFonts w:hint="eastAsia" w:ascii="宋体" w:hAnsi="宋体" w:eastAsia="宋体" w:cs="宋体"/>
          <w:szCs w:val="28"/>
          <w:highlight w:val="none"/>
        </w:rPr>
        <w:t xml:space="preserve">体中的中小企业、签订分包意向协议的中小企业</w:t>
      </w:r>
      <w:r>
        <w:rPr>
          <w:rFonts w:hint="eastAsia" w:ascii="宋体" w:hAnsi="宋体" w:eastAsia="宋体" w:cs="宋体"/>
          <w:spacing w:val="-7"/>
          <w:szCs w:val="28"/>
          <w:highlight w:val="none"/>
        </w:rPr>
        <w:t xml:space="preserve">）</w:t>
      </w:r>
      <w:r>
        <w:rPr>
          <w:rFonts w:hint="eastAsia" w:ascii="宋体" w:hAnsi="宋体" w:eastAsia="宋体" w:cs="宋体"/>
          <w:szCs w:val="28"/>
          <w:highlight w:val="none"/>
        </w:rPr>
        <w:t xml:space="preserve">的具体情况如下：</w:t>
      </w:r>
      <w:r/>
    </w:p>
    <w:p>
      <w:pPr>
        <w:pStyle w:val="755"/>
        <w:numPr>
          <w:ilvl w:val="0"/>
          <w:numId w:val="5"/>
        </w:numPr>
        <w:ind w:right="417" w:firstLine="645"/>
        <w:spacing w:before="108" w:line="304" w:lineRule="auto"/>
        <w:rPr>
          <w:rFonts w:ascii="宋体" w:hAnsi="宋体" w:eastAsia="宋体" w:cs="宋体"/>
          <w:spacing w:val="-3"/>
          <w:szCs w:val="28"/>
          <w:highlight w:val="none"/>
          <w:u w:val="single"/>
        </w:rPr>
      </w:pPr>
      <w:r>
        <w:rPr>
          <w:rFonts w:hint="eastAsia" w:ascii="宋体" w:hAnsi="宋体" w:eastAsia="宋体" w:cs="宋体"/>
          <w:spacing w:val="-3"/>
          <w:szCs w:val="28"/>
          <w:highlight w:val="none"/>
          <w:u w:val="single"/>
        </w:rPr>
        <w:t xml:space="preserve"> </w:t>
      </w:r>
      <w:r>
        <w:rPr>
          <w:rFonts w:hint="eastAsia" w:ascii="宋体" w:hAnsi="宋体" w:eastAsia="宋体" w:cs="宋体"/>
          <w:spacing w:val="-3"/>
          <w:szCs w:val="28"/>
          <w:highlight w:val="none"/>
          <w:u w:val="single"/>
        </w:rPr>
        <w:t xml:space="preserve">泰州市人民医院蔡司设备维保服务采购项目</w:t>
      </w:r>
      <w:r>
        <w:rPr>
          <w:rFonts w:hint="eastAsia" w:ascii="宋体" w:hAnsi="宋体" w:eastAsia="宋体" w:cs="宋体"/>
          <w:spacing w:val="-3"/>
          <w:szCs w:val="28"/>
          <w:highlight w:val="none"/>
          <w:u w:val="single"/>
        </w:rPr>
        <w:t xml:space="preserve"> </w:t>
      </w:r>
      <w:r>
        <w:rPr>
          <w:rFonts w:hint="eastAsia" w:ascii="宋体" w:hAnsi="宋体" w:eastAsia="宋体" w:cs="宋体"/>
          <w:spacing w:val="-3"/>
          <w:szCs w:val="28"/>
          <w:highlight w:val="none"/>
        </w:rPr>
        <w:t xml:space="preserve">，属于</w:t>
      </w:r>
      <w:r>
        <w:rPr>
          <w:rFonts w:hint="eastAsia" w:ascii="宋体" w:hAnsi="宋体" w:eastAsia="宋体" w:cs="宋体"/>
          <w:spacing w:val="-3"/>
          <w:szCs w:val="28"/>
          <w:highlight w:val="none"/>
          <w:u w:val="single"/>
        </w:rPr>
        <w:t xml:space="preserve">其他未列明行业</w:t>
      </w:r>
      <w:r>
        <w:rPr>
          <w:rFonts w:hint="eastAsia" w:ascii="宋体" w:hAnsi="宋体" w:eastAsia="宋体" w:cs="宋体"/>
          <w:spacing w:val="-3"/>
          <w:szCs w:val="28"/>
          <w:highlight w:val="none"/>
        </w:rPr>
        <w:t xml:space="preserve">；承建（承接）企业为</w:t>
      </w:r>
      <w:r>
        <w:rPr>
          <w:rFonts w:hint="eastAsia" w:ascii="宋体" w:hAnsi="宋体" w:eastAsia="宋体" w:cs="宋体"/>
          <w:spacing w:val="-3"/>
          <w:szCs w:val="28"/>
          <w:highlight w:val="none"/>
          <w:u w:val="single"/>
        </w:rPr>
        <w:t xml:space="preserve">（企业名称），</w:t>
      </w:r>
      <w:r>
        <w:rPr>
          <w:rFonts w:hint="eastAsia" w:ascii="宋体" w:hAnsi="宋体" w:eastAsia="宋体" w:cs="宋体"/>
          <w:spacing w:val="-3"/>
          <w:szCs w:val="28"/>
          <w:highlight w:val="none"/>
        </w:rPr>
        <w:t xml:space="preserve">从业人员</w:t>
      </w:r>
      <w:r>
        <w:rPr>
          <w:rFonts w:hint="eastAsia" w:ascii="宋体" w:hAnsi="宋体" w:eastAsia="宋体" w:cs="宋体"/>
          <w:spacing w:val="-3"/>
          <w:szCs w:val="28"/>
          <w:highlight w:val="none"/>
          <w:u w:val="single"/>
        </w:rPr>
        <w:t xml:space="preserve">   人</w:t>
      </w:r>
      <w:r>
        <w:rPr>
          <w:rFonts w:hint="eastAsia" w:ascii="宋体" w:hAnsi="宋体" w:eastAsia="宋体" w:cs="宋体"/>
          <w:spacing w:val="-3"/>
          <w:szCs w:val="28"/>
          <w:highlight w:val="none"/>
        </w:rPr>
        <w:t xml:space="preserve">，营业收入为</w:t>
      </w:r>
      <w:r>
        <w:rPr>
          <w:rFonts w:hint="eastAsia" w:ascii="宋体" w:hAnsi="宋体" w:eastAsia="宋体" w:cs="宋体"/>
          <w:spacing w:val="-3"/>
          <w:szCs w:val="28"/>
          <w:highlight w:val="none"/>
          <w:u w:val="single"/>
        </w:rPr>
        <w:t xml:space="preserve">    万元</w:t>
      </w:r>
      <w:r>
        <w:rPr>
          <w:rFonts w:hint="eastAsia" w:ascii="宋体" w:hAnsi="宋体" w:eastAsia="宋体" w:cs="宋体"/>
          <w:spacing w:val="-3"/>
          <w:szCs w:val="28"/>
          <w:highlight w:val="none"/>
        </w:rPr>
        <w:t xml:space="preserve">，资产总额为</w:t>
      </w:r>
      <w:r>
        <w:rPr>
          <w:rFonts w:hint="eastAsia" w:ascii="宋体" w:hAnsi="宋体" w:eastAsia="宋体" w:cs="宋体"/>
          <w:spacing w:val="-3"/>
          <w:szCs w:val="28"/>
          <w:highlight w:val="none"/>
          <w:u w:val="single"/>
        </w:rPr>
        <w:t xml:space="preserve">     万元</w:t>
      </w:r>
      <w:r>
        <w:rPr>
          <w:rFonts w:hint="eastAsia" w:ascii="宋体" w:hAnsi="宋体" w:eastAsia="宋体" w:cs="宋体"/>
          <w:spacing w:val="-3"/>
          <w:szCs w:val="28"/>
          <w:highlight w:val="none"/>
        </w:rPr>
        <w:t xml:space="preserve">，属于</w:t>
      </w:r>
      <w:r>
        <w:rPr>
          <w:rFonts w:hint="eastAsia" w:ascii="宋体" w:hAnsi="宋体" w:eastAsia="宋体" w:cs="宋体"/>
          <w:spacing w:val="-3"/>
          <w:szCs w:val="28"/>
          <w:highlight w:val="none"/>
          <w:u w:val="single"/>
        </w:rPr>
        <w:t xml:space="preserve">     （中型企业、小型企业、微型企业）。</w:t>
      </w:r>
      <w:r/>
    </w:p>
    <w:p>
      <w:pPr>
        <w:pStyle w:val="755"/>
        <w:ind w:right="417" w:firstLine="645"/>
        <w:spacing w:before="108" w:line="304" w:lineRule="auto"/>
        <w:rPr>
          <w:rFonts w:ascii="宋体" w:hAnsi="宋体" w:eastAsia="宋体" w:cs="宋体"/>
          <w:szCs w:val="28"/>
          <w:highlight w:val="none"/>
        </w:rPr>
      </w:pPr>
      <w:r>
        <w:rPr>
          <w:rFonts w:hint="eastAsia" w:ascii="宋体" w:hAnsi="宋体" w:eastAsia="宋体" w:cs="宋体"/>
          <w:spacing w:val="-3"/>
          <w:szCs w:val="28"/>
          <w:highlight w:val="none"/>
        </w:rPr>
        <w:t xml:space="preserve">以上企业，不属于大企业的分支机构，不存在控股股东</w:t>
      </w:r>
      <w:r>
        <w:rPr>
          <w:rFonts w:hint="eastAsia" w:ascii="宋体" w:hAnsi="宋体" w:eastAsia="宋体" w:cs="宋体"/>
          <w:spacing w:val="-5"/>
          <w:szCs w:val="28"/>
          <w:highlight w:val="none"/>
        </w:rPr>
        <w:t xml:space="preserve">为大企业的情形，也不存在与大企业的负责人为同一人的情形。</w:t>
      </w:r>
      <w:r/>
    </w:p>
    <w:p>
      <w:pPr>
        <w:pStyle w:val="755"/>
        <w:ind w:right="375" w:firstLine="640"/>
        <w:spacing w:line="304" w:lineRule="auto"/>
        <w:rPr>
          <w:rFonts w:ascii="宋体" w:hAnsi="宋体" w:eastAsia="宋体" w:cs="宋体"/>
          <w:szCs w:val="28"/>
          <w:highlight w:val="none"/>
        </w:rPr>
      </w:pPr>
      <w:r>
        <w:rPr>
          <w:rFonts w:hint="eastAsia" w:ascii="宋体" w:hAnsi="宋体" w:eastAsia="宋体" w:cs="宋体"/>
          <w:szCs w:val="28"/>
          <w:highlight w:val="none"/>
        </w:rPr>
        <w:t xml:space="preserve">本企业对上述声明内容的真实性负责。如有虚假，将依法承担相应责任。</w:t>
      </w:r>
      <w:r/>
    </w:p>
    <w:p>
      <w:pPr>
        <w:pStyle w:val="755"/>
        <w:ind w:left="4060" w:right="2166"/>
        <w:spacing w:before="29" w:line="316" w:lineRule="auto"/>
        <w:rPr>
          <w:rFonts w:ascii="宋体" w:hAnsi="宋体" w:eastAsia="宋体" w:cs="宋体"/>
          <w:spacing w:val="2"/>
          <w:szCs w:val="28"/>
          <w:highlight w:val="none"/>
        </w:rPr>
      </w:pPr>
      <w:r>
        <w:rPr>
          <w:rFonts w:hint="eastAsia" w:ascii="宋体" w:hAnsi="宋体" w:eastAsia="宋体" w:cs="宋体"/>
          <w:szCs w:val="28"/>
          <w:highlight w:val="none"/>
        </w:rPr>
        <w:t xml:space="preserve">企业名称</w:t>
      </w:r>
      <w:r>
        <w:rPr>
          <w:rFonts w:hint="eastAsia" w:ascii="宋体" w:hAnsi="宋体" w:eastAsia="宋体" w:cs="宋体"/>
          <w:spacing w:val="2"/>
          <w:szCs w:val="28"/>
          <w:highlight w:val="none"/>
        </w:rPr>
        <w:t xml:space="preserve">（</w:t>
      </w:r>
      <w:r>
        <w:rPr>
          <w:rFonts w:hint="eastAsia" w:ascii="宋体" w:hAnsi="宋体" w:eastAsia="宋体" w:cs="宋体"/>
          <w:szCs w:val="28"/>
          <w:highlight w:val="none"/>
        </w:rPr>
        <w:t xml:space="preserve">盖章</w:t>
      </w:r>
      <w:r>
        <w:rPr>
          <w:rFonts w:hint="eastAsia" w:ascii="宋体" w:hAnsi="宋体" w:eastAsia="宋体" w:cs="宋体"/>
          <w:spacing w:val="2"/>
          <w:szCs w:val="28"/>
          <w:highlight w:val="none"/>
        </w:rPr>
        <w:t xml:space="preserve">）：</w:t>
      </w:r>
      <w:r/>
    </w:p>
    <w:p>
      <w:pPr>
        <w:pStyle w:val="755"/>
        <w:ind w:left="4060" w:right="2166"/>
        <w:spacing w:before="29" w:line="316" w:lineRule="auto"/>
        <w:rPr>
          <w:rFonts w:ascii="宋体" w:hAnsi="宋体" w:eastAsia="宋体" w:cs="宋体"/>
          <w:spacing w:val="24"/>
          <w:szCs w:val="28"/>
          <w:highlight w:val="none"/>
        </w:rPr>
      </w:pPr>
      <w:r>
        <w:rPr>
          <w:rFonts w:hint="eastAsia" w:ascii="宋体" w:hAnsi="宋体" w:eastAsia="宋体" w:cs="宋体"/>
          <w:spacing w:val="24"/>
          <w:szCs w:val="28"/>
          <w:highlight w:val="none"/>
        </w:rPr>
        <w:t xml:space="preserve">日期：</w:t>
      </w:r>
      <w:r/>
    </w:p>
    <w:p>
      <w:pPr>
        <w:pStyle w:val="1079"/>
        <w:jc w:val="both"/>
        <w:spacing w:line="360" w:lineRule="auto"/>
        <w:rPr>
          <w:rFonts w:hint="eastAsia" w:ascii="宋体" w:hAnsi="宋体" w:cs="宋体"/>
          <w:b/>
          <w:bCs/>
          <w:highlight w:val="none"/>
        </w:rPr>
      </w:pPr>
      <w:r>
        <w:rPr>
          <w:rFonts w:hint="eastAsia" w:ascii="宋体" w:hAnsi="宋体" w:cs="宋体"/>
          <w:highlight w:val="none"/>
        </w:rPr>
        <w:t xml:space="preserve">注：从业人员、营业收入、资产总额填报上一年度数据，无上一年度数据的新成立企业可不填报</w:t>
      </w:r>
      <w:r/>
    </w:p>
    <w:p>
      <w:pPr>
        <w:pStyle w:val="818"/>
        <w:rPr>
          <w:rFonts w:hint="eastAsia" w:ascii="Times New Roman" w:hAnsi="Times New Roman"/>
          <w:b/>
          <w:bCs/>
          <w:color w:val="000000" w:themeColor="text1"/>
          <w:sz w:val="28"/>
          <w:szCs w:val="28"/>
          <w:highlight w:val="none"/>
          <w14:textFill>
            <w14:solidFill>
              <w14:schemeClr w14:val="tx1"/>
            </w14:solidFill>
          </w14:textFill>
        </w:rPr>
      </w:pPr>
      <w:r>
        <w:rPr>
          <w:rFonts w:hint="eastAsia" w:ascii="Times New Roman" w:hAnsi="Times New Roman"/>
          <w:b/>
          <w:bCs/>
          <w:color w:val="000000" w:themeColor="text1"/>
          <w:sz w:val="28"/>
          <w:szCs w:val="28"/>
          <w:highlight w:val="none"/>
          <w14:textFill>
            <w14:solidFill>
              <w14:schemeClr w14:val="tx1"/>
            </w14:solidFill>
          </w14:textFill>
        </w:rPr>
      </w:r>
      <w:r/>
    </w:p>
    <w:p>
      <w:pPr>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br w:type="page" w:clear="all"/>
      </w:r>
      <w:r/>
    </w:p>
    <w:p>
      <w:pPr>
        <w:spacing w:line="300" w:lineRule="auto"/>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t xml:space="preserve">附件</w:t>
      </w:r>
      <w:r>
        <w:rPr>
          <w:rFonts w:hint="eastAsia" w:eastAsia="方正黑体_GBK"/>
          <w:color w:val="000000" w:themeColor="text1"/>
          <w:sz w:val="32"/>
          <w:szCs w:val="32"/>
          <w:highlight w:val="none"/>
          <w:lang w:val="en-US" w:eastAsia="zh-CN"/>
          <w14:textFill>
            <w14:solidFill>
              <w14:schemeClr w14:val="tx1"/>
            </w14:solidFill>
          </w14:textFill>
        </w:rPr>
        <w:t xml:space="preserve">9</w:t>
      </w:r>
      <w:r/>
    </w:p>
    <w:p>
      <w:pPr>
        <w:rPr>
          <w:color w:val="auto"/>
          <w:highlight w:val="none"/>
        </w:rPr>
      </w:pPr>
      <w:r>
        <w:rPr>
          <w:rFonts w:hint="eastAsia"/>
          <w:color w:val="auto"/>
          <w:highlight w:val="none"/>
        </w:rPr>
        <w:t xml:space="preserve">（如有）</w:t>
      </w:r>
      <w:r/>
    </w:p>
    <w:p>
      <w:pPr>
        <w:pStyle w:val="811"/>
        <w:numPr>
          <w:ilvl w:val="0"/>
          <w:numId w:val="0"/>
        </w:numPr>
        <w:ind w:left="0" w:firstLine="0"/>
        <w:jc w:val="center"/>
        <w:spacing w:line="360" w:lineRule="auto"/>
        <w:tabs>
          <w:tab w:val="left" w:pos="720" w:leader="none"/>
          <w:tab w:val="clear" w:pos="907" w:leader="none"/>
          <w:tab w:val="clear" w:pos="1145" w:leader="none"/>
        </w:tabs>
        <w:rPr>
          <w:rFonts w:ascii="宋体" w:hAnsi="宋体" w:cs="宋体"/>
          <w:color w:val="auto"/>
          <w:sz w:val="28"/>
          <w:szCs w:val="24"/>
          <w:highlight w:val="none"/>
        </w:rPr>
      </w:pPr>
      <w:r>
        <w:rPr>
          <w:rFonts w:hint="eastAsia" w:ascii="宋体" w:hAnsi="宋体" w:cs="宋体"/>
          <w:color w:val="auto"/>
          <w:sz w:val="28"/>
          <w:szCs w:val="24"/>
          <w:highlight w:val="none"/>
        </w:rPr>
        <w:t xml:space="preserve">残疾人福利性单位声明函</w:t>
      </w:r>
      <w:r/>
    </w:p>
    <w:p>
      <w:pPr>
        <w:ind w:firstLine="562"/>
        <w:jc w:val="center"/>
        <w:spacing w:line="360" w:lineRule="auto"/>
        <w:widowControl/>
        <w:rPr>
          <w:rFonts w:ascii="宋体" w:hAnsi="宋体" w:cs="宋体"/>
          <w:b/>
          <w:bCs/>
          <w:color w:val="auto"/>
          <w:sz w:val="28"/>
          <w:szCs w:val="24"/>
          <w:highlight w:val="none"/>
        </w:rPr>
      </w:pPr>
      <w:r>
        <w:rPr>
          <w:rFonts w:ascii="宋体" w:hAnsi="宋体" w:cs="宋体"/>
          <w:b/>
          <w:bCs/>
          <w:color w:val="auto"/>
          <w:sz w:val="28"/>
          <w:szCs w:val="24"/>
          <w:highlight w:val="none"/>
        </w:rPr>
      </w:r>
      <w:r/>
    </w:p>
    <w:p>
      <w:pPr>
        <w:ind w:firstLine="480"/>
        <w:spacing w:line="48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p>
    <w:p>
      <w:pPr>
        <w:ind w:firstLine="480"/>
        <w:spacing w:line="48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本单位对上述声明的真实性负责。如有虚假，将依法承担相应责任。 </w:t>
      </w:r>
      <w:r/>
    </w:p>
    <w:p>
      <w:pPr>
        <w:ind w:firstLine="2880"/>
        <w:spacing w:line="48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单位名称（盖章）： </w:t>
      </w:r>
      <w:r/>
    </w:p>
    <w:p>
      <w:pPr>
        <w:ind w:right="1560" w:firstLine="560"/>
        <w:jc w:val="center"/>
        <w:spacing w:line="588" w:lineRule="exact"/>
        <w:tabs>
          <w:tab w:val="left" w:pos="4860" w:leader="none"/>
        </w:tabs>
        <w:rPr>
          <w:rFonts w:hint="eastAsia" w:ascii="宋体" w:hAnsi="宋体"/>
          <w:color w:val="000000" w:themeColor="text1"/>
          <w:sz w:val="28"/>
          <w:szCs w:val="28"/>
          <w:highlight w:val="none"/>
          <w14:textFill>
            <w14:solidFill>
              <w14:schemeClr w14:val="tx1"/>
            </w14:solidFill>
          </w14:textFill>
        </w:rPr>
      </w:pPr>
      <w:r>
        <w:rPr>
          <w:rFonts w:hint="eastAsia" w:ascii="宋体" w:hAnsi="宋体" w:cs="宋体"/>
          <w:color w:val="auto"/>
          <w:sz w:val="24"/>
          <w:szCs w:val="24"/>
          <w:highlight w:val="none"/>
        </w:rPr>
        <w:t xml:space="preserve">日 期：</w:t>
      </w:r>
      <w:r/>
    </w:p>
    <w:p>
      <w:pPr>
        <w:ind w:right="1560" w:firstLine="560"/>
        <w:jc w:val="center"/>
        <w:spacing w:line="588" w:lineRule="exact"/>
        <w:tabs>
          <w:tab w:val="left" w:pos="4860" w:leader="none"/>
        </w:tabs>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ind w:right="1560" w:firstLine="560"/>
        <w:jc w:val="center"/>
        <w:spacing w:line="588" w:lineRule="exact"/>
        <w:tabs>
          <w:tab w:val="left" w:pos="4860" w:leader="none"/>
        </w:tabs>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rPr>
          <w:rFonts w:ascii="Times New Roman" w:hAnsi="Times New Roman" w:eastAsia="方正黑体_GBK"/>
          <w:color w:val="000000" w:themeColor="text1"/>
          <w:sz w:val="32"/>
          <w:szCs w:val="32"/>
          <w:highlight w:val="none"/>
          <w14:textFill>
            <w14:solidFill>
              <w14:schemeClr w14:val="tx1"/>
            </w14:solidFill>
          </w14:textFill>
        </w:rPr>
      </w:pPr>
      <w:r>
        <w:rPr>
          <w:rFonts w:ascii="Times New Roman" w:hAnsi="Times New Roman" w:eastAsia="方正黑体_GBK"/>
          <w:color w:val="000000" w:themeColor="text1"/>
          <w:sz w:val="32"/>
          <w:szCs w:val="32"/>
          <w:highlight w:val="none"/>
          <w14:textFill>
            <w14:solidFill>
              <w14:schemeClr w14:val="tx1"/>
            </w14:solidFill>
          </w14:textFill>
        </w:rPr>
        <w:br w:type="page" w:clear="all"/>
      </w:r>
      <w:r/>
    </w:p>
    <w:p>
      <w:pPr>
        <w:spacing w:line="300" w:lineRule="auto"/>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t xml:space="preserve">附件1</w:t>
      </w:r>
      <w:r>
        <w:rPr>
          <w:rFonts w:hint="eastAsia" w:eastAsia="方正黑体_GBK"/>
          <w:color w:val="000000" w:themeColor="text1"/>
          <w:sz w:val="32"/>
          <w:szCs w:val="32"/>
          <w:highlight w:val="none"/>
          <w:lang w:val="en-US" w:eastAsia="zh-CN"/>
          <w14:textFill>
            <w14:solidFill>
              <w14:schemeClr w14:val="tx1"/>
            </w14:solidFill>
          </w14:textFill>
        </w:rPr>
        <w:t xml:space="preserve">0</w:t>
      </w:r>
      <w:r/>
    </w:p>
    <w:p>
      <w:pPr>
        <w:jc w:val="center"/>
        <w:spacing w:line="420" w:lineRule="exact"/>
        <w:rPr>
          <w:b/>
          <w:bCs/>
          <w:color w:val="000000" w:themeColor="text1"/>
          <w:sz w:val="32"/>
          <w:szCs w:val="32"/>
          <w:highlight w:val="none"/>
          <w14:textFill>
            <w14:solidFill>
              <w14:schemeClr w14:val="tx1"/>
            </w14:solidFill>
          </w14:textFill>
        </w:rPr>
        <w:outlineLvl w:val="3"/>
      </w:pPr>
      <w:r>
        <w:rPr>
          <w:rFonts w:hint="eastAsia"/>
          <w:b/>
          <w:bCs/>
          <w:color w:val="000000" w:themeColor="text1"/>
          <w:sz w:val="32"/>
          <w:szCs w:val="32"/>
          <w:highlight w:val="none"/>
          <w14:textFill>
            <w14:solidFill>
              <w14:schemeClr w14:val="tx1"/>
            </w14:solidFill>
          </w14:textFill>
        </w:rPr>
        <w:t xml:space="preserve">监狱和戒毒企业证明材料</w:t>
      </w:r>
      <w:r/>
    </w:p>
    <w:p>
      <w:pPr>
        <w:ind w:firstLine="495"/>
        <w:spacing w:line="420" w:lineRule="exact"/>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498"/>
        <w:spacing w:line="420" w:lineRule="exact"/>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w:t>
      </w:r>
      <w:r>
        <w:rPr>
          <w:rFonts w:hint="eastAsia" w:ascii="宋体" w:hAnsi="宋体" w:cs="宋体"/>
          <w:b/>
          <w:color w:val="000000" w:themeColor="text1"/>
          <w:sz w:val="28"/>
          <w:szCs w:val="28"/>
          <w:highlight w:val="none"/>
          <w:lang w:val="en-US" w:eastAsia="zh-CN"/>
          <w14:textFill>
            <w14:solidFill>
              <w14:schemeClr w14:val="tx1"/>
            </w14:solidFill>
          </w14:textFill>
        </w:rPr>
        <w:t xml:space="preserve">如有，</w:t>
      </w:r>
      <w:r>
        <w:rPr>
          <w:rFonts w:hint="eastAsia" w:ascii="宋体" w:hAnsi="宋体" w:cs="宋体"/>
          <w:b/>
          <w:color w:val="000000" w:themeColor="text1"/>
          <w:sz w:val="28"/>
          <w:szCs w:val="28"/>
          <w:highlight w:val="none"/>
          <w14:textFill>
            <w14:solidFill>
              <w14:schemeClr w14:val="tx1"/>
            </w14:solidFill>
          </w14:textFill>
        </w:rPr>
        <w:t xml:space="preserve">格式自拟）</w:t>
      </w:r>
      <w:r/>
    </w:p>
    <w:p>
      <w:pPr>
        <w:ind w:firstLine="495"/>
        <w:spacing w:line="420" w:lineRule="exact"/>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ind w:firstLine="660"/>
        <w:spacing w:line="420" w:lineRule="exact"/>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注：1</w:t>
      </w:r>
      <w:r>
        <w:rPr>
          <w:rFonts w:hint="eastAsia"/>
          <w:color w:val="000000" w:themeColor="text1"/>
          <w:sz w:val="28"/>
          <w:szCs w:val="28"/>
          <w:highlight w:val="none"/>
          <w:lang w:val="en-US" w:eastAsia="zh-CN"/>
          <w14:textFill>
            <w14:solidFill>
              <w14:schemeClr w14:val="tx1"/>
            </w14:solidFill>
          </w14:textFill>
        </w:rPr>
        <w:t xml:space="preserve">.</w:t>
      </w:r>
      <w:r>
        <w:rPr>
          <w:rFonts w:hint="eastAsia" w:ascii="Times New Roman" w:hAnsi="Times New Roman"/>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2</w:t>
      </w:r>
      <w:r>
        <w:rPr>
          <w:rFonts w:hint="eastAsia"/>
          <w:color w:val="000000" w:themeColor="text1"/>
          <w:sz w:val="28"/>
          <w:szCs w:val="28"/>
          <w:highlight w:val="none"/>
          <w:lang w:val="en-US" w:eastAsia="zh-CN"/>
          <w14:textFill>
            <w14:solidFill>
              <w14:schemeClr w14:val="tx1"/>
            </w14:solidFill>
          </w14:textFill>
        </w:rPr>
        <w:t xml:space="preserve">.</w:t>
      </w:r>
      <w:r>
        <w:rPr>
          <w:rFonts w:hint="eastAsia" w:ascii="Times New Roman" w:hAnsi="Times New Roman"/>
          <w:color w:val="000000" w:themeColor="text1"/>
          <w:sz w:val="28"/>
          <w:szCs w:val="28"/>
          <w:highlight w:val="none"/>
          <w14:textFill>
            <w14:solidFill>
              <w14:schemeClr w14:val="tx1"/>
            </w14:solidFill>
          </w14:textFill>
        </w:rPr>
        <w:t xml:space="preserve">成交供应商为监狱企业的，此声明函将随成交结果同时公告，</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接受社会监督。供应商按照本办法规定提供声明函内容不实的，属于</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提供虚假材料谋取中标、成交，依照《中华人民共和国政府采购法》</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t xml:space="preserve">等国家有关规定追究相应责任。</w:t>
      </w:r>
      <w:r/>
    </w:p>
    <w:p>
      <w:pPr>
        <w:spacing w:line="300" w:lineRule="auto"/>
        <w:rPr>
          <w:rFonts w:hint="eastAsia" w:ascii="Times New Roman" w:hAnsi="Times New Roman"/>
          <w:color w:val="000000" w:themeColor="text1"/>
          <w:sz w:val="28"/>
          <w:szCs w:val="28"/>
          <w:highlight w:val="none"/>
          <w14:textFill>
            <w14:solidFill>
              <w14:schemeClr w14:val="tx1"/>
            </w14:solidFill>
          </w14:textFill>
        </w:rPr>
        <w:outlineLvl w:val="0"/>
      </w:pPr>
      <w:r>
        <w:rPr>
          <w:rFonts w:hint="eastAsia" w:ascii="Times New Roman" w:hAnsi="Times New Roman"/>
          <w:color w:val="000000" w:themeColor="text1"/>
          <w:sz w:val="28"/>
          <w:szCs w:val="28"/>
          <w:highlight w:val="none"/>
          <w14:textFill>
            <w14:solidFill>
              <w14:schemeClr w14:val="tx1"/>
            </w14:solidFill>
          </w14:textFill>
        </w:rPr>
      </w:r>
      <w:r/>
    </w:p>
    <w:p>
      <w:pPr>
        <w:rPr>
          <w:rFonts w:hint="eastAsia" w:ascii="华文新魏" w:hAnsi="宋体" w:eastAsia="华文新魏"/>
          <w:color w:val="000000" w:themeColor="text1"/>
          <w:sz w:val="36"/>
          <w:szCs w:val="36"/>
          <w:highlight w:val="none"/>
          <w14:textFill>
            <w14:solidFill>
              <w14:schemeClr w14:val="tx1"/>
            </w14:solidFill>
          </w14:textFill>
        </w:rPr>
      </w:pPr>
      <w:r>
        <w:rPr>
          <w:rFonts w:hint="eastAsia" w:ascii="华文新魏" w:hAnsi="宋体" w:eastAsia="华文新魏"/>
          <w:color w:val="000000" w:themeColor="text1"/>
          <w:sz w:val="36"/>
          <w:szCs w:val="36"/>
          <w:highlight w:val="none"/>
          <w14:textFill>
            <w14:solidFill>
              <w14:schemeClr w14:val="tx1"/>
            </w14:solidFill>
          </w14:textFill>
        </w:rPr>
        <w:br w:type="page" w:clear="all"/>
      </w:r>
      <w:r/>
    </w:p>
    <w:p>
      <w:pPr>
        <w:spacing w:line="300" w:lineRule="auto"/>
        <w:rPr>
          <w:rFonts w:hint="eastAsia" w:ascii="Times New Roman" w:hAnsi="Times New Roman" w:eastAsia="方正黑体_GBK"/>
          <w:color w:val="000000" w:themeColor="text1"/>
          <w:sz w:val="32"/>
          <w:szCs w:val="32"/>
          <w:highlight w:val="none"/>
          <w:lang w:eastAsia="zh-CN"/>
          <w14:textFill>
            <w14:solidFill>
              <w14:schemeClr w14:val="tx1"/>
            </w14:solidFill>
          </w14:textFill>
        </w:rPr>
        <w:outlineLvl w:val="0"/>
      </w:pPr>
      <w:r>
        <w:rPr>
          <w:rFonts w:ascii="Times New Roman" w:hAnsi="Times New Roman" w:eastAsia="方正黑体_GBK"/>
          <w:color w:val="000000" w:themeColor="text1"/>
          <w:sz w:val="32"/>
          <w:szCs w:val="32"/>
          <w:highlight w:val="none"/>
          <w14:textFill>
            <w14:solidFill>
              <w14:schemeClr w14:val="tx1"/>
            </w14:solidFill>
          </w14:textFill>
        </w:rPr>
        <w:t xml:space="preserve">附件1</w:t>
      </w:r>
      <w:r>
        <w:rPr>
          <w:rFonts w:hint="eastAsia" w:eastAsia="方正黑体_GBK"/>
          <w:color w:val="000000" w:themeColor="text1"/>
          <w:sz w:val="32"/>
          <w:szCs w:val="32"/>
          <w:highlight w:val="none"/>
          <w:lang w:val="en-US" w:eastAsia="zh-CN"/>
          <w14:textFill>
            <w14:solidFill>
              <w14:schemeClr w14:val="tx1"/>
            </w14:solidFill>
          </w14:textFill>
        </w:rPr>
        <w:t xml:space="preserve">1</w:t>
      </w:r>
      <w:r/>
    </w:p>
    <w:p>
      <w:pPr>
        <w:jc w:val="center"/>
        <w:spacing w:line="360" w:lineRule="auto"/>
        <w:rPr>
          <w:rStyle w:val="1078"/>
          <w:b/>
          <w:color w:val="auto"/>
          <w:sz w:val="32"/>
          <w:szCs w:val="32"/>
          <w:highlight w:val="none"/>
        </w:rPr>
      </w:pPr>
      <w:r>
        <w:rPr>
          <w:rStyle w:val="1078"/>
          <w:rFonts w:hint="eastAsia" w:ascii="宋体" w:hAnsi="宋体"/>
          <w:b/>
          <w:color w:val="auto"/>
          <w:sz w:val="32"/>
          <w:szCs w:val="32"/>
          <w:highlight w:val="none"/>
        </w:rPr>
        <w:t xml:space="preserve">承诺函</w:t>
      </w:r>
      <w:r/>
    </w:p>
    <w:p>
      <w:pPr>
        <w:spacing w:line="360" w:lineRule="auto"/>
        <w:rPr>
          <w:rStyle w:val="1078"/>
          <w:rFonts w:ascii="宋体" w:hAnsi="宋体"/>
          <w:color w:val="auto"/>
          <w:sz w:val="24"/>
          <w:highlight w:val="none"/>
          <w:u w:val="single"/>
        </w:rPr>
      </w:pPr>
      <w:r>
        <w:rPr>
          <w:rStyle w:val="1078"/>
          <w:rFonts w:hint="eastAsia" w:ascii="宋体" w:hAnsi="宋体"/>
          <w:color w:val="auto"/>
          <w:sz w:val="24"/>
          <w:highlight w:val="none"/>
          <w:u w:val="single"/>
        </w:rPr>
        <w:t xml:space="preserve">               （采购单位名称）：</w:t>
      </w:r>
      <w:r/>
    </w:p>
    <w:p>
      <w:pPr>
        <w:spacing w:line="360" w:lineRule="auto"/>
        <w:rPr>
          <w:rStyle w:val="1078"/>
          <w:rFonts w:ascii="宋体" w:hAnsi="宋体"/>
          <w:color w:val="auto"/>
          <w:sz w:val="24"/>
          <w:highlight w:val="none"/>
        </w:rPr>
      </w:pPr>
      <w:r>
        <w:rPr>
          <w:rFonts w:ascii="宋体" w:hAnsi="宋体"/>
          <w:color w:val="auto"/>
          <w:sz w:val="24"/>
          <w:highlight w:val="none"/>
        </w:rPr>
      </w:r>
      <w:r/>
    </w:p>
    <w:p>
      <w:pPr>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    本单位</w:t>
      </w:r>
      <w:r>
        <w:rPr>
          <w:rStyle w:val="1078"/>
          <w:rFonts w:hint="eastAsia" w:ascii="宋体" w:hAnsi="宋体"/>
          <w:color w:val="auto"/>
          <w:sz w:val="24"/>
          <w:highlight w:val="none"/>
          <w:u w:val="single"/>
        </w:rPr>
        <w:t xml:space="preserve">           （</w:t>
      </w:r>
      <w:r>
        <w:rPr>
          <w:rStyle w:val="1078"/>
          <w:rFonts w:hint="eastAsia" w:ascii="宋体" w:hAnsi="宋体"/>
          <w:color w:val="auto"/>
          <w:sz w:val="24"/>
          <w:highlight w:val="none"/>
        </w:rPr>
        <w:t xml:space="preserve">单位名称）参加 </w:t>
      </w:r>
      <w:r>
        <w:rPr>
          <w:rStyle w:val="1078"/>
          <w:rFonts w:hint="eastAsia" w:ascii="宋体" w:hAnsi="宋体"/>
          <w:color w:val="auto"/>
          <w:sz w:val="24"/>
          <w:highlight w:val="none"/>
          <w:u w:val="single"/>
        </w:rPr>
        <w:t xml:space="preserve">   （项目名称和项目编号）</w:t>
      </w:r>
      <w:r>
        <w:rPr>
          <w:rStyle w:val="1078"/>
          <w:rFonts w:hint="eastAsia" w:ascii="宋体" w:hAnsi="宋体"/>
          <w:color w:val="auto"/>
          <w:sz w:val="24"/>
          <w:highlight w:val="none"/>
        </w:rPr>
        <w:t xml:space="preserve">的政府采购活动，郑重承诺：</w:t>
      </w:r>
      <w:r/>
    </w:p>
    <w:p>
      <w:pPr>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    （一）我单位承诺拟派服务人员及管理人员的一切人身安全责任由我单位自行负责；</w:t>
      </w:r>
      <w:r/>
    </w:p>
    <w:p>
      <w:pPr>
        <w:ind w:firstLine="480"/>
        <w:jc w:val="left"/>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（二）我单位承诺采购人不承担我单位所派服务人员及管理人员的一切安全责任；</w:t>
      </w:r>
      <w:r/>
    </w:p>
    <w:p>
      <w:pPr>
        <w:ind w:firstLine="480"/>
        <w:jc w:val="left"/>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（三）</w:t>
      </w:r>
      <w:r>
        <w:rPr>
          <w:rFonts w:hint="eastAsia" w:ascii="宋体" w:hAnsi="宋体"/>
          <w:color w:val="auto"/>
          <w:sz w:val="24"/>
          <w:highlight w:val="none"/>
        </w:rPr>
        <w:t xml:space="preserve">我单位承诺在合同期内出现的一切意外（包括造成的采购人及其他第三方单位人身、建筑、设施、设备、材料、绿化等一切损坏）情况，均由本单位承担全部责任；</w:t>
      </w:r>
      <w:r/>
    </w:p>
    <w:p>
      <w:pPr>
        <w:ind w:firstLine="480"/>
        <w:jc w:val="left"/>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（四）我单位承诺如果服务过程中未按上述要求履行，我单位承担违约责任，双倍赔偿</w:t>
      </w:r>
      <w:r>
        <w:rPr>
          <w:rStyle w:val="1078"/>
          <w:rFonts w:hint="eastAsia" w:ascii="宋体" w:hAnsi="宋体"/>
          <w:color w:val="auto"/>
          <w:sz w:val="24"/>
          <w:highlight w:val="none"/>
          <w:lang w:eastAsia="zh-CN"/>
        </w:rPr>
        <w:t xml:space="preserve">采购人</w:t>
      </w:r>
      <w:r>
        <w:rPr>
          <w:rStyle w:val="1078"/>
          <w:rFonts w:hint="eastAsia" w:ascii="宋体" w:hAnsi="宋体"/>
          <w:color w:val="auto"/>
          <w:sz w:val="24"/>
          <w:highlight w:val="none"/>
        </w:rPr>
        <w:t xml:space="preserve">损失，</w:t>
      </w:r>
      <w:r>
        <w:rPr>
          <w:rStyle w:val="1078"/>
          <w:rFonts w:hint="eastAsia" w:ascii="宋体" w:hAnsi="宋体"/>
          <w:color w:val="auto"/>
          <w:sz w:val="24"/>
          <w:highlight w:val="none"/>
          <w:lang w:eastAsia="zh-CN"/>
        </w:rPr>
        <w:t xml:space="preserve">采购人</w:t>
      </w:r>
      <w:r>
        <w:rPr>
          <w:rStyle w:val="1078"/>
          <w:rFonts w:hint="eastAsia" w:ascii="宋体" w:hAnsi="宋体"/>
          <w:color w:val="auto"/>
          <w:sz w:val="24"/>
          <w:highlight w:val="none"/>
        </w:rPr>
        <w:t xml:space="preserve">可直接解除合同，并没收履约保证金；</w:t>
      </w:r>
      <w:r/>
    </w:p>
    <w:p>
      <w:pPr>
        <w:ind w:firstLine="480"/>
        <w:jc w:val="left"/>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（五）与本次参加磋商的其他供应商不存在“单位负责人为同一人或者存在直接控股、管理关系”的情形；</w:t>
      </w:r>
      <w:r/>
    </w:p>
    <w:p>
      <w:pPr>
        <w:ind w:firstLine="480"/>
        <w:jc w:val="left"/>
        <w:spacing w:line="360" w:lineRule="auto"/>
        <w:rPr>
          <w:rStyle w:val="1078"/>
          <w:rFonts w:ascii="宋体" w:hAnsi="宋体"/>
          <w:color w:val="auto"/>
          <w:sz w:val="24"/>
          <w:highlight w:val="none"/>
        </w:rPr>
      </w:pPr>
      <w:r>
        <w:rPr>
          <w:rFonts w:hint="eastAsia" w:ascii="宋体" w:hAnsi="宋体"/>
          <w:color w:val="auto"/>
          <w:sz w:val="24"/>
          <w:szCs w:val="24"/>
          <w:highlight w:val="none"/>
        </w:rPr>
        <w:t xml:space="preserve">（六）如违背上述承诺，本公司（单位）将承担一切法律责任。</w:t>
      </w:r>
      <w:r/>
    </w:p>
    <w:p>
      <w:pPr>
        <w:spacing w:line="360" w:lineRule="auto"/>
        <w:rPr>
          <w:rStyle w:val="1078"/>
          <w:rFonts w:ascii="宋体" w:hAnsi="宋体"/>
          <w:color w:val="auto"/>
          <w:sz w:val="24"/>
          <w:highlight w:val="none"/>
        </w:rPr>
      </w:pPr>
      <w:r>
        <w:rPr>
          <w:rFonts w:ascii="宋体" w:hAnsi="宋体"/>
          <w:color w:val="auto"/>
          <w:sz w:val="24"/>
          <w:highlight w:val="none"/>
        </w:rPr>
      </w:r>
      <w:r/>
    </w:p>
    <w:p>
      <w:pPr>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    本单位对上述承诺的真实性负责。如有虚假，将依法承担相应责任。同时我们同意如贵方要求，可以出示相关证明文件。</w:t>
      </w:r>
      <w:r/>
    </w:p>
    <w:p>
      <w:pPr>
        <w:spacing w:line="360" w:lineRule="auto"/>
        <w:rPr>
          <w:rStyle w:val="1078"/>
          <w:rFonts w:ascii="宋体" w:hAnsi="宋体"/>
          <w:color w:val="auto"/>
          <w:sz w:val="24"/>
          <w:highlight w:val="none"/>
        </w:rPr>
      </w:pPr>
      <w:r>
        <w:rPr>
          <w:rFonts w:ascii="宋体" w:hAnsi="宋体"/>
          <w:color w:val="auto"/>
          <w:sz w:val="24"/>
          <w:highlight w:val="none"/>
        </w:rPr>
      </w:r>
      <w:r/>
    </w:p>
    <w:p>
      <w:pPr>
        <w:spacing w:line="360" w:lineRule="auto"/>
        <w:rPr>
          <w:rStyle w:val="1078"/>
          <w:rFonts w:ascii="宋体" w:hAnsi="宋体"/>
          <w:color w:val="auto"/>
          <w:sz w:val="24"/>
          <w:highlight w:val="none"/>
        </w:rPr>
      </w:pPr>
      <w:r>
        <w:rPr>
          <w:rFonts w:ascii="宋体" w:hAnsi="宋体"/>
          <w:color w:val="auto"/>
          <w:sz w:val="24"/>
          <w:highlight w:val="none"/>
        </w:rPr>
      </w:r>
      <w:r/>
    </w:p>
    <w:p>
      <w:pPr>
        <w:jc w:val="right"/>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供应商名称：（盖单位章）</w:t>
      </w:r>
      <w:r/>
    </w:p>
    <w:p>
      <w:pPr>
        <w:jc w:val="right"/>
        <w:spacing w:line="360" w:lineRule="auto"/>
        <w:rPr>
          <w:rStyle w:val="1078"/>
          <w:rFonts w:ascii="宋体" w:hAnsi="宋体"/>
          <w:color w:val="auto"/>
          <w:sz w:val="24"/>
          <w:highlight w:val="none"/>
        </w:rPr>
      </w:pPr>
      <w:r>
        <w:rPr>
          <w:rFonts w:ascii="宋体" w:hAnsi="宋体"/>
          <w:color w:val="auto"/>
          <w:sz w:val="24"/>
          <w:highlight w:val="none"/>
        </w:rPr>
      </w:r>
      <w:r/>
    </w:p>
    <w:p>
      <w:pPr>
        <w:jc w:val="right"/>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　法定代表人或授权委托人：（签字或盖章）</w:t>
      </w:r>
      <w:r/>
    </w:p>
    <w:p>
      <w:pPr>
        <w:ind w:right="480" w:firstLine="4440"/>
        <w:spacing w:line="360" w:lineRule="auto"/>
        <w:rPr>
          <w:rStyle w:val="1078"/>
          <w:rFonts w:ascii="宋体" w:hAnsi="宋体"/>
          <w:color w:val="auto"/>
          <w:sz w:val="24"/>
          <w:highlight w:val="none"/>
        </w:rPr>
      </w:pPr>
      <w:r>
        <w:rPr>
          <w:rStyle w:val="1078"/>
          <w:rFonts w:hint="eastAsia" w:ascii="宋体" w:hAnsi="宋体"/>
          <w:color w:val="auto"/>
          <w:sz w:val="24"/>
          <w:highlight w:val="none"/>
        </w:rPr>
        <w:t xml:space="preserve">日  期：</w:t>
      </w:r>
      <w:r/>
    </w:p>
    <w:p>
      <w:pPr>
        <w:pStyle w:val="755"/>
        <w:rPr>
          <w:rFonts w:hint="eastAsia"/>
        </w:rPr>
      </w:pPr>
      <w:r>
        <w:rPr>
          <w:rFonts w:hint="eastAsia"/>
        </w:rPr>
      </w:r>
      <w:bookmarkEnd w:id="171"/>
      <w:r/>
      <w:bookmarkEnd w:id="172"/>
      <w:r/>
      <w:bookmarkEnd w:id="184"/>
      <w:r/>
      <w:r/>
    </w:p>
    <w:p>
      <w:pPr>
        <w:rPr>
          <w:rFonts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r/>
    </w:p>
    <w:p>
      <w:pPr>
        <w:pStyle w:val="755"/>
      </w:pPr>
      <w:r>
        <w:rPr>
          <w:rFonts w:ascii="Times New Roman" w:hAnsi="Times New Roman" w:eastAsia="方正黑体_GBK"/>
          <w:color w:val="000000" w:themeColor="text1"/>
          <w:sz w:val="32"/>
          <w:szCs w:val="32"/>
          <w:highlight w:val="none"/>
          <w14:textFill>
            <w14:solidFill>
              <w14:schemeClr w14:val="tx1"/>
            </w14:solidFill>
          </w14:textFill>
        </w:rPr>
        <w:t xml:space="preserve">附件1</w:t>
      </w:r>
      <w:r>
        <w:rPr>
          <w:rFonts w:hint="eastAsia" w:eastAsia="方正黑体_GBK"/>
          <w:color w:val="000000" w:themeColor="text1"/>
          <w:sz w:val="32"/>
          <w:szCs w:val="32"/>
          <w:highlight w:val="none"/>
          <w:lang w:val="en-US" w:eastAsia="zh-CN"/>
          <w14:textFill>
            <w14:solidFill>
              <w14:schemeClr w14:val="tx1"/>
            </w14:solidFill>
          </w14:textFill>
        </w:rPr>
        <w:t xml:space="preserve">2</w:t>
      </w:r>
      <w:r/>
    </w:p>
    <w:p>
      <w:pPr>
        <w:pStyle w:val="770"/>
        <w:ind w:left="0" w:right="0" w:firstLine="0"/>
        <w:jc w:val="center"/>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30"/>
          <w:szCs w:val="30"/>
        </w:rPr>
        <w:pBdr>
          <w:top w:val="none" w:color="auto" w:sz="0" w:space="0"/>
          <w:left w:val="none" w:color="auto" w:sz="0" w:space="0"/>
          <w:bottom w:val="none" w:color="auto" w:sz="0" w:space="0"/>
          <w:right w:val="none" w:color="auto" w:sz="0" w:space="0"/>
        </w:pBdr>
        <w:suppressLineNumbers w:val="0"/>
      </w:pPr>
      <w:r>
        <w:rPr>
          <w:rStyle w:val="773"/>
          <w:rFonts w:hint="eastAsia" w:ascii="宋体" w:hAnsi="宋体" w:eastAsia="宋体" w:cs="宋体"/>
          <w:i w:val="0"/>
          <w:iCs w:val="0"/>
          <w:caps w:val="0"/>
          <w:color w:val="333333"/>
          <w:spacing w:val="0"/>
          <w:sz w:val="30"/>
          <w:szCs w:val="30"/>
          <w:shd w:val="clear" w:color="auto" w:fill="ffffff"/>
        </w:rPr>
        <w:t xml:space="preserve">关于符合本国产品标准的声明函</w:t>
      </w:r>
      <w:r/>
    </w:p>
    <w:p>
      <w:pPr>
        <w:pStyle w:val="770"/>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2"/>
          <w:szCs w:val="12"/>
        </w:rPr>
      </w:r>
      <w:r/>
    </w:p>
    <w:p>
      <w:pPr>
        <w:pStyle w:val="770"/>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0"/>
        <w:numPr>
          <w:ilvl w:val="0"/>
          <w:numId w:val="6"/>
        </w:numPr>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775"/>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775"/>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7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75"/>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7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p>
    <w:p>
      <w:pPr>
        <w:pStyle w:val="770"/>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770"/>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70"/>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770"/>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年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  月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 日         </w:t>
      </w:r>
      <w:r/>
    </w:p>
    <w:p>
      <w:pPr>
        <w:pStyle w:val="770"/>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770"/>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p>
    <w:p>
      <w:pPr>
        <w:pStyle w:val="77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p>
    <w:p>
      <w:pPr>
        <w:pStyle w:val="77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p>
    <w:p>
      <w:pPr>
        <w:pStyle w:val="77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77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p>
    <w:p>
      <w:pPr>
        <w:pStyle w:val="770"/>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p>
    <w:p>
      <w:pPr>
        <w:pStyle w:val="770"/>
        <w:ind w:right="0"/>
        <w:keepLines w:val="0"/>
        <w:keepNext w:val="0"/>
        <w:pageBreakBefore w:val="0"/>
        <w:spacing w:before="30" w:beforeAutospacing="0" w:after="30" w:afterAutospacing="0" w:line="360" w:lineRule="auto"/>
        <w:shd w:val="clear" w:color="auto" w:fill="auto"/>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75"/>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p>
    <w:p>
      <w:r/>
      <w:r/>
    </w:p>
    <w:sectPr>
      <w:headerReference w:type="default" r:id="rId10"/>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FangSong">
    <w:panose1 w:val="02010609060101010101"/>
  </w:font>
  <w:font w:name="Showcard Gothic">
    <w:panose1 w:val="040209040201020206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789"/>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tabs>
        <w:tab w:val="center" w:pos="4153" w:leader="none"/>
        <w:tab w:val="right" w:pos="8306" w:leader="none"/>
      </w:tabs>
      <w:rPr>
        <w:rStyle w:val="805"/>
      </w:rPr>
      <w:framePr w:wrap="around" w:vAnchor="text" w:hAnchor="margin" w:xAlign="center" w:y="1"/>
    </w:pPr>
    <w:r>
      <w:fldChar w:fldCharType="begin"/>
    </w:r>
    <w:r>
      <w:rPr>
        <w:rStyle w:val="805"/>
      </w:rPr>
      <w:instrText xml:space="preserve">PAGE  </w:instrText>
    </w:r>
    <w:r>
      <w:fldChar w:fldCharType="separate"/>
    </w:r>
    <w:r>
      <w:rPr>
        <w:rStyle w:val="805"/>
      </w:rPr>
      <w:t xml:space="preserve">1</w:t>
    </w:r>
    <w:r>
      <w:fldChar w:fldCharType="end"/>
    </w:r>
    <w:r/>
  </w:p>
  <w:p>
    <w:pPr>
      <w:pStyle w:val="78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pPr>
    <w:r>
      <w:fldChar w:fldCharType="begin"/>
    </w:r>
    <w:r>
      <w:instrText xml:space="preserve"> PAGE   \* MERGEFORMAT </w:instrText>
    </w:r>
    <w:r>
      <w:fldChar w:fldCharType="separate"/>
    </w:r>
    <w:r>
      <w:rPr>
        <w:rFonts w:hint="eastAsia"/>
        <w:lang w:val="zh-CN"/>
      </w:rPr>
      <w:t xml:space="preserve">５</w:t>
    </w:r>
    <w:r>
      <w:fldChar w:fldCharType="end"/>
    </w:r>
    <w:r/>
  </w:p>
  <w:p>
    <w:pPr>
      <w:pStyle w:val="829"/>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1</w:t>
    </w:r>
    <w:r>
      <w:fldChar w:fldCharType="end"/>
    </w:r>
    <w:r/>
  </w:p>
  <w:p>
    <w:pPr>
      <w:pStyle w:val="8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9"/>
      <w:isLgl w:val="false"/>
      <w:suff w:val="nothing"/>
      <w:lvlText w:val=""/>
      <w:lvlJc w:val="left"/>
      <w:pPr>
        <w:ind w:left="0" w:firstLine="0"/>
      </w:pPr>
      <w:rPr>
        <w:rFonts w:hint="eastAsia"/>
      </w:rPr>
    </w:lvl>
    <w:lvl w:ilvl="6">
      <w:start w:val="1"/>
      <w:numFmt w:val="decimal"/>
      <w:pStyle w:val="847"/>
      <w:isLgl w:val="false"/>
      <w:suff w:val="nothing"/>
      <w:lvlText w:val=""/>
      <w:lvlJc w:val="left"/>
      <w:pPr>
        <w:ind w:left="0" w:firstLine="0"/>
      </w:pPr>
      <w:rPr>
        <w:rFonts w:hint="eastAsia"/>
      </w:rPr>
    </w:lvl>
    <w:lvl w:ilvl="7">
      <w:start w:val="1"/>
      <w:numFmt w:val="decimal"/>
      <w:pStyle w:val="845"/>
      <w:isLgl w:val="false"/>
      <w:suff w:val="nothing"/>
      <w:lvlText w:val=""/>
      <w:lvlJc w:val="left"/>
      <w:pPr>
        <w:ind w:left="0" w:firstLine="0"/>
      </w:pPr>
      <w:rPr>
        <w:rFonts w:hint="eastAsia"/>
      </w:rPr>
    </w:lvl>
    <w:lvl w:ilvl="8">
      <w:start w:val="1"/>
      <w:numFmt w:val="decimal"/>
      <w:pStyle w:val="843"/>
      <w:isLgl w:val="false"/>
      <w:suff w:val="nothing"/>
      <w:lvlText w:val=""/>
      <w:lvlJc w:val="left"/>
      <w:pPr>
        <w:ind w:left="0" w:firstLine="0"/>
      </w:pPr>
      <w:rPr>
        <w:rFonts w:hint="eastAsia"/>
      </w:rPr>
    </w:lvl>
  </w:abstractNum>
  <w:abstractNum w:abstractNumId="3">
    <w:multiLevelType w:val="hybridMultilevel"/>
    <w:lvl w:ilvl="0">
      <w:start w:val="1"/>
      <w:numFmt w:val="upperLetter"/>
      <w:pStyle w:val="8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91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884"/>
    <w:uiPriority w:val="0"/>
    <w:qFormat/>
    <w:rPr>
      <w:rFonts w:hint="default" w:ascii="Times New Roman" w:hAnsi="Times New Roman" w:eastAsia="宋体" w:cs="Times New Roman"/>
      <w:sz w:val="24"/>
      <w:szCs w:val="24"/>
    </w:rPr>
  </w:style>
  <w:style w:type="paragraph" w:styleId="739">
    <w:name w:val="Heading 1"/>
    <w:basedOn w:val="738"/>
    <w:next w:val="738"/>
    <w:link w:val="877"/>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865"/>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71"/>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64"/>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82"/>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89"/>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66"/>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63"/>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83"/>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Note Heading"/>
    <w:basedOn w:val="738"/>
    <w:next w:val="738"/>
    <w:uiPriority w:val="99"/>
    <w:semiHidden/>
    <w:unhideWhenUsed/>
    <w:qFormat/>
    <w:pPr>
      <w:ind w:firstLine="480"/>
      <w:jc w:val="center"/>
      <w:spacing w:line="360" w:lineRule="auto"/>
    </w:pPr>
    <w:rPr>
      <w:szCs w:val="24"/>
      <w:lang w:val="zh-CN"/>
    </w:rPr>
  </w:style>
  <w:style w:type="paragraph" w:styleId="752">
    <w:name w:val="Normal Indent"/>
    <w:basedOn w:val="738"/>
    <w:next w:val="738"/>
    <w:uiPriority w:val="0"/>
    <w:qFormat/>
    <w:pPr>
      <w:ind w:firstLine="420"/>
    </w:pPr>
    <w:rPr>
      <w:rFonts w:ascii="Times New Roman"/>
    </w:rPr>
  </w:style>
  <w:style w:type="paragraph" w:styleId="753">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annotation text"/>
    <w:basedOn w:val="738"/>
    <w:uiPriority w:val="99"/>
    <w:semiHidden/>
    <w:unhideWhenUsed/>
    <w:qFormat/>
    <w:pPr>
      <w:jc w:val="left"/>
    </w:pPr>
  </w:style>
  <w:style w:type="paragraph" w:styleId="755">
    <w:name w:val="Body Text"/>
    <w:basedOn w:val="738"/>
    <w:next w:val="738"/>
    <w:uiPriority w:val="0"/>
    <w:semiHidden/>
    <w:unhideWhenUsed/>
    <w:qFormat/>
    <w:rPr>
      <w:rFonts w:ascii="楷体_GB2312" w:hAnsi="Arial" w:eastAsia="楷体_GB2312"/>
      <w:sz w:val="28"/>
      <w:szCs w:val="20"/>
    </w:rPr>
  </w:style>
  <w:style w:type="paragraph" w:styleId="756">
    <w:name w:val="toc 5"/>
    <w:basedOn w:val="738"/>
    <w:next w:val="738"/>
    <w:uiPriority w:val="39"/>
    <w:unhideWhenUsed/>
    <w:qFormat/>
    <w:pPr>
      <w:ind w:left="1134" w:right="0" w:firstLine="0"/>
      <w:spacing w:after="57"/>
    </w:pPr>
  </w:style>
  <w:style w:type="paragraph" w:styleId="757">
    <w:name w:val="toc 3"/>
    <w:basedOn w:val="738"/>
    <w:next w:val="738"/>
    <w:uiPriority w:val="39"/>
    <w:unhideWhenUsed/>
    <w:qFormat/>
    <w:pPr>
      <w:ind w:left="567" w:right="0" w:firstLine="0"/>
      <w:spacing w:after="57"/>
    </w:pPr>
  </w:style>
  <w:style w:type="paragraph" w:styleId="758">
    <w:name w:val="toc 8"/>
    <w:basedOn w:val="738"/>
    <w:next w:val="738"/>
    <w:uiPriority w:val="39"/>
    <w:unhideWhenUsed/>
    <w:qFormat/>
    <w:pPr>
      <w:ind w:left="1984" w:right="0" w:firstLine="0"/>
      <w:spacing w:after="57"/>
    </w:pPr>
  </w:style>
  <w:style w:type="paragraph" w:styleId="759">
    <w:name w:val="endnote text"/>
    <w:basedOn w:val="738"/>
    <w:uiPriority w:val="99"/>
    <w:semiHidden/>
    <w:unhideWhenUsed/>
    <w:qFormat/>
    <w:pPr>
      <w:spacing w:after="0" w:line="240" w:lineRule="auto"/>
    </w:pPr>
    <w:rPr>
      <w:sz w:val="20"/>
    </w:rPr>
  </w:style>
  <w:style w:type="paragraph" w:styleId="760">
    <w:name w:val="Footer"/>
    <w:basedOn w:val="738"/>
    <w:uiPriority w:val="99"/>
    <w:unhideWhenUsed/>
    <w:qFormat/>
    <w:pPr>
      <w:spacing w:after="0" w:line="240" w:lineRule="auto"/>
      <w:tabs>
        <w:tab w:val="center" w:pos="7143" w:leader="none"/>
        <w:tab w:val="right" w:pos="14287" w:leader="none"/>
      </w:tabs>
    </w:pPr>
  </w:style>
  <w:style w:type="paragraph" w:styleId="761">
    <w:name w:val="Header"/>
    <w:basedOn w:val="738"/>
    <w:uiPriority w:val="99"/>
    <w:unhideWhenUsed/>
    <w:qFormat/>
    <w:pPr>
      <w:spacing w:after="0" w:line="240" w:lineRule="auto"/>
      <w:tabs>
        <w:tab w:val="center" w:pos="7143" w:leader="none"/>
        <w:tab w:val="right" w:pos="14287" w:leader="none"/>
      </w:tabs>
    </w:pPr>
  </w:style>
  <w:style w:type="paragraph" w:styleId="762">
    <w:name w:val="toc 1"/>
    <w:basedOn w:val="738"/>
    <w:next w:val="738"/>
    <w:uiPriority w:val="39"/>
    <w:unhideWhenUsed/>
    <w:qFormat/>
    <w:pPr>
      <w:ind w:left="0" w:right="0" w:firstLine="0"/>
      <w:spacing w:after="57"/>
    </w:pPr>
  </w:style>
  <w:style w:type="paragraph" w:styleId="763">
    <w:name w:val="toc 4"/>
    <w:basedOn w:val="738"/>
    <w:next w:val="738"/>
    <w:uiPriority w:val="39"/>
    <w:unhideWhenUsed/>
    <w:qFormat/>
    <w:pPr>
      <w:ind w:left="850" w:right="0" w:firstLine="0"/>
      <w:spacing w:after="57"/>
    </w:pPr>
  </w:style>
  <w:style w:type="paragraph" w:styleId="764">
    <w:name w:val="Subtitle"/>
    <w:basedOn w:val="738"/>
    <w:next w:val="738"/>
    <w:uiPriority w:val="11"/>
    <w:qFormat/>
    <w:pPr>
      <w:spacing w:before="200" w:after="200"/>
    </w:pPr>
    <w:rPr>
      <w:sz w:val="24"/>
      <w:szCs w:val="24"/>
    </w:rPr>
  </w:style>
  <w:style w:type="paragraph" w:styleId="765">
    <w:name w:val="footnote text"/>
    <w:basedOn w:val="738"/>
    <w:uiPriority w:val="99"/>
    <w:semiHidden/>
    <w:unhideWhenUsed/>
    <w:qFormat/>
    <w:pPr>
      <w:spacing w:after="40" w:line="240" w:lineRule="auto"/>
    </w:pPr>
    <w:rPr>
      <w:sz w:val="18"/>
    </w:rPr>
  </w:style>
  <w:style w:type="paragraph" w:styleId="766">
    <w:name w:val="toc 6"/>
    <w:basedOn w:val="738"/>
    <w:next w:val="738"/>
    <w:uiPriority w:val="39"/>
    <w:unhideWhenUsed/>
    <w:qFormat/>
    <w:pPr>
      <w:ind w:left="1417" w:right="0" w:firstLine="0"/>
      <w:spacing w:after="57"/>
    </w:pPr>
  </w:style>
  <w:style w:type="paragraph" w:styleId="767">
    <w:name w:val="table of figures"/>
    <w:basedOn w:val="738"/>
    <w:next w:val="738"/>
    <w:uiPriority w:val="99"/>
    <w:unhideWhenUsed/>
    <w:qFormat/>
    <w:pPr>
      <w:spacing w:after="0" w:afterAutospacing="0"/>
    </w:pPr>
  </w:style>
  <w:style w:type="paragraph" w:styleId="768">
    <w:name w:val="toc 2"/>
    <w:basedOn w:val="738"/>
    <w:next w:val="738"/>
    <w:uiPriority w:val="39"/>
    <w:unhideWhenUsed/>
    <w:qFormat/>
    <w:pPr>
      <w:ind w:left="283" w:right="0" w:firstLine="0"/>
      <w:spacing w:after="57"/>
    </w:pPr>
  </w:style>
  <w:style w:type="paragraph" w:styleId="769">
    <w:name w:val="toc 9"/>
    <w:basedOn w:val="738"/>
    <w:next w:val="738"/>
    <w:uiPriority w:val="39"/>
    <w:unhideWhenUsed/>
    <w:qFormat/>
    <w:pPr>
      <w:ind w:left="2268" w:right="0" w:firstLine="0"/>
      <w:spacing w:after="57"/>
    </w:pPr>
  </w:style>
  <w:style w:type="paragraph" w:styleId="770">
    <w:name w:val="Normal (Web)"/>
    <w:basedOn w:val="738"/>
    <w:uiPriority w:val="0"/>
    <w:qFormat/>
    <w:pPr>
      <w:ind w:left="0" w:right="0"/>
      <w:jc w:val="left"/>
      <w:spacing w:before="0" w:beforeAutospacing="1" w:after="0" w:afterAutospacing="1"/>
    </w:pPr>
    <w:rPr>
      <w:sz w:val="24"/>
      <w:lang w:val="en-US" w:eastAsia="zh-CN" w:bidi="ar"/>
    </w:rPr>
  </w:style>
  <w:style w:type="paragraph" w:styleId="771">
    <w:name w:val="Title"/>
    <w:basedOn w:val="738"/>
    <w:next w:val="738"/>
    <w:uiPriority w:val="10"/>
    <w:qFormat/>
    <w:pPr>
      <w:contextualSpacing/>
      <w:spacing w:before="300" w:after="200"/>
    </w:pPr>
    <w:rPr>
      <w:sz w:val="48"/>
      <w:szCs w:val="48"/>
    </w:rPr>
  </w:style>
  <w:style w:type="table" w:styleId="77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48"/>
    <w:uiPriority w:val="0"/>
    <w:qFormat/>
    <w:rPr>
      <w:rFonts w:hint="default" w:ascii="Times New Roman" w:hAnsi="Times New Roman" w:eastAsia="宋体" w:cs="Times New Roman"/>
      <w:b/>
      <w:bCs/>
    </w:rPr>
  </w:style>
  <w:style w:type="character" w:styleId="774">
    <w:name w:val="endnote reference"/>
    <w:uiPriority w:val="99"/>
    <w:semiHidden/>
    <w:unhideWhenUsed/>
    <w:qFormat/>
    <w:rPr>
      <w:vertAlign w:val="superscript"/>
    </w:rPr>
  </w:style>
  <w:style w:type="character" w:styleId="775">
    <w:name w:val="Emphasis"/>
    <w:basedOn w:val="748"/>
    <w:uiPriority w:val="0"/>
    <w:qFormat/>
    <w:rPr>
      <w:i/>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_Style 1"/>
    <w:basedOn w:val="738"/>
    <w:uiPriority w:val="34"/>
    <w:qFormat/>
    <w:pPr>
      <w:ind w:firstLine="420"/>
    </w:pPr>
  </w:style>
  <w:style w:type="paragraph" w:styleId="779" w:customStyle="1">
    <w:name w:val="标题 111"/>
    <w:basedOn w:val="738"/>
    <w:next w:val="738"/>
    <w:uiPriority w:val="0"/>
    <w:qFormat/>
    <w:pPr>
      <w:jc w:val="center"/>
      <w:keepNext/>
      <w:outlineLvl w:val="0"/>
    </w:pPr>
    <w:rPr>
      <w:rFonts w:ascii="楷体_GB2312" w:eastAsia="楷体_GB2312"/>
      <w:position w:val="0"/>
      <w:sz w:val="28"/>
      <w:szCs w:val="28"/>
    </w:rPr>
  </w:style>
  <w:style w:type="character" w:styleId="780" w:customStyle="1">
    <w:name w:val="默认段落字体11"/>
    <w:link w:val="738"/>
    <w:uiPriority w:val="1"/>
    <w:unhideWhenUsed/>
    <w:qFormat/>
  </w:style>
  <w:style w:type="table" w:styleId="781" w:customStyle="1">
    <w:name w:val="普通表格11"/>
    <w:uiPriority w:val="99"/>
    <w:unhideWhenUsed/>
    <w:qFormat/>
    <w:tblPr/>
  </w:style>
  <w:style w:type="paragraph" w:styleId="782" w:customStyle="1">
    <w:name w:val="目录 711"/>
    <w:basedOn w:val="738"/>
    <w:next w:val="738"/>
    <w:uiPriority w:val="39"/>
    <w:unhideWhenUsed/>
    <w:qFormat/>
    <w:pPr>
      <w:ind w:left="1701" w:right="0" w:firstLine="0"/>
      <w:spacing w:after="57"/>
    </w:pPr>
  </w:style>
  <w:style w:type="paragraph" w:styleId="783" w:customStyle="1">
    <w:name w:val="正文文本111"/>
    <w:basedOn w:val="738"/>
    <w:uiPriority w:val="0"/>
    <w:qFormat/>
    <w:rPr>
      <w:rFonts w:ascii="楷体_GB2312" w:hAnsi="Arial"/>
      <w:sz w:val="28"/>
    </w:rPr>
  </w:style>
  <w:style w:type="paragraph" w:styleId="784" w:customStyle="1">
    <w:name w:val="目录 511"/>
    <w:basedOn w:val="738"/>
    <w:next w:val="738"/>
    <w:uiPriority w:val="39"/>
    <w:unhideWhenUsed/>
    <w:qFormat/>
    <w:pPr>
      <w:ind w:left="1134" w:right="0" w:firstLine="0"/>
      <w:spacing w:after="57"/>
    </w:pPr>
  </w:style>
  <w:style w:type="paragraph" w:styleId="785" w:customStyle="1">
    <w:name w:val="目录 311"/>
    <w:basedOn w:val="738"/>
    <w:next w:val="738"/>
    <w:uiPriority w:val="39"/>
    <w:unhideWhenUsed/>
    <w:qFormat/>
    <w:pPr>
      <w:ind w:left="567" w:right="0" w:firstLine="0"/>
      <w:spacing w:after="57"/>
    </w:pPr>
  </w:style>
  <w:style w:type="paragraph" w:styleId="786" w:customStyle="1">
    <w:name w:val="目录 811"/>
    <w:basedOn w:val="738"/>
    <w:next w:val="738"/>
    <w:uiPriority w:val="39"/>
    <w:unhideWhenUsed/>
    <w:qFormat/>
    <w:pPr>
      <w:ind w:left="1984" w:right="0" w:firstLine="0"/>
      <w:spacing w:after="57"/>
    </w:pPr>
  </w:style>
  <w:style w:type="paragraph" w:styleId="787" w:customStyle="1">
    <w:name w:val="尾注文本1"/>
    <w:basedOn w:val="738"/>
    <w:link w:val="788"/>
    <w:uiPriority w:val="99"/>
    <w:unhideWhenUsed/>
    <w:qFormat/>
    <w:pPr>
      <w:spacing w:after="0" w:line="240" w:lineRule="auto"/>
    </w:pPr>
    <w:rPr>
      <w:sz w:val="20"/>
    </w:rPr>
  </w:style>
  <w:style w:type="character" w:styleId="788" w:customStyle="1">
    <w:name w:val="Endnote Text Char"/>
    <w:link w:val="787"/>
    <w:uiPriority w:val="99"/>
    <w:qFormat/>
    <w:rPr>
      <w:sz w:val="20"/>
    </w:rPr>
  </w:style>
  <w:style w:type="paragraph" w:styleId="789" w:customStyle="1">
    <w:name w:val="页脚11"/>
    <w:basedOn w:val="738"/>
    <w:uiPriority w:val="99"/>
    <w:unhideWhenUsed/>
    <w:qFormat/>
    <w:pPr>
      <w:tabs>
        <w:tab w:val="center" w:pos="7143" w:leader="none"/>
        <w:tab w:val="right" w:pos="14287" w:leader="none"/>
      </w:tabs>
    </w:pPr>
  </w:style>
  <w:style w:type="paragraph" w:styleId="790" w:customStyle="1">
    <w:name w:val="页眉11"/>
    <w:basedOn w:val="738"/>
    <w:uiPriority w:val="0"/>
    <w:qFormat/>
    <w:pPr>
      <w:jc w:val="center"/>
      <w:tabs>
        <w:tab w:val="center" w:pos="4153" w:leader="none"/>
        <w:tab w:val="right" w:pos="8306" w:leader="none"/>
      </w:tabs>
    </w:pPr>
    <w:rPr>
      <w:sz w:val="18"/>
      <w:szCs w:val="18"/>
    </w:rPr>
  </w:style>
  <w:style w:type="paragraph" w:styleId="791" w:customStyle="1">
    <w:name w:val="目录 111"/>
    <w:basedOn w:val="738"/>
    <w:next w:val="738"/>
    <w:uiPriority w:val="39"/>
    <w:unhideWhenUsed/>
    <w:qFormat/>
    <w:pPr>
      <w:ind w:left="0" w:right="0" w:firstLine="0"/>
      <w:spacing w:after="57"/>
    </w:pPr>
  </w:style>
  <w:style w:type="paragraph" w:styleId="792" w:customStyle="1">
    <w:name w:val="目录 411"/>
    <w:basedOn w:val="738"/>
    <w:next w:val="738"/>
    <w:uiPriority w:val="39"/>
    <w:unhideWhenUsed/>
    <w:qFormat/>
    <w:pPr>
      <w:ind w:left="850" w:right="0" w:firstLine="0"/>
      <w:spacing w:after="57"/>
    </w:pPr>
  </w:style>
  <w:style w:type="paragraph" w:styleId="793" w:customStyle="1">
    <w:name w:val="副标题1"/>
    <w:basedOn w:val="738"/>
    <w:next w:val="738"/>
    <w:link w:val="794"/>
    <w:uiPriority w:val="11"/>
    <w:qFormat/>
    <w:pPr>
      <w:spacing w:before="200" w:after="200"/>
    </w:pPr>
    <w:rPr>
      <w:sz w:val="24"/>
      <w:szCs w:val="24"/>
    </w:rPr>
  </w:style>
  <w:style w:type="character" w:styleId="794" w:customStyle="1">
    <w:name w:val="Subtitle Char"/>
    <w:link w:val="793"/>
    <w:uiPriority w:val="11"/>
    <w:qFormat/>
    <w:rPr>
      <w:sz w:val="24"/>
      <w:szCs w:val="24"/>
    </w:rPr>
  </w:style>
  <w:style w:type="paragraph" w:styleId="795" w:customStyle="1">
    <w:name w:val="脚注文本1"/>
    <w:basedOn w:val="738"/>
    <w:link w:val="796"/>
    <w:uiPriority w:val="99"/>
    <w:unhideWhenUsed/>
    <w:qFormat/>
    <w:pPr>
      <w:spacing w:after="40" w:line="240" w:lineRule="auto"/>
    </w:pPr>
    <w:rPr>
      <w:sz w:val="18"/>
    </w:rPr>
  </w:style>
  <w:style w:type="character" w:styleId="796" w:customStyle="1">
    <w:name w:val="Footnote Text Char"/>
    <w:link w:val="795"/>
    <w:uiPriority w:val="99"/>
    <w:qFormat/>
    <w:rPr>
      <w:sz w:val="18"/>
    </w:rPr>
  </w:style>
  <w:style w:type="paragraph" w:styleId="797" w:customStyle="1">
    <w:name w:val="目录 611"/>
    <w:basedOn w:val="738"/>
    <w:next w:val="738"/>
    <w:uiPriority w:val="39"/>
    <w:unhideWhenUsed/>
    <w:qFormat/>
    <w:pPr>
      <w:ind w:left="1417" w:right="0" w:firstLine="0"/>
      <w:spacing w:after="57"/>
    </w:pPr>
  </w:style>
  <w:style w:type="paragraph" w:styleId="798" w:customStyle="1">
    <w:name w:val="图表目录11"/>
    <w:basedOn w:val="738"/>
    <w:next w:val="738"/>
    <w:uiPriority w:val="99"/>
    <w:unhideWhenUsed/>
    <w:qFormat/>
    <w:pPr>
      <w:spacing w:after="0" w:afterAutospacing="0"/>
    </w:pPr>
  </w:style>
  <w:style w:type="paragraph" w:styleId="799" w:customStyle="1">
    <w:name w:val="目录 211"/>
    <w:basedOn w:val="738"/>
    <w:next w:val="738"/>
    <w:uiPriority w:val="39"/>
    <w:unhideWhenUsed/>
    <w:qFormat/>
    <w:pPr>
      <w:ind w:left="283" w:right="0" w:firstLine="0"/>
      <w:spacing w:after="57"/>
    </w:pPr>
  </w:style>
  <w:style w:type="paragraph" w:styleId="800" w:customStyle="1">
    <w:name w:val="目录 911"/>
    <w:basedOn w:val="738"/>
    <w:next w:val="738"/>
    <w:uiPriority w:val="39"/>
    <w:unhideWhenUsed/>
    <w:qFormat/>
    <w:pPr>
      <w:ind w:left="2268" w:right="0" w:firstLine="0"/>
      <w:spacing w:after="57"/>
    </w:pPr>
  </w:style>
  <w:style w:type="paragraph" w:styleId="801" w:customStyle="1">
    <w:name w:val="标题11"/>
    <w:basedOn w:val="738"/>
    <w:next w:val="738"/>
    <w:link w:val="802"/>
    <w:uiPriority w:val="10"/>
    <w:qFormat/>
    <w:pPr>
      <w:contextualSpacing/>
      <w:spacing w:before="300" w:after="200"/>
    </w:pPr>
    <w:rPr>
      <w:sz w:val="48"/>
      <w:szCs w:val="48"/>
    </w:rPr>
  </w:style>
  <w:style w:type="character" w:styleId="802" w:customStyle="1">
    <w:name w:val="Title Char"/>
    <w:link w:val="801"/>
    <w:uiPriority w:val="10"/>
    <w:qFormat/>
    <w:rPr>
      <w:sz w:val="48"/>
      <w:szCs w:val="48"/>
    </w:rPr>
  </w:style>
  <w:style w:type="table" w:styleId="803" w:customStyle="1">
    <w:name w:val="网格型11"/>
    <w:uiPriority w:val="59"/>
    <w:qFormat/>
    <w:pPr>
      <w:spacing w:after="0" w:line="240" w:lineRule="auto"/>
    </w:pPr>
    <w:tblPr/>
  </w:style>
  <w:style w:type="character" w:styleId="804" w:customStyle="1">
    <w:name w:val="尾注引用1"/>
    <w:link w:val="738"/>
    <w:uiPriority w:val="99"/>
    <w:unhideWhenUsed/>
    <w:qFormat/>
    <w:rPr>
      <w:vertAlign w:val="superscript"/>
    </w:rPr>
  </w:style>
  <w:style w:type="character" w:styleId="805" w:customStyle="1">
    <w:name w:val="页码11"/>
    <w:basedOn w:val="780"/>
    <w:link w:val="738"/>
    <w:uiPriority w:val="0"/>
    <w:qFormat/>
  </w:style>
  <w:style w:type="character" w:styleId="806" w:customStyle="1">
    <w:name w:val="超链接11"/>
    <w:link w:val="738"/>
    <w:uiPriority w:val="99"/>
    <w:unhideWhenUsed/>
    <w:qFormat/>
    <w:rPr>
      <w:color w:val="0000ff"/>
      <w:u w:val="single"/>
    </w:rPr>
  </w:style>
  <w:style w:type="character" w:styleId="807" w:customStyle="1">
    <w:name w:val="脚注引用1"/>
    <w:link w:val="738"/>
    <w:uiPriority w:val="99"/>
    <w:unhideWhenUsed/>
    <w:qFormat/>
    <w:rPr>
      <w:vertAlign w:val="superscript"/>
    </w:rPr>
  </w:style>
  <w:style w:type="character" w:styleId="808" w:customStyle="1">
    <w:name w:val="列出段落 Char"/>
    <w:link w:val="809"/>
    <w:uiPriority w:val="0"/>
    <w:qFormat/>
    <w:rPr>
      <w:rFonts w:ascii="Calibri" w:hAnsi="Calibri" w:eastAsia="宋体" w:cs="Times New Roman"/>
      <w:sz w:val="24"/>
      <w:szCs w:val="24"/>
      <w:lang w:eastAsia="en-US" w:bidi="en-US"/>
    </w:rPr>
  </w:style>
  <w:style w:type="paragraph" w:styleId="809" w:customStyle="1">
    <w:name w:val="列出段落1"/>
    <w:basedOn w:val="738"/>
    <w:link w:val="808"/>
    <w:uiPriority w:val="0"/>
    <w:qFormat/>
    <w:pPr>
      <w:contextualSpacing/>
      <w:ind w:left="720"/>
      <w:jc w:val="left"/>
      <w:widowControl/>
    </w:pPr>
    <w:rPr>
      <w:rFonts w:ascii="Times New Roman" w:hAnsi="Times New Roman" w:eastAsia="宋体" w:cs="Times New Roman"/>
      <w:sz w:val="24"/>
      <w:szCs w:val="24"/>
      <w:lang w:eastAsia="en-US" w:bidi="en-US"/>
    </w:rPr>
  </w:style>
  <w:style w:type="character" w:styleId="810" w:customStyle="1">
    <w:name w:val="二级目录 Char"/>
    <w:link w:val="811"/>
    <w:uiPriority w:val="0"/>
    <w:qFormat/>
    <w:rPr>
      <w:rFonts w:ascii="Times New Roman" w:hAnsi="Times New Roman" w:eastAsia="宋体" w:cs="Times New Roman"/>
      <w:b/>
      <w:sz w:val="30"/>
      <w:szCs w:val="28"/>
      <w:lang w:val="en-US" w:eastAsia="zh-CN" w:bidi="ar-SA"/>
    </w:rPr>
  </w:style>
  <w:style w:type="paragraph" w:styleId="811" w:customStyle="1">
    <w:name w:val="二级目录"/>
    <w:next w:val="738"/>
    <w:link w:val="810"/>
    <w:uiPriority w:val="0"/>
    <w:qFormat/>
    <w:pPr>
      <w:numPr>
        <w:ilvl w:val="0"/>
        <w:numId w:val="1"/>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812" w:customStyle="1">
    <w:name w:val="font5 Char"/>
    <w:link w:val="738"/>
    <w:uiPriority w:val="0"/>
    <w:qFormat/>
    <w:rPr>
      <w:rFonts w:ascii="宋体" w:hAnsi="宋体" w:eastAsia="宋体" w:cs="Times New Roman"/>
      <w:sz w:val="28"/>
      <w:szCs w:val="28"/>
      <w:lang w:val="en-US" w:eastAsia="zh-CN" w:bidi="ar-SA"/>
    </w:rPr>
  </w:style>
  <w:style w:type="character" w:styleId="813" w:customStyle="1">
    <w:name w:val="批注引用1"/>
    <w:link w:val="738"/>
    <w:uiPriority w:val="0"/>
    <w:qFormat/>
    <w:rPr>
      <w:rFonts w:ascii="Times New Roman" w:hAnsi="Times New Roman" w:eastAsia="宋体" w:cs="Times New Roman"/>
      <w:sz w:val="21"/>
      <w:szCs w:val="21"/>
    </w:rPr>
  </w:style>
  <w:style w:type="character" w:styleId="814" w:customStyle="1">
    <w:name w:val="超链接1"/>
    <w:link w:val="738"/>
    <w:uiPriority w:val="0"/>
    <w:qFormat/>
    <w:rPr>
      <w:rFonts w:ascii="Times New Roman" w:hAnsi="Times New Roman" w:eastAsia="宋体" w:cs="Times New Roman"/>
      <w:color w:val="0000ff"/>
      <w:u w:val="single"/>
    </w:rPr>
  </w:style>
  <w:style w:type="character" w:styleId="815" w:customStyle="1">
    <w:name w:val="要点1"/>
    <w:link w:val="738"/>
    <w:uiPriority w:val="0"/>
    <w:qFormat/>
    <w:rPr>
      <w:rFonts w:ascii="Times New Roman" w:hAnsi="Times New Roman" w:eastAsia="宋体" w:cs="Times New Roman"/>
      <w:b/>
      <w:bCs/>
    </w:rPr>
  </w:style>
  <w:style w:type="character" w:styleId="816" w:customStyle="1">
    <w:name w:val="正文首行缩进 2 Char"/>
    <w:link w:val="817"/>
    <w:uiPriority w:val="0"/>
    <w:qFormat/>
    <w:rPr>
      <w:rFonts w:ascii="宋体" w:hAnsi="宋体" w:eastAsia="宋体" w:cs="Times New Roman"/>
      <w:szCs w:val="20"/>
    </w:rPr>
  </w:style>
  <w:style w:type="paragraph" w:styleId="817" w:customStyle="1">
    <w:name w:val="正文首行缩进 21"/>
    <w:basedOn w:val="818"/>
    <w:link w:val="816"/>
    <w:uiPriority w:val="0"/>
    <w:qFormat/>
    <w:pPr>
      <w:ind w:left="0" w:firstLine="420"/>
      <w:spacing w:after="0" w:line="360" w:lineRule="auto"/>
    </w:pPr>
    <w:rPr>
      <w:rFonts w:ascii="宋体" w:hAnsi="宋体" w:eastAsia="宋体" w:cs="Times New Roman"/>
      <w:sz w:val="20"/>
      <w:szCs w:val="20"/>
    </w:rPr>
  </w:style>
  <w:style w:type="paragraph" w:styleId="818" w:customStyle="1">
    <w:name w:val="正文文本缩进1"/>
    <w:basedOn w:val="738"/>
    <w:next w:val="819"/>
    <w:link w:val="820"/>
    <w:uiPriority w:val="0"/>
    <w:qFormat/>
    <w:pPr>
      <w:ind w:left="420"/>
      <w:spacing w:after="120"/>
    </w:pPr>
    <w:rPr>
      <w:rFonts w:ascii="Times New Roman" w:hAnsi="Times New Roman" w:eastAsia="宋体" w:cs="Times New Roman"/>
    </w:rPr>
  </w:style>
  <w:style w:type="paragraph" w:styleId="819" w:customStyle="1">
    <w:name w:val="寄信人地址1"/>
    <w:basedOn w:val="738"/>
    <w:uiPriority w:val="0"/>
    <w:qFormat/>
    <w:rPr>
      <w:rFonts w:ascii="Arial" w:hAnsi="Arial" w:eastAsia="宋体" w:cs="Times New Roman"/>
    </w:rPr>
  </w:style>
  <w:style w:type="character" w:styleId="820" w:customStyle="1">
    <w:name w:val="正文文本缩进 Char"/>
    <w:basedOn w:val="821"/>
    <w:link w:val="818"/>
    <w:uiPriority w:val="0"/>
    <w:qFormat/>
    <w:rPr>
      <w:rFonts w:ascii="Times New Roman" w:hAnsi="Times New Roman" w:eastAsia="宋体" w:cs="Times New Roman"/>
    </w:rPr>
  </w:style>
  <w:style w:type="character" w:styleId="821" w:customStyle="1">
    <w:name w:val="默认段落字体1"/>
    <w:link w:val="738"/>
    <w:uiPriority w:val="0"/>
    <w:qFormat/>
    <w:rPr>
      <w:rFonts w:ascii="Times New Roman" w:hAnsi="Times New Roman" w:eastAsia="宋体" w:cs="Times New Roman"/>
    </w:rPr>
  </w:style>
  <w:style w:type="character" w:styleId="822" w:customStyle="1">
    <w:name w:val="正文首行缩进 Char"/>
    <w:link w:val="823"/>
    <w:uiPriority w:val="0"/>
    <w:qFormat/>
    <w:rPr>
      <w:rFonts w:ascii="仿宋_GB2312" w:hAnsi="Times New Roman" w:eastAsia="仿宋_GB2312" w:cs="Times New Roman"/>
      <w:sz w:val="30"/>
      <w:szCs w:val="30"/>
    </w:rPr>
  </w:style>
  <w:style w:type="paragraph" w:styleId="823" w:customStyle="1">
    <w:name w:val="正文首行缩进1"/>
    <w:basedOn w:val="738"/>
    <w:link w:val="822"/>
    <w:uiPriority w:val="0"/>
    <w:qFormat/>
    <w:pPr>
      <w:ind w:firstLine="200"/>
      <w:spacing w:line="360" w:lineRule="auto"/>
    </w:pPr>
    <w:rPr>
      <w:rFonts w:ascii="仿宋_GB2312" w:hAnsi="Times New Roman" w:eastAsia="仿宋_GB2312" w:cs="Times New Roman"/>
      <w:sz w:val="30"/>
      <w:szCs w:val="30"/>
    </w:rPr>
  </w:style>
  <w:style w:type="character" w:styleId="824" w:customStyle="1">
    <w:name w:val="正文文本缩进 3 Char"/>
    <w:link w:val="825"/>
    <w:uiPriority w:val="0"/>
    <w:qFormat/>
    <w:rPr>
      <w:rFonts w:ascii="Arial" w:hAnsi="Arial" w:eastAsia="仿宋_GB2312" w:cs="Arial"/>
      <w:color w:val="ffff00"/>
      <w:sz w:val="32"/>
      <w:szCs w:val="32"/>
    </w:rPr>
  </w:style>
  <w:style w:type="paragraph" w:styleId="825" w:customStyle="1">
    <w:name w:val="正文文本缩进 31"/>
    <w:basedOn w:val="738"/>
    <w:link w:val="824"/>
    <w:uiPriority w:val="0"/>
    <w:qFormat/>
    <w:pPr>
      <w:ind w:left="645" w:firstLine="645"/>
    </w:pPr>
    <w:rPr>
      <w:rFonts w:ascii="Arial" w:hAnsi="Arial" w:eastAsia="仿宋_GB2312" w:cs="Times New Roman"/>
      <w:color w:val="ffff00"/>
      <w:sz w:val="32"/>
      <w:szCs w:val="32"/>
    </w:rPr>
  </w:style>
  <w:style w:type="character" w:styleId="826" w:customStyle="1">
    <w:name w:val="页眉 Char"/>
    <w:link w:val="827"/>
    <w:uiPriority w:val="0"/>
    <w:qFormat/>
    <w:rPr>
      <w:rFonts w:ascii="Times New Roman" w:hAnsi="Times New Roman" w:eastAsia="宋体" w:cs="Times New Roman"/>
      <w:sz w:val="18"/>
      <w:szCs w:val="18"/>
    </w:rPr>
  </w:style>
  <w:style w:type="paragraph" w:styleId="827" w:customStyle="1">
    <w:name w:val="页眉1"/>
    <w:basedOn w:val="738"/>
    <w:link w:val="82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28" w:customStyle="1">
    <w:name w:val="页脚 Char"/>
    <w:link w:val="829"/>
    <w:uiPriority w:val="0"/>
    <w:qFormat/>
    <w:rPr>
      <w:rFonts w:ascii="Times New Roman" w:hAnsi="Times New Roman" w:eastAsia="宋体" w:cs="Times New Roman"/>
      <w:sz w:val="18"/>
      <w:szCs w:val="18"/>
    </w:rPr>
  </w:style>
  <w:style w:type="paragraph" w:styleId="829" w:customStyle="1">
    <w:name w:val="页脚1"/>
    <w:basedOn w:val="738"/>
    <w:link w:val="82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30" w:customStyle="1">
    <w:name w:val="正文文本缩进 2 Char"/>
    <w:link w:val="831"/>
    <w:uiPriority w:val="0"/>
    <w:qFormat/>
    <w:rPr>
      <w:rFonts w:ascii="Arial" w:hAnsi="Arial" w:eastAsia="仿宋_GB2312" w:cs="Arial"/>
      <w:sz w:val="32"/>
      <w:szCs w:val="32"/>
    </w:rPr>
  </w:style>
  <w:style w:type="paragraph" w:styleId="831" w:customStyle="1">
    <w:name w:val="正文文本缩进 21"/>
    <w:basedOn w:val="738"/>
    <w:link w:val="830"/>
    <w:uiPriority w:val="0"/>
    <w:qFormat/>
    <w:pPr>
      <w:ind w:left="630" w:firstLine="645"/>
    </w:pPr>
    <w:rPr>
      <w:rFonts w:ascii="Arial" w:hAnsi="Arial" w:eastAsia="仿宋_GB2312" w:cs="Times New Roman"/>
      <w:sz w:val="32"/>
      <w:szCs w:val="32"/>
    </w:rPr>
  </w:style>
  <w:style w:type="character" w:styleId="832" w:customStyle="1">
    <w:name w:val="日期 Char"/>
    <w:link w:val="833"/>
    <w:uiPriority w:val="0"/>
    <w:qFormat/>
    <w:rPr>
      <w:rFonts w:ascii="Times New Roman" w:hAnsi="Times New Roman" w:eastAsia="宋体" w:cs="Times New Roman"/>
      <w:sz w:val="24"/>
      <w:szCs w:val="24"/>
    </w:rPr>
  </w:style>
  <w:style w:type="paragraph" w:styleId="833" w:customStyle="1">
    <w:name w:val="日期1"/>
    <w:basedOn w:val="738"/>
    <w:next w:val="738"/>
    <w:link w:val="832"/>
    <w:uiPriority w:val="0"/>
    <w:qFormat/>
    <w:rPr>
      <w:rFonts w:ascii="Times New Roman" w:hAnsi="Times New Roman" w:eastAsia="宋体" w:cs="Times New Roman"/>
      <w:sz w:val="24"/>
      <w:szCs w:val="24"/>
    </w:rPr>
  </w:style>
  <w:style w:type="character" w:styleId="834" w:customStyle="1">
    <w:name w:val="纯文本 Char"/>
    <w:link w:val="835"/>
    <w:uiPriority w:val="0"/>
    <w:qFormat/>
    <w:rPr>
      <w:rFonts w:ascii="宋体" w:hAnsi="Courier New" w:eastAsia="宋体" w:cs="Courier New"/>
      <w:szCs w:val="21"/>
    </w:rPr>
  </w:style>
  <w:style w:type="paragraph" w:styleId="835" w:customStyle="1">
    <w:name w:val="纯文本1"/>
    <w:basedOn w:val="738"/>
    <w:link w:val="834"/>
    <w:uiPriority w:val="0"/>
    <w:qFormat/>
    <w:rPr>
      <w:rFonts w:ascii="宋体" w:hAnsi="Courier New" w:eastAsia="宋体" w:cs="Times New Roman"/>
      <w:sz w:val="20"/>
      <w:szCs w:val="21"/>
    </w:rPr>
  </w:style>
  <w:style w:type="character" w:styleId="836" w:customStyle="1">
    <w:name w:val="正文文本 3 Char"/>
    <w:link w:val="837"/>
    <w:uiPriority w:val="0"/>
    <w:qFormat/>
    <w:rPr>
      <w:rFonts w:ascii="仿宋_GB2312" w:hAnsi="Arial" w:eastAsia="仿宋_GB2312" w:cs="Times New Roman"/>
      <w:sz w:val="32"/>
      <w:szCs w:val="32"/>
    </w:rPr>
  </w:style>
  <w:style w:type="paragraph" w:styleId="837" w:customStyle="1">
    <w:name w:val="正文文本 31"/>
    <w:basedOn w:val="738"/>
    <w:link w:val="836"/>
    <w:uiPriority w:val="0"/>
    <w:qFormat/>
    <w:rPr>
      <w:rFonts w:ascii="仿宋_GB2312" w:hAnsi="Arial" w:eastAsia="仿宋_GB2312" w:cs="Times New Roman"/>
      <w:sz w:val="32"/>
      <w:szCs w:val="32"/>
    </w:rPr>
  </w:style>
  <w:style w:type="character" w:styleId="838" w:customStyle="1">
    <w:name w:val="批注文字 Char"/>
    <w:basedOn w:val="821"/>
    <w:link w:val="839"/>
    <w:uiPriority w:val="0"/>
    <w:qFormat/>
    <w:rPr>
      <w:rFonts w:ascii="Times New Roman" w:hAnsi="Times New Roman" w:eastAsia="宋体" w:cs="Times New Roman"/>
    </w:rPr>
  </w:style>
  <w:style w:type="paragraph" w:styleId="839" w:customStyle="1">
    <w:name w:val="批注文字1"/>
    <w:basedOn w:val="738"/>
    <w:link w:val="838"/>
    <w:uiPriority w:val="0"/>
    <w:qFormat/>
    <w:pPr>
      <w:jc w:val="left"/>
    </w:pPr>
    <w:rPr>
      <w:rFonts w:ascii="Times New Roman" w:hAnsi="Times New Roman" w:eastAsia="宋体" w:cs="Times New Roman"/>
    </w:rPr>
  </w:style>
  <w:style w:type="character" w:styleId="840" w:customStyle="1">
    <w:name w:val="文档结构图 Char"/>
    <w:link w:val="841"/>
    <w:uiPriority w:val="0"/>
    <w:qFormat/>
    <w:rPr>
      <w:rFonts w:ascii="Times New Roman" w:hAnsi="Times New Roman" w:eastAsia="宋体" w:cs="Times New Roman"/>
      <w:szCs w:val="21"/>
      <w:shd w:val="clear" w:color="auto" w:fill="000080"/>
    </w:rPr>
  </w:style>
  <w:style w:type="paragraph" w:styleId="841" w:customStyle="1">
    <w:name w:val="文档结构图1"/>
    <w:basedOn w:val="738"/>
    <w:link w:val="840"/>
    <w:uiPriority w:val="0"/>
    <w:qFormat/>
    <w:pPr>
      <w:shd w:val="clear" w:color="auto" w:fill="000080"/>
    </w:pPr>
    <w:rPr>
      <w:rFonts w:ascii="Times New Roman" w:hAnsi="Times New Roman" w:eastAsia="宋体" w:cs="Times New Roman"/>
      <w:sz w:val="20"/>
      <w:szCs w:val="21"/>
    </w:rPr>
  </w:style>
  <w:style w:type="character" w:styleId="842" w:customStyle="1">
    <w:name w:val="标题 9 Char"/>
    <w:link w:val="843"/>
    <w:uiPriority w:val="0"/>
    <w:qFormat/>
    <w:rPr>
      <w:rFonts w:ascii="Arial" w:hAnsi="Arial" w:eastAsia="黑体" w:cs="Times New Roman"/>
      <w:szCs w:val="21"/>
    </w:rPr>
  </w:style>
  <w:style w:type="paragraph" w:styleId="843" w:customStyle="1">
    <w:name w:val="标题 91"/>
    <w:basedOn w:val="738"/>
    <w:next w:val="738"/>
    <w:link w:val="842"/>
    <w:uiPriority w:val="0"/>
    <w:qFormat/>
    <w:pPr>
      <w:numPr>
        <w:ilvl w:val="8"/>
        <w:numId w:val="2"/>
      </w:numPr>
      <w:keepLines/>
      <w:keepNext/>
      <w:spacing w:before="240" w:after="64" w:line="320" w:lineRule="auto"/>
      <w:outlineLvl w:val="8"/>
    </w:pPr>
    <w:rPr>
      <w:rFonts w:ascii="Arial" w:hAnsi="Arial" w:eastAsia="黑体" w:cs="Times New Roman"/>
      <w:sz w:val="20"/>
      <w:szCs w:val="21"/>
    </w:rPr>
  </w:style>
  <w:style w:type="character" w:styleId="844" w:customStyle="1">
    <w:name w:val="标题 8 Char"/>
    <w:link w:val="845"/>
    <w:uiPriority w:val="0"/>
    <w:qFormat/>
    <w:rPr>
      <w:rFonts w:ascii="Arial" w:hAnsi="Arial" w:eastAsia="黑体" w:cs="Times New Roman"/>
      <w:sz w:val="24"/>
      <w:szCs w:val="24"/>
    </w:rPr>
  </w:style>
  <w:style w:type="paragraph" w:styleId="845" w:customStyle="1">
    <w:name w:val="标题 81"/>
    <w:basedOn w:val="738"/>
    <w:next w:val="738"/>
    <w:link w:val="844"/>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character" w:styleId="846" w:customStyle="1">
    <w:name w:val="标题 7 Char"/>
    <w:link w:val="847"/>
    <w:uiPriority w:val="0"/>
    <w:qFormat/>
    <w:rPr>
      <w:rFonts w:ascii="Times New Roman" w:hAnsi="Times New Roman" w:eastAsia="宋体" w:cs="Times New Roman"/>
      <w:b/>
      <w:bCs/>
      <w:sz w:val="24"/>
      <w:szCs w:val="24"/>
    </w:rPr>
  </w:style>
  <w:style w:type="paragraph" w:styleId="847" w:customStyle="1">
    <w:name w:val="标题 71"/>
    <w:basedOn w:val="738"/>
    <w:next w:val="738"/>
    <w:link w:val="846"/>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character" w:styleId="848" w:customStyle="1">
    <w:name w:val="标题 6 Char"/>
    <w:link w:val="849"/>
    <w:uiPriority w:val="0"/>
    <w:qFormat/>
    <w:rPr>
      <w:rFonts w:ascii="Arial" w:hAnsi="Arial" w:eastAsia="黑体" w:cs="Times New Roman"/>
      <w:b/>
      <w:bCs/>
      <w:sz w:val="24"/>
      <w:szCs w:val="24"/>
    </w:rPr>
  </w:style>
  <w:style w:type="paragraph" w:styleId="849" w:customStyle="1">
    <w:name w:val="标题 61"/>
    <w:basedOn w:val="738"/>
    <w:next w:val="738"/>
    <w:link w:val="848"/>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character" w:styleId="850" w:customStyle="1">
    <w:name w:val="标题 5 Char"/>
    <w:link w:val="851"/>
    <w:uiPriority w:val="0"/>
    <w:qFormat/>
    <w:rPr>
      <w:rFonts w:ascii="宋体" w:hAnsi="Times New Roman" w:eastAsia="宋体" w:cs="Times New Roman"/>
      <w:color w:val="000000"/>
      <w:sz w:val="28"/>
      <w:szCs w:val="28"/>
    </w:rPr>
  </w:style>
  <w:style w:type="paragraph" w:styleId="851" w:customStyle="1">
    <w:name w:val="标题 51"/>
    <w:basedOn w:val="738"/>
    <w:next w:val="852"/>
    <w:link w:val="850"/>
    <w:uiPriority w:val="0"/>
    <w:qFormat/>
    <w:pPr>
      <w:keepNext/>
      <w:outlineLvl w:val="4"/>
    </w:pPr>
    <w:rPr>
      <w:rFonts w:ascii="宋体" w:hAnsi="Times New Roman" w:eastAsia="宋体" w:cs="Times New Roman"/>
      <w:color w:val="000000"/>
      <w:sz w:val="28"/>
      <w:szCs w:val="28"/>
    </w:rPr>
  </w:style>
  <w:style w:type="paragraph" w:styleId="852" w:customStyle="1">
    <w:name w:val="正文缩进1"/>
    <w:basedOn w:val="738"/>
    <w:link w:val="853"/>
    <w:uiPriority w:val="0"/>
    <w:qFormat/>
    <w:pPr>
      <w:ind w:firstLine="420"/>
    </w:pPr>
    <w:rPr>
      <w:rFonts w:ascii="Times New Roman" w:hAnsi="Times New Roman" w:eastAsia="宋体" w:cs="Times New Roman"/>
      <w:sz w:val="20"/>
      <w:szCs w:val="21"/>
    </w:rPr>
  </w:style>
  <w:style w:type="character" w:styleId="853" w:customStyle="1">
    <w:name w:val="正文缩进 Char"/>
    <w:link w:val="852"/>
    <w:uiPriority w:val="0"/>
    <w:qFormat/>
    <w:rPr>
      <w:rFonts w:ascii="Times New Roman" w:hAnsi="Times New Roman" w:eastAsia="宋体" w:cs="Times New Roman"/>
      <w:szCs w:val="21"/>
    </w:rPr>
  </w:style>
  <w:style w:type="character" w:styleId="854" w:customStyle="1">
    <w:name w:val="标题 4 Char"/>
    <w:link w:val="855"/>
    <w:uiPriority w:val="0"/>
    <w:qFormat/>
    <w:rPr>
      <w:rFonts w:ascii="Arial" w:hAnsi="Arial" w:eastAsia="黑体" w:cs="Arial"/>
      <w:b/>
      <w:bCs/>
      <w:sz w:val="28"/>
      <w:szCs w:val="28"/>
    </w:rPr>
  </w:style>
  <w:style w:type="paragraph" w:styleId="855" w:customStyle="1">
    <w:name w:val="标题 41"/>
    <w:basedOn w:val="738"/>
    <w:next w:val="852"/>
    <w:link w:val="854"/>
    <w:uiPriority w:val="0"/>
    <w:qFormat/>
    <w:pPr>
      <w:keepLines/>
      <w:keepNext/>
      <w:spacing w:before="280" w:after="290" w:line="376" w:lineRule="auto"/>
      <w:outlineLvl w:val="3"/>
    </w:pPr>
    <w:rPr>
      <w:rFonts w:ascii="Arial" w:hAnsi="Arial" w:eastAsia="黑体" w:cs="Times New Roman"/>
      <w:b/>
      <w:bCs/>
      <w:sz w:val="28"/>
      <w:szCs w:val="28"/>
    </w:rPr>
  </w:style>
  <w:style w:type="character" w:styleId="856" w:customStyle="1">
    <w:name w:val="标题 1 Char"/>
    <w:link w:val="857"/>
    <w:uiPriority w:val="0"/>
    <w:qFormat/>
    <w:rPr>
      <w:rFonts w:ascii="楷体_GB2312" w:hAnsi="Times New Roman" w:eastAsia="楷体_GB2312" w:cs="Times New Roman"/>
      <w:sz w:val="28"/>
      <w:szCs w:val="28"/>
    </w:rPr>
  </w:style>
  <w:style w:type="paragraph" w:styleId="857" w:customStyle="1">
    <w:name w:val="标题 11"/>
    <w:basedOn w:val="738"/>
    <w:next w:val="738"/>
    <w:link w:val="856"/>
    <w:uiPriority w:val="0"/>
    <w:qFormat/>
    <w:pPr>
      <w:jc w:val="center"/>
      <w:keepNext/>
      <w:outlineLvl w:val="0"/>
    </w:pPr>
    <w:rPr>
      <w:rFonts w:ascii="楷体_GB2312" w:hAnsi="Times New Roman" w:eastAsia="楷体_GB2312" w:cs="Times New Roman"/>
      <w:sz w:val="28"/>
      <w:szCs w:val="28"/>
    </w:rPr>
  </w:style>
  <w:style w:type="character" w:styleId="858" w:customStyle="1">
    <w:name w:val="Footer Char"/>
    <w:link w:val="738"/>
    <w:uiPriority w:val="99"/>
    <w:qFormat/>
  </w:style>
  <w:style w:type="character" w:styleId="859" w:customStyle="1">
    <w:name w:val="Caption Char"/>
    <w:link w:val="860"/>
    <w:uiPriority w:val="99"/>
    <w:qFormat/>
  </w:style>
  <w:style w:type="paragraph" w:styleId="860" w:customStyle="1">
    <w:name w:val="Footer1"/>
    <w:basedOn w:val="738"/>
    <w:link w:val="859"/>
    <w:uiPriority w:val="99"/>
    <w:unhideWhenUsed/>
    <w:qFormat/>
    <w:pPr>
      <w:spacing w:after="0" w:line="240" w:lineRule="auto"/>
      <w:tabs>
        <w:tab w:val="center" w:pos="7143" w:leader="none"/>
        <w:tab w:val="right" w:pos="14287" w:leader="none"/>
      </w:tabs>
    </w:pPr>
  </w:style>
  <w:style w:type="character" w:styleId="861" w:customStyle="1">
    <w:name w:val="Quote Char"/>
    <w:link w:val="862"/>
    <w:uiPriority w:val="29"/>
    <w:qFormat/>
    <w:rPr>
      <w:i/>
    </w:rPr>
  </w:style>
  <w:style w:type="paragraph" w:styleId="862">
    <w:name w:val="Quote"/>
    <w:basedOn w:val="738"/>
    <w:next w:val="738"/>
    <w:link w:val="861"/>
    <w:uiPriority w:val="29"/>
    <w:qFormat/>
    <w:pPr>
      <w:ind w:left="720" w:right="720"/>
    </w:pPr>
    <w:rPr>
      <w:i/>
    </w:rPr>
  </w:style>
  <w:style w:type="character" w:styleId="863" w:customStyle="1">
    <w:name w:val="Heading 8 Char"/>
    <w:link w:val="746"/>
    <w:uiPriority w:val="9"/>
    <w:qFormat/>
    <w:rPr>
      <w:rFonts w:ascii="Arial" w:hAnsi="Arial" w:eastAsia="Arial" w:cs="Arial"/>
      <w:i/>
      <w:iCs/>
      <w:sz w:val="22"/>
      <w:szCs w:val="22"/>
    </w:rPr>
  </w:style>
  <w:style w:type="character" w:styleId="864" w:customStyle="1">
    <w:name w:val="Heading 4 Char"/>
    <w:link w:val="742"/>
    <w:uiPriority w:val="9"/>
    <w:qFormat/>
    <w:rPr>
      <w:rFonts w:ascii="Arial" w:hAnsi="Arial" w:eastAsia="Arial" w:cs="Arial"/>
      <w:b/>
      <w:bCs/>
      <w:sz w:val="26"/>
      <w:szCs w:val="26"/>
    </w:rPr>
  </w:style>
  <w:style w:type="character" w:styleId="865" w:customStyle="1">
    <w:name w:val="Heading 2 Char"/>
    <w:link w:val="740"/>
    <w:uiPriority w:val="9"/>
    <w:qFormat/>
    <w:rPr>
      <w:rFonts w:ascii="Arial" w:hAnsi="Arial" w:eastAsia="Arial" w:cs="Arial"/>
      <w:sz w:val="34"/>
    </w:rPr>
  </w:style>
  <w:style w:type="character" w:styleId="866" w:customStyle="1">
    <w:name w:val="Heading 7 Char"/>
    <w:link w:val="745"/>
    <w:uiPriority w:val="9"/>
    <w:qFormat/>
    <w:rPr>
      <w:rFonts w:ascii="Arial" w:hAnsi="Arial" w:eastAsia="Arial" w:cs="Arial"/>
      <w:b/>
      <w:bCs/>
      <w:i/>
      <w:iCs/>
      <w:sz w:val="22"/>
      <w:szCs w:val="22"/>
    </w:rPr>
  </w:style>
  <w:style w:type="character" w:styleId="867" w:customStyle="1">
    <w:name w:val="正文文本 Char"/>
    <w:link w:val="868"/>
    <w:uiPriority w:val="0"/>
    <w:qFormat/>
    <w:rPr>
      <w:rFonts w:ascii="楷体_GB2312" w:hAnsi="Arial" w:eastAsia="楷体_GB2312" w:cs="Times New Roman"/>
      <w:sz w:val="28"/>
      <w:szCs w:val="28"/>
    </w:rPr>
  </w:style>
  <w:style w:type="paragraph" w:styleId="868" w:customStyle="1">
    <w:name w:val="正文文本1"/>
    <w:basedOn w:val="738"/>
    <w:next w:val="738"/>
    <w:link w:val="867"/>
    <w:uiPriority w:val="0"/>
    <w:qFormat/>
    <w:rPr>
      <w:rFonts w:ascii="楷体_GB2312" w:hAnsi="Arial" w:eastAsia="楷体_GB2312" w:cs="Times New Roman"/>
      <w:sz w:val="28"/>
      <w:szCs w:val="28"/>
    </w:rPr>
  </w:style>
  <w:style w:type="character" w:styleId="869" w:customStyle="1">
    <w:name w:val="Header Char"/>
    <w:link w:val="870"/>
    <w:uiPriority w:val="99"/>
    <w:qFormat/>
  </w:style>
  <w:style w:type="paragraph" w:styleId="870" w:customStyle="1">
    <w:name w:val="Header1"/>
    <w:basedOn w:val="738"/>
    <w:link w:val="869"/>
    <w:uiPriority w:val="99"/>
    <w:unhideWhenUsed/>
    <w:qFormat/>
    <w:pPr>
      <w:spacing w:after="0" w:line="240" w:lineRule="auto"/>
      <w:tabs>
        <w:tab w:val="center" w:pos="7143" w:leader="none"/>
        <w:tab w:val="right" w:pos="14287" w:leader="none"/>
      </w:tabs>
    </w:pPr>
  </w:style>
  <w:style w:type="character" w:styleId="871" w:customStyle="1">
    <w:name w:val="Heading 3 Char"/>
    <w:link w:val="741"/>
    <w:uiPriority w:val="9"/>
    <w:qFormat/>
    <w:rPr>
      <w:rFonts w:ascii="Arial" w:hAnsi="Arial" w:eastAsia="Arial" w:cs="Arial"/>
      <w:sz w:val="30"/>
      <w:szCs w:val="30"/>
    </w:rPr>
  </w:style>
  <w:style w:type="character" w:styleId="872" w:customStyle="1">
    <w:name w:val="页码1"/>
    <w:link w:val="738"/>
    <w:uiPriority w:val="0"/>
    <w:qFormat/>
    <w:rPr>
      <w:rFonts w:ascii="Times New Roman" w:hAnsi="Times New Roman" w:eastAsia="宋体" w:cs="Times New Roman"/>
    </w:rPr>
  </w:style>
  <w:style w:type="character" w:styleId="873" w:customStyle="1">
    <w:name w:val="批注框文本 Char"/>
    <w:link w:val="874"/>
    <w:uiPriority w:val="0"/>
    <w:qFormat/>
    <w:rPr>
      <w:rFonts w:ascii="Times New Roman" w:hAnsi="Times New Roman" w:eastAsia="宋体" w:cs="Times New Roman"/>
      <w:sz w:val="18"/>
      <w:szCs w:val="18"/>
    </w:rPr>
  </w:style>
  <w:style w:type="paragraph" w:styleId="874" w:customStyle="1">
    <w:name w:val="批注框文本1"/>
    <w:basedOn w:val="738"/>
    <w:link w:val="873"/>
    <w:uiPriority w:val="0"/>
    <w:qFormat/>
    <w:rPr>
      <w:rFonts w:ascii="Times New Roman" w:hAnsi="Times New Roman" w:eastAsia="宋体" w:cs="Times New Roman"/>
      <w:sz w:val="18"/>
      <w:szCs w:val="18"/>
    </w:rPr>
  </w:style>
  <w:style w:type="character" w:styleId="875" w:customStyle="1">
    <w:name w:val="标题 3 Char"/>
    <w:link w:val="876"/>
    <w:uiPriority w:val="0"/>
    <w:qFormat/>
    <w:rPr>
      <w:rFonts w:ascii="Times New Roman" w:hAnsi="Times New Roman" w:eastAsia="宋体" w:cs="Times New Roman"/>
      <w:b/>
      <w:bCs/>
      <w:sz w:val="32"/>
      <w:szCs w:val="32"/>
    </w:rPr>
  </w:style>
  <w:style w:type="paragraph" w:styleId="876" w:customStyle="1">
    <w:name w:val="标题 31"/>
    <w:basedOn w:val="738"/>
    <w:next w:val="852"/>
    <w:link w:val="875"/>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77" w:customStyle="1">
    <w:name w:val="Heading 1 Char"/>
    <w:link w:val="739"/>
    <w:uiPriority w:val="9"/>
    <w:qFormat/>
    <w:rPr>
      <w:rFonts w:ascii="Arial" w:hAnsi="Arial" w:eastAsia="Arial" w:cs="Arial"/>
      <w:sz w:val="40"/>
      <w:szCs w:val="40"/>
    </w:rPr>
  </w:style>
  <w:style w:type="character" w:styleId="878" w:customStyle="1">
    <w:name w:val="标题 2 Char"/>
    <w:link w:val="879"/>
    <w:uiPriority w:val="0"/>
    <w:qFormat/>
    <w:rPr>
      <w:rFonts w:ascii="Arial" w:hAnsi="Arial" w:eastAsia="幼圆" w:cs="Arial"/>
      <w:b/>
      <w:bCs/>
      <w:sz w:val="44"/>
      <w:szCs w:val="44"/>
    </w:rPr>
  </w:style>
  <w:style w:type="paragraph" w:styleId="879" w:customStyle="1">
    <w:name w:val="标题 21"/>
    <w:basedOn w:val="738"/>
    <w:next w:val="738"/>
    <w:link w:val="878"/>
    <w:uiPriority w:val="0"/>
    <w:qFormat/>
    <w:pPr>
      <w:jc w:val="center"/>
      <w:keepLines/>
      <w:keepNext/>
      <w:spacing w:before="260" w:after="260" w:line="416" w:lineRule="auto"/>
      <w:outlineLvl w:val="1"/>
    </w:pPr>
    <w:rPr>
      <w:rFonts w:ascii="Arial" w:hAnsi="Arial" w:eastAsia="幼圆" w:cs="Times New Roman"/>
      <w:b/>
      <w:bCs/>
      <w:sz w:val="44"/>
      <w:szCs w:val="44"/>
    </w:rPr>
  </w:style>
  <w:style w:type="character" w:styleId="880" w:customStyle="1">
    <w:name w:val="正文文本 2 Char"/>
    <w:link w:val="881"/>
    <w:uiPriority w:val="0"/>
    <w:qFormat/>
    <w:rPr>
      <w:rFonts w:ascii="楷体_GB2312" w:hAnsi="Times New Roman" w:eastAsia="楷体_GB2312" w:cs="Times New Roman"/>
      <w:sz w:val="28"/>
      <w:szCs w:val="28"/>
    </w:rPr>
  </w:style>
  <w:style w:type="paragraph" w:styleId="881" w:customStyle="1">
    <w:name w:val="正文文本 21"/>
    <w:basedOn w:val="738"/>
    <w:link w:val="880"/>
    <w:uiPriority w:val="0"/>
    <w:qFormat/>
    <w:pPr>
      <w:jc w:val="center"/>
      <w:widowControl/>
    </w:pPr>
    <w:rPr>
      <w:rFonts w:ascii="楷体_GB2312" w:hAnsi="Times New Roman" w:eastAsia="楷体_GB2312" w:cs="Times New Roman"/>
      <w:sz w:val="28"/>
      <w:szCs w:val="28"/>
    </w:rPr>
  </w:style>
  <w:style w:type="character" w:styleId="882" w:customStyle="1">
    <w:name w:val="Heading 5 Char"/>
    <w:link w:val="743"/>
    <w:uiPriority w:val="9"/>
    <w:qFormat/>
    <w:rPr>
      <w:rFonts w:ascii="Arial" w:hAnsi="Arial" w:eastAsia="Arial" w:cs="Arial"/>
      <w:b/>
      <w:bCs/>
      <w:sz w:val="24"/>
      <w:szCs w:val="24"/>
    </w:rPr>
  </w:style>
  <w:style w:type="character" w:styleId="883" w:customStyle="1">
    <w:name w:val="Heading 9 Char"/>
    <w:link w:val="747"/>
    <w:uiPriority w:val="9"/>
    <w:qFormat/>
    <w:rPr>
      <w:rFonts w:ascii="Arial" w:hAnsi="Arial" w:eastAsia="Arial" w:cs="Arial"/>
      <w:i/>
      <w:iCs/>
      <w:sz w:val="21"/>
      <w:szCs w:val="21"/>
    </w:rPr>
  </w:style>
  <w:style w:type="character" w:styleId="884" w:customStyle="1">
    <w:name w:val="已访问的超链接1"/>
    <w:link w:val="738"/>
    <w:uiPriority w:val="0"/>
    <w:qFormat/>
    <w:rPr>
      <w:rFonts w:ascii="Times New Roman" w:hAnsi="Times New Roman" w:eastAsia="宋体" w:cs="Times New Roman"/>
      <w:color w:val="800080"/>
      <w:u w:val="single"/>
    </w:rPr>
  </w:style>
  <w:style w:type="character" w:styleId="885" w:customStyle="1">
    <w:name w:val="Intense Quote Char"/>
    <w:link w:val="886"/>
    <w:uiPriority w:val="30"/>
    <w:qFormat/>
    <w:rPr>
      <w:i/>
    </w:rPr>
  </w:style>
  <w:style w:type="paragraph" w:styleId="886">
    <w:name w:val="Intense Quote"/>
    <w:basedOn w:val="738"/>
    <w:next w:val="738"/>
    <w:link w:val="8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批注主题 Char"/>
    <w:link w:val="888"/>
    <w:uiPriority w:val="0"/>
    <w:qFormat/>
    <w:rPr>
      <w:rFonts w:ascii="Times New Roman" w:hAnsi="Times New Roman" w:eastAsia="宋体" w:cs="Times New Roman"/>
      <w:b/>
      <w:bCs/>
      <w:szCs w:val="21"/>
    </w:rPr>
  </w:style>
  <w:style w:type="paragraph" w:styleId="888" w:customStyle="1">
    <w:name w:val="批注主题1"/>
    <w:basedOn w:val="839"/>
    <w:next w:val="839"/>
    <w:link w:val="887"/>
    <w:uiPriority w:val="0"/>
    <w:qFormat/>
    <w:rPr>
      <w:rFonts w:ascii="Times New Roman" w:hAnsi="Times New Roman" w:eastAsia="宋体" w:cs="Times New Roman"/>
      <w:b/>
      <w:bCs/>
      <w:sz w:val="20"/>
      <w:szCs w:val="21"/>
    </w:rPr>
  </w:style>
  <w:style w:type="character" w:styleId="889" w:customStyle="1">
    <w:name w:val="Heading 6 Char"/>
    <w:link w:val="744"/>
    <w:uiPriority w:val="9"/>
    <w:qFormat/>
    <w:rPr>
      <w:rFonts w:ascii="Arial" w:hAnsi="Arial" w:eastAsia="Arial" w:cs="Arial"/>
      <w:b/>
      <w:bCs/>
      <w:sz w:val="22"/>
      <w:szCs w:val="22"/>
    </w:rPr>
  </w:style>
  <w:style w:type="paragraph" w:styleId="890" w:customStyle="1">
    <w:name w:val="p16"/>
    <w:basedOn w:val="738"/>
    <w:uiPriority w:val="0"/>
    <w:qFormat/>
    <w:pPr>
      <w:jc w:val="left"/>
      <w:widowControl/>
    </w:pPr>
    <w:rPr>
      <w:sz w:val="24"/>
      <w:szCs w:val="24"/>
    </w:rPr>
  </w:style>
  <w:style w:type="paragraph" w:styleId="891" w:customStyle="1">
    <w:name w:val="Table Text"/>
    <w:basedOn w:val="738"/>
    <w:uiPriority w:val="0"/>
    <w:semiHidden/>
    <w:qFormat/>
    <w:pPr>
      <w:spacing w:line="360" w:lineRule="auto"/>
      <w:widowControl/>
    </w:pPr>
    <w:rPr>
      <w:rFonts w:ascii="宋体" w:hAnsi="宋体" w:cs="宋体"/>
      <w:color w:val="000000"/>
      <w:szCs w:val="21"/>
    </w:rPr>
  </w:style>
  <w:style w:type="paragraph" w:styleId="892" w:customStyle="1">
    <w:name w:val="无间隔"/>
    <w:uiPriority w:val="0"/>
    <w:qFormat/>
    <w:pPr>
      <w:jc w:val="both"/>
      <w:widowControl w:val="off"/>
    </w:pPr>
    <w:rPr>
      <w:rFonts w:hint="default" w:ascii="Times New Roman" w:hAnsi="Times New Roman" w:eastAsia="宋体" w:cs="Times New Roman"/>
      <w:sz w:val="21"/>
      <w:szCs w:val="21"/>
      <w:lang w:eastAsia="zh-CN"/>
    </w:rPr>
  </w:style>
  <w:style w:type="paragraph" w:styleId="893" w:customStyle="1">
    <w:name w:val="修订"/>
    <w:uiPriority w:val="0"/>
    <w:qFormat/>
    <w:rPr>
      <w:rFonts w:hint="default" w:ascii="Times New Roman" w:hAnsi="Times New Roman" w:eastAsia="宋体" w:cs="Times New Roman"/>
      <w:sz w:val="21"/>
      <w:szCs w:val="21"/>
      <w:lang w:eastAsia="zh-CN"/>
    </w:rPr>
  </w:style>
  <w:style w:type="paragraph" w:styleId="894" w:customStyle="1">
    <w:name w:val="标题1"/>
    <w:basedOn w:val="738"/>
    <w:next w:val="73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95" w:customStyle="1">
    <w:name w:val="table_1stline"/>
    <w:basedOn w:val="738"/>
    <w:uiPriority w:val="0"/>
    <w:qFormat/>
    <w:pPr>
      <w:jc w:val="left"/>
      <w:spacing w:before="120"/>
      <w:widowControl/>
    </w:pPr>
    <w:rPr>
      <w:rFonts w:ascii="Times New Roman" w:hAnsi="Times New Roman" w:eastAsia="宋体" w:cs="Times New Roman"/>
      <w:bCs/>
      <w:sz w:val="20"/>
      <w:szCs w:val="20"/>
      <w:lang w:val="de-DE" w:eastAsia="de-DE"/>
    </w:rPr>
  </w:style>
  <w:style w:type="paragraph" w:styleId="896" w:customStyle="1">
    <w:name w:val="Char Char Char Char"/>
    <w:basedOn w:val="841"/>
    <w:uiPriority w:val="0"/>
    <w:qFormat/>
    <w:pPr>
      <w:spacing w:line="360" w:lineRule="auto"/>
    </w:pPr>
    <w:rPr>
      <w:rFonts w:ascii="Tahoma" w:hAnsi="Tahoma" w:eastAsia="宋体" w:cs="Times New Roman"/>
      <w:sz w:val="24"/>
      <w:szCs w:val="24"/>
    </w:rPr>
  </w:style>
  <w:style w:type="paragraph" w:styleId="897" w:customStyle="1">
    <w:name w:val="xl30"/>
    <w:basedOn w:val="73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898" w:customStyle="1">
    <w:name w:val=" 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899"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00" w:customStyle="1">
    <w:name w:val="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901" w:customStyle="1">
    <w:name w:val="xl29"/>
    <w:basedOn w:val="73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02" w:customStyle="1">
    <w:name w:val="标题3"/>
    <w:basedOn w:val="738"/>
    <w:next w:val="738"/>
    <w:uiPriority w:val="0"/>
    <w:qFormat/>
    <w:pPr>
      <w:ind w:firstLine="624"/>
      <w:spacing w:line="590" w:lineRule="atLeast"/>
    </w:pPr>
    <w:rPr>
      <w:rFonts w:ascii="方正黑体_GBK" w:hAnsi="Times New Roman" w:eastAsia="方正黑体_GBK" w:cs="Times New Roman"/>
      <w:sz w:val="32"/>
      <w:szCs w:val="32"/>
    </w:rPr>
  </w:style>
  <w:style w:type="paragraph" w:styleId="903"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04" w:customStyle="1">
    <w:name w:val="font6"/>
    <w:basedOn w:val="73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05" w:customStyle="1">
    <w:name w:val="普通 (Web)"/>
    <w:basedOn w:val="738"/>
    <w:uiPriority w:val="0"/>
    <w:qFormat/>
    <w:pPr>
      <w:jc w:val="left"/>
      <w:spacing w:before="100" w:beforeAutospacing="1" w:after="100" w:afterAutospacing="1"/>
      <w:widowControl/>
    </w:pPr>
    <w:rPr>
      <w:rFonts w:ascii="宋体" w:hAnsi="宋体" w:eastAsia="宋体" w:cs="Times New Roman"/>
      <w:sz w:val="24"/>
      <w:szCs w:val="24"/>
    </w:rPr>
  </w:style>
  <w:style w:type="paragraph" w:styleId="906" w:customStyle="1">
    <w:name w:val=" Char Char Char Char"/>
    <w:basedOn w:val="841"/>
    <w:uiPriority w:val="0"/>
    <w:qFormat/>
    <w:pPr>
      <w:spacing w:line="360" w:lineRule="auto"/>
    </w:pPr>
    <w:rPr>
      <w:rFonts w:ascii="Tahoma" w:hAnsi="Tahoma" w:eastAsia="宋体" w:cs="Times New Roman"/>
      <w:sz w:val="24"/>
      <w:szCs w:val="24"/>
    </w:rPr>
  </w:style>
  <w:style w:type="paragraph" w:styleId="907" w:customStyle="1">
    <w:name w:val="font7"/>
    <w:basedOn w:val="73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08" w:customStyle="1">
    <w:name w:val="附录1"/>
    <w:uiPriority w:val="0"/>
    <w:qFormat/>
    <w:pPr>
      <w:numPr>
        <w:ilvl w:val="0"/>
        <w:numId w:val="1"/>
      </w:numPr>
      <w:ind w:left="907" w:hanging="907"/>
      <w:spacing w:before="240" w:line="600" w:lineRule="atLeast"/>
    </w:pPr>
    <w:rPr>
      <w:rFonts w:hint="default" w:ascii="Times New Roman" w:hAnsi="Times New Roman" w:eastAsia="宋体" w:cs="Times New Roman"/>
      <w:b/>
      <w:i/>
      <w:sz w:val="28"/>
      <w:lang w:eastAsia="zh-CN"/>
    </w:rPr>
  </w:style>
  <w:style w:type="paragraph" w:styleId="909" w:customStyle="1">
    <w:name w:val="table_lines"/>
    <w:basedOn w:val="738"/>
    <w:uiPriority w:val="0"/>
    <w:qFormat/>
    <w:pPr>
      <w:jc w:val="left"/>
      <w:widowControl/>
    </w:pPr>
    <w:rPr>
      <w:rFonts w:ascii="Times New Roman" w:hAnsi="Times New Roman" w:eastAsia="宋体" w:cs="Times New Roman"/>
      <w:sz w:val="20"/>
      <w:szCs w:val="20"/>
      <w:lang w:val="de-DE" w:eastAsia="de-DE"/>
    </w:rPr>
  </w:style>
  <w:style w:type="paragraph" w:styleId="910" w:customStyle="1">
    <w:name w:val="普通正文"/>
    <w:basedOn w:val="738"/>
    <w:uiPriority w:val="0"/>
    <w:qFormat/>
    <w:pPr>
      <w:ind w:firstLine="480"/>
      <w:jc w:val="left"/>
      <w:spacing w:before="120" w:after="120" w:line="360" w:lineRule="auto"/>
    </w:pPr>
    <w:rPr>
      <w:rFonts w:ascii="Arial" w:hAnsi="Arial" w:eastAsia="宋体" w:cs="Times New Roman"/>
      <w:sz w:val="24"/>
      <w:szCs w:val="24"/>
    </w:rPr>
  </w:style>
  <w:style w:type="paragraph" w:styleId="911" w:customStyle="1">
    <w:name w:val=" Char"/>
    <w:basedOn w:val="841"/>
    <w:uiPriority w:val="0"/>
    <w:qFormat/>
    <w:rPr>
      <w:rFonts w:ascii="Tahoma" w:hAnsi="Tahoma" w:eastAsia="宋体" w:cs="Times New Roman"/>
      <w:sz w:val="24"/>
      <w:szCs w:val="24"/>
    </w:rPr>
  </w:style>
  <w:style w:type="paragraph" w:styleId="912" w:customStyle="1">
    <w:name w:val="Char"/>
    <w:basedOn w:val="738"/>
    <w:uiPriority w:val="0"/>
    <w:qFormat/>
    <w:pPr>
      <w:ind w:firstLine="200"/>
      <w:tabs>
        <w:tab w:val="left" w:pos="360" w:leader="none"/>
      </w:tabs>
    </w:pPr>
    <w:rPr>
      <w:rFonts w:ascii="Times New Roman" w:hAnsi="Times New Roman" w:eastAsia="宋体" w:cs="Times New Roman"/>
      <w:sz w:val="28"/>
      <w:szCs w:val="30"/>
    </w:rPr>
  </w:style>
  <w:style w:type="paragraph" w:styleId="913" w:customStyle="1">
    <w:name w:val="xl2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4" w:customStyle="1">
    <w:name w:val="Body Text(ch)"/>
    <w:basedOn w:val="738"/>
    <w:next w:val="868"/>
    <w:uiPriority w:val="0"/>
    <w:qFormat/>
    <w:pPr>
      <w:spacing w:after="120"/>
    </w:pPr>
    <w:rPr>
      <w:rFonts w:ascii="宋体" w:hAnsi="Arial" w:eastAsia="宋体" w:cs="Times New Roman"/>
      <w:bCs/>
      <w:iCs/>
      <w:szCs w:val="24"/>
    </w:rPr>
  </w:style>
  <w:style w:type="paragraph" w:styleId="915"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6" w:customStyle="1">
    <w:name w:val="彩色列表1"/>
    <w:basedOn w:val="738"/>
    <w:uiPriority w:val="0"/>
    <w:qFormat/>
    <w:pPr>
      <w:ind w:firstLine="420"/>
    </w:pPr>
    <w:rPr>
      <w:rFonts w:ascii="Times New Roman" w:hAnsi="Times New Roman" w:eastAsia="宋体" w:cs="Times New Roman"/>
      <w:szCs w:val="24"/>
    </w:rPr>
  </w:style>
  <w:style w:type="paragraph" w:styleId="917" w:customStyle="1">
    <w:name w:val="正文文本11"/>
    <w:basedOn w:val="738"/>
    <w:next w:val="738"/>
    <w:uiPriority w:val="0"/>
    <w:qFormat/>
    <w:rPr>
      <w:rFonts w:ascii="楷体_GB2312" w:hAnsi="Arial" w:eastAsia="楷体_GB2312" w:cs="Times New Roman"/>
      <w:sz w:val="28"/>
      <w:szCs w:val="28"/>
    </w:rPr>
  </w:style>
  <w:style w:type="paragraph" w:styleId="918" w:customStyle="1">
    <w:name w:val="样式1"/>
    <w:basedOn w:val="738"/>
    <w:next w:val="738"/>
    <w:uiPriority w:val="0"/>
    <w:qFormat/>
    <w:pPr>
      <w:numPr>
        <w:ilvl w:val="0"/>
        <w:numId w:val="3"/>
      </w:numPr>
    </w:pPr>
    <w:rPr>
      <w:rFonts w:ascii="宋体" w:hAnsi="宋体" w:eastAsia="宋体" w:cs="Times New Roman"/>
      <w:szCs w:val="21"/>
    </w:rPr>
  </w:style>
  <w:style w:type="paragraph" w:styleId="919" w:customStyle="1">
    <w:name w:val="索引 11"/>
    <w:basedOn w:val="738"/>
    <w:next w:val="738"/>
    <w:uiPriority w:val="0"/>
    <w:qFormat/>
    <w:pPr>
      <w:spacing w:line="240" w:lineRule="atLeast"/>
    </w:pPr>
    <w:rPr>
      <w:rFonts w:ascii="Times New Roman" w:hAnsi="Times New Roman" w:eastAsia="宋体" w:cs="Times New Roman"/>
      <w:b/>
      <w:bCs/>
      <w:szCs w:val="21"/>
    </w:rPr>
  </w:style>
  <w:style w:type="paragraph" w:styleId="920" w:customStyle="1">
    <w:name w:val="普通(网站)1"/>
    <w:basedOn w:val="738"/>
    <w:uiPriority w:val="0"/>
    <w:qFormat/>
    <w:pPr>
      <w:jc w:val="left"/>
      <w:spacing w:before="100" w:beforeAutospacing="1" w:after="100" w:afterAutospacing="1"/>
      <w:widowControl/>
    </w:pPr>
    <w:rPr>
      <w:rFonts w:ascii="宋体" w:hAnsi="宋体" w:eastAsia="宋体" w:cs="宋体"/>
      <w:sz w:val="24"/>
      <w:szCs w:val="24"/>
    </w:rPr>
  </w:style>
  <w:style w:type="paragraph" w:styleId="921" w:customStyle="1">
    <w:name w:val="目录 91"/>
    <w:basedOn w:val="738"/>
    <w:next w:val="738"/>
    <w:uiPriority w:val="0"/>
    <w:qFormat/>
    <w:pPr>
      <w:ind w:left="1680"/>
      <w:jc w:val="left"/>
    </w:pPr>
    <w:rPr>
      <w:rFonts w:ascii="Times New Roman" w:hAnsi="Times New Roman" w:eastAsia="宋体" w:cs="Times New Roman"/>
      <w:szCs w:val="21"/>
    </w:rPr>
  </w:style>
  <w:style w:type="paragraph" w:styleId="922" w:customStyle="1">
    <w:name w:val="目录 21"/>
    <w:basedOn w:val="738"/>
    <w:next w:val="738"/>
    <w:uiPriority w:val="0"/>
    <w:qFormat/>
    <w:pPr>
      <w:ind w:left="210"/>
      <w:jc w:val="left"/>
    </w:pPr>
    <w:rPr>
      <w:rFonts w:ascii="Times New Roman" w:hAnsi="Times New Roman" w:eastAsia="宋体" w:cs="Times New Roman"/>
      <w:smallCaps/>
      <w:szCs w:val="24"/>
    </w:rPr>
  </w:style>
  <w:style w:type="paragraph" w:styleId="923" w:customStyle="1">
    <w:name w:val="列表1"/>
    <w:basedOn w:val="738"/>
    <w:uiPriority w:val="0"/>
    <w:qFormat/>
    <w:pPr>
      <w:ind w:left="200" w:hanging="200"/>
    </w:pPr>
    <w:rPr>
      <w:rFonts w:ascii="Times New Roman" w:hAnsi="Times New Roman" w:eastAsia="宋体" w:cs="Times New Roman"/>
      <w:szCs w:val="21"/>
    </w:rPr>
  </w:style>
  <w:style w:type="paragraph" w:styleId="924" w:customStyle="1">
    <w:name w:val="目录 41"/>
    <w:basedOn w:val="738"/>
    <w:next w:val="738"/>
    <w:uiPriority w:val="0"/>
    <w:qFormat/>
    <w:pPr>
      <w:ind w:left="630"/>
      <w:jc w:val="left"/>
    </w:pPr>
    <w:rPr>
      <w:rFonts w:ascii="Times New Roman" w:hAnsi="Times New Roman" w:eastAsia="宋体" w:cs="Times New Roman"/>
      <w:szCs w:val="21"/>
    </w:rPr>
  </w:style>
  <w:style w:type="paragraph" w:styleId="925" w:customStyle="1">
    <w:name w:val="目录 11"/>
    <w:basedOn w:val="738"/>
    <w:next w:val="738"/>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26" w:customStyle="1">
    <w:name w:val="xl24"/>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7" w:customStyle="1">
    <w:name w:val="目录 81"/>
    <w:basedOn w:val="738"/>
    <w:next w:val="738"/>
    <w:uiPriority w:val="0"/>
    <w:qFormat/>
    <w:pPr>
      <w:ind w:left="1470"/>
      <w:jc w:val="left"/>
    </w:pPr>
    <w:rPr>
      <w:rFonts w:ascii="Times New Roman" w:hAnsi="Times New Roman" w:eastAsia="宋体" w:cs="Times New Roman"/>
      <w:szCs w:val="21"/>
    </w:rPr>
  </w:style>
  <w:style w:type="paragraph" w:styleId="928"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9" w:customStyle="1">
    <w:name w:val="目录 31"/>
    <w:basedOn w:val="738"/>
    <w:next w:val="738"/>
    <w:uiPriority w:val="0"/>
    <w:qFormat/>
    <w:pPr>
      <w:ind w:left="420"/>
      <w:jc w:val="left"/>
    </w:pPr>
    <w:rPr>
      <w:rFonts w:ascii="Times New Roman" w:hAnsi="Times New Roman" w:eastAsia="宋体" w:cs="Times New Roman"/>
      <w:i/>
      <w:iCs/>
      <w:szCs w:val="24"/>
    </w:rPr>
  </w:style>
  <w:style w:type="paragraph" w:styleId="930" w:customStyle="1">
    <w:name w:val="目录 51"/>
    <w:basedOn w:val="738"/>
    <w:next w:val="738"/>
    <w:uiPriority w:val="0"/>
    <w:qFormat/>
    <w:pPr>
      <w:ind w:left="840"/>
      <w:jc w:val="left"/>
    </w:pPr>
    <w:rPr>
      <w:rFonts w:ascii="Times New Roman" w:hAnsi="Times New Roman" w:eastAsia="宋体" w:cs="Times New Roman"/>
      <w:szCs w:val="21"/>
    </w:rPr>
  </w:style>
  <w:style w:type="paragraph" w:styleId="931" w:customStyle="1">
    <w:name w:val="列出段落"/>
    <w:basedOn w:val="738"/>
    <w:uiPriority w:val="0"/>
    <w:qFormat/>
    <w:pPr>
      <w:contextualSpacing/>
      <w:ind w:left="720"/>
      <w:jc w:val="left"/>
      <w:widowControl/>
    </w:pPr>
    <w:rPr>
      <w:rFonts w:ascii="Calibri" w:hAnsi="Calibri" w:eastAsia="宋体" w:cs="Times New Roman"/>
      <w:sz w:val="24"/>
      <w:szCs w:val="24"/>
      <w:lang w:eastAsia="en-US" w:bidi="en-US"/>
    </w:rPr>
  </w:style>
  <w:style w:type="paragraph" w:styleId="932" w:customStyle="1">
    <w:name w:val="列表 21"/>
    <w:basedOn w:val="738"/>
    <w:uiPriority w:val="0"/>
    <w:qFormat/>
    <w:pPr>
      <w:ind w:left="100" w:hanging="200"/>
    </w:pPr>
    <w:rPr>
      <w:rFonts w:ascii="Times New Roman" w:hAnsi="Times New Roman" w:eastAsia="宋体" w:cs="Times New Roman"/>
      <w:szCs w:val="21"/>
    </w:rPr>
  </w:style>
  <w:style w:type="paragraph" w:styleId="933" w:customStyle="1">
    <w:name w:val="目录 71"/>
    <w:basedOn w:val="738"/>
    <w:next w:val="738"/>
    <w:uiPriority w:val="0"/>
    <w:qFormat/>
    <w:pPr>
      <w:ind w:left="1260"/>
      <w:jc w:val="left"/>
    </w:pPr>
    <w:rPr>
      <w:rFonts w:ascii="Times New Roman" w:hAnsi="Times New Roman" w:eastAsia="宋体" w:cs="Times New Roman"/>
      <w:szCs w:val="21"/>
    </w:rPr>
  </w:style>
  <w:style w:type="paragraph" w:styleId="934" w:customStyle="1">
    <w:name w:val="目录 61"/>
    <w:basedOn w:val="738"/>
    <w:next w:val="738"/>
    <w:uiPriority w:val="0"/>
    <w:qFormat/>
    <w:pPr>
      <w:ind w:left="1050"/>
      <w:jc w:val="left"/>
    </w:pPr>
    <w:rPr>
      <w:rFonts w:ascii="Times New Roman" w:hAnsi="Times New Roman" w:eastAsia="宋体" w:cs="Times New Roman"/>
      <w:szCs w:val="21"/>
    </w:rPr>
  </w:style>
  <w:style w:type="paragraph" w:styleId="935" w:customStyle="1">
    <w:name w:val="列表 31"/>
    <w:basedOn w:val="738"/>
    <w:uiPriority w:val="0"/>
    <w:qFormat/>
    <w:pPr>
      <w:ind w:left="100" w:hanging="200"/>
    </w:pPr>
    <w:rPr>
      <w:rFonts w:ascii="Times New Roman" w:hAnsi="Times New Roman" w:eastAsia="宋体" w:cs="Times New Roman"/>
      <w:szCs w:val="21"/>
    </w:rPr>
  </w:style>
  <w:style w:type="paragraph" w:styleId="936" w:customStyle="1">
    <w:name w:val=" Char Char Char Char Char Char Char Char Char Char"/>
    <w:basedOn w:val="738"/>
    <w:uiPriority w:val="0"/>
    <w:qFormat/>
    <w:pPr>
      <w:spacing w:line="360" w:lineRule="auto"/>
    </w:pPr>
    <w:rPr>
      <w:rFonts w:ascii="Times New Roman" w:hAnsi="Times New Roman" w:eastAsia="宋体" w:cs="Times New Roman"/>
      <w:sz w:val="24"/>
      <w:szCs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Caption1"/>
    <w:basedOn w:val="738"/>
    <w:next w:val="738"/>
    <w:uiPriority w:val="35"/>
    <w:unhideWhenUsed/>
    <w:qFormat/>
    <w:pPr>
      <w:spacing w:line="276" w:lineRule="auto"/>
    </w:pPr>
    <w:rPr>
      <w:b/>
      <w:bCs/>
      <w:color w:val="4f81bd"/>
      <w:sz w:val="18"/>
      <w:szCs w:val="18"/>
    </w:rPr>
  </w:style>
  <w:style w:type="paragraph" w:styleId="939">
    <w:name w:val="No Spacing"/>
    <w:uiPriority w:val="1"/>
    <w:qFormat/>
    <w:pPr>
      <w:spacing w:before="0" w:after="0" w:line="240" w:lineRule="auto"/>
    </w:pPr>
    <w:rPr>
      <w:rFonts w:hint="default" w:ascii="Times New Roman" w:hAnsi="Times New Roman" w:eastAsia="宋体" w:cs="Times New Roman"/>
    </w:rPr>
  </w:style>
  <w:style w:type="paragraph" w:styleId="940">
    <w:name w:val="List Paragraph"/>
    <w:basedOn w:val="738"/>
    <w:uiPriority w:val="34"/>
    <w:qFormat/>
    <w:pPr>
      <w:contextualSpacing/>
      <w:ind w:left="720"/>
    </w:pPr>
  </w:style>
  <w:style w:type="paragraph" w:styleId="941" w:customStyle="1">
    <w:name w:val="图表目录1"/>
    <w:basedOn w:val="738"/>
    <w:next w:val="738"/>
    <w:uiPriority w:val="0"/>
    <w:qFormat/>
    <w:pPr>
      <w:ind w:left="840" w:hanging="420"/>
    </w:pPr>
    <w:rPr>
      <w:rFonts w:ascii="Times New Roman" w:hAnsi="Times New Roman" w:eastAsia="宋体" w:cs="Times New Roman"/>
      <w:szCs w:val="21"/>
    </w:rPr>
  </w:style>
  <w:style w:type="paragraph" w:styleId="942" w:customStyle="1">
    <w:name w:val="font5"/>
    <w:basedOn w:val="73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43" w:customStyle="1">
    <w:name w:val="Normal_17_1"/>
    <w:uiPriority w:val="0"/>
    <w:qFormat/>
    <w:pPr>
      <w:jc w:val="both"/>
      <w:widowControl w:val="off"/>
    </w:pPr>
    <w:rPr>
      <w:rFonts w:hint="default" w:ascii="Calibri" w:hAnsi="Calibri" w:eastAsia="宋体" w:cs="Times New Roman"/>
      <w:sz w:val="21"/>
      <w:szCs w:val="22"/>
    </w:rPr>
  </w:style>
  <w:style w:type="paragraph" w:styleId="944" w:customStyle="1">
    <w:name w:val="4"/>
    <w:basedOn w:val="738"/>
    <w:next w:val="825"/>
    <w:uiPriority w:val="0"/>
    <w:qFormat/>
    <w:pPr>
      <w:ind w:firstLine="420"/>
      <w:spacing w:line="360" w:lineRule="auto"/>
    </w:pPr>
    <w:rPr>
      <w:rFonts w:ascii="Times New Roman" w:hAnsi="Times New Roman" w:eastAsia="宋体" w:cs="Times New Roman"/>
      <w:color w:val="ff0000"/>
      <w:sz w:val="24"/>
      <w:szCs w:val="24"/>
    </w:rPr>
  </w:style>
  <w:style w:type="table" w:styleId="945" w:customStyle="1">
    <w:name w:val="网格型1"/>
    <w:basedOn w:val="946"/>
    <w:uiPriority w:val="0"/>
    <w:qFormat/>
    <w:pPr>
      <w:jc w:val="both"/>
      <w:widowControl w:val="off"/>
    </w:pPr>
    <w:rPr>
      <w:rFonts w:ascii="Times New Roman" w:hAnsi="Times New Roman" w:eastAsia="宋体" w:cs="Times New Roman"/>
      <w:sz w:val="20"/>
      <w:szCs w:val="20"/>
    </w:rPr>
    <w:tblPr/>
  </w:style>
  <w:style w:type="table" w:styleId="946" w:customStyle="1">
    <w:name w:val="普通表格1"/>
    <w:uiPriority w:val="0"/>
    <w:qFormat/>
    <w:rPr>
      <w:rFonts w:ascii="Times New Roman" w:hAnsi="Times New Roman" w:eastAsia="宋体" w:cs="Times New Roman"/>
    </w:rPr>
    <w:tblPr/>
  </w:style>
  <w:style w:type="table" w:styleId="947" w:customStyle="1">
    <w:name w:val="Bordered - Accent 3"/>
    <w:uiPriority w:val="99"/>
    <w:qFormat/>
    <w:pPr>
      <w:spacing w:after="0" w:line="240" w:lineRule="auto"/>
    </w:pPr>
    <w:tblPr/>
  </w:style>
  <w:style w:type="table" w:styleId="948" w:customStyle="1">
    <w:name w:val="Bordered"/>
    <w:uiPriority w:val="99"/>
    <w:qFormat/>
    <w:pPr>
      <w:spacing w:after="0" w:line="240" w:lineRule="auto"/>
    </w:pPr>
    <w:tblPr/>
  </w:style>
  <w:style w:type="table" w:styleId="949" w:customStyle="1">
    <w:name w:val="Bordered &amp; Lined - Accent 6"/>
    <w:uiPriority w:val="99"/>
    <w:qFormat/>
    <w:pPr>
      <w:spacing w:after="0" w:line="240" w:lineRule="auto"/>
    </w:pPr>
    <w:rPr>
      <w:color w:val="404040"/>
    </w:rPr>
    <w:tblPr/>
  </w:style>
  <w:style w:type="table" w:styleId="950" w:customStyle="1">
    <w:name w:val="Bordered &amp; Lined - Accent 5"/>
    <w:uiPriority w:val="99"/>
    <w:qFormat/>
    <w:pPr>
      <w:spacing w:after="0" w:line="240" w:lineRule="auto"/>
    </w:pPr>
    <w:rPr>
      <w:color w:val="404040"/>
    </w:rPr>
    <w:tblPr/>
  </w:style>
  <w:style w:type="table" w:styleId="951" w:customStyle="1">
    <w:name w:val="Bordered &amp; Lined - Accent 3"/>
    <w:uiPriority w:val="99"/>
    <w:qFormat/>
    <w:pPr>
      <w:spacing w:after="0" w:line="240" w:lineRule="auto"/>
    </w:pPr>
    <w:rPr>
      <w:color w:val="404040"/>
    </w:rPr>
    <w:tblPr/>
  </w:style>
  <w:style w:type="table" w:styleId="952" w:customStyle="1">
    <w:name w:val="Bordered &amp; Lined - Accent"/>
    <w:uiPriority w:val="99"/>
    <w:qFormat/>
    <w:pPr>
      <w:spacing w:after="0" w:line="240" w:lineRule="auto"/>
    </w:pPr>
    <w:rPr>
      <w:color w:val="404040"/>
    </w:rPr>
    <w:tblPr/>
  </w:style>
  <w:style w:type="table" w:styleId="953" w:customStyle="1">
    <w:name w:val="Lined - Accent 4"/>
    <w:uiPriority w:val="99"/>
    <w:qFormat/>
    <w:pPr>
      <w:spacing w:after="0" w:line="240" w:lineRule="auto"/>
    </w:pPr>
    <w:rPr>
      <w:color w:val="404040"/>
    </w:rPr>
    <w:tblPr/>
  </w:style>
  <w:style w:type="table" w:styleId="954" w:customStyle="1">
    <w:name w:val="Lined - Accent 3"/>
    <w:uiPriority w:val="99"/>
    <w:qFormat/>
    <w:pPr>
      <w:spacing w:after="0" w:line="240" w:lineRule="auto"/>
    </w:pPr>
    <w:rPr>
      <w:color w:val="404040"/>
    </w:rPr>
    <w:tblPr/>
  </w:style>
  <w:style w:type="table" w:styleId="955" w:customStyle="1">
    <w:name w:val="Lined - Accent 2"/>
    <w:uiPriority w:val="99"/>
    <w:qFormat/>
    <w:pPr>
      <w:spacing w:after="0" w:line="240" w:lineRule="auto"/>
    </w:pPr>
    <w:rPr>
      <w:color w:val="404040"/>
    </w:rPr>
    <w:tblPr/>
  </w:style>
  <w:style w:type="table" w:styleId="956" w:customStyle="1">
    <w:name w:val="Lined - Accent 1"/>
    <w:uiPriority w:val="99"/>
    <w:qFormat/>
    <w:pPr>
      <w:spacing w:after="0" w:line="240" w:lineRule="auto"/>
    </w:pPr>
    <w:rPr>
      <w:color w:val="404040"/>
    </w:rPr>
    <w:tblPr/>
  </w:style>
  <w:style w:type="table" w:styleId="957" w:customStyle="1">
    <w:name w:val="List Table 7 Colorful - Accent 6"/>
    <w:uiPriority w:val="99"/>
    <w:qFormat/>
    <w:pPr>
      <w:spacing w:after="0" w:line="240" w:lineRule="auto"/>
    </w:pPr>
    <w:tblPr/>
  </w:style>
  <w:style w:type="table" w:styleId="958" w:customStyle="1">
    <w:name w:val="List Table 7 Colorful - Accent 2"/>
    <w:uiPriority w:val="99"/>
    <w:qFormat/>
    <w:pPr>
      <w:spacing w:after="0" w:line="240" w:lineRule="auto"/>
    </w:pPr>
    <w:tblPr/>
  </w:style>
  <w:style w:type="table" w:styleId="959" w:customStyle="1">
    <w:name w:val="List Table 7 Colorful - Accent 1"/>
    <w:uiPriority w:val="99"/>
    <w:qFormat/>
    <w:pPr>
      <w:spacing w:after="0" w:line="240" w:lineRule="auto"/>
    </w:pPr>
    <w:tblPr/>
  </w:style>
  <w:style w:type="table" w:styleId="960" w:customStyle="1">
    <w:name w:val="List Table 7 Colorful"/>
    <w:uiPriority w:val="99"/>
    <w:qFormat/>
    <w:pPr>
      <w:spacing w:after="0" w:line="240" w:lineRule="auto"/>
    </w:pPr>
    <w:tblPr/>
  </w:style>
  <w:style w:type="table" w:styleId="961" w:customStyle="1">
    <w:name w:val="List Table 6 Colorful - Accent 3"/>
    <w:uiPriority w:val="99"/>
    <w:qFormat/>
    <w:pPr>
      <w:spacing w:after="0" w:line="240" w:lineRule="auto"/>
    </w:pPr>
    <w:tblPr/>
  </w:style>
  <w:style w:type="table" w:styleId="962" w:customStyle="1">
    <w:name w:val="List Table 6 Colorful - Accent 2"/>
    <w:uiPriority w:val="99"/>
    <w:qFormat/>
    <w:pPr>
      <w:spacing w:after="0" w:line="240" w:lineRule="auto"/>
    </w:pPr>
    <w:tblPr/>
  </w:style>
  <w:style w:type="table" w:styleId="963" w:customStyle="1">
    <w:name w:val="List Table 6 Colorful - Accent 1"/>
    <w:uiPriority w:val="99"/>
    <w:qFormat/>
    <w:pPr>
      <w:spacing w:after="0" w:line="240" w:lineRule="auto"/>
    </w:pPr>
    <w:tblPr/>
  </w:style>
  <w:style w:type="table" w:styleId="964" w:customStyle="1">
    <w:name w:val="List Table 6 Colorful"/>
    <w:uiPriority w:val="99"/>
    <w:qFormat/>
    <w:pPr>
      <w:spacing w:after="0" w:line="240" w:lineRule="auto"/>
    </w:pPr>
    <w:tblPr/>
  </w:style>
  <w:style w:type="table" w:styleId="965" w:customStyle="1">
    <w:name w:val="List Table 5 Dark - Accent 5"/>
    <w:uiPriority w:val="99"/>
    <w:qFormat/>
    <w:pPr>
      <w:spacing w:after="0" w:line="240" w:lineRule="auto"/>
    </w:pPr>
    <w:tblPr/>
  </w:style>
  <w:style w:type="table" w:styleId="966" w:customStyle="1">
    <w:name w:val="List Table 4 - Accent 6"/>
    <w:uiPriority w:val="99"/>
    <w:qFormat/>
    <w:pPr>
      <w:spacing w:after="0" w:line="240" w:lineRule="auto"/>
    </w:pPr>
    <w:tblPr/>
  </w:style>
  <w:style w:type="table" w:styleId="967" w:customStyle="1">
    <w:name w:val="List Table 4 - Accent 5"/>
    <w:uiPriority w:val="99"/>
    <w:qFormat/>
    <w:pPr>
      <w:spacing w:after="0" w:line="240" w:lineRule="auto"/>
    </w:pPr>
    <w:tblPr/>
  </w:style>
  <w:style w:type="table" w:styleId="968" w:customStyle="1">
    <w:name w:val="List Table 4 - Accent 2"/>
    <w:uiPriority w:val="99"/>
    <w:qFormat/>
    <w:pPr>
      <w:spacing w:after="0" w:line="240" w:lineRule="auto"/>
    </w:pPr>
    <w:tblPr/>
  </w:style>
  <w:style w:type="table" w:styleId="969" w:customStyle="1">
    <w:name w:val="List Table 4 - Accent 1"/>
    <w:uiPriority w:val="99"/>
    <w:qFormat/>
    <w:pPr>
      <w:spacing w:after="0" w:line="240" w:lineRule="auto"/>
    </w:pPr>
    <w:tblPr/>
  </w:style>
  <w:style w:type="table" w:styleId="970" w:customStyle="1">
    <w:name w:val="List Table 3 - Accent 6"/>
    <w:uiPriority w:val="99"/>
    <w:qFormat/>
    <w:pPr>
      <w:spacing w:after="0" w:line="240" w:lineRule="auto"/>
    </w:pPr>
    <w:tblPr/>
  </w:style>
  <w:style w:type="table" w:styleId="971" w:customStyle="1">
    <w:name w:val="List Table 3 - Accent 3"/>
    <w:uiPriority w:val="99"/>
    <w:qFormat/>
    <w:pPr>
      <w:spacing w:after="0" w:line="240" w:lineRule="auto"/>
    </w:pPr>
    <w:tblPr/>
  </w:style>
  <w:style w:type="table" w:styleId="972" w:customStyle="1">
    <w:name w:val="List Table 3 - Accent 2"/>
    <w:uiPriority w:val="99"/>
    <w:qFormat/>
    <w:pPr>
      <w:spacing w:after="0" w:line="240" w:lineRule="auto"/>
    </w:pPr>
    <w:tblPr/>
  </w:style>
  <w:style w:type="table" w:styleId="973" w:customStyle="1">
    <w:name w:val="List Table 4 - Accent 3"/>
    <w:uiPriority w:val="99"/>
    <w:qFormat/>
    <w:pPr>
      <w:spacing w:after="0" w:line="240" w:lineRule="auto"/>
    </w:pPr>
    <w:tblPr/>
  </w:style>
  <w:style w:type="table" w:styleId="974" w:customStyle="1">
    <w:name w:val="List Table 3 - Accent 1"/>
    <w:uiPriority w:val="99"/>
    <w:qFormat/>
    <w:pPr>
      <w:spacing w:after="0" w:line="240" w:lineRule="auto"/>
    </w:pPr>
    <w:tblPr/>
  </w:style>
  <w:style w:type="table" w:styleId="975" w:customStyle="1">
    <w:name w:val="List Table 3"/>
    <w:uiPriority w:val="99"/>
    <w:qFormat/>
    <w:pPr>
      <w:spacing w:after="0" w:line="240" w:lineRule="auto"/>
    </w:pPr>
    <w:tblPr/>
  </w:style>
  <w:style w:type="table" w:styleId="976" w:customStyle="1">
    <w:name w:val="List Table 2 - Accent 6"/>
    <w:uiPriority w:val="99"/>
    <w:qFormat/>
    <w:pPr>
      <w:spacing w:after="0" w:line="240" w:lineRule="auto"/>
    </w:pPr>
    <w:tblPr/>
  </w:style>
  <w:style w:type="table" w:styleId="977" w:customStyle="1">
    <w:name w:val="List Table 2 - Accent 5"/>
    <w:uiPriority w:val="99"/>
    <w:qFormat/>
    <w:pPr>
      <w:spacing w:after="0" w:line="240" w:lineRule="auto"/>
    </w:pPr>
    <w:tblPr/>
  </w:style>
  <w:style w:type="table" w:styleId="978" w:customStyle="1">
    <w:name w:val="List Table 2 - Accent 3"/>
    <w:uiPriority w:val="99"/>
    <w:qFormat/>
    <w:pPr>
      <w:spacing w:after="0" w:line="240" w:lineRule="auto"/>
    </w:pPr>
    <w:tblPr/>
  </w:style>
  <w:style w:type="table" w:styleId="979" w:customStyle="1">
    <w:name w:val="List Table 2 - Accent 2"/>
    <w:uiPriority w:val="99"/>
    <w:qFormat/>
    <w:pPr>
      <w:spacing w:after="0" w:line="240" w:lineRule="auto"/>
    </w:pPr>
    <w:tblPr/>
  </w:style>
  <w:style w:type="table" w:styleId="980" w:customStyle="1">
    <w:name w:val="List Table 1 Light - Accent 6"/>
    <w:uiPriority w:val="99"/>
    <w:qFormat/>
    <w:pPr>
      <w:spacing w:after="0" w:line="240" w:lineRule="auto"/>
    </w:pPr>
    <w:tblPr/>
  </w:style>
  <w:style w:type="table" w:styleId="981" w:customStyle="1">
    <w:name w:val="List Table 1 Light - Accent 2"/>
    <w:uiPriority w:val="99"/>
    <w:qFormat/>
    <w:pPr>
      <w:spacing w:after="0" w:line="240" w:lineRule="auto"/>
    </w:pPr>
    <w:tblPr/>
  </w:style>
  <w:style w:type="table" w:styleId="982" w:customStyle="1">
    <w:name w:val="List Table 7 Colorful - Accent 4"/>
    <w:uiPriority w:val="99"/>
    <w:qFormat/>
    <w:pPr>
      <w:spacing w:after="0" w:line="240" w:lineRule="auto"/>
    </w:pPr>
    <w:tblPr/>
  </w:style>
  <w:style w:type="table" w:styleId="983" w:customStyle="1">
    <w:name w:val="Grid Table 7 Colorful - Accent 5"/>
    <w:uiPriority w:val="99"/>
    <w:qFormat/>
    <w:pPr>
      <w:spacing w:after="0" w:line="240" w:lineRule="auto"/>
    </w:pPr>
    <w:tblPr/>
  </w:style>
  <w:style w:type="table" w:styleId="984" w:customStyle="1">
    <w:name w:val="Grid Table 7 Colorful - Accent 4"/>
    <w:uiPriority w:val="99"/>
    <w:qFormat/>
    <w:pPr>
      <w:spacing w:after="0" w:line="240" w:lineRule="auto"/>
    </w:pPr>
    <w:tblPr/>
  </w:style>
  <w:style w:type="table" w:styleId="985" w:customStyle="1">
    <w:name w:val="Grid Table 7 Colorful - Accent 1"/>
    <w:uiPriority w:val="99"/>
    <w:qFormat/>
    <w:pPr>
      <w:spacing w:after="0" w:line="240" w:lineRule="auto"/>
    </w:pPr>
    <w:tblPr/>
  </w:style>
  <w:style w:type="table" w:styleId="986" w:customStyle="1">
    <w:name w:val="Grid Table 6 Colorful - Accent 6"/>
    <w:uiPriority w:val="99"/>
    <w:qFormat/>
    <w:pPr>
      <w:spacing w:after="0" w:line="240" w:lineRule="auto"/>
    </w:pPr>
    <w:tblPr/>
  </w:style>
  <w:style w:type="table" w:styleId="987" w:customStyle="1">
    <w:name w:val="Grid Table 6 Colorful - Accent 1"/>
    <w:uiPriority w:val="99"/>
    <w:qFormat/>
    <w:pPr>
      <w:spacing w:after="0" w:line="240" w:lineRule="auto"/>
    </w:pPr>
    <w:tblPr/>
  </w:style>
  <w:style w:type="table" w:styleId="988" w:customStyle="1">
    <w:name w:val="Grid Table 5 Dark - Accent 6"/>
    <w:uiPriority w:val="99"/>
    <w:qFormat/>
    <w:pPr>
      <w:spacing w:after="0" w:line="240" w:lineRule="auto"/>
    </w:pPr>
    <w:tblPr/>
  </w:style>
  <w:style w:type="table" w:styleId="989" w:customStyle="1">
    <w:name w:val="Grid Table 5 Dark - Accent 5"/>
    <w:uiPriority w:val="99"/>
    <w:qFormat/>
    <w:pPr>
      <w:spacing w:after="0" w:line="240" w:lineRule="auto"/>
    </w:pPr>
    <w:tblPr/>
  </w:style>
  <w:style w:type="table" w:styleId="990" w:customStyle="1">
    <w:name w:val="Grid Table 5 Dark- Accent 4"/>
    <w:uiPriority w:val="99"/>
    <w:qFormat/>
    <w:pPr>
      <w:spacing w:after="0" w:line="240" w:lineRule="auto"/>
    </w:pPr>
    <w:tblPr/>
  </w:style>
  <w:style w:type="table" w:styleId="991" w:customStyle="1">
    <w:name w:val="Grid Table 5 Dark- Accent 1"/>
    <w:uiPriority w:val="99"/>
    <w:qFormat/>
    <w:pPr>
      <w:spacing w:after="0" w:line="240" w:lineRule="auto"/>
    </w:pPr>
    <w:tblPr/>
  </w:style>
  <w:style w:type="table" w:styleId="992" w:customStyle="1">
    <w:name w:val="Grid Table 5 Dark"/>
    <w:uiPriority w:val="99"/>
    <w:qFormat/>
    <w:pPr>
      <w:spacing w:after="0" w:line="240" w:lineRule="auto"/>
    </w:pPr>
    <w:tblPr/>
  </w:style>
  <w:style w:type="table" w:styleId="993" w:customStyle="1">
    <w:name w:val="Lined - Accent 5"/>
    <w:uiPriority w:val="99"/>
    <w:qFormat/>
    <w:pPr>
      <w:spacing w:after="0" w:line="240" w:lineRule="auto"/>
    </w:pPr>
    <w:rPr>
      <w:color w:val="404040"/>
    </w:rPr>
    <w:tblPr/>
  </w:style>
  <w:style w:type="table" w:styleId="994" w:customStyle="1">
    <w:name w:val="Grid Table 4 - Accent 6"/>
    <w:uiPriority w:val="59"/>
    <w:qFormat/>
    <w:pPr>
      <w:spacing w:after="0" w:line="240" w:lineRule="auto"/>
    </w:pPr>
    <w:tblPr/>
  </w:style>
  <w:style w:type="table" w:styleId="995" w:customStyle="1">
    <w:name w:val="Grid Table 4 - Accent 5"/>
    <w:uiPriority w:val="59"/>
    <w:qFormat/>
    <w:pPr>
      <w:spacing w:after="0" w:line="240" w:lineRule="auto"/>
    </w:pPr>
    <w:tblPr/>
  </w:style>
  <w:style w:type="table" w:styleId="996" w:customStyle="1">
    <w:name w:val="List Table 2 - Accent 4"/>
    <w:uiPriority w:val="99"/>
    <w:qFormat/>
    <w:pPr>
      <w:spacing w:after="0" w:line="240" w:lineRule="auto"/>
    </w:pPr>
    <w:tblPr/>
  </w:style>
  <w:style w:type="table" w:styleId="997" w:customStyle="1">
    <w:name w:val="Grid Table 4 - Accent 3"/>
    <w:uiPriority w:val="59"/>
    <w:qFormat/>
    <w:pPr>
      <w:spacing w:after="0" w:line="240" w:lineRule="auto"/>
    </w:pPr>
    <w:tblPr/>
  </w:style>
  <w:style w:type="table" w:styleId="998" w:customStyle="1">
    <w:name w:val="List Table 1 Light - Accent 3"/>
    <w:uiPriority w:val="99"/>
    <w:qFormat/>
    <w:pPr>
      <w:spacing w:after="0" w:line="240" w:lineRule="auto"/>
    </w:pPr>
    <w:tblPr/>
  </w:style>
  <w:style w:type="table" w:styleId="999" w:customStyle="1">
    <w:name w:val="Grid Table 4 - Accent 2"/>
    <w:uiPriority w:val="59"/>
    <w:qFormat/>
    <w:pPr>
      <w:spacing w:after="0" w:line="240" w:lineRule="auto"/>
    </w:pPr>
    <w:tblPr/>
  </w:style>
  <w:style w:type="table" w:styleId="1000" w:customStyle="1">
    <w:name w:val="Grid Table 4"/>
    <w:uiPriority w:val="59"/>
    <w:qFormat/>
    <w:pPr>
      <w:spacing w:after="0" w:line="240" w:lineRule="auto"/>
    </w:pPr>
    <w:tblPr/>
  </w:style>
  <w:style w:type="table" w:styleId="1001" w:customStyle="1">
    <w:name w:val="Grid Table 7 Colorful - Accent 2"/>
    <w:uiPriority w:val="99"/>
    <w:qFormat/>
    <w:pPr>
      <w:spacing w:after="0" w:line="240" w:lineRule="auto"/>
    </w:pPr>
    <w:tblPr/>
  </w:style>
  <w:style w:type="table" w:styleId="1002" w:customStyle="1">
    <w:name w:val="Grid Table 3 - Accent 5"/>
    <w:uiPriority w:val="99"/>
    <w:qFormat/>
    <w:pPr>
      <w:spacing w:after="0" w:line="240" w:lineRule="auto"/>
    </w:pPr>
    <w:tblPr/>
  </w:style>
  <w:style w:type="table" w:styleId="1003" w:customStyle="1">
    <w:name w:val="List Table 5 Dark - Accent 3"/>
    <w:uiPriority w:val="99"/>
    <w:qFormat/>
    <w:pPr>
      <w:spacing w:after="0" w:line="240" w:lineRule="auto"/>
    </w:pPr>
    <w:tblPr/>
  </w:style>
  <w:style w:type="table" w:styleId="1004" w:customStyle="1">
    <w:name w:val="Grid Table 3 - Accent 2"/>
    <w:uiPriority w:val="99"/>
    <w:qFormat/>
    <w:pPr>
      <w:spacing w:after="0" w:line="240" w:lineRule="auto"/>
    </w:pPr>
    <w:tblPr/>
  </w:style>
  <w:style w:type="table" w:styleId="1005" w:customStyle="1">
    <w:name w:val="Grid Table 3"/>
    <w:uiPriority w:val="99"/>
    <w:qFormat/>
    <w:pPr>
      <w:spacing w:after="0" w:line="240" w:lineRule="auto"/>
    </w:pPr>
    <w:tblPr/>
  </w:style>
  <w:style w:type="table" w:styleId="1006" w:customStyle="1">
    <w:name w:val="List Table 1 Light"/>
    <w:uiPriority w:val="99"/>
    <w:qFormat/>
    <w:pPr>
      <w:spacing w:after="0" w:line="240" w:lineRule="auto"/>
    </w:pPr>
    <w:tblPr/>
  </w:style>
  <w:style w:type="table" w:styleId="1007" w:customStyle="1">
    <w:name w:val="Grid Table 2 - Accent 6"/>
    <w:uiPriority w:val="99"/>
    <w:qFormat/>
    <w:pPr>
      <w:spacing w:after="0" w:line="240" w:lineRule="auto"/>
    </w:pPr>
    <w:tblPr/>
  </w:style>
  <w:style w:type="table" w:styleId="1008" w:customStyle="1">
    <w:name w:val="Grid Table 2 - Accent 4"/>
    <w:uiPriority w:val="99"/>
    <w:qFormat/>
    <w:pPr>
      <w:spacing w:after="0" w:line="240" w:lineRule="auto"/>
    </w:pPr>
    <w:tblPr/>
  </w:style>
  <w:style w:type="table" w:styleId="1009" w:customStyle="1">
    <w:name w:val="List Table 7 Colorful - Accent 5"/>
    <w:uiPriority w:val="99"/>
    <w:qFormat/>
    <w:pPr>
      <w:spacing w:after="0" w:line="240" w:lineRule="auto"/>
    </w:pPr>
    <w:tblPr/>
  </w:style>
  <w:style w:type="table" w:styleId="1010" w:customStyle="1">
    <w:name w:val="Grid Table 2 - Accent 3"/>
    <w:uiPriority w:val="99"/>
    <w:qFormat/>
    <w:pPr>
      <w:spacing w:after="0" w:line="240" w:lineRule="auto"/>
    </w:pPr>
    <w:tblPr/>
  </w:style>
  <w:style w:type="table" w:styleId="1011" w:customStyle="1">
    <w:name w:val="Bordered - Accent 4"/>
    <w:uiPriority w:val="99"/>
    <w:qFormat/>
    <w:pPr>
      <w:spacing w:after="0" w:line="240" w:lineRule="auto"/>
    </w:pPr>
    <w:tblPr/>
  </w:style>
  <w:style w:type="table" w:styleId="1012" w:customStyle="1">
    <w:name w:val="Bordered - Accent 2"/>
    <w:uiPriority w:val="99"/>
    <w:qFormat/>
    <w:pPr>
      <w:spacing w:after="0" w:line="240" w:lineRule="auto"/>
    </w:pPr>
    <w:tblPr/>
  </w:style>
  <w:style w:type="table" w:styleId="1013" w:customStyle="1">
    <w:name w:val="Grid Table 2 - Accent 2"/>
    <w:uiPriority w:val="99"/>
    <w:qFormat/>
    <w:pPr>
      <w:spacing w:after="0" w:line="240" w:lineRule="auto"/>
    </w:pPr>
    <w:tblPr/>
  </w:style>
  <w:style w:type="table" w:styleId="1014" w:customStyle="1">
    <w:name w:val="Grid Table 2 - Accent 1"/>
    <w:uiPriority w:val="99"/>
    <w:qFormat/>
    <w:pPr>
      <w:spacing w:after="0" w:line="240" w:lineRule="auto"/>
    </w:pPr>
    <w:tblPr/>
  </w:style>
  <w:style w:type="table" w:styleId="1015" w:customStyle="1">
    <w:name w:val="Grid Table 2"/>
    <w:uiPriority w:val="99"/>
    <w:qFormat/>
    <w:pPr>
      <w:spacing w:after="0" w:line="240" w:lineRule="auto"/>
    </w:pPr>
    <w:tblPr/>
  </w:style>
  <w:style w:type="table" w:styleId="1016" w:customStyle="1">
    <w:name w:val="Grid Table 1 Light - Accent 6"/>
    <w:uiPriority w:val="99"/>
    <w:qFormat/>
    <w:pPr>
      <w:spacing w:after="0" w:line="240" w:lineRule="auto"/>
    </w:pPr>
    <w:tblPr/>
  </w:style>
  <w:style w:type="table" w:styleId="1017" w:customStyle="1">
    <w:name w:val="Grid Table 6 Colorful - Accent 2"/>
    <w:uiPriority w:val="99"/>
    <w:qFormat/>
    <w:pPr>
      <w:spacing w:after="0" w:line="240" w:lineRule="auto"/>
    </w:pPr>
    <w:tblPr/>
  </w:style>
  <w:style w:type="table" w:styleId="1018" w:customStyle="1">
    <w:name w:val="Grid Table 1 Light - Accent 4"/>
    <w:uiPriority w:val="99"/>
    <w:qFormat/>
    <w:pPr>
      <w:spacing w:after="0" w:line="240" w:lineRule="auto"/>
    </w:pPr>
    <w:tblPr/>
  </w:style>
  <w:style w:type="table" w:styleId="1019" w:customStyle="1">
    <w:name w:val="Bordered - Accent 6"/>
    <w:uiPriority w:val="99"/>
    <w:qFormat/>
    <w:pPr>
      <w:spacing w:after="0" w:line="240" w:lineRule="auto"/>
    </w:pPr>
    <w:tblPr/>
  </w:style>
  <w:style w:type="table" w:styleId="1020" w:customStyle="1">
    <w:name w:val="Grid Table 1 Light - Accent 2"/>
    <w:uiPriority w:val="99"/>
    <w:qFormat/>
    <w:pPr>
      <w:spacing w:after="0" w:line="240" w:lineRule="auto"/>
    </w:pPr>
    <w:tblPr/>
  </w:style>
  <w:style w:type="table" w:styleId="1021" w:customStyle="1">
    <w:name w:val="Grid Table 1 Light - Accent 1"/>
    <w:uiPriority w:val="99"/>
    <w:qFormat/>
    <w:pPr>
      <w:spacing w:after="0" w:line="240" w:lineRule="auto"/>
    </w:pPr>
    <w:tblPr/>
  </w:style>
  <w:style w:type="table" w:styleId="1022" w:customStyle="1">
    <w:name w:val="Grid Table 1 Light"/>
    <w:uiPriority w:val="99"/>
    <w:qFormat/>
    <w:pPr>
      <w:spacing w:after="0" w:line="240" w:lineRule="auto"/>
    </w:pPr>
    <w:tblPr/>
  </w:style>
  <w:style w:type="table" w:styleId="1023" w:customStyle="1">
    <w:name w:val="Plain Table 3"/>
    <w:uiPriority w:val="99"/>
    <w:qFormat/>
    <w:pPr>
      <w:spacing w:after="0" w:line="240" w:lineRule="auto"/>
    </w:pPr>
    <w:tblPr/>
  </w:style>
  <w:style w:type="table" w:styleId="1024" w:customStyle="1">
    <w:name w:val="Plain Table 1"/>
    <w:uiPriority w:val="59"/>
    <w:qFormat/>
    <w:pPr>
      <w:spacing w:after="0" w:line="240" w:lineRule="auto"/>
    </w:pPr>
    <w:tblPr/>
  </w:style>
  <w:style w:type="table" w:styleId="1025" w:customStyle="1">
    <w:name w:val="Table Grid Light"/>
    <w:uiPriority w:val="59"/>
    <w:qFormat/>
    <w:pPr>
      <w:spacing w:after="0" w:line="240" w:lineRule="auto"/>
    </w:pPr>
    <w:tblPr/>
  </w:style>
  <w:style w:type="table" w:styleId="1026" w:customStyle="1">
    <w:name w:val="List Table 1 Light - Accent 1"/>
    <w:uiPriority w:val="99"/>
    <w:qFormat/>
    <w:pPr>
      <w:spacing w:after="0" w:line="240" w:lineRule="auto"/>
    </w:pPr>
    <w:tblPr/>
  </w:style>
  <w:style w:type="table" w:styleId="1027" w:customStyle="1">
    <w:name w:val="Grid Table 6 Colorful - Accent 5"/>
    <w:uiPriority w:val="99"/>
    <w:qFormat/>
    <w:pPr>
      <w:spacing w:after="0" w:line="240" w:lineRule="auto"/>
    </w:pPr>
    <w:tblPr/>
  </w:style>
  <w:style w:type="table" w:styleId="1028" w:customStyle="1">
    <w:name w:val="Grid Table 6 Colorful - Accent 3"/>
    <w:uiPriority w:val="99"/>
    <w:qFormat/>
    <w:pPr>
      <w:spacing w:after="0" w:line="240" w:lineRule="auto"/>
    </w:pPr>
    <w:tblPr/>
  </w:style>
  <w:style w:type="table" w:styleId="1029" w:customStyle="1">
    <w:name w:val="Grid Table 7 Colorful"/>
    <w:uiPriority w:val="99"/>
    <w:qFormat/>
    <w:pPr>
      <w:spacing w:after="0" w:line="240" w:lineRule="auto"/>
    </w:pPr>
    <w:tblPr/>
  </w:style>
  <w:style w:type="table" w:styleId="1030" w:customStyle="1">
    <w:name w:val="Grid Table 2 - Accent 5"/>
    <w:uiPriority w:val="99"/>
    <w:qFormat/>
    <w:pPr>
      <w:spacing w:after="0" w:line="240" w:lineRule="auto"/>
    </w:pPr>
    <w:tblPr/>
  </w:style>
  <w:style w:type="table" w:styleId="1031" w:customStyle="1">
    <w:name w:val="List Table 5 Dark - Accent 4"/>
    <w:uiPriority w:val="99"/>
    <w:qFormat/>
    <w:pPr>
      <w:spacing w:after="0" w:line="240" w:lineRule="auto"/>
    </w:pPr>
    <w:tblPr/>
  </w:style>
  <w:style w:type="table" w:styleId="1032" w:customStyle="1">
    <w:name w:val="Grid Table 7 Colorful - Accent 6"/>
    <w:uiPriority w:val="99"/>
    <w:qFormat/>
    <w:pPr>
      <w:spacing w:after="0" w:line="240" w:lineRule="auto"/>
    </w:pPr>
    <w:tblPr/>
  </w:style>
  <w:style w:type="table" w:styleId="1033" w:customStyle="1">
    <w:name w:val="Table Normal"/>
    <w:uiPriority w:val="0"/>
    <w:unhideWhenUsed/>
    <w:qFormat/>
    <w:tblPr/>
  </w:style>
  <w:style w:type="table" w:styleId="1034" w:customStyle="1">
    <w:name w:val="Bordered - Accent 1"/>
    <w:uiPriority w:val="99"/>
    <w:qFormat/>
    <w:pPr>
      <w:spacing w:after="0" w:line="240" w:lineRule="auto"/>
    </w:pPr>
    <w:tblPr/>
  </w:style>
  <w:style w:type="table" w:styleId="1035" w:customStyle="1">
    <w:name w:val="Grid Table 3 - Accent 6"/>
    <w:uiPriority w:val="99"/>
    <w:qFormat/>
    <w:pPr>
      <w:spacing w:after="0" w:line="240" w:lineRule="auto"/>
    </w:pPr>
    <w:tblPr/>
  </w:style>
  <w:style w:type="table" w:styleId="1036" w:customStyle="1">
    <w:name w:val="List Table 5 Dark - Accent 2"/>
    <w:uiPriority w:val="99"/>
    <w:qFormat/>
    <w:pPr>
      <w:spacing w:after="0" w:line="240" w:lineRule="auto"/>
    </w:pPr>
    <w:tblPr/>
  </w:style>
  <w:style w:type="table" w:styleId="1037" w:customStyle="1">
    <w:name w:val="Grid Table 3 - Accent 4"/>
    <w:uiPriority w:val="99"/>
    <w:qFormat/>
    <w:pPr>
      <w:spacing w:after="0" w:line="240" w:lineRule="auto"/>
    </w:pPr>
    <w:tblPr/>
  </w:style>
  <w:style w:type="table" w:styleId="1038" w:customStyle="1">
    <w:name w:val="Bordered &amp; Lined - Accent 4"/>
    <w:uiPriority w:val="99"/>
    <w:qFormat/>
    <w:pPr>
      <w:spacing w:after="0" w:line="240" w:lineRule="auto"/>
    </w:pPr>
    <w:rPr>
      <w:color w:val="404040"/>
    </w:rPr>
    <w:tblPr/>
  </w:style>
  <w:style w:type="table" w:styleId="1039" w:customStyle="1">
    <w:name w:val="List Table 6 Colorful - Accent 5"/>
    <w:uiPriority w:val="99"/>
    <w:qFormat/>
    <w:pPr>
      <w:spacing w:after="0" w:line="240" w:lineRule="auto"/>
    </w:pPr>
    <w:tblPr/>
  </w:style>
  <w:style w:type="table" w:styleId="1040" w:customStyle="1">
    <w:name w:val="Plain Table 5"/>
    <w:uiPriority w:val="99"/>
    <w:qFormat/>
    <w:pPr>
      <w:spacing w:after="0" w:line="240" w:lineRule="auto"/>
    </w:pPr>
    <w:tblPr/>
  </w:style>
  <w:style w:type="table" w:styleId="1041" w:customStyle="1">
    <w:name w:val="List Table 4"/>
    <w:uiPriority w:val="99"/>
    <w:qFormat/>
    <w:pPr>
      <w:spacing w:after="0" w:line="240" w:lineRule="auto"/>
    </w:pPr>
    <w:tblPr/>
  </w:style>
  <w:style w:type="table" w:styleId="1042" w:customStyle="1">
    <w:name w:val="List Table 3 - Accent 4"/>
    <w:uiPriority w:val="99"/>
    <w:qFormat/>
    <w:pPr>
      <w:spacing w:after="0" w:line="240" w:lineRule="auto"/>
    </w:pPr>
    <w:tblPr/>
  </w:style>
  <w:style w:type="table" w:styleId="1043" w:customStyle="1">
    <w:name w:val="Grid Table 1 Light - Accent 3"/>
    <w:uiPriority w:val="99"/>
    <w:qFormat/>
    <w:pPr>
      <w:spacing w:after="0" w:line="240" w:lineRule="auto"/>
    </w:pPr>
    <w:tblPr/>
  </w:style>
  <w:style w:type="table" w:styleId="1044" w:customStyle="1">
    <w:name w:val="Grid Table 6 Colorful - Accent 4"/>
    <w:uiPriority w:val="99"/>
    <w:qFormat/>
    <w:pPr>
      <w:spacing w:after="0" w:line="240" w:lineRule="auto"/>
    </w:pPr>
    <w:tblPr/>
  </w:style>
  <w:style w:type="table" w:styleId="1045" w:customStyle="1">
    <w:name w:val="Lined - Accent 6"/>
    <w:uiPriority w:val="99"/>
    <w:qFormat/>
    <w:pPr>
      <w:spacing w:after="0" w:line="240" w:lineRule="auto"/>
    </w:pPr>
    <w:rPr>
      <w:color w:val="404040"/>
    </w:rPr>
    <w:tblPr/>
  </w:style>
  <w:style w:type="table" w:styleId="1046" w:customStyle="1">
    <w:name w:val="List Table 6 Colorful - Accent 6"/>
    <w:uiPriority w:val="99"/>
    <w:qFormat/>
    <w:pPr>
      <w:spacing w:after="0" w:line="240" w:lineRule="auto"/>
    </w:pPr>
    <w:tblPr/>
  </w:style>
  <w:style w:type="table" w:styleId="1047" w:customStyle="1">
    <w:name w:val="List Table 5 Dark - Accent 1"/>
    <w:uiPriority w:val="99"/>
    <w:qFormat/>
    <w:pPr>
      <w:spacing w:after="0" w:line="240" w:lineRule="auto"/>
    </w:pPr>
    <w:tblPr/>
  </w:style>
  <w:style w:type="table" w:styleId="1048" w:customStyle="1">
    <w:name w:val="Grid Table 1 Light - Accent 5"/>
    <w:uiPriority w:val="99"/>
    <w:qFormat/>
    <w:pPr>
      <w:spacing w:after="0" w:line="240" w:lineRule="auto"/>
    </w:pPr>
    <w:tblPr/>
  </w:style>
  <w:style w:type="table" w:styleId="1049" w:customStyle="1">
    <w:name w:val="List Table 5 Dark"/>
    <w:uiPriority w:val="99"/>
    <w:qFormat/>
    <w:pPr>
      <w:spacing w:after="0" w:line="240" w:lineRule="auto"/>
    </w:pPr>
    <w:tblPr/>
  </w:style>
  <w:style w:type="table" w:styleId="1050" w:customStyle="1">
    <w:name w:val="List Table 1 Light - Accent 4"/>
    <w:uiPriority w:val="99"/>
    <w:qFormat/>
    <w:pPr>
      <w:spacing w:after="0" w:line="240" w:lineRule="auto"/>
    </w:pPr>
    <w:tblPr/>
  </w:style>
  <w:style w:type="table" w:styleId="1051" w:customStyle="1">
    <w:name w:val="Bordered &amp; Lined - Accent 2"/>
    <w:uiPriority w:val="99"/>
    <w:qFormat/>
    <w:pPr>
      <w:spacing w:after="0" w:line="240" w:lineRule="auto"/>
    </w:pPr>
    <w:rPr>
      <w:color w:val="404040"/>
    </w:rPr>
    <w:tblPr/>
  </w:style>
  <w:style w:type="table" w:styleId="1052" w:customStyle="1">
    <w:name w:val="Grid Table 7 Colorful - Accent 3"/>
    <w:uiPriority w:val="99"/>
    <w:qFormat/>
    <w:pPr>
      <w:spacing w:after="0" w:line="240" w:lineRule="auto"/>
    </w:pPr>
    <w:tblPr/>
  </w:style>
  <w:style w:type="table" w:styleId="1053" w:customStyle="1">
    <w:name w:val="List Table 3 - Accent 5"/>
    <w:uiPriority w:val="99"/>
    <w:qFormat/>
    <w:pPr>
      <w:spacing w:after="0" w:line="240" w:lineRule="auto"/>
    </w:pPr>
    <w:tblPr/>
  </w:style>
  <w:style w:type="table" w:styleId="1054" w:customStyle="1">
    <w:name w:val="Grid Table 4 - Accent 4"/>
    <w:uiPriority w:val="59"/>
    <w:qFormat/>
    <w:pPr>
      <w:spacing w:after="0" w:line="240" w:lineRule="auto"/>
    </w:pPr>
    <w:tblPr/>
  </w:style>
  <w:style w:type="table" w:styleId="1055" w:customStyle="1">
    <w:name w:val="Grid Table 6 Colorful"/>
    <w:uiPriority w:val="99"/>
    <w:qFormat/>
    <w:pPr>
      <w:spacing w:after="0" w:line="240" w:lineRule="auto"/>
    </w:pPr>
    <w:tblPr/>
  </w:style>
  <w:style w:type="table" w:styleId="1056" w:customStyle="1">
    <w:name w:val="List Table 1 Light - Accent 5"/>
    <w:uiPriority w:val="99"/>
    <w:qFormat/>
    <w:pPr>
      <w:spacing w:after="0" w:line="240" w:lineRule="auto"/>
    </w:pPr>
    <w:tblPr/>
  </w:style>
  <w:style w:type="table" w:styleId="1057" w:customStyle="1">
    <w:name w:val="List Table 6 Colorful - Accent 4"/>
    <w:uiPriority w:val="99"/>
    <w:qFormat/>
    <w:pPr>
      <w:spacing w:after="0" w:line="240" w:lineRule="auto"/>
    </w:pPr>
    <w:tblPr/>
  </w:style>
  <w:style w:type="table" w:styleId="1058" w:customStyle="1">
    <w:name w:val="List Table 2 - Accent 1"/>
    <w:uiPriority w:val="99"/>
    <w:qFormat/>
    <w:pPr>
      <w:spacing w:after="0" w:line="240" w:lineRule="auto"/>
    </w:pPr>
    <w:tblPr/>
  </w:style>
  <w:style w:type="table" w:styleId="1059" w:customStyle="1">
    <w:name w:val="Grid Table 5 Dark - Accent 3"/>
    <w:uiPriority w:val="99"/>
    <w:qFormat/>
    <w:pPr>
      <w:spacing w:after="0" w:line="240" w:lineRule="auto"/>
    </w:pPr>
    <w:tblPr/>
  </w:style>
  <w:style w:type="table" w:styleId="1060" w:customStyle="1">
    <w:name w:val="List Table 2"/>
    <w:uiPriority w:val="99"/>
    <w:qFormat/>
    <w:pPr>
      <w:spacing w:after="0" w:line="240" w:lineRule="auto"/>
    </w:pPr>
    <w:tblPr/>
  </w:style>
  <w:style w:type="table" w:styleId="1061" w:customStyle="1">
    <w:name w:val="Grid Table 3 - Accent 1"/>
    <w:uiPriority w:val="99"/>
    <w:qFormat/>
    <w:pPr>
      <w:spacing w:after="0" w:line="240" w:lineRule="auto"/>
    </w:pPr>
    <w:tblPr/>
  </w:style>
  <w:style w:type="table" w:styleId="1062" w:customStyle="1">
    <w:name w:val="Grid Table 4 - Accent 1"/>
    <w:uiPriority w:val="59"/>
    <w:qFormat/>
    <w:pPr>
      <w:spacing w:after="0" w:line="240" w:lineRule="auto"/>
    </w:pPr>
    <w:tblPr/>
  </w:style>
  <w:style w:type="table" w:styleId="1063" w:customStyle="1">
    <w:name w:val="Grid Table 3 - Accent 3"/>
    <w:uiPriority w:val="99"/>
    <w:qFormat/>
    <w:pPr>
      <w:spacing w:after="0" w:line="240" w:lineRule="auto"/>
    </w:pPr>
    <w:tblPr/>
  </w:style>
  <w:style w:type="table" w:styleId="1064" w:customStyle="1">
    <w:name w:val="Plain Table 2"/>
    <w:uiPriority w:val="59"/>
    <w:qFormat/>
    <w:pPr>
      <w:spacing w:after="0" w:line="240" w:lineRule="auto"/>
    </w:pPr>
    <w:tblPr/>
  </w:style>
  <w:style w:type="table" w:styleId="1065" w:customStyle="1">
    <w:name w:val="List Table 7 Colorful - Accent 3"/>
    <w:uiPriority w:val="99"/>
    <w:qFormat/>
    <w:pPr>
      <w:spacing w:after="0" w:line="240" w:lineRule="auto"/>
    </w:pPr>
    <w:tblPr/>
  </w:style>
  <w:style w:type="table" w:styleId="1066" w:customStyle="1">
    <w:name w:val="Bordered &amp; Lined - Accent 1"/>
    <w:uiPriority w:val="99"/>
    <w:qFormat/>
    <w:pPr>
      <w:spacing w:after="0" w:line="240" w:lineRule="auto"/>
    </w:pPr>
    <w:rPr>
      <w:color w:val="404040"/>
    </w:rPr>
    <w:tblPr/>
  </w:style>
  <w:style w:type="table" w:styleId="1067" w:customStyle="1">
    <w:name w:val="Lined - Accent"/>
    <w:uiPriority w:val="99"/>
    <w:qFormat/>
    <w:pPr>
      <w:spacing w:after="0" w:line="240" w:lineRule="auto"/>
    </w:pPr>
    <w:rPr>
      <w:color w:val="404040"/>
    </w:rPr>
    <w:tblPr/>
  </w:style>
  <w:style w:type="table" w:styleId="1068" w:customStyle="1">
    <w:name w:val="Grid Table 5 Dark - Accent 2"/>
    <w:uiPriority w:val="99"/>
    <w:qFormat/>
    <w:pPr>
      <w:spacing w:after="0" w:line="240" w:lineRule="auto"/>
    </w:pPr>
    <w:tblPr/>
  </w:style>
  <w:style w:type="table" w:styleId="1069" w:customStyle="1">
    <w:name w:val="List Table 4 - Accent 4"/>
    <w:uiPriority w:val="99"/>
    <w:qFormat/>
    <w:pPr>
      <w:spacing w:after="0" w:line="240" w:lineRule="auto"/>
    </w:pPr>
    <w:tblPr/>
  </w:style>
  <w:style w:type="table" w:styleId="1070" w:customStyle="1">
    <w:name w:val="Bordered - Accent 5"/>
    <w:uiPriority w:val="99"/>
    <w:qFormat/>
    <w:pPr>
      <w:spacing w:after="0" w:line="240" w:lineRule="auto"/>
    </w:pPr>
    <w:tblPr/>
  </w:style>
  <w:style w:type="table" w:styleId="1071" w:customStyle="1">
    <w:name w:val="List Table 5 Dark - Accent 6"/>
    <w:uiPriority w:val="99"/>
    <w:qFormat/>
    <w:pPr>
      <w:spacing w:after="0" w:line="240" w:lineRule="auto"/>
    </w:pPr>
    <w:tblPr/>
  </w:style>
  <w:style w:type="table" w:styleId="1072" w:customStyle="1">
    <w:name w:val="Plain Table 4"/>
    <w:uiPriority w:val="99"/>
    <w:qFormat/>
    <w:pPr>
      <w:spacing w:after="0" w:line="240" w:lineRule="auto"/>
    </w:pPr>
    <w:tblPr/>
  </w:style>
  <w:style w:type="paragraph" w:styleId="1073" w:customStyle="1">
    <w:name w:val="Default"/>
    <w:uiPriority w:val="0"/>
    <w:qFormat/>
    <w:pPr>
      <w:widowControl w:val="off"/>
    </w:pPr>
    <w:rPr>
      <w:rFonts w:hint="default" w:ascii="仿宋" w:hAnsi="Times New Roman" w:eastAsia="仿宋" w:cs="仿宋"/>
      <w:color w:val="000000"/>
      <w:sz w:val="24"/>
      <w:szCs w:val="24"/>
    </w:rPr>
  </w:style>
  <w:style w:type="paragraph" w:styleId="1074" w:customStyle="1">
    <w:name w:val="无间隔1"/>
    <w:uiPriority w:val="0"/>
    <w:qFormat/>
    <w:rPr>
      <w:rFonts w:hint="default" w:ascii="Times New Roman" w:hAnsi="Times New Roman" w:eastAsia="宋体" w:cs="Times New Roman"/>
      <w:sz w:val="22"/>
      <w:szCs w:val="22"/>
      <w:lang w:val="en-US" w:eastAsia="en-US" w:bidi="en-US"/>
    </w:rPr>
  </w:style>
  <w:style w:type="paragraph" w:styleId="1075" w:customStyle="1">
    <w:name w:val="段"/>
    <w:next w:val="738"/>
    <w:uiPriority w:val="0"/>
    <w:qFormat/>
    <w:pPr>
      <w:ind w:firstLine="200"/>
      <w:jc w:val="both"/>
    </w:pPr>
    <w:rPr>
      <w:rFonts w:ascii="宋体" w:hAnsi="Times New Roman" w:eastAsia="宋体" w:cs="Times New Roman"/>
      <w:sz w:val="21"/>
      <w:lang w:val="en-US" w:eastAsia="zh-CN" w:bidi="ar-SA"/>
    </w:rPr>
  </w:style>
  <w:style w:type="paragraph" w:styleId="1076" w:customStyle="1">
    <w:name w:val="Plain Text1"/>
    <w:basedOn w:val="738"/>
    <w:uiPriority w:val="0"/>
    <w:qFormat/>
    <w:pPr>
      <w:jc w:val="left"/>
      <w:widowControl/>
    </w:pPr>
    <w:rPr>
      <w:rFonts w:hAnsi="Courier New" w:eastAsia="楷体_GB2312"/>
      <w:position w:val="0"/>
      <w:sz w:val="26"/>
    </w:rPr>
  </w:style>
  <w:style w:type="paragraph" w:styleId="1077" w:customStyle="1">
    <w:name w:val="UserStyle_82"/>
    <w:basedOn w:val="738"/>
    <w:uiPriority w:val="0"/>
    <w:qFormat/>
    <w:pPr>
      <w:widowControl/>
    </w:pPr>
    <w:rPr>
      <w:rFonts w:ascii="仿宋_GB2312" w:eastAsia="仿宋_GB2312"/>
      <w:b/>
      <w:sz w:val="32"/>
      <w:szCs w:val="32"/>
    </w:rPr>
  </w:style>
  <w:style w:type="character" w:styleId="1078" w:customStyle="1">
    <w:name w:val="NormalCharacter"/>
    <w:uiPriority w:val="0"/>
    <w:qFormat/>
  </w:style>
  <w:style w:type="paragraph" w:styleId="1079" w:customStyle="1">
    <w:name w:val="正文（绿盟科技）"/>
    <w:uiPriority w:val="0"/>
    <w:qFormat/>
    <w:pPr>
      <w:spacing w:line="300" w:lineRule="auto"/>
    </w:pPr>
    <w:rPr>
      <w:rFonts w:ascii="Arial" w:hAnsi="Arial" w:eastAsia="宋体" w:cs="Times New Roman"/>
      <w:sz w:val="21"/>
      <w:szCs w:val="21"/>
      <w:lang w:val="en-US" w:eastAsia="zh-CN" w:bidi="ar-SA"/>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6dfb3eda-466d-4fdb-82f1-768f26907f48</errorID>
      <errorWord>，</errorWord>
      <group>L1_Word</group>
      <groupName>字词问题</groupName>
      <ability>L2_Typo</ability>
      <abilityName>字词错误</abilityName>
      <candidateList>
        <item>，并</item>
      </candidateList>
      <explain/>
      <paraID>5CD54AFF</paraID>
      <start>74</start>
      <end>75</end>
      <status>ignored</status>
      <modifiedWord/>
      <trackRevisions>false</trackRevisions>
    </reviewItem>
    <reviewItem>
      <errorID>535320c5-10e5-4d7c-92b2-59dded2fc389</errorID>
      <errorWord>做</errorWord>
      <group>L1_Word</group>
      <groupName>字词问题</groupName>
      <ability>L2_Typo</ability>
      <abilityName>字词错误</abilityName>
      <candidateList>
        <item>做好</item>
      </candidateList>
      <explain/>
      <paraID>34A7E746</paraID>
      <start>46</start>
      <end>47</end>
      <status>ignored</status>
      <modifiedWord/>
      <trackRevisions>false</trackRevisions>
    </reviewItem>
    <reviewItem>
      <errorID>293f0869-f97f-404e-946c-f4fc8d7ee31c</errorID>
      <errorWord>标</errorWord>
      <group>L1_Word</group>
      <groupName>字词问题</groupName>
      <ability>L2_Typo</ability>
      <abilityName>字词错误</abilityName>
      <candidateList>
        <item>标准</item>
      </candidateList>
      <explain/>
      <paraID>494F3608</paraID>
      <start>4</start>
      <end>5</end>
      <status>ignored</status>
      <modifiedWord/>
      <trackRevisions>false</trackRevisions>
    </reviewItem>
    <reviewItem>
      <errorID>685ca9f7-6960-46ae-8082-fd896ad93685</errorID>
      <errorWord>标</errorWord>
      <group>L1_Word</group>
      <groupName>字词问题</groupName>
      <ability>L2_Typo</ability>
      <abilityName>字词错误</abilityName>
      <candidateList>
        <item>标准</item>
      </candidateList>
      <explain/>
      <paraID>598CC78B</paraID>
      <start>4</start>
      <end>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19D52C4A-9818-468C-8E88-8F02424201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陈增贵</cp:lastModifiedBy>
  <cp:revision>6</cp:revision>
  <dcterms:created xsi:type="dcterms:W3CDTF">2023-12-07T06:21:00Z</dcterms:created>
  <dcterms:modified xsi:type="dcterms:W3CDTF">2026-09-04T07:33:40Z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898144D31227490E8E931362F6114969_13</vt:lpwstr>
  </property>
  <property fmtid="{D5CDD505-2E9C-101B-9397-08002B2CF9AE}" pid="4" name="KSOTemplateDocerSaveRecord">
    <vt:lpwstr>eyJoZGlkIjoiNDRiYTZlYzNiYzEwY2IyMTQ3ODRkNTgyNTU4OWYxZGMiLCJ1c2VySWQiOiIyMjc1Nzg1MDEifQ==</vt:lpwstr>
  </property>
</Properties>
</file>