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66EDB9">
      <w:pPr>
        <w:spacing w:line="360" w:lineRule="auto"/>
        <w:jc w:val="center"/>
        <w:rPr>
          <w:rFonts w:hint="eastAsia" w:ascii="宋体" w:hAnsi="宋体" w:eastAsia="宋体" w:cs="宋体"/>
          <w:b/>
          <w:color w:val="auto"/>
          <w:sz w:val="48"/>
          <w:szCs w:val="48"/>
          <w:highlight w:val="none"/>
        </w:rPr>
      </w:pPr>
    </w:p>
    <w:p w14:paraId="0F5FBF9D">
      <w:pPr>
        <w:pStyle w:val="10"/>
        <w:rPr>
          <w:rFonts w:hint="eastAsia" w:ascii="宋体" w:hAnsi="宋体" w:eastAsia="宋体" w:cs="宋体"/>
          <w:color w:val="auto"/>
          <w:highlight w:val="none"/>
        </w:rPr>
      </w:pPr>
    </w:p>
    <w:p w14:paraId="7705C915">
      <w:pPr>
        <w:spacing w:line="360" w:lineRule="auto"/>
        <w:jc w:val="center"/>
        <w:rPr>
          <w:rFonts w:hint="eastAsia" w:ascii="宋体" w:hAnsi="宋体" w:eastAsia="宋体" w:cs="宋体"/>
          <w:color w:val="auto"/>
          <w:spacing w:val="10"/>
          <w:sz w:val="52"/>
          <w:szCs w:val="52"/>
          <w:highlight w:val="none"/>
        </w:rPr>
      </w:pPr>
      <w:r>
        <w:rPr>
          <w:rFonts w:hint="eastAsia" w:ascii="宋体" w:hAnsi="宋体" w:cs="宋体"/>
          <w:b/>
          <w:color w:val="auto"/>
          <w:sz w:val="52"/>
          <w:szCs w:val="52"/>
          <w:highlight w:val="none"/>
          <w:lang w:eastAsia="zh-CN"/>
        </w:rPr>
        <w:t>泰州市第五人民医院安保服务项目</w:t>
      </w:r>
      <w:r>
        <w:rPr>
          <w:rFonts w:hint="eastAsia" w:ascii="宋体" w:hAnsi="宋体" w:eastAsia="宋体" w:cs="宋体"/>
          <w:color w:val="auto"/>
          <w:spacing w:val="10"/>
          <w:sz w:val="52"/>
          <w:szCs w:val="52"/>
          <w:highlight w:val="none"/>
        </w:rPr>
        <w:t xml:space="preserve"> </w:t>
      </w:r>
    </w:p>
    <w:p w14:paraId="2D1187A3">
      <w:pPr>
        <w:rPr>
          <w:rFonts w:hint="eastAsia" w:ascii="宋体" w:hAnsi="宋体" w:eastAsia="宋体" w:cs="宋体"/>
          <w:color w:val="auto"/>
          <w:spacing w:val="10"/>
          <w:szCs w:val="21"/>
          <w:highlight w:val="none"/>
        </w:rPr>
      </w:pPr>
    </w:p>
    <w:p w14:paraId="37213A4F">
      <w:pPr>
        <w:rPr>
          <w:rFonts w:hint="eastAsia" w:ascii="宋体" w:hAnsi="宋体" w:eastAsia="宋体" w:cs="宋体"/>
          <w:color w:val="auto"/>
          <w:spacing w:val="10"/>
          <w:szCs w:val="21"/>
          <w:highlight w:val="none"/>
        </w:rPr>
      </w:pPr>
    </w:p>
    <w:p w14:paraId="1C96E937">
      <w:pPr>
        <w:rPr>
          <w:rFonts w:hint="eastAsia" w:ascii="宋体" w:hAnsi="宋体" w:eastAsia="宋体" w:cs="宋体"/>
          <w:color w:val="auto"/>
          <w:spacing w:val="10"/>
          <w:szCs w:val="21"/>
          <w:highlight w:val="none"/>
        </w:rPr>
      </w:pPr>
    </w:p>
    <w:p w14:paraId="61461604">
      <w:pPr>
        <w:rPr>
          <w:rFonts w:hint="eastAsia" w:ascii="宋体" w:hAnsi="宋体" w:eastAsia="宋体" w:cs="宋体"/>
          <w:color w:val="auto"/>
          <w:spacing w:val="10"/>
          <w:szCs w:val="21"/>
          <w:highlight w:val="none"/>
        </w:rPr>
      </w:pPr>
    </w:p>
    <w:p w14:paraId="4E06F15D">
      <w:pPr>
        <w:pStyle w:val="22"/>
        <w:ind w:firstLine="210"/>
        <w:rPr>
          <w:rFonts w:hint="eastAsia" w:ascii="宋体" w:hAnsi="宋体" w:eastAsia="宋体" w:cs="宋体"/>
          <w:color w:val="auto"/>
          <w:highlight w:val="none"/>
          <w:lang w:eastAsia="zh-CN"/>
        </w:rPr>
      </w:pPr>
    </w:p>
    <w:p w14:paraId="17E162AD">
      <w:pPr>
        <w:rPr>
          <w:rFonts w:hint="eastAsia" w:ascii="宋体" w:hAnsi="宋体" w:eastAsia="宋体" w:cs="宋体"/>
          <w:color w:val="auto"/>
          <w:spacing w:val="10"/>
          <w:szCs w:val="21"/>
          <w:highlight w:val="none"/>
        </w:rPr>
      </w:pPr>
    </w:p>
    <w:p w14:paraId="3E4CEC71">
      <w:pPr>
        <w:rPr>
          <w:rFonts w:hint="eastAsia" w:ascii="宋体" w:hAnsi="宋体" w:eastAsia="宋体" w:cs="宋体"/>
          <w:color w:val="auto"/>
          <w:spacing w:val="10"/>
          <w:szCs w:val="21"/>
          <w:highlight w:val="none"/>
        </w:rPr>
      </w:pPr>
    </w:p>
    <w:p w14:paraId="4A803923">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t xml:space="preserve">  </w:t>
      </w:r>
    </w:p>
    <w:p w14:paraId="444C813B">
      <w:pPr>
        <w:rPr>
          <w:rFonts w:hint="eastAsia" w:ascii="宋体" w:hAnsi="宋体" w:eastAsia="宋体" w:cs="宋体"/>
          <w:color w:val="auto"/>
          <w:spacing w:val="10"/>
          <w:szCs w:val="21"/>
          <w:highlight w:val="none"/>
        </w:rPr>
      </w:pPr>
      <w:r>
        <w:rPr>
          <w:rFonts w:hint="eastAsia" w:ascii="宋体" w:hAnsi="宋体" w:eastAsia="宋体" w:cs="宋体"/>
          <w:color w:val="auto"/>
          <w:spacing w:val="10"/>
          <w:szCs w:val="21"/>
          <w:highlight w:val="none"/>
        </w:rPr>
        <w:t xml:space="preserve"> </w:t>
      </w:r>
    </w:p>
    <w:p w14:paraId="0BC92616">
      <w:pPr>
        <w:jc w:val="center"/>
        <w:rPr>
          <w:rFonts w:hint="eastAsia" w:ascii="宋体" w:hAnsi="宋体" w:eastAsia="宋体" w:cs="宋体"/>
          <w:b/>
          <w:bCs/>
          <w:color w:val="auto"/>
          <w:spacing w:val="10"/>
          <w:sz w:val="84"/>
          <w:szCs w:val="84"/>
          <w:highlight w:val="none"/>
        </w:rPr>
      </w:pPr>
      <w:r>
        <w:rPr>
          <w:rFonts w:hint="eastAsia" w:ascii="宋体" w:hAnsi="宋体" w:eastAsia="宋体" w:cs="宋体"/>
          <w:b/>
          <w:bCs/>
          <w:color w:val="auto"/>
          <w:spacing w:val="10"/>
          <w:sz w:val="84"/>
          <w:szCs w:val="84"/>
          <w:highlight w:val="none"/>
        </w:rPr>
        <w:t>招 标 文 件</w:t>
      </w:r>
    </w:p>
    <w:p w14:paraId="0A9410DE">
      <w:pPr>
        <w:jc w:val="center"/>
        <w:rPr>
          <w:rFonts w:hint="eastAsia" w:ascii="宋体" w:hAnsi="宋体" w:eastAsia="宋体" w:cs="宋体"/>
          <w:b/>
          <w:bCs/>
          <w:color w:val="auto"/>
          <w:spacing w:val="10"/>
          <w:sz w:val="30"/>
          <w:szCs w:val="30"/>
          <w:highlight w:val="none"/>
        </w:rPr>
      </w:pPr>
      <w:r>
        <w:rPr>
          <w:rFonts w:hint="eastAsia" w:ascii="宋体" w:hAnsi="宋体" w:eastAsia="宋体" w:cs="宋体"/>
          <w:b/>
          <w:bCs/>
          <w:color w:val="auto"/>
          <w:spacing w:val="10"/>
          <w:sz w:val="30"/>
          <w:szCs w:val="30"/>
          <w:highlight w:val="none"/>
        </w:rPr>
        <w:t>（全流程电子化不见面开标）</w:t>
      </w:r>
    </w:p>
    <w:p w14:paraId="74A841BA">
      <w:pPr>
        <w:jc w:val="center"/>
        <w:rPr>
          <w:rFonts w:hint="eastAsia" w:ascii="宋体" w:hAnsi="宋体" w:eastAsia="宋体" w:cs="宋体"/>
          <w:color w:val="auto"/>
          <w:spacing w:val="10"/>
          <w:sz w:val="28"/>
          <w:szCs w:val="28"/>
          <w:highlight w:val="none"/>
        </w:rPr>
      </w:pPr>
    </w:p>
    <w:p w14:paraId="42145C64">
      <w:pPr>
        <w:jc w:val="center"/>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 xml:space="preserve"> </w:t>
      </w:r>
    </w:p>
    <w:p w14:paraId="0B876987">
      <w:pPr>
        <w:pStyle w:val="12"/>
        <w:rPr>
          <w:rFonts w:hint="eastAsia" w:ascii="宋体" w:hAnsi="宋体" w:eastAsia="宋体" w:cs="宋体"/>
          <w:color w:val="auto"/>
          <w:spacing w:val="10"/>
          <w:szCs w:val="28"/>
          <w:highlight w:val="none"/>
        </w:rPr>
      </w:pPr>
    </w:p>
    <w:p w14:paraId="651EA960">
      <w:pPr>
        <w:pStyle w:val="12"/>
        <w:rPr>
          <w:rFonts w:hint="eastAsia" w:ascii="宋体" w:hAnsi="宋体" w:eastAsia="宋体" w:cs="宋体"/>
          <w:color w:val="auto"/>
          <w:spacing w:val="10"/>
          <w:szCs w:val="28"/>
          <w:highlight w:val="none"/>
        </w:rPr>
      </w:pPr>
    </w:p>
    <w:p w14:paraId="17BDC2C4">
      <w:pPr>
        <w:pStyle w:val="13"/>
        <w:rPr>
          <w:rFonts w:hint="eastAsia" w:ascii="宋体" w:hAnsi="宋体" w:eastAsia="宋体" w:cs="宋体"/>
          <w:color w:val="auto"/>
          <w:spacing w:val="10"/>
          <w:szCs w:val="28"/>
          <w:highlight w:val="none"/>
        </w:rPr>
      </w:pPr>
    </w:p>
    <w:p w14:paraId="6AA13B57">
      <w:pPr>
        <w:pStyle w:val="13"/>
        <w:rPr>
          <w:rFonts w:hint="eastAsia" w:ascii="宋体" w:hAnsi="宋体" w:eastAsia="宋体" w:cs="宋体"/>
          <w:color w:val="auto"/>
          <w:spacing w:val="10"/>
          <w:szCs w:val="28"/>
          <w:highlight w:val="none"/>
        </w:rPr>
      </w:pPr>
    </w:p>
    <w:p w14:paraId="06FED4C8">
      <w:pPr>
        <w:pStyle w:val="13"/>
        <w:rPr>
          <w:rFonts w:hint="eastAsia" w:ascii="宋体" w:hAnsi="宋体" w:eastAsia="宋体" w:cs="宋体"/>
          <w:color w:val="auto"/>
          <w:spacing w:val="10"/>
          <w:szCs w:val="28"/>
          <w:highlight w:val="none"/>
        </w:rPr>
      </w:pPr>
    </w:p>
    <w:p w14:paraId="58267613">
      <w:pPr>
        <w:pStyle w:val="13"/>
        <w:rPr>
          <w:rFonts w:hint="eastAsia" w:ascii="宋体" w:hAnsi="宋体" w:eastAsia="宋体" w:cs="宋体"/>
          <w:color w:val="auto"/>
          <w:spacing w:val="10"/>
          <w:szCs w:val="28"/>
          <w:highlight w:val="none"/>
        </w:rPr>
      </w:pPr>
    </w:p>
    <w:p w14:paraId="20D8411F">
      <w:pPr>
        <w:pStyle w:val="12"/>
        <w:rPr>
          <w:rFonts w:hint="eastAsia" w:ascii="宋体" w:hAnsi="宋体" w:eastAsia="宋体" w:cs="宋体"/>
          <w:color w:val="auto"/>
          <w:spacing w:val="10"/>
          <w:szCs w:val="28"/>
          <w:highlight w:val="none"/>
        </w:rPr>
      </w:pPr>
    </w:p>
    <w:p w14:paraId="744B2E96">
      <w:pPr>
        <w:jc w:val="center"/>
        <w:rPr>
          <w:rFonts w:hint="eastAsia" w:ascii="宋体" w:hAnsi="宋体" w:eastAsia="宋体" w:cs="宋体"/>
          <w:color w:val="auto"/>
          <w:spacing w:val="10"/>
          <w:sz w:val="28"/>
          <w:szCs w:val="28"/>
          <w:highlight w:val="none"/>
        </w:rPr>
      </w:pPr>
      <w:r>
        <w:rPr>
          <w:rFonts w:hint="eastAsia" w:ascii="宋体" w:hAnsi="宋体" w:eastAsia="宋体" w:cs="宋体"/>
          <w:color w:val="auto"/>
          <w:spacing w:val="10"/>
          <w:sz w:val="28"/>
          <w:szCs w:val="28"/>
          <w:highlight w:val="none"/>
        </w:rPr>
        <w:t xml:space="preserve"> </w:t>
      </w:r>
    </w:p>
    <w:p w14:paraId="507FFEDE">
      <w:pPr>
        <w:jc w:val="center"/>
        <w:rPr>
          <w:rFonts w:hint="eastAsia" w:ascii="宋体" w:hAnsi="宋体" w:eastAsia="宋体" w:cs="宋体"/>
          <w:color w:val="auto"/>
          <w:spacing w:val="10"/>
          <w:sz w:val="36"/>
          <w:szCs w:val="36"/>
          <w:highlight w:val="none"/>
        </w:rPr>
      </w:pPr>
      <w:r>
        <w:rPr>
          <w:rFonts w:hint="eastAsia" w:ascii="宋体" w:hAnsi="宋体" w:eastAsia="宋体" w:cs="宋体"/>
          <w:color w:val="auto"/>
          <w:spacing w:val="10"/>
          <w:sz w:val="36"/>
          <w:szCs w:val="36"/>
          <w:highlight w:val="none"/>
        </w:rPr>
        <w:t xml:space="preserve"> </w:t>
      </w:r>
    </w:p>
    <w:p w14:paraId="2B10B4E6">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采购人：</w:t>
      </w:r>
      <w:r>
        <w:rPr>
          <w:rFonts w:hint="eastAsia" w:ascii="宋体" w:hAnsi="宋体" w:cs="宋体"/>
          <w:b/>
          <w:bCs/>
          <w:color w:val="auto"/>
          <w:sz w:val="36"/>
          <w:szCs w:val="36"/>
          <w:highlight w:val="none"/>
          <w:lang w:eastAsia="zh-CN"/>
        </w:rPr>
        <w:t>泰州市第五人民医院</w:t>
      </w:r>
      <w:r>
        <w:rPr>
          <w:rFonts w:hint="eastAsia" w:ascii="宋体" w:hAnsi="宋体" w:eastAsia="宋体" w:cs="宋体"/>
          <w:b/>
          <w:bCs/>
          <w:color w:val="auto"/>
          <w:sz w:val="36"/>
          <w:szCs w:val="36"/>
          <w:highlight w:val="none"/>
        </w:rPr>
        <w:t>　</w:t>
      </w:r>
    </w:p>
    <w:p w14:paraId="391E8098">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招标代理：江苏建泰工程项目管理有限公司</w:t>
      </w:r>
    </w:p>
    <w:p w14:paraId="305A0C5D">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二〇二</w:t>
      </w:r>
      <w:r>
        <w:rPr>
          <w:rFonts w:hint="eastAsia" w:ascii="宋体" w:hAnsi="宋体" w:cs="宋体"/>
          <w:b/>
          <w:bCs/>
          <w:color w:val="auto"/>
          <w:sz w:val="36"/>
          <w:szCs w:val="36"/>
          <w:highlight w:val="none"/>
          <w:lang w:val="en-US" w:eastAsia="zh-CN"/>
        </w:rPr>
        <w:t>六</w:t>
      </w:r>
      <w:r>
        <w:rPr>
          <w:rFonts w:hint="eastAsia" w:ascii="宋体" w:hAnsi="宋体" w:eastAsia="宋体" w:cs="宋体"/>
          <w:b/>
          <w:bCs/>
          <w:color w:val="auto"/>
          <w:sz w:val="36"/>
          <w:szCs w:val="36"/>
          <w:highlight w:val="none"/>
        </w:rPr>
        <w:t>年</w:t>
      </w:r>
      <w:r>
        <w:rPr>
          <w:rFonts w:hint="eastAsia" w:ascii="宋体" w:hAnsi="宋体" w:cs="宋体"/>
          <w:b/>
          <w:bCs/>
          <w:color w:val="auto"/>
          <w:sz w:val="36"/>
          <w:szCs w:val="36"/>
          <w:highlight w:val="none"/>
          <w:lang w:val="en-US" w:eastAsia="zh-CN"/>
        </w:rPr>
        <w:t>九</w:t>
      </w:r>
      <w:r>
        <w:rPr>
          <w:rFonts w:hint="eastAsia" w:ascii="宋体" w:hAnsi="宋体" w:eastAsia="宋体" w:cs="宋体"/>
          <w:b/>
          <w:bCs/>
          <w:color w:val="auto"/>
          <w:sz w:val="36"/>
          <w:szCs w:val="36"/>
          <w:highlight w:val="none"/>
        </w:rPr>
        <w:t>月</w:t>
      </w:r>
    </w:p>
    <w:p w14:paraId="565109CE">
      <w:pPr>
        <w:ind w:firstLine="3882"/>
        <w:rPr>
          <w:rFonts w:hint="eastAsia" w:ascii="宋体" w:hAnsi="宋体" w:eastAsia="宋体" w:cs="宋体"/>
          <w:b/>
          <w:color w:val="auto"/>
          <w:sz w:val="44"/>
          <w:szCs w:val="4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44"/>
          <w:szCs w:val="44"/>
          <w:highlight w:val="none"/>
        </w:rPr>
        <w:t>目   录</w:t>
      </w:r>
    </w:p>
    <w:sdt>
      <w:sdtPr>
        <w:rPr>
          <w:rFonts w:ascii="宋体" w:hAnsi="宋体" w:eastAsia="宋体" w:cs="Times New Roman"/>
          <w:sz w:val="21"/>
          <w:highlight w:val="none"/>
          <w:lang w:val="en-US" w:eastAsia="zh-CN" w:bidi="ar-SA"/>
        </w:rPr>
        <w:id w:val="147462086"/>
        <w15:color w:val="DBDBDB"/>
        <w:docPartObj>
          <w:docPartGallery w:val="Table of Contents"/>
          <w:docPartUnique/>
        </w:docPartObj>
      </w:sdtPr>
      <w:sdtEndPr>
        <w:rPr>
          <w:rFonts w:hint="eastAsia" w:ascii="宋体" w:hAnsi="宋体" w:eastAsia="宋体" w:cs="宋体"/>
          <w:color w:val="auto"/>
          <w:sz w:val="21"/>
          <w:highlight w:val="none"/>
          <w:lang w:val="en-US" w:eastAsia="zh-CN" w:bidi="ar-SA"/>
        </w:rPr>
      </w:sdtEndPr>
      <w:sdtContent>
        <w:p w14:paraId="3E683D5B">
          <w:pPr>
            <w:spacing w:before="0" w:beforeLines="0" w:after="0" w:afterLines="0" w:line="240" w:lineRule="auto"/>
            <w:ind w:left="0" w:leftChars="0" w:right="0" w:rightChars="0" w:firstLine="0" w:firstLineChars="0"/>
            <w:jc w:val="center"/>
            <w:rPr>
              <w:highlight w:val="none"/>
            </w:rPr>
          </w:pPr>
        </w:p>
        <w:p w14:paraId="4D44520D">
          <w:pPr>
            <w:pStyle w:val="19"/>
            <w:tabs>
              <w:tab w:val="right" w:leader="dot" w:pos="9184"/>
              <w:tab w:val="clear" w:pos="8715"/>
            </w:tabs>
            <w:rPr>
              <w:b/>
              <w:bCs/>
              <w:sz w:val="24"/>
              <w:szCs w:val="22"/>
              <w:highlight w:val="none"/>
            </w:rPr>
          </w:pPr>
          <w:r>
            <w:rPr>
              <w:rFonts w:hint="eastAsia" w:ascii="宋体" w:hAnsi="宋体" w:eastAsia="宋体" w:cs="宋体"/>
              <w:b/>
              <w:bCs/>
              <w:color w:val="auto"/>
              <w:sz w:val="36"/>
              <w:szCs w:val="22"/>
              <w:highlight w:val="none"/>
            </w:rPr>
            <w:fldChar w:fldCharType="begin"/>
          </w:r>
          <w:r>
            <w:rPr>
              <w:rFonts w:hint="eastAsia" w:ascii="宋体" w:hAnsi="宋体" w:eastAsia="宋体" w:cs="宋体"/>
              <w:b/>
              <w:bCs/>
              <w:color w:val="auto"/>
              <w:sz w:val="36"/>
              <w:szCs w:val="22"/>
              <w:highlight w:val="none"/>
            </w:rPr>
            <w:instrText xml:space="preserve">TOC \o "1-1" \h \u </w:instrText>
          </w:r>
          <w:r>
            <w:rPr>
              <w:rFonts w:hint="eastAsia" w:ascii="宋体" w:hAnsi="宋体" w:eastAsia="宋体" w:cs="宋体"/>
              <w:b/>
              <w:bCs/>
              <w:color w:val="auto"/>
              <w:sz w:val="36"/>
              <w:szCs w:val="22"/>
              <w:highlight w:val="none"/>
            </w:rPr>
            <w:fldChar w:fldCharType="separate"/>
          </w:r>
          <w:r>
            <w:rPr>
              <w:rFonts w:hint="eastAsia" w:ascii="宋体" w:hAnsi="宋体" w:eastAsia="宋体" w:cs="宋体"/>
              <w:b/>
              <w:bCs/>
              <w:color w:val="auto"/>
              <w:sz w:val="24"/>
              <w:szCs w:val="22"/>
              <w:highlight w:val="none"/>
            </w:rPr>
            <w:fldChar w:fldCharType="begin"/>
          </w:r>
          <w:r>
            <w:rPr>
              <w:rFonts w:hint="eastAsia" w:ascii="宋体" w:hAnsi="宋体" w:eastAsia="宋体" w:cs="宋体"/>
              <w:b/>
              <w:bCs/>
              <w:sz w:val="24"/>
              <w:szCs w:val="22"/>
              <w:highlight w:val="none"/>
            </w:rPr>
            <w:instrText xml:space="preserve"> HYPERLINK \l _Toc23595 </w:instrText>
          </w:r>
          <w:r>
            <w:rPr>
              <w:rFonts w:hint="eastAsia" w:ascii="宋体" w:hAnsi="宋体" w:eastAsia="宋体" w:cs="宋体"/>
              <w:b/>
              <w:bCs/>
              <w:sz w:val="24"/>
              <w:szCs w:val="22"/>
              <w:highlight w:val="none"/>
            </w:rPr>
            <w:fldChar w:fldCharType="separate"/>
          </w:r>
          <w:r>
            <w:rPr>
              <w:rFonts w:hint="eastAsia" w:ascii="宋体" w:hAnsi="宋体" w:eastAsia="宋体" w:cs="宋体"/>
              <w:b/>
              <w:bCs/>
              <w:sz w:val="24"/>
              <w:szCs w:val="32"/>
              <w:highlight w:val="none"/>
            </w:rPr>
            <w:t>第一章 招标公告</w:t>
          </w:r>
          <w:r>
            <w:rPr>
              <w:b/>
              <w:bCs/>
              <w:sz w:val="24"/>
              <w:szCs w:val="22"/>
              <w:highlight w:val="none"/>
            </w:rPr>
            <w:tab/>
          </w:r>
          <w:r>
            <w:rPr>
              <w:b/>
              <w:bCs/>
              <w:sz w:val="24"/>
              <w:szCs w:val="22"/>
              <w:highlight w:val="none"/>
            </w:rPr>
            <w:fldChar w:fldCharType="begin"/>
          </w:r>
          <w:r>
            <w:rPr>
              <w:b/>
              <w:bCs/>
              <w:sz w:val="24"/>
              <w:szCs w:val="22"/>
              <w:highlight w:val="none"/>
            </w:rPr>
            <w:instrText xml:space="preserve"> PAGEREF _Toc23595 \h </w:instrText>
          </w:r>
          <w:r>
            <w:rPr>
              <w:b/>
              <w:bCs/>
              <w:sz w:val="24"/>
              <w:szCs w:val="22"/>
              <w:highlight w:val="none"/>
            </w:rPr>
            <w:fldChar w:fldCharType="separate"/>
          </w:r>
          <w:r>
            <w:rPr>
              <w:b/>
              <w:bCs/>
              <w:sz w:val="24"/>
              <w:szCs w:val="22"/>
              <w:highlight w:val="none"/>
            </w:rPr>
            <w:t>3</w:t>
          </w:r>
          <w:r>
            <w:rPr>
              <w:b/>
              <w:bCs/>
              <w:sz w:val="24"/>
              <w:szCs w:val="22"/>
              <w:highlight w:val="none"/>
            </w:rPr>
            <w:fldChar w:fldCharType="end"/>
          </w:r>
          <w:r>
            <w:rPr>
              <w:rFonts w:hint="eastAsia" w:ascii="宋体" w:hAnsi="宋体" w:eastAsia="宋体" w:cs="宋体"/>
              <w:b/>
              <w:bCs/>
              <w:color w:val="auto"/>
              <w:sz w:val="24"/>
              <w:szCs w:val="22"/>
              <w:highlight w:val="none"/>
            </w:rPr>
            <w:fldChar w:fldCharType="end"/>
          </w:r>
        </w:p>
        <w:p w14:paraId="29F26DFE">
          <w:pPr>
            <w:pStyle w:val="19"/>
            <w:tabs>
              <w:tab w:val="right" w:leader="dot" w:pos="9184"/>
              <w:tab w:val="clear" w:pos="8715"/>
            </w:tabs>
            <w:rPr>
              <w:b/>
              <w:bCs/>
              <w:sz w:val="24"/>
              <w:szCs w:val="22"/>
              <w:highlight w:val="none"/>
            </w:rPr>
          </w:pPr>
          <w:r>
            <w:rPr>
              <w:rFonts w:hint="eastAsia" w:ascii="宋体" w:hAnsi="宋体" w:eastAsia="宋体" w:cs="宋体"/>
              <w:b/>
              <w:bCs/>
              <w:color w:val="auto"/>
              <w:sz w:val="24"/>
              <w:szCs w:val="22"/>
              <w:highlight w:val="none"/>
            </w:rPr>
            <w:fldChar w:fldCharType="begin"/>
          </w:r>
          <w:r>
            <w:rPr>
              <w:rFonts w:hint="eastAsia" w:ascii="宋体" w:hAnsi="宋体" w:eastAsia="宋体" w:cs="宋体"/>
              <w:b/>
              <w:bCs/>
              <w:sz w:val="24"/>
              <w:szCs w:val="22"/>
              <w:highlight w:val="none"/>
            </w:rPr>
            <w:instrText xml:space="preserve"> HYPERLINK \l _Toc29092 </w:instrText>
          </w:r>
          <w:r>
            <w:rPr>
              <w:rFonts w:hint="eastAsia" w:ascii="宋体" w:hAnsi="宋体" w:eastAsia="宋体" w:cs="宋体"/>
              <w:b/>
              <w:bCs/>
              <w:sz w:val="24"/>
              <w:szCs w:val="22"/>
              <w:highlight w:val="none"/>
            </w:rPr>
            <w:fldChar w:fldCharType="separate"/>
          </w:r>
          <w:r>
            <w:rPr>
              <w:rFonts w:hint="eastAsia" w:ascii="宋体" w:hAnsi="宋体" w:eastAsia="宋体" w:cs="宋体"/>
              <w:b/>
              <w:bCs/>
              <w:sz w:val="24"/>
              <w:szCs w:val="32"/>
              <w:highlight w:val="none"/>
              <w:lang w:val="en-US" w:eastAsia="zh-CN" w:bidi="ar-SA"/>
            </w:rPr>
            <w:t>第二章 投标人须知</w:t>
          </w:r>
          <w:r>
            <w:rPr>
              <w:b/>
              <w:bCs/>
              <w:sz w:val="24"/>
              <w:szCs w:val="22"/>
              <w:highlight w:val="none"/>
            </w:rPr>
            <w:tab/>
          </w:r>
          <w:r>
            <w:rPr>
              <w:b/>
              <w:bCs/>
              <w:sz w:val="24"/>
              <w:szCs w:val="22"/>
              <w:highlight w:val="none"/>
            </w:rPr>
            <w:fldChar w:fldCharType="begin"/>
          </w:r>
          <w:r>
            <w:rPr>
              <w:b/>
              <w:bCs/>
              <w:sz w:val="24"/>
              <w:szCs w:val="22"/>
              <w:highlight w:val="none"/>
            </w:rPr>
            <w:instrText xml:space="preserve"> PAGEREF _Toc29092 \h </w:instrText>
          </w:r>
          <w:r>
            <w:rPr>
              <w:b/>
              <w:bCs/>
              <w:sz w:val="24"/>
              <w:szCs w:val="22"/>
              <w:highlight w:val="none"/>
            </w:rPr>
            <w:fldChar w:fldCharType="separate"/>
          </w:r>
          <w:r>
            <w:rPr>
              <w:b/>
              <w:bCs/>
              <w:sz w:val="24"/>
              <w:szCs w:val="22"/>
              <w:highlight w:val="none"/>
            </w:rPr>
            <w:t>6</w:t>
          </w:r>
          <w:r>
            <w:rPr>
              <w:b/>
              <w:bCs/>
              <w:sz w:val="24"/>
              <w:szCs w:val="22"/>
              <w:highlight w:val="none"/>
            </w:rPr>
            <w:fldChar w:fldCharType="end"/>
          </w:r>
          <w:r>
            <w:rPr>
              <w:rFonts w:hint="eastAsia" w:ascii="宋体" w:hAnsi="宋体" w:eastAsia="宋体" w:cs="宋体"/>
              <w:b/>
              <w:bCs/>
              <w:color w:val="auto"/>
              <w:sz w:val="24"/>
              <w:szCs w:val="22"/>
              <w:highlight w:val="none"/>
            </w:rPr>
            <w:fldChar w:fldCharType="end"/>
          </w:r>
        </w:p>
        <w:p w14:paraId="6C7E7A7D">
          <w:pPr>
            <w:pStyle w:val="19"/>
            <w:tabs>
              <w:tab w:val="right" w:leader="dot" w:pos="9184"/>
              <w:tab w:val="clear" w:pos="8715"/>
            </w:tabs>
            <w:rPr>
              <w:b/>
              <w:bCs/>
              <w:sz w:val="24"/>
              <w:szCs w:val="22"/>
              <w:highlight w:val="none"/>
            </w:rPr>
          </w:pPr>
          <w:r>
            <w:rPr>
              <w:rFonts w:hint="eastAsia" w:ascii="宋体" w:hAnsi="宋体" w:eastAsia="宋体" w:cs="宋体"/>
              <w:b/>
              <w:bCs/>
              <w:color w:val="auto"/>
              <w:sz w:val="24"/>
              <w:szCs w:val="22"/>
              <w:highlight w:val="none"/>
            </w:rPr>
            <w:fldChar w:fldCharType="begin"/>
          </w:r>
          <w:r>
            <w:rPr>
              <w:rFonts w:hint="eastAsia" w:ascii="宋体" w:hAnsi="宋体" w:eastAsia="宋体" w:cs="宋体"/>
              <w:b/>
              <w:bCs/>
              <w:sz w:val="24"/>
              <w:szCs w:val="22"/>
              <w:highlight w:val="none"/>
            </w:rPr>
            <w:instrText xml:space="preserve"> HYPERLINK \l _Toc20969 </w:instrText>
          </w:r>
          <w:r>
            <w:rPr>
              <w:rFonts w:hint="eastAsia" w:ascii="宋体" w:hAnsi="宋体" w:eastAsia="宋体" w:cs="宋体"/>
              <w:b/>
              <w:bCs/>
              <w:sz w:val="24"/>
              <w:szCs w:val="22"/>
              <w:highlight w:val="none"/>
            </w:rPr>
            <w:fldChar w:fldCharType="separate"/>
          </w:r>
          <w:r>
            <w:rPr>
              <w:rFonts w:hint="eastAsia" w:ascii="宋体" w:hAnsi="宋体" w:eastAsia="宋体" w:cs="宋体"/>
              <w:b/>
              <w:bCs/>
              <w:sz w:val="24"/>
              <w:szCs w:val="32"/>
              <w:highlight w:val="none"/>
            </w:rPr>
            <w:t xml:space="preserve">第三章 </w:t>
          </w:r>
          <w:r>
            <w:rPr>
              <w:rFonts w:hint="eastAsia" w:ascii="宋体" w:hAnsi="宋体" w:cs="宋体"/>
              <w:b/>
              <w:bCs/>
              <w:sz w:val="24"/>
              <w:szCs w:val="32"/>
              <w:highlight w:val="none"/>
              <w:lang w:val="en-US" w:eastAsia="zh-CN"/>
            </w:rPr>
            <w:t>采购需求</w:t>
          </w:r>
          <w:r>
            <w:rPr>
              <w:b/>
              <w:bCs/>
              <w:sz w:val="24"/>
              <w:szCs w:val="22"/>
              <w:highlight w:val="none"/>
            </w:rPr>
            <w:tab/>
          </w:r>
          <w:r>
            <w:rPr>
              <w:b/>
              <w:bCs/>
              <w:sz w:val="24"/>
              <w:szCs w:val="22"/>
              <w:highlight w:val="none"/>
            </w:rPr>
            <w:fldChar w:fldCharType="begin"/>
          </w:r>
          <w:r>
            <w:rPr>
              <w:b/>
              <w:bCs/>
              <w:sz w:val="24"/>
              <w:szCs w:val="22"/>
              <w:highlight w:val="none"/>
            </w:rPr>
            <w:instrText xml:space="preserve"> PAGEREF _Toc20969 \h </w:instrText>
          </w:r>
          <w:r>
            <w:rPr>
              <w:b/>
              <w:bCs/>
              <w:sz w:val="24"/>
              <w:szCs w:val="22"/>
              <w:highlight w:val="none"/>
            </w:rPr>
            <w:fldChar w:fldCharType="separate"/>
          </w:r>
          <w:r>
            <w:rPr>
              <w:b/>
              <w:bCs/>
              <w:sz w:val="24"/>
              <w:szCs w:val="22"/>
              <w:highlight w:val="none"/>
            </w:rPr>
            <w:t>17</w:t>
          </w:r>
          <w:r>
            <w:rPr>
              <w:b/>
              <w:bCs/>
              <w:sz w:val="24"/>
              <w:szCs w:val="22"/>
              <w:highlight w:val="none"/>
            </w:rPr>
            <w:fldChar w:fldCharType="end"/>
          </w:r>
          <w:r>
            <w:rPr>
              <w:rFonts w:hint="eastAsia" w:ascii="宋体" w:hAnsi="宋体" w:eastAsia="宋体" w:cs="宋体"/>
              <w:b/>
              <w:bCs/>
              <w:color w:val="auto"/>
              <w:sz w:val="24"/>
              <w:szCs w:val="22"/>
              <w:highlight w:val="none"/>
            </w:rPr>
            <w:fldChar w:fldCharType="end"/>
          </w:r>
        </w:p>
        <w:p w14:paraId="1076E337">
          <w:pPr>
            <w:pStyle w:val="19"/>
            <w:tabs>
              <w:tab w:val="right" w:leader="dot" w:pos="9184"/>
              <w:tab w:val="clear" w:pos="8715"/>
            </w:tabs>
            <w:rPr>
              <w:b/>
              <w:bCs/>
              <w:sz w:val="24"/>
              <w:szCs w:val="22"/>
              <w:highlight w:val="none"/>
            </w:rPr>
          </w:pPr>
          <w:r>
            <w:rPr>
              <w:rFonts w:hint="eastAsia" w:ascii="宋体" w:hAnsi="宋体" w:eastAsia="宋体" w:cs="宋体"/>
              <w:b/>
              <w:bCs/>
              <w:color w:val="auto"/>
              <w:sz w:val="24"/>
              <w:szCs w:val="22"/>
              <w:highlight w:val="none"/>
            </w:rPr>
            <w:fldChar w:fldCharType="begin"/>
          </w:r>
          <w:r>
            <w:rPr>
              <w:rFonts w:hint="eastAsia" w:ascii="宋体" w:hAnsi="宋体" w:eastAsia="宋体" w:cs="宋体"/>
              <w:b/>
              <w:bCs/>
              <w:sz w:val="24"/>
              <w:szCs w:val="22"/>
              <w:highlight w:val="none"/>
            </w:rPr>
            <w:instrText xml:space="preserve"> HYPERLINK \l _Toc20541 </w:instrText>
          </w:r>
          <w:r>
            <w:rPr>
              <w:rFonts w:hint="eastAsia" w:ascii="宋体" w:hAnsi="宋体" w:eastAsia="宋体" w:cs="宋体"/>
              <w:b/>
              <w:bCs/>
              <w:sz w:val="24"/>
              <w:szCs w:val="22"/>
              <w:highlight w:val="none"/>
            </w:rPr>
            <w:fldChar w:fldCharType="separate"/>
          </w:r>
          <w:r>
            <w:rPr>
              <w:rFonts w:hint="eastAsia" w:ascii="宋体" w:hAnsi="宋体" w:eastAsia="宋体" w:cs="宋体"/>
              <w:b/>
              <w:bCs/>
              <w:sz w:val="24"/>
              <w:szCs w:val="32"/>
              <w:highlight w:val="none"/>
              <w:lang w:val="en-US" w:eastAsia="zh-CN" w:bidi="ar-SA"/>
            </w:rPr>
            <w:t>第四章 评标办法及标准</w:t>
          </w:r>
          <w:r>
            <w:rPr>
              <w:b/>
              <w:bCs/>
              <w:sz w:val="24"/>
              <w:szCs w:val="22"/>
              <w:highlight w:val="none"/>
            </w:rPr>
            <w:tab/>
          </w:r>
          <w:r>
            <w:rPr>
              <w:b/>
              <w:bCs/>
              <w:sz w:val="24"/>
              <w:szCs w:val="22"/>
              <w:highlight w:val="none"/>
            </w:rPr>
            <w:fldChar w:fldCharType="begin"/>
          </w:r>
          <w:r>
            <w:rPr>
              <w:b/>
              <w:bCs/>
              <w:sz w:val="24"/>
              <w:szCs w:val="22"/>
              <w:highlight w:val="none"/>
            </w:rPr>
            <w:instrText xml:space="preserve"> PAGEREF _Toc20541 \h </w:instrText>
          </w:r>
          <w:r>
            <w:rPr>
              <w:b/>
              <w:bCs/>
              <w:sz w:val="24"/>
              <w:szCs w:val="22"/>
              <w:highlight w:val="none"/>
            </w:rPr>
            <w:fldChar w:fldCharType="separate"/>
          </w:r>
          <w:r>
            <w:rPr>
              <w:b/>
              <w:bCs/>
              <w:sz w:val="24"/>
              <w:szCs w:val="22"/>
              <w:highlight w:val="none"/>
            </w:rPr>
            <w:t>24</w:t>
          </w:r>
          <w:r>
            <w:rPr>
              <w:b/>
              <w:bCs/>
              <w:sz w:val="24"/>
              <w:szCs w:val="22"/>
              <w:highlight w:val="none"/>
            </w:rPr>
            <w:fldChar w:fldCharType="end"/>
          </w:r>
          <w:r>
            <w:rPr>
              <w:rFonts w:hint="eastAsia" w:ascii="宋体" w:hAnsi="宋体" w:eastAsia="宋体" w:cs="宋体"/>
              <w:b/>
              <w:bCs/>
              <w:color w:val="auto"/>
              <w:sz w:val="24"/>
              <w:szCs w:val="22"/>
              <w:highlight w:val="none"/>
            </w:rPr>
            <w:fldChar w:fldCharType="end"/>
          </w:r>
        </w:p>
        <w:p w14:paraId="4489B0C6">
          <w:pPr>
            <w:pStyle w:val="19"/>
            <w:tabs>
              <w:tab w:val="right" w:leader="dot" w:pos="9184"/>
              <w:tab w:val="clear" w:pos="8715"/>
            </w:tabs>
            <w:rPr>
              <w:b/>
              <w:bCs/>
              <w:sz w:val="24"/>
              <w:szCs w:val="22"/>
              <w:highlight w:val="none"/>
            </w:rPr>
          </w:pPr>
          <w:r>
            <w:rPr>
              <w:rFonts w:hint="eastAsia" w:ascii="宋体" w:hAnsi="宋体" w:eastAsia="宋体" w:cs="宋体"/>
              <w:b/>
              <w:bCs/>
              <w:color w:val="auto"/>
              <w:sz w:val="24"/>
              <w:szCs w:val="22"/>
              <w:highlight w:val="none"/>
            </w:rPr>
            <w:fldChar w:fldCharType="begin"/>
          </w:r>
          <w:r>
            <w:rPr>
              <w:rFonts w:hint="eastAsia" w:ascii="宋体" w:hAnsi="宋体" w:eastAsia="宋体" w:cs="宋体"/>
              <w:b/>
              <w:bCs/>
              <w:sz w:val="24"/>
              <w:szCs w:val="22"/>
              <w:highlight w:val="none"/>
            </w:rPr>
            <w:instrText xml:space="preserve"> HYPERLINK \l _Toc30168 </w:instrText>
          </w:r>
          <w:r>
            <w:rPr>
              <w:rFonts w:hint="eastAsia" w:ascii="宋体" w:hAnsi="宋体" w:eastAsia="宋体" w:cs="宋体"/>
              <w:b/>
              <w:bCs/>
              <w:sz w:val="24"/>
              <w:szCs w:val="22"/>
              <w:highlight w:val="none"/>
            </w:rPr>
            <w:fldChar w:fldCharType="separate"/>
          </w:r>
          <w:r>
            <w:rPr>
              <w:rFonts w:hint="eastAsia" w:ascii="宋体" w:hAnsi="宋体" w:eastAsia="宋体" w:cs="宋体"/>
              <w:b/>
              <w:bCs/>
              <w:sz w:val="24"/>
              <w:szCs w:val="32"/>
              <w:highlight w:val="none"/>
            </w:rPr>
            <w:t>第</w:t>
          </w:r>
          <w:r>
            <w:rPr>
              <w:rFonts w:hint="eastAsia" w:ascii="宋体" w:hAnsi="宋体" w:cs="宋体"/>
              <w:b/>
              <w:bCs/>
              <w:sz w:val="24"/>
              <w:szCs w:val="32"/>
              <w:highlight w:val="none"/>
              <w:lang w:val="en-US" w:eastAsia="zh-CN"/>
            </w:rPr>
            <w:t>五</w:t>
          </w:r>
          <w:r>
            <w:rPr>
              <w:rFonts w:hint="eastAsia" w:ascii="宋体" w:hAnsi="宋体" w:eastAsia="宋体" w:cs="宋体"/>
              <w:b/>
              <w:bCs/>
              <w:sz w:val="24"/>
              <w:szCs w:val="32"/>
              <w:highlight w:val="none"/>
            </w:rPr>
            <w:t>章 合同条款及格式</w:t>
          </w:r>
          <w:r>
            <w:rPr>
              <w:b/>
              <w:bCs/>
              <w:sz w:val="24"/>
              <w:szCs w:val="22"/>
              <w:highlight w:val="none"/>
            </w:rPr>
            <w:tab/>
          </w:r>
          <w:r>
            <w:rPr>
              <w:b/>
              <w:bCs/>
              <w:sz w:val="24"/>
              <w:szCs w:val="22"/>
              <w:highlight w:val="none"/>
            </w:rPr>
            <w:fldChar w:fldCharType="begin"/>
          </w:r>
          <w:r>
            <w:rPr>
              <w:b/>
              <w:bCs/>
              <w:sz w:val="24"/>
              <w:szCs w:val="22"/>
              <w:highlight w:val="none"/>
            </w:rPr>
            <w:instrText xml:space="preserve"> PAGEREF _Toc30168 \h </w:instrText>
          </w:r>
          <w:r>
            <w:rPr>
              <w:b/>
              <w:bCs/>
              <w:sz w:val="24"/>
              <w:szCs w:val="22"/>
              <w:highlight w:val="none"/>
            </w:rPr>
            <w:fldChar w:fldCharType="separate"/>
          </w:r>
          <w:r>
            <w:rPr>
              <w:b/>
              <w:bCs/>
              <w:sz w:val="24"/>
              <w:szCs w:val="22"/>
              <w:highlight w:val="none"/>
            </w:rPr>
            <w:t>2</w:t>
          </w:r>
          <w:r>
            <w:rPr>
              <w:rFonts w:hint="eastAsia"/>
              <w:b/>
              <w:bCs/>
              <w:sz w:val="24"/>
              <w:szCs w:val="22"/>
              <w:highlight w:val="none"/>
              <w:lang w:val="en-US" w:eastAsia="zh-CN"/>
            </w:rPr>
            <w:t>8</w:t>
          </w:r>
          <w:r>
            <w:rPr>
              <w:b/>
              <w:bCs/>
              <w:sz w:val="24"/>
              <w:szCs w:val="22"/>
              <w:highlight w:val="none"/>
            </w:rPr>
            <w:fldChar w:fldCharType="end"/>
          </w:r>
          <w:r>
            <w:rPr>
              <w:rFonts w:hint="eastAsia" w:ascii="宋体" w:hAnsi="宋体" w:eastAsia="宋体" w:cs="宋体"/>
              <w:b/>
              <w:bCs/>
              <w:color w:val="auto"/>
              <w:sz w:val="24"/>
              <w:szCs w:val="22"/>
              <w:highlight w:val="none"/>
            </w:rPr>
            <w:fldChar w:fldCharType="end"/>
          </w:r>
        </w:p>
        <w:p w14:paraId="10F5BD6F">
          <w:pPr>
            <w:pStyle w:val="19"/>
            <w:tabs>
              <w:tab w:val="right" w:leader="dot" w:pos="9184"/>
              <w:tab w:val="clear" w:pos="8715"/>
            </w:tabs>
            <w:rPr>
              <w:b/>
              <w:bCs/>
              <w:sz w:val="24"/>
              <w:szCs w:val="22"/>
              <w:highlight w:val="none"/>
            </w:rPr>
          </w:pPr>
          <w:r>
            <w:rPr>
              <w:rFonts w:hint="eastAsia" w:ascii="宋体" w:hAnsi="宋体" w:eastAsia="宋体" w:cs="宋体"/>
              <w:b/>
              <w:bCs/>
              <w:color w:val="auto"/>
              <w:sz w:val="24"/>
              <w:szCs w:val="22"/>
              <w:highlight w:val="none"/>
            </w:rPr>
            <w:fldChar w:fldCharType="begin"/>
          </w:r>
          <w:r>
            <w:rPr>
              <w:rFonts w:hint="eastAsia" w:ascii="宋体" w:hAnsi="宋体" w:eastAsia="宋体" w:cs="宋体"/>
              <w:b/>
              <w:bCs/>
              <w:sz w:val="24"/>
              <w:szCs w:val="22"/>
              <w:highlight w:val="none"/>
            </w:rPr>
            <w:instrText xml:space="preserve"> HYPERLINK \l _Toc2070 </w:instrText>
          </w:r>
          <w:r>
            <w:rPr>
              <w:rFonts w:hint="eastAsia" w:ascii="宋体" w:hAnsi="宋体" w:eastAsia="宋体" w:cs="宋体"/>
              <w:b/>
              <w:bCs/>
              <w:sz w:val="24"/>
              <w:szCs w:val="22"/>
              <w:highlight w:val="none"/>
            </w:rPr>
            <w:fldChar w:fldCharType="separate"/>
          </w:r>
          <w:r>
            <w:rPr>
              <w:rFonts w:hint="eastAsia" w:ascii="宋体" w:hAnsi="宋体" w:eastAsia="宋体" w:cs="宋体"/>
              <w:b/>
              <w:bCs/>
              <w:sz w:val="24"/>
              <w:szCs w:val="32"/>
              <w:highlight w:val="none"/>
            </w:rPr>
            <w:t>第</w:t>
          </w:r>
          <w:r>
            <w:rPr>
              <w:rFonts w:hint="eastAsia" w:ascii="宋体" w:hAnsi="宋体" w:eastAsia="宋体" w:cs="宋体"/>
              <w:b/>
              <w:bCs/>
              <w:sz w:val="24"/>
              <w:szCs w:val="32"/>
              <w:highlight w:val="none"/>
              <w:lang w:val="en-US" w:eastAsia="zh-CN"/>
            </w:rPr>
            <w:t>六</w:t>
          </w:r>
          <w:r>
            <w:rPr>
              <w:rFonts w:hint="eastAsia" w:ascii="宋体" w:hAnsi="宋体" w:eastAsia="宋体" w:cs="宋体"/>
              <w:b/>
              <w:bCs/>
              <w:sz w:val="24"/>
              <w:szCs w:val="32"/>
              <w:highlight w:val="none"/>
            </w:rPr>
            <w:t>章 投标文件格式</w:t>
          </w:r>
          <w:r>
            <w:rPr>
              <w:b/>
              <w:bCs/>
              <w:sz w:val="24"/>
              <w:szCs w:val="22"/>
              <w:highlight w:val="none"/>
            </w:rPr>
            <w:tab/>
          </w:r>
          <w:r>
            <w:rPr>
              <w:b/>
              <w:bCs/>
              <w:sz w:val="24"/>
              <w:szCs w:val="22"/>
              <w:highlight w:val="none"/>
            </w:rPr>
            <w:fldChar w:fldCharType="begin"/>
          </w:r>
          <w:r>
            <w:rPr>
              <w:b/>
              <w:bCs/>
              <w:sz w:val="24"/>
              <w:szCs w:val="22"/>
              <w:highlight w:val="none"/>
            </w:rPr>
            <w:instrText xml:space="preserve"> PAGEREF _Toc2070 \h </w:instrText>
          </w:r>
          <w:r>
            <w:rPr>
              <w:b/>
              <w:bCs/>
              <w:sz w:val="24"/>
              <w:szCs w:val="22"/>
              <w:highlight w:val="none"/>
            </w:rPr>
            <w:fldChar w:fldCharType="separate"/>
          </w:r>
          <w:r>
            <w:rPr>
              <w:rFonts w:hint="eastAsia"/>
              <w:b/>
              <w:bCs/>
              <w:sz w:val="24"/>
              <w:szCs w:val="22"/>
              <w:highlight w:val="none"/>
              <w:lang w:val="en-US" w:eastAsia="zh-CN"/>
            </w:rPr>
            <w:t>38</w:t>
          </w:r>
          <w:r>
            <w:rPr>
              <w:b/>
              <w:bCs/>
              <w:sz w:val="24"/>
              <w:szCs w:val="22"/>
              <w:highlight w:val="none"/>
            </w:rPr>
            <w:fldChar w:fldCharType="end"/>
          </w:r>
          <w:r>
            <w:rPr>
              <w:rFonts w:hint="eastAsia" w:ascii="宋体" w:hAnsi="宋体" w:eastAsia="宋体" w:cs="宋体"/>
              <w:b/>
              <w:bCs/>
              <w:color w:val="auto"/>
              <w:sz w:val="24"/>
              <w:szCs w:val="22"/>
              <w:highlight w:val="none"/>
            </w:rPr>
            <w:fldChar w:fldCharType="end"/>
          </w:r>
        </w:p>
        <w:p w14:paraId="66A4732A">
          <w:pPr>
            <w:tabs>
              <w:tab w:val="left" w:pos="1515"/>
            </w:tabs>
            <w:spacing w:line="360" w:lineRule="auto"/>
            <w:outlineLvl w:val="9"/>
            <w:rPr>
              <w:rFonts w:hint="eastAsia" w:ascii="宋体" w:hAnsi="宋体" w:eastAsia="宋体" w:cs="宋体"/>
              <w:color w:val="auto"/>
              <w:sz w:val="21"/>
              <w:highlight w:val="none"/>
              <w:lang w:val="en-US" w:eastAsia="zh-CN" w:bidi="ar-SA"/>
            </w:rPr>
          </w:pPr>
          <w:r>
            <w:rPr>
              <w:rFonts w:hint="eastAsia" w:ascii="宋体" w:hAnsi="宋体" w:eastAsia="宋体" w:cs="宋体"/>
              <w:b/>
              <w:bCs/>
              <w:color w:val="auto"/>
              <w:sz w:val="24"/>
              <w:szCs w:val="22"/>
              <w:highlight w:val="none"/>
            </w:rPr>
            <w:fldChar w:fldCharType="end"/>
          </w:r>
        </w:p>
      </w:sdtContent>
    </w:sdt>
    <w:p w14:paraId="161CC06D">
      <w:pPr>
        <w:tabs>
          <w:tab w:val="left" w:pos="1515"/>
        </w:tabs>
        <w:spacing w:line="360" w:lineRule="auto"/>
        <w:outlineLvl w:val="9"/>
        <w:rPr>
          <w:rFonts w:hint="eastAsia" w:ascii="宋体" w:hAnsi="宋体" w:eastAsia="宋体" w:cs="宋体"/>
          <w:color w:val="auto"/>
          <w:sz w:val="21"/>
          <w:highlight w:val="none"/>
          <w:lang w:val="en-US" w:eastAsia="zh-CN" w:bidi="ar-SA"/>
        </w:rPr>
      </w:pPr>
    </w:p>
    <w:p w14:paraId="3FC79A23">
      <w:pPr>
        <w:tabs>
          <w:tab w:val="left" w:pos="1515"/>
        </w:tabs>
        <w:spacing w:line="360" w:lineRule="auto"/>
        <w:jc w:val="center"/>
        <w:outlineLvl w:val="0"/>
        <w:rPr>
          <w:rFonts w:hint="eastAsia" w:ascii="宋体" w:hAnsi="宋体" w:eastAsia="宋体" w:cs="宋体"/>
          <w:b/>
          <w:color w:val="auto"/>
          <w:sz w:val="42"/>
          <w:szCs w:val="24"/>
          <w:highlight w:val="none"/>
        </w:rPr>
      </w:pPr>
      <w:r>
        <w:rPr>
          <w:rFonts w:hint="eastAsia" w:ascii="宋体" w:hAnsi="宋体" w:eastAsia="宋体" w:cs="宋体"/>
          <w:color w:val="auto"/>
          <w:sz w:val="28"/>
          <w:highlight w:val="none"/>
        </w:rPr>
        <w:br w:type="page" w:clear="all"/>
      </w:r>
      <w:bookmarkStart w:id="0" w:name="_Toc425517537"/>
      <w:bookmarkStart w:id="1" w:name="_Toc23595"/>
      <w:r>
        <w:rPr>
          <w:rFonts w:hint="eastAsia" w:ascii="宋体" w:hAnsi="宋体" w:eastAsia="宋体" w:cs="宋体"/>
          <w:b/>
          <w:color w:val="auto"/>
          <w:sz w:val="42"/>
          <w:szCs w:val="24"/>
          <w:highlight w:val="none"/>
        </w:rPr>
        <w:t xml:space="preserve">第一章 </w:t>
      </w:r>
      <w:bookmarkEnd w:id="0"/>
      <w:bookmarkStart w:id="2" w:name="_Toc28359010"/>
      <w:bookmarkStart w:id="3" w:name="_Toc28359087"/>
      <w:r>
        <w:rPr>
          <w:rFonts w:hint="eastAsia" w:ascii="宋体" w:hAnsi="宋体" w:eastAsia="宋体" w:cs="宋体"/>
          <w:b/>
          <w:color w:val="auto"/>
          <w:sz w:val="42"/>
          <w:szCs w:val="24"/>
          <w:highlight w:val="none"/>
        </w:rPr>
        <w:t>招标公告</w:t>
      </w:r>
      <w:bookmarkEnd w:id="1"/>
    </w:p>
    <w:p w14:paraId="6448FB9B">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07AAF05F">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泰州市第五人民医院安保服务项目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的潜在投标人应在</w:t>
      </w:r>
      <w:r>
        <w:rPr>
          <w:rFonts w:hint="eastAsia" w:ascii="宋体" w:hAnsi="宋体" w:eastAsia="宋体" w:cs="宋体"/>
          <w:color w:val="auto"/>
          <w:sz w:val="24"/>
          <w:szCs w:val="24"/>
          <w:highlight w:val="none"/>
          <w:u w:val="single"/>
        </w:rPr>
        <w:t xml:space="preserve"> 江苏政府采购“苏采云”系统 </w:t>
      </w:r>
      <w:r>
        <w:rPr>
          <w:rFonts w:hint="eastAsia" w:ascii="宋体" w:hAnsi="宋体" w:eastAsia="宋体" w:cs="宋体"/>
          <w:color w:val="auto"/>
          <w:sz w:val="24"/>
          <w:szCs w:val="24"/>
          <w:highlight w:val="none"/>
        </w:rPr>
        <w:t>获取招标文件，并于</w:t>
      </w:r>
      <w:r>
        <w:rPr>
          <w:rFonts w:hint="eastAsia" w:ascii="宋体" w:hAnsi="宋体" w:eastAsia="宋体" w:cs="宋体"/>
          <w:color w:val="auto"/>
          <w:sz w:val="24"/>
          <w:szCs w:val="24"/>
          <w:highlight w:val="none"/>
          <w:u w:val="single"/>
        </w:rPr>
        <w:t xml:space="preserve"> 202</w:t>
      </w:r>
      <w:r>
        <w:rPr>
          <w:rFonts w:hint="eastAsia" w:ascii="宋体" w:hAnsi="宋体" w:cs="宋体"/>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28</w:t>
      </w:r>
      <w:r>
        <w:rPr>
          <w:rFonts w:hint="eastAsia" w:ascii="宋体" w:hAnsi="宋体" w:eastAsia="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14</w:t>
      </w:r>
      <w:r>
        <w:rPr>
          <w:rFonts w:hint="eastAsia" w:ascii="宋体" w:hAnsi="宋体" w:eastAsia="宋体" w:cs="宋体"/>
          <w:bCs/>
          <w:color w:val="auto"/>
          <w:sz w:val="24"/>
          <w:szCs w:val="24"/>
          <w:highlight w:val="none"/>
          <w:u w:val="single"/>
        </w:rPr>
        <w:t>点</w:t>
      </w:r>
      <w:r>
        <w:rPr>
          <w:rFonts w:hint="eastAsia" w:ascii="宋体" w:hAnsi="宋体" w:cs="宋体"/>
          <w:bCs/>
          <w:color w:val="auto"/>
          <w:sz w:val="24"/>
          <w:szCs w:val="24"/>
          <w:highlight w:val="none"/>
          <w:u w:val="single"/>
          <w:lang w:val="en-US" w:eastAsia="zh-CN"/>
        </w:rPr>
        <w:t>00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77993777">
      <w:pPr>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bookmarkStart w:id="4" w:name="_Toc28359079"/>
      <w:bookmarkStart w:id="5" w:name="_Toc35393621"/>
      <w:bookmarkStart w:id="6" w:name="_Toc28359002"/>
      <w:bookmarkStart w:id="7" w:name="_Toc35393790"/>
      <w:bookmarkStart w:id="8" w:name="_Hlk24379207"/>
      <w:r>
        <w:rPr>
          <w:rFonts w:hint="eastAsia" w:ascii="宋体" w:hAnsi="宋体" w:eastAsia="宋体" w:cs="宋体"/>
          <w:b/>
          <w:bCs/>
          <w:color w:val="auto"/>
          <w:sz w:val="24"/>
          <w:szCs w:val="24"/>
          <w:highlight w:val="none"/>
        </w:rPr>
        <w:t>一、项目基本情况</w:t>
      </w:r>
      <w:bookmarkEnd w:id="4"/>
      <w:bookmarkEnd w:id="5"/>
      <w:bookmarkEnd w:id="6"/>
      <w:bookmarkEnd w:id="7"/>
    </w:p>
    <w:p w14:paraId="2E440B87">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项目编号：JSZC-321200-JTTZ-G2026-0019</w:t>
      </w:r>
    </w:p>
    <w:p w14:paraId="16D12796">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bookmarkEnd w:id="8"/>
      <w:r>
        <w:rPr>
          <w:rFonts w:hint="eastAsia" w:ascii="宋体" w:hAnsi="宋体" w:cs="宋体"/>
          <w:color w:val="auto"/>
          <w:sz w:val="24"/>
          <w:szCs w:val="24"/>
          <w:highlight w:val="none"/>
          <w:lang w:eastAsia="zh-CN"/>
        </w:rPr>
        <w:t>泰州市第五人民医院安保服务项目</w:t>
      </w:r>
    </w:p>
    <w:p w14:paraId="2F394A56">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849</w:t>
      </w:r>
      <w:r>
        <w:rPr>
          <w:rFonts w:hint="eastAsia" w:ascii="宋体" w:hAnsi="宋体" w:eastAsia="宋体" w:cs="宋体"/>
          <w:color w:val="auto"/>
          <w:sz w:val="24"/>
          <w:szCs w:val="24"/>
          <w:highlight w:val="none"/>
        </w:rPr>
        <w:t>万元</w:t>
      </w:r>
    </w:p>
    <w:p w14:paraId="2A0F996C">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最高限价：</w:t>
      </w:r>
      <w:r>
        <w:rPr>
          <w:rFonts w:hint="eastAsia" w:ascii="宋体" w:hAnsi="宋体" w:cs="宋体"/>
          <w:color w:val="auto"/>
          <w:sz w:val="24"/>
          <w:szCs w:val="24"/>
          <w:highlight w:val="none"/>
          <w:lang w:val="en-US" w:eastAsia="zh-CN"/>
        </w:rPr>
        <w:t>849</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283</w:t>
      </w:r>
      <w:r>
        <w:rPr>
          <w:rFonts w:hint="eastAsia" w:ascii="宋体" w:hAnsi="宋体" w:eastAsia="宋体" w:cs="宋体"/>
          <w:color w:val="auto"/>
          <w:sz w:val="24"/>
          <w:szCs w:val="24"/>
          <w:highlight w:val="none"/>
          <w:lang w:val="en-US" w:eastAsia="zh-CN"/>
        </w:rPr>
        <w:t>万元/年</w:t>
      </w:r>
      <w:r>
        <w:rPr>
          <w:rFonts w:hint="eastAsia" w:ascii="宋体" w:hAnsi="宋体" w:eastAsia="宋体" w:cs="宋体"/>
          <w:color w:val="auto"/>
          <w:sz w:val="24"/>
          <w:szCs w:val="24"/>
          <w:highlight w:val="none"/>
          <w:lang w:eastAsia="zh-CN"/>
        </w:rPr>
        <w:t>）</w:t>
      </w:r>
    </w:p>
    <w:p w14:paraId="55DA2F02">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采购需求：提供</w:t>
      </w:r>
      <w:r>
        <w:rPr>
          <w:rFonts w:hint="eastAsia" w:ascii="宋体" w:hAnsi="宋体" w:cs="宋体"/>
          <w:color w:val="auto"/>
          <w:sz w:val="24"/>
          <w:szCs w:val="24"/>
          <w:highlight w:val="none"/>
          <w:lang w:eastAsia="zh-CN"/>
        </w:rPr>
        <w:t>泰州市第五人民医院</w:t>
      </w:r>
      <w:r>
        <w:rPr>
          <w:rFonts w:hint="eastAsia" w:ascii="宋体" w:hAnsi="宋体" w:eastAsia="宋体" w:cs="宋体"/>
          <w:color w:val="auto"/>
          <w:sz w:val="24"/>
          <w:szCs w:val="24"/>
          <w:highlight w:val="none"/>
        </w:rPr>
        <w:t>安保服务，主要是安全</w:t>
      </w:r>
      <w:r>
        <w:rPr>
          <w:rFonts w:hint="eastAsia" w:ascii="宋体" w:hAnsi="宋体" w:eastAsia="宋体" w:cs="宋体"/>
          <w:color w:val="auto"/>
          <w:sz w:val="24"/>
          <w:szCs w:val="24"/>
          <w:highlight w:val="none"/>
          <w:lang w:val="en-US" w:eastAsia="zh-CN"/>
        </w:rPr>
        <w:t>保卫工作</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内容包括</w:t>
      </w:r>
      <w:r>
        <w:rPr>
          <w:rFonts w:hint="eastAsia" w:ascii="宋体" w:hAnsi="宋体" w:eastAsia="宋体" w:cs="宋体"/>
          <w:color w:val="auto"/>
          <w:sz w:val="24"/>
          <w:szCs w:val="24"/>
          <w:highlight w:val="none"/>
        </w:rPr>
        <w:t>医院门岗</w:t>
      </w:r>
      <w:r>
        <w:rPr>
          <w:rFonts w:hint="eastAsia" w:ascii="宋体" w:hAnsi="宋体" w:cs="宋体"/>
          <w:color w:val="auto"/>
          <w:sz w:val="24"/>
          <w:szCs w:val="24"/>
          <w:highlight w:val="none"/>
          <w:lang w:val="en-US" w:eastAsia="zh-CN"/>
        </w:rPr>
        <w:t>值</w:t>
      </w:r>
      <w:r>
        <w:rPr>
          <w:rFonts w:hint="eastAsia" w:ascii="宋体" w:hAnsi="宋体" w:eastAsia="宋体" w:cs="宋体"/>
          <w:color w:val="auto"/>
          <w:sz w:val="24"/>
          <w:szCs w:val="24"/>
          <w:highlight w:val="none"/>
        </w:rPr>
        <w:t>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机动车</w:t>
      </w:r>
      <w:r>
        <w:rPr>
          <w:rFonts w:hint="eastAsia" w:ascii="宋体" w:hAnsi="宋体" w:cs="宋体"/>
          <w:color w:val="auto"/>
          <w:sz w:val="24"/>
          <w:szCs w:val="24"/>
          <w:highlight w:val="none"/>
          <w:lang w:val="en-US" w:eastAsia="zh-CN"/>
        </w:rPr>
        <w:t>和</w:t>
      </w:r>
      <w:r>
        <w:rPr>
          <w:rFonts w:hint="eastAsia" w:ascii="宋体" w:hAnsi="宋体" w:eastAsia="宋体" w:cs="宋体"/>
          <w:color w:val="auto"/>
          <w:sz w:val="24"/>
          <w:szCs w:val="24"/>
          <w:highlight w:val="none"/>
        </w:rPr>
        <w:t>非机动车管理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院内巡逻</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消防控制</w:t>
      </w:r>
      <w:r>
        <w:rPr>
          <w:rFonts w:hint="eastAsia" w:ascii="宋体" w:hAnsi="宋体" w:cs="宋体"/>
          <w:color w:val="auto"/>
          <w:sz w:val="24"/>
          <w:szCs w:val="24"/>
          <w:highlight w:val="none"/>
          <w:lang w:val="en-US" w:eastAsia="zh-CN"/>
        </w:rPr>
        <w:t>/治安监控</w:t>
      </w:r>
      <w:r>
        <w:rPr>
          <w:rFonts w:hint="eastAsia" w:ascii="宋体" w:hAnsi="宋体" w:eastAsia="宋体" w:cs="宋体"/>
          <w:color w:val="auto"/>
          <w:sz w:val="24"/>
          <w:szCs w:val="24"/>
          <w:highlight w:val="none"/>
        </w:rPr>
        <w:t>值岗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组建医院微型消防站以及医院反恐防</w:t>
      </w:r>
      <w:r>
        <w:rPr>
          <w:rFonts w:hint="eastAsia" w:ascii="宋体" w:hAnsi="宋体" w:cs="宋体"/>
          <w:color w:val="auto"/>
          <w:sz w:val="24"/>
          <w:szCs w:val="24"/>
          <w:highlight w:val="none"/>
          <w:lang w:val="en-US" w:eastAsia="zh-CN"/>
        </w:rPr>
        <w:t>暴</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处置医疗纠纷等。具体要求详见招标文件。</w:t>
      </w:r>
    </w:p>
    <w:p w14:paraId="735A77DC">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highlight w:val="none"/>
        </w:rPr>
        <w:t>自合同签订之日起三年</w:t>
      </w:r>
      <w:r>
        <w:rPr>
          <w:rFonts w:hint="eastAsia" w:ascii="宋体" w:hAnsi="宋体" w:eastAsia="宋体" w:cs="宋体"/>
          <w:b/>
          <w:color w:val="auto"/>
          <w:sz w:val="24"/>
          <w:szCs w:val="24"/>
          <w:highlight w:val="none"/>
        </w:rPr>
        <w:t>（前三个月为试用期）</w:t>
      </w:r>
      <w:r>
        <w:rPr>
          <w:rFonts w:hint="eastAsia" w:ascii="宋体" w:hAnsi="宋体" w:eastAsia="宋体" w:cs="宋体"/>
          <w:color w:val="auto"/>
          <w:sz w:val="24"/>
          <w:szCs w:val="24"/>
          <w:highlight w:val="none"/>
        </w:rPr>
        <w:t>。</w:t>
      </w:r>
    </w:p>
    <w:p w14:paraId="59C92905">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bookmarkStart w:id="9" w:name="_Toc28359080"/>
      <w:bookmarkStart w:id="10" w:name="_Toc28359003"/>
      <w:bookmarkStart w:id="11" w:name="_Toc35393791"/>
      <w:bookmarkStart w:id="12" w:name="_Toc35393622"/>
      <w:r>
        <w:rPr>
          <w:rFonts w:hint="eastAsia" w:ascii="宋体" w:hAnsi="宋体" w:eastAsia="宋体" w:cs="宋体"/>
          <w:color w:val="auto"/>
          <w:sz w:val="24"/>
          <w:szCs w:val="24"/>
          <w:highlight w:val="none"/>
        </w:rPr>
        <w:t>本项目不接受联合体投标。本项目须由</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独立完成，不得转包或分包。</w:t>
      </w:r>
    </w:p>
    <w:p w14:paraId="3CB0F630">
      <w:pPr>
        <w:keepNext/>
        <w:keepLines/>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bookmarkEnd w:id="9"/>
      <w:bookmarkEnd w:id="10"/>
      <w:bookmarkEnd w:id="11"/>
      <w:bookmarkEnd w:id="12"/>
    </w:p>
    <w:p w14:paraId="7BAA6E00">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宋体"/>
          <w:color w:val="auto"/>
          <w:sz w:val="24"/>
          <w:szCs w:val="24"/>
          <w:highlight w:val="none"/>
        </w:rPr>
      </w:pPr>
      <w:bookmarkStart w:id="13" w:name="_Toc28359004"/>
      <w:bookmarkStart w:id="14" w:name="_Toc28359081"/>
      <w:r>
        <w:rPr>
          <w:rFonts w:hint="eastAsia" w:ascii="宋体" w:hAnsi="宋体" w:eastAsia="宋体" w:cs="宋体"/>
          <w:color w:val="auto"/>
          <w:sz w:val="24"/>
          <w:szCs w:val="24"/>
          <w:highlight w:val="none"/>
        </w:rPr>
        <w:t>（一）满足《中华人民共和国政府采购法》第二十二条规定：</w:t>
      </w:r>
    </w:p>
    <w:p w14:paraId="728C713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w:t>
      </w:r>
    </w:p>
    <w:p w14:paraId="3F3EC13E">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5C800988">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w:t>
      </w:r>
    </w:p>
    <w:p w14:paraId="18741A2C">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4.有依法缴纳税收和社会保障资金的良好记录；</w:t>
      </w:r>
    </w:p>
    <w:p w14:paraId="6E2A7915">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5.参加政府采购活动前三年内，在经营活动中没有重大违法记录</w:t>
      </w:r>
      <w:r>
        <w:rPr>
          <w:rFonts w:hint="eastAsia" w:ascii="宋体" w:hAnsi="宋体" w:eastAsia="宋体" w:cs="宋体"/>
          <w:color w:val="auto"/>
          <w:sz w:val="24"/>
          <w:szCs w:val="24"/>
          <w:highlight w:val="none"/>
          <w:lang w:eastAsia="zh-CN"/>
        </w:rPr>
        <w:t>。</w:t>
      </w:r>
    </w:p>
    <w:p w14:paraId="476CA241">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（二）落实政府采购政策需满足的资格要求：本项目属于租赁和商务服务业</w:t>
      </w:r>
      <w:r>
        <w:rPr>
          <w:rFonts w:hint="eastAsia" w:ascii="宋体" w:hAnsi="宋体" w:eastAsia="宋体" w:cs="宋体"/>
          <w:b w:val="0"/>
          <w:bCs w:val="0"/>
          <w:color w:val="auto"/>
          <w:sz w:val="24"/>
          <w:szCs w:val="24"/>
          <w:highlight w:val="none"/>
        </w:rPr>
        <w:t>。不专门面向中小微企业</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根据《政府采购促进中小企业发展管理办法》《江苏省财政厅关于进一步加大政府采购支持中小企业力度的通知》等有关规定，对满足价格扣</w:t>
      </w:r>
      <w:r>
        <w:rPr>
          <w:rFonts w:hint="eastAsia" w:ascii="宋体" w:hAnsi="宋体" w:eastAsia="宋体" w:cs="宋体"/>
          <w:b w:val="0"/>
          <w:bCs w:val="0"/>
          <w:sz w:val="24"/>
          <w:szCs w:val="24"/>
          <w:highlight w:val="none"/>
        </w:rPr>
        <w:t>除条件且在</w:t>
      </w:r>
      <w:r>
        <w:rPr>
          <w:rFonts w:hint="eastAsia" w:ascii="宋体" w:hAnsi="宋体" w:eastAsia="宋体" w:cs="宋体"/>
          <w:b w:val="0"/>
          <w:bCs w:val="0"/>
          <w:sz w:val="24"/>
          <w:szCs w:val="24"/>
          <w:highlight w:val="none"/>
          <w:lang w:val="en-US" w:eastAsia="zh-CN"/>
        </w:rPr>
        <w:t>投标</w:t>
      </w:r>
      <w:r>
        <w:rPr>
          <w:rFonts w:hint="eastAsia" w:ascii="宋体" w:hAnsi="宋体" w:eastAsia="宋体" w:cs="宋体"/>
          <w:b w:val="0"/>
          <w:bCs w:val="0"/>
          <w:sz w:val="24"/>
          <w:szCs w:val="24"/>
          <w:highlight w:val="none"/>
        </w:rPr>
        <w:t>文件中提交了《中小企业声明函》等证明文件的供应商，对小型和微型企业的价格给予10%的扣除。</w:t>
      </w:r>
    </w:p>
    <w:p w14:paraId="33E42FBA">
      <w:pPr>
        <w:keepNext w:val="0"/>
        <w:keepLines w:val="0"/>
        <w:pageBreakBefore w:val="0"/>
        <w:widowControl w:val="0"/>
        <w:kinsoku/>
        <w:wordWrap/>
        <w:overflowPunct/>
        <w:topLinePunct w:val="0"/>
        <w:autoSpaceDE/>
        <w:autoSpaceDN/>
        <w:bidi w:val="0"/>
        <w:adjustRightInd/>
        <w:snapToGrid/>
        <w:spacing w:line="360" w:lineRule="auto"/>
        <w:ind w:firstLine="48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（三）本项目的特定资格要求：</w:t>
      </w:r>
    </w:p>
    <w:p w14:paraId="29A99F2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投标人须具有公安部门核发的《保安服务许可证》；保安服务企业跨省、自治区、直辖市</w:t>
      </w:r>
      <w:r>
        <w:rPr>
          <w:rFonts w:hint="eastAsia" w:ascii="宋体" w:hAnsi="宋体" w:eastAsia="宋体" w:cs="宋体"/>
          <w:color w:val="auto"/>
          <w:sz w:val="24"/>
          <w:szCs w:val="24"/>
          <w:highlight w:val="none"/>
          <w:lang w:val="en-US" w:eastAsia="zh-CN"/>
        </w:rPr>
        <w:t>提供保安服务的，应当在投标前向服务所在地设区的市级人民政府公安机关做好备案</w:t>
      </w:r>
      <w:r>
        <w:rPr>
          <w:rFonts w:hint="eastAsia" w:ascii="宋体" w:hAnsi="宋体" w:eastAsia="宋体" w:cs="宋体"/>
          <w:color w:val="auto"/>
          <w:sz w:val="24"/>
          <w:szCs w:val="24"/>
          <w:highlight w:val="none"/>
        </w:rPr>
        <w:t>或者提供承诺书，承诺中标后</w:t>
      </w:r>
      <w:r>
        <w:rPr>
          <w:rFonts w:hint="eastAsia" w:ascii="宋体" w:hAnsi="宋体" w:eastAsia="宋体" w:cs="宋体"/>
          <w:color w:val="auto"/>
          <w:sz w:val="24"/>
          <w:szCs w:val="24"/>
          <w:highlight w:val="none"/>
          <w:lang w:val="en-US" w:eastAsia="zh-CN"/>
        </w:rPr>
        <w:t>按规定</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服务所在（</w:t>
      </w:r>
      <w:r>
        <w:rPr>
          <w:rFonts w:hint="eastAsia" w:ascii="宋体" w:hAnsi="宋体" w:eastAsia="宋体" w:cs="宋体"/>
          <w:color w:val="auto"/>
          <w:sz w:val="24"/>
          <w:szCs w:val="24"/>
          <w:highlight w:val="none"/>
        </w:rPr>
        <w:t>泰州市</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保安主管部门完成备案（提供保安服务许可证、备案证明材料或承诺书</w:t>
      </w:r>
      <w:r>
        <w:rPr>
          <w:rFonts w:hint="eastAsia" w:ascii="宋体" w:hAnsi="宋体" w:eastAsia="宋体" w:cs="宋体"/>
          <w:color w:val="auto"/>
          <w:sz w:val="24"/>
          <w:szCs w:val="24"/>
          <w:highlight w:val="none"/>
          <w:lang w:val="en-US" w:eastAsia="zh-CN"/>
        </w:rPr>
        <w:t>&lt;格式自拟&gt;</w:t>
      </w:r>
      <w:r>
        <w:rPr>
          <w:rFonts w:hint="eastAsia" w:ascii="宋体" w:hAnsi="宋体" w:eastAsia="宋体" w:cs="宋体"/>
          <w:color w:val="auto"/>
          <w:sz w:val="24"/>
          <w:szCs w:val="24"/>
          <w:highlight w:val="none"/>
        </w:rPr>
        <w:t>）；</w:t>
      </w:r>
    </w:p>
    <w:p w14:paraId="5EDB53E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投标人承诺拟派本项目所有保安人员</w:t>
      </w:r>
      <w:r>
        <w:rPr>
          <w:rFonts w:hint="eastAsia" w:ascii="宋体" w:hAnsi="宋体" w:eastAsia="宋体" w:cs="宋体"/>
          <w:color w:val="auto"/>
          <w:sz w:val="24"/>
          <w:szCs w:val="24"/>
          <w:highlight w:val="none"/>
          <w:lang w:val="en-US" w:eastAsia="zh-CN"/>
        </w:rPr>
        <w:t>均</w:t>
      </w:r>
      <w:r>
        <w:rPr>
          <w:rFonts w:hint="eastAsia" w:ascii="宋体" w:hAnsi="宋体" w:eastAsia="宋体" w:cs="宋体"/>
          <w:color w:val="auto"/>
          <w:sz w:val="24"/>
          <w:szCs w:val="24"/>
          <w:highlight w:val="none"/>
        </w:rPr>
        <w:t>符合持证上岗条件，承诺全员取得公安部门核发的保安员证，不得有违法犯罪或劳教等记录；在依法诚信经营、社会保障和税收缴纳方面无不良记录（提供承诺书）；</w:t>
      </w:r>
    </w:p>
    <w:p w14:paraId="54F98A8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单位负责人为同一人或者存在直接控股、管理关系的不同投标人，不得同时参加本项目的采购活动。为采购项目提供整体设计、规范编制或者项目管理、监理、检测等服务的投标人，不得再参加本项目的采购活动。</w:t>
      </w:r>
    </w:p>
    <w:p w14:paraId="7DBB7A5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）未被“信用中国”网站（www.creditchina.gov.cn）列入失信被执行人名单、重大税收违法失信主体</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政府采购严重违法失信行为记录名单。</w:t>
      </w:r>
    </w:p>
    <w:p w14:paraId="7FD4DE44">
      <w:pPr>
        <w:keepNext/>
        <w:keepLines/>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bookmarkStart w:id="15" w:name="_Toc35393623"/>
      <w:bookmarkStart w:id="16" w:name="_Toc35393792"/>
      <w:r>
        <w:rPr>
          <w:rFonts w:hint="eastAsia" w:ascii="宋体" w:hAnsi="宋体" w:eastAsia="宋体" w:cs="宋体"/>
          <w:b/>
          <w:bCs/>
          <w:color w:val="auto"/>
          <w:sz w:val="24"/>
          <w:szCs w:val="24"/>
          <w:highlight w:val="none"/>
        </w:rPr>
        <w:t>三、获取招标文件</w:t>
      </w:r>
      <w:bookmarkEnd w:id="13"/>
      <w:bookmarkEnd w:id="14"/>
      <w:bookmarkEnd w:id="15"/>
      <w:bookmarkEnd w:id="16"/>
    </w:p>
    <w:p w14:paraId="28F42821">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 w:val="24"/>
          <w:szCs w:val="24"/>
          <w:highlight w:val="none"/>
          <w:u w:val="single"/>
        </w:rPr>
      </w:pPr>
      <w:bookmarkStart w:id="17" w:name="_Toc28359005"/>
      <w:bookmarkStart w:id="18" w:name="_Toc28359082"/>
      <w:bookmarkStart w:id="19" w:name="_Toc35393624"/>
      <w:bookmarkStart w:id="20" w:name="_Toc35393793"/>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2026年</w:t>
      </w:r>
      <w:r>
        <w:rPr>
          <w:rFonts w:hint="eastAsia" w:ascii="宋体" w:hAnsi="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日0:00-2026年</w:t>
      </w:r>
      <w:r>
        <w:rPr>
          <w:rFonts w:hint="eastAsia" w:ascii="宋体" w:hAnsi="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14</w:t>
      </w:r>
      <w:r>
        <w:rPr>
          <w:rFonts w:hint="eastAsia" w:ascii="宋体" w:hAnsi="宋体" w:eastAsia="宋体" w:cs="宋体"/>
          <w:color w:val="auto"/>
          <w:sz w:val="24"/>
          <w:szCs w:val="24"/>
          <w:highlight w:val="none"/>
          <w:u w:val="single"/>
        </w:rPr>
        <w:t>日0:00</w:t>
      </w:r>
    </w:p>
    <w:p w14:paraId="04BBAC41">
      <w:pPr>
        <w:pStyle w:val="37"/>
        <w:pageBreakBefore w:val="0"/>
        <w:kinsoku/>
        <w:wordWrap/>
        <w:overflowPunct/>
        <w:topLinePunct w:val="0"/>
        <w:autoSpaceDE/>
        <w:autoSpaceDN/>
        <w:bidi w:val="0"/>
        <w:adjustRightInd/>
        <w:snapToGrid/>
        <w:spacing w:before="0" w:after="0" w:line="360" w:lineRule="auto"/>
        <w:ind w:firstLine="48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地点：江苏政府采购“苏采云”系统</w:t>
      </w:r>
    </w:p>
    <w:p w14:paraId="1D6000BD">
      <w:pPr>
        <w:pStyle w:val="37"/>
        <w:pageBreakBefore w:val="0"/>
        <w:kinsoku/>
        <w:wordWrap/>
        <w:overflowPunct/>
        <w:topLinePunct w:val="0"/>
        <w:autoSpaceDE/>
        <w:autoSpaceDN/>
        <w:bidi w:val="0"/>
        <w:adjustRightInd/>
        <w:snapToGrid/>
        <w:spacing w:before="0" w:after="0" w:line="360" w:lineRule="auto"/>
        <w:ind w:firstLine="48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方式：供应商完成注册并办理CA证书后登录江苏政府采购“苏采云”系统下载本项目招标文件</w:t>
      </w:r>
    </w:p>
    <w:p w14:paraId="42E1721F">
      <w:pPr>
        <w:pStyle w:val="37"/>
        <w:pageBreakBefore w:val="0"/>
        <w:kinsoku/>
        <w:wordWrap/>
        <w:overflowPunct/>
        <w:topLinePunct w:val="0"/>
        <w:autoSpaceDE/>
        <w:autoSpaceDN/>
        <w:bidi w:val="0"/>
        <w:adjustRightInd/>
        <w:snapToGrid/>
        <w:spacing w:before="0" w:after="0" w:line="360" w:lineRule="auto"/>
        <w:ind w:firstLine="48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售价：0.00元</w:t>
      </w:r>
    </w:p>
    <w:p w14:paraId="0101E6A6">
      <w:pPr>
        <w:keepNext/>
        <w:keepLines/>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四、提交投标文件</w:t>
      </w:r>
      <w:bookmarkEnd w:id="17"/>
      <w:bookmarkEnd w:id="18"/>
      <w:r>
        <w:rPr>
          <w:rFonts w:hint="eastAsia" w:ascii="宋体" w:hAnsi="宋体" w:eastAsia="宋体" w:cs="宋体"/>
          <w:b/>
          <w:bCs/>
          <w:color w:val="auto"/>
          <w:sz w:val="24"/>
          <w:szCs w:val="24"/>
          <w:highlight w:val="none"/>
        </w:rPr>
        <w:t>截止时间、开标时间和地点</w:t>
      </w:r>
      <w:bookmarkEnd w:id="19"/>
      <w:bookmarkEnd w:id="20"/>
    </w:p>
    <w:p w14:paraId="6D6F6698">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截止时间：</w:t>
      </w:r>
      <w:r>
        <w:rPr>
          <w:rFonts w:hint="eastAsia" w:ascii="宋体" w:hAnsi="宋体" w:eastAsia="宋体" w:cs="宋体"/>
          <w:bCs/>
          <w:color w:val="auto"/>
          <w:sz w:val="24"/>
          <w:szCs w:val="24"/>
          <w:highlight w:val="none"/>
          <w:u w:val="single"/>
        </w:rPr>
        <w:t>202</w:t>
      </w:r>
      <w:r>
        <w:rPr>
          <w:rFonts w:hint="eastAsia" w:ascii="宋体" w:hAnsi="宋体" w:cs="宋体"/>
          <w:bCs/>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28</w:t>
      </w:r>
      <w:r>
        <w:rPr>
          <w:rFonts w:hint="eastAsia" w:ascii="宋体" w:hAnsi="宋体" w:eastAsia="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14</w:t>
      </w:r>
      <w:r>
        <w:rPr>
          <w:rFonts w:hint="eastAsia" w:ascii="宋体" w:hAnsi="宋体" w:eastAsia="宋体" w:cs="宋体"/>
          <w:bCs/>
          <w:color w:val="auto"/>
          <w:sz w:val="24"/>
          <w:szCs w:val="24"/>
          <w:highlight w:val="none"/>
          <w:u w:val="single"/>
        </w:rPr>
        <w:t>点</w:t>
      </w:r>
      <w:r>
        <w:rPr>
          <w:rFonts w:hint="eastAsia" w:ascii="宋体" w:hAnsi="宋体" w:cs="宋体"/>
          <w:bCs/>
          <w:color w:val="auto"/>
          <w:sz w:val="24"/>
          <w:szCs w:val="24"/>
          <w:highlight w:val="none"/>
          <w:u w:val="single"/>
          <w:lang w:val="en-US" w:eastAsia="zh-CN"/>
        </w:rPr>
        <w:t>00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rPr>
        <w:t>（北京时间）</w:t>
      </w:r>
    </w:p>
    <w:p w14:paraId="6F4F8A68">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地点：江苏政府采购“苏采云”系统不见面开标大厅</w:t>
      </w:r>
    </w:p>
    <w:p w14:paraId="02C2028B">
      <w:pPr>
        <w:keepNext/>
        <w:keepLines/>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bookmarkStart w:id="21" w:name="_Toc35393625"/>
      <w:bookmarkStart w:id="22" w:name="_Toc28359084"/>
      <w:bookmarkStart w:id="23" w:name="_Toc28359007"/>
      <w:bookmarkStart w:id="24" w:name="_Toc35393794"/>
      <w:r>
        <w:rPr>
          <w:rFonts w:hint="eastAsia" w:ascii="宋体" w:hAnsi="宋体" w:eastAsia="宋体" w:cs="宋体"/>
          <w:b/>
          <w:bCs/>
          <w:color w:val="auto"/>
          <w:sz w:val="24"/>
          <w:szCs w:val="24"/>
          <w:highlight w:val="none"/>
        </w:rPr>
        <w:t>五、公告期限</w:t>
      </w:r>
      <w:bookmarkEnd w:id="21"/>
      <w:bookmarkEnd w:id="22"/>
      <w:bookmarkEnd w:id="23"/>
      <w:bookmarkEnd w:id="24"/>
    </w:p>
    <w:p w14:paraId="033E63E8">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52B3C186">
      <w:pPr>
        <w:keepNext/>
        <w:keepLines/>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bookmarkStart w:id="25" w:name="_Toc35393795"/>
      <w:bookmarkStart w:id="26" w:name="_Toc35393626"/>
      <w:r>
        <w:rPr>
          <w:rFonts w:hint="eastAsia" w:ascii="宋体" w:hAnsi="宋体" w:eastAsia="宋体" w:cs="宋体"/>
          <w:b/>
          <w:bCs/>
          <w:color w:val="auto"/>
          <w:sz w:val="24"/>
          <w:szCs w:val="24"/>
          <w:highlight w:val="none"/>
        </w:rPr>
        <w:t>六、其他补充事宜</w:t>
      </w:r>
      <w:bookmarkEnd w:id="25"/>
      <w:bookmarkEnd w:id="26"/>
    </w:p>
    <w:p w14:paraId="075E0102">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27" w:name="_Toc28359008"/>
      <w:bookmarkStart w:id="28" w:name="_Toc35393796"/>
      <w:bookmarkStart w:id="29" w:name="_Toc28359085"/>
      <w:bookmarkStart w:id="30" w:name="_Toc35393627"/>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.本项目采用网上注册登记方式。潜在投标人访问电子招标投标交易平台的网络地址和方法如下：</w:t>
      </w:r>
    </w:p>
    <w:p w14:paraId="63B22DF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（1）登录http://jszfcg.jsczt.cn/，点击“苏采云”进入系统。</w:t>
      </w:r>
    </w:p>
    <w:p w14:paraId="79FDDBEF">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（2）“CA数字证书”的获取：投标人需办理CA锁（原国信CA</w:t>
      </w:r>
      <w:r>
        <w:rPr>
          <w:rFonts w:hint="eastAsia" w:ascii="宋体" w:hAnsi="宋体" w:cs="宋体"/>
          <w:color w:val="auto"/>
          <w:sz w:val="24"/>
          <w:szCs w:val="24"/>
          <w:highlight w:val="none"/>
          <w:lang w:val="en-US" w:eastAsia="zh-CN"/>
        </w:rPr>
        <w:t>需</w:t>
      </w:r>
      <w:r>
        <w:rPr>
          <w:rFonts w:hint="eastAsia" w:ascii="宋体" w:hAnsi="宋体" w:eastAsia="宋体" w:cs="宋体"/>
          <w:color w:val="auto"/>
          <w:sz w:val="24"/>
          <w:szCs w:val="24"/>
          <w:highlight w:val="none"/>
        </w:rPr>
        <w:t>更换新CA，详见http://jsxcmm.com/help/gys.html）。投标客户端工具及投标人操作手册可访问江苏省政府采购网，“资料下载”进行下载《江苏省政府采购管理交易系统（苏采云）供应商操作手册及政府采购客户端》。</w:t>
      </w:r>
    </w:p>
    <w:p w14:paraId="6F44265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.采购代理机构将数据电文形式的招标文件加载至电子招标投标交易平台，供潜在投标人下载或者查阅。</w:t>
      </w:r>
    </w:p>
    <w:p w14:paraId="4ADB47BF">
      <w:pPr>
        <w:pageBreakBefore w:val="0"/>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.有关本次招标的事项若存在变动或修改，敬请及时关注“江苏政府采购网”发布的更正公告。</w:t>
      </w:r>
    </w:p>
    <w:p w14:paraId="44D24071">
      <w:pPr>
        <w:pStyle w:val="37"/>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szCs w:val="24"/>
          <w:highlight w:val="none"/>
          <w:lang w:val="en-US" w:eastAsia="zh-CN"/>
        </w:rPr>
        <w:t>4</w:t>
      </w:r>
      <w:r>
        <w:rPr>
          <w:rFonts w:hint="eastAsia" w:ascii="宋体" w:hAnsi="宋体" w:eastAsia="宋体" w:cs="宋体"/>
          <w:b w:val="0"/>
          <w:color w:val="auto"/>
          <w:sz w:val="24"/>
          <w:szCs w:val="24"/>
          <w:highlight w:val="none"/>
        </w:rPr>
        <w:t>.</w:t>
      </w:r>
      <w:r>
        <w:rPr>
          <w:rFonts w:hint="eastAsia" w:ascii="宋体" w:hAnsi="宋体" w:eastAsia="宋体" w:cs="宋体"/>
          <w:b w:val="0"/>
          <w:bCs w:val="0"/>
          <w:color w:val="auto"/>
          <w:sz w:val="24"/>
          <w:szCs w:val="24"/>
          <w:highlight w:val="none"/>
        </w:rPr>
        <w:t>在评标结束前，各投标人授权代表应保持手机畅通，以便及时澄清答疑。</w:t>
      </w:r>
    </w:p>
    <w:p w14:paraId="6D1BD5D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.如潜在投标人未按上述要求操作，将自行承担所产生的风险。</w:t>
      </w:r>
    </w:p>
    <w:p w14:paraId="788D7088">
      <w:pPr>
        <w:keepNext/>
        <w:keepLines/>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七、对本次招标提出询问，请按以下方式联系</w:t>
      </w:r>
      <w:bookmarkEnd w:id="27"/>
      <w:bookmarkEnd w:id="28"/>
      <w:bookmarkEnd w:id="29"/>
      <w:bookmarkEnd w:id="30"/>
    </w:p>
    <w:p w14:paraId="6F1F441C">
      <w:pPr>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163D2F33">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bookmarkStart w:id="31" w:name="_Toc28359009"/>
      <w:bookmarkStart w:id="32" w:name="_Toc28359086"/>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泰州市第五人民医院</w:t>
      </w:r>
    </w:p>
    <w:p w14:paraId="67964418">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val="en-US" w:eastAsia="zh-CN"/>
        </w:rPr>
        <w:t>泰州市</w:t>
      </w:r>
      <w:r>
        <w:rPr>
          <w:rFonts w:hint="eastAsia" w:ascii="宋体" w:hAnsi="宋体" w:cs="宋体"/>
          <w:color w:val="auto"/>
          <w:sz w:val="24"/>
          <w:szCs w:val="24"/>
          <w:highlight w:val="none"/>
          <w:lang w:eastAsia="zh-CN"/>
        </w:rPr>
        <w:t>海陵区春明路51号</w:t>
      </w:r>
    </w:p>
    <w:p w14:paraId="65600F0C">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cs="宋体"/>
          <w:kern w:val="0"/>
          <w:sz w:val="24"/>
          <w:highlight w:val="none"/>
        </w:rPr>
        <w:t>张女士</w:t>
      </w:r>
      <w:r>
        <w:rPr>
          <w:rFonts w:hint="eastAsia" w:ascii="宋体" w:hAnsi="宋体" w:eastAsia="宋体" w:cs="宋体"/>
          <w:color w:val="auto"/>
          <w:sz w:val="24"/>
          <w:szCs w:val="24"/>
          <w:highlight w:val="none"/>
        </w:rPr>
        <w:t xml:space="preserve"> </w:t>
      </w:r>
    </w:p>
    <w:p w14:paraId="392FA236">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ascii="宋体" w:hAnsi="宋体" w:cs="宋体"/>
          <w:kern w:val="0"/>
          <w:sz w:val="24"/>
          <w:highlight w:val="none"/>
        </w:rPr>
        <w:t>0523</w:t>
      </w:r>
      <w:r>
        <w:rPr>
          <w:rFonts w:hint="eastAsia" w:ascii="宋体" w:hAnsi="宋体" w:cs="宋体"/>
          <w:kern w:val="0"/>
          <w:sz w:val="24"/>
          <w:highlight w:val="none"/>
          <w:lang w:val="en-US" w:eastAsia="zh-CN"/>
        </w:rPr>
        <w:t>-</w:t>
      </w:r>
      <w:r>
        <w:rPr>
          <w:rFonts w:ascii="宋体" w:hAnsi="宋体" w:cs="宋体"/>
          <w:kern w:val="0"/>
          <w:sz w:val="24"/>
          <w:highlight w:val="none"/>
        </w:rPr>
        <w:t>82860560</w:t>
      </w:r>
    </w:p>
    <w:p w14:paraId="4AD1E376">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bookmarkEnd w:id="31"/>
      <w:bookmarkEnd w:id="32"/>
      <w:r>
        <w:rPr>
          <w:rFonts w:hint="eastAsia" w:ascii="宋体" w:hAnsi="宋体" w:eastAsia="宋体" w:cs="宋体"/>
          <w:color w:val="auto"/>
          <w:sz w:val="24"/>
          <w:szCs w:val="24"/>
          <w:highlight w:val="none"/>
        </w:rPr>
        <w:t>：</w:t>
      </w:r>
    </w:p>
    <w:p w14:paraId="38F89336">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名称：江苏建泰工程项目管理有限公司　</w:t>
      </w:r>
    </w:p>
    <w:p w14:paraId="0318894B">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地址：泰州</w:t>
      </w:r>
      <w:r>
        <w:rPr>
          <w:rFonts w:hint="eastAsia" w:ascii="宋体" w:hAnsi="宋体" w:eastAsia="宋体" w:cs="宋体"/>
          <w:color w:val="auto"/>
          <w:sz w:val="24"/>
          <w:szCs w:val="24"/>
          <w:highlight w:val="none"/>
          <w:lang w:val="en-US" w:eastAsia="zh-CN"/>
        </w:rPr>
        <w:t>医药高新区</w:t>
      </w:r>
      <w:r>
        <w:rPr>
          <w:rFonts w:hint="eastAsia" w:ascii="宋体" w:hAnsi="宋体" w:eastAsia="宋体" w:cs="宋体"/>
          <w:color w:val="auto"/>
          <w:sz w:val="24"/>
          <w:szCs w:val="24"/>
          <w:highlight w:val="none"/>
        </w:rPr>
        <w:t>华润万象城双子塔东塔52楼</w:t>
      </w:r>
    </w:p>
    <w:p w14:paraId="0B300B75">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袁</w:t>
      </w:r>
      <w:r>
        <w:rPr>
          <w:rFonts w:hint="eastAsia" w:ascii="宋体" w:hAnsi="宋体" w:eastAsia="宋体" w:cs="宋体"/>
          <w:color w:val="auto"/>
          <w:sz w:val="24"/>
          <w:szCs w:val="24"/>
          <w:highlight w:val="none"/>
        </w:rPr>
        <w:t>女士　</w:t>
      </w:r>
    </w:p>
    <w:p w14:paraId="4C0D2EA7">
      <w:pPr>
        <w:pageBreakBefore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联系方式：0523-</w:t>
      </w:r>
      <w:r>
        <w:rPr>
          <w:rFonts w:hint="eastAsia" w:ascii="宋体" w:hAnsi="宋体" w:cs="宋体"/>
          <w:color w:val="auto"/>
          <w:sz w:val="24"/>
          <w:szCs w:val="24"/>
          <w:highlight w:val="none"/>
          <w:lang w:val="en-US" w:eastAsia="zh-CN"/>
        </w:rPr>
        <w:t>81908859</w:t>
      </w:r>
    </w:p>
    <w:p w14:paraId="740129DB">
      <w:pPr>
        <w:spacing w:line="480" w:lineRule="exact"/>
        <w:ind w:firstLine="480"/>
        <w:rPr>
          <w:rFonts w:hint="eastAsia" w:ascii="宋体" w:hAnsi="宋体" w:eastAsia="宋体" w:cs="宋体"/>
          <w:color w:val="auto"/>
          <w:sz w:val="24"/>
          <w:szCs w:val="24"/>
          <w:highlight w:val="none"/>
        </w:rPr>
      </w:pPr>
    </w:p>
    <w:p w14:paraId="62E374D0">
      <w:pPr>
        <w:pStyle w:val="14"/>
        <w:rPr>
          <w:rFonts w:hint="eastAsia" w:ascii="宋体" w:hAnsi="宋体" w:eastAsia="宋体" w:cs="宋体"/>
          <w:color w:val="auto"/>
          <w:sz w:val="24"/>
          <w:szCs w:val="24"/>
          <w:highlight w:val="none"/>
        </w:rPr>
      </w:pPr>
    </w:p>
    <w:p w14:paraId="444967B6">
      <w:pPr>
        <w:rPr>
          <w:rFonts w:hint="eastAsia" w:ascii="宋体" w:hAnsi="宋体" w:eastAsia="宋体" w:cs="宋体"/>
          <w:color w:val="auto"/>
          <w:sz w:val="24"/>
          <w:szCs w:val="24"/>
          <w:highlight w:val="none"/>
        </w:rPr>
      </w:pPr>
    </w:p>
    <w:p w14:paraId="66D89779">
      <w:pPr>
        <w:pStyle w:val="14"/>
        <w:rPr>
          <w:rFonts w:hint="eastAsia" w:ascii="宋体" w:hAnsi="宋体" w:eastAsia="宋体" w:cs="宋体"/>
          <w:color w:val="auto"/>
          <w:sz w:val="24"/>
          <w:szCs w:val="24"/>
          <w:highlight w:val="none"/>
        </w:rPr>
      </w:pPr>
    </w:p>
    <w:p w14:paraId="585DB731">
      <w:pPr>
        <w:rPr>
          <w:rFonts w:hint="eastAsia" w:ascii="宋体" w:hAnsi="宋体" w:eastAsia="宋体" w:cs="宋体"/>
          <w:color w:val="auto"/>
          <w:sz w:val="24"/>
          <w:szCs w:val="24"/>
          <w:highlight w:val="none"/>
        </w:rPr>
      </w:pPr>
    </w:p>
    <w:p w14:paraId="07380E63">
      <w:pPr>
        <w:pStyle w:val="14"/>
        <w:rPr>
          <w:rFonts w:hint="eastAsia" w:ascii="宋体" w:hAnsi="宋体" w:eastAsia="宋体" w:cs="宋体"/>
          <w:color w:val="auto"/>
          <w:sz w:val="24"/>
          <w:szCs w:val="24"/>
          <w:highlight w:val="none"/>
        </w:rPr>
      </w:pPr>
    </w:p>
    <w:p w14:paraId="4E7B754D">
      <w:pPr>
        <w:rPr>
          <w:rFonts w:hint="eastAsia" w:ascii="宋体" w:hAnsi="宋体" w:eastAsia="宋体" w:cs="宋体"/>
          <w:color w:val="auto"/>
          <w:sz w:val="24"/>
          <w:szCs w:val="24"/>
          <w:highlight w:val="none"/>
        </w:rPr>
      </w:pPr>
    </w:p>
    <w:p w14:paraId="392299B7">
      <w:pPr>
        <w:pStyle w:val="14"/>
        <w:rPr>
          <w:rFonts w:hint="eastAsia" w:ascii="宋体" w:hAnsi="宋体" w:eastAsia="宋体" w:cs="宋体"/>
          <w:color w:val="auto"/>
          <w:sz w:val="24"/>
          <w:szCs w:val="24"/>
          <w:highlight w:val="none"/>
        </w:rPr>
      </w:pPr>
    </w:p>
    <w:p w14:paraId="11081709">
      <w:pPr>
        <w:rPr>
          <w:rFonts w:hint="eastAsia" w:ascii="宋体" w:hAnsi="宋体" w:eastAsia="宋体" w:cs="宋体"/>
          <w:color w:val="auto"/>
          <w:sz w:val="24"/>
          <w:szCs w:val="24"/>
          <w:highlight w:val="none"/>
        </w:rPr>
      </w:pPr>
    </w:p>
    <w:p w14:paraId="325DF5FD">
      <w:pPr>
        <w:pStyle w:val="14"/>
        <w:rPr>
          <w:rFonts w:hint="eastAsia" w:ascii="宋体" w:hAnsi="宋体" w:eastAsia="宋体" w:cs="宋体"/>
          <w:color w:val="auto"/>
          <w:sz w:val="24"/>
          <w:szCs w:val="24"/>
          <w:highlight w:val="none"/>
        </w:rPr>
      </w:pPr>
    </w:p>
    <w:p w14:paraId="22BC00BC">
      <w:pPr>
        <w:rPr>
          <w:rFonts w:hint="eastAsia" w:ascii="宋体" w:hAnsi="宋体" w:eastAsia="宋体" w:cs="宋体"/>
          <w:color w:val="auto"/>
          <w:sz w:val="24"/>
          <w:szCs w:val="24"/>
          <w:highlight w:val="none"/>
        </w:rPr>
      </w:pPr>
    </w:p>
    <w:p w14:paraId="10F985DF">
      <w:pPr>
        <w:pStyle w:val="14"/>
        <w:rPr>
          <w:rFonts w:hint="eastAsia" w:ascii="宋体" w:hAnsi="宋体" w:eastAsia="宋体" w:cs="宋体"/>
          <w:color w:val="auto"/>
          <w:sz w:val="24"/>
          <w:szCs w:val="24"/>
          <w:highlight w:val="none"/>
        </w:rPr>
      </w:pPr>
    </w:p>
    <w:p w14:paraId="6E9A5C0F">
      <w:pPr>
        <w:rPr>
          <w:rFonts w:hint="eastAsia" w:ascii="宋体" w:hAnsi="宋体" w:eastAsia="宋体" w:cs="宋体"/>
          <w:color w:val="auto"/>
          <w:sz w:val="24"/>
          <w:szCs w:val="24"/>
          <w:highlight w:val="none"/>
        </w:rPr>
      </w:pPr>
    </w:p>
    <w:p w14:paraId="30852533">
      <w:pPr>
        <w:pStyle w:val="14"/>
        <w:rPr>
          <w:rFonts w:hint="eastAsia" w:ascii="宋体" w:hAnsi="宋体" w:eastAsia="宋体" w:cs="宋体"/>
          <w:color w:val="auto"/>
          <w:sz w:val="24"/>
          <w:szCs w:val="24"/>
          <w:highlight w:val="none"/>
        </w:rPr>
      </w:pPr>
    </w:p>
    <w:p w14:paraId="3F7C770F">
      <w:pPr>
        <w:rPr>
          <w:rFonts w:hint="eastAsia" w:ascii="宋体" w:hAnsi="宋体" w:eastAsia="宋体" w:cs="宋体"/>
          <w:color w:val="auto"/>
          <w:sz w:val="24"/>
          <w:szCs w:val="24"/>
          <w:highlight w:val="none"/>
        </w:rPr>
      </w:pPr>
    </w:p>
    <w:p w14:paraId="065F77D7">
      <w:pPr>
        <w:pStyle w:val="14"/>
        <w:rPr>
          <w:rFonts w:hint="eastAsia" w:ascii="宋体" w:hAnsi="宋体" w:eastAsia="宋体" w:cs="宋体"/>
          <w:color w:val="auto"/>
          <w:sz w:val="24"/>
          <w:szCs w:val="24"/>
          <w:highlight w:val="none"/>
        </w:rPr>
      </w:pPr>
    </w:p>
    <w:p w14:paraId="069050CF">
      <w:pPr>
        <w:rPr>
          <w:rFonts w:hint="eastAsia" w:ascii="宋体" w:hAnsi="宋体" w:eastAsia="宋体" w:cs="宋体"/>
          <w:color w:val="auto"/>
          <w:sz w:val="24"/>
          <w:szCs w:val="24"/>
          <w:highlight w:val="none"/>
        </w:rPr>
      </w:pPr>
    </w:p>
    <w:p w14:paraId="5769EF94">
      <w:pPr>
        <w:pStyle w:val="14"/>
        <w:rPr>
          <w:rFonts w:hint="eastAsia" w:ascii="宋体" w:hAnsi="宋体" w:eastAsia="宋体" w:cs="宋体"/>
          <w:color w:val="auto"/>
          <w:sz w:val="24"/>
          <w:szCs w:val="24"/>
          <w:highlight w:val="none"/>
        </w:rPr>
      </w:pPr>
    </w:p>
    <w:p w14:paraId="69488CB4">
      <w:pPr>
        <w:rPr>
          <w:rFonts w:hint="eastAsia" w:ascii="宋体" w:hAnsi="宋体" w:eastAsia="宋体" w:cs="宋体"/>
          <w:color w:val="auto"/>
          <w:sz w:val="24"/>
          <w:szCs w:val="24"/>
          <w:highlight w:val="none"/>
        </w:rPr>
      </w:pPr>
    </w:p>
    <w:p w14:paraId="2C77EE63">
      <w:pPr>
        <w:pStyle w:val="14"/>
        <w:rPr>
          <w:rFonts w:hint="eastAsia" w:ascii="宋体" w:hAnsi="宋体" w:eastAsia="宋体" w:cs="宋体"/>
          <w:color w:val="auto"/>
          <w:sz w:val="24"/>
          <w:szCs w:val="24"/>
          <w:highlight w:val="none"/>
        </w:rPr>
      </w:pPr>
    </w:p>
    <w:bookmarkEnd w:id="2"/>
    <w:bookmarkEnd w:id="3"/>
    <w:p w14:paraId="381496D9">
      <w:pPr>
        <w:pStyle w:val="4"/>
        <w:bidi w:val="0"/>
        <w:jc w:val="center"/>
        <w:rPr>
          <w:rFonts w:hint="eastAsia" w:ascii="宋体" w:hAnsi="宋体" w:eastAsia="宋体" w:cs="宋体"/>
          <w:b/>
          <w:color w:val="auto"/>
          <w:sz w:val="42"/>
          <w:szCs w:val="24"/>
          <w:highlight w:val="none"/>
          <w:lang w:val="en-US" w:eastAsia="zh-CN" w:bidi="ar-SA"/>
        </w:rPr>
      </w:pPr>
      <w:bookmarkStart w:id="33" w:name="_Toc425517538"/>
      <w:bookmarkStart w:id="34" w:name="_Toc29092"/>
      <w:r>
        <w:rPr>
          <w:rFonts w:hint="eastAsia" w:ascii="宋体" w:hAnsi="宋体" w:eastAsia="宋体" w:cs="宋体"/>
          <w:b/>
          <w:color w:val="auto"/>
          <w:sz w:val="42"/>
          <w:szCs w:val="24"/>
          <w:highlight w:val="none"/>
          <w:lang w:val="en-US" w:eastAsia="zh-CN" w:bidi="ar-SA"/>
        </w:rPr>
        <w:t>第二章 投标人须知</w:t>
      </w:r>
      <w:bookmarkEnd w:id="33"/>
      <w:bookmarkEnd w:id="34"/>
    </w:p>
    <w:p w14:paraId="0A6DF638">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投标人须知前附表</w:t>
      </w:r>
    </w:p>
    <w:tbl>
      <w:tblPr>
        <w:tblStyle w:val="23"/>
        <w:tblW w:w="9902" w:type="dxa"/>
        <w:tblInd w:w="-3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07"/>
        <w:gridCol w:w="9095"/>
      </w:tblGrid>
      <w:tr w14:paraId="6A2E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1" w:hRule="exact"/>
        </w:trPr>
        <w:tc>
          <w:tcPr>
            <w:tcW w:w="807" w:type="dxa"/>
            <w:shd w:val="clear" w:color="auto" w:fill="auto"/>
            <w:vAlign w:val="center"/>
          </w:tcPr>
          <w:p w14:paraId="70C53146">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9095" w:type="dxa"/>
            <w:shd w:val="clear" w:color="auto" w:fill="auto"/>
            <w:vAlign w:val="center"/>
          </w:tcPr>
          <w:p w14:paraId="7F6B7EAF">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     容</w:t>
            </w:r>
          </w:p>
        </w:tc>
      </w:tr>
      <w:tr w14:paraId="1B23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2" w:hRule="atLeast"/>
        </w:trPr>
        <w:tc>
          <w:tcPr>
            <w:tcW w:w="807" w:type="dxa"/>
            <w:shd w:val="clear" w:color="auto" w:fill="auto"/>
            <w:vAlign w:val="center"/>
          </w:tcPr>
          <w:p w14:paraId="2C1FABAE">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095" w:type="dxa"/>
            <w:shd w:val="clear" w:color="auto" w:fill="auto"/>
            <w:vAlign w:val="center"/>
          </w:tcPr>
          <w:p w14:paraId="0161A4B1">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泰州市第五人民医院安保服务项目</w:t>
            </w:r>
          </w:p>
        </w:tc>
      </w:tr>
      <w:tr w14:paraId="2614A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42" w:hRule="atLeast"/>
        </w:trPr>
        <w:tc>
          <w:tcPr>
            <w:tcW w:w="807" w:type="dxa"/>
            <w:shd w:val="clear" w:color="auto" w:fill="auto"/>
            <w:vAlign w:val="center"/>
          </w:tcPr>
          <w:p w14:paraId="59DF25EC">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9095" w:type="dxa"/>
            <w:shd w:val="clear" w:color="auto" w:fill="auto"/>
            <w:vAlign w:val="center"/>
          </w:tcPr>
          <w:p w14:paraId="31160582">
            <w:pPr>
              <w:keepNext w:val="0"/>
              <w:keepLines w:val="0"/>
              <w:suppressLineNumbers w:val="0"/>
              <w:spacing w:before="0" w:beforeAutospacing="0" w:after="0" w:afterAutospacing="0" w:line="40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代理单位：江苏建泰工程项目管理有限公司　</w:t>
            </w:r>
          </w:p>
          <w:p w14:paraId="1DDE798B">
            <w:pPr>
              <w:keepNext w:val="0"/>
              <w:keepLines w:val="0"/>
              <w:suppressLineNumbers w:val="0"/>
              <w:spacing w:before="0" w:beforeAutospacing="0" w:after="0" w:afterAutospacing="0" w:line="40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代理单位地址：泰州</w:t>
            </w:r>
            <w:r>
              <w:rPr>
                <w:rFonts w:hint="eastAsia" w:ascii="宋体" w:hAnsi="宋体" w:eastAsia="宋体" w:cs="宋体"/>
                <w:color w:val="auto"/>
                <w:sz w:val="24"/>
                <w:szCs w:val="24"/>
                <w:highlight w:val="none"/>
                <w:lang w:val="en-US" w:eastAsia="zh-CN"/>
              </w:rPr>
              <w:t>医药高新区</w:t>
            </w:r>
            <w:r>
              <w:rPr>
                <w:rFonts w:hint="eastAsia" w:ascii="宋体" w:hAnsi="宋体" w:eastAsia="宋体" w:cs="宋体"/>
                <w:color w:val="auto"/>
                <w:sz w:val="24"/>
                <w:szCs w:val="24"/>
                <w:highlight w:val="none"/>
              </w:rPr>
              <w:t>华润万象城双子塔东塔52楼</w:t>
            </w:r>
          </w:p>
        </w:tc>
      </w:tr>
      <w:tr w14:paraId="26826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3" w:hRule="atLeast"/>
        </w:trPr>
        <w:tc>
          <w:tcPr>
            <w:tcW w:w="807" w:type="dxa"/>
            <w:shd w:val="clear" w:color="auto" w:fill="auto"/>
            <w:vAlign w:val="center"/>
          </w:tcPr>
          <w:p w14:paraId="600F1FF3">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095" w:type="dxa"/>
            <w:shd w:val="clear" w:color="auto" w:fill="auto"/>
            <w:vAlign w:val="center"/>
          </w:tcPr>
          <w:p w14:paraId="3379423F">
            <w:pPr>
              <w:keepNext w:val="0"/>
              <w:keepLines w:val="0"/>
              <w:suppressLineNumbers w:val="0"/>
              <w:spacing w:before="0" w:beforeAutospacing="0" w:after="0" w:afterAutospacing="0"/>
              <w:ind w:left="0" w:right="0"/>
              <w:rPr>
                <w:rFonts w:hint="eastAsia" w:ascii="宋体" w:hAnsi="宋体" w:eastAsia="宋体" w:cs="宋体"/>
                <w:color w:val="auto"/>
                <w:spacing w:val="15"/>
                <w:sz w:val="24"/>
                <w:szCs w:val="24"/>
                <w:highlight w:val="none"/>
              </w:rPr>
            </w:pPr>
            <w:r>
              <w:rPr>
                <w:rFonts w:hint="eastAsia" w:ascii="宋体" w:hAnsi="宋体" w:eastAsia="宋体" w:cs="宋体"/>
                <w:color w:val="auto"/>
                <w:sz w:val="24"/>
                <w:szCs w:val="24"/>
                <w:highlight w:val="none"/>
                <w:lang w:val="zh-CN"/>
              </w:rPr>
              <w:t>采购</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val="zh-CN"/>
              </w:rPr>
              <w:t>式：</w:t>
            </w:r>
            <w:r>
              <w:rPr>
                <w:rFonts w:hint="eastAsia" w:ascii="宋体" w:hAnsi="宋体" w:eastAsia="宋体" w:cs="宋体"/>
                <w:color w:val="auto"/>
                <w:sz w:val="24"/>
                <w:szCs w:val="24"/>
                <w:highlight w:val="none"/>
              </w:rPr>
              <w:t>公开招标</w:t>
            </w:r>
          </w:p>
        </w:tc>
      </w:tr>
      <w:tr w14:paraId="5BB92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0" w:hRule="atLeast"/>
        </w:trPr>
        <w:tc>
          <w:tcPr>
            <w:tcW w:w="807" w:type="dxa"/>
            <w:shd w:val="clear" w:color="auto" w:fill="auto"/>
            <w:vAlign w:val="center"/>
          </w:tcPr>
          <w:p w14:paraId="367F2A7C">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9095" w:type="dxa"/>
            <w:shd w:val="clear" w:color="auto" w:fill="auto"/>
            <w:vAlign w:val="center"/>
          </w:tcPr>
          <w:p w14:paraId="10830C9D">
            <w:pPr>
              <w:keepNext w:val="0"/>
              <w:keepLines w:val="0"/>
              <w:suppressLineNumbers w:val="0"/>
              <w:spacing w:before="0" w:beforeAutospacing="0" w:after="0" w:afterAutospacing="0"/>
              <w:ind w:left="0" w:right="0"/>
              <w:rPr>
                <w:rFonts w:hint="eastAsia" w:ascii="宋体" w:hAnsi="宋体" w:eastAsia="宋体" w:cs="宋体"/>
                <w:color w:val="auto"/>
                <w:spacing w:val="15"/>
                <w:sz w:val="24"/>
                <w:szCs w:val="24"/>
                <w:highlight w:val="none"/>
              </w:rPr>
            </w:pPr>
            <w:r>
              <w:rPr>
                <w:rFonts w:hint="eastAsia" w:ascii="宋体" w:hAnsi="宋体" w:eastAsia="宋体" w:cs="宋体"/>
                <w:color w:val="auto"/>
                <w:sz w:val="24"/>
                <w:szCs w:val="24"/>
                <w:highlight w:val="none"/>
                <w:lang w:val="zh-CN"/>
              </w:rPr>
              <w:t>投标有效期：90天</w:t>
            </w:r>
          </w:p>
        </w:tc>
      </w:tr>
      <w:tr w14:paraId="15D3D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9" w:hRule="atLeast"/>
        </w:trPr>
        <w:tc>
          <w:tcPr>
            <w:tcW w:w="807" w:type="dxa"/>
            <w:shd w:val="clear" w:color="auto" w:fill="auto"/>
            <w:vAlign w:val="center"/>
          </w:tcPr>
          <w:p w14:paraId="7B34B760">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9095" w:type="dxa"/>
            <w:shd w:val="clear" w:color="auto" w:fill="auto"/>
            <w:vAlign w:val="center"/>
          </w:tcPr>
          <w:p w14:paraId="558090AB">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zh-CN"/>
              </w:rPr>
              <w:t>文件递交截止时间：202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28</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点30分</w:t>
            </w:r>
            <w:r>
              <w:rPr>
                <w:rFonts w:hint="eastAsia" w:ascii="宋体" w:hAnsi="宋体" w:eastAsia="宋体" w:cs="宋体"/>
                <w:color w:val="auto"/>
                <w:sz w:val="24"/>
                <w:szCs w:val="24"/>
                <w:highlight w:val="none"/>
                <w:lang w:val="zh-CN"/>
              </w:rPr>
              <w:t>（北京时间）</w:t>
            </w:r>
          </w:p>
          <w:p w14:paraId="78644948">
            <w:pPr>
              <w:keepNext w:val="0"/>
              <w:keepLines w:val="0"/>
              <w:suppressLineNumbers w:val="0"/>
              <w:spacing w:before="0" w:beforeAutospacing="0" w:after="0" w:afterAutospacing="0"/>
              <w:ind w:left="0" w:right="0"/>
              <w:rPr>
                <w:rFonts w:hint="eastAsia" w:ascii="宋体" w:hAnsi="宋体" w:eastAsia="宋体" w:cs="宋体"/>
                <w:color w:val="auto"/>
                <w:spacing w:val="15"/>
                <w:sz w:val="24"/>
                <w:szCs w:val="24"/>
                <w:highlight w:val="none"/>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zh-CN"/>
              </w:rPr>
              <w:t>文件递交地点：</w:t>
            </w:r>
            <w:r>
              <w:rPr>
                <w:rFonts w:hint="eastAsia" w:ascii="宋体" w:hAnsi="宋体" w:eastAsia="宋体" w:cs="宋体"/>
                <w:color w:val="auto"/>
                <w:sz w:val="24"/>
                <w:szCs w:val="24"/>
                <w:highlight w:val="none"/>
              </w:rPr>
              <w:t>“苏采云”系统“开标大厅”</w:t>
            </w:r>
          </w:p>
        </w:tc>
      </w:tr>
      <w:tr w14:paraId="1A23D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528" w:hRule="atLeast"/>
        </w:trPr>
        <w:tc>
          <w:tcPr>
            <w:tcW w:w="807" w:type="dxa"/>
            <w:shd w:val="clear" w:color="auto" w:fill="auto"/>
            <w:vAlign w:val="center"/>
          </w:tcPr>
          <w:p w14:paraId="1C262F22">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9095" w:type="dxa"/>
            <w:shd w:val="clear" w:color="auto" w:fill="auto"/>
            <w:vAlign w:val="center"/>
          </w:tcPr>
          <w:p w14:paraId="4796F7DD">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投标文件的制作要求：</w:t>
            </w:r>
          </w:p>
          <w:p w14:paraId="71BD5943">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本次采购采用江苏政府采购</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苏采云</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系统”进行政府采购活动。</w:t>
            </w:r>
          </w:p>
          <w:p w14:paraId="0061D311">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如确定参加投标，可自行下载招标文件及有关资料，按照招标文件规定进行注册、领取CA和办理电子签章，根据《江苏省政府采购管理交易系统（苏采云）供应商操作手册》规定，在“苏采云”系统（https://jszfcg.jsczt.cn/jszc/login）中按要求制作、上传电子投标文件（技术支持电话：0523-86897512）。有关本次招标的事项若存在变动或修改，敬请及时关注</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lang w:val="en-US" w:eastAsia="zh-CN"/>
              </w:rPr>
              <w:t>江苏政府采购网</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“泰州市政府采购网”发布的更正公告。</w:t>
            </w:r>
          </w:p>
        </w:tc>
      </w:tr>
      <w:tr w14:paraId="00352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47" w:hRule="atLeast"/>
        </w:trPr>
        <w:tc>
          <w:tcPr>
            <w:tcW w:w="807" w:type="dxa"/>
            <w:shd w:val="clear" w:color="auto" w:fill="auto"/>
            <w:vAlign w:val="center"/>
          </w:tcPr>
          <w:p w14:paraId="32B19D7F">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9095" w:type="dxa"/>
            <w:shd w:val="clear" w:color="auto" w:fill="auto"/>
            <w:vAlign w:val="center"/>
          </w:tcPr>
          <w:p w14:paraId="707FADE7">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签订合同地点：</w:t>
            </w:r>
            <w:r>
              <w:rPr>
                <w:rFonts w:hint="eastAsia" w:ascii="宋体" w:hAnsi="宋体" w:cs="宋体"/>
                <w:color w:val="auto"/>
                <w:sz w:val="24"/>
                <w:szCs w:val="24"/>
                <w:highlight w:val="none"/>
                <w:lang w:eastAsia="zh-CN"/>
              </w:rPr>
              <w:t>泰州市第五人民医院</w:t>
            </w:r>
          </w:p>
        </w:tc>
      </w:tr>
      <w:tr w14:paraId="4909D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96" w:hRule="atLeast"/>
        </w:trPr>
        <w:tc>
          <w:tcPr>
            <w:tcW w:w="807" w:type="dxa"/>
            <w:shd w:val="clear" w:color="auto" w:fill="auto"/>
            <w:vAlign w:val="center"/>
          </w:tcPr>
          <w:p w14:paraId="51AAFFBD">
            <w:pPr>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w:t>
            </w:r>
          </w:p>
        </w:tc>
        <w:tc>
          <w:tcPr>
            <w:tcW w:w="9095" w:type="dxa"/>
            <w:shd w:val="clear" w:color="auto" w:fill="auto"/>
            <w:vAlign w:val="center"/>
          </w:tcPr>
          <w:p w14:paraId="2344D2D9">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投标保证金</w:t>
            </w:r>
            <w:r>
              <w:rPr>
                <w:rFonts w:hint="eastAsia" w:ascii="宋体" w:hAnsi="宋体" w:eastAsia="宋体" w:cs="宋体"/>
                <w:color w:val="auto"/>
                <w:sz w:val="24"/>
                <w:szCs w:val="24"/>
                <w:highlight w:val="none"/>
                <w:lang w:eastAsia="zh-CN"/>
              </w:rPr>
              <w:t>：</w:t>
            </w:r>
          </w:p>
          <w:p w14:paraId="03F95943">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依据苏财购〔2020〕52号文件精神，本项目免收投标保证金。</w:t>
            </w:r>
          </w:p>
        </w:tc>
      </w:tr>
      <w:tr w14:paraId="2D74D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42" w:hRule="atLeast"/>
        </w:trPr>
        <w:tc>
          <w:tcPr>
            <w:tcW w:w="807" w:type="dxa"/>
            <w:shd w:val="clear" w:color="auto" w:fill="auto"/>
            <w:vAlign w:val="center"/>
          </w:tcPr>
          <w:p w14:paraId="678F974F">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c>
          <w:tcPr>
            <w:tcW w:w="9095" w:type="dxa"/>
            <w:shd w:val="clear" w:color="auto" w:fill="auto"/>
            <w:vAlign w:val="center"/>
          </w:tcPr>
          <w:p w14:paraId="0809029A">
            <w:pPr>
              <w:keepNext w:val="0"/>
              <w:keepLines w:val="0"/>
              <w:suppressLineNumbers w:val="0"/>
              <w:spacing w:before="0" w:beforeAutospacing="0" w:after="0" w:afterAutospacing="0"/>
              <w:ind w:left="0" w:right="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履约保证金：</w:t>
            </w:r>
          </w:p>
          <w:p w14:paraId="2489BB39">
            <w:pPr>
              <w:keepNext w:val="0"/>
              <w:keepLines w:val="0"/>
              <w:suppressLineNumbers w:val="0"/>
              <w:spacing w:before="0" w:beforeAutospacing="0" w:after="0" w:afterAutospacing="0"/>
              <w:ind w:left="0" w:right="0"/>
              <w:rPr>
                <w:rFonts w:hint="eastAsia" w:ascii="宋体" w:hAnsi="宋体" w:eastAsia="宋体" w:cs="宋体"/>
                <w:b/>
                <w:color w:val="auto"/>
                <w:sz w:val="24"/>
                <w:szCs w:val="20"/>
                <w:highlight w:val="none"/>
              </w:rPr>
            </w:pPr>
            <w:r>
              <w:rPr>
                <w:rFonts w:hint="eastAsia" w:ascii="宋体" w:hAnsi="宋体" w:eastAsia="宋体" w:cs="宋体"/>
                <w:color w:val="auto"/>
                <w:sz w:val="24"/>
                <w:szCs w:val="20"/>
                <w:highlight w:val="none"/>
              </w:rPr>
              <w:t>金额：</w:t>
            </w:r>
            <w:r>
              <w:rPr>
                <w:rFonts w:hint="eastAsia" w:ascii="宋体" w:hAnsi="宋体" w:eastAsia="宋体" w:cs="宋体"/>
                <w:b/>
                <w:color w:val="auto"/>
                <w:sz w:val="24"/>
                <w:szCs w:val="20"/>
                <w:highlight w:val="none"/>
                <w:lang w:val="en-US" w:eastAsia="zh-CN"/>
              </w:rPr>
              <w:t>单年中标</w:t>
            </w:r>
            <w:r>
              <w:rPr>
                <w:rFonts w:hint="eastAsia" w:ascii="宋体" w:hAnsi="宋体" w:eastAsia="宋体" w:cs="宋体"/>
                <w:b/>
                <w:color w:val="auto"/>
                <w:sz w:val="24"/>
                <w:szCs w:val="20"/>
                <w:highlight w:val="none"/>
              </w:rPr>
              <w:t>金额的</w:t>
            </w:r>
            <w:r>
              <w:rPr>
                <w:rFonts w:hint="eastAsia" w:ascii="宋体" w:hAnsi="宋体" w:cs="宋体"/>
                <w:b/>
                <w:color w:val="auto"/>
                <w:sz w:val="24"/>
                <w:szCs w:val="20"/>
                <w:highlight w:val="none"/>
                <w:lang w:val="en-US" w:eastAsia="zh-CN"/>
              </w:rPr>
              <w:t>5</w:t>
            </w:r>
            <w:r>
              <w:rPr>
                <w:rFonts w:hint="eastAsia" w:ascii="宋体" w:hAnsi="宋体" w:eastAsia="宋体" w:cs="宋体"/>
                <w:b/>
                <w:color w:val="auto"/>
                <w:sz w:val="24"/>
                <w:szCs w:val="20"/>
                <w:highlight w:val="none"/>
              </w:rPr>
              <w:t>%。</w:t>
            </w:r>
          </w:p>
          <w:p w14:paraId="2EB058DF">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0"/>
                <w:highlight w:val="none"/>
              </w:rPr>
              <w:t>缴纳时间</w:t>
            </w:r>
            <w:r>
              <w:rPr>
                <w:rFonts w:hint="eastAsia" w:ascii="宋体" w:hAnsi="宋体" w:eastAsia="宋体" w:cs="宋体"/>
                <w:b/>
                <w:color w:val="auto"/>
                <w:sz w:val="24"/>
                <w:szCs w:val="20"/>
                <w:highlight w:val="none"/>
              </w:rPr>
              <w:t>：</w:t>
            </w:r>
            <w:r>
              <w:rPr>
                <w:rFonts w:hint="eastAsia" w:ascii="宋体" w:hAnsi="宋体" w:eastAsia="宋体" w:cs="宋体"/>
                <w:bCs/>
                <w:color w:val="auto"/>
                <w:sz w:val="24"/>
                <w:szCs w:val="24"/>
                <w:highlight w:val="none"/>
              </w:rPr>
              <w:t>中标后签订合同前中标人</w:t>
            </w:r>
            <w:r>
              <w:rPr>
                <w:rFonts w:hint="eastAsia" w:ascii="宋体" w:hAnsi="宋体" w:eastAsia="宋体" w:cs="宋体"/>
                <w:color w:val="auto"/>
                <w:sz w:val="24"/>
                <w:szCs w:val="20"/>
                <w:highlight w:val="none"/>
              </w:rPr>
              <w:t>自主选择以电汇、转账、支票、汇票、本票（限泰州同城）、保函、保证保险等非现金形式提交。</w:t>
            </w:r>
          </w:p>
          <w:p w14:paraId="5FAD4748">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退还时间：</w:t>
            </w:r>
            <w:r>
              <w:rPr>
                <w:rFonts w:hint="eastAsia" w:ascii="宋体" w:hAnsi="宋体" w:eastAsia="宋体" w:cs="宋体"/>
                <w:color w:val="auto"/>
                <w:sz w:val="24"/>
                <w:szCs w:val="24"/>
                <w:highlight w:val="none"/>
              </w:rPr>
              <w:t>服务期满后退还（无息）。</w:t>
            </w:r>
          </w:p>
        </w:tc>
      </w:tr>
      <w:tr w14:paraId="3E0D0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01" w:hRule="atLeast"/>
        </w:trPr>
        <w:tc>
          <w:tcPr>
            <w:tcW w:w="807" w:type="dxa"/>
            <w:shd w:val="clear" w:color="auto" w:fill="auto"/>
            <w:vAlign w:val="center"/>
          </w:tcPr>
          <w:p w14:paraId="68C2D475">
            <w:pPr>
              <w:keepNext w:val="0"/>
              <w:keepLines w:val="0"/>
              <w:suppressLineNumbers w:val="0"/>
              <w:spacing w:before="0" w:beforeAutospacing="0" w:after="0" w:afterAutospacing="0"/>
              <w:ind w:left="0" w:right="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9095" w:type="dxa"/>
            <w:shd w:val="clear" w:color="auto" w:fill="auto"/>
            <w:vAlign w:val="center"/>
          </w:tcPr>
          <w:p w14:paraId="3E69DA98">
            <w:pPr>
              <w:keepNext w:val="0"/>
              <w:keepLines w:val="0"/>
              <w:suppressLineNumbers w:val="0"/>
              <w:tabs>
                <w:tab w:val="left" w:pos="2969"/>
              </w:tabs>
              <w:spacing w:before="0" w:beforeAutospacing="0" w:after="0" w:afterAutospacing="0"/>
              <w:ind w:left="0" w:right="1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踏勘现场：自行踏勘</w:t>
            </w:r>
            <w:r>
              <w:rPr>
                <w:rFonts w:hint="eastAsia" w:ascii="宋体" w:hAnsi="宋体" w:eastAsia="宋体" w:cs="宋体"/>
                <w:color w:val="auto"/>
                <w:sz w:val="24"/>
                <w:szCs w:val="24"/>
                <w:highlight w:val="none"/>
              </w:rPr>
              <w:tab/>
            </w:r>
          </w:p>
        </w:tc>
      </w:tr>
      <w:tr w14:paraId="371DC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5" w:hRule="atLeast"/>
        </w:trPr>
        <w:tc>
          <w:tcPr>
            <w:tcW w:w="807" w:type="dxa"/>
            <w:shd w:val="clear" w:color="auto" w:fill="auto"/>
            <w:vAlign w:val="center"/>
          </w:tcPr>
          <w:p w14:paraId="5DB9B733">
            <w:pPr>
              <w:keepNext w:val="0"/>
              <w:keepLines w:val="0"/>
              <w:suppressLineNumbers w:val="0"/>
              <w:spacing w:before="0" w:beforeAutospacing="0" w:after="0" w:afterAutospacing="0"/>
              <w:ind w:left="0" w:right="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9095" w:type="dxa"/>
            <w:shd w:val="clear" w:color="auto" w:fill="auto"/>
            <w:vAlign w:val="center"/>
          </w:tcPr>
          <w:p w14:paraId="51A9D1D7">
            <w:pPr>
              <w:keepNext w:val="0"/>
              <w:keepLines w:val="0"/>
              <w:suppressLineNumbers w:val="0"/>
              <w:spacing w:before="0" w:beforeAutospacing="0" w:after="0" w:afterAutospacing="0"/>
              <w:ind w:left="0" w:right="1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投标预备会：不召开</w:t>
            </w:r>
          </w:p>
        </w:tc>
      </w:tr>
      <w:tr w14:paraId="36DA4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67" w:hRule="atLeast"/>
        </w:trPr>
        <w:tc>
          <w:tcPr>
            <w:tcW w:w="807" w:type="dxa"/>
            <w:shd w:val="clear" w:color="auto" w:fill="auto"/>
            <w:vAlign w:val="center"/>
          </w:tcPr>
          <w:p w14:paraId="4DB7EA42">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p>
        </w:tc>
        <w:tc>
          <w:tcPr>
            <w:tcW w:w="9095" w:type="dxa"/>
            <w:shd w:val="clear" w:color="auto" w:fill="auto"/>
            <w:vAlign w:val="center"/>
          </w:tcPr>
          <w:p w14:paraId="1C678794">
            <w:pPr>
              <w:keepNext w:val="0"/>
              <w:keepLines w:val="0"/>
              <w:suppressLineNumbers w:val="0"/>
              <w:spacing w:before="0" w:beforeAutospacing="0" w:after="0" w:afterAutospacing="0"/>
              <w:ind w:left="0" w:right="113"/>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付款方式：</w:t>
            </w:r>
          </w:p>
          <w:p w14:paraId="03415CF8">
            <w:pPr>
              <w:keepNext w:val="0"/>
              <w:keepLines w:val="0"/>
              <w:suppressLineNumbers w:val="0"/>
              <w:spacing w:before="0" w:beforeAutospacing="0" w:after="0" w:afterAutospacing="0"/>
              <w:ind w:left="0" w:right="1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合同签订后，</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zh-CN"/>
              </w:rPr>
              <w:t>按照合同约定时间进场提供服务。</w:t>
            </w:r>
            <w:r>
              <w:rPr>
                <w:rFonts w:hint="eastAsia" w:ascii="宋体" w:hAnsi="宋体" w:eastAsia="宋体" w:cs="宋体"/>
                <w:color w:val="auto"/>
                <w:sz w:val="24"/>
                <w:szCs w:val="24"/>
                <w:highlight w:val="none"/>
                <w:lang w:val="en-US" w:eastAsia="zh-CN"/>
              </w:rPr>
              <w:t>采购人</w:t>
            </w:r>
            <w:r>
              <w:rPr>
                <w:rFonts w:hint="eastAsia" w:asciiTheme="majorEastAsia" w:hAnsiTheme="majorEastAsia" w:eastAsiaTheme="majorEastAsia" w:cstheme="majorEastAsia"/>
                <w:color w:val="auto"/>
                <w:sz w:val="24"/>
                <w:szCs w:val="24"/>
                <w:highlight w:val="none"/>
                <w:u w:val="none"/>
                <w:lang w:val="en-US" w:eastAsia="zh-CN"/>
              </w:rPr>
              <w:t>按实际进场人数</w:t>
            </w:r>
            <w:r>
              <w:rPr>
                <w:rFonts w:hint="eastAsia" w:ascii="宋体" w:hAnsi="宋体" w:eastAsia="宋体" w:cs="宋体"/>
                <w:color w:val="auto"/>
                <w:sz w:val="24"/>
                <w:szCs w:val="24"/>
                <w:highlight w:val="none"/>
                <w:lang w:val="zh-CN"/>
              </w:rPr>
              <w:t>向中标人通报月度考核情况、测算支付金额。</w:t>
            </w:r>
            <w:r>
              <w:rPr>
                <w:rFonts w:hint="eastAsia" w:ascii="宋体" w:hAnsi="宋体" w:eastAsia="宋体" w:cs="宋体"/>
                <w:color w:val="auto"/>
                <w:sz w:val="24"/>
                <w:szCs w:val="24"/>
                <w:highlight w:val="none"/>
                <w:lang w:val="en-US" w:eastAsia="zh-CN"/>
              </w:rPr>
              <w:t>中标人</w:t>
            </w:r>
            <w:r>
              <w:rPr>
                <w:rFonts w:hint="eastAsia" w:ascii="宋体" w:hAnsi="宋体" w:cs="宋体"/>
                <w:color w:val="auto"/>
                <w:sz w:val="24"/>
                <w:szCs w:val="24"/>
                <w:highlight w:val="none"/>
                <w:lang w:val="en-US" w:eastAsia="zh-CN"/>
              </w:rPr>
              <w:t>次月</w:t>
            </w:r>
            <w:r>
              <w:rPr>
                <w:rFonts w:hint="eastAsia" w:ascii="宋体" w:hAnsi="宋体" w:eastAsia="宋体" w:cs="宋体"/>
                <w:color w:val="auto"/>
                <w:sz w:val="24"/>
                <w:szCs w:val="24"/>
                <w:highlight w:val="none"/>
                <w:lang w:val="zh-CN"/>
              </w:rPr>
              <w:t>向</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zh-CN"/>
              </w:rPr>
              <w:t>提交安保服务费正式发票。</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zh-CN"/>
              </w:rPr>
              <w:t>审批后按本单位财务制度付款。</w:t>
            </w:r>
          </w:p>
        </w:tc>
      </w:tr>
    </w:tbl>
    <w:p w14:paraId="0019193F">
      <w:pPr>
        <w:spacing w:line="360" w:lineRule="auto"/>
        <w:jc w:val="center"/>
        <w:rPr>
          <w:rFonts w:hint="eastAsia" w:ascii="宋体" w:hAnsi="宋体" w:eastAsia="宋体" w:cs="宋体"/>
          <w:b/>
          <w:color w:val="auto"/>
          <w:spacing w:val="20"/>
          <w:sz w:val="32"/>
          <w:szCs w:val="32"/>
          <w:highlight w:val="none"/>
        </w:rPr>
      </w:pPr>
      <w:r>
        <w:rPr>
          <w:rFonts w:hint="eastAsia" w:ascii="宋体" w:hAnsi="宋体" w:eastAsia="宋体" w:cs="宋体"/>
          <w:color w:val="auto"/>
          <w:spacing w:val="20"/>
          <w:sz w:val="40"/>
          <w:highlight w:val="none"/>
        </w:rPr>
        <w:br w:type="page" w:clear="all"/>
      </w:r>
      <w:r>
        <w:rPr>
          <w:rFonts w:hint="eastAsia" w:ascii="宋体" w:hAnsi="宋体" w:eastAsia="宋体" w:cs="宋体"/>
          <w:b/>
          <w:color w:val="auto"/>
          <w:spacing w:val="20"/>
          <w:sz w:val="32"/>
          <w:szCs w:val="32"/>
          <w:highlight w:val="none"/>
        </w:rPr>
        <w:t>一、投标须知</w:t>
      </w:r>
    </w:p>
    <w:p w14:paraId="0A6BFA0D">
      <w:pPr>
        <w:spacing w:line="520" w:lineRule="exact"/>
        <w:ind w:firstLine="482"/>
        <w:rPr>
          <w:rFonts w:hint="eastAsia" w:ascii="宋体" w:hAnsi="宋体" w:eastAsia="宋体" w:cs="宋体"/>
          <w:b/>
          <w:color w:val="auto"/>
          <w:sz w:val="24"/>
          <w:szCs w:val="24"/>
          <w:highlight w:val="none"/>
        </w:rPr>
      </w:pPr>
      <w:bookmarkStart w:id="35" w:name="_Toc425517540"/>
      <w:bookmarkStart w:id="36" w:name="_Toc319330154"/>
      <w:r>
        <w:rPr>
          <w:rFonts w:hint="eastAsia" w:ascii="宋体" w:hAnsi="宋体" w:eastAsia="宋体" w:cs="宋体"/>
          <w:b/>
          <w:color w:val="auto"/>
          <w:sz w:val="24"/>
          <w:szCs w:val="24"/>
          <w:highlight w:val="none"/>
        </w:rPr>
        <w:t>（一）遵循原则</w:t>
      </w:r>
    </w:p>
    <w:p w14:paraId="621781A8">
      <w:pPr>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7203A61B">
      <w:pPr>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（二）招标文件</w:t>
      </w:r>
    </w:p>
    <w:p w14:paraId="79B3C954">
      <w:pPr>
        <w:tabs>
          <w:tab w:val="left" w:pos="-1260"/>
          <w:tab w:val="left" w:pos="525"/>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1.招标文件包括本文件目录所列全部内容，投标人应仔细阅读，并在投标文件中充分响应招标文件的所有要求。</w:t>
      </w:r>
    </w:p>
    <w:p w14:paraId="575327E4">
      <w:pPr>
        <w:tabs>
          <w:tab w:val="left" w:pos="0"/>
          <w:tab w:val="left" w:pos="525"/>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2.招标文件中的“法定代表人”是指投标人的营业执照或相关部门的登记证明文件中的“法定代表人”或“负责人”。</w:t>
      </w:r>
    </w:p>
    <w:p w14:paraId="023D688F">
      <w:pPr>
        <w:tabs>
          <w:tab w:val="left" w:pos="0"/>
          <w:tab w:val="left" w:pos="525"/>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3.投标人应在“苏采云”系统（</w:t>
      </w:r>
      <w:r>
        <w:rPr>
          <w:rFonts w:hint="eastAsia" w:ascii="宋体" w:hAnsi="宋体" w:eastAsia="宋体" w:cs="宋体"/>
          <w:color w:val="auto"/>
          <w:sz w:val="24"/>
          <w:szCs w:val="24"/>
          <w:highlight w:val="none"/>
          <w:lang w:val="zh-CN"/>
        </w:rPr>
        <w:t>https://jszfcg.jsczt.cn/jszc/login</w:t>
      </w:r>
      <w:r>
        <w:rPr>
          <w:rFonts w:hint="eastAsia" w:ascii="宋体" w:hAnsi="宋体" w:eastAsia="宋体" w:cs="宋体"/>
          <w:bCs/>
          <w:color w:val="auto"/>
          <w:sz w:val="24"/>
          <w:szCs w:val="24"/>
          <w:highlight w:val="none"/>
        </w:rPr>
        <w:t>，下同）采购公告中下载招标文件及有关资料，按招标文件要求提交全部资料并对招标文件各项内容作出实质性响应，否则投标无效。</w:t>
      </w:r>
    </w:p>
    <w:p w14:paraId="364345DD">
      <w:pPr>
        <w:tabs>
          <w:tab w:val="left" w:pos="0"/>
          <w:tab w:val="left" w:pos="525"/>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4.招标文件仅作为本次招投标使用。</w:t>
      </w:r>
    </w:p>
    <w:p w14:paraId="1DF5A77F">
      <w:pPr>
        <w:tabs>
          <w:tab w:val="left" w:pos="630"/>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 招标文件的解释</w:t>
      </w:r>
    </w:p>
    <w:p w14:paraId="2DC4803C">
      <w:pPr>
        <w:tabs>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本文件的最终解释权归</w:t>
      </w:r>
      <w:r>
        <w:rPr>
          <w:rFonts w:hint="eastAsia" w:ascii="宋体" w:hAnsi="宋体" w:eastAsia="宋体" w:cs="宋体"/>
          <w:color w:val="auto"/>
          <w:sz w:val="24"/>
          <w:szCs w:val="24"/>
          <w:highlight w:val="none"/>
        </w:rPr>
        <w:t>采购人</w:t>
      </w:r>
      <w:r>
        <w:rPr>
          <w:rFonts w:hint="eastAsia" w:ascii="宋体" w:hAnsi="宋体" w:eastAsia="宋体" w:cs="宋体"/>
          <w:bCs/>
          <w:color w:val="auto"/>
          <w:sz w:val="24"/>
          <w:szCs w:val="24"/>
          <w:highlight w:val="none"/>
        </w:rPr>
        <w:t>。</w:t>
      </w:r>
    </w:p>
    <w:p w14:paraId="243C18DD">
      <w:pPr>
        <w:tabs>
          <w:tab w:val="left" w:pos="945"/>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（四）招标文件的补充或修正 </w:t>
      </w:r>
    </w:p>
    <w:p w14:paraId="10ACCBBC">
      <w:pPr>
        <w:tabs>
          <w:tab w:val="left" w:pos="525"/>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1.招标代理机构可在投标截止时间十五日前对招标文件进行必要的澄清或者修改，不足15日的，将顺延提交投标文件的截止时间。</w:t>
      </w:r>
    </w:p>
    <w:p w14:paraId="7B59ED56">
      <w:pPr>
        <w:tabs>
          <w:tab w:val="left" w:pos="525"/>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2.潜在投标人对招标文件项目需求部分的询问、质疑请向采购人提出，由采购人负责答复。</w:t>
      </w:r>
    </w:p>
    <w:p w14:paraId="4F678205">
      <w:pPr>
        <w:tabs>
          <w:tab w:val="left" w:pos="525"/>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3.如需对招标文件进行澄清或修正，招标代理机构将在</w:t>
      </w:r>
      <w:r>
        <w:rPr>
          <w:rFonts w:hint="eastAsia" w:ascii="宋体" w:hAnsi="宋体" w:cs="宋体"/>
          <w:bCs/>
          <w:color w:val="auto"/>
          <w:sz w:val="24"/>
          <w:szCs w:val="24"/>
          <w:highlight w:val="none"/>
          <w:lang w:val="en-US" w:eastAsia="zh-CN"/>
        </w:rPr>
        <w:t>江苏政府采购网、</w:t>
      </w:r>
      <w:r>
        <w:rPr>
          <w:rFonts w:hint="eastAsia" w:ascii="宋体" w:hAnsi="宋体" w:eastAsia="宋体" w:cs="宋体"/>
          <w:bCs/>
          <w:color w:val="auto"/>
          <w:sz w:val="24"/>
          <w:szCs w:val="24"/>
          <w:highlight w:val="none"/>
        </w:rPr>
        <w:t>泰州市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招标文件要求，而造成的损失及风险（包括但不限于未中标）由投标人自行承担。</w:t>
      </w:r>
    </w:p>
    <w:p w14:paraId="6E7B96B8">
      <w:pPr>
        <w:tabs>
          <w:tab w:val="left" w:pos="945"/>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 投标文件的组成</w:t>
      </w:r>
    </w:p>
    <w:p w14:paraId="1D5F8E1B">
      <w:pPr>
        <w:tabs>
          <w:tab w:val="left" w:pos="525"/>
          <w:tab w:val="left" w:pos="945"/>
        </w:tabs>
        <w:spacing w:line="520" w:lineRule="exact"/>
        <w:ind w:firstLine="480"/>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1.投标函（格式见附件）</w:t>
      </w:r>
      <w:r>
        <w:rPr>
          <w:rFonts w:hint="eastAsia" w:ascii="宋体" w:hAnsi="宋体" w:cs="宋体"/>
          <w:b w:val="0"/>
          <w:bCs/>
          <w:color w:val="auto"/>
          <w:sz w:val="24"/>
          <w:highlight w:val="none"/>
          <w:lang w:eastAsia="zh-CN"/>
        </w:rPr>
        <w:t>；</w:t>
      </w:r>
    </w:p>
    <w:p w14:paraId="60CCA68A">
      <w:pPr>
        <w:tabs>
          <w:tab w:val="left" w:pos="525"/>
          <w:tab w:val="left" w:pos="945"/>
        </w:tabs>
        <w:spacing w:line="520" w:lineRule="exact"/>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2.资格、资信证明文件：</w:t>
      </w:r>
    </w:p>
    <w:p w14:paraId="0C3F35F1">
      <w:pPr>
        <w:pStyle w:val="30"/>
        <w:tabs>
          <w:tab w:val="left" w:pos="1276"/>
        </w:tabs>
        <w:spacing w:line="520" w:lineRule="exact"/>
        <w:ind w:firstLine="480"/>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（1）关于资格的声明函（格式见附件）</w:t>
      </w:r>
      <w:r>
        <w:rPr>
          <w:rFonts w:hint="eastAsia" w:ascii="宋体" w:hAnsi="宋体" w:cs="宋体"/>
          <w:b w:val="0"/>
          <w:bCs/>
          <w:color w:val="auto"/>
          <w:sz w:val="24"/>
          <w:highlight w:val="none"/>
          <w:lang w:eastAsia="zh-CN"/>
        </w:rPr>
        <w:t>；</w:t>
      </w:r>
    </w:p>
    <w:p w14:paraId="705A9784">
      <w:pPr>
        <w:spacing w:line="460" w:lineRule="exact"/>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（2）具有独立承担民事责任能力的投标人营业执照或相关部门的登记证明文件</w:t>
      </w:r>
      <w:r>
        <w:rPr>
          <w:rFonts w:hint="eastAsia" w:ascii="宋体" w:hAnsi="宋体" w:eastAsia="宋体" w:cs="宋体"/>
          <w:b w:val="0"/>
          <w:bCs/>
          <w:color w:val="auto"/>
          <w:sz w:val="24"/>
          <w:szCs w:val="24"/>
          <w:highlight w:val="none"/>
        </w:rPr>
        <w:t>（原件扫描上传）</w:t>
      </w:r>
      <w:r>
        <w:rPr>
          <w:rFonts w:hint="eastAsia" w:ascii="宋体" w:hAnsi="宋体" w:eastAsia="宋体" w:cs="宋体"/>
          <w:b w:val="0"/>
          <w:bCs/>
          <w:color w:val="auto"/>
          <w:sz w:val="24"/>
          <w:highlight w:val="none"/>
        </w:rPr>
        <w:t xml:space="preserve">； </w:t>
      </w:r>
    </w:p>
    <w:p w14:paraId="7C0D3571">
      <w:pPr>
        <w:tabs>
          <w:tab w:val="left" w:pos="945"/>
          <w:tab w:val="left" w:pos="1276"/>
        </w:tabs>
        <w:spacing w:line="520" w:lineRule="exact"/>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highlight w:val="none"/>
        </w:rPr>
        <w:t>（3）</w:t>
      </w:r>
      <w:r>
        <w:rPr>
          <w:rFonts w:hint="eastAsia" w:ascii="宋体" w:hAnsi="宋体" w:eastAsia="宋体" w:cs="宋体"/>
          <w:b w:val="0"/>
          <w:bCs/>
          <w:color w:val="auto"/>
          <w:sz w:val="24"/>
          <w:szCs w:val="24"/>
          <w:highlight w:val="none"/>
        </w:rPr>
        <w:t>保安服务许可证（原件扫描上传）；</w:t>
      </w:r>
    </w:p>
    <w:p w14:paraId="488BE245">
      <w:pPr>
        <w:tabs>
          <w:tab w:val="left" w:pos="945"/>
          <w:tab w:val="left" w:pos="1276"/>
        </w:tabs>
        <w:spacing w:line="520" w:lineRule="exact"/>
        <w:ind w:firstLine="480"/>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szCs w:val="24"/>
          <w:highlight w:val="none"/>
        </w:rPr>
        <w:t>（4）备案证明材料或承诺书（</w:t>
      </w:r>
      <w:r>
        <w:rPr>
          <w:rFonts w:hint="eastAsia" w:ascii="宋体" w:hAnsi="宋体" w:eastAsia="宋体" w:cs="宋体"/>
          <w:b w:val="0"/>
          <w:bCs/>
          <w:strike w:val="0"/>
          <w:dstrike w:val="0"/>
          <w:color w:val="auto"/>
          <w:sz w:val="24"/>
          <w:szCs w:val="24"/>
          <w:highlight w:val="none"/>
        </w:rPr>
        <w:t>跨省、自治区、直辖市</w:t>
      </w:r>
      <w:r>
        <w:rPr>
          <w:rFonts w:hint="eastAsia" w:ascii="宋体" w:hAnsi="宋体" w:eastAsia="宋体" w:cs="宋体"/>
          <w:b w:val="0"/>
          <w:bCs/>
          <w:strike w:val="0"/>
          <w:dstrike w:val="0"/>
          <w:color w:val="auto"/>
          <w:sz w:val="24"/>
          <w:szCs w:val="24"/>
          <w:highlight w:val="none"/>
          <w:lang w:val="en-US" w:eastAsia="zh-CN"/>
        </w:rPr>
        <w:t>提供服务的</w:t>
      </w:r>
      <w:r>
        <w:rPr>
          <w:rFonts w:hint="eastAsia" w:ascii="宋体" w:hAnsi="宋体" w:eastAsia="宋体" w:cs="宋体"/>
          <w:b w:val="0"/>
          <w:bCs/>
          <w:strike w:val="0"/>
          <w:dstrike w:val="0"/>
          <w:color w:val="auto"/>
          <w:sz w:val="24"/>
          <w:szCs w:val="24"/>
          <w:highlight w:val="none"/>
        </w:rPr>
        <w:t>保安服务企业提供</w:t>
      </w:r>
      <w:r>
        <w:rPr>
          <w:rFonts w:hint="eastAsia" w:ascii="宋体" w:hAnsi="宋体" w:eastAsia="宋体" w:cs="宋体"/>
          <w:b w:val="0"/>
          <w:bCs/>
          <w:color w:val="auto"/>
          <w:sz w:val="24"/>
          <w:szCs w:val="24"/>
          <w:highlight w:val="none"/>
        </w:rPr>
        <w:t>）；</w:t>
      </w:r>
    </w:p>
    <w:p w14:paraId="33216EE6">
      <w:pPr>
        <w:tabs>
          <w:tab w:val="left" w:pos="945"/>
          <w:tab w:val="left" w:pos="1276"/>
        </w:tabs>
        <w:spacing w:line="520" w:lineRule="exact"/>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（5）投标人法定代表人授权委托书（格式见附件，法定代表人亲自参加投标的除外）；</w:t>
      </w:r>
    </w:p>
    <w:p w14:paraId="0576E23E">
      <w:pPr>
        <w:tabs>
          <w:tab w:val="left" w:pos="945"/>
          <w:tab w:val="left" w:pos="1276"/>
        </w:tabs>
        <w:spacing w:line="520" w:lineRule="exact"/>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（6）投标人法定代表人身份证复印件；</w:t>
      </w:r>
    </w:p>
    <w:p w14:paraId="16F694A8">
      <w:pPr>
        <w:tabs>
          <w:tab w:val="left" w:pos="945"/>
          <w:tab w:val="left" w:pos="1276"/>
        </w:tabs>
        <w:spacing w:line="520" w:lineRule="exact"/>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（7）投标人法定代表人授权代表身份证复印件（法定代表人亲自参加投标的除外）；</w:t>
      </w:r>
    </w:p>
    <w:p w14:paraId="416A6CDB">
      <w:pPr>
        <w:tabs>
          <w:tab w:val="left" w:pos="945"/>
          <w:tab w:val="left" w:pos="1276"/>
        </w:tabs>
        <w:spacing w:line="520" w:lineRule="exact"/>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（8）投标人近</w:t>
      </w:r>
      <w:r>
        <w:rPr>
          <w:rFonts w:hint="eastAsia" w:ascii="宋体" w:hAnsi="宋体" w:cs="宋体"/>
          <w:b w:val="0"/>
          <w:bCs/>
          <w:color w:val="auto"/>
          <w:sz w:val="24"/>
          <w:highlight w:val="none"/>
          <w:lang w:val="en-US" w:eastAsia="zh-CN"/>
        </w:rPr>
        <w:t>六</w:t>
      </w:r>
      <w:r>
        <w:rPr>
          <w:rFonts w:hint="eastAsia" w:ascii="宋体" w:hAnsi="宋体" w:eastAsia="宋体" w:cs="宋体"/>
          <w:b w:val="0"/>
          <w:bCs/>
          <w:color w:val="auto"/>
          <w:sz w:val="24"/>
          <w:highlight w:val="none"/>
        </w:rPr>
        <w:t xml:space="preserve">个月中任意一个月份（不含投标当月）的财务状况报告（资产负债表和利润表）或由会计师事务所出具的近两年中任意一个年度的审计报告和所附已审财务报告复印件，其他组织、自然人及成立未满一年的法人应提供银行出具的资信证明； </w:t>
      </w:r>
    </w:p>
    <w:p w14:paraId="0E57FB63">
      <w:pPr>
        <w:tabs>
          <w:tab w:val="left" w:pos="945"/>
          <w:tab w:val="left" w:pos="1276"/>
        </w:tabs>
        <w:spacing w:line="520" w:lineRule="exact"/>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（9）投标人近</w:t>
      </w:r>
      <w:r>
        <w:rPr>
          <w:rFonts w:hint="eastAsia" w:ascii="宋体" w:hAnsi="宋体" w:cs="宋体"/>
          <w:b w:val="0"/>
          <w:bCs/>
          <w:color w:val="auto"/>
          <w:sz w:val="24"/>
          <w:highlight w:val="none"/>
          <w:lang w:val="en-US" w:eastAsia="zh-CN"/>
        </w:rPr>
        <w:t>六</w:t>
      </w:r>
      <w:r>
        <w:rPr>
          <w:rFonts w:hint="eastAsia" w:ascii="宋体" w:hAnsi="宋体" w:eastAsia="宋体" w:cs="宋体"/>
          <w:b w:val="0"/>
          <w:bCs/>
          <w:color w:val="auto"/>
          <w:sz w:val="24"/>
          <w:highlight w:val="none"/>
        </w:rPr>
        <w:t>个月中任意一个月份（不含投标当月）的依法缴纳税收的相关材料（提供相关主管部门证明或银行代扣证明）复印件（依法免税的</w:t>
      </w:r>
      <w:r>
        <w:rPr>
          <w:rFonts w:hint="eastAsia" w:ascii="宋体" w:hAnsi="宋体" w:eastAsia="宋体" w:cs="宋体"/>
          <w:b w:val="0"/>
          <w:bCs/>
          <w:color w:val="auto"/>
          <w:sz w:val="24"/>
          <w:highlight w:val="none"/>
          <w:lang w:eastAsia="zh-CN"/>
        </w:rPr>
        <w:t>投标人</w:t>
      </w:r>
      <w:r>
        <w:rPr>
          <w:rFonts w:hint="eastAsia" w:ascii="宋体" w:hAnsi="宋体" w:eastAsia="宋体" w:cs="宋体"/>
          <w:b w:val="0"/>
          <w:bCs/>
          <w:color w:val="auto"/>
          <w:sz w:val="24"/>
          <w:highlight w:val="none"/>
        </w:rPr>
        <w:t>，应提供其依法免税的证明材料）；</w:t>
      </w:r>
    </w:p>
    <w:p w14:paraId="3572C9FB">
      <w:pPr>
        <w:tabs>
          <w:tab w:val="left" w:pos="945"/>
          <w:tab w:val="left" w:pos="1276"/>
        </w:tabs>
        <w:spacing w:line="520" w:lineRule="exact"/>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（10）投标人近</w:t>
      </w:r>
      <w:r>
        <w:rPr>
          <w:rFonts w:hint="eastAsia" w:ascii="宋体" w:hAnsi="宋体" w:cs="宋体"/>
          <w:b w:val="0"/>
          <w:bCs/>
          <w:color w:val="auto"/>
          <w:sz w:val="24"/>
          <w:highlight w:val="none"/>
          <w:lang w:val="en-US" w:eastAsia="zh-CN"/>
        </w:rPr>
        <w:t>六</w:t>
      </w:r>
      <w:r>
        <w:rPr>
          <w:rFonts w:hint="eastAsia" w:ascii="宋体" w:hAnsi="宋体" w:eastAsia="宋体" w:cs="宋体"/>
          <w:b w:val="0"/>
          <w:bCs/>
          <w:color w:val="auto"/>
          <w:sz w:val="24"/>
          <w:highlight w:val="none"/>
        </w:rPr>
        <w:t>个月中任意一个月份（不含投标当月）的依法缴纳社会保障资金的相关材料（提供相关主管部门证明或银行代扣证明）复印件；</w:t>
      </w:r>
    </w:p>
    <w:p w14:paraId="041BDA51">
      <w:pPr>
        <w:pStyle w:val="8"/>
        <w:spacing w:line="500" w:lineRule="exact"/>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（11）投标人3年内无重大违法记录声明</w:t>
      </w:r>
      <w:r>
        <w:rPr>
          <w:rFonts w:hint="eastAsia" w:ascii="宋体" w:hAnsi="宋体" w:eastAsia="宋体" w:cs="宋体"/>
          <w:b w:val="0"/>
          <w:bCs/>
          <w:color w:val="auto"/>
          <w:sz w:val="24"/>
          <w:highlight w:val="none"/>
        </w:rPr>
        <w:t>（格式见附件）</w:t>
      </w:r>
      <w:r>
        <w:rPr>
          <w:rFonts w:hint="eastAsia" w:ascii="宋体" w:hAnsi="宋体" w:eastAsia="宋体" w:cs="宋体"/>
          <w:b w:val="0"/>
          <w:bCs/>
          <w:color w:val="auto"/>
          <w:sz w:val="24"/>
          <w:szCs w:val="24"/>
          <w:highlight w:val="none"/>
        </w:rPr>
        <w:t>；</w:t>
      </w:r>
    </w:p>
    <w:p w14:paraId="34A470A8">
      <w:pPr>
        <w:pStyle w:val="8"/>
        <w:spacing w:line="500" w:lineRule="exact"/>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（12）具备履行合同所必需的设备和专业技术能力的书面声明</w:t>
      </w:r>
      <w:r>
        <w:rPr>
          <w:rFonts w:hint="eastAsia" w:ascii="宋体" w:hAnsi="宋体" w:eastAsia="宋体" w:cs="宋体"/>
          <w:b w:val="0"/>
          <w:bCs/>
          <w:color w:val="auto"/>
          <w:sz w:val="24"/>
          <w:highlight w:val="none"/>
        </w:rPr>
        <w:t>（格式自拟）</w:t>
      </w:r>
      <w:r>
        <w:rPr>
          <w:rFonts w:hint="eastAsia" w:ascii="宋体" w:hAnsi="宋体" w:eastAsia="宋体" w:cs="宋体"/>
          <w:b w:val="0"/>
          <w:bCs/>
          <w:color w:val="auto"/>
          <w:sz w:val="24"/>
          <w:szCs w:val="24"/>
          <w:highlight w:val="none"/>
        </w:rPr>
        <w:t>；</w:t>
      </w:r>
    </w:p>
    <w:p w14:paraId="5F955A00">
      <w:pPr>
        <w:tabs>
          <w:tab w:val="left" w:pos="945"/>
          <w:tab w:val="left" w:pos="1276"/>
        </w:tabs>
        <w:spacing w:line="520" w:lineRule="exact"/>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（13）承诺书（格式见附件）。</w:t>
      </w:r>
    </w:p>
    <w:p w14:paraId="4F76042B">
      <w:pPr>
        <w:tabs>
          <w:tab w:val="left" w:pos="525"/>
          <w:tab w:val="left" w:pos="945"/>
        </w:tabs>
        <w:spacing w:line="520" w:lineRule="exact"/>
        <w:ind w:firstLine="480"/>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3.开标一览表、投标报价明细表（格式见附件）</w:t>
      </w:r>
      <w:r>
        <w:rPr>
          <w:rFonts w:hint="eastAsia" w:ascii="宋体" w:hAnsi="宋体" w:cs="宋体"/>
          <w:b w:val="0"/>
          <w:bCs/>
          <w:color w:val="auto"/>
          <w:sz w:val="24"/>
          <w:highlight w:val="none"/>
          <w:lang w:eastAsia="zh-CN"/>
        </w:rPr>
        <w:t>；</w:t>
      </w:r>
    </w:p>
    <w:p w14:paraId="70DB0751">
      <w:pPr>
        <w:tabs>
          <w:tab w:val="left" w:pos="525"/>
          <w:tab w:val="left" w:pos="945"/>
        </w:tabs>
        <w:spacing w:line="520" w:lineRule="exact"/>
        <w:ind w:firstLine="480"/>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4.投标偏离表（格式见附件）</w:t>
      </w:r>
      <w:r>
        <w:rPr>
          <w:rFonts w:hint="eastAsia" w:ascii="宋体" w:hAnsi="宋体" w:cs="宋体"/>
          <w:b w:val="0"/>
          <w:bCs/>
          <w:color w:val="auto"/>
          <w:sz w:val="24"/>
          <w:highlight w:val="none"/>
          <w:lang w:eastAsia="zh-CN"/>
        </w:rPr>
        <w:t>；</w:t>
      </w:r>
    </w:p>
    <w:p w14:paraId="29BA6BC6">
      <w:pPr>
        <w:tabs>
          <w:tab w:val="left" w:pos="525"/>
          <w:tab w:val="left" w:pos="945"/>
        </w:tabs>
        <w:spacing w:line="520" w:lineRule="exact"/>
        <w:ind w:firstLine="480"/>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5.中小企业声明函或残疾人福利性单位声明函或监狱企业的证明资料（如有）（格式见附件）</w:t>
      </w:r>
      <w:r>
        <w:rPr>
          <w:rFonts w:hint="eastAsia" w:ascii="宋体" w:hAnsi="宋体" w:cs="宋体"/>
          <w:b w:val="0"/>
          <w:bCs/>
          <w:color w:val="auto"/>
          <w:sz w:val="24"/>
          <w:highlight w:val="none"/>
          <w:lang w:eastAsia="zh-CN"/>
        </w:rPr>
        <w:t>；</w:t>
      </w:r>
    </w:p>
    <w:p w14:paraId="2614D6D6">
      <w:pPr>
        <w:tabs>
          <w:tab w:val="left" w:pos="525"/>
          <w:tab w:val="left" w:pos="945"/>
        </w:tabs>
        <w:spacing w:line="520" w:lineRule="exact"/>
        <w:ind w:firstLine="480"/>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6.评分标准中对应的其它所需证明材料（如有自行添加）</w:t>
      </w:r>
      <w:r>
        <w:rPr>
          <w:rFonts w:hint="eastAsia" w:ascii="宋体" w:hAnsi="宋体" w:cs="宋体"/>
          <w:b w:val="0"/>
          <w:bCs/>
          <w:color w:val="auto"/>
          <w:sz w:val="24"/>
          <w:highlight w:val="none"/>
          <w:lang w:eastAsia="zh-CN"/>
        </w:rPr>
        <w:t>；</w:t>
      </w:r>
    </w:p>
    <w:p w14:paraId="2E080141">
      <w:pPr>
        <w:tabs>
          <w:tab w:val="left" w:pos="525"/>
          <w:tab w:val="left" w:pos="945"/>
        </w:tabs>
        <w:spacing w:line="520" w:lineRule="exact"/>
        <w:ind w:firstLine="480"/>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7.要求采购人提供的配合（如有自拟并自行添加）</w:t>
      </w:r>
      <w:r>
        <w:rPr>
          <w:rFonts w:hint="eastAsia" w:ascii="宋体" w:hAnsi="宋体" w:cs="宋体"/>
          <w:b w:val="0"/>
          <w:bCs/>
          <w:color w:val="auto"/>
          <w:sz w:val="24"/>
          <w:highlight w:val="none"/>
          <w:lang w:eastAsia="zh-CN"/>
        </w:rPr>
        <w:t>；</w:t>
      </w:r>
    </w:p>
    <w:p w14:paraId="3E76ACAA">
      <w:pPr>
        <w:tabs>
          <w:tab w:val="left" w:pos="525"/>
          <w:tab w:val="left" w:pos="945"/>
        </w:tabs>
        <w:spacing w:line="520" w:lineRule="exact"/>
        <w:ind w:firstLine="480"/>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8.其它（投标人认为有必要提供的声明和文件，如有自拟并自行添加）</w:t>
      </w:r>
      <w:r>
        <w:rPr>
          <w:rFonts w:hint="eastAsia" w:ascii="宋体" w:hAnsi="宋体" w:cs="宋体"/>
          <w:b w:val="0"/>
          <w:bCs/>
          <w:color w:val="auto"/>
          <w:sz w:val="24"/>
          <w:highlight w:val="none"/>
          <w:lang w:eastAsia="zh-CN"/>
        </w:rPr>
        <w:t>。</w:t>
      </w:r>
    </w:p>
    <w:p w14:paraId="4D85903A">
      <w:pPr>
        <w:tabs>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上述1-4项投标人必须按要求全部提供，否则投标文件无效。</w:t>
      </w:r>
      <w:r>
        <w:rPr>
          <w:rFonts w:hint="eastAsia" w:ascii="宋体" w:hAnsi="宋体" w:eastAsia="宋体" w:cs="宋体"/>
          <w:color w:val="auto"/>
          <w:sz w:val="24"/>
          <w:highlight w:val="none"/>
        </w:rPr>
        <w:t>如上述资格证明文件遇年检、换证，则必须提供法定年检、换证单位出具的有效证明复印件。如上述资格证明文件第（8）（9）（10）三项遇有国家相关政策规定可不具备的，必须提供相关政策规定或相关单位出具的有效证明复印件。</w:t>
      </w:r>
      <w:r>
        <w:rPr>
          <w:rFonts w:hint="eastAsia" w:ascii="宋体" w:hAnsi="宋体" w:eastAsia="宋体" w:cs="宋体"/>
          <w:bCs/>
          <w:color w:val="auto"/>
          <w:sz w:val="24"/>
          <w:highlight w:val="none"/>
        </w:rPr>
        <w:t>投标人法定代表人或法定代表人授权代表为外籍、港、澳、台地区人士的，其身份证明须提供有效的护照或港澳同胞来往内地通行证、台湾同胞来往大陆通行证，或其它可在中国大陆有效居留的许可证明。</w:t>
      </w:r>
    </w:p>
    <w:p w14:paraId="661CAB21">
      <w:pPr>
        <w:tabs>
          <w:tab w:val="left" w:pos="945"/>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（六）投标文件的制作</w:t>
      </w:r>
    </w:p>
    <w:p w14:paraId="08B0BA83">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1.所有文件、往来函件均应使用简体中文（规格、型号辅助符号例外）。</w:t>
      </w:r>
    </w:p>
    <w:p w14:paraId="73A6EDA1">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2.投标文件由投标人按要求参考给定格式如实填写（编写），须有投标人（盖章）、法定代表人或法定代表人授权代表签字或盖章，方为有效，未尽事宜可自行补充。</w:t>
      </w:r>
    </w:p>
    <w:p w14:paraId="4DA6F64B">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3.如无特别说明，投标人报价一律以人民币为投标结算货币，结算单位为“元”。</w:t>
      </w:r>
    </w:p>
    <w:p w14:paraId="042E8397">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4.投标文件不应有涂改、增删和潦草之处，如有必须修改时，修改处必须有投标人盖章、法定代表人或法定代表人授权代表的签字。</w:t>
      </w:r>
    </w:p>
    <w:p w14:paraId="62B285E0">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5.投标费用自理。</w:t>
      </w:r>
    </w:p>
    <w:p w14:paraId="62D0F272">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6.投标人应当同时凭CA数字证书登录“苏采云”系统，并在投标截止时间前上传电子投标文件。</w:t>
      </w:r>
    </w:p>
    <w:p w14:paraId="4D1C971F">
      <w:pPr>
        <w:tabs>
          <w:tab w:val="left" w:pos="525"/>
          <w:tab w:val="left" w:pos="945"/>
        </w:tabs>
        <w:spacing w:line="520" w:lineRule="exact"/>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（七）投标文件的递交</w:t>
      </w:r>
    </w:p>
    <w:p w14:paraId="34048D43">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1.电子投标文件的递交</w:t>
      </w:r>
    </w:p>
    <w:p w14:paraId="0F826D65">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投标人应当按照《江苏省政府采购管理交易系统（苏采云）供应商操作手册》规定，在投标截止时间前制作并上传电子投标文件。</w:t>
      </w:r>
    </w:p>
    <w:p w14:paraId="5523F134">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2.投标截止日期</w:t>
      </w:r>
    </w:p>
    <w:p w14:paraId="4C7AF728">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 投标人上传电子投标文件的时间不得迟于招标公告中规定的投标截止时间。</w:t>
      </w:r>
    </w:p>
    <w:p w14:paraId="618DDDCF">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投标人应充分考虑到网络环境、网络带宽等风险因素，如因投标人自身原因造成的电子投标文件上传不成功由投标人自行承担全部责任。</w:t>
      </w:r>
    </w:p>
    <w:p w14:paraId="10892753">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 招标代理机构可以按照规定，通过修改招标文件酌情延长投标截止日期，在此情况下，投标人的所有权利和义务以及投标人受制的截止日期均应以延长后新的截止日期为准。</w:t>
      </w:r>
    </w:p>
    <w:p w14:paraId="56445080">
      <w:pPr>
        <w:tabs>
          <w:tab w:val="left" w:pos="945"/>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（八）投标文件的拒收</w:t>
      </w:r>
    </w:p>
    <w:p w14:paraId="3C596F62">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1.采购人及招标代理机构拒绝接收在其规定的投标截止时间后上传的任何投标文件。</w:t>
      </w:r>
    </w:p>
    <w:p w14:paraId="61F6CD99">
      <w:pPr>
        <w:tabs>
          <w:tab w:val="left" w:pos="945"/>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（九）投标文件的撤回和修改</w:t>
      </w:r>
    </w:p>
    <w:p w14:paraId="4157047A">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1.投标文件的撤回</w:t>
      </w:r>
    </w:p>
    <w:p w14:paraId="77FDB3E8">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投标人可在投标截止时间前，撤回其电子投标文件，具体操作方法见《江苏省政府采购管理交易系统（苏采云）供应商操作手册》。</w:t>
      </w:r>
    </w:p>
    <w:p w14:paraId="29990617">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2.投标文件的修改</w:t>
      </w:r>
    </w:p>
    <w:p w14:paraId="361E1499">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投标人可在投标截止时间前，对其电子投标文件进行修改，具体操作方法见《江苏省政府采购管理交易系统（苏采云）供应商操作手册》。</w:t>
      </w:r>
    </w:p>
    <w:p w14:paraId="2C57241F">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3.在投标截止时间之后，投标人不得对其电子投标文件作任何修改。</w:t>
      </w:r>
    </w:p>
    <w:p w14:paraId="77278141">
      <w:pPr>
        <w:tabs>
          <w:tab w:val="left" w:pos="945"/>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（十）无效投标文件的确认</w:t>
      </w:r>
    </w:p>
    <w:p w14:paraId="684F9963">
      <w:pPr>
        <w:tabs>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投标人有下列情况之一者，投标文件无效：</w:t>
      </w:r>
    </w:p>
    <w:p w14:paraId="504032C9">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1.投标人未在规定时间内成功解密电子投标文件的；</w:t>
      </w:r>
    </w:p>
    <w:p w14:paraId="1244718B">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2.投标人未按照招标文件要求上传电子投标文件的；</w:t>
      </w:r>
    </w:p>
    <w:p w14:paraId="3CBA75EC">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3.投标文件未按照招标文件要求加盖电子签章；</w:t>
      </w:r>
    </w:p>
    <w:p w14:paraId="05F3CA45">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4.采购人的法定代表人授权代表，无法定代表人授权委托书的；</w:t>
      </w:r>
    </w:p>
    <w:p w14:paraId="6C511E92">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5.不具备招标文件中规定的资格要求或未按招标文件规定的要求提供资格、资信证明文件的；</w:t>
      </w:r>
    </w:p>
    <w:p w14:paraId="6E8C1D8E">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6.被“信用中国”网站（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Style w:val="27"/>
          <w:rFonts w:hint="eastAsia" w:ascii="宋体" w:hAnsi="宋体" w:eastAsia="宋体" w:cs="宋体"/>
          <w:color w:val="auto"/>
          <w:sz w:val="24"/>
          <w:highlight w:val="none"/>
        </w:rPr>
        <w:t>www.creditchina.gov.cn</w:t>
      </w:r>
      <w:r>
        <w:rPr>
          <w:rStyle w:val="27"/>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）列入失信被执行人、重大税收违法</w:t>
      </w:r>
      <w:r>
        <w:rPr>
          <w:rFonts w:hint="eastAsia" w:ascii="宋体" w:hAnsi="宋体" w:eastAsia="宋体" w:cs="宋体"/>
          <w:color w:val="auto"/>
          <w:sz w:val="24"/>
          <w:highlight w:val="none"/>
          <w:lang w:val="en-US" w:eastAsia="zh-CN"/>
        </w:rPr>
        <w:t>失信主体</w:t>
      </w:r>
      <w:r>
        <w:rPr>
          <w:rFonts w:hint="eastAsia" w:ascii="宋体" w:hAnsi="宋体" w:eastAsia="宋体" w:cs="宋体"/>
          <w:color w:val="auto"/>
          <w:sz w:val="24"/>
          <w:highlight w:val="none"/>
        </w:rPr>
        <w:t>、政府采购严重违法失信行为记录名单的</w:t>
      </w:r>
      <w:r>
        <w:rPr>
          <w:rFonts w:hint="eastAsia" w:ascii="宋体" w:hAnsi="宋体" w:eastAsia="宋体" w:cs="宋体"/>
          <w:bCs/>
          <w:color w:val="auto"/>
          <w:sz w:val="24"/>
          <w:highlight w:val="none"/>
        </w:rPr>
        <w:t>；</w:t>
      </w:r>
    </w:p>
    <w:p w14:paraId="319308D7">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7.投标文件未按招标文件规定的内容和要求填写的；</w:t>
      </w:r>
    </w:p>
    <w:p w14:paraId="427520E2">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8.投标文件中有招标文件未允许提供的选择性内容；</w:t>
      </w:r>
    </w:p>
    <w:p w14:paraId="598D55CA">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9.不同投标人的投标文件由同一单位或者个人编制的；</w:t>
      </w:r>
    </w:p>
    <w:p w14:paraId="07D98A0E">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10.不同投标人委托同一单位或者个人办理投标事宜的；</w:t>
      </w:r>
    </w:p>
    <w:p w14:paraId="3C863FAF">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11.不同投标人的投标文件载明的项目管理成员为同一人的；</w:t>
      </w:r>
    </w:p>
    <w:p w14:paraId="0119FC85">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12.不同投标人的投标文件异常一致或者投标报价呈规律性差异的；</w:t>
      </w:r>
    </w:p>
    <w:p w14:paraId="4121847F">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13.不同投标人的单位负责人为同一人或者存在直接控股、管理关系的；</w:t>
      </w:r>
    </w:p>
    <w:p w14:paraId="118A4A63">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14.项目（标段）投标总价超过本项目（标段）预算或最高限价的；</w:t>
      </w:r>
    </w:p>
    <w:p w14:paraId="7153DB72">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15.提供虚假材料的（包括工商营业执照、财务报表、资格证明文件等）；</w:t>
      </w:r>
    </w:p>
    <w:p w14:paraId="0A7C0AFD">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16.投标文件含有采购人不能接受的附加条件的；</w:t>
      </w:r>
    </w:p>
    <w:p w14:paraId="635BA612">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17.根据《关于推动解决政府采购异常低价问题的通知》（财库〔2026〕2号）文件要求，评标委员会对于报价异常低价情况启动审查程序后，</w:t>
      </w:r>
      <w:r>
        <w:rPr>
          <w:rFonts w:hint="eastAsia" w:ascii="宋体" w:hAnsi="宋体" w:cs="宋体"/>
          <w:bCs/>
          <w:color w:val="auto"/>
          <w:sz w:val="24"/>
          <w:highlight w:val="none"/>
          <w:lang w:val="en-US" w:eastAsia="zh-CN"/>
        </w:rPr>
        <w:t>投标</w:t>
      </w:r>
      <w:r>
        <w:rPr>
          <w:rFonts w:hint="eastAsia" w:ascii="宋体" w:hAnsi="宋体" w:eastAsia="宋体" w:cs="宋体"/>
          <w:bCs/>
          <w:color w:val="auto"/>
          <w:sz w:val="24"/>
          <w:highlight w:val="none"/>
        </w:rPr>
        <w:t>人不能提供书面说明、证明材料，或者提供的书面说明、证明材料不能证明其报价合理性的；</w:t>
      </w:r>
    </w:p>
    <w:p w14:paraId="5B2686A7">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18.除单一来源采购项目外，为采购项目提供整体设计、规范编制或者项目管理、监理、检测等服务的；</w:t>
      </w:r>
    </w:p>
    <w:p w14:paraId="01B6BE25">
      <w:pPr>
        <w:tabs>
          <w:tab w:val="left" w:pos="525"/>
          <w:tab w:val="left" w:pos="945"/>
        </w:tabs>
        <w:spacing w:line="520" w:lineRule="exact"/>
        <w:ind w:firstLine="48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19.投标文件内容不全或不符合招标文件中规定的其它实质性要求的</w:t>
      </w:r>
      <w:r>
        <w:rPr>
          <w:rFonts w:hint="eastAsia" w:ascii="宋体" w:hAnsi="宋体" w:cs="宋体"/>
          <w:bCs/>
          <w:color w:val="auto"/>
          <w:sz w:val="24"/>
          <w:highlight w:val="none"/>
          <w:lang w:eastAsia="zh-CN"/>
        </w:rPr>
        <w:t>；</w:t>
      </w:r>
    </w:p>
    <w:p w14:paraId="75EC1DA9">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20.法律法规和招标文件规定的其它无效情形。</w:t>
      </w:r>
    </w:p>
    <w:p w14:paraId="3E80F5AD">
      <w:pPr>
        <w:tabs>
          <w:tab w:val="left" w:pos="945"/>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（十一）开标、评标</w:t>
      </w:r>
    </w:p>
    <w:p w14:paraId="58F32CF0">
      <w:pPr>
        <w:tabs>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1.招标代理机构将在招标公告中规定的时间和地点组织公开开标。投标人应当按照</w:t>
      </w:r>
      <w:r>
        <w:rPr>
          <w:rFonts w:hint="eastAsia" w:ascii="宋体" w:hAnsi="宋体" w:eastAsia="宋体" w:cs="宋体"/>
          <w:bCs/>
          <w:color w:val="auto"/>
          <w:sz w:val="24"/>
          <w:highlight w:val="none"/>
        </w:rPr>
        <w:t>《江苏省政府采购管理交易系统（苏采云）供应商操作手册》</w:t>
      </w:r>
      <w:r>
        <w:rPr>
          <w:rFonts w:hint="eastAsia" w:ascii="宋体" w:hAnsi="宋体" w:eastAsia="宋体" w:cs="宋体"/>
          <w:bCs/>
          <w:color w:val="auto"/>
          <w:sz w:val="24"/>
          <w:szCs w:val="24"/>
          <w:highlight w:val="none"/>
        </w:rPr>
        <w:t>规定，参加开标活动。</w:t>
      </w:r>
    </w:p>
    <w:p w14:paraId="2123E8A2">
      <w:pPr>
        <w:tabs>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2.开标仪式由招标代理机构组织。“苏采云”系统将自动对项目进行开标，并宣读各投标人的《开标一览表》。</w:t>
      </w:r>
    </w:p>
    <w:p w14:paraId="18FD60A9">
      <w:pPr>
        <w:tabs>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3.投标人在开标过程中涉及到的投标文件解密、开标结果确认等工作，应按照</w:t>
      </w:r>
      <w:r>
        <w:rPr>
          <w:rFonts w:hint="eastAsia" w:ascii="宋体" w:hAnsi="宋体" w:eastAsia="宋体" w:cs="宋体"/>
          <w:bCs/>
          <w:color w:val="auto"/>
          <w:sz w:val="24"/>
          <w:highlight w:val="none"/>
        </w:rPr>
        <w:t>《江苏省政府采购管理交易系统（苏采云）供应商操作手册》</w:t>
      </w:r>
      <w:r>
        <w:rPr>
          <w:rFonts w:hint="eastAsia" w:ascii="宋体" w:hAnsi="宋体" w:eastAsia="宋体" w:cs="宋体"/>
          <w:bCs/>
          <w:color w:val="auto"/>
          <w:sz w:val="24"/>
          <w:szCs w:val="24"/>
          <w:highlight w:val="none"/>
        </w:rPr>
        <w:t>规定执行。</w:t>
      </w:r>
    </w:p>
    <w:p w14:paraId="5C20247C">
      <w:pPr>
        <w:tabs>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4.投标人如果对开标过程和开标记录有疑义，应当根据</w:t>
      </w:r>
      <w:r>
        <w:rPr>
          <w:rFonts w:hint="eastAsia" w:ascii="宋体" w:hAnsi="宋体" w:eastAsia="宋体" w:cs="宋体"/>
          <w:bCs/>
          <w:color w:val="auto"/>
          <w:sz w:val="24"/>
          <w:highlight w:val="none"/>
        </w:rPr>
        <w:t>《江苏省政府采购管理交易系统（苏采云）供应商操作手册》</w:t>
      </w:r>
      <w:r>
        <w:rPr>
          <w:rFonts w:hint="eastAsia" w:ascii="宋体" w:hAnsi="宋体" w:eastAsia="宋体" w:cs="宋体"/>
          <w:bCs/>
          <w:color w:val="auto"/>
          <w:sz w:val="24"/>
          <w:szCs w:val="24"/>
          <w:highlight w:val="none"/>
        </w:rPr>
        <w:t>规定提出，如 “苏采云系统”中《开标一览表》宣布后5分钟内未提出的，视同认可开标结果。</w:t>
      </w:r>
    </w:p>
    <w:p w14:paraId="1D9F6C4B">
      <w:pPr>
        <w:tabs>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5.开标时， 投标文件中开标一览表内容与投标文件中明细表内容不一致的，以开标一览表为准。</w:t>
      </w:r>
    </w:p>
    <w:p w14:paraId="0EB1C6E0">
      <w:pPr>
        <w:tabs>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629E749E">
      <w:pPr>
        <w:tabs>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6.投标人未参加开标的，视同认可开标结果。</w:t>
      </w:r>
    </w:p>
    <w:p w14:paraId="5B32EAF7">
      <w:pPr>
        <w:tabs>
          <w:tab w:val="left" w:pos="945"/>
        </w:tabs>
        <w:spacing w:line="520" w:lineRule="exact"/>
        <w:ind w:firstLine="48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7.评标程序</w:t>
      </w:r>
    </w:p>
    <w:p w14:paraId="2A962B6E">
      <w:pPr>
        <w:tabs>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评标工作由招标代理机构负责组织，具体评标事务由依法组建的评标委员会负责。</w:t>
      </w:r>
    </w:p>
    <w:p w14:paraId="160D6603">
      <w:pPr>
        <w:tabs>
          <w:tab w:val="left" w:pos="630"/>
          <w:tab w:val="left" w:pos="945"/>
          <w:tab w:val="left" w:pos="115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（1）投标文件初审。初审分为资格性检查和符合性检查。</w:t>
      </w:r>
    </w:p>
    <w:p w14:paraId="39BAF137">
      <w:pPr>
        <w:tabs>
          <w:tab w:val="left" w:pos="525"/>
          <w:tab w:val="left" w:pos="630"/>
          <w:tab w:val="left" w:pos="945"/>
          <w:tab w:val="left" w:pos="136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①资格性检查。依据法律法规和招标文件的规定，对投标文件中的资格证明等进行审查；通过“信用中国”网站（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Style w:val="27"/>
          <w:rFonts w:hint="eastAsia" w:ascii="宋体" w:hAnsi="宋体" w:eastAsia="宋体" w:cs="宋体"/>
          <w:bCs/>
          <w:color w:val="auto"/>
          <w:sz w:val="24"/>
          <w:szCs w:val="24"/>
          <w:highlight w:val="none"/>
        </w:rPr>
        <w:t>www.creditchina.gov.cn</w:t>
      </w:r>
      <w:r>
        <w:rPr>
          <w:rStyle w:val="27"/>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）查询</w:t>
      </w: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szCs w:val="24"/>
          <w:highlight w:val="none"/>
        </w:rPr>
        <w:t>在投标截止时间之前，是否被列入</w:t>
      </w:r>
      <w:r>
        <w:rPr>
          <w:rFonts w:hint="eastAsia" w:ascii="宋体" w:hAnsi="宋体" w:eastAsia="宋体" w:cs="宋体"/>
          <w:color w:val="auto"/>
          <w:sz w:val="24"/>
          <w:szCs w:val="24"/>
          <w:highlight w:val="none"/>
        </w:rPr>
        <w:t>失信被执行人、政府采购严重违法失信行为记录名单、重大税收违法失信主体，</w:t>
      </w:r>
      <w:r>
        <w:rPr>
          <w:rFonts w:hint="eastAsia" w:ascii="宋体" w:hAnsi="宋体" w:eastAsia="宋体" w:cs="宋体"/>
          <w:bCs/>
          <w:color w:val="auto"/>
          <w:sz w:val="24"/>
          <w:szCs w:val="24"/>
          <w:highlight w:val="none"/>
        </w:rPr>
        <w:t>以确定</w:t>
      </w: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szCs w:val="24"/>
          <w:highlight w:val="none"/>
        </w:rPr>
        <w:t>是否具备投标资格。信用</w:t>
      </w:r>
      <w:r>
        <w:rPr>
          <w:rFonts w:hint="eastAsia" w:ascii="宋体" w:hAnsi="宋体" w:eastAsia="宋体" w:cs="宋体"/>
          <w:color w:val="auto"/>
          <w:sz w:val="24"/>
          <w:szCs w:val="24"/>
          <w:highlight w:val="none"/>
        </w:rPr>
        <w:t>查询结果以网页打印的形式留存并归档。</w:t>
      </w:r>
    </w:p>
    <w:p w14:paraId="2EF3412E">
      <w:pPr>
        <w:tabs>
          <w:tab w:val="left" w:pos="525"/>
          <w:tab w:val="left" w:pos="630"/>
          <w:tab w:val="left" w:pos="945"/>
          <w:tab w:val="left" w:pos="136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②符合性检查。依据招标文件的规定，从投标文件的有效性、完整性和对招标文件的响应程度进行审查，以确定是否对招标文件的实质性要求作出响应。</w:t>
      </w:r>
    </w:p>
    <w:p w14:paraId="30A1F160">
      <w:pPr>
        <w:tabs>
          <w:tab w:val="left" w:pos="525"/>
          <w:tab w:val="left" w:pos="945"/>
          <w:tab w:val="left" w:pos="115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（2）澄清有关问题。对投标文件中含义不明确、同类问题表述不一致或者有明显文字和计算错误的内容，</w:t>
      </w:r>
      <w:r>
        <w:rPr>
          <w:rFonts w:hint="eastAsia" w:ascii="宋体" w:hAnsi="宋体" w:eastAsia="宋体" w:cs="宋体"/>
          <w:color w:val="auto"/>
          <w:sz w:val="24"/>
          <w:szCs w:val="24"/>
          <w:highlight w:val="none"/>
        </w:rPr>
        <w:t>评委会有权以电子函件形式要求投标人对其投标文件</w:t>
      </w:r>
      <w:r>
        <w:rPr>
          <w:rFonts w:hint="eastAsia" w:ascii="宋体" w:hAnsi="宋体" w:eastAsia="宋体" w:cs="宋体"/>
          <w:bCs/>
          <w:color w:val="auto"/>
          <w:sz w:val="24"/>
          <w:szCs w:val="24"/>
          <w:highlight w:val="none"/>
        </w:rPr>
        <w:t>作出必要的澄清、说明或者纠正</w:t>
      </w:r>
      <w:r>
        <w:rPr>
          <w:rFonts w:hint="eastAsia" w:ascii="宋体" w:hAnsi="宋体" w:eastAsia="宋体" w:cs="宋体"/>
          <w:color w:val="auto"/>
          <w:sz w:val="24"/>
          <w:szCs w:val="24"/>
          <w:highlight w:val="none"/>
        </w:rPr>
        <w:t>，但并非对每个投标人都作澄清要求。接到评委会澄清要求的投标人应派人按评委会规定的时间和格式在“</w:t>
      </w:r>
      <w:r>
        <w:rPr>
          <w:rFonts w:hint="eastAsia" w:ascii="宋体" w:hAnsi="宋体" w:eastAsia="宋体" w:cs="宋体"/>
          <w:color w:val="auto"/>
          <w:sz w:val="24"/>
          <w:szCs w:val="24"/>
          <w:highlight w:val="none"/>
          <w:lang w:val="en-US" w:eastAsia="zh-CN"/>
        </w:rPr>
        <w:t>苏采云</w:t>
      </w:r>
      <w:r>
        <w:rPr>
          <w:rFonts w:hint="eastAsia" w:ascii="宋体" w:hAnsi="宋体" w:eastAsia="宋体" w:cs="宋体"/>
          <w:color w:val="auto"/>
          <w:sz w:val="24"/>
          <w:szCs w:val="24"/>
          <w:highlight w:val="none"/>
        </w:rPr>
        <w:t>系统”中做出澄清，由其授权的代表签字，澄清的内容作为投标文件的补充部分，但投标的价格和实质性的内容不得做任何更改。具体操作方式见</w:t>
      </w:r>
      <w:r>
        <w:rPr>
          <w:rFonts w:hint="eastAsia" w:ascii="宋体" w:hAnsi="宋体" w:eastAsia="宋体" w:cs="宋体"/>
          <w:bCs/>
          <w:color w:val="auto"/>
          <w:sz w:val="24"/>
          <w:highlight w:val="none"/>
        </w:rPr>
        <w:t>《江苏省政府采购管理交易系统（苏采云）供应商操作手册》</w:t>
      </w:r>
      <w:r>
        <w:rPr>
          <w:rFonts w:hint="eastAsia" w:ascii="宋体" w:hAnsi="宋体" w:eastAsia="宋体" w:cs="宋体"/>
          <w:color w:val="auto"/>
          <w:sz w:val="24"/>
          <w:szCs w:val="24"/>
          <w:highlight w:val="none"/>
        </w:rPr>
        <w:t>。接到评委会澄清要求的投标人如未按规定</w:t>
      </w:r>
      <w:r>
        <w:rPr>
          <w:rFonts w:hint="eastAsia" w:ascii="宋体" w:hAnsi="宋体" w:cs="宋体"/>
          <w:color w:val="auto"/>
          <w:sz w:val="24"/>
          <w:szCs w:val="24"/>
          <w:highlight w:val="none"/>
          <w:lang w:val="en-US" w:eastAsia="zh-CN"/>
        </w:rPr>
        <w:t>作</w:t>
      </w:r>
      <w:r>
        <w:rPr>
          <w:rFonts w:hint="eastAsia" w:ascii="宋体" w:hAnsi="宋体" w:eastAsia="宋体" w:cs="宋体"/>
          <w:color w:val="auto"/>
          <w:sz w:val="24"/>
          <w:szCs w:val="24"/>
          <w:highlight w:val="none"/>
        </w:rPr>
        <w:t>出澄清，其风险由投标人自行承担。</w:t>
      </w:r>
    </w:p>
    <w:p w14:paraId="27688ACB">
      <w:pPr>
        <w:tabs>
          <w:tab w:val="left" w:pos="945"/>
          <w:tab w:val="left" w:pos="1155"/>
          <w:tab w:val="left" w:pos="136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（3）比较与评价。按招标文件中规定的评标方法和标准，对资格性检查和符合性检查合格的投标文件进行商务和技术评估，综合比较与评价。</w:t>
      </w:r>
    </w:p>
    <w:p w14:paraId="27DA08E0">
      <w:pPr>
        <w:tabs>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8.评标方法</w:t>
      </w:r>
    </w:p>
    <w:p w14:paraId="36D5DB45">
      <w:pPr>
        <w:tabs>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投标人通过初审的，方可进入比较与评价程序。</w:t>
      </w:r>
    </w:p>
    <w:p w14:paraId="036FEAE1">
      <w:pPr>
        <w:tabs>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比较与评价采用</w:t>
      </w:r>
      <w:r>
        <w:rPr>
          <w:rFonts w:hint="eastAsia" w:ascii="宋体" w:hAnsi="宋体" w:eastAsia="宋体" w:cs="宋体"/>
          <w:b/>
          <w:color w:val="auto"/>
          <w:sz w:val="24"/>
          <w:szCs w:val="24"/>
          <w:highlight w:val="none"/>
        </w:rPr>
        <w:t>综合评分法</w:t>
      </w:r>
      <w:r>
        <w:rPr>
          <w:rFonts w:hint="eastAsia" w:ascii="宋体" w:hAnsi="宋体" w:eastAsia="宋体" w:cs="宋体"/>
          <w:bCs/>
          <w:color w:val="auto"/>
          <w:sz w:val="24"/>
          <w:szCs w:val="24"/>
          <w:highlight w:val="none"/>
        </w:rPr>
        <w:t xml:space="preserve">。 </w:t>
      </w:r>
    </w:p>
    <w:p w14:paraId="79423E92">
      <w:pPr>
        <w:tabs>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遵循公平、公正、择优原则，独立按照评分标准分别评定投标人的分值；得分相同的，按投标报价由低到高顺序排列。投标文件满足招标文件全部实质性要求，且按照评审因素的量化指标评审得分最高的投标人排名第一，为</w:t>
      </w:r>
      <w:r>
        <w:rPr>
          <w:rFonts w:hint="eastAsia" w:ascii="宋体" w:hAnsi="宋体" w:eastAsia="宋体" w:cs="宋体"/>
          <w:bCs/>
          <w:color w:val="auto"/>
          <w:sz w:val="24"/>
          <w:szCs w:val="24"/>
          <w:highlight w:val="none"/>
          <w:lang w:eastAsia="zh-CN"/>
        </w:rPr>
        <w:t>中标人</w:t>
      </w:r>
      <w:r>
        <w:rPr>
          <w:rFonts w:hint="eastAsia" w:ascii="宋体" w:hAnsi="宋体" w:eastAsia="宋体" w:cs="宋体"/>
          <w:bCs/>
          <w:color w:val="auto"/>
          <w:sz w:val="24"/>
          <w:szCs w:val="24"/>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05C846B">
      <w:pPr>
        <w:tabs>
          <w:tab w:val="left" w:pos="945"/>
        </w:tabs>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9.评分标准</w:t>
      </w:r>
      <w:r>
        <w:rPr>
          <w:rFonts w:hint="eastAsia" w:ascii="宋体" w:hAnsi="宋体" w:cs="宋体"/>
          <w:bCs/>
          <w:color w:val="auto"/>
          <w:sz w:val="24"/>
          <w:szCs w:val="24"/>
          <w:highlight w:val="none"/>
          <w:lang w:val="en-US" w:eastAsia="zh-CN"/>
        </w:rPr>
        <w:t>详见</w:t>
      </w:r>
      <w:r>
        <w:rPr>
          <w:rFonts w:hint="eastAsia" w:ascii="宋体" w:hAnsi="宋体" w:eastAsia="宋体" w:cs="宋体"/>
          <w:bCs/>
          <w:color w:val="auto"/>
          <w:sz w:val="24"/>
          <w:szCs w:val="24"/>
          <w:highlight w:val="none"/>
        </w:rPr>
        <w:t>评分细则。</w:t>
      </w:r>
    </w:p>
    <w:p w14:paraId="136A5C70">
      <w:pPr>
        <w:tabs>
          <w:tab w:val="left" w:pos="945"/>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（十二）定标</w:t>
      </w:r>
    </w:p>
    <w:p w14:paraId="224582C3">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1.评标委员会根据招标文件规定的评标方法和评标标准进行评审，按招标文件的要求依法确定中标人。</w:t>
      </w:r>
      <w:r>
        <w:rPr>
          <w:rFonts w:hint="eastAsia" w:ascii="宋体" w:hAnsi="宋体" w:eastAsia="宋体" w:cs="宋体"/>
          <w:color w:val="auto"/>
          <w:sz w:val="24"/>
          <w:szCs w:val="24"/>
          <w:highlight w:val="none"/>
        </w:rPr>
        <w:t>江苏建泰工程项目管理有限公司</w:t>
      </w:r>
      <w:r>
        <w:rPr>
          <w:rFonts w:hint="eastAsia" w:ascii="宋体" w:hAnsi="宋体" w:eastAsia="宋体" w:cs="宋体"/>
          <w:bCs/>
          <w:color w:val="auto"/>
          <w:sz w:val="24"/>
          <w:highlight w:val="none"/>
        </w:rPr>
        <w:t>将在</w:t>
      </w:r>
      <w:r>
        <w:rPr>
          <w:rFonts w:hint="eastAsia" w:ascii="宋体" w:hAnsi="宋体" w:cs="宋体"/>
          <w:bCs/>
          <w:color w:val="auto"/>
          <w:sz w:val="24"/>
          <w:highlight w:val="none"/>
          <w:lang w:val="en-US" w:eastAsia="zh-CN"/>
        </w:rPr>
        <w:t>江苏政府采购网、</w:t>
      </w:r>
      <w:r>
        <w:rPr>
          <w:rFonts w:hint="eastAsia" w:ascii="宋体" w:hAnsi="宋体" w:eastAsia="宋体" w:cs="宋体"/>
          <w:bCs/>
          <w:color w:val="auto"/>
          <w:sz w:val="24"/>
          <w:highlight w:val="none"/>
        </w:rPr>
        <w:t>泰州市政府采购网发布中标公告。</w:t>
      </w:r>
      <w:r>
        <w:rPr>
          <w:rFonts w:hint="eastAsia" w:ascii="宋体" w:hAnsi="宋体" w:eastAsia="宋体" w:cs="宋体"/>
          <w:color w:val="auto"/>
          <w:sz w:val="24"/>
          <w:szCs w:val="24"/>
          <w:highlight w:val="none"/>
        </w:rPr>
        <w:t>江苏建泰工程项目管理有限公司</w:t>
      </w:r>
      <w:r>
        <w:rPr>
          <w:rFonts w:hint="eastAsia" w:ascii="宋体" w:hAnsi="宋体" w:eastAsia="宋体" w:cs="宋体"/>
          <w:bCs/>
          <w:color w:val="auto"/>
          <w:sz w:val="24"/>
          <w:highlight w:val="none"/>
        </w:rPr>
        <w:t>和评标委员会对未中标原因不作解释。如有质疑，应在法定质疑期限内，即中标公告期限届满之日起7个工作日内，以书面形式（原件）送达</w:t>
      </w:r>
      <w:r>
        <w:rPr>
          <w:rFonts w:hint="eastAsia" w:ascii="宋体" w:hAnsi="宋体" w:eastAsia="宋体" w:cs="宋体"/>
          <w:color w:val="auto"/>
          <w:sz w:val="24"/>
          <w:szCs w:val="24"/>
          <w:highlight w:val="none"/>
        </w:rPr>
        <w:t>江苏建泰工程项目管理有限公司</w:t>
      </w:r>
      <w:r>
        <w:rPr>
          <w:rFonts w:hint="eastAsia" w:ascii="宋体" w:hAnsi="宋体" w:eastAsia="宋体" w:cs="宋体"/>
          <w:bCs/>
          <w:color w:val="auto"/>
          <w:sz w:val="24"/>
          <w:highlight w:val="none"/>
        </w:rPr>
        <w:t>，并且针对同一采购程序环节的质疑，须在法定质疑期内一次性提出。质疑函的质疑事项应具体、明确，并有必要的事实依据和法律依据（格式详见中国政府采购网《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Style w:val="27"/>
          <w:rFonts w:hint="eastAsia" w:ascii="宋体" w:hAnsi="宋体" w:eastAsia="宋体" w:cs="宋体"/>
          <w:bCs/>
          <w:color w:val="auto"/>
          <w:sz w:val="24"/>
          <w:highlight w:val="none"/>
        </w:rPr>
        <w:t>政府采购供应商质疑函范本</w:t>
      </w:r>
      <w:r>
        <w:rPr>
          <w:rStyle w:val="27"/>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w:t>
      </w:r>
      <w:r>
        <w:rPr>
          <w:rFonts w:hint="eastAsia" w:ascii="宋体" w:hAnsi="宋体" w:eastAsia="宋体" w:cs="宋体"/>
          <w:color w:val="auto"/>
          <w:sz w:val="24"/>
          <w:szCs w:val="24"/>
          <w:highlight w:val="none"/>
        </w:rPr>
        <w:t>江苏建泰工程项目管理有限公司</w:t>
      </w:r>
      <w:r>
        <w:rPr>
          <w:rFonts w:hint="eastAsia" w:ascii="宋体" w:hAnsi="宋体" w:eastAsia="宋体" w:cs="宋体"/>
          <w:bCs/>
          <w:color w:val="auto"/>
          <w:sz w:val="24"/>
          <w:highlight w:val="non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宋体"/>
          <w:color w:val="auto"/>
          <w:sz w:val="24"/>
          <w:szCs w:val="24"/>
          <w:highlight w:val="none"/>
        </w:rPr>
        <w:t>江苏建泰工程项目管理有限公司</w:t>
      </w:r>
      <w:r>
        <w:rPr>
          <w:rFonts w:hint="eastAsia" w:ascii="宋体" w:hAnsi="宋体" w:eastAsia="宋体" w:cs="宋体"/>
          <w:bCs/>
          <w:color w:val="auto"/>
          <w:sz w:val="24"/>
          <w:highlight w:val="none"/>
        </w:rPr>
        <w:t>对无效质疑不予受理。如质疑查无实据或投标人捏造事实，提供虚假材料进行恶意举报，不配合或采用不正当手段干扰政府采购质疑的，代理机构有权依据政府采购的有关规定，报请政府采购监管部门对该</w:t>
      </w: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highlight w:val="none"/>
        </w:rPr>
        <w:t>进行相应的行政处罚和记录该</w:t>
      </w: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highlight w:val="none"/>
        </w:rPr>
        <w:t>的失信信息。</w:t>
      </w:r>
    </w:p>
    <w:p w14:paraId="4FE7EEB7">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2.招标代理机构向中标人发中标通知书。</w:t>
      </w:r>
    </w:p>
    <w:p w14:paraId="3E4A7048">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 招标代理机构将以书面的形式向中标人发出中标通知书。</w:t>
      </w:r>
    </w:p>
    <w:p w14:paraId="5AC569AA">
      <w:pPr>
        <w:tabs>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2.2中标通知书将是合同的一个组成部分。对采购人和中标人均具有法律效力。中标通知书发出后，采购人改变中标结果的，或者中标人放弃中标项目的，应当依法承担法律责任。</w:t>
      </w:r>
    </w:p>
    <w:p w14:paraId="2898E0D0">
      <w:pPr>
        <w:tabs>
          <w:tab w:val="left" w:pos="945"/>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（十三）废标的确认</w:t>
      </w:r>
    </w:p>
    <w:p w14:paraId="2FC6F8A6">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在招标采购中，出现下列情况之一的，应予废标：</w:t>
      </w:r>
    </w:p>
    <w:p w14:paraId="407B7AA4">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1.如符合专业条件的投标人或者对招标文件作出实质性响应的投标人不足三家，该项目废标；</w:t>
      </w:r>
    </w:p>
    <w:p w14:paraId="378A97F7">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2.出现影响采购公正的违法、违规行为；</w:t>
      </w:r>
    </w:p>
    <w:p w14:paraId="21488378">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3.投标人的报价均超过采购预算，采购人不能支付的；</w:t>
      </w:r>
    </w:p>
    <w:p w14:paraId="515CB689">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4.因重大变故，采购任务取消。</w:t>
      </w:r>
    </w:p>
    <w:p w14:paraId="7ED1E037">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5.因“苏采云系统”系统重大故障原因无法继续开评标的。</w:t>
      </w:r>
    </w:p>
    <w:p w14:paraId="6504F411">
      <w:pPr>
        <w:tabs>
          <w:tab w:val="left" w:pos="945"/>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（十四）中标无效的确认</w:t>
      </w:r>
    </w:p>
    <w:p w14:paraId="7FC6D209">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1.提供虚假材料谋取中标的；</w:t>
      </w:r>
    </w:p>
    <w:p w14:paraId="088694C4">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2.采取不正当手段诋毁、排挤其他投标人的；</w:t>
      </w:r>
    </w:p>
    <w:p w14:paraId="2E6490D3">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3.与招标采购单位、其他投标人恶意串通的；</w:t>
      </w:r>
    </w:p>
    <w:p w14:paraId="2440BCCA">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4.向招标采购单位行贿或者提供其他不正当利益的；</w:t>
      </w:r>
    </w:p>
    <w:p w14:paraId="2543EBA8">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5.在招标过程中与招标采购单位进行协商谈判、不按照招标文件和中标人的投标文件订立合同，或者与采购人另行订立背离合同实质性内容的协议的；</w:t>
      </w:r>
    </w:p>
    <w:p w14:paraId="15F41F9F">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6.拒绝有关部门监督检查或者提供虚假情况的。</w:t>
      </w:r>
    </w:p>
    <w:p w14:paraId="72FF556D">
      <w:pPr>
        <w:tabs>
          <w:tab w:val="left" w:pos="525"/>
          <w:tab w:val="left" w:pos="945"/>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B58452A">
      <w:pPr>
        <w:tabs>
          <w:tab w:val="left" w:pos="945"/>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（十五）签订、履行合同</w:t>
      </w:r>
    </w:p>
    <w:p w14:paraId="0C8CF14A">
      <w:pPr>
        <w:tabs>
          <w:tab w:val="left" w:pos="525"/>
          <w:tab w:val="left" w:pos="945"/>
          <w:tab w:val="left" w:pos="1050"/>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 </w:t>
      </w:r>
    </w:p>
    <w:p w14:paraId="3D6BCA16">
      <w:pPr>
        <w:tabs>
          <w:tab w:val="left" w:pos="525"/>
          <w:tab w:val="left" w:pos="945"/>
          <w:tab w:val="left" w:pos="1050"/>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采购人应当自政府采购合同签订之日起2个工作日内，将政府采购合同在省级以上人民政府财政部门指定的媒体上公告，但政府采购合同中涉及国家秘密、商业秘密的内容除外。</w:t>
      </w:r>
    </w:p>
    <w:p w14:paraId="204A0A21">
      <w:pPr>
        <w:tabs>
          <w:tab w:val="left" w:pos="525"/>
          <w:tab w:val="left" w:pos="945"/>
          <w:tab w:val="left" w:pos="1050"/>
        </w:tabs>
        <w:spacing w:line="52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2.中标人非因不可抗力未履行招、投标文件和合同规定的义务，一经查实，将根据具体情况提请政府采购管理部门作出相应处理。</w:t>
      </w:r>
    </w:p>
    <w:p w14:paraId="7CCF36F6">
      <w:pPr>
        <w:tabs>
          <w:tab w:val="left" w:pos="945"/>
        </w:tabs>
        <w:spacing w:line="520" w:lineRule="exact"/>
        <w:ind w:firstLine="482"/>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（十六）</w:t>
      </w:r>
      <w:r>
        <w:rPr>
          <w:rFonts w:hint="eastAsia" w:ascii="宋体" w:hAnsi="宋体" w:cs="宋体"/>
          <w:b/>
          <w:color w:val="auto"/>
          <w:sz w:val="24"/>
          <w:szCs w:val="24"/>
          <w:highlight w:val="none"/>
          <w:lang w:val="en-US" w:eastAsia="zh-CN"/>
        </w:rPr>
        <w:t>相关费用</w:t>
      </w:r>
    </w:p>
    <w:p w14:paraId="57557472">
      <w:pPr>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bidi="ar"/>
        </w:rPr>
        <w:t>1.招标代理费：</w:t>
      </w:r>
      <w:r>
        <w:rPr>
          <w:rFonts w:hint="eastAsia" w:ascii="宋体" w:hAnsi="宋体" w:eastAsia="宋体"/>
          <w:sz w:val="24"/>
          <w:szCs w:val="24"/>
          <w:highlight w:val="none"/>
        </w:rPr>
        <w:t>按照苏招协</w:t>
      </w:r>
      <w:r>
        <w:rPr>
          <w:rFonts w:hint="eastAsia" w:ascii="宋体" w:hAnsi="宋体" w:eastAsia="宋体"/>
          <w:sz w:val="24"/>
          <w:szCs w:val="24"/>
          <w:highlight w:val="none"/>
          <w:lang w:eastAsia="zh-CN"/>
        </w:rPr>
        <w:t>〔2022〕2号</w:t>
      </w:r>
      <w:r>
        <w:rPr>
          <w:rFonts w:hint="eastAsia" w:ascii="宋体" w:hAnsi="宋体" w:eastAsia="宋体"/>
          <w:sz w:val="24"/>
          <w:szCs w:val="24"/>
          <w:highlight w:val="none"/>
        </w:rPr>
        <w:t>文件的24.56%</w:t>
      </w:r>
      <w:r>
        <w:rPr>
          <w:rFonts w:hint="eastAsia" w:ascii="宋体" w:hAnsi="宋体"/>
          <w:sz w:val="24"/>
          <w:szCs w:val="24"/>
          <w:highlight w:val="none"/>
          <w:lang w:val="en-US" w:eastAsia="zh-CN"/>
        </w:rPr>
        <w:t>计取，由采购人支付</w:t>
      </w:r>
      <w:r>
        <w:rPr>
          <w:rFonts w:hint="eastAsia" w:ascii="宋体" w:hAnsi="宋体" w:eastAsia="宋体" w:cs="宋体"/>
          <w:color w:val="auto"/>
          <w:sz w:val="24"/>
          <w:szCs w:val="24"/>
          <w:highlight w:val="none"/>
          <w:lang w:bidi="ar"/>
        </w:rPr>
        <w:t>；</w:t>
      </w:r>
    </w:p>
    <w:p w14:paraId="44EFE49A">
      <w:pPr>
        <w:tabs>
          <w:tab w:val="left" w:pos="945"/>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2.投标人应自行承担所有与参加投标有关的费用。不论投标的结果如何，采购人在任何情况下均无义务和责任承担这些费用。</w:t>
      </w:r>
    </w:p>
    <w:p w14:paraId="4968D4E5">
      <w:pPr>
        <w:tabs>
          <w:tab w:val="left" w:pos="945"/>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（十七）特别提醒</w:t>
      </w:r>
    </w:p>
    <w:p w14:paraId="40709658">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1.各</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highlight w:val="none"/>
          <w:lang w:bidi="ar"/>
        </w:rPr>
        <w:t>按招标文件要求如需提供述标演示视频的，每个功能点须单独录制演示视频并上传至苏采云系统，视频以功能点命名，每个视频不得超过50M（若单个功能点视频大于50M，可分多个视频上传）,否则无法上传。具体演示视频上传操作请详细阅读</w:t>
      </w:r>
      <w:r>
        <w:rPr>
          <w:rFonts w:hint="eastAsia" w:ascii="宋体" w:hAnsi="宋体" w:eastAsia="宋体" w:cs="宋体"/>
          <w:bCs/>
          <w:color w:val="auto"/>
          <w:sz w:val="24"/>
          <w:highlight w:val="none"/>
        </w:rPr>
        <w:t>《江苏省政府采购管理交易系统（苏采云）供应商操作手册》</w:t>
      </w:r>
      <w:r>
        <w:rPr>
          <w:rFonts w:hint="eastAsia" w:ascii="宋体" w:hAnsi="宋体" w:eastAsia="宋体" w:cs="宋体"/>
          <w:color w:val="auto"/>
          <w:sz w:val="24"/>
          <w:highlight w:val="none"/>
          <w:lang w:bidi="ar"/>
        </w:rPr>
        <w:t>。</w:t>
      </w:r>
    </w:p>
    <w:p w14:paraId="7F36BB6D">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2.投标人如有提供不实评审材料，弄虚作假者，一律作废标处理，该不良行为予以公示。</w:t>
      </w:r>
    </w:p>
    <w:p w14:paraId="27017FC9">
      <w:pPr>
        <w:tabs>
          <w:tab w:val="left" w:pos="945"/>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（十八）政府采购政策功能落实</w:t>
      </w:r>
    </w:p>
    <w:p w14:paraId="15112CDD">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1.小微型企业价格扣除</w:t>
      </w:r>
    </w:p>
    <w:p w14:paraId="14EE71BB">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（1）本项目对小型企业和微型企业产品给予10%的扣除价格，用扣除后的价格参与评审。</w:t>
      </w:r>
    </w:p>
    <w:p w14:paraId="7DF29E56">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（2）投标人需按照采购文件的要求提供相应的《中小企业声明函》。</w:t>
      </w:r>
    </w:p>
    <w:p w14:paraId="24FB9E5D">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（3）企业标准请参照《关于印发中小企业划型标准规定的通知》（工信部联企业</w:t>
      </w:r>
      <w:r>
        <w:rPr>
          <w:rFonts w:hint="eastAsia" w:ascii="宋体" w:hAnsi="宋体" w:cs="宋体"/>
          <w:color w:val="auto"/>
          <w:sz w:val="24"/>
          <w:highlight w:val="none"/>
          <w:lang w:eastAsia="zh-CN" w:bidi="ar"/>
        </w:rPr>
        <w:t>〔2011〕300号</w:t>
      </w:r>
      <w:r>
        <w:rPr>
          <w:rFonts w:hint="eastAsia" w:ascii="宋体" w:hAnsi="宋体" w:eastAsia="宋体" w:cs="宋体"/>
          <w:color w:val="auto"/>
          <w:sz w:val="24"/>
          <w:highlight w:val="none"/>
          <w:lang w:bidi="ar"/>
        </w:rPr>
        <w:t>）文件规定自行填写。</w:t>
      </w:r>
    </w:p>
    <w:p w14:paraId="126170DF">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（4）在货物采购项目中，</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highlight w:val="none"/>
          <w:lang w:bidi="ar"/>
        </w:rPr>
        <w:t>提供的货物既有中小企业制造货物，也有大型企业制造货物的，不享受本办法规定的中小企业扶持政策。</w:t>
      </w:r>
    </w:p>
    <w:p w14:paraId="7B32E26E">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2.残疾人福利单位价格扣除</w:t>
      </w:r>
    </w:p>
    <w:p w14:paraId="2A0F025E">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（1）本项目对残疾人福利性单位视同小型、微型企业，给予10%的价格扣除，用扣除后的价格参与评审。</w:t>
      </w:r>
    </w:p>
    <w:p w14:paraId="12221149">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（2）残疾人福利单位需按照采购文件的要求提供《残疾人福利性单位声明函》。</w:t>
      </w:r>
    </w:p>
    <w:p w14:paraId="2DAB4E8C">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（3）残疾人福利单位标准请参照《关于促进残疾人就业政府采购政策的通知》（财库〔2017〕141号）。</w:t>
      </w:r>
    </w:p>
    <w:p w14:paraId="4E7C907F">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3.监狱和戒毒企业价格扣除</w:t>
      </w:r>
    </w:p>
    <w:p w14:paraId="23DFC970">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（1）本项目对监狱和戒毒企业（简称监狱企业）视同小型、微型企业，给予10%的价格扣除，用扣除后的价格参与评审。</w:t>
      </w:r>
    </w:p>
    <w:p w14:paraId="03540C58">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（2）监狱企业参加政府采购活动时，需提供由省级以上监狱管理局、戒毒管理局</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含新疆生产建设兵团</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出具的属于监狱企业的证明文件。</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highlight w:val="none"/>
          <w:lang w:bidi="ar"/>
        </w:rPr>
        <w:t>如不提供上述证明文件，价格将不做相应扣除。</w:t>
      </w:r>
    </w:p>
    <w:p w14:paraId="711011D3">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（3）监狱企业标准请参照《关于政府采购支持监狱企业发展有关问题的通知》（财库</w:t>
      </w:r>
      <w:r>
        <w:rPr>
          <w:rFonts w:hint="eastAsia" w:ascii="宋体" w:hAnsi="宋体" w:cs="宋体"/>
          <w:color w:val="auto"/>
          <w:sz w:val="24"/>
          <w:highlight w:val="none"/>
          <w:lang w:eastAsia="zh-CN" w:bidi="ar"/>
        </w:rPr>
        <w:t>〔2014〕68号</w:t>
      </w:r>
      <w:r>
        <w:rPr>
          <w:rFonts w:hint="eastAsia" w:ascii="宋体" w:hAnsi="宋体" w:eastAsia="宋体" w:cs="宋体"/>
          <w:color w:val="auto"/>
          <w:sz w:val="24"/>
          <w:highlight w:val="none"/>
          <w:lang w:bidi="ar"/>
        </w:rPr>
        <w:t>）。</w:t>
      </w:r>
    </w:p>
    <w:p w14:paraId="5C76019E">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4.残疾人福利单位、监狱企业属于小型、微型企业的，不重复享受政策。</w:t>
      </w:r>
    </w:p>
    <w:p w14:paraId="23ACB2A8">
      <w:pPr>
        <w:tabs>
          <w:tab w:val="left" w:pos="525"/>
          <w:tab w:val="left" w:pos="840"/>
          <w:tab w:val="left" w:pos="945"/>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w:t>
      </w:r>
      <w:r>
        <w:rPr>
          <w:rFonts w:hint="eastAsia" w:ascii="宋体" w:hAnsi="宋体" w:eastAsia="宋体" w:cs="宋体"/>
          <w:bCs/>
          <w:color w:val="auto"/>
          <w:sz w:val="24"/>
          <w:szCs w:val="24"/>
          <w:highlight w:val="none"/>
        </w:rPr>
        <w:t>本项目属于</w:t>
      </w:r>
      <w:r>
        <w:rPr>
          <w:rFonts w:hint="eastAsia" w:ascii="宋体" w:hAnsi="宋体" w:eastAsia="宋体" w:cs="宋体"/>
          <w:bCs/>
          <w:color w:val="auto"/>
          <w:sz w:val="24"/>
          <w:szCs w:val="24"/>
          <w:highlight w:val="none"/>
          <w:u w:val="single"/>
        </w:rPr>
        <w:t xml:space="preserve"> 租赁和商务服务业 </w:t>
      </w:r>
      <w:r>
        <w:rPr>
          <w:rFonts w:hint="eastAsia" w:ascii="宋体" w:hAnsi="宋体" w:eastAsia="宋体" w:cs="宋体"/>
          <w:bCs/>
          <w:color w:val="auto"/>
          <w:sz w:val="24"/>
          <w:szCs w:val="24"/>
          <w:highlight w:val="none"/>
        </w:rPr>
        <w:t>。</w:t>
      </w:r>
    </w:p>
    <w:p w14:paraId="69F08FF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6.符合本采购文件优先采购 “环境标志产品”或“节能产品”的；必须提供“环境标志产品”或“节能产品”证明，否则不予认可。</w:t>
      </w:r>
    </w:p>
    <w:p w14:paraId="1BA3F517">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环境标志产品是指列入财政部、环境保护部最新公布的《环境标志产品政府采购清单》内的产品；节能产品是指列入财政部、国家发展改革委最新公布的《节能产品政府采购清单》内的产品。鼓励节能及环保政策以投标（响应）主要（核心）产品（品牌）为准。</w:t>
      </w:r>
    </w:p>
    <w:p w14:paraId="66AB8AD1">
      <w:pPr>
        <w:spacing w:line="520" w:lineRule="exact"/>
        <w:ind w:firstLine="480"/>
        <w:rPr>
          <w:rFonts w:hint="eastAsia" w:ascii="宋体" w:hAnsi="宋体" w:eastAsia="宋体" w:cs="宋体"/>
          <w:bCs/>
          <w:color w:val="auto"/>
          <w:sz w:val="24"/>
          <w:szCs w:val="24"/>
          <w:highlight w:val="none"/>
        </w:rPr>
      </w:pPr>
    </w:p>
    <w:p w14:paraId="6420A1F7">
      <w:pPr>
        <w:spacing w:line="520" w:lineRule="exact"/>
        <w:ind w:firstLine="480"/>
        <w:outlineLvl w:val="9"/>
        <w:rPr>
          <w:rFonts w:hint="eastAsia" w:ascii="宋体" w:hAnsi="宋体" w:eastAsia="宋体" w:cs="宋体"/>
          <w:bCs/>
          <w:color w:val="auto"/>
          <w:sz w:val="24"/>
          <w:szCs w:val="24"/>
          <w:highlight w:val="none"/>
        </w:rPr>
      </w:pPr>
    </w:p>
    <w:p w14:paraId="4943A18C">
      <w:pPr>
        <w:spacing w:line="520" w:lineRule="exact"/>
        <w:ind w:firstLine="480"/>
        <w:outlineLvl w:val="9"/>
        <w:rPr>
          <w:rFonts w:hint="eastAsia" w:ascii="宋体" w:hAnsi="宋体" w:eastAsia="宋体" w:cs="宋体"/>
          <w:bCs/>
          <w:color w:val="auto"/>
          <w:sz w:val="24"/>
          <w:szCs w:val="24"/>
          <w:highlight w:val="none"/>
        </w:rPr>
      </w:pPr>
    </w:p>
    <w:p w14:paraId="10785E1A">
      <w:pPr>
        <w:spacing w:line="520" w:lineRule="exact"/>
        <w:ind w:firstLine="480"/>
        <w:outlineLvl w:val="9"/>
        <w:rPr>
          <w:rFonts w:hint="eastAsia" w:ascii="宋体" w:hAnsi="宋体" w:eastAsia="宋体" w:cs="宋体"/>
          <w:bCs/>
          <w:color w:val="auto"/>
          <w:sz w:val="24"/>
          <w:szCs w:val="24"/>
          <w:highlight w:val="none"/>
        </w:rPr>
      </w:pPr>
    </w:p>
    <w:p w14:paraId="0BBC44D1">
      <w:pPr>
        <w:spacing w:line="520" w:lineRule="exact"/>
        <w:ind w:firstLine="480"/>
        <w:outlineLvl w:val="9"/>
        <w:rPr>
          <w:rFonts w:hint="eastAsia" w:ascii="宋体" w:hAnsi="宋体" w:eastAsia="宋体" w:cs="宋体"/>
          <w:bCs/>
          <w:color w:val="auto"/>
          <w:sz w:val="24"/>
          <w:szCs w:val="24"/>
          <w:highlight w:val="none"/>
        </w:rPr>
      </w:pPr>
    </w:p>
    <w:p w14:paraId="3464960D">
      <w:pPr>
        <w:outlineLvl w:val="9"/>
        <w:rPr>
          <w:rFonts w:hint="eastAsia" w:ascii="宋体" w:hAnsi="宋体" w:eastAsia="宋体" w:cs="宋体"/>
          <w:bCs/>
          <w:color w:val="auto"/>
          <w:sz w:val="24"/>
          <w:szCs w:val="24"/>
          <w:highlight w:val="none"/>
        </w:rPr>
      </w:pPr>
    </w:p>
    <w:p w14:paraId="17CE544F">
      <w:pPr>
        <w:outlineLvl w:val="9"/>
        <w:rPr>
          <w:rFonts w:hint="eastAsia" w:ascii="宋体" w:hAnsi="宋体" w:eastAsia="宋体" w:cs="宋体"/>
          <w:bCs/>
          <w:color w:val="auto"/>
          <w:sz w:val="24"/>
          <w:szCs w:val="24"/>
          <w:highlight w:val="none"/>
        </w:rPr>
      </w:pPr>
    </w:p>
    <w:p w14:paraId="5D321DFA">
      <w:pPr>
        <w:tabs>
          <w:tab w:val="left" w:pos="2850"/>
          <w:tab w:val="center" w:pos="4153"/>
        </w:tabs>
        <w:spacing w:line="360" w:lineRule="auto"/>
        <w:outlineLvl w:val="9"/>
        <w:rPr>
          <w:rFonts w:hint="eastAsia" w:ascii="宋体" w:hAnsi="宋体" w:eastAsia="宋体" w:cs="宋体"/>
          <w:b/>
          <w:color w:val="auto"/>
          <w:sz w:val="24"/>
          <w:szCs w:val="24"/>
          <w:highlight w:val="none"/>
        </w:rPr>
      </w:pPr>
    </w:p>
    <w:p w14:paraId="4C5356A7">
      <w:pPr>
        <w:pStyle w:val="8"/>
        <w:ind w:left="0" w:leftChars="0" w:firstLine="0" w:firstLineChars="0"/>
        <w:rPr>
          <w:rFonts w:hint="eastAsia" w:ascii="宋体" w:hAnsi="宋体" w:eastAsia="宋体" w:cs="宋体"/>
          <w:color w:val="auto"/>
          <w:highlight w:val="none"/>
        </w:rPr>
      </w:pPr>
    </w:p>
    <w:p w14:paraId="62B7958D">
      <w:pPr>
        <w:tabs>
          <w:tab w:val="left" w:pos="1515"/>
        </w:tabs>
        <w:jc w:val="center"/>
        <w:outlineLvl w:val="0"/>
        <w:rPr>
          <w:rFonts w:hint="default" w:ascii="宋体" w:hAnsi="宋体" w:eastAsia="宋体" w:cs="宋体"/>
          <w:b/>
          <w:color w:val="auto"/>
          <w:sz w:val="42"/>
          <w:szCs w:val="24"/>
          <w:highlight w:val="none"/>
          <w:lang w:val="en-US" w:eastAsia="zh-CN"/>
        </w:rPr>
      </w:pPr>
      <w:bookmarkStart w:id="37" w:name="_Toc20969"/>
      <w:r>
        <w:rPr>
          <w:rFonts w:hint="eastAsia" w:ascii="宋体" w:hAnsi="宋体" w:eastAsia="宋体" w:cs="宋体"/>
          <w:b/>
          <w:color w:val="auto"/>
          <w:sz w:val="42"/>
          <w:szCs w:val="24"/>
          <w:highlight w:val="none"/>
        </w:rPr>
        <w:t xml:space="preserve">第三章 </w:t>
      </w:r>
      <w:bookmarkEnd w:id="35"/>
      <w:bookmarkEnd w:id="36"/>
      <w:r>
        <w:rPr>
          <w:rFonts w:hint="eastAsia" w:ascii="宋体" w:hAnsi="宋体" w:cs="宋体"/>
          <w:b/>
          <w:color w:val="auto"/>
          <w:sz w:val="42"/>
          <w:szCs w:val="24"/>
          <w:highlight w:val="none"/>
          <w:lang w:val="en-US" w:eastAsia="zh-CN"/>
        </w:rPr>
        <w:t>采购需求</w:t>
      </w:r>
      <w:bookmarkEnd w:id="37"/>
    </w:p>
    <w:p w14:paraId="6489E80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lang w:eastAsia="zh-CN"/>
        </w:rPr>
        <w:t>（</w:t>
      </w:r>
      <w:r>
        <w:rPr>
          <w:rFonts w:hint="eastAsia" w:asciiTheme="majorEastAsia" w:hAnsiTheme="majorEastAsia" w:eastAsiaTheme="majorEastAsia" w:cstheme="majorEastAsia"/>
          <w:b/>
          <w:bCs/>
          <w:sz w:val="24"/>
          <w:szCs w:val="24"/>
          <w:highlight w:val="none"/>
          <w:lang w:val="en-US" w:eastAsia="zh-CN"/>
        </w:rPr>
        <w:t>一</w:t>
      </w:r>
      <w:r>
        <w:rPr>
          <w:rFonts w:hint="eastAsia" w:asciiTheme="majorEastAsia" w:hAnsiTheme="majorEastAsia" w:eastAsiaTheme="majorEastAsia" w:cstheme="majorEastAsia"/>
          <w:b/>
          <w:bCs/>
          <w:sz w:val="24"/>
          <w:szCs w:val="24"/>
          <w:highlight w:val="none"/>
          <w:lang w:eastAsia="zh-CN"/>
        </w:rPr>
        <w:t>）</w:t>
      </w:r>
      <w:r>
        <w:rPr>
          <w:rFonts w:hint="eastAsia" w:asciiTheme="majorEastAsia" w:hAnsiTheme="majorEastAsia" w:eastAsiaTheme="majorEastAsia" w:cstheme="majorEastAsia"/>
          <w:b/>
          <w:bCs/>
          <w:sz w:val="24"/>
          <w:szCs w:val="24"/>
          <w:highlight w:val="none"/>
        </w:rPr>
        <w:t>保安服务委托内容</w:t>
      </w:r>
    </w:p>
    <w:p w14:paraId="196C02B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lang w:val="en-US" w:eastAsia="zh-CN"/>
        </w:rPr>
      </w:pPr>
      <w:bookmarkStart w:id="38" w:name="_Toc341771848"/>
      <w:bookmarkEnd w:id="38"/>
      <w:r>
        <w:rPr>
          <w:rFonts w:hint="eastAsia" w:asciiTheme="majorEastAsia" w:hAnsiTheme="majorEastAsia" w:eastAsiaTheme="majorEastAsia" w:cstheme="majorEastAsia"/>
          <w:sz w:val="24"/>
          <w:szCs w:val="24"/>
          <w:highlight w:val="none"/>
        </w:rPr>
        <w:t>泰州市第五人民医院安保2</w:t>
      </w:r>
      <w:r>
        <w:rPr>
          <w:rFonts w:hint="eastAsia" w:asciiTheme="majorEastAsia" w:hAnsiTheme="majorEastAsia" w:eastAsiaTheme="majorEastAsia" w:cstheme="majorEastAsia"/>
          <w:color w:val="auto"/>
          <w:sz w:val="24"/>
          <w:szCs w:val="24"/>
          <w:highlight w:val="none"/>
        </w:rPr>
        <w:t>4小时</w:t>
      </w:r>
      <w:r>
        <w:rPr>
          <w:rFonts w:hint="eastAsia" w:asciiTheme="majorEastAsia" w:hAnsiTheme="majorEastAsia" w:eastAsiaTheme="majorEastAsia" w:cstheme="majorEastAsia"/>
          <w:color w:val="auto"/>
          <w:sz w:val="24"/>
          <w:szCs w:val="24"/>
          <w:highlight w:val="none"/>
          <w:lang w:val="en-US" w:eastAsia="zh-CN"/>
        </w:rPr>
        <w:t>值守</w:t>
      </w:r>
      <w:r>
        <w:rPr>
          <w:rFonts w:hint="eastAsia" w:asciiTheme="majorEastAsia" w:hAnsiTheme="majorEastAsia" w:eastAsiaTheme="majorEastAsia" w:cstheme="majorEastAsia"/>
          <w:color w:val="auto"/>
          <w:sz w:val="24"/>
          <w:szCs w:val="24"/>
          <w:highlight w:val="none"/>
        </w:rPr>
        <w:t>和不定</w:t>
      </w:r>
      <w:r>
        <w:rPr>
          <w:rFonts w:hint="eastAsia" w:asciiTheme="majorEastAsia" w:hAnsiTheme="majorEastAsia" w:eastAsiaTheme="majorEastAsia" w:cstheme="majorEastAsia"/>
          <w:sz w:val="24"/>
          <w:szCs w:val="24"/>
          <w:highlight w:val="none"/>
        </w:rPr>
        <w:t>时巡查，夜间巡查每两小时1次，各个班次均组织一支</w:t>
      </w:r>
      <w:r>
        <w:rPr>
          <w:rFonts w:hint="eastAsia" w:asciiTheme="majorEastAsia" w:hAnsiTheme="majorEastAsia" w:eastAsiaTheme="majorEastAsia" w:cstheme="majorEastAsia"/>
          <w:sz w:val="24"/>
          <w:szCs w:val="24"/>
          <w:highlight w:val="none"/>
          <w:lang w:val="en-US" w:eastAsia="zh-CN"/>
        </w:rPr>
        <w:t>微型消防站</w:t>
      </w:r>
      <w:r>
        <w:rPr>
          <w:rFonts w:hint="eastAsia" w:asciiTheme="majorEastAsia" w:hAnsiTheme="majorEastAsia" w:eastAsiaTheme="majorEastAsia" w:cstheme="majorEastAsia"/>
          <w:sz w:val="24"/>
          <w:szCs w:val="24"/>
          <w:highlight w:val="none"/>
        </w:rPr>
        <w:t>。保安总人数</w:t>
      </w:r>
      <w:r>
        <w:rPr>
          <w:rFonts w:hint="eastAsia" w:asciiTheme="majorEastAsia" w:hAnsiTheme="majorEastAsia" w:eastAsiaTheme="majorEastAsia" w:cstheme="majorEastAsia"/>
          <w:sz w:val="24"/>
          <w:szCs w:val="24"/>
          <w:highlight w:val="none"/>
          <w:lang w:val="en-US" w:eastAsia="zh-CN"/>
        </w:rPr>
        <w:t>拟</w:t>
      </w:r>
      <w:r>
        <w:rPr>
          <w:rFonts w:hint="eastAsia" w:asciiTheme="majorEastAsia" w:hAnsiTheme="majorEastAsia" w:eastAsiaTheme="majorEastAsia" w:cstheme="majorEastAsia"/>
          <w:sz w:val="24"/>
          <w:szCs w:val="24"/>
          <w:highlight w:val="none"/>
        </w:rPr>
        <w:t>配置</w:t>
      </w:r>
      <w:r>
        <w:rPr>
          <w:rFonts w:hint="eastAsia" w:asciiTheme="majorEastAsia" w:hAnsiTheme="majorEastAsia" w:eastAsiaTheme="majorEastAsia" w:cstheme="majorEastAsia"/>
          <w:sz w:val="24"/>
          <w:szCs w:val="24"/>
          <w:highlight w:val="none"/>
          <w:lang w:val="en-US" w:eastAsia="zh-CN"/>
        </w:rPr>
        <w:t>35</w:t>
      </w:r>
      <w:r>
        <w:rPr>
          <w:rFonts w:hint="eastAsia" w:asciiTheme="majorEastAsia" w:hAnsiTheme="majorEastAsia" w:eastAsiaTheme="majorEastAsia" w:cstheme="majorEastAsia"/>
          <w:sz w:val="24"/>
          <w:szCs w:val="24"/>
          <w:highlight w:val="none"/>
        </w:rPr>
        <w:t>人，其中包含消控室最低配置6人。本次招标计划</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lang w:val="en-US" w:eastAsia="zh-CN"/>
        </w:rPr>
        <w:t>消控室值班人员（上2休1，每个班次12小时）、普通保安员（</w:t>
      </w:r>
      <w:r>
        <w:rPr>
          <w:rFonts w:hint="eastAsia" w:asciiTheme="majorEastAsia" w:hAnsiTheme="majorEastAsia" w:eastAsiaTheme="majorEastAsia" w:cstheme="majorEastAsia"/>
          <w:sz w:val="24"/>
          <w:szCs w:val="24"/>
          <w:highlight w:val="none"/>
        </w:rPr>
        <w:t>上6休1</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lang w:val="en-US" w:eastAsia="zh-CN"/>
        </w:rPr>
        <w:t>每个班次上12小时）及其余人员上6休1。</w:t>
      </w:r>
    </w:p>
    <w:p w14:paraId="7B45812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z w:val="24"/>
          <w:szCs w:val="24"/>
          <w:highlight w:val="none"/>
        </w:rPr>
        <w:t>具体岗位要求包含但不限于以下岗位</w:t>
      </w:r>
      <w:r>
        <w:rPr>
          <w:rFonts w:hint="eastAsia" w:asciiTheme="majorEastAsia" w:hAnsiTheme="majorEastAsia" w:eastAsiaTheme="majorEastAsia" w:cstheme="majorEastAsia"/>
          <w:sz w:val="24"/>
          <w:szCs w:val="24"/>
          <w:highlight w:val="none"/>
          <w:lang w:eastAsia="zh-CN"/>
        </w:rPr>
        <w:t>：</w:t>
      </w:r>
    </w:p>
    <w:p w14:paraId="4167F3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泰州市第五人民医院保安、消控人员配备明细表</w:t>
      </w:r>
    </w:p>
    <w:tbl>
      <w:tblPr>
        <w:tblStyle w:val="23"/>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5"/>
        <w:gridCol w:w="4416"/>
        <w:gridCol w:w="1644"/>
        <w:gridCol w:w="1567"/>
      </w:tblGrid>
      <w:tr w14:paraId="51A03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735" w:type="dxa"/>
            <w:noWrap/>
            <w:vAlign w:val="center"/>
          </w:tcPr>
          <w:p w14:paraId="580A8D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岗位名称</w:t>
            </w:r>
          </w:p>
        </w:tc>
        <w:tc>
          <w:tcPr>
            <w:tcW w:w="4416" w:type="dxa"/>
            <w:noWrap/>
            <w:vAlign w:val="center"/>
          </w:tcPr>
          <w:p w14:paraId="40F912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岗位任务</w:t>
            </w:r>
          </w:p>
        </w:tc>
        <w:tc>
          <w:tcPr>
            <w:tcW w:w="1644" w:type="dxa"/>
            <w:noWrap/>
            <w:vAlign w:val="center"/>
          </w:tcPr>
          <w:p w14:paraId="1E10CE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执勤时间</w:t>
            </w:r>
          </w:p>
        </w:tc>
        <w:tc>
          <w:tcPr>
            <w:tcW w:w="1567" w:type="dxa"/>
            <w:noWrap/>
            <w:vAlign w:val="center"/>
          </w:tcPr>
          <w:p w14:paraId="7F422C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拟配置人数</w:t>
            </w:r>
          </w:p>
        </w:tc>
      </w:tr>
      <w:tr w14:paraId="7DBC9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35" w:type="dxa"/>
            <w:shd w:val="clear" w:color="auto" w:fill="auto"/>
            <w:noWrap/>
            <w:vAlign w:val="center"/>
          </w:tcPr>
          <w:p w14:paraId="15E846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bidi="ar-SA"/>
              </w:rPr>
            </w:pPr>
            <w:r>
              <w:rPr>
                <w:rFonts w:hint="eastAsia" w:asciiTheme="majorEastAsia" w:hAnsiTheme="majorEastAsia" w:eastAsiaTheme="majorEastAsia" w:cstheme="majorEastAsia"/>
                <w:sz w:val="21"/>
                <w:szCs w:val="21"/>
                <w:highlight w:val="none"/>
              </w:rPr>
              <w:t>项目负责人</w:t>
            </w:r>
          </w:p>
        </w:tc>
        <w:tc>
          <w:tcPr>
            <w:tcW w:w="4416" w:type="dxa"/>
            <w:shd w:val="clear" w:color="auto" w:fill="auto"/>
            <w:noWrap/>
            <w:vAlign w:val="center"/>
          </w:tcPr>
          <w:p w14:paraId="7D5541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bidi="ar-SA"/>
              </w:rPr>
            </w:pPr>
            <w:r>
              <w:rPr>
                <w:rFonts w:hint="eastAsia" w:asciiTheme="majorEastAsia" w:hAnsiTheme="majorEastAsia" w:eastAsiaTheme="majorEastAsia" w:cstheme="majorEastAsia"/>
                <w:sz w:val="21"/>
                <w:szCs w:val="21"/>
                <w:highlight w:val="none"/>
              </w:rPr>
              <w:t>负责全院的安保消控工作及院内突发事件处置</w:t>
            </w:r>
          </w:p>
        </w:tc>
        <w:tc>
          <w:tcPr>
            <w:tcW w:w="1644" w:type="dxa"/>
            <w:shd w:val="clear" w:color="auto" w:fill="auto"/>
            <w:noWrap/>
            <w:vAlign w:val="center"/>
          </w:tcPr>
          <w:p w14:paraId="4AE124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bidi="ar-SA"/>
              </w:rPr>
            </w:pPr>
            <w:r>
              <w:rPr>
                <w:rFonts w:hint="eastAsia" w:asciiTheme="majorEastAsia" w:hAnsiTheme="majorEastAsia" w:eastAsiaTheme="majorEastAsia" w:cstheme="majorEastAsia"/>
                <w:sz w:val="21"/>
                <w:szCs w:val="21"/>
                <w:highlight w:val="none"/>
              </w:rPr>
              <w:t>10小时</w:t>
            </w:r>
          </w:p>
        </w:tc>
        <w:tc>
          <w:tcPr>
            <w:tcW w:w="1567" w:type="dxa"/>
            <w:shd w:val="clear" w:color="auto" w:fill="auto"/>
            <w:noWrap/>
            <w:vAlign w:val="center"/>
          </w:tcPr>
          <w:p w14:paraId="1D994D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bidi="ar-SA"/>
              </w:rPr>
            </w:pPr>
            <w:r>
              <w:rPr>
                <w:rFonts w:hint="eastAsia" w:asciiTheme="majorEastAsia" w:hAnsiTheme="majorEastAsia" w:eastAsiaTheme="majorEastAsia" w:cstheme="majorEastAsia"/>
                <w:sz w:val="21"/>
                <w:szCs w:val="21"/>
                <w:highlight w:val="none"/>
                <w:lang w:val="en-US" w:eastAsia="zh-CN"/>
              </w:rPr>
              <w:t>1</w:t>
            </w:r>
          </w:p>
        </w:tc>
      </w:tr>
      <w:tr w14:paraId="4555B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35" w:type="dxa"/>
            <w:noWrap/>
            <w:vAlign w:val="center"/>
          </w:tcPr>
          <w:p w14:paraId="4F962C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队长</w:t>
            </w:r>
          </w:p>
        </w:tc>
        <w:tc>
          <w:tcPr>
            <w:tcW w:w="4416" w:type="dxa"/>
            <w:noWrap/>
            <w:vAlign w:val="center"/>
          </w:tcPr>
          <w:p w14:paraId="102C6D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负责医院安保全面工作、突发事件处置</w:t>
            </w:r>
          </w:p>
        </w:tc>
        <w:tc>
          <w:tcPr>
            <w:tcW w:w="1644" w:type="dxa"/>
            <w:noWrap/>
            <w:vAlign w:val="center"/>
          </w:tcPr>
          <w:p w14:paraId="01E7A2A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24</w:t>
            </w:r>
            <w:r>
              <w:rPr>
                <w:rFonts w:hint="eastAsia" w:asciiTheme="majorEastAsia" w:hAnsiTheme="majorEastAsia" w:eastAsiaTheme="majorEastAsia" w:cstheme="majorEastAsia"/>
                <w:sz w:val="21"/>
                <w:szCs w:val="21"/>
                <w:highlight w:val="none"/>
              </w:rPr>
              <w:t>小时</w:t>
            </w:r>
          </w:p>
        </w:tc>
        <w:tc>
          <w:tcPr>
            <w:tcW w:w="1567" w:type="dxa"/>
            <w:noWrap/>
            <w:vAlign w:val="center"/>
          </w:tcPr>
          <w:p w14:paraId="4A3827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2</w:t>
            </w:r>
          </w:p>
        </w:tc>
      </w:tr>
      <w:tr w14:paraId="53976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35" w:type="dxa"/>
            <w:noWrap/>
            <w:vAlign w:val="center"/>
          </w:tcPr>
          <w:p w14:paraId="23C6C2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门岗</w:t>
            </w:r>
          </w:p>
        </w:tc>
        <w:tc>
          <w:tcPr>
            <w:tcW w:w="4416" w:type="dxa"/>
            <w:noWrap/>
            <w:vAlign w:val="center"/>
          </w:tcPr>
          <w:p w14:paraId="42E7DA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负责车辆秩序、门前治安、门前三包</w:t>
            </w:r>
          </w:p>
        </w:tc>
        <w:tc>
          <w:tcPr>
            <w:tcW w:w="1644" w:type="dxa"/>
            <w:noWrap/>
            <w:vAlign w:val="center"/>
          </w:tcPr>
          <w:p w14:paraId="336BE5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24小时</w:t>
            </w:r>
          </w:p>
        </w:tc>
        <w:tc>
          <w:tcPr>
            <w:tcW w:w="1567" w:type="dxa"/>
            <w:vMerge w:val="restart"/>
            <w:noWrap/>
            <w:vAlign w:val="center"/>
          </w:tcPr>
          <w:p w14:paraId="28D169C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26</w:t>
            </w:r>
          </w:p>
        </w:tc>
      </w:tr>
      <w:tr w14:paraId="17322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35" w:type="dxa"/>
            <w:noWrap/>
            <w:vAlign w:val="center"/>
          </w:tcPr>
          <w:p w14:paraId="7F399E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门诊</w:t>
            </w:r>
          </w:p>
        </w:tc>
        <w:tc>
          <w:tcPr>
            <w:tcW w:w="4416" w:type="dxa"/>
            <w:noWrap/>
            <w:vAlign w:val="center"/>
          </w:tcPr>
          <w:p w14:paraId="7C35D1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负责门诊</w:t>
            </w:r>
            <w:r>
              <w:rPr>
                <w:rFonts w:hint="eastAsia" w:asciiTheme="majorEastAsia" w:hAnsiTheme="majorEastAsia" w:eastAsiaTheme="majorEastAsia" w:cstheme="majorEastAsia"/>
                <w:sz w:val="21"/>
                <w:szCs w:val="21"/>
                <w:highlight w:val="none"/>
                <w:lang w:val="en-US" w:eastAsia="zh-CN"/>
              </w:rPr>
              <w:t>内、门诊</w:t>
            </w:r>
            <w:r>
              <w:rPr>
                <w:rFonts w:hint="eastAsia" w:asciiTheme="majorEastAsia" w:hAnsiTheme="majorEastAsia" w:eastAsiaTheme="majorEastAsia" w:cstheme="majorEastAsia"/>
                <w:sz w:val="21"/>
                <w:szCs w:val="21"/>
                <w:highlight w:val="none"/>
              </w:rPr>
              <w:t>楼前及大厅车辆秩序及治安</w:t>
            </w:r>
          </w:p>
        </w:tc>
        <w:tc>
          <w:tcPr>
            <w:tcW w:w="1644" w:type="dxa"/>
            <w:noWrap/>
            <w:vAlign w:val="center"/>
          </w:tcPr>
          <w:p w14:paraId="6CEED4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12小时</w:t>
            </w:r>
          </w:p>
        </w:tc>
        <w:tc>
          <w:tcPr>
            <w:tcW w:w="1567" w:type="dxa"/>
            <w:vMerge w:val="continue"/>
            <w:noWrap/>
            <w:vAlign w:val="center"/>
          </w:tcPr>
          <w:p w14:paraId="7651B4E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rPr>
            </w:pPr>
          </w:p>
        </w:tc>
      </w:tr>
      <w:tr w14:paraId="6C12C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35" w:type="dxa"/>
            <w:noWrap/>
            <w:vAlign w:val="center"/>
          </w:tcPr>
          <w:p w14:paraId="3D8254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急诊</w:t>
            </w:r>
          </w:p>
        </w:tc>
        <w:tc>
          <w:tcPr>
            <w:tcW w:w="4416" w:type="dxa"/>
            <w:noWrap/>
            <w:vAlign w:val="center"/>
          </w:tcPr>
          <w:p w14:paraId="3F89BF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负责急诊</w:t>
            </w:r>
            <w:r>
              <w:rPr>
                <w:rFonts w:hint="eastAsia" w:asciiTheme="majorEastAsia" w:hAnsiTheme="majorEastAsia" w:eastAsiaTheme="majorEastAsia" w:cstheme="majorEastAsia"/>
                <w:sz w:val="21"/>
                <w:szCs w:val="21"/>
                <w:highlight w:val="none"/>
                <w:lang w:val="en-US" w:eastAsia="zh-CN"/>
              </w:rPr>
              <w:t>内、急诊</w:t>
            </w:r>
            <w:r>
              <w:rPr>
                <w:rFonts w:hint="eastAsia" w:asciiTheme="majorEastAsia" w:hAnsiTheme="majorEastAsia" w:eastAsiaTheme="majorEastAsia" w:cstheme="majorEastAsia"/>
                <w:sz w:val="21"/>
                <w:szCs w:val="21"/>
                <w:highlight w:val="none"/>
              </w:rPr>
              <w:t>楼前及大厅车辆秩序及治安</w:t>
            </w:r>
          </w:p>
        </w:tc>
        <w:tc>
          <w:tcPr>
            <w:tcW w:w="1644" w:type="dxa"/>
            <w:noWrap/>
            <w:vAlign w:val="center"/>
          </w:tcPr>
          <w:p w14:paraId="72A462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24小时</w:t>
            </w:r>
          </w:p>
        </w:tc>
        <w:tc>
          <w:tcPr>
            <w:tcW w:w="1567" w:type="dxa"/>
            <w:vMerge w:val="continue"/>
            <w:noWrap/>
            <w:vAlign w:val="center"/>
          </w:tcPr>
          <w:p w14:paraId="0B5D61A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rPr>
            </w:pPr>
          </w:p>
        </w:tc>
      </w:tr>
      <w:tr w14:paraId="2778F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35" w:type="dxa"/>
            <w:noWrap/>
            <w:vAlign w:val="center"/>
          </w:tcPr>
          <w:p w14:paraId="12600E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rPr>
              <w:t>病房</w:t>
            </w:r>
          </w:p>
        </w:tc>
        <w:tc>
          <w:tcPr>
            <w:tcW w:w="4416" w:type="dxa"/>
            <w:noWrap/>
            <w:vAlign w:val="center"/>
          </w:tcPr>
          <w:p w14:paraId="6282A1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rPr>
              <w:t>负责病区巡逻及治安秩序</w:t>
            </w:r>
          </w:p>
        </w:tc>
        <w:tc>
          <w:tcPr>
            <w:tcW w:w="1644" w:type="dxa"/>
            <w:noWrap/>
            <w:vAlign w:val="center"/>
          </w:tcPr>
          <w:p w14:paraId="0425E7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rPr>
              <w:t>24小时</w:t>
            </w:r>
          </w:p>
        </w:tc>
        <w:tc>
          <w:tcPr>
            <w:tcW w:w="1567" w:type="dxa"/>
            <w:vMerge w:val="continue"/>
            <w:noWrap/>
            <w:vAlign w:val="center"/>
          </w:tcPr>
          <w:p w14:paraId="76275B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rPr>
            </w:pPr>
          </w:p>
        </w:tc>
      </w:tr>
      <w:tr w14:paraId="05C31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35" w:type="dxa"/>
            <w:noWrap/>
            <w:vAlign w:val="center"/>
          </w:tcPr>
          <w:p w14:paraId="62E3A0A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行政楼</w:t>
            </w:r>
          </w:p>
        </w:tc>
        <w:tc>
          <w:tcPr>
            <w:tcW w:w="4416" w:type="dxa"/>
            <w:noWrap/>
            <w:vAlign w:val="center"/>
          </w:tcPr>
          <w:p w14:paraId="1792E0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负责来访登记、引导</w:t>
            </w:r>
          </w:p>
        </w:tc>
        <w:tc>
          <w:tcPr>
            <w:tcW w:w="1644" w:type="dxa"/>
            <w:noWrap/>
            <w:vAlign w:val="center"/>
          </w:tcPr>
          <w:p w14:paraId="69C13F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12小时</w:t>
            </w:r>
          </w:p>
        </w:tc>
        <w:tc>
          <w:tcPr>
            <w:tcW w:w="1567" w:type="dxa"/>
            <w:vMerge w:val="continue"/>
            <w:noWrap/>
            <w:vAlign w:val="center"/>
          </w:tcPr>
          <w:p w14:paraId="4C9238B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rPr>
            </w:pPr>
          </w:p>
        </w:tc>
      </w:tr>
      <w:tr w14:paraId="16813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35" w:type="dxa"/>
            <w:noWrap/>
            <w:vAlign w:val="center"/>
          </w:tcPr>
          <w:p w14:paraId="499620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巡逻岗</w:t>
            </w:r>
          </w:p>
        </w:tc>
        <w:tc>
          <w:tcPr>
            <w:tcW w:w="4416" w:type="dxa"/>
            <w:noWrap/>
            <w:vAlign w:val="center"/>
          </w:tcPr>
          <w:p w14:paraId="6AE8B64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负责院区巡逻及治安秩序</w:t>
            </w:r>
          </w:p>
        </w:tc>
        <w:tc>
          <w:tcPr>
            <w:tcW w:w="1644" w:type="dxa"/>
            <w:noWrap/>
            <w:vAlign w:val="center"/>
          </w:tcPr>
          <w:p w14:paraId="69A0A3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24小时</w:t>
            </w:r>
          </w:p>
        </w:tc>
        <w:tc>
          <w:tcPr>
            <w:tcW w:w="1567" w:type="dxa"/>
            <w:vMerge w:val="continue"/>
            <w:noWrap/>
            <w:vAlign w:val="center"/>
          </w:tcPr>
          <w:p w14:paraId="51B6E1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rPr>
            </w:pPr>
          </w:p>
        </w:tc>
      </w:tr>
      <w:tr w14:paraId="1C888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35" w:type="dxa"/>
            <w:noWrap/>
            <w:vAlign w:val="center"/>
          </w:tcPr>
          <w:p w14:paraId="2CC7584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车辆管理</w:t>
            </w:r>
          </w:p>
        </w:tc>
        <w:tc>
          <w:tcPr>
            <w:tcW w:w="4416" w:type="dxa"/>
            <w:noWrap/>
            <w:vAlign w:val="center"/>
          </w:tcPr>
          <w:p w14:paraId="2038BC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负责地面</w:t>
            </w:r>
            <w:r>
              <w:rPr>
                <w:rFonts w:hint="eastAsia" w:asciiTheme="majorEastAsia" w:hAnsiTheme="majorEastAsia" w:eastAsiaTheme="majorEastAsia" w:cstheme="majorEastAsia"/>
                <w:sz w:val="21"/>
                <w:szCs w:val="21"/>
                <w:highlight w:val="none"/>
                <w:lang w:eastAsia="zh-CN"/>
              </w:rPr>
              <w:t>、</w:t>
            </w:r>
            <w:r>
              <w:rPr>
                <w:rFonts w:hint="eastAsia" w:asciiTheme="majorEastAsia" w:hAnsiTheme="majorEastAsia" w:eastAsiaTheme="majorEastAsia" w:cstheme="majorEastAsia"/>
                <w:sz w:val="21"/>
                <w:szCs w:val="21"/>
                <w:highlight w:val="none"/>
                <w:lang w:val="en-US" w:eastAsia="zh-CN"/>
              </w:rPr>
              <w:t>地下室汽车及电动车</w:t>
            </w:r>
            <w:r>
              <w:rPr>
                <w:rFonts w:hint="eastAsia" w:asciiTheme="majorEastAsia" w:hAnsiTheme="majorEastAsia" w:eastAsiaTheme="majorEastAsia" w:cstheme="majorEastAsia"/>
                <w:sz w:val="21"/>
                <w:szCs w:val="21"/>
                <w:highlight w:val="none"/>
              </w:rPr>
              <w:t>秩序及治安</w:t>
            </w:r>
          </w:p>
        </w:tc>
        <w:tc>
          <w:tcPr>
            <w:tcW w:w="1644" w:type="dxa"/>
            <w:noWrap/>
            <w:vAlign w:val="center"/>
          </w:tcPr>
          <w:p w14:paraId="51220E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24小时</w:t>
            </w:r>
          </w:p>
        </w:tc>
        <w:tc>
          <w:tcPr>
            <w:tcW w:w="1567" w:type="dxa"/>
            <w:vMerge w:val="continue"/>
            <w:noWrap/>
            <w:vAlign w:val="center"/>
          </w:tcPr>
          <w:p w14:paraId="324D2AC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rPr>
            </w:pPr>
          </w:p>
        </w:tc>
      </w:tr>
      <w:tr w14:paraId="3E6FE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35" w:type="dxa"/>
            <w:noWrap/>
            <w:vAlign w:val="center"/>
          </w:tcPr>
          <w:p w14:paraId="55D1F44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消防及治安监控</w:t>
            </w:r>
          </w:p>
        </w:tc>
        <w:tc>
          <w:tcPr>
            <w:tcW w:w="4416" w:type="dxa"/>
            <w:noWrap/>
            <w:vAlign w:val="center"/>
          </w:tcPr>
          <w:p w14:paraId="7EB6AF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负责消防及治安监控</w:t>
            </w:r>
          </w:p>
        </w:tc>
        <w:tc>
          <w:tcPr>
            <w:tcW w:w="1644" w:type="dxa"/>
            <w:noWrap/>
            <w:vAlign w:val="center"/>
          </w:tcPr>
          <w:p w14:paraId="290BF5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24小时</w:t>
            </w:r>
          </w:p>
        </w:tc>
        <w:tc>
          <w:tcPr>
            <w:tcW w:w="1567" w:type="dxa"/>
            <w:noWrap/>
            <w:vAlign w:val="center"/>
          </w:tcPr>
          <w:p w14:paraId="129301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6</w:t>
            </w:r>
          </w:p>
        </w:tc>
      </w:tr>
    </w:tbl>
    <w:p w14:paraId="3C1FD38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lang w:eastAsia="zh-CN"/>
        </w:rPr>
        <w:t>（</w:t>
      </w:r>
      <w:r>
        <w:rPr>
          <w:rFonts w:hint="eastAsia" w:asciiTheme="majorEastAsia" w:hAnsiTheme="majorEastAsia" w:eastAsiaTheme="majorEastAsia" w:cstheme="majorEastAsia"/>
          <w:b/>
          <w:bCs/>
          <w:sz w:val="24"/>
          <w:szCs w:val="24"/>
          <w:highlight w:val="none"/>
          <w:lang w:val="en-US" w:eastAsia="zh-CN"/>
        </w:rPr>
        <w:t>二</w:t>
      </w:r>
      <w:r>
        <w:rPr>
          <w:rFonts w:hint="eastAsia" w:asciiTheme="majorEastAsia" w:hAnsiTheme="majorEastAsia" w:eastAsiaTheme="majorEastAsia" w:cstheme="majorEastAsia"/>
          <w:b/>
          <w:bCs/>
          <w:sz w:val="24"/>
          <w:szCs w:val="24"/>
          <w:highlight w:val="none"/>
          <w:lang w:eastAsia="zh-CN"/>
        </w:rPr>
        <w:t>）</w:t>
      </w:r>
      <w:r>
        <w:rPr>
          <w:rFonts w:hint="eastAsia" w:asciiTheme="majorEastAsia" w:hAnsiTheme="majorEastAsia" w:eastAsiaTheme="majorEastAsia" w:cstheme="majorEastAsia"/>
          <w:b/>
          <w:bCs/>
          <w:sz w:val="24"/>
          <w:szCs w:val="24"/>
          <w:highlight w:val="none"/>
        </w:rPr>
        <w:t>安保服务规范和服务要求</w:t>
      </w:r>
    </w:p>
    <w:p w14:paraId="7DAD6FE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人员要求</w:t>
      </w:r>
    </w:p>
    <w:p w14:paraId="660BB00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配备的安保人员必须具备下列基本要求：</w:t>
      </w:r>
    </w:p>
    <w:p w14:paraId="162563A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（1）思想作风正派，业务素质好，工作责任心强，岗前需进行严格政审，能够认真履行职责，接受采购人和中标人双方的共同领导。</w:t>
      </w:r>
    </w:p>
    <w:p w14:paraId="35D0393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（2）需持有有效的保安员资格证书，上岗前必须进行严格的岗前培训。</w:t>
      </w:r>
    </w:p>
    <w:p w14:paraId="5B3AC7A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（3）本项目消防监控员均需要提供消防设施操作员（中级</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四级</w:t>
      </w:r>
      <w:r>
        <w:rPr>
          <w:rFonts w:hint="eastAsia" w:asciiTheme="majorEastAsia" w:hAnsiTheme="majorEastAsia" w:eastAsiaTheme="majorEastAsia" w:cstheme="majorEastAsia"/>
          <w:color w:val="auto"/>
          <w:sz w:val="24"/>
          <w:szCs w:val="24"/>
          <w:highlight w:val="none"/>
        </w:rPr>
        <w:t>工）</w:t>
      </w:r>
      <w:r>
        <w:rPr>
          <w:rFonts w:hint="eastAsia" w:asciiTheme="majorEastAsia" w:hAnsiTheme="majorEastAsia" w:eastAsiaTheme="majorEastAsia" w:cstheme="majorEastAsia"/>
          <w:color w:val="auto"/>
          <w:sz w:val="24"/>
          <w:szCs w:val="24"/>
          <w:highlight w:val="none"/>
          <w:lang w:val="en-US" w:eastAsia="zh-CN"/>
        </w:rPr>
        <w:t>及以上证书</w:t>
      </w:r>
      <w:r>
        <w:rPr>
          <w:rFonts w:hint="eastAsia" w:asciiTheme="majorEastAsia" w:hAnsiTheme="majorEastAsia" w:eastAsiaTheme="majorEastAsia" w:cstheme="majorEastAsia"/>
          <w:color w:val="auto"/>
          <w:sz w:val="24"/>
          <w:szCs w:val="24"/>
          <w:highlight w:val="none"/>
        </w:rPr>
        <w:t>。</w:t>
      </w:r>
    </w:p>
    <w:p w14:paraId="65CC36F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（4）上岗时佩戴统一标志，按需求穿戴统一制服，仪容仪表规范整齐，文明工作，训练有素，言语规范，认真负责。</w:t>
      </w:r>
    </w:p>
    <w:p w14:paraId="77FE7D5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z w:val="24"/>
          <w:szCs w:val="24"/>
          <w:highlight w:val="none"/>
        </w:rPr>
        <w:t>（5）必须配备一定的防卫器材和消防器材（由中标人负责）</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lang w:val="en-US" w:eastAsia="zh-CN"/>
        </w:rPr>
        <w:t>包括并不限于：对讲机等通信设施和防暴头盔、防护盾牌、防爆柜、防刺背心、防割手套、橡胶警棍、强光电筒、自卫喷雾剂、钢叉、勤务腰带、视频记录仪</w:t>
      </w:r>
      <w:r>
        <w:rPr>
          <w:rFonts w:hint="eastAsia" w:asciiTheme="majorEastAsia" w:hAnsiTheme="majorEastAsia" w:eastAsiaTheme="majorEastAsia" w:cstheme="majorEastAsia"/>
          <w:sz w:val="24"/>
          <w:szCs w:val="24"/>
          <w:highlight w:val="none"/>
          <w:lang w:eastAsia="zh-CN"/>
        </w:rPr>
        <w:t>。</w:t>
      </w:r>
    </w:p>
    <w:p w14:paraId="25DD833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b/>
          <w:bCs/>
          <w:i/>
          <w:iCs/>
          <w:sz w:val="24"/>
          <w:szCs w:val="24"/>
          <w:highlight w:val="none"/>
          <w:lang w:val="en-US" w:eastAsia="zh-CN"/>
        </w:rPr>
      </w:pPr>
      <w:r>
        <w:rPr>
          <w:rFonts w:hint="eastAsia" w:asciiTheme="majorEastAsia" w:hAnsiTheme="majorEastAsia" w:eastAsiaTheme="majorEastAsia" w:cstheme="majorEastAsia"/>
          <w:sz w:val="24"/>
          <w:szCs w:val="24"/>
          <w:highlight w:val="none"/>
        </w:rPr>
        <w:t>（6）年龄应在18周岁至5</w:t>
      </w:r>
      <w:r>
        <w:rPr>
          <w:rFonts w:hint="eastAsia" w:asciiTheme="majorEastAsia" w:hAnsiTheme="majorEastAsia" w:eastAsiaTheme="majorEastAsia" w:cstheme="majorEastAsia"/>
          <w:sz w:val="24"/>
          <w:szCs w:val="24"/>
          <w:highlight w:val="none"/>
          <w:lang w:val="en-US" w:eastAsia="zh-CN"/>
        </w:rPr>
        <w:t>8</w:t>
      </w:r>
      <w:r>
        <w:rPr>
          <w:rFonts w:hint="eastAsia" w:asciiTheme="majorEastAsia" w:hAnsiTheme="majorEastAsia" w:eastAsiaTheme="majorEastAsia" w:cstheme="majorEastAsia"/>
          <w:sz w:val="24"/>
          <w:szCs w:val="24"/>
          <w:highlight w:val="none"/>
        </w:rPr>
        <w:t>周岁以内，身体健康，具有初中</w:t>
      </w:r>
      <w:r>
        <w:rPr>
          <w:rFonts w:hint="eastAsia" w:asciiTheme="majorEastAsia" w:hAnsiTheme="majorEastAsia" w:eastAsiaTheme="majorEastAsia" w:cstheme="majorEastAsia"/>
          <w:sz w:val="24"/>
          <w:szCs w:val="24"/>
          <w:highlight w:val="none"/>
          <w:lang w:val="en-US" w:eastAsia="zh-CN"/>
        </w:rPr>
        <w:t>及</w:t>
      </w:r>
      <w:r>
        <w:rPr>
          <w:rFonts w:hint="eastAsia" w:asciiTheme="majorEastAsia" w:hAnsiTheme="majorEastAsia" w:eastAsiaTheme="majorEastAsia" w:cstheme="majorEastAsia"/>
          <w:sz w:val="24"/>
          <w:szCs w:val="24"/>
          <w:highlight w:val="none"/>
        </w:rPr>
        <w:t>以上学历。</w:t>
      </w:r>
      <w:r>
        <w:rPr>
          <w:rFonts w:hint="eastAsia" w:asciiTheme="majorEastAsia" w:hAnsiTheme="majorEastAsia" w:eastAsiaTheme="majorEastAsia" w:cstheme="majorEastAsia"/>
          <w:b/>
          <w:bCs/>
          <w:i/>
          <w:iCs/>
          <w:sz w:val="24"/>
          <w:szCs w:val="24"/>
          <w:highlight w:val="none"/>
          <w:lang w:val="en-US" w:eastAsia="zh-CN"/>
        </w:rPr>
        <w:t>50周岁以下保安员占总数的20%以上。</w:t>
      </w:r>
    </w:p>
    <w:p w14:paraId="7452EEF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（7）入口处安检岗位需持有安检证，熟悉安检设备与安检流程。</w:t>
      </w:r>
    </w:p>
    <w:p w14:paraId="7B0091B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（8）需具备一定的救护能力，应对突发情况。</w:t>
      </w:r>
    </w:p>
    <w:p w14:paraId="4A328AD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服务标准</w:t>
      </w:r>
    </w:p>
    <w:p w14:paraId="0EFEECC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（1）全力配合</w:t>
      </w:r>
      <w:r>
        <w:rPr>
          <w:rFonts w:hint="eastAsia" w:asciiTheme="majorEastAsia" w:hAnsiTheme="majorEastAsia" w:eastAsiaTheme="majorEastAsia" w:cstheme="majorEastAsia"/>
          <w:sz w:val="24"/>
          <w:szCs w:val="24"/>
          <w:highlight w:val="none"/>
          <w:lang w:val="en-US" w:eastAsia="zh-CN"/>
        </w:rPr>
        <w:t>医院</w:t>
      </w:r>
      <w:r>
        <w:rPr>
          <w:rFonts w:hint="eastAsia" w:asciiTheme="majorEastAsia" w:hAnsiTheme="majorEastAsia" w:eastAsiaTheme="majorEastAsia" w:cstheme="majorEastAsia"/>
          <w:sz w:val="24"/>
          <w:szCs w:val="24"/>
          <w:highlight w:val="none"/>
        </w:rPr>
        <w:t>做好</w:t>
      </w:r>
      <w:r>
        <w:rPr>
          <w:rFonts w:hint="eastAsia" w:asciiTheme="majorEastAsia" w:hAnsiTheme="majorEastAsia" w:eastAsiaTheme="majorEastAsia" w:cstheme="majorEastAsia"/>
          <w:sz w:val="24"/>
          <w:szCs w:val="24"/>
          <w:highlight w:val="none"/>
          <w:lang w:val="en-US" w:eastAsia="zh-CN"/>
        </w:rPr>
        <w:t>消防</w:t>
      </w:r>
      <w:r>
        <w:rPr>
          <w:rFonts w:hint="eastAsia" w:asciiTheme="majorEastAsia" w:hAnsiTheme="majorEastAsia" w:eastAsiaTheme="majorEastAsia" w:cstheme="majorEastAsia"/>
          <w:sz w:val="24"/>
          <w:szCs w:val="24"/>
          <w:highlight w:val="none"/>
        </w:rPr>
        <w:t>工作，及时发现和排除安全隐患；组织安保人员开展消防知识学习或业务培训，每季度不少于1次。</w:t>
      </w:r>
    </w:p>
    <w:p w14:paraId="65E55CD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（2）服务时间：根据各岗位要求，配置相应的安保工作时间，主要区域24小时值班看守。</w:t>
      </w:r>
    </w:p>
    <w:p w14:paraId="5BE7E2A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（3）交接班：有详细完整的交接班记录。</w:t>
      </w:r>
    </w:p>
    <w:p w14:paraId="08B46ED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（4）外来车辆及外来人员：禁止无关车辆进入</w:t>
      </w:r>
      <w:r>
        <w:rPr>
          <w:rFonts w:hint="eastAsia" w:asciiTheme="majorEastAsia" w:hAnsiTheme="majorEastAsia" w:eastAsiaTheme="majorEastAsia" w:cstheme="majorEastAsia"/>
          <w:sz w:val="24"/>
          <w:szCs w:val="24"/>
          <w:highlight w:val="none"/>
          <w:lang w:val="en-US" w:eastAsia="zh-CN"/>
        </w:rPr>
        <w:t>医院</w:t>
      </w:r>
      <w:r>
        <w:rPr>
          <w:rFonts w:hint="eastAsia" w:asciiTheme="majorEastAsia" w:hAnsiTheme="majorEastAsia" w:eastAsiaTheme="majorEastAsia" w:cstheme="majorEastAsia"/>
          <w:sz w:val="24"/>
          <w:szCs w:val="24"/>
          <w:highlight w:val="none"/>
        </w:rPr>
        <w:t>场地，确需进入的应引导车辆有序通行、停放。</w:t>
      </w:r>
    </w:p>
    <w:p w14:paraId="0964C2D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（5）夜间：工作人员下班后关闭大门，对办公室门窗及楼道窗户关闭情况进行安全检查，关闭各楼道内不必要的电源。按时开启、关闭报警及其他有关设施。</w:t>
      </w:r>
    </w:p>
    <w:p w14:paraId="77FB811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（6）应急响应：接到火警、警情后</w:t>
      </w:r>
      <w:r>
        <w:rPr>
          <w:rFonts w:hint="eastAsia" w:asciiTheme="majorEastAsia" w:hAnsiTheme="majorEastAsia" w:eastAsiaTheme="majorEastAsia" w:cstheme="majorEastAsia"/>
          <w:sz w:val="24"/>
          <w:szCs w:val="24"/>
          <w:highlight w:val="none"/>
          <w:lang w:val="en-US" w:eastAsia="zh-CN"/>
        </w:rPr>
        <w:t>1分钟响应，</w:t>
      </w:r>
      <w:r>
        <w:rPr>
          <w:rFonts w:hint="eastAsia" w:asciiTheme="majorEastAsia" w:hAnsiTheme="majorEastAsia" w:eastAsiaTheme="majorEastAsia" w:cstheme="majorEastAsia"/>
          <w:sz w:val="24"/>
          <w:szCs w:val="24"/>
          <w:highlight w:val="none"/>
        </w:rPr>
        <w:t>3分钟内到达现场，并报采购人领导与警方，协助采取有关措施。</w:t>
      </w:r>
    </w:p>
    <w:p w14:paraId="05F2906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（7）消防控制室：</w:t>
      </w:r>
    </w:p>
    <w:p w14:paraId="1CDDD3B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宋体" w:hAnsi="宋体" w:eastAsia="宋体" w:cs="宋体"/>
          <w:sz w:val="24"/>
          <w:szCs w:val="24"/>
          <w:highlight w:val="none"/>
        </w:rPr>
        <w:t>①</w:t>
      </w:r>
      <w:r>
        <w:rPr>
          <w:rFonts w:hint="eastAsia" w:asciiTheme="majorEastAsia" w:hAnsiTheme="majorEastAsia" w:eastAsiaTheme="majorEastAsia" w:cstheme="majorEastAsia"/>
          <w:sz w:val="24"/>
          <w:szCs w:val="24"/>
          <w:highlight w:val="none"/>
        </w:rPr>
        <w:t>消防控制室人员应严格遵守消防控制室各项安全操作规程和各项消防安全管理制度。</w:t>
      </w:r>
    </w:p>
    <w:p w14:paraId="730CAAC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宋体" w:hAnsi="宋体" w:eastAsia="宋体" w:cs="宋体"/>
          <w:sz w:val="24"/>
          <w:szCs w:val="24"/>
          <w:highlight w:val="none"/>
        </w:rPr>
        <w:t>②</w:t>
      </w:r>
      <w:r>
        <w:rPr>
          <w:rFonts w:hint="eastAsia" w:asciiTheme="majorEastAsia" w:hAnsiTheme="majorEastAsia" w:eastAsiaTheme="majorEastAsia" w:cstheme="majorEastAsia"/>
          <w:sz w:val="24"/>
          <w:szCs w:val="24"/>
          <w:highlight w:val="none"/>
        </w:rPr>
        <w:t>消防控制室实行每日24小时专人值班，三班制最低配置6人，每班要求不少于2</w:t>
      </w:r>
      <w:r>
        <w:rPr>
          <w:rFonts w:hint="eastAsia" w:asciiTheme="majorEastAsia" w:hAnsiTheme="majorEastAsia" w:eastAsiaTheme="majorEastAsia" w:cstheme="majorEastAsia"/>
          <w:color w:val="auto"/>
          <w:sz w:val="24"/>
          <w:szCs w:val="24"/>
          <w:highlight w:val="none"/>
        </w:rPr>
        <w:t>人。确保及时发现并准确处置火灾和故障报警。</w:t>
      </w:r>
    </w:p>
    <w:p w14:paraId="439743A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宋体" w:hAnsi="宋体" w:eastAsia="宋体" w:cs="宋体"/>
          <w:color w:val="auto"/>
          <w:sz w:val="24"/>
          <w:szCs w:val="24"/>
          <w:highlight w:val="none"/>
        </w:rPr>
        <w:t>③</w:t>
      </w:r>
      <w:r>
        <w:rPr>
          <w:rFonts w:hint="eastAsia" w:asciiTheme="majorEastAsia" w:hAnsiTheme="majorEastAsia" w:eastAsiaTheme="majorEastAsia" w:cstheme="majorEastAsia"/>
          <w:color w:val="auto"/>
          <w:sz w:val="24"/>
          <w:szCs w:val="24"/>
          <w:highlight w:val="none"/>
        </w:rPr>
        <w:t>消防控制室自动消防系统值班操作人员，应取得消防设施操作员（中级</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四级工）</w:t>
      </w:r>
      <w:r>
        <w:rPr>
          <w:rFonts w:hint="eastAsia" w:asciiTheme="majorEastAsia" w:hAnsiTheme="majorEastAsia" w:eastAsiaTheme="majorEastAsia" w:cstheme="majorEastAsia"/>
          <w:color w:val="auto"/>
          <w:sz w:val="24"/>
          <w:szCs w:val="24"/>
          <w:highlight w:val="none"/>
          <w:lang w:val="en-US" w:eastAsia="zh-CN"/>
        </w:rPr>
        <w:t>及以上证书</w:t>
      </w:r>
      <w:r>
        <w:rPr>
          <w:rFonts w:hint="eastAsia" w:asciiTheme="majorEastAsia" w:hAnsiTheme="majorEastAsia" w:eastAsiaTheme="majorEastAsia" w:cstheme="majorEastAsia"/>
          <w:color w:val="auto"/>
          <w:sz w:val="24"/>
          <w:szCs w:val="24"/>
          <w:highlight w:val="none"/>
        </w:rPr>
        <w:t>，持证上岗，</w:t>
      </w:r>
      <w:r>
        <w:rPr>
          <w:rFonts w:hint="eastAsia" w:asciiTheme="majorEastAsia" w:hAnsiTheme="majorEastAsia" w:eastAsiaTheme="majorEastAsia" w:cstheme="majorEastAsia"/>
          <w:color w:val="auto"/>
          <w:sz w:val="24"/>
          <w:szCs w:val="24"/>
          <w:highlight w:val="none"/>
          <w:lang w:val="en-US" w:eastAsia="zh-CN"/>
        </w:rPr>
        <w:t>复印件</w:t>
      </w:r>
      <w:r>
        <w:rPr>
          <w:rFonts w:hint="eastAsia" w:asciiTheme="majorEastAsia" w:hAnsiTheme="majorEastAsia" w:eastAsiaTheme="majorEastAsia" w:cstheme="majorEastAsia"/>
          <w:color w:val="auto"/>
          <w:sz w:val="24"/>
          <w:szCs w:val="24"/>
          <w:highlight w:val="none"/>
        </w:rPr>
        <w:t>存放在消防控制室</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原件</w:t>
      </w:r>
      <w:r>
        <w:rPr>
          <w:rFonts w:hint="eastAsia" w:asciiTheme="majorEastAsia" w:hAnsiTheme="majorEastAsia" w:eastAsiaTheme="majorEastAsia" w:cstheme="majorEastAsia"/>
          <w:color w:val="auto"/>
          <w:sz w:val="24"/>
          <w:szCs w:val="24"/>
          <w:highlight w:val="none"/>
        </w:rPr>
        <w:t>备查。</w:t>
      </w:r>
    </w:p>
    <w:p w14:paraId="6CFC52E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宋体" w:hAnsi="宋体" w:eastAsia="宋体" w:cs="宋体"/>
          <w:color w:val="auto"/>
          <w:sz w:val="24"/>
          <w:szCs w:val="24"/>
          <w:highlight w:val="none"/>
        </w:rPr>
        <w:t>④</w:t>
      </w:r>
      <w:r>
        <w:rPr>
          <w:rFonts w:hint="eastAsia" w:asciiTheme="majorEastAsia" w:hAnsiTheme="majorEastAsia" w:eastAsiaTheme="majorEastAsia" w:cstheme="majorEastAsia"/>
          <w:color w:val="auto"/>
          <w:sz w:val="24"/>
          <w:szCs w:val="24"/>
          <w:highlight w:val="none"/>
        </w:rPr>
        <w:t>消防控制室工作人员按时上岗，并做好交接班工作，接班人员未到岗前交班人员不得擅自离岗。</w:t>
      </w:r>
    </w:p>
    <w:p w14:paraId="045F7D0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宋体" w:hAnsi="宋体" w:eastAsia="宋体" w:cs="宋体"/>
          <w:color w:val="auto"/>
          <w:sz w:val="24"/>
          <w:szCs w:val="24"/>
          <w:highlight w:val="none"/>
        </w:rPr>
        <w:t>⑤</w:t>
      </w:r>
      <w:r>
        <w:rPr>
          <w:rFonts w:hint="eastAsia" w:asciiTheme="majorEastAsia" w:hAnsiTheme="majorEastAsia" w:eastAsiaTheme="majorEastAsia" w:cstheme="majorEastAsia"/>
          <w:color w:val="auto"/>
          <w:sz w:val="24"/>
          <w:szCs w:val="24"/>
          <w:highlight w:val="none"/>
        </w:rPr>
        <w:t>消防控制室工作人员应尽职尽责，不得脱岗、替岗、睡岗，严禁值班前饮酒或在值班时进行娱乐活动，因确有特殊情况不能到岗的，应提前向</w:t>
      </w:r>
      <w:r>
        <w:rPr>
          <w:rFonts w:hint="eastAsia" w:asciiTheme="majorEastAsia" w:hAnsiTheme="majorEastAsia" w:eastAsiaTheme="majorEastAsia" w:cstheme="majorEastAsia"/>
          <w:color w:val="auto"/>
          <w:sz w:val="24"/>
          <w:szCs w:val="24"/>
          <w:highlight w:val="none"/>
          <w:lang w:val="en-US" w:eastAsia="zh-CN"/>
        </w:rPr>
        <w:t>采购人</w:t>
      </w:r>
      <w:r>
        <w:rPr>
          <w:rFonts w:hint="eastAsia" w:asciiTheme="majorEastAsia" w:hAnsiTheme="majorEastAsia" w:eastAsiaTheme="majorEastAsia" w:cstheme="majorEastAsia"/>
          <w:color w:val="auto"/>
          <w:sz w:val="24"/>
          <w:szCs w:val="24"/>
          <w:highlight w:val="none"/>
        </w:rPr>
        <w:t>请假</w:t>
      </w:r>
      <w:r>
        <w:rPr>
          <w:rFonts w:hint="eastAsia" w:asciiTheme="majorEastAsia" w:hAnsiTheme="majorEastAsia" w:eastAsiaTheme="majorEastAsia" w:cstheme="majorEastAsia"/>
          <w:sz w:val="24"/>
          <w:szCs w:val="24"/>
          <w:highlight w:val="none"/>
        </w:rPr>
        <w:t>，经批准后，由同等</w:t>
      </w:r>
      <w:r>
        <w:rPr>
          <w:rFonts w:hint="eastAsia" w:asciiTheme="majorEastAsia" w:hAnsiTheme="majorEastAsia" w:eastAsiaTheme="majorEastAsia" w:cstheme="majorEastAsia"/>
          <w:sz w:val="24"/>
          <w:szCs w:val="24"/>
          <w:highlight w:val="none"/>
          <w:lang w:val="en-US" w:eastAsia="zh-CN"/>
        </w:rPr>
        <w:t>证书</w:t>
      </w:r>
      <w:r>
        <w:rPr>
          <w:rFonts w:hint="eastAsia" w:asciiTheme="majorEastAsia" w:hAnsiTheme="majorEastAsia" w:eastAsiaTheme="majorEastAsia" w:cstheme="majorEastAsia"/>
          <w:sz w:val="24"/>
          <w:szCs w:val="24"/>
          <w:highlight w:val="none"/>
        </w:rPr>
        <w:t>的人员代替值班。</w:t>
      </w:r>
    </w:p>
    <w:p w14:paraId="40360C6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宋体" w:hAnsi="宋体" w:eastAsia="宋体" w:cs="宋体"/>
          <w:sz w:val="24"/>
          <w:szCs w:val="24"/>
          <w:highlight w:val="none"/>
        </w:rPr>
        <w:t>⑥</w:t>
      </w:r>
      <w:r>
        <w:rPr>
          <w:rFonts w:hint="eastAsia" w:asciiTheme="majorEastAsia" w:hAnsiTheme="majorEastAsia" w:eastAsiaTheme="majorEastAsia" w:cstheme="majorEastAsia"/>
          <w:sz w:val="24"/>
          <w:szCs w:val="24"/>
          <w:highlight w:val="none"/>
        </w:rPr>
        <w:t>消防控制室工作人员要爱护消防控制室的设施，保持控制室内的卫生。</w:t>
      </w:r>
    </w:p>
    <w:p w14:paraId="0FE81BF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宋体" w:hAnsi="宋体" w:eastAsia="宋体" w:cs="宋体"/>
          <w:sz w:val="24"/>
          <w:szCs w:val="24"/>
          <w:highlight w:val="none"/>
          <w:lang w:val="en-US" w:eastAsia="zh-CN"/>
        </w:rPr>
        <w:t>⑦</w:t>
      </w:r>
      <w:r>
        <w:rPr>
          <w:rFonts w:hint="eastAsia" w:asciiTheme="majorEastAsia" w:hAnsiTheme="majorEastAsia" w:eastAsiaTheme="majorEastAsia" w:cstheme="majorEastAsia"/>
          <w:sz w:val="24"/>
          <w:szCs w:val="24"/>
          <w:highlight w:val="none"/>
        </w:rPr>
        <w:t>严禁无关人员进入消防控制室，随意触动设备。</w:t>
      </w:r>
    </w:p>
    <w:p w14:paraId="4364421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宋体" w:hAnsi="宋体" w:eastAsia="宋体" w:cs="宋体"/>
          <w:sz w:val="24"/>
          <w:szCs w:val="24"/>
          <w:highlight w:val="none"/>
          <w:lang w:val="en-US" w:eastAsia="zh-CN"/>
        </w:rPr>
        <w:t>⑧</w:t>
      </w:r>
      <w:r>
        <w:rPr>
          <w:rFonts w:hint="eastAsia" w:asciiTheme="majorEastAsia" w:hAnsiTheme="majorEastAsia" w:eastAsiaTheme="majorEastAsia" w:cstheme="majorEastAsia"/>
          <w:sz w:val="24"/>
          <w:szCs w:val="24"/>
          <w:highlight w:val="none"/>
        </w:rPr>
        <w:t>消防控制室严禁存放易燃易爆危险物品和堆放与设备运行无关的物品，严禁与消防控制室无关的电气线路和管道穿过。</w:t>
      </w:r>
    </w:p>
    <w:p w14:paraId="2E98DE5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（8）工作纪律：保安员在工作期间要接受采购人的领导和监督，遵守采购人的有关规章制度和《保安人员纪律》。</w:t>
      </w:r>
    </w:p>
    <w:p w14:paraId="0D5400C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（9）装备保障：接到应急指令后能够迅速安排载客车辆调动外援力量，保证人员短时间内到位。</w:t>
      </w:r>
    </w:p>
    <w:p w14:paraId="702303F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（10）做好其它相关保安工作。</w:t>
      </w:r>
    </w:p>
    <w:p w14:paraId="3D256D8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rPr>
        <w:t>3</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其他</w:t>
      </w:r>
      <w:r>
        <w:rPr>
          <w:rFonts w:hint="eastAsia" w:asciiTheme="majorEastAsia" w:hAnsiTheme="majorEastAsia" w:eastAsiaTheme="majorEastAsia" w:cstheme="majorEastAsia"/>
          <w:sz w:val="24"/>
          <w:szCs w:val="24"/>
          <w:highlight w:val="none"/>
          <w:lang w:val="en-US" w:eastAsia="zh-CN"/>
        </w:rPr>
        <w:t>要求</w:t>
      </w:r>
    </w:p>
    <w:p w14:paraId="5224556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（1）工作纪律：保安员在工作期间要接受采购人的领导和监督，遵守采购人的有关规章制度。</w:t>
      </w:r>
    </w:p>
    <w:p w14:paraId="3EBCB76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w:t>
      </w:r>
      <w:r>
        <w:rPr>
          <w:rFonts w:hint="eastAsia" w:asciiTheme="majorEastAsia" w:hAnsiTheme="majorEastAsia" w:eastAsiaTheme="majorEastAsia" w:cstheme="majorEastAsia"/>
          <w:sz w:val="24"/>
          <w:szCs w:val="24"/>
          <w:highlight w:val="none"/>
          <w:lang w:val="en-US" w:eastAsia="zh-CN"/>
        </w:rPr>
        <w:t>采购人在工作中需要帮助时</w:t>
      </w:r>
      <w:r>
        <w:rPr>
          <w:rFonts w:hint="eastAsia" w:asciiTheme="majorEastAsia" w:hAnsiTheme="majorEastAsia" w:eastAsiaTheme="majorEastAsia" w:cstheme="majorEastAsia"/>
          <w:sz w:val="24"/>
          <w:szCs w:val="24"/>
          <w:highlight w:val="none"/>
        </w:rPr>
        <w:t>，应主动热情，积极响应。</w:t>
      </w:r>
    </w:p>
    <w:p w14:paraId="294B3E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（3）依据医院要求做好其他相关工作，完成采购人交办的临时工作任务。</w:t>
      </w:r>
    </w:p>
    <w:p w14:paraId="4BB8DEF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（4）中标人必须严格管理，周到服务，严格遵守采购人的各项规章制度。对采购人认定的不合格的队员随时调换（3天内）。</w:t>
      </w:r>
    </w:p>
    <w:p w14:paraId="502FA3E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（5）中标人要不定期</w:t>
      </w:r>
      <w:r>
        <w:rPr>
          <w:rFonts w:hint="eastAsia" w:asciiTheme="majorEastAsia" w:hAnsiTheme="majorEastAsia" w:eastAsiaTheme="majorEastAsia" w:cstheme="majorEastAsia"/>
          <w:sz w:val="24"/>
          <w:szCs w:val="24"/>
          <w:highlight w:val="none"/>
          <w:lang w:eastAsia="zh-CN"/>
        </w:rPr>
        <w:t>地</w:t>
      </w:r>
      <w:r>
        <w:rPr>
          <w:rFonts w:hint="eastAsia" w:asciiTheme="majorEastAsia" w:hAnsiTheme="majorEastAsia" w:eastAsiaTheme="majorEastAsia" w:cstheme="majorEastAsia"/>
          <w:sz w:val="24"/>
          <w:szCs w:val="24"/>
          <w:highlight w:val="none"/>
        </w:rPr>
        <w:t>组织查岗，每月至少组织4次夜间查岗，查岗情况及时向采购人通报。同时按照保安公司制定的规章制度进行处罚或奖励。</w:t>
      </w:r>
    </w:p>
    <w:p w14:paraId="5A3D05D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（6）中标人要定期组织军事训练和消防演练，切实提高安防工作水平，不折不扣完成采购人交给的各项任务。</w:t>
      </w:r>
    </w:p>
    <w:p w14:paraId="60501C5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（7）对采购人提供的生活、工作用品，保安员应爱护使用，如</w:t>
      </w:r>
      <w:r>
        <w:rPr>
          <w:rFonts w:hint="eastAsia" w:asciiTheme="majorEastAsia" w:hAnsiTheme="majorEastAsia" w:eastAsiaTheme="majorEastAsia" w:cstheme="majorEastAsia"/>
          <w:color w:val="0000FF"/>
          <w:sz w:val="24"/>
          <w:szCs w:val="24"/>
          <w:highlight w:val="none"/>
          <w:lang w:val="en-US" w:eastAsia="zh-CN"/>
        </w:rPr>
        <w:t>因</w:t>
      </w:r>
      <w:r>
        <w:rPr>
          <w:rFonts w:hint="eastAsia" w:asciiTheme="majorEastAsia" w:hAnsiTheme="majorEastAsia" w:eastAsiaTheme="majorEastAsia" w:cstheme="majorEastAsia"/>
          <w:sz w:val="24"/>
          <w:szCs w:val="24"/>
          <w:highlight w:val="none"/>
        </w:rPr>
        <w:t>使用不当造成损坏的，当事人应承担赔偿责任。</w:t>
      </w:r>
    </w:p>
    <w:p w14:paraId="3660E48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（8）中标人应指派1名主管领导对保安队伍进行管理，发现问题及时沟通、处理。</w:t>
      </w:r>
    </w:p>
    <w:p w14:paraId="62FE02A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lang w:eastAsia="zh-CN"/>
        </w:rPr>
        <w:t>（</w:t>
      </w:r>
      <w:r>
        <w:rPr>
          <w:rFonts w:hint="eastAsia" w:asciiTheme="majorEastAsia" w:hAnsiTheme="majorEastAsia" w:eastAsiaTheme="majorEastAsia" w:cstheme="majorEastAsia"/>
          <w:b/>
          <w:bCs/>
          <w:sz w:val="24"/>
          <w:szCs w:val="24"/>
          <w:highlight w:val="none"/>
          <w:lang w:val="en-US" w:eastAsia="zh-CN"/>
        </w:rPr>
        <w:t>三</w:t>
      </w:r>
      <w:r>
        <w:rPr>
          <w:rFonts w:hint="eastAsia" w:asciiTheme="majorEastAsia" w:hAnsiTheme="majorEastAsia" w:eastAsiaTheme="majorEastAsia" w:cstheme="majorEastAsia"/>
          <w:b/>
          <w:bCs/>
          <w:sz w:val="24"/>
          <w:szCs w:val="24"/>
          <w:highlight w:val="none"/>
          <w:lang w:eastAsia="zh-CN"/>
        </w:rPr>
        <w:t>）</w:t>
      </w:r>
      <w:r>
        <w:rPr>
          <w:rFonts w:hint="eastAsia" w:asciiTheme="majorEastAsia" w:hAnsiTheme="majorEastAsia" w:eastAsiaTheme="majorEastAsia" w:cstheme="majorEastAsia"/>
          <w:b/>
          <w:bCs/>
          <w:sz w:val="24"/>
          <w:szCs w:val="24"/>
          <w:highlight w:val="none"/>
        </w:rPr>
        <w:t>人员配备及待遇要求</w:t>
      </w:r>
    </w:p>
    <w:p w14:paraId="4221E0D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中</w:t>
      </w:r>
      <w:r>
        <w:rPr>
          <w:rFonts w:hint="eastAsia" w:asciiTheme="majorEastAsia" w:hAnsiTheme="majorEastAsia" w:eastAsiaTheme="majorEastAsia" w:cstheme="majorEastAsia"/>
          <w:sz w:val="24"/>
          <w:szCs w:val="24"/>
          <w:highlight w:val="none"/>
          <w:lang w:val="en-US" w:eastAsia="zh-CN"/>
        </w:rPr>
        <w:t>标</w:t>
      </w:r>
      <w:r>
        <w:rPr>
          <w:rFonts w:hint="eastAsia" w:asciiTheme="majorEastAsia" w:hAnsiTheme="majorEastAsia" w:eastAsiaTheme="majorEastAsia" w:cstheme="majorEastAsia"/>
          <w:sz w:val="24"/>
          <w:szCs w:val="24"/>
          <w:highlight w:val="none"/>
        </w:rPr>
        <w:t>人根据采购人需求合理配备安保人员，</w:t>
      </w:r>
      <w:r>
        <w:rPr>
          <w:rFonts w:hint="eastAsia" w:asciiTheme="majorEastAsia" w:hAnsiTheme="majorEastAsia" w:eastAsiaTheme="majorEastAsia" w:cstheme="majorEastAsia"/>
          <w:color w:val="auto"/>
          <w:sz w:val="24"/>
          <w:szCs w:val="24"/>
          <w:highlight w:val="none"/>
        </w:rPr>
        <w:t>保证从业人员工资不低于泰州市最低工资标准，并依法缴纳社保及人身意外伤害等保险</w:t>
      </w:r>
      <w:r>
        <w:rPr>
          <w:rFonts w:hint="eastAsia" w:asciiTheme="majorEastAsia" w:hAnsiTheme="majorEastAsia" w:eastAsiaTheme="majorEastAsia" w:cstheme="majorEastAsia"/>
          <w:color w:val="auto"/>
          <w:sz w:val="24"/>
          <w:szCs w:val="24"/>
          <w:highlight w:val="none"/>
          <w:lang w:val="en-US" w:eastAsia="zh-CN"/>
        </w:rPr>
        <w:t>，社会保险缴纳比例不低于总人数的80%。</w:t>
      </w:r>
    </w:p>
    <w:p w14:paraId="09BBE2D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lang w:eastAsia="zh-CN"/>
        </w:rPr>
        <w:t>（</w:t>
      </w:r>
      <w:r>
        <w:rPr>
          <w:rFonts w:hint="eastAsia" w:asciiTheme="majorEastAsia" w:hAnsiTheme="majorEastAsia" w:eastAsiaTheme="majorEastAsia" w:cstheme="majorEastAsia"/>
          <w:b/>
          <w:bCs/>
          <w:sz w:val="24"/>
          <w:szCs w:val="24"/>
          <w:highlight w:val="none"/>
          <w:lang w:val="en-US" w:eastAsia="zh-CN"/>
        </w:rPr>
        <w:t>四</w:t>
      </w:r>
      <w:r>
        <w:rPr>
          <w:rFonts w:hint="eastAsia" w:asciiTheme="majorEastAsia" w:hAnsiTheme="majorEastAsia" w:eastAsiaTheme="majorEastAsia" w:cstheme="majorEastAsia"/>
          <w:b/>
          <w:bCs/>
          <w:sz w:val="24"/>
          <w:szCs w:val="24"/>
          <w:highlight w:val="none"/>
          <w:lang w:eastAsia="zh-CN"/>
        </w:rPr>
        <w:t>）</w:t>
      </w:r>
      <w:r>
        <w:rPr>
          <w:rFonts w:hint="eastAsia" w:asciiTheme="majorEastAsia" w:hAnsiTheme="majorEastAsia" w:eastAsiaTheme="majorEastAsia" w:cstheme="majorEastAsia"/>
          <w:b/>
          <w:bCs/>
          <w:sz w:val="24"/>
          <w:szCs w:val="24"/>
          <w:highlight w:val="none"/>
        </w:rPr>
        <w:t>履约保证金</w:t>
      </w:r>
    </w:p>
    <w:p w14:paraId="596D85D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sz w:val="24"/>
          <w:szCs w:val="24"/>
          <w:highlight w:val="none"/>
          <w:lang w:val="en-US" w:eastAsia="zh-CN"/>
        </w:rPr>
        <w:t>1.</w:t>
      </w:r>
      <w:r>
        <w:rPr>
          <w:rFonts w:hint="eastAsia" w:asciiTheme="majorEastAsia" w:hAnsiTheme="majorEastAsia" w:eastAsiaTheme="majorEastAsia" w:cstheme="majorEastAsia"/>
          <w:sz w:val="24"/>
          <w:szCs w:val="24"/>
          <w:highlight w:val="none"/>
        </w:rPr>
        <w:t>金</w:t>
      </w:r>
      <w:r>
        <w:rPr>
          <w:rFonts w:hint="eastAsia" w:asciiTheme="majorEastAsia" w:hAnsiTheme="majorEastAsia" w:eastAsiaTheme="majorEastAsia" w:cstheme="majorEastAsia"/>
          <w:color w:val="auto"/>
          <w:sz w:val="24"/>
          <w:szCs w:val="24"/>
          <w:highlight w:val="none"/>
        </w:rPr>
        <w:t>额：</w:t>
      </w:r>
      <w:r>
        <w:rPr>
          <w:rFonts w:hint="eastAsia" w:asciiTheme="majorEastAsia" w:hAnsiTheme="majorEastAsia" w:eastAsiaTheme="majorEastAsia" w:cstheme="majorEastAsia"/>
          <w:color w:val="auto"/>
          <w:sz w:val="24"/>
          <w:szCs w:val="24"/>
          <w:highlight w:val="none"/>
          <w:lang w:val="en-US" w:eastAsia="zh-CN"/>
        </w:rPr>
        <w:t>单年中标</w:t>
      </w:r>
      <w:r>
        <w:rPr>
          <w:rFonts w:hint="eastAsia" w:asciiTheme="majorEastAsia" w:hAnsiTheme="majorEastAsia" w:eastAsiaTheme="majorEastAsia" w:cstheme="majorEastAsia"/>
          <w:color w:val="auto"/>
          <w:sz w:val="24"/>
          <w:szCs w:val="24"/>
          <w:highlight w:val="none"/>
        </w:rPr>
        <w:t>金额的</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w:t>
      </w:r>
    </w:p>
    <w:p w14:paraId="791B51A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缴纳时间：中标后签订合同前中标人自主选择以电汇、转账、支票、汇票、本票（限泰州同城）、保函、保证保险等非现金形式缴纳或提交至采购人指定账户。</w:t>
      </w:r>
    </w:p>
    <w:p w14:paraId="0686667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退还时间：服务期满后退还（无息）。</w:t>
      </w:r>
    </w:p>
    <w:p w14:paraId="3395D3B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default"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eastAsia="zh-CN"/>
        </w:rPr>
        <w:t>（</w:t>
      </w:r>
      <w:r>
        <w:rPr>
          <w:rFonts w:hint="eastAsia" w:asciiTheme="majorEastAsia" w:hAnsiTheme="majorEastAsia" w:eastAsiaTheme="majorEastAsia" w:cstheme="majorEastAsia"/>
          <w:b/>
          <w:bCs/>
          <w:color w:val="auto"/>
          <w:sz w:val="24"/>
          <w:szCs w:val="24"/>
          <w:highlight w:val="none"/>
          <w:lang w:val="en-US" w:eastAsia="zh-CN"/>
        </w:rPr>
        <w:t>五</w:t>
      </w:r>
      <w:r>
        <w:rPr>
          <w:rFonts w:hint="eastAsia" w:asciiTheme="majorEastAsia" w:hAnsiTheme="majorEastAsia" w:eastAsiaTheme="majorEastAsia" w:cstheme="majorEastAsia"/>
          <w:b/>
          <w:bCs/>
          <w:color w:val="auto"/>
          <w:sz w:val="24"/>
          <w:szCs w:val="24"/>
          <w:highlight w:val="none"/>
          <w:lang w:eastAsia="zh-CN"/>
        </w:rPr>
        <w:t>）</w:t>
      </w:r>
      <w:r>
        <w:rPr>
          <w:rFonts w:hint="eastAsia" w:asciiTheme="majorEastAsia" w:hAnsiTheme="majorEastAsia" w:eastAsiaTheme="majorEastAsia" w:cstheme="majorEastAsia"/>
          <w:b/>
          <w:bCs/>
          <w:color w:val="auto"/>
          <w:sz w:val="24"/>
          <w:szCs w:val="24"/>
          <w:highlight w:val="none"/>
          <w:lang w:val="en-US" w:eastAsia="zh-CN"/>
        </w:rPr>
        <w:t>商务要求</w:t>
      </w:r>
    </w:p>
    <w:p w14:paraId="3A7C784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1.合同履行期限：自合同签订之日起三年（前三个月为试用期）。</w:t>
      </w:r>
    </w:p>
    <w:p w14:paraId="2553D62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报价要求</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投标报价包含但不限于人员工资及加班费、住宿费、工作餐、福利、保险费用、服装费、装备费、管理费、办公用品费、劳保费</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利润、税金等费用以及投标人认为应当包含在内的费用，中标后未经招标人许可，价格不得更改。</w:t>
      </w:r>
    </w:p>
    <w:p w14:paraId="2593067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3.采购人根据安保工作实际需要提供相应的安保管理用房，交安保管理人员使用。另采购人只提供必须的工作休息场所，不提供员工宿舍。</w:t>
      </w:r>
      <w:r>
        <w:rPr>
          <w:rFonts w:hint="eastAsia" w:asciiTheme="majorEastAsia" w:hAnsiTheme="majorEastAsia" w:eastAsiaTheme="majorEastAsia" w:cstheme="majorEastAsia"/>
          <w:b/>
          <w:bCs/>
          <w:color w:val="auto"/>
          <w:sz w:val="24"/>
          <w:szCs w:val="24"/>
          <w:highlight w:val="none"/>
        </w:rPr>
        <w:t>前期开办费由安保公司依据工作需求进行测算，计入投标总报价中。</w:t>
      </w:r>
    </w:p>
    <w:p w14:paraId="39FC042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4.本次投标设最高限价为</w:t>
      </w:r>
      <w:r>
        <w:rPr>
          <w:rFonts w:hint="eastAsia" w:asciiTheme="majorEastAsia" w:hAnsiTheme="majorEastAsia" w:eastAsiaTheme="majorEastAsia" w:cstheme="majorEastAsia"/>
          <w:b/>
          <w:bCs/>
          <w:color w:val="auto"/>
          <w:sz w:val="24"/>
          <w:szCs w:val="24"/>
          <w:highlight w:val="none"/>
          <w:u w:val="single"/>
          <w:lang w:val="en-US" w:eastAsia="zh-CN"/>
        </w:rPr>
        <w:t>849</w:t>
      </w:r>
      <w:r>
        <w:rPr>
          <w:rFonts w:hint="eastAsia" w:asciiTheme="majorEastAsia" w:hAnsiTheme="majorEastAsia" w:eastAsiaTheme="majorEastAsia" w:cstheme="majorEastAsia"/>
          <w:b/>
          <w:bCs/>
          <w:color w:val="auto"/>
          <w:sz w:val="24"/>
          <w:szCs w:val="24"/>
          <w:highlight w:val="none"/>
          <w:u w:val="single"/>
        </w:rPr>
        <w:t>万元</w:t>
      </w:r>
      <w:r>
        <w:rPr>
          <w:rFonts w:hint="eastAsia" w:asciiTheme="majorEastAsia" w:hAnsiTheme="majorEastAsia" w:eastAsiaTheme="majorEastAsia" w:cstheme="majorEastAsia"/>
          <w:b/>
          <w:bCs/>
          <w:color w:val="auto"/>
          <w:sz w:val="24"/>
          <w:szCs w:val="24"/>
          <w:highlight w:val="none"/>
          <w:u w:val="single"/>
          <w:lang w:eastAsia="zh-CN"/>
        </w:rPr>
        <w:t>（</w:t>
      </w:r>
      <w:r>
        <w:rPr>
          <w:rFonts w:hint="eastAsia" w:asciiTheme="majorEastAsia" w:hAnsiTheme="majorEastAsia" w:eastAsiaTheme="majorEastAsia" w:cstheme="majorEastAsia"/>
          <w:b/>
          <w:bCs/>
          <w:color w:val="auto"/>
          <w:sz w:val="24"/>
          <w:szCs w:val="24"/>
          <w:highlight w:val="none"/>
          <w:u w:val="single"/>
          <w:lang w:val="en-US" w:eastAsia="zh-CN"/>
        </w:rPr>
        <w:t>283万元/年</w:t>
      </w:r>
      <w:r>
        <w:rPr>
          <w:rFonts w:hint="eastAsia" w:asciiTheme="majorEastAsia" w:hAnsiTheme="majorEastAsia" w:eastAsiaTheme="majorEastAsia" w:cstheme="majorEastAsia"/>
          <w:b/>
          <w:bCs/>
          <w:color w:val="auto"/>
          <w:sz w:val="24"/>
          <w:szCs w:val="24"/>
          <w:highlight w:val="none"/>
          <w:u w:val="single"/>
          <w:lang w:eastAsia="zh-CN"/>
        </w:rPr>
        <w:t>）</w:t>
      </w:r>
      <w:r>
        <w:rPr>
          <w:rFonts w:hint="eastAsia" w:asciiTheme="majorEastAsia" w:hAnsiTheme="majorEastAsia" w:eastAsiaTheme="majorEastAsia" w:cstheme="majorEastAsia"/>
          <w:color w:val="auto"/>
          <w:sz w:val="24"/>
          <w:szCs w:val="24"/>
          <w:highlight w:val="none"/>
        </w:rPr>
        <w:t>。各投标人的投标报价不得高于此限价，否则作为无效投标文件处理，请各投标人慎重报价。</w:t>
      </w:r>
    </w:p>
    <w:p w14:paraId="6B8C796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sz w:val="24"/>
          <w:szCs w:val="24"/>
          <w:highlight w:val="none"/>
          <w:lang w:val="en-US" w:eastAsia="zh-CN"/>
        </w:rPr>
        <w:t>5.</w:t>
      </w:r>
      <w:r>
        <w:rPr>
          <w:rFonts w:hint="eastAsia" w:asciiTheme="majorEastAsia" w:hAnsiTheme="majorEastAsia" w:eastAsiaTheme="majorEastAsia" w:cstheme="majorEastAsia"/>
          <w:sz w:val="24"/>
          <w:szCs w:val="24"/>
          <w:highlight w:val="none"/>
        </w:rPr>
        <w:t>合同履行中，采购人需追加与合同标的相同的服务的，在不改变合同其他条款的前提下，可以与中标人协商签订补充合同，但所有补充合同的采购金额不超过原合同金额10%。</w:t>
      </w:r>
    </w:p>
    <w:p w14:paraId="0542D22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rPr>
        <w:t>付款方式</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合同签订后，</w:t>
      </w:r>
      <w:r>
        <w:rPr>
          <w:rFonts w:hint="eastAsia" w:asciiTheme="majorEastAsia" w:hAnsiTheme="majorEastAsia" w:eastAsiaTheme="majorEastAsia" w:cstheme="majorEastAsia"/>
          <w:color w:val="auto"/>
          <w:sz w:val="24"/>
          <w:szCs w:val="24"/>
          <w:highlight w:val="none"/>
          <w:lang w:val="en-US" w:eastAsia="zh-CN"/>
        </w:rPr>
        <w:t>中标人</w:t>
      </w:r>
      <w:r>
        <w:rPr>
          <w:rFonts w:hint="eastAsia" w:asciiTheme="majorEastAsia" w:hAnsiTheme="majorEastAsia" w:eastAsiaTheme="majorEastAsia" w:cstheme="majorEastAsia"/>
          <w:color w:val="auto"/>
          <w:sz w:val="24"/>
          <w:szCs w:val="24"/>
          <w:highlight w:val="none"/>
        </w:rPr>
        <w:t>按照合同约定时间进场提供服务。</w:t>
      </w:r>
      <w:r>
        <w:rPr>
          <w:rFonts w:hint="eastAsia" w:asciiTheme="majorEastAsia" w:hAnsiTheme="majorEastAsia" w:eastAsiaTheme="majorEastAsia" w:cstheme="majorEastAsia"/>
          <w:color w:val="auto"/>
          <w:sz w:val="24"/>
          <w:szCs w:val="24"/>
          <w:highlight w:val="none"/>
          <w:lang w:val="en-US" w:eastAsia="zh-CN"/>
        </w:rPr>
        <w:t>采购人按实际进场人数</w:t>
      </w:r>
      <w:r>
        <w:rPr>
          <w:rFonts w:hint="eastAsia" w:asciiTheme="majorEastAsia" w:hAnsiTheme="majorEastAsia" w:eastAsiaTheme="majorEastAsia" w:cstheme="majorEastAsia"/>
          <w:color w:val="auto"/>
          <w:sz w:val="24"/>
          <w:szCs w:val="24"/>
          <w:highlight w:val="none"/>
        </w:rPr>
        <w:t>向中标人通报月度考核情况、测算支付金额。</w:t>
      </w:r>
      <w:r>
        <w:rPr>
          <w:rFonts w:hint="eastAsia" w:asciiTheme="majorEastAsia" w:hAnsiTheme="majorEastAsia" w:eastAsiaTheme="majorEastAsia" w:cstheme="majorEastAsia"/>
          <w:color w:val="auto"/>
          <w:sz w:val="24"/>
          <w:szCs w:val="24"/>
          <w:highlight w:val="none"/>
          <w:lang w:val="en-US" w:eastAsia="zh-CN"/>
        </w:rPr>
        <w:t>中标人次月</w:t>
      </w:r>
      <w:r>
        <w:rPr>
          <w:rFonts w:hint="eastAsia" w:asciiTheme="majorEastAsia" w:hAnsiTheme="majorEastAsia" w:eastAsiaTheme="majorEastAsia" w:cstheme="majorEastAsia"/>
          <w:color w:val="auto"/>
          <w:sz w:val="24"/>
          <w:szCs w:val="24"/>
          <w:highlight w:val="none"/>
        </w:rPr>
        <w:t>向</w:t>
      </w:r>
      <w:r>
        <w:rPr>
          <w:rFonts w:hint="eastAsia" w:asciiTheme="majorEastAsia" w:hAnsiTheme="majorEastAsia" w:eastAsiaTheme="majorEastAsia" w:cstheme="majorEastAsia"/>
          <w:color w:val="auto"/>
          <w:sz w:val="24"/>
          <w:szCs w:val="24"/>
          <w:highlight w:val="none"/>
          <w:lang w:val="en-US" w:eastAsia="zh-CN"/>
        </w:rPr>
        <w:t>采购人</w:t>
      </w:r>
      <w:r>
        <w:rPr>
          <w:rFonts w:hint="eastAsia" w:asciiTheme="majorEastAsia" w:hAnsiTheme="majorEastAsia" w:eastAsiaTheme="majorEastAsia" w:cstheme="majorEastAsia"/>
          <w:color w:val="auto"/>
          <w:sz w:val="24"/>
          <w:szCs w:val="24"/>
          <w:highlight w:val="none"/>
        </w:rPr>
        <w:t>提交安保服务费正式发票。</w:t>
      </w:r>
      <w:r>
        <w:rPr>
          <w:rFonts w:hint="eastAsia" w:asciiTheme="majorEastAsia" w:hAnsiTheme="majorEastAsia" w:eastAsiaTheme="majorEastAsia" w:cstheme="majorEastAsia"/>
          <w:color w:val="auto"/>
          <w:sz w:val="24"/>
          <w:szCs w:val="24"/>
          <w:highlight w:val="none"/>
          <w:lang w:val="en-US" w:eastAsia="zh-CN"/>
        </w:rPr>
        <w:t>采购人</w:t>
      </w:r>
      <w:r>
        <w:rPr>
          <w:rFonts w:hint="eastAsia" w:asciiTheme="majorEastAsia" w:hAnsiTheme="majorEastAsia" w:eastAsiaTheme="majorEastAsia" w:cstheme="majorEastAsia"/>
          <w:color w:val="auto"/>
          <w:sz w:val="24"/>
          <w:szCs w:val="24"/>
          <w:highlight w:val="none"/>
        </w:rPr>
        <w:t>审批后按本单位财务制度付款。</w:t>
      </w:r>
    </w:p>
    <w:p w14:paraId="4B2E79D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结算方式：服务期间，采购人按照中标人实际进场人数按实结算安保服务费用。</w:t>
      </w:r>
    </w:p>
    <w:p w14:paraId="75E9AAF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7</w:t>
      </w:r>
      <w:r>
        <w:rPr>
          <w:rFonts w:hint="eastAsia" w:asciiTheme="majorEastAsia" w:hAnsiTheme="majorEastAsia" w:eastAsiaTheme="majorEastAsia" w:cstheme="majorEastAsia"/>
          <w:color w:val="auto"/>
          <w:sz w:val="24"/>
          <w:szCs w:val="24"/>
          <w:highlight w:val="none"/>
        </w:rPr>
        <w:t>.签订合同后，中标人不得进行转包。未经采购人同意，中标人不得采用分包的形式履行合同。否则采购人有权终止合同。转包或分包造成采购人损失</w:t>
      </w:r>
      <w:r>
        <w:rPr>
          <w:rFonts w:hint="eastAsia" w:asciiTheme="majorEastAsia" w:hAnsiTheme="majorEastAsia" w:eastAsiaTheme="majorEastAsia" w:cstheme="majorEastAsia"/>
          <w:sz w:val="24"/>
          <w:szCs w:val="24"/>
          <w:highlight w:val="none"/>
        </w:rPr>
        <w:t>的，中标人还应承担相应赔偿责任。</w:t>
      </w:r>
    </w:p>
    <w:p w14:paraId="6DF92DA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lang w:eastAsia="zh-CN"/>
        </w:rPr>
        <w:t>（</w:t>
      </w:r>
      <w:r>
        <w:rPr>
          <w:rFonts w:hint="eastAsia" w:asciiTheme="majorEastAsia" w:hAnsiTheme="majorEastAsia" w:eastAsiaTheme="majorEastAsia" w:cstheme="majorEastAsia"/>
          <w:b/>
          <w:bCs/>
          <w:sz w:val="24"/>
          <w:szCs w:val="24"/>
          <w:highlight w:val="none"/>
          <w:lang w:val="en-US" w:eastAsia="zh-CN"/>
        </w:rPr>
        <w:t>六</w:t>
      </w:r>
      <w:r>
        <w:rPr>
          <w:rFonts w:hint="eastAsia" w:asciiTheme="majorEastAsia" w:hAnsiTheme="majorEastAsia" w:eastAsiaTheme="majorEastAsia" w:cstheme="majorEastAsia"/>
          <w:b/>
          <w:bCs/>
          <w:sz w:val="24"/>
          <w:szCs w:val="24"/>
          <w:highlight w:val="none"/>
          <w:lang w:eastAsia="zh-CN"/>
        </w:rPr>
        <w:t>）</w:t>
      </w:r>
      <w:r>
        <w:rPr>
          <w:rFonts w:hint="eastAsia" w:asciiTheme="majorEastAsia" w:hAnsiTheme="majorEastAsia" w:eastAsiaTheme="majorEastAsia" w:cstheme="majorEastAsia"/>
          <w:b/>
          <w:bCs/>
          <w:sz w:val="24"/>
          <w:szCs w:val="24"/>
          <w:highlight w:val="none"/>
        </w:rPr>
        <w:t>合同服务期</w:t>
      </w:r>
    </w:p>
    <w:p w14:paraId="5D669E6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本项目合同周期为3年，每年一签，自首次合同签订之日起计算。每一合同年度结束前一个月，经</w:t>
      </w:r>
      <w:r>
        <w:rPr>
          <w:rFonts w:hint="eastAsia" w:asciiTheme="majorEastAsia" w:hAnsiTheme="majorEastAsia" w:eastAsiaTheme="majorEastAsia" w:cstheme="majorEastAsia"/>
          <w:sz w:val="24"/>
          <w:szCs w:val="24"/>
          <w:highlight w:val="none"/>
          <w:lang w:val="en-US" w:eastAsia="zh-CN"/>
        </w:rPr>
        <w:t>采购人</w:t>
      </w:r>
      <w:r>
        <w:rPr>
          <w:rFonts w:hint="eastAsia" w:asciiTheme="majorEastAsia" w:hAnsiTheme="majorEastAsia" w:eastAsiaTheme="majorEastAsia" w:cstheme="majorEastAsia"/>
          <w:sz w:val="24"/>
          <w:szCs w:val="24"/>
          <w:highlight w:val="none"/>
        </w:rPr>
        <w:t>考核（考核每月一次）后确定</w:t>
      </w:r>
      <w:r>
        <w:rPr>
          <w:rFonts w:hint="eastAsia" w:asciiTheme="majorEastAsia" w:hAnsiTheme="majorEastAsia" w:eastAsiaTheme="majorEastAsia" w:cstheme="majorEastAsia"/>
          <w:sz w:val="24"/>
          <w:szCs w:val="24"/>
          <w:highlight w:val="none"/>
          <w:lang w:val="en-US" w:eastAsia="zh-CN"/>
        </w:rPr>
        <w:t>安保公司</w:t>
      </w:r>
      <w:r>
        <w:rPr>
          <w:rFonts w:hint="eastAsia" w:asciiTheme="majorEastAsia" w:hAnsiTheme="majorEastAsia" w:eastAsiaTheme="majorEastAsia" w:cstheme="majorEastAsia"/>
          <w:sz w:val="24"/>
          <w:szCs w:val="24"/>
          <w:highlight w:val="none"/>
        </w:rPr>
        <w:t>是否能够满足医院服务需求，</w:t>
      </w:r>
      <w:r>
        <w:rPr>
          <w:rFonts w:hint="eastAsia" w:asciiTheme="majorEastAsia" w:hAnsiTheme="majorEastAsia" w:eastAsiaTheme="majorEastAsia" w:cstheme="majorEastAsia"/>
          <w:sz w:val="24"/>
          <w:szCs w:val="24"/>
          <w:highlight w:val="none"/>
          <w:lang w:val="en-US" w:eastAsia="zh-CN"/>
        </w:rPr>
        <w:t>续签合同前的服务期内</w:t>
      </w:r>
      <w:r>
        <w:rPr>
          <w:rFonts w:hint="eastAsia" w:asciiTheme="majorEastAsia" w:hAnsiTheme="majorEastAsia" w:eastAsiaTheme="majorEastAsia" w:cstheme="majorEastAsia"/>
          <w:sz w:val="24"/>
          <w:szCs w:val="24"/>
          <w:highlight w:val="none"/>
        </w:rPr>
        <w:t>安保服务质量考核评分表均分不低于</w:t>
      </w:r>
      <w:r>
        <w:rPr>
          <w:rFonts w:hint="eastAsia" w:asciiTheme="majorEastAsia" w:hAnsiTheme="majorEastAsia" w:eastAsiaTheme="majorEastAsia" w:cstheme="majorEastAsia"/>
          <w:sz w:val="24"/>
          <w:szCs w:val="24"/>
          <w:highlight w:val="none"/>
          <w:lang w:val="en-US" w:eastAsia="zh-CN"/>
        </w:rPr>
        <w:t>85分</w:t>
      </w:r>
      <w:r>
        <w:rPr>
          <w:rFonts w:hint="eastAsia" w:asciiTheme="majorEastAsia" w:hAnsiTheme="majorEastAsia" w:eastAsiaTheme="majorEastAsia" w:cstheme="majorEastAsia"/>
          <w:sz w:val="24"/>
          <w:szCs w:val="24"/>
          <w:highlight w:val="none"/>
        </w:rPr>
        <w:t>，则可以继续签订下一年度合同，医院有权决定继续执行或提前终止合同</w:t>
      </w:r>
      <w:r>
        <w:rPr>
          <w:rFonts w:hint="eastAsia" w:asciiTheme="majorEastAsia" w:hAnsiTheme="majorEastAsia" w:eastAsiaTheme="majorEastAsia" w:cstheme="majorEastAsia"/>
          <w:sz w:val="24"/>
          <w:szCs w:val="24"/>
          <w:highlight w:val="none"/>
          <w:lang w:eastAsia="zh-CN"/>
        </w:rPr>
        <w:t>。</w:t>
      </w:r>
    </w:p>
    <w:p w14:paraId="1A8E6FD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在合同执行期内，因</w:t>
      </w:r>
      <w:r>
        <w:rPr>
          <w:rFonts w:hint="eastAsia" w:asciiTheme="majorEastAsia" w:hAnsiTheme="majorEastAsia" w:eastAsiaTheme="majorEastAsia" w:cstheme="majorEastAsia"/>
          <w:sz w:val="24"/>
          <w:szCs w:val="24"/>
          <w:highlight w:val="none"/>
          <w:lang w:val="en-US" w:eastAsia="zh-CN"/>
        </w:rPr>
        <w:t>中标人</w:t>
      </w:r>
      <w:r>
        <w:rPr>
          <w:rFonts w:hint="eastAsia" w:asciiTheme="majorEastAsia" w:hAnsiTheme="majorEastAsia" w:eastAsiaTheme="majorEastAsia" w:cstheme="majorEastAsia"/>
          <w:sz w:val="24"/>
          <w:szCs w:val="24"/>
          <w:highlight w:val="none"/>
        </w:rPr>
        <w:t>不采取安全劳动保护措施</w:t>
      </w:r>
      <w:r>
        <w:rPr>
          <w:rFonts w:hint="eastAsia" w:asciiTheme="majorEastAsia" w:hAnsiTheme="majorEastAsia" w:eastAsiaTheme="majorEastAsia" w:cstheme="majorEastAsia"/>
          <w:sz w:val="24"/>
          <w:szCs w:val="24"/>
          <w:highlight w:val="none"/>
          <w:lang w:val="en-US" w:eastAsia="zh-CN"/>
        </w:rPr>
        <w:t>或</w:t>
      </w:r>
      <w:r>
        <w:rPr>
          <w:rFonts w:hint="eastAsia" w:asciiTheme="majorEastAsia" w:hAnsiTheme="majorEastAsia" w:eastAsiaTheme="majorEastAsia" w:cstheme="majorEastAsia"/>
          <w:sz w:val="24"/>
          <w:szCs w:val="24"/>
          <w:highlight w:val="none"/>
        </w:rPr>
        <w:t>不遵守有关法律法规和医院的有关规章制度或考核不合格的或擅动医院的设备、设施而造成不安全事件（如人身伤害或疾病、设备事故及火灾事故等），</w:t>
      </w:r>
      <w:r>
        <w:rPr>
          <w:rFonts w:hint="eastAsia" w:asciiTheme="majorEastAsia" w:hAnsiTheme="majorEastAsia" w:eastAsiaTheme="majorEastAsia" w:cstheme="majorEastAsia"/>
          <w:sz w:val="24"/>
          <w:szCs w:val="24"/>
          <w:highlight w:val="none"/>
          <w:lang w:val="en-US" w:eastAsia="zh-CN"/>
        </w:rPr>
        <w:t>采购人</w:t>
      </w:r>
      <w:r>
        <w:rPr>
          <w:rFonts w:hint="eastAsia" w:asciiTheme="majorEastAsia" w:hAnsiTheme="majorEastAsia" w:eastAsiaTheme="majorEastAsia" w:cstheme="majorEastAsia"/>
          <w:sz w:val="24"/>
          <w:szCs w:val="24"/>
          <w:highlight w:val="none"/>
        </w:rPr>
        <w:t>有权立即终止合同，将</w:t>
      </w:r>
      <w:r>
        <w:rPr>
          <w:rFonts w:hint="eastAsia" w:asciiTheme="majorEastAsia" w:hAnsiTheme="majorEastAsia" w:eastAsiaTheme="majorEastAsia" w:cstheme="majorEastAsia"/>
          <w:sz w:val="24"/>
          <w:szCs w:val="24"/>
          <w:highlight w:val="none"/>
          <w:lang w:eastAsia="zh-CN"/>
        </w:rPr>
        <w:t>投标人</w:t>
      </w:r>
      <w:r>
        <w:rPr>
          <w:rFonts w:hint="eastAsia" w:asciiTheme="majorEastAsia" w:hAnsiTheme="majorEastAsia" w:eastAsiaTheme="majorEastAsia" w:cstheme="majorEastAsia"/>
          <w:sz w:val="24"/>
          <w:szCs w:val="24"/>
          <w:highlight w:val="none"/>
        </w:rPr>
        <w:t>清退，且事故所造成的后果及费用由</w:t>
      </w:r>
      <w:r>
        <w:rPr>
          <w:rFonts w:hint="eastAsia" w:asciiTheme="majorEastAsia" w:hAnsiTheme="majorEastAsia" w:eastAsiaTheme="majorEastAsia" w:cstheme="majorEastAsia"/>
          <w:sz w:val="24"/>
          <w:szCs w:val="24"/>
          <w:highlight w:val="none"/>
          <w:lang w:val="en-US" w:eastAsia="zh-CN"/>
        </w:rPr>
        <w:t>中</w:t>
      </w:r>
      <w:r>
        <w:rPr>
          <w:rFonts w:hint="eastAsia" w:asciiTheme="majorEastAsia" w:hAnsiTheme="majorEastAsia" w:eastAsiaTheme="majorEastAsia" w:cstheme="majorEastAsia"/>
          <w:sz w:val="24"/>
          <w:szCs w:val="24"/>
          <w:highlight w:val="none"/>
          <w:lang w:eastAsia="zh-CN"/>
        </w:rPr>
        <w:t>标人</w:t>
      </w:r>
      <w:r>
        <w:rPr>
          <w:rFonts w:hint="eastAsia" w:asciiTheme="majorEastAsia" w:hAnsiTheme="majorEastAsia" w:eastAsiaTheme="majorEastAsia" w:cstheme="majorEastAsia"/>
          <w:sz w:val="24"/>
          <w:szCs w:val="24"/>
          <w:highlight w:val="none"/>
        </w:rPr>
        <w:t>自行承担，医院不负任何责任；触犯法律的，移交公安机关处理，医院有权立即终止合同，由此造成的后果由</w:t>
      </w:r>
      <w:r>
        <w:rPr>
          <w:rFonts w:hint="eastAsia" w:asciiTheme="majorEastAsia" w:hAnsiTheme="majorEastAsia" w:eastAsiaTheme="majorEastAsia" w:cstheme="majorEastAsia"/>
          <w:sz w:val="24"/>
          <w:szCs w:val="24"/>
          <w:highlight w:val="none"/>
          <w:lang w:val="en-US" w:eastAsia="zh-CN"/>
        </w:rPr>
        <w:t>中</w:t>
      </w:r>
      <w:r>
        <w:rPr>
          <w:rFonts w:hint="eastAsia" w:asciiTheme="majorEastAsia" w:hAnsiTheme="majorEastAsia" w:eastAsiaTheme="majorEastAsia" w:cstheme="majorEastAsia"/>
          <w:sz w:val="24"/>
          <w:szCs w:val="24"/>
          <w:highlight w:val="none"/>
          <w:lang w:eastAsia="zh-CN"/>
        </w:rPr>
        <w:t>标人</w:t>
      </w:r>
      <w:r>
        <w:rPr>
          <w:rFonts w:hint="eastAsia" w:asciiTheme="majorEastAsia" w:hAnsiTheme="majorEastAsia" w:eastAsiaTheme="majorEastAsia" w:cstheme="majorEastAsia"/>
          <w:sz w:val="24"/>
          <w:szCs w:val="24"/>
          <w:highlight w:val="none"/>
        </w:rPr>
        <w:t>承担。</w:t>
      </w:r>
    </w:p>
    <w:p w14:paraId="47CC565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z w:val="24"/>
          <w:szCs w:val="24"/>
          <w:highlight w:val="none"/>
          <w:lang w:val="en-US" w:eastAsia="zh-CN"/>
        </w:rPr>
        <w:t>3.</w:t>
      </w:r>
      <w:r>
        <w:rPr>
          <w:rFonts w:hint="eastAsia" w:asciiTheme="majorEastAsia" w:hAnsiTheme="majorEastAsia" w:eastAsiaTheme="majorEastAsia" w:cstheme="majorEastAsia"/>
          <w:sz w:val="24"/>
          <w:szCs w:val="24"/>
          <w:highlight w:val="none"/>
        </w:rPr>
        <w:t>服务期内如果服务人员出现调整，在符合政府采购相关法规的前提下，按实调整人数并支付相应费用</w:t>
      </w:r>
      <w:r>
        <w:rPr>
          <w:rFonts w:hint="eastAsia" w:asciiTheme="majorEastAsia" w:hAnsiTheme="majorEastAsia" w:eastAsiaTheme="majorEastAsia" w:cstheme="majorEastAsia"/>
          <w:sz w:val="24"/>
          <w:szCs w:val="24"/>
          <w:highlight w:val="none"/>
          <w:lang w:eastAsia="zh-CN"/>
        </w:rPr>
        <w:t>。</w:t>
      </w:r>
    </w:p>
    <w:p w14:paraId="78DA049B">
      <w:pPr>
        <w:pStyle w:val="22"/>
        <w:rPr>
          <w:rFonts w:hint="eastAsia" w:ascii="宋体" w:hAnsi="宋体" w:eastAsia="宋体" w:cs="宋体"/>
          <w:color w:val="auto"/>
          <w:sz w:val="24"/>
          <w:szCs w:val="24"/>
          <w:highlight w:val="none"/>
        </w:rPr>
      </w:pPr>
    </w:p>
    <w:p w14:paraId="1033245C">
      <w:pPr>
        <w:pStyle w:val="22"/>
        <w:rPr>
          <w:rFonts w:hint="eastAsia" w:ascii="宋体" w:hAnsi="宋体" w:eastAsia="宋体" w:cs="宋体"/>
          <w:color w:val="auto"/>
          <w:sz w:val="24"/>
          <w:szCs w:val="24"/>
          <w:highlight w:val="none"/>
        </w:rPr>
      </w:pPr>
    </w:p>
    <w:p w14:paraId="1972A19B">
      <w:pPr>
        <w:pStyle w:val="22"/>
        <w:rPr>
          <w:rFonts w:hint="eastAsia" w:ascii="宋体" w:hAnsi="宋体" w:eastAsia="宋体" w:cs="宋体"/>
          <w:color w:val="auto"/>
          <w:sz w:val="24"/>
          <w:szCs w:val="24"/>
          <w:highlight w:val="none"/>
        </w:rPr>
      </w:pPr>
    </w:p>
    <w:p w14:paraId="22C12AC9">
      <w:pPr>
        <w:pStyle w:val="22"/>
        <w:rPr>
          <w:rFonts w:hint="eastAsia" w:ascii="宋体" w:hAnsi="宋体" w:eastAsia="宋体" w:cs="宋体"/>
          <w:color w:val="auto"/>
          <w:sz w:val="24"/>
          <w:szCs w:val="24"/>
          <w:highlight w:val="none"/>
        </w:rPr>
      </w:pPr>
    </w:p>
    <w:p w14:paraId="7862DDDA">
      <w:pPr>
        <w:pStyle w:val="22"/>
        <w:rPr>
          <w:rFonts w:hint="eastAsia" w:ascii="宋体" w:hAnsi="宋体" w:eastAsia="宋体" w:cs="宋体"/>
          <w:color w:val="auto"/>
          <w:sz w:val="24"/>
          <w:szCs w:val="24"/>
          <w:highlight w:val="none"/>
        </w:rPr>
      </w:pPr>
    </w:p>
    <w:p w14:paraId="28A6132F">
      <w:pPr>
        <w:pStyle w:val="22"/>
        <w:rPr>
          <w:rFonts w:hint="eastAsia" w:ascii="宋体" w:hAnsi="宋体" w:eastAsia="宋体" w:cs="宋体"/>
          <w:color w:val="auto"/>
          <w:sz w:val="24"/>
          <w:szCs w:val="24"/>
          <w:highlight w:val="none"/>
        </w:rPr>
      </w:pPr>
    </w:p>
    <w:p w14:paraId="04E9FB7B">
      <w:pPr>
        <w:pStyle w:val="22"/>
        <w:rPr>
          <w:rFonts w:hint="eastAsia" w:ascii="宋体" w:hAnsi="宋体" w:eastAsia="宋体" w:cs="宋体"/>
          <w:color w:val="auto"/>
          <w:sz w:val="24"/>
          <w:szCs w:val="24"/>
          <w:highlight w:val="none"/>
        </w:rPr>
      </w:pPr>
    </w:p>
    <w:p w14:paraId="3673062B">
      <w:pPr>
        <w:pStyle w:val="22"/>
        <w:rPr>
          <w:rFonts w:hint="eastAsia" w:ascii="宋体" w:hAnsi="宋体" w:eastAsia="宋体" w:cs="宋体"/>
          <w:color w:val="auto"/>
          <w:sz w:val="24"/>
          <w:szCs w:val="24"/>
          <w:highlight w:val="none"/>
        </w:rPr>
      </w:pPr>
    </w:p>
    <w:p w14:paraId="6EC069C5">
      <w:pPr>
        <w:pStyle w:val="22"/>
        <w:rPr>
          <w:rFonts w:hint="eastAsia" w:ascii="宋体" w:hAnsi="宋体" w:eastAsia="宋体" w:cs="宋体"/>
          <w:color w:val="auto"/>
          <w:sz w:val="24"/>
          <w:szCs w:val="24"/>
          <w:highlight w:val="none"/>
        </w:rPr>
      </w:pPr>
    </w:p>
    <w:p w14:paraId="502C0C86">
      <w:pPr>
        <w:pStyle w:val="22"/>
        <w:rPr>
          <w:rFonts w:hint="eastAsia" w:ascii="宋体" w:hAnsi="宋体" w:eastAsia="宋体" w:cs="宋体"/>
          <w:color w:val="auto"/>
          <w:sz w:val="24"/>
          <w:szCs w:val="24"/>
          <w:highlight w:val="none"/>
        </w:rPr>
      </w:pPr>
    </w:p>
    <w:p w14:paraId="44648312">
      <w:pPr>
        <w:pStyle w:val="22"/>
        <w:rPr>
          <w:rFonts w:hint="eastAsia" w:ascii="宋体" w:hAnsi="宋体" w:eastAsia="宋体" w:cs="宋体"/>
          <w:color w:val="auto"/>
          <w:sz w:val="24"/>
          <w:szCs w:val="24"/>
          <w:highlight w:val="none"/>
        </w:rPr>
      </w:pPr>
    </w:p>
    <w:p w14:paraId="05DB0808">
      <w:pPr>
        <w:pStyle w:val="22"/>
        <w:rPr>
          <w:rFonts w:hint="eastAsia" w:ascii="宋体" w:hAnsi="宋体" w:eastAsia="宋体" w:cs="宋体"/>
          <w:color w:val="auto"/>
          <w:sz w:val="24"/>
          <w:szCs w:val="24"/>
          <w:highlight w:val="none"/>
        </w:rPr>
      </w:pPr>
    </w:p>
    <w:p w14:paraId="3FCD4E80">
      <w:pPr>
        <w:pStyle w:val="22"/>
        <w:rPr>
          <w:rFonts w:hint="eastAsia" w:ascii="宋体" w:hAnsi="宋体" w:eastAsia="宋体" w:cs="宋体"/>
          <w:color w:val="auto"/>
          <w:sz w:val="24"/>
          <w:szCs w:val="24"/>
          <w:highlight w:val="none"/>
        </w:rPr>
      </w:pPr>
    </w:p>
    <w:p w14:paraId="291F8B52">
      <w:pPr>
        <w:pStyle w:val="22"/>
        <w:rPr>
          <w:rFonts w:hint="eastAsia" w:ascii="宋体" w:hAnsi="宋体" w:eastAsia="宋体" w:cs="宋体"/>
          <w:color w:val="auto"/>
          <w:sz w:val="24"/>
          <w:szCs w:val="24"/>
          <w:highlight w:val="none"/>
        </w:rPr>
      </w:pPr>
    </w:p>
    <w:p w14:paraId="304621B3">
      <w:pPr>
        <w:pStyle w:val="22"/>
        <w:rPr>
          <w:rFonts w:hint="eastAsia" w:ascii="宋体" w:hAnsi="宋体" w:eastAsia="宋体" w:cs="宋体"/>
          <w:color w:val="auto"/>
          <w:sz w:val="24"/>
          <w:szCs w:val="24"/>
          <w:highlight w:val="none"/>
        </w:rPr>
      </w:pPr>
    </w:p>
    <w:p w14:paraId="17C13ABC">
      <w:pPr>
        <w:pStyle w:val="22"/>
        <w:rPr>
          <w:rFonts w:hint="eastAsia" w:ascii="宋体" w:hAnsi="宋体" w:eastAsia="宋体" w:cs="宋体"/>
          <w:color w:val="auto"/>
          <w:sz w:val="24"/>
          <w:szCs w:val="24"/>
          <w:highlight w:val="none"/>
        </w:rPr>
      </w:pPr>
    </w:p>
    <w:p w14:paraId="66FDE0C2">
      <w:pPr>
        <w:pStyle w:val="22"/>
        <w:rPr>
          <w:rFonts w:hint="eastAsia" w:ascii="宋体" w:hAnsi="宋体" w:eastAsia="宋体" w:cs="宋体"/>
          <w:color w:val="auto"/>
          <w:sz w:val="24"/>
          <w:szCs w:val="24"/>
          <w:highlight w:val="none"/>
        </w:rPr>
      </w:pPr>
    </w:p>
    <w:p w14:paraId="761721D9">
      <w:pPr>
        <w:pStyle w:val="22"/>
        <w:rPr>
          <w:rFonts w:hint="eastAsia" w:ascii="宋体" w:hAnsi="宋体" w:eastAsia="宋体" w:cs="宋体"/>
          <w:color w:val="auto"/>
          <w:sz w:val="24"/>
          <w:szCs w:val="24"/>
          <w:highlight w:val="none"/>
        </w:rPr>
      </w:pPr>
    </w:p>
    <w:p w14:paraId="06DE2334">
      <w:pPr>
        <w:pStyle w:val="22"/>
        <w:rPr>
          <w:rFonts w:hint="eastAsia" w:ascii="宋体" w:hAnsi="宋体" w:eastAsia="宋体" w:cs="宋体"/>
          <w:color w:val="auto"/>
          <w:sz w:val="24"/>
          <w:szCs w:val="24"/>
          <w:highlight w:val="none"/>
        </w:rPr>
      </w:pPr>
    </w:p>
    <w:p w14:paraId="277E4D22">
      <w:pPr>
        <w:rPr>
          <w:rFonts w:hint="eastAsia" w:ascii="宋体" w:hAnsi="宋体" w:eastAsia="宋体" w:cs="宋体"/>
          <w:b/>
          <w:bCs/>
          <w:sz w:val="21"/>
          <w:szCs w:val="21"/>
          <w:highlight w:val="none"/>
        </w:rPr>
      </w:pPr>
    </w:p>
    <w:p w14:paraId="3E552235">
      <w:pPr>
        <w:rPr>
          <w:rFonts w:ascii="宋体" w:hAnsi="宋体" w:eastAsia="宋体" w:cs="宋体"/>
          <w:b/>
          <w:bCs/>
          <w:sz w:val="21"/>
          <w:szCs w:val="21"/>
          <w:highlight w:val="none"/>
        </w:rPr>
      </w:pPr>
      <w:r>
        <w:rPr>
          <w:rFonts w:hint="eastAsia" w:ascii="宋体" w:hAnsi="宋体" w:eastAsia="宋体" w:cs="宋体"/>
          <w:b/>
          <w:bCs/>
          <w:sz w:val="21"/>
          <w:szCs w:val="21"/>
          <w:highlight w:val="none"/>
        </w:rPr>
        <w:t>附件：</w:t>
      </w:r>
    </w:p>
    <w:p w14:paraId="5CABC8C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泰州市第五人民</w:t>
      </w:r>
      <w:r>
        <w:rPr>
          <w:rFonts w:hint="eastAsia" w:ascii="宋体" w:hAnsi="宋体" w:eastAsia="宋体" w:cs="宋体"/>
          <w:b/>
          <w:bCs/>
          <w:color w:val="auto"/>
          <w:sz w:val="24"/>
          <w:szCs w:val="24"/>
          <w:highlight w:val="none"/>
        </w:rPr>
        <w:t>医院保安服务质量考核标准</w:t>
      </w:r>
    </w:p>
    <w:tbl>
      <w:tblPr>
        <w:tblStyle w:val="23"/>
        <w:tblpPr w:leftFromText="180" w:rightFromText="180" w:vertAnchor="text" w:horzAnchor="page" w:tblpX="1256" w:tblpY="204"/>
        <w:tblW w:w="9134" w:type="dxa"/>
        <w:tblInd w:w="0" w:type="dxa"/>
        <w:tblLayout w:type="fixed"/>
        <w:tblCellMar>
          <w:top w:w="0" w:type="dxa"/>
          <w:left w:w="0" w:type="dxa"/>
          <w:bottom w:w="0" w:type="dxa"/>
          <w:right w:w="0" w:type="dxa"/>
        </w:tblCellMar>
      </w:tblPr>
      <w:tblGrid>
        <w:gridCol w:w="840"/>
        <w:gridCol w:w="6033"/>
        <w:gridCol w:w="570"/>
        <w:gridCol w:w="1691"/>
      </w:tblGrid>
      <w:tr w14:paraId="531EC0F5">
        <w:tblPrEx>
          <w:tblCellMar>
            <w:top w:w="0" w:type="dxa"/>
            <w:left w:w="0" w:type="dxa"/>
            <w:bottom w:w="0" w:type="dxa"/>
            <w:right w:w="0" w:type="dxa"/>
          </w:tblCellMar>
        </w:tblPrEx>
        <w:trPr>
          <w:trHeight w:val="540" w:hRule="atLeast"/>
        </w:trPr>
        <w:tc>
          <w:tcPr>
            <w:tcW w:w="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A48015">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w:t>
            </w:r>
          </w:p>
          <w:p w14:paraId="1D1F6E7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w:t>
            </w: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64240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考核标准</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A8572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扣分</w:t>
            </w: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FCD419">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w:t>
            </w:r>
          </w:p>
        </w:tc>
      </w:tr>
      <w:tr w14:paraId="6B6755EF">
        <w:tblPrEx>
          <w:tblCellMar>
            <w:top w:w="0" w:type="dxa"/>
            <w:left w:w="0" w:type="dxa"/>
            <w:bottom w:w="0" w:type="dxa"/>
            <w:right w:w="0" w:type="dxa"/>
          </w:tblCellMar>
        </w:tblPrEx>
        <w:trPr>
          <w:trHeight w:val="455" w:hRule="atLeast"/>
        </w:trPr>
        <w:tc>
          <w:tcPr>
            <w:tcW w:w="84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F8D17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作</w:t>
            </w:r>
          </w:p>
          <w:p w14:paraId="38DEC1F4">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息</w:t>
            </w:r>
          </w:p>
          <w:p w14:paraId="67ED8E2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w:t>
            </w:r>
          </w:p>
          <w:p w14:paraId="58BC8D9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勤</w:t>
            </w: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268848">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上班迟到或早退超过5分钟，但不足15分钟的；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ECDD43">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C296D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每人每次扣1分</w:t>
            </w:r>
          </w:p>
        </w:tc>
      </w:tr>
      <w:tr w14:paraId="55B44526">
        <w:tblPrEx>
          <w:tblCellMar>
            <w:top w:w="0" w:type="dxa"/>
            <w:left w:w="0" w:type="dxa"/>
            <w:bottom w:w="0" w:type="dxa"/>
            <w:right w:w="0" w:type="dxa"/>
          </w:tblCellMar>
        </w:tblPrEx>
        <w:trPr>
          <w:trHeight w:val="67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26E276">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90647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未经院方监管同意擅自休假，或不按规定办理请、销假手续或请假后无特殊情况不按时归队；</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97980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6FA75E">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每人每次扣1分</w:t>
            </w:r>
          </w:p>
        </w:tc>
      </w:tr>
      <w:tr w14:paraId="2ED03E67">
        <w:tblPrEx>
          <w:tblCellMar>
            <w:top w:w="0" w:type="dxa"/>
            <w:left w:w="0" w:type="dxa"/>
            <w:bottom w:w="0" w:type="dxa"/>
            <w:right w:w="0" w:type="dxa"/>
          </w:tblCellMar>
        </w:tblPrEx>
        <w:trPr>
          <w:trHeight w:val="478"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ACFA45">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A437C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岗位交接时不按时接班及接班队员未到而擅自下班的；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914BFA">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2A27A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每人每次扣1分</w:t>
            </w:r>
          </w:p>
        </w:tc>
      </w:tr>
      <w:tr w14:paraId="2E8CF01C">
        <w:tblPrEx>
          <w:tblCellMar>
            <w:top w:w="0" w:type="dxa"/>
            <w:left w:w="0" w:type="dxa"/>
            <w:bottom w:w="0" w:type="dxa"/>
            <w:right w:w="0" w:type="dxa"/>
          </w:tblCellMar>
        </w:tblPrEx>
        <w:trPr>
          <w:trHeight w:val="440"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EA073E">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725F7E">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无故脱岗、串岗，尚未造成严重后果的；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CA1849">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C1F8D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4C38097C">
        <w:tblPrEx>
          <w:tblCellMar>
            <w:top w:w="0" w:type="dxa"/>
            <w:left w:w="0" w:type="dxa"/>
            <w:bottom w:w="0" w:type="dxa"/>
            <w:right w:w="0" w:type="dxa"/>
          </w:tblCellMar>
        </w:tblPrEx>
        <w:trPr>
          <w:trHeight w:val="624" w:hRule="atLeast"/>
        </w:trPr>
        <w:tc>
          <w:tcPr>
            <w:tcW w:w="84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906271">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行</w:t>
            </w:r>
          </w:p>
          <w:p w14:paraId="12367401">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w:t>
            </w:r>
          </w:p>
          <w:p w14:paraId="3A5A477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礼</w:t>
            </w:r>
          </w:p>
          <w:p w14:paraId="706531F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节</w:t>
            </w: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19ADA7">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保安必须保持衣冠整洁，仪容不整、未按规定要求着装的（如佩戴饰品、穿拖鞋或高跟鞋等）；</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78E36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B2C1F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每人每次扣1分</w:t>
            </w:r>
          </w:p>
        </w:tc>
      </w:tr>
      <w:tr w14:paraId="101F2199">
        <w:tblPrEx>
          <w:tblCellMar>
            <w:top w:w="0" w:type="dxa"/>
            <w:left w:w="0" w:type="dxa"/>
            <w:bottom w:w="0" w:type="dxa"/>
            <w:right w:w="0" w:type="dxa"/>
          </w:tblCellMar>
        </w:tblPrEx>
        <w:trPr>
          <w:trHeight w:val="485"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852341">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319243">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值班期间作风懒散、精神不振，站姿、坐姿不端正的；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73CB86">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90FBD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每人每次扣1分</w:t>
            </w:r>
          </w:p>
        </w:tc>
      </w:tr>
      <w:tr w14:paraId="537FD7E4">
        <w:tblPrEx>
          <w:tblCellMar>
            <w:top w:w="0" w:type="dxa"/>
            <w:left w:w="0" w:type="dxa"/>
            <w:bottom w:w="0" w:type="dxa"/>
            <w:right w:w="0" w:type="dxa"/>
          </w:tblCellMar>
        </w:tblPrEx>
        <w:trPr>
          <w:trHeight w:val="43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7041D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DB0947">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酗酒后上岗，或在岗睡觉的；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C23763">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53296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每人每次扣1分</w:t>
            </w:r>
          </w:p>
        </w:tc>
      </w:tr>
      <w:tr w14:paraId="4F36B9C2">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E48DD9">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F92D61">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上班期间</w:t>
            </w:r>
            <w:r>
              <w:rPr>
                <w:rFonts w:hint="eastAsia" w:ascii="宋体" w:hAnsi="宋体" w:cs="宋体"/>
                <w:color w:val="auto"/>
                <w:sz w:val="21"/>
                <w:szCs w:val="21"/>
                <w:highlight w:val="none"/>
                <w:lang w:val="en-US" w:eastAsia="zh-CN"/>
              </w:rPr>
              <w:t>玩忽</w:t>
            </w:r>
            <w:r>
              <w:rPr>
                <w:rFonts w:hint="eastAsia" w:ascii="宋体" w:hAnsi="宋体" w:eastAsia="宋体" w:cs="宋体"/>
                <w:color w:val="auto"/>
                <w:sz w:val="21"/>
                <w:szCs w:val="21"/>
                <w:highlight w:val="none"/>
              </w:rPr>
              <w:t>职守、滥用职权、态度粗暴、故意刁难，或遭人投诉属实的；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F0F63E">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909F6C">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每人每次扣1分</w:t>
            </w:r>
          </w:p>
        </w:tc>
      </w:tr>
      <w:tr w14:paraId="5237A791">
        <w:tblPrEx>
          <w:tblCellMar>
            <w:top w:w="0" w:type="dxa"/>
            <w:left w:w="0" w:type="dxa"/>
            <w:bottom w:w="0" w:type="dxa"/>
            <w:right w:w="0" w:type="dxa"/>
          </w:tblCellMar>
        </w:tblPrEx>
        <w:trPr>
          <w:trHeight w:val="473"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2C588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2C690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在当值场所公开吸烟，对吸烟人员不劝阻的；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AC9078">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03531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每人每次扣1分</w:t>
            </w:r>
          </w:p>
        </w:tc>
      </w:tr>
      <w:tr w14:paraId="4317D48E">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2A7495">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4F4E7D">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值班期间做与职务无关活动的（如打瞌睡、闲聊、听音乐、开、看视频、吃零食、打闹等行为）；</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7D9E7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1B9EE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每人每次扣1分</w:t>
            </w:r>
          </w:p>
        </w:tc>
      </w:tr>
      <w:tr w14:paraId="21E2E8F4">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79512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125F68">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保安队人员当值时不按规定着装和佩戴标志、警械器具的；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FE9D36">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005E5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每人每次扣1分</w:t>
            </w:r>
          </w:p>
        </w:tc>
      </w:tr>
      <w:tr w14:paraId="582E5CC9">
        <w:tblPrEx>
          <w:tblCellMar>
            <w:top w:w="0" w:type="dxa"/>
            <w:left w:w="0" w:type="dxa"/>
            <w:bottom w:w="0" w:type="dxa"/>
            <w:right w:w="0" w:type="dxa"/>
          </w:tblCellMar>
        </w:tblPrEx>
        <w:trPr>
          <w:trHeight w:val="624" w:hRule="atLeast"/>
        </w:trPr>
        <w:tc>
          <w:tcPr>
            <w:tcW w:w="84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7796E6">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执</w:t>
            </w:r>
          </w:p>
          <w:p w14:paraId="6F598F0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勤</w:t>
            </w:r>
          </w:p>
          <w:p w14:paraId="748A0468">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纪</w:t>
            </w:r>
          </w:p>
          <w:p w14:paraId="66B895B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律</w:t>
            </w: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1BAC1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保安人员非工作需要，进入办公室、值班室并擅自动用或带出办公用品或私人物品的；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30D119">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43E824">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7317E467">
        <w:tblPrEx>
          <w:tblCellMar>
            <w:top w:w="0" w:type="dxa"/>
            <w:left w:w="0" w:type="dxa"/>
            <w:bottom w:w="0" w:type="dxa"/>
            <w:right w:w="0" w:type="dxa"/>
          </w:tblCellMar>
        </w:tblPrEx>
        <w:trPr>
          <w:trHeight w:val="506"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4348A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A6B0C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利用执勤工作之便向他人索要财物的；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2EEC5D">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914ABE">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4B3A9FA5">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598E9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37FCA9">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执勤中私自扣押物品或证件，捡拾物品不登记、不上交的，擅自处理或挪用的；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10616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70120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08EF702A">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69AB8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6F6D19">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盗窃医院、医护人员或病患财物的，或将医院公共物品或设施占为己有的，情节严重的报公安机关处理；</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42246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44194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19FA2832">
        <w:tblPrEx>
          <w:tblCellMar>
            <w:top w:w="0" w:type="dxa"/>
            <w:left w:w="0" w:type="dxa"/>
            <w:bottom w:w="0" w:type="dxa"/>
            <w:right w:w="0" w:type="dxa"/>
          </w:tblCellMar>
        </w:tblPrEx>
        <w:trPr>
          <w:trHeight w:val="562"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A1CD8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984B42">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商贩进入院区内推销商品，发现后未及时进行驱离的；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E26343">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C1A73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5B4CC1D4">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1DBA8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8E906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利用职务之便谋取个人利益，有勾结“医托”“黑车”“医闹”等人员而充当内线等行为的；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07CD56">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631A15">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6F5FD496">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09AC3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979CD6">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在医院范围内有拉帮结派，打架斗殴、散布谣言、挑拨离间等行为，造成不良影响的；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DBD41A">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2C326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2C02429C">
        <w:tblPrEx>
          <w:tblCellMar>
            <w:top w:w="0" w:type="dxa"/>
            <w:left w:w="0" w:type="dxa"/>
            <w:bottom w:w="0" w:type="dxa"/>
            <w:right w:w="0" w:type="dxa"/>
          </w:tblCellMar>
        </w:tblPrEx>
        <w:trPr>
          <w:trHeight w:val="47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BC923A">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8F2F4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处理事件不及时，推诿、扯皮、畏惧等不作为的；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1233A8">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39B45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66BFC944">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74D3B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EF9B8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发生突发事件或紧急情况下，保安人员有消极怠慢，临阵脱逃等行为的；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5E3398">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741B9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09C57DA7">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F649F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1BF69D">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利用工作便利，帮人挂号、看病、安排住院及手术等非职责活动的，收受病者或家属财物的，作辞退处理；</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BA9FBA">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3973F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17BEBF9F">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515F9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6EFE82">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行政楼人员不按规定履行职责；对来访者不询问、不登记、不检查的；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CDEAB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EE8FE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07B6F37F">
        <w:tblPrEx>
          <w:tblCellMar>
            <w:top w:w="0" w:type="dxa"/>
            <w:left w:w="0" w:type="dxa"/>
            <w:bottom w:w="0" w:type="dxa"/>
            <w:right w:w="0" w:type="dxa"/>
          </w:tblCellMar>
        </w:tblPrEx>
        <w:trPr>
          <w:trHeight w:val="551"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25254E">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5585E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现场不听指挥，不服从管理或工作调配的；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4BC157">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84CB2E">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59215BFB">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82C337">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8B3E8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当班期间，利用通信工具讲与工作无关事情的，或非信号原因故意不接报对讲机的；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407A49">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197379">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7A28E3B3">
        <w:tblPrEx>
          <w:tblCellMar>
            <w:top w:w="0" w:type="dxa"/>
            <w:left w:w="0" w:type="dxa"/>
            <w:bottom w:w="0" w:type="dxa"/>
            <w:right w:w="0" w:type="dxa"/>
          </w:tblCellMar>
        </w:tblPrEx>
        <w:trPr>
          <w:trHeight w:val="496"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4925F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49A20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紧急呼叫后5分钟内未到现场的；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38A14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4190B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05B34336">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DC0AD7">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46972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对于进入院区内张贴小广告或发放宣传品的人员，发现后未及时有效驱离的；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55CEED">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CF8C7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06C609F6">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7DD9E6">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E892A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接到火警报告后未能在3分钟内赶赴现场并有效处置火情的；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6D4868">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B3844C">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3D834D55">
        <w:tblPrEx>
          <w:tblCellMar>
            <w:top w:w="0" w:type="dxa"/>
            <w:left w:w="0" w:type="dxa"/>
            <w:bottom w:w="0" w:type="dxa"/>
            <w:right w:w="0" w:type="dxa"/>
          </w:tblCellMar>
        </w:tblPrEx>
        <w:trPr>
          <w:trHeight w:val="518"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18C092">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F4526D">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未按规定巡逻签到、巡逻记录作假或不</w:t>
            </w:r>
            <w:r>
              <w:rPr>
                <w:rFonts w:hint="eastAsia" w:ascii="宋体" w:hAnsi="宋体" w:cs="宋体"/>
                <w:color w:val="auto"/>
                <w:sz w:val="21"/>
                <w:szCs w:val="21"/>
                <w:highlight w:val="none"/>
                <w:lang w:val="en-US" w:eastAsia="zh-CN"/>
              </w:rPr>
              <w:t>做</w:t>
            </w:r>
            <w:r>
              <w:rPr>
                <w:rFonts w:hint="eastAsia" w:ascii="宋体" w:hAnsi="宋体" w:eastAsia="宋体" w:cs="宋体"/>
                <w:color w:val="auto"/>
                <w:sz w:val="21"/>
                <w:szCs w:val="21"/>
                <w:highlight w:val="none"/>
              </w:rPr>
              <w:t>记录的；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E63E1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C48E3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23059845">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960491">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0748E1">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巡查时未能及时发现院内设施设备损坏等可能危及医院安全的隐患，或发现后未及时报告的；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EF8DD1">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260B4C">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1B2F38AE">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97A60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B76C1D">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重大事件当班队长应书写工作日志，并做好交接班记录，未做到者；</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C1963E">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889CB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每人每次扣2分</w:t>
            </w:r>
          </w:p>
        </w:tc>
      </w:tr>
      <w:tr w14:paraId="203848D9">
        <w:tblPrEx>
          <w:tblCellMar>
            <w:top w:w="0" w:type="dxa"/>
            <w:left w:w="0" w:type="dxa"/>
            <w:bottom w:w="0" w:type="dxa"/>
            <w:right w:w="0" w:type="dxa"/>
          </w:tblCellMar>
        </w:tblPrEx>
        <w:trPr>
          <w:trHeight w:val="495" w:hRule="atLeast"/>
        </w:trPr>
        <w:tc>
          <w:tcPr>
            <w:tcW w:w="84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43391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w:t>
            </w:r>
          </w:p>
          <w:p w14:paraId="3F91B3E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w:t>
            </w:r>
          </w:p>
          <w:p w14:paraId="379EBFE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停</w:t>
            </w:r>
          </w:p>
          <w:p w14:paraId="1F893CA8">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w:t>
            </w: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B1CA3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未按规定巡视，发现违停不及时处理的；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A66F99">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9E8A4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每人每次扣1分</w:t>
            </w:r>
          </w:p>
        </w:tc>
      </w:tr>
      <w:tr w14:paraId="44A9D565">
        <w:tblPrEx>
          <w:tblCellMar>
            <w:top w:w="0" w:type="dxa"/>
            <w:left w:w="0" w:type="dxa"/>
            <w:bottom w:w="0" w:type="dxa"/>
            <w:right w:w="0" w:type="dxa"/>
          </w:tblCellMar>
        </w:tblPrEx>
        <w:trPr>
          <w:trHeight w:val="462"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D986BD">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1318E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管理人员在有车位情况下未及时安排停放的；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9FEA8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458A8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每人每次扣1分</w:t>
            </w:r>
          </w:p>
        </w:tc>
      </w:tr>
      <w:tr w14:paraId="12F0C785">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B705E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329FA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未按规定指挥车辆出入或停放，造成通道堵塞的；（造成急救、消防通道堵塞的扣2分）</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02B12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EF5E3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每人每次扣1分</w:t>
            </w:r>
          </w:p>
        </w:tc>
      </w:tr>
      <w:tr w14:paraId="06DE9C96">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80E81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547EB1">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特殊车辆在院内未按规定停放，没有询问、劝阻或告知的；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DA635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8BB8D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每人每次扣1分</w:t>
            </w:r>
          </w:p>
        </w:tc>
      </w:tr>
      <w:tr w14:paraId="3A05AA6C">
        <w:tblPrEx>
          <w:tblCellMar>
            <w:top w:w="0" w:type="dxa"/>
            <w:left w:w="0" w:type="dxa"/>
            <w:bottom w:w="0" w:type="dxa"/>
            <w:right w:w="0" w:type="dxa"/>
          </w:tblCellMar>
        </w:tblPrEx>
        <w:trPr>
          <w:trHeight w:val="624" w:hRule="atLeast"/>
        </w:trPr>
        <w:tc>
          <w:tcPr>
            <w:tcW w:w="84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93572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w:t>
            </w:r>
          </w:p>
          <w:p w14:paraId="2B2398A1">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w:t>
            </w:r>
          </w:p>
          <w:p w14:paraId="693F64E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w:t>
            </w:r>
          </w:p>
          <w:p w14:paraId="11260F18">
            <w:pPr>
              <w:keepNext w:val="0"/>
              <w:keepLines w:val="0"/>
              <w:widowControl/>
              <w:suppressLineNumbers w:val="0"/>
              <w:spacing w:before="0" w:beforeAutospacing="0" w:after="0" w:afterAutospacing="0"/>
              <w:ind w:left="0" w:right="0"/>
              <w:jc w:val="center"/>
              <w:rPr>
                <w:rFonts w:hint="eastAsia" w:ascii="宋体" w:hAnsi="宋体" w:eastAsia="宋体" w:cs="宋体"/>
                <w:b/>
                <w:color w:val="auto"/>
                <w:sz w:val="21"/>
                <w:szCs w:val="21"/>
                <w:highlight w:val="none"/>
                <w:shd w:val="clear" w:color="FFFFFF" w:fill="D9D9D9"/>
              </w:rPr>
            </w:pPr>
            <w:r>
              <w:rPr>
                <w:rFonts w:hint="eastAsia" w:ascii="宋体" w:hAnsi="宋体" w:eastAsia="宋体" w:cs="宋体"/>
                <w:color w:val="auto"/>
                <w:sz w:val="21"/>
                <w:szCs w:val="21"/>
                <w:highlight w:val="none"/>
              </w:rPr>
              <w:t>理</w:t>
            </w: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DC427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项目负责人对下属的违纪行为进行包庇、隐瞒、纵容或知情不报情节轻者；</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F8CF5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2B9084">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每次扣5分</w:t>
            </w:r>
          </w:p>
        </w:tc>
      </w:tr>
      <w:tr w14:paraId="3DC84B3A">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33C06C">
            <w:pPr>
              <w:keepNext w:val="0"/>
              <w:keepLines w:val="0"/>
              <w:suppressLineNumbers w:val="0"/>
              <w:spacing w:before="0" w:beforeAutospacing="0" w:after="0" w:afterAutospacing="0"/>
              <w:ind w:left="0" w:right="0"/>
              <w:jc w:val="left"/>
              <w:rPr>
                <w:rFonts w:hint="eastAsia" w:ascii="宋体" w:hAnsi="宋体" w:eastAsia="宋体" w:cs="宋体"/>
                <w:b/>
                <w:color w:val="auto"/>
                <w:sz w:val="21"/>
                <w:szCs w:val="21"/>
                <w:highlight w:val="none"/>
                <w:shd w:val="clear" w:color="FFFFFF" w:fill="D9D9D9"/>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4F14E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在突发事件、紧急情况及重大活动中，保安公司应未按照医院需求全力配合并抽调现场安保人员至现场的（大型活动安保除外）；</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09D99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ADA05C">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每次扣5分</w:t>
            </w:r>
          </w:p>
        </w:tc>
      </w:tr>
      <w:tr w14:paraId="3D0D7C19">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9F7238">
            <w:pPr>
              <w:keepNext w:val="0"/>
              <w:keepLines w:val="0"/>
              <w:suppressLineNumbers w:val="0"/>
              <w:spacing w:before="0" w:beforeAutospacing="0" w:after="0" w:afterAutospacing="0"/>
              <w:ind w:left="0" w:right="0"/>
              <w:jc w:val="left"/>
              <w:rPr>
                <w:rFonts w:hint="eastAsia" w:ascii="宋体" w:hAnsi="宋体" w:eastAsia="宋体" w:cs="宋体"/>
                <w:b/>
                <w:color w:val="auto"/>
                <w:sz w:val="21"/>
                <w:szCs w:val="21"/>
                <w:highlight w:val="none"/>
                <w:shd w:val="clear" w:color="FFFFFF" w:fill="D9D9D9"/>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2EB311">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保安公司未按规定每半年组织全体保安员进行消防知识培训并举行突发性火灾扑救演练的；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42DB6D">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B5F8DC">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每次扣5分</w:t>
            </w:r>
          </w:p>
        </w:tc>
      </w:tr>
      <w:tr w14:paraId="3D08DA34">
        <w:tblPrEx>
          <w:tblCellMar>
            <w:top w:w="0" w:type="dxa"/>
            <w:left w:w="0" w:type="dxa"/>
            <w:bottom w:w="0" w:type="dxa"/>
            <w:right w:w="0" w:type="dxa"/>
          </w:tblCellMar>
        </w:tblPrEx>
        <w:trPr>
          <w:trHeight w:val="624"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B93C74">
            <w:pPr>
              <w:keepNext w:val="0"/>
              <w:keepLines w:val="0"/>
              <w:suppressLineNumbers w:val="0"/>
              <w:spacing w:before="0" w:beforeAutospacing="0" w:after="0" w:afterAutospacing="0"/>
              <w:ind w:left="0" w:right="0"/>
              <w:jc w:val="left"/>
              <w:rPr>
                <w:rFonts w:hint="eastAsia" w:ascii="宋体" w:hAnsi="宋体" w:eastAsia="宋体" w:cs="宋体"/>
                <w:b/>
                <w:color w:val="auto"/>
                <w:sz w:val="21"/>
                <w:szCs w:val="21"/>
                <w:highlight w:val="none"/>
                <w:shd w:val="clear" w:color="FFFFFF" w:fill="D9D9D9"/>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62CCE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保安人员未能在3分钟内赶赴火灾现场并有效处置火情的；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E6EE6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6B927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每次扣5分</w:t>
            </w:r>
          </w:p>
        </w:tc>
      </w:tr>
      <w:tr w14:paraId="40ED4305">
        <w:tblPrEx>
          <w:tblCellMar>
            <w:top w:w="0" w:type="dxa"/>
            <w:left w:w="0" w:type="dxa"/>
            <w:bottom w:w="0" w:type="dxa"/>
            <w:right w:w="0" w:type="dxa"/>
          </w:tblCellMar>
        </w:tblPrEx>
        <w:trPr>
          <w:trHeight w:val="440"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AFA300">
            <w:pPr>
              <w:keepNext w:val="0"/>
              <w:keepLines w:val="0"/>
              <w:suppressLineNumbers w:val="0"/>
              <w:spacing w:before="0" w:beforeAutospacing="0" w:after="0" w:afterAutospacing="0"/>
              <w:ind w:left="0" w:right="0"/>
              <w:jc w:val="left"/>
              <w:rPr>
                <w:rFonts w:hint="eastAsia" w:ascii="宋体" w:hAnsi="宋体" w:eastAsia="宋体" w:cs="宋体"/>
                <w:b/>
                <w:color w:val="auto"/>
                <w:sz w:val="21"/>
                <w:szCs w:val="21"/>
                <w:highlight w:val="none"/>
                <w:shd w:val="clear" w:color="FFFFFF" w:fill="D9D9D9"/>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54AE0E">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未根据院方要求录用或辞退人员的；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6DFD1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7E9A26">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每次扣5分</w:t>
            </w:r>
          </w:p>
        </w:tc>
      </w:tr>
      <w:tr w14:paraId="474E9793">
        <w:tblPrEx>
          <w:tblCellMar>
            <w:top w:w="0" w:type="dxa"/>
            <w:left w:w="0" w:type="dxa"/>
            <w:bottom w:w="0" w:type="dxa"/>
            <w:right w:w="0" w:type="dxa"/>
          </w:tblCellMar>
        </w:tblPrEx>
        <w:trPr>
          <w:trHeight w:val="507"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86F042">
            <w:pPr>
              <w:keepNext w:val="0"/>
              <w:keepLines w:val="0"/>
              <w:suppressLineNumbers w:val="0"/>
              <w:spacing w:before="0" w:beforeAutospacing="0" w:after="0" w:afterAutospacing="0"/>
              <w:ind w:left="0" w:right="0"/>
              <w:jc w:val="left"/>
              <w:rPr>
                <w:rFonts w:hint="eastAsia" w:ascii="宋体" w:hAnsi="宋体" w:eastAsia="宋体" w:cs="宋体"/>
                <w:b/>
                <w:color w:val="auto"/>
                <w:sz w:val="21"/>
                <w:szCs w:val="21"/>
                <w:highlight w:val="none"/>
                <w:shd w:val="clear" w:color="FFFFFF" w:fill="D9D9D9"/>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242DFA">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项目部领导不当或疏于管理造成医院损失的；</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ABB439">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9FF1CE">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每次扣5分</w:t>
            </w:r>
          </w:p>
        </w:tc>
      </w:tr>
      <w:tr w14:paraId="0849A828">
        <w:tblPrEx>
          <w:tblCellMar>
            <w:top w:w="0" w:type="dxa"/>
            <w:left w:w="0" w:type="dxa"/>
            <w:bottom w:w="0" w:type="dxa"/>
            <w:right w:w="0" w:type="dxa"/>
          </w:tblCellMar>
        </w:tblPrEx>
        <w:trPr>
          <w:trHeight w:val="428" w:hRule="atLeast"/>
        </w:trPr>
        <w:tc>
          <w:tcPr>
            <w:tcW w:w="84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B80503">
            <w:pPr>
              <w:keepNext w:val="0"/>
              <w:keepLines w:val="0"/>
              <w:suppressLineNumbers w:val="0"/>
              <w:spacing w:before="0" w:beforeAutospacing="0" w:after="0" w:afterAutospacing="0"/>
              <w:ind w:left="0" w:right="0"/>
              <w:jc w:val="left"/>
              <w:rPr>
                <w:rFonts w:hint="eastAsia" w:ascii="宋体" w:hAnsi="宋体" w:eastAsia="宋体" w:cs="宋体"/>
                <w:b/>
                <w:color w:val="auto"/>
                <w:sz w:val="21"/>
                <w:szCs w:val="21"/>
                <w:highlight w:val="none"/>
                <w:shd w:val="clear" w:color="FFFFFF" w:fill="D9D9D9"/>
              </w:rPr>
            </w:pPr>
          </w:p>
        </w:tc>
        <w:tc>
          <w:tcPr>
            <w:tcW w:w="60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1328A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其他违规违纪违法行为。</w:t>
            </w:r>
          </w:p>
        </w:tc>
        <w:tc>
          <w:tcPr>
            <w:tcW w:w="5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FBA391">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16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66255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每次扣5分</w:t>
            </w:r>
          </w:p>
        </w:tc>
      </w:tr>
    </w:tbl>
    <w:p w14:paraId="6C841CB5">
      <w:pPr>
        <w:rPr>
          <w:rFonts w:hint="eastAsia" w:ascii="宋体" w:hAnsi="宋体" w:eastAsia="宋体" w:cs="宋体"/>
          <w:color w:val="auto"/>
          <w:highlight w:val="none"/>
        </w:rPr>
      </w:pPr>
    </w:p>
    <w:p w14:paraId="4E115A72">
      <w:pP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考核总分为100分，扣除考核扣分后的数值即为考核得分值</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考核表招标人有权修改，且可根据中标人工作的实际情况增加新的考核表。</w:t>
      </w:r>
    </w:p>
    <w:p w14:paraId="73F65EBB">
      <w:pPr>
        <w:pStyle w:val="34"/>
        <w:spacing w:before="0" w:after="0" w:line="360" w:lineRule="auto"/>
        <w:jc w:val="center"/>
        <w:rPr>
          <w:rFonts w:hint="eastAsia" w:ascii="宋体" w:hAnsi="宋体" w:eastAsia="宋体" w:cs="宋体"/>
          <w:b/>
          <w:color w:val="auto"/>
          <w:sz w:val="42"/>
          <w:szCs w:val="24"/>
          <w:highlight w:val="none"/>
          <w:lang w:val="en-US" w:eastAsia="zh-CN" w:bidi="ar-SA"/>
        </w:rPr>
      </w:pPr>
      <w:bookmarkStart w:id="39" w:name="_Toc20541"/>
      <w:bookmarkStart w:id="40" w:name="_Toc409438821"/>
      <w:bookmarkStart w:id="41" w:name="_Toc388026588"/>
      <w:bookmarkStart w:id="42" w:name="OLE_LINK32"/>
      <w:r>
        <w:rPr>
          <w:rFonts w:hint="eastAsia" w:ascii="宋体" w:hAnsi="宋体" w:eastAsia="宋体" w:cs="宋体"/>
          <w:b/>
          <w:color w:val="auto"/>
          <w:sz w:val="42"/>
          <w:szCs w:val="24"/>
          <w:highlight w:val="none"/>
          <w:lang w:val="en-US" w:eastAsia="zh-CN" w:bidi="ar-SA"/>
        </w:rPr>
        <w:t>第四章 评标办法及标准</w:t>
      </w:r>
      <w:bookmarkEnd w:id="39"/>
      <w:bookmarkEnd w:id="40"/>
      <w:bookmarkEnd w:id="41"/>
    </w:p>
    <w:bookmarkEnd w:id="42"/>
    <w:p w14:paraId="578A8042">
      <w:pPr>
        <w:pStyle w:val="35"/>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szCs w:val="18"/>
          <w:highlight w:val="none"/>
        </w:rPr>
      </w:pPr>
      <w:r>
        <w:rPr>
          <w:rFonts w:hint="eastAsia" w:ascii="宋体" w:hAnsi="宋体" w:eastAsia="宋体" w:cs="宋体"/>
          <w:color w:val="auto"/>
          <w:sz w:val="24"/>
          <w:szCs w:val="24"/>
          <w:highlight w:val="none"/>
        </w:rPr>
        <w:t>1.本次招标评标采用</w:t>
      </w:r>
      <w:r>
        <w:rPr>
          <w:rFonts w:hint="eastAsia" w:ascii="宋体" w:hAnsi="宋体" w:eastAsia="宋体" w:cs="宋体"/>
          <w:color w:val="auto"/>
          <w:sz w:val="24"/>
          <w:szCs w:val="24"/>
          <w:highlight w:val="none"/>
          <w:u w:val="single"/>
        </w:rPr>
        <w:t>综合评分法</w:t>
      </w:r>
      <w:r>
        <w:rPr>
          <w:rFonts w:hint="eastAsia" w:ascii="宋体" w:hAnsi="宋体" w:eastAsia="宋体" w:cs="宋体"/>
          <w:color w:val="auto"/>
          <w:sz w:val="24"/>
          <w:szCs w:val="24"/>
          <w:highlight w:val="none"/>
        </w:rPr>
        <w:t>。即在满足招标文件实质性要求前提下，按照招标文件中规定的评分标准和各项因素进行综合评审后，以评标总得分最高的投标人作为中标候选供应商或中标人。</w:t>
      </w:r>
    </w:p>
    <w:p w14:paraId="40699D65">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2.评标时，评标委员会成员按照招标文件规定的评分标准，独立对每个投标人的投标文件进行评价、打分。价格得分按相关规定的计算公式直接计算取得。评分过程中采用“四舍五入”法，并保留小数点后2位。</w:t>
      </w:r>
    </w:p>
    <w:p w14:paraId="34E8F164">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3.评分标准：</w:t>
      </w:r>
    </w:p>
    <w:p w14:paraId="3F4CA2F5">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（1）评标采用综合评分法。</w:t>
      </w:r>
    </w:p>
    <w:p w14:paraId="4C0215EF">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（2）评标考虑的主要因素及其权值：详见评分细则。</w:t>
      </w:r>
    </w:p>
    <w:p w14:paraId="76624E10">
      <w:pPr>
        <w:keepNext w:val="0"/>
        <w:keepLines w:val="0"/>
        <w:pageBreakBefore w:val="0"/>
        <w:widowControl w:val="0"/>
        <w:tabs>
          <w:tab w:val="left" w:pos="900"/>
        </w:tabs>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8"/>
          <w:highlight w:val="none"/>
          <w:lang w:val="en-US" w:eastAsia="zh-CN"/>
        </w:rPr>
        <w:t>4</w:t>
      </w:r>
      <w:r>
        <w:rPr>
          <w:rFonts w:hint="eastAsia" w:ascii="宋体" w:hAnsi="宋体" w:eastAsia="宋体" w:cs="宋体"/>
          <w:color w:val="auto"/>
          <w:sz w:val="24"/>
          <w:szCs w:val="28"/>
          <w:highlight w:val="none"/>
        </w:rPr>
        <w:t>.</w:t>
      </w:r>
      <w:r>
        <w:rPr>
          <w:rFonts w:hint="eastAsia" w:ascii="宋体" w:hAnsi="宋体" w:eastAsia="宋体" w:cs="宋体"/>
          <w:color w:val="auto"/>
          <w:sz w:val="24"/>
          <w:highlight w:val="none"/>
        </w:rPr>
        <w:t>关于异常低价的审查</w:t>
      </w:r>
      <w:r>
        <w:rPr>
          <w:rFonts w:hint="eastAsia" w:ascii="宋体" w:hAnsi="宋体" w:cs="宋体"/>
          <w:color w:val="auto"/>
          <w:sz w:val="24"/>
          <w:highlight w:val="none"/>
          <w:lang w:eastAsia="zh-CN"/>
        </w:rPr>
        <w:t>：</w:t>
      </w:r>
    </w:p>
    <w:p w14:paraId="271F29B8">
      <w:pPr>
        <w:keepNext w:val="0"/>
        <w:keepLines w:val="0"/>
        <w:pageBreakBefore w:val="0"/>
        <w:widowControl w:val="0"/>
        <w:tabs>
          <w:tab w:val="left" w:pos="900"/>
        </w:tabs>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根据财库〔2026〕2号文《财政部关于推动解决政府采购异常低价问题的通知》：</w:t>
      </w:r>
    </w:p>
    <w:p w14:paraId="16BC1F67">
      <w:pPr>
        <w:keepNext w:val="0"/>
        <w:keepLines w:val="0"/>
        <w:pageBreakBefore w:val="0"/>
        <w:widowControl w:val="0"/>
        <w:tabs>
          <w:tab w:val="left" w:pos="900"/>
        </w:tabs>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（1）政府采购评审中出现下列情形之一的，评审委员会应当启动异常低价投标（响应）审查程序：</w:t>
      </w:r>
    </w:p>
    <w:p w14:paraId="4547443A">
      <w:pPr>
        <w:keepNext w:val="0"/>
        <w:keepLines w:val="0"/>
        <w:pageBreakBefore w:val="0"/>
        <w:widowControl w:val="0"/>
        <w:tabs>
          <w:tab w:val="left" w:pos="900"/>
        </w:tabs>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①投标（响应）报价低于全部通过符合性审查供应商投标（响应）报价平均值</w:t>
      </w:r>
      <w:r>
        <w:rPr>
          <w:rFonts w:hint="eastAsia" w:ascii="宋体" w:hAnsi="宋体" w:cs="宋体"/>
          <w:color w:val="auto"/>
          <w:sz w:val="24"/>
          <w:highlight w:val="none"/>
          <w:lang w:val="en-US" w:eastAsia="zh-CN"/>
        </w:rPr>
        <w:t>65</w:t>
      </w:r>
      <w:r>
        <w:rPr>
          <w:rFonts w:hint="eastAsia" w:ascii="宋体" w:hAnsi="宋体" w:eastAsia="宋体" w:cs="宋体"/>
          <w:color w:val="auto"/>
          <w:sz w:val="24"/>
          <w:highlight w:val="none"/>
        </w:rPr>
        <w:t>%的，即投标（响应）报价&lt;全部通过符合性审查供应商投标（响应）报价平均值×</w:t>
      </w:r>
      <w:r>
        <w:rPr>
          <w:rFonts w:hint="eastAsia" w:ascii="宋体" w:hAnsi="宋体" w:cs="宋体"/>
          <w:color w:val="auto"/>
          <w:sz w:val="24"/>
          <w:highlight w:val="none"/>
          <w:lang w:val="en-US" w:eastAsia="zh-CN"/>
        </w:rPr>
        <w:t>65</w:t>
      </w:r>
      <w:r>
        <w:rPr>
          <w:rFonts w:hint="eastAsia" w:ascii="宋体" w:hAnsi="宋体" w:eastAsia="宋体" w:cs="宋体"/>
          <w:color w:val="auto"/>
          <w:sz w:val="24"/>
          <w:highlight w:val="none"/>
        </w:rPr>
        <w:t>%；</w:t>
      </w:r>
    </w:p>
    <w:p w14:paraId="3275E108">
      <w:pPr>
        <w:keepNext w:val="0"/>
        <w:keepLines w:val="0"/>
        <w:pageBreakBefore w:val="0"/>
        <w:widowControl w:val="0"/>
        <w:tabs>
          <w:tab w:val="left" w:pos="900"/>
        </w:tabs>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②投标（响应）报价低于通过符合性审查的次低报价供应商投标（响应）报价</w:t>
      </w:r>
      <w:r>
        <w:rPr>
          <w:rFonts w:hint="eastAsia" w:ascii="宋体" w:hAnsi="宋体" w:cs="宋体"/>
          <w:color w:val="auto"/>
          <w:sz w:val="24"/>
          <w:highlight w:val="none"/>
          <w:lang w:val="en-US" w:eastAsia="zh-CN"/>
        </w:rPr>
        <w:t>65</w:t>
      </w:r>
      <w:r>
        <w:rPr>
          <w:rFonts w:hint="eastAsia" w:ascii="宋体" w:hAnsi="宋体" w:eastAsia="宋体" w:cs="宋体"/>
          <w:color w:val="auto"/>
          <w:sz w:val="24"/>
          <w:highlight w:val="none"/>
        </w:rPr>
        <w:t>%的，即投标（响应）报价&lt;通过符合性审查的次低报价供应商投标（响应）报价×</w:t>
      </w:r>
      <w:r>
        <w:rPr>
          <w:rFonts w:hint="eastAsia" w:ascii="宋体" w:hAnsi="宋体" w:cs="宋体"/>
          <w:color w:val="auto"/>
          <w:sz w:val="24"/>
          <w:highlight w:val="none"/>
          <w:lang w:val="en-US" w:eastAsia="zh-CN"/>
        </w:rPr>
        <w:t>65</w:t>
      </w:r>
      <w:r>
        <w:rPr>
          <w:rFonts w:hint="eastAsia" w:ascii="宋体" w:hAnsi="宋体" w:eastAsia="宋体" w:cs="宋体"/>
          <w:color w:val="auto"/>
          <w:sz w:val="24"/>
          <w:highlight w:val="none"/>
        </w:rPr>
        <w:t>%；</w:t>
      </w:r>
    </w:p>
    <w:p w14:paraId="6E2DAE70">
      <w:pPr>
        <w:keepNext w:val="0"/>
        <w:keepLines w:val="0"/>
        <w:pageBreakBefore w:val="0"/>
        <w:widowControl w:val="0"/>
        <w:tabs>
          <w:tab w:val="left" w:pos="900"/>
        </w:tabs>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③投标（响应）报价低于采购项目最高限价</w:t>
      </w:r>
      <w:r>
        <w:rPr>
          <w:rFonts w:hint="eastAsia" w:ascii="宋体" w:hAnsi="宋体" w:cs="宋体"/>
          <w:color w:val="auto"/>
          <w:sz w:val="24"/>
          <w:highlight w:val="none"/>
          <w:lang w:val="en-US" w:eastAsia="zh-CN"/>
        </w:rPr>
        <w:t>65</w:t>
      </w:r>
      <w:r>
        <w:rPr>
          <w:rFonts w:hint="eastAsia" w:ascii="宋体" w:hAnsi="宋体" w:eastAsia="宋体" w:cs="宋体"/>
          <w:color w:val="auto"/>
          <w:sz w:val="24"/>
          <w:highlight w:val="none"/>
        </w:rPr>
        <w:t>%的，即投标（响应）报价&lt;采购项目最高限价×</w:t>
      </w:r>
      <w:r>
        <w:rPr>
          <w:rFonts w:hint="eastAsia" w:ascii="宋体" w:hAnsi="宋体" w:cs="宋体"/>
          <w:color w:val="auto"/>
          <w:sz w:val="24"/>
          <w:highlight w:val="none"/>
          <w:lang w:val="en-US" w:eastAsia="zh-CN"/>
        </w:rPr>
        <w:t>65</w:t>
      </w:r>
      <w:r>
        <w:rPr>
          <w:rFonts w:hint="eastAsia" w:ascii="宋体" w:hAnsi="宋体" w:eastAsia="宋体" w:cs="宋体"/>
          <w:color w:val="auto"/>
          <w:sz w:val="24"/>
          <w:highlight w:val="none"/>
        </w:rPr>
        <w:t>%；</w:t>
      </w:r>
    </w:p>
    <w:p w14:paraId="49FE74BD">
      <w:pPr>
        <w:keepNext w:val="0"/>
        <w:keepLines w:val="0"/>
        <w:pageBreakBefore w:val="0"/>
        <w:widowControl w:val="0"/>
        <w:tabs>
          <w:tab w:val="left" w:pos="900"/>
        </w:tabs>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④评审委员会基于专业判断，认为供应商报价过低，有可能影响产品质量或者不能诚信履约的其他情形。</w:t>
      </w:r>
    </w:p>
    <w:p w14:paraId="2F6076C8">
      <w:pPr>
        <w:keepNext w:val="0"/>
        <w:keepLines w:val="0"/>
        <w:pageBreakBefore w:val="0"/>
        <w:widowControl w:val="0"/>
        <w:tabs>
          <w:tab w:val="left" w:pos="900"/>
        </w:tabs>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8926890">
      <w:pPr>
        <w:keepNext w:val="0"/>
        <w:keepLines w:val="0"/>
        <w:pageBreakBefore w:val="0"/>
        <w:widowControl w:val="0"/>
        <w:tabs>
          <w:tab w:val="left" w:pos="900"/>
        </w:tabs>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53172F9">
      <w:pPr>
        <w:keepNext w:val="0"/>
        <w:keepLines w:val="0"/>
        <w:pageBreakBefore w:val="0"/>
        <w:widowControl w:val="0"/>
        <w:tabs>
          <w:tab w:val="left" w:pos="900"/>
        </w:tabs>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E4291DF">
      <w:pPr>
        <w:pStyle w:val="15"/>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
          <w:bCs/>
          <w:color w:val="auto"/>
          <w:sz w:val="24"/>
          <w:szCs w:val="28"/>
          <w:highlight w:val="none"/>
        </w:rPr>
      </w:pPr>
      <w:r>
        <w:rPr>
          <w:rFonts w:hint="eastAsia" w:ascii="宋体" w:hAnsi="宋体" w:eastAsia="宋体" w:cs="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481B6240">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.评标委员会应根据各投标人的最终得分，按照从高到低的顺序进行排序。当投标人最终得分相同时，投标报价低者居前，如投标报价也相同，技术得分高者居前，如技术得分也相同，招标人可抽签确定中标人。</w:t>
      </w:r>
    </w:p>
    <w:p w14:paraId="61BCCB37">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.确定中标候选人：根据各投标人的排序，评标委员会应在评标报告中推选前3名作为中标候选人。</w:t>
      </w:r>
    </w:p>
    <w:p w14:paraId="2DF4BC1B">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42D54EF5">
      <w:pPr>
        <w:pStyle w:val="15"/>
        <w:snapToGrid w:val="0"/>
        <w:spacing w:line="52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8"/>
          <w:highlight w:val="none"/>
        </w:rPr>
        <w:t>评分细则：</w:t>
      </w:r>
    </w:p>
    <w:tbl>
      <w:tblPr>
        <w:tblStyle w:val="23"/>
        <w:tblW w:w="9540" w:type="dxa"/>
        <w:tblInd w:w="-82" w:type="dxa"/>
        <w:tblLayout w:type="autofit"/>
        <w:tblCellMar>
          <w:top w:w="0" w:type="dxa"/>
          <w:left w:w="108" w:type="dxa"/>
          <w:bottom w:w="0" w:type="dxa"/>
          <w:right w:w="108" w:type="dxa"/>
        </w:tblCellMar>
      </w:tblPr>
      <w:tblGrid>
        <w:gridCol w:w="1320"/>
        <w:gridCol w:w="7356"/>
        <w:gridCol w:w="864"/>
      </w:tblGrid>
      <w:tr w14:paraId="0DE33994">
        <w:tblPrEx>
          <w:tblCellMar>
            <w:top w:w="0" w:type="dxa"/>
            <w:left w:w="108" w:type="dxa"/>
            <w:bottom w:w="0" w:type="dxa"/>
            <w:right w:w="108" w:type="dxa"/>
          </w:tblCellMar>
        </w:tblPrEx>
        <w:trPr>
          <w:trHeight w:val="514" w:hRule="atLeast"/>
        </w:trPr>
        <w:tc>
          <w:tcPr>
            <w:tcW w:w="1320" w:type="dxa"/>
            <w:tcBorders>
              <w:top w:val="single" w:color="auto" w:sz="4" w:space="0"/>
              <w:left w:val="single" w:color="auto" w:sz="4" w:space="0"/>
              <w:bottom w:val="single" w:color="auto" w:sz="4" w:space="0"/>
              <w:right w:val="single" w:color="auto" w:sz="4" w:space="0"/>
            </w:tcBorders>
            <w:vAlign w:val="center"/>
          </w:tcPr>
          <w:p w14:paraId="522D15E5">
            <w:pPr>
              <w:jc w:val="center"/>
              <w:rPr>
                <w:rFonts w:hint="eastAsia" w:asciiTheme="majorEastAsia" w:hAnsiTheme="majorEastAsia" w:eastAsiaTheme="majorEastAsia" w:cstheme="majorEastAsia"/>
                <w:b/>
                <w:bCs/>
                <w:sz w:val="24"/>
                <w:szCs w:val="22"/>
                <w:highlight w:val="none"/>
              </w:rPr>
            </w:pPr>
            <w:r>
              <w:rPr>
                <w:rFonts w:hint="eastAsia" w:asciiTheme="majorEastAsia" w:hAnsiTheme="majorEastAsia" w:eastAsiaTheme="majorEastAsia" w:cstheme="majorEastAsia"/>
                <w:b/>
                <w:bCs/>
                <w:sz w:val="24"/>
                <w:szCs w:val="22"/>
                <w:highlight w:val="none"/>
              </w:rPr>
              <w:t>评分点</w:t>
            </w:r>
          </w:p>
        </w:tc>
        <w:tc>
          <w:tcPr>
            <w:tcW w:w="7356" w:type="dxa"/>
            <w:tcBorders>
              <w:top w:val="single" w:color="auto" w:sz="4" w:space="0"/>
              <w:left w:val="single" w:color="auto" w:sz="4" w:space="0"/>
              <w:bottom w:val="single" w:color="auto" w:sz="4" w:space="0"/>
              <w:right w:val="single" w:color="auto" w:sz="4" w:space="0"/>
            </w:tcBorders>
            <w:vAlign w:val="center"/>
          </w:tcPr>
          <w:p w14:paraId="4AADE9DB">
            <w:pPr>
              <w:jc w:val="center"/>
              <w:rPr>
                <w:rFonts w:hint="eastAsia" w:asciiTheme="majorEastAsia" w:hAnsiTheme="majorEastAsia" w:eastAsiaTheme="majorEastAsia" w:cstheme="majorEastAsia"/>
                <w:b/>
                <w:bCs/>
                <w:sz w:val="24"/>
                <w:szCs w:val="22"/>
                <w:highlight w:val="none"/>
              </w:rPr>
            </w:pPr>
            <w:r>
              <w:rPr>
                <w:rFonts w:hint="eastAsia" w:asciiTheme="majorEastAsia" w:hAnsiTheme="majorEastAsia" w:eastAsiaTheme="majorEastAsia" w:cstheme="majorEastAsia"/>
                <w:b/>
                <w:bCs/>
                <w:sz w:val="24"/>
                <w:szCs w:val="22"/>
                <w:highlight w:val="none"/>
              </w:rPr>
              <w:t>评审标准</w:t>
            </w:r>
          </w:p>
        </w:tc>
        <w:tc>
          <w:tcPr>
            <w:tcW w:w="864" w:type="dxa"/>
            <w:tcBorders>
              <w:top w:val="single" w:color="auto" w:sz="4" w:space="0"/>
              <w:left w:val="single" w:color="auto" w:sz="4" w:space="0"/>
              <w:bottom w:val="single" w:color="auto" w:sz="4" w:space="0"/>
              <w:right w:val="single" w:color="auto" w:sz="4" w:space="0"/>
            </w:tcBorders>
            <w:vAlign w:val="center"/>
          </w:tcPr>
          <w:p w14:paraId="009CA4DC">
            <w:pPr>
              <w:jc w:val="center"/>
              <w:rPr>
                <w:rFonts w:hint="eastAsia" w:asciiTheme="majorEastAsia" w:hAnsiTheme="majorEastAsia" w:eastAsiaTheme="majorEastAsia" w:cstheme="majorEastAsia"/>
                <w:b/>
                <w:bCs/>
                <w:sz w:val="24"/>
                <w:szCs w:val="22"/>
                <w:highlight w:val="none"/>
              </w:rPr>
            </w:pPr>
            <w:r>
              <w:rPr>
                <w:rFonts w:hint="eastAsia" w:asciiTheme="majorEastAsia" w:hAnsiTheme="majorEastAsia" w:eastAsiaTheme="majorEastAsia" w:cstheme="majorEastAsia"/>
                <w:b/>
                <w:bCs/>
                <w:sz w:val="24"/>
                <w:szCs w:val="22"/>
                <w:highlight w:val="none"/>
              </w:rPr>
              <w:t>分值</w:t>
            </w:r>
          </w:p>
        </w:tc>
      </w:tr>
      <w:tr w14:paraId="48B8354D">
        <w:tblPrEx>
          <w:tblCellMar>
            <w:top w:w="0" w:type="dxa"/>
            <w:left w:w="108" w:type="dxa"/>
            <w:bottom w:w="0" w:type="dxa"/>
            <w:right w:w="108" w:type="dxa"/>
          </w:tblCellMar>
        </w:tblPrEx>
        <w:trPr>
          <w:trHeight w:val="1287" w:hRule="atLeast"/>
        </w:trPr>
        <w:tc>
          <w:tcPr>
            <w:tcW w:w="1320" w:type="dxa"/>
            <w:tcBorders>
              <w:top w:val="single" w:color="auto" w:sz="4" w:space="0"/>
              <w:left w:val="single" w:color="auto" w:sz="4" w:space="0"/>
              <w:bottom w:val="single" w:color="auto" w:sz="4" w:space="0"/>
              <w:right w:val="single" w:color="auto" w:sz="4" w:space="0"/>
            </w:tcBorders>
            <w:vAlign w:val="center"/>
          </w:tcPr>
          <w:p w14:paraId="79299AAD">
            <w:pPr>
              <w:jc w:val="center"/>
              <w:rPr>
                <w:rFonts w:hint="eastAsia" w:asciiTheme="majorEastAsia" w:hAnsiTheme="majorEastAsia" w:eastAsiaTheme="majorEastAsia" w:cstheme="majorEastAsia"/>
                <w:b/>
                <w:bCs/>
                <w:sz w:val="24"/>
                <w:szCs w:val="22"/>
                <w:highlight w:val="none"/>
              </w:rPr>
            </w:pPr>
            <w:r>
              <w:rPr>
                <w:rFonts w:hint="eastAsia" w:asciiTheme="majorEastAsia" w:hAnsiTheme="majorEastAsia" w:eastAsiaTheme="majorEastAsia" w:cstheme="majorEastAsia"/>
                <w:b/>
                <w:bCs/>
                <w:sz w:val="24"/>
                <w:szCs w:val="22"/>
                <w:highlight w:val="none"/>
              </w:rPr>
              <w:t>价格分</w:t>
            </w:r>
          </w:p>
        </w:tc>
        <w:tc>
          <w:tcPr>
            <w:tcW w:w="7356" w:type="dxa"/>
            <w:tcBorders>
              <w:top w:val="single" w:color="auto" w:sz="4" w:space="0"/>
              <w:left w:val="single" w:color="auto" w:sz="4" w:space="0"/>
              <w:bottom w:val="single" w:color="auto" w:sz="4" w:space="0"/>
              <w:right w:val="single" w:color="auto" w:sz="4" w:space="0"/>
            </w:tcBorders>
            <w:vAlign w:val="center"/>
          </w:tcPr>
          <w:p w14:paraId="541296C0">
            <w:pPr>
              <w:jc w:val="left"/>
              <w:rPr>
                <w:rFonts w:hint="eastAsia" w:asciiTheme="majorEastAsia" w:hAnsiTheme="majorEastAsia" w:eastAsiaTheme="majorEastAsia" w:cstheme="majorEastAsia"/>
                <w:sz w:val="24"/>
                <w:szCs w:val="22"/>
                <w:highlight w:val="none"/>
              </w:rPr>
            </w:pPr>
            <w:r>
              <w:rPr>
                <w:rFonts w:hint="eastAsia" w:asciiTheme="majorEastAsia" w:hAnsiTheme="majorEastAsia" w:eastAsiaTheme="majorEastAsia" w:cstheme="majorEastAsia"/>
                <w:sz w:val="24"/>
                <w:szCs w:val="22"/>
                <w:highlight w:val="none"/>
              </w:rPr>
              <w:t>价格分采用低价优先法计算，即满足招标文件要求且最终报价最低的为评标基准价，其价格分为满分。其他供应商的价格分统一按照下列公式计算（小数点保留两位）：报价得分=(评标基准价／报价)×</w:t>
            </w:r>
            <w:r>
              <w:rPr>
                <w:rFonts w:hint="eastAsia" w:asciiTheme="majorEastAsia" w:hAnsiTheme="majorEastAsia" w:eastAsiaTheme="majorEastAsia" w:cstheme="majorEastAsia"/>
                <w:sz w:val="24"/>
                <w:szCs w:val="22"/>
                <w:highlight w:val="none"/>
                <w:lang w:val="en-US" w:eastAsia="zh-CN"/>
              </w:rPr>
              <w:t>30</w:t>
            </w:r>
            <w:r>
              <w:rPr>
                <w:rFonts w:hint="eastAsia" w:asciiTheme="majorEastAsia" w:hAnsiTheme="majorEastAsia" w:eastAsiaTheme="majorEastAsia" w:cstheme="majorEastAsia"/>
                <w:sz w:val="24"/>
                <w:szCs w:val="22"/>
                <w:highlight w:val="none"/>
              </w:rPr>
              <w:t>。</w:t>
            </w:r>
          </w:p>
        </w:tc>
        <w:tc>
          <w:tcPr>
            <w:tcW w:w="864" w:type="dxa"/>
            <w:tcBorders>
              <w:top w:val="single" w:color="auto" w:sz="4" w:space="0"/>
              <w:left w:val="single" w:color="auto" w:sz="4" w:space="0"/>
              <w:bottom w:val="single" w:color="auto" w:sz="4" w:space="0"/>
              <w:right w:val="single" w:color="auto" w:sz="4" w:space="0"/>
            </w:tcBorders>
            <w:vAlign w:val="center"/>
          </w:tcPr>
          <w:p w14:paraId="58D1DEF6">
            <w:pPr>
              <w:jc w:val="center"/>
              <w:rPr>
                <w:rFonts w:hint="eastAsia" w:asciiTheme="majorEastAsia" w:hAnsiTheme="majorEastAsia" w:eastAsiaTheme="majorEastAsia" w:cstheme="majorEastAsia"/>
                <w:sz w:val="24"/>
                <w:szCs w:val="22"/>
                <w:highlight w:val="none"/>
              </w:rPr>
            </w:pPr>
            <w:r>
              <w:rPr>
                <w:rFonts w:hint="eastAsia" w:asciiTheme="majorEastAsia" w:hAnsiTheme="majorEastAsia" w:eastAsiaTheme="majorEastAsia" w:cstheme="majorEastAsia"/>
                <w:sz w:val="24"/>
                <w:szCs w:val="22"/>
                <w:highlight w:val="none"/>
              </w:rPr>
              <w:t>30</w:t>
            </w:r>
          </w:p>
        </w:tc>
      </w:tr>
      <w:tr w14:paraId="28FBAD92">
        <w:tblPrEx>
          <w:tblCellMar>
            <w:top w:w="0" w:type="dxa"/>
            <w:left w:w="108" w:type="dxa"/>
            <w:bottom w:w="0" w:type="dxa"/>
            <w:right w:w="108" w:type="dxa"/>
          </w:tblCellMar>
        </w:tblPrEx>
        <w:trPr>
          <w:trHeight w:val="1989" w:hRule="atLeast"/>
        </w:trPr>
        <w:tc>
          <w:tcPr>
            <w:tcW w:w="1320" w:type="dxa"/>
            <w:tcBorders>
              <w:top w:val="single" w:color="auto" w:sz="4" w:space="0"/>
              <w:left w:val="single" w:color="auto" w:sz="4" w:space="0"/>
              <w:bottom w:val="single" w:color="auto" w:sz="4" w:space="0"/>
              <w:right w:val="single" w:color="auto" w:sz="4" w:space="0"/>
            </w:tcBorders>
            <w:vAlign w:val="center"/>
          </w:tcPr>
          <w:p w14:paraId="13D73E26">
            <w:pPr>
              <w:jc w:val="center"/>
              <w:rPr>
                <w:rFonts w:hint="eastAsia" w:asciiTheme="majorEastAsia" w:hAnsiTheme="majorEastAsia" w:eastAsiaTheme="majorEastAsia" w:cstheme="majorEastAsia"/>
                <w:b/>
                <w:bCs/>
                <w:color w:val="auto"/>
                <w:sz w:val="24"/>
                <w:szCs w:val="22"/>
                <w:highlight w:val="none"/>
                <w:lang w:val="en-US" w:eastAsia="zh-CN"/>
              </w:rPr>
            </w:pPr>
            <w:r>
              <w:rPr>
                <w:rFonts w:hint="eastAsia" w:asciiTheme="majorEastAsia" w:hAnsiTheme="majorEastAsia" w:eastAsiaTheme="majorEastAsia" w:cstheme="majorEastAsia"/>
                <w:b/>
                <w:bCs/>
                <w:color w:val="auto"/>
                <w:sz w:val="24"/>
                <w:szCs w:val="22"/>
                <w:highlight w:val="none"/>
                <w:lang w:val="en-US" w:eastAsia="zh-CN"/>
              </w:rPr>
              <w:t>企业实力</w:t>
            </w:r>
          </w:p>
        </w:tc>
        <w:tc>
          <w:tcPr>
            <w:tcW w:w="7356" w:type="dxa"/>
            <w:tcBorders>
              <w:top w:val="single" w:color="auto" w:sz="4" w:space="0"/>
              <w:left w:val="single" w:color="auto" w:sz="4" w:space="0"/>
              <w:bottom w:val="single" w:color="auto" w:sz="4" w:space="0"/>
              <w:right w:val="single" w:color="auto" w:sz="4" w:space="0"/>
            </w:tcBorders>
            <w:vAlign w:val="center"/>
          </w:tcPr>
          <w:p w14:paraId="744DDF0B">
            <w:pPr>
              <w:keepNext w:val="0"/>
              <w:keepLines w:val="0"/>
              <w:pageBreakBefore w:val="0"/>
              <w:widowControl w:val="0"/>
              <w:kinsoku/>
              <w:wordWrap w:val="0"/>
              <w:overflowPunct/>
              <w:topLinePunct w:val="0"/>
              <w:autoSpaceDE/>
              <w:autoSpaceDN/>
              <w:bidi w:val="0"/>
              <w:adjustRightInd/>
              <w:snapToGrid/>
              <w:jc w:val="left"/>
              <w:textAlignment w:val="auto"/>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投标人通过IS09001质量管理体系认证、ISO14001环境管理体系认证、ISO45001职业健康安全管理体系认证的，每提供1个得1分，本项最高得3分。</w:t>
            </w:r>
          </w:p>
          <w:p w14:paraId="24C44BEB">
            <w:pPr>
              <w:keepNext w:val="0"/>
              <w:keepLines w:val="0"/>
              <w:pageBreakBefore w:val="0"/>
              <w:widowControl w:val="0"/>
              <w:kinsoku/>
              <w:wordWrap w:val="0"/>
              <w:overflowPunct/>
              <w:topLinePunct w:val="0"/>
              <w:autoSpaceDE/>
              <w:autoSpaceDN/>
              <w:bidi w:val="0"/>
              <w:adjustRightInd/>
              <w:snapToGrid/>
              <w:jc w:val="left"/>
              <w:textAlignment w:val="auto"/>
              <w:rPr>
                <w:rFonts w:hint="eastAsia" w:asciiTheme="majorEastAsia" w:hAnsiTheme="majorEastAsia" w:eastAsiaTheme="majorEastAsia" w:cstheme="majorEastAsia"/>
                <w:b/>
                <w:bCs/>
                <w:color w:val="auto"/>
                <w:sz w:val="24"/>
                <w:szCs w:val="22"/>
                <w:highlight w:val="none"/>
                <w:lang w:eastAsia="zh-CN"/>
              </w:rPr>
            </w:pPr>
            <w:r>
              <w:rPr>
                <w:rFonts w:hint="eastAsia" w:asciiTheme="majorEastAsia" w:hAnsiTheme="majorEastAsia" w:eastAsiaTheme="majorEastAsia" w:cstheme="majorEastAsia"/>
                <w:b/>
                <w:bCs/>
                <w:color w:val="auto"/>
                <w:sz w:val="24"/>
                <w:szCs w:val="22"/>
                <w:highlight w:val="none"/>
                <w:lang w:val="en-US" w:eastAsia="zh-CN"/>
              </w:rPr>
              <w:t>注：</w:t>
            </w:r>
            <w:r>
              <w:rPr>
                <w:rFonts w:hint="eastAsia" w:asciiTheme="majorEastAsia" w:hAnsiTheme="majorEastAsia" w:eastAsiaTheme="majorEastAsia" w:cstheme="majorEastAsia"/>
                <w:b/>
                <w:bCs/>
                <w:color w:val="auto"/>
                <w:sz w:val="24"/>
                <w:szCs w:val="22"/>
                <w:highlight w:val="none"/>
              </w:rPr>
              <w:t>提供“国家认证认可监督管理委员会”的网页截图及证书</w:t>
            </w:r>
            <w:r>
              <w:rPr>
                <w:rFonts w:hint="eastAsia" w:asciiTheme="majorEastAsia" w:hAnsiTheme="majorEastAsia" w:eastAsiaTheme="majorEastAsia" w:cstheme="majorEastAsia"/>
                <w:b/>
                <w:bCs/>
                <w:color w:val="auto"/>
                <w:sz w:val="24"/>
                <w:szCs w:val="22"/>
                <w:highlight w:val="none"/>
                <w:lang w:val="en-US" w:eastAsia="zh-CN"/>
              </w:rPr>
              <w:t>扫描件</w:t>
            </w:r>
            <w:r>
              <w:rPr>
                <w:rFonts w:hint="eastAsia" w:asciiTheme="majorEastAsia" w:hAnsiTheme="majorEastAsia" w:eastAsiaTheme="majorEastAsia" w:cstheme="majorEastAsia"/>
                <w:b/>
                <w:bCs/>
                <w:color w:val="auto"/>
                <w:spacing w:val="-4"/>
                <w:sz w:val="24"/>
                <w:szCs w:val="24"/>
                <w:highlight w:val="none"/>
              </w:rPr>
              <w:t>加</w:t>
            </w:r>
            <w:r>
              <w:rPr>
                <w:rFonts w:hint="eastAsia" w:asciiTheme="majorEastAsia" w:hAnsiTheme="majorEastAsia" w:eastAsiaTheme="majorEastAsia" w:cstheme="majorEastAsia"/>
                <w:b/>
                <w:bCs/>
                <w:color w:val="auto"/>
                <w:sz w:val="24"/>
                <w:szCs w:val="24"/>
                <w:highlight w:val="none"/>
              </w:rPr>
              <w:t>盖公章</w:t>
            </w:r>
            <w:r>
              <w:rPr>
                <w:rFonts w:hint="eastAsia" w:asciiTheme="majorEastAsia" w:hAnsiTheme="majorEastAsia" w:eastAsiaTheme="majorEastAsia" w:cstheme="majorEastAsia"/>
                <w:b/>
                <w:bCs/>
                <w:color w:val="auto"/>
                <w:sz w:val="24"/>
                <w:szCs w:val="22"/>
                <w:highlight w:val="none"/>
              </w:rPr>
              <w:t>，是否有效以开标当日实时查询为准</w:t>
            </w:r>
            <w:r>
              <w:rPr>
                <w:rFonts w:hint="eastAsia" w:asciiTheme="majorEastAsia" w:hAnsiTheme="majorEastAsia" w:eastAsiaTheme="majorEastAsia" w:cstheme="majorEastAsia"/>
                <w:b/>
                <w:bCs/>
                <w:color w:val="auto"/>
                <w:sz w:val="24"/>
                <w:szCs w:val="22"/>
                <w:highlight w:val="none"/>
                <w:lang w:eastAsia="zh-CN"/>
              </w:rPr>
              <w:t>，</w:t>
            </w:r>
            <w:r>
              <w:rPr>
                <w:rFonts w:hint="eastAsia" w:asciiTheme="majorEastAsia" w:hAnsiTheme="majorEastAsia" w:eastAsiaTheme="majorEastAsia" w:cstheme="majorEastAsia"/>
                <w:b/>
                <w:bCs/>
                <w:color w:val="auto"/>
                <w:sz w:val="24"/>
                <w:szCs w:val="22"/>
                <w:highlight w:val="none"/>
                <w:lang w:val="en-US" w:eastAsia="zh-CN"/>
              </w:rPr>
              <w:t>查询</w:t>
            </w:r>
            <w:r>
              <w:rPr>
                <w:rFonts w:hint="eastAsia" w:asciiTheme="majorEastAsia" w:hAnsiTheme="majorEastAsia" w:eastAsiaTheme="majorEastAsia" w:cstheme="majorEastAsia"/>
                <w:b/>
                <w:bCs/>
                <w:color w:val="auto"/>
                <w:sz w:val="24"/>
                <w:szCs w:val="22"/>
                <w:highlight w:val="none"/>
              </w:rPr>
              <w:t>网址</w:t>
            </w:r>
            <w:r>
              <w:rPr>
                <w:rFonts w:hint="eastAsia" w:asciiTheme="majorEastAsia" w:hAnsiTheme="majorEastAsia" w:eastAsiaTheme="majorEastAsia" w:cstheme="majorEastAsia"/>
                <w:b/>
                <w:bCs/>
                <w:color w:val="auto"/>
                <w:sz w:val="24"/>
                <w:szCs w:val="22"/>
                <w:highlight w:val="none"/>
                <w:lang w:val="en-US" w:eastAsia="zh-CN"/>
              </w:rPr>
              <w:t>：</w:t>
            </w:r>
            <w:r>
              <w:rPr>
                <w:rFonts w:hint="eastAsia" w:asciiTheme="majorEastAsia" w:hAnsiTheme="majorEastAsia" w:eastAsiaTheme="majorEastAsia" w:cstheme="majorEastAsia"/>
                <w:b/>
                <w:bCs/>
                <w:color w:val="auto"/>
                <w:sz w:val="24"/>
                <w:szCs w:val="22"/>
                <w:highlight w:val="none"/>
              </w:rPr>
              <w:t xml:space="preserve"> </w:t>
            </w:r>
            <w:r>
              <w:rPr>
                <w:rFonts w:hint="eastAsia" w:asciiTheme="majorEastAsia" w:hAnsiTheme="majorEastAsia" w:eastAsiaTheme="majorEastAsia" w:cstheme="majorEastAsia"/>
                <w:b/>
                <w:bCs/>
                <w:color w:val="auto"/>
                <w:sz w:val="24"/>
                <w:szCs w:val="22"/>
                <w:highlight w:val="none"/>
              </w:rPr>
              <w:fldChar w:fldCharType="begin"/>
            </w:r>
            <w:r>
              <w:rPr>
                <w:rFonts w:hint="eastAsia" w:asciiTheme="majorEastAsia" w:hAnsiTheme="majorEastAsia" w:eastAsiaTheme="majorEastAsia" w:cstheme="majorEastAsia"/>
                <w:b/>
                <w:bCs/>
                <w:color w:val="auto"/>
                <w:sz w:val="24"/>
                <w:szCs w:val="22"/>
                <w:highlight w:val="none"/>
              </w:rPr>
              <w:instrText xml:space="preserve"> HYPERLINK "http://www.cnca.gov.cn/)" </w:instrText>
            </w:r>
            <w:r>
              <w:rPr>
                <w:rFonts w:hint="eastAsia" w:asciiTheme="majorEastAsia" w:hAnsiTheme="majorEastAsia" w:eastAsiaTheme="majorEastAsia" w:cstheme="majorEastAsia"/>
                <w:b/>
                <w:bCs/>
                <w:color w:val="auto"/>
                <w:sz w:val="24"/>
                <w:szCs w:val="22"/>
                <w:highlight w:val="none"/>
              </w:rPr>
              <w:fldChar w:fldCharType="separate"/>
            </w:r>
            <w:r>
              <w:rPr>
                <w:rStyle w:val="27"/>
                <w:rFonts w:hint="eastAsia" w:asciiTheme="majorEastAsia" w:hAnsiTheme="majorEastAsia" w:eastAsiaTheme="majorEastAsia" w:cstheme="majorEastAsia"/>
                <w:b/>
                <w:bCs/>
                <w:color w:val="auto"/>
                <w:sz w:val="24"/>
                <w:szCs w:val="22"/>
                <w:highlight w:val="none"/>
              </w:rPr>
              <w:t>http://www.cnca.gov.cn/</w:t>
            </w:r>
            <w:r>
              <w:rPr>
                <w:rFonts w:hint="eastAsia" w:asciiTheme="majorEastAsia" w:hAnsiTheme="majorEastAsia" w:eastAsiaTheme="majorEastAsia" w:cstheme="majorEastAsia"/>
                <w:b/>
                <w:bCs/>
                <w:color w:val="auto"/>
                <w:sz w:val="24"/>
                <w:szCs w:val="22"/>
                <w:highlight w:val="none"/>
              </w:rPr>
              <w:fldChar w:fldCharType="end"/>
            </w:r>
            <w:r>
              <w:rPr>
                <w:rFonts w:hint="eastAsia" w:asciiTheme="majorEastAsia" w:hAnsiTheme="majorEastAsia" w:eastAsiaTheme="majorEastAsia" w:cstheme="majorEastAsia"/>
                <w:b/>
                <w:bCs/>
                <w:color w:val="auto"/>
                <w:sz w:val="24"/>
                <w:szCs w:val="22"/>
                <w:highlight w:val="none"/>
                <w:lang w:eastAsia="zh-CN"/>
              </w:rPr>
              <w:t>。</w:t>
            </w:r>
          </w:p>
        </w:tc>
        <w:tc>
          <w:tcPr>
            <w:tcW w:w="864" w:type="dxa"/>
            <w:tcBorders>
              <w:top w:val="single" w:color="auto" w:sz="4" w:space="0"/>
              <w:left w:val="single" w:color="auto" w:sz="4" w:space="0"/>
              <w:bottom w:val="single" w:color="auto" w:sz="4" w:space="0"/>
              <w:right w:val="single" w:color="auto" w:sz="4" w:space="0"/>
            </w:tcBorders>
            <w:vAlign w:val="center"/>
          </w:tcPr>
          <w:p w14:paraId="6138F6BA">
            <w:pPr>
              <w:jc w:val="center"/>
              <w:rPr>
                <w:rFonts w:hint="eastAsia" w:asciiTheme="majorEastAsia" w:hAnsiTheme="majorEastAsia" w:eastAsiaTheme="majorEastAsia" w:cstheme="majorEastAsia"/>
                <w:color w:val="auto"/>
                <w:sz w:val="24"/>
                <w:szCs w:val="22"/>
                <w:highlight w:val="none"/>
                <w:lang w:val="en-US" w:eastAsia="zh-CN"/>
              </w:rPr>
            </w:pPr>
            <w:r>
              <w:rPr>
                <w:rFonts w:hint="eastAsia" w:asciiTheme="majorEastAsia" w:hAnsiTheme="majorEastAsia" w:eastAsiaTheme="majorEastAsia" w:cstheme="majorEastAsia"/>
                <w:color w:val="auto"/>
                <w:sz w:val="24"/>
                <w:szCs w:val="22"/>
                <w:highlight w:val="none"/>
                <w:lang w:val="en-US" w:eastAsia="zh-CN"/>
              </w:rPr>
              <w:t>3</w:t>
            </w:r>
          </w:p>
        </w:tc>
      </w:tr>
      <w:tr w14:paraId="148955C0">
        <w:tblPrEx>
          <w:tblCellMar>
            <w:top w:w="0" w:type="dxa"/>
            <w:left w:w="108" w:type="dxa"/>
            <w:bottom w:w="0" w:type="dxa"/>
            <w:right w:w="108" w:type="dxa"/>
          </w:tblCellMar>
        </w:tblPrEx>
        <w:trPr>
          <w:trHeight w:val="1706" w:hRule="atLeast"/>
        </w:trPr>
        <w:tc>
          <w:tcPr>
            <w:tcW w:w="1320" w:type="dxa"/>
            <w:tcBorders>
              <w:top w:val="single" w:color="auto" w:sz="4" w:space="0"/>
              <w:left w:val="single" w:color="auto" w:sz="4" w:space="0"/>
              <w:bottom w:val="single" w:color="auto" w:sz="4" w:space="0"/>
              <w:right w:val="single" w:color="auto" w:sz="4" w:space="0"/>
            </w:tcBorders>
            <w:vAlign w:val="center"/>
          </w:tcPr>
          <w:p w14:paraId="624CF517">
            <w:pPr>
              <w:jc w:val="center"/>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类似项目成功案例</w:t>
            </w:r>
          </w:p>
        </w:tc>
        <w:tc>
          <w:tcPr>
            <w:tcW w:w="7356" w:type="dxa"/>
            <w:tcBorders>
              <w:top w:val="single" w:color="auto" w:sz="4" w:space="0"/>
              <w:left w:val="single" w:color="auto" w:sz="4" w:space="0"/>
              <w:bottom w:val="single" w:color="auto" w:sz="4" w:space="0"/>
              <w:right w:val="single" w:color="auto" w:sz="4" w:space="0"/>
            </w:tcBorders>
            <w:vAlign w:val="center"/>
          </w:tcPr>
          <w:p w14:paraId="341C3D5B">
            <w:pPr>
              <w:jc w:val="left"/>
              <w:rPr>
                <w:rFonts w:hint="eastAsia" w:asciiTheme="majorEastAsia" w:hAnsiTheme="majorEastAsia" w:eastAsiaTheme="majorEastAsia" w:cstheme="majorEastAsia"/>
                <w:color w:val="auto"/>
                <w:spacing w:val="-5"/>
                <w:sz w:val="24"/>
                <w:szCs w:val="24"/>
                <w:highlight w:val="none"/>
              </w:rPr>
            </w:pPr>
            <w:r>
              <w:rPr>
                <w:rFonts w:hint="eastAsia" w:asciiTheme="majorEastAsia" w:hAnsiTheme="majorEastAsia" w:eastAsiaTheme="majorEastAsia" w:cstheme="majorEastAsia"/>
                <w:color w:val="auto"/>
                <w:spacing w:val="-4"/>
                <w:sz w:val="24"/>
                <w:szCs w:val="24"/>
                <w:highlight w:val="none"/>
              </w:rPr>
              <w:t>投标人提供自2023年1月1日以来承担过类似安保服务项目，每提供1个得</w:t>
            </w:r>
            <w:r>
              <w:rPr>
                <w:rFonts w:hint="eastAsia" w:asciiTheme="majorEastAsia" w:hAnsiTheme="majorEastAsia" w:eastAsiaTheme="majorEastAsia" w:cstheme="majorEastAsia"/>
                <w:color w:val="auto"/>
                <w:spacing w:val="-5"/>
                <w:sz w:val="24"/>
                <w:szCs w:val="24"/>
                <w:highlight w:val="none"/>
              </w:rPr>
              <w:t>2分，本项最高得10分。</w:t>
            </w:r>
          </w:p>
          <w:p w14:paraId="41CD3B47">
            <w:pPr>
              <w:jc w:val="left"/>
              <w:rPr>
                <w:rFonts w:hint="eastAsia" w:asciiTheme="majorEastAsia" w:hAnsiTheme="majorEastAsia" w:eastAsiaTheme="majorEastAsia" w:cstheme="majorEastAsia"/>
                <w:color w:val="auto"/>
                <w:sz w:val="24"/>
                <w:szCs w:val="22"/>
                <w:highlight w:val="none"/>
                <w:lang w:eastAsia="zh-CN"/>
              </w:rPr>
            </w:pPr>
            <w:r>
              <w:rPr>
                <w:rFonts w:hint="eastAsia" w:asciiTheme="majorEastAsia" w:hAnsiTheme="majorEastAsia" w:eastAsiaTheme="majorEastAsia" w:cstheme="majorEastAsia"/>
                <w:b/>
                <w:bCs/>
                <w:color w:val="auto"/>
                <w:spacing w:val="-5"/>
                <w:sz w:val="24"/>
                <w:szCs w:val="24"/>
                <w:highlight w:val="none"/>
                <w:lang w:val="en-US" w:eastAsia="zh-CN"/>
              </w:rPr>
              <w:t>注：</w:t>
            </w:r>
            <w:r>
              <w:rPr>
                <w:rFonts w:hint="eastAsia" w:asciiTheme="majorEastAsia" w:hAnsiTheme="majorEastAsia" w:eastAsiaTheme="majorEastAsia" w:cstheme="majorEastAsia"/>
                <w:b/>
                <w:bCs/>
                <w:color w:val="auto"/>
                <w:spacing w:val="-5"/>
                <w:sz w:val="24"/>
                <w:szCs w:val="24"/>
                <w:highlight w:val="none"/>
              </w:rPr>
              <w:t>合同以签订时间为准，同一项目不同合同期限不重复计</w:t>
            </w:r>
            <w:r>
              <w:rPr>
                <w:rFonts w:hint="eastAsia" w:asciiTheme="majorEastAsia" w:hAnsiTheme="majorEastAsia" w:eastAsiaTheme="majorEastAsia" w:cstheme="majorEastAsia"/>
                <w:b/>
                <w:bCs/>
                <w:color w:val="auto"/>
                <w:spacing w:val="-3"/>
                <w:sz w:val="24"/>
                <w:szCs w:val="24"/>
                <w:highlight w:val="none"/>
              </w:rPr>
              <w:t>分，提供服务合同</w:t>
            </w:r>
            <w:r>
              <w:rPr>
                <w:rFonts w:hint="eastAsia" w:asciiTheme="majorEastAsia" w:hAnsiTheme="majorEastAsia" w:eastAsiaTheme="majorEastAsia" w:cstheme="majorEastAsia"/>
                <w:b/>
                <w:bCs/>
                <w:color w:val="auto"/>
                <w:spacing w:val="-3"/>
                <w:sz w:val="24"/>
                <w:szCs w:val="24"/>
                <w:highlight w:val="none"/>
                <w:lang w:val="en-US" w:eastAsia="zh-CN"/>
              </w:rPr>
              <w:t>扫描</w:t>
            </w:r>
            <w:r>
              <w:rPr>
                <w:rFonts w:hint="eastAsia" w:asciiTheme="majorEastAsia" w:hAnsiTheme="majorEastAsia" w:eastAsiaTheme="majorEastAsia" w:cstheme="majorEastAsia"/>
                <w:b/>
                <w:bCs/>
                <w:color w:val="auto"/>
                <w:spacing w:val="-4"/>
                <w:sz w:val="24"/>
                <w:szCs w:val="24"/>
                <w:highlight w:val="none"/>
              </w:rPr>
              <w:t>件</w:t>
            </w:r>
            <w:r>
              <w:rPr>
                <w:rFonts w:hint="eastAsia" w:asciiTheme="majorEastAsia" w:hAnsiTheme="majorEastAsia" w:eastAsiaTheme="majorEastAsia" w:cstheme="majorEastAsia"/>
                <w:b/>
                <w:bCs/>
                <w:color w:val="auto"/>
                <w:spacing w:val="-3"/>
                <w:sz w:val="24"/>
                <w:szCs w:val="24"/>
                <w:highlight w:val="none"/>
              </w:rPr>
              <w:t>、对应的合同履约期间任意一笔发票及客户付款记录</w:t>
            </w:r>
            <w:r>
              <w:rPr>
                <w:rFonts w:hint="eastAsia" w:asciiTheme="majorEastAsia" w:hAnsiTheme="majorEastAsia" w:eastAsiaTheme="majorEastAsia" w:cstheme="majorEastAsia"/>
                <w:b/>
                <w:bCs/>
                <w:color w:val="auto"/>
                <w:spacing w:val="-4"/>
                <w:sz w:val="24"/>
                <w:szCs w:val="24"/>
                <w:highlight w:val="none"/>
              </w:rPr>
              <w:t>加</w:t>
            </w:r>
            <w:r>
              <w:rPr>
                <w:rFonts w:hint="eastAsia" w:asciiTheme="majorEastAsia" w:hAnsiTheme="majorEastAsia" w:eastAsiaTheme="majorEastAsia" w:cstheme="majorEastAsia"/>
                <w:b/>
                <w:bCs/>
                <w:color w:val="auto"/>
                <w:sz w:val="24"/>
                <w:szCs w:val="24"/>
                <w:highlight w:val="none"/>
              </w:rPr>
              <w:t>盖公章</w:t>
            </w:r>
            <w:r>
              <w:rPr>
                <w:rFonts w:hint="eastAsia" w:asciiTheme="majorEastAsia" w:hAnsiTheme="majorEastAsia" w:eastAsiaTheme="majorEastAsia" w:cstheme="majorEastAsia"/>
                <w:b/>
                <w:bCs/>
                <w:color w:val="auto"/>
                <w:sz w:val="24"/>
                <w:szCs w:val="24"/>
                <w:highlight w:val="none"/>
                <w:lang w:eastAsia="zh-CN"/>
              </w:rPr>
              <w:t>，</w:t>
            </w:r>
            <w:r>
              <w:rPr>
                <w:rFonts w:hint="eastAsia" w:asciiTheme="majorEastAsia" w:hAnsiTheme="majorEastAsia" w:eastAsiaTheme="majorEastAsia" w:cstheme="majorEastAsia"/>
                <w:b/>
                <w:bCs/>
                <w:color w:val="auto"/>
                <w:sz w:val="24"/>
                <w:szCs w:val="24"/>
                <w:highlight w:val="none"/>
              </w:rPr>
              <w:t>未按上述要求提供证明材料不得分</w:t>
            </w:r>
            <w:r>
              <w:rPr>
                <w:rFonts w:hint="eastAsia" w:asciiTheme="majorEastAsia" w:hAnsiTheme="majorEastAsia" w:eastAsiaTheme="majorEastAsia" w:cstheme="majorEastAsia"/>
                <w:b/>
                <w:bCs/>
                <w:color w:val="auto"/>
                <w:sz w:val="24"/>
                <w:szCs w:val="24"/>
                <w:highlight w:val="none"/>
                <w:lang w:eastAsia="zh-CN"/>
              </w:rPr>
              <w:t>。</w:t>
            </w:r>
          </w:p>
        </w:tc>
        <w:tc>
          <w:tcPr>
            <w:tcW w:w="864" w:type="dxa"/>
            <w:tcBorders>
              <w:top w:val="single" w:color="auto" w:sz="4" w:space="0"/>
              <w:left w:val="single" w:color="auto" w:sz="4" w:space="0"/>
              <w:bottom w:val="single" w:color="auto" w:sz="4" w:space="0"/>
              <w:right w:val="single" w:color="auto" w:sz="4" w:space="0"/>
            </w:tcBorders>
            <w:vAlign w:val="center"/>
          </w:tcPr>
          <w:p w14:paraId="0188CE4A">
            <w:pPr>
              <w:jc w:val="center"/>
              <w:rPr>
                <w:rFonts w:hint="eastAsia" w:asciiTheme="majorEastAsia" w:hAnsiTheme="majorEastAsia" w:eastAsiaTheme="majorEastAsia" w:cstheme="majorEastAsia"/>
                <w:color w:val="auto"/>
                <w:sz w:val="24"/>
                <w:szCs w:val="22"/>
                <w:highlight w:val="none"/>
                <w:lang w:val="en-US"/>
              </w:rPr>
            </w:pPr>
            <w:r>
              <w:rPr>
                <w:rFonts w:hint="eastAsia" w:asciiTheme="majorEastAsia" w:hAnsiTheme="majorEastAsia" w:eastAsiaTheme="majorEastAsia" w:cstheme="majorEastAsia"/>
                <w:color w:val="auto"/>
                <w:sz w:val="24"/>
                <w:szCs w:val="22"/>
                <w:highlight w:val="none"/>
                <w:lang w:val="en-US" w:eastAsia="zh-CN"/>
              </w:rPr>
              <w:t>10</w:t>
            </w:r>
          </w:p>
        </w:tc>
      </w:tr>
      <w:tr w14:paraId="7B5159D2">
        <w:tblPrEx>
          <w:tblCellMar>
            <w:top w:w="0" w:type="dxa"/>
            <w:left w:w="108" w:type="dxa"/>
            <w:bottom w:w="0" w:type="dxa"/>
            <w:right w:w="108" w:type="dxa"/>
          </w:tblCellMar>
        </w:tblPrEx>
        <w:trPr>
          <w:trHeight w:val="90" w:hRule="atLeast"/>
        </w:trPr>
        <w:tc>
          <w:tcPr>
            <w:tcW w:w="1320" w:type="dxa"/>
            <w:tcBorders>
              <w:top w:val="single" w:color="auto" w:sz="4" w:space="0"/>
              <w:left w:val="single" w:color="auto" w:sz="4" w:space="0"/>
              <w:bottom w:val="single" w:color="auto" w:sz="4" w:space="0"/>
              <w:right w:val="single" w:color="auto" w:sz="4" w:space="0"/>
            </w:tcBorders>
            <w:vAlign w:val="center"/>
          </w:tcPr>
          <w:p w14:paraId="660F4662">
            <w:pPr>
              <w:jc w:val="center"/>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人员配置</w:t>
            </w:r>
          </w:p>
        </w:tc>
        <w:tc>
          <w:tcPr>
            <w:tcW w:w="7356" w:type="dxa"/>
            <w:tcBorders>
              <w:top w:val="single" w:color="auto" w:sz="4" w:space="0"/>
              <w:left w:val="single" w:color="auto" w:sz="4" w:space="0"/>
              <w:bottom w:val="single" w:color="auto" w:sz="4" w:space="0"/>
              <w:right w:val="single" w:color="auto" w:sz="4" w:space="0"/>
            </w:tcBorders>
            <w:vAlign w:val="center"/>
          </w:tcPr>
          <w:p w14:paraId="23222215">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对照安保要求，根据人员配置安排</w:t>
            </w:r>
            <w:r>
              <w:rPr>
                <w:rFonts w:hint="eastAsia" w:asciiTheme="majorEastAsia" w:hAnsiTheme="majorEastAsia" w:eastAsiaTheme="majorEastAsia" w:cstheme="majorEastAsia"/>
                <w:color w:val="auto"/>
                <w:sz w:val="24"/>
                <w:szCs w:val="22"/>
                <w:highlight w:val="none"/>
                <w:lang w:val="en-US" w:eastAsia="zh-CN"/>
              </w:rPr>
              <w:t>情况</w:t>
            </w:r>
            <w:r>
              <w:rPr>
                <w:rFonts w:hint="eastAsia" w:asciiTheme="majorEastAsia" w:hAnsiTheme="majorEastAsia" w:eastAsiaTheme="majorEastAsia" w:cstheme="majorEastAsia"/>
                <w:color w:val="auto"/>
                <w:sz w:val="24"/>
                <w:szCs w:val="22"/>
                <w:highlight w:val="none"/>
              </w:rPr>
              <w:t>进行评审。</w:t>
            </w:r>
          </w:p>
          <w:p w14:paraId="6648144E">
            <w:pPr>
              <w:jc w:val="left"/>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1</w:t>
            </w:r>
            <w:r>
              <w:rPr>
                <w:rFonts w:hint="eastAsia" w:asciiTheme="majorEastAsia" w:hAnsiTheme="majorEastAsia" w:eastAsiaTheme="majorEastAsia" w:cstheme="majorEastAsia"/>
                <w:b/>
                <w:bCs/>
                <w:color w:val="auto"/>
                <w:sz w:val="24"/>
                <w:szCs w:val="22"/>
                <w:highlight w:val="none"/>
                <w:lang w:eastAsia="zh-CN"/>
              </w:rPr>
              <w:t>.</w:t>
            </w:r>
            <w:r>
              <w:rPr>
                <w:rFonts w:hint="eastAsia" w:asciiTheme="majorEastAsia" w:hAnsiTheme="majorEastAsia" w:eastAsiaTheme="majorEastAsia" w:cstheme="majorEastAsia"/>
                <w:b/>
                <w:bCs/>
                <w:color w:val="auto"/>
                <w:sz w:val="24"/>
                <w:szCs w:val="22"/>
                <w:highlight w:val="none"/>
              </w:rPr>
              <w:t>项目负责人（</w:t>
            </w:r>
            <w:r>
              <w:rPr>
                <w:rFonts w:hint="eastAsia" w:asciiTheme="majorEastAsia" w:hAnsiTheme="majorEastAsia" w:eastAsiaTheme="majorEastAsia" w:cstheme="majorEastAsia"/>
                <w:b/>
                <w:bCs/>
                <w:color w:val="auto"/>
                <w:sz w:val="24"/>
                <w:szCs w:val="22"/>
                <w:highlight w:val="none"/>
                <w:lang w:val="en-US" w:eastAsia="zh-CN"/>
              </w:rPr>
              <w:t>5</w:t>
            </w:r>
            <w:r>
              <w:rPr>
                <w:rFonts w:hint="eastAsia" w:asciiTheme="majorEastAsia" w:hAnsiTheme="majorEastAsia" w:eastAsiaTheme="majorEastAsia" w:cstheme="majorEastAsia"/>
                <w:b/>
                <w:bCs/>
                <w:color w:val="auto"/>
                <w:sz w:val="24"/>
                <w:szCs w:val="22"/>
                <w:highlight w:val="none"/>
              </w:rPr>
              <w:t>分）</w:t>
            </w:r>
          </w:p>
          <w:p w14:paraId="57D0C24B">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拟派本项目的项目负责人，</w:t>
            </w:r>
            <w:r>
              <w:rPr>
                <w:rFonts w:hint="eastAsia" w:asciiTheme="majorEastAsia" w:hAnsiTheme="majorEastAsia" w:eastAsiaTheme="majorEastAsia" w:cstheme="majorEastAsia"/>
                <w:color w:val="auto"/>
                <w:sz w:val="24"/>
                <w:szCs w:val="22"/>
                <w:highlight w:val="none"/>
                <w:lang w:val="en-US" w:eastAsia="zh-CN"/>
              </w:rPr>
              <w:t>具备</w:t>
            </w:r>
            <w:r>
              <w:rPr>
                <w:rFonts w:hint="eastAsia" w:asciiTheme="majorEastAsia" w:hAnsiTheme="majorEastAsia" w:eastAsiaTheme="majorEastAsia" w:cstheme="majorEastAsia"/>
                <w:color w:val="auto"/>
                <w:sz w:val="24"/>
                <w:szCs w:val="22"/>
                <w:highlight w:val="none"/>
              </w:rPr>
              <w:t>大专及以上文化程度得1分，年龄</w:t>
            </w:r>
            <w:r>
              <w:rPr>
                <w:rFonts w:hint="eastAsia" w:asciiTheme="majorEastAsia" w:hAnsiTheme="majorEastAsia" w:eastAsiaTheme="majorEastAsia" w:cstheme="majorEastAsia"/>
                <w:color w:val="auto"/>
                <w:sz w:val="24"/>
                <w:szCs w:val="22"/>
                <w:highlight w:val="none"/>
                <w:lang w:val="en-US" w:eastAsia="zh-CN"/>
              </w:rPr>
              <w:t>在50</w:t>
            </w:r>
            <w:r>
              <w:rPr>
                <w:rFonts w:hint="eastAsia" w:asciiTheme="majorEastAsia" w:hAnsiTheme="majorEastAsia" w:eastAsiaTheme="majorEastAsia" w:cstheme="majorEastAsia"/>
                <w:color w:val="auto"/>
                <w:sz w:val="24"/>
                <w:szCs w:val="22"/>
                <w:highlight w:val="none"/>
              </w:rPr>
              <w:t>周岁</w:t>
            </w:r>
            <w:r>
              <w:rPr>
                <w:rFonts w:hint="eastAsia" w:asciiTheme="majorEastAsia" w:hAnsiTheme="majorEastAsia" w:eastAsiaTheme="majorEastAsia" w:cstheme="majorEastAsia"/>
                <w:color w:val="auto"/>
                <w:sz w:val="24"/>
                <w:szCs w:val="22"/>
                <w:highlight w:val="none"/>
                <w:lang w:val="en-US" w:eastAsia="zh-CN"/>
              </w:rPr>
              <w:t>及以下</w:t>
            </w:r>
            <w:r>
              <w:rPr>
                <w:rFonts w:hint="eastAsia" w:asciiTheme="majorEastAsia" w:hAnsiTheme="majorEastAsia" w:eastAsiaTheme="majorEastAsia" w:cstheme="majorEastAsia"/>
                <w:color w:val="auto"/>
                <w:sz w:val="24"/>
                <w:szCs w:val="22"/>
                <w:highlight w:val="none"/>
              </w:rPr>
              <w:t>得1分，</w:t>
            </w:r>
            <w:r>
              <w:rPr>
                <w:rFonts w:hint="eastAsia" w:asciiTheme="majorEastAsia" w:hAnsiTheme="majorEastAsia" w:eastAsiaTheme="majorEastAsia" w:cstheme="majorEastAsia"/>
                <w:color w:val="auto"/>
                <w:sz w:val="24"/>
                <w:szCs w:val="22"/>
                <w:highlight w:val="none"/>
                <w:lang w:val="en-US" w:eastAsia="zh-CN"/>
              </w:rPr>
              <w:t>为</w:t>
            </w:r>
            <w:r>
              <w:rPr>
                <w:rFonts w:hint="eastAsia" w:asciiTheme="majorEastAsia" w:hAnsiTheme="majorEastAsia" w:eastAsiaTheme="majorEastAsia" w:cstheme="majorEastAsia"/>
                <w:color w:val="auto"/>
                <w:sz w:val="24"/>
                <w:szCs w:val="22"/>
                <w:highlight w:val="none"/>
              </w:rPr>
              <w:t>退伍军人得1分，具备应急救援员证书得1分，</w:t>
            </w:r>
            <w:r>
              <w:rPr>
                <w:rFonts w:hint="eastAsia" w:asciiTheme="majorEastAsia" w:hAnsiTheme="majorEastAsia" w:eastAsiaTheme="majorEastAsia" w:cstheme="majorEastAsia"/>
                <w:color w:val="auto"/>
                <w:sz w:val="24"/>
                <w:szCs w:val="22"/>
                <w:highlight w:val="none"/>
                <w:lang w:val="en-US" w:eastAsia="zh-CN"/>
              </w:rPr>
              <w:t>具备</w:t>
            </w:r>
            <w:r>
              <w:rPr>
                <w:rFonts w:hint="eastAsia" w:asciiTheme="majorEastAsia" w:hAnsiTheme="majorEastAsia" w:eastAsiaTheme="majorEastAsia" w:cstheme="majorEastAsia"/>
                <w:color w:val="auto"/>
                <w:sz w:val="24"/>
                <w:szCs w:val="22"/>
                <w:highlight w:val="none"/>
              </w:rPr>
              <w:t>高级保安员（三级）</w:t>
            </w:r>
            <w:r>
              <w:rPr>
                <w:rFonts w:hint="eastAsia" w:asciiTheme="majorEastAsia" w:hAnsiTheme="majorEastAsia" w:eastAsiaTheme="majorEastAsia" w:cstheme="majorEastAsia"/>
                <w:color w:val="auto"/>
                <w:sz w:val="24"/>
                <w:szCs w:val="22"/>
                <w:highlight w:val="none"/>
                <w:lang w:val="en-US" w:eastAsia="zh-CN"/>
              </w:rPr>
              <w:t>及以上</w:t>
            </w:r>
            <w:r>
              <w:rPr>
                <w:rFonts w:hint="eastAsia" w:asciiTheme="majorEastAsia" w:hAnsiTheme="majorEastAsia" w:eastAsiaTheme="majorEastAsia" w:cstheme="majorEastAsia"/>
                <w:color w:val="auto"/>
                <w:sz w:val="24"/>
                <w:szCs w:val="22"/>
                <w:highlight w:val="none"/>
              </w:rPr>
              <w:t>证书得1分。</w:t>
            </w:r>
          </w:p>
          <w:p w14:paraId="5356996B">
            <w:pPr>
              <w:jc w:val="left"/>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2</w:t>
            </w:r>
            <w:r>
              <w:rPr>
                <w:rFonts w:hint="eastAsia" w:asciiTheme="majorEastAsia" w:hAnsiTheme="majorEastAsia" w:eastAsiaTheme="majorEastAsia" w:cstheme="majorEastAsia"/>
                <w:b/>
                <w:bCs/>
                <w:color w:val="auto"/>
                <w:sz w:val="24"/>
                <w:szCs w:val="22"/>
                <w:highlight w:val="none"/>
                <w:lang w:eastAsia="zh-CN"/>
              </w:rPr>
              <w:t>.</w:t>
            </w:r>
            <w:r>
              <w:rPr>
                <w:rFonts w:hint="eastAsia" w:asciiTheme="majorEastAsia" w:hAnsiTheme="majorEastAsia" w:eastAsiaTheme="majorEastAsia" w:cstheme="majorEastAsia"/>
                <w:b/>
                <w:bCs/>
                <w:color w:val="auto"/>
                <w:sz w:val="24"/>
                <w:szCs w:val="22"/>
                <w:highlight w:val="none"/>
              </w:rPr>
              <w:t>消控岗位人员（3分）</w:t>
            </w:r>
          </w:p>
          <w:p w14:paraId="516B1725">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拟派本项目拟派消防监控员均具备消防设施操作员中级</w:t>
            </w:r>
            <w:r>
              <w:rPr>
                <w:rFonts w:hint="eastAsia" w:asciiTheme="majorEastAsia" w:hAnsiTheme="majorEastAsia" w:eastAsiaTheme="majorEastAsia" w:cstheme="majorEastAsia"/>
                <w:color w:val="auto"/>
                <w:sz w:val="24"/>
                <w:szCs w:val="22"/>
                <w:highlight w:val="none"/>
                <w:lang w:val="en-US" w:eastAsia="zh-CN"/>
              </w:rPr>
              <w:t>及以上</w:t>
            </w:r>
            <w:r>
              <w:rPr>
                <w:rFonts w:hint="eastAsia" w:asciiTheme="majorEastAsia" w:hAnsiTheme="majorEastAsia" w:eastAsiaTheme="majorEastAsia" w:cstheme="majorEastAsia"/>
                <w:color w:val="auto"/>
                <w:sz w:val="24"/>
                <w:szCs w:val="22"/>
                <w:highlight w:val="none"/>
              </w:rPr>
              <w:t>证书，在满足6本消防设施操作员中级</w:t>
            </w:r>
            <w:r>
              <w:rPr>
                <w:rFonts w:hint="eastAsia" w:asciiTheme="majorEastAsia" w:hAnsiTheme="majorEastAsia" w:eastAsiaTheme="majorEastAsia" w:cstheme="majorEastAsia"/>
                <w:color w:val="auto"/>
                <w:sz w:val="24"/>
                <w:szCs w:val="22"/>
                <w:highlight w:val="none"/>
                <w:lang w:val="en-US" w:eastAsia="zh-CN"/>
              </w:rPr>
              <w:t>及以上</w:t>
            </w:r>
            <w:r>
              <w:rPr>
                <w:rFonts w:hint="eastAsia" w:asciiTheme="majorEastAsia" w:hAnsiTheme="majorEastAsia" w:eastAsiaTheme="majorEastAsia" w:cstheme="majorEastAsia"/>
                <w:color w:val="auto"/>
                <w:sz w:val="24"/>
                <w:szCs w:val="22"/>
                <w:highlight w:val="none"/>
              </w:rPr>
              <w:t>证书的前提下，每多提供1本得1分，最高得3分。</w:t>
            </w:r>
          </w:p>
          <w:p w14:paraId="0025A8EC">
            <w:pPr>
              <w:jc w:val="left"/>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3</w:t>
            </w:r>
            <w:r>
              <w:rPr>
                <w:rFonts w:hint="eastAsia" w:asciiTheme="majorEastAsia" w:hAnsiTheme="majorEastAsia" w:eastAsiaTheme="majorEastAsia" w:cstheme="majorEastAsia"/>
                <w:b/>
                <w:bCs/>
                <w:color w:val="auto"/>
                <w:sz w:val="24"/>
                <w:szCs w:val="22"/>
                <w:highlight w:val="none"/>
                <w:lang w:eastAsia="zh-CN"/>
              </w:rPr>
              <w:t>.</w:t>
            </w:r>
            <w:r>
              <w:rPr>
                <w:rFonts w:hint="eastAsia" w:asciiTheme="majorEastAsia" w:hAnsiTheme="majorEastAsia" w:eastAsiaTheme="majorEastAsia" w:cstheme="majorEastAsia"/>
                <w:b/>
                <w:bCs/>
                <w:color w:val="auto"/>
                <w:sz w:val="24"/>
                <w:szCs w:val="22"/>
                <w:highlight w:val="none"/>
              </w:rPr>
              <w:t>其他安保人员（9分）</w:t>
            </w:r>
          </w:p>
          <w:p w14:paraId="7C714F84">
            <w:pPr>
              <w:jc w:val="left"/>
              <w:rPr>
                <w:rFonts w:hint="eastAsia" w:asciiTheme="majorEastAsia" w:hAnsiTheme="majorEastAsia" w:eastAsiaTheme="majorEastAsia" w:cstheme="majorEastAsia"/>
                <w:color w:val="auto"/>
                <w:sz w:val="24"/>
                <w:szCs w:val="22"/>
                <w:highlight w:val="none"/>
                <w:lang w:eastAsia="zh-CN"/>
              </w:rPr>
            </w:pPr>
            <w:r>
              <w:rPr>
                <w:rFonts w:hint="eastAsia" w:asciiTheme="majorEastAsia" w:hAnsiTheme="majorEastAsia" w:eastAsiaTheme="majorEastAsia" w:cstheme="majorEastAsia"/>
                <w:color w:val="auto"/>
                <w:sz w:val="24"/>
                <w:szCs w:val="22"/>
                <w:highlight w:val="none"/>
              </w:rPr>
              <w:t>投标人拟派驻本项目的安保人员中</w:t>
            </w:r>
            <w:r>
              <w:rPr>
                <w:rFonts w:hint="eastAsia" w:asciiTheme="majorEastAsia" w:hAnsiTheme="majorEastAsia" w:eastAsiaTheme="majorEastAsia" w:cstheme="majorEastAsia"/>
                <w:color w:val="auto"/>
                <w:sz w:val="24"/>
                <w:szCs w:val="22"/>
                <w:highlight w:val="none"/>
                <w:lang w:eastAsia="zh-CN"/>
              </w:rPr>
              <w:t>：</w:t>
            </w:r>
          </w:p>
          <w:p w14:paraId="037DB7F5">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每具备1个高级保安员（三级）</w:t>
            </w:r>
            <w:r>
              <w:rPr>
                <w:rFonts w:hint="eastAsia" w:asciiTheme="majorEastAsia" w:hAnsiTheme="majorEastAsia" w:eastAsiaTheme="majorEastAsia" w:cstheme="majorEastAsia"/>
                <w:color w:val="auto"/>
                <w:sz w:val="24"/>
                <w:szCs w:val="22"/>
                <w:highlight w:val="none"/>
                <w:lang w:val="en-US" w:eastAsia="zh-CN"/>
              </w:rPr>
              <w:t>及以上</w:t>
            </w:r>
            <w:r>
              <w:rPr>
                <w:rFonts w:hint="eastAsia" w:asciiTheme="majorEastAsia" w:hAnsiTheme="majorEastAsia" w:eastAsiaTheme="majorEastAsia" w:cstheme="majorEastAsia"/>
                <w:color w:val="auto"/>
                <w:sz w:val="24"/>
                <w:szCs w:val="22"/>
                <w:highlight w:val="none"/>
              </w:rPr>
              <w:t>证书得1分，最高</w:t>
            </w:r>
            <w:r>
              <w:rPr>
                <w:rFonts w:hint="eastAsia" w:asciiTheme="majorEastAsia" w:hAnsiTheme="majorEastAsia" w:eastAsiaTheme="majorEastAsia" w:cstheme="majorEastAsia"/>
                <w:color w:val="auto"/>
                <w:sz w:val="24"/>
                <w:szCs w:val="22"/>
                <w:highlight w:val="none"/>
                <w:lang w:eastAsia="zh-CN"/>
              </w:rPr>
              <w:t>得</w:t>
            </w:r>
            <w:r>
              <w:rPr>
                <w:rFonts w:hint="eastAsia" w:asciiTheme="majorEastAsia" w:hAnsiTheme="majorEastAsia" w:eastAsiaTheme="majorEastAsia" w:cstheme="majorEastAsia"/>
                <w:color w:val="auto"/>
                <w:sz w:val="24"/>
                <w:szCs w:val="22"/>
                <w:highlight w:val="none"/>
              </w:rPr>
              <w:t>3分。</w:t>
            </w:r>
          </w:p>
          <w:p w14:paraId="6734A1DB">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每具备2本公安机关颁发的安检证得1分，最高</w:t>
            </w:r>
            <w:r>
              <w:rPr>
                <w:rFonts w:hint="eastAsia" w:asciiTheme="majorEastAsia" w:hAnsiTheme="majorEastAsia" w:eastAsiaTheme="majorEastAsia" w:cstheme="majorEastAsia"/>
                <w:color w:val="auto"/>
                <w:sz w:val="24"/>
                <w:szCs w:val="22"/>
                <w:highlight w:val="none"/>
                <w:lang w:eastAsia="zh-CN"/>
              </w:rPr>
              <w:t>得</w:t>
            </w:r>
            <w:r>
              <w:rPr>
                <w:rFonts w:hint="eastAsia" w:asciiTheme="majorEastAsia" w:hAnsiTheme="majorEastAsia" w:eastAsiaTheme="majorEastAsia" w:cstheme="majorEastAsia"/>
                <w:color w:val="auto"/>
                <w:sz w:val="24"/>
                <w:szCs w:val="22"/>
                <w:highlight w:val="none"/>
              </w:rPr>
              <w:t>2分。</w:t>
            </w:r>
          </w:p>
          <w:p w14:paraId="04B43975">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每具备2本应急救援员证书得1分，最高</w:t>
            </w:r>
            <w:r>
              <w:rPr>
                <w:rFonts w:hint="eastAsia" w:asciiTheme="majorEastAsia" w:hAnsiTheme="majorEastAsia" w:eastAsiaTheme="majorEastAsia" w:cstheme="majorEastAsia"/>
                <w:color w:val="auto"/>
                <w:sz w:val="24"/>
                <w:szCs w:val="22"/>
                <w:highlight w:val="none"/>
                <w:lang w:eastAsia="zh-CN"/>
              </w:rPr>
              <w:t>得</w:t>
            </w:r>
            <w:r>
              <w:rPr>
                <w:rFonts w:hint="eastAsia" w:asciiTheme="majorEastAsia" w:hAnsiTheme="majorEastAsia" w:eastAsiaTheme="majorEastAsia" w:cstheme="majorEastAsia"/>
                <w:color w:val="auto"/>
                <w:sz w:val="24"/>
                <w:szCs w:val="22"/>
                <w:highlight w:val="none"/>
              </w:rPr>
              <w:t>2分。</w:t>
            </w:r>
          </w:p>
          <w:p w14:paraId="5FCD7C74">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每具备2名退伍军人得1分，最高</w:t>
            </w:r>
            <w:r>
              <w:rPr>
                <w:rFonts w:hint="eastAsia" w:asciiTheme="majorEastAsia" w:hAnsiTheme="majorEastAsia" w:eastAsiaTheme="majorEastAsia" w:cstheme="majorEastAsia"/>
                <w:color w:val="auto"/>
                <w:sz w:val="24"/>
                <w:szCs w:val="22"/>
                <w:highlight w:val="none"/>
                <w:lang w:eastAsia="zh-CN"/>
              </w:rPr>
              <w:t>得</w:t>
            </w:r>
            <w:r>
              <w:rPr>
                <w:rFonts w:hint="eastAsia" w:asciiTheme="majorEastAsia" w:hAnsiTheme="majorEastAsia" w:eastAsiaTheme="majorEastAsia" w:cstheme="majorEastAsia"/>
                <w:color w:val="auto"/>
                <w:sz w:val="24"/>
                <w:szCs w:val="22"/>
                <w:highlight w:val="none"/>
              </w:rPr>
              <w:t>2分。</w:t>
            </w:r>
          </w:p>
          <w:p w14:paraId="6E1FD329">
            <w:pPr>
              <w:jc w:val="left"/>
              <w:rPr>
                <w:rFonts w:hint="default" w:asciiTheme="majorEastAsia" w:hAnsiTheme="majorEastAsia" w:eastAsiaTheme="majorEastAsia" w:cstheme="majorEastAsia"/>
                <w:color w:val="auto"/>
                <w:sz w:val="24"/>
                <w:szCs w:val="22"/>
                <w:highlight w:val="none"/>
                <w:lang w:val="en-US" w:eastAsia="zh-CN"/>
              </w:rPr>
            </w:pPr>
            <w:r>
              <w:rPr>
                <w:rFonts w:hint="eastAsia" w:asciiTheme="majorEastAsia" w:hAnsiTheme="majorEastAsia" w:eastAsiaTheme="majorEastAsia" w:cstheme="majorEastAsia"/>
                <w:b/>
                <w:bCs/>
                <w:color w:val="auto"/>
                <w:sz w:val="24"/>
                <w:szCs w:val="22"/>
                <w:highlight w:val="none"/>
              </w:rPr>
              <w:t>注：须提供相关证书</w:t>
            </w:r>
            <w:r>
              <w:rPr>
                <w:rFonts w:hint="eastAsia" w:asciiTheme="majorEastAsia" w:hAnsiTheme="majorEastAsia" w:eastAsiaTheme="majorEastAsia" w:cstheme="majorEastAsia"/>
                <w:b/>
                <w:bCs/>
                <w:color w:val="auto"/>
                <w:sz w:val="24"/>
                <w:szCs w:val="22"/>
                <w:highlight w:val="none"/>
                <w:lang w:val="en-US" w:eastAsia="zh-CN"/>
              </w:rPr>
              <w:t>扫描件、</w:t>
            </w:r>
            <w:r>
              <w:rPr>
                <w:rFonts w:hint="eastAsia" w:asciiTheme="majorEastAsia" w:hAnsiTheme="majorEastAsia" w:eastAsiaTheme="majorEastAsia" w:cstheme="majorEastAsia"/>
                <w:b/>
                <w:bCs/>
                <w:color w:val="auto"/>
                <w:sz w:val="24"/>
                <w:highlight w:val="none"/>
                <w:lang w:val="en-US" w:eastAsia="zh-CN"/>
              </w:rPr>
              <w:t>投标人为以上人员</w:t>
            </w:r>
            <w:r>
              <w:rPr>
                <w:rFonts w:hint="eastAsia" w:asciiTheme="majorEastAsia" w:hAnsiTheme="majorEastAsia" w:eastAsiaTheme="majorEastAsia" w:cstheme="majorEastAsia"/>
                <w:b/>
                <w:bCs/>
                <w:color w:val="auto"/>
                <w:sz w:val="24"/>
                <w:szCs w:val="22"/>
                <w:highlight w:val="none"/>
              </w:rPr>
              <w:t>缴纳</w:t>
            </w:r>
            <w:r>
              <w:rPr>
                <w:rFonts w:hint="eastAsia" w:asciiTheme="majorEastAsia" w:hAnsiTheme="majorEastAsia" w:eastAsiaTheme="majorEastAsia" w:cstheme="majorEastAsia"/>
                <w:b/>
                <w:bCs/>
                <w:color w:val="auto"/>
                <w:sz w:val="24"/>
                <w:szCs w:val="22"/>
                <w:highlight w:val="none"/>
                <w:lang w:eastAsia="zh-CN"/>
              </w:rPr>
              <w:t>的</w:t>
            </w:r>
            <w:r>
              <w:rPr>
                <w:rFonts w:hint="eastAsia" w:asciiTheme="majorEastAsia" w:hAnsiTheme="majorEastAsia" w:eastAsiaTheme="majorEastAsia" w:cstheme="majorEastAsia"/>
                <w:b/>
                <w:bCs/>
                <w:color w:val="auto"/>
                <w:sz w:val="24"/>
                <w:szCs w:val="22"/>
                <w:highlight w:val="none"/>
              </w:rPr>
              <w:t>近</w:t>
            </w:r>
            <w:r>
              <w:rPr>
                <w:rFonts w:hint="eastAsia" w:asciiTheme="majorEastAsia" w:hAnsiTheme="majorEastAsia" w:eastAsiaTheme="majorEastAsia" w:cstheme="majorEastAsia"/>
                <w:b/>
                <w:bCs/>
                <w:color w:val="auto"/>
                <w:sz w:val="24"/>
                <w:szCs w:val="22"/>
                <w:highlight w:val="none"/>
                <w:lang w:val="en-US" w:eastAsia="zh-CN"/>
              </w:rPr>
              <w:t>6个月任意1个月</w:t>
            </w:r>
            <w:r>
              <w:rPr>
                <w:rFonts w:hint="eastAsia" w:asciiTheme="majorEastAsia" w:hAnsiTheme="majorEastAsia" w:eastAsiaTheme="majorEastAsia" w:cstheme="majorEastAsia"/>
                <w:b/>
                <w:bCs/>
                <w:color w:val="auto"/>
                <w:sz w:val="24"/>
                <w:szCs w:val="22"/>
                <w:highlight w:val="none"/>
              </w:rPr>
              <w:t>（不含投标当月）社保证明</w:t>
            </w:r>
            <w:r>
              <w:rPr>
                <w:rFonts w:hint="eastAsia" w:asciiTheme="majorEastAsia" w:hAnsiTheme="majorEastAsia" w:eastAsiaTheme="majorEastAsia" w:cstheme="majorEastAsia"/>
                <w:b/>
                <w:bCs/>
                <w:color w:val="auto"/>
                <w:sz w:val="24"/>
                <w:szCs w:val="22"/>
                <w:highlight w:val="none"/>
                <w:lang w:val="en-US" w:eastAsia="zh-CN"/>
              </w:rPr>
              <w:t>、</w:t>
            </w:r>
            <w:r>
              <w:rPr>
                <w:rFonts w:hint="eastAsia" w:asciiTheme="majorEastAsia" w:hAnsiTheme="majorEastAsia" w:eastAsiaTheme="majorEastAsia" w:cstheme="majorEastAsia"/>
                <w:b/>
                <w:bCs/>
                <w:color w:val="auto"/>
                <w:sz w:val="24"/>
                <w:szCs w:val="22"/>
                <w:highlight w:val="none"/>
              </w:rPr>
              <w:t>消控岗位人员网站</w:t>
            </w:r>
            <w:r>
              <w:rPr>
                <w:rFonts w:hint="eastAsia" w:asciiTheme="majorEastAsia" w:hAnsiTheme="majorEastAsia" w:eastAsiaTheme="majorEastAsia" w:cstheme="majorEastAsia"/>
                <w:b/>
                <w:bCs/>
                <w:color w:val="auto"/>
                <w:sz w:val="24"/>
                <w:szCs w:val="22"/>
                <w:highlight w:val="none"/>
                <w:lang w:val="en-US" w:eastAsia="zh-CN"/>
              </w:rPr>
              <w:t>查询</w:t>
            </w:r>
            <w:r>
              <w:rPr>
                <w:rFonts w:hint="eastAsia" w:asciiTheme="majorEastAsia" w:hAnsiTheme="majorEastAsia" w:eastAsiaTheme="majorEastAsia" w:cstheme="majorEastAsia"/>
                <w:b/>
                <w:bCs/>
                <w:color w:val="auto"/>
                <w:sz w:val="24"/>
                <w:szCs w:val="22"/>
                <w:highlight w:val="none"/>
              </w:rPr>
              <w:t>截图加盖公章作为得分依据，</w:t>
            </w:r>
            <w:r>
              <w:rPr>
                <w:rFonts w:hint="eastAsia" w:asciiTheme="majorEastAsia" w:hAnsiTheme="majorEastAsia" w:eastAsiaTheme="majorEastAsia" w:cstheme="majorEastAsia"/>
                <w:b/>
                <w:bCs/>
                <w:color w:val="auto"/>
                <w:sz w:val="24"/>
                <w:szCs w:val="22"/>
                <w:highlight w:val="none"/>
                <w:lang w:val="en-US" w:eastAsia="zh-CN"/>
              </w:rPr>
              <w:t>查询</w:t>
            </w:r>
            <w:r>
              <w:rPr>
                <w:rFonts w:hint="eastAsia" w:asciiTheme="majorEastAsia" w:hAnsiTheme="majorEastAsia" w:eastAsiaTheme="majorEastAsia" w:cstheme="majorEastAsia"/>
                <w:b/>
                <w:bCs/>
                <w:color w:val="auto"/>
                <w:sz w:val="24"/>
                <w:szCs w:val="22"/>
                <w:highlight w:val="none"/>
              </w:rPr>
              <w:t>网址：</w:t>
            </w:r>
            <w:r>
              <w:rPr>
                <w:rFonts w:hint="eastAsia" w:asciiTheme="majorEastAsia" w:hAnsiTheme="majorEastAsia" w:eastAsiaTheme="majorEastAsia" w:cstheme="majorEastAsia"/>
                <w:b/>
                <w:bCs/>
                <w:color w:val="auto"/>
                <w:sz w:val="24"/>
                <w:szCs w:val="22"/>
                <w:highlight w:val="none"/>
              </w:rPr>
              <w:fldChar w:fldCharType="begin"/>
            </w:r>
            <w:r>
              <w:rPr>
                <w:rFonts w:hint="eastAsia" w:asciiTheme="majorEastAsia" w:hAnsiTheme="majorEastAsia" w:eastAsiaTheme="majorEastAsia" w:cstheme="majorEastAsia"/>
                <w:b/>
                <w:bCs/>
                <w:color w:val="auto"/>
                <w:sz w:val="24"/>
                <w:szCs w:val="22"/>
                <w:highlight w:val="none"/>
              </w:rPr>
              <w:instrText xml:space="preserve"> HYPERLINK "http://zscx.osta.org.cn/" </w:instrText>
            </w:r>
            <w:r>
              <w:rPr>
                <w:rFonts w:hint="eastAsia" w:asciiTheme="majorEastAsia" w:hAnsiTheme="majorEastAsia" w:eastAsiaTheme="majorEastAsia" w:cstheme="majorEastAsia"/>
                <w:b/>
                <w:bCs/>
                <w:color w:val="auto"/>
                <w:sz w:val="24"/>
                <w:szCs w:val="22"/>
                <w:highlight w:val="none"/>
              </w:rPr>
              <w:fldChar w:fldCharType="separate"/>
            </w:r>
            <w:r>
              <w:rPr>
                <w:rFonts w:hint="eastAsia" w:asciiTheme="majorEastAsia" w:hAnsiTheme="majorEastAsia" w:eastAsiaTheme="majorEastAsia" w:cstheme="majorEastAsia"/>
                <w:b/>
                <w:bCs/>
                <w:color w:val="auto"/>
                <w:sz w:val="24"/>
                <w:szCs w:val="22"/>
                <w:highlight w:val="none"/>
              </w:rPr>
              <w:t>http://zscx.osta.org.cn/</w:t>
            </w:r>
            <w:r>
              <w:rPr>
                <w:rFonts w:hint="eastAsia" w:asciiTheme="majorEastAsia" w:hAnsiTheme="majorEastAsia" w:eastAsiaTheme="majorEastAsia" w:cstheme="majorEastAsia"/>
                <w:b/>
                <w:bCs/>
                <w:color w:val="auto"/>
                <w:sz w:val="24"/>
                <w:szCs w:val="22"/>
                <w:highlight w:val="none"/>
              </w:rPr>
              <w:fldChar w:fldCharType="end"/>
            </w:r>
            <w:r>
              <w:rPr>
                <w:rFonts w:hint="eastAsia" w:asciiTheme="majorEastAsia" w:hAnsiTheme="majorEastAsia" w:eastAsiaTheme="majorEastAsia" w:cstheme="majorEastAsia"/>
                <w:b/>
                <w:bCs/>
                <w:color w:val="auto"/>
                <w:sz w:val="24"/>
                <w:szCs w:val="22"/>
                <w:highlight w:val="none"/>
                <w:lang w:eastAsia="zh-CN"/>
              </w:rPr>
              <w:t>。</w:t>
            </w:r>
            <w:r>
              <w:rPr>
                <w:rFonts w:hint="eastAsia" w:asciiTheme="majorEastAsia" w:hAnsiTheme="majorEastAsia" w:eastAsiaTheme="majorEastAsia" w:cstheme="majorEastAsia"/>
                <w:b/>
                <w:bCs/>
                <w:color w:val="auto"/>
                <w:sz w:val="24"/>
                <w:szCs w:val="22"/>
                <w:highlight w:val="none"/>
              </w:rPr>
              <w:t>未提供</w:t>
            </w:r>
            <w:r>
              <w:rPr>
                <w:rFonts w:hint="eastAsia" w:asciiTheme="majorEastAsia" w:hAnsiTheme="majorEastAsia" w:eastAsiaTheme="majorEastAsia" w:cstheme="majorEastAsia"/>
                <w:b/>
                <w:bCs/>
                <w:color w:val="auto"/>
                <w:sz w:val="24"/>
                <w:szCs w:val="22"/>
                <w:highlight w:val="none"/>
                <w:lang w:val="en-US" w:eastAsia="zh-CN"/>
              </w:rPr>
              <w:t>或提供不全</w:t>
            </w:r>
            <w:r>
              <w:rPr>
                <w:rFonts w:hint="eastAsia" w:asciiTheme="majorEastAsia" w:hAnsiTheme="majorEastAsia" w:eastAsiaTheme="majorEastAsia" w:cstheme="majorEastAsia"/>
                <w:b/>
                <w:bCs/>
                <w:color w:val="auto"/>
                <w:sz w:val="24"/>
                <w:szCs w:val="22"/>
                <w:highlight w:val="none"/>
                <w:lang w:eastAsia="zh-CN"/>
              </w:rPr>
              <w:t>的</w:t>
            </w:r>
            <w:r>
              <w:rPr>
                <w:rFonts w:hint="eastAsia" w:asciiTheme="majorEastAsia" w:hAnsiTheme="majorEastAsia" w:eastAsiaTheme="majorEastAsia" w:cstheme="majorEastAsia"/>
                <w:b/>
                <w:bCs/>
                <w:color w:val="auto"/>
                <w:sz w:val="24"/>
                <w:szCs w:val="22"/>
                <w:highlight w:val="none"/>
              </w:rPr>
              <w:t>不得分。</w:t>
            </w:r>
          </w:p>
        </w:tc>
        <w:tc>
          <w:tcPr>
            <w:tcW w:w="864" w:type="dxa"/>
            <w:tcBorders>
              <w:top w:val="single" w:color="auto" w:sz="4" w:space="0"/>
              <w:left w:val="single" w:color="auto" w:sz="4" w:space="0"/>
              <w:bottom w:val="single" w:color="auto" w:sz="4" w:space="0"/>
              <w:right w:val="single" w:color="auto" w:sz="4" w:space="0"/>
            </w:tcBorders>
            <w:vAlign w:val="center"/>
          </w:tcPr>
          <w:p w14:paraId="43D7F528">
            <w:pPr>
              <w:jc w:val="center"/>
              <w:rPr>
                <w:rFonts w:hint="eastAsia" w:asciiTheme="majorEastAsia" w:hAnsiTheme="majorEastAsia" w:eastAsiaTheme="majorEastAsia" w:cstheme="majorEastAsia"/>
                <w:color w:val="auto"/>
                <w:sz w:val="24"/>
                <w:szCs w:val="22"/>
                <w:highlight w:val="none"/>
                <w:lang w:val="en-US" w:eastAsia="zh-CN"/>
              </w:rPr>
            </w:pPr>
            <w:r>
              <w:rPr>
                <w:rFonts w:hint="eastAsia" w:asciiTheme="majorEastAsia" w:hAnsiTheme="majorEastAsia" w:eastAsiaTheme="majorEastAsia" w:cstheme="majorEastAsia"/>
                <w:color w:val="auto"/>
                <w:sz w:val="24"/>
                <w:szCs w:val="22"/>
                <w:highlight w:val="none"/>
                <w:lang w:val="en-US" w:eastAsia="zh-CN"/>
              </w:rPr>
              <w:t>17</w:t>
            </w:r>
          </w:p>
        </w:tc>
      </w:tr>
      <w:tr w14:paraId="24936F93">
        <w:tblPrEx>
          <w:tblCellMar>
            <w:top w:w="0" w:type="dxa"/>
            <w:left w:w="108" w:type="dxa"/>
            <w:bottom w:w="0" w:type="dxa"/>
            <w:right w:w="108" w:type="dxa"/>
          </w:tblCellMar>
        </w:tblPrEx>
        <w:trPr>
          <w:trHeight w:val="1711" w:hRule="atLeast"/>
        </w:trPr>
        <w:tc>
          <w:tcPr>
            <w:tcW w:w="1320" w:type="dxa"/>
            <w:tcBorders>
              <w:top w:val="single" w:color="auto" w:sz="4" w:space="0"/>
              <w:left w:val="single" w:color="auto" w:sz="4" w:space="0"/>
              <w:bottom w:val="single" w:color="auto" w:sz="4" w:space="0"/>
              <w:right w:val="single" w:color="auto" w:sz="4" w:space="0"/>
            </w:tcBorders>
            <w:vAlign w:val="center"/>
          </w:tcPr>
          <w:p w14:paraId="68955BCE">
            <w:pPr>
              <w:jc w:val="center"/>
              <w:rPr>
                <w:rFonts w:hint="eastAsia" w:asciiTheme="majorEastAsia" w:hAnsiTheme="majorEastAsia" w:eastAsiaTheme="majorEastAsia" w:cstheme="majorEastAsia"/>
                <w:b/>
                <w:bCs/>
                <w:color w:val="auto"/>
                <w:sz w:val="24"/>
                <w:szCs w:val="22"/>
                <w:highlight w:val="none"/>
              </w:rPr>
            </w:pPr>
            <w:bookmarkStart w:id="73" w:name="_GoBack" w:colFirst="0" w:colLast="2"/>
            <w:r>
              <w:rPr>
                <w:rFonts w:hint="eastAsia" w:asciiTheme="majorEastAsia" w:hAnsiTheme="majorEastAsia" w:eastAsiaTheme="majorEastAsia" w:cstheme="majorEastAsia"/>
                <w:b/>
                <w:bCs/>
                <w:color w:val="auto"/>
                <w:sz w:val="24"/>
                <w:szCs w:val="22"/>
                <w:highlight w:val="none"/>
              </w:rPr>
              <w:t>服务方案</w:t>
            </w:r>
          </w:p>
        </w:tc>
        <w:tc>
          <w:tcPr>
            <w:tcW w:w="7356" w:type="dxa"/>
            <w:tcBorders>
              <w:top w:val="single" w:color="auto" w:sz="4" w:space="0"/>
              <w:left w:val="single" w:color="auto" w:sz="4" w:space="0"/>
              <w:bottom w:val="single" w:color="auto" w:sz="4" w:space="0"/>
              <w:right w:val="single" w:color="auto" w:sz="4" w:space="0"/>
            </w:tcBorders>
            <w:vAlign w:val="center"/>
          </w:tcPr>
          <w:p w14:paraId="56B70AC7">
            <w:pPr>
              <w:jc w:val="left"/>
              <w:rPr>
                <w:rFonts w:hint="eastAsia" w:asciiTheme="majorEastAsia" w:hAnsiTheme="majorEastAsia" w:eastAsiaTheme="majorEastAsia" w:cstheme="majorEastAsia"/>
                <w:b/>
                <w:bCs/>
                <w:color w:val="auto"/>
                <w:sz w:val="24"/>
                <w:szCs w:val="22"/>
                <w:highlight w:val="none"/>
              </w:rPr>
            </w:pPr>
            <w:bookmarkStart w:id="43" w:name="OLE_LINK24"/>
            <w:r>
              <w:rPr>
                <w:rFonts w:hint="eastAsia" w:asciiTheme="majorEastAsia" w:hAnsiTheme="majorEastAsia" w:eastAsiaTheme="majorEastAsia" w:cstheme="majorEastAsia"/>
                <w:b/>
                <w:bCs/>
                <w:color w:val="auto"/>
                <w:sz w:val="24"/>
                <w:szCs w:val="22"/>
                <w:highlight w:val="none"/>
              </w:rPr>
              <w:t>1</w:t>
            </w:r>
            <w:r>
              <w:rPr>
                <w:rFonts w:hint="eastAsia" w:asciiTheme="majorEastAsia" w:hAnsiTheme="majorEastAsia" w:eastAsiaTheme="majorEastAsia" w:cstheme="majorEastAsia"/>
                <w:b/>
                <w:bCs/>
                <w:color w:val="auto"/>
                <w:sz w:val="24"/>
                <w:szCs w:val="22"/>
                <w:highlight w:val="none"/>
                <w:lang w:eastAsia="zh-CN"/>
              </w:rPr>
              <w:t>.</w:t>
            </w:r>
            <w:r>
              <w:rPr>
                <w:rFonts w:hint="eastAsia" w:asciiTheme="majorEastAsia" w:hAnsiTheme="majorEastAsia" w:eastAsiaTheme="majorEastAsia" w:cstheme="majorEastAsia"/>
                <w:b/>
                <w:bCs/>
                <w:color w:val="auto"/>
                <w:sz w:val="24"/>
                <w:szCs w:val="22"/>
                <w:highlight w:val="none"/>
              </w:rPr>
              <w:t>安保服务的整体方案和策划思路（</w:t>
            </w:r>
            <w:bookmarkEnd w:id="43"/>
            <w:r>
              <w:rPr>
                <w:rFonts w:hint="eastAsia" w:asciiTheme="majorEastAsia" w:hAnsiTheme="majorEastAsia" w:eastAsiaTheme="majorEastAsia" w:cstheme="majorEastAsia"/>
                <w:b/>
                <w:bCs/>
                <w:color w:val="auto"/>
                <w:sz w:val="24"/>
                <w:szCs w:val="22"/>
                <w:highlight w:val="none"/>
                <w:lang w:val="en-US" w:eastAsia="zh-CN"/>
              </w:rPr>
              <w:t>6</w:t>
            </w:r>
            <w:r>
              <w:rPr>
                <w:rFonts w:hint="eastAsia" w:asciiTheme="majorEastAsia" w:hAnsiTheme="majorEastAsia" w:eastAsiaTheme="majorEastAsia" w:cstheme="majorEastAsia"/>
                <w:b/>
                <w:bCs/>
                <w:color w:val="auto"/>
                <w:sz w:val="24"/>
                <w:szCs w:val="22"/>
                <w:highlight w:val="none"/>
              </w:rPr>
              <w:t>分）</w:t>
            </w:r>
          </w:p>
          <w:p w14:paraId="1AC9AA7F">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整体方案和策划思路合理、清晰的，得</w:t>
            </w:r>
            <w:r>
              <w:rPr>
                <w:rFonts w:hint="eastAsia" w:asciiTheme="majorEastAsia" w:hAnsiTheme="majorEastAsia" w:eastAsiaTheme="majorEastAsia" w:cstheme="majorEastAsia"/>
                <w:color w:val="auto"/>
                <w:sz w:val="24"/>
                <w:szCs w:val="22"/>
                <w:highlight w:val="none"/>
                <w:lang w:val="en-US" w:eastAsia="zh-CN"/>
              </w:rPr>
              <w:t>6</w:t>
            </w:r>
            <w:r>
              <w:rPr>
                <w:rFonts w:hint="eastAsia" w:asciiTheme="majorEastAsia" w:hAnsiTheme="majorEastAsia" w:eastAsiaTheme="majorEastAsia" w:cstheme="majorEastAsia"/>
                <w:color w:val="auto"/>
                <w:sz w:val="24"/>
                <w:szCs w:val="22"/>
                <w:highlight w:val="none"/>
              </w:rPr>
              <w:t>分；有整体方案和策划思路，但有一定缺陷可能造成不良后果的，得3分；无整体方案，或无策划思路，或整体方案明显不合理，或策划思路混乱的，得1分；未提供不得分。</w:t>
            </w:r>
          </w:p>
          <w:p w14:paraId="2490C06D">
            <w:pPr>
              <w:jc w:val="left"/>
              <w:rPr>
                <w:rFonts w:hint="eastAsia" w:asciiTheme="majorEastAsia" w:hAnsiTheme="majorEastAsia" w:eastAsiaTheme="majorEastAsia" w:cstheme="majorEastAsia"/>
                <w:b/>
                <w:bCs/>
                <w:color w:val="auto"/>
                <w:sz w:val="24"/>
                <w:szCs w:val="22"/>
                <w:highlight w:val="none"/>
              </w:rPr>
            </w:pPr>
            <w:bookmarkStart w:id="44" w:name="OLE_LINK26"/>
            <w:bookmarkEnd w:id="44"/>
            <w:r>
              <w:rPr>
                <w:rFonts w:hint="eastAsia" w:asciiTheme="majorEastAsia" w:hAnsiTheme="majorEastAsia" w:eastAsiaTheme="majorEastAsia" w:cstheme="majorEastAsia"/>
                <w:b/>
                <w:bCs/>
                <w:color w:val="auto"/>
                <w:sz w:val="24"/>
                <w:szCs w:val="22"/>
                <w:highlight w:val="none"/>
              </w:rPr>
              <w:t>2</w:t>
            </w:r>
            <w:r>
              <w:rPr>
                <w:rFonts w:hint="eastAsia" w:asciiTheme="majorEastAsia" w:hAnsiTheme="majorEastAsia" w:eastAsiaTheme="majorEastAsia" w:cstheme="majorEastAsia"/>
                <w:b/>
                <w:bCs/>
                <w:color w:val="auto"/>
                <w:sz w:val="24"/>
                <w:szCs w:val="22"/>
                <w:highlight w:val="none"/>
                <w:lang w:eastAsia="zh-CN"/>
              </w:rPr>
              <w:t>.</w:t>
            </w:r>
            <w:r>
              <w:rPr>
                <w:rFonts w:hint="eastAsia" w:asciiTheme="majorEastAsia" w:hAnsiTheme="majorEastAsia" w:eastAsiaTheme="majorEastAsia" w:cstheme="majorEastAsia"/>
                <w:b/>
                <w:bCs/>
                <w:color w:val="auto"/>
                <w:sz w:val="24"/>
                <w:szCs w:val="22"/>
                <w:highlight w:val="none"/>
              </w:rPr>
              <w:t>内部各项管理制度（</w:t>
            </w:r>
            <w:r>
              <w:rPr>
                <w:rFonts w:hint="eastAsia" w:asciiTheme="majorEastAsia" w:hAnsiTheme="majorEastAsia" w:eastAsiaTheme="majorEastAsia" w:cstheme="majorEastAsia"/>
                <w:b/>
                <w:bCs/>
                <w:color w:val="auto"/>
                <w:sz w:val="24"/>
                <w:szCs w:val="22"/>
                <w:highlight w:val="none"/>
                <w:lang w:val="en-US" w:eastAsia="zh-CN"/>
              </w:rPr>
              <w:t>6</w:t>
            </w:r>
            <w:r>
              <w:rPr>
                <w:rFonts w:hint="eastAsia" w:asciiTheme="majorEastAsia" w:hAnsiTheme="majorEastAsia" w:eastAsiaTheme="majorEastAsia" w:cstheme="majorEastAsia"/>
                <w:b/>
                <w:bCs/>
                <w:color w:val="auto"/>
                <w:sz w:val="24"/>
                <w:szCs w:val="22"/>
                <w:highlight w:val="none"/>
              </w:rPr>
              <w:t>分）</w:t>
            </w:r>
          </w:p>
          <w:p w14:paraId="7E071F73">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内部管理各项制度健全合理的，得</w:t>
            </w:r>
            <w:r>
              <w:rPr>
                <w:rFonts w:hint="eastAsia" w:asciiTheme="majorEastAsia" w:hAnsiTheme="majorEastAsia" w:eastAsiaTheme="majorEastAsia" w:cstheme="majorEastAsia"/>
                <w:color w:val="auto"/>
                <w:sz w:val="24"/>
                <w:szCs w:val="22"/>
                <w:highlight w:val="none"/>
                <w:lang w:val="en-US" w:eastAsia="zh-CN"/>
              </w:rPr>
              <w:t>6</w:t>
            </w:r>
            <w:r>
              <w:rPr>
                <w:rFonts w:hint="eastAsia" w:asciiTheme="majorEastAsia" w:hAnsiTheme="majorEastAsia" w:eastAsiaTheme="majorEastAsia" w:cstheme="majorEastAsia"/>
                <w:color w:val="auto"/>
                <w:sz w:val="24"/>
                <w:szCs w:val="22"/>
                <w:highlight w:val="none"/>
              </w:rPr>
              <w:t>分；有较为健全的内部管理制度，但部分制度不够合理的，得3分；无内部管理制度，或制度明显不健全，或多数制度明显不合理的，得1分；未提供不得分。</w:t>
            </w:r>
          </w:p>
          <w:p w14:paraId="5693A890">
            <w:pPr>
              <w:jc w:val="left"/>
              <w:rPr>
                <w:rFonts w:hint="eastAsia" w:asciiTheme="majorEastAsia" w:hAnsiTheme="majorEastAsia" w:eastAsiaTheme="majorEastAsia" w:cstheme="majorEastAsia"/>
                <w:b/>
                <w:bCs/>
                <w:color w:val="auto"/>
                <w:sz w:val="24"/>
                <w:szCs w:val="22"/>
                <w:highlight w:val="none"/>
              </w:rPr>
            </w:pPr>
            <w:bookmarkStart w:id="45" w:name="OLE_LINK28"/>
            <w:bookmarkEnd w:id="45"/>
            <w:r>
              <w:rPr>
                <w:rFonts w:hint="eastAsia" w:asciiTheme="majorEastAsia" w:hAnsiTheme="majorEastAsia" w:eastAsiaTheme="majorEastAsia" w:cstheme="majorEastAsia"/>
                <w:b/>
                <w:bCs/>
                <w:color w:val="auto"/>
                <w:sz w:val="24"/>
                <w:szCs w:val="22"/>
                <w:highlight w:val="none"/>
              </w:rPr>
              <w:t>3</w:t>
            </w:r>
            <w:r>
              <w:rPr>
                <w:rFonts w:hint="eastAsia" w:asciiTheme="majorEastAsia" w:hAnsiTheme="majorEastAsia" w:eastAsiaTheme="majorEastAsia" w:cstheme="majorEastAsia"/>
                <w:b/>
                <w:bCs/>
                <w:color w:val="auto"/>
                <w:sz w:val="24"/>
                <w:szCs w:val="22"/>
                <w:highlight w:val="none"/>
                <w:lang w:eastAsia="zh-CN"/>
              </w:rPr>
              <w:t>.</w:t>
            </w:r>
            <w:r>
              <w:rPr>
                <w:rFonts w:hint="eastAsia" w:asciiTheme="majorEastAsia" w:hAnsiTheme="majorEastAsia" w:eastAsiaTheme="majorEastAsia" w:cstheme="majorEastAsia"/>
                <w:b/>
                <w:bCs/>
                <w:color w:val="auto"/>
                <w:sz w:val="24"/>
                <w:szCs w:val="22"/>
                <w:highlight w:val="none"/>
              </w:rPr>
              <w:t>安保措施、服务标准（</w:t>
            </w:r>
            <w:r>
              <w:rPr>
                <w:rFonts w:hint="eastAsia" w:asciiTheme="majorEastAsia" w:hAnsiTheme="majorEastAsia" w:eastAsiaTheme="majorEastAsia" w:cstheme="majorEastAsia"/>
                <w:b/>
                <w:bCs/>
                <w:color w:val="auto"/>
                <w:sz w:val="24"/>
                <w:szCs w:val="22"/>
                <w:highlight w:val="none"/>
                <w:lang w:val="en-US" w:eastAsia="zh-CN"/>
              </w:rPr>
              <w:t>6</w:t>
            </w:r>
            <w:r>
              <w:rPr>
                <w:rFonts w:hint="eastAsia" w:asciiTheme="majorEastAsia" w:hAnsiTheme="majorEastAsia" w:eastAsiaTheme="majorEastAsia" w:cstheme="majorEastAsia"/>
                <w:b/>
                <w:bCs/>
                <w:color w:val="auto"/>
                <w:sz w:val="24"/>
                <w:szCs w:val="22"/>
                <w:highlight w:val="none"/>
              </w:rPr>
              <w:t>分）</w:t>
            </w:r>
          </w:p>
          <w:p w14:paraId="126FC23C">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各类安保措施、服务标准完善合理且完全符合要求，得</w:t>
            </w:r>
            <w:r>
              <w:rPr>
                <w:rFonts w:hint="eastAsia" w:asciiTheme="majorEastAsia" w:hAnsiTheme="majorEastAsia" w:eastAsiaTheme="majorEastAsia" w:cstheme="majorEastAsia"/>
                <w:color w:val="auto"/>
                <w:sz w:val="24"/>
                <w:szCs w:val="22"/>
                <w:highlight w:val="none"/>
                <w:lang w:val="en-US" w:eastAsia="zh-CN"/>
              </w:rPr>
              <w:t>6</w:t>
            </w:r>
            <w:r>
              <w:rPr>
                <w:rFonts w:hint="eastAsia" w:asciiTheme="majorEastAsia" w:hAnsiTheme="majorEastAsia" w:eastAsiaTheme="majorEastAsia" w:cstheme="majorEastAsia"/>
                <w:color w:val="auto"/>
                <w:sz w:val="24"/>
                <w:szCs w:val="22"/>
                <w:highlight w:val="none"/>
              </w:rPr>
              <w:t>分；有较为完善的安保措施但部分措施不够合理、服务标准且基本符合要求的，得3分；无安保措施或措施明显不完善或多数措施明显不合理、服务标准不太合理且不完全符合要求的，得1分；未提供不得分。</w:t>
            </w:r>
          </w:p>
          <w:p w14:paraId="5B851D9F">
            <w:pPr>
              <w:jc w:val="left"/>
              <w:rPr>
                <w:rFonts w:hint="eastAsia" w:asciiTheme="majorEastAsia" w:hAnsiTheme="majorEastAsia" w:eastAsiaTheme="majorEastAsia" w:cstheme="majorEastAsia"/>
                <w:b/>
                <w:bCs/>
                <w:color w:val="auto"/>
                <w:sz w:val="24"/>
                <w:szCs w:val="22"/>
                <w:highlight w:val="none"/>
              </w:rPr>
            </w:pPr>
            <w:bookmarkStart w:id="46" w:name="OLE_LINK30"/>
            <w:bookmarkEnd w:id="46"/>
            <w:r>
              <w:rPr>
                <w:rFonts w:hint="eastAsia" w:asciiTheme="majorEastAsia" w:hAnsiTheme="majorEastAsia" w:eastAsiaTheme="majorEastAsia" w:cstheme="majorEastAsia"/>
                <w:b/>
                <w:bCs/>
                <w:color w:val="auto"/>
                <w:sz w:val="24"/>
                <w:szCs w:val="22"/>
                <w:highlight w:val="none"/>
              </w:rPr>
              <w:t>4</w:t>
            </w:r>
            <w:r>
              <w:rPr>
                <w:rFonts w:hint="eastAsia" w:asciiTheme="majorEastAsia" w:hAnsiTheme="majorEastAsia" w:eastAsiaTheme="majorEastAsia" w:cstheme="majorEastAsia"/>
                <w:b/>
                <w:bCs/>
                <w:color w:val="auto"/>
                <w:sz w:val="24"/>
                <w:szCs w:val="22"/>
                <w:highlight w:val="none"/>
                <w:lang w:eastAsia="zh-CN"/>
              </w:rPr>
              <w:t>.</w:t>
            </w:r>
            <w:r>
              <w:rPr>
                <w:rFonts w:hint="eastAsia" w:asciiTheme="majorEastAsia" w:hAnsiTheme="majorEastAsia" w:eastAsiaTheme="majorEastAsia" w:cstheme="majorEastAsia"/>
                <w:b/>
                <w:bCs/>
                <w:color w:val="auto"/>
                <w:sz w:val="24"/>
                <w:szCs w:val="22"/>
                <w:highlight w:val="none"/>
              </w:rPr>
              <w:t>服务承诺、质量保证等（</w:t>
            </w:r>
            <w:r>
              <w:rPr>
                <w:rFonts w:hint="eastAsia" w:asciiTheme="majorEastAsia" w:hAnsiTheme="majorEastAsia" w:eastAsiaTheme="majorEastAsia" w:cstheme="majorEastAsia"/>
                <w:b/>
                <w:bCs/>
                <w:color w:val="auto"/>
                <w:sz w:val="24"/>
                <w:szCs w:val="22"/>
                <w:highlight w:val="none"/>
                <w:lang w:val="en-US" w:eastAsia="zh-CN"/>
              </w:rPr>
              <w:t>6</w:t>
            </w:r>
            <w:r>
              <w:rPr>
                <w:rFonts w:hint="eastAsia" w:asciiTheme="majorEastAsia" w:hAnsiTheme="majorEastAsia" w:eastAsiaTheme="majorEastAsia" w:cstheme="majorEastAsia"/>
                <w:b/>
                <w:bCs/>
                <w:color w:val="auto"/>
                <w:sz w:val="24"/>
                <w:szCs w:val="22"/>
                <w:highlight w:val="none"/>
              </w:rPr>
              <w:t>分）</w:t>
            </w:r>
          </w:p>
          <w:p w14:paraId="3B1B2574">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服务承诺及质量保证完成满足采购人要求的，得</w:t>
            </w:r>
            <w:r>
              <w:rPr>
                <w:rFonts w:hint="eastAsia" w:asciiTheme="majorEastAsia" w:hAnsiTheme="majorEastAsia" w:eastAsiaTheme="majorEastAsia" w:cstheme="majorEastAsia"/>
                <w:color w:val="auto"/>
                <w:sz w:val="24"/>
                <w:szCs w:val="22"/>
                <w:highlight w:val="none"/>
                <w:lang w:val="en-US" w:eastAsia="zh-CN"/>
              </w:rPr>
              <w:t>6</w:t>
            </w:r>
            <w:r>
              <w:rPr>
                <w:rFonts w:hint="eastAsia" w:asciiTheme="majorEastAsia" w:hAnsiTheme="majorEastAsia" w:eastAsiaTheme="majorEastAsia" w:cstheme="majorEastAsia"/>
                <w:color w:val="auto"/>
                <w:sz w:val="24"/>
                <w:szCs w:val="22"/>
                <w:highlight w:val="none"/>
              </w:rPr>
              <w:t>分；服务承诺及质量保证基本符合要求的，得3分；服务承诺及质量保证与本次服务项目不相符合的，得1分；未提供不得分。</w:t>
            </w:r>
          </w:p>
          <w:p w14:paraId="5267CEA4">
            <w:pPr>
              <w:jc w:val="left"/>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5</w:t>
            </w:r>
            <w:r>
              <w:rPr>
                <w:rFonts w:hint="eastAsia" w:asciiTheme="majorEastAsia" w:hAnsiTheme="majorEastAsia" w:eastAsiaTheme="majorEastAsia" w:cstheme="majorEastAsia"/>
                <w:b/>
                <w:bCs/>
                <w:color w:val="auto"/>
                <w:sz w:val="24"/>
                <w:szCs w:val="22"/>
                <w:highlight w:val="none"/>
                <w:lang w:eastAsia="zh-CN"/>
              </w:rPr>
              <w:t>.</w:t>
            </w:r>
            <w:r>
              <w:rPr>
                <w:rFonts w:hint="eastAsia" w:asciiTheme="majorEastAsia" w:hAnsiTheme="majorEastAsia" w:eastAsiaTheme="majorEastAsia" w:cstheme="majorEastAsia"/>
                <w:b/>
                <w:bCs/>
                <w:color w:val="auto"/>
                <w:sz w:val="24"/>
                <w:szCs w:val="22"/>
                <w:highlight w:val="none"/>
              </w:rPr>
              <w:t>增值服务（</w:t>
            </w:r>
            <w:r>
              <w:rPr>
                <w:rFonts w:hint="eastAsia" w:asciiTheme="majorEastAsia" w:hAnsiTheme="majorEastAsia" w:eastAsiaTheme="majorEastAsia" w:cstheme="majorEastAsia"/>
                <w:b/>
                <w:bCs/>
                <w:color w:val="auto"/>
                <w:sz w:val="24"/>
                <w:szCs w:val="22"/>
                <w:highlight w:val="none"/>
                <w:lang w:val="en-US" w:eastAsia="zh-CN"/>
              </w:rPr>
              <w:t>6</w:t>
            </w:r>
            <w:r>
              <w:rPr>
                <w:rFonts w:hint="eastAsia" w:asciiTheme="majorEastAsia" w:hAnsiTheme="majorEastAsia" w:eastAsiaTheme="majorEastAsia" w:cstheme="majorEastAsia"/>
                <w:b/>
                <w:bCs/>
                <w:color w:val="auto"/>
                <w:sz w:val="24"/>
                <w:szCs w:val="22"/>
                <w:highlight w:val="none"/>
              </w:rPr>
              <w:t>分）</w:t>
            </w:r>
          </w:p>
          <w:p w14:paraId="7C4AB4E9">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投标人自行提供能为医院提供除招标文件要求以外的增值服务。评委根据投标文件的增值服务的科学合理性等综合打分。</w:t>
            </w:r>
          </w:p>
          <w:p w14:paraId="20A93331">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lang w:eastAsia="zh-CN"/>
              </w:rPr>
              <w:t>（</w:t>
            </w:r>
            <w:r>
              <w:rPr>
                <w:rFonts w:hint="eastAsia" w:asciiTheme="majorEastAsia" w:hAnsiTheme="majorEastAsia" w:eastAsiaTheme="majorEastAsia" w:cstheme="majorEastAsia"/>
                <w:color w:val="auto"/>
                <w:sz w:val="24"/>
                <w:szCs w:val="22"/>
                <w:highlight w:val="none"/>
                <w:lang w:val="en-US" w:eastAsia="zh-CN"/>
              </w:rPr>
              <w:t>1</w:t>
            </w:r>
            <w:r>
              <w:rPr>
                <w:rFonts w:hint="eastAsia" w:asciiTheme="majorEastAsia" w:hAnsiTheme="majorEastAsia" w:eastAsiaTheme="majorEastAsia" w:cstheme="majorEastAsia"/>
                <w:color w:val="auto"/>
                <w:sz w:val="24"/>
                <w:szCs w:val="22"/>
                <w:highlight w:val="none"/>
                <w:lang w:eastAsia="zh-CN"/>
              </w:rPr>
              <w:t>）</w:t>
            </w:r>
            <w:r>
              <w:rPr>
                <w:rFonts w:hint="eastAsia" w:asciiTheme="majorEastAsia" w:hAnsiTheme="majorEastAsia" w:eastAsiaTheme="majorEastAsia" w:cstheme="majorEastAsia"/>
                <w:color w:val="auto"/>
                <w:sz w:val="24"/>
                <w:szCs w:val="22"/>
                <w:highlight w:val="none"/>
              </w:rPr>
              <w:t>增值服务方案实施细节方案全面、完善，全面、科学、完整性高的得</w:t>
            </w:r>
            <w:r>
              <w:rPr>
                <w:rFonts w:hint="eastAsia" w:asciiTheme="majorEastAsia" w:hAnsiTheme="majorEastAsia" w:eastAsiaTheme="majorEastAsia" w:cstheme="majorEastAsia"/>
                <w:color w:val="auto"/>
                <w:sz w:val="24"/>
                <w:szCs w:val="22"/>
                <w:highlight w:val="none"/>
                <w:lang w:val="en-US" w:eastAsia="zh-CN"/>
              </w:rPr>
              <w:t>6</w:t>
            </w:r>
            <w:r>
              <w:rPr>
                <w:rFonts w:hint="eastAsia" w:asciiTheme="majorEastAsia" w:hAnsiTheme="majorEastAsia" w:eastAsiaTheme="majorEastAsia" w:cstheme="majorEastAsia"/>
                <w:color w:val="auto"/>
                <w:sz w:val="24"/>
                <w:szCs w:val="22"/>
                <w:highlight w:val="none"/>
              </w:rPr>
              <w:t>分；</w:t>
            </w:r>
          </w:p>
          <w:p w14:paraId="3F3B384C">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lang w:eastAsia="zh-CN"/>
              </w:rPr>
              <w:t>（</w:t>
            </w:r>
            <w:r>
              <w:rPr>
                <w:rFonts w:hint="eastAsia" w:asciiTheme="majorEastAsia" w:hAnsiTheme="majorEastAsia" w:eastAsiaTheme="majorEastAsia" w:cstheme="majorEastAsia"/>
                <w:color w:val="auto"/>
                <w:sz w:val="24"/>
                <w:szCs w:val="22"/>
                <w:highlight w:val="none"/>
                <w:lang w:val="en-US" w:eastAsia="zh-CN"/>
              </w:rPr>
              <w:t>2</w:t>
            </w:r>
            <w:r>
              <w:rPr>
                <w:rFonts w:hint="eastAsia" w:asciiTheme="majorEastAsia" w:hAnsiTheme="majorEastAsia" w:eastAsiaTheme="majorEastAsia" w:cstheme="majorEastAsia"/>
                <w:color w:val="auto"/>
                <w:sz w:val="24"/>
                <w:szCs w:val="22"/>
                <w:highlight w:val="none"/>
                <w:lang w:eastAsia="zh-CN"/>
              </w:rPr>
              <w:t>）</w:t>
            </w:r>
            <w:r>
              <w:rPr>
                <w:rFonts w:hint="eastAsia" w:asciiTheme="majorEastAsia" w:hAnsiTheme="majorEastAsia" w:eastAsiaTheme="majorEastAsia" w:cstheme="majorEastAsia"/>
                <w:color w:val="auto"/>
                <w:sz w:val="24"/>
                <w:szCs w:val="22"/>
                <w:highlight w:val="none"/>
              </w:rPr>
              <w:t>方案实施细节、服务内容、服务承诺等方案较全面、较完善，具有一定的全面、科学、完整性，但可行性相对较差得3分；</w:t>
            </w:r>
          </w:p>
          <w:p w14:paraId="68C1549F">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lang w:eastAsia="zh-CN"/>
              </w:rPr>
              <w:t>（</w:t>
            </w:r>
            <w:r>
              <w:rPr>
                <w:rFonts w:hint="eastAsia" w:asciiTheme="majorEastAsia" w:hAnsiTheme="majorEastAsia" w:eastAsiaTheme="majorEastAsia" w:cstheme="majorEastAsia"/>
                <w:color w:val="auto"/>
                <w:sz w:val="24"/>
                <w:szCs w:val="22"/>
                <w:highlight w:val="none"/>
                <w:lang w:val="en-US" w:eastAsia="zh-CN"/>
              </w:rPr>
              <w:t>3</w:t>
            </w:r>
            <w:r>
              <w:rPr>
                <w:rFonts w:hint="eastAsia" w:asciiTheme="majorEastAsia" w:hAnsiTheme="majorEastAsia" w:eastAsiaTheme="majorEastAsia" w:cstheme="majorEastAsia"/>
                <w:color w:val="auto"/>
                <w:sz w:val="24"/>
                <w:szCs w:val="22"/>
                <w:highlight w:val="none"/>
                <w:lang w:eastAsia="zh-CN"/>
              </w:rPr>
              <w:t>）</w:t>
            </w:r>
            <w:r>
              <w:rPr>
                <w:rFonts w:hint="eastAsia" w:asciiTheme="majorEastAsia" w:hAnsiTheme="majorEastAsia" w:eastAsiaTheme="majorEastAsia" w:cstheme="majorEastAsia"/>
                <w:color w:val="auto"/>
                <w:sz w:val="24"/>
                <w:szCs w:val="22"/>
                <w:highlight w:val="none"/>
              </w:rPr>
              <w:t>方案实施细节、服务内容、服务承诺等方案不详细，或不完善，全面、科学、完整性较差，不具备可行性的得1分；</w:t>
            </w:r>
          </w:p>
          <w:p w14:paraId="62C6C833">
            <w:pPr>
              <w:jc w:val="left"/>
              <w:rPr>
                <w:rFonts w:hint="eastAsia" w:asciiTheme="majorEastAsia" w:hAnsiTheme="majorEastAsia" w:eastAsiaTheme="majorEastAsia" w:cstheme="majorEastAsia"/>
                <w:color w:val="auto"/>
                <w:sz w:val="24"/>
                <w:szCs w:val="22"/>
                <w:highlight w:val="none"/>
                <w:lang w:eastAsia="zh-CN"/>
              </w:rPr>
            </w:pPr>
            <w:r>
              <w:rPr>
                <w:rFonts w:hint="eastAsia" w:asciiTheme="majorEastAsia" w:hAnsiTheme="majorEastAsia" w:eastAsiaTheme="majorEastAsia" w:cstheme="majorEastAsia"/>
                <w:color w:val="auto"/>
                <w:sz w:val="24"/>
                <w:szCs w:val="22"/>
                <w:highlight w:val="none"/>
                <w:lang w:eastAsia="zh-CN"/>
              </w:rPr>
              <w:t>（</w:t>
            </w:r>
            <w:r>
              <w:rPr>
                <w:rFonts w:hint="eastAsia" w:asciiTheme="majorEastAsia" w:hAnsiTheme="majorEastAsia" w:eastAsiaTheme="majorEastAsia" w:cstheme="majorEastAsia"/>
                <w:color w:val="auto"/>
                <w:sz w:val="24"/>
                <w:szCs w:val="22"/>
                <w:highlight w:val="none"/>
                <w:lang w:val="en-US" w:eastAsia="zh-CN"/>
              </w:rPr>
              <w:t>4</w:t>
            </w:r>
            <w:r>
              <w:rPr>
                <w:rFonts w:hint="eastAsia" w:asciiTheme="majorEastAsia" w:hAnsiTheme="majorEastAsia" w:eastAsiaTheme="majorEastAsia" w:cstheme="majorEastAsia"/>
                <w:color w:val="auto"/>
                <w:sz w:val="24"/>
                <w:szCs w:val="22"/>
                <w:highlight w:val="none"/>
                <w:lang w:eastAsia="zh-CN"/>
              </w:rPr>
              <w:t>）</w:t>
            </w:r>
            <w:r>
              <w:rPr>
                <w:rFonts w:hint="eastAsia" w:asciiTheme="majorEastAsia" w:hAnsiTheme="majorEastAsia" w:eastAsiaTheme="majorEastAsia" w:cstheme="majorEastAsia"/>
                <w:color w:val="auto"/>
                <w:sz w:val="24"/>
                <w:szCs w:val="22"/>
                <w:highlight w:val="none"/>
              </w:rPr>
              <w:t>方案不具备可行性，或未提供方案的不得分</w:t>
            </w:r>
            <w:r>
              <w:rPr>
                <w:rFonts w:hint="eastAsia" w:asciiTheme="majorEastAsia" w:hAnsiTheme="majorEastAsia" w:eastAsiaTheme="majorEastAsia" w:cstheme="majorEastAsia"/>
                <w:color w:val="auto"/>
                <w:sz w:val="24"/>
                <w:szCs w:val="22"/>
                <w:highlight w:val="none"/>
                <w:lang w:eastAsia="zh-CN"/>
              </w:rPr>
              <w:t>。</w:t>
            </w:r>
          </w:p>
        </w:tc>
        <w:tc>
          <w:tcPr>
            <w:tcW w:w="864" w:type="dxa"/>
            <w:tcBorders>
              <w:top w:val="single" w:color="auto" w:sz="4" w:space="0"/>
              <w:left w:val="single" w:color="auto" w:sz="4" w:space="0"/>
              <w:bottom w:val="single" w:color="auto" w:sz="4" w:space="0"/>
              <w:right w:val="single" w:color="auto" w:sz="4" w:space="0"/>
            </w:tcBorders>
            <w:vAlign w:val="center"/>
          </w:tcPr>
          <w:p w14:paraId="100F4F7F">
            <w:pPr>
              <w:jc w:val="center"/>
              <w:rPr>
                <w:rFonts w:hint="default" w:asciiTheme="majorEastAsia" w:hAnsiTheme="majorEastAsia" w:eastAsiaTheme="majorEastAsia" w:cstheme="majorEastAsia"/>
                <w:color w:val="auto"/>
                <w:sz w:val="24"/>
                <w:szCs w:val="22"/>
                <w:highlight w:val="none"/>
                <w:lang w:val="en-US" w:eastAsia="zh-CN"/>
              </w:rPr>
            </w:pPr>
            <w:r>
              <w:rPr>
                <w:rFonts w:hint="eastAsia" w:asciiTheme="majorEastAsia" w:hAnsiTheme="majorEastAsia" w:eastAsiaTheme="majorEastAsia" w:cstheme="majorEastAsia"/>
                <w:color w:val="auto"/>
                <w:sz w:val="24"/>
                <w:szCs w:val="22"/>
                <w:highlight w:val="none"/>
                <w:lang w:val="en-US" w:eastAsia="zh-CN"/>
              </w:rPr>
              <w:t>30</w:t>
            </w:r>
          </w:p>
        </w:tc>
      </w:tr>
      <w:tr w14:paraId="13D3BE8A">
        <w:tblPrEx>
          <w:tblCellMar>
            <w:top w:w="0" w:type="dxa"/>
            <w:left w:w="108" w:type="dxa"/>
            <w:bottom w:w="0" w:type="dxa"/>
            <w:right w:w="108" w:type="dxa"/>
          </w:tblCellMar>
        </w:tblPrEx>
        <w:trPr>
          <w:trHeight w:val="1866" w:hRule="atLeast"/>
        </w:trPr>
        <w:tc>
          <w:tcPr>
            <w:tcW w:w="1320" w:type="dxa"/>
            <w:tcBorders>
              <w:top w:val="single" w:color="auto" w:sz="4" w:space="0"/>
              <w:left w:val="single" w:color="auto" w:sz="4" w:space="0"/>
              <w:bottom w:val="single" w:color="auto" w:sz="4" w:space="0"/>
              <w:right w:val="single" w:color="auto" w:sz="4" w:space="0"/>
            </w:tcBorders>
            <w:vAlign w:val="center"/>
          </w:tcPr>
          <w:p w14:paraId="4B47894C">
            <w:pPr>
              <w:jc w:val="center"/>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应急预案</w:t>
            </w:r>
          </w:p>
        </w:tc>
        <w:tc>
          <w:tcPr>
            <w:tcW w:w="7356" w:type="dxa"/>
            <w:tcBorders>
              <w:top w:val="single" w:color="auto" w:sz="4" w:space="0"/>
              <w:left w:val="single" w:color="auto" w:sz="4" w:space="0"/>
              <w:bottom w:val="single" w:color="auto" w:sz="4" w:space="0"/>
              <w:right w:val="single" w:color="auto" w:sz="4" w:space="0"/>
            </w:tcBorders>
            <w:vAlign w:val="center"/>
          </w:tcPr>
          <w:p w14:paraId="6A47D5F7">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根据各投标人针对本项目可能发生的突发事件制定的应急预案进行综合评审。投标人承诺发生突发应急事件时</w:t>
            </w:r>
            <w:r>
              <w:rPr>
                <w:rFonts w:hint="eastAsia" w:asciiTheme="majorEastAsia" w:hAnsiTheme="majorEastAsia" w:eastAsiaTheme="majorEastAsia" w:cstheme="majorEastAsia"/>
                <w:color w:val="auto"/>
                <w:sz w:val="24"/>
                <w:szCs w:val="22"/>
                <w:highlight w:val="none"/>
                <w:lang w:val="en-US" w:eastAsia="zh-CN"/>
              </w:rPr>
              <w:t>在短时间</w:t>
            </w:r>
            <w:r>
              <w:rPr>
                <w:rFonts w:hint="eastAsia" w:asciiTheme="majorEastAsia" w:hAnsiTheme="majorEastAsia" w:eastAsiaTheme="majorEastAsia" w:cstheme="majorEastAsia"/>
                <w:color w:val="auto"/>
                <w:sz w:val="24"/>
                <w:szCs w:val="22"/>
                <w:highlight w:val="none"/>
              </w:rPr>
              <w:t>内</w:t>
            </w:r>
            <w:r>
              <w:rPr>
                <w:rFonts w:hint="eastAsia" w:asciiTheme="majorEastAsia" w:hAnsiTheme="majorEastAsia" w:eastAsiaTheme="majorEastAsia" w:cstheme="majorEastAsia"/>
                <w:color w:val="auto"/>
                <w:sz w:val="24"/>
                <w:szCs w:val="22"/>
                <w:highlight w:val="none"/>
                <w:lang w:val="en-US" w:eastAsia="zh-CN"/>
              </w:rPr>
              <w:t>能</w:t>
            </w:r>
            <w:r>
              <w:rPr>
                <w:rFonts w:hint="eastAsia" w:asciiTheme="majorEastAsia" w:hAnsiTheme="majorEastAsia" w:eastAsiaTheme="majorEastAsia" w:cstheme="majorEastAsia"/>
                <w:color w:val="auto"/>
                <w:sz w:val="24"/>
                <w:szCs w:val="22"/>
                <w:highlight w:val="none"/>
              </w:rPr>
              <w:t>调动</w:t>
            </w:r>
            <w:r>
              <w:rPr>
                <w:rFonts w:hint="eastAsia" w:asciiTheme="majorEastAsia" w:hAnsiTheme="majorEastAsia" w:eastAsiaTheme="majorEastAsia" w:cstheme="majorEastAsia"/>
                <w:color w:val="auto"/>
                <w:sz w:val="24"/>
                <w:szCs w:val="22"/>
                <w:highlight w:val="none"/>
                <w:lang w:val="en-US" w:eastAsia="zh-CN"/>
              </w:rPr>
              <w:t>公司其他</w:t>
            </w:r>
            <w:r>
              <w:rPr>
                <w:rFonts w:hint="eastAsia" w:asciiTheme="majorEastAsia" w:hAnsiTheme="majorEastAsia" w:eastAsiaTheme="majorEastAsia" w:cstheme="majorEastAsia"/>
                <w:color w:val="auto"/>
                <w:sz w:val="24"/>
                <w:szCs w:val="22"/>
                <w:highlight w:val="none"/>
              </w:rPr>
              <w:t>安保人员协助处理突发事件。</w:t>
            </w:r>
          </w:p>
          <w:p w14:paraId="541E3ACB">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应急预案全面、完整，整体优秀、可行性强的得5分</w:t>
            </w:r>
            <w:r>
              <w:rPr>
                <w:rFonts w:hint="eastAsia" w:asciiTheme="majorEastAsia" w:hAnsiTheme="majorEastAsia" w:eastAsiaTheme="majorEastAsia" w:cstheme="majorEastAsia"/>
                <w:color w:val="auto"/>
                <w:sz w:val="24"/>
                <w:szCs w:val="22"/>
                <w:highlight w:val="none"/>
                <w:lang w:eastAsia="zh-CN"/>
              </w:rPr>
              <w:t>；</w:t>
            </w:r>
            <w:r>
              <w:rPr>
                <w:rFonts w:hint="eastAsia" w:asciiTheme="majorEastAsia" w:hAnsiTheme="majorEastAsia" w:eastAsiaTheme="majorEastAsia" w:cstheme="majorEastAsia"/>
                <w:color w:val="auto"/>
                <w:sz w:val="24"/>
                <w:szCs w:val="22"/>
                <w:highlight w:val="none"/>
              </w:rPr>
              <w:t>应急预案较全面、完整，整体良好、可行性较强的得3分</w:t>
            </w:r>
            <w:r>
              <w:rPr>
                <w:rFonts w:hint="eastAsia" w:asciiTheme="majorEastAsia" w:hAnsiTheme="majorEastAsia" w:eastAsiaTheme="majorEastAsia" w:cstheme="majorEastAsia"/>
                <w:color w:val="auto"/>
                <w:sz w:val="24"/>
                <w:szCs w:val="22"/>
                <w:highlight w:val="none"/>
                <w:lang w:eastAsia="zh-CN"/>
              </w:rPr>
              <w:t>；</w:t>
            </w:r>
            <w:r>
              <w:rPr>
                <w:rFonts w:hint="eastAsia" w:asciiTheme="majorEastAsia" w:hAnsiTheme="majorEastAsia" w:eastAsiaTheme="majorEastAsia" w:cstheme="majorEastAsia"/>
                <w:color w:val="auto"/>
                <w:sz w:val="24"/>
                <w:szCs w:val="22"/>
                <w:highlight w:val="none"/>
              </w:rPr>
              <w:t>应急预案整体一般的得1分</w:t>
            </w:r>
            <w:r>
              <w:rPr>
                <w:rFonts w:hint="eastAsia" w:asciiTheme="majorEastAsia" w:hAnsiTheme="majorEastAsia" w:eastAsiaTheme="majorEastAsia" w:cstheme="majorEastAsia"/>
                <w:color w:val="auto"/>
                <w:sz w:val="24"/>
                <w:szCs w:val="22"/>
                <w:highlight w:val="none"/>
                <w:lang w:eastAsia="zh-CN"/>
              </w:rPr>
              <w:t>；</w:t>
            </w:r>
            <w:r>
              <w:rPr>
                <w:rFonts w:hint="eastAsia" w:asciiTheme="majorEastAsia" w:hAnsiTheme="majorEastAsia" w:eastAsiaTheme="majorEastAsia" w:cstheme="majorEastAsia"/>
                <w:color w:val="auto"/>
                <w:sz w:val="24"/>
                <w:szCs w:val="22"/>
                <w:highlight w:val="none"/>
              </w:rPr>
              <w:t>其他或未提供不得分。</w:t>
            </w:r>
          </w:p>
        </w:tc>
        <w:tc>
          <w:tcPr>
            <w:tcW w:w="864" w:type="dxa"/>
            <w:tcBorders>
              <w:top w:val="single" w:color="auto" w:sz="4" w:space="0"/>
              <w:left w:val="single" w:color="auto" w:sz="4" w:space="0"/>
              <w:bottom w:val="single" w:color="auto" w:sz="4" w:space="0"/>
              <w:right w:val="single" w:color="auto" w:sz="4" w:space="0"/>
            </w:tcBorders>
            <w:vAlign w:val="center"/>
          </w:tcPr>
          <w:p w14:paraId="483AC793">
            <w:pPr>
              <w:jc w:val="center"/>
              <w:rPr>
                <w:rFonts w:hint="eastAsia" w:asciiTheme="majorEastAsia" w:hAnsiTheme="majorEastAsia" w:eastAsiaTheme="majorEastAsia" w:cstheme="majorEastAsia"/>
                <w:color w:val="auto"/>
                <w:sz w:val="24"/>
                <w:szCs w:val="22"/>
                <w:highlight w:val="none"/>
                <w:lang w:eastAsia="zh-CN"/>
              </w:rPr>
            </w:pPr>
            <w:r>
              <w:rPr>
                <w:rFonts w:hint="eastAsia" w:asciiTheme="majorEastAsia" w:hAnsiTheme="majorEastAsia" w:eastAsiaTheme="majorEastAsia" w:cstheme="majorEastAsia"/>
                <w:color w:val="auto"/>
                <w:sz w:val="24"/>
                <w:szCs w:val="22"/>
                <w:highlight w:val="none"/>
                <w:lang w:val="en-US" w:eastAsia="zh-CN"/>
              </w:rPr>
              <w:t>5</w:t>
            </w:r>
          </w:p>
        </w:tc>
      </w:tr>
      <w:tr w14:paraId="53E84F29">
        <w:tblPrEx>
          <w:tblCellMar>
            <w:top w:w="0" w:type="dxa"/>
            <w:left w:w="108" w:type="dxa"/>
            <w:bottom w:w="0" w:type="dxa"/>
            <w:right w:w="108" w:type="dxa"/>
          </w:tblCellMar>
        </w:tblPrEx>
        <w:trPr>
          <w:trHeight w:val="1270" w:hRule="atLeast"/>
        </w:trPr>
        <w:tc>
          <w:tcPr>
            <w:tcW w:w="1320" w:type="dxa"/>
            <w:tcBorders>
              <w:top w:val="single" w:color="auto" w:sz="4" w:space="0"/>
              <w:left w:val="single" w:color="auto" w:sz="4" w:space="0"/>
              <w:bottom w:val="single" w:color="auto" w:sz="4" w:space="0"/>
              <w:right w:val="single" w:color="auto" w:sz="4" w:space="0"/>
            </w:tcBorders>
            <w:vAlign w:val="center"/>
          </w:tcPr>
          <w:p w14:paraId="5D8F2866">
            <w:pPr>
              <w:jc w:val="center"/>
              <w:rPr>
                <w:rFonts w:hint="eastAsia" w:asciiTheme="majorEastAsia" w:hAnsiTheme="majorEastAsia" w:eastAsiaTheme="majorEastAsia" w:cstheme="majorEastAsia"/>
                <w:b/>
                <w:bCs/>
                <w:color w:val="auto"/>
                <w:sz w:val="24"/>
                <w:szCs w:val="22"/>
                <w:highlight w:val="none"/>
              </w:rPr>
            </w:pPr>
            <w:r>
              <w:rPr>
                <w:rFonts w:hint="eastAsia" w:asciiTheme="majorEastAsia" w:hAnsiTheme="majorEastAsia" w:eastAsiaTheme="majorEastAsia" w:cstheme="majorEastAsia"/>
                <w:b/>
                <w:bCs/>
                <w:color w:val="auto"/>
                <w:sz w:val="24"/>
                <w:szCs w:val="22"/>
                <w:highlight w:val="none"/>
              </w:rPr>
              <w:t>履约能力</w:t>
            </w:r>
          </w:p>
          <w:p w14:paraId="359379E6">
            <w:pPr>
              <w:jc w:val="center"/>
              <w:rPr>
                <w:rFonts w:hint="eastAsia" w:asciiTheme="majorEastAsia" w:hAnsiTheme="majorEastAsia" w:eastAsiaTheme="majorEastAsia" w:cstheme="majorEastAsia"/>
                <w:b/>
                <w:bCs/>
                <w:color w:val="auto"/>
                <w:sz w:val="24"/>
                <w:szCs w:val="22"/>
                <w:highlight w:val="none"/>
              </w:rPr>
            </w:pPr>
          </w:p>
        </w:tc>
        <w:tc>
          <w:tcPr>
            <w:tcW w:w="7356" w:type="dxa"/>
            <w:tcBorders>
              <w:top w:val="single" w:color="auto" w:sz="4" w:space="0"/>
              <w:left w:val="single" w:color="auto" w:sz="4" w:space="0"/>
              <w:bottom w:val="single" w:color="auto" w:sz="4" w:space="0"/>
              <w:right w:val="single" w:color="auto" w:sz="4" w:space="0"/>
            </w:tcBorders>
            <w:vAlign w:val="center"/>
          </w:tcPr>
          <w:p w14:paraId="0E868AB4">
            <w:pPr>
              <w:jc w:val="left"/>
              <w:rPr>
                <w:rFonts w:hint="eastAsia" w:asciiTheme="majorEastAsia" w:hAnsiTheme="majorEastAsia" w:eastAsiaTheme="majorEastAsia" w:cstheme="majorEastAsia"/>
                <w:color w:val="auto"/>
                <w:sz w:val="24"/>
                <w:szCs w:val="22"/>
                <w:highlight w:val="none"/>
              </w:rPr>
            </w:pPr>
            <w:r>
              <w:rPr>
                <w:rFonts w:hint="eastAsia" w:asciiTheme="majorEastAsia" w:hAnsiTheme="majorEastAsia" w:eastAsiaTheme="majorEastAsia" w:cstheme="majorEastAsia"/>
                <w:color w:val="auto"/>
                <w:sz w:val="24"/>
                <w:szCs w:val="22"/>
                <w:highlight w:val="none"/>
              </w:rPr>
              <w:t>承诺购买相关保险（</w:t>
            </w:r>
            <w:r>
              <w:rPr>
                <w:rFonts w:hint="eastAsia" w:asciiTheme="majorEastAsia" w:hAnsiTheme="majorEastAsia" w:eastAsiaTheme="majorEastAsia" w:cstheme="majorEastAsia"/>
                <w:color w:val="auto"/>
                <w:sz w:val="24"/>
                <w:szCs w:val="22"/>
                <w:highlight w:val="none"/>
                <w:lang w:val="en-US" w:eastAsia="zh-CN"/>
              </w:rPr>
              <w:t>5</w:t>
            </w:r>
            <w:r>
              <w:rPr>
                <w:rFonts w:hint="eastAsia" w:asciiTheme="majorEastAsia" w:hAnsiTheme="majorEastAsia" w:eastAsiaTheme="majorEastAsia" w:cstheme="majorEastAsia"/>
                <w:color w:val="auto"/>
                <w:sz w:val="24"/>
                <w:szCs w:val="22"/>
                <w:highlight w:val="none"/>
              </w:rPr>
              <w:t>分）</w:t>
            </w:r>
          </w:p>
          <w:p w14:paraId="601A55B1">
            <w:pPr>
              <w:jc w:val="left"/>
              <w:rPr>
                <w:rFonts w:hint="eastAsia" w:asciiTheme="majorEastAsia" w:hAnsiTheme="majorEastAsia" w:eastAsiaTheme="majorEastAsia" w:cstheme="majorEastAsia"/>
                <w:color w:val="auto"/>
                <w:sz w:val="24"/>
                <w:szCs w:val="22"/>
                <w:highlight w:val="none"/>
                <w:lang w:eastAsia="zh-CN"/>
              </w:rPr>
            </w:pPr>
            <w:r>
              <w:rPr>
                <w:rFonts w:hint="eastAsia" w:asciiTheme="majorEastAsia" w:hAnsiTheme="majorEastAsia" w:eastAsiaTheme="majorEastAsia" w:cstheme="majorEastAsia"/>
                <w:color w:val="auto"/>
                <w:sz w:val="24"/>
                <w:szCs w:val="22"/>
                <w:highlight w:val="none"/>
              </w:rPr>
              <w:t>投标人承诺中标后购买公众责任险（第三者意外险）或雇主责任险</w:t>
            </w:r>
            <w:r>
              <w:rPr>
                <w:rFonts w:hint="eastAsia" w:asciiTheme="majorEastAsia" w:hAnsiTheme="majorEastAsia" w:eastAsiaTheme="majorEastAsia" w:cstheme="majorEastAsia"/>
                <w:color w:val="auto"/>
                <w:sz w:val="24"/>
                <w:szCs w:val="22"/>
                <w:highlight w:val="none"/>
                <w:lang w:eastAsia="zh-CN"/>
              </w:rPr>
              <w:t>的</w:t>
            </w:r>
            <w:r>
              <w:rPr>
                <w:rFonts w:hint="eastAsia" w:asciiTheme="majorEastAsia" w:hAnsiTheme="majorEastAsia" w:eastAsiaTheme="majorEastAsia" w:cstheme="majorEastAsia"/>
                <w:color w:val="auto"/>
                <w:sz w:val="24"/>
                <w:szCs w:val="22"/>
                <w:highlight w:val="none"/>
              </w:rPr>
              <w:t>得</w:t>
            </w:r>
            <w:r>
              <w:rPr>
                <w:rFonts w:hint="eastAsia" w:asciiTheme="majorEastAsia" w:hAnsiTheme="majorEastAsia" w:eastAsiaTheme="majorEastAsia" w:cstheme="majorEastAsia"/>
                <w:color w:val="auto"/>
                <w:sz w:val="24"/>
                <w:szCs w:val="22"/>
                <w:highlight w:val="none"/>
                <w:lang w:val="en-US" w:eastAsia="zh-CN"/>
              </w:rPr>
              <w:t>5</w:t>
            </w:r>
            <w:r>
              <w:rPr>
                <w:rFonts w:hint="eastAsia" w:asciiTheme="majorEastAsia" w:hAnsiTheme="majorEastAsia" w:eastAsiaTheme="majorEastAsia" w:cstheme="majorEastAsia"/>
                <w:color w:val="auto"/>
                <w:sz w:val="24"/>
                <w:szCs w:val="22"/>
                <w:highlight w:val="none"/>
              </w:rPr>
              <w:t>分</w:t>
            </w:r>
            <w:r>
              <w:rPr>
                <w:rFonts w:hint="eastAsia" w:asciiTheme="majorEastAsia" w:hAnsiTheme="majorEastAsia" w:eastAsiaTheme="majorEastAsia" w:cstheme="majorEastAsia"/>
                <w:color w:val="auto"/>
                <w:sz w:val="24"/>
                <w:szCs w:val="22"/>
                <w:highlight w:val="none"/>
                <w:lang w:eastAsia="zh-CN"/>
              </w:rPr>
              <w:t>。</w:t>
            </w:r>
          </w:p>
          <w:p w14:paraId="5FE9F565">
            <w:pPr>
              <w:jc w:val="left"/>
              <w:rPr>
                <w:rFonts w:hint="eastAsia" w:asciiTheme="majorEastAsia" w:hAnsiTheme="majorEastAsia" w:eastAsiaTheme="majorEastAsia" w:cstheme="majorEastAsia"/>
                <w:color w:val="auto"/>
                <w:sz w:val="24"/>
                <w:szCs w:val="22"/>
                <w:highlight w:val="none"/>
                <w:lang w:val="en-US" w:eastAsia="zh-CN"/>
              </w:rPr>
            </w:pPr>
            <w:r>
              <w:rPr>
                <w:rFonts w:hint="eastAsia" w:asciiTheme="majorEastAsia" w:hAnsiTheme="majorEastAsia" w:eastAsiaTheme="majorEastAsia" w:cstheme="majorEastAsia"/>
                <w:b/>
                <w:bCs/>
                <w:color w:val="auto"/>
                <w:sz w:val="24"/>
                <w:szCs w:val="22"/>
                <w:highlight w:val="none"/>
              </w:rPr>
              <w:t>注：</w:t>
            </w:r>
            <w:r>
              <w:rPr>
                <w:rFonts w:hint="eastAsia" w:asciiTheme="majorEastAsia" w:hAnsiTheme="majorEastAsia" w:eastAsiaTheme="majorEastAsia" w:cstheme="majorEastAsia"/>
                <w:b/>
                <w:bCs/>
                <w:color w:val="auto"/>
                <w:sz w:val="24"/>
                <w:szCs w:val="22"/>
                <w:highlight w:val="none"/>
                <w:lang w:val="en-US" w:eastAsia="zh-CN"/>
              </w:rPr>
              <w:t>提供承诺书加盖公章。</w:t>
            </w:r>
          </w:p>
        </w:tc>
        <w:tc>
          <w:tcPr>
            <w:tcW w:w="864" w:type="dxa"/>
            <w:tcBorders>
              <w:top w:val="single" w:color="auto" w:sz="4" w:space="0"/>
              <w:left w:val="single" w:color="auto" w:sz="4" w:space="0"/>
              <w:bottom w:val="single" w:color="auto" w:sz="4" w:space="0"/>
              <w:right w:val="single" w:color="auto" w:sz="4" w:space="0"/>
            </w:tcBorders>
            <w:vAlign w:val="center"/>
          </w:tcPr>
          <w:p w14:paraId="33C6B29D">
            <w:pPr>
              <w:jc w:val="center"/>
              <w:rPr>
                <w:rFonts w:hint="eastAsia" w:asciiTheme="majorEastAsia" w:hAnsiTheme="majorEastAsia" w:eastAsiaTheme="majorEastAsia" w:cstheme="majorEastAsia"/>
                <w:color w:val="auto"/>
                <w:sz w:val="24"/>
                <w:szCs w:val="22"/>
                <w:highlight w:val="none"/>
                <w:lang w:eastAsia="zh-CN"/>
              </w:rPr>
            </w:pPr>
            <w:r>
              <w:rPr>
                <w:rFonts w:hint="eastAsia" w:asciiTheme="majorEastAsia" w:hAnsiTheme="majorEastAsia" w:eastAsiaTheme="majorEastAsia" w:cstheme="majorEastAsia"/>
                <w:color w:val="auto"/>
                <w:sz w:val="24"/>
                <w:szCs w:val="22"/>
                <w:highlight w:val="none"/>
                <w:lang w:val="en-US" w:eastAsia="zh-CN"/>
              </w:rPr>
              <w:t>5</w:t>
            </w:r>
          </w:p>
        </w:tc>
      </w:tr>
      <w:bookmarkEnd w:id="73"/>
    </w:tbl>
    <w:p w14:paraId="72268B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注：1.以上评分标准中每一条，各</w:t>
      </w:r>
      <w:r>
        <w:rPr>
          <w:rFonts w:hint="eastAsia" w:ascii="宋体" w:hAnsi="宋体" w:cs="宋体"/>
          <w:b w:val="0"/>
          <w:bCs w:val="0"/>
          <w:color w:val="auto"/>
          <w:sz w:val="24"/>
          <w:szCs w:val="28"/>
          <w:highlight w:val="none"/>
          <w:lang w:val="en-US" w:eastAsia="zh-CN"/>
        </w:rPr>
        <w:t>投标</w:t>
      </w:r>
      <w:r>
        <w:rPr>
          <w:rFonts w:hint="eastAsia" w:ascii="宋体" w:hAnsi="宋体" w:eastAsia="宋体" w:cs="宋体"/>
          <w:b w:val="0"/>
          <w:bCs w:val="0"/>
          <w:color w:val="auto"/>
          <w:sz w:val="24"/>
          <w:szCs w:val="28"/>
          <w:highlight w:val="none"/>
        </w:rPr>
        <w:t>供应商均应提供相关的资料并作出相应的对比供评分评判。</w:t>
      </w:r>
    </w:p>
    <w:p w14:paraId="61FEBB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2.</w:t>
      </w:r>
      <w:r>
        <w:rPr>
          <w:rFonts w:hint="eastAsia" w:ascii="宋体" w:hAnsi="宋体" w:eastAsia="宋体" w:cs="宋体"/>
          <w:b w:val="0"/>
          <w:bCs w:val="0"/>
          <w:color w:val="auto"/>
          <w:sz w:val="24"/>
          <w:szCs w:val="28"/>
          <w:highlight w:val="none"/>
          <w:lang w:val="en-US" w:eastAsia="zh-CN"/>
        </w:rPr>
        <w:t>投标</w:t>
      </w:r>
      <w:r>
        <w:rPr>
          <w:rFonts w:hint="eastAsia" w:ascii="宋体" w:hAnsi="宋体" w:eastAsia="宋体" w:cs="宋体"/>
          <w:b w:val="0"/>
          <w:bCs w:val="0"/>
          <w:color w:val="auto"/>
          <w:sz w:val="24"/>
          <w:szCs w:val="28"/>
          <w:highlight w:val="none"/>
        </w:rPr>
        <w:t>文件中如出现前后不一致时，</w:t>
      </w:r>
      <w:r>
        <w:rPr>
          <w:rFonts w:hint="eastAsia" w:ascii="宋体" w:hAnsi="宋体" w:eastAsia="宋体" w:cs="宋体"/>
          <w:color w:val="auto"/>
          <w:sz w:val="24"/>
          <w:szCs w:val="24"/>
          <w:highlight w:val="none"/>
        </w:rPr>
        <w:t>评标委员会</w:t>
      </w:r>
      <w:r>
        <w:rPr>
          <w:rFonts w:hint="eastAsia" w:ascii="宋体" w:hAnsi="宋体" w:eastAsia="宋体" w:cs="宋体"/>
          <w:b w:val="0"/>
          <w:bCs w:val="0"/>
          <w:color w:val="auto"/>
          <w:sz w:val="24"/>
          <w:szCs w:val="28"/>
          <w:highlight w:val="none"/>
        </w:rPr>
        <w:t>有权请供应商澄清说明，澄清说明事项涉及评分时，该项不得分。</w:t>
      </w:r>
    </w:p>
    <w:p w14:paraId="45891D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3.</w:t>
      </w:r>
      <w:r>
        <w:rPr>
          <w:rFonts w:hint="eastAsia" w:ascii="宋体" w:hAnsi="宋体" w:cs="宋体"/>
          <w:b w:val="0"/>
          <w:bCs w:val="0"/>
          <w:color w:val="auto"/>
          <w:sz w:val="24"/>
          <w:szCs w:val="28"/>
          <w:highlight w:val="none"/>
          <w:lang w:val="en-US" w:eastAsia="zh-CN"/>
        </w:rPr>
        <w:t>投标</w:t>
      </w:r>
      <w:r>
        <w:rPr>
          <w:rFonts w:hint="eastAsia" w:ascii="宋体" w:hAnsi="宋体" w:eastAsia="宋体" w:cs="宋体"/>
          <w:b w:val="0"/>
          <w:bCs w:val="0"/>
          <w:color w:val="auto"/>
          <w:sz w:val="24"/>
          <w:szCs w:val="28"/>
          <w:highlight w:val="none"/>
        </w:rPr>
        <w:t>供应商承诺所提供的商务、技术、业绩资料全部真实，如有伪造，视作</w:t>
      </w:r>
      <w:r>
        <w:rPr>
          <w:rFonts w:hint="eastAsia" w:ascii="宋体" w:hAnsi="宋体" w:cs="宋体"/>
          <w:b w:val="0"/>
          <w:bCs w:val="0"/>
          <w:color w:val="auto"/>
          <w:sz w:val="24"/>
          <w:szCs w:val="28"/>
          <w:highlight w:val="none"/>
          <w:lang w:val="en-US" w:eastAsia="zh-CN"/>
        </w:rPr>
        <w:t>投标</w:t>
      </w:r>
      <w:r>
        <w:rPr>
          <w:rFonts w:hint="eastAsia" w:ascii="宋体" w:hAnsi="宋体" w:eastAsia="宋体" w:cs="宋体"/>
          <w:b w:val="0"/>
          <w:bCs w:val="0"/>
          <w:color w:val="auto"/>
          <w:sz w:val="24"/>
          <w:szCs w:val="28"/>
          <w:highlight w:val="none"/>
        </w:rPr>
        <w:t>供应商自动放弃投标及</w:t>
      </w:r>
      <w:r>
        <w:rPr>
          <w:rFonts w:hint="eastAsia" w:ascii="宋体" w:hAnsi="宋体" w:eastAsia="宋体" w:cs="宋体"/>
          <w:b w:val="0"/>
          <w:bCs w:val="0"/>
          <w:color w:val="auto"/>
          <w:sz w:val="24"/>
          <w:szCs w:val="28"/>
          <w:highlight w:val="none"/>
          <w:lang w:val="en-US" w:eastAsia="zh-CN"/>
        </w:rPr>
        <w:t>中标</w:t>
      </w:r>
      <w:r>
        <w:rPr>
          <w:rFonts w:hint="eastAsia" w:ascii="宋体" w:hAnsi="宋体" w:eastAsia="宋体" w:cs="宋体"/>
          <w:b w:val="0"/>
          <w:bCs w:val="0"/>
          <w:color w:val="auto"/>
          <w:sz w:val="24"/>
          <w:szCs w:val="28"/>
          <w:highlight w:val="none"/>
        </w:rPr>
        <w:t>资格，并视作供应商自愿接受相关处罚。</w:t>
      </w:r>
    </w:p>
    <w:p w14:paraId="2ED74C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4.</w:t>
      </w:r>
      <w:r>
        <w:rPr>
          <w:rFonts w:hint="eastAsia" w:ascii="宋体" w:hAnsi="宋体" w:eastAsia="宋体" w:cs="宋体"/>
          <w:b w:val="0"/>
          <w:bCs w:val="0"/>
          <w:color w:val="auto"/>
          <w:sz w:val="24"/>
          <w:szCs w:val="28"/>
          <w:highlight w:val="none"/>
          <w:lang w:val="en-US" w:eastAsia="zh-CN"/>
        </w:rPr>
        <w:t>投标</w:t>
      </w:r>
      <w:r>
        <w:rPr>
          <w:rFonts w:hint="eastAsia" w:ascii="宋体" w:hAnsi="宋体" w:eastAsia="宋体" w:cs="宋体"/>
          <w:b w:val="0"/>
          <w:bCs w:val="0"/>
          <w:color w:val="auto"/>
          <w:sz w:val="24"/>
          <w:szCs w:val="28"/>
          <w:highlight w:val="none"/>
        </w:rPr>
        <w:t>报价超过最高限价的，不得进入评标程序。</w:t>
      </w:r>
    </w:p>
    <w:p w14:paraId="288A94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5</w:t>
      </w:r>
      <w:r>
        <w:rPr>
          <w:rFonts w:hint="eastAsia" w:ascii="宋体" w:hAnsi="宋体" w:eastAsia="宋体" w:cs="宋体"/>
          <w:b w:val="0"/>
          <w:bCs w:val="0"/>
          <w:color w:val="auto"/>
          <w:sz w:val="24"/>
          <w:szCs w:val="28"/>
          <w:highlight w:val="none"/>
        </w:rPr>
        <w:t>.</w:t>
      </w:r>
      <w:r>
        <w:rPr>
          <w:rFonts w:hint="eastAsia" w:ascii="宋体" w:hAnsi="宋体" w:cs="宋体"/>
          <w:b w:val="0"/>
          <w:bCs w:val="0"/>
          <w:color w:val="auto"/>
          <w:sz w:val="24"/>
          <w:szCs w:val="28"/>
          <w:highlight w:val="none"/>
          <w:lang w:val="en-US" w:eastAsia="zh-CN"/>
        </w:rPr>
        <w:t>投标</w:t>
      </w:r>
      <w:r>
        <w:rPr>
          <w:rFonts w:hint="eastAsia" w:ascii="宋体" w:hAnsi="宋体" w:eastAsia="宋体" w:cs="宋体"/>
          <w:b w:val="0"/>
          <w:bCs w:val="0"/>
          <w:color w:val="auto"/>
          <w:sz w:val="24"/>
          <w:szCs w:val="28"/>
          <w:highlight w:val="none"/>
        </w:rPr>
        <w:t>供应商应根据国家政策调整规律进行报价，充分考虑服务期内的市场因素和成本变化状况的风险。</w:t>
      </w:r>
    </w:p>
    <w:p w14:paraId="1770B4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6</w:t>
      </w:r>
      <w:r>
        <w:rPr>
          <w:rFonts w:hint="eastAsia" w:ascii="宋体" w:hAnsi="宋体" w:eastAsia="宋体" w:cs="宋体"/>
          <w:b w:val="0"/>
          <w:bCs w:val="0"/>
          <w:color w:val="auto"/>
          <w:sz w:val="24"/>
          <w:szCs w:val="28"/>
          <w:highlight w:val="none"/>
        </w:rPr>
        <w:t>.</w:t>
      </w:r>
      <w:r>
        <w:rPr>
          <w:rFonts w:hint="eastAsia" w:ascii="宋体" w:hAnsi="宋体" w:eastAsia="宋体" w:cs="宋体"/>
          <w:b w:val="0"/>
          <w:bCs w:val="0"/>
          <w:color w:val="auto"/>
          <w:sz w:val="24"/>
          <w:szCs w:val="28"/>
          <w:highlight w:val="none"/>
          <w:lang w:val="en-US" w:eastAsia="zh-CN"/>
        </w:rPr>
        <w:t>投标</w:t>
      </w:r>
      <w:r>
        <w:rPr>
          <w:rFonts w:hint="eastAsia" w:ascii="宋体" w:hAnsi="宋体" w:eastAsia="宋体" w:cs="宋体"/>
          <w:b w:val="0"/>
          <w:bCs w:val="0"/>
          <w:color w:val="auto"/>
          <w:sz w:val="24"/>
          <w:szCs w:val="28"/>
          <w:highlight w:val="none"/>
        </w:rPr>
        <w:t>供应商应认真进行现场勘察工作，场地现状及限制性因素由</w:t>
      </w:r>
      <w:r>
        <w:rPr>
          <w:rFonts w:hint="eastAsia" w:ascii="宋体" w:hAnsi="宋体" w:eastAsia="宋体" w:cs="宋体"/>
          <w:b w:val="0"/>
          <w:bCs w:val="0"/>
          <w:color w:val="auto"/>
          <w:sz w:val="24"/>
          <w:szCs w:val="28"/>
          <w:highlight w:val="none"/>
          <w:lang w:val="en-US" w:eastAsia="zh-CN"/>
        </w:rPr>
        <w:t>投标</w:t>
      </w:r>
      <w:r>
        <w:rPr>
          <w:rFonts w:hint="eastAsia" w:ascii="宋体" w:hAnsi="宋体" w:eastAsia="宋体" w:cs="宋体"/>
          <w:b w:val="0"/>
          <w:bCs w:val="0"/>
          <w:color w:val="auto"/>
          <w:sz w:val="24"/>
          <w:szCs w:val="28"/>
          <w:highlight w:val="none"/>
        </w:rPr>
        <w:t>供应商向采购人查询并自行勘察核实，供应商的响应行为视为已充分调查、了解、核实场地现状，并同意接受准备履约合同。</w:t>
      </w:r>
    </w:p>
    <w:p w14:paraId="4C1A17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7</w:t>
      </w:r>
      <w:r>
        <w:rPr>
          <w:rFonts w:hint="eastAsia" w:ascii="宋体" w:hAnsi="宋体" w:eastAsia="宋体" w:cs="宋体"/>
          <w:b w:val="0"/>
          <w:bCs w:val="0"/>
          <w:color w:val="auto"/>
          <w:sz w:val="24"/>
          <w:szCs w:val="28"/>
          <w:highlight w:val="none"/>
        </w:rPr>
        <w:t>.本办法未尽事宜，由</w:t>
      </w:r>
      <w:r>
        <w:rPr>
          <w:rFonts w:hint="eastAsia" w:ascii="宋体" w:hAnsi="宋体" w:eastAsia="宋体" w:cs="宋体"/>
          <w:color w:val="auto"/>
          <w:sz w:val="24"/>
          <w:szCs w:val="24"/>
          <w:highlight w:val="none"/>
        </w:rPr>
        <w:t>评标委员会</w:t>
      </w:r>
      <w:r>
        <w:rPr>
          <w:rFonts w:hint="eastAsia" w:ascii="宋体" w:hAnsi="宋体" w:eastAsia="宋体" w:cs="宋体"/>
          <w:b w:val="0"/>
          <w:bCs w:val="0"/>
          <w:color w:val="auto"/>
          <w:sz w:val="24"/>
          <w:szCs w:val="28"/>
          <w:highlight w:val="none"/>
        </w:rPr>
        <w:t>依据有关法规研究解决。</w:t>
      </w:r>
    </w:p>
    <w:p w14:paraId="77D1FE3B">
      <w:pPr>
        <w:tabs>
          <w:tab w:val="left" w:pos="1515"/>
        </w:tabs>
        <w:spacing w:line="360" w:lineRule="auto"/>
        <w:jc w:val="center"/>
        <w:outlineLvl w:val="0"/>
        <w:rPr>
          <w:rFonts w:hint="eastAsia" w:ascii="宋体" w:hAnsi="宋体" w:eastAsia="宋体" w:cs="宋体"/>
          <w:b/>
          <w:color w:val="auto"/>
          <w:sz w:val="42"/>
          <w:szCs w:val="24"/>
          <w:highlight w:val="none"/>
        </w:rPr>
      </w:pPr>
      <w:bookmarkStart w:id="47" w:name="_Toc30168"/>
      <w:r>
        <w:rPr>
          <w:rFonts w:hint="eastAsia" w:ascii="宋体" w:hAnsi="宋体" w:eastAsia="宋体" w:cs="宋体"/>
          <w:b/>
          <w:color w:val="auto"/>
          <w:sz w:val="42"/>
          <w:szCs w:val="24"/>
          <w:highlight w:val="none"/>
        </w:rPr>
        <w:t>第</w:t>
      </w:r>
      <w:r>
        <w:rPr>
          <w:rFonts w:hint="eastAsia" w:ascii="宋体" w:hAnsi="宋体" w:cs="宋体"/>
          <w:b/>
          <w:color w:val="auto"/>
          <w:sz w:val="42"/>
          <w:szCs w:val="24"/>
          <w:highlight w:val="none"/>
          <w:lang w:val="en-US" w:eastAsia="zh-CN"/>
        </w:rPr>
        <w:t>五</w:t>
      </w:r>
      <w:r>
        <w:rPr>
          <w:rFonts w:hint="eastAsia" w:ascii="宋体" w:hAnsi="宋体" w:eastAsia="宋体" w:cs="宋体"/>
          <w:b/>
          <w:color w:val="auto"/>
          <w:sz w:val="42"/>
          <w:szCs w:val="24"/>
          <w:highlight w:val="none"/>
        </w:rPr>
        <w:t>章 合同条款及格式</w:t>
      </w:r>
      <w:bookmarkEnd w:id="47"/>
    </w:p>
    <w:p w14:paraId="7F3DDFAA">
      <w:pPr>
        <w:jc w:val="center"/>
        <w:rPr>
          <w:rFonts w:hint="eastAsia"/>
          <w:sz w:val="44"/>
          <w:szCs w:val="44"/>
          <w:highlight w:val="none"/>
        </w:rPr>
      </w:pPr>
      <w:bookmarkStart w:id="48" w:name="_Toc2070"/>
    </w:p>
    <w:p w14:paraId="49F7A035">
      <w:pPr>
        <w:jc w:val="center"/>
        <w:rPr>
          <w:rFonts w:hint="eastAsia"/>
          <w:sz w:val="36"/>
          <w:szCs w:val="36"/>
          <w:highlight w:val="none"/>
        </w:rPr>
      </w:pPr>
      <w:r>
        <w:rPr>
          <w:rFonts w:hint="eastAsia"/>
          <w:sz w:val="36"/>
          <w:szCs w:val="36"/>
          <w:highlight w:val="none"/>
        </w:rPr>
        <w:t>政府采购合同（服务）</w:t>
      </w:r>
    </w:p>
    <w:tbl>
      <w:tblPr>
        <w:tblStyle w:val="23"/>
        <w:tblpPr w:leftFromText="180" w:rightFromText="180" w:vertAnchor="text" w:horzAnchor="page" w:tblpX="1415" w:tblpY="340"/>
        <w:tblOverlap w:val="never"/>
        <w:tblW w:w="9347" w:type="dxa"/>
        <w:tblInd w:w="0" w:type="dxa"/>
        <w:tblLayout w:type="fixed"/>
        <w:tblCellMar>
          <w:top w:w="0" w:type="dxa"/>
          <w:left w:w="108" w:type="dxa"/>
          <w:bottom w:w="0" w:type="dxa"/>
          <w:right w:w="108" w:type="dxa"/>
        </w:tblCellMar>
      </w:tblPr>
      <w:tblGrid>
        <w:gridCol w:w="5026"/>
        <w:gridCol w:w="4321"/>
      </w:tblGrid>
      <w:tr w14:paraId="6C78823D">
        <w:tblPrEx>
          <w:tblCellMar>
            <w:top w:w="0" w:type="dxa"/>
            <w:left w:w="108" w:type="dxa"/>
            <w:bottom w:w="0" w:type="dxa"/>
            <w:right w:w="108" w:type="dxa"/>
          </w:tblCellMar>
        </w:tblPrEx>
        <w:trPr>
          <w:trHeight w:val="543" w:hRule="atLeast"/>
        </w:trPr>
        <w:tc>
          <w:tcPr>
            <w:tcW w:w="5026" w:type="dxa"/>
            <w:noWrap w:val="0"/>
            <w:vAlign w:val="center"/>
          </w:tcPr>
          <w:p w14:paraId="2C0E2546">
            <w:pPr>
              <w:jc w:val="both"/>
              <w:rPr>
                <w:sz w:val="24"/>
                <w:szCs w:val="22"/>
                <w:highlight w:val="none"/>
              </w:rPr>
            </w:pPr>
            <w:r>
              <w:rPr>
                <w:sz w:val="24"/>
                <w:szCs w:val="22"/>
                <w:highlight w:val="none"/>
              </w:rPr>
              <w:t>甲方</w:t>
            </w:r>
            <w:r>
              <w:rPr>
                <w:rFonts w:hint="eastAsia"/>
                <w:sz w:val="24"/>
                <w:szCs w:val="22"/>
                <w:highlight w:val="none"/>
              </w:rPr>
              <w:t>：泰州</w:t>
            </w:r>
            <w:r>
              <w:rPr>
                <w:rFonts w:hint="eastAsia"/>
                <w:sz w:val="24"/>
                <w:szCs w:val="22"/>
                <w:highlight w:val="none"/>
                <w:lang w:val="en-US" w:eastAsia="zh-CN"/>
              </w:rPr>
              <w:t>市</w:t>
            </w:r>
            <w:r>
              <w:rPr>
                <w:rFonts w:hint="eastAsia"/>
                <w:sz w:val="24"/>
                <w:szCs w:val="22"/>
                <w:highlight w:val="none"/>
              </w:rPr>
              <w:t>第五人民医院</w:t>
            </w:r>
          </w:p>
        </w:tc>
        <w:tc>
          <w:tcPr>
            <w:tcW w:w="4321" w:type="dxa"/>
            <w:noWrap w:val="0"/>
            <w:vAlign w:val="center"/>
          </w:tcPr>
          <w:p w14:paraId="13F6EACD">
            <w:pPr>
              <w:jc w:val="both"/>
              <w:rPr>
                <w:rFonts w:hint="eastAsia"/>
                <w:sz w:val="24"/>
                <w:szCs w:val="22"/>
                <w:highlight w:val="none"/>
                <w:lang w:val="en-US" w:eastAsia="zh-CN"/>
              </w:rPr>
            </w:pPr>
            <w:r>
              <w:rPr>
                <w:sz w:val="24"/>
                <w:szCs w:val="22"/>
                <w:highlight w:val="none"/>
              </w:rPr>
              <w:t>乙方</w:t>
            </w:r>
            <w:r>
              <w:rPr>
                <w:rFonts w:hint="eastAsia"/>
                <w:sz w:val="24"/>
                <w:szCs w:val="22"/>
                <w:highlight w:val="none"/>
              </w:rPr>
              <w:t>：</w:t>
            </w:r>
          </w:p>
        </w:tc>
      </w:tr>
      <w:tr w14:paraId="543ABF26">
        <w:tblPrEx>
          <w:tblCellMar>
            <w:top w:w="0" w:type="dxa"/>
            <w:left w:w="108" w:type="dxa"/>
            <w:bottom w:w="0" w:type="dxa"/>
            <w:right w:w="108" w:type="dxa"/>
          </w:tblCellMar>
        </w:tblPrEx>
        <w:trPr>
          <w:trHeight w:val="465" w:hRule="atLeast"/>
        </w:trPr>
        <w:tc>
          <w:tcPr>
            <w:tcW w:w="5026" w:type="dxa"/>
            <w:noWrap w:val="0"/>
            <w:vAlign w:val="center"/>
          </w:tcPr>
          <w:p w14:paraId="3AD9F9E8">
            <w:pPr>
              <w:jc w:val="both"/>
              <w:rPr>
                <w:rFonts w:hint="default"/>
                <w:sz w:val="24"/>
                <w:szCs w:val="22"/>
                <w:highlight w:val="none"/>
                <w:lang w:val="en-US"/>
              </w:rPr>
            </w:pPr>
            <w:r>
              <w:rPr>
                <w:sz w:val="24"/>
                <w:szCs w:val="22"/>
                <w:highlight w:val="none"/>
              </w:rPr>
              <w:t>通信地址</w:t>
            </w:r>
            <w:r>
              <w:rPr>
                <w:rFonts w:hint="eastAsia"/>
                <w:sz w:val="24"/>
                <w:szCs w:val="22"/>
                <w:highlight w:val="none"/>
              </w:rPr>
              <w:t>：</w:t>
            </w:r>
            <w:r>
              <w:rPr>
                <w:rFonts w:hint="eastAsia" w:ascii="宋体" w:hAnsi="宋体" w:cs="宋体"/>
                <w:color w:val="auto"/>
                <w:sz w:val="24"/>
                <w:szCs w:val="24"/>
                <w:highlight w:val="none"/>
                <w:lang w:val="en-US" w:eastAsia="zh-CN"/>
              </w:rPr>
              <w:t>泰州市</w:t>
            </w:r>
            <w:r>
              <w:rPr>
                <w:rFonts w:hint="eastAsia" w:ascii="宋体" w:hAnsi="宋体" w:cs="宋体"/>
                <w:color w:val="auto"/>
                <w:sz w:val="24"/>
                <w:szCs w:val="24"/>
                <w:highlight w:val="none"/>
                <w:lang w:eastAsia="zh-CN"/>
              </w:rPr>
              <w:t>海陵区春明路51号</w:t>
            </w:r>
          </w:p>
        </w:tc>
        <w:tc>
          <w:tcPr>
            <w:tcW w:w="4321" w:type="dxa"/>
            <w:noWrap w:val="0"/>
            <w:vAlign w:val="center"/>
          </w:tcPr>
          <w:p w14:paraId="08D7A5DB">
            <w:pPr>
              <w:jc w:val="both"/>
              <w:rPr>
                <w:rFonts w:hint="default"/>
                <w:sz w:val="24"/>
                <w:szCs w:val="22"/>
                <w:highlight w:val="none"/>
                <w:lang w:val="en-US"/>
              </w:rPr>
            </w:pPr>
            <w:r>
              <w:rPr>
                <w:sz w:val="24"/>
                <w:szCs w:val="22"/>
                <w:highlight w:val="none"/>
              </w:rPr>
              <w:t>通信地址</w:t>
            </w:r>
            <w:r>
              <w:rPr>
                <w:rFonts w:hint="eastAsia"/>
                <w:sz w:val="24"/>
                <w:szCs w:val="22"/>
                <w:highlight w:val="none"/>
              </w:rPr>
              <w:t>：</w:t>
            </w:r>
          </w:p>
        </w:tc>
      </w:tr>
      <w:tr w14:paraId="0E80D6C3">
        <w:tblPrEx>
          <w:tblCellMar>
            <w:top w:w="0" w:type="dxa"/>
            <w:left w:w="108" w:type="dxa"/>
            <w:bottom w:w="0" w:type="dxa"/>
            <w:right w:w="108" w:type="dxa"/>
          </w:tblCellMar>
        </w:tblPrEx>
        <w:trPr>
          <w:trHeight w:val="445" w:hRule="atLeast"/>
        </w:trPr>
        <w:tc>
          <w:tcPr>
            <w:tcW w:w="5026" w:type="dxa"/>
            <w:noWrap w:val="0"/>
            <w:vAlign w:val="center"/>
          </w:tcPr>
          <w:p w14:paraId="7CB44A9D">
            <w:pPr>
              <w:jc w:val="both"/>
              <w:rPr>
                <w:sz w:val="24"/>
                <w:szCs w:val="22"/>
                <w:highlight w:val="none"/>
              </w:rPr>
            </w:pPr>
            <w:r>
              <w:rPr>
                <w:sz w:val="24"/>
                <w:szCs w:val="22"/>
                <w:highlight w:val="none"/>
              </w:rPr>
              <w:t>联系人</w:t>
            </w:r>
            <w:r>
              <w:rPr>
                <w:rFonts w:hint="eastAsia"/>
                <w:sz w:val="24"/>
                <w:szCs w:val="22"/>
                <w:highlight w:val="none"/>
              </w:rPr>
              <w:t>：</w:t>
            </w:r>
            <w:r>
              <w:rPr>
                <w:sz w:val="24"/>
                <w:szCs w:val="22"/>
                <w:highlight w:val="none"/>
              </w:rPr>
              <w:t xml:space="preserve"> </w:t>
            </w:r>
          </w:p>
        </w:tc>
        <w:tc>
          <w:tcPr>
            <w:tcW w:w="4321" w:type="dxa"/>
            <w:noWrap w:val="0"/>
            <w:vAlign w:val="center"/>
          </w:tcPr>
          <w:p w14:paraId="60974B2B">
            <w:pPr>
              <w:jc w:val="both"/>
              <w:rPr>
                <w:rFonts w:hint="default"/>
                <w:sz w:val="24"/>
                <w:szCs w:val="22"/>
                <w:highlight w:val="none"/>
                <w:lang w:val="en-US" w:eastAsia="zh-CN"/>
              </w:rPr>
            </w:pPr>
            <w:r>
              <w:rPr>
                <w:sz w:val="24"/>
                <w:szCs w:val="22"/>
                <w:highlight w:val="none"/>
              </w:rPr>
              <w:t>联系人</w:t>
            </w:r>
            <w:r>
              <w:rPr>
                <w:rFonts w:hint="eastAsia"/>
                <w:sz w:val="24"/>
                <w:szCs w:val="22"/>
                <w:highlight w:val="none"/>
              </w:rPr>
              <w:t>：</w:t>
            </w:r>
          </w:p>
        </w:tc>
      </w:tr>
      <w:tr w14:paraId="3F28E292">
        <w:tblPrEx>
          <w:tblCellMar>
            <w:top w:w="0" w:type="dxa"/>
            <w:left w:w="108" w:type="dxa"/>
            <w:bottom w:w="0" w:type="dxa"/>
            <w:right w:w="108" w:type="dxa"/>
          </w:tblCellMar>
        </w:tblPrEx>
        <w:trPr>
          <w:trHeight w:val="552" w:hRule="atLeast"/>
        </w:trPr>
        <w:tc>
          <w:tcPr>
            <w:tcW w:w="5026" w:type="dxa"/>
            <w:noWrap w:val="0"/>
            <w:vAlign w:val="center"/>
          </w:tcPr>
          <w:p w14:paraId="565F869B">
            <w:pPr>
              <w:jc w:val="both"/>
              <w:rPr>
                <w:sz w:val="24"/>
                <w:szCs w:val="22"/>
                <w:highlight w:val="none"/>
              </w:rPr>
            </w:pPr>
            <w:r>
              <w:rPr>
                <w:sz w:val="24"/>
                <w:szCs w:val="22"/>
                <w:highlight w:val="none"/>
              </w:rPr>
              <w:t>联系方式</w:t>
            </w:r>
            <w:r>
              <w:rPr>
                <w:rFonts w:hint="eastAsia"/>
                <w:sz w:val="24"/>
                <w:szCs w:val="22"/>
                <w:highlight w:val="none"/>
              </w:rPr>
              <w:t>：</w:t>
            </w:r>
          </w:p>
        </w:tc>
        <w:tc>
          <w:tcPr>
            <w:tcW w:w="4321" w:type="dxa"/>
            <w:noWrap w:val="0"/>
            <w:vAlign w:val="center"/>
          </w:tcPr>
          <w:p w14:paraId="15BCE4BD">
            <w:pPr>
              <w:jc w:val="both"/>
              <w:rPr>
                <w:rFonts w:hint="default"/>
                <w:sz w:val="24"/>
                <w:szCs w:val="22"/>
                <w:highlight w:val="none"/>
                <w:lang w:val="en-US" w:eastAsia="zh-CN"/>
              </w:rPr>
            </w:pPr>
            <w:r>
              <w:rPr>
                <w:sz w:val="24"/>
                <w:szCs w:val="22"/>
                <w:highlight w:val="none"/>
              </w:rPr>
              <w:t>联系方式</w:t>
            </w:r>
            <w:r>
              <w:rPr>
                <w:rFonts w:hint="eastAsia"/>
                <w:sz w:val="24"/>
                <w:szCs w:val="22"/>
                <w:highlight w:val="none"/>
              </w:rPr>
              <w:t>：</w:t>
            </w:r>
          </w:p>
        </w:tc>
      </w:tr>
    </w:tbl>
    <w:p w14:paraId="7234FE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sz w:val="24"/>
          <w:szCs w:val="24"/>
          <w:highlight w:val="none"/>
        </w:rPr>
      </w:pPr>
      <w:r>
        <w:rPr>
          <w:rFonts w:hint="eastAsia"/>
          <w:highlight w:val="none"/>
          <w:lang w:val="en-US" w:eastAsia="zh-CN"/>
        </w:rPr>
        <w:t>1.</w:t>
      </w:r>
      <w:r>
        <w:rPr>
          <w:rFonts w:hint="default"/>
          <w:sz w:val="24"/>
          <w:szCs w:val="24"/>
          <w:highlight w:val="none"/>
        </w:rPr>
        <w:t>合同标的</w:t>
      </w:r>
    </w:p>
    <w:p w14:paraId="12CA58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甲乙双方根据政府采购编号</w:t>
      </w:r>
      <w:r>
        <w:rPr>
          <w:rFonts w:hint="eastAsia"/>
          <w:sz w:val="24"/>
          <w:szCs w:val="24"/>
          <w:highlight w:val="none"/>
          <w:u w:val="single"/>
          <w:lang w:val="en-US" w:eastAsia="zh-CN"/>
        </w:rPr>
        <w:t xml:space="preserve">            </w:t>
      </w:r>
      <w:r>
        <w:rPr>
          <w:rFonts w:hint="eastAsia"/>
          <w:sz w:val="24"/>
          <w:szCs w:val="24"/>
          <w:highlight w:val="none"/>
          <w:lang w:val="en-US" w:eastAsia="zh-CN"/>
        </w:rPr>
        <w:t>泰州市第五人民医院安保服务采购项目公开招标采购结果及招标文件的要求,经协商一致,达成如下采购服务合同:</w:t>
      </w:r>
    </w:p>
    <w:p w14:paraId="789A41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2.</w:t>
      </w:r>
      <w:r>
        <w:rPr>
          <w:sz w:val="24"/>
          <w:szCs w:val="24"/>
          <w:highlight w:val="none"/>
        </w:rPr>
        <w:t>合同文件</w:t>
      </w:r>
    </w:p>
    <w:p w14:paraId="2A2D8B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2.1 乙方应按采购文件规定的时间向甲方提供服务的有关技术资料。</w:t>
      </w:r>
    </w:p>
    <w:p w14:paraId="7930A4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2.2 没有甲方事先书面同意，乙方不得将由甲方提供的有关合同或任何合同条文或资料提供给任何其他人。即使向履行本合同有关的人员提供，也应注意保密并限于履行合同的必需范围。</w:t>
      </w:r>
    </w:p>
    <w:p w14:paraId="070608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2.3 关于本项目政府采购的招投标文件或与本次采购活动方式相适应的文件及有关附件是本合同不可分割的组成部分，这些文件包括但不限于：</w:t>
      </w:r>
    </w:p>
    <w:p w14:paraId="492CA9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eastAsia="zh-CN"/>
        </w:rPr>
        <w:t>（</w:t>
      </w:r>
      <w:r>
        <w:rPr>
          <w:rFonts w:hint="eastAsia"/>
          <w:sz w:val="24"/>
          <w:szCs w:val="24"/>
          <w:highlight w:val="none"/>
          <w:lang w:val="en-US" w:eastAsia="zh-CN"/>
        </w:rPr>
        <w:t>1</w:t>
      </w:r>
      <w:r>
        <w:rPr>
          <w:rFonts w:hint="eastAsia"/>
          <w:sz w:val="24"/>
          <w:szCs w:val="24"/>
          <w:highlight w:val="none"/>
          <w:lang w:eastAsia="zh-CN"/>
        </w:rPr>
        <w:t>）</w:t>
      </w:r>
      <w:r>
        <w:rPr>
          <w:sz w:val="24"/>
          <w:szCs w:val="24"/>
          <w:highlight w:val="none"/>
        </w:rPr>
        <w:t xml:space="preserve"> 招标文件及其补充更正公告；</w:t>
      </w:r>
    </w:p>
    <w:p w14:paraId="715D0D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eastAsia="zh-CN"/>
        </w:rPr>
        <w:t>（</w:t>
      </w:r>
      <w:r>
        <w:rPr>
          <w:rFonts w:hint="eastAsia"/>
          <w:sz w:val="24"/>
          <w:szCs w:val="24"/>
          <w:highlight w:val="none"/>
          <w:lang w:val="en-US" w:eastAsia="zh-CN"/>
        </w:rPr>
        <w:t>2</w:t>
      </w:r>
      <w:r>
        <w:rPr>
          <w:rFonts w:hint="eastAsia"/>
          <w:sz w:val="24"/>
          <w:szCs w:val="24"/>
          <w:highlight w:val="none"/>
          <w:lang w:eastAsia="zh-CN"/>
        </w:rPr>
        <w:t>）</w:t>
      </w:r>
      <w:r>
        <w:rPr>
          <w:sz w:val="24"/>
          <w:szCs w:val="24"/>
          <w:highlight w:val="none"/>
        </w:rPr>
        <w:t xml:space="preserve"> 乙方提交的投标文件和在投标过程中所作的其它承诺、声明、书面变更材料等；</w:t>
      </w:r>
    </w:p>
    <w:p w14:paraId="20D7E1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eastAsia="zh-CN"/>
        </w:rPr>
        <w:t>（</w:t>
      </w:r>
      <w:r>
        <w:rPr>
          <w:rFonts w:hint="eastAsia"/>
          <w:sz w:val="24"/>
          <w:szCs w:val="24"/>
          <w:highlight w:val="none"/>
          <w:lang w:val="en-US" w:eastAsia="zh-CN"/>
        </w:rPr>
        <w:t>3</w:t>
      </w:r>
      <w:r>
        <w:rPr>
          <w:rFonts w:hint="eastAsia"/>
          <w:sz w:val="24"/>
          <w:szCs w:val="24"/>
          <w:highlight w:val="none"/>
          <w:lang w:eastAsia="zh-CN"/>
        </w:rPr>
        <w:t>）</w:t>
      </w:r>
      <w:r>
        <w:rPr>
          <w:rFonts w:hint="eastAsia"/>
          <w:sz w:val="24"/>
          <w:szCs w:val="24"/>
          <w:highlight w:val="none"/>
          <w:lang w:val="en-US" w:eastAsia="zh-CN"/>
        </w:rPr>
        <w:t xml:space="preserve"> </w:t>
      </w:r>
      <w:r>
        <w:rPr>
          <w:sz w:val="24"/>
          <w:szCs w:val="24"/>
          <w:highlight w:val="none"/>
        </w:rPr>
        <w:t>资格证明文件；</w:t>
      </w:r>
    </w:p>
    <w:p w14:paraId="44DDCC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eastAsia="zh-CN"/>
        </w:rPr>
        <w:t>（</w:t>
      </w:r>
      <w:r>
        <w:rPr>
          <w:rFonts w:hint="eastAsia"/>
          <w:sz w:val="24"/>
          <w:szCs w:val="24"/>
          <w:highlight w:val="none"/>
          <w:lang w:val="en-US" w:eastAsia="zh-CN"/>
        </w:rPr>
        <w:t>4</w:t>
      </w:r>
      <w:r>
        <w:rPr>
          <w:rFonts w:hint="eastAsia"/>
          <w:sz w:val="24"/>
          <w:szCs w:val="24"/>
          <w:highlight w:val="none"/>
          <w:lang w:eastAsia="zh-CN"/>
        </w:rPr>
        <w:t>）</w:t>
      </w:r>
      <w:r>
        <w:rPr>
          <w:sz w:val="24"/>
          <w:szCs w:val="24"/>
          <w:highlight w:val="none"/>
        </w:rPr>
        <w:t xml:space="preserve"> 中标通知书；</w:t>
      </w:r>
    </w:p>
    <w:p w14:paraId="016C7B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eastAsia="zh-CN"/>
        </w:rPr>
        <w:t>（</w:t>
      </w:r>
      <w:r>
        <w:rPr>
          <w:rFonts w:hint="eastAsia"/>
          <w:sz w:val="24"/>
          <w:szCs w:val="24"/>
          <w:highlight w:val="none"/>
          <w:lang w:val="en-US" w:eastAsia="zh-CN"/>
        </w:rPr>
        <w:t>5</w:t>
      </w:r>
      <w:r>
        <w:rPr>
          <w:rFonts w:hint="eastAsia"/>
          <w:sz w:val="24"/>
          <w:szCs w:val="24"/>
          <w:highlight w:val="none"/>
          <w:lang w:eastAsia="zh-CN"/>
        </w:rPr>
        <w:t>）</w:t>
      </w:r>
      <w:r>
        <w:rPr>
          <w:rFonts w:hint="eastAsia"/>
          <w:sz w:val="24"/>
          <w:szCs w:val="24"/>
          <w:highlight w:val="none"/>
          <w:lang w:val="en-US" w:eastAsia="zh-CN"/>
        </w:rPr>
        <w:t xml:space="preserve"> </w:t>
      </w:r>
      <w:r>
        <w:rPr>
          <w:sz w:val="24"/>
          <w:szCs w:val="24"/>
          <w:highlight w:val="none"/>
        </w:rPr>
        <w:t>买方、卖方商定的其他必要文件。</w:t>
      </w:r>
    </w:p>
    <w:p w14:paraId="110B0F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3.安保</w:t>
      </w:r>
      <w:r>
        <w:rPr>
          <w:sz w:val="24"/>
          <w:szCs w:val="24"/>
          <w:highlight w:val="none"/>
        </w:rPr>
        <w:t>管理服务委托时间</w:t>
      </w:r>
    </w:p>
    <w:p w14:paraId="70CF59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 xml:space="preserve">3.1 </w:t>
      </w:r>
      <w:r>
        <w:rPr>
          <w:rFonts w:hint="eastAsia"/>
          <w:sz w:val="24"/>
          <w:szCs w:val="24"/>
          <w:highlight w:val="none"/>
        </w:rPr>
        <w:t>本项目合同周期为</w:t>
      </w:r>
      <w:r>
        <w:rPr>
          <w:rFonts w:hint="eastAsia"/>
          <w:sz w:val="24"/>
          <w:szCs w:val="24"/>
          <w:highlight w:val="none"/>
          <w:lang w:val="en-US" w:eastAsia="zh-CN"/>
        </w:rPr>
        <w:t>3</w:t>
      </w:r>
      <w:r>
        <w:rPr>
          <w:rFonts w:hint="eastAsia"/>
          <w:sz w:val="24"/>
          <w:szCs w:val="24"/>
          <w:highlight w:val="none"/>
        </w:rPr>
        <w:t>年，每年一签，自首次合同签订之日起计算</w:t>
      </w:r>
      <w:r>
        <w:rPr>
          <w:rFonts w:hint="eastAsia"/>
          <w:sz w:val="24"/>
          <w:szCs w:val="24"/>
          <w:highlight w:val="none"/>
          <w:lang w:eastAsia="zh-CN"/>
        </w:rPr>
        <w:t>。</w:t>
      </w:r>
      <w:r>
        <w:rPr>
          <w:rFonts w:hint="eastAsia"/>
          <w:sz w:val="24"/>
          <w:szCs w:val="24"/>
          <w:highlight w:val="none"/>
          <w:lang w:val="en-US" w:eastAsia="zh-CN"/>
        </w:rPr>
        <w:t>本次合同服务期限</w:t>
      </w:r>
      <w:r>
        <w:rPr>
          <w:rFonts w:hint="eastAsia"/>
          <w:sz w:val="24"/>
          <w:szCs w:val="24"/>
          <w:highlight w:val="none"/>
          <w:u w:val="single"/>
          <w:lang w:val="en-US" w:eastAsia="zh-CN"/>
        </w:rPr>
        <w:t xml:space="preserve">         </w:t>
      </w:r>
      <w:r>
        <w:rPr>
          <w:rFonts w:hint="eastAsia"/>
          <w:sz w:val="24"/>
          <w:szCs w:val="24"/>
          <w:highlight w:val="none"/>
          <w:lang w:val="en-US" w:eastAsia="zh-CN"/>
        </w:rPr>
        <w:t>，</w:t>
      </w:r>
      <w:r>
        <w:rPr>
          <w:rFonts w:hint="eastAsia"/>
          <w:sz w:val="24"/>
          <w:szCs w:val="24"/>
          <w:highlight w:val="none"/>
        </w:rPr>
        <w:t>每一合同年度结束前一个月，经</w:t>
      </w:r>
      <w:r>
        <w:rPr>
          <w:rFonts w:hint="eastAsia"/>
          <w:sz w:val="24"/>
          <w:szCs w:val="24"/>
          <w:highlight w:val="none"/>
          <w:lang w:val="en-US" w:eastAsia="zh-CN"/>
        </w:rPr>
        <w:t>甲方</w:t>
      </w:r>
      <w:r>
        <w:rPr>
          <w:rFonts w:hint="eastAsia"/>
          <w:sz w:val="24"/>
          <w:szCs w:val="24"/>
          <w:highlight w:val="none"/>
        </w:rPr>
        <w:t>考核（考核每月一次）后确定</w:t>
      </w:r>
      <w:r>
        <w:rPr>
          <w:rFonts w:hint="eastAsia"/>
          <w:sz w:val="24"/>
          <w:szCs w:val="24"/>
          <w:highlight w:val="none"/>
          <w:lang w:eastAsia="zh-CN"/>
        </w:rPr>
        <w:t>乙方</w:t>
      </w:r>
      <w:r>
        <w:rPr>
          <w:rFonts w:hint="eastAsia"/>
          <w:sz w:val="24"/>
          <w:szCs w:val="24"/>
          <w:highlight w:val="none"/>
        </w:rPr>
        <w:t>是否能够满足医院服务需求，续签合同前的服务期内安保服务质量考核评分表均分不低于85</w:t>
      </w:r>
      <w:r>
        <w:rPr>
          <w:rFonts w:hint="eastAsia"/>
          <w:sz w:val="24"/>
          <w:szCs w:val="24"/>
          <w:highlight w:val="none"/>
          <w:lang w:val="en-US" w:eastAsia="zh-CN"/>
        </w:rPr>
        <w:t>分</w:t>
      </w:r>
      <w:r>
        <w:rPr>
          <w:rFonts w:hint="eastAsia"/>
          <w:sz w:val="24"/>
          <w:szCs w:val="24"/>
          <w:highlight w:val="none"/>
        </w:rPr>
        <w:t>，则可以继续签订下一年度合同，医院有权决定继续执行或提前终止合同。</w:t>
      </w:r>
    </w:p>
    <w:p w14:paraId="5325B4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 xml:space="preserve">3.2 </w:t>
      </w:r>
      <w:r>
        <w:rPr>
          <w:rFonts w:hint="eastAsia"/>
          <w:sz w:val="24"/>
          <w:szCs w:val="24"/>
          <w:highlight w:val="none"/>
        </w:rPr>
        <w:t>在合同执行期内，因</w:t>
      </w:r>
      <w:r>
        <w:rPr>
          <w:rFonts w:hint="eastAsia"/>
          <w:sz w:val="24"/>
          <w:szCs w:val="24"/>
          <w:highlight w:val="none"/>
          <w:lang w:val="en-US" w:eastAsia="zh-CN"/>
        </w:rPr>
        <w:t>乙方</w:t>
      </w:r>
      <w:r>
        <w:rPr>
          <w:rFonts w:hint="eastAsia"/>
          <w:sz w:val="24"/>
          <w:szCs w:val="24"/>
          <w:highlight w:val="none"/>
        </w:rPr>
        <w:t>不采取安全劳动保护措施、不遵守有关法律法规和</w:t>
      </w:r>
      <w:r>
        <w:rPr>
          <w:rFonts w:hint="eastAsia"/>
          <w:sz w:val="24"/>
          <w:szCs w:val="24"/>
          <w:highlight w:val="none"/>
          <w:lang w:val="en-US" w:eastAsia="zh-CN"/>
        </w:rPr>
        <w:t>甲方</w:t>
      </w:r>
      <w:r>
        <w:rPr>
          <w:rFonts w:hint="eastAsia"/>
          <w:sz w:val="24"/>
          <w:szCs w:val="24"/>
          <w:highlight w:val="none"/>
        </w:rPr>
        <w:t>的有关规章制度或考核不合格的、或擅动医院的设备、设施而造成不安全事件（如人身伤害或疾病、设备事故及火灾事故等），</w:t>
      </w:r>
      <w:r>
        <w:rPr>
          <w:rFonts w:hint="eastAsia"/>
          <w:sz w:val="24"/>
          <w:szCs w:val="24"/>
          <w:highlight w:val="none"/>
          <w:lang w:val="en-US" w:eastAsia="zh-CN"/>
        </w:rPr>
        <w:t>甲方</w:t>
      </w:r>
      <w:r>
        <w:rPr>
          <w:rFonts w:hint="eastAsia"/>
          <w:sz w:val="24"/>
          <w:szCs w:val="24"/>
          <w:highlight w:val="none"/>
        </w:rPr>
        <w:t>有权立即终止合同，将</w:t>
      </w:r>
      <w:r>
        <w:rPr>
          <w:rFonts w:hint="eastAsia"/>
          <w:sz w:val="24"/>
          <w:szCs w:val="24"/>
          <w:highlight w:val="none"/>
          <w:lang w:eastAsia="zh-CN"/>
        </w:rPr>
        <w:t>乙方</w:t>
      </w:r>
      <w:r>
        <w:rPr>
          <w:rFonts w:hint="eastAsia"/>
          <w:sz w:val="24"/>
          <w:szCs w:val="24"/>
          <w:highlight w:val="none"/>
        </w:rPr>
        <w:t>清退，永不使用，且事故所造成的后果及费用由</w:t>
      </w:r>
      <w:r>
        <w:rPr>
          <w:rFonts w:hint="eastAsia"/>
          <w:sz w:val="24"/>
          <w:szCs w:val="24"/>
          <w:highlight w:val="none"/>
          <w:lang w:eastAsia="zh-CN"/>
        </w:rPr>
        <w:t>乙方</w:t>
      </w:r>
      <w:r>
        <w:rPr>
          <w:rFonts w:hint="eastAsia"/>
          <w:sz w:val="24"/>
          <w:szCs w:val="24"/>
          <w:highlight w:val="none"/>
        </w:rPr>
        <w:t>自行承担，</w:t>
      </w:r>
      <w:r>
        <w:rPr>
          <w:rFonts w:hint="eastAsia"/>
          <w:sz w:val="24"/>
          <w:szCs w:val="24"/>
          <w:highlight w:val="none"/>
          <w:lang w:val="en-US" w:eastAsia="zh-CN"/>
        </w:rPr>
        <w:t>甲方</w:t>
      </w:r>
      <w:r>
        <w:rPr>
          <w:rFonts w:hint="eastAsia"/>
          <w:sz w:val="24"/>
          <w:szCs w:val="24"/>
          <w:highlight w:val="none"/>
        </w:rPr>
        <w:t>不负任何责任；触犯法律的，移交公安机关处理，</w:t>
      </w:r>
      <w:r>
        <w:rPr>
          <w:rFonts w:hint="eastAsia"/>
          <w:sz w:val="24"/>
          <w:szCs w:val="24"/>
          <w:highlight w:val="none"/>
          <w:lang w:val="en-US" w:eastAsia="zh-CN"/>
        </w:rPr>
        <w:t>甲方</w:t>
      </w:r>
      <w:r>
        <w:rPr>
          <w:rFonts w:hint="eastAsia"/>
          <w:sz w:val="24"/>
          <w:szCs w:val="24"/>
          <w:highlight w:val="none"/>
        </w:rPr>
        <w:t>有权立即终止合同，由此造成的后果由</w:t>
      </w:r>
      <w:r>
        <w:rPr>
          <w:rFonts w:hint="eastAsia"/>
          <w:sz w:val="24"/>
          <w:szCs w:val="24"/>
          <w:highlight w:val="none"/>
          <w:lang w:eastAsia="zh-CN"/>
        </w:rPr>
        <w:t>乙方</w:t>
      </w:r>
      <w:r>
        <w:rPr>
          <w:rFonts w:hint="eastAsia"/>
          <w:sz w:val="24"/>
          <w:szCs w:val="24"/>
          <w:highlight w:val="none"/>
        </w:rPr>
        <w:t>承担。</w:t>
      </w:r>
    </w:p>
    <w:p w14:paraId="55A798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4.安保</w:t>
      </w:r>
      <w:r>
        <w:rPr>
          <w:sz w:val="24"/>
          <w:szCs w:val="24"/>
          <w:highlight w:val="none"/>
        </w:rPr>
        <w:t>管理服务履约保证金</w:t>
      </w:r>
    </w:p>
    <w:p w14:paraId="2696D7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rPr>
        <w:t>乙方须在签订合同前缴纳履约保证金</w:t>
      </w:r>
      <w:r>
        <w:rPr>
          <w:rFonts w:hint="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单年中标</w:t>
      </w:r>
      <w:r>
        <w:rPr>
          <w:rFonts w:hint="eastAsia" w:asciiTheme="majorEastAsia" w:hAnsiTheme="majorEastAsia" w:eastAsiaTheme="majorEastAsia" w:cstheme="majorEastAsia"/>
          <w:color w:val="auto"/>
          <w:sz w:val="24"/>
          <w:szCs w:val="24"/>
          <w:highlight w:val="none"/>
        </w:rPr>
        <w:t>金额</w:t>
      </w:r>
      <w:r>
        <w:rPr>
          <w:rFonts w:hint="eastAsia"/>
          <w:color w:val="auto"/>
          <w:sz w:val="24"/>
          <w:szCs w:val="24"/>
          <w:highlight w:val="none"/>
        </w:rPr>
        <w:t>的5%）</w:t>
      </w:r>
      <w:r>
        <w:rPr>
          <w:rFonts w:hint="eastAsia"/>
          <w:sz w:val="24"/>
          <w:szCs w:val="24"/>
          <w:highlight w:val="none"/>
        </w:rPr>
        <w:t>（不计利息）。如不能完成投标报价中的</w:t>
      </w:r>
      <w:r>
        <w:rPr>
          <w:rFonts w:hint="eastAsia"/>
          <w:sz w:val="24"/>
          <w:szCs w:val="24"/>
          <w:highlight w:val="none"/>
          <w:lang w:val="en-US" w:eastAsia="zh-CN"/>
        </w:rPr>
        <w:t>安保</w:t>
      </w:r>
      <w:r>
        <w:rPr>
          <w:rFonts w:hint="eastAsia"/>
          <w:sz w:val="24"/>
          <w:szCs w:val="24"/>
          <w:highlight w:val="none"/>
        </w:rPr>
        <w:t>管理目标，履约保证金不予返还。合同履行期间如乙方无违约行为且配合甲方完成先后两家单位的平稳过渡和交接工作，交接顺利完成后甲方按内部财务流程全额返还乙方履约保证金（不计利息），如乙方未能履行合同规定的义务，甲方有权从履约保证金中取得补偿。</w:t>
      </w:r>
    </w:p>
    <w:p w14:paraId="418E19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eastAsia="宋体"/>
          <w:color w:val="auto"/>
          <w:sz w:val="24"/>
          <w:szCs w:val="24"/>
          <w:highlight w:val="none"/>
          <w:lang w:val="en-US" w:eastAsia="zh-CN"/>
        </w:rPr>
      </w:pPr>
      <w:r>
        <w:rPr>
          <w:rFonts w:hint="eastAsia"/>
          <w:sz w:val="24"/>
          <w:szCs w:val="24"/>
          <w:highlight w:val="none"/>
          <w:lang w:val="en-US" w:eastAsia="zh-CN"/>
        </w:rPr>
        <w:t>5.</w:t>
      </w:r>
      <w:r>
        <w:rPr>
          <w:sz w:val="24"/>
          <w:szCs w:val="24"/>
          <w:highlight w:val="none"/>
        </w:rPr>
        <w:t>合同付款方式</w:t>
      </w:r>
      <w:r>
        <w:rPr>
          <w:rFonts w:hint="eastAsia"/>
          <w:sz w:val="24"/>
          <w:szCs w:val="24"/>
          <w:highlight w:val="none"/>
          <w:lang w:val="en-US" w:eastAsia="zh-CN"/>
        </w:rPr>
        <w:t>和结算方式</w:t>
      </w:r>
    </w:p>
    <w:p w14:paraId="6C1271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付款方式：</w:t>
      </w:r>
      <w:r>
        <w:rPr>
          <w:rFonts w:hint="eastAsia" w:ascii="宋体" w:hAnsi="宋体" w:eastAsia="宋体" w:cs="宋体"/>
          <w:color w:val="auto"/>
          <w:sz w:val="24"/>
          <w:szCs w:val="24"/>
          <w:highlight w:val="none"/>
          <w:lang w:val="zh-CN"/>
        </w:rPr>
        <w:t>合同签订后，</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zh-CN"/>
        </w:rPr>
        <w:t>按照合同约定时间进场提供服务。</w:t>
      </w:r>
      <w:r>
        <w:rPr>
          <w:rFonts w:hint="eastAsia" w:ascii="宋体" w:hAnsi="宋体" w:cs="宋体"/>
          <w:color w:val="auto"/>
          <w:sz w:val="24"/>
          <w:szCs w:val="24"/>
          <w:highlight w:val="none"/>
          <w:lang w:val="en-US" w:eastAsia="zh-CN"/>
        </w:rPr>
        <w:t>甲方</w:t>
      </w:r>
      <w:r>
        <w:rPr>
          <w:rFonts w:hint="eastAsia" w:asciiTheme="majorEastAsia" w:hAnsiTheme="majorEastAsia" w:eastAsiaTheme="majorEastAsia" w:cstheme="majorEastAsia"/>
          <w:color w:val="auto"/>
          <w:sz w:val="24"/>
          <w:szCs w:val="24"/>
          <w:highlight w:val="none"/>
          <w:u w:val="none"/>
          <w:lang w:val="en-US" w:eastAsia="zh-CN"/>
        </w:rPr>
        <w:t>按实际进场人数</w:t>
      </w:r>
      <w:r>
        <w:rPr>
          <w:rFonts w:hint="eastAsia" w:ascii="宋体" w:hAnsi="宋体" w:eastAsia="宋体" w:cs="宋体"/>
          <w:color w:val="auto"/>
          <w:sz w:val="24"/>
          <w:szCs w:val="24"/>
          <w:highlight w:val="none"/>
          <w:lang w:val="zh-CN"/>
        </w:rPr>
        <w:t>向</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zh-CN"/>
        </w:rPr>
        <w:t>通报月度考核情况、测算支付金额。</w:t>
      </w:r>
      <w:r>
        <w:rPr>
          <w:rFonts w:hint="eastAsia" w:ascii="宋体" w:hAnsi="宋体" w:cs="宋体"/>
          <w:color w:val="auto"/>
          <w:sz w:val="24"/>
          <w:szCs w:val="24"/>
          <w:highlight w:val="none"/>
          <w:lang w:val="en-US" w:eastAsia="zh-CN"/>
        </w:rPr>
        <w:t>乙方次月</w:t>
      </w:r>
      <w:r>
        <w:rPr>
          <w:rFonts w:hint="eastAsia" w:ascii="宋体" w:hAnsi="宋体" w:eastAsia="宋体" w:cs="宋体"/>
          <w:color w:val="auto"/>
          <w:sz w:val="24"/>
          <w:szCs w:val="24"/>
          <w:highlight w:val="none"/>
          <w:lang w:val="zh-CN"/>
        </w:rPr>
        <w:t>向</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zh-CN"/>
        </w:rPr>
        <w:t>提交安保服务费正式发票。</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zh-CN"/>
        </w:rPr>
        <w:t>审批后按本单位财务制度付款。</w:t>
      </w:r>
    </w:p>
    <w:p w14:paraId="7155D17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zh-CN"/>
        </w:rPr>
      </w:pPr>
      <w:r>
        <w:rPr>
          <w:rFonts w:hint="eastAsia" w:asciiTheme="majorEastAsia" w:hAnsiTheme="majorEastAsia" w:eastAsiaTheme="majorEastAsia" w:cstheme="majorEastAsia"/>
          <w:color w:val="auto"/>
          <w:sz w:val="24"/>
          <w:szCs w:val="24"/>
          <w:highlight w:val="none"/>
          <w:lang w:val="en-US" w:eastAsia="zh-CN"/>
        </w:rPr>
        <w:t>结算方式：服务期间，甲方按照乙方实际进场人数按实结算安保服务费用。</w:t>
      </w:r>
    </w:p>
    <w:p w14:paraId="0B182B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6.合同总额</w:t>
      </w:r>
    </w:p>
    <w:p w14:paraId="323617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default"/>
          <w:sz w:val="24"/>
          <w:szCs w:val="24"/>
          <w:highlight w:val="none"/>
          <w:lang w:val="en-US" w:eastAsia="zh-CN"/>
        </w:rPr>
        <w:t>本合同总价</w:t>
      </w:r>
      <w:r>
        <w:rPr>
          <w:rFonts w:hint="eastAsia"/>
          <w:sz w:val="24"/>
          <w:szCs w:val="24"/>
          <w:highlight w:val="none"/>
          <w:lang w:val="en-US" w:eastAsia="zh-CN"/>
        </w:rPr>
        <w:t>为：</w:t>
      </w:r>
      <w:r>
        <w:rPr>
          <w:rFonts w:hint="default"/>
          <w:sz w:val="24"/>
          <w:szCs w:val="24"/>
          <w:highlight w:val="none"/>
          <w:lang w:val="en-US" w:eastAsia="zh-CN"/>
        </w:rPr>
        <w:t>人民币</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元 </w:t>
      </w:r>
      <w:r>
        <w:rPr>
          <w:rFonts w:hint="default"/>
          <w:sz w:val="24"/>
          <w:szCs w:val="24"/>
          <w:highlight w:val="none"/>
          <w:lang w:val="en-US" w:eastAsia="zh-CN"/>
        </w:rPr>
        <w:t>（大写：</w:t>
      </w:r>
      <w:r>
        <w:rPr>
          <w:rFonts w:hint="eastAsia"/>
          <w:sz w:val="24"/>
          <w:szCs w:val="24"/>
          <w:highlight w:val="none"/>
          <w:u w:val="single"/>
          <w:lang w:val="en-US" w:eastAsia="zh-CN"/>
        </w:rPr>
        <w:t xml:space="preserve">             </w:t>
      </w:r>
      <w:r>
        <w:rPr>
          <w:rFonts w:hint="default"/>
          <w:sz w:val="24"/>
          <w:szCs w:val="24"/>
          <w:highlight w:val="none"/>
          <w:lang w:val="en-US" w:eastAsia="zh-CN"/>
        </w:rPr>
        <w:t>）；</w:t>
      </w:r>
      <w:r>
        <w:rPr>
          <w:rFonts w:hint="eastAsia"/>
          <w:sz w:val="24"/>
          <w:szCs w:val="24"/>
          <w:highlight w:val="none"/>
        </w:rPr>
        <w:t>包含但不限于人员工资及加班费、住宿费、工作餐、福利、保险费用、服装费、装备费、管理费、利润、税金等费用以及</w:t>
      </w:r>
      <w:r>
        <w:rPr>
          <w:rFonts w:hint="eastAsia"/>
          <w:sz w:val="24"/>
          <w:szCs w:val="24"/>
          <w:highlight w:val="none"/>
          <w:lang w:val="en-US" w:eastAsia="zh-CN"/>
        </w:rPr>
        <w:t>乙方</w:t>
      </w:r>
      <w:r>
        <w:rPr>
          <w:rFonts w:hint="eastAsia"/>
          <w:sz w:val="24"/>
          <w:szCs w:val="24"/>
          <w:highlight w:val="none"/>
        </w:rPr>
        <w:t>认为应当包含在内的费用，价格不得更改。</w:t>
      </w:r>
    </w:p>
    <w:p w14:paraId="2F7B68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7.</w:t>
      </w:r>
      <w:r>
        <w:rPr>
          <w:sz w:val="24"/>
          <w:szCs w:val="24"/>
          <w:highlight w:val="none"/>
        </w:rPr>
        <w:t>服务标准、服务内容</w:t>
      </w:r>
    </w:p>
    <w:p w14:paraId="2C9A22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eastAsia="zh-CN"/>
        </w:rPr>
      </w:pPr>
      <w:r>
        <w:rPr>
          <w:sz w:val="24"/>
          <w:szCs w:val="24"/>
          <w:highlight w:val="none"/>
        </w:rPr>
        <w:t>见招标文件及投标文件等有关内容。乙方</w:t>
      </w:r>
      <w:r>
        <w:rPr>
          <w:rFonts w:hint="eastAsia"/>
          <w:sz w:val="24"/>
          <w:szCs w:val="24"/>
          <w:highlight w:val="none"/>
          <w:lang w:val="en-US" w:eastAsia="zh-CN"/>
        </w:rPr>
        <w:t>于</w:t>
      </w:r>
      <w:r>
        <w:rPr>
          <w:sz w:val="24"/>
          <w:szCs w:val="24"/>
          <w:highlight w:val="none"/>
        </w:rPr>
        <w:t>合同签订后根据甲方要求派员进场工作，并</w:t>
      </w:r>
      <w:r>
        <w:rPr>
          <w:rFonts w:hint="eastAsia"/>
          <w:sz w:val="24"/>
          <w:szCs w:val="24"/>
          <w:highlight w:val="none"/>
        </w:rPr>
        <w:t>配合甲方完成先后两家单位的平稳过渡和交接工作</w:t>
      </w:r>
      <w:r>
        <w:rPr>
          <w:rFonts w:hint="eastAsia"/>
          <w:sz w:val="24"/>
          <w:szCs w:val="24"/>
          <w:highlight w:val="none"/>
          <w:lang w:eastAsia="zh-CN"/>
        </w:rPr>
        <w:t>。</w:t>
      </w:r>
    </w:p>
    <w:p w14:paraId="3C6B0C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w:t>
      </w:r>
      <w:bookmarkStart w:id="49" w:name="_Toc390246981"/>
      <w:bookmarkEnd w:id="49"/>
      <w:bookmarkStart w:id="50" w:name="_Toc390099094"/>
      <w:r>
        <w:rPr>
          <w:rFonts w:hint="eastAsia"/>
          <w:sz w:val="24"/>
          <w:szCs w:val="24"/>
          <w:highlight w:val="none"/>
          <w:lang w:val="en-US" w:eastAsia="zh-CN"/>
        </w:rPr>
        <w:t>.</w:t>
      </w:r>
      <w:r>
        <w:rPr>
          <w:rFonts w:hint="eastAsia"/>
          <w:sz w:val="24"/>
          <w:szCs w:val="24"/>
          <w:highlight w:val="none"/>
        </w:rPr>
        <w:t>服务考核</w:t>
      </w:r>
    </w:p>
    <w:p w14:paraId="069320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w:t>
      </w:r>
      <w:r>
        <w:rPr>
          <w:rFonts w:hint="eastAsia"/>
          <w:sz w:val="24"/>
          <w:szCs w:val="24"/>
          <w:highlight w:val="none"/>
        </w:rPr>
        <w:t>.1</w:t>
      </w:r>
      <w:bookmarkEnd w:id="50"/>
      <w:r>
        <w:rPr>
          <w:rFonts w:hint="eastAsia"/>
          <w:sz w:val="24"/>
          <w:szCs w:val="24"/>
          <w:highlight w:val="none"/>
        </w:rPr>
        <w:t>监督管理</w:t>
      </w:r>
    </w:p>
    <w:p w14:paraId="1A81B7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8.1.1乙方应</w:t>
      </w:r>
      <w:r>
        <w:rPr>
          <w:rFonts w:hint="eastAsia"/>
          <w:sz w:val="24"/>
          <w:szCs w:val="24"/>
          <w:highlight w:val="none"/>
        </w:rPr>
        <w:t>严格执行招标文件及合同中规定的《安保服务内容及标准》。</w:t>
      </w:r>
    </w:p>
    <w:p w14:paraId="5E76F8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8.1.</w:t>
      </w:r>
      <w:r>
        <w:rPr>
          <w:rFonts w:hint="eastAsia"/>
          <w:sz w:val="24"/>
          <w:szCs w:val="24"/>
          <w:highlight w:val="none"/>
        </w:rPr>
        <w:t>2甲方根据招标文件及合同规定的内容及人员分管情况，制定百分制考核办法。</w:t>
      </w:r>
    </w:p>
    <w:p w14:paraId="0E00F2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8.1.3</w:t>
      </w:r>
      <w:r>
        <w:rPr>
          <w:rFonts w:hint="eastAsia"/>
          <w:sz w:val="24"/>
          <w:szCs w:val="24"/>
          <w:highlight w:val="none"/>
        </w:rPr>
        <w:t>经甲方考核不合格项并限期下达整改的</w:t>
      </w:r>
      <w:r>
        <w:rPr>
          <w:rFonts w:hint="eastAsia"/>
          <w:sz w:val="24"/>
          <w:szCs w:val="24"/>
          <w:highlight w:val="none"/>
          <w:lang w:eastAsia="zh-CN"/>
        </w:rPr>
        <w:t>，</w:t>
      </w:r>
      <w:r>
        <w:rPr>
          <w:rFonts w:hint="eastAsia"/>
          <w:sz w:val="24"/>
          <w:szCs w:val="24"/>
          <w:highlight w:val="none"/>
          <w:lang w:val="en-US" w:eastAsia="zh-CN"/>
        </w:rPr>
        <w:t>乙方</w:t>
      </w:r>
      <w:r>
        <w:rPr>
          <w:rFonts w:hint="eastAsia"/>
          <w:sz w:val="24"/>
          <w:szCs w:val="24"/>
          <w:highlight w:val="none"/>
        </w:rPr>
        <w:t xml:space="preserve">必须按时完成。 </w:t>
      </w:r>
    </w:p>
    <w:p w14:paraId="522C11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8.1.4乙方应</w:t>
      </w:r>
      <w:r>
        <w:rPr>
          <w:rFonts w:hint="eastAsia"/>
          <w:sz w:val="24"/>
          <w:szCs w:val="24"/>
          <w:highlight w:val="none"/>
        </w:rPr>
        <w:t>做好各方面的记录工作。</w:t>
      </w:r>
    </w:p>
    <w:p w14:paraId="5046F6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w:t>
      </w:r>
      <w:r>
        <w:rPr>
          <w:rFonts w:hint="eastAsia"/>
          <w:sz w:val="24"/>
          <w:szCs w:val="24"/>
          <w:highlight w:val="none"/>
        </w:rPr>
        <w:t>.2检查考核</w:t>
      </w:r>
    </w:p>
    <w:p w14:paraId="1B8920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 xml:space="preserve">  检查时间</w:t>
      </w:r>
      <w:r>
        <w:rPr>
          <w:rFonts w:hint="eastAsia"/>
          <w:sz w:val="24"/>
          <w:szCs w:val="24"/>
          <w:highlight w:val="none"/>
          <w:lang w:eastAsia="zh-CN"/>
        </w:rPr>
        <w:t>：</w:t>
      </w:r>
      <w:r>
        <w:rPr>
          <w:rFonts w:hint="eastAsia"/>
          <w:sz w:val="24"/>
          <w:szCs w:val="24"/>
          <w:highlight w:val="none"/>
          <w:lang w:val="en-US" w:eastAsia="zh-CN"/>
        </w:rPr>
        <w:t>定期检查（招标文件中已有的考核表甲方有权修改，且可根据乙方工作的实际情况增加新的考核表，招标文件中未提供的考核表甲方有权根据工作情况增加，并作为奖惩依据，所有考核表修改或增加后，甲方及时通知乙方现场负责人）。</w:t>
      </w:r>
    </w:p>
    <w:p w14:paraId="218BB7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w:t>
      </w:r>
      <w:r>
        <w:rPr>
          <w:rFonts w:hint="eastAsia"/>
          <w:sz w:val="24"/>
          <w:szCs w:val="24"/>
          <w:highlight w:val="none"/>
        </w:rPr>
        <w:t>.3考核形式</w:t>
      </w:r>
      <w:r>
        <w:rPr>
          <w:rFonts w:hint="eastAsia"/>
          <w:sz w:val="24"/>
          <w:szCs w:val="24"/>
          <w:highlight w:val="none"/>
          <w:lang w:eastAsia="zh-CN"/>
        </w:rPr>
        <w:t>（</w:t>
      </w:r>
      <w:r>
        <w:rPr>
          <w:rFonts w:hint="eastAsia"/>
          <w:sz w:val="24"/>
          <w:szCs w:val="24"/>
          <w:highlight w:val="none"/>
          <w:lang w:val="en-US" w:eastAsia="zh-CN"/>
        </w:rPr>
        <w:t>由甲方后勤保障科组织</w:t>
      </w:r>
      <w:r>
        <w:rPr>
          <w:rFonts w:hint="eastAsia"/>
          <w:sz w:val="24"/>
          <w:szCs w:val="24"/>
          <w:highlight w:val="none"/>
          <w:lang w:eastAsia="zh-CN"/>
        </w:rPr>
        <w:t>）</w:t>
      </w:r>
      <w:r>
        <w:rPr>
          <w:rFonts w:hint="eastAsia"/>
          <w:sz w:val="24"/>
          <w:szCs w:val="24"/>
          <w:highlight w:val="none"/>
        </w:rPr>
        <w:t>：</w:t>
      </w:r>
    </w:p>
    <w:p w14:paraId="67AC47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8.3.1</w:t>
      </w:r>
      <w:r>
        <w:rPr>
          <w:rFonts w:hint="eastAsia"/>
          <w:sz w:val="24"/>
          <w:szCs w:val="24"/>
          <w:highlight w:val="none"/>
        </w:rPr>
        <w:t>采取定期检查并实行打分制，满分为100分；</w:t>
      </w:r>
    </w:p>
    <w:p w14:paraId="1EFF00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8.3.2</w:t>
      </w:r>
      <w:r>
        <w:rPr>
          <w:rFonts w:hint="eastAsia"/>
          <w:sz w:val="24"/>
          <w:szCs w:val="24"/>
          <w:highlight w:val="none"/>
        </w:rPr>
        <w:t>问卷形式；</w:t>
      </w:r>
    </w:p>
    <w:p w14:paraId="5B38A4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8.3.3</w:t>
      </w:r>
      <w:r>
        <w:rPr>
          <w:rFonts w:hint="eastAsia"/>
          <w:sz w:val="24"/>
          <w:szCs w:val="24"/>
          <w:highlight w:val="none"/>
        </w:rPr>
        <w:t>主管部门及领导综合评定。</w:t>
      </w:r>
    </w:p>
    <w:p w14:paraId="6972DE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w:t>
      </w:r>
      <w:r>
        <w:rPr>
          <w:rFonts w:hint="eastAsia"/>
          <w:sz w:val="24"/>
          <w:szCs w:val="24"/>
          <w:highlight w:val="none"/>
        </w:rPr>
        <w:t>.4奖惩</w:t>
      </w:r>
    </w:p>
    <w:p w14:paraId="53FC95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8.4.1</w:t>
      </w:r>
      <w:r>
        <w:rPr>
          <w:rFonts w:hint="eastAsia"/>
          <w:sz w:val="24"/>
          <w:szCs w:val="24"/>
          <w:highlight w:val="none"/>
        </w:rPr>
        <w:t>由于乙方原因影响甲方工作秩序、工作环境，每发生一次罚款500～1000元。</w:t>
      </w:r>
    </w:p>
    <w:p w14:paraId="0F3087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8.4.2</w:t>
      </w:r>
      <w:r>
        <w:rPr>
          <w:rFonts w:hint="eastAsia"/>
          <w:sz w:val="24"/>
          <w:szCs w:val="24"/>
          <w:highlight w:val="none"/>
        </w:rPr>
        <w:t>乙方工作质量达不到《安保服务内容及标准》所规定，经考核后低于90分的，安保服务费削减当次应付款的5%</w:t>
      </w:r>
      <w:r>
        <w:rPr>
          <w:rFonts w:hint="eastAsia"/>
          <w:sz w:val="24"/>
          <w:szCs w:val="24"/>
          <w:highlight w:val="none"/>
          <w:lang w:val="en-US" w:eastAsia="zh-CN"/>
        </w:rPr>
        <w:t>扣除保证金的5%</w:t>
      </w:r>
      <w:r>
        <w:rPr>
          <w:rFonts w:hint="eastAsia"/>
          <w:sz w:val="24"/>
          <w:szCs w:val="24"/>
          <w:highlight w:val="none"/>
          <w:lang w:eastAsia="zh-CN"/>
        </w:rPr>
        <w:t>，</w:t>
      </w:r>
      <w:r>
        <w:rPr>
          <w:rFonts w:hint="eastAsia"/>
          <w:sz w:val="24"/>
          <w:szCs w:val="24"/>
          <w:highlight w:val="none"/>
        </w:rPr>
        <w:t>考核后低于</w:t>
      </w:r>
      <w:r>
        <w:rPr>
          <w:rFonts w:hint="eastAsia"/>
          <w:sz w:val="24"/>
          <w:szCs w:val="24"/>
          <w:highlight w:val="none"/>
          <w:lang w:val="en-US" w:eastAsia="zh-CN"/>
        </w:rPr>
        <w:t>85</w:t>
      </w:r>
      <w:r>
        <w:rPr>
          <w:rFonts w:hint="eastAsia"/>
          <w:sz w:val="24"/>
          <w:szCs w:val="24"/>
          <w:highlight w:val="none"/>
        </w:rPr>
        <w:t>分</w:t>
      </w:r>
      <w:r>
        <w:rPr>
          <w:rFonts w:hint="eastAsia"/>
          <w:sz w:val="24"/>
          <w:szCs w:val="24"/>
          <w:highlight w:val="none"/>
          <w:lang w:eastAsia="zh-CN"/>
        </w:rPr>
        <w:t>（</w:t>
      </w:r>
      <w:r>
        <w:rPr>
          <w:rFonts w:hint="eastAsia"/>
          <w:sz w:val="24"/>
          <w:szCs w:val="24"/>
          <w:highlight w:val="none"/>
          <w:lang w:val="en-US" w:eastAsia="zh-CN"/>
        </w:rPr>
        <w:t>不含85分）</w:t>
      </w:r>
      <w:r>
        <w:rPr>
          <w:rFonts w:hint="eastAsia"/>
          <w:sz w:val="24"/>
          <w:szCs w:val="24"/>
          <w:highlight w:val="none"/>
        </w:rPr>
        <w:t>的，安保服务费削减当次应付款的</w:t>
      </w:r>
      <w:r>
        <w:rPr>
          <w:rFonts w:hint="eastAsia"/>
          <w:sz w:val="24"/>
          <w:szCs w:val="24"/>
          <w:highlight w:val="none"/>
          <w:lang w:val="en-US" w:eastAsia="zh-CN"/>
        </w:rPr>
        <w:t>10</w:t>
      </w:r>
      <w:r>
        <w:rPr>
          <w:rFonts w:hint="eastAsia"/>
          <w:sz w:val="24"/>
          <w:szCs w:val="24"/>
          <w:highlight w:val="none"/>
        </w:rPr>
        <w:t>%。</w:t>
      </w:r>
    </w:p>
    <w:p w14:paraId="696766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8.4.3</w:t>
      </w:r>
      <w:r>
        <w:rPr>
          <w:rFonts w:hint="eastAsia"/>
          <w:sz w:val="24"/>
          <w:szCs w:val="24"/>
          <w:highlight w:val="none"/>
        </w:rPr>
        <w:t>乙方工作质量基本达到《安保服务内容及标准》所规定，经考核后为90分或高于90分的，安保服务费全额支付。</w:t>
      </w:r>
    </w:p>
    <w:p w14:paraId="2F7A3B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8.4.4其他人员未按招标文件要求提供的（甲方要求调整除外），甲方限期整改未到位的，按未达要求人数每人每月扣罚2000元；甲方有权对乙方服务于本项目的其他工作提出调换建议。发生重大安全、隐私、影响医院影响等一切，甲方有权扣除乙方月服务费的1%-5%整作为处罚金。</w:t>
      </w:r>
    </w:p>
    <w:p w14:paraId="241168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8.5</w:t>
      </w:r>
      <w:r>
        <w:rPr>
          <w:rFonts w:hint="eastAsia"/>
          <w:sz w:val="24"/>
          <w:szCs w:val="24"/>
          <w:highlight w:val="none"/>
        </w:rPr>
        <w:t>奖励细则</w:t>
      </w:r>
    </w:p>
    <w:p w14:paraId="3D2679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8.5</w:t>
      </w:r>
      <w:r>
        <w:rPr>
          <w:rFonts w:hint="eastAsia"/>
          <w:sz w:val="24"/>
          <w:szCs w:val="24"/>
          <w:highlight w:val="none"/>
        </w:rPr>
        <w:t>.1凡有下列情形之一的，</w:t>
      </w:r>
      <w:r>
        <w:rPr>
          <w:rFonts w:hint="eastAsia"/>
          <w:sz w:val="24"/>
          <w:szCs w:val="24"/>
          <w:highlight w:val="none"/>
          <w:lang w:val="en-US" w:eastAsia="zh-CN"/>
        </w:rPr>
        <w:t>医院</w:t>
      </w:r>
      <w:r>
        <w:rPr>
          <w:rFonts w:hint="eastAsia"/>
          <w:sz w:val="24"/>
          <w:szCs w:val="24"/>
          <w:highlight w:val="none"/>
        </w:rPr>
        <w:t>将予以奖励，并奖励100-2000元奖金：</w:t>
      </w:r>
    </w:p>
    <w:p w14:paraId="3CCDBF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8.5</w:t>
      </w:r>
      <w:r>
        <w:rPr>
          <w:rFonts w:hint="eastAsia"/>
          <w:sz w:val="24"/>
          <w:szCs w:val="24"/>
          <w:highlight w:val="none"/>
        </w:rPr>
        <w:t>.1</w:t>
      </w:r>
      <w:r>
        <w:rPr>
          <w:rFonts w:hint="eastAsia"/>
          <w:sz w:val="24"/>
          <w:szCs w:val="24"/>
          <w:highlight w:val="none"/>
          <w:lang w:val="en-US" w:eastAsia="zh-CN"/>
        </w:rPr>
        <w:t>.</w:t>
      </w:r>
      <w:r>
        <w:rPr>
          <w:rFonts w:hint="eastAsia"/>
          <w:sz w:val="24"/>
          <w:szCs w:val="24"/>
          <w:highlight w:val="none"/>
        </w:rPr>
        <w:t>1工作中查出夹带物品出门等违章行为；发现火情、漏水、漏气等安全隐患者；</w:t>
      </w:r>
    </w:p>
    <w:p w14:paraId="64DBCB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8.5</w:t>
      </w:r>
      <w:r>
        <w:rPr>
          <w:rFonts w:hint="eastAsia"/>
          <w:sz w:val="24"/>
          <w:szCs w:val="24"/>
          <w:highlight w:val="none"/>
        </w:rPr>
        <w:t>.1.2拾金不昧、见义勇为者；</w:t>
      </w:r>
    </w:p>
    <w:p w14:paraId="201DB4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8.5</w:t>
      </w:r>
      <w:r>
        <w:rPr>
          <w:rFonts w:hint="eastAsia"/>
          <w:sz w:val="24"/>
          <w:szCs w:val="24"/>
          <w:highlight w:val="none"/>
        </w:rPr>
        <w:t>.1.3 协助公安机关抓获犯罪嫌疑人、违法人员，事迹突出者报见义勇为；</w:t>
      </w:r>
    </w:p>
    <w:p w14:paraId="0712E3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8.5</w:t>
      </w:r>
      <w:r>
        <w:rPr>
          <w:rFonts w:hint="eastAsia"/>
          <w:sz w:val="24"/>
          <w:szCs w:val="24"/>
          <w:highlight w:val="none"/>
        </w:rPr>
        <w:t>.1.4积极参加抢险救灾，保护人民生命财产安全，确有功绩者；</w:t>
      </w:r>
    </w:p>
    <w:p w14:paraId="50740F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8.5</w:t>
      </w:r>
      <w:r>
        <w:rPr>
          <w:rFonts w:hint="eastAsia"/>
          <w:sz w:val="24"/>
          <w:szCs w:val="24"/>
          <w:highlight w:val="none"/>
        </w:rPr>
        <w:t>.1.5有其他重大功绩者。</w:t>
      </w:r>
    </w:p>
    <w:p w14:paraId="50F039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惩罚细则</w:t>
      </w:r>
    </w:p>
    <w:p w14:paraId="52297C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.1 凡有下列情形之一的，予以退回保安公司：</w:t>
      </w:r>
    </w:p>
    <w:p w14:paraId="601B44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1.1利用工作之便内外勾结、图取私利、虚打考勤、贪污、盗窃、斗殴、诈骗、索贿、受贿、私吃回扣、经手钱财不清、拖欠钱财不偿、严重违反医院制度者；</w:t>
      </w:r>
    </w:p>
    <w:p w14:paraId="4605B5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.1.2因触犯法律、法规被治安拘留或被追究刑事责任者；</w:t>
      </w:r>
    </w:p>
    <w:p w14:paraId="664925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.1.3</w:t>
      </w:r>
      <w:r>
        <w:rPr>
          <w:rFonts w:hint="eastAsia"/>
          <w:sz w:val="24"/>
          <w:szCs w:val="24"/>
          <w:highlight w:val="none"/>
          <w:lang w:val="en-US" w:eastAsia="zh-CN"/>
        </w:rPr>
        <w:t>连续旷工2天或30日内累计旷工4天者</w:t>
      </w:r>
      <w:r>
        <w:rPr>
          <w:rFonts w:hint="eastAsia"/>
          <w:sz w:val="24"/>
          <w:szCs w:val="24"/>
          <w:highlight w:val="none"/>
        </w:rPr>
        <w:t>；</w:t>
      </w:r>
    </w:p>
    <w:p w14:paraId="271E86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.1.4一年内（连续12个月）发现两次脱岗或两次酒后上岗或三次睡岗者；</w:t>
      </w:r>
    </w:p>
    <w:p w14:paraId="7D667D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.1.5队员不能胜任现岗位工作；</w:t>
      </w:r>
    </w:p>
    <w:p w14:paraId="44080D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.1.6面临突发事件或紧急情况下，临阵脱逃或坐视不闻不问者；</w:t>
      </w:r>
    </w:p>
    <w:p w14:paraId="77CC48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.1.7因工作失职发生严重刑事案件、重大治安案件者；</w:t>
      </w:r>
    </w:p>
    <w:p w14:paraId="1D150A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.1.8工作中多次不服从管理者；殴打、辱骂管理者行为情节严重者。</w:t>
      </w:r>
    </w:p>
    <w:p w14:paraId="3F229D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.2 凡有下列情形之一的，予以经济处罚100元-500元</w:t>
      </w:r>
      <w:r>
        <w:rPr>
          <w:rFonts w:hint="eastAsia"/>
          <w:sz w:val="24"/>
          <w:szCs w:val="24"/>
          <w:highlight w:val="none"/>
          <w:lang w:val="en-US" w:eastAsia="zh-CN"/>
        </w:rPr>
        <w:t>或</w:t>
      </w:r>
      <w:r>
        <w:rPr>
          <w:rFonts w:hint="eastAsia"/>
          <w:sz w:val="24"/>
          <w:szCs w:val="24"/>
          <w:highlight w:val="none"/>
        </w:rPr>
        <w:t>退回保安公司：</w:t>
      </w:r>
    </w:p>
    <w:p w14:paraId="0A350D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.2.1因违反规定被投诉，或被上级部门检查发现，第一次书面警告，第二次扣罚100元，第三次退回保安公司；</w:t>
      </w:r>
    </w:p>
    <w:p w14:paraId="102344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.2.2当班期间睡岗，一次扣罚100元，二次扣罚500元；脱岗一次扣罚200元； 酒后上岗（有明显酒味）第一次扣除本班工资并罚100元；</w:t>
      </w:r>
    </w:p>
    <w:p w14:paraId="507897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.2.3对后勤保障科下达的工作任务，未按职责范围内履行岗位职责者，一次扣罚100元，造成严重后果的，退回保安公司；</w:t>
      </w:r>
    </w:p>
    <w:p w14:paraId="1E510D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.2.4未经批准擅自调班，一次扣罚100元，二次扣罚500元，第三次退回保安公司；</w:t>
      </w:r>
    </w:p>
    <w:p w14:paraId="11310E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.2.5未经请假无故迟到、早退1小时以内者, 一次书面警告，超过1小时按旷工处理；</w:t>
      </w:r>
    </w:p>
    <w:p w14:paraId="36003D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eastAsia="zh-CN"/>
        </w:rPr>
      </w:pPr>
      <w:r>
        <w:rPr>
          <w:rFonts w:hint="eastAsia"/>
          <w:sz w:val="24"/>
          <w:szCs w:val="24"/>
          <w:highlight w:val="none"/>
          <w:lang w:val="en-US" w:eastAsia="zh-CN"/>
        </w:rPr>
        <w:t>8.6</w:t>
      </w:r>
      <w:r>
        <w:rPr>
          <w:rFonts w:hint="eastAsia"/>
          <w:sz w:val="24"/>
          <w:szCs w:val="24"/>
          <w:highlight w:val="none"/>
        </w:rPr>
        <w:t>.2.6 查扣物品不登记、不上交，捡拾物品不报告者，一次扣罚100元</w:t>
      </w:r>
      <w:r>
        <w:rPr>
          <w:rFonts w:hint="eastAsia"/>
          <w:sz w:val="24"/>
          <w:szCs w:val="24"/>
          <w:highlight w:val="none"/>
          <w:lang w:eastAsia="zh-CN"/>
        </w:rPr>
        <w:t>。</w:t>
      </w:r>
    </w:p>
    <w:p w14:paraId="228AFF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.3 凡有下列情形之一的，予以50元经济处罚或书面警告：</w:t>
      </w:r>
    </w:p>
    <w:p w14:paraId="0CCFF3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.3.1上岗时擅离职守，怠慢工作者；</w:t>
      </w:r>
    </w:p>
    <w:p w14:paraId="43983A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eastAsia="zh-CN"/>
        </w:rPr>
      </w:pPr>
      <w:r>
        <w:rPr>
          <w:rFonts w:hint="eastAsia"/>
          <w:sz w:val="24"/>
          <w:szCs w:val="24"/>
          <w:highlight w:val="none"/>
          <w:lang w:val="en-US" w:eastAsia="zh-CN"/>
        </w:rPr>
        <w:t>8.6</w:t>
      </w:r>
      <w:r>
        <w:rPr>
          <w:rFonts w:hint="eastAsia"/>
          <w:sz w:val="24"/>
          <w:szCs w:val="24"/>
          <w:highlight w:val="none"/>
        </w:rPr>
        <w:t>.3.2 不服从上级部门工作安排，影响工作</w:t>
      </w:r>
      <w:r>
        <w:rPr>
          <w:rFonts w:hint="eastAsia"/>
          <w:sz w:val="24"/>
          <w:szCs w:val="24"/>
          <w:highlight w:val="none"/>
          <w:lang w:eastAsia="zh-CN"/>
        </w:rPr>
        <w:t>，</w:t>
      </w:r>
      <w:r>
        <w:rPr>
          <w:rFonts w:hint="eastAsia"/>
          <w:sz w:val="24"/>
          <w:szCs w:val="24"/>
          <w:highlight w:val="none"/>
        </w:rPr>
        <w:t>造成不良后果者</w:t>
      </w:r>
      <w:r>
        <w:rPr>
          <w:rFonts w:hint="eastAsia"/>
          <w:sz w:val="24"/>
          <w:szCs w:val="24"/>
          <w:highlight w:val="none"/>
          <w:lang w:eastAsia="zh-CN"/>
        </w:rPr>
        <w:t>；</w:t>
      </w:r>
    </w:p>
    <w:p w14:paraId="73F1F7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.3.3 上岗时违反《保安人员着装规定》执行，仪容仪表不整者；</w:t>
      </w:r>
    </w:p>
    <w:p w14:paraId="620E3E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.3.4 上岗时看书报、玩手机、收听广播、收看电视或进行其他与岗位职责无关的行为者；</w:t>
      </w:r>
    </w:p>
    <w:p w14:paraId="3DBB25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eastAsia="zh-CN"/>
        </w:rPr>
      </w:pPr>
      <w:r>
        <w:rPr>
          <w:rFonts w:hint="eastAsia"/>
          <w:sz w:val="24"/>
          <w:szCs w:val="24"/>
          <w:highlight w:val="none"/>
          <w:lang w:val="en-US" w:eastAsia="zh-CN"/>
        </w:rPr>
        <w:t>8.6</w:t>
      </w:r>
      <w:r>
        <w:rPr>
          <w:rFonts w:hint="eastAsia"/>
          <w:sz w:val="24"/>
          <w:szCs w:val="24"/>
          <w:highlight w:val="none"/>
        </w:rPr>
        <w:t>.3.5未经批准无故不参加医院（班、队）组织学习、训练、任务及其他活动者</w:t>
      </w:r>
      <w:r>
        <w:rPr>
          <w:rFonts w:hint="eastAsia"/>
          <w:sz w:val="24"/>
          <w:szCs w:val="24"/>
          <w:highlight w:val="none"/>
          <w:lang w:eastAsia="zh-CN"/>
        </w:rPr>
        <w:t>；</w:t>
      </w:r>
    </w:p>
    <w:p w14:paraId="1DB022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eastAsia="zh-CN"/>
        </w:rPr>
      </w:pPr>
      <w:r>
        <w:rPr>
          <w:rFonts w:hint="eastAsia"/>
          <w:sz w:val="24"/>
          <w:szCs w:val="24"/>
          <w:highlight w:val="none"/>
          <w:lang w:val="en-US" w:eastAsia="zh-CN"/>
        </w:rPr>
        <w:t>8.6</w:t>
      </w:r>
      <w:r>
        <w:rPr>
          <w:rFonts w:hint="eastAsia"/>
          <w:sz w:val="24"/>
          <w:szCs w:val="24"/>
          <w:highlight w:val="none"/>
        </w:rPr>
        <w:t>.3.6交接班记录或日常工作台账不实时记录及更新或不按《交接班制度》执行者</w:t>
      </w:r>
      <w:r>
        <w:rPr>
          <w:rFonts w:hint="eastAsia"/>
          <w:sz w:val="24"/>
          <w:szCs w:val="24"/>
          <w:highlight w:val="none"/>
          <w:lang w:eastAsia="zh-CN"/>
        </w:rPr>
        <w:t>；</w:t>
      </w:r>
    </w:p>
    <w:p w14:paraId="6BBDDB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8.6</w:t>
      </w:r>
      <w:r>
        <w:rPr>
          <w:rFonts w:hint="eastAsia"/>
          <w:sz w:val="24"/>
          <w:szCs w:val="24"/>
          <w:highlight w:val="none"/>
        </w:rPr>
        <w:t>.3.7在岗位或工作群中，有打骂式行为或擅自在工作群中发布不当言论者。</w:t>
      </w:r>
    </w:p>
    <w:p w14:paraId="549089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9.</w:t>
      </w:r>
      <w:r>
        <w:rPr>
          <w:sz w:val="24"/>
          <w:szCs w:val="24"/>
          <w:highlight w:val="none"/>
        </w:rPr>
        <w:t>甲乙双方的权利与义务</w:t>
      </w:r>
    </w:p>
    <w:p w14:paraId="6CEDE4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.1甲方权利、义务</w:t>
      </w:r>
    </w:p>
    <w:p w14:paraId="6D944C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highlight w:val="none"/>
          <w:lang w:val="en-US" w:eastAsia="zh-CN"/>
        </w:rPr>
      </w:pPr>
      <w:r>
        <w:rPr>
          <w:rFonts w:hint="eastAsia"/>
          <w:sz w:val="24"/>
          <w:szCs w:val="24"/>
          <w:highlight w:val="none"/>
          <w:lang w:val="en-US" w:eastAsia="zh-CN"/>
        </w:rPr>
        <w:t>9</w:t>
      </w:r>
      <w:r>
        <w:rPr>
          <w:rFonts w:hint="eastAsia"/>
          <w:sz w:val="24"/>
          <w:szCs w:val="24"/>
          <w:highlight w:val="none"/>
        </w:rPr>
        <w:t>.1.1甲方负责对乙方的工作实施检查和管理，依据考核细则进行考核</w:t>
      </w:r>
      <w:r>
        <w:rPr>
          <w:rFonts w:hint="eastAsia"/>
          <w:sz w:val="24"/>
          <w:szCs w:val="24"/>
          <w:highlight w:val="none"/>
          <w:lang w:eastAsia="zh-CN"/>
        </w:rPr>
        <w:t>。</w:t>
      </w:r>
      <w:r>
        <w:rPr>
          <w:rFonts w:hint="eastAsia"/>
          <w:sz w:val="24"/>
          <w:szCs w:val="24"/>
          <w:highlight w:val="none"/>
        </w:rPr>
        <w:t>月考核得分在90分以下的，在</w:t>
      </w:r>
      <w:r>
        <w:rPr>
          <w:rFonts w:hint="eastAsia"/>
          <w:sz w:val="24"/>
          <w:szCs w:val="24"/>
          <w:highlight w:val="none"/>
          <w:lang w:val="en-US" w:eastAsia="zh-CN"/>
        </w:rPr>
        <w:t>甲方</w:t>
      </w:r>
      <w:r>
        <w:rPr>
          <w:rFonts w:hint="eastAsia"/>
          <w:sz w:val="24"/>
          <w:szCs w:val="24"/>
          <w:highlight w:val="none"/>
        </w:rPr>
        <w:t>书面通知</w:t>
      </w:r>
      <w:r>
        <w:rPr>
          <w:rFonts w:hint="eastAsia"/>
          <w:sz w:val="24"/>
          <w:szCs w:val="24"/>
          <w:highlight w:val="none"/>
          <w:lang w:val="en-US" w:eastAsia="zh-CN"/>
        </w:rPr>
        <w:t>乙方</w:t>
      </w:r>
      <w:r>
        <w:rPr>
          <w:rFonts w:hint="eastAsia"/>
          <w:sz w:val="24"/>
          <w:szCs w:val="24"/>
          <w:highlight w:val="none"/>
        </w:rPr>
        <w:t>整改的情况下，</w:t>
      </w:r>
      <w:r>
        <w:rPr>
          <w:rFonts w:hint="eastAsia"/>
          <w:sz w:val="24"/>
          <w:szCs w:val="24"/>
          <w:highlight w:val="none"/>
          <w:lang w:val="en-US" w:eastAsia="zh-CN"/>
        </w:rPr>
        <w:t>乙方</w:t>
      </w:r>
      <w:r>
        <w:rPr>
          <w:rFonts w:hint="eastAsia"/>
          <w:sz w:val="24"/>
          <w:szCs w:val="24"/>
          <w:highlight w:val="none"/>
        </w:rPr>
        <w:t>无有效的改善措施，或合同期内考核连续3次或累计6个月评价为“80分以下的”，甲方有权单方面提出终止合同并没收履约保证金，并且不承担违约责任。</w:t>
      </w:r>
      <w:r>
        <w:rPr>
          <w:rFonts w:hint="eastAsia"/>
          <w:sz w:val="24"/>
          <w:szCs w:val="24"/>
          <w:highlight w:val="none"/>
          <w:lang w:val="en-US" w:eastAsia="zh-CN"/>
        </w:rPr>
        <w:t>甲方</w:t>
      </w:r>
      <w:r>
        <w:rPr>
          <w:rFonts w:hint="eastAsia"/>
          <w:sz w:val="24"/>
          <w:szCs w:val="24"/>
          <w:highlight w:val="none"/>
        </w:rPr>
        <w:t>要求</w:t>
      </w:r>
      <w:r>
        <w:rPr>
          <w:rFonts w:hint="eastAsia"/>
          <w:sz w:val="24"/>
          <w:szCs w:val="24"/>
          <w:highlight w:val="none"/>
          <w:lang w:val="en-US" w:eastAsia="zh-CN"/>
        </w:rPr>
        <w:t>乙方</w:t>
      </w:r>
      <w:r>
        <w:rPr>
          <w:rFonts w:hint="eastAsia"/>
          <w:sz w:val="24"/>
          <w:szCs w:val="24"/>
          <w:highlight w:val="none"/>
        </w:rPr>
        <w:t>对考评细则的不足进行限期整改，整改无效的，</w:t>
      </w:r>
      <w:r>
        <w:rPr>
          <w:rFonts w:hint="eastAsia"/>
          <w:sz w:val="24"/>
          <w:szCs w:val="24"/>
          <w:highlight w:val="none"/>
          <w:lang w:val="en-US" w:eastAsia="zh-CN"/>
        </w:rPr>
        <w:t>甲方</w:t>
      </w:r>
      <w:r>
        <w:rPr>
          <w:rFonts w:hint="eastAsia"/>
          <w:sz w:val="24"/>
          <w:szCs w:val="24"/>
          <w:highlight w:val="none"/>
        </w:rPr>
        <w:t>有权扣除月费用的0.1%-3%。</w:t>
      </w:r>
      <w:r>
        <w:rPr>
          <w:rFonts w:hint="eastAsia"/>
          <w:sz w:val="24"/>
          <w:szCs w:val="24"/>
          <w:highlight w:val="none"/>
          <w:lang w:val="en-US" w:eastAsia="zh-CN"/>
        </w:rPr>
        <w:t>因乙方原因对甲方正常医疗活动造成重大影响或重大经济损失的，甲方有权追究乙方的法律责任并要求乙方赔偿其全部损失（包括直接损失和间接损失）。</w:t>
      </w:r>
    </w:p>
    <w:p w14:paraId="781FCD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9</w:t>
      </w:r>
      <w:r>
        <w:rPr>
          <w:rFonts w:hint="eastAsia"/>
          <w:sz w:val="24"/>
          <w:szCs w:val="24"/>
          <w:highlight w:val="none"/>
        </w:rPr>
        <w:t>.1.2</w:t>
      </w:r>
      <w:r>
        <w:rPr>
          <w:rFonts w:hint="eastAsia"/>
          <w:sz w:val="24"/>
          <w:szCs w:val="24"/>
          <w:highlight w:val="none"/>
          <w:lang w:val="en-US" w:eastAsia="zh-CN"/>
        </w:rPr>
        <w:t>甲方对乙方安排的服务人员进行考核，有权对乙方不称职的人员提出撤换要求；对乙方提供服务时投入配置的设备、设施、工具以及相关用品的数量、质量及使用状况进行监督。</w:t>
      </w:r>
    </w:p>
    <w:p w14:paraId="6289C5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.1.3</w:t>
      </w:r>
      <w:r>
        <w:rPr>
          <w:rFonts w:hint="eastAsia"/>
          <w:sz w:val="24"/>
          <w:szCs w:val="24"/>
          <w:highlight w:val="none"/>
          <w:lang w:val="en-US" w:eastAsia="zh-CN"/>
        </w:rPr>
        <w:t>合同期满全年月度考核均分达到90-100（含90分）为优，一次性全额返还；全年月度考核均分达到85-90（含85分）为良，扣除保证金的5%；全年月度考核均分低于85分，不返还保证金。</w:t>
      </w:r>
    </w:p>
    <w:p w14:paraId="6F32D5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.1.4甲方对乙方所提供安保服务中相关节能工作进行指导，督促乙方加大节能管理力度。</w:t>
      </w:r>
    </w:p>
    <w:p w14:paraId="77667F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.1.5根据有关部门的要求，指导、协调乙方妥善处理与安保管理服务相关的创建工作。</w:t>
      </w:r>
    </w:p>
    <w:p w14:paraId="45D36E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.1.6甲方根据安保工作实际需要提供相应的安保管理用房，交安保管理人员使用。另甲方只提供必须的工作休息场所，不提供员工宿舍。前期开办费由安保公司依据工作需求进行测算，计入投标总报价中。</w:t>
      </w:r>
    </w:p>
    <w:p w14:paraId="1998A4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.1.7协助乙方做好有关项目管理的宣传教育，协调乙方与地方行政管理部门的关系。</w:t>
      </w:r>
    </w:p>
    <w:p w14:paraId="4886EE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.1.8根据考核情况按时支付安保服务费用。</w:t>
      </w:r>
    </w:p>
    <w:p w14:paraId="5908D8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.1.9审议乙方服务项目的年度计划、工作安排，并予以监督。</w:t>
      </w:r>
    </w:p>
    <w:p w14:paraId="4D8AA3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.1.10甲方有权按照合同约定和法律规定的标准规范，对乙方实施的安保服务提出修改和变更建议。</w:t>
      </w:r>
    </w:p>
    <w:p w14:paraId="43D734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.1.11负责协调、处理、解决本合同生效前发生的遗留问题，便于乙方开展工作。</w:t>
      </w:r>
    </w:p>
    <w:p w14:paraId="202F9A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.1.12法律、法规规定由甲方承担的其他责任。</w:t>
      </w:r>
    </w:p>
    <w:p w14:paraId="623D6B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.2乙方权利、义务：</w:t>
      </w:r>
    </w:p>
    <w:p w14:paraId="1A43BB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.2.1乙方须作出以下书面承诺（须法人代表签字</w:t>
      </w:r>
      <w:r>
        <w:rPr>
          <w:rFonts w:hint="eastAsia"/>
          <w:sz w:val="24"/>
          <w:szCs w:val="24"/>
          <w:highlight w:val="none"/>
          <w:lang w:val="en-US" w:eastAsia="zh-CN"/>
        </w:rPr>
        <w:t>并</w:t>
      </w:r>
      <w:r>
        <w:rPr>
          <w:rFonts w:hint="eastAsia"/>
          <w:sz w:val="24"/>
          <w:szCs w:val="24"/>
          <w:highlight w:val="none"/>
        </w:rPr>
        <w:t>加盖法人公章）：</w:t>
      </w:r>
    </w:p>
    <w:p w14:paraId="1B2946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（1）遵守《中华人民共和国劳动合同法》《保安服务管理条例》和泰州市最低工资标准、社保缴纳等相关规定；</w:t>
      </w:r>
    </w:p>
    <w:p w14:paraId="4FF5E1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（2）</w:t>
      </w:r>
      <w:r>
        <w:rPr>
          <w:rFonts w:hint="eastAsia"/>
          <w:sz w:val="24"/>
          <w:szCs w:val="24"/>
          <w:highlight w:val="none"/>
          <w:lang w:val="en-US" w:eastAsia="zh-CN"/>
        </w:rPr>
        <w:t>乙方</w:t>
      </w:r>
      <w:r>
        <w:rPr>
          <w:rFonts w:hint="eastAsia"/>
          <w:sz w:val="24"/>
          <w:szCs w:val="24"/>
          <w:highlight w:val="none"/>
        </w:rPr>
        <w:t>必须接受</w:t>
      </w:r>
      <w:r>
        <w:rPr>
          <w:rFonts w:hint="eastAsia"/>
          <w:sz w:val="24"/>
          <w:szCs w:val="24"/>
          <w:highlight w:val="none"/>
          <w:lang w:val="en-US" w:eastAsia="zh-CN"/>
        </w:rPr>
        <w:t>甲方</w:t>
      </w:r>
      <w:r>
        <w:rPr>
          <w:rFonts w:hint="eastAsia"/>
          <w:sz w:val="24"/>
          <w:szCs w:val="24"/>
          <w:highlight w:val="none"/>
        </w:rPr>
        <w:t>的管理、检查、验收方式、奖励与处罚规定。</w:t>
      </w:r>
    </w:p>
    <w:p w14:paraId="3442E7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.2.2在承接安保服务时，对安保档案资料、共用部位等进行查验，并做好书面确认工作；做好安保资料建档工作。</w:t>
      </w:r>
    </w:p>
    <w:p w14:paraId="1D6DA6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.2.3在本管理服务区域设立专门机构负责安保的日常管理工作，并按合同要求委派符合岗位资格要求的人员履行本合同。</w:t>
      </w:r>
    </w:p>
    <w:p w14:paraId="454179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2.4乙方依据法律法规的规定，根据甲方的委托及实际情况，按照合同约定的服务标准对本项目实施服务，接受甲方检查、管理。甲方检查中如发现聘用的安保人员有严重违反劳动纪律或其他违规行为的可向乙方提出更换人员要求，乙方必须配合执行。及时与甲方沟通，接受甲方的合理化建议。及时向甲方通报本管理服务区域有关安全管理服务的重大事项，稳步提升安保管理服务质量。</w:t>
      </w:r>
    </w:p>
    <w:p w14:paraId="18E47A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2.5根据有关法律法规的规定，结合甲方的需求以及实际情况，负责制订汇编《安保管理制度》，制定乙方工作岗位的工作规范和考核办法。根据甲方的委托和《安全管理制度》对违反规章制度的责任人和责任单位进行处理。制定的各项规章制度和工作规范送甲方备案，并向甲方提供依据工作规程制定的考核标准。</w:t>
      </w:r>
    </w:p>
    <w:p w14:paraId="69F389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.2.6根据合同规定的内容，负责编制本管理项目的安保服务方案、年度工作计划、内部考核办法，经甲方批准后，由乙方组织实施。</w:t>
      </w:r>
    </w:p>
    <w:p w14:paraId="7CDB1D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.2.7协助甲方做好管理区域内各项节能管理工作，按照甲方的指导要求做好相关节能工作，对安保服务人员进行节能管理专业培训，加大节能管理力度。</w:t>
      </w:r>
    </w:p>
    <w:p w14:paraId="2881D0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2.8协助甲方做好本管理区域的安全生产和事故防范工作，对从业人员进行安全操作培训；遵守有关环境保护和职业健康管理职责要求。根据甲方要求，采取事故防范措施，制定应急预案，组织演练，避免发生安全事故。发生安全事故，乙方在采取应急措施的同时，及时向甲方报告，保护好现场、协助做好处置工作。</w:t>
      </w:r>
    </w:p>
    <w:p w14:paraId="2ECFDA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.2.9 未经过甲方同意，乙方对所管理的甲方公用设施不得擅自占用和改变其使用功能，不得占用、挖掘管理区域内道路、场地。</w:t>
      </w:r>
    </w:p>
    <w:p w14:paraId="4FB842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2.10在经过甲方同意后，乙方才可委托专业公司承担乙方不能或没有资质承担的项目，并支付费用，合同需经甲方审核同意后方可签订，合同签署后送交甲方备案。乙方对专业公司在甲方所从事的工作承担责任，不得将项目管理的整体责任及利益转让给其他单位或个人。</w:t>
      </w:r>
    </w:p>
    <w:p w14:paraId="358788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.2.11依据合同约定设置项目管理机构和人员，所有派驻人员信息报甲方人力资源部备案。统一着装，挂牌服务，文明操作，爱护公共财产，如有损坏照价赔偿。</w:t>
      </w:r>
    </w:p>
    <w:p w14:paraId="1534A4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8.2.12 保证从事本安保服务项目的人员具备相应的职业资格和应有的素质，必须按国家规定具备相关工种上岗证条件。做好从业人员有关政治素养方面的审核，负责对相关人员进行岗前培训和经常性的职业道德、业务技能培训教育，尤其要加强安全、保密教育，严格遵守甲方有关规章制度。未经甲方允许，乙方员工不得翻阅甲方资料、报刊、书籍。</w:t>
      </w:r>
    </w:p>
    <w:p w14:paraId="56A173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.2.13在员工管理制度中明确保密规定。除了是为服务本安保项目或履行其在本合同中的规定的义务之外，乙方在未取得甲方书面同意的情况下，不得向第三方透露甲方的工作信息和资料。</w:t>
      </w:r>
    </w:p>
    <w:p w14:paraId="1FD4F9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.2.14如需调整人员，须事先得到甲方同意。对甲方提出认为不适合的在岗人员，乙方应在接到甲方变更在岗人员要求后及时作出调整。</w:t>
      </w:r>
    </w:p>
    <w:p w14:paraId="723CAB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.2.15乙方应执行国家有关规定依法用工，负责乙方员工的生病、事故、伤残、死亡和劳务纠纷的处理，甲方不承担任何相关责任。</w:t>
      </w:r>
    </w:p>
    <w:p w14:paraId="6F4703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.2.16 正常作息时间：乙方作息时间随甲方作息时间做相应调整，并保证提前准备工作的质量效应和下班后的安全保卫工作。</w:t>
      </w:r>
    </w:p>
    <w:p w14:paraId="5DA015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.2.17 双休日及法定假日：每天安排值班人员保障常规安全保卫工作。</w:t>
      </w:r>
    </w:p>
    <w:p w14:paraId="3AA491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9</w:t>
      </w:r>
      <w:r>
        <w:rPr>
          <w:rFonts w:hint="eastAsia"/>
          <w:sz w:val="24"/>
          <w:szCs w:val="24"/>
          <w:highlight w:val="none"/>
        </w:rPr>
        <w:t>.2.18建立安保服务档案并负责及时记载有关变更情况，在管理期满不再续签新合同时，应移交安保服务管理权，撤出本项目。协助甲方</w:t>
      </w:r>
      <w:r>
        <w:rPr>
          <w:rFonts w:hint="eastAsia"/>
          <w:sz w:val="24"/>
          <w:szCs w:val="24"/>
          <w:highlight w:val="none"/>
          <w:lang w:val="en-US" w:eastAsia="zh-CN"/>
        </w:rPr>
        <w:t>做</w:t>
      </w:r>
      <w:r>
        <w:rPr>
          <w:rFonts w:hint="eastAsia"/>
          <w:sz w:val="24"/>
          <w:szCs w:val="24"/>
          <w:highlight w:val="none"/>
        </w:rPr>
        <w:t>好交接和善后工作，移交或配合甲方移交管理用房和服务的全部档案资料（包括甲方提供的资料）及</w:t>
      </w:r>
      <w:r>
        <w:rPr>
          <w:rFonts w:hint="eastAsia"/>
          <w:sz w:val="24"/>
          <w:szCs w:val="24"/>
          <w:highlight w:val="none"/>
          <w:lang w:val="en-US" w:eastAsia="zh-CN"/>
        </w:rPr>
        <w:t>账</w:t>
      </w:r>
      <w:r>
        <w:rPr>
          <w:rFonts w:hint="eastAsia"/>
          <w:sz w:val="24"/>
          <w:szCs w:val="24"/>
          <w:highlight w:val="none"/>
        </w:rPr>
        <w:t>目。全部手续完成后签署移交确认书。</w:t>
      </w:r>
    </w:p>
    <w:p w14:paraId="37AAB9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10.</w:t>
      </w:r>
      <w:r>
        <w:rPr>
          <w:sz w:val="24"/>
          <w:szCs w:val="24"/>
          <w:highlight w:val="none"/>
        </w:rPr>
        <w:t>违约责任</w:t>
      </w:r>
    </w:p>
    <w:p w14:paraId="4054D4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乙方的责任</w:t>
      </w:r>
    </w:p>
    <w:p w14:paraId="042738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10</w:t>
      </w:r>
      <w:r>
        <w:rPr>
          <w:sz w:val="24"/>
          <w:szCs w:val="24"/>
          <w:highlight w:val="none"/>
        </w:rPr>
        <w:t>.1乙方不能完成合同或未按合同规定的质量要求提供服务，甲方有权终止合同，由此造成乙方的直接损失和间接损失甲方不予补偿，造成甲方损失时，甲方有权要求乙方赔偿，可从余款、履约保证金中直接扣除，不足部分</w:t>
      </w:r>
      <w:r>
        <w:rPr>
          <w:rFonts w:hint="eastAsia"/>
          <w:sz w:val="24"/>
          <w:szCs w:val="24"/>
          <w:highlight w:val="none"/>
          <w:lang w:val="en-US" w:eastAsia="zh-CN"/>
        </w:rPr>
        <w:t>甲方可</w:t>
      </w:r>
      <w:r>
        <w:rPr>
          <w:sz w:val="24"/>
          <w:szCs w:val="24"/>
          <w:highlight w:val="none"/>
        </w:rPr>
        <w:t>向乙方追</w:t>
      </w:r>
      <w:r>
        <w:rPr>
          <w:rFonts w:hint="eastAsia"/>
          <w:sz w:val="24"/>
          <w:szCs w:val="24"/>
          <w:highlight w:val="none"/>
          <w:lang w:val="en-US" w:eastAsia="zh-CN"/>
        </w:rPr>
        <w:t>偿</w:t>
      </w:r>
      <w:r>
        <w:rPr>
          <w:sz w:val="24"/>
          <w:szCs w:val="24"/>
          <w:highlight w:val="none"/>
        </w:rPr>
        <w:t>。</w:t>
      </w:r>
    </w:p>
    <w:p w14:paraId="41C531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10</w:t>
      </w:r>
      <w:r>
        <w:rPr>
          <w:sz w:val="24"/>
          <w:szCs w:val="24"/>
          <w:highlight w:val="none"/>
        </w:rPr>
        <w:t>.2乙方应执行国家有关规定，负责乙方员工的生产、事故、伤残、死亡和劳务纠纷，甲方不承担任何相关责任。</w:t>
      </w:r>
    </w:p>
    <w:p w14:paraId="52FFAE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10.3</w:t>
      </w:r>
      <w:r>
        <w:rPr>
          <w:rFonts w:hint="eastAsia"/>
          <w:sz w:val="24"/>
          <w:szCs w:val="24"/>
          <w:highlight w:val="none"/>
        </w:rPr>
        <w:t>如在乙方管理期间，甲方委托乙方的项目管理工作受到省、市各级相关部门的通报批评，或在国家法定部门（卫生、安全等）的专项检查或年检中，因乙方原因每有一次不合格，或由于乙方原因影响甲方工作秩序、工作环境，每发生一次视情罚款500</w:t>
      </w:r>
      <w:r>
        <w:rPr>
          <w:rFonts w:hint="eastAsia"/>
          <w:sz w:val="24"/>
          <w:szCs w:val="24"/>
          <w:highlight w:val="none"/>
          <w:lang w:val="en-US" w:eastAsia="zh-CN"/>
        </w:rPr>
        <w:t>0</w:t>
      </w:r>
      <w:r>
        <w:rPr>
          <w:rFonts w:hint="eastAsia"/>
          <w:sz w:val="24"/>
          <w:szCs w:val="24"/>
          <w:highlight w:val="none"/>
        </w:rPr>
        <w:t>～</w:t>
      </w:r>
      <w:r>
        <w:rPr>
          <w:rFonts w:hint="eastAsia"/>
          <w:sz w:val="24"/>
          <w:szCs w:val="24"/>
          <w:highlight w:val="none"/>
          <w:lang w:val="en-US" w:eastAsia="zh-CN"/>
        </w:rPr>
        <w:t>20000</w:t>
      </w:r>
      <w:r>
        <w:rPr>
          <w:rFonts w:hint="eastAsia"/>
          <w:sz w:val="24"/>
          <w:szCs w:val="24"/>
          <w:highlight w:val="none"/>
        </w:rPr>
        <w:t>元。</w:t>
      </w:r>
      <w:r>
        <w:rPr>
          <w:rFonts w:hint="eastAsia"/>
          <w:sz w:val="24"/>
          <w:szCs w:val="24"/>
          <w:highlight w:val="none"/>
          <w:lang w:val="en-US" w:eastAsia="zh-CN"/>
        </w:rPr>
        <w:t>甲方</w:t>
      </w:r>
      <w:r>
        <w:rPr>
          <w:rFonts w:hint="eastAsia"/>
          <w:sz w:val="24"/>
          <w:szCs w:val="24"/>
          <w:highlight w:val="none"/>
        </w:rPr>
        <w:t>有权立即终止服务合同并</w:t>
      </w:r>
      <w:r>
        <w:rPr>
          <w:rFonts w:hint="eastAsia"/>
          <w:sz w:val="24"/>
          <w:szCs w:val="24"/>
          <w:highlight w:val="none"/>
          <w:lang w:val="en-US" w:eastAsia="zh-CN"/>
        </w:rPr>
        <w:t>要求乙方赔偿其全部损失（包括直接损失和间接损失）</w:t>
      </w:r>
      <w:r>
        <w:rPr>
          <w:sz w:val="24"/>
          <w:szCs w:val="24"/>
          <w:highlight w:val="none"/>
        </w:rPr>
        <w:t>。</w:t>
      </w:r>
    </w:p>
    <w:p w14:paraId="33DB83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10</w:t>
      </w:r>
      <w:r>
        <w:rPr>
          <w:sz w:val="24"/>
          <w:szCs w:val="24"/>
          <w:highlight w:val="none"/>
        </w:rPr>
        <w:t>.</w:t>
      </w:r>
      <w:r>
        <w:rPr>
          <w:rFonts w:hint="eastAsia"/>
          <w:sz w:val="24"/>
          <w:szCs w:val="24"/>
          <w:highlight w:val="none"/>
          <w:lang w:val="en-US" w:eastAsia="zh-CN"/>
        </w:rPr>
        <w:t>4</w:t>
      </w:r>
      <w:r>
        <w:rPr>
          <w:sz w:val="24"/>
          <w:szCs w:val="24"/>
          <w:highlight w:val="none"/>
        </w:rPr>
        <w:t>由于乙方管理不善或重大失误，造成甲方或第三方财产损失或人身伤害的，乙方应承担一切责任（为此所需的保险由乙方自行承担）。乙方工作人员不得与甲方或第三方人员发生争吵、打斗行为，每发现一次，乙方应消除影响，</w:t>
      </w:r>
      <w:r>
        <w:rPr>
          <w:rFonts w:hint="eastAsia"/>
          <w:sz w:val="24"/>
          <w:szCs w:val="24"/>
          <w:highlight w:val="none"/>
          <w:lang w:val="en-US" w:eastAsia="zh-CN"/>
        </w:rPr>
        <w:t>并向甲方支付</w:t>
      </w:r>
      <w:r>
        <w:rPr>
          <w:sz w:val="24"/>
          <w:szCs w:val="24"/>
          <w:highlight w:val="none"/>
        </w:rPr>
        <w:t>罚款200</w:t>
      </w:r>
      <w:r>
        <w:rPr>
          <w:rFonts w:hint="eastAsia"/>
          <w:sz w:val="24"/>
          <w:szCs w:val="24"/>
          <w:highlight w:val="none"/>
        </w:rPr>
        <w:t>0</w:t>
      </w:r>
      <w:r>
        <w:rPr>
          <w:sz w:val="24"/>
          <w:szCs w:val="24"/>
          <w:highlight w:val="none"/>
        </w:rPr>
        <w:t>元。</w:t>
      </w:r>
    </w:p>
    <w:p w14:paraId="12CE95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10</w:t>
      </w:r>
      <w:r>
        <w:rPr>
          <w:sz w:val="24"/>
          <w:szCs w:val="24"/>
          <w:highlight w:val="none"/>
        </w:rPr>
        <w:t>.</w:t>
      </w:r>
      <w:r>
        <w:rPr>
          <w:rFonts w:hint="eastAsia"/>
          <w:sz w:val="24"/>
          <w:szCs w:val="24"/>
          <w:highlight w:val="none"/>
          <w:lang w:val="en-US" w:eastAsia="zh-CN"/>
        </w:rPr>
        <w:t>5</w:t>
      </w:r>
      <w:r>
        <w:rPr>
          <w:sz w:val="24"/>
          <w:szCs w:val="24"/>
          <w:highlight w:val="none"/>
        </w:rPr>
        <w:t>违约金从履约保证金</w:t>
      </w:r>
      <w:r>
        <w:rPr>
          <w:rFonts w:hint="eastAsia"/>
          <w:sz w:val="24"/>
          <w:szCs w:val="24"/>
          <w:highlight w:val="none"/>
          <w:lang w:val="en-US" w:eastAsia="zh-CN"/>
        </w:rPr>
        <w:t>或当月服务费</w:t>
      </w:r>
      <w:r>
        <w:rPr>
          <w:sz w:val="24"/>
          <w:szCs w:val="24"/>
          <w:highlight w:val="none"/>
        </w:rPr>
        <w:t>中扣除，如累计扣款超过履约保证金的总额</w:t>
      </w:r>
      <w:r>
        <w:rPr>
          <w:rFonts w:hint="eastAsia"/>
          <w:sz w:val="24"/>
          <w:szCs w:val="24"/>
          <w:highlight w:val="none"/>
        </w:rPr>
        <w:t>的20%</w:t>
      </w:r>
      <w:r>
        <w:rPr>
          <w:sz w:val="24"/>
          <w:szCs w:val="24"/>
          <w:highlight w:val="none"/>
        </w:rPr>
        <w:t>，乙方应在10个工作日内补足。</w:t>
      </w:r>
    </w:p>
    <w:p w14:paraId="2F5120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highlight w:val="none"/>
          <w:lang w:eastAsia="zh-CN"/>
        </w:rPr>
      </w:pPr>
      <w:r>
        <w:rPr>
          <w:rFonts w:hint="eastAsia"/>
          <w:sz w:val="24"/>
          <w:szCs w:val="24"/>
          <w:highlight w:val="none"/>
          <w:lang w:val="en-US" w:eastAsia="zh-CN"/>
        </w:rPr>
        <w:t>10</w:t>
      </w:r>
      <w:r>
        <w:rPr>
          <w:sz w:val="24"/>
          <w:szCs w:val="24"/>
          <w:highlight w:val="none"/>
        </w:rPr>
        <w:t>.</w:t>
      </w:r>
      <w:r>
        <w:rPr>
          <w:rFonts w:hint="eastAsia"/>
          <w:sz w:val="24"/>
          <w:szCs w:val="24"/>
          <w:highlight w:val="none"/>
          <w:lang w:val="en-US" w:eastAsia="zh-CN"/>
        </w:rPr>
        <w:t>6</w:t>
      </w:r>
      <w:r>
        <w:rPr>
          <w:sz w:val="24"/>
          <w:szCs w:val="24"/>
          <w:highlight w:val="none"/>
        </w:rPr>
        <w:t>乙方在投标报价文件中配置的人员数量，未经甲方同意不得在中标后增减</w:t>
      </w:r>
      <w:r>
        <w:rPr>
          <w:rFonts w:hint="default"/>
          <w:sz w:val="24"/>
          <w:szCs w:val="24"/>
          <w:highlight w:val="none"/>
        </w:rPr>
        <w:t>，否则甲方有权扣除乙方全部的履约保证金，解除合同并追诉由此给甲方带来的各项损失。</w:t>
      </w:r>
      <w:r>
        <w:rPr>
          <w:rFonts w:hint="default"/>
          <w:sz w:val="24"/>
          <w:szCs w:val="24"/>
          <w:highlight w:val="none"/>
          <w:lang w:eastAsia="zh-CN"/>
        </w:rPr>
        <w:t>乙方各岗位人员变动（包括请假缺勤)需提前向甲方</w:t>
      </w:r>
      <w:r>
        <w:rPr>
          <w:rFonts w:hint="eastAsia"/>
          <w:sz w:val="24"/>
          <w:szCs w:val="24"/>
          <w:highlight w:val="none"/>
          <w:lang w:val="en-US" w:eastAsia="zh-CN"/>
        </w:rPr>
        <w:t>书面</w:t>
      </w:r>
      <w:r>
        <w:rPr>
          <w:rFonts w:hint="default"/>
          <w:sz w:val="24"/>
          <w:szCs w:val="24"/>
          <w:highlight w:val="none"/>
          <w:lang w:eastAsia="zh-CN"/>
        </w:rPr>
        <w:t>报备。</w:t>
      </w:r>
      <w:r>
        <w:rPr>
          <w:rFonts w:hint="default"/>
          <w:sz w:val="24"/>
          <w:szCs w:val="24"/>
          <w:highlight w:val="none"/>
        </w:rPr>
        <w:t>如</w:t>
      </w:r>
      <w:r>
        <w:rPr>
          <w:rFonts w:hint="eastAsia"/>
          <w:sz w:val="24"/>
          <w:szCs w:val="24"/>
          <w:highlight w:val="none"/>
          <w:lang w:val="en-US" w:eastAsia="zh-CN"/>
        </w:rPr>
        <w:t>乙方</w:t>
      </w:r>
      <w:r>
        <w:rPr>
          <w:rFonts w:hint="default"/>
          <w:sz w:val="24"/>
          <w:szCs w:val="24"/>
          <w:highlight w:val="none"/>
        </w:rPr>
        <w:t>出现人员辞职或其他原因离职导致岗位空缺时，必须在5个工作日内补充到位，期间需有人代岗。如</w:t>
      </w:r>
      <w:r>
        <w:rPr>
          <w:rFonts w:hint="eastAsia"/>
          <w:sz w:val="24"/>
          <w:szCs w:val="24"/>
          <w:highlight w:val="none"/>
          <w:lang w:val="en-US" w:eastAsia="zh-CN"/>
        </w:rPr>
        <w:t>乙方</w:t>
      </w:r>
      <w:r>
        <w:rPr>
          <w:rFonts w:hint="default"/>
          <w:sz w:val="24"/>
          <w:szCs w:val="24"/>
          <w:highlight w:val="none"/>
        </w:rPr>
        <w:t>无正当理由，不</w:t>
      </w:r>
      <w:r>
        <w:rPr>
          <w:rFonts w:hint="eastAsia"/>
          <w:sz w:val="24"/>
          <w:szCs w:val="24"/>
          <w:highlight w:val="none"/>
          <w:lang w:val="en-US" w:eastAsia="zh-CN"/>
        </w:rPr>
        <w:t>按</w:t>
      </w:r>
      <w:r>
        <w:rPr>
          <w:rFonts w:hint="default"/>
          <w:sz w:val="24"/>
          <w:szCs w:val="24"/>
          <w:highlight w:val="none"/>
        </w:rPr>
        <w:t>规定配备服务人员，</w:t>
      </w:r>
      <w:r>
        <w:rPr>
          <w:rFonts w:hint="default"/>
          <w:sz w:val="24"/>
          <w:szCs w:val="24"/>
          <w:highlight w:val="none"/>
          <w:lang w:val="en-US" w:eastAsia="zh-CN"/>
        </w:rPr>
        <w:t>甲</w:t>
      </w:r>
      <w:r>
        <w:rPr>
          <w:rFonts w:hint="default"/>
          <w:sz w:val="24"/>
          <w:szCs w:val="24"/>
          <w:highlight w:val="none"/>
        </w:rPr>
        <w:t>方按人员空缺数额扣除相应的服务费。</w:t>
      </w:r>
    </w:p>
    <w:p w14:paraId="1308F3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10</w:t>
      </w:r>
      <w:r>
        <w:rPr>
          <w:rFonts w:hint="eastAsia"/>
          <w:sz w:val="24"/>
          <w:szCs w:val="24"/>
          <w:highlight w:val="none"/>
        </w:rPr>
        <w:t>.</w:t>
      </w:r>
      <w:r>
        <w:rPr>
          <w:rFonts w:hint="eastAsia"/>
          <w:sz w:val="24"/>
          <w:szCs w:val="24"/>
          <w:highlight w:val="none"/>
          <w:lang w:val="en-US" w:eastAsia="zh-CN"/>
        </w:rPr>
        <w:t>7</w:t>
      </w:r>
      <w:r>
        <w:rPr>
          <w:rFonts w:hint="eastAsia"/>
          <w:sz w:val="24"/>
          <w:szCs w:val="24"/>
          <w:highlight w:val="none"/>
        </w:rPr>
        <w:t>如在乙方管理期间，发生转包、分包、挂靠等情况，甲方有权扣除乙方全部的履约保证金，解除合同并追诉由此给甲方带来的各项损失</w:t>
      </w:r>
      <w:r>
        <w:rPr>
          <w:rFonts w:hint="eastAsia"/>
          <w:sz w:val="24"/>
          <w:szCs w:val="24"/>
          <w:highlight w:val="none"/>
          <w:lang w:eastAsia="zh-CN"/>
        </w:rPr>
        <w:t>（</w:t>
      </w:r>
      <w:r>
        <w:rPr>
          <w:rFonts w:hint="eastAsia"/>
          <w:sz w:val="24"/>
          <w:szCs w:val="24"/>
          <w:highlight w:val="none"/>
          <w:lang w:val="en-US" w:eastAsia="zh-CN"/>
        </w:rPr>
        <w:t>包括直接损失和间接损失</w:t>
      </w:r>
      <w:r>
        <w:rPr>
          <w:rFonts w:hint="eastAsia"/>
          <w:sz w:val="24"/>
          <w:szCs w:val="24"/>
          <w:highlight w:val="none"/>
          <w:lang w:eastAsia="zh-CN"/>
        </w:rPr>
        <w:t>）</w:t>
      </w:r>
      <w:r>
        <w:rPr>
          <w:rFonts w:hint="eastAsia"/>
          <w:sz w:val="24"/>
          <w:szCs w:val="24"/>
          <w:highlight w:val="none"/>
        </w:rPr>
        <w:t>。</w:t>
      </w:r>
    </w:p>
    <w:p w14:paraId="322556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lang w:val="en-US" w:eastAsia="zh-CN"/>
        </w:rPr>
        <w:t>10</w:t>
      </w:r>
      <w:r>
        <w:rPr>
          <w:rFonts w:hint="eastAsia"/>
          <w:sz w:val="24"/>
          <w:szCs w:val="24"/>
          <w:highlight w:val="none"/>
        </w:rPr>
        <w:t>.</w:t>
      </w:r>
      <w:r>
        <w:rPr>
          <w:rFonts w:hint="eastAsia"/>
          <w:sz w:val="24"/>
          <w:szCs w:val="24"/>
          <w:highlight w:val="none"/>
          <w:lang w:val="en-US" w:eastAsia="zh-CN"/>
        </w:rPr>
        <w:t>8</w:t>
      </w:r>
      <w:r>
        <w:rPr>
          <w:rFonts w:hint="eastAsia"/>
          <w:sz w:val="24"/>
          <w:szCs w:val="24"/>
          <w:highlight w:val="none"/>
        </w:rPr>
        <w:t>如甲方支付安保服务费后，乙方出现拖欠安保人员工资、不按时缴纳社会保障费用等情况，甲方有权扣除乙方全部的履约保证金，解除合同并追诉由此给甲方带来的各项损失。</w:t>
      </w:r>
    </w:p>
    <w:p w14:paraId="2BAF0F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highlight w:val="none"/>
          <w:lang w:val="en-US" w:eastAsia="zh-CN"/>
        </w:rPr>
      </w:pPr>
      <w:r>
        <w:rPr>
          <w:rFonts w:hint="eastAsia"/>
          <w:sz w:val="24"/>
          <w:szCs w:val="24"/>
          <w:highlight w:val="none"/>
          <w:lang w:val="en-US" w:eastAsia="zh-CN"/>
        </w:rPr>
        <w:t>10.9乙方需严格按照招标文件中服务人员要求配备合格的服务团队</w:t>
      </w:r>
      <w:r>
        <w:rPr>
          <w:rFonts w:hint="eastAsia"/>
          <w:sz w:val="24"/>
          <w:szCs w:val="24"/>
          <w:highlight w:val="none"/>
        </w:rPr>
        <w:t>，所有人员100%经过岗前培训合格后才能上岗</w:t>
      </w:r>
      <w:r>
        <w:rPr>
          <w:rFonts w:hint="eastAsia"/>
          <w:sz w:val="24"/>
          <w:szCs w:val="24"/>
          <w:highlight w:val="none"/>
          <w:lang w:val="en-US" w:eastAsia="zh-CN"/>
        </w:rPr>
        <w:t>。</w:t>
      </w:r>
    </w:p>
    <w:p w14:paraId="7E8375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1</w:t>
      </w:r>
      <w:r>
        <w:rPr>
          <w:rFonts w:hint="eastAsia"/>
          <w:sz w:val="24"/>
          <w:szCs w:val="24"/>
          <w:highlight w:val="none"/>
          <w:lang w:val="en-US" w:eastAsia="zh-CN"/>
        </w:rPr>
        <w:t>1.</w:t>
      </w:r>
      <w:r>
        <w:rPr>
          <w:sz w:val="24"/>
          <w:szCs w:val="24"/>
          <w:highlight w:val="none"/>
        </w:rPr>
        <w:t>税费</w:t>
      </w:r>
    </w:p>
    <w:p w14:paraId="48F5C8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lang w:val="en-US" w:eastAsia="zh-CN"/>
        </w:rPr>
        <w:t>合同双方约定</w:t>
      </w:r>
      <w:r>
        <w:rPr>
          <w:sz w:val="24"/>
          <w:szCs w:val="24"/>
          <w:highlight w:val="none"/>
        </w:rPr>
        <w:t>与本合同有关的一切税费，均由</w:t>
      </w:r>
      <w:r>
        <w:rPr>
          <w:rFonts w:hint="eastAsia"/>
          <w:sz w:val="24"/>
          <w:szCs w:val="24"/>
          <w:highlight w:val="none"/>
          <w:lang w:val="en-US" w:eastAsia="zh-CN"/>
        </w:rPr>
        <w:t>乙</w:t>
      </w:r>
      <w:r>
        <w:rPr>
          <w:sz w:val="24"/>
          <w:szCs w:val="24"/>
          <w:highlight w:val="none"/>
        </w:rPr>
        <w:t>方负担，</w:t>
      </w:r>
      <w:r>
        <w:rPr>
          <w:rFonts w:hint="eastAsia"/>
          <w:sz w:val="24"/>
          <w:szCs w:val="24"/>
          <w:highlight w:val="none"/>
          <w:lang w:val="en-US" w:eastAsia="zh-CN"/>
        </w:rPr>
        <w:t>但是</w:t>
      </w:r>
      <w:r>
        <w:rPr>
          <w:sz w:val="24"/>
          <w:szCs w:val="24"/>
          <w:highlight w:val="none"/>
        </w:rPr>
        <w:t>投标文件另有规定的除外。</w:t>
      </w:r>
    </w:p>
    <w:p w14:paraId="6B2997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lang w:val="en-US" w:eastAsia="zh-CN"/>
        </w:rPr>
      </w:pPr>
      <w:r>
        <w:rPr>
          <w:rFonts w:hint="eastAsia"/>
          <w:sz w:val="24"/>
          <w:szCs w:val="24"/>
          <w:highlight w:val="none"/>
          <w:lang w:val="en-US" w:eastAsia="zh-CN"/>
        </w:rPr>
        <w:t>12.</w:t>
      </w:r>
      <w:r>
        <w:rPr>
          <w:sz w:val="24"/>
          <w:szCs w:val="24"/>
          <w:highlight w:val="none"/>
        </w:rPr>
        <w:t>转让</w:t>
      </w:r>
    </w:p>
    <w:p w14:paraId="3FE4DB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rFonts w:hint="eastAsia"/>
          <w:sz w:val="24"/>
          <w:szCs w:val="24"/>
          <w:highlight w:val="none"/>
        </w:rPr>
        <w:t>乙方不得部分转让或全部转让合同内容，</w:t>
      </w:r>
      <w:bookmarkStart w:id="51" w:name="_Toc390099099"/>
      <w:bookmarkEnd w:id="51"/>
      <w:bookmarkStart w:id="52" w:name="_Toc386631134"/>
      <w:bookmarkEnd w:id="52"/>
      <w:bookmarkStart w:id="53" w:name="_Toc416720385"/>
      <w:bookmarkEnd w:id="53"/>
      <w:bookmarkStart w:id="54" w:name="_Toc386627928"/>
      <w:bookmarkEnd w:id="54"/>
      <w:bookmarkStart w:id="55" w:name="_Toc386627700"/>
      <w:bookmarkEnd w:id="55"/>
      <w:bookmarkStart w:id="56" w:name="_Toc390246986"/>
      <w:r>
        <w:rPr>
          <w:rFonts w:hint="eastAsia"/>
          <w:sz w:val="24"/>
          <w:szCs w:val="24"/>
          <w:highlight w:val="none"/>
        </w:rPr>
        <w:t>甲方有权扣除乙方全部的履约保证金，解除合同并追诉由此给甲方带来的各项损失。</w:t>
      </w:r>
      <w:bookmarkEnd w:id="56"/>
    </w:p>
    <w:p w14:paraId="49F2DA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1</w:t>
      </w:r>
      <w:r>
        <w:rPr>
          <w:rFonts w:hint="eastAsia"/>
          <w:sz w:val="24"/>
          <w:szCs w:val="24"/>
          <w:highlight w:val="none"/>
          <w:lang w:val="en-US" w:eastAsia="zh-CN"/>
        </w:rPr>
        <w:t>3.</w:t>
      </w:r>
      <w:r>
        <w:rPr>
          <w:sz w:val="24"/>
          <w:szCs w:val="24"/>
          <w:highlight w:val="none"/>
        </w:rPr>
        <w:t>进场</w:t>
      </w:r>
    </w:p>
    <w:p w14:paraId="2E0D89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rFonts w:hint="eastAsia"/>
          <w:sz w:val="24"/>
          <w:szCs w:val="24"/>
          <w:highlight w:val="none"/>
        </w:rPr>
        <w:t>乙方按照合同约定时间进场提供服务。</w:t>
      </w:r>
      <w:r>
        <w:rPr>
          <w:sz w:val="24"/>
          <w:szCs w:val="24"/>
          <w:highlight w:val="none"/>
        </w:rPr>
        <w:t>若由于</w:t>
      </w:r>
      <w:r>
        <w:rPr>
          <w:rFonts w:hint="eastAsia"/>
          <w:sz w:val="24"/>
          <w:szCs w:val="24"/>
          <w:highlight w:val="none"/>
        </w:rPr>
        <w:t>乙</w:t>
      </w:r>
      <w:r>
        <w:rPr>
          <w:sz w:val="24"/>
          <w:szCs w:val="24"/>
          <w:highlight w:val="none"/>
        </w:rPr>
        <w:t>方的原因致使合同签订后乙方不能按时进场，则甲方有权向乙方追索由此造成的损失</w:t>
      </w:r>
      <w:r>
        <w:rPr>
          <w:rFonts w:hint="eastAsia"/>
          <w:sz w:val="24"/>
          <w:szCs w:val="24"/>
          <w:highlight w:val="none"/>
          <w:lang w:eastAsia="zh-CN"/>
        </w:rPr>
        <w:t>（</w:t>
      </w:r>
      <w:r>
        <w:rPr>
          <w:rFonts w:hint="eastAsia"/>
          <w:sz w:val="24"/>
          <w:szCs w:val="24"/>
          <w:highlight w:val="none"/>
          <w:lang w:val="en-US" w:eastAsia="zh-CN"/>
        </w:rPr>
        <w:t>包括直接损失和间接损失</w:t>
      </w:r>
      <w:r>
        <w:rPr>
          <w:rFonts w:hint="eastAsia"/>
          <w:sz w:val="24"/>
          <w:szCs w:val="24"/>
          <w:highlight w:val="none"/>
          <w:lang w:eastAsia="zh-CN"/>
        </w:rPr>
        <w:t>）</w:t>
      </w:r>
      <w:r>
        <w:rPr>
          <w:rFonts w:hint="eastAsia"/>
          <w:sz w:val="24"/>
          <w:szCs w:val="24"/>
          <w:highlight w:val="none"/>
        </w:rPr>
        <w:t>，每逾期达1天，应按合同总金额的千分之五向甲方支付逾期违约金，逾期达10天自动解除合同</w:t>
      </w:r>
      <w:r>
        <w:rPr>
          <w:sz w:val="24"/>
          <w:szCs w:val="24"/>
          <w:highlight w:val="none"/>
        </w:rPr>
        <w:t>。</w:t>
      </w:r>
    </w:p>
    <w:p w14:paraId="5DB2E6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1</w:t>
      </w:r>
      <w:r>
        <w:rPr>
          <w:rFonts w:hint="eastAsia"/>
          <w:sz w:val="24"/>
          <w:szCs w:val="24"/>
          <w:highlight w:val="none"/>
          <w:lang w:val="en-US" w:eastAsia="zh-CN"/>
        </w:rPr>
        <w:t>4.</w:t>
      </w:r>
      <w:r>
        <w:rPr>
          <w:sz w:val="24"/>
          <w:szCs w:val="24"/>
          <w:highlight w:val="none"/>
        </w:rPr>
        <w:t>合同生效及其它</w:t>
      </w:r>
    </w:p>
    <w:p w14:paraId="72DE39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1</w:t>
      </w:r>
      <w:r>
        <w:rPr>
          <w:rFonts w:hint="eastAsia"/>
          <w:sz w:val="24"/>
          <w:szCs w:val="24"/>
          <w:highlight w:val="none"/>
        </w:rPr>
        <w:t>4</w:t>
      </w:r>
      <w:r>
        <w:rPr>
          <w:sz w:val="24"/>
          <w:szCs w:val="24"/>
          <w:highlight w:val="none"/>
        </w:rPr>
        <w:t>.1 合同应在甲方、乙方签字</w:t>
      </w:r>
      <w:r>
        <w:rPr>
          <w:rFonts w:hint="eastAsia"/>
          <w:sz w:val="24"/>
          <w:szCs w:val="24"/>
          <w:highlight w:val="none"/>
          <w:lang w:val="en-US" w:eastAsia="zh-CN"/>
        </w:rPr>
        <w:t>且</w:t>
      </w:r>
      <w:r>
        <w:rPr>
          <w:sz w:val="24"/>
          <w:szCs w:val="24"/>
          <w:highlight w:val="none"/>
        </w:rPr>
        <w:t xml:space="preserve">加盖公章。 </w:t>
      </w:r>
    </w:p>
    <w:p w14:paraId="470DE8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1</w:t>
      </w:r>
      <w:r>
        <w:rPr>
          <w:rFonts w:hint="eastAsia"/>
          <w:sz w:val="24"/>
          <w:szCs w:val="24"/>
          <w:highlight w:val="none"/>
        </w:rPr>
        <w:t>4</w:t>
      </w:r>
      <w:r>
        <w:rPr>
          <w:sz w:val="24"/>
          <w:szCs w:val="24"/>
          <w:highlight w:val="none"/>
        </w:rPr>
        <w:t>.2 如需修改或补充合同内容，应经甲方、乙方协商，共同签署书面修改或补充协议。该协议将作为本合同不可分割的一部分。</w:t>
      </w:r>
    </w:p>
    <w:p w14:paraId="633607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1</w:t>
      </w:r>
      <w:r>
        <w:rPr>
          <w:rFonts w:hint="eastAsia"/>
          <w:sz w:val="24"/>
          <w:szCs w:val="24"/>
          <w:highlight w:val="none"/>
        </w:rPr>
        <w:t>4</w:t>
      </w:r>
      <w:r>
        <w:rPr>
          <w:sz w:val="24"/>
          <w:szCs w:val="24"/>
          <w:highlight w:val="none"/>
        </w:rPr>
        <w:t>.3 本合同应按照中华人民共和国的现行法律进行解释。</w:t>
      </w:r>
    </w:p>
    <w:p w14:paraId="5E9C82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highlight w:val="none"/>
          <w:lang w:val="en-US" w:eastAsia="zh-CN"/>
        </w:rPr>
      </w:pPr>
      <w:r>
        <w:rPr>
          <w:rFonts w:hint="default"/>
          <w:sz w:val="24"/>
          <w:szCs w:val="24"/>
          <w:highlight w:val="none"/>
          <w:lang w:val="en-US" w:eastAsia="zh-CN"/>
        </w:rPr>
        <w:t>14.4</w:t>
      </w:r>
      <w:r>
        <w:rPr>
          <w:rFonts w:hint="eastAsia"/>
          <w:sz w:val="24"/>
          <w:szCs w:val="24"/>
          <w:highlight w:val="none"/>
          <w:lang w:val="en-US" w:eastAsia="zh-CN"/>
        </w:rPr>
        <w:t xml:space="preserve"> 因本合同履行产生争议的，甲乙双方应协商解决；协商不成的，双方均可向泰州市海陵区人民法院提起诉讼，诉讼费、律师费、保全费、保全保险费等由败诉方承担。</w:t>
      </w:r>
    </w:p>
    <w:p w14:paraId="28EE71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1</w:t>
      </w:r>
      <w:r>
        <w:rPr>
          <w:rFonts w:hint="eastAsia"/>
          <w:sz w:val="24"/>
          <w:szCs w:val="24"/>
          <w:highlight w:val="none"/>
          <w:lang w:val="en-US" w:eastAsia="zh-CN"/>
        </w:rPr>
        <w:t>5.</w:t>
      </w:r>
      <w:r>
        <w:rPr>
          <w:sz w:val="24"/>
          <w:szCs w:val="24"/>
          <w:highlight w:val="none"/>
        </w:rPr>
        <w:t>合同责任</w:t>
      </w:r>
    </w:p>
    <w:p w14:paraId="1B81D3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1</w:t>
      </w:r>
      <w:r>
        <w:rPr>
          <w:rFonts w:hint="eastAsia"/>
          <w:sz w:val="24"/>
          <w:szCs w:val="24"/>
          <w:highlight w:val="none"/>
        </w:rPr>
        <w:t>5.</w:t>
      </w:r>
      <w:r>
        <w:rPr>
          <w:sz w:val="24"/>
          <w:szCs w:val="24"/>
          <w:highlight w:val="none"/>
        </w:rPr>
        <w:t>1 甲方应当为乙方履行合同提供必要的支持。</w:t>
      </w:r>
    </w:p>
    <w:p w14:paraId="2372D7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1</w:t>
      </w:r>
      <w:r>
        <w:rPr>
          <w:rFonts w:hint="eastAsia"/>
          <w:sz w:val="24"/>
          <w:szCs w:val="24"/>
          <w:highlight w:val="none"/>
        </w:rPr>
        <w:t>5</w:t>
      </w:r>
      <w:r>
        <w:rPr>
          <w:sz w:val="24"/>
          <w:szCs w:val="24"/>
          <w:highlight w:val="none"/>
        </w:rPr>
        <w:t>.2 乙方保证其为履行本合同交付的工作成果、使用的技术手段和提供的服务内容涉及的各方面，均享有完全的法律权利或获得充分的授权。乙方因自身的权利瑕疵或侵权行为使得本合同履行侵犯任何第三方合法权益的，均由乙方承担相关责任。</w:t>
      </w:r>
    </w:p>
    <w:p w14:paraId="229BF1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1</w:t>
      </w:r>
      <w:r>
        <w:rPr>
          <w:rFonts w:hint="eastAsia"/>
          <w:sz w:val="24"/>
          <w:szCs w:val="24"/>
          <w:highlight w:val="none"/>
        </w:rPr>
        <w:t>5</w:t>
      </w:r>
      <w:r>
        <w:rPr>
          <w:sz w:val="24"/>
          <w:szCs w:val="24"/>
          <w:highlight w:val="none"/>
        </w:rPr>
        <w:t>.3 乙方在履行合同中产生的一切非因甲方过错导致的损失，均由乙方自行承担责任。</w:t>
      </w:r>
    </w:p>
    <w:p w14:paraId="09AF8B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highlight w:val="none"/>
          <w:lang w:val="en-US" w:eastAsia="zh-CN"/>
        </w:rPr>
      </w:pPr>
      <w:r>
        <w:rPr>
          <w:sz w:val="24"/>
          <w:szCs w:val="24"/>
          <w:highlight w:val="none"/>
        </w:rPr>
        <w:t>1</w:t>
      </w:r>
      <w:r>
        <w:rPr>
          <w:rFonts w:hint="eastAsia"/>
          <w:sz w:val="24"/>
          <w:szCs w:val="24"/>
          <w:highlight w:val="none"/>
        </w:rPr>
        <w:t>5</w:t>
      </w:r>
      <w:r>
        <w:rPr>
          <w:sz w:val="24"/>
          <w:szCs w:val="24"/>
          <w:highlight w:val="none"/>
        </w:rPr>
        <w:t>.4 甲乙双方均应指定专人作为本合同履行期间双方之间的联络人，所有一方向对方正式知会事项的通知到达相对方指定联络人即视为到达对方。</w:t>
      </w:r>
      <w:r>
        <w:rPr>
          <w:rFonts w:hint="eastAsia"/>
          <w:sz w:val="24"/>
          <w:szCs w:val="24"/>
          <w:highlight w:val="none"/>
          <w:lang w:val="en-US" w:eastAsia="zh-CN"/>
        </w:rPr>
        <w:t>乙方不得任意变更指定联络人，若因特殊原因需变更指定联络人的，乙方应当提前一个月以书面形式通知甲方，并经甲方书面同意。</w:t>
      </w:r>
    </w:p>
    <w:p w14:paraId="6139AD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甲方指定联络人：</w:t>
      </w:r>
    </w:p>
    <w:p w14:paraId="1CADE7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姓 名：</w:t>
      </w:r>
    </w:p>
    <w:p w14:paraId="647B02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联系方式：</w:t>
      </w:r>
    </w:p>
    <w:p w14:paraId="741BA2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乙方指定联络人：</w:t>
      </w:r>
    </w:p>
    <w:p w14:paraId="71B5B0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姓 名：</w:t>
      </w:r>
    </w:p>
    <w:p w14:paraId="2E6ABD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联系方式：</w:t>
      </w:r>
    </w:p>
    <w:p w14:paraId="7CF1C3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highlight w:val="none"/>
          <w:lang w:val="en-US" w:eastAsia="zh-CN"/>
        </w:rPr>
      </w:pPr>
      <w:r>
        <w:rPr>
          <w:sz w:val="24"/>
          <w:szCs w:val="24"/>
          <w:highlight w:val="none"/>
        </w:rPr>
        <w:t>1</w:t>
      </w:r>
      <w:r>
        <w:rPr>
          <w:rFonts w:hint="eastAsia"/>
          <w:sz w:val="24"/>
          <w:szCs w:val="24"/>
          <w:highlight w:val="none"/>
          <w:lang w:val="en-US" w:eastAsia="zh-CN"/>
        </w:rPr>
        <w:t>6.合同份数</w:t>
      </w:r>
    </w:p>
    <w:p w14:paraId="21E740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合同一式</w:t>
      </w:r>
      <w:r>
        <w:rPr>
          <w:rFonts w:hint="eastAsia"/>
          <w:sz w:val="24"/>
          <w:szCs w:val="24"/>
          <w:highlight w:val="none"/>
          <w:lang w:val="en-US" w:eastAsia="zh-CN"/>
        </w:rPr>
        <w:t>肆</w:t>
      </w:r>
      <w:r>
        <w:rPr>
          <w:sz w:val="24"/>
          <w:szCs w:val="24"/>
          <w:highlight w:val="none"/>
        </w:rPr>
        <w:t>份，以中文书写，甲方</w:t>
      </w:r>
      <w:r>
        <w:rPr>
          <w:rFonts w:hint="eastAsia"/>
          <w:sz w:val="24"/>
          <w:szCs w:val="24"/>
          <w:highlight w:val="none"/>
          <w:lang w:val="en-US" w:eastAsia="zh-CN"/>
        </w:rPr>
        <w:t>执叁</w:t>
      </w:r>
      <w:r>
        <w:rPr>
          <w:sz w:val="24"/>
          <w:szCs w:val="24"/>
          <w:highlight w:val="none"/>
        </w:rPr>
        <w:t>份</w:t>
      </w:r>
      <w:r>
        <w:rPr>
          <w:rFonts w:hint="eastAsia"/>
          <w:sz w:val="24"/>
          <w:szCs w:val="24"/>
          <w:highlight w:val="none"/>
          <w:lang w:eastAsia="zh-CN"/>
        </w:rPr>
        <w:t>，</w:t>
      </w:r>
      <w:r>
        <w:rPr>
          <w:rFonts w:hint="eastAsia"/>
          <w:sz w:val="24"/>
          <w:szCs w:val="24"/>
          <w:highlight w:val="none"/>
          <w:lang w:val="en-US" w:eastAsia="zh-CN"/>
        </w:rPr>
        <w:t>乙方执壹份</w:t>
      </w:r>
      <w:r>
        <w:rPr>
          <w:sz w:val="24"/>
          <w:szCs w:val="24"/>
          <w:highlight w:val="none"/>
        </w:rPr>
        <w:t>。</w:t>
      </w:r>
    </w:p>
    <w:p w14:paraId="2A878A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61D171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甲方：</w:t>
      </w:r>
      <w:r>
        <w:rPr>
          <w:rFonts w:hint="eastAsia"/>
          <w:sz w:val="24"/>
          <w:szCs w:val="24"/>
          <w:highlight w:val="none"/>
        </w:rPr>
        <w:t xml:space="preserve">泰州市第五人民医院  </w:t>
      </w:r>
      <w:r>
        <w:rPr>
          <w:sz w:val="24"/>
          <w:szCs w:val="24"/>
          <w:highlight w:val="none"/>
        </w:rPr>
        <w:t>（盖章）</w:t>
      </w:r>
    </w:p>
    <w:p w14:paraId="54B243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highlight w:val="none"/>
        </w:rPr>
      </w:pPr>
      <w:r>
        <w:rPr>
          <w:sz w:val="24"/>
          <w:szCs w:val="24"/>
          <w:highlight w:val="none"/>
        </w:rPr>
        <w:t>地址：</w:t>
      </w:r>
      <w:r>
        <w:rPr>
          <w:rFonts w:hint="eastAsia"/>
          <w:sz w:val="24"/>
          <w:szCs w:val="24"/>
          <w:highlight w:val="none"/>
        </w:rPr>
        <w:t>泰州市海陵区</w:t>
      </w:r>
    </w:p>
    <w:p w14:paraId="0EEFDB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法定（授权）代表人：</w:t>
      </w:r>
    </w:p>
    <w:p w14:paraId="13E7BF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二〇</w:t>
      </w:r>
      <w:r>
        <w:rPr>
          <w:rFonts w:hint="eastAsia"/>
          <w:sz w:val="24"/>
          <w:szCs w:val="24"/>
          <w:highlight w:val="none"/>
          <w:lang w:val="en-US" w:eastAsia="zh-CN"/>
        </w:rPr>
        <w:t>二</w:t>
      </w:r>
      <w:r>
        <w:rPr>
          <w:sz w:val="24"/>
          <w:szCs w:val="24"/>
          <w:highlight w:val="none"/>
        </w:rPr>
        <w:t xml:space="preserve">   年   月   日</w:t>
      </w:r>
    </w:p>
    <w:p w14:paraId="1A74BD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 xml:space="preserve">乙方： （盖章） </w:t>
      </w:r>
    </w:p>
    <w:p w14:paraId="19F337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 xml:space="preserve">地址： </w:t>
      </w:r>
    </w:p>
    <w:p w14:paraId="5DA3EC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法定（授权）代表人：</w:t>
      </w:r>
    </w:p>
    <w:p w14:paraId="3B4CF2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highlight w:val="none"/>
        </w:rPr>
      </w:pPr>
      <w:r>
        <w:rPr>
          <w:sz w:val="24"/>
          <w:szCs w:val="24"/>
          <w:highlight w:val="none"/>
        </w:rPr>
        <w:t>户名：</w:t>
      </w:r>
    </w:p>
    <w:p w14:paraId="6B35CF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highlight w:val="none"/>
        </w:rPr>
      </w:pPr>
      <w:r>
        <w:rPr>
          <w:sz w:val="24"/>
          <w:szCs w:val="24"/>
          <w:highlight w:val="none"/>
        </w:rPr>
        <w:t>开户行：</w:t>
      </w:r>
    </w:p>
    <w:p w14:paraId="4218CA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highlight w:val="none"/>
        </w:rPr>
      </w:pPr>
      <w:r>
        <w:rPr>
          <w:sz w:val="24"/>
          <w:szCs w:val="24"/>
          <w:highlight w:val="none"/>
        </w:rPr>
        <w:t>账号：</w:t>
      </w:r>
    </w:p>
    <w:p w14:paraId="3B9268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r>
        <w:rPr>
          <w:sz w:val="24"/>
          <w:szCs w:val="24"/>
          <w:highlight w:val="none"/>
        </w:rPr>
        <w:t>二〇</w:t>
      </w:r>
      <w:r>
        <w:rPr>
          <w:rFonts w:hint="default"/>
          <w:sz w:val="24"/>
          <w:szCs w:val="24"/>
          <w:highlight w:val="none"/>
          <w:lang w:val="en-US" w:eastAsia="zh-CN"/>
        </w:rPr>
        <w:t>二</w:t>
      </w:r>
      <w:r>
        <w:rPr>
          <w:sz w:val="24"/>
          <w:szCs w:val="24"/>
          <w:highlight w:val="none"/>
        </w:rPr>
        <w:t xml:space="preserve">   年   月   日</w:t>
      </w:r>
    </w:p>
    <w:p w14:paraId="109230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79BC1B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3B8983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335A31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795298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50B599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67D467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66BCC9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06F401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0AF493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041EA4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3579AB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277D3C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4447C1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04FF64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021BEE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3EB3AE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6D7DF1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35459E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720A2E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4258C2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4396D1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083669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highlight w:val="none"/>
        </w:rPr>
      </w:pPr>
    </w:p>
    <w:p w14:paraId="1F098FFF">
      <w:pPr>
        <w:pStyle w:val="12"/>
        <w:ind w:left="0"/>
        <w:jc w:val="center"/>
        <w:outlineLvl w:val="0"/>
        <w:rPr>
          <w:rFonts w:hint="eastAsia" w:ascii="宋体" w:hAnsi="宋体" w:eastAsia="宋体" w:cs="宋体"/>
          <w:b/>
          <w:color w:val="auto"/>
          <w:sz w:val="42"/>
          <w:szCs w:val="24"/>
          <w:highlight w:val="none"/>
        </w:rPr>
      </w:pPr>
      <w:r>
        <w:rPr>
          <w:rFonts w:hint="eastAsia" w:ascii="宋体" w:hAnsi="宋体" w:eastAsia="宋体" w:cs="宋体"/>
          <w:b/>
          <w:color w:val="auto"/>
          <w:sz w:val="42"/>
          <w:szCs w:val="24"/>
          <w:highlight w:val="none"/>
        </w:rPr>
        <w:t>第</w:t>
      </w:r>
      <w:r>
        <w:rPr>
          <w:rFonts w:hint="eastAsia" w:ascii="宋体" w:hAnsi="宋体" w:eastAsia="宋体" w:cs="宋体"/>
          <w:b/>
          <w:color w:val="auto"/>
          <w:sz w:val="42"/>
          <w:szCs w:val="24"/>
          <w:highlight w:val="none"/>
          <w:lang w:val="en-US" w:eastAsia="zh-CN"/>
        </w:rPr>
        <w:t>六</w:t>
      </w:r>
      <w:r>
        <w:rPr>
          <w:rFonts w:hint="eastAsia" w:ascii="宋体" w:hAnsi="宋体" w:eastAsia="宋体" w:cs="宋体"/>
          <w:b/>
          <w:color w:val="auto"/>
          <w:sz w:val="42"/>
          <w:szCs w:val="24"/>
          <w:highlight w:val="none"/>
        </w:rPr>
        <w:t>章 投标文件格式</w:t>
      </w:r>
      <w:bookmarkEnd w:id="48"/>
    </w:p>
    <w:p w14:paraId="154AB735">
      <w:pPr>
        <w:jc w:val="both"/>
        <w:rPr>
          <w:rFonts w:hint="eastAsia" w:ascii="宋体" w:hAnsi="宋体" w:eastAsia="宋体" w:cs="宋体"/>
          <w:bCs/>
          <w:color w:val="auto"/>
          <w:sz w:val="52"/>
          <w:szCs w:val="52"/>
          <w:highlight w:val="none"/>
        </w:rPr>
      </w:pPr>
      <w:bookmarkStart w:id="57" w:name="_Toc13296_WPSOffice_Level1"/>
    </w:p>
    <w:p w14:paraId="1B27DF4C">
      <w:pPr>
        <w:jc w:val="center"/>
        <w:rPr>
          <w:rFonts w:hint="eastAsia" w:ascii="宋体" w:hAnsi="宋体" w:eastAsia="宋体" w:cs="宋体"/>
          <w:bCs/>
          <w:color w:val="auto"/>
          <w:sz w:val="52"/>
          <w:szCs w:val="52"/>
          <w:highlight w:val="none"/>
        </w:rPr>
      </w:pPr>
    </w:p>
    <w:p w14:paraId="0E1FF145">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bookmarkEnd w:id="57"/>
    </w:p>
    <w:p w14:paraId="6C4FF837">
      <w:pPr>
        <w:jc w:val="center"/>
        <w:rPr>
          <w:rFonts w:hint="eastAsia" w:ascii="宋体" w:hAnsi="宋体" w:eastAsia="宋体" w:cs="宋体"/>
          <w:bCs/>
          <w:color w:val="auto"/>
          <w:sz w:val="72"/>
          <w:highlight w:val="none"/>
        </w:rPr>
      </w:pPr>
    </w:p>
    <w:p w14:paraId="2E85676A">
      <w:pPr>
        <w:jc w:val="center"/>
        <w:rPr>
          <w:rFonts w:hint="eastAsia" w:ascii="宋体" w:hAnsi="宋体" w:eastAsia="宋体" w:cs="宋体"/>
          <w:bCs/>
          <w:color w:val="auto"/>
          <w:sz w:val="52"/>
          <w:szCs w:val="52"/>
          <w:highlight w:val="none"/>
        </w:rPr>
      </w:pPr>
      <w:bookmarkStart w:id="58" w:name="_Toc677_WPSOffice_Level1"/>
      <w:r>
        <w:rPr>
          <w:rFonts w:hint="eastAsia" w:ascii="宋体" w:hAnsi="宋体" w:eastAsia="宋体" w:cs="宋体"/>
          <w:bCs/>
          <w:color w:val="auto"/>
          <w:sz w:val="52"/>
          <w:szCs w:val="52"/>
          <w:highlight w:val="none"/>
        </w:rPr>
        <w:t>标</w:t>
      </w:r>
      <w:bookmarkEnd w:id="58"/>
    </w:p>
    <w:p w14:paraId="166D2514">
      <w:pPr>
        <w:jc w:val="center"/>
        <w:rPr>
          <w:rFonts w:hint="eastAsia" w:ascii="宋体" w:hAnsi="宋体" w:eastAsia="宋体" w:cs="宋体"/>
          <w:bCs/>
          <w:color w:val="auto"/>
          <w:sz w:val="72"/>
          <w:highlight w:val="none"/>
        </w:rPr>
      </w:pPr>
    </w:p>
    <w:p w14:paraId="795E7B66">
      <w:pPr>
        <w:jc w:val="center"/>
        <w:rPr>
          <w:rFonts w:hint="eastAsia" w:ascii="宋体" w:hAnsi="宋体" w:eastAsia="宋体" w:cs="宋体"/>
          <w:bCs/>
          <w:color w:val="auto"/>
          <w:sz w:val="52"/>
          <w:szCs w:val="52"/>
          <w:highlight w:val="none"/>
        </w:rPr>
      </w:pPr>
      <w:bookmarkStart w:id="59" w:name="_Toc2949_WPSOffice_Level1"/>
      <w:r>
        <w:rPr>
          <w:rFonts w:hint="eastAsia" w:ascii="宋体" w:hAnsi="宋体" w:eastAsia="宋体" w:cs="宋体"/>
          <w:bCs/>
          <w:color w:val="auto"/>
          <w:sz w:val="52"/>
          <w:szCs w:val="52"/>
          <w:highlight w:val="none"/>
        </w:rPr>
        <w:t>文</w:t>
      </w:r>
      <w:bookmarkEnd w:id="59"/>
    </w:p>
    <w:p w14:paraId="4071EDEF">
      <w:pPr>
        <w:jc w:val="center"/>
        <w:rPr>
          <w:rFonts w:hint="eastAsia" w:ascii="宋体" w:hAnsi="宋体" w:eastAsia="宋体" w:cs="宋体"/>
          <w:bCs/>
          <w:color w:val="auto"/>
          <w:sz w:val="52"/>
          <w:szCs w:val="52"/>
          <w:highlight w:val="none"/>
        </w:rPr>
      </w:pPr>
    </w:p>
    <w:p w14:paraId="491C9C7E">
      <w:pPr>
        <w:jc w:val="center"/>
        <w:rPr>
          <w:rFonts w:hint="eastAsia" w:ascii="宋体" w:hAnsi="宋体" w:eastAsia="宋体" w:cs="宋体"/>
          <w:bCs/>
          <w:color w:val="auto"/>
          <w:sz w:val="52"/>
          <w:szCs w:val="52"/>
          <w:highlight w:val="none"/>
        </w:rPr>
      </w:pPr>
      <w:bookmarkStart w:id="60" w:name="_Toc31964_WPSOffice_Level1"/>
      <w:r>
        <w:rPr>
          <w:rFonts w:hint="eastAsia" w:ascii="宋体" w:hAnsi="宋体" w:eastAsia="宋体" w:cs="宋体"/>
          <w:bCs/>
          <w:color w:val="auto"/>
          <w:sz w:val="52"/>
          <w:szCs w:val="52"/>
          <w:highlight w:val="none"/>
        </w:rPr>
        <w:t>件</w:t>
      </w:r>
      <w:bookmarkEnd w:id="60"/>
    </w:p>
    <w:p w14:paraId="3EC30BED">
      <w:pPr>
        <w:rPr>
          <w:rFonts w:hint="eastAsia" w:ascii="宋体" w:hAnsi="宋体" w:eastAsia="宋体" w:cs="宋体"/>
          <w:bCs/>
          <w:color w:val="auto"/>
          <w:sz w:val="72"/>
          <w:highlight w:val="none"/>
        </w:rPr>
      </w:pPr>
    </w:p>
    <w:p w14:paraId="1A23BA67">
      <w:pPr>
        <w:rPr>
          <w:rFonts w:hint="eastAsia" w:ascii="宋体" w:hAnsi="宋体" w:eastAsia="宋体" w:cs="宋体"/>
          <w:bCs/>
          <w:color w:val="auto"/>
          <w:sz w:val="28"/>
          <w:highlight w:val="none"/>
        </w:rPr>
      </w:pPr>
    </w:p>
    <w:p w14:paraId="0598CAA1">
      <w:pPr>
        <w:rPr>
          <w:rFonts w:hint="eastAsia" w:ascii="宋体" w:hAnsi="宋体" w:eastAsia="宋体" w:cs="宋体"/>
          <w:bCs/>
          <w:color w:val="auto"/>
          <w:sz w:val="28"/>
          <w:szCs w:val="28"/>
          <w:highlight w:val="none"/>
        </w:rPr>
      </w:pPr>
      <w:bookmarkStart w:id="61" w:name="_Toc1060_WPSOffice_Level1"/>
    </w:p>
    <w:p w14:paraId="61B236FE">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采购项目编号：</w:t>
      </w:r>
      <w:bookmarkEnd w:id="61"/>
      <w:bookmarkStart w:id="62" w:name="_Toc7891_WPSOffice_Level1"/>
    </w:p>
    <w:p w14:paraId="46189C41">
      <w:pPr>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采购项目名称：</w:t>
      </w:r>
      <w:bookmarkEnd w:id="62"/>
      <w:bookmarkStart w:id="63" w:name="_Toc13794_WPSOffice_Level1"/>
      <w:r>
        <w:rPr>
          <w:rFonts w:hint="eastAsia" w:ascii="宋体" w:hAnsi="宋体" w:cs="宋体"/>
          <w:bCs/>
          <w:color w:val="auto"/>
          <w:sz w:val="28"/>
          <w:szCs w:val="28"/>
          <w:highlight w:val="none"/>
          <w:lang w:eastAsia="zh-CN"/>
        </w:rPr>
        <w:t>泰州市第五人民医院安保服务项目</w:t>
      </w:r>
    </w:p>
    <w:p w14:paraId="271A38CD">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28"/>
          <w:szCs w:val="28"/>
          <w:highlight w:val="none"/>
        </w:rPr>
        <w:t>投标人</w:t>
      </w:r>
      <w:r>
        <w:rPr>
          <w:rFonts w:hint="eastAsia" w:ascii="宋体" w:hAnsi="宋体" w:cs="宋体"/>
          <w:bCs/>
          <w:color w:val="auto"/>
          <w:sz w:val="28"/>
          <w:szCs w:val="28"/>
          <w:highlight w:val="none"/>
          <w:lang w:eastAsia="zh-CN"/>
        </w:rPr>
        <w:t>（</w:t>
      </w:r>
      <w:r>
        <w:rPr>
          <w:rFonts w:hint="eastAsia" w:ascii="宋体" w:hAnsi="宋体" w:cs="宋体"/>
          <w:bCs/>
          <w:color w:val="auto"/>
          <w:sz w:val="28"/>
          <w:szCs w:val="28"/>
          <w:highlight w:val="none"/>
          <w:lang w:val="en-US" w:eastAsia="zh-CN"/>
        </w:rPr>
        <w:t>加盖公章</w:t>
      </w:r>
      <w:r>
        <w:rPr>
          <w:rFonts w:hint="eastAsia" w:ascii="宋体" w:hAnsi="宋体" w:cs="宋体"/>
          <w:bCs/>
          <w:color w:val="auto"/>
          <w:sz w:val="28"/>
          <w:szCs w:val="28"/>
          <w:highlight w:val="none"/>
          <w:lang w:eastAsia="zh-CN"/>
        </w:rPr>
        <w:t>）</w:t>
      </w:r>
      <w:r>
        <w:rPr>
          <w:rFonts w:hint="eastAsia" w:ascii="宋体" w:hAnsi="宋体" w:eastAsia="宋体" w:cs="宋体"/>
          <w:bCs/>
          <w:color w:val="auto"/>
          <w:sz w:val="28"/>
          <w:szCs w:val="28"/>
          <w:highlight w:val="none"/>
        </w:rPr>
        <w:t>：</w:t>
      </w:r>
      <w:bookmarkEnd w:id="63"/>
    </w:p>
    <w:p w14:paraId="1CDD5EB3">
      <w:pPr>
        <w:spacing w:line="360" w:lineRule="auto"/>
        <w:jc w:val="center"/>
        <w:rPr>
          <w:rFonts w:hint="eastAsia" w:ascii="宋体" w:hAnsi="宋体" w:eastAsia="宋体" w:cs="宋体"/>
          <w:bCs/>
          <w:color w:val="auto"/>
          <w:sz w:val="24"/>
          <w:highlight w:val="none"/>
        </w:rPr>
      </w:pPr>
      <w:bookmarkStart w:id="64" w:name="_Toc4431_WPSOffice_Level1"/>
      <w:r>
        <w:rPr>
          <w:rFonts w:hint="eastAsia" w:ascii="宋体" w:hAnsi="宋体" w:eastAsia="宋体" w:cs="宋体"/>
          <w:bCs/>
          <w:color w:val="auto"/>
          <w:sz w:val="28"/>
          <w:szCs w:val="28"/>
          <w:highlight w:val="none"/>
        </w:rPr>
        <w:t>年  月  日</w:t>
      </w:r>
      <w:bookmarkEnd w:id="64"/>
      <w:r>
        <w:rPr>
          <w:rFonts w:hint="eastAsia" w:ascii="宋体" w:hAnsi="宋体" w:eastAsia="宋体" w:cs="宋体"/>
          <w:color w:val="auto"/>
          <w:highlight w:val="none"/>
        </w:rPr>
        <w:br w:type="page" w:clear="all"/>
      </w:r>
      <w:r>
        <w:rPr>
          <w:rFonts w:hint="eastAsia" w:ascii="宋体" w:hAnsi="宋体" w:eastAsia="宋体" w:cs="宋体"/>
          <w:bCs/>
          <w:color w:val="auto"/>
          <w:sz w:val="24"/>
          <w:highlight w:val="none"/>
        </w:rPr>
        <w:t>（一）投标函（格式）：</w:t>
      </w:r>
    </w:p>
    <w:p w14:paraId="39BDC43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8"/>
          <w:szCs w:val="28"/>
          <w:highlight w:val="none"/>
        </w:rPr>
        <w:t>投标函</w:t>
      </w:r>
    </w:p>
    <w:p w14:paraId="20B9F534">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致</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eastAsia="zh-CN"/>
        </w:rPr>
        <w:t>（</w:t>
      </w:r>
      <w:r>
        <w:rPr>
          <w:rFonts w:hint="eastAsia" w:ascii="宋体" w:hAnsi="宋体" w:cs="宋体"/>
          <w:bCs/>
          <w:color w:val="auto"/>
          <w:sz w:val="24"/>
          <w:highlight w:val="none"/>
          <w:u w:val="single"/>
          <w:lang w:val="en-US" w:eastAsia="zh-CN"/>
        </w:rPr>
        <w:t>采购人</w:t>
      </w:r>
      <w:r>
        <w:rPr>
          <w:rFonts w:hint="eastAsia" w:ascii="宋体" w:hAnsi="宋体" w:cs="宋体"/>
          <w:bCs/>
          <w:color w:val="auto"/>
          <w:sz w:val="24"/>
          <w:highlight w:val="none"/>
          <w:u w:val="single"/>
          <w:lang w:eastAsia="zh-CN"/>
        </w:rPr>
        <w:t>）</w:t>
      </w:r>
      <w:r>
        <w:rPr>
          <w:rFonts w:hint="eastAsia" w:ascii="宋体" w:hAnsi="宋体" w:eastAsia="宋体" w:cs="宋体"/>
          <w:bCs/>
          <w:color w:val="auto"/>
          <w:sz w:val="24"/>
          <w:highlight w:val="none"/>
        </w:rPr>
        <w:t>：</w:t>
      </w:r>
    </w:p>
    <w:p w14:paraId="302F848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我方收到贵方编号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招标文件，经仔细阅读和研究，我方决定参加此项目的投标。</w:t>
      </w:r>
    </w:p>
    <w:p w14:paraId="5C6AB435">
      <w:pPr>
        <w:numPr>
          <w:ilvl w:val="0"/>
          <w:numId w:val="1"/>
        </w:numPr>
        <w:tabs>
          <w:tab w:val="left" w:pos="315"/>
          <w:tab w:val="left" w:pos="840"/>
          <w:tab w:val="left" w:pos="945"/>
          <w:tab w:val="left" w:pos="1050"/>
          <w:tab w:val="left" w:pos="1260"/>
        </w:tabs>
        <w:spacing w:line="360" w:lineRule="auto"/>
        <w:ind w:left="0"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我方愿意按照招标文件的一切要求，提供本项目的投标，投标总价见《开标一览表》。</w:t>
      </w:r>
    </w:p>
    <w:p w14:paraId="71AA9702">
      <w:pPr>
        <w:numPr>
          <w:ilvl w:val="0"/>
          <w:numId w:val="1"/>
        </w:numPr>
        <w:tabs>
          <w:tab w:val="left" w:pos="0"/>
          <w:tab w:val="left" w:pos="315"/>
          <w:tab w:val="left" w:pos="525"/>
          <w:tab w:val="left" w:pos="840"/>
          <w:tab w:val="left" w:pos="945"/>
          <w:tab w:val="left" w:pos="1050"/>
        </w:tabs>
        <w:spacing w:line="360" w:lineRule="auto"/>
        <w:ind w:left="0" w:firstLine="523"/>
        <w:rPr>
          <w:rStyle w:val="26"/>
          <w:rFonts w:hint="eastAsia" w:ascii="宋体" w:hAnsi="宋体" w:eastAsia="宋体" w:cs="宋体"/>
          <w:color w:val="auto"/>
          <w:highlight w:val="none"/>
        </w:rPr>
      </w:pPr>
      <w:r>
        <w:rPr>
          <w:rFonts w:hint="eastAsia" w:ascii="宋体" w:hAnsi="宋体" w:eastAsia="宋体" w:cs="宋体"/>
          <w:bCs/>
          <w:color w:val="auto"/>
          <w:sz w:val="24"/>
          <w:highlight w:val="none"/>
        </w:rPr>
        <w:t>我方愿意提供</w:t>
      </w:r>
      <w:r>
        <w:rPr>
          <w:rFonts w:hint="eastAsia" w:ascii="宋体" w:hAnsi="宋体" w:cs="宋体"/>
          <w:bCs/>
          <w:color w:val="auto"/>
          <w:sz w:val="24"/>
          <w:highlight w:val="none"/>
          <w:lang w:val="en-US" w:eastAsia="zh-CN"/>
        </w:rPr>
        <w:t>泰州市第五人民医院</w:t>
      </w:r>
      <w:r>
        <w:rPr>
          <w:rFonts w:hint="eastAsia" w:ascii="宋体" w:hAnsi="宋体" w:eastAsia="宋体" w:cs="宋体"/>
          <w:bCs/>
          <w:color w:val="auto"/>
          <w:sz w:val="24"/>
          <w:highlight w:val="none"/>
        </w:rPr>
        <w:t>在招标文件中要求的文件、资料。</w:t>
      </w:r>
    </w:p>
    <w:p w14:paraId="7EBF41C9">
      <w:pPr>
        <w:numPr>
          <w:ilvl w:val="0"/>
          <w:numId w:val="1"/>
        </w:numPr>
        <w:tabs>
          <w:tab w:val="left" w:pos="0"/>
          <w:tab w:val="left" w:pos="315"/>
          <w:tab w:val="left" w:pos="525"/>
          <w:tab w:val="left" w:pos="945"/>
          <w:tab w:val="left" w:pos="1050"/>
        </w:tabs>
        <w:spacing w:line="360" w:lineRule="auto"/>
        <w:ind w:left="0" w:firstLine="523"/>
        <w:rPr>
          <w:rFonts w:hint="eastAsia" w:ascii="宋体" w:hAnsi="宋体" w:eastAsia="宋体" w:cs="宋体"/>
          <w:color w:val="auto"/>
          <w:highlight w:val="none"/>
        </w:rPr>
      </w:pPr>
      <w:r>
        <w:rPr>
          <w:rFonts w:hint="eastAsia" w:ascii="宋体" w:hAnsi="宋体" w:eastAsia="宋体" w:cs="宋体"/>
          <w:bCs/>
          <w:color w:val="auto"/>
          <w:sz w:val="24"/>
          <w:highlight w:val="none"/>
        </w:rPr>
        <w:t>我方同意按招标文件中的规定，本投标文件投标的有效期限为开标之日起90天。</w:t>
      </w:r>
    </w:p>
    <w:p w14:paraId="346AAE27">
      <w:pPr>
        <w:numPr>
          <w:ilvl w:val="0"/>
          <w:numId w:val="1"/>
        </w:numPr>
        <w:tabs>
          <w:tab w:val="left" w:pos="0"/>
          <w:tab w:val="left" w:pos="315"/>
          <w:tab w:val="left" w:pos="525"/>
          <w:tab w:val="left" w:pos="945"/>
          <w:tab w:val="left" w:pos="1050"/>
        </w:tabs>
        <w:spacing w:line="36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如果我方的投标文件被接受，我方将履行招标文件中规定的每一项要求，按期、按质、按量，完成交货任务。</w:t>
      </w:r>
    </w:p>
    <w:p w14:paraId="480301C8">
      <w:pPr>
        <w:numPr>
          <w:ilvl w:val="0"/>
          <w:numId w:val="1"/>
        </w:numPr>
        <w:tabs>
          <w:tab w:val="left" w:pos="0"/>
          <w:tab w:val="left" w:pos="315"/>
          <w:tab w:val="left" w:pos="525"/>
          <w:tab w:val="left" w:pos="945"/>
          <w:tab w:val="left" w:pos="1050"/>
        </w:tabs>
        <w:spacing w:line="36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我方认为贵单位有权决定中标者。</w:t>
      </w:r>
    </w:p>
    <w:p w14:paraId="6C37B5F5">
      <w:pPr>
        <w:numPr>
          <w:ilvl w:val="0"/>
          <w:numId w:val="1"/>
        </w:numPr>
        <w:tabs>
          <w:tab w:val="left" w:pos="0"/>
          <w:tab w:val="left" w:pos="315"/>
          <w:tab w:val="left" w:pos="525"/>
          <w:tab w:val="left" w:pos="945"/>
          <w:tab w:val="left" w:pos="1050"/>
        </w:tabs>
        <w:spacing w:line="36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我方愿意遵守《中华人民共和国政府采购法》，并按《中华人民共和国民法典》、财政部《政府采购货物和服务招标投标管理办法》</w:t>
      </w:r>
      <w:r>
        <w:rPr>
          <w:rFonts w:hint="eastAsia" w:ascii="宋体" w:hAnsi="宋体" w:eastAsia="宋体" w:cs="宋体"/>
          <w:color w:val="auto"/>
          <w:sz w:val="24"/>
          <w:highlight w:val="none"/>
        </w:rPr>
        <w:t>和</w:t>
      </w:r>
      <w:r>
        <w:rPr>
          <w:rFonts w:hint="eastAsia" w:ascii="宋体" w:hAnsi="宋体" w:eastAsia="宋体" w:cs="宋体"/>
          <w:bCs/>
          <w:color w:val="auto"/>
          <w:sz w:val="24"/>
          <w:highlight w:val="none"/>
        </w:rPr>
        <w:t>合同条款履行自己的全部责任。</w:t>
      </w:r>
    </w:p>
    <w:p w14:paraId="272CBE6E">
      <w:pPr>
        <w:numPr>
          <w:ilvl w:val="0"/>
          <w:numId w:val="1"/>
        </w:numPr>
        <w:tabs>
          <w:tab w:val="left" w:pos="0"/>
          <w:tab w:val="left" w:pos="315"/>
          <w:tab w:val="left" w:pos="525"/>
          <w:tab w:val="left" w:pos="945"/>
          <w:tab w:val="left" w:pos="1050"/>
        </w:tabs>
        <w:spacing w:line="36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我方认可并遵守招标文件的所有规定，放弃对招标文件提出质疑的权利。</w:t>
      </w:r>
    </w:p>
    <w:p w14:paraId="26578F8A">
      <w:pPr>
        <w:numPr>
          <w:ilvl w:val="0"/>
          <w:numId w:val="1"/>
        </w:numPr>
        <w:tabs>
          <w:tab w:val="left" w:pos="0"/>
          <w:tab w:val="left" w:pos="315"/>
          <w:tab w:val="left" w:pos="525"/>
          <w:tab w:val="left" w:pos="945"/>
          <w:tab w:val="left" w:pos="1050"/>
        </w:tabs>
        <w:spacing w:line="36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如果我方被确定为中标人，我方愿意</w:t>
      </w:r>
      <w:r>
        <w:rPr>
          <w:rFonts w:hint="eastAsia" w:ascii="宋体" w:hAnsi="宋体" w:eastAsia="宋体" w:cs="宋体"/>
          <w:color w:val="auto"/>
          <w:sz w:val="24"/>
          <w:highlight w:val="none"/>
        </w:rPr>
        <w:t>在合同签订前向</w:t>
      </w:r>
      <w:r>
        <w:rPr>
          <w:rFonts w:hint="eastAsia" w:ascii="宋体" w:hAnsi="宋体" w:eastAsia="宋体" w:cs="宋体"/>
          <w:bCs/>
          <w:color w:val="auto"/>
          <w:sz w:val="24"/>
          <w:highlight w:val="none"/>
        </w:rPr>
        <w:t>采购人</w:t>
      </w:r>
      <w:r>
        <w:rPr>
          <w:rFonts w:hint="eastAsia" w:ascii="宋体" w:hAnsi="宋体" w:cs="宋体"/>
          <w:bCs/>
          <w:color w:val="auto"/>
          <w:sz w:val="24"/>
          <w:highlight w:val="none"/>
          <w:lang w:val="en-US" w:eastAsia="zh-CN"/>
        </w:rPr>
        <w:t>缴</w:t>
      </w:r>
      <w:r>
        <w:rPr>
          <w:rFonts w:hint="eastAsia" w:ascii="宋体" w:hAnsi="宋体" w:eastAsia="宋体" w:cs="宋体"/>
          <w:bCs/>
          <w:color w:val="auto"/>
          <w:sz w:val="24"/>
          <w:highlight w:val="none"/>
        </w:rPr>
        <w:t>纳政府采购合同</w:t>
      </w:r>
      <w:r>
        <w:rPr>
          <w:rFonts w:hint="eastAsia" w:ascii="宋体" w:hAnsi="宋体" w:eastAsia="宋体" w:cs="宋体"/>
          <w:bCs/>
          <w:color w:val="auto"/>
          <w:sz w:val="24"/>
          <w:highlight w:val="none"/>
          <w:lang w:val="en-US" w:eastAsia="zh-CN"/>
        </w:rPr>
        <w:t>单年中标</w:t>
      </w:r>
      <w:r>
        <w:rPr>
          <w:rFonts w:hint="eastAsia" w:ascii="宋体" w:hAnsi="宋体" w:eastAsia="宋体" w:cs="宋体"/>
          <w:bCs/>
          <w:color w:val="auto"/>
          <w:sz w:val="24"/>
          <w:highlight w:val="none"/>
        </w:rPr>
        <w:t>金额</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%的履约保证金。且我方如无不可抗力，又未履行招标文件、投标文件和合同条款的，一经查实，我方愿意赔偿由此而造成的一切损失，并同意接受按招标文件的相关要求对我方进行的处理。</w:t>
      </w:r>
    </w:p>
    <w:p w14:paraId="63B9CAE5">
      <w:pPr>
        <w:numPr>
          <w:ilvl w:val="0"/>
          <w:numId w:val="1"/>
        </w:numPr>
        <w:tabs>
          <w:tab w:val="left" w:pos="0"/>
          <w:tab w:val="left" w:pos="315"/>
          <w:tab w:val="left" w:pos="525"/>
          <w:tab w:val="left" w:pos="945"/>
          <w:tab w:val="left" w:pos="1050"/>
        </w:tabs>
        <w:spacing w:line="36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我方决不提供虚假材料谋取中标、决不采取不正当手段诋毁、排挤其他</w:t>
      </w: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highlight w:val="none"/>
        </w:rPr>
        <w:t>、决不与采购人、其它</w:t>
      </w: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highlight w:val="none"/>
        </w:rPr>
        <w:t>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p>
    <w:p w14:paraId="3600B6D3">
      <w:pPr>
        <w:spacing w:line="400" w:lineRule="exact"/>
        <w:ind w:firstLine="480"/>
        <w:rPr>
          <w:rFonts w:hint="eastAsia" w:ascii="宋体" w:hAnsi="宋体" w:eastAsia="宋体" w:cs="宋体"/>
          <w:bCs/>
          <w:color w:val="auto"/>
          <w:sz w:val="24"/>
          <w:highlight w:val="none"/>
        </w:rPr>
      </w:pPr>
    </w:p>
    <w:p w14:paraId="67CD3AA0">
      <w:pPr>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投标人（盖章）：     </w:t>
      </w:r>
    </w:p>
    <w:p w14:paraId="55019018">
      <w:pPr>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法定代表人或法定代表人授权代表签字或盖章：</w:t>
      </w:r>
    </w:p>
    <w:p w14:paraId="2395E905">
      <w:pPr>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电话：                              传真：</w:t>
      </w:r>
    </w:p>
    <w:p w14:paraId="5C4F2B40">
      <w:pPr>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通讯地址：                          邮编：</w:t>
      </w:r>
    </w:p>
    <w:p w14:paraId="1FA48803">
      <w:pPr>
        <w:outlineLvl w:val="9"/>
        <w:rPr>
          <w:rFonts w:hint="eastAsia" w:ascii="宋体" w:hAnsi="宋体" w:eastAsia="宋体" w:cs="宋体"/>
          <w:bCs/>
          <w:color w:val="auto"/>
          <w:sz w:val="24"/>
          <w:highlight w:val="none"/>
        </w:rPr>
      </w:pPr>
    </w:p>
    <w:p w14:paraId="659EE1D9">
      <w:pPr>
        <w:outlineLvl w:val="9"/>
        <w:rPr>
          <w:rFonts w:hint="eastAsia" w:ascii="宋体" w:hAnsi="宋体" w:eastAsia="宋体" w:cs="宋体"/>
          <w:bCs/>
          <w:color w:val="auto"/>
          <w:sz w:val="24"/>
          <w:highlight w:val="none"/>
        </w:rPr>
      </w:pPr>
    </w:p>
    <w:p w14:paraId="722C1140">
      <w:pPr>
        <w:outlineLvl w:val="9"/>
        <w:rPr>
          <w:rFonts w:hint="eastAsia" w:ascii="宋体" w:hAnsi="宋体" w:eastAsia="宋体" w:cs="宋体"/>
          <w:bCs/>
          <w:color w:val="auto"/>
          <w:sz w:val="24"/>
          <w:highlight w:val="none"/>
        </w:rPr>
      </w:pPr>
    </w:p>
    <w:p w14:paraId="50C00EEE">
      <w:pPr>
        <w:outlineLvl w:val="9"/>
        <w:rPr>
          <w:rFonts w:hint="eastAsia" w:ascii="宋体" w:hAnsi="宋体" w:eastAsia="宋体" w:cs="宋体"/>
          <w:bCs/>
          <w:color w:val="auto"/>
          <w:sz w:val="24"/>
          <w:highlight w:val="none"/>
        </w:rPr>
      </w:pPr>
    </w:p>
    <w:p w14:paraId="0CB2DF25">
      <w:pP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4"/>
          <w:highlight w:val="none"/>
        </w:rPr>
        <w:t>（二）（投标人）关于资格的声明函（格式）：</w:t>
      </w:r>
    </w:p>
    <w:p w14:paraId="5CCA15A1">
      <w:pPr>
        <w:spacing w:line="360" w:lineRule="auto"/>
        <w:outlineLvl w:val="9"/>
        <w:rPr>
          <w:rFonts w:hint="eastAsia" w:ascii="宋体" w:hAnsi="宋体" w:eastAsia="宋体" w:cs="宋体"/>
          <w:bCs/>
          <w:color w:val="auto"/>
          <w:sz w:val="36"/>
          <w:highlight w:val="none"/>
        </w:rPr>
      </w:pPr>
    </w:p>
    <w:p w14:paraId="7ED91CE1">
      <w:pPr>
        <w:jc w:val="center"/>
        <w:outlineLvl w:val="9"/>
        <w:rPr>
          <w:rFonts w:hint="eastAsia" w:ascii="宋体" w:hAnsi="宋体" w:eastAsia="宋体" w:cs="宋体"/>
          <w:bCs/>
          <w:color w:val="auto"/>
          <w:sz w:val="28"/>
          <w:szCs w:val="28"/>
          <w:highlight w:val="none"/>
        </w:rPr>
      </w:pPr>
      <w:bookmarkStart w:id="65" w:name="报价方关于资格的声明函（格式）"/>
      <w:bookmarkEnd w:id="65"/>
      <w:r>
        <w:rPr>
          <w:rFonts w:hint="eastAsia" w:ascii="宋体" w:hAnsi="宋体" w:eastAsia="宋体" w:cs="宋体"/>
          <w:bCs/>
          <w:color w:val="auto"/>
          <w:sz w:val="28"/>
          <w:szCs w:val="28"/>
          <w:highlight w:val="none"/>
        </w:rPr>
        <w:t>关于资格的声明函</w:t>
      </w:r>
    </w:p>
    <w:p w14:paraId="2B78B43A">
      <w:pPr>
        <w:jc w:val="center"/>
        <w:rPr>
          <w:rFonts w:hint="eastAsia" w:ascii="宋体" w:hAnsi="宋体" w:eastAsia="宋体" w:cs="宋体"/>
          <w:bCs/>
          <w:color w:val="auto"/>
          <w:sz w:val="32"/>
          <w:highlight w:val="none"/>
        </w:rPr>
      </w:pPr>
    </w:p>
    <w:p w14:paraId="7C042D0B">
      <w:pPr>
        <w:spacing w:line="480" w:lineRule="auto"/>
        <w:jc w:val="center"/>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采购项目编号：  </w:t>
      </w:r>
    </w:p>
    <w:p w14:paraId="489C89CA">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eastAsia="zh-CN"/>
        </w:rPr>
        <w:t>（</w:t>
      </w:r>
      <w:r>
        <w:rPr>
          <w:rFonts w:hint="eastAsia" w:ascii="宋体" w:hAnsi="宋体" w:cs="宋体"/>
          <w:bCs/>
          <w:color w:val="auto"/>
          <w:sz w:val="24"/>
          <w:highlight w:val="none"/>
          <w:u w:val="single"/>
          <w:lang w:val="en-US" w:eastAsia="zh-CN"/>
        </w:rPr>
        <w:t>采购人</w:t>
      </w:r>
      <w:r>
        <w:rPr>
          <w:rFonts w:hint="eastAsia" w:ascii="宋体" w:hAnsi="宋体" w:cs="宋体"/>
          <w:bCs/>
          <w:color w:val="auto"/>
          <w:sz w:val="24"/>
          <w:highlight w:val="none"/>
          <w:u w:val="single"/>
          <w:lang w:eastAsia="zh-CN"/>
        </w:rPr>
        <w:t>）</w:t>
      </w:r>
      <w:r>
        <w:rPr>
          <w:rFonts w:hint="eastAsia" w:ascii="宋体" w:hAnsi="宋体" w:eastAsia="宋体" w:cs="宋体"/>
          <w:bCs/>
          <w:color w:val="auto"/>
          <w:sz w:val="24"/>
          <w:highlight w:val="none"/>
        </w:rPr>
        <w:t>：</w:t>
      </w:r>
    </w:p>
    <w:p w14:paraId="4E34961F">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p>
    <w:p w14:paraId="31B78807">
      <w:pPr>
        <w:spacing w:line="48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我公司（单位）参加本次项目（编号：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）政府采购活动前三年内，在经营活动中没有重大违法记录，我公司（单位）愿针对本次项目（</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）进行投标，投标文件中所有关于投标资格的文件、证明、陈述均是真实的、准确的。若有违背，我公司（单位）</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愿意承担由此而产生的一切后果。</w:t>
      </w:r>
    </w:p>
    <w:p w14:paraId="55042848">
      <w:pPr>
        <w:spacing w:line="480" w:lineRule="auto"/>
        <w:rPr>
          <w:rFonts w:hint="eastAsia" w:ascii="宋体" w:hAnsi="宋体" w:eastAsia="宋体" w:cs="宋体"/>
          <w:bCs/>
          <w:color w:val="auto"/>
          <w:sz w:val="24"/>
          <w:highlight w:val="none"/>
        </w:rPr>
      </w:pPr>
    </w:p>
    <w:p w14:paraId="72E268D6">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投标人（盖章）：</w:t>
      </w:r>
    </w:p>
    <w:p w14:paraId="44B5B12F">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法定代表人或法定代表人授权代表（签字或盖章）：</w:t>
      </w:r>
    </w:p>
    <w:p w14:paraId="0B4B63BB">
      <w:pPr>
        <w:outlineLvl w:val="9"/>
        <w:rPr>
          <w:rFonts w:hint="eastAsia" w:ascii="宋体" w:hAnsi="宋体" w:eastAsia="宋体" w:cs="宋体"/>
          <w:bCs/>
          <w:color w:val="auto"/>
          <w:sz w:val="24"/>
          <w:highlight w:val="none"/>
        </w:rPr>
      </w:pPr>
    </w:p>
    <w:p w14:paraId="20554604">
      <w:pPr>
        <w:tabs>
          <w:tab w:val="left" w:pos="6300"/>
        </w:tabs>
        <w:spacing w:line="48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p>
    <w:p w14:paraId="023DED76">
      <w:pPr>
        <w:outlineLvl w:val="9"/>
        <w:rPr>
          <w:rFonts w:hint="eastAsia" w:ascii="宋体" w:hAnsi="宋体" w:eastAsia="宋体" w:cs="宋体"/>
          <w:bCs/>
          <w:color w:val="auto"/>
          <w:sz w:val="24"/>
          <w:highlight w:val="none"/>
        </w:rPr>
      </w:pPr>
    </w:p>
    <w:p w14:paraId="7C2EAB3D">
      <w:pPr>
        <w:outlineLvl w:val="9"/>
        <w:rPr>
          <w:rFonts w:hint="eastAsia" w:ascii="宋体" w:hAnsi="宋体" w:eastAsia="宋体" w:cs="宋体"/>
          <w:bCs/>
          <w:color w:val="auto"/>
          <w:sz w:val="24"/>
          <w:highlight w:val="none"/>
        </w:rPr>
      </w:pPr>
    </w:p>
    <w:p w14:paraId="54EE902E">
      <w:pPr>
        <w:outlineLvl w:val="9"/>
        <w:rPr>
          <w:rFonts w:hint="eastAsia" w:ascii="宋体" w:hAnsi="宋体" w:eastAsia="宋体" w:cs="宋体"/>
          <w:bCs/>
          <w:color w:val="auto"/>
          <w:sz w:val="24"/>
          <w:highlight w:val="none"/>
        </w:rPr>
      </w:pPr>
    </w:p>
    <w:p w14:paraId="03991816">
      <w:pPr>
        <w:outlineLvl w:val="9"/>
        <w:rPr>
          <w:rFonts w:hint="eastAsia" w:ascii="宋体" w:hAnsi="宋体" w:eastAsia="宋体" w:cs="宋体"/>
          <w:bCs/>
          <w:color w:val="auto"/>
          <w:sz w:val="24"/>
          <w:highlight w:val="none"/>
        </w:rPr>
      </w:pPr>
    </w:p>
    <w:p w14:paraId="78FC37FD">
      <w:pPr>
        <w:outlineLvl w:val="9"/>
        <w:rPr>
          <w:rFonts w:hint="eastAsia" w:ascii="宋体" w:hAnsi="宋体" w:eastAsia="宋体" w:cs="宋体"/>
          <w:bCs/>
          <w:color w:val="auto"/>
          <w:sz w:val="24"/>
          <w:highlight w:val="none"/>
        </w:rPr>
      </w:pPr>
    </w:p>
    <w:p w14:paraId="6263DFD6">
      <w:pPr>
        <w:outlineLvl w:val="9"/>
        <w:rPr>
          <w:rFonts w:hint="eastAsia" w:ascii="宋体" w:hAnsi="宋体" w:eastAsia="宋体" w:cs="宋体"/>
          <w:bCs/>
          <w:color w:val="auto"/>
          <w:sz w:val="24"/>
          <w:highlight w:val="none"/>
        </w:rPr>
      </w:pPr>
    </w:p>
    <w:p w14:paraId="46BE7176">
      <w:pPr>
        <w:outlineLvl w:val="9"/>
        <w:rPr>
          <w:rFonts w:hint="eastAsia" w:ascii="宋体" w:hAnsi="宋体" w:eastAsia="宋体" w:cs="宋体"/>
          <w:bCs/>
          <w:color w:val="auto"/>
          <w:sz w:val="24"/>
          <w:highlight w:val="none"/>
        </w:rPr>
      </w:pPr>
    </w:p>
    <w:p w14:paraId="4E67453B">
      <w:pPr>
        <w:outlineLvl w:val="9"/>
        <w:rPr>
          <w:rFonts w:hint="eastAsia" w:ascii="宋体" w:hAnsi="宋体" w:eastAsia="宋体" w:cs="宋体"/>
          <w:bCs/>
          <w:color w:val="auto"/>
          <w:sz w:val="24"/>
          <w:highlight w:val="none"/>
        </w:rPr>
      </w:pPr>
    </w:p>
    <w:p w14:paraId="5F67E643">
      <w:pPr>
        <w:outlineLvl w:val="9"/>
        <w:rPr>
          <w:rFonts w:hint="eastAsia" w:ascii="宋体" w:hAnsi="宋体" w:eastAsia="宋体" w:cs="宋体"/>
          <w:bCs/>
          <w:color w:val="auto"/>
          <w:sz w:val="24"/>
          <w:highlight w:val="none"/>
        </w:rPr>
      </w:pPr>
    </w:p>
    <w:p w14:paraId="0F84DA41">
      <w:pPr>
        <w:outlineLvl w:val="9"/>
        <w:rPr>
          <w:rFonts w:hint="eastAsia" w:ascii="宋体" w:hAnsi="宋体" w:eastAsia="宋体" w:cs="宋体"/>
          <w:bCs/>
          <w:color w:val="auto"/>
          <w:sz w:val="24"/>
          <w:highlight w:val="none"/>
        </w:rPr>
      </w:pPr>
    </w:p>
    <w:p w14:paraId="10048AA6">
      <w:pPr>
        <w:outlineLvl w:val="9"/>
        <w:rPr>
          <w:rFonts w:hint="eastAsia" w:ascii="宋体" w:hAnsi="宋体" w:eastAsia="宋体" w:cs="宋体"/>
          <w:bCs/>
          <w:color w:val="auto"/>
          <w:sz w:val="24"/>
          <w:highlight w:val="none"/>
        </w:rPr>
      </w:pPr>
    </w:p>
    <w:p w14:paraId="2337A44B">
      <w:pPr>
        <w:outlineLvl w:val="9"/>
        <w:rPr>
          <w:rFonts w:hint="eastAsia" w:ascii="宋体" w:hAnsi="宋体" w:eastAsia="宋体" w:cs="宋体"/>
          <w:bCs/>
          <w:color w:val="auto"/>
          <w:sz w:val="24"/>
          <w:highlight w:val="none"/>
        </w:rPr>
      </w:pPr>
    </w:p>
    <w:p w14:paraId="0A69CD23">
      <w:pPr>
        <w:outlineLvl w:val="9"/>
        <w:rPr>
          <w:rFonts w:hint="eastAsia" w:ascii="宋体" w:hAnsi="宋体" w:eastAsia="宋体" w:cs="宋体"/>
          <w:color w:val="auto"/>
          <w:highlight w:val="none"/>
        </w:rPr>
      </w:pPr>
    </w:p>
    <w:p w14:paraId="27B7669D">
      <w:pPr>
        <w:numPr>
          <w:ilvl w:val="0"/>
          <w:numId w:val="0"/>
        </w:numPr>
        <w:outlineLvl w:val="9"/>
        <w:rPr>
          <w:rFonts w:hint="eastAsia" w:ascii="宋体" w:hAnsi="宋体" w:eastAsia="宋体" w:cs="宋体"/>
          <w:color w:val="auto"/>
          <w:highlight w:val="none"/>
        </w:rPr>
      </w:pPr>
      <w:r>
        <w:rPr>
          <w:rFonts w:hint="eastAsia" w:ascii="宋体" w:hAnsi="宋体" w:eastAsia="宋体" w:cs="宋体"/>
          <w:bCs/>
          <w:color w:val="auto"/>
          <w:sz w:val="24"/>
          <w:highlight w:val="none"/>
          <w:lang w:val="en-US" w:eastAsia="zh-CN"/>
        </w:rPr>
        <w:t>（三）</w:t>
      </w:r>
      <w:r>
        <w:rPr>
          <w:rFonts w:hint="eastAsia" w:ascii="宋体" w:hAnsi="宋体" w:eastAsia="宋体" w:cs="宋体"/>
          <w:bCs/>
          <w:color w:val="auto"/>
          <w:sz w:val="24"/>
          <w:highlight w:val="none"/>
        </w:rPr>
        <w:t>（投标人）法定代表人授权委托书（格式）：</w:t>
      </w:r>
    </w:p>
    <w:p w14:paraId="04E6A727">
      <w:pPr>
        <w:ind w:firstLine="2520" w:firstLineChars="900"/>
        <w:jc w:val="both"/>
        <w:outlineLvl w:val="9"/>
        <w:rPr>
          <w:rFonts w:hint="eastAsia" w:ascii="宋体" w:hAnsi="宋体" w:eastAsia="宋体" w:cs="宋体"/>
          <w:bCs/>
          <w:color w:val="auto"/>
          <w:sz w:val="28"/>
          <w:szCs w:val="28"/>
          <w:highlight w:val="none"/>
        </w:rPr>
      </w:pPr>
    </w:p>
    <w:p w14:paraId="53AE9CB4">
      <w:pPr>
        <w:ind w:firstLine="2520" w:firstLineChars="900"/>
        <w:jc w:val="both"/>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法定代表人授权委托书</w:t>
      </w:r>
    </w:p>
    <w:p w14:paraId="79C3A226">
      <w:pPr>
        <w:spacing w:line="360" w:lineRule="auto"/>
        <w:jc w:val="center"/>
        <w:rPr>
          <w:rFonts w:hint="eastAsia" w:ascii="宋体" w:hAnsi="宋体" w:eastAsia="宋体" w:cs="宋体"/>
          <w:bCs/>
          <w:color w:val="auto"/>
          <w:sz w:val="36"/>
          <w:highlight w:val="none"/>
        </w:rPr>
      </w:pPr>
    </w:p>
    <w:p w14:paraId="16BE7F27">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cs="宋体"/>
          <w:bCs/>
          <w:color w:val="auto"/>
          <w:sz w:val="30"/>
          <w:highlight w:val="none"/>
          <w:lang w:val="en-US" w:eastAsia="zh-CN"/>
        </w:rPr>
        <w:t xml:space="preserve">                   </w:t>
      </w:r>
      <w:r>
        <w:rPr>
          <w:rFonts w:hint="eastAsia" w:ascii="宋体" w:hAnsi="宋体" w:eastAsia="宋体" w:cs="宋体"/>
          <w:bCs/>
          <w:color w:val="auto"/>
          <w:sz w:val="24"/>
          <w:highlight w:val="none"/>
        </w:rPr>
        <w:t>采购项目编号：</w:t>
      </w:r>
    </w:p>
    <w:p w14:paraId="3866D465">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p>
    <w:p w14:paraId="1B1FE276">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eastAsia="zh-CN"/>
        </w:rPr>
        <w:t>（</w:t>
      </w:r>
      <w:r>
        <w:rPr>
          <w:rFonts w:hint="eastAsia" w:ascii="宋体" w:hAnsi="宋体" w:cs="宋体"/>
          <w:bCs/>
          <w:color w:val="auto"/>
          <w:sz w:val="24"/>
          <w:highlight w:val="none"/>
          <w:u w:val="single"/>
          <w:lang w:val="en-US" w:eastAsia="zh-CN"/>
        </w:rPr>
        <w:t>采购人</w:t>
      </w:r>
      <w:r>
        <w:rPr>
          <w:rFonts w:hint="eastAsia" w:ascii="宋体" w:hAnsi="宋体" w:cs="宋体"/>
          <w:bCs/>
          <w:color w:val="auto"/>
          <w:sz w:val="24"/>
          <w:highlight w:val="none"/>
          <w:u w:val="single"/>
          <w:lang w:eastAsia="zh-CN"/>
        </w:rPr>
        <w:t>）</w:t>
      </w:r>
      <w:r>
        <w:rPr>
          <w:rFonts w:hint="eastAsia" w:ascii="宋体" w:hAnsi="宋体" w:eastAsia="宋体" w:cs="宋体"/>
          <w:bCs/>
          <w:color w:val="auto"/>
          <w:sz w:val="24"/>
          <w:highlight w:val="none"/>
        </w:rPr>
        <w:t>：</w:t>
      </w:r>
    </w:p>
    <w:p w14:paraId="2B5EF7FF">
      <w:pPr>
        <w:spacing w:line="58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系中华人民共和国合法公司（单位），特授权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代表我公司（单位）全权办理针对本项目（</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）的投标、参与开标、评标、签约等具体工作，并签署全部有关的文件、协议及合同。</w:t>
      </w:r>
    </w:p>
    <w:p w14:paraId="0CE8AA7B">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我公司（单位）对被授权代表的签名负全部责任。</w:t>
      </w:r>
    </w:p>
    <w:p w14:paraId="31B56AFA">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在撤销授权的书面通知送达你处以前，本授权书一直有效，被授权代表签署的所有文件（在授权书有效期内签署的）不因授权的撤销而失效。</w:t>
      </w:r>
    </w:p>
    <w:p w14:paraId="0F459074">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被授权代表情况：</w:t>
      </w:r>
    </w:p>
    <w:p w14:paraId="6E7B18D4">
      <w:pPr>
        <w:spacing w:line="580" w:lineRule="exact"/>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         性别：       电话：</w:t>
      </w:r>
    </w:p>
    <w:p w14:paraId="7734621A">
      <w:pPr>
        <w:spacing w:line="580" w:lineRule="exact"/>
        <w:ind w:firstLine="3240"/>
        <w:rPr>
          <w:rFonts w:hint="eastAsia" w:ascii="宋体" w:hAnsi="宋体" w:eastAsia="宋体" w:cs="宋体"/>
          <w:bCs/>
          <w:color w:val="auto"/>
          <w:sz w:val="24"/>
          <w:highlight w:val="none"/>
        </w:rPr>
      </w:pPr>
    </w:p>
    <w:p w14:paraId="6186072A">
      <w:pPr>
        <w:pStyle w:val="8"/>
        <w:rPr>
          <w:rFonts w:hint="eastAsia" w:ascii="宋体" w:hAnsi="宋体" w:eastAsia="宋体" w:cs="宋体"/>
          <w:color w:val="auto"/>
          <w:highlight w:val="none"/>
        </w:rPr>
      </w:pPr>
    </w:p>
    <w:p w14:paraId="53BB9104">
      <w:pPr>
        <w:spacing w:line="580" w:lineRule="exact"/>
        <w:ind w:firstLine="3240"/>
        <w:rPr>
          <w:rFonts w:hint="eastAsia" w:ascii="宋体" w:hAnsi="宋体" w:eastAsia="宋体" w:cs="宋体"/>
          <w:bCs/>
          <w:color w:val="auto"/>
          <w:sz w:val="24"/>
          <w:highlight w:val="none"/>
        </w:rPr>
      </w:pPr>
    </w:p>
    <w:p w14:paraId="5E8B516A">
      <w:pPr>
        <w:spacing w:line="580" w:lineRule="exact"/>
        <w:ind w:firstLine="324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单位名称（盖章）：</w:t>
      </w:r>
    </w:p>
    <w:p w14:paraId="02AAD2F4">
      <w:pPr>
        <w:spacing w:line="580" w:lineRule="exact"/>
        <w:ind w:firstLine="40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法定代表人（签字或盖章）：</w:t>
      </w:r>
    </w:p>
    <w:p w14:paraId="3DB9AA7F">
      <w:pPr>
        <w:spacing w:line="580" w:lineRule="exact"/>
        <w:ind w:firstLine="420"/>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日期：</w:t>
      </w:r>
    </w:p>
    <w:p w14:paraId="66DA7875">
      <w:pPr>
        <w:spacing w:line="580" w:lineRule="exact"/>
        <w:ind w:firstLine="420"/>
        <w:outlineLvl w:val="9"/>
        <w:rPr>
          <w:rFonts w:hint="eastAsia" w:ascii="宋体" w:hAnsi="宋体" w:eastAsia="宋体" w:cs="宋体"/>
          <w:bCs/>
          <w:color w:val="auto"/>
          <w:sz w:val="24"/>
          <w:highlight w:val="none"/>
        </w:rPr>
      </w:pPr>
    </w:p>
    <w:p w14:paraId="20A11CAA">
      <w:pPr>
        <w:outlineLvl w:val="9"/>
        <w:rPr>
          <w:rFonts w:hint="eastAsia" w:ascii="宋体" w:hAnsi="宋体" w:eastAsia="宋体" w:cs="宋体"/>
          <w:bCs/>
          <w:color w:val="auto"/>
          <w:sz w:val="24"/>
          <w:highlight w:val="none"/>
        </w:rPr>
      </w:pPr>
    </w:p>
    <w:p w14:paraId="5FE8F2EA">
      <w:pPr>
        <w:outlineLvl w:val="9"/>
        <w:rPr>
          <w:rFonts w:hint="eastAsia" w:ascii="宋体" w:hAnsi="宋体" w:eastAsia="宋体" w:cs="宋体"/>
          <w:bCs/>
          <w:color w:val="auto"/>
          <w:sz w:val="24"/>
          <w:highlight w:val="none"/>
        </w:rPr>
      </w:pPr>
    </w:p>
    <w:p w14:paraId="1B9AF563">
      <w:pPr>
        <w:outlineLvl w:val="9"/>
        <w:rPr>
          <w:rFonts w:hint="eastAsia" w:ascii="宋体" w:hAnsi="宋体" w:eastAsia="宋体" w:cs="宋体"/>
          <w:bCs/>
          <w:color w:val="auto"/>
          <w:sz w:val="24"/>
          <w:highlight w:val="none"/>
        </w:rPr>
      </w:pPr>
    </w:p>
    <w:p w14:paraId="0F29E484">
      <w:pPr>
        <w:outlineLvl w:val="9"/>
        <w:rPr>
          <w:rFonts w:hint="eastAsia" w:ascii="宋体" w:hAnsi="宋体" w:eastAsia="宋体" w:cs="宋体"/>
          <w:bCs/>
          <w:color w:val="auto"/>
          <w:sz w:val="24"/>
          <w:highlight w:val="none"/>
        </w:rPr>
      </w:pPr>
    </w:p>
    <w:p w14:paraId="0EC77C1A">
      <w:pPr>
        <w:numPr>
          <w:ilvl w:val="0"/>
          <w:numId w:val="2"/>
        </w:numPr>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（投标人）中小企业声明函（格式）：</w:t>
      </w:r>
    </w:p>
    <w:p w14:paraId="160E60DC">
      <w:pPr>
        <w:jc w:val="center"/>
        <w:outlineLvl w:val="9"/>
        <w:rPr>
          <w:rFonts w:hint="eastAsia" w:ascii="宋体" w:hAnsi="宋体" w:eastAsia="宋体" w:cs="宋体"/>
          <w:color w:val="auto"/>
          <w:szCs w:val="28"/>
          <w:highlight w:val="none"/>
        </w:rPr>
      </w:pPr>
    </w:p>
    <w:p w14:paraId="5C3A6BC7">
      <w:pPr>
        <w:jc w:val="center"/>
        <w:outlineLvl w:val="9"/>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t>中小企业声明函（服务）</w:t>
      </w:r>
    </w:p>
    <w:p w14:paraId="784F6444">
      <w:pPr>
        <w:spacing w:line="60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本公司郑重声明，根据《政府采购促进中小企业发展</w:t>
      </w:r>
      <w:r>
        <w:rPr>
          <w:rFonts w:hint="eastAsia" w:ascii="宋体" w:hAnsi="宋体" w:eastAsia="宋体" w:cs="宋体"/>
          <w:color w:val="auto"/>
          <w:sz w:val="24"/>
          <w:szCs w:val="24"/>
          <w:highlight w:val="none"/>
        </w:rPr>
        <w:t>管理</w:t>
      </w:r>
      <w:r>
        <w:rPr>
          <w:rFonts w:hint="eastAsia" w:ascii="宋体" w:hAnsi="宋体" w:eastAsia="宋体" w:cs="宋体"/>
          <w:color w:val="auto"/>
          <w:sz w:val="24"/>
          <w:szCs w:val="24"/>
          <w:highlight w:val="none"/>
          <w:lang w:val="zh-CN"/>
        </w:rPr>
        <w:t>办法》（财库</w:t>
      </w:r>
      <w:r>
        <w:rPr>
          <w:rFonts w:hint="eastAsia" w:ascii="宋体" w:hAnsi="宋体" w:cs="宋体"/>
          <w:color w:val="auto"/>
          <w:sz w:val="24"/>
          <w:szCs w:val="24"/>
          <w:highlight w:val="none"/>
          <w:lang w:val="zh-CN"/>
        </w:rPr>
        <w:t>〔2020〕46号</w:t>
      </w:r>
      <w:r>
        <w:rPr>
          <w:rFonts w:hint="eastAsia" w:ascii="宋体" w:hAnsi="宋体" w:eastAsia="宋体" w:cs="宋体"/>
          <w:color w:val="auto"/>
          <w:sz w:val="24"/>
          <w:szCs w:val="24"/>
          <w:highlight w:val="none"/>
          <w:lang w:val="zh-CN"/>
        </w:rPr>
        <w:t>）的规定，本公司</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（项目名称）采购活动，服务全部由符合政策要求的中小企业承接。相关企业的具体情况如下：</w:t>
      </w:r>
    </w:p>
    <w:p w14:paraId="0C30EBAC">
      <w:pPr>
        <w:spacing w:line="60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租赁和商务服务业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企业（中型企业、小型企业、微型企业）。</w:t>
      </w:r>
    </w:p>
    <w:p w14:paraId="06D324E0">
      <w:pPr>
        <w:spacing w:line="600" w:lineRule="exact"/>
        <w:ind w:firstLine="480"/>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租赁和商务服务业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企业（中型企业、小型企业、微型企业）。</w:t>
      </w:r>
    </w:p>
    <w:p w14:paraId="1F93E664">
      <w:pPr>
        <w:spacing w:line="60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w:t>
      </w:r>
    </w:p>
    <w:p w14:paraId="3CF0D6AA">
      <w:pPr>
        <w:spacing w:line="580" w:lineRule="exact"/>
        <w:ind w:firstLine="480"/>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企业名称（加盖CA电子公章）：</w:t>
      </w:r>
    </w:p>
    <w:p w14:paraId="3898393A">
      <w:pPr>
        <w:spacing w:line="580" w:lineRule="exact"/>
        <w:ind w:firstLine="480"/>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p>
    <w:p w14:paraId="344D3243">
      <w:pPr>
        <w:pStyle w:val="15"/>
        <w:outlineLvl w:val="9"/>
        <w:rPr>
          <w:rFonts w:hint="eastAsia" w:ascii="宋体" w:hAnsi="宋体" w:eastAsia="宋体" w:cs="宋体"/>
          <w:color w:val="auto"/>
          <w:highlight w:val="none"/>
        </w:rPr>
      </w:pPr>
    </w:p>
    <w:p w14:paraId="49D94C7B">
      <w:pPr>
        <w:spacing w:line="580" w:lineRule="exact"/>
        <w:ind w:firstLine="480"/>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备注1：从业人员、营业收入、资产总额填报上一年度数据，无上一年度数据的新成立企业可不填报。</w:t>
      </w:r>
    </w:p>
    <w:p w14:paraId="3F4A3AA6">
      <w:pPr>
        <w:pStyle w:val="15"/>
        <w:spacing w:line="520" w:lineRule="exact"/>
        <w:ind w:firstLine="480"/>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备注2：</w:t>
      </w: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highlight w:val="none"/>
        </w:rPr>
        <w:t>如不提供此声明函，价格将不做相应扣除。</w:t>
      </w:r>
    </w:p>
    <w:p w14:paraId="1655D44B">
      <w:pPr>
        <w:pStyle w:val="15"/>
        <w:spacing w:line="520" w:lineRule="exact"/>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备注3：小型、微型企业提供中型企业的服务的，视同为中型企业。若</w:t>
      </w: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szCs w:val="24"/>
          <w:highlight w:val="none"/>
        </w:rPr>
        <w:t>提供的《中小企业声明函》为虚假声明则视同提供虚假材料，按《中华人民共和国政府采购法》相关规定处理并报请政府监督部门给予行政处罚。</w:t>
      </w:r>
    </w:p>
    <w:p w14:paraId="613E26E2">
      <w:pPr>
        <w:spacing w:line="600" w:lineRule="exact"/>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备注4：以上企业，不属于大型企业的分支机构，不存在控股股东为大企业的情形，也不存在与大企业的负责人为同一人的情形。</w:t>
      </w:r>
    </w:p>
    <w:p w14:paraId="039F0506">
      <w:pPr>
        <w:spacing w:line="600" w:lineRule="exact"/>
        <w:ind w:firstLine="480"/>
        <w:outlineLvl w:val="9"/>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备注5：</w:t>
      </w:r>
      <w:r>
        <w:rPr>
          <w:rFonts w:hint="eastAsia" w:ascii="宋体" w:hAnsi="宋体" w:eastAsia="宋体" w:cs="宋体"/>
          <w:bCs/>
          <w:color w:val="auto"/>
          <w:sz w:val="24"/>
          <w:szCs w:val="24"/>
          <w:highlight w:val="none"/>
          <w:lang w:val="zh-CN"/>
        </w:rPr>
        <w:t>本</w:t>
      </w:r>
      <w:r>
        <w:rPr>
          <w:rFonts w:hint="eastAsia" w:ascii="宋体" w:hAnsi="宋体" w:eastAsia="宋体" w:cs="宋体"/>
          <w:bCs/>
          <w:color w:val="auto"/>
          <w:sz w:val="24"/>
          <w:szCs w:val="24"/>
          <w:highlight w:val="none"/>
        </w:rPr>
        <w:t>企业</w:t>
      </w:r>
      <w:r>
        <w:rPr>
          <w:rFonts w:hint="eastAsia" w:ascii="宋体" w:hAnsi="宋体" w:eastAsia="宋体" w:cs="宋体"/>
          <w:bCs/>
          <w:color w:val="auto"/>
          <w:sz w:val="24"/>
          <w:szCs w:val="24"/>
          <w:highlight w:val="none"/>
          <w:lang w:val="zh-CN"/>
        </w:rPr>
        <w:t>对上述声明</w:t>
      </w:r>
      <w:r>
        <w:rPr>
          <w:rFonts w:hint="eastAsia" w:ascii="宋体" w:hAnsi="宋体" w:eastAsia="宋体" w:cs="宋体"/>
          <w:bCs/>
          <w:color w:val="auto"/>
          <w:sz w:val="24"/>
          <w:szCs w:val="24"/>
          <w:highlight w:val="none"/>
        </w:rPr>
        <w:t>内容</w:t>
      </w:r>
      <w:r>
        <w:rPr>
          <w:rFonts w:hint="eastAsia" w:ascii="宋体" w:hAnsi="宋体" w:eastAsia="宋体" w:cs="宋体"/>
          <w:bCs/>
          <w:color w:val="auto"/>
          <w:sz w:val="24"/>
          <w:szCs w:val="24"/>
          <w:highlight w:val="none"/>
          <w:lang w:val="zh-CN"/>
        </w:rPr>
        <w:t>的真实性负责。如有虚假，将依法承担相应责任。</w:t>
      </w:r>
    </w:p>
    <w:p w14:paraId="521A90C8">
      <w:pPr>
        <w:spacing w:line="580" w:lineRule="exact"/>
        <w:outlineLvl w:val="9"/>
        <w:rPr>
          <w:rFonts w:hint="eastAsia" w:ascii="宋体" w:hAnsi="宋体" w:eastAsia="宋体" w:cs="宋体"/>
          <w:bCs/>
          <w:color w:val="auto"/>
          <w:sz w:val="24"/>
          <w:highlight w:val="none"/>
        </w:rPr>
      </w:pPr>
      <w:r>
        <w:rPr>
          <w:rFonts w:hint="eastAsia" w:ascii="宋体" w:hAnsi="宋体" w:eastAsia="宋体" w:cs="宋体"/>
          <w:color w:val="auto"/>
          <w:highlight w:val="none"/>
        </w:rPr>
        <w:br w:type="page" w:clear="all"/>
      </w:r>
      <w:r>
        <w:rPr>
          <w:rFonts w:hint="eastAsia" w:ascii="宋体" w:hAnsi="宋体" w:eastAsia="宋体" w:cs="宋体"/>
          <w:bCs/>
          <w:color w:val="auto"/>
          <w:sz w:val="24"/>
          <w:highlight w:val="none"/>
        </w:rPr>
        <w:t>（五）（投标人）残疾人福利性单位声明函（格式）：</w:t>
      </w:r>
    </w:p>
    <w:p w14:paraId="56746E1A">
      <w:pPr>
        <w:spacing w:line="588"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7E1D5186">
      <w:pPr>
        <w:spacing w:line="588" w:lineRule="exact"/>
        <w:ind w:firstLine="560" w:firstLineChars="200"/>
        <w:jc w:val="center"/>
        <w:rPr>
          <w:rFonts w:hint="eastAsia" w:ascii="宋体" w:hAnsi="宋体" w:eastAsia="宋体" w:cs="宋体"/>
          <w:bCs/>
          <w:color w:val="auto"/>
          <w:sz w:val="28"/>
          <w:szCs w:val="28"/>
          <w:highlight w:val="none"/>
        </w:rPr>
      </w:pPr>
    </w:p>
    <w:p w14:paraId="1EFAF2CF">
      <w:pPr>
        <w:spacing w:line="588" w:lineRule="exact"/>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2ADB60CA">
      <w:pPr>
        <w:spacing w:line="588"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58140F7A">
      <w:pPr>
        <w:spacing w:line="588" w:lineRule="exact"/>
        <w:ind w:firstLine="480" w:firstLineChars="200"/>
        <w:rPr>
          <w:rFonts w:hint="eastAsia" w:ascii="宋体" w:hAnsi="宋体" w:eastAsia="宋体" w:cs="宋体"/>
          <w:color w:val="auto"/>
          <w:sz w:val="24"/>
          <w:highlight w:val="none"/>
        </w:rPr>
      </w:pPr>
    </w:p>
    <w:p w14:paraId="2B6B527F">
      <w:pPr>
        <w:spacing w:line="588"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（备注：1、投标人如不提供此声明函，价格将不做相应扣除。2、中标单位为残疾人福利单位的，此声明函将随中标结果同时公告，接受社会监督）</w:t>
      </w:r>
    </w:p>
    <w:p w14:paraId="2A537CE0">
      <w:pPr>
        <w:spacing w:line="588" w:lineRule="exact"/>
        <w:ind w:firstLine="624" w:firstLineChars="200"/>
        <w:rPr>
          <w:rFonts w:hint="eastAsia" w:ascii="宋体" w:hAnsi="宋体" w:eastAsia="宋体" w:cs="宋体"/>
          <w:color w:val="auto"/>
          <w:spacing w:val="6"/>
          <w:sz w:val="30"/>
          <w:szCs w:val="30"/>
          <w:highlight w:val="none"/>
        </w:rPr>
      </w:pPr>
    </w:p>
    <w:p w14:paraId="36E9D48E">
      <w:pPr>
        <w:tabs>
          <w:tab w:val="left" w:pos="4860"/>
        </w:tabs>
        <w:spacing w:line="588" w:lineRule="exact"/>
        <w:ind w:right="1560" w:firstLine="624" w:firstLineChars="200"/>
        <w:jc w:val="center"/>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投标人全称（加盖CA电子公章）：</w:t>
      </w:r>
    </w:p>
    <w:p w14:paraId="3A1927C4">
      <w:pPr>
        <w:tabs>
          <w:tab w:val="left" w:pos="4860"/>
        </w:tabs>
        <w:spacing w:line="588" w:lineRule="exact"/>
        <w:ind w:right="1560"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p>
    <w:p w14:paraId="299128D2">
      <w:pPr>
        <w:rPr>
          <w:rFonts w:hint="eastAsia" w:ascii="宋体" w:hAnsi="宋体" w:eastAsia="宋体" w:cs="宋体"/>
          <w:color w:val="auto"/>
          <w:highlight w:val="none"/>
        </w:rPr>
      </w:pPr>
    </w:p>
    <w:p w14:paraId="621809D4">
      <w:pPr>
        <w:outlineLvl w:val="9"/>
        <w:rPr>
          <w:rFonts w:hint="eastAsia" w:ascii="宋体" w:hAnsi="宋体" w:eastAsia="宋体" w:cs="宋体"/>
          <w:bCs/>
          <w:color w:val="auto"/>
          <w:sz w:val="24"/>
          <w:highlight w:val="none"/>
        </w:rPr>
      </w:pPr>
    </w:p>
    <w:p w14:paraId="0F9E937F">
      <w:pPr>
        <w:outlineLvl w:val="9"/>
        <w:rPr>
          <w:rFonts w:hint="eastAsia" w:ascii="宋体" w:hAnsi="宋体" w:eastAsia="宋体" w:cs="宋体"/>
          <w:bCs/>
          <w:color w:val="auto"/>
          <w:sz w:val="24"/>
          <w:highlight w:val="none"/>
        </w:rPr>
      </w:pPr>
    </w:p>
    <w:p w14:paraId="3C852081">
      <w:pPr>
        <w:outlineLvl w:val="9"/>
        <w:rPr>
          <w:rFonts w:hint="eastAsia" w:ascii="宋体" w:hAnsi="宋体" w:eastAsia="宋体" w:cs="宋体"/>
          <w:bCs/>
          <w:color w:val="auto"/>
          <w:sz w:val="24"/>
          <w:highlight w:val="none"/>
        </w:rPr>
      </w:pPr>
    </w:p>
    <w:p w14:paraId="33E6DE78">
      <w:pPr>
        <w:outlineLvl w:val="9"/>
        <w:rPr>
          <w:rFonts w:hint="eastAsia" w:ascii="宋体" w:hAnsi="宋体" w:eastAsia="宋体" w:cs="宋体"/>
          <w:bCs/>
          <w:color w:val="auto"/>
          <w:sz w:val="24"/>
          <w:highlight w:val="none"/>
        </w:rPr>
      </w:pPr>
    </w:p>
    <w:p w14:paraId="49ED688E">
      <w:pPr>
        <w:outlineLvl w:val="9"/>
        <w:rPr>
          <w:rFonts w:hint="eastAsia" w:ascii="宋体" w:hAnsi="宋体" w:eastAsia="宋体" w:cs="宋体"/>
          <w:bCs/>
          <w:color w:val="auto"/>
          <w:sz w:val="24"/>
          <w:highlight w:val="none"/>
        </w:rPr>
      </w:pPr>
    </w:p>
    <w:p w14:paraId="45134A2C">
      <w:pPr>
        <w:outlineLvl w:val="9"/>
        <w:rPr>
          <w:rFonts w:hint="eastAsia" w:ascii="宋体" w:hAnsi="宋体" w:eastAsia="宋体" w:cs="宋体"/>
          <w:bCs/>
          <w:color w:val="auto"/>
          <w:sz w:val="24"/>
          <w:highlight w:val="none"/>
        </w:rPr>
      </w:pPr>
    </w:p>
    <w:p w14:paraId="04C9481C">
      <w:pPr>
        <w:outlineLvl w:val="9"/>
        <w:rPr>
          <w:rFonts w:hint="eastAsia" w:ascii="宋体" w:hAnsi="宋体" w:eastAsia="宋体" w:cs="宋体"/>
          <w:color w:val="auto"/>
          <w:highlight w:val="none"/>
        </w:rPr>
      </w:pPr>
    </w:p>
    <w:p w14:paraId="5814B355">
      <w:pPr>
        <w:outlineLvl w:val="9"/>
        <w:rPr>
          <w:rFonts w:hint="eastAsia" w:ascii="宋体" w:hAnsi="宋体" w:eastAsia="宋体" w:cs="宋体"/>
          <w:color w:val="auto"/>
          <w:highlight w:val="none"/>
        </w:rPr>
      </w:pPr>
    </w:p>
    <w:p w14:paraId="56A95A46">
      <w:pPr>
        <w:outlineLvl w:val="9"/>
        <w:rPr>
          <w:rFonts w:hint="eastAsia" w:ascii="宋体" w:hAnsi="宋体" w:eastAsia="宋体" w:cs="宋体"/>
          <w:color w:val="auto"/>
          <w:highlight w:val="none"/>
        </w:rPr>
      </w:pPr>
    </w:p>
    <w:p w14:paraId="637B0EA9">
      <w:pPr>
        <w:outlineLvl w:val="9"/>
        <w:rPr>
          <w:rFonts w:hint="eastAsia" w:ascii="宋体" w:hAnsi="宋体" w:eastAsia="宋体" w:cs="宋体"/>
          <w:color w:val="auto"/>
          <w:highlight w:val="none"/>
        </w:rPr>
      </w:pPr>
    </w:p>
    <w:p w14:paraId="4F91845A">
      <w:pPr>
        <w:outlineLvl w:val="9"/>
        <w:rPr>
          <w:rFonts w:hint="eastAsia" w:ascii="宋体" w:hAnsi="宋体" w:eastAsia="宋体" w:cs="宋体"/>
          <w:color w:val="auto"/>
          <w:highlight w:val="none"/>
        </w:rPr>
      </w:pPr>
    </w:p>
    <w:p w14:paraId="4A9648F2">
      <w:pPr>
        <w:outlineLvl w:val="9"/>
        <w:rPr>
          <w:rFonts w:hint="eastAsia" w:ascii="宋体" w:hAnsi="宋体" w:eastAsia="宋体" w:cs="宋体"/>
          <w:color w:val="auto"/>
          <w:highlight w:val="none"/>
        </w:rPr>
      </w:pPr>
    </w:p>
    <w:p w14:paraId="22F8926F">
      <w:pPr>
        <w:outlineLvl w:val="9"/>
        <w:rPr>
          <w:rFonts w:hint="eastAsia" w:ascii="宋体" w:hAnsi="宋体" w:eastAsia="宋体" w:cs="宋体"/>
          <w:color w:val="auto"/>
          <w:highlight w:val="none"/>
        </w:rPr>
      </w:pPr>
    </w:p>
    <w:p w14:paraId="21852924">
      <w:pPr>
        <w:outlineLvl w:val="9"/>
        <w:rPr>
          <w:rFonts w:hint="eastAsia" w:ascii="宋体" w:hAnsi="宋体" w:eastAsia="宋体" w:cs="宋体"/>
          <w:color w:val="auto"/>
          <w:highlight w:val="none"/>
        </w:rPr>
      </w:pPr>
    </w:p>
    <w:p w14:paraId="6B314383">
      <w:pPr>
        <w:outlineLvl w:val="9"/>
        <w:rPr>
          <w:rFonts w:hint="eastAsia" w:ascii="宋体" w:hAnsi="宋体" w:eastAsia="宋体" w:cs="宋体"/>
          <w:bCs/>
          <w:color w:val="auto"/>
          <w:sz w:val="24"/>
          <w:highlight w:val="none"/>
        </w:rPr>
      </w:pPr>
    </w:p>
    <w:p w14:paraId="75FD3A6C">
      <w:pPr>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（六）（投标人）监狱企业证明材料（格式）：</w:t>
      </w:r>
    </w:p>
    <w:p w14:paraId="68DC27A5">
      <w:pPr>
        <w:spacing w:line="480" w:lineRule="auto"/>
        <w:jc w:val="center"/>
        <w:rPr>
          <w:rFonts w:hint="eastAsia" w:ascii="宋体" w:hAnsi="宋体" w:eastAsia="宋体" w:cs="宋体"/>
          <w:b/>
          <w:color w:val="auto"/>
          <w:sz w:val="32"/>
          <w:szCs w:val="32"/>
          <w:highlight w:val="none"/>
        </w:rPr>
      </w:pPr>
    </w:p>
    <w:p w14:paraId="4E7FFFC4">
      <w:pPr>
        <w:spacing w:line="48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监狱企业证明材料</w:t>
      </w:r>
    </w:p>
    <w:p w14:paraId="6EBCBB8C">
      <w:pPr>
        <w:spacing w:line="8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参加政府采购活动的监狱企业应当提供省级以上监狱管理局、戒毒管理局（含新疆生产建设兵团）出具的属于监狱企业的证明文件复印件加盖申请人公章。</w:t>
      </w:r>
    </w:p>
    <w:p w14:paraId="7A19E147">
      <w:pPr>
        <w:outlineLvl w:val="9"/>
        <w:rPr>
          <w:rFonts w:hint="eastAsia" w:ascii="宋体" w:hAnsi="宋体" w:eastAsia="宋体" w:cs="宋体"/>
          <w:bCs/>
          <w:color w:val="auto"/>
          <w:sz w:val="24"/>
          <w:highlight w:val="none"/>
        </w:rPr>
      </w:pPr>
    </w:p>
    <w:p w14:paraId="627424AC">
      <w:pPr>
        <w:outlineLvl w:val="9"/>
        <w:rPr>
          <w:rFonts w:hint="eastAsia" w:ascii="宋体" w:hAnsi="宋体" w:eastAsia="宋体" w:cs="宋体"/>
          <w:bCs/>
          <w:color w:val="auto"/>
          <w:sz w:val="24"/>
          <w:highlight w:val="none"/>
        </w:rPr>
      </w:pPr>
    </w:p>
    <w:p w14:paraId="0C5ABB85">
      <w:pPr>
        <w:outlineLvl w:val="9"/>
        <w:rPr>
          <w:rFonts w:hint="eastAsia" w:ascii="宋体" w:hAnsi="宋体" w:eastAsia="宋体" w:cs="宋体"/>
          <w:bCs/>
          <w:color w:val="auto"/>
          <w:sz w:val="24"/>
          <w:highlight w:val="none"/>
        </w:rPr>
      </w:pPr>
    </w:p>
    <w:p w14:paraId="47E2B22A">
      <w:pPr>
        <w:outlineLvl w:val="9"/>
        <w:rPr>
          <w:rFonts w:hint="eastAsia" w:ascii="宋体" w:hAnsi="宋体" w:eastAsia="宋体" w:cs="宋体"/>
          <w:bCs/>
          <w:color w:val="auto"/>
          <w:sz w:val="24"/>
          <w:highlight w:val="none"/>
        </w:rPr>
      </w:pPr>
    </w:p>
    <w:p w14:paraId="3F2D31A7">
      <w:pPr>
        <w:outlineLvl w:val="9"/>
        <w:rPr>
          <w:rFonts w:hint="eastAsia" w:ascii="宋体" w:hAnsi="宋体" w:eastAsia="宋体" w:cs="宋体"/>
          <w:bCs/>
          <w:color w:val="auto"/>
          <w:sz w:val="24"/>
          <w:highlight w:val="none"/>
        </w:rPr>
      </w:pPr>
    </w:p>
    <w:p w14:paraId="3D8ED9A2">
      <w:pPr>
        <w:outlineLvl w:val="9"/>
        <w:rPr>
          <w:rFonts w:hint="eastAsia" w:ascii="宋体" w:hAnsi="宋体" w:eastAsia="宋体" w:cs="宋体"/>
          <w:bCs/>
          <w:color w:val="auto"/>
          <w:sz w:val="24"/>
          <w:highlight w:val="none"/>
        </w:rPr>
      </w:pPr>
    </w:p>
    <w:p w14:paraId="09F5F21A">
      <w:pPr>
        <w:outlineLvl w:val="9"/>
        <w:rPr>
          <w:rFonts w:hint="eastAsia" w:ascii="宋体" w:hAnsi="宋体" w:eastAsia="宋体" w:cs="宋体"/>
          <w:bCs/>
          <w:color w:val="auto"/>
          <w:sz w:val="24"/>
          <w:highlight w:val="none"/>
        </w:rPr>
      </w:pPr>
    </w:p>
    <w:p w14:paraId="01B2ECF9">
      <w:pPr>
        <w:outlineLvl w:val="9"/>
        <w:rPr>
          <w:rFonts w:hint="eastAsia" w:ascii="宋体" w:hAnsi="宋体" w:eastAsia="宋体" w:cs="宋体"/>
          <w:bCs/>
          <w:color w:val="auto"/>
          <w:sz w:val="24"/>
          <w:highlight w:val="none"/>
        </w:rPr>
      </w:pPr>
    </w:p>
    <w:p w14:paraId="127E5298">
      <w:pPr>
        <w:outlineLvl w:val="9"/>
        <w:rPr>
          <w:rFonts w:hint="eastAsia" w:ascii="宋体" w:hAnsi="宋体" w:eastAsia="宋体" w:cs="宋体"/>
          <w:bCs/>
          <w:color w:val="auto"/>
          <w:sz w:val="24"/>
          <w:highlight w:val="none"/>
        </w:rPr>
      </w:pPr>
    </w:p>
    <w:p w14:paraId="7C7F5887">
      <w:pPr>
        <w:outlineLvl w:val="9"/>
        <w:rPr>
          <w:rFonts w:hint="eastAsia" w:ascii="宋体" w:hAnsi="宋体" w:eastAsia="宋体" w:cs="宋体"/>
          <w:bCs/>
          <w:color w:val="auto"/>
          <w:sz w:val="24"/>
          <w:highlight w:val="none"/>
        </w:rPr>
      </w:pPr>
    </w:p>
    <w:p w14:paraId="4811ABFA">
      <w:pPr>
        <w:outlineLvl w:val="9"/>
        <w:rPr>
          <w:rFonts w:hint="eastAsia" w:ascii="宋体" w:hAnsi="宋体" w:eastAsia="宋体" w:cs="宋体"/>
          <w:bCs/>
          <w:color w:val="auto"/>
          <w:sz w:val="24"/>
          <w:highlight w:val="none"/>
        </w:rPr>
      </w:pPr>
    </w:p>
    <w:p w14:paraId="1536D37D">
      <w:pPr>
        <w:outlineLvl w:val="9"/>
        <w:rPr>
          <w:rFonts w:hint="eastAsia" w:ascii="宋体" w:hAnsi="宋体" w:eastAsia="宋体" w:cs="宋体"/>
          <w:bCs/>
          <w:color w:val="auto"/>
          <w:sz w:val="24"/>
          <w:highlight w:val="none"/>
        </w:rPr>
      </w:pPr>
    </w:p>
    <w:p w14:paraId="1E8149C9">
      <w:pPr>
        <w:outlineLvl w:val="9"/>
        <w:rPr>
          <w:rFonts w:hint="eastAsia" w:ascii="宋体" w:hAnsi="宋体" w:eastAsia="宋体" w:cs="宋体"/>
          <w:bCs/>
          <w:color w:val="auto"/>
          <w:sz w:val="24"/>
          <w:highlight w:val="none"/>
        </w:rPr>
      </w:pPr>
    </w:p>
    <w:p w14:paraId="4F0D8F83">
      <w:pPr>
        <w:outlineLvl w:val="9"/>
        <w:rPr>
          <w:rFonts w:hint="eastAsia" w:ascii="宋体" w:hAnsi="宋体" w:eastAsia="宋体" w:cs="宋体"/>
          <w:bCs/>
          <w:color w:val="auto"/>
          <w:sz w:val="24"/>
          <w:highlight w:val="none"/>
        </w:rPr>
      </w:pPr>
    </w:p>
    <w:p w14:paraId="55A33FFB">
      <w:pPr>
        <w:outlineLvl w:val="9"/>
        <w:rPr>
          <w:rFonts w:hint="eastAsia" w:ascii="宋体" w:hAnsi="宋体" w:eastAsia="宋体" w:cs="宋体"/>
          <w:bCs/>
          <w:color w:val="auto"/>
          <w:sz w:val="24"/>
          <w:highlight w:val="none"/>
        </w:rPr>
      </w:pPr>
    </w:p>
    <w:p w14:paraId="2C045A4E">
      <w:pPr>
        <w:outlineLvl w:val="9"/>
        <w:rPr>
          <w:rFonts w:hint="eastAsia" w:ascii="宋体" w:hAnsi="宋体" w:eastAsia="宋体" w:cs="宋体"/>
          <w:bCs/>
          <w:color w:val="auto"/>
          <w:sz w:val="24"/>
          <w:highlight w:val="none"/>
        </w:rPr>
      </w:pPr>
    </w:p>
    <w:p w14:paraId="5860E34B">
      <w:pPr>
        <w:outlineLvl w:val="9"/>
        <w:rPr>
          <w:rFonts w:hint="eastAsia" w:ascii="宋体" w:hAnsi="宋体" w:eastAsia="宋体" w:cs="宋体"/>
          <w:bCs/>
          <w:color w:val="auto"/>
          <w:sz w:val="24"/>
          <w:highlight w:val="none"/>
        </w:rPr>
      </w:pPr>
    </w:p>
    <w:p w14:paraId="2BE02FBE">
      <w:pPr>
        <w:outlineLvl w:val="9"/>
        <w:rPr>
          <w:rFonts w:hint="eastAsia" w:ascii="宋体" w:hAnsi="宋体" w:eastAsia="宋体" w:cs="宋体"/>
          <w:bCs/>
          <w:color w:val="auto"/>
          <w:sz w:val="24"/>
          <w:highlight w:val="none"/>
        </w:rPr>
      </w:pPr>
    </w:p>
    <w:p w14:paraId="56712C46">
      <w:pPr>
        <w:outlineLvl w:val="9"/>
        <w:rPr>
          <w:rFonts w:hint="eastAsia" w:ascii="宋体" w:hAnsi="宋体" w:eastAsia="宋体" w:cs="宋体"/>
          <w:bCs/>
          <w:color w:val="auto"/>
          <w:sz w:val="24"/>
          <w:highlight w:val="none"/>
        </w:rPr>
      </w:pPr>
    </w:p>
    <w:p w14:paraId="0D073A31">
      <w:pPr>
        <w:outlineLvl w:val="9"/>
        <w:rPr>
          <w:rFonts w:hint="eastAsia" w:ascii="宋体" w:hAnsi="宋体" w:eastAsia="宋体" w:cs="宋体"/>
          <w:bCs/>
          <w:color w:val="auto"/>
          <w:sz w:val="24"/>
          <w:highlight w:val="none"/>
        </w:rPr>
      </w:pPr>
    </w:p>
    <w:p w14:paraId="0810933B">
      <w:pPr>
        <w:outlineLvl w:val="9"/>
        <w:rPr>
          <w:rFonts w:hint="eastAsia" w:ascii="宋体" w:hAnsi="宋体" w:eastAsia="宋体" w:cs="宋体"/>
          <w:bCs/>
          <w:color w:val="auto"/>
          <w:sz w:val="24"/>
          <w:highlight w:val="none"/>
        </w:rPr>
      </w:pPr>
    </w:p>
    <w:p w14:paraId="6B4CA87A">
      <w:pPr>
        <w:outlineLvl w:val="9"/>
        <w:rPr>
          <w:rFonts w:hint="eastAsia" w:ascii="宋体" w:hAnsi="宋体" w:eastAsia="宋体" w:cs="宋体"/>
          <w:bCs/>
          <w:color w:val="auto"/>
          <w:sz w:val="24"/>
          <w:highlight w:val="none"/>
        </w:rPr>
      </w:pPr>
    </w:p>
    <w:p w14:paraId="338F8D01">
      <w:pPr>
        <w:outlineLvl w:val="9"/>
        <w:rPr>
          <w:rFonts w:hint="eastAsia" w:ascii="宋体" w:hAnsi="宋体" w:eastAsia="宋体" w:cs="宋体"/>
          <w:bCs/>
          <w:color w:val="auto"/>
          <w:sz w:val="24"/>
          <w:highlight w:val="none"/>
        </w:rPr>
      </w:pPr>
    </w:p>
    <w:p w14:paraId="458F7D87">
      <w:pPr>
        <w:outlineLvl w:val="9"/>
        <w:rPr>
          <w:rFonts w:hint="eastAsia" w:ascii="宋体" w:hAnsi="宋体" w:eastAsia="宋体" w:cs="宋体"/>
          <w:bCs/>
          <w:color w:val="auto"/>
          <w:sz w:val="24"/>
          <w:highlight w:val="none"/>
        </w:rPr>
      </w:pPr>
    </w:p>
    <w:p w14:paraId="2E35F057">
      <w:pPr>
        <w:outlineLvl w:val="9"/>
        <w:rPr>
          <w:rFonts w:hint="eastAsia" w:ascii="宋体" w:hAnsi="宋体" w:eastAsia="宋体" w:cs="宋体"/>
          <w:bCs/>
          <w:color w:val="auto"/>
          <w:sz w:val="24"/>
          <w:highlight w:val="none"/>
        </w:rPr>
      </w:pPr>
    </w:p>
    <w:p w14:paraId="6E026372">
      <w:pPr>
        <w:outlineLvl w:val="9"/>
        <w:rPr>
          <w:rFonts w:hint="eastAsia" w:ascii="宋体" w:hAnsi="宋体" w:eastAsia="宋体" w:cs="宋体"/>
          <w:bCs/>
          <w:color w:val="auto"/>
          <w:sz w:val="24"/>
          <w:highlight w:val="none"/>
        </w:rPr>
      </w:pPr>
    </w:p>
    <w:p w14:paraId="081903A4">
      <w:pPr>
        <w:outlineLvl w:val="9"/>
        <w:rPr>
          <w:rFonts w:hint="eastAsia" w:ascii="宋体" w:hAnsi="宋体" w:eastAsia="宋体" w:cs="宋体"/>
          <w:bCs/>
          <w:color w:val="auto"/>
          <w:sz w:val="24"/>
          <w:highlight w:val="none"/>
        </w:rPr>
      </w:pPr>
    </w:p>
    <w:p w14:paraId="772C7F44">
      <w:pPr>
        <w:outlineLvl w:val="9"/>
        <w:rPr>
          <w:rFonts w:hint="eastAsia" w:ascii="宋体" w:hAnsi="宋体" w:eastAsia="宋体" w:cs="宋体"/>
          <w:bCs/>
          <w:color w:val="auto"/>
          <w:sz w:val="24"/>
          <w:highlight w:val="none"/>
        </w:rPr>
      </w:pPr>
    </w:p>
    <w:p w14:paraId="720B9D8B">
      <w:pPr>
        <w:outlineLvl w:val="9"/>
        <w:rPr>
          <w:rFonts w:hint="eastAsia" w:ascii="宋体" w:hAnsi="宋体" w:eastAsia="宋体" w:cs="宋体"/>
          <w:bCs/>
          <w:color w:val="auto"/>
          <w:sz w:val="24"/>
          <w:highlight w:val="none"/>
        </w:rPr>
      </w:pPr>
    </w:p>
    <w:p w14:paraId="71CE691A">
      <w:pPr>
        <w:outlineLvl w:val="9"/>
        <w:rPr>
          <w:rFonts w:hint="eastAsia" w:ascii="宋体" w:hAnsi="宋体" w:eastAsia="宋体" w:cs="宋体"/>
          <w:bCs/>
          <w:color w:val="auto"/>
          <w:sz w:val="24"/>
          <w:highlight w:val="none"/>
        </w:rPr>
      </w:pPr>
    </w:p>
    <w:p w14:paraId="39A5BEE7">
      <w:pPr>
        <w:outlineLvl w:val="9"/>
        <w:rPr>
          <w:rFonts w:hint="eastAsia" w:ascii="宋体" w:hAnsi="宋体" w:eastAsia="宋体" w:cs="宋体"/>
          <w:bCs/>
          <w:color w:val="auto"/>
          <w:sz w:val="24"/>
          <w:highlight w:val="none"/>
        </w:rPr>
      </w:pPr>
    </w:p>
    <w:p w14:paraId="5C8CC032">
      <w:pPr>
        <w:outlineLvl w:val="9"/>
        <w:rPr>
          <w:rFonts w:hint="eastAsia" w:ascii="宋体" w:hAnsi="宋体" w:eastAsia="宋体" w:cs="宋体"/>
          <w:bCs/>
          <w:color w:val="auto"/>
          <w:sz w:val="24"/>
          <w:highlight w:val="none"/>
        </w:rPr>
      </w:pPr>
    </w:p>
    <w:p w14:paraId="6AC37005">
      <w:pPr>
        <w:spacing w:line="360" w:lineRule="auto"/>
        <w:outlineLvl w:val="9"/>
        <w:rPr>
          <w:rFonts w:hint="eastAsia" w:ascii="宋体" w:hAnsi="宋体" w:eastAsia="宋体" w:cs="宋体"/>
          <w:bCs/>
          <w:color w:val="auto"/>
          <w:sz w:val="24"/>
          <w:highlight w:val="none"/>
        </w:rPr>
      </w:pPr>
    </w:p>
    <w:p w14:paraId="1A2AAE9C">
      <w:pPr>
        <w:spacing w:line="360" w:lineRule="auto"/>
        <w:outlineLvl w:val="9"/>
        <w:rPr>
          <w:rFonts w:hint="eastAsia" w:ascii="宋体" w:hAnsi="宋体" w:eastAsia="宋体" w:cs="宋体"/>
          <w:bCs/>
          <w:color w:val="auto"/>
          <w:sz w:val="24"/>
          <w:highlight w:val="none"/>
        </w:rPr>
      </w:pPr>
    </w:p>
    <w:p w14:paraId="4E704025">
      <w:pPr>
        <w:spacing w:line="36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（七）</w:t>
      </w:r>
      <w:r>
        <w:rPr>
          <w:rFonts w:hint="eastAsia" w:ascii="宋体" w:hAnsi="宋体" w:eastAsia="宋体" w:cs="宋体"/>
          <w:bCs/>
          <w:color w:val="auto"/>
          <w:sz w:val="24"/>
          <w:szCs w:val="24"/>
          <w:highlight w:val="none"/>
        </w:rPr>
        <w:t>投标人3年内无重大违法记录声明</w:t>
      </w:r>
    </w:p>
    <w:p w14:paraId="1A6C288D">
      <w:pPr>
        <w:spacing w:line="360" w:lineRule="auto"/>
        <w:ind w:firstLine="420"/>
        <w:rPr>
          <w:rFonts w:hint="eastAsia" w:ascii="宋体" w:hAnsi="宋体" w:eastAsia="宋体" w:cs="宋体"/>
          <w:color w:val="auto"/>
          <w:szCs w:val="21"/>
          <w:highlight w:val="none"/>
        </w:rPr>
      </w:pPr>
    </w:p>
    <w:p w14:paraId="2379EFBF">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附：参考格式</w:t>
      </w:r>
    </w:p>
    <w:p w14:paraId="422328E8">
      <w:pPr>
        <w:spacing w:line="360" w:lineRule="auto"/>
        <w:ind w:firstLine="422"/>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无重大违法记录声明</w:t>
      </w:r>
    </w:p>
    <w:p w14:paraId="286DE9D5">
      <w:pPr>
        <w:spacing w:line="360" w:lineRule="auto"/>
        <w:ind w:firstLine="420"/>
        <w:rPr>
          <w:rFonts w:hint="eastAsia" w:ascii="宋体" w:hAnsi="宋体" w:eastAsia="宋体" w:cs="宋体"/>
          <w:color w:val="auto"/>
          <w:szCs w:val="21"/>
          <w:highlight w:val="none"/>
        </w:rPr>
      </w:pPr>
    </w:p>
    <w:p w14:paraId="2204124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本公司参与贵方组织</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作出如下声明：</w:t>
      </w:r>
    </w:p>
    <w:p w14:paraId="63A5ABE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本公司参加本次政府采购活动前3年内，在经营活动中没有重大违法记录。</w:t>
      </w:r>
    </w:p>
    <w:p w14:paraId="3142468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本公司随时接受采购人的检查验证。如违反上述承诺，本公司将按照《中华人民共和国政府采购法》有关规定接受处罚，并通过江苏省相关政府采购媒体予以公布。</w:t>
      </w:r>
    </w:p>
    <w:p w14:paraId="3B42644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028E1FC8">
      <w:pPr>
        <w:spacing w:line="360" w:lineRule="auto"/>
        <w:ind w:firstLine="420"/>
        <w:rPr>
          <w:rFonts w:hint="eastAsia" w:ascii="宋体" w:hAnsi="宋体" w:eastAsia="宋体" w:cs="宋体"/>
          <w:color w:val="auto"/>
          <w:szCs w:val="21"/>
          <w:highlight w:val="none"/>
        </w:rPr>
      </w:pPr>
    </w:p>
    <w:p w14:paraId="5D80E556">
      <w:pPr>
        <w:spacing w:line="360" w:lineRule="auto"/>
        <w:ind w:firstLine="420"/>
        <w:rPr>
          <w:rFonts w:hint="eastAsia" w:ascii="宋体" w:hAnsi="宋体" w:eastAsia="宋体" w:cs="宋体"/>
          <w:color w:val="auto"/>
          <w:szCs w:val="21"/>
          <w:highlight w:val="none"/>
        </w:rPr>
      </w:pPr>
    </w:p>
    <w:p w14:paraId="42369B41">
      <w:pPr>
        <w:widowControl/>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投标人：（盖章）</w:t>
      </w:r>
    </w:p>
    <w:p w14:paraId="5A189361">
      <w:pPr>
        <w:widowControl/>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法定代表人或授权委托代理人 ：（签字或盖章）</w:t>
      </w:r>
    </w:p>
    <w:p w14:paraId="01F57173">
      <w:pPr>
        <w:widowControl/>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日期：</w:t>
      </w:r>
    </w:p>
    <w:p w14:paraId="2F348EF5">
      <w:pPr>
        <w:pStyle w:val="8"/>
        <w:ind w:firstLine="0"/>
        <w:rPr>
          <w:rFonts w:hint="eastAsia" w:ascii="宋体" w:hAnsi="宋体" w:eastAsia="宋体" w:cs="宋体"/>
          <w:bCs/>
          <w:color w:val="auto"/>
          <w:sz w:val="24"/>
          <w:szCs w:val="24"/>
          <w:highlight w:val="none"/>
        </w:rPr>
      </w:pPr>
    </w:p>
    <w:p w14:paraId="11D0C865">
      <w:pPr>
        <w:pStyle w:val="8"/>
        <w:ind w:firstLine="0"/>
        <w:rPr>
          <w:rFonts w:hint="eastAsia" w:ascii="宋体" w:hAnsi="宋体" w:eastAsia="宋体" w:cs="宋体"/>
          <w:bCs/>
          <w:color w:val="auto"/>
          <w:sz w:val="24"/>
          <w:szCs w:val="24"/>
          <w:highlight w:val="none"/>
        </w:rPr>
      </w:pPr>
    </w:p>
    <w:p w14:paraId="1B97D14D">
      <w:pPr>
        <w:pStyle w:val="33"/>
        <w:rPr>
          <w:rFonts w:hint="eastAsia" w:ascii="宋体" w:hAnsi="宋体" w:eastAsia="宋体" w:cs="宋体"/>
          <w:bCs/>
          <w:color w:val="auto"/>
          <w:sz w:val="24"/>
          <w:szCs w:val="24"/>
          <w:highlight w:val="none"/>
        </w:rPr>
      </w:pPr>
    </w:p>
    <w:p w14:paraId="32C82309">
      <w:pPr>
        <w:pStyle w:val="22"/>
        <w:rPr>
          <w:rFonts w:hint="eastAsia" w:ascii="宋体" w:hAnsi="宋体" w:eastAsia="宋体" w:cs="宋体"/>
          <w:bCs/>
          <w:color w:val="auto"/>
          <w:sz w:val="24"/>
          <w:szCs w:val="24"/>
          <w:highlight w:val="none"/>
        </w:rPr>
      </w:pPr>
    </w:p>
    <w:p w14:paraId="5A1BC7FD">
      <w:pPr>
        <w:pStyle w:val="22"/>
        <w:rPr>
          <w:rFonts w:hint="eastAsia" w:ascii="宋体" w:hAnsi="宋体" w:eastAsia="宋体" w:cs="宋体"/>
          <w:bCs/>
          <w:color w:val="auto"/>
          <w:sz w:val="24"/>
          <w:szCs w:val="24"/>
          <w:highlight w:val="none"/>
        </w:rPr>
      </w:pPr>
    </w:p>
    <w:p w14:paraId="49CC1567">
      <w:pPr>
        <w:pStyle w:val="22"/>
        <w:rPr>
          <w:rFonts w:hint="eastAsia" w:ascii="宋体" w:hAnsi="宋体" w:eastAsia="宋体" w:cs="宋体"/>
          <w:color w:val="auto"/>
          <w:highlight w:val="none"/>
        </w:rPr>
      </w:pPr>
    </w:p>
    <w:p w14:paraId="31650A73">
      <w:pPr>
        <w:pStyle w:val="8"/>
        <w:ind w:firstLine="0"/>
        <w:rPr>
          <w:rFonts w:hint="eastAsia" w:ascii="宋体" w:hAnsi="宋体" w:eastAsia="宋体" w:cs="宋体"/>
          <w:bCs/>
          <w:color w:val="auto"/>
          <w:sz w:val="24"/>
          <w:szCs w:val="24"/>
          <w:highlight w:val="none"/>
        </w:rPr>
      </w:pPr>
    </w:p>
    <w:p w14:paraId="24F4C343">
      <w:pPr>
        <w:pStyle w:val="8"/>
        <w:ind w:firstLine="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（八）</w:t>
      </w:r>
      <w:r>
        <w:rPr>
          <w:rFonts w:hint="eastAsia" w:ascii="宋体" w:hAnsi="宋体" w:eastAsia="宋体" w:cs="宋体"/>
          <w:color w:val="auto"/>
          <w:sz w:val="24"/>
          <w:szCs w:val="24"/>
          <w:highlight w:val="none"/>
        </w:rPr>
        <w:t>具备履行合同所必需的设备和专业技术能力的书面声明（格式自拟）；</w:t>
      </w:r>
    </w:p>
    <w:p w14:paraId="45ECBCB7">
      <w:pPr>
        <w:pStyle w:val="8"/>
        <w:ind w:firstLine="0"/>
        <w:rPr>
          <w:rFonts w:hint="eastAsia" w:ascii="宋体" w:hAnsi="宋体" w:eastAsia="宋体" w:cs="宋体"/>
          <w:bCs/>
          <w:color w:val="auto"/>
          <w:sz w:val="24"/>
          <w:szCs w:val="24"/>
          <w:highlight w:val="none"/>
        </w:rPr>
      </w:pPr>
    </w:p>
    <w:p w14:paraId="459259D7">
      <w:pPr>
        <w:pStyle w:val="33"/>
        <w:rPr>
          <w:rFonts w:hint="eastAsia" w:ascii="宋体" w:hAnsi="宋体" w:eastAsia="宋体" w:cs="宋体"/>
          <w:bCs/>
          <w:color w:val="auto"/>
          <w:sz w:val="24"/>
          <w:szCs w:val="24"/>
          <w:highlight w:val="none"/>
        </w:rPr>
      </w:pPr>
    </w:p>
    <w:p w14:paraId="6C6CEFD3">
      <w:pPr>
        <w:pStyle w:val="22"/>
        <w:rPr>
          <w:rFonts w:hint="eastAsia" w:ascii="宋体" w:hAnsi="宋体" w:eastAsia="宋体" w:cs="宋体"/>
          <w:bCs/>
          <w:color w:val="auto"/>
          <w:sz w:val="24"/>
          <w:szCs w:val="24"/>
          <w:highlight w:val="none"/>
        </w:rPr>
      </w:pPr>
    </w:p>
    <w:p w14:paraId="2006B690">
      <w:pPr>
        <w:pStyle w:val="22"/>
        <w:rPr>
          <w:rFonts w:hint="eastAsia" w:ascii="宋体" w:hAnsi="宋体" w:eastAsia="宋体" w:cs="宋体"/>
          <w:bCs/>
          <w:color w:val="auto"/>
          <w:sz w:val="24"/>
          <w:szCs w:val="24"/>
          <w:highlight w:val="none"/>
        </w:rPr>
      </w:pPr>
    </w:p>
    <w:p w14:paraId="01C97AF4">
      <w:pPr>
        <w:pStyle w:val="22"/>
        <w:rPr>
          <w:rFonts w:hint="eastAsia" w:ascii="宋体" w:hAnsi="宋体" w:eastAsia="宋体" w:cs="宋体"/>
          <w:bCs/>
          <w:color w:val="auto"/>
          <w:sz w:val="24"/>
          <w:szCs w:val="24"/>
          <w:highlight w:val="none"/>
        </w:rPr>
      </w:pPr>
    </w:p>
    <w:p w14:paraId="5E408ADE">
      <w:pPr>
        <w:pStyle w:val="22"/>
        <w:rPr>
          <w:rFonts w:hint="eastAsia" w:ascii="宋体" w:hAnsi="宋体" w:eastAsia="宋体" w:cs="宋体"/>
          <w:bCs/>
          <w:color w:val="auto"/>
          <w:sz w:val="24"/>
          <w:szCs w:val="24"/>
          <w:highlight w:val="none"/>
        </w:rPr>
      </w:pPr>
    </w:p>
    <w:p w14:paraId="64D369D6">
      <w:pPr>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（九）承诺书（格式）：</w:t>
      </w:r>
    </w:p>
    <w:p w14:paraId="65979D79">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承诺书</w:t>
      </w:r>
    </w:p>
    <w:p w14:paraId="14ABB7D8">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（投标人名称）在此承诺：</w:t>
      </w:r>
    </w:p>
    <w:p w14:paraId="24157F7A">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我单位同意并响应</w:t>
      </w:r>
      <w:r>
        <w:rPr>
          <w:rFonts w:hint="eastAsia" w:ascii="宋体" w:hAnsi="宋体" w:cs="宋体"/>
          <w:color w:val="auto"/>
          <w:sz w:val="24"/>
          <w:highlight w:val="none"/>
          <w:lang w:eastAsia="zh-CN"/>
        </w:rPr>
        <w:t>泰州市第五人民医院安保服务项目</w:t>
      </w:r>
      <w:r>
        <w:rPr>
          <w:rFonts w:hint="eastAsia" w:ascii="宋体" w:hAnsi="宋体" w:eastAsia="宋体" w:cs="宋体"/>
          <w:color w:val="auto"/>
          <w:sz w:val="24"/>
          <w:szCs w:val="24"/>
          <w:highlight w:val="none"/>
        </w:rPr>
        <w:t>采购文件的所有内容。</w:t>
      </w:r>
    </w:p>
    <w:p w14:paraId="17C4F361">
      <w:pPr>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我单位对本项目（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）所提供的服务符合采购人要求；</w:t>
      </w:r>
    </w:p>
    <w:p w14:paraId="416A693F">
      <w:pPr>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cs="宋体"/>
          <w:bCs/>
          <w:color w:val="auto"/>
          <w:sz w:val="24"/>
          <w:szCs w:val="24"/>
          <w:highlight w:val="none"/>
          <w:lang w:val="en-US" w:eastAsia="zh-CN"/>
        </w:rPr>
        <w:t>.</w:t>
      </w:r>
      <w:r>
        <w:rPr>
          <w:rFonts w:hint="eastAsia" w:ascii="宋体" w:hAnsi="宋体" w:eastAsia="宋体" w:cs="宋体"/>
          <w:color w:val="auto"/>
          <w:sz w:val="24"/>
          <w:szCs w:val="24"/>
          <w:highlight w:val="none"/>
        </w:rPr>
        <w:t>我单位满足《中华人民共和国政府采购法》第二十二条规定</w:t>
      </w:r>
      <w:r>
        <w:rPr>
          <w:rFonts w:hint="eastAsia" w:ascii="宋体" w:hAnsi="宋体" w:eastAsia="宋体" w:cs="宋体"/>
          <w:bCs/>
          <w:color w:val="auto"/>
          <w:sz w:val="24"/>
          <w:szCs w:val="24"/>
          <w:highlight w:val="none"/>
        </w:rPr>
        <w:t>；</w:t>
      </w:r>
    </w:p>
    <w:p w14:paraId="56BD9EC0">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cs="宋体"/>
          <w:bCs/>
          <w:color w:val="auto"/>
          <w:sz w:val="24"/>
          <w:szCs w:val="24"/>
          <w:highlight w:val="none"/>
          <w:lang w:val="en-US" w:eastAsia="zh-CN"/>
        </w:rPr>
        <w:t>.</w:t>
      </w:r>
      <w:r>
        <w:rPr>
          <w:rFonts w:hint="eastAsia" w:ascii="宋体" w:hAnsi="宋体" w:eastAsia="宋体" w:cs="宋体"/>
          <w:color w:val="auto"/>
          <w:sz w:val="24"/>
          <w:szCs w:val="24"/>
          <w:highlight w:val="none"/>
        </w:rPr>
        <w:t>我单位未被“</w:t>
      </w:r>
      <w:r>
        <w:rPr>
          <w:rFonts w:hint="eastAsia" w:ascii="宋体" w:hAnsi="宋体" w:eastAsia="宋体" w:cs="宋体"/>
          <w:bCs/>
          <w:color w:val="auto"/>
          <w:sz w:val="24"/>
          <w:szCs w:val="24"/>
          <w:highlight w:val="none"/>
        </w:rPr>
        <w:t>信用中国</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列入失信被执行人、重大税收违法</w:t>
      </w:r>
      <w:r>
        <w:rPr>
          <w:rFonts w:hint="eastAsia" w:ascii="宋体" w:hAnsi="宋体" w:eastAsia="宋体" w:cs="宋体"/>
          <w:color w:val="auto"/>
          <w:sz w:val="24"/>
          <w:szCs w:val="24"/>
          <w:highlight w:val="none"/>
          <w:lang w:val="en-US" w:eastAsia="zh-CN"/>
        </w:rPr>
        <w:t>失信主体</w:t>
      </w:r>
      <w:r>
        <w:rPr>
          <w:rFonts w:hint="eastAsia" w:ascii="宋体" w:hAnsi="宋体" w:eastAsia="宋体" w:cs="宋体"/>
          <w:color w:val="auto"/>
          <w:sz w:val="24"/>
          <w:szCs w:val="24"/>
          <w:highlight w:val="none"/>
        </w:rPr>
        <w:t>、政府采购严重违法失信行为记录名单；</w:t>
      </w:r>
    </w:p>
    <w:p w14:paraId="5BF5813B">
      <w:pPr>
        <w:spacing w:line="460" w:lineRule="exact"/>
        <w:ind w:firstLine="492"/>
        <w:rPr>
          <w:rFonts w:hint="eastAsia" w:ascii="宋体" w:hAnsi="宋体" w:cs="宋体"/>
          <w:bCs/>
          <w:color w:val="auto"/>
          <w:sz w:val="24"/>
          <w:szCs w:val="24"/>
          <w:highlight w:val="none"/>
        </w:rPr>
      </w:pPr>
      <w:r>
        <w:rPr>
          <w:rFonts w:hint="eastAsia" w:ascii="宋体" w:hAnsi="宋体" w:cs="宋体"/>
          <w:color w:val="auto"/>
          <w:sz w:val="24"/>
          <w:szCs w:val="24"/>
          <w:highlight w:val="none"/>
          <w:lang w:val="en-US" w:eastAsia="zh-CN"/>
        </w:rPr>
        <w:t>5.我</w:t>
      </w:r>
      <w:r>
        <w:rPr>
          <w:rFonts w:hint="eastAsia" w:ascii="宋体" w:hAnsi="宋体" w:eastAsia="宋体" w:cs="宋体"/>
          <w:color w:val="auto"/>
          <w:sz w:val="24"/>
          <w:szCs w:val="24"/>
          <w:highlight w:val="none"/>
        </w:rPr>
        <w:t>单位</w:t>
      </w:r>
      <w:r>
        <w:rPr>
          <w:rFonts w:hint="eastAsia" w:ascii="宋体" w:hAnsi="宋体" w:cs="宋体"/>
          <w:bCs/>
          <w:color w:val="auto"/>
          <w:sz w:val="24"/>
          <w:szCs w:val="24"/>
          <w:highlight w:val="none"/>
        </w:rPr>
        <w:t>参加本次</w:t>
      </w:r>
      <w:r>
        <w:rPr>
          <w:rFonts w:hint="eastAsia" w:ascii="宋体" w:hAnsi="宋体" w:cs="宋体"/>
          <w:bCs/>
          <w:color w:val="auto"/>
          <w:sz w:val="24"/>
          <w:szCs w:val="24"/>
          <w:highlight w:val="none"/>
          <w:lang w:val="en-US" w:eastAsia="zh-CN"/>
        </w:rPr>
        <w:t>采购</w:t>
      </w:r>
      <w:r>
        <w:rPr>
          <w:rFonts w:hint="eastAsia" w:ascii="宋体" w:hAnsi="宋体" w:cs="宋体"/>
          <w:bCs/>
          <w:color w:val="auto"/>
          <w:sz w:val="24"/>
          <w:szCs w:val="24"/>
          <w:highlight w:val="none"/>
        </w:rPr>
        <w:t>活动</w:t>
      </w:r>
      <w:r>
        <w:rPr>
          <w:rFonts w:hint="eastAsia" w:ascii="宋体" w:hAnsi="宋体" w:cs="宋体"/>
          <w:bCs/>
          <w:color w:val="auto"/>
          <w:sz w:val="24"/>
          <w:szCs w:val="24"/>
          <w:highlight w:val="none"/>
          <w:lang w:val="en-US" w:eastAsia="zh-CN"/>
        </w:rPr>
        <w:t>不存在以下情形：与其他投标人的</w:t>
      </w:r>
      <w:r>
        <w:rPr>
          <w:rFonts w:hint="eastAsia" w:ascii="宋体" w:hAnsi="宋体" w:cs="宋体"/>
          <w:bCs/>
          <w:color w:val="auto"/>
          <w:sz w:val="24"/>
          <w:szCs w:val="24"/>
          <w:highlight w:val="none"/>
        </w:rPr>
        <w:t>单位负责人为同一人或者存在直接控股、管理关系；为</w:t>
      </w:r>
      <w:r>
        <w:rPr>
          <w:rFonts w:hint="eastAsia" w:ascii="宋体" w:hAnsi="宋体" w:cs="宋体"/>
          <w:bCs/>
          <w:color w:val="auto"/>
          <w:sz w:val="24"/>
          <w:szCs w:val="24"/>
          <w:highlight w:val="none"/>
          <w:lang w:val="en-US" w:eastAsia="zh-CN"/>
        </w:rPr>
        <w:t>本次</w:t>
      </w:r>
      <w:r>
        <w:rPr>
          <w:rFonts w:hint="eastAsia" w:ascii="宋体" w:hAnsi="宋体" w:cs="宋体"/>
          <w:bCs/>
          <w:color w:val="auto"/>
          <w:sz w:val="24"/>
          <w:szCs w:val="24"/>
          <w:highlight w:val="none"/>
        </w:rPr>
        <w:t>采购项目提供整体设计、规范编制或者项目管理、监理、检测等服务；</w:t>
      </w:r>
    </w:p>
    <w:p w14:paraId="1C2BC182">
      <w:pPr>
        <w:spacing w:line="52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我单位承诺响应采购文件所有内容；</w:t>
      </w:r>
    </w:p>
    <w:p w14:paraId="25C68F65">
      <w:pPr>
        <w:pStyle w:val="21"/>
        <w:spacing w:line="52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我单位承诺拟派本项目所有保安人员符合持证上岗条件，承诺全员取得公安部门核发的保安员证，</w:t>
      </w:r>
      <w:r>
        <w:rPr>
          <w:rFonts w:hint="eastAsia" w:ascii="宋体" w:hAnsi="宋体" w:eastAsia="宋体" w:cs="宋体"/>
          <w:color w:val="auto"/>
          <w:sz w:val="24"/>
          <w:szCs w:val="24"/>
          <w:highlight w:val="none"/>
          <w:lang w:val="en-US" w:eastAsia="zh-CN"/>
        </w:rPr>
        <w:t>没</w:t>
      </w:r>
      <w:r>
        <w:rPr>
          <w:rFonts w:hint="eastAsia" w:ascii="宋体" w:hAnsi="宋体" w:eastAsia="宋体" w:cs="宋体"/>
          <w:color w:val="auto"/>
          <w:sz w:val="24"/>
          <w:szCs w:val="24"/>
          <w:highlight w:val="none"/>
        </w:rPr>
        <w:t>有违法犯罪或劳教等记录；在依法诚信经营、社会保障和税收缴纳方面无不良记录；</w:t>
      </w:r>
    </w:p>
    <w:p w14:paraId="21EE23AA">
      <w:pPr>
        <w:pStyle w:val="21"/>
        <w:spacing w:line="52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合同履行期内，实际现场委派人员</w:t>
      </w:r>
      <w:r>
        <w:rPr>
          <w:rFonts w:hint="eastAsia" w:ascii="宋体" w:hAnsi="宋体" w:eastAsia="宋体" w:cs="宋体"/>
          <w:color w:val="auto"/>
          <w:sz w:val="24"/>
          <w:szCs w:val="24"/>
          <w:highlight w:val="none"/>
          <w:lang w:val="en-US" w:eastAsia="zh-CN"/>
        </w:rPr>
        <w:t>完全响应招标文件要求（包括但不限于年龄、证书、经验等，</w:t>
      </w:r>
      <w:r>
        <w:rPr>
          <w:rFonts w:hint="eastAsia" w:ascii="宋体" w:hAnsi="宋体" w:eastAsia="宋体" w:cs="宋体"/>
          <w:strike w:val="0"/>
          <w:dstrike w:val="0"/>
          <w:color w:val="auto"/>
          <w:sz w:val="24"/>
          <w:szCs w:val="24"/>
          <w:highlight w:val="none"/>
          <w:lang w:val="en-US" w:eastAsia="zh-CN"/>
        </w:rPr>
        <w:t>在中标后实际进场前提供相应证明材料供采购人审核</w:t>
      </w:r>
      <w:r>
        <w:rPr>
          <w:rFonts w:hint="eastAsia" w:ascii="宋体" w:hAnsi="宋体" w:eastAsia="宋体" w:cs="宋体"/>
          <w:color w:val="auto"/>
          <w:sz w:val="24"/>
          <w:szCs w:val="24"/>
          <w:highlight w:val="none"/>
          <w:lang w:val="en-US" w:eastAsia="zh-CN"/>
        </w:rPr>
        <w:t>），且与投标文件中所配备的人员一致</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未经采购人同意不得更换，如未得到采购人同意随意更换服务人员的</w:t>
      </w:r>
      <w:r>
        <w:rPr>
          <w:rFonts w:hint="eastAsia" w:ascii="宋体" w:hAnsi="宋体" w:eastAsia="宋体" w:cs="宋体"/>
          <w:color w:val="auto"/>
          <w:sz w:val="24"/>
          <w:szCs w:val="24"/>
          <w:highlight w:val="none"/>
        </w:rPr>
        <w:t>，采购人有权</w:t>
      </w:r>
      <w:r>
        <w:rPr>
          <w:rFonts w:hint="eastAsia" w:ascii="宋体" w:hAnsi="宋体" w:eastAsia="宋体" w:cs="宋体"/>
          <w:color w:val="auto"/>
          <w:sz w:val="24"/>
          <w:szCs w:val="24"/>
          <w:highlight w:val="none"/>
          <w:lang w:val="en-US" w:eastAsia="zh-CN"/>
        </w:rPr>
        <w:t>取消中标资格，终止合同</w:t>
      </w:r>
      <w:r>
        <w:rPr>
          <w:rFonts w:hint="eastAsia" w:ascii="宋体" w:hAnsi="宋体" w:eastAsia="宋体" w:cs="宋体"/>
          <w:color w:val="auto"/>
          <w:sz w:val="24"/>
          <w:szCs w:val="24"/>
          <w:highlight w:val="none"/>
        </w:rPr>
        <w:t>并追究本公司相关责任。</w:t>
      </w:r>
    </w:p>
    <w:p w14:paraId="571FF3A4">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我单位承诺如果服务过程中未按上述要求履行，我单位承担违约责任，双倍赔偿采购人损失，采购人可直接解除合同，并没收履约保证金。</w:t>
      </w:r>
    </w:p>
    <w:p w14:paraId="514B84B5">
      <w:pPr>
        <w:spacing w:line="52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如违背上述承诺，本公司（单位）将承担一切法律责任。</w:t>
      </w:r>
    </w:p>
    <w:p w14:paraId="16E8B177">
      <w:pPr>
        <w:spacing w:line="480" w:lineRule="auto"/>
        <w:rPr>
          <w:rFonts w:hint="eastAsia" w:ascii="宋体" w:hAnsi="宋体" w:eastAsia="宋体" w:cs="宋体"/>
          <w:color w:val="auto"/>
          <w:sz w:val="24"/>
          <w:highlight w:val="none"/>
        </w:rPr>
      </w:pPr>
    </w:p>
    <w:p w14:paraId="5EF2036E">
      <w:pPr>
        <w:spacing w:line="480" w:lineRule="auto"/>
        <w:ind w:firstLine="3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投标人（盖章）：</w:t>
      </w:r>
    </w:p>
    <w:p w14:paraId="35476801">
      <w:pPr>
        <w:spacing w:line="48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法定代表人或法定代表人授权代表签字或盖章：</w:t>
      </w:r>
    </w:p>
    <w:p w14:paraId="0C713842">
      <w:pPr>
        <w:pStyle w:val="10"/>
        <w:rPr>
          <w:rFonts w:hint="eastAsia" w:ascii="宋体" w:hAnsi="宋体" w:eastAsia="宋体" w:cs="宋体"/>
          <w:bCs/>
          <w:color w:val="auto"/>
          <w:sz w:val="24"/>
          <w:highlight w:val="none"/>
        </w:rPr>
      </w:pPr>
    </w:p>
    <w:p w14:paraId="65845639">
      <w:pPr>
        <w:rPr>
          <w:rFonts w:hint="eastAsia" w:ascii="宋体" w:hAnsi="宋体" w:eastAsia="宋体" w:cs="宋体"/>
          <w:bCs/>
          <w:color w:val="auto"/>
          <w:sz w:val="24"/>
          <w:highlight w:val="none"/>
        </w:rPr>
      </w:pPr>
    </w:p>
    <w:p w14:paraId="2F059AF9">
      <w:pP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4"/>
          <w:highlight w:val="none"/>
        </w:rPr>
        <w:t>（十）开标一览表（格式）：</w:t>
      </w:r>
    </w:p>
    <w:p w14:paraId="335C61F3">
      <w:pPr>
        <w:outlineLvl w:val="9"/>
        <w:rPr>
          <w:rFonts w:hint="eastAsia" w:ascii="宋体" w:hAnsi="宋体" w:eastAsia="宋体" w:cs="宋体"/>
          <w:bCs/>
          <w:color w:val="auto"/>
          <w:sz w:val="28"/>
          <w:szCs w:val="28"/>
          <w:highlight w:val="none"/>
        </w:rPr>
      </w:pPr>
    </w:p>
    <w:p w14:paraId="74F6A547">
      <w:pPr>
        <w:outlineLvl w:val="9"/>
        <w:rPr>
          <w:rFonts w:hint="eastAsia" w:ascii="宋体" w:hAnsi="宋体" w:eastAsia="宋体" w:cs="宋体"/>
          <w:bCs/>
          <w:color w:val="auto"/>
          <w:sz w:val="28"/>
          <w:szCs w:val="28"/>
          <w:highlight w:val="none"/>
        </w:rPr>
      </w:pPr>
    </w:p>
    <w:p w14:paraId="60C84E4A">
      <w:pPr>
        <w:keepNext/>
        <w:keepLines/>
        <w:spacing w:line="600" w:lineRule="exact"/>
        <w:jc w:val="center"/>
        <w:outlineLvl w:val="9"/>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开标一览表</w:t>
      </w:r>
    </w:p>
    <w:p w14:paraId="743D0AAB">
      <w:pPr>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mc:AlternateContent>
          <mc:Choice Requires="wps">
            <w:drawing>
              <wp:anchor distT="45720" distB="45720" distL="114300" distR="114300" simplePos="0" relativeHeight="251659264" behindDoc="1" locked="0" layoutInCell="1" allowOverlap="1">
                <wp:simplePos x="0" y="0"/>
                <wp:positionH relativeFrom="column">
                  <wp:posOffset>1971040</wp:posOffset>
                </wp:positionH>
                <wp:positionV relativeFrom="paragraph">
                  <wp:posOffset>91440</wp:posOffset>
                </wp:positionV>
                <wp:extent cx="2319655" cy="299085"/>
                <wp:effectExtent l="4445" t="5080" r="19050" b="19685"/>
                <wp:wrapNone/>
                <wp:docPr id="3"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319654" cy="299085"/>
                        </a:xfrm>
                        <a:prstGeom prst="rect">
                          <a:avLst/>
                        </a:prstGeom>
                        <a:solidFill>
                          <a:srgbClr val="FFFFFF"/>
                        </a:solidFill>
                        <a:ln w="9525">
                          <a:solidFill>
                            <a:srgbClr val="FFFFFF"/>
                          </a:solidFill>
                          <a:miter lim="800000"/>
                        </a:ln>
                      </wps:spPr>
                      <wps:txbx>
                        <w:txbxContent>
                          <w:p w14:paraId="10DDA4C2">
                            <w:pPr>
                              <w:rPr>
                                <w:color w:val="FFFFFF"/>
                                <w:sz w:val="10"/>
                              </w:rPr>
                            </w:pPr>
                            <w:r>
                              <w:rPr>
                                <w:rFonts w:hint="eastAsia" w:ascii="宋体" w:hAnsi="宋体"/>
                                <w:color w:val="FFFFFF"/>
                                <w:sz w:val="10"/>
                                <w:szCs w:val="24"/>
                              </w:rPr>
                              <w:t>11111111-1111-1111-111111111111</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文本框 1" o:spid="_x0000_s1026" o:spt="202" type="#_x0000_t202" style="position:absolute;left:0pt;margin-left:155.2pt;margin-top:7.2pt;height:23.55pt;width:182.65pt;z-index:-251657216;mso-width-relative:margin;mso-height-relative:margin;mso-width-percent:400;mso-height-percent:200;" fillcolor="#FFFFFF" filled="t" stroked="t" coordsize="21600,21600" o:gfxdata="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JHJDAdcAAAAJAQAADwAAAAAAAAABACAAAAAiAAAAZHJz&#10;L2Rvd25yZXYueG1sUEsBAhQAFAAAAAgAh07iQFU6Pfg+AgAAhwQAAA4AAAAAAAAAAQAgAAAAJgEA&#10;AGRycy9lMm9Eb2MueG1sUEsFBgAAAAAGAAYAWQEAANYFAAAAAA==&#10;">
                <v:fill on="t" focussize="0,0"/>
                <v:stroke color="#FFFFFF" miterlimit="8" joinstyle="miter"/>
                <v:imagedata o:title=""/>
                <o:lock v:ext="edit" aspectratio="f"/>
                <v:textbox style="mso-fit-shape-to-text:t;">
                  <w:txbxContent>
                    <w:p w14:paraId="10DDA4C2">
                      <w:pPr>
                        <w:rPr>
                          <w:color w:val="FFFFFF"/>
                          <w:sz w:val="10"/>
                        </w:rPr>
                      </w:pPr>
                      <w:r>
                        <w:rPr>
                          <w:rFonts w:hint="eastAsia" w:ascii="宋体" w:hAnsi="宋体"/>
                          <w:color w:val="FFFFFF"/>
                          <w:sz w:val="10"/>
                          <w:szCs w:val="24"/>
                        </w:rPr>
                        <w:t>11111111-1111-1111-111111111111</w:t>
                      </w:r>
                    </w:p>
                  </w:txbxContent>
                </v:textbox>
              </v:shape>
            </w:pict>
          </mc:Fallback>
        </mc:AlternateContent>
      </w:r>
      <w:r>
        <w:rPr>
          <w:rFonts w:hint="eastAsia" w:ascii="宋体" w:hAnsi="宋体" w:eastAsia="宋体" w:cs="宋体"/>
          <w:color w:val="auto"/>
          <w:sz w:val="24"/>
          <w:szCs w:val="24"/>
          <w:highlight w:val="none"/>
        </w:rPr>
        <w:t>投标人全称（加盖公章）：</w:t>
      </w:r>
      <w:bookmarkStart w:id="66" w:name="TBR"/>
      <w:bookmarkEnd w:id="66"/>
    </w:p>
    <w:p w14:paraId="27456928">
      <w:pPr>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bookmarkStart w:id="67" w:name="XMMC"/>
      <w:bookmarkEnd w:id="67"/>
    </w:p>
    <w:p w14:paraId="0C07CECE">
      <w:pPr>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bookmarkStart w:id="68" w:name="XMBH"/>
      <w:bookmarkEnd w:id="68"/>
      <w:r>
        <w:rPr>
          <w:rFonts w:hint="eastAsia" w:ascii="宋体" w:hAnsi="宋体" w:eastAsia="宋体" w:cs="宋体"/>
          <w:color w:val="auto"/>
          <w:sz w:val="24"/>
          <w:szCs w:val="24"/>
          <w:highlight w:val="none"/>
        </w:rPr>
        <w:t xml:space="preserve">                                      分包号：</w:t>
      </w:r>
      <w:bookmarkStart w:id="69" w:name="FBH"/>
      <w:bookmarkEnd w:id="69"/>
    </w:p>
    <w:tbl>
      <w:tblPr>
        <w:tblStyle w:val="23"/>
        <w:tblW w:w="88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3"/>
        <w:gridCol w:w="6409"/>
      </w:tblGrid>
      <w:tr w14:paraId="29160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2481" w:type="dxa"/>
            <w:tcBorders>
              <w:top w:val="single" w:color="auto" w:sz="4" w:space="0"/>
              <w:left w:val="single" w:color="auto" w:sz="4" w:space="0"/>
              <w:bottom w:val="single" w:color="auto" w:sz="4" w:space="0"/>
              <w:right w:val="single" w:color="auto" w:sz="4" w:space="0"/>
            </w:tcBorders>
            <w:vAlign w:val="center"/>
          </w:tcPr>
          <w:p w14:paraId="5860E8FF">
            <w:pPr>
              <w:keepNext w:val="0"/>
              <w:keepLines w:val="0"/>
              <w:suppressLineNumbers w:val="0"/>
              <w:spacing w:before="0" w:beforeAutospacing="0" w:after="0" w:afterAutospacing="0" w:line="60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投标项目名称</w:t>
            </w:r>
          </w:p>
        </w:tc>
        <w:tc>
          <w:tcPr>
            <w:tcW w:w="6405" w:type="dxa"/>
            <w:tcBorders>
              <w:top w:val="single" w:color="auto" w:sz="4" w:space="0"/>
              <w:left w:val="single" w:color="auto" w:sz="4" w:space="0"/>
              <w:bottom w:val="single" w:color="auto" w:sz="4" w:space="0"/>
              <w:right w:val="single" w:color="auto" w:sz="4" w:space="0"/>
            </w:tcBorders>
            <w:vAlign w:val="center"/>
          </w:tcPr>
          <w:p w14:paraId="0946836C">
            <w:pPr>
              <w:keepNext w:val="0"/>
              <w:keepLines w:val="0"/>
              <w:suppressLineNumbers w:val="0"/>
              <w:spacing w:before="0" w:beforeAutospacing="0" w:after="0" w:afterAutospacing="0" w:line="60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投标报价</w:t>
            </w:r>
          </w:p>
        </w:tc>
      </w:tr>
      <w:tr w14:paraId="0CAD0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2481" w:type="dxa"/>
            <w:tcBorders>
              <w:top w:val="single" w:color="auto" w:sz="4" w:space="0"/>
              <w:left w:val="single" w:color="auto" w:sz="4" w:space="0"/>
              <w:bottom w:val="single" w:color="auto" w:sz="4" w:space="0"/>
              <w:right w:val="single" w:color="auto" w:sz="4" w:space="0"/>
            </w:tcBorders>
            <w:vAlign w:val="center"/>
          </w:tcPr>
          <w:p w14:paraId="60ABA39F">
            <w:pPr>
              <w:keepNext w:val="0"/>
              <w:keepLines w:val="0"/>
              <w:suppressLineNumbers w:val="0"/>
              <w:spacing w:before="0" w:beforeAutospacing="0" w:after="0" w:afterAutospacing="0" w:line="600" w:lineRule="exact"/>
              <w:ind w:left="0" w:right="0"/>
              <w:rPr>
                <w:rFonts w:hint="eastAsia" w:ascii="宋体" w:hAnsi="宋体" w:eastAsia="宋体" w:cs="宋体"/>
                <w:color w:val="auto"/>
                <w:sz w:val="24"/>
                <w:szCs w:val="24"/>
                <w:highlight w:val="none"/>
              </w:rPr>
            </w:pPr>
          </w:p>
        </w:tc>
        <w:tc>
          <w:tcPr>
            <w:tcW w:w="6405" w:type="dxa"/>
            <w:tcBorders>
              <w:top w:val="single" w:color="auto" w:sz="4" w:space="0"/>
              <w:left w:val="single" w:color="auto" w:sz="4" w:space="0"/>
              <w:bottom w:val="single" w:color="auto" w:sz="4" w:space="0"/>
              <w:right w:val="single" w:color="auto" w:sz="4" w:space="0"/>
            </w:tcBorders>
            <w:vAlign w:val="center"/>
          </w:tcPr>
          <w:p w14:paraId="482ED9A8">
            <w:pPr>
              <w:keepNext w:val="0"/>
              <w:keepLines w:val="0"/>
              <w:suppressLineNumbers w:val="0"/>
              <w:spacing w:before="0" w:beforeAutospacing="0" w:after="0" w:afterAutospacing="0" w:line="600" w:lineRule="exact"/>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                    （元）</w:t>
            </w:r>
          </w:p>
          <w:p w14:paraId="14866306">
            <w:pPr>
              <w:keepNext w:val="0"/>
              <w:keepLines w:val="0"/>
              <w:suppressLineNumbers w:val="0"/>
              <w:spacing w:before="0" w:beforeAutospacing="0" w:after="0" w:afterAutospacing="0" w:line="600" w:lineRule="exact"/>
              <w:ind w:left="0" w:right="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大写：</w:t>
            </w:r>
          </w:p>
        </w:tc>
      </w:tr>
    </w:tbl>
    <w:p w14:paraId="3EF04FB1">
      <w:pPr>
        <w:spacing w:line="600" w:lineRule="exact"/>
        <w:rPr>
          <w:rFonts w:hint="eastAsia" w:ascii="宋体" w:hAnsi="宋体" w:eastAsia="宋体" w:cs="宋体"/>
          <w:b/>
          <w:bCs/>
          <w:color w:val="auto"/>
          <w:sz w:val="24"/>
          <w:szCs w:val="24"/>
          <w:highlight w:val="none"/>
        </w:rPr>
      </w:pPr>
    </w:p>
    <w:p w14:paraId="1EAF7E8D">
      <w:pPr>
        <w:spacing w:line="40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注：投标报价为三年的总报价。</w:t>
      </w:r>
    </w:p>
    <w:p w14:paraId="0D3586A9">
      <w:pPr>
        <w:pStyle w:val="22"/>
        <w:rPr>
          <w:rFonts w:hint="eastAsia" w:ascii="宋体" w:hAnsi="宋体" w:eastAsia="宋体" w:cs="宋体"/>
          <w:color w:val="auto"/>
          <w:highlight w:val="none"/>
        </w:rPr>
      </w:pPr>
    </w:p>
    <w:p w14:paraId="123520F1">
      <w:pPr>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bookmarkStart w:id="70" w:name="NF"/>
      <w:bookmarkEnd w:id="70"/>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bookmarkStart w:id="71" w:name="YF"/>
      <w:bookmarkEnd w:id="7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bookmarkStart w:id="72" w:name="RI"/>
      <w:bookmarkEnd w:id="7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11C9BEF">
      <w:pPr>
        <w:rPr>
          <w:rFonts w:hint="eastAsia" w:ascii="宋体" w:hAnsi="宋体" w:eastAsia="宋体" w:cs="宋体"/>
          <w:color w:val="auto"/>
          <w:szCs w:val="21"/>
          <w:highlight w:val="none"/>
        </w:rPr>
      </w:pPr>
    </w:p>
    <w:p w14:paraId="6D57E0E7">
      <w:pPr>
        <w:spacing w:line="400" w:lineRule="exact"/>
        <w:rPr>
          <w:rFonts w:hint="eastAsia" w:ascii="宋体" w:hAnsi="宋体" w:eastAsia="宋体" w:cs="宋体"/>
          <w:bCs/>
          <w:color w:val="auto"/>
          <w:sz w:val="32"/>
          <w:highlight w:val="none"/>
        </w:rPr>
      </w:pPr>
    </w:p>
    <w:p w14:paraId="34D0879A">
      <w:pPr>
        <w:spacing w:line="400" w:lineRule="exact"/>
        <w:rPr>
          <w:rFonts w:hint="eastAsia" w:ascii="宋体" w:hAnsi="宋体" w:eastAsia="宋体" w:cs="宋体"/>
          <w:bCs/>
          <w:color w:val="auto"/>
          <w:sz w:val="32"/>
          <w:highlight w:val="none"/>
        </w:rPr>
      </w:pPr>
    </w:p>
    <w:p w14:paraId="48F0AD3C">
      <w:pPr>
        <w:spacing w:line="400" w:lineRule="exact"/>
        <w:ind w:left="720" w:hanging="720"/>
        <w:rPr>
          <w:rFonts w:hint="eastAsia" w:ascii="宋体" w:hAnsi="宋体" w:eastAsia="宋体" w:cs="宋体"/>
          <w:bCs/>
          <w:color w:val="auto"/>
          <w:sz w:val="24"/>
          <w:highlight w:val="none"/>
        </w:rPr>
      </w:pPr>
    </w:p>
    <w:p w14:paraId="1BAF0722">
      <w:pPr>
        <w:pStyle w:val="15"/>
        <w:rPr>
          <w:rFonts w:hint="eastAsia" w:ascii="宋体" w:hAnsi="宋体" w:eastAsia="宋体" w:cs="宋体"/>
          <w:color w:val="auto"/>
          <w:highlight w:val="none"/>
        </w:rPr>
      </w:pPr>
    </w:p>
    <w:p w14:paraId="1486CBD8">
      <w:pPr>
        <w:pStyle w:val="8"/>
        <w:outlineLvl w:val="9"/>
        <w:rPr>
          <w:rFonts w:hint="eastAsia" w:ascii="宋体" w:hAnsi="宋体" w:eastAsia="宋体" w:cs="宋体"/>
          <w:color w:val="auto"/>
          <w:highlight w:val="none"/>
        </w:rPr>
      </w:pPr>
    </w:p>
    <w:p w14:paraId="207AD20F">
      <w:pPr>
        <w:outlineLvl w:val="9"/>
        <w:rPr>
          <w:rFonts w:hint="eastAsia" w:ascii="宋体" w:hAnsi="宋体" w:eastAsia="宋体" w:cs="宋体"/>
          <w:color w:val="auto"/>
          <w:highlight w:val="none"/>
        </w:rPr>
      </w:pPr>
    </w:p>
    <w:p w14:paraId="392F9DED">
      <w:pPr>
        <w:outlineLvl w:val="9"/>
        <w:rPr>
          <w:rFonts w:hint="eastAsia" w:ascii="宋体" w:hAnsi="宋体" w:eastAsia="宋体" w:cs="宋体"/>
          <w:color w:val="auto"/>
          <w:highlight w:val="none"/>
        </w:rPr>
      </w:pPr>
    </w:p>
    <w:p w14:paraId="7A57375D">
      <w:pPr>
        <w:outlineLvl w:val="9"/>
        <w:rPr>
          <w:rFonts w:hint="eastAsia" w:ascii="宋体" w:hAnsi="宋体" w:eastAsia="宋体" w:cs="宋体"/>
          <w:color w:val="auto"/>
          <w:highlight w:val="none"/>
        </w:rPr>
      </w:pPr>
    </w:p>
    <w:p w14:paraId="790CD65F">
      <w:pPr>
        <w:pStyle w:val="22"/>
        <w:outlineLvl w:val="9"/>
        <w:rPr>
          <w:rFonts w:hint="eastAsia" w:ascii="宋体" w:hAnsi="宋体" w:eastAsia="宋体" w:cs="宋体"/>
          <w:color w:val="auto"/>
          <w:highlight w:val="none"/>
        </w:rPr>
      </w:pPr>
    </w:p>
    <w:p w14:paraId="6C562583">
      <w:pPr>
        <w:pStyle w:val="22"/>
        <w:outlineLvl w:val="9"/>
        <w:rPr>
          <w:rFonts w:hint="eastAsia" w:ascii="宋体" w:hAnsi="宋体" w:eastAsia="宋体" w:cs="宋体"/>
          <w:color w:val="auto"/>
          <w:highlight w:val="none"/>
        </w:rPr>
      </w:pPr>
    </w:p>
    <w:p w14:paraId="55D6AF23">
      <w:pPr>
        <w:pStyle w:val="22"/>
        <w:ind w:left="0" w:leftChars="0" w:firstLine="0" w:firstLineChars="0"/>
        <w:outlineLvl w:val="9"/>
        <w:rPr>
          <w:rFonts w:hint="eastAsia" w:ascii="宋体" w:hAnsi="宋体" w:eastAsia="宋体" w:cs="宋体"/>
          <w:color w:val="auto"/>
          <w:highlight w:val="none"/>
          <w:lang w:eastAsia="zh-CN"/>
        </w:rPr>
      </w:pPr>
    </w:p>
    <w:p w14:paraId="353CD3A8">
      <w:pPr>
        <w:pStyle w:val="22"/>
        <w:ind w:left="0" w:leftChars="0" w:firstLine="0" w:firstLineChars="0"/>
        <w:outlineLvl w:val="9"/>
        <w:rPr>
          <w:rFonts w:hint="eastAsia" w:ascii="宋体" w:hAnsi="宋体" w:eastAsia="宋体" w:cs="宋体"/>
          <w:color w:val="auto"/>
          <w:highlight w:val="none"/>
          <w:lang w:eastAsia="zh-CN"/>
        </w:rPr>
      </w:pPr>
    </w:p>
    <w:p w14:paraId="2EEB7893">
      <w:pPr>
        <w:ind w:firstLine="161"/>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投标报价明细表（含税）</w:t>
      </w:r>
    </w:p>
    <w:tbl>
      <w:tblPr>
        <w:tblStyle w:val="23"/>
        <w:tblpPr w:leftFromText="180" w:rightFromText="180" w:vertAnchor="text" w:horzAnchor="page" w:tblpX="1340" w:tblpY="663"/>
        <w:tblOverlap w:val="never"/>
        <w:tblW w:w="98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5"/>
        <w:gridCol w:w="3075"/>
        <w:gridCol w:w="840"/>
        <w:gridCol w:w="1089"/>
        <w:gridCol w:w="1109"/>
        <w:gridCol w:w="1109"/>
        <w:gridCol w:w="889"/>
        <w:gridCol w:w="889"/>
      </w:tblGrid>
      <w:tr w14:paraId="1FD34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9885" w:type="dxa"/>
            <w:gridSpan w:val="8"/>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C3C31E">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安保服务管理费测算表</w:t>
            </w:r>
          </w:p>
        </w:tc>
      </w:tr>
      <w:tr w14:paraId="055AC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88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D0B32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Style w:val="38"/>
                <w:highlight w:val="none"/>
                <w:lang w:val="en-US" w:eastAsia="zh-CN" w:bidi="ar"/>
              </w:rPr>
              <w:t>内容</w:t>
            </w:r>
          </w:p>
        </w:tc>
        <w:tc>
          <w:tcPr>
            <w:tcW w:w="3075" w:type="dxa"/>
            <w:tcBorders>
              <w:top w:val="single" w:color="000000" w:sz="8" w:space="0"/>
              <w:left w:val="nil"/>
              <w:bottom w:val="single" w:color="000000" w:sz="8" w:space="0"/>
              <w:right w:val="single" w:color="000000" w:sz="8" w:space="0"/>
            </w:tcBorders>
            <w:shd w:val="clear" w:color="auto" w:fill="auto"/>
            <w:noWrap/>
            <w:vAlign w:val="center"/>
          </w:tcPr>
          <w:p w14:paraId="7C1DE76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Style w:val="38"/>
                <w:highlight w:val="none"/>
                <w:lang w:val="en-US" w:eastAsia="zh-CN" w:bidi="ar"/>
              </w:rPr>
              <w:t>项目名称</w:t>
            </w:r>
          </w:p>
        </w:tc>
        <w:tc>
          <w:tcPr>
            <w:tcW w:w="840" w:type="dxa"/>
            <w:tcBorders>
              <w:top w:val="single" w:color="000000" w:sz="8" w:space="0"/>
              <w:left w:val="nil"/>
              <w:bottom w:val="single" w:color="000000" w:sz="8" w:space="0"/>
              <w:right w:val="single" w:color="000000" w:sz="8" w:space="0"/>
            </w:tcBorders>
            <w:shd w:val="clear" w:color="auto" w:fill="auto"/>
            <w:noWrap/>
            <w:vAlign w:val="center"/>
          </w:tcPr>
          <w:p w14:paraId="3C47630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Style w:val="38"/>
                <w:highlight w:val="none"/>
                <w:lang w:val="en-US" w:eastAsia="zh-CN" w:bidi="ar"/>
              </w:rPr>
              <w:t>数量</w:t>
            </w:r>
          </w:p>
        </w:tc>
        <w:tc>
          <w:tcPr>
            <w:tcW w:w="1089" w:type="dxa"/>
            <w:tcBorders>
              <w:top w:val="single" w:color="000000" w:sz="8" w:space="0"/>
              <w:left w:val="nil"/>
              <w:bottom w:val="single" w:color="000000" w:sz="8" w:space="0"/>
              <w:right w:val="single" w:color="000000" w:sz="8" w:space="0"/>
            </w:tcBorders>
            <w:shd w:val="clear" w:color="auto" w:fill="auto"/>
            <w:noWrap/>
            <w:vAlign w:val="center"/>
          </w:tcPr>
          <w:p w14:paraId="1AEA02A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Style w:val="38"/>
                <w:highlight w:val="none"/>
                <w:lang w:val="en-US" w:eastAsia="zh-CN" w:bidi="ar"/>
              </w:rPr>
              <w:t>单位</w:t>
            </w:r>
          </w:p>
        </w:tc>
        <w:tc>
          <w:tcPr>
            <w:tcW w:w="1109" w:type="dxa"/>
            <w:tcBorders>
              <w:top w:val="single" w:color="000000" w:sz="8" w:space="0"/>
              <w:left w:val="nil"/>
              <w:bottom w:val="single" w:color="000000" w:sz="8" w:space="0"/>
              <w:right w:val="single" w:color="000000" w:sz="8" w:space="0"/>
            </w:tcBorders>
            <w:shd w:val="clear" w:color="auto" w:fill="auto"/>
            <w:noWrap/>
            <w:vAlign w:val="center"/>
          </w:tcPr>
          <w:p w14:paraId="68F1780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人均工资</w:t>
            </w:r>
          </w:p>
        </w:tc>
        <w:tc>
          <w:tcPr>
            <w:tcW w:w="1109" w:type="dxa"/>
            <w:tcBorders>
              <w:top w:val="single" w:color="000000" w:sz="8" w:space="0"/>
              <w:left w:val="nil"/>
              <w:bottom w:val="single" w:color="000000" w:sz="8" w:space="0"/>
              <w:right w:val="single" w:color="000000" w:sz="8" w:space="0"/>
            </w:tcBorders>
            <w:shd w:val="clear" w:color="auto" w:fill="auto"/>
            <w:noWrap/>
            <w:vAlign w:val="center"/>
          </w:tcPr>
          <w:p w14:paraId="4815B296">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社会保险</w:t>
            </w:r>
          </w:p>
        </w:tc>
        <w:tc>
          <w:tcPr>
            <w:tcW w:w="889" w:type="dxa"/>
            <w:tcBorders>
              <w:top w:val="single" w:color="000000" w:sz="8" w:space="0"/>
              <w:left w:val="nil"/>
              <w:bottom w:val="single" w:color="000000" w:sz="8" w:space="0"/>
              <w:right w:val="single" w:color="000000" w:sz="8" w:space="0"/>
            </w:tcBorders>
            <w:shd w:val="clear" w:color="auto" w:fill="auto"/>
            <w:noWrap/>
            <w:vAlign w:val="center"/>
          </w:tcPr>
          <w:p w14:paraId="69E4559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Style w:val="38"/>
                <w:highlight w:val="none"/>
                <w:lang w:val="en-US" w:eastAsia="zh-CN" w:bidi="ar"/>
              </w:rPr>
              <w:t>月总价</w:t>
            </w:r>
          </w:p>
        </w:tc>
        <w:tc>
          <w:tcPr>
            <w:tcW w:w="889" w:type="dxa"/>
            <w:tcBorders>
              <w:top w:val="single" w:color="000000" w:sz="8" w:space="0"/>
              <w:left w:val="nil"/>
              <w:bottom w:val="single" w:color="000000" w:sz="8" w:space="0"/>
              <w:right w:val="single" w:color="000000" w:sz="8" w:space="0"/>
            </w:tcBorders>
            <w:shd w:val="clear" w:color="auto" w:fill="auto"/>
            <w:noWrap/>
            <w:vAlign w:val="center"/>
          </w:tcPr>
          <w:p w14:paraId="551DB6D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Style w:val="38"/>
                <w:highlight w:val="none"/>
                <w:lang w:val="en-US" w:eastAsia="zh-CN" w:bidi="ar"/>
              </w:rPr>
              <w:t>年总价</w:t>
            </w:r>
          </w:p>
        </w:tc>
      </w:tr>
      <w:tr w14:paraId="3467E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885" w:type="dxa"/>
            <w:vMerge w:val="restart"/>
            <w:tcBorders>
              <w:top w:val="nil"/>
              <w:left w:val="single" w:color="000000" w:sz="8" w:space="0"/>
              <w:bottom w:val="nil"/>
              <w:right w:val="single" w:color="000000" w:sz="8" w:space="0"/>
            </w:tcBorders>
            <w:shd w:val="clear" w:color="auto" w:fill="auto"/>
            <w:noWrap/>
            <w:vAlign w:val="center"/>
          </w:tcPr>
          <w:p w14:paraId="1F63A565">
            <w:pPr>
              <w:keepNext w:val="0"/>
              <w:keepLines w:val="0"/>
              <w:widowControl/>
              <w:suppressLineNumbers w:val="0"/>
              <w:jc w:val="center"/>
              <w:textAlignment w:val="center"/>
              <w:rPr>
                <w:rStyle w:val="39"/>
                <w:color w:val="auto"/>
                <w:highlight w:val="none"/>
                <w:lang w:val="en-US" w:eastAsia="zh-CN" w:bidi="ar"/>
              </w:rPr>
            </w:pPr>
            <w:r>
              <w:rPr>
                <w:rStyle w:val="39"/>
                <w:color w:val="auto"/>
                <w:highlight w:val="none"/>
                <w:lang w:val="en-US" w:eastAsia="zh-CN" w:bidi="ar"/>
              </w:rPr>
              <w:t>人员</w:t>
            </w:r>
          </w:p>
          <w:p w14:paraId="1D9963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9"/>
                <w:rFonts w:hint="eastAsia"/>
                <w:color w:val="auto"/>
                <w:highlight w:val="none"/>
                <w:lang w:val="en-US" w:eastAsia="zh-CN" w:bidi="ar"/>
              </w:rPr>
              <w:t>设置</w:t>
            </w:r>
          </w:p>
        </w:tc>
        <w:tc>
          <w:tcPr>
            <w:tcW w:w="3075" w:type="dxa"/>
            <w:tcBorders>
              <w:top w:val="nil"/>
              <w:left w:val="nil"/>
              <w:bottom w:val="single" w:color="000000" w:sz="8" w:space="0"/>
              <w:right w:val="single" w:color="000000" w:sz="8" w:space="0"/>
            </w:tcBorders>
            <w:shd w:val="clear" w:color="auto" w:fill="auto"/>
            <w:noWrap/>
            <w:vAlign w:val="center"/>
          </w:tcPr>
          <w:p w14:paraId="6F3879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0"/>
                <w:color w:val="auto"/>
                <w:highlight w:val="none"/>
                <w:lang w:val="en-US" w:eastAsia="zh-CN" w:bidi="ar"/>
              </w:rPr>
              <w:t>项目负责人</w:t>
            </w:r>
          </w:p>
        </w:tc>
        <w:tc>
          <w:tcPr>
            <w:tcW w:w="840" w:type="dxa"/>
            <w:tcBorders>
              <w:top w:val="nil"/>
              <w:left w:val="nil"/>
              <w:bottom w:val="single" w:color="000000" w:sz="8" w:space="0"/>
              <w:right w:val="single" w:color="000000" w:sz="8" w:space="0"/>
            </w:tcBorders>
            <w:shd w:val="clear" w:color="auto" w:fill="auto"/>
            <w:noWrap/>
            <w:vAlign w:val="center"/>
          </w:tcPr>
          <w:p w14:paraId="08225D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89" w:type="dxa"/>
            <w:tcBorders>
              <w:top w:val="nil"/>
              <w:left w:val="nil"/>
              <w:bottom w:val="single" w:color="000000" w:sz="8" w:space="0"/>
              <w:right w:val="single" w:color="000000" w:sz="8" w:space="0"/>
            </w:tcBorders>
            <w:shd w:val="clear" w:color="auto" w:fill="auto"/>
            <w:noWrap/>
            <w:vAlign w:val="center"/>
          </w:tcPr>
          <w:p w14:paraId="3322E4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9"/>
                <w:color w:val="auto"/>
                <w:highlight w:val="none"/>
                <w:lang w:val="en-US" w:eastAsia="zh-CN" w:bidi="ar"/>
              </w:rPr>
              <w:t>人</w:t>
            </w:r>
          </w:p>
        </w:tc>
        <w:tc>
          <w:tcPr>
            <w:tcW w:w="1109" w:type="dxa"/>
            <w:tcBorders>
              <w:top w:val="nil"/>
              <w:left w:val="nil"/>
              <w:bottom w:val="single" w:color="000000" w:sz="8" w:space="0"/>
              <w:right w:val="single" w:color="000000" w:sz="8" w:space="0"/>
            </w:tcBorders>
            <w:shd w:val="clear" w:color="auto" w:fill="auto"/>
            <w:noWrap/>
            <w:vAlign w:val="center"/>
          </w:tcPr>
          <w:p w14:paraId="1FB79C0A">
            <w:pPr>
              <w:jc w:val="center"/>
              <w:rPr>
                <w:rFonts w:hint="eastAsia" w:ascii="宋体" w:hAnsi="宋体" w:eastAsia="宋体" w:cs="宋体"/>
                <w:i w:val="0"/>
                <w:iCs w:val="0"/>
                <w:color w:val="auto"/>
                <w:sz w:val="21"/>
                <w:szCs w:val="21"/>
                <w:highlight w:val="none"/>
                <w:u w:val="none"/>
              </w:rPr>
            </w:pPr>
          </w:p>
        </w:tc>
        <w:tc>
          <w:tcPr>
            <w:tcW w:w="1109" w:type="dxa"/>
            <w:tcBorders>
              <w:top w:val="nil"/>
              <w:left w:val="nil"/>
              <w:bottom w:val="single" w:color="000000" w:sz="8" w:space="0"/>
              <w:right w:val="single" w:color="000000" w:sz="8" w:space="0"/>
            </w:tcBorders>
            <w:shd w:val="clear" w:color="auto" w:fill="auto"/>
            <w:noWrap/>
            <w:vAlign w:val="center"/>
          </w:tcPr>
          <w:p w14:paraId="268DE3F4">
            <w:pPr>
              <w:jc w:val="center"/>
              <w:rPr>
                <w:rFonts w:hint="eastAsia" w:ascii="宋体" w:hAnsi="宋体" w:eastAsia="宋体" w:cs="宋体"/>
                <w:i w:val="0"/>
                <w:iCs w:val="0"/>
                <w:color w:val="auto"/>
                <w:sz w:val="21"/>
                <w:szCs w:val="21"/>
                <w:highlight w:val="none"/>
                <w:u w:val="none"/>
              </w:rPr>
            </w:pPr>
          </w:p>
        </w:tc>
        <w:tc>
          <w:tcPr>
            <w:tcW w:w="889" w:type="dxa"/>
            <w:tcBorders>
              <w:top w:val="nil"/>
              <w:left w:val="nil"/>
              <w:bottom w:val="single" w:color="000000" w:sz="8" w:space="0"/>
              <w:right w:val="single" w:color="000000" w:sz="8" w:space="0"/>
            </w:tcBorders>
            <w:shd w:val="clear" w:color="auto" w:fill="auto"/>
            <w:noWrap/>
            <w:vAlign w:val="center"/>
          </w:tcPr>
          <w:p w14:paraId="4F179DA5">
            <w:pPr>
              <w:jc w:val="center"/>
              <w:rPr>
                <w:rFonts w:hint="eastAsia" w:ascii="宋体" w:hAnsi="宋体" w:eastAsia="宋体" w:cs="宋体"/>
                <w:i w:val="0"/>
                <w:iCs w:val="0"/>
                <w:color w:val="auto"/>
                <w:sz w:val="21"/>
                <w:szCs w:val="21"/>
                <w:highlight w:val="none"/>
                <w:u w:val="none"/>
              </w:rPr>
            </w:pPr>
          </w:p>
        </w:tc>
        <w:tc>
          <w:tcPr>
            <w:tcW w:w="889" w:type="dxa"/>
            <w:tcBorders>
              <w:top w:val="nil"/>
              <w:left w:val="nil"/>
              <w:bottom w:val="single" w:color="000000" w:sz="8" w:space="0"/>
              <w:right w:val="single" w:color="000000" w:sz="8" w:space="0"/>
            </w:tcBorders>
            <w:shd w:val="clear" w:color="auto" w:fill="auto"/>
            <w:noWrap/>
            <w:vAlign w:val="center"/>
          </w:tcPr>
          <w:p w14:paraId="25C1C1D9">
            <w:pPr>
              <w:jc w:val="center"/>
              <w:rPr>
                <w:rFonts w:hint="eastAsia" w:ascii="宋体" w:hAnsi="宋体" w:eastAsia="宋体" w:cs="宋体"/>
                <w:i w:val="0"/>
                <w:iCs w:val="0"/>
                <w:color w:val="auto"/>
                <w:sz w:val="21"/>
                <w:szCs w:val="21"/>
                <w:highlight w:val="none"/>
                <w:u w:val="none"/>
              </w:rPr>
            </w:pPr>
          </w:p>
        </w:tc>
      </w:tr>
      <w:tr w14:paraId="15040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5" w:type="dxa"/>
            <w:vMerge w:val="continue"/>
            <w:tcBorders>
              <w:top w:val="nil"/>
              <w:left w:val="single" w:color="000000" w:sz="8" w:space="0"/>
              <w:bottom w:val="nil"/>
              <w:right w:val="single" w:color="000000" w:sz="8" w:space="0"/>
            </w:tcBorders>
            <w:shd w:val="clear" w:color="auto" w:fill="auto"/>
            <w:noWrap/>
            <w:vAlign w:val="center"/>
          </w:tcPr>
          <w:p w14:paraId="3BAA47E6">
            <w:pPr>
              <w:jc w:val="center"/>
              <w:rPr>
                <w:rFonts w:hint="eastAsia" w:ascii="宋体" w:hAnsi="宋体" w:eastAsia="宋体" w:cs="宋体"/>
                <w:i w:val="0"/>
                <w:iCs w:val="0"/>
                <w:color w:val="auto"/>
                <w:sz w:val="21"/>
                <w:szCs w:val="21"/>
                <w:highlight w:val="none"/>
                <w:u w:val="none"/>
              </w:rPr>
            </w:pPr>
          </w:p>
        </w:tc>
        <w:tc>
          <w:tcPr>
            <w:tcW w:w="3075" w:type="dxa"/>
            <w:tcBorders>
              <w:top w:val="nil"/>
              <w:left w:val="nil"/>
              <w:bottom w:val="single" w:color="000000" w:sz="8" w:space="0"/>
              <w:right w:val="single" w:color="000000" w:sz="8" w:space="0"/>
            </w:tcBorders>
            <w:shd w:val="clear" w:color="auto" w:fill="auto"/>
            <w:noWrap/>
            <w:vAlign w:val="center"/>
          </w:tcPr>
          <w:p w14:paraId="55F071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0"/>
                <w:color w:val="auto"/>
                <w:highlight w:val="none"/>
                <w:lang w:val="en-US" w:eastAsia="zh-CN" w:bidi="ar"/>
              </w:rPr>
              <w:t>队长</w:t>
            </w:r>
          </w:p>
        </w:tc>
        <w:tc>
          <w:tcPr>
            <w:tcW w:w="840" w:type="dxa"/>
            <w:tcBorders>
              <w:top w:val="nil"/>
              <w:left w:val="nil"/>
              <w:bottom w:val="single" w:color="000000" w:sz="8" w:space="0"/>
              <w:right w:val="single" w:color="000000" w:sz="8" w:space="0"/>
            </w:tcBorders>
            <w:shd w:val="clear" w:color="auto" w:fill="auto"/>
            <w:noWrap/>
            <w:vAlign w:val="center"/>
          </w:tcPr>
          <w:p w14:paraId="1BF651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89" w:type="dxa"/>
            <w:tcBorders>
              <w:top w:val="nil"/>
              <w:left w:val="nil"/>
              <w:bottom w:val="single" w:color="000000" w:sz="8" w:space="0"/>
              <w:right w:val="single" w:color="000000" w:sz="8" w:space="0"/>
            </w:tcBorders>
            <w:shd w:val="clear" w:color="auto" w:fill="auto"/>
            <w:noWrap/>
            <w:vAlign w:val="center"/>
          </w:tcPr>
          <w:p w14:paraId="39CE09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9"/>
                <w:color w:val="auto"/>
                <w:highlight w:val="none"/>
                <w:lang w:val="en-US" w:eastAsia="zh-CN" w:bidi="ar"/>
              </w:rPr>
              <w:t>人</w:t>
            </w:r>
          </w:p>
        </w:tc>
        <w:tc>
          <w:tcPr>
            <w:tcW w:w="1109" w:type="dxa"/>
            <w:tcBorders>
              <w:top w:val="nil"/>
              <w:left w:val="nil"/>
              <w:bottom w:val="single" w:color="000000" w:sz="8" w:space="0"/>
              <w:right w:val="single" w:color="000000" w:sz="8" w:space="0"/>
            </w:tcBorders>
            <w:shd w:val="clear" w:color="auto" w:fill="auto"/>
            <w:noWrap/>
            <w:vAlign w:val="center"/>
          </w:tcPr>
          <w:p w14:paraId="76B15BF2">
            <w:pPr>
              <w:jc w:val="center"/>
              <w:rPr>
                <w:rFonts w:hint="eastAsia" w:ascii="宋体" w:hAnsi="宋体" w:eastAsia="宋体" w:cs="宋体"/>
                <w:i w:val="0"/>
                <w:iCs w:val="0"/>
                <w:color w:val="auto"/>
                <w:sz w:val="21"/>
                <w:szCs w:val="21"/>
                <w:highlight w:val="none"/>
                <w:u w:val="none"/>
              </w:rPr>
            </w:pPr>
          </w:p>
        </w:tc>
        <w:tc>
          <w:tcPr>
            <w:tcW w:w="1109" w:type="dxa"/>
            <w:tcBorders>
              <w:top w:val="nil"/>
              <w:left w:val="nil"/>
              <w:bottom w:val="single" w:color="000000" w:sz="8" w:space="0"/>
              <w:right w:val="single" w:color="000000" w:sz="8" w:space="0"/>
            </w:tcBorders>
            <w:shd w:val="clear" w:color="auto" w:fill="auto"/>
            <w:noWrap/>
            <w:vAlign w:val="center"/>
          </w:tcPr>
          <w:p w14:paraId="425F8DCB">
            <w:pPr>
              <w:jc w:val="center"/>
              <w:rPr>
                <w:rFonts w:hint="eastAsia" w:ascii="宋体" w:hAnsi="宋体" w:eastAsia="宋体" w:cs="宋体"/>
                <w:i w:val="0"/>
                <w:iCs w:val="0"/>
                <w:color w:val="auto"/>
                <w:sz w:val="21"/>
                <w:szCs w:val="21"/>
                <w:highlight w:val="none"/>
                <w:u w:val="none"/>
              </w:rPr>
            </w:pPr>
          </w:p>
        </w:tc>
        <w:tc>
          <w:tcPr>
            <w:tcW w:w="889" w:type="dxa"/>
            <w:tcBorders>
              <w:top w:val="nil"/>
              <w:left w:val="nil"/>
              <w:bottom w:val="single" w:color="000000" w:sz="8" w:space="0"/>
              <w:right w:val="single" w:color="000000" w:sz="8" w:space="0"/>
            </w:tcBorders>
            <w:shd w:val="clear" w:color="auto" w:fill="auto"/>
            <w:noWrap/>
            <w:vAlign w:val="center"/>
          </w:tcPr>
          <w:p w14:paraId="734E40FC">
            <w:pPr>
              <w:jc w:val="center"/>
              <w:rPr>
                <w:rFonts w:hint="eastAsia" w:ascii="宋体" w:hAnsi="宋体" w:eastAsia="宋体" w:cs="宋体"/>
                <w:i w:val="0"/>
                <w:iCs w:val="0"/>
                <w:color w:val="auto"/>
                <w:sz w:val="21"/>
                <w:szCs w:val="21"/>
                <w:highlight w:val="none"/>
                <w:u w:val="none"/>
              </w:rPr>
            </w:pPr>
          </w:p>
        </w:tc>
        <w:tc>
          <w:tcPr>
            <w:tcW w:w="889" w:type="dxa"/>
            <w:tcBorders>
              <w:top w:val="nil"/>
              <w:left w:val="nil"/>
              <w:bottom w:val="single" w:color="000000" w:sz="8" w:space="0"/>
              <w:right w:val="single" w:color="000000" w:sz="8" w:space="0"/>
            </w:tcBorders>
            <w:shd w:val="clear" w:color="auto" w:fill="auto"/>
            <w:noWrap/>
            <w:vAlign w:val="center"/>
          </w:tcPr>
          <w:p w14:paraId="1A088C52">
            <w:pPr>
              <w:jc w:val="center"/>
              <w:rPr>
                <w:rFonts w:hint="eastAsia" w:ascii="宋体" w:hAnsi="宋体" w:eastAsia="宋体" w:cs="宋体"/>
                <w:i w:val="0"/>
                <w:iCs w:val="0"/>
                <w:color w:val="auto"/>
                <w:sz w:val="21"/>
                <w:szCs w:val="21"/>
                <w:highlight w:val="none"/>
                <w:u w:val="none"/>
              </w:rPr>
            </w:pPr>
          </w:p>
        </w:tc>
      </w:tr>
      <w:tr w14:paraId="35201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5" w:type="dxa"/>
            <w:vMerge w:val="continue"/>
            <w:tcBorders>
              <w:top w:val="nil"/>
              <w:left w:val="single" w:color="000000" w:sz="8" w:space="0"/>
              <w:bottom w:val="nil"/>
              <w:right w:val="single" w:color="000000" w:sz="8" w:space="0"/>
            </w:tcBorders>
            <w:shd w:val="clear" w:color="auto" w:fill="auto"/>
            <w:noWrap/>
            <w:vAlign w:val="center"/>
          </w:tcPr>
          <w:p w14:paraId="11E7AC06">
            <w:pPr>
              <w:jc w:val="center"/>
              <w:rPr>
                <w:rFonts w:hint="eastAsia" w:ascii="宋体" w:hAnsi="宋体" w:eastAsia="宋体" w:cs="宋体"/>
                <w:i w:val="0"/>
                <w:iCs w:val="0"/>
                <w:color w:val="auto"/>
                <w:sz w:val="21"/>
                <w:szCs w:val="21"/>
                <w:highlight w:val="none"/>
                <w:u w:val="none"/>
              </w:rPr>
            </w:pPr>
          </w:p>
        </w:tc>
        <w:tc>
          <w:tcPr>
            <w:tcW w:w="3075" w:type="dxa"/>
            <w:tcBorders>
              <w:top w:val="nil"/>
              <w:left w:val="nil"/>
              <w:bottom w:val="single" w:color="000000" w:sz="8" w:space="0"/>
              <w:right w:val="single" w:color="000000" w:sz="8" w:space="0"/>
            </w:tcBorders>
            <w:shd w:val="clear" w:color="auto" w:fill="auto"/>
            <w:noWrap/>
            <w:vAlign w:val="center"/>
          </w:tcPr>
          <w:p w14:paraId="48138A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0"/>
                <w:color w:val="auto"/>
                <w:highlight w:val="none"/>
                <w:lang w:val="en-US" w:eastAsia="zh-CN" w:bidi="ar"/>
              </w:rPr>
              <w:t>安保人员</w:t>
            </w:r>
          </w:p>
        </w:tc>
        <w:tc>
          <w:tcPr>
            <w:tcW w:w="840" w:type="dxa"/>
            <w:tcBorders>
              <w:top w:val="nil"/>
              <w:left w:val="nil"/>
              <w:bottom w:val="single" w:color="000000" w:sz="8" w:space="0"/>
              <w:right w:val="single" w:color="000000" w:sz="8" w:space="0"/>
            </w:tcBorders>
            <w:shd w:val="clear" w:color="auto" w:fill="auto"/>
            <w:noWrap/>
            <w:vAlign w:val="center"/>
          </w:tcPr>
          <w:p w14:paraId="1D907293">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21</w:t>
            </w:r>
          </w:p>
        </w:tc>
        <w:tc>
          <w:tcPr>
            <w:tcW w:w="1089" w:type="dxa"/>
            <w:tcBorders>
              <w:top w:val="nil"/>
              <w:left w:val="nil"/>
              <w:bottom w:val="single" w:color="000000" w:sz="8" w:space="0"/>
              <w:right w:val="single" w:color="000000" w:sz="8" w:space="0"/>
            </w:tcBorders>
            <w:shd w:val="clear" w:color="auto" w:fill="auto"/>
            <w:noWrap/>
            <w:vAlign w:val="center"/>
          </w:tcPr>
          <w:p w14:paraId="033137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9"/>
                <w:color w:val="auto"/>
                <w:highlight w:val="none"/>
                <w:lang w:val="en-US" w:eastAsia="zh-CN" w:bidi="ar"/>
              </w:rPr>
              <w:t>人</w:t>
            </w:r>
          </w:p>
        </w:tc>
        <w:tc>
          <w:tcPr>
            <w:tcW w:w="1109" w:type="dxa"/>
            <w:tcBorders>
              <w:top w:val="nil"/>
              <w:left w:val="nil"/>
              <w:bottom w:val="single" w:color="000000" w:sz="8" w:space="0"/>
              <w:right w:val="single" w:color="000000" w:sz="8" w:space="0"/>
            </w:tcBorders>
            <w:shd w:val="clear" w:color="auto" w:fill="auto"/>
            <w:noWrap/>
            <w:vAlign w:val="center"/>
          </w:tcPr>
          <w:p w14:paraId="152750CA">
            <w:pPr>
              <w:jc w:val="center"/>
              <w:rPr>
                <w:rFonts w:hint="eastAsia" w:ascii="宋体" w:hAnsi="宋体" w:eastAsia="宋体" w:cs="宋体"/>
                <w:i w:val="0"/>
                <w:iCs w:val="0"/>
                <w:color w:val="auto"/>
                <w:sz w:val="21"/>
                <w:szCs w:val="21"/>
                <w:highlight w:val="none"/>
                <w:u w:val="none"/>
              </w:rPr>
            </w:pPr>
          </w:p>
        </w:tc>
        <w:tc>
          <w:tcPr>
            <w:tcW w:w="1109" w:type="dxa"/>
            <w:tcBorders>
              <w:top w:val="nil"/>
              <w:left w:val="nil"/>
              <w:bottom w:val="single" w:color="000000" w:sz="8" w:space="0"/>
              <w:right w:val="single" w:color="000000" w:sz="8" w:space="0"/>
            </w:tcBorders>
            <w:shd w:val="clear" w:color="auto" w:fill="auto"/>
            <w:noWrap/>
            <w:vAlign w:val="center"/>
          </w:tcPr>
          <w:p w14:paraId="0E0BDD2E">
            <w:pPr>
              <w:jc w:val="center"/>
              <w:rPr>
                <w:rFonts w:hint="eastAsia" w:ascii="宋体" w:hAnsi="宋体" w:eastAsia="宋体" w:cs="宋体"/>
                <w:i w:val="0"/>
                <w:iCs w:val="0"/>
                <w:color w:val="auto"/>
                <w:sz w:val="21"/>
                <w:szCs w:val="21"/>
                <w:highlight w:val="none"/>
                <w:u w:val="none"/>
              </w:rPr>
            </w:pPr>
          </w:p>
        </w:tc>
        <w:tc>
          <w:tcPr>
            <w:tcW w:w="889" w:type="dxa"/>
            <w:tcBorders>
              <w:top w:val="nil"/>
              <w:left w:val="nil"/>
              <w:bottom w:val="single" w:color="000000" w:sz="8" w:space="0"/>
              <w:right w:val="single" w:color="000000" w:sz="8" w:space="0"/>
            </w:tcBorders>
            <w:shd w:val="clear" w:color="auto" w:fill="auto"/>
            <w:noWrap/>
            <w:vAlign w:val="center"/>
          </w:tcPr>
          <w:p w14:paraId="07CB048A">
            <w:pPr>
              <w:jc w:val="center"/>
              <w:rPr>
                <w:rFonts w:hint="eastAsia" w:ascii="宋体" w:hAnsi="宋体" w:eastAsia="宋体" w:cs="宋体"/>
                <w:i w:val="0"/>
                <w:iCs w:val="0"/>
                <w:color w:val="auto"/>
                <w:sz w:val="21"/>
                <w:szCs w:val="21"/>
                <w:highlight w:val="none"/>
                <w:u w:val="none"/>
              </w:rPr>
            </w:pPr>
          </w:p>
        </w:tc>
        <w:tc>
          <w:tcPr>
            <w:tcW w:w="889" w:type="dxa"/>
            <w:tcBorders>
              <w:top w:val="nil"/>
              <w:left w:val="nil"/>
              <w:bottom w:val="single" w:color="000000" w:sz="8" w:space="0"/>
              <w:right w:val="single" w:color="000000" w:sz="8" w:space="0"/>
            </w:tcBorders>
            <w:shd w:val="clear" w:color="auto" w:fill="auto"/>
            <w:noWrap/>
            <w:vAlign w:val="center"/>
          </w:tcPr>
          <w:p w14:paraId="13E80C48">
            <w:pPr>
              <w:jc w:val="center"/>
              <w:rPr>
                <w:rFonts w:hint="eastAsia" w:ascii="宋体" w:hAnsi="宋体" w:eastAsia="宋体" w:cs="宋体"/>
                <w:i w:val="0"/>
                <w:iCs w:val="0"/>
                <w:color w:val="auto"/>
                <w:sz w:val="21"/>
                <w:szCs w:val="21"/>
                <w:highlight w:val="none"/>
                <w:u w:val="none"/>
              </w:rPr>
            </w:pPr>
          </w:p>
        </w:tc>
      </w:tr>
      <w:tr w14:paraId="1AD45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5" w:type="dxa"/>
            <w:vMerge w:val="continue"/>
            <w:tcBorders>
              <w:top w:val="nil"/>
              <w:left w:val="single" w:color="000000" w:sz="8" w:space="0"/>
              <w:bottom w:val="nil"/>
              <w:right w:val="single" w:color="000000" w:sz="8" w:space="0"/>
            </w:tcBorders>
            <w:shd w:val="clear" w:color="auto" w:fill="auto"/>
            <w:noWrap/>
            <w:vAlign w:val="center"/>
          </w:tcPr>
          <w:p w14:paraId="7BED5FAD">
            <w:pPr>
              <w:jc w:val="center"/>
              <w:rPr>
                <w:rFonts w:hint="eastAsia" w:ascii="宋体" w:hAnsi="宋体" w:eastAsia="宋体" w:cs="宋体"/>
                <w:i w:val="0"/>
                <w:iCs w:val="0"/>
                <w:color w:val="auto"/>
                <w:sz w:val="21"/>
                <w:szCs w:val="21"/>
                <w:highlight w:val="none"/>
                <w:u w:val="none"/>
              </w:rPr>
            </w:pPr>
          </w:p>
        </w:tc>
        <w:tc>
          <w:tcPr>
            <w:tcW w:w="3075" w:type="dxa"/>
            <w:tcBorders>
              <w:top w:val="nil"/>
              <w:left w:val="nil"/>
              <w:bottom w:val="single" w:color="000000" w:sz="8" w:space="0"/>
              <w:right w:val="single" w:color="000000" w:sz="8" w:space="0"/>
            </w:tcBorders>
            <w:shd w:val="clear" w:color="auto" w:fill="auto"/>
            <w:noWrap/>
            <w:vAlign w:val="center"/>
          </w:tcPr>
          <w:p w14:paraId="2556E6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安保人员（</w:t>
            </w:r>
            <w:r>
              <w:rPr>
                <w:rFonts w:hint="eastAsia" w:ascii="宋体" w:hAnsi="宋体" w:cs="宋体"/>
                <w:i w:val="0"/>
                <w:iCs w:val="0"/>
                <w:color w:val="auto"/>
                <w:kern w:val="0"/>
                <w:sz w:val="21"/>
                <w:szCs w:val="21"/>
                <w:highlight w:val="none"/>
                <w:u w:val="none"/>
                <w:lang w:val="en-US" w:eastAsia="zh-CN" w:bidi="ar"/>
              </w:rPr>
              <w:t>不含</w:t>
            </w:r>
            <w:r>
              <w:rPr>
                <w:rFonts w:hint="eastAsia" w:ascii="宋体" w:hAnsi="宋体" w:eastAsia="宋体" w:cs="宋体"/>
                <w:i w:val="0"/>
                <w:iCs w:val="0"/>
                <w:color w:val="auto"/>
                <w:kern w:val="0"/>
                <w:sz w:val="21"/>
                <w:szCs w:val="21"/>
                <w:highlight w:val="none"/>
                <w:u w:val="none"/>
                <w:lang w:val="en-US" w:eastAsia="zh-CN" w:bidi="ar"/>
              </w:rPr>
              <w:t>社保）</w:t>
            </w:r>
          </w:p>
        </w:tc>
        <w:tc>
          <w:tcPr>
            <w:tcW w:w="840" w:type="dxa"/>
            <w:tcBorders>
              <w:top w:val="nil"/>
              <w:left w:val="nil"/>
              <w:bottom w:val="single" w:color="000000" w:sz="8" w:space="0"/>
              <w:right w:val="single" w:color="000000" w:sz="8" w:space="0"/>
            </w:tcBorders>
            <w:shd w:val="clear" w:color="auto" w:fill="auto"/>
            <w:noWrap/>
            <w:vAlign w:val="center"/>
          </w:tcPr>
          <w:p w14:paraId="60FC66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6</w:t>
            </w:r>
          </w:p>
        </w:tc>
        <w:tc>
          <w:tcPr>
            <w:tcW w:w="1089" w:type="dxa"/>
            <w:tcBorders>
              <w:top w:val="nil"/>
              <w:left w:val="nil"/>
              <w:bottom w:val="single" w:color="000000" w:sz="8" w:space="0"/>
              <w:right w:val="single" w:color="000000" w:sz="8" w:space="0"/>
            </w:tcBorders>
            <w:shd w:val="clear" w:color="auto" w:fill="auto"/>
            <w:noWrap/>
            <w:vAlign w:val="center"/>
          </w:tcPr>
          <w:p w14:paraId="2D5849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w:t>
            </w:r>
          </w:p>
        </w:tc>
        <w:tc>
          <w:tcPr>
            <w:tcW w:w="1109" w:type="dxa"/>
            <w:tcBorders>
              <w:top w:val="nil"/>
              <w:left w:val="nil"/>
              <w:bottom w:val="single" w:color="000000" w:sz="8" w:space="0"/>
              <w:right w:val="single" w:color="000000" w:sz="8" w:space="0"/>
            </w:tcBorders>
            <w:shd w:val="clear" w:color="auto" w:fill="auto"/>
            <w:noWrap/>
            <w:vAlign w:val="center"/>
          </w:tcPr>
          <w:p w14:paraId="6404437D">
            <w:pPr>
              <w:jc w:val="center"/>
              <w:rPr>
                <w:rFonts w:hint="eastAsia" w:ascii="宋体" w:hAnsi="宋体" w:eastAsia="宋体" w:cs="宋体"/>
                <w:i w:val="0"/>
                <w:iCs w:val="0"/>
                <w:color w:val="auto"/>
                <w:sz w:val="21"/>
                <w:szCs w:val="21"/>
                <w:highlight w:val="none"/>
                <w:u w:val="none"/>
              </w:rPr>
            </w:pPr>
          </w:p>
        </w:tc>
        <w:tc>
          <w:tcPr>
            <w:tcW w:w="1109" w:type="dxa"/>
            <w:tcBorders>
              <w:top w:val="nil"/>
              <w:left w:val="nil"/>
              <w:bottom w:val="single" w:color="000000" w:sz="8" w:space="0"/>
              <w:right w:val="single" w:color="000000" w:sz="8" w:space="0"/>
            </w:tcBorders>
            <w:shd w:val="clear" w:color="auto" w:fill="auto"/>
            <w:noWrap/>
            <w:vAlign w:val="center"/>
          </w:tcPr>
          <w:p w14:paraId="692C6524">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w:t>
            </w:r>
          </w:p>
        </w:tc>
        <w:tc>
          <w:tcPr>
            <w:tcW w:w="889" w:type="dxa"/>
            <w:tcBorders>
              <w:top w:val="nil"/>
              <w:left w:val="nil"/>
              <w:bottom w:val="single" w:color="000000" w:sz="8" w:space="0"/>
              <w:right w:val="single" w:color="000000" w:sz="8" w:space="0"/>
            </w:tcBorders>
            <w:shd w:val="clear" w:color="auto" w:fill="auto"/>
            <w:noWrap/>
            <w:vAlign w:val="center"/>
          </w:tcPr>
          <w:p w14:paraId="75EEC0A3">
            <w:pPr>
              <w:jc w:val="center"/>
              <w:rPr>
                <w:rFonts w:hint="eastAsia" w:ascii="宋体" w:hAnsi="宋体" w:eastAsia="宋体" w:cs="宋体"/>
                <w:i w:val="0"/>
                <w:iCs w:val="0"/>
                <w:color w:val="auto"/>
                <w:sz w:val="21"/>
                <w:szCs w:val="21"/>
                <w:highlight w:val="none"/>
                <w:u w:val="none"/>
              </w:rPr>
            </w:pPr>
          </w:p>
        </w:tc>
        <w:tc>
          <w:tcPr>
            <w:tcW w:w="889" w:type="dxa"/>
            <w:tcBorders>
              <w:top w:val="nil"/>
              <w:left w:val="nil"/>
              <w:bottom w:val="single" w:color="000000" w:sz="8" w:space="0"/>
              <w:right w:val="single" w:color="000000" w:sz="8" w:space="0"/>
            </w:tcBorders>
            <w:shd w:val="clear" w:color="auto" w:fill="auto"/>
            <w:noWrap/>
            <w:vAlign w:val="center"/>
          </w:tcPr>
          <w:p w14:paraId="5E4F3937">
            <w:pPr>
              <w:jc w:val="center"/>
              <w:rPr>
                <w:rFonts w:hint="eastAsia" w:ascii="宋体" w:hAnsi="宋体" w:eastAsia="宋体" w:cs="宋体"/>
                <w:i w:val="0"/>
                <w:iCs w:val="0"/>
                <w:color w:val="auto"/>
                <w:sz w:val="21"/>
                <w:szCs w:val="21"/>
                <w:highlight w:val="none"/>
                <w:u w:val="none"/>
              </w:rPr>
            </w:pPr>
          </w:p>
        </w:tc>
      </w:tr>
      <w:tr w14:paraId="04802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5" w:type="dxa"/>
            <w:vMerge w:val="continue"/>
            <w:tcBorders>
              <w:top w:val="nil"/>
              <w:left w:val="single" w:color="000000" w:sz="8" w:space="0"/>
              <w:bottom w:val="nil"/>
              <w:right w:val="single" w:color="000000" w:sz="8" w:space="0"/>
            </w:tcBorders>
            <w:shd w:val="clear" w:color="auto" w:fill="auto"/>
            <w:noWrap/>
            <w:vAlign w:val="center"/>
          </w:tcPr>
          <w:p w14:paraId="7C84838C">
            <w:pPr>
              <w:jc w:val="center"/>
              <w:rPr>
                <w:rFonts w:hint="eastAsia" w:ascii="宋体" w:hAnsi="宋体" w:eastAsia="宋体" w:cs="宋体"/>
                <w:i w:val="0"/>
                <w:iCs w:val="0"/>
                <w:color w:val="auto"/>
                <w:sz w:val="21"/>
                <w:szCs w:val="21"/>
                <w:highlight w:val="none"/>
                <w:u w:val="none"/>
              </w:rPr>
            </w:pPr>
          </w:p>
        </w:tc>
        <w:tc>
          <w:tcPr>
            <w:tcW w:w="3075" w:type="dxa"/>
            <w:tcBorders>
              <w:top w:val="nil"/>
              <w:left w:val="nil"/>
              <w:bottom w:val="single" w:color="000000" w:sz="8" w:space="0"/>
              <w:right w:val="single" w:color="000000" w:sz="8" w:space="0"/>
            </w:tcBorders>
            <w:shd w:val="clear" w:color="auto" w:fill="auto"/>
            <w:noWrap/>
            <w:vAlign w:val="center"/>
          </w:tcPr>
          <w:p w14:paraId="07198F0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0"/>
                <w:color w:val="auto"/>
                <w:highlight w:val="none"/>
                <w:lang w:val="en-US" w:eastAsia="zh-CN" w:bidi="ar"/>
              </w:rPr>
              <w:t>消防及治安监控</w:t>
            </w:r>
          </w:p>
        </w:tc>
        <w:tc>
          <w:tcPr>
            <w:tcW w:w="840" w:type="dxa"/>
            <w:tcBorders>
              <w:top w:val="nil"/>
              <w:left w:val="nil"/>
              <w:bottom w:val="single" w:color="000000" w:sz="8" w:space="0"/>
              <w:right w:val="single" w:color="000000" w:sz="8" w:space="0"/>
            </w:tcBorders>
            <w:shd w:val="clear" w:color="auto" w:fill="auto"/>
            <w:noWrap/>
            <w:vAlign w:val="center"/>
          </w:tcPr>
          <w:p w14:paraId="426F47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4</w:t>
            </w:r>
          </w:p>
        </w:tc>
        <w:tc>
          <w:tcPr>
            <w:tcW w:w="1089" w:type="dxa"/>
            <w:tcBorders>
              <w:top w:val="nil"/>
              <w:left w:val="nil"/>
              <w:bottom w:val="single" w:color="000000" w:sz="8" w:space="0"/>
              <w:right w:val="single" w:color="000000" w:sz="8" w:space="0"/>
            </w:tcBorders>
            <w:shd w:val="clear" w:color="auto" w:fill="auto"/>
            <w:noWrap/>
            <w:vAlign w:val="center"/>
          </w:tcPr>
          <w:p w14:paraId="6956ED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9"/>
                <w:color w:val="auto"/>
                <w:highlight w:val="none"/>
                <w:lang w:val="en-US" w:eastAsia="zh-CN" w:bidi="ar"/>
              </w:rPr>
              <w:t>人</w:t>
            </w:r>
          </w:p>
        </w:tc>
        <w:tc>
          <w:tcPr>
            <w:tcW w:w="1109" w:type="dxa"/>
            <w:tcBorders>
              <w:top w:val="nil"/>
              <w:left w:val="nil"/>
              <w:bottom w:val="single" w:color="000000" w:sz="8" w:space="0"/>
              <w:right w:val="single" w:color="000000" w:sz="8" w:space="0"/>
            </w:tcBorders>
            <w:shd w:val="clear" w:color="auto" w:fill="auto"/>
            <w:noWrap/>
            <w:vAlign w:val="center"/>
          </w:tcPr>
          <w:p w14:paraId="5381B371">
            <w:pPr>
              <w:jc w:val="center"/>
              <w:rPr>
                <w:rFonts w:hint="eastAsia" w:ascii="宋体" w:hAnsi="宋体" w:eastAsia="宋体" w:cs="宋体"/>
                <w:i w:val="0"/>
                <w:iCs w:val="0"/>
                <w:color w:val="auto"/>
                <w:sz w:val="21"/>
                <w:szCs w:val="21"/>
                <w:highlight w:val="none"/>
                <w:u w:val="none"/>
              </w:rPr>
            </w:pPr>
          </w:p>
        </w:tc>
        <w:tc>
          <w:tcPr>
            <w:tcW w:w="1109" w:type="dxa"/>
            <w:tcBorders>
              <w:top w:val="nil"/>
              <w:left w:val="nil"/>
              <w:bottom w:val="single" w:color="000000" w:sz="8" w:space="0"/>
              <w:right w:val="single" w:color="000000" w:sz="8" w:space="0"/>
            </w:tcBorders>
            <w:shd w:val="clear" w:color="auto" w:fill="auto"/>
            <w:noWrap/>
            <w:vAlign w:val="center"/>
          </w:tcPr>
          <w:p w14:paraId="68BF8362">
            <w:pPr>
              <w:jc w:val="center"/>
              <w:rPr>
                <w:rFonts w:hint="eastAsia" w:ascii="宋体" w:hAnsi="宋体" w:eastAsia="宋体" w:cs="宋体"/>
                <w:i w:val="0"/>
                <w:iCs w:val="0"/>
                <w:color w:val="auto"/>
                <w:sz w:val="21"/>
                <w:szCs w:val="21"/>
                <w:highlight w:val="none"/>
                <w:u w:val="none"/>
              </w:rPr>
            </w:pPr>
          </w:p>
        </w:tc>
        <w:tc>
          <w:tcPr>
            <w:tcW w:w="889" w:type="dxa"/>
            <w:tcBorders>
              <w:top w:val="nil"/>
              <w:left w:val="nil"/>
              <w:bottom w:val="single" w:color="000000" w:sz="8" w:space="0"/>
              <w:right w:val="single" w:color="000000" w:sz="8" w:space="0"/>
            </w:tcBorders>
            <w:shd w:val="clear" w:color="auto" w:fill="auto"/>
            <w:noWrap/>
            <w:vAlign w:val="center"/>
          </w:tcPr>
          <w:p w14:paraId="71FF4CDF">
            <w:pPr>
              <w:jc w:val="center"/>
              <w:rPr>
                <w:rFonts w:hint="eastAsia" w:ascii="宋体" w:hAnsi="宋体" w:eastAsia="宋体" w:cs="宋体"/>
                <w:i w:val="0"/>
                <w:iCs w:val="0"/>
                <w:color w:val="auto"/>
                <w:sz w:val="21"/>
                <w:szCs w:val="21"/>
                <w:highlight w:val="none"/>
                <w:u w:val="none"/>
              </w:rPr>
            </w:pPr>
          </w:p>
        </w:tc>
        <w:tc>
          <w:tcPr>
            <w:tcW w:w="889" w:type="dxa"/>
            <w:tcBorders>
              <w:top w:val="nil"/>
              <w:left w:val="nil"/>
              <w:bottom w:val="single" w:color="000000" w:sz="8" w:space="0"/>
              <w:right w:val="single" w:color="000000" w:sz="8" w:space="0"/>
            </w:tcBorders>
            <w:shd w:val="clear" w:color="auto" w:fill="auto"/>
            <w:noWrap/>
            <w:vAlign w:val="center"/>
          </w:tcPr>
          <w:p w14:paraId="1CD46E71">
            <w:pPr>
              <w:jc w:val="center"/>
              <w:rPr>
                <w:rFonts w:hint="eastAsia" w:ascii="宋体" w:hAnsi="宋体" w:eastAsia="宋体" w:cs="宋体"/>
                <w:i w:val="0"/>
                <w:iCs w:val="0"/>
                <w:color w:val="auto"/>
                <w:sz w:val="21"/>
                <w:szCs w:val="21"/>
                <w:highlight w:val="none"/>
                <w:u w:val="none"/>
              </w:rPr>
            </w:pPr>
          </w:p>
        </w:tc>
      </w:tr>
      <w:tr w14:paraId="5836A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5" w:type="dxa"/>
            <w:tcBorders>
              <w:top w:val="nil"/>
              <w:left w:val="single" w:color="000000" w:sz="8" w:space="0"/>
              <w:bottom w:val="nil"/>
              <w:right w:val="single" w:color="000000" w:sz="8" w:space="0"/>
            </w:tcBorders>
            <w:shd w:val="clear" w:color="auto" w:fill="auto"/>
            <w:noWrap/>
            <w:vAlign w:val="center"/>
          </w:tcPr>
          <w:p w14:paraId="5BEDFD27">
            <w:pPr>
              <w:jc w:val="center"/>
              <w:rPr>
                <w:rFonts w:hint="eastAsia" w:ascii="宋体" w:hAnsi="宋体" w:eastAsia="宋体" w:cs="宋体"/>
                <w:i w:val="0"/>
                <w:iCs w:val="0"/>
                <w:color w:val="auto"/>
                <w:sz w:val="21"/>
                <w:szCs w:val="21"/>
                <w:highlight w:val="none"/>
                <w:u w:val="none"/>
              </w:rPr>
            </w:pPr>
          </w:p>
        </w:tc>
        <w:tc>
          <w:tcPr>
            <w:tcW w:w="3075" w:type="dxa"/>
            <w:tcBorders>
              <w:top w:val="nil"/>
              <w:left w:val="nil"/>
              <w:bottom w:val="single" w:color="000000" w:sz="8" w:space="0"/>
              <w:right w:val="single" w:color="000000" w:sz="8" w:space="0"/>
            </w:tcBorders>
            <w:shd w:val="clear" w:color="auto" w:fill="auto"/>
            <w:noWrap/>
            <w:vAlign w:val="center"/>
          </w:tcPr>
          <w:p w14:paraId="284F00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消防及治安监控（</w:t>
            </w:r>
            <w:r>
              <w:rPr>
                <w:rFonts w:hint="eastAsia" w:ascii="宋体" w:hAnsi="宋体" w:cs="宋体"/>
                <w:i w:val="0"/>
                <w:iCs w:val="0"/>
                <w:color w:val="auto"/>
                <w:kern w:val="0"/>
                <w:sz w:val="21"/>
                <w:szCs w:val="21"/>
                <w:highlight w:val="none"/>
                <w:u w:val="none"/>
                <w:lang w:val="en-US" w:eastAsia="zh-CN" w:bidi="ar"/>
              </w:rPr>
              <w:t>不含社保</w:t>
            </w:r>
            <w:r>
              <w:rPr>
                <w:rFonts w:hint="eastAsia" w:ascii="宋体" w:hAnsi="宋体" w:eastAsia="宋体" w:cs="宋体"/>
                <w:i w:val="0"/>
                <w:iCs w:val="0"/>
                <w:color w:val="auto"/>
                <w:kern w:val="0"/>
                <w:sz w:val="21"/>
                <w:szCs w:val="21"/>
                <w:highlight w:val="none"/>
                <w:u w:val="none"/>
                <w:lang w:val="en-US" w:eastAsia="zh-CN" w:bidi="ar"/>
              </w:rPr>
              <w:t>）</w:t>
            </w:r>
          </w:p>
        </w:tc>
        <w:tc>
          <w:tcPr>
            <w:tcW w:w="840" w:type="dxa"/>
            <w:tcBorders>
              <w:top w:val="nil"/>
              <w:left w:val="nil"/>
              <w:bottom w:val="single" w:color="000000" w:sz="8" w:space="0"/>
              <w:right w:val="single" w:color="000000" w:sz="8" w:space="0"/>
            </w:tcBorders>
            <w:shd w:val="clear" w:color="auto" w:fill="auto"/>
            <w:noWrap/>
            <w:vAlign w:val="center"/>
          </w:tcPr>
          <w:p w14:paraId="5A086C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1</w:t>
            </w:r>
          </w:p>
        </w:tc>
        <w:tc>
          <w:tcPr>
            <w:tcW w:w="1089" w:type="dxa"/>
            <w:tcBorders>
              <w:top w:val="nil"/>
              <w:left w:val="nil"/>
              <w:bottom w:val="single" w:color="000000" w:sz="8" w:space="0"/>
              <w:right w:val="single" w:color="000000" w:sz="8" w:space="0"/>
            </w:tcBorders>
            <w:shd w:val="clear" w:color="auto" w:fill="auto"/>
            <w:noWrap/>
            <w:vAlign w:val="center"/>
          </w:tcPr>
          <w:p w14:paraId="6D49EE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w:t>
            </w:r>
          </w:p>
        </w:tc>
        <w:tc>
          <w:tcPr>
            <w:tcW w:w="1109" w:type="dxa"/>
            <w:tcBorders>
              <w:top w:val="nil"/>
              <w:left w:val="nil"/>
              <w:bottom w:val="single" w:color="000000" w:sz="8" w:space="0"/>
              <w:right w:val="single" w:color="000000" w:sz="8" w:space="0"/>
            </w:tcBorders>
            <w:shd w:val="clear" w:color="auto" w:fill="auto"/>
            <w:noWrap/>
            <w:vAlign w:val="center"/>
          </w:tcPr>
          <w:p w14:paraId="24E3CB9E">
            <w:pPr>
              <w:jc w:val="center"/>
              <w:rPr>
                <w:rFonts w:hint="eastAsia" w:ascii="宋体" w:hAnsi="宋体" w:eastAsia="宋体" w:cs="宋体"/>
                <w:i w:val="0"/>
                <w:iCs w:val="0"/>
                <w:color w:val="auto"/>
                <w:sz w:val="21"/>
                <w:szCs w:val="21"/>
                <w:highlight w:val="none"/>
                <w:u w:val="none"/>
              </w:rPr>
            </w:pPr>
          </w:p>
        </w:tc>
        <w:tc>
          <w:tcPr>
            <w:tcW w:w="1109" w:type="dxa"/>
            <w:tcBorders>
              <w:top w:val="nil"/>
              <w:left w:val="nil"/>
              <w:bottom w:val="single" w:color="000000" w:sz="8" w:space="0"/>
              <w:right w:val="single" w:color="000000" w:sz="8" w:space="0"/>
            </w:tcBorders>
            <w:shd w:val="clear" w:color="auto" w:fill="auto"/>
            <w:noWrap/>
            <w:vAlign w:val="center"/>
          </w:tcPr>
          <w:p w14:paraId="177858CC">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w:t>
            </w:r>
          </w:p>
        </w:tc>
        <w:tc>
          <w:tcPr>
            <w:tcW w:w="889" w:type="dxa"/>
            <w:tcBorders>
              <w:top w:val="nil"/>
              <w:left w:val="nil"/>
              <w:bottom w:val="single" w:color="000000" w:sz="8" w:space="0"/>
              <w:right w:val="single" w:color="000000" w:sz="8" w:space="0"/>
            </w:tcBorders>
            <w:shd w:val="clear" w:color="auto" w:fill="auto"/>
            <w:noWrap/>
            <w:vAlign w:val="center"/>
          </w:tcPr>
          <w:p w14:paraId="292FCD10">
            <w:pPr>
              <w:jc w:val="center"/>
              <w:rPr>
                <w:rFonts w:hint="eastAsia" w:ascii="宋体" w:hAnsi="宋体" w:eastAsia="宋体" w:cs="宋体"/>
                <w:i w:val="0"/>
                <w:iCs w:val="0"/>
                <w:color w:val="auto"/>
                <w:sz w:val="21"/>
                <w:szCs w:val="21"/>
                <w:highlight w:val="none"/>
                <w:u w:val="none"/>
              </w:rPr>
            </w:pPr>
          </w:p>
        </w:tc>
        <w:tc>
          <w:tcPr>
            <w:tcW w:w="889" w:type="dxa"/>
            <w:tcBorders>
              <w:top w:val="nil"/>
              <w:left w:val="nil"/>
              <w:bottom w:val="single" w:color="000000" w:sz="8" w:space="0"/>
              <w:right w:val="single" w:color="000000" w:sz="8" w:space="0"/>
            </w:tcBorders>
            <w:shd w:val="clear" w:color="auto" w:fill="auto"/>
            <w:noWrap/>
            <w:vAlign w:val="center"/>
          </w:tcPr>
          <w:p w14:paraId="79EECD76">
            <w:pPr>
              <w:jc w:val="center"/>
              <w:rPr>
                <w:rFonts w:hint="eastAsia" w:ascii="宋体" w:hAnsi="宋体" w:eastAsia="宋体" w:cs="宋体"/>
                <w:i w:val="0"/>
                <w:iCs w:val="0"/>
                <w:color w:val="auto"/>
                <w:sz w:val="21"/>
                <w:szCs w:val="21"/>
                <w:highlight w:val="none"/>
                <w:u w:val="none"/>
              </w:rPr>
            </w:pPr>
          </w:p>
        </w:tc>
      </w:tr>
      <w:tr w14:paraId="679F2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60" w:type="dxa"/>
            <w:gridSpan w:val="2"/>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42CDE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Style w:val="38"/>
                <w:color w:val="auto"/>
                <w:highlight w:val="none"/>
                <w:lang w:val="en-US" w:eastAsia="zh-CN" w:bidi="ar"/>
              </w:rPr>
              <w:t>小计</w:t>
            </w:r>
          </w:p>
        </w:tc>
        <w:tc>
          <w:tcPr>
            <w:tcW w:w="1929" w:type="dxa"/>
            <w:gridSpan w:val="2"/>
            <w:tcBorders>
              <w:top w:val="nil"/>
              <w:left w:val="nil"/>
              <w:bottom w:val="single" w:color="000000" w:sz="8" w:space="0"/>
              <w:right w:val="single" w:color="000000" w:sz="8" w:space="0"/>
            </w:tcBorders>
            <w:shd w:val="clear" w:color="auto" w:fill="auto"/>
            <w:noWrap/>
            <w:vAlign w:val="center"/>
          </w:tcPr>
          <w:p w14:paraId="4F1240AB">
            <w:pPr>
              <w:jc w:val="center"/>
              <w:rPr>
                <w:rFonts w:hint="eastAsia" w:ascii="宋体" w:hAnsi="宋体" w:eastAsia="宋体" w:cs="宋体"/>
                <w:i w:val="0"/>
                <w:iCs w:val="0"/>
                <w:color w:val="auto"/>
                <w:sz w:val="21"/>
                <w:szCs w:val="21"/>
                <w:highlight w:val="none"/>
                <w:u w:val="none"/>
              </w:rPr>
            </w:pPr>
          </w:p>
        </w:tc>
        <w:tc>
          <w:tcPr>
            <w:tcW w:w="3996" w:type="dxa"/>
            <w:gridSpan w:val="4"/>
            <w:tcBorders>
              <w:top w:val="nil"/>
              <w:left w:val="nil"/>
              <w:bottom w:val="single" w:color="000000" w:sz="8" w:space="0"/>
              <w:right w:val="single" w:color="000000" w:sz="8" w:space="0"/>
            </w:tcBorders>
            <w:shd w:val="clear" w:color="auto" w:fill="auto"/>
            <w:noWrap/>
            <w:vAlign w:val="center"/>
          </w:tcPr>
          <w:p w14:paraId="06972101">
            <w:pPr>
              <w:jc w:val="center"/>
              <w:rPr>
                <w:rFonts w:hint="eastAsia" w:ascii="宋体" w:hAnsi="宋体" w:eastAsia="宋体" w:cs="宋体"/>
                <w:b/>
                <w:bCs/>
                <w:i w:val="0"/>
                <w:iCs w:val="0"/>
                <w:color w:val="auto"/>
                <w:sz w:val="21"/>
                <w:szCs w:val="21"/>
                <w:highlight w:val="none"/>
                <w:u w:val="none"/>
              </w:rPr>
            </w:pPr>
          </w:p>
        </w:tc>
      </w:tr>
      <w:tr w14:paraId="79488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960" w:type="dxa"/>
            <w:gridSpan w:val="2"/>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73C236">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color w:val="auto"/>
                <w:sz w:val="21"/>
                <w:szCs w:val="21"/>
                <w:highlight w:val="none"/>
              </w:rPr>
              <w:t>投标报价总计（一年）</w:t>
            </w:r>
          </w:p>
        </w:tc>
        <w:tc>
          <w:tcPr>
            <w:tcW w:w="1929" w:type="dxa"/>
            <w:gridSpan w:val="2"/>
            <w:tcBorders>
              <w:top w:val="nil"/>
              <w:left w:val="nil"/>
              <w:bottom w:val="single" w:color="000000" w:sz="8" w:space="0"/>
              <w:right w:val="single" w:color="000000" w:sz="8" w:space="0"/>
            </w:tcBorders>
            <w:shd w:val="clear" w:color="auto" w:fill="auto"/>
            <w:noWrap/>
            <w:vAlign w:val="center"/>
          </w:tcPr>
          <w:p w14:paraId="4FF10EF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Style w:val="39"/>
                <w:color w:val="auto"/>
                <w:highlight w:val="none"/>
                <w:lang w:val="en-US" w:eastAsia="zh-CN" w:bidi="ar"/>
              </w:rPr>
              <w:t>小写：</w:t>
            </w:r>
          </w:p>
        </w:tc>
        <w:tc>
          <w:tcPr>
            <w:tcW w:w="3996" w:type="dxa"/>
            <w:gridSpan w:val="4"/>
            <w:tcBorders>
              <w:top w:val="nil"/>
              <w:left w:val="nil"/>
              <w:bottom w:val="single" w:color="000000" w:sz="8" w:space="0"/>
              <w:right w:val="single" w:color="000000" w:sz="8" w:space="0"/>
            </w:tcBorders>
            <w:shd w:val="clear" w:color="auto" w:fill="auto"/>
            <w:noWrap/>
            <w:vAlign w:val="center"/>
          </w:tcPr>
          <w:p w14:paraId="194B6301">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Style w:val="38"/>
                <w:color w:val="auto"/>
                <w:highlight w:val="none"/>
                <w:lang w:val="en-US" w:eastAsia="zh-CN" w:bidi="ar"/>
              </w:rPr>
              <w:t>大写（人民币）:</w:t>
            </w:r>
          </w:p>
        </w:tc>
      </w:tr>
      <w:tr w14:paraId="295F6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960" w:type="dxa"/>
            <w:gridSpan w:val="2"/>
            <w:tcBorders>
              <w:top w:val="nil"/>
              <w:left w:val="single" w:color="000000" w:sz="8" w:space="0"/>
              <w:bottom w:val="single" w:color="000000" w:sz="8" w:space="0"/>
              <w:right w:val="single" w:color="000000" w:sz="8" w:space="0"/>
            </w:tcBorders>
            <w:shd w:val="clear" w:color="auto" w:fill="auto"/>
            <w:noWrap/>
            <w:vAlign w:val="center"/>
          </w:tcPr>
          <w:p w14:paraId="582E4CC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color w:val="auto"/>
                <w:sz w:val="21"/>
                <w:szCs w:val="21"/>
                <w:highlight w:val="none"/>
              </w:rPr>
              <w:t>投标报价总计（三年）</w:t>
            </w:r>
          </w:p>
        </w:tc>
        <w:tc>
          <w:tcPr>
            <w:tcW w:w="1929" w:type="dxa"/>
            <w:gridSpan w:val="2"/>
            <w:tcBorders>
              <w:top w:val="nil"/>
              <w:left w:val="nil"/>
              <w:bottom w:val="single" w:color="000000" w:sz="8" w:space="0"/>
              <w:right w:val="single" w:color="000000" w:sz="8" w:space="0"/>
            </w:tcBorders>
            <w:shd w:val="clear" w:color="auto" w:fill="auto"/>
            <w:noWrap/>
            <w:vAlign w:val="center"/>
          </w:tcPr>
          <w:p w14:paraId="150082A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Style w:val="39"/>
                <w:color w:val="auto"/>
                <w:highlight w:val="none"/>
                <w:lang w:val="en-US" w:eastAsia="zh-CN" w:bidi="ar"/>
              </w:rPr>
              <w:t>小写：</w:t>
            </w:r>
          </w:p>
        </w:tc>
        <w:tc>
          <w:tcPr>
            <w:tcW w:w="3996" w:type="dxa"/>
            <w:gridSpan w:val="4"/>
            <w:tcBorders>
              <w:top w:val="nil"/>
              <w:left w:val="nil"/>
              <w:bottom w:val="single" w:color="000000" w:sz="8" w:space="0"/>
              <w:right w:val="single" w:color="000000" w:sz="8" w:space="0"/>
            </w:tcBorders>
            <w:shd w:val="clear" w:color="auto" w:fill="auto"/>
            <w:noWrap/>
            <w:vAlign w:val="center"/>
          </w:tcPr>
          <w:p w14:paraId="24782D02">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Style w:val="38"/>
                <w:color w:val="auto"/>
                <w:highlight w:val="none"/>
                <w:lang w:val="en-US" w:eastAsia="zh-CN" w:bidi="ar"/>
              </w:rPr>
              <w:t>大写（人民币）:</w:t>
            </w:r>
          </w:p>
        </w:tc>
      </w:tr>
    </w:tbl>
    <w:p w14:paraId="4256EF2B">
      <w:pPr>
        <w:spacing w:line="520" w:lineRule="exact"/>
        <w:ind w:firstLine="480"/>
        <w:rPr>
          <w:rFonts w:hint="eastAsia" w:ascii="宋体" w:hAnsi="宋体" w:eastAsia="宋体" w:cs="宋体"/>
          <w:color w:val="auto"/>
          <w:sz w:val="24"/>
          <w:szCs w:val="24"/>
          <w:highlight w:val="none"/>
        </w:rPr>
      </w:pPr>
    </w:p>
    <w:p w14:paraId="48438D63">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注1.此表为表样，行数可自行添加不可减少，且表式不变。</w:t>
      </w:r>
    </w:p>
    <w:p w14:paraId="55D91FA6">
      <w:pPr>
        <w:spacing w:line="520" w:lineRule="exact"/>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2.人员工资等费用须符合《中华人民共和国劳动合同法》以及泰州市最低工资标准，此</w:t>
      </w:r>
      <w:r>
        <w:rPr>
          <w:rFonts w:hint="eastAsia" w:ascii="宋体" w:hAnsi="宋体" w:eastAsia="宋体" w:cs="宋体"/>
          <w:color w:val="auto"/>
          <w:sz w:val="24"/>
          <w:szCs w:val="24"/>
          <w:highlight w:val="none"/>
          <w:lang w:val="en-US" w:eastAsia="zh-CN"/>
        </w:rPr>
        <w:t>报</w:t>
      </w:r>
      <w:r>
        <w:rPr>
          <w:rFonts w:hint="eastAsia" w:ascii="宋体" w:hAnsi="宋体" w:eastAsia="宋体" w:cs="宋体"/>
          <w:color w:val="auto"/>
          <w:sz w:val="24"/>
          <w:szCs w:val="24"/>
          <w:highlight w:val="none"/>
        </w:rPr>
        <w:t>格包含人员工资、服装费、国家法定节假日加班</w:t>
      </w:r>
      <w:r>
        <w:rPr>
          <w:rFonts w:hint="eastAsia" w:ascii="宋体" w:hAnsi="宋体" w:eastAsia="宋体" w:cs="宋体"/>
          <w:color w:val="auto"/>
          <w:sz w:val="24"/>
          <w:szCs w:val="24"/>
          <w:highlight w:val="none"/>
          <w:lang w:val="en-US" w:eastAsia="zh-CN"/>
        </w:rPr>
        <w:t>等薪酬福利</w:t>
      </w:r>
      <w:r>
        <w:rPr>
          <w:rFonts w:hint="eastAsia" w:ascii="宋体" w:hAnsi="宋体" w:eastAsia="宋体" w:cs="宋体"/>
          <w:color w:val="auto"/>
          <w:sz w:val="24"/>
          <w:szCs w:val="24"/>
          <w:highlight w:val="none"/>
        </w:rPr>
        <w:t>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社会保险、</w:t>
      </w:r>
      <w:r>
        <w:rPr>
          <w:rFonts w:hint="eastAsia" w:ascii="宋体" w:hAnsi="宋体" w:eastAsia="宋体" w:cs="宋体"/>
          <w:color w:val="auto"/>
          <w:sz w:val="24"/>
          <w:szCs w:val="24"/>
          <w:highlight w:val="none"/>
        </w:rPr>
        <w:t>保安工具、耗材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其它软硬件设备、公司管理费、不可预测费、</w:t>
      </w:r>
      <w:r>
        <w:rPr>
          <w:rFonts w:hint="eastAsia" w:ascii="宋体" w:hAnsi="宋体" w:eastAsia="宋体" w:cs="宋体"/>
          <w:color w:val="auto"/>
          <w:sz w:val="24"/>
          <w:szCs w:val="24"/>
          <w:highlight w:val="none"/>
        </w:rPr>
        <w:t>培训费、利润、税金以及所有风险、责任等各项应有的所</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费用</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rPr>
        <w:t>投标人必须承担未正确执行劳动用工规定所产生的法律责任。</w:t>
      </w:r>
    </w:p>
    <w:p w14:paraId="47C33802">
      <w:pPr>
        <w:pStyle w:val="22"/>
        <w:ind w:firstLine="0"/>
        <w:rPr>
          <w:rFonts w:hint="eastAsia" w:ascii="宋体" w:hAnsi="宋体" w:eastAsia="宋体" w:cs="宋体"/>
          <w:color w:val="auto"/>
          <w:highlight w:val="none"/>
          <w:lang w:eastAsia="zh-CN"/>
        </w:rPr>
      </w:pPr>
    </w:p>
    <w:p w14:paraId="03498B43">
      <w:pPr>
        <w:pStyle w:val="16"/>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：（公章）</w:t>
      </w:r>
    </w:p>
    <w:p w14:paraId="077863D6">
      <w:pPr>
        <w:pStyle w:val="16"/>
        <w:spacing w:line="52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法定代表人或</w:t>
      </w:r>
      <w:r>
        <w:rPr>
          <w:rFonts w:hint="eastAsia" w:ascii="宋体" w:hAnsi="宋体" w:eastAsia="宋体" w:cs="宋体"/>
          <w:color w:val="auto"/>
          <w:sz w:val="24"/>
          <w:szCs w:val="24"/>
          <w:highlight w:val="none"/>
        </w:rPr>
        <w:t>授权代表（签字</w:t>
      </w:r>
      <w:r>
        <w:rPr>
          <w:rFonts w:hint="eastAsia" w:ascii="宋体" w:hAnsi="宋体" w:cs="宋体"/>
          <w:color w:val="auto"/>
          <w:sz w:val="24"/>
          <w:szCs w:val="24"/>
          <w:highlight w:val="none"/>
          <w:lang w:val="en-US" w:eastAsia="zh-CN"/>
        </w:rPr>
        <w:t>或盖章</w:t>
      </w:r>
      <w:r>
        <w:rPr>
          <w:rFonts w:hint="eastAsia" w:ascii="宋体" w:hAnsi="宋体" w:eastAsia="宋体" w:cs="宋体"/>
          <w:color w:val="auto"/>
          <w:sz w:val="24"/>
          <w:szCs w:val="24"/>
          <w:highlight w:val="none"/>
        </w:rPr>
        <w:t>）：</w:t>
      </w:r>
    </w:p>
    <w:p w14:paraId="0EF08ABF">
      <w:pPr>
        <w:rPr>
          <w:rFonts w:hint="eastAsia" w:ascii="宋体" w:hAnsi="宋体" w:eastAsia="宋体" w:cs="宋体"/>
          <w:color w:val="auto"/>
          <w:sz w:val="24"/>
          <w:szCs w:val="24"/>
          <w:highlight w:val="none"/>
        </w:rPr>
      </w:pPr>
    </w:p>
    <w:p w14:paraId="0EFEE5CB">
      <w:pPr>
        <w:rPr>
          <w:rFonts w:hint="eastAsia" w:ascii="宋体" w:hAnsi="宋体" w:eastAsia="宋体" w:cs="宋体"/>
          <w:color w:val="auto"/>
          <w:sz w:val="24"/>
          <w:szCs w:val="24"/>
          <w:highlight w:val="none"/>
        </w:rPr>
      </w:pPr>
    </w:p>
    <w:p w14:paraId="36C7E52C">
      <w:pPr>
        <w:rPr>
          <w:rFonts w:hint="eastAsia" w:ascii="宋体" w:hAnsi="宋体" w:eastAsia="宋体" w:cs="宋体"/>
          <w:color w:val="auto"/>
          <w:sz w:val="24"/>
          <w:szCs w:val="24"/>
          <w:highlight w:val="none"/>
        </w:rPr>
      </w:pPr>
    </w:p>
    <w:p w14:paraId="553B7FB1">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r>
    </w:p>
    <w:p w14:paraId="26532787">
      <w:pP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4"/>
          <w:highlight w:val="none"/>
        </w:rPr>
        <w:t>（十一）投标偏离表（格式）：</w:t>
      </w:r>
    </w:p>
    <w:p w14:paraId="3D744678">
      <w:pPr>
        <w:ind w:firstLine="490"/>
        <w:jc w:val="center"/>
        <w:outlineLvl w:val="9"/>
        <w:rPr>
          <w:rFonts w:hint="eastAsia" w:ascii="宋体" w:hAnsi="宋体" w:eastAsia="宋体" w:cs="宋体"/>
          <w:bCs/>
          <w:color w:val="auto"/>
          <w:sz w:val="28"/>
          <w:szCs w:val="28"/>
          <w:highlight w:val="none"/>
        </w:rPr>
      </w:pPr>
    </w:p>
    <w:p w14:paraId="7EEA9391">
      <w:pPr>
        <w:ind w:firstLine="490"/>
        <w:jc w:val="cente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投标偏离表</w:t>
      </w:r>
    </w:p>
    <w:p w14:paraId="3F70451C">
      <w:pPr>
        <w:spacing w:line="400" w:lineRule="exact"/>
        <w:jc w:val="center"/>
        <w:outlineLvl w:val="9"/>
        <w:rPr>
          <w:rFonts w:hint="eastAsia" w:ascii="宋体" w:hAnsi="宋体" w:eastAsia="宋体" w:cs="宋体"/>
          <w:bCs/>
          <w:color w:val="auto"/>
          <w:sz w:val="28"/>
          <w:szCs w:val="28"/>
          <w:highlight w:val="none"/>
        </w:rPr>
      </w:pPr>
    </w:p>
    <w:p w14:paraId="3C7C19E2">
      <w:pPr>
        <w:spacing w:line="400" w:lineRule="exact"/>
        <w:jc w:val="center"/>
        <w:outlineLvl w:val="9"/>
        <w:rPr>
          <w:rFonts w:hint="eastAsia" w:ascii="宋体" w:hAnsi="宋体" w:eastAsia="宋体" w:cs="宋体"/>
          <w:bCs/>
          <w:color w:val="auto"/>
          <w:sz w:val="28"/>
          <w:szCs w:val="28"/>
          <w:highlight w:val="none"/>
        </w:rPr>
      </w:pPr>
    </w:p>
    <w:p w14:paraId="020CB160">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投标人名称（盖章）                  采购项目编号： </w:t>
      </w:r>
    </w:p>
    <w:p w14:paraId="7263DC3E">
      <w:pPr>
        <w:spacing w:line="400" w:lineRule="exact"/>
        <w:rPr>
          <w:rFonts w:hint="eastAsia" w:ascii="宋体" w:hAnsi="宋体" w:eastAsia="宋体" w:cs="宋体"/>
          <w:bCs/>
          <w:color w:val="auto"/>
          <w:sz w:val="24"/>
          <w:highlight w:val="none"/>
        </w:rPr>
      </w:pPr>
    </w:p>
    <w:tbl>
      <w:tblPr>
        <w:tblStyle w:val="23"/>
        <w:tblW w:w="0" w:type="auto"/>
        <w:tblInd w:w="0" w:type="dxa"/>
        <w:tblLayout w:type="fixed"/>
        <w:tblCellMar>
          <w:top w:w="0" w:type="dxa"/>
          <w:left w:w="0" w:type="dxa"/>
          <w:bottom w:w="0" w:type="dxa"/>
          <w:right w:w="0" w:type="dxa"/>
        </w:tblCellMar>
      </w:tblPr>
      <w:tblGrid>
        <w:gridCol w:w="1905"/>
        <w:gridCol w:w="2835"/>
        <w:gridCol w:w="2835"/>
        <w:gridCol w:w="2310"/>
      </w:tblGrid>
      <w:tr w14:paraId="5A5D50C2">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B757E63">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名称</w:t>
            </w:r>
          </w:p>
        </w:tc>
        <w:tc>
          <w:tcPr>
            <w:tcW w:w="2835" w:type="dxa"/>
            <w:tcBorders>
              <w:top w:val="single" w:color="auto" w:sz="4" w:space="0"/>
              <w:left w:val="single" w:color="auto" w:sz="4" w:space="0"/>
              <w:bottom w:val="single" w:color="auto" w:sz="4" w:space="0"/>
              <w:right w:val="single" w:color="auto" w:sz="4" w:space="0"/>
            </w:tcBorders>
            <w:vAlign w:val="center"/>
          </w:tcPr>
          <w:p w14:paraId="57BB95B4">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采购要求</w:t>
            </w:r>
          </w:p>
        </w:tc>
        <w:tc>
          <w:tcPr>
            <w:tcW w:w="2835" w:type="dxa"/>
            <w:tcBorders>
              <w:top w:val="single" w:color="auto" w:sz="4" w:space="0"/>
              <w:left w:val="single" w:color="auto" w:sz="4" w:space="0"/>
              <w:bottom w:val="single" w:color="auto" w:sz="4" w:space="0"/>
              <w:right w:val="single" w:color="auto" w:sz="4" w:space="0"/>
            </w:tcBorders>
            <w:vAlign w:val="center"/>
          </w:tcPr>
          <w:p w14:paraId="21F53322">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实报内容</w:t>
            </w:r>
          </w:p>
        </w:tc>
        <w:tc>
          <w:tcPr>
            <w:tcW w:w="2310" w:type="dxa"/>
            <w:tcBorders>
              <w:top w:val="single" w:color="auto" w:sz="4" w:space="0"/>
              <w:left w:val="single" w:color="auto" w:sz="4" w:space="0"/>
              <w:bottom w:val="single" w:color="auto" w:sz="4" w:space="0"/>
              <w:right w:val="single" w:color="auto" w:sz="4" w:space="0"/>
            </w:tcBorders>
            <w:vAlign w:val="center"/>
          </w:tcPr>
          <w:p w14:paraId="39C0BBEC">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偏离说明</w:t>
            </w:r>
          </w:p>
        </w:tc>
      </w:tr>
      <w:tr w14:paraId="3C50D97C">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0CFEC38E">
            <w:pPr>
              <w:keepNext w:val="0"/>
              <w:keepLines w:val="0"/>
              <w:suppressLineNumbers w:val="0"/>
              <w:spacing w:before="0" w:beforeAutospacing="0" w:after="0" w:afterAutospacing="0"/>
              <w:ind w:left="0" w:right="0"/>
              <w:jc w:val="center"/>
              <w:rPr>
                <w:rFonts w:hint="eastAsia" w:ascii="宋体" w:hAnsi="宋体" w:eastAsia="宋体" w:cs="宋体"/>
                <w:bCs/>
                <w:color w:val="auto"/>
                <w:szCs w:val="20"/>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4B2E3FE5">
            <w:pPr>
              <w:keepNext w:val="0"/>
              <w:keepLines w:val="0"/>
              <w:suppressLineNumbers w:val="0"/>
              <w:spacing w:before="0" w:beforeAutospacing="0" w:after="0" w:afterAutospacing="0"/>
              <w:ind w:left="0" w:right="0"/>
              <w:rPr>
                <w:rFonts w:hint="eastAsia" w:ascii="宋体" w:hAnsi="宋体" w:eastAsia="宋体" w:cs="宋体"/>
                <w:bCs/>
                <w:color w:val="auto"/>
                <w:szCs w:val="20"/>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12358D86">
            <w:pPr>
              <w:keepNext w:val="0"/>
              <w:keepLines w:val="0"/>
              <w:suppressLineNumbers w:val="0"/>
              <w:spacing w:before="0" w:beforeAutospacing="0" w:after="0" w:afterAutospacing="0"/>
              <w:ind w:left="0" w:right="0"/>
              <w:jc w:val="center"/>
              <w:rPr>
                <w:rFonts w:hint="eastAsia" w:ascii="宋体" w:hAnsi="宋体" w:eastAsia="宋体" w:cs="宋体"/>
                <w:bCs/>
                <w:color w:val="auto"/>
                <w:szCs w:val="20"/>
                <w:highlight w:val="none"/>
              </w:rPr>
            </w:pPr>
          </w:p>
        </w:tc>
        <w:tc>
          <w:tcPr>
            <w:tcW w:w="2310" w:type="dxa"/>
            <w:tcBorders>
              <w:top w:val="single" w:color="auto" w:sz="4" w:space="0"/>
              <w:left w:val="single" w:color="auto" w:sz="4" w:space="0"/>
              <w:bottom w:val="single" w:color="auto" w:sz="4" w:space="0"/>
              <w:right w:val="single" w:color="auto" w:sz="4" w:space="0"/>
            </w:tcBorders>
            <w:vAlign w:val="center"/>
          </w:tcPr>
          <w:p w14:paraId="584915D4">
            <w:pPr>
              <w:keepNext w:val="0"/>
              <w:keepLines w:val="0"/>
              <w:suppressLineNumbers w:val="0"/>
              <w:spacing w:before="0" w:beforeAutospacing="0" w:after="0" w:afterAutospacing="0"/>
              <w:ind w:left="0" w:right="0"/>
              <w:jc w:val="center"/>
              <w:rPr>
                <w:rFonts w:hint="eastAsia" w:ascii="宋体" w:hAnsi="宋体" w:eastAsia="宋体" w:cs="宋体"/>
                <w:bCs/>
                <w:color w:val="auto"/>
                <w:szCs w:val="20"/>
                <w:highlight w:val="none"/>
              </w:rPr>
            </w:pPr>
          </w:p>
        </w:tc>
      </w:tr>
    </w:tbl>
    <w:p w14:paraId="17916F73">
      <w:pPr>
        <w:rPr>
          <w:rFonts w:hint="eastAsia" w:ascii="宋体" w:hAnsi="宋体" w:eastAsia="宋体" w:cs="宋体"/>
          <w:b/>
          <w:color w:val="auto"/>
          <w:sz w:val="24"/>
          <w:highlight w:val="none"/>
        </w:rPr>
      </w:pPr>
    </w:p>
    <w:p w14:paraId="5D906C63">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法定代表人或法定代表人授权代表签字或盖章：</w:t>
      </w:r>
    </w:p>
    <w:p w14:paraId="57C9CA32">
      <w:pPr>
        <w:rPr>
          <w:rFonts w:hint="eastAsia" w:ascii="宋体" w:hAnsi="宋体" w:eastAsia="宋体" w:cs="宋体"/>
          <w:bCs/>
          <w:color w:val="auto"/>
          <w:sz w:val="30"/>
          <w:highlight w:val="none"/>
        </w:rPr>
      </w:pPr>
    </w:p>
    <w:p w14:paraId="11BE6DF5">
      <w:pPr>
        <w:spacing w:line="5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注：（1）本表不得删除；</w:t>
      </w:r>
    </w:p>
    <w:p w14:paraId="79D3ECA6">
      <w:pPr>
        <w:spacing w:line="52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（2）如无任何技术偏离，请于本表 “偏离说明”中注明“无偏离”；</w:t>
      </w:r>
    </w:p>
    <w:p w14:paraId="53715BB0">
      <w:pPr>
        <w:spacing w:line="520" w:lineRule="exact"/>
        <w:rPr>
          <w:rFonts w:hint="eastAsia" w:ascii="宋体" w:hAnsi="宋体" w:eastAsia="宋体" w:cs="宋体"/>
          <w:color w:val="auto"/>
          <w:highlight w:val="none"/>
          <w:lang w:val="en-US" w:eastAsia="zh-CN"/>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（3）如有技术偏离项，请于本表中列明偏离内容，如需要可自行延长，其余无偏离内容不须赘述。</w:t>
      </w:r>
    </w:p>
    <w:p w14:paraId="5206024F">
      <w:pPr>
        <w:pStyle w:val="15"/>
        <w:rPr>
          <w:rFonts w:hint="eastAsia" w:ascii="宋体" w:hAnsi="宋体" w:eastAsia="宋体" w:cs="宋体"/>
          <w:b/>
          <w:color w:val="auto"/>
          <w:sz w:val="44"/>
          <w:szCs w:val="44"/>
          <w:highlight w:val="none"/>
        </w:rPr>
      </w:pPr>
    </w:p>
    <w:p w14:paraId="7DFB7E93">
      <w:pPr>
        <w:pStyle w:val="28"/>
        <w:rPr>
          <w:rFonts w:hint="eastAsia" w:ascii="宋体" w:hAnsi="宋体" w:eastAsia="宋体" w:cs="宋体"/>
          <w:b/>
          <w:color w:val="auto"/>
          <w:sz w:val="44"/>
          <w:szCs w:val="44"/>
          <w:highlight w:val="none"/>
        </w:rPr>
      </w:pPr>
    </w:p>
    <w:p w14:paraId="37E44B7A">
      <w:pPr>
        <w:pStyle w:val="28"/>
        <w:rPr>
          <w:rFonts w:hint="eastAsia" w:ascii="宋体" w:hAnsi="宋体" w:eastAsia="宋体" w:cs="宋体"/>
          <w:b/>
          <w:color w:val="auto"/>
          <w:sz w:val="44"/>
          <w:szCs w:val="44"/>
          <w:highlight w:val="none"/>
        </w:rPr>
      </w:pPr>
    </w:p>
    <w:p w14:paraId="3A477F55">
      <w:pPr>
        <w:pStyle w:val="8"/>
        <w:ind w:firstLine="0"/>
        <w:rPr>
          <w:rFonts w:hint="eastAsia" w:ascii="宋体" w:hAnsi="宋体" w:eastAsia="宋体" w:cs="宋体"/>
          <w:b/>
          <w:color w:val="auto"/>
          <w:sz w:val="44"/>
          <w:szCs w:val="44"/>
          <w:highlight w:val="none"/>
        </w:rPr>
      </w:pPr>
    </w:p>
    <w:p w14:paraId="32669118">
      <w:pPr>
        <w:pStyle w:val="8"/>
        <w:ind w:firstLine="0"/>
        <w:rPr>
          <w:rFonts w:hint="eastAsia" w:ascii="宋体" w:hAnsi="宋体" w:eastAsia="宋体" w:cs="宋体"/>
          <w:b/>
          <w:color w:val="auto"/>
          <w:sz w:val="44"/>
          <w:szCs w:val="44"/>
          <w:highlight w:val="none"/>
        </w:rPr>
      </w:pPr>
    </w:p>
    <w:p w14:paraId="064BB87D">
      <w:pPr>
        <w:pStyle w:val="8"/>
        <w:ind w:firstLine="0"/>
        <w:rPr>
          <w:rFonts w:hint="eastAsia" w:ascii="宋体" w:hAnsi="宋体" w:eastAsia="宋体" w:cs="宋体"/>
          <w:b/>
          <w:color w:val="auto"/>
          <w:sz w:val="44"/>
          <w:szCs w:val="44"/>
          <w:highlight w:val="none"/>
        </w:rPr>
      </w:pPr>
    </w:p>
    <w:p w14:paraId="7E056F0C">
      <w:pPr>
        <w:pStyle w:val="8"/>
        <w:ind w:firstLine="0"/>
        <w:rPr>
          <w:rFonts w:hint="eastAsia" w:ascii="宋体" w:hAnsi="宋体" w:eastAsia="宋体" w:cs="宋体"/>
          <w:b/>
          <w:color w:val="auto"/>
          <w:sz w:val="44"/>
          <w:szCs w:val="44"/>
          <w:highlight w:val="none"/>
        </w:rPr>
      </w:pPr>
    </w:p>
    <w:p w14:paraId="408FD868">
      <w:pPr>
        <w:pStyle w:val="8"/>
        <w:ind w:firstLine="0"/>
        <w:rPr>
          <w:rFonts w:hint="eastAsia" w:ascii="宋体" w:hAnsi="宋体" w:eastAsia="宋体" w:cs="宋体"/>
          <w:b/>
          <w:color w:val="auto"/>
          <w:sz w:val="44"/>
          <w:szCs w:val="44"/>
          <w:highlight w:val="none"/>
        </w:rPr>
      </w:pPr>
    </w:p>
    <w:p w14:paraId="0FBEBFC3">
      <w:pPr>
        <w:rPr>
          <w:rFonts w:hint="eastAsia" w:ascii="宋体" w:hAnsi="宋体" w:eastAsia="宋体" w:cs="宋体"/>
          <w:color w:val="auto"/>
          <w:highlight w:val="none"/>
        </w:rPr>
      </w:pPr>
    </w:p>
    <w:sectPr>
      <w:headerReference r:id="rId3" w:type="default"/>
      <w:footerReference r:id="rId4" w:type="default"/>
      <w:pgSz w:w="11906" w:h="16838"/>
      <w:pgMar w:top="1417" w:right="1361" w:bottom="1247"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2D785">
    <w:pPr>
      <w:pStyle w:val="1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65FE2038">
                          <w:pPr>
                            <w:pStyle w:val="17"/>
                            <w:jc w:val="center"/>
                          </w:pPr>
                          <w:r>
                            <w:fldChar w:fldCharType="begin"/>
                          </w:r>
                          <w:r>
                            <w:instrText xml:space="preserve">PAGE   \* MERGEFORMAT</w:instrText>
                          </w:r>
                          <w:r>
                            <w:fldChar w:fldCharType="separate"/>
                          </w:r>
                          <w:r>
                            <w:rPr>
                              <w:lang w:val="zh-CN"/>
                            </w:rPr>
                            <w:t>22</w:t>
                          </w:r>
                          <w:r>
                            <w:fldChar w:fldCharType="end"/>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pgkvTAAAABQEAAA8AAAAAAAAAAQAgAAAAIgAA&#10;AGRycy9kb3ducmV2LnhtbFBLAQIUABQAAAAIAIdO4kBkEvPa1AEAAKUDAAAOAAAAAAAAAAEAIAAA&#10;ACIBAABkcnMvZTJvRG9jLnhtbFBLBQYAAAAABgAGAFkBAABoBQAAAAA=&#10;">
              <v:fill on="f" focussize="0,0"/>
              <v:stroke on="f" weight="1.25pt"/>
              <v:imagedata o:title=""/>
              <o:lock v:ext="edit" aspectratio="f"/>
              <v:textbox inset="0mm,0mm,0mm,0mm" style="mso-fit-shape-to-text:t;">
                <w:txbxContent>
                  <w:p w14:paraId="65FE2038">
                    <w:pPr>
                      <w:pStyle w:val="17"/>
                      <w:jc w:val="center"/>
                    </w:pPr>
                    <w:r>
                      <w:fldChar w:fldCharType="begin"/>
                    </w:r>
                    <w:r>
                      <w:instrText xml:space="preserve">PAGE   \* MERGEFORMAT</w:instrText>
                    </w:r>
                    <w:r>
                      <w:fldChar w:fldCharType="separate"/>
                    </w:r>
                    <w:r>
                      <w:rPr>
                        <w:lang w:val="zh-CN"/>
                      </w:rPr>
                      <w:t>22</w:t>
                    </w:r>
                    <w:r>
                      <w:fldChar w:fldCharType="end"/>
                    </w:r>
                  </w:p>
                </w:txbxContent>
              </v:textbox>
            </v:shape>
          </w:pict>
        </mc:Fallback>
      </mc:AlternateContent>
    </w:r>
  </w:p>
  <w:p w14:paraId="1777D68D">
    <w:pPr>
      <w:pStyle w:val="1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83AA6">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5F024BA1"/>
    <w:multiLevelType w:val="singleLevel"/>
    <w:tmpl w:val="5F024BA1"/>
    <w:lvl w:ilvl="0" w:tentative="0">
      <w:start w:val="4"/>
      <w:numFmt w:val="chineseCounting"/>
      <w:suff w:val="nothing"/>
      <w:lvlText w:val="（%1）"/>
      <w:lvlJc w:val="left"/>
      <w:rPr>
        <w:rFonts w:hint="eastAsia"/>
      </w:rPr>
    </w:lvl>
  </w:abstractNum>
  <w:num w:numId="1">
    <w:abstractNumId w:val="0"/>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cyNWZjZDU0YWRhYTcyOTQ0YjE0OWU0M2UzZjQ4YWUifQ=="/>
  </w:docVars>
  <w:rsids>
    <w:rsidRoot w:val="5644380B"/>
    <w:rsid w:val="002D2D0D"/>
    <w:rsid w:val="006C1E03"/>
    <w:rsid w:val="008141E5"/>
    <w:rsid w:val="00E108E6"/>
    <w:rsid w:val="00E269E6"/>
    <w:rsid w:val="00EC5C36"/>
    <w:rsid w:val="01687703"/>
    <w:rsid w:val="018067FB"/>
    <w:rsid w:val="01A756A8"/>
    <w:rsid w:val="01CC7C92"/>
    <w:rsid w:val="01E3718B"/>
    <w:rsid w:val="02036841"/>
    <w:rsid w:val="022C686B"/>
    <w:rsid w:val="02A76009"/>
    <w:rsid w:val="03AE1751"/>
    <w:rsid w:val="03B1713F"/>
    <w:rsid w:val="042544E8"/>
    <w:rsid w:val="04363AE8"/>
    <w:rsid w:val="04C24726"/>
    <w:rsid w:val="04D3720E"/>
    <w:rsid w:val="050553B0"/>
    <w:rsid w:val="052A0446"/>
    <w:rsid w:val="05EA06E6"/>
    <w:rsid w:val="0648365F"/>
    <w:rsid w:val="06AF3BB6"/>
    <w:rsid w:val="06B807E5"/>
    <w:rsid w:val="073B427C"/>
    <w:rsid w:val="07506EDE"/>
    <w:rsid w:val="07B94814"/>
    <w:rsid w:val="07C51949"/>
    <w:rsid w:val="085D5AE7"/>
    <w:rsid w:val="085D6A61"/>
    <w:rsid w:val="08EB4EA1"/>
    <w:rsid w:val="08FC4CC2"/>
    <w:rsid w:val="09076AFB"/>
    <w:rsid w:val="091F2D9D"/>
    <w:rsid w:val="0923786E"/>
    <w:rsid w:val="09410F65"/>
    <w:rsid w:val="0947404D"/>
    <w:rsid w:val="094E3682"/>
    <w:rsid w:val="095F3DCD"/>
    <w:rsid w:val="0966617B"/>
    <w:rsid w:val="09C725F8"/>
    <w:rsid w:val="0A12645E"/>
    <w:rsid w:val="0A1D552E"/>
    <w:rsid w:val="0A492694"/>
    <w:rsid w:val="0A7E0D84"/>
    <w:rsid w:val="0A7F557A"/>
    <w:rsid w:val="0A8F5D00"/>
    <w:rsid w:val="0A943317"/>
    <w:rsid w:val="0AD007F3"/>
    <w:rsid w:val="0AF813D6"/>
    <w:rsid w:val="0B030359"/>
    <w:rsid w:val="0B310B66"/>
    <w:rsid w:val="0B5A6F9A"/>
    <w:rsid w:val="0B781821"/>
    <w:rsid w:val="0BD83A88"/>
    <w:rsid w:val="0D4F3654"/>
    <w:rsid w:val="0DF06C33"/>
    <w:rsid w:val="0E034A3B"/>
    <w:rsid w:val="0E082052"/>
    <w:rsid w:val="0E2715CC"/>
    <w:rsid w:val="0F3D6564"/>
    <w:rsid w:val="10086339"/>
    <w:rsid w:val="10D12BCF"/>
    <w:rsid w:val="11267CCD"/>
    <w:rsid w:val="12183B00"/>
    <w:rsid w:val="13121659"/>
    <w:rsid w:val="13573133"/>
    <w:rsid w:val="13DB3D64"/>
    <w:rsid w:val="141D30E1"/>
    <w:rsid w:val="14700951"/>
    <w:rsid w:val="15412E83"/>
    <w:rsid w:val="158A77F0"/>
    <w:rsid w:val="163712CE"/>
    <w:rsid w:val="16895CFA"/>
    <w:rsid w:val="17D55FD6"/>
    <w:rsid w:val="1830052D"/>
    <w:rsid w:val="18CC649C"/>
    <w:rsid w:val="190A3122"/>
    <w:rsid w:val="1A5A3C35"/>
    <w:rsid w:val="1A5F2FF9"/>
    <w:rsid w:val="1A8962C8"/>
    <w:rsid w:val="1A8E7D82"/>
    <w:rsid w:val="1AD82DAC"/>
    <w:rsid w:val="1B0D08CA"/>
    <w:rsid w:val="1B255CC6"/>
    <w:rsid w:val="1B297EE8"/>
    <w:rsid w:val="1BB11F7A"/>
    <w:rsid w:val="1BDE6017"/>
    <w:rsid w:val="1CC932F4"/>
    <w:rsid w:val="1CD87093"/>
    <w:rsid w:val="1D0B60A3"/>
    <w:rsid w:val="1D526E45"/>
    <w:rsid w:val="1D686669"/>
    <w:rsid w:val="1D6B6159"/>
    <w:rsid w:val="1DD7559C"/>
    <w:rsid w:val="1DEA4C97"/>
    <w:rsid w:val="1DF6779F"/>
    <w:rsid w:val="1E0D5462"/>
    <w:rsid w:val="1E1B192D"/>
    <w:rsid w:val="1E9B4E7E"/>
    <w:rsid w:val="1ED8781E"/>
    <w:rsid w:val="1F1F08B8"/>
    <w:rsid w:val="1F226D09"/>
    <w:rsid w:val="1F9A0F77"/>
    <w:rsid w:val="1FE81D54"/>
    <w:rsid w:val="1FFE32B4"/>
    <w:rsid w:val="202645B9"/>
    <w:rsid w:val="20631369"/>
    <w:rsid w:val="20E92EC4"/>
    <w:rsid w:val="211C2E95"/>
    <w:rsid w:val="21A8172A"/>
    <w:rsid w:val="21CF4520"/>
    <w:rsid w:val="21D47CAD"/>
    <w:rsid w:val="21E85FCA"/>
    <w:rsid w:val="21E87D78"/>
    <w:rsid w:val="223D245C"/>
    <w:rsid w:val="227D2BB6"/>
    <w:rsid w:val="229E0BE9"/>
    <w:rsid w:val="22E410DC"/>
    <w:rsid w:val="23455C29"/>
    <w:rsid w:val="234E4553"/>
    <w:rsid w:val="23A6613D"/>
    <w:rsid w:val="249F6D4A"/>
    <w:rsid w:val="24A60C12"/>
    <w:rsid w:val="24B65F0C"/>
    <w:rsid w:val="2503311B"/>
    <w:rsid w:val="256241A8"/>
    <w:rsid w:val="259049AF"/>
    <w:rsid w:val="259F2E44"/>
    <w:rsid w:val="25AD66DB"/>
    <w:rsid w:val="25BF3437"/>
    <w:rsid w:val="25D16D75"/>
    <w:rsid w:val="25E4393A"/>
    <w:rsid w:val="25FA62CC"/>
    <w:rsid w:val="263C17DC"/>
    <w:rsid w:val="26435EC5"/>
    <w:rsid w:val="267C3185"/>
    <w:rsid w:val="270311B0"/>
    <w:rsid w:val="27932534"/>
    <w:rsid w:val="27A42993"/>
    <w:rsid w:val="28025865"/>
    <w:rsid w:val="285C501C"/>
    <w:rsid w:val="28996270"/>
    <w:rsid w:val="28C17575"/>
    <w:rsid w:val="28C57065"/>
    <w:rsid w:val="28D13BA0"/>
    <w:rsid w:val="292C0028"/>
    <w:rsid w:val="29A97D75"/>
    <w:rsid w:val="2A4D14B0"/>
    <w:rsid w:val="2AC84BEB"/>
    <w:rsid w:val="2AE639DB"/>
    <w:rsid w:val="2B8F74B6"/>
    <w:rsid w:val="2B9E451E"/>
    <w:rsid w:val="2C2C11A9"/>
    <w:rsid w:val="2C4B4487"/>
    <w:rsid w:val="2C4D3E97"/>
    <w:rsid w:val="2C5B55EB"/>
    <w:rsid w:val="2C7D1A05"/>
    <w:rsid w:val="2CA34D98"/>
    <w:rsid w:val="2CEF6196"/>
    <w:rsid w:val="2CF577ED"/>
    <w:rsid w:val="2D02408D"/>
    <w:rsid w:val="2D0A3299"/>
    <w:rsid w:val="2D1549EA"/>
    <w:rsid w:val="2D404F0C"/>
    <w:rsid w:val="2D4A6080"/>
    <w:rsid w:val="2D6A1F89"/>
    <w:rsid w:val="2DB63420"/>
    <w:rsid w:val="2DB80AEA"/>
    <w:rsid w:val="2E2C36E3"/>
    <w:rsid w:val="2EAD53C5"/>
    <w:rsid w:val="2F034443"/>
    <w:rsid w:val="2F2148C9"/>
    <w:rsid w:val="2F26688E"/>
    <w:rsid w:val="2FDF3E47"/>
    <w:rsid w:val="300C5C28"/>
    <w:rsid w:val="302208F9"/>
    <w:rsid w:val="30901D07"/>
    <w:rsid w:val="309C1130"/>
    <w:rsid w:val="309F1474"/>
    <w:rsid w:val="31342FDA"/>
    <w:rsid w:val="31435B14"/>
    <w:rsid w:val="31573762"/>
    <w:rsid w:val="316025BD"/>
    <w:rsid w:val="317C1A50"/>
    <w:rsid w:val="32A01FA9"/>
    <w:rsid w:val="33290B85"/>
    <w:rsid w:val="334634FA"/>
    <w:rsid w:val="334B63B9"/>
    <w:rsid w:val="337F7D03"/>
    <w:rsid w:val="340464BF"/>
    <w:rsid w:val="342C61EA"/>
    <w:rsid w:val="345070CF"/>
    <w:rsid w:val="3482405C"/>
    <w:rsid w:val="34CB184F"/>
    <w:rsid w:val="357D4824"/>
    <w:rsid w:val="360B1E2F"/>
    <w:rsid w:val="36203B2D"/>
    <w:rsid w:val="3633400B"/>
    <w:rsid w:val="36C344B8"/>
    <w:rsid w:val="371A1DE9"/>
    <w:rsid w:val="37A91900"/>
    <w:rsid w:val="37CA21FC"/>
    <w:rsid w:val="38367638"/>
    <w:rsid w:val="38563836"/>
    <w:rsid w:val="3894728D"/>
    <w:rsid w:val="389D1465"/>
    <w:rsid w:val="39433EB1"/>
    <w:rsid w:val="397E7D6B"/>
    <w:rsid w:val="39A439E7"/>
    <w:rsid w:val="3A0260C4"/>
    <w:rsid w:val="3A163157"/>
    <w:rsid w:val="3B54248D"/>
    <w:rsid w:val="3BF05D4F"/>
    <w:rsid w:val="3C014492"/>
    <w:rsid w:val="3C282C7E"/>
    <w:rsid w:val="3CDA6901"/>
    <w:rsid w:val="3D2947EC"/>
    <w:rsid w:val="3D89020A"/>
    <w:rsid w:val="3E210442"/>
    <w:rsid w:val="3E6746A0"/>
    <w:rsid w:val="3F0A056F"/>
    <w:rsid w:val="3F656A54"/>
    <w:rsid w:val="3FF61CEF"/>
    <w:rsid w:val="40145235"/>
    <w:rsid w:val="40662FF2"/>
    <w:rsid w:val="414D77A0"/>
    <w:rsid w:val="415E19AD"/>
    <w:rsid w:val="41CE6B33"/>
    <w:rsid w:val="420378EC"/>
    <w:rsid w:val="422F6EA6"/>
    <w:rsid w:val="427174BE"/>
    <w:rsid w:val="427E5E44"/>
    <w:rsid w:val="429926C2"/>
    <w:rsid w:val="43107404"/>
    <w:rsid w:val="433B4264"/>
    <w:rsid w:val="43507344"/>
    <w:rsid w:val="437159C8"/>
    <w:rsid w:val="43D441A9"/>
    <w:rsid w:val="44255D38"/>
    <w:rsid w:val="44835557"/>
    <w:rsid w:val="44D868B3"/>
    <w:rsid w:val="45490F75"/>
    <w:rsid w:val="457C2402"/>
    <w:rsid w:val="459E3CDB"/>
    <w:rsid w:val="45E16709"/>
    <w:rsid w:val="4663559F"/>
    <w:rsid w:val="46E22739"/>
    <w:rsid w:val="474E7DCE"/>
    <w:rsid w:val="474F4272"/>
    <w:rsid w:val="481779A7"/>
    <w:rsid w:val="487815A6"/>
    <w:rsid w:val="48BD54D2"/>
    <w:rsid w:val="48C91E02"/>
    <w:rsid w:val="48DF5182"/>
    <w:rsid w:val="494477D2"/>
    <w:rsid w:val="49994D4E"/>
    <w:rsid w:val="4A7F2538"/>
    <w:rsid w:val="4A9401EE"/>
    <w:rsid w:val="4B1650A7"/>
    <w:rsid w:val="4B1B26BD"/>
    <w:rsid w:val="4BCC7DC4"/>
    <w:rsid w:val="4BDF01D5"/>
    <w:rsid w:val="4BF36DA3"/>
    <w:rsid w:val="4C0D2006"/>
    <w:rsid w:val="4C716622"/>
    <w:rsid w:val="4D652511"/>
    <w:rsid w:val="4DC96400"/>
    <w:rsid w:val="4E240F03"/>
    <w:rsid w:val="4EC26BAC"/>
    <w:rsid w:val="4ECA7A00"/>
    <w:rsid w:val="4EDE7C89"/>
    <w:rsid w:val="4F05790C"/>
    <w:rsid w:val="4F264E0D"/>
    <w:rsid w:val="4FD95020"/>
    <w:rsid w:val="50354221"/>
    <w:rsid w:val="5076286F"/>
    <w:rsid w:val="50915F48"/>
    <w:rsid w:val="50D95CA1"/>
    <w:rsid w:val="51225374"/>
    <w:rsid w:val="51352640"/>
    <w:rsid w:val="515626A1"/>
    <w:rsid w:val="51F32EB2"/>
    <w:rsid w:val="52271947"/>
    <w:rsid w:val="53FB3CD3"/>
    <w:rsid w:val="541C5466"/>
    <w:rsid w:val="5473521E"/>
    <w:rsid w:val="54FE4BE1"/>
    <w:rsid w:val="553839C5"/>
    <w:rsid w:val="553967FE"/>
    <w:rsid w:val="5644380B"/>
    <w:rsid w:val="56E23696"/>
    <w:rsid w:val="57967CD6"/>
    <w:rsid w:val="57A36E05"/>
    <w:rsid w:val="58F24222"/>
    <w:rsid w:val="5974452F"/>
    <w:rsid w:val="598C3104"/>
    <w:rsid w:val="59D8699C"/>
    <w:rsid w:val="59E80335"/>
    <w:rsid w:val="5A985AD8"/>
    <w:rsid w:val="5AB26B9A"/>
    <w:rsid w:val="5B211EEF"/>
    <w:rsid w:val="5BE20108"/>
    <w:rsid w:val="5CA9203C"/>
    <w:rsid w:val="5D005803"/>
    <w:rsid w:val="5D7131B7"/>
    <w:rsid w:val="5DED1C97"/>
    <w:rsid w:val="5DF66D9E"/>
    <w:rsid w:val="5DFE3EA4"/>
    <w:rsid w:val="5E2D6537"/>
    <w:rsid w:val="5EC4038A"/>
    <w:rsid w:val="5EC47207"/>
    <w:rsid w:val="5F054707"/>
    <w:rsid w:val="5F775CBC"/>
    <w:rsid w:val="5F904FD0"/>
    <w:rsid w:val="5FB46F10"/>
    <w:rsid w:val="603B5090"/>
    <w:rsid w:val="607D37A6"/>
    <w:rsid w:val="61DA1D19"/>
    <w:rsid w:val="620F48D2"/>
    <w:rsid w:val="621F18BD"/>
    <w:rsid w:val="628801E0"/>
    <w:rsid w:val="62EA0E9B"/>
    <w:rsid w:val="63075B03"/>
    <w:rsid w:val="641E0DFC"/>
    <w:rsid w:val="64300B2F"/>
    <w:rsid w:val="64502F80"/>
    <w:rsid w:val="645061D9"/>
    <w:rsid w:val="64746C6E"/>
    <w:rsid w:val="64D54FB3"/>
    <w:rsid w:val="64E92B16"/>
    <w:rsid w:val="64F708CD"/>
    <w:rsid w:val="665925BF"/>
    <w:rsid w:val="66902F2B"/>
    <w:rsid w:val="66DE2AC5"/>
    <w:rsid w:val="672F1572"/>
    <w:rsid w:val="67532E54"/>
    <w:rsid w:val="67874F0A"/>
    <w:rsid w:val="67BB4BB4"/>
    <w:rsid w:val="67CE0F29"/>
    <w:rsid w:val="67D63F0D"/>
    <w:rsid w:val="67F02AB0"/>
    <w:rsid w:val="684A6664"/>
    <w:rsid w:val="695521E1"/>
    <w:rsid w:val="69712788"/>
    <w:rsid w:val="69DA1FAA"/>
    <w:rsid w:val="6A1B4D7D"/>
    <w:rsid w:val="6A8B4699"/>
    <w:rsid w:val="6A9242F2"/>
    <w:rsid w:val="6B275BCB"/>
    <w:rsid w:val="6B3E5EF0"/>
    <w:rsid w:val="6C172D01"/>
    <w:rsid w:val="6C5F3041"/>
    <w:rsid w:val="6CA20A02"/>
    <w:rsid w:val="6CAB3449"/>
    <w:rsid w:val="6CB95B66"/>
    <w:rsid w:val="6CEB7CE9"/>
    <w:rsid w:val="6D0A2A2E"/>
    <w:rsid w:val="6D125276"/>
    <w:rsid w:val="6DF21148"/>
    <w:rsid w:val="6E672882"/>
    <w:rsid w:val="6ECE4E07"/>
    <w:rsid w:val="6F094457"/>
    <w:rsid w:val="6F0F344F"/>
    <w:rsid w:val="6F152DFC"/>
    <w:rsid w:val="6F72584C"/>
    <w:rsid w:val="6FD04172"/>
    <w:rsid w:val="70121BA2"/>
    <w:rsid w:val="702929B5"/>
    <w:rsid w:val="7080699B"/>
    <w:rsid w:val="708C747A"/>
    <w:rsid w:val="70C96594"/>
    <w:rsid w:val="72FC1840"/>
    <w:rsid w:val="731A5A1C"/>
    <w:rsid w:val="73CC2623"/>
    <w:rsid w:val="73DF1CB5"/>
    <w:rsid w:val="753F6E24"/>
    <w:rsid w:val="755725BC"/>
    <w:rsid w:val="75A34C7F"/>
    <w:rsid w:val="75D07B65"/>
    <w:rsid w:val="768F400E"/>
    <w:rsid w:val="77296CED"/>
    <w:rsid w:val="77297D8C"/>
    <w:rsid w:val="77F51A1C"/>
    <w:rsid w:val="78300CA6"/>
    <w:rsid w:val="78402DAA"/>
    <w:rsid w:val="78715547"/>
    <w:rsid w:val="78873EA4"/>
    <w:rsid w:val="78EA52F9"/>
    <w:rsid w:val="78ED2D0F"/>
    <w:rsid w:val="792A317F"/>
    <w:rsid w:val="79873723"/>
    <w:rsid w:val="79BD47BC"/>
    <w:rsid w:val="7A147FA9"/>
    <w:rsid w:val="7A2605B3"/>
    <w:rsid w:val="7A7636C2"/>
    <w:rsid w:val="7A9C0875"/>
    <w:rsid w:val="7AD056D3"/>
    <w:rsid w:val="7AD24297"/>
    <w:rsid w:val="7B087CB8"/>
    <w:rsid w:val="7B112A3A"/>
    <w:rsid w:val="7BB57E40"/>
    <w:rsid w:val="7BC2430B"/>
    <w:rsid w:val="7C516FE2"/>
    <w:rsid w:val="7C5F7DAC"/>
    <w:rsid w:val="7C6529AE"/>
    <w:rsid w:val="7CA80B58"/>
    <w:rsid w:val="7D512D9B"/>
    <w:rsid w:val="7DB345E5"/>
    <w:rsid w:val="7DC95FE5"/>
    <w:rsid w:val="7DD314DE"/>
    <w:rsid w:val="7DDF2C1D"/>
    <w:rsid w:val="7DE36933"/>
    <w:rsid w:val="7E4F73F4"/>
    <w:rsid w:val="7E536FC3"/>
    <w:rsid w:val="7E5E2182"/>
    <w:rsid w:val="7E7C69F3"/>
    <w:rsid w:val="7EE03426"/>
    <w:rsid w:val="7EF7251E"/>
    <w:rsid w:val="7F08297D"/>
    <w:rsid w:val="7F3B240A"/>
    <w:rsid w:val="7F4B41A6"/>
    <w:rsid w:val="7F701B09"/>
    <w:rsid w:val="7F8139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qFormat="1" w:uiPriority="99"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qFormat/>
    <w:uiPriority w:val="0"/>
    <w:pPr>
      <w:keepNext/>
      <w:outlineLvl w:val="0"/>
    </w:pPr>
    <w:rPr>
      <w:sz w:val="30"/>
    </w:rPr>
  </w:style>
  <w:style w:type="paragraph" w:styleId="5">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6">
    <w:name w:val="heading 4"/>
    <w:basedOn w:val="1"/>
    <w:next w:val="1"/>
    <w:unhideWhenUsed/>
    <w:qFormat/>
    <w:uiPriority w:val="9"/>
    <w:pPr>
      <w:keepNext/>
      <w:keepLines/>
      <w:spacing w:before="120" w:after="120" w:line="300" w:lineRule="auto"/>
      <w:ind w:firstLine="200" w:firstLineChars="200"/>
      <w:outlineLvl w:val="3"/>
    </w:pPr>
    <w:rPr>
      <w:rFonts w:ascii="Cambria" w:hAnsi="Cambria"/>
      <w:bCs/>
      <w:sz w:val="24"/>
      <w:szCs w:val="28"/>
    </w:rPr>
  </w:style>
  <w:style w:type="character" w:default="1" w:styleId="24">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customStyle="1" w:styleId="2">
    <w:name w:val="信息标题1"/>
    <w:basedOn w:val="1"/>
    <w:next w:val="3"/>
    <w:qFormat/>
    <w:uiPriority w:val="99"/>
    <w:pPr>
      <w:pBdr>
        <w:top w:val="none" w:color="000000" w:sz="0" w:space="1"/>
        <w:left w:val="none" w:color="000000" w:sz="0" w:space="1"/>
        <w:bottom w:val="none" w:color="000000" w:sz="0" w:space="1"/>
        <w:right w:val="none" w:color="000000" w:sz="0" w:space="1"/>
      </w:pBdr>
      <w:shd w:val="pct20" w:color="auto" w:fill="auto"/>
    </w:pPr>
    <w:rPr>
      <w:rFonts w:ascii="华文细黑" w:hAnsi="华文细黑"/>
      <w:color w:val="000000"/>
    </w:rPr>
  </w:style>
  <w:style w:type="paragraph" w:customStyle="1" w:styleId="3">
    <w:name w:val="正文文本1"/>
    <w:basedOn w:val="1"/>
    <w:next w:val="1"/>
    <w:qFormat/>
    <w:uiPriority w:val="0"/>
    <w:rPr>
      <w:rFonts w:ascii="楷体_GB2312" w:hAnsi="Arial" w:eastAsia="楷体_GB2312"/>
      <w:sz w:val="28"/>
      <w:szCs w:val="28"/>
    </w:rPr>
  </w:style>
  <w:style w:type="paragraph" w:styleId="7">
    <w:name w:val="toc 7"/>
    <w:basedOn w:val="1"/>
    <w:next w:val="1"/>
    <w:qFormat/>
    <w:uiPriority w:val="0"/>
    <w:pPr>
      <w:ind w:left="2520"/>
    </w:pPr>
  </w:style>
  <w:style w:type="paragraph" w:styleId="8">
    <w:name w:val="Normal Indent"/>
    <w:basedOn w:val="1"/>
    <w:qFormat/>
    <w:uiPriority w:val="0"/>
    <w:pPr>
      <w:ind w:firstLine="420"/>
    </w:pPr>
  </w:style>
  <w:style w:type="paragraph" w:styleId="9">
    <w:name w:val="annotation text"/>
    <w:basedOn w:val="1"/>
    <w:qFormat/>
    <w:uiPriority w:val="0"/>
    <w:pPr>
      <w:jc w:val="left"/>
    </w:pPr>
    <w:rPr>
      <w:sz w:val="22"/>
      <w:lang w:eastAsia="en-US"/>
    </w:rPr>
  </w:style>
  <w:style w:type="paragraph" w:styleId="10">
    <w:name w:val="Body Text"/>
    <w:basedOn w:val="1"/>
    <w:next w:val="11"/>
    <w:qFormat/>
    <w:uiPriority w:val="99"/>
    <w:pPr>
      <w:spacing w:after="120"/>
    </w:pPr>
  </w:style>
  <w:style w:type="paragraph" w:styleId="11">
    <w:name w:val="Body Text 2"/>
    <w:basedOn w:val="1"/>
    <w:qFormat/>
    <w:uiPriority w:val="99"/>
    <w:rPr>
      <w:rFonts w:eastAsia="仿宋_GB2312"/>
      <w:color w:val="000000"/>
    </w:rPr>
  </w:style>
  <w:style w:type="paragraph" w:styleId="12">
    <w:name w:val="Body Text Indent"/>
    <w:basedOn w:val="1"/>
    <w:next w:val="13"/>
    <w:qFormat/>
    <w:uiPriority w:val="0"/>
    <w:pPr>
      <w:spacing w:line="500" w:lineRule="exact"/>
      <w:ind w:left="1050"/>
    </w:pPr>
    <w:rPr>
      <w:rFonts w:ascii="仿宋_GB2312" w:eastAsia="仿宋_GB2312"/>
      <w:sz w:val="28"/>
    </w:rPr>
  </w:style>
  <w:style w:type="paragraph" w:styleId="13">
    <w:name w:val="envelope return"/>
    <w:basedOn w:val="1"/>
    <w:unhideWhenUsed/>
    <w:qFormat/>
    <w:uiPriority w:val="99"/>
    <w:rPr>
      <w:rFonts w:ascii="Arial" w:hAnsi="Arial" w:cs="Arial"/>
    </w:rPr>
  </w:style>
  <w:style w:type="paragraph" w:styleId="14">
    <w:name w:val="index 4"/>
    <w:basedOn w:val="1"/>
    <w:next w:val="1"/>
    <w:semiHidden/>
    <w:qFormat/>
    <w:uiPriority w:val="0"/>
    <w:pPr>
      <w:ind w:left="1260"/>
    </w:pPr>
  </w:style>
  <w:style w:type="paragraph" w:styleId="15">
    <w:name w:val="Plain Text"/>
    <w:basedOn w:val="1"/>
    <w:next w:val="8"/>
    <w:qFormat/>
    <w:uiPriority w:val="0"/>
    <w:rPr>
      <w:rFonts w:ascii="宋体" w:hAnsi="Courier New"/>
    </w:rPr>
  </w:style>
  <w:style w:type="paragraph" w:styleId="16">
    <w:name w:val="Date"/>
    <w:basedOn w:val="1"/>
    <w:next w:val="1"/>
    <w:qFormat/>
    <w:uiPriority w:val="0"/>
  </w:style>
  <w:style w:type="paragraph" w:styleId="17">
    <w:name w:val="footer"/>
    <w:basedOn w:val="1"/>
    <w:qFormat/>
    <w:uiPriority w:val="99"/>
    <w:pPr>
      <w:tabs>
        <w:tab w:val="center" w:pos="4153"/>
        <w:tab w:val="right" w:pos="8306"/>
      </w:tabs>
      <w:jc w:val="left"/>
    </w:pPr>
    <w:rPr>
      <w:sz w:val="18"/>
      <w:szCs w:val="18"/>
    </w:rPr>
  </w:style>
  <w:style w:type="paragraph" w:styleId="18">
    <w:name w:val="header"/>
    <w:basedOn w:val="1"/>
    <w:qFormat/>
    <w:uiPriority w:val="99"/>
    <w:pPr>
      <w:pBdr>
        <w:bottom w:val="single" w:color="auto" w:sz="6" w:space="1"/>
      </w:pBdr>
      <w:tabs>
        <w:tab w:val="center" w:pos="4153"/>
        <w:tab w:val="right" w:pos="8306"/>
      </w:tabs>
      <w:jc w:val="center"/>
    </w:pPr>
    <w:rPr>
      <w:sz w:val="18"/>
      <w:szCs w:val="18"/>
    </w:rPr>
  </w:style>
  <w:style w:type="paragraph" w:styleId="19">
    <w:name w:val="toc 1"/>
    <w:basedOn w:val="1"/>
    <w:next w:val="1"/>
    <w:qFormat/>
    <w:uiPriority w:val="39"/>
    <w:pPr>
      <w:tabs>
        <w:tab w:val="right" w:leader="dot" w:pos="8715"/>
      </w:tabs>
      <w:spacing w:line="480" w:lineRule="auto"/>
    </w:pPr>
  </w:style>
  <w:style w:type="paragraph" w:styleId="20">
    <w:name w:val="annotation subject"/>
    <w:basedOn w:val="9"/>
    <w:next w:val="21"/>
    <w:qFormat/>
    <w:uiPriority w:val="0"/>
    <w:rPr>
      <w:b/>
      <w:bCs/>
      <w:sz w:val="21"/>
    </w:rPr>
  </w:style>
  <w:style w:type="paragraph" w:customStyle="1" w:styleId="21">
    <w:name w:val="Plain Text1"/>
    <w:basedOn w:val="1"/>
    <w:next w:val="7"/>
    <w:qFormat/>
    <w:uiPriority w:val="0"/>
    <w:pPr>
      <w:spacing w:line="360" w:lineRule="auto"/>
      <w:ind w:firstLine="3584"/>
    </w:pPr>
  </w:style>
  <w:style w:type="paragraph" w:styleId="22">
    <w:name w:val="Body Text First Indent"/>
    <w:basedOn w:val="10"/>
    <w:qFormat/>
    <w:uiPriority w:val="0"/>
    <w:pPr>
      <w:ind w:firstLine="420"/>
    </w:pPr>
    <w:rPr>
      <w:rFonts w:ascii="Verdana" w:hAnsi="Verdana"/>
      <w:szCs w:val="28"/>
      <w:lang w:eastAsia="en-US"/>
    </w:rPr>
  </w:style>
  <w:style w:type="character" w:styleId="25">
    <w:name w:val="page number"/>
    <w:basedOn w:val="24"/>
    <w:qFormat/>
    <w:uiPriority w:val="0"/>
  </w:style>
  <w:style w:type="character" w:styleId="26">
    <w:name w:val="HTML Typewriter"/>
    <w:unhideWhenUsed/>
    <w:qFormat/>
    <w:uiPriority w:val="99"/>
    <w:rPr>
      <w:rFonts w:hint="eastAsia" w:ascii="宋体" w:hAnsi="宋体" w:eastAsia="宋体" w:cs="宋体"/>
      <w:sz w:val="24"/>
      <w:szCs w:val="24"/>
    </w:rPr>
  </w:style>
  <w:style w:type="character" w:styleId="27">
    <w:name w:val="Hyperlink"/>
    <w:qFormat/>
    <w:uiPriority w:val="99"/>
    <w:rPr>
      <w:rFonts w:hint="eastAsia" w:ascii="宋体" w:hAnsi="宋体" w:eastAsia="宋体" w:cs="宋体"/>
      <w:color w:val="3D3D3D"/>
      <w:u w:val="none"/>
    </w:rPr>
  </w:style>
  <w:style w:type="paragraph" w:customStyle="1" w:styleId="28">
    <w:name w:val="正文zw"/>
    <w:basedOn w:val="1"/>
    <w:qFormat/>
    <w:uiPriority w:val="0"/>
    <w:pPr>
      <w:spacing w:line="360" w:lineRule="auto"/>
      <w:ind w:left="420" w:firstLine="420"/>
    </w:pPr>
    <w:rPr>
      <w:rFonts w:hint="eastAsia" w:ascii="宋体" w:hAnsi="宋体"/>
      <w:sz w:val="28"/>
      <w:szCs w:val="28"/>
    </w:rPr>
  </w:style>
  <w:style w:type="paragraph" w:customStyle="1" w:styleId="29">
    <w:name w:val="列出段落1"/>
    <w:basedOn w:val="1"/>
    <w:qFormat/>
    <w:uiPriority w:val="34"/>
    <w:pPr>
      <w:ind w:firstLine="420"/>
    </w:pPr>
    <w:rPr>
      <w:rFonts w:ascii="Calibri" w:hAnsi="Calibri"/>
      <w:szCs w:val="22"/>
    </w:rPr>
  </w:style>
  <w:style w:type="paragraph" w:customStyle="1" w:styleId="30">
    <w:name w:val="_Style 30"/>
    <w:basedOn w:val="1"/>
    <w:next w:val="31"/>
    <w:qFormat/>
    <w:uiPriority w:val="99"/>
    <w:pPr>
      <w:ind w:firstLine="420"/>
    </w:pPr>
    <w:rPr>
      <w:rFonts w:ascii="Calibri" w:hAnsi="Calibri"/>
      <w:szCs w:val="24"/>
    </w:rPr>
  </w:style>
  <w:style w:type="paragraph" w:styleId="31">
    <w:name w:val="List Paragraph"/>
    <w:basedOn w:val="1"/>
    <w:qFormat/>
    <w:uiPriority w:val="34"/>
    <w:pPr>
      <w:ind w:firstLine="420"/>
    </w:pPr>
  </w:style>
  <w:style w:type="paragraph" w:customStyle="1" w:styleId="32">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3">
    <w:name w:val="xl31"/>
    <w:basedOn w:val="1"/>
    <w:next w:val="22"/>
    <w:qFormat/>
    <w:uiPriority w:val="0"/>
    <w:pPr>
      <w:widowControl/>
      <w:spacing w:before="280" w:after="280"/>
      <w:ind w:firstLine="3584"/>
    </w:pPr>
  </w:style>
  <w:style w:type="paragraph" w:customStyle="1" w:styleId="34">
    <w:name w:val="标题 11"/>
    <w:basedOn w:val="1"/>
    <w:next w:val="1"/>
    <w:qFormat/>
    <w:uiPriority w:val="0"/>
    <w:pPr>
      <w:keepNext/>
      <w:keepLines/>
      <w:spacing w:before="340" w:after="330" w:line="578" w:lineRule="auto"/>
      <w:outlineLvl w:val="0"/>
    </w:pPr>
    <w:rPr>
      <w:b/>
      <w:sz w:val="44"/>
    </w:rPr>
  </w:style>
  <w:style w:type="paragraph" w:customStyle="1" w:styleId="35">
    <w:name w:val="纯文本1"/>
    <w:basedOn w:val="1"/>
    <w:qFormat/>
    <w:uiPriority w:val="0"/>
    <w:rPr>
      <w:rFonts w:ascii="宋体" w:hAnsi="Courier New"/>
    </w:rPr>
  </w:style>
  <w:style w:type="paragraph" w:customStyle="1" w:styleId="36">
    <w:name w:val="目录 11"/>
    <w:basedOn w:val="1"/>
    <w:next w:val="1"/>
    <w:unhideWhenUsed/>
    <w:qFormat/>
    <w:uiPriority w:val="0"/>
    <w:pPr>
      <w:jc w:val="left"/>
    </w:pPr>
    <w:rPr>
      <w:sz w:val="24"/>
    </w:rPr>
  </w:style>
  <w:style w:type="paragraph" w:customStyle="1" w:styleId="37">
    <w:name w:val="标题 21"/>
    <w:basedOn w:val="1"/>
    <w:next w:val="1"/>
    <w:qFormat/>
    <w:uiPriority w:val="0"/>
    <w:pPr>
      <w:keepNext/>
      <w:keepLines/>
      <w:spacing w:before="260" w:after="260" w:line="416" w:lineRule="auto"/>
      <w:outlineLvl w:val="1"/>
    </w:pPr>
    <w:rPr>
      <w:rFonts w:ascii="Cambria" w:hAnsi="Cambria" w:eastAsia="宋体"/>
      <w:b/>
      <w:bCs/>
      <w:sz w:val="32"/>
      <w:szCs w:val="32"/>
    </w:rPr>
  </w:style>
  <w:style w:type="character" w:customStyle="1" w:styleId="38">
    <w:name w:val="font31"/>
    <w:basedOn w:val="24"/>
    <w:qFormat/>
    <w:uiPriority w:val="0"/>
    <w:rPr>
      <w:rFonts w:hint="eastAsia" w:ascii="宋体" w:hAnsi="宋体" w:eastAsia="宋体" w:cs="宋体"/>
      <w:b/>
      <w:bCs/>
      <w:color w:val="000000"/>
      <w:sz w:val="21"/>
      <w:szCs w:val="21"/>
      <w:u w:val="none"/>
    </w:rPr>
  </w:style>
  <w:style w:type="character" w:customStyle="1" w:styleId="39">
    <w:name w:val="font41"/>
    <w:basedOn w:val="24"/>
    <w:qFormat/>
    <w:uiPriority w:val="0"/>
    <w:rPr>
      <w:rFonts w:hint="eastAsia" w:ascii="宋体" w:hAnsi="宋体" w:eastAsia="宋体" w:cs="宋体"/>
      <w:color w:val="000000"/>
      <w:sz w:val="21"/>
      <w:szCs w:val="21"/>
      <w:u w:val="none"/>
    </w:rPr>
  </w:style>
  <w:style w:type="character" w:customStyle="1" w:styleId="40">
    <w:name w:val="font21"/>
    <w:basedOn w:val="24"/>
    <w:qFormat/>
    <w:uiPriority w:val="0"/>
    <w:rPr>
      <w:rFonts w:hint="eastAsia" w:ascii="宋体" w:hAnsi="宋体" w:eastAsia="宋体" w:cs="宋体"/>
      <w:color w:val="FF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8811ee9a-b967-49a3-a0a3-fd87d8837186</errorID>
      <errorWord>《江苏省财政厅关于进一步加大政府采购支持中小企业力度的通知》</errorWord>
      <group>L1_Official</group>
      <groupName>公文问题</groupName>
      <ability>L2_Official</ability>
      <abilityName>公文问题</abilityName>
      <candidateList/>
      <explain>公文文件引用格式不规范</explain>
      <paraID>476CA241</paraID>
      <start>65</start>
      <end>95</end>
      <status>unmodified</status>
      <modifiedWord/>
      <trackRevisions>false</trackRevisions>
    </reviewItem>
    <reviewItem>
      <errorID>967cd2e3-100a-4a1f-9b82-d2366c7ae508</errorID>
      <errorWord>《中小企业声明函》</errorWord>
      <group>L1_Official</group>
      <groupName>公文问题</groupName>
      <ability>L2_Official</ability>
      <abilityName>公文问题</abilityName>
      <candidateList/>
      <explain>公文文件引用格式不规范</explain>
      <paraID>476CA241</paraID>
      <start>120</start>
      <end>129</end>
      <status>unmodified</status>
      <modifiedWord/>
      <trackRevisions>false</trackRevisions>
    </reviewItem>
    <reviewItem>
      <errorID>122d52e7-d795-4b9b-a00c-b345dd018d12</errorID>
      <errorWord>&lt;</errorWord>
      <group>L1_Format</group>
      <groupName>格式问题</groupName>
      <ability>L2_HalfPunc_CN</ability>
      <abilityName>全半角检查</abilityName>
      <candidateList>
        <item>〈</item>
      </candidateList>
      <explain>文本全半角错误。</explain>
      <paraID>29A99F20</paraID>
      <start>135</start>
      <end>136</end>
      <status>unmodified</status>
      <modifiedWord/>
      <trackRevisions>false</trackRevisions>
    </reviewItem>
    <reviewItem>
      <errorID>f7d5d9c0-e9b6-4eae-9dfb-ccfe16d8889a</errorID>
      <errorWord>&gt;）</errorWord>
      <group>L1_Punc</group>
      <groupName>标点问题</groupName>
      <ability>L2_Punc_CN</ability>
      <abilityName>标点符号检查</abilityName>
      <candidateList>
        <item>）</item>
      </candidateList>
      <explain/>
      <paraID>29A99F20</paraID>
      <start>140</start>
      <end>142</end>
      <status>unmodified</status>
      <modifiedWord/>
      <trackRevisions>false</trackRevisions>
    </reviewItem>
    <reviewItem>
      <errorID>0e1e717d-1dbc-49e8-beeb-9e9aa1d25831</errorID>
      <errorWord>/，</errorWord>
      <group>L1_Punc</group>
      <groupName>标点问题</groupName>
      <ability>L2_Punc_CN</ability>
      <abilityName>标点符号检查</abilityName>
      <candidateList>
        <item>/</item>
      </candidateList>
      <explain/>
      <paraID>63B22DF4</paraID>
      <start>27</start>
      <end>29</end>
      <status>unmodified</status>
      <modifiedWord/>
      <trackRevisions>false</trackRevisions>
    </reviewItem>
    <reviewItem>
      <errorID>887e2dc8-809a-469c-8d86-625e8fee6ad2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71BD5943</paraID>
      <start>21</start>
      <end>22</end>
      <status>unmodified</status>
      <modifiedWord/>
      <trackRevisions>false</trackRevisions>
    </reviewItem>
    <reviewItem>
      <errorID>9d1ff9b4-26f6-4cf3-af8d-7ba1b6cabc20</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2614D6D6</paraID>
      <start>10</start>
      <end>14</end>
      <status>unmodified</status>
      <modifiedWord/>
      <trackRevisions>false</trackRevisions>
    </reviewItem>
    <reviewItem>
      <errorID>97ddec2b-5851-4b51-8601-3a747c36a423</errorID>
      <errorWord>其它</errorWord>
      <group>L1_Word</group>
      <groupName>字词问题</groupName>
      <ability>L2_Alias</ability>
      <abilityName>也作/曾用词</abilityName>
      <candidateList>
        <item>其他</item>
      </candidateList>
      <explain>词汇[其它]为不规范表述或旧称，其规范书面表述为[其他]。</explain>
      <paraID>3E76ACAA</paraID>
      <start>2</start>
      <end>4</end>
      <status>unmodified</status>
      <modifiedWord/>
      <trackRevisions>false</trackRevisions>
    </reviewItem>
    <reviewItem>
      <errorID>8becd3c5-6086-430f-8994-6113bd4a48a2</errorID>
      <errorWord>其它</errorWord>
      <group>L1_Word</group>
      <groupName>字词问题</groupName>
      <ability>L2_Alias</ability>
      <abilityName>也作/曾用词</abilityName>
      <candidateList>
        <item>其他</item>
      </candidateList>
      <explain>词汇[其它]为不规范表述或旧称，其规范书面表述为[其他]。</explain>
      <paraID>4D85903A</paraID>
      <start>205</start>
      <end>207</end>
      <status>unmodified</status>
      <modifiedWord/>
      <trackRevisions>false</trackRevisions>
    </reviewItem>
    <reviewItem>
      <errorID>b7744a60-a81e-4b7d-9662-d85750cfdc39</errorID>
      <errorWord>其它</errorWord>
      <group>L1_Word</group>
      <groupName>字词问题</groupName>
      <ability>L2_Alias</ability>
      <abilityName>也作/曾用词</abilityName>
      <candidateList>
        <item>其他</item>
      </candidateList>
      <explain>词汇[其它]为不规范表述或旧称，其规范书面表述为[其他]。</explain>
      <paraID> 1B6BE25</paraID>
      <start>23</start>
      <end>25</end>
      <status>unmodified</status>
      <modifiedWord/>
      <trackRevisions>false</trackRevisions>
    </reviewItem>
    <reviewItem>
      <errorID>1fdfab0f-b3f1-47b4-9aaf-2f19271293df</errorID>
      <errorWord>其它</errorWord>
      <group>L1_Word</group>
      <groupName>字词问题</groupName>
      <ability>L2_Alias</ability>
      <abilityName>也作/曾用词</abilityName>
      <candidateList>
        <item>其他</item>
      </candidateList>
      <explain>词汇[其它]为不规范表述或旧称，其规范书面表述为[其他]。</explain>
      <paraID>75EC1DA9</paraID>
      <start>15</start>
      <end>17</end>
      <status>unmodified</status>
      <modifiedWord/>
      <trackRevisions>false</trackRevisions>
    </reviewItem>
    <reviewItem>
      <errorID>485177a0-65b5-4ec2-8094-9d04c42d23ed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18FD60A9</paraID>
      <start>11</start>
      <end>14</end>
      <status>unmodified</status>
      <modifiedWord/>
      <trackRevisions>false</trackRevisions>
    </reviewItem>
    <reviewItem>
      <errorID>f1b2c661-5be4-4ad0-921e-32ed11814ce2</errorID>
      <errorWord>作</errorWord>
      <group>L1_Word</group>
      <groupName>字词问题</groupName>
      <ability>L2_Typo</ability>
      <abilityName>字词错误</abilityName>
      <candidateList>
        <item>作出</item>
      </candidateList>
      <explain/>
      <paraID>30A1F160</paraID>
      <start>95</start>
      <end>96</end>
      <status>unmodified</status>
      <modifiedWord/>
      <trackRevisions>false</trackRevisions>
    </reviewItem>
    <reviewItem>
      <errorID>cce404a6-86b6-46c9-a6c8-af69fbdb1ab2</errorID>
      <errorWord>做出</errorWord>
      <group>L1_Word</group>
      <groupName>字词问题</groupName>
      <ability>L2_Typo</ability>
      <abilityName>字词错误</abilityName>
      <candidateList>
        <item>作出</item>
      </candidateList>
      <explain/>
      <paraID>224582C3</paraID>
      <start>385</start>
      <end>387</end>
      <status>unmodified</status>
      <modifiedWord/>
      <trackRevisions>false</trackRevisions>
    </reviewItem>
    <reviewItem>
      <errorID>829840d5-6e12-4651-90b0-72e940262b85</errorID>
      <errorWord>发</errorWord>
      <group>L1_Word</group>
      <groupName>字词问题</groupName>
      <ability>L2_Typo</ability>
      <abilityName>字词错误</abilityName>
      <candidateList>
        <item>发出</item>
      </candidateList>
      <explain/>
      <paraID>4FE7EEB7</paraID>
      <start>12</start>
      <end>13</end>
      <status>unmodified</status>
      <modifiedWord/>
      <trackRevisions>false</trackRevisions>
    </reviewItem>
    <reviewItem>
      <errorID>859219a9-87ed-40fd-9398-c27eaceaae98</errorID>
      <errorWord>以书面的形式</errorWord>
      <group>L1_Word</group>
      <groupName>字词问题</groupName>
      <ability>L2_Typo</ability>
      <abilityName>字词错误</abilityName>
      <candidateList>
        <item>以书面形式</item>
      </candidateList>
      <explain/>
      <paraID>3E4A7048</paraID>
      <start>11</start>
      <end>17</end>
      <status>unmodified</status>
      <modifiedWord/>
      <trackRevisions>false</trackRevisions>
    </reviewItem>
    <reviewItem>
      <errorID>b86099b3-9637-4385-b0ea-d963d92515b0</errorID>
      <errorWord>,</errorWord>
      <group>L1_Format</group>
      <groupName>格式问题</groupName>
      <ability>L2_HalfPunc_CN</ability>
      <abilityName>全半角检查</abilityName>
      <candidateList>
        <item>，</item>
      </candidateList>
      <explain>文本全半角错误。</explain>
      <paraID>40709658</paraID>
      <start>93</start>
      <end>94</end>
      <status>unmodified</status>
      <modifiedWord/>
      <trackRevisions>false</trackRevisions>
    </reviewItem>
    <reviewItem>
      <errorID>24ba1874-4db4-49eb-9eca-a603cc0b9257</errorID>
      <errorWord>《中小企业声明函》</errorWord>
      <group>L1_Official</group>
      <groupName>公文问题</groupName>
      <ability>L2_Official</ability>
      <abilityName>公文问题</abilityName>
      <candidateList/>
      <explain>公文文件引用格式不规范</explain>
      <paraID>7DF29E56</paraID>
      <start>21</start>
      <end>30</end>
      <status>unmodified</status>
      <modifiedWord/>
      <trackRevisions>false</trackRevisions>
    </reviewItem>
    <reviewItem>
      <errorID>ca01d2c9-5878-40da-aa5c-1af28d0acae3</errorID>
      <errorWord>《残疾人福利性单位声明函》</errorWord>
      <group>L1_Official</group>
      <groupName>公文问题</groupName>
      <ability>L2_Official</ability>
      <abilityName>公文问题</abilityName>
      <candidateList/>
      <explain>公文文件引用格式不规范</explain>
      <paraID>12221149</paraID>
      <start>22</start>
      <end>35</end>
      <status>unmodified</status>
      <modifiedWord/>
      <trackRevisions>false</trackRevisions>
    </reviewItem>
    <reviewItem>
      <errorID>806f935b-9e10-4227-8c57-68944bcbaf14</errorID>
      <errorWord>需</errorWord>
      <group>L1_Word</group>
      <groupName>字词问题</groupName>
      <ability>L2_Typo</ability>
      <abilityName>字词错误</abilityName>
      <candidateList>
        <item>须</item>
      </candidateList>
      <explain>存在发音相同字词的误用。</explain>
      <paraID>7452EEF6</paraID>
      <start>10</start>
      <end>11</end>
      <status>unmodified</status>
      <modifiedWord/>
      <trackRevisions>false</trackRevisions>
    </reviewItem>
    <reviewItem>
      <errorID>9252266e-b908-468e-a275-29db9630b943</errorID>
      <errorWord>需</errorWord>
      <group>L1_Word</group>
      <groupName>字词问题</groupName>
      <ability>L2_Typo</ability>
      <abilityName>字词错误</abilityName>
      <candidateList>
        <item>须</item>
      </candidateList>
      <explain>存在发音相同字词的误用。</explain>
      <paraID>7B0091B2</paraID>
      <start>3</start>
      <end>4</end>
      <status>unmodified</status>
      <modifiedWord/>
      <trackRevisions>false</trackRevisions>
    </reviewItem>
    <reviewItem>
      <errorID>9e72cab8-70e1-4948-ba3c-604083eaa10d</errorID>
      <errorWord>其它</errorWord>
      <group>L1_Word</group>
      <groupName>字词问题</groupName>
      <ability>L2_Alias</ability>
      <abilityName>也作/曾用词</abilityName>
      <candidateList>
        <item>其他</item>
      </candidateList>
      <explain>词汇[其它]为不规范表述或旧称，其规范书面表述为[其他]。</explain>
      <paraID>702303F8</paraID>
      <start>6</start>
      <end>8</end>
      <status>unmodified</status>
      <modifiedWord/>
      <trackRevisions>false</trackRevisions>
    </reviewItem>
    <reviewItem>
      <errorID>9ebdb523-aff9-45be-8526-08275f90a271</errorID>
      <errorWord>人只</errorWord>
      <group>L1_Word</group>
      <groupName>字词问题</groupName>
      <ability>L2_Typo</ability>
      <abilityName>字词错误</abilityName>
      <candidateList>
        <item>人员</item>
      </candidateList>
      <explain/>
      <paraID>25930675</paraID>
      <start>40</start>
      <end>42</end>
      <status>unmodified</status>
      <modifiedWord/>
      <trackRevisions>false</trackRevisions>
    </reviewItem>
    <reviewItem>
      <errorID>82ac0d5f-9c67-44ba-b107-19384e411ff1</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25930675</paraID>
      <start>44</start>
      <end>47</end>
      <status>unmodified</status>
      <modifiedWord/>
      <trackRevisions>false</trackRevisions>
    </reviewItem>
    <reviewItem>
      <errorID>6d80c8f9-dfdf-42fd-807d-b950cb6e45d5</errorID>
      <errorWord>窜岗</errorWord>
      <group>L1_Word</group>
      <groupName>字词问题</groupName>
      <ability>L2_Typo</ability>
      <abilityName>字词错误</abilityName>
      <candidateList>
        <item>串岗</item>
      </candidateList>
      <explain/>
      <paraID>72725F7E</paraID>
      <start>7</start>
      <end>9</end>
      <status>unmodified</status>
      <modifiedWord/>
      <trackRevisions>false</trackRevisions>
    </reviewItem>
    <reviewItem>
      <errorID>4ada3921-079a-4846-b000-69b3db37ed15</errorID>
      <errorWord>疏忽职守</errorWord>
      <group>L1_Word</group>
      <groupName>字词问题</groupName>
      <ability>L2_Typo</ability>
      <abilityName>字词错误</abilityName>
      <candidateList>
        <item>玩忽职守</item>
      </candidateList>
      <explain/>
      <paraID>2CF92D61</paraID>
      <start>6</start>
      <end>10</end>
      <status>unmodified</status>
      <modifiedWord/>
      <trackRevisions>false</trackRevisions>
    </reviewItem>
    <reviewItem>
      <errorID>cd32c6ca-faf1-4440-ac44-198d546a5e7b</errorID>
      <errorWord>《财政部关于推动解决政府采购异常低价问题的通知》</errorWord>
      <group>L1_Official</group>
      <groupName>公文问题</groupName>
      <ability>L2_Official</ability>
      <abilityName>公文问题</abilityName>
      <candidateList/>
      <explain>公文文件引用格式不规范</explain>
      <paraID>271F29B8</paraID>
      <start>13</start>
      <end>37</end>
      <status>unmodified</status>
      <modifiedWord/>
      <trackRevisions>false</trackRevisions>
    </reviewItem>
    <reviewItem>
      <errorID>0ca99575-d3d9-45ce-ad4d-226a45a91f66</errorID>
      <errorWord>&lt;</errorWord>
      <group>L1_Format</group>
      <groupName>格式问题</groupName>
      <ability>L2_HalfPunc_CN</ability>
      <abilityName>全半角检查</abilityName>
      <candidateList>
        <item>〈</item>
      </candidateList>
      <explain>文本全半角错误。</explain>
      <paraID>4547443A</paraID>
      <start>48</start>
      <end>49</end>
      <status>unmodified</status>
      <modifiedWord/>
      <trackRevisions>false</trackRevisions>
    </reviewItem>
    <reviewItem>
      <errorID>b6198c5e-a636-4ae5-877d-6abf977f634d</errorID>
      <errorWord>&lt;</errorWord>
      <group>L1_Format</group>
      <groupName>格式问题</groupName>
      <ability>L2_HalfPunc_CN</ability>
      <abilityName>全半角检查</abilityName>
      <candidateList>
        <item>〈</item>
      </candidateList>
      <explain>文本全半角错误。</explain>
      <paraID>3275E108</paraID>
      <start>48</start>
      <end>49</end>
      <status>unmodified</status>
      <modifiedWord/>
      <trackRevisions>false</trackRevisions>
    </reviewItem>
    <reviewItem>
      <errorID>0a98c21d-34ec-4e9f-ba8c-c15c4ade031b</errorID>
      <errorWord>&lt;</errorWord>
      <group>L1_Format</group>
      <groupName>格式问题</groupName>
      <ability>L2_HalfPunc_CN</ability>
      <abilityName>全半角检查</abilityName>
      <candidateList>
        <item>〈</item>
      </candidateList>
      <explain>文本全半角错误。</explain>
      <paraID>6E2DAE70</paraID>
      <start>33</start>
      <end>34</end>
      <status>unmodified</status>
      <modifiedWord/>
      <trackRevisions>false</trackRevisions>
    </reviewItem>
    <reviewItem>
      <errorID>ff6b00a8-1fcd-4dd6-a163-b1858d8e6646</errorID>
      <errorWord>，</errorWord>
      <group>L1_Word</group>
      <groupName>字词问题</groupName>
      <ability>L2_Typo</ability>
      <abilityName>字词错误</abilityName>
      <candidateList>
        <item>，并</item>
      </candidateList>
      <explain/>
      <paraID>2F6076C8</paraID>
      <start>72</start>
      <end>73</end>
      <status>unmodified</status>
      <modifiedWord/>
      <trackRevisions>false</trackRevisions>
    </reviewItem>
    <reviewItem>
      <errorID>ec09f98d-81c5-4270-8821-8a55958f2853</errorID>
      <errorWord>(</errorWord>
      <group>L1_Format</group>
      <groupName>格式问题</groupName>
      <ability>L2_HalfPunc_CN</ability>
      <abilityName>全半角检查</abilityName>
      <candidateList>
        <item>（</item>
      </candidateList>
      <explain>文本全半角错误。</explain>
      <paraID>541296C0</paraID>
      <start>79</start>
      <end>80</end>
      <status>unmodified</status>
      <modifiedWord/>
      <trackRevisions>false</trackRevisions>
    </reviewItem>
    <reviewItem>
      <errorID>a50069c7-1a0d-43b2-8b36-894ab49a6c9a</errorID>
      <errorWord>)</errorWord>
      <group>L1_Format</group>
      <groupName>格式问题</groupName>
      <ability>L2_HalfPunc_CN</ability>
      <abilityName>全半角检查</abilityName>
      <candidateList>
        <item>）</item>
      </candidateList>
      <explain>文本全半角错误。</explain>
      <paraID>541296C0</paraID>
      <start>88</start>
      <end>89</end>
      <status>unmodified</status>
      <modifiedWord/>
      <trackRevisions>false</trackRevisions>
    </reviewItem>
    <reviewItem>
      <errorID>69da282d-5fc7-4edc-9020-7086f2ae6330</errorID>
      <errorWord>/。</errorWord>
      <group>L1_Punc</group>
      <groupName>标点问题</groupName>
      <ability>L2_Punc_CN</ability>
      <abilityName>标点符号检查</abilityName>
      <candidateList>
        <item>/</item>
      </candidateList>
      <explain/>
      <paraID>24C44BEB</paraID>
      <start>119</start>
      <end>121</end>
      <status>unmodified</status>
      <modifiedWord/>
      <trackRevisions>false</trackRevisions>
    </reviewItem>
    <reviewItem>
      <errorID>05d0a1e3-e036-4af1-a125-5ca205a0eebd</errorID>
      <errorWord>/。</errorWord>
      <group>L1_Punc</group>
      <groupName>标点问题</groupName>
      <ability>L2_Punc_CN</ability>
      <abilityName>标点符号检查</abilityName>
      <candidateList>
        <item>/</item>
      </candidateList>
      <explain/>
      <paraID>6E1FD329</paraID>
      <start>137</start>
      <end>139</end>
      <status>unmodified</status>
      <modifiedWord/>
      <trackRevisions>false</trackRevisions>
    </reviewItem>
    <reviewItem>
      <errorID>6af5251c-3ece-4997-89c7-15873572dba1</errorID>
      <errorWord>,</errorWord>
      <group>L1_Format</group>
      <groupName>格式问题</groupName>
      <ability>L2_HalfPunc_CN</ability>
      <abilityName>全半角检查</abilityName>
      <candidateList>
        <item>，</item>
      </candidateList>
      <explain>文本全半角错误。</explain>
      <paraID>12CA58CE</paraID>
      <start>57</start>
      <end>58</end>
      <status>unmodified</status>
      <modifiedWord/>
      <trackRevisions>false</trackRevisions>
    </reviewItem>
    <reviewItem>
      <errorID>aee9dd6a-6eb2-4887-8330-cfd5cfd1d7bd</errorID>
      <errorWord>,</errorWord>
      <group>L1_Format</group>
      <groupName>格式问题</groupName>
      <ability>L2_HalfPunc_CN</ability>
      <abilityName>全半角检查</abilityName>
      <candidateList>
        <item>，</item>
      </candidateList>
      <explain>文本全半角错误。</explain>
      <paraID>12CA58CE</paraID>
      <start>63</start>
      <end>64</end>
      <status>unmodified</status>
      <modifiedWord/>
      <trackRevisions>false</trackRevisions>
    </reviewItem>
    <reviewItem>
      <errorID>1c29e053-24f2-4965-a4cf-697ff0a3b008</errorID>
      <errorWord>:</errorWord>
      <group>L1_Format</group>
      <groupName>格式问题</groupName>
      <ability>L2_HalfPunc_CN</ability>
      <abilityName>全半角检查</abilityName>
      <candidateList>
        <item>：</item>
      </candidateList>
      <explain>文本全半角错误。</explain>
      <paraID>12CA58CE</paraID>
      <start>74</start>
      <end>75</end>
      <status>unmodified</status>
      <modifiedWord/>
      <trackRevisions>false</trackRevisions>
    </reviewItem>
    <reviewItem>
      <errorID>a67e8532-7818-42b4-b9b8-4e471de3cbd7</errorID>
      <errorWord>其它</errorWord>
      <group>L1_Word</group>
      <groupName>字词问题</groupName>
      <ability>L2_Alias</ability>
      <abilityName>也作/曾用词</abilityName>
      <candidateList>
        <item>其他</item>
      </candidateList>
      <explain>词汇[其它]为不规范表述或旧称，其规范书面表述为[其他]。</explain>
      <paraID>715D0D5F</paraID>
      <start>23</start>
      <end>25</end>
      <status>unmodified</status>
      <modifiedWord/>
      <trackRevisions>false</trackRevisions>
    </reviewItem>
    <reviewItem>
      <errorID>1458388a-b868-4678-a1c6-a6806efc7c85</errorID>
      <errorWord>、或</errorWord>
      <group>L1_Word</group>
      <groupName>字词问题</groupName>
      <ability>L2_Typo</ability>
      <abilityName>字词错误</abilityName>
      <candidateList>
        <item>或</item>
      </candidateList>
      <explain/>
      <paraID>5325B49A</paraID>
      <start>53</start>
      <end>55</end>
      <status>unmodified</status>
      <modifiedWord/>
      <trackRevisions>false</trackRevisions>
    </reviewItem>
    <reviewItem>
      <errorID>bbc697c2-8336-44ac-bb9e-9894ca6e0cec</errorID>
      <errorWord>方</errorWord>
      <group>L1_Word</group>
      <groupName>字词问题</groupName>
      <ability>L2_Typo</ability>
      <abilityName>字词错误</abilityName>
      <candidateList>
        <item>方在</item>
      </candidateList>
      <explain/>
      <paraID>6C1271D7</paraID>
      <start>58</start>
      <end>59</end>
      <status>unmodified</status>
      <modifiedWord/>
      <trackRevisions>false</trackRevisions>
    </reviewItem>
    <reviewItem>
      <errorID>1dca6186-7514-4426-959b-8c6fbb1e99bd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2F7A3B64</paraID>
      <start>119</start>
      <end>124</end>
      <status>unmodified</status>
      <modifiedWord/>
      <trackRevisions>false</trackRevisions>
    </reviewItem>
    <reviewItem>
      <errorID>ff5c0b02-ea2d-475b-bb6b-679e57a8869e</errorID>
      <errorWord>查出</errorWord>
      <group>L1_Word</group>
      <groupName>字词问题</groupName>
      <ability>L2_Typo</ability>
      <abilityName>字词错误</abilityName>
      <candidateList>
        <item>查处</item>
      </candidateList>
      <explain/>
      <paraID>3CCDBF1C</paraID>
      <start>10</start>
      <end>12</end>
      <status>unmodified</status>
      <modifiedWord/>
      <trackRevisions>false</trackRevisions>
    </reviewItem>
    <reviewItem>
      <errorID>c9cd4eca-c1cf-404d-8f2c-d233c9692b54</errorID>
      <errorWord>法律、法规</errorWord>
      <group>L1_Word</group>
      <groupName>字词问题</groupName>
      <ability>L2_Typo</ability>
      <abilityName>字词错误</abilityName>
      <candidateList>
        <item>法律法规</item>
      </candidateList>
      <explain/>
      <paraID>4605B5BE</paraID>
      <start>10</start>
      <end>15</end>
      <status>unmodified</status>
      <modifiedWord/>
      <trackRevisions>false</trackRevisions>
    </reviewItem>
    <reviewItem>
      <errorID>fbd5837b-ee24-4c84-bfe0-082c228069dd</errorID>
      <errorWord>4一年</errorWord>
      <group>L1_Knowledge</group>
      <groupName>知识性问题</groupName>
      <ability>L2_Time</ability>
      <abilityName>日期时间</abilityName>
      <candidateList/>
      <explain>数字形式不统一。</explain>
      <paraID>271E8659</paraID>
      <start>6</start>
      <end>9</end>
      <status>unmodified</status>
      <modifiedWord/>
      <trackRevisions>false</trackRevisions>
    </reviewItem>
    <reviewItem>
      <errorID>72f8faf3-028a-4364-9b3c-a7ded7d7d713</errorID>
      <errorWord>,</errorWord>
      <group>L1_Format</group>
      <groupName>格式问题</groupName>
      <ability>L2_HalfPunc_CN</ability>
      <abilityName>全半角检查</abilityName>
      <candidateList>
        <item>，</item>
      </candidateList>
      <explain>文本全半角错误。</explain>
      <paraID>11310EDA</paraID>
      <start>24</start>
      <end>25</end>
      <status>unmodified</status>
      <modifiedWord/>
      <trackRevisions>false</trackRevisions>
    </reviewItem>
    <reviewItem>
      <errorID>cffc5427-638c-4fab-ade5-ca718ebf4efe</errorID>
      <errorWord>0.1%-3%</errorWord>
      <group>L1_Knowledge</group>
      <groupName>知识性问题</groupName>
      <ability>L2_Knowledge</ability>
      <abilityName>其他知识</abilityName>
      <candidateList>
        <item>0.1%—3%</item>
      </candidateList>
      <explain>1. “0.1%-3%”中的单位“%”仅出现在后一个数字上，容易引起歧义；根据《现代汉语标点符号数字用法规范手册》，数字表示范围两边需要使用统一的格式。2. 根据标点国标 4.13 中的规则，数字、时间或地域连接符应使用（视觉上更长的）“—”或“～”。</explain>
      <paraID>6D944C6D</paraID>
      <start>172</start>
      <end>179</end>
      <status>unmodified</status>
      <modifiedWord/>
      <trackRevisions>false</trackRevisions>
    </reviewItem>
    <reviewItem>
      <errorID>5f0472fa-aa1f-48b7-82f3-831611b5ffab</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45D36E6F</paraID>
      <start>45</start>
      <end>48</end>
      <status>unmodified</status>
      <modifiedWord/>
      <trackRevisions>false</trackRevisions>
    </reviewItem>
    <reviewItem>
      <errorID>2837ab45-e157-4c38-9fc3-7083f44fd851</errorID>
      <errorWord>法律、法规</errorWord>
      <group>L1_Word</group>
      <groupName>字词问题</groupName>
      <ability>L2_Typo</ability>
      <abilityName>字词错误</abilityName>
      <candidateList>
        <item>法律法规</item>
      </candidateList>
      <explain/>
      <paraID>202F9A0A</paraID>
      <start>6</start>
      <end>11</end>
      <status>unmodified</status>
      <modifiedWord/>
      <trackRevisions>false</trackRevisions>
    </reviewItem>
    <reviewItem>
      <errorID>1c2ad583-a58a-41cd-b159-cbd8cdc0eaaf</errorID>
      <errorWord>方</errorWord>
      <group>L1_Word</group>
      <groupName>字词问题</groupName>
      <ability>L2_Typo</ability>
      <abilityName>字词错误</abilityName>
      <candidateList>
        <item>方在</item>
      </candidateList>
      <explain/>
      <paraID>454179EB</paraID>
      <start>61</start>
      <end>62</end>
      <status>unmodified</status>
      <modifiedWord/>
      <trackRevisions>false</trackRevisions>
    </reviewItem>
    <reviewItem>
      <errorID>21ee633d-f732-4454-9986-d4c5b8b1fc6f</errorID>
      <errorWord>除了是</errorWord>
      <group>L1_Word</group>
      <groupName>字词问题</groupName>
      <ability>L2_Typo</ability>
      <abilityName>字词错误</abilityName>
      <candidateList>
        <item>除了</item>
      </candidateList>
      <explain/>
      <paraID>56A173DD</paraID>
      <start>21</start>
      <end>24</end>
      <status>unmodified</status>
      <modifiedWord/>
      <trackRevisions>false</trackRevisions>
    </reviewItem>
    <reviewItem>
      <errorID>6b48e272-556c-422a-8793-0f8827c909f1</errorID>
      <errorWord>中的</errorWord>
      <group>L1_Word</group>
      <groupName>字词问题</groupName>
      <ability>L2_Typo</ability>
      <abilityName>字词错误</abilityName>
      <candidateList>
        <item>中</item>
      </candidateList>
      <explain/>
      <paraID>56A173DD</paraID>
      <start>40</start>
      <end>42</end>
      <status>unmodified</status>
      <modifiedWord/>
      <trackRevisions>false</trackRevisions>
    </reviewItem>
    <reviewItem>
      <errorID>d8fe6a64-07ce-40bd-bd27-9c7a806f412d</errorID>
      <errorWord>)</errorWord>
      <group>L1_Format</group>
      <groupName>格式问题</groupName>
      <ability>L2_HalfPunc_CN</ability>
      <abilityName>全半角检查</abilityName>
      <candidateList>
        <item>）</item>
      </candidateList>
      <explain>文本全半角错误。</explain>
      <paraID>2F51207F</paraID>
      <start>92</start>
      <end>93</end>
      <status>unmodified</status>
      <modifiedWord/>
      <trackRevisions>false</trackRevisions>
    </reviewItem>
    <reviewItem>
      <errorID>37c08384-e433-4c78-8b28-ea6ffe830fe3</errorID>
      <errorWord>期间</errorWord>
      <group>L1_Word</group>
      <groupName>字词问题</groupName>
      <ability>L2_Typo</ability>
      <abilityName>字词错误</abilityName>
      <candidateList>
        <item>其间</item>
      </candidateList>
      <explain/>
      <paraID>2F51207F</paraID>
      <start>142</start>
      <end>144</end>
      <status>unmodified</status>
      <modifiedWord/>
      <trackRevisions>false</trackRevisions>
    </reviewItem>
    <reviewItem>
      <errorID>6effea64-f47c-447a-8553-00cb37a922bb</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5DB2E6D9</paraID>
      <start>5</start>
      <end>10</end>
      <status>unmodified</status>
      <modifiedWord/>
      <trackRevisions>false</trackRevisions>
    </reviewItem>
    <reviewItem>
      <errorID>7716679e-2b47-4bba-93c4-7e19699bc231</errorID>
      <errorWord>肆份</errorWord>
      <group>L1_Word</group>
      <groupName>字词问题</groupName>
      <ability>L2_Typo</ability>
      <abilityName>字词错误</abilityName>
      <candidateList>
        <item>四份</item>
      </candidateList>
      <explain>存在发音相同字词的误用。</explain>
      <paraID>21E740B8</paraID>
      <start>4</start>
      <end>6</end>
      <status>unmodified</status>
      <modifiedWord/>
      <trackRevisions>false</trackRevisions>
    </reviewItem>
    <reviewItem>
      <errorID>daf9dbaa-d2d0-43f2-ad61-0884d4925dd2</errorID>
      <errorWord>其它</errorWord>
      <group>L1_Word</group>
      <groupName>字词问题</groupName>
      <ability>L2_Alias</ability>
      <abilityName>也作/曾用词</abilityName>
      <candidateList>
        <item>其他</item>
      </candidateList>
      <explain>词汇[其它]为不规范表述或旧称，其规范书面表述为[其他]。</explain>
      <paraID>63B9CAE5</paraID>
      <start>42</start>
      <end>44</end>
      <status>unmodified</status>
      <modifiedWord/>
      <trackRevisions>false</trackRevisions>
    </reviewItem>
    <reviewItem>
      <errorID>18352982-344e-43ec-be7f-26e60438aeba</errorID>
      <errorWord>《中小企业声明函》</errorWord>
      <group>L1_Official</group>
      <groupName>公文问题</groupName>
      <ability>L2_Official</ability>
      <abilityName>公文问题</abilityName>
      <candidateList/>
      <explain>公文文件引用格式不规范</explain>
      <paraID>1655D44B</paraID>
      <start>37</start>
      <end>46</end>
      <status>unmodified</status>
      <modifiedWord/>
      <trackRevisions>false</trackRevisions>
    </reviewItem>
    <reviewItem>
      <errorID>9a12c572-e402-4dbb-bb0c-f5f84aeb98eb</errorID>
      <errorWord>》</errorWord>
      <group>L1_Word</group>
      <groupName>字词问题</groupName>
      <ability>L2_Typo</ability>
      <abilityName>字词错误</abilityName>
      <candidateList>
        <item>》等</item>
      </candidateList>
      <explain/>
      <paraID>1655D44B</paraID>
      <start>75</start>
      <end>76</end>
      <status>unmodified</status>
      <modifiedWord/>
      <trackRevisions>false</trackRevisions>
    </reviewItem>
    <reviewItem>
      <errorID>67f24e15-8f42-4176-bc73-5f3de024d958</errorID>
      <errorWord>《财政部 民政部 中国残疾人联合会关于促进残疾人就业政府采购政策的通知》</errorWord>
      <group>L1_Official</group>
      <groupName>公文问题</groupName>
      <ability>L2_Official</ability>
      <abilityName>公文问题</abilityName>
      <candidateList/>
      <explain>公文文件引用格式不规范</explain>
      <paraID>1EFAF2CF</paraID>
      <start>10</start>
      <end>46</end>
      <status>unmodified</status>
      <modifiedWord/>
      <trackRevisions>false</trackRevisions>
    </reviewItem>
    <reviewItem>
      <errorID>321d770f-d3db-4557-8cd6-74ee29d3630e</errorID>
      <errorWord>〔2017〕 141号</errorWord>
      <group>L1_Knowledge</group>
      <groupName>知识性问题</groupName>
      <ability>L2_Knowledge</ability>
      <abilityName>其他知识</abilityName>
      <candidateList>
        <item>〔2017〕141号</item>
      </candidateList>
      <explain>发文字号格式错误。</explain>
      <paraID>1EFAF2CF</paraID>
      <start>49</start>
      <end>60</end>
      <status>unmodified</status>
      <modifiedWord/>
      <trackRevisions>false</trackRevisions>
    </reviewItem>
    <reviewItem>
      <errorID>b5694baf-b526-4a1b-a874-84435ce24d47</errorID>
      <errorWord>复印件加盖</errorWord>
      <group>L1_Word</group>
      <groupName>字词问题</groupName>
      <ability>L2_Typo</ability>
      <abilityName>字词错误</abilityName>
      <candidateList>
        <item>复印件并加盖</item>
      </candidateList>
      <explain/>
      <paraID>6EBCBB8C</paraID>
      <start>57</start>
      <end>62</end>
      <status>unmodified</status>
      <modifiedWord/>
      <trackRevisions>false</trackRevisions>
    </reviewItem>
    <reviewItem>
      <errorID>0b97f564-d692-47b3-a0f6-78aa340b6c04</errorID>
      <errorWord>:</errorWord>
      <group>L1_Format</group>
      <groupName>格式问题</groupName>
      <ability>L2_HalfPunc_CN</ability>
      <abilityName>全半角检查</abilityName>
      <candidateList>
        <item>：</item>
      </candidateList>
      <explain>文本全半角错误。</explain>
      <paraID>194B6301</paraID>
      <start>7</start>
      <end>8</end>
      <status>unmodified</status>
      <modifiedWord/>
      <trackRevisions>false</trackRevisions>
    </reviewItem>
    <reviewItem>
      <errorID>8d9681a6-ed9f-4db6-9a3d-402437434ace</errorID>
      <errorWord>:</errorWord>
      <group>L1_Format</group>
      <groupName>格式问题</groupName>
      <ability>L2_HalfPunc_CN</ability>
      <abilityName>全半角检查</abilityName>
      <candidateList>
        <item>：</item>
      </candidateList>
      <explain>文本全半角错误。</explain>
      <paraID>24782D02</paraID>
      <start>7</start>
      <end>8</end>
      <status>unmodified</status>
      <modifiedWord/>
      <trackRevisions>false</trackRevisions>
    </reviewItem>
    <reviewItem>
      <errorID>cb7f13db-302a-4f7e-9c38-721d50018c54</errorID>
      <errorWord>其它</errorWord>
      <group>L1_Word</group>
      <groupName>字词问题</groupName>
      <ability>L2_Alias</ability>
      <abilityName>也作/曾用词</abilityName>
      <candidateList>
        <item>其他</item>
      </candidateList>
      <explain>词汇[其它]为不规范表述或旧称，其规范书面表述为[其他]。</explain>
      <paraID>55D91FA6</paraID>
      <start>82</start>
      <end>84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d45ee9-cffa-4076-a781-b5f2d1dfeb74}">
  <ds:schemaRefs/>
</ds:datastoreItem>
</file>

<file path=docProps/app.xml><?xml version="1.0" encoding="utf-8"?>
<Properties xmlns="http://schemas.openxmlformats.org/officeDocument/2006/extended-properties" xmlns:vt="http://schemas.openxmlformats.org/officeDocument/2006/docPropsVTypes">
  <Template>Normal.dotm</Template>
  <Company>市直单位</Company>
  <Pages>49</Pages>
  <Words>14949</Words>
  <Characters>15541</Characters>
  <Lines>0</Lines>
  <Paragraphs>0</Paragraphs>
  <TotalTime>18</TotalTime>
  <ScaleCrop>false</ScaleCrop>
  <LinksUpToDate>false</LinksUpToDate>
  <CharactersWithSpaces>15617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2024-01-23T07:24:00Z</dcterms:created>
  <dc:creator>Administrator</dc:creator>
  <cp:lastModifiedBy>袁清</cp:lastModifiedBy>
  <cp:lastPrinted>2024-03-13T03:29:00Z</cp:lastPrinted>
  <dcterms:modified xsi:type="dcterms:W3CDTF">2026-09-04T06:09:41Z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CAEA655EABBC4E738B20307C3ABD5FB4_13</vt:lpwstr>
  </property>
  <property fmtid="{D5CDD505-2E9C-101B-9397-08002B2CF9AE}" pid="4" name="KSOTemplateDocerSaveRecord">
    <vt:lpwstr>eyJoZGlkIjoiNWNkMGZmZGUxNzNkMTZmNDUwMjEzYmY4NTVhNzIxZDgiLCJ1c2VySWQiOiIzMTU1ODEyOTcifQ==</vt:lpwstr>
  </property>
</Properties>
</file>