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jc w:val="center"/>
        <w:spacing w:line="360" w:lineRule="auto"/>
        <w:rPr>
          <w:rFonts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pStyle w:val="1019"/>
        <w:ind w:firstLine="568"/>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19"/>
        <w:ind w:firstLine="568"/>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JSZC-321200-HWZX-G2026-0537</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0675-266JOC003833</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数字化乳腺X射线机</w:t>
      </w:r>
      <w:r>
        <w:rPr>
          <w:rFonts w:hint="eastAsia" w:cs="仿宋" w:asciiTheme="minorEastAsia" w:hAnsiTheme="minorEastAsia" w:eastAsiaTheme="minorEastAsia"/>
          <w:b/>
          <w:bCs/>
          <w:color w:val="000000" w:themeColor="text1"/>
          <w:sz w:val="28"/>
          <w:szCs w:val="28"/>
        </w:rPr>
        <w:t xml:space="preserve">采购项目</w:t>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泰州市卫生健康委员会</w:t>
      </w:r>
      <w:r/>
    </w:p>
    <w:p>
      <w:pPr>
        <w:pStyle w:val="861"/>
        <w:ind w:firstLine="0"/>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spacing w:line="360" w:lineRule="auto"/>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cs="仿宋" w:asciiTheme="minorEastAsia" w:hAnsiTheme="minorEastAsia" w:eastAsiaTheme="minorEastAsia"/>
          <w:b/>
          <w:color w:val="000000" w:themeColor="text1"/>
          <w:sz w:val="28"/>
          <w:szCs w:val="28"/>
        </w:rPr>
        <w:t xml:space="preserve">9</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jc w:val="center"/>
        <w:spacing w:line="360" w:lineRule="auto"/>
        <w:widowControl/>
        <w:rPr>
          <w:rFonts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数字化乳腺X射线机</w:t>
      </w:r>
      <w:r>
        <w:rPr>
          <w:rFonts w:hint="eastAsia" w:cs="仿宋" w:asciiTheme="minorEastAsia" w:hAnsiTheme="minorEastAsia" w:eastAsiaTheme="minorEastAsia"/>
          <w:color w:val="000000" w:themeColor="text1"/>
          <w:sz w:val="24"/>
          <w:szCs w:val="24"/>
          <w:u w:val="single"/>
        </w:rPr>
        <w:t xml:space="preserve">采购项目</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w:t>
      </w:r>
      <w:r>
        <w:rPr>
          <w:rFonts w:hint="eastAsia" w:cs="仿宋" w:asciiTheme="minorEastAsia" w:hAnsiTheme="minorEastAsia" w:eastAsiaTheme="minorEastAsia"/>
          <w:color w:val="000000" w:themeColor="text1"/>
          <w:sz w:val="24"/>
          <w:szCs w:val="24"/>
          <w:u w:val="single"/>
        </w:rPr>
        <w:t xml:space="preserve">采云</w:t>
      </w:r>
      <w:r>
        <w:rPr>
          <w:rFonts w:hint="eastAsia" w:cs="仿宋" w:asciiTheme="minorEastAsia" w:hAnsiTheme="minorEastAsia" w:eastAsiaTheme="minorEastAsia"/>
          <w:color w:val="000000" w:themeColor="text1"/>
          <w:sz w:val="24"/>
          <w:szCs w:val="24"/>
          <w:u w:val="single"/>
        </w:rPr>
        <w:t xml:space="preserve">”系统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65"/>
            <w:rFonts w:hint="eastAsia" w:cs="仿宋" w:asciiTheme="minorEastAsia" w:hAnsiTheme="minorEastAsia" w:eastAsiaTheme="minorEastAsia"/>
            <w:color w:val="000000" w:themeColor="text1"/>
            <w:sz w:val="24"/>
            <w:szCs w:val="24"/>
            <w:u w:val="none"/>
          </w:rPr>
          <w:t xml:space="preserve">，并于</w:t>
        </w:r>
        <w:r>
          <w:rPr>
            <w:rStyle w:val="865"/>
            <w:rFonts w:hint="eastAsia" w:cs="仿宋" w:asciiTheme="minorEastAsia" w:hAnsiTheme="minorEastAsia" w:eastAsiaTheme="minorEastAsia"/>
            <w:color w:val="000000" w:themeColor="text1"/>
            <w:sz w:val="24"/>
            <w:szCs w:val="24"/>
          </w:rPr>
          <w:t xml:space="preserve">2026年</w:t>
        </w:r>
        <w:r>
          <w:rPr>
            <w:rStyle w:val="865"/>
            <w:rFonts w:cs="仿宋" w:asciiTheme="minorEastAsia" w:hAnsiTheme="minorEastAsia" w:eastAsiaTheme="minorEastAsia"/>
            <w:color w:val="000000" w:themeColor="text1"/>
            <w:sz w:val="24"/>
            <w:szCs w:val="24"/>
          </w:rPr>
          <w:t xml:space="preserve">10</w:t>
        </w:r>
        <w:r>
          <w:rPr>
            <w:rStyle w:val="865"/>
            <w:rFonts w:hint="eastAsia" w:cs="仿宋" w:asciiTheme="minorEastAsia" w:hAnsiTheme="minorEastAsia" w:eastAsiaTheme="minorEastAsia"/>
            <w:color w:val="000000" w:themeColor="text1"/>
            <w:sz w:val="24"/>
            <w:szCs w:val="24"/>
          </w:rPr>
          <w:t xml:space="preserve">月</w:t>
        </w:r>
      </w:hyperlink>
      <w:r>
        <w:rPr>
          <w:rStyle w:val="865"/>
          <w:rFonts w:cs="仿宋" w:asciiTheme="minorEastAsia" w:hAnsiTheme="minorEastAsia" w:eastAsiaTheme="minorEastAsia"/>
          <w:color w:val="000000" w:themeColor="text1"/>
          <w:sz w:val="24"/>
          <w:szCs w:val="24"/>
        </w:rPr>
        <w:t xml:space="preserve">19</w:t>
      </w:r>
      <w:r>
        <w:rPr>
          <w:rFonts w:hint="eastAsia" w:cs="仿宋" w:asciiTheme="minorEastAsia" w:hAnsiTheme="minorEastAsia" w:eastAsiaTheme="minorEastAsia"/>
          <w:color w:val="000000" w:themeColor="text1"/>
          <w:sz w:val="24"/>
          <w:szCs w:val="24"/>
          <w:u w:val="single"/>
        </w:rPr>
        <w:t xml:space="preserve">日1</w:t>
      </w:r>
      <w:r>
        <w:rPr>
          <w:rFonts w:cs="仿宋" w:asciiTheme="minorEastAsia" w:hAnsiTheme="minorEastAsia" w:eastAsiaTheme="minorEastAsia"/>
          <w:color w:val="000000" w:themeColor="text1"/>
          <w:sz w:val="24"/>
          <w:szCs w:val="24"/>
          <w:u w:val="single"/>
        </w:rPr>
        <w:t xml:space="preserve">5</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JSZC-321200-HWZX-G2026-0537</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0675-266JOC003833</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数字化乳腺X射线机</w:t>
      </w:r>
      <w:r>
        <w:rPr>
          <w:rFonts w:hint="eastAsia" w:cs="仿宋" w:asciiTheme="minorEastAsia" w:hAnsiTheme="minorEastAsia" w:eastAsiaTheme="minorEastAsia"/>
          <w:color w:val="000000" w:themeColor="text1"/>
          <w:sz w:val="24"/>
          <w:szCs w:val="24"/>
        </w:rPr>
        <w:t xml:space="preserve">采购项目</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260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260</w:t>
      </w:r>
      <w:r>
        <w:rPr>
          <w:rFonts w:hint="eastAsia" w:cs="仿宋" w:asciiTheme="minorEastAsia" w:hAnsiTheme="minorEastAsia" w:eastAsiaTheme="minorEastAsia"/>
          <w:color w:val="000000" w:themeColor="text1"/>
          <w:sz w:val="24"/>
          <w:szCs w:val="24"/>
        </w:rPr>
        <w:t xml:space="preserve">万元</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48"/>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53" w:hRule="exact"/>
        </w:trPr>
        <w:tc>
          <w:tcPr>
            <w:shd w:val="clear" w:color="auto" w:fill="ffffff"/>
            <w:tcW w:w="35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ascii="宋体" w:hAnsi="宋体" w:cs="宋体" w:eastAsiaTheme="minorEastAsia"/>
                <w:sz w:val="24"/>
                <w:szCs w:val="24"/>
              </w:rPr>
            </w:pPr>
            <w:r>
              <w:rPr>
                <w:rFonts w:cs="仿宋" w:asciiTheme="minorEastAsia" w:hAnsiTheme="minorEastAsia" w:eastAsiaTheme="minorEastAsia"/>
                <w:color w:val="000000" w:themeColor="text1"/>
                <w:sz w:val="24"/>
                <w:szCs w:val="24"/>
              </w:rPr>
              <w:t xml:space="preserve">数字化乳腺X射线机</w:t>
            </w:r>
            <w:r/>
          </w:p>
        </w:tc>
        <w:tc>
          <w:tcPr>
            <w:shd w:val="clear" w:color="auto" w:fill="ffffff"/>
            <w:tcW w:w="49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00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260</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260</w:t>
            </w:r>
            <w:r/>
          </w:p>
        </w:tc>
        <w:tc>
          <w:tcPr>
            <w:shd w:val="clear" w:color="auto" w:fill="ffffff"/>
            <w:tcW w:w="65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否</w:t>
            </w:r>
            <w:r/>
          </w:p>
        </w:tc>
      </w:tr>
    </w:tbl>
    <w:p>
      <w:pPr>
        <w:pStyle w:val="1021"/>
        <w:spacing w:before="0" w:after="0" w:line="360" w:lineRule="auto"/>
        <w:rPr>
          <w:rFonts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w:t>
      </w:r>
      <w:r>
        <w:rPr>
          <w:rFonts w:ascii="宋体" w:hAnsi="宋体" w:eastAsia="宋体"/>
          <w:bCs/>
          <w:sz w:val="24"/>
          <w:szCs w:val="24"/>
        </w:rPr>
        <w:t xml:space="preserve">财购(</w:t>
      </w:r>
      <w:r>
        <w:rPr>
          <w:rFonts w:ascii="宋体" w:hAnsi="宋体" w:eastAsia="宋体"/>
          <w:bCs/>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ascii="宋体" w:hAnsi="宋体" w:eastAsia="宋体"/>
          <w:sz w:val="24"/>
          <w:szCs w:val="24"/>
        </w:rPr>
      </w:pPr>
      <w:r>
        <w:rPr>
          <w:rFonts w:ascii="宋体" w:hAnsi="宋体" w:eastAsia="宋体"/>
          <w:bCs/>
          <w:sz w:val="24"/>
          <w:szCs w:val="24"/>
        </w:rPr>
        <w:t xml:space="preserve">3.2中小</w:t>
      </w:r>
      <w:r>
        <w:rPr>
          <w:rFonts w:ascii="宋体" w:hAnsi="宋体" w:eastAsia="宋体"/>
          <w:bCs/>
          <w:sz w:val="24"/>
          <w:szCs w:val="24"/>
        </w:rPr>
        <w:t xml:space="preserve">微企业</w:t>
      </w:r>
      <w:r>
        <w:rPr>
          <w:rFonts w:ascii="宋体" w:hAnsi="宋体" w:eastAsia="宋体"/>
          <w:bCs/>
          <w:sz w:val="24"/>
          <w:szCs w:val="24"/>
        </w:rPr>
        <w:t xml:space="preserve">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ascii="宋体" w:hAnsi="宋体" w:eastAsia="宋体"/>
          <w:bCs/>
          <w:sz w:val="24"/>
          <w:szCs w:val="24"/>
        </w:rPr>
      </w:pPr>
      <w:r>
        <w:rPr>
          <w:rFonts w:hint="eastAsia" w:ascii="宋体" w:hAnsi="宋体" w:eastAsia="宋体"/>
          <w:bCs/>
          <w:sz w:val="24"/>
          <w:szCs w:val="24"/>
        </w:rPr>
        <w:t xml:space="preserve">（二）本项目的特定资格要求：</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1、投标人需提供三类医疗器械经营企业许可证/二类医疗器械经营备案凭证、所投产品医疗器械注册证/医疗器械产品注册登记表</w:t>
      </w:r>
      <w:r>
        <w:rPr>
          <w:rFonts w:ascii="SimSun" w:hAnsi="SimSun" w:eastAsia="SimSun" w:cs="SimSun"/>
          <w:color w:val="000000"/>
          <w:sz w:val="24"/>
          <w:u w:val="none"/>
        </w:rPr>
        <w:t xml:space="preserve">/</w:t>
      </w:r>
      <w:r>
        <w:rPr>
          <w:rFonts w:ascii="SimSun" w:hAnsi="SimSun" w:eastAsia="SimSun" w:cs="SimSun"/>
          <w:color w:val="000000"/>
          <w:sz w:val="24"/>
        </w:rPr>
        <w:t xml:space="preserve">医疗器械备案凭证；</w:t>
      </w:r>
      <w:r/>
    </w:p>
    <w:p>
      <w:pPr>
        <w:ind w:firstLine="564"/>
        <w:spacing w:line="360" w:lineRule="auto"/>
        <w:rPr>
          <w:rFonts w:ascii="宋体" w:hAnsi="宋体" w:eastAsia="宋体"/>
          <w:sz w:val="24"/>
          <w:szCs w:val="24"/>
        </w:rPr>
      </w:pPr>
      <w:r>
        <w:rPr>
          <w:rFonts w:ascii="SimSun" w:hAnsi="SimSun" w:eastAsia="SimSun" w:cs="SimSun"/>
          <w:color w:val="000000"/>
          <w:sz w:val="24"/>
        </w:rPr>
        <w:t xml:space="preserve">2、投标人需具备辐射安全许可证(包含销售资质）</w:t>
      </w:r>
      <w:r>
        <w:rPr>
          <w:rFonts w:hint="eastAsia" w:ascii="宋体" w:hAnsi="宋体" w:eastAsia="宋体"/>
          <w:bCs/>
          <w:sz w:val="24"/>
          <w:szCs w:val="24"/>
        </w:rPr>
        <w:t xml:space="preserve"> </w:t>
      </w:r>
      <w:r>
        <w:rPr>
          <w:rFonts w:hint="eastAsia" w:ascii="宋体" w:hAnsi="宋体" w:eastAsia="宋体"/>
          <w:bCs/>
          <w:sz w:val="24"/>
          <w:szCs w:val="24"/>
        </w:rPr>
      </w:r>
      <w:r/>
    </w:p>
    <w:p>
      <w:pPr>
        <w:pStyle w:val="1021"/>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’系统”下载本项目招标文件。</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”系统免费下载。</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”进入系统。</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w:t>
      </w:r>
      <w:r>
        <w:rPr>
          <w:rFonts w:hint="eastAsia" w:cs="仿宋" w:asciiTheme="minorEastAsia" w:hAnsiTheme="minorEastAsia" w:eastAsiaTheme="minorEastAsia"/>
          <w:color w:val="000000" w:themeColor="text1"/>
          <w:sz w:val="24"/>
          <w:szCs w:val="24"/>
        </w:rPr>
        <w:t xml:space="preserve">手册可访问江苏省政府采购网，“资料下载”进行下载《江苏省政府采购管理交易系统（苏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20" w:name="_Toc28359005"/>
      <w:r/>
      <w:bookmarkStart w:id="21" w:name="_Toc28359082"/>
      <w:r/>
      <w:bookmarkStart w:id="22" w:name="_Toc35393793"/>
      <w:r/>
      <w:bookmarkStart w:id="23" w:name="_Toc35393624"/>
      <w:r>
        <w:rPr>
          <w:rFonts w:hint="eastAsia" w:cs="仿宋" w:asciiTheme="minorEastAsia" w:hAnsiTheme="minorEastAsia" w:eastAsiaTheme="minorEastAsia"/>
          <w:bCs w:val="0"/>
          <w:color w:val="000000" w:themeColor="text1"/>
          <w:sz w:val="24"/>
          <w:szCs w:val="24"/>
        </w:rPr>
        <w:t xml:space="preserve">四、提交投标文件</w:t>
      </w:r>
      <w:bookmarkEnd w:id="20"/>
      <w:r/>
      <w:bookmarkEnd w:id="21"/>
      <w:r>
        <w:rPr>
          <w:rFonts w:hint="eastAsia" w:cs="仿宋" w:asciiTheme="minorEastAsia" w:hAnsiTheme="minorEastAsia" w:eastAsiaTheme="minorEastAsia"/>
          <w:bCs w:val="0"/>
          <w:color w:val="000000" w:themeColor="text1"/>
          <w:sz w:val="24"/>
          <w:szCs w:val="24"/>
        </w:rPr>
        <w:t xml:space="preserve">截止时间、开标时间和地点</w:t>
      </w:r>
      <w:bookmarkEnd w:id="22"/>
      <w:r/>
      <w:bookmarkEnd w:id="23"/>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月1</w:t>
      </w:r>
      <w:r>
        <w:rPr>
          <w:rFonts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w:t>
      </w:r>
      <w:r/>
    </w:p>
    <w:p>
      <w:pPr>
        <w:ind w:firstLine="54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24" w:name="_Toc28359084"/>
      <w:r/>
      <w:bookmarkStart w:id="25" w:name="_Toc35393625"/>
      <w:r/>
      <w:bookmarkStart w:id="26" w:name="_Toc28359007"/>
      <w:r/>
      <w:bookmarkStart w:id="27" w:name="_Toc35393794"/>
      <w:r>
        <w:rPr>
          <w:rFonts w:hint="eastAsia" w:cs="仿宋" w:asciiTheme="minorEastAsia" w:hAnsiTheme="minorEastAsia" w:eastAsiaTheme="minorEastAsia"/>
          <w:bCs w:val="0"/>
          <w:color w:val="000000" w:themeColor="text1"/>
          <w:sz w:val="24"/>
          <w:szCs w:val="24"/>
        </w:rPr>
        <w:t xml:space="preserve">五、公告期限</w:t>
      </w:r>
      <w:bookmarkEnd w:id="24"/>
      <w:r/>
      <w:bookmarkEnd w:id="25"/>
      <w:r/>
      <w:bookmarkEnd w:id="26"/>
      <w:r/>
      <w:bookmarkEnd w:id="27"/>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28" w:name="_Toc35393626"/>
      <w:r/>
      <w:bookmarkStart w:id="29" w:name="_Toc35393795"/>
      <w:r>
        <w:rPr>
          <w:rFonts w:hint="eastAsia" w:cs="仿宋" w:asciiTheme="minorEastAsia" w:hAnsiTheme="minorEastAsia" w:eastAsiaTheme="minorEastAsia"/>
          <w:bCs w:val="0"/>
          <w:color w:val="000000" w:themeColor="text1"/>
          <w:sz w:val="24"/>
          <w:szCs w:val="24"/>
        </w:rPr>
        <w:t xml:space="preserve">六、其他补充事宜</w:t>
      </w:r>
      <w:bookmarkEnd w:id="28"/>
      <w:r/>
      <w:bookmarkEnd w:id="29"/>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0" w:name="_Toc35393627"/>
      <w:r/>
      <w:bookmarkStart w:id="31" w:name="_Toc35393796"/>
      <w:r/>
      <w:bookmarkStart w:id="32" w:name="_Toc28359008"/>
      <w:r/>
      <w:bookmarkStart w:id="33"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1）.小</w:t>
      </w:r>
      <w:r>
        <w:rPr>
          <w:rFonts w:hint="eastAsia" w:ascii="宋体" w:hAnsi="宋体" w:eastAsia="宋体" w:cs="宋体"/>
          <w:bCs/>
          <w:sz w:val="24"/>
          <w:szCs w:val="24"/>
        </w:rPr>
        <w:t xml:space="preserve">微企业</w:t>
      </w:r>
      <w:r>
        <w:rPr>
          <w:rFonts w:hint="eastAsia" w:ascii="宋体" w:hAnsi="宋体" w:eastAsia="宋体" w:cs="宋体"/>
          <w:bCs/>
          <w:sz w:val="24"/>
          <w:szCs w:val="24"/>
        </w:rPr>
        <w:t xml:space="preserve">价格扣除《江苏省财政厅关于进一步加大政府采购支持中小企业力度的通知》（</w:t>
      </w:r>
      <w:r>
        <w:rPr>
          <w:rFonts w:hint="eastAsia" w:ascii="宋体" w:hAnsi="宋体" w:eastAsia="宋体" w:cs="宋体"/>
          <w:bCs/>
          <w:sz w:val="24"/>
          <w:szCs w:val="24"/>
        </w:rPr>
        <w:t xml:space="preserve">苏财购〔2022〕</w:t>
      </w:r>
      <w:r>
        <w:rPr>
          <w:rFonts w:hint="eastAsia" w:ascii="宋体" w:hAnsi="宋体" w:eastAsia="宋体" w:cs="宋体"/>
          <w:bCs/>
          <w:sz w:val="24"/>
          <w:szCs w:val="24"/>
        </w:rPr>
        <w:t xml:space="preserve">45号）2）.节能、环保产品政策《江苏省财政厅关于加强政府绿色采购有关事项的通知》（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w:t>
      </w:r>
      <w:r>
        <w:rPr>
          <w:rFonts w:hint="eastAsia" w:ascii="宋体" w:hAnsi="宋体" w:eastAsia="宋体" w:cs="宋体"/>
          <w:sz w:val="24"/>
          <w:szCs w:val="24"/>
        </w:rPr>
        <w:t xml:space="preserve">不</w:t>
      </w:r>
      <w:r>
        <w:rPr>
          <w:rFonts w:hint="eastAsia" w:ascii="宋体" w:hAnsi="宋体" w:eastAsia="宋体" w:cs="宋体"/>
          <w:sz w:val="24"/>
          <w:szCs w:val="24"/>
        </w:rPr>
        <w:t xml:space="preserve">专门面向中小企业采购的项目</w:t>
      </w:r>
      <w:r/>
    </w:p>
    <w:p>
      <w:pPr>
        <w:pStyle w:val="1021"/>
        <w:spacing w:before="0" w:after="0"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0"/>
      <w:r/>
      <w:bookmarkEnd w:id="31"/>
      <w:r/>
      <w:bookmarkEnd w:id="32"/>
      <w:r/>
      <w:bookmarkEnd w:id="33"/>
      <w:r/>
      <w:r/>
    </w:p>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泰州市卫生健康委员会</w:t>
      </w:r>
      <w:r>
        <w:rPr>
          <w:rFonts w:hint="eastAsia" w:ascii="宋体" w:hAnsi="宋体" w:eastAsia="宋体"/>
          <w:bCs/>
          <w:sz w:val="24"/>
          <w:szCs w:val="24"/>
        </w:rPr>
        <w:t xml:space="preserve">　</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r>
        <w:rPr>
          <w:rFonts w:hint="eastAsia" w:asciiTheme="minorEastAsia" w:hAnsiTheme="minorEastAsia" w:eastAsiaTheme="minorEastAsia"/>
          <w:spacing w:val="8"/>
          <w:sz w:val="24"/>
          <w:szCs w:val="24"/>
          <w:lang w:val="zh-CN"/>
        </w:rPr>
        <w:t xml:space="preserve">胡女士</w:t>
      </w:r>
      <w:r>
        <w:rPr>
          <w:rFonts w:hint="eastAsia" w:asciiTheme="minorEastAsia" w:hAnsiTheme="minorEastAsia" w:eastAsiaTheme="minorEastAsia"/>
          <w:spacing w:val="8"/>
          <w:sz w:val="24"/>
          <w:szCs w:val="24"/>
          <w:lang w:val="zh-CN"/>
        </w:rPr>
        <w:t xml:space="preserve">  </w:t>
      </w:r>
      <w:r>
        <w:rPr>
          <w:rFonts w:hint="eastAsia" w:asciiTheme="minorEastAsia" w:hAnsiTheme="minorEastAsia" w:eastAsiaTheme="minorEastAsia"/>
          <w:spacing w:val="8"/>
          <w:sz w:val="24"/>
          <w:szCs w:val="24"/>
          <w:lang w:val="zh-CN"/>
        </w:rPr>
        <w:t xml:space="preserve">0</w:t>
      </w:r>
      <w:r>
        <w:rPr>
          <w:rFonts w:asciiTheme="minorEastAsia" w:hAnsiTheme="minorEastAsia" w:eastAsiaTheme="minorEastAsia"/>
          <w:spacing w:val="8"/>
          <w:sz w:val="24"/>
          <w:szCs w:val="24"/>
          <w:lang w:val="zh-CN"/>
        </w:rPr>
        <w:t xml:space="preserve">523-86898382</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地　址：南京市建</w:t>
      </w:r>
      <w:r>
        <w:rPr>
          <w:rFonts w:hint="eastAsia" w:ascii="宋体" w:hAnsi="宋体" w:eastAsia="宋体"/>
          <w:bCs/>
          <w:sz w:val="24"/>
          <w:szCs w:val="24"/>
        </w:rPr>
        <w:t xml:space="preserve">邺</w:t>
      </w:r>
      <w:r>
        <w:rPr>
          <w:rFonts w:hint="eastAsia" w:ascii="宋体" w:hAnsi="宋体" w:eastAsia="宋体"/>
          <w:bCs/>
          <w:sz w:val="24"/>
          <w:szCs w:val="24"/>
        </w:rPr>
        <w:t xml:space="preserve">区云龙山路5</w:t>
      </w:r>
      <w:r>
        <w:rPr>
          <w:rFonts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cs="仿宋" w:asciiTheme="minorEastAsia" w:hAnsiTheme="minorEastAsia" w:eastAsiaTheme="minorEastAsia"/>
          <w:b/>
          <w:color w:val="000000" w:themeColor="text1"/>
          <w:szCs w:val="22"/>
        </w:rPr>
      </w:pPr>
      <w:r>
        <w:rPr>
          <w:rFonts w:cs="仿宋" w:asciiTheme="minorEastAsia" w:hAnsiTheme="minorEastAsia" w:eastAsiaTheme="minorEastAsia"/>
          <w:b/>
          <w:color w:val="000000" w:themeColor="text1"/>
          <w:szCs w:val="22"/>
        </w:rPr>
      </w:r>
      <w:r/>
    </w:p>
    <w:p>
      <w:pPr>
        <w:jc w:val="center"/>
        <w:spacing w:line="360" w:lineRule="auto"/>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数字化乳腺X射线机</w:t>
            </w:r>
            <w:r>
              <w:rPr>
                <w:rFonts w:hint="eastAsia" w:cs="仿宋" w:asciiTheme="minorEastAsia" w:hAnsiTheme="minorEastAsia" w:eastAsiaTheme="minorEastAsia"/>
                <w:color w:val="000000" w:themeColor="text1"/>
                <w:sz w:val="24"/>
                <w:szCs w:val="24"/>
              </w:rPr>
              <w:t xml:space="preserve">采购项目</w:t>
            </w:r>
            <w:r/>
          </w:p>
        </w:tc>
      </w:tr>
      <w:tr>
        <w:trPr>
          <w:jc w:val="center"/>
          <w:trHeight w:val="543"/>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w:t>
            </w:r>
            <w:r>
              <w:rPr>
                <w:rFonts w:ascii="宋体" w:hAnsi="宋体" w:eastAsia="宋体" w:cs="仿宋"/>
                <w:sz w:val="24"/>
                <w:szCs w:val="24"/>
              </w:rPr>
              <w:t xml:space="preserve">合同签订后30个工作日内完成交货、安装、调试及验收</w:t>
            </w:r>
            <w:r>
              <w:rPr>
                <w:rFonts w:hint="eastAsia" w:ascii="宋体" w:hAnsi="宋体" w:eastAsia="宋体" w:cs="仿宋"/>
                <w:sz w:val="24"/>
                <w:szCs w:val="24"/>
              </w:rPr>
              <w:t xml:space="preserve">。</w:t>
            </w:r>
            <w:r>
              <w:rPr>
                <w:rFonts w:hint="eastAsia" w:cs="仿宋" w:asciiTheme="minorEastAsia" w:hAnsiTheme="minorEastAsia" w:eastAsiaTheme="minorEastAsia"/>
                <w:color w:val="000000" w:themeColor="text1"/>
                <w:sz w:val="24"/>
                <w:szCs w:val="24"/>
              </w:rPr>
              <w:t xml:space="preserve"> </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2</w:t>
            </w:r>
            <w:r>
              <w:rPr>
                <w:rFonts w:cs="仿宋" w:asciiTheme="minorEastAsia" w:hAnsiTheme="minorEastAsia" w:eastAsiaTheme="minorEastAsia"/>
                <w:iCs/>
                <w:color w:val="000000" w:themeColor="text1"/>
                <w:sz w:val="24"/>
                <w:szCs w:val="24"/>
              </w:rPr>
              <w:t xml:space="preserve">60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260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8"/>
              <w:numPr>
                <w:ilvl w:val="0"/>
                <w:numId w:val="1"/>
              </w:numPr>
              <w:spacing w:line="360" w:lineRule="auto"/>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27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78"/>
              <w:numPr>
                <w:ilvl w:val="0"/>
                <w:numId w:val="1"/>
              </w:num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月1</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35" w:type="dxa"/>
            <w:vAlign w:val="center"/>
            <w:vMerge w:val="continue"/>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75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月1</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53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8"/>
              <w:ind w:firstLine="0"/>
              <w:spacing w:line="360" w:lineRule="auto"/>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24"/>
              <w:ind w:firstLine="0"/>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w:t>
            </w:r>
            <w:r>
              <w:rPr>
                <w:rFonts w:hint="eastAsia" w:cs="仿宋" w:asciiTheme="minorEastAsia" w:hAnsiTheme="minorEastAsia" w:eastAsiaTheme="minorEastAsia"/>
                <w:color w:val="000000" w:themeColor="text1"/>
                <w:sz w:val="24"/>
                <w:szCs w:val="24"/>
              </w:rPr>
              <w:t xml:space="preserve">费</w:t>
            </w:r>
            <w:r/>
          </w:p>
        </w:tc>
        <w:tc>
          <w:tcPr>
            <w:tcW w:w="6166" w:type="dxa"/>
            <w:textDirection w:val="lrTb"/>
            <w:noWrap w:val="false"/>
          </w:tcPr>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w:t>
            </w:r>
            <w:r>
              <w:rPr>
                <w:rFonts w:hint="eastAsia" w:cs="仿宋" w:asciiTheme="minorEastAsia" w:hAnsiTheme="minorEastAsia" w:eastAsiaTheme="minorEastAsia"/>
                <w:bCs/>
                <w:color w:val="000000" w:themeColor="text1"/>
                <w:szCs w:val="24"/>
              </w:rPr>
              <w:t xml:space="preserve">卫健委组织</w:t>
            </w:r>
            <w:r>
              <w:rPr>
                <w:rFonts w:hint="eastAsia" w:cs="仿宋" w:asciiTheme="minorEastAsia" w:hAnsiTheme="minorEastAsia" w:eastAsiaTheme="minorEastAsia"/>
                <w:bCs/>
                <w:color w:val="000000" w:themeColor="text1"/>
                <w:szCs w:val="24"/>
              </w:rPr>
              <w:t xml:space="preserve">实施集中统一采购，最终</w:t>
            </w:r>
            <w:r>
              <w:rPr>
                <w:rFonts w:hint="eastAsia" w:cs="仿宋" w:asciiTheme="minorEastAsia" w:hAnsiTheme="minorEastAsia" w:eastAsiaTheme="minorEastAsia"/>
                <w:bCs/>
                <w:color w:val="000000" w:themeColor="text1"/>
                <w:szCs w:val="24"/>
              </w:rPr>
              <w:t xml:space="preserve">用户为各县域</w:t>
            </w:r>
            <w:r>
              <w:rPr>
                <w:rFonts w:hint="eastAsia" w:cs="仿宋" w:asciiTheme="minorEastAsia" w:hAnsiTheme="minorEastAsia" w:eastAsiaTheme="minorEastAsia"/>
                <w:bCs/>
                <w:color w:val="000000" w:themeColor="text1"/>
                <w:szCs w:val="24"/>
              </w:rPr>
              <w:t xml:space="preserve">医</w:t>
            </w:r>
            <w:r>
              <w:rPr>
                <w:rFonts w:hint="eastAsia" w:cs="仿宋" w:asciiTheme="minorEastAsia" w:hAnsiTheme="minorEastAsia" w:eastAsiaTheme="minorEastAsia"/>
                <w:bCs/>
                <w:color w:val="000000" w:themeColor="text1"/>
                <w:szCs w:val="24"/>
              </w:rPr>
              <w:t xml:space="preserve">共体单位，资金支付方为各县域</w:t>
            </w:r>
            <w:r>
              <w:rPr>
                <w:rFonts w:hint="eastAsia" w:cs="仿宋" w:asciiTheme="minorEastAsia" w:hAnsiTheme="minorEastAsia" w:eastAsiaTheme="minorEastAsia"/>
                <w:bCs/>
                <w:color w:val="000000" w:themeColor="text1"/>
                <w:szCs w:val="24"/>
              </w:rPr>
              <w:t xml:space="preserve">医</w:t>
            </w:r>
            <w:r>
              <w:rPr>
                <w:rFonts w:hint="eastAsia" w:cs="仿宋" w:asciiTheme="minorEastAsia" w:hAnsiTheme="minorEastAsia" w:eastAsiaTheme="minorEastAsia"/>
                <w:bCs/>
                <w:color w:val="000000" w:themeColor="text1"/>
                <w:szCs w:val="24"/>
              </w:rPr>
              <w:t xml:space="preserve">共体单位，因此本项目不适宜由采购人支付代理服务费。领取中标通知书前，由</w:t>
            </w:r>
            <w:r>
              <w:rPr>
                <w:rFonts w:hint="eastAsia" w:cs="仿宋" w:asciiTheme="minorEastAsia" w:hAnsiTheme="minorEastAsia" w:eastAsiaTheme="minorEastAsia"/>
                <w:bCs/>
                <w:color w:val="000000" w:themeColor="text1"/>
                <w:szCs w:val="24"/>
              </w:rPr>
              <w:t xml:space="preserve">中标供应商需</w:t>
            </w:r>
            <w:bookmarkStart w:id="35" w:name="_Hlk144458186"/>
            <w:r>
              <w:rPr>
                <w:rFonts w:hint="eastAsia" w:cs="仿宋" w:asciiTheme="minorEastAsia" w:hAnsiTheme="minorEastAsia" w:eastAsiaTheme="minorEastAsia"/>
                <w:color w:val="000000" w:themeColor="text1"/>
                <w:szCs w:val="24"/>
              </w:rPr>
              <w:t xml:space="preserve">按照江苏省政府采购协会《关于印发(江苏省政府采购代理服务收费指导意见〉的通知》(苏</w:t>
            </w:r>
            <w:r>
              <w:rPr>
                <w:rFonts w:hint="eastAsia" w:cs="仿宋" w:asciiTheme="minorEastAsia" w:hAnsiTheme="minorEastAsia" w:eastAsiaTheme="minorEastAsia"/>
                <w:color w:val="000000" w:themeColor="text1"/>
                <w:szCs w:val="24"/>
              </w:rPr>
              <w:t xml:space="preserve">政采协</w:t>
            </w:r>
            <w:r>
              <w:rPr>
                <w:rFonts w:hint="eastAsia" w:cs="仿宋" w:asciiTheme="minorEastAsia" w:hAnsiTheme="minorEastAsia" w:eastAsiaTheme="minorEastAsia"/>
                <w:color w:val="000000" w:themeColor="text1"/>
                <w:szCs w:val="24"/>
              </w:rPr>
              <w:t xml:space="preserve">(2024</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20号)文件规定的收费标准的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5"/>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w:t>
            </w:r>
            <w:r>
              <w:rPr>
                <w:rFonts w:cs="仿宋" w:asciiTheme="minorEastAsia" w:hAnsiTheme="minorEastAsia" w:eastAsiaTheme="minorEastAsia"/>
                <w:bCs/>
                <w:color w:val="000000" w:themeColor="text1"/>
                <w:szCs w:val="24"/>
              </w:rPr>
              <w:t xml:space="preserve">3833</w:t>
            </w:r>
            <w:r>
              <w:rPr>
                <w:rFonts w:hint="eastAsia" w:cs="仿宋" w:asciiTheme="minorEastAsia" w:hAnsiTheme="minorEastAsia" w:eastAsiaTheme="minorEastAsia"/>
                <w:bCs/>
                <w:color w:val="000000" w:themeColor="text1"/>
                <w:szCs w:val="24"/>
              </w:rPr>
              <w:t xml:space="preserve">代理服务费。</w:t>
            </w:r>
            <w:r/>
          </w:p>
          <w:p>
            <w:pPr>
              <w:pStyle w:val="1024"/>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0</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24"/>
              <w:ind w:firstLine="0"/>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24"/>
              <w:ind w:firstLine="240"/>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”系统进行政府采购活动。</w:t>
            </w:r>
            <w:r/>
          </w:p>
          <w:p>
            <w:pPr>
              <w:pStyle w:val="1024"/>
              <w:ind w:firstLine="240"/>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w:t>
            </w:r>
            <w:r>
              <w:rPr>
                <w:rFonts w:hint="eastAsia" w:cs="仿宋" w:asciiTheme="minorEastAsia" w:hAnsiTheme="minorEastAsia" w:eastAsiaTheme="minorEastAsia"/>
                <w:color w:val="000000" w:themeColor="text1"/>
                <w:szCs w:val="24"/>
              </w:rPr>
              <w:t xml:space="preserve">81568158），根据《江苏省政府采购管理交易系统（苏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）供应商操作手册》规定，在“苏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w:t>
      </w:r>
      <w:r>
        <w:rPr>
          <w:rFonts w:hint="eastAsia" w:cs="仿宋" w:asciiTheme="minorEastAsia" w:hAnsiTheme="minorEastAsia" w:eastAsiaTheme="minorEastAsia"/>
          <w:bCs/>
          <w:color w:val="000000" w:themeColor="text1"/>
          <w:sz w:val="24"/>
          <w:szCs w:val="24"/>
        </w:rPr>
        <w:t xml:space="preserve">采云</w:t>
      </w:r>
      <w:r>
        <w:rPr>
          <w:rFonts w:hint="eastAsia" w:cs="仿宋" w:asciiTheme="minorEastAsia" w:hAnsiTheme="minorEastAsia" w:eastAsiaTheme="minorEastAsia"/>
          <w:bCs/>
          <w:color w:val="000000" w:themeColor="text1"/>
          <w:sz w:val="24"/>
          <w:szCs w:val="24"/>
        </w:rPr>
        <w:t xml:space="preserve">”系统（http://jszfcg.jsczt.cn/，下同）下载招标文件及有关资料，按招标文件要求提交全部资料并对招标文件各项内容做出实质性响应。</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24"/>
        <w:ind w:firstLine="480"/>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24"/>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w:t>
      </w:r>
      <w:r>
        <w:rPr>
          <w:rFonts w:hint="eastAsia" w:cs="仿宋" w:asciiTheme="minorEastAsia" w:hAnsiTheme="minorEastAsia" w:eastAsiaTheme="minorEastAsia"/>
          <w:color w:val="000000" w:themeColor="text1"/>
          <w:sz w:val="24"/>
          <w:szCs w:val="24"/>
        </w:rPr>
        <w:t xml:space="preserve">标文件可能引起的对投标人不利的后果，招标采购单位概不负责。</w:t>
      </w:r>
      <w:r/>
    </w:p>
    <w:p>
      <w:pPr>
        <w:pStyle w:val="1023"/>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6" w:name="_Toc217446047"/>
      <w:r>
        <w:rPr>
          <w:rFonts w:hint="eastAsia" w:cs="仿宋" w:asciiTheme="minorEastAsia" w:hAnsiTheme="minorEastAsia" w:eastAsiaTheme="minorEastAsia"/>
          <w:b/>
          <w:color w:val="000000" w:themeColor="text1"/>
          <w:sz w:val="24"/>
          <w:szCs w:val="24"/>
        </w:rPr>
        <w:t xml:space="preserve">2.知识产权</w:t>
      </w:r>
      <w:bookmarkEnd w:id="36"/>
      <w:r/>
      <w:r/>
    </w:p>
    <w:p>
      <w:pPr>
        <w:pStyle w:val="1024"/>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8"/>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8"/>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t>
      </w:r>
      <w:r>
        <w:rPr>
          <w:rFonts w:hint="eastAsia" w:cs="仿宋" w:asciiTheme="minorEastAsia" w:hAnsiTheme="minorEastAsia" w:eastAsiaTheme="minorEastAsia"/>
          <w:color w:val="000000" w:themeColor="text1"/>
          <w:sz w:val="24"/>
          <w:szCs w:val="24"/>
        </w:rPr>
        <w:t xml:space="preserve">(www.ccgp.gov.cn)政府采购严重违法失信行为记录名单（网页截图）。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w:t>
      </w:r>
      <w:r>
        <w:rPr>
          <w:rFonts w:hint="eastAsia" w:cs="仿宋" w:asciiTheme="minorEastAsia" w:hAnsiTheme="minorEastAsia" w:eastAsiaTheme="minorEastAsia"/>
          <w:color w:val="000000" w:themeColor="text1"/>
          <w:sz w:val="24"/>
          <w:szCs w:val="24"/>
        </w:rPr>
        <w:t xml:space="preserve">区人士</w:t>
      </w:r>
      <w:r>
        <w:rPr>
          <w:rFonts w:hint="eastAsia" w:cs="仿宋" w:asciiTheme="minorEastAsia" w:hAnsiTheme="minorEastAsia" w:eastAsiaTheme="minorEastAsia"/>
          <w:color w:val="000000" w:themeColor="text1"/>
          <w:sz w:val="24"/>
          <w:szCs w:val="24"/>
        </w:rPr>
        <w:t xml:space="preserve">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24"/>
        <w:ind w:firstLine="505"/>
        <w:jc w:val="both"/>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15.1投标人对《开标一览表》中的全部货物的报价应包括包装、运输装卸、就位安装调试、第三方检测、防护评价、计量检定、培训、税费、售后等全部报价。</w:t>
      </w:r>
      <w:r/>
    </w:p>
    <w:p>
      <w:pPr>
        <w:pStyle w:val="1024"/>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24"/>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w:t>
      </w:r>
      <w:r>
        <w:rPr>
          <w:rFonts w:hint="eastAsia" w:cs="仿宋" w:asciiTheme="minorEastAsia" w:hAnsiTheme="minorEastAsia" w:eastAsiaTheme="minorEastAsia"/>
          <w:color w:val="000000" w:themeColor="text1"/>
          <w:szCs w:val="24"/>
        </w:rPr>
        <w:t xml:space="preserve">投其中</w:t>
      </w:r>
      <w:r>
        <w:rPr>
          <w:rFonts w:hint="eastAsia" w:cs="仿宋" w:asciiTheme="minorEastAsia" w:hAnsiTheme="minorEastAsia" w:eastAsiaTheme="minorEastAsia"/>
          <w:color w:val="000000" w:themeColor="text1"/>
          <w:szCs w:val="24"/>
        </w:rPr>
        <w:t xml:space="preserve">部分内容者，其标书将被拒绝。</w:t>
      </w:r>
      <w:r/>
    </w:p>
    <w:p>
      <w:pPr>
        <w:pStyle w:val="1024"/>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w:t>
      </w:r>
      <w:r>
        <w:rPr>
          <w:rFonts w:hint="eastAsia" w:cs="仿宋" w:asciiTheme="minorEastAsia" w:hAnsiTheme="minorEastAsia" w:eastAsiaTheme="minorEastAsia"/>
          <w:color w:val="000000" w:themeColor="text1"/>
          <w:szCs w:val="24"/>
        </w:rPr>
        <w:t xml:space="preserve">一</w:t>
      </w:r>
      <w:r>
        <w:rPr>
          <w:rFonts w:hint="eastAsia" w:cs="仿宋" w:asciiTheme="minorEastAsia" w:hAnsiTheme="minorEastAsia" w:eastAsiaTheme="minorEastAsia"/>
          <w:color w:val="000000" w:themeColor="text1"/>
          <w:szCs w:val="24"/>
        </w:rPr>
        <w:t xml:space="preserve">项投标内容只允许一个报价，招标采购单位不接受任何有选择性的投标报价。</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8"/>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w:t>
      </w:r>
      <w:r>
        <w:rPr>
          <w:rFonts w:hint="eastAsia" w:cs="仿宋" w:asciiTheme="minorEastAsia" w:hAnsiTheme="minorEastAsia" w:eastAsiaTheme="minorEastAsia"/>
          <w:b w:val="0"/>
          <w:bCs w:val="0"/>
          <w:color w:val="000000" w:themeColor="text1"/>
          <w:sz w:val="24"/>
          <w:szCs w:val="24"/>
        </w:rPr>
        <w:t xml:space="preserve">苏财购〔2020〕</w:t>
      </w:r>
      <w:r>
        <w:rPr>
          <w:rFonts w:hint="eastAsia" w:cs="仿宋" w:asciiTheme="minorEastAsia" w:hAnsiTheme="minorEastAsia" w:eastAsiaTheme="minorEastAsia"/>
          <w:b w:val="0"/>
          <w:bCs w:val="0"/>
          <w:color w:val="000000" w:themeColor="text1"/>
          <w:sz w:val="24"/>
          <w:szCs w:val="24"/>
        </w:rPr>
        <w:t xml:space="preserve">52号文件，本项目不收取投标保证金。 </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）供应商操作手册及政府采购客户端》规定，在投标截止时间</w:t>
      </w:r>
      <w:r>
        <w:rPr>
          <w:rFonts w:hint="eastAsia" w:cs="仿宋" w:asciiTheme="minorEastAsia" w:hAnsiTheme="minorEastAsia" w:eastAsiaTheme="minorEastAsia"/>
          <w:color w:val="000000" w:themeColor="text1"/>
          <w:sz w:val="24"/>
          <w:szCs w:val="24"/>
        </w:rPr>
        <w:t xml:space="preserve">前制作</w:t>
      </w:r>
      <w:r>
        <w:rPr>
          <w:rFonts w:hint="eastAsia" w:cs="仿宋" w:asciiTheme="minorEastAsia" w:hAnsiTheme="minorEastAsia" w:eastAsiaTheme="minorEastAsia"/>
          <w:color w:val="000000" w:themeColor="text1"/>
          <w:sz w:val="24"/>
          <w:szCs w:val="24"/>
        </w:rPr>
        <w:t xml:space="preserve">并上传电子投标文件。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）供应商操作手册及政府采购客户端》规定执行。投标人在苏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）供应商操作手册及政府采购客户端》规定提出，如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中《开标一览表》宣布后5分钟内未提出的，视同认可开标结果。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评价；</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解释或澄清；</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24"/>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24"/>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w:t>
      </w:r>
      <w:r>
        <w:rPr>
          <w:rFonts w:hint="eastAsia" w:cs="仿宋" w:asciiTheme="minorEastAsia" w:hAnsiTheme="minorEastAsia" w:eastAsiaTheme="minorEastAsia"/>
          <w:color w:val="000000" w:themeColor="text1"/>
          <w:sz w:val="24"/>
          <w:szCs w:val="24"/>
        </w:rPr>
        <w:t xml:space="preserve">和对招标文件的响应程度进行审查，以确定是否对招标文件的实质性要求</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响应。</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w:t>
      </w:r>
      <w:r>
        <w:rPr>
          <w:rFonts w:hint="eastAsia" w:cs="仿宋" w:asciiTheme="minorEastAsia" w:hAnsiTheme="minorEastAsia" w:eastAsiaTheme="minorEastAsia"/>
          <w:color w:val="000000" w:themeColor="text1"/>
          <w:sz w:val="24"/>
          <w:szCs w:val="24"/>
        </w:rPr>
        <w:t xml:space="preserve">目管理、监理、检测等服务的；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26.1对投标文件中含义不明确、同类问题表述不一致或者有明显文字和计算错误的内容，评委会有权以电子函件形式要求投标人对其投标文件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必要的澄清、说明或者纠正，但并非对每个投标人都作澄清要求。接到评委会澄清要求的投标人应派人按评委会规定的时间和格式在</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江苏政府采购“苏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中做出澄清，由其授权的代表签字，澄清的内容作为投标文件的补充部分，但投标的价格和实质性的内容不得做任何更改。具体操作方式见《江苏省政府采购管理交易系统（苏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实质性响应的投标人不足三家；</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系统重大故障原因无法继续开评</w:t>
      </w:r>
      <w:r>
        <w:rPr>
          <w:rFonts w:hint="eastAsia" w:cs="仿宋" w:asciiTheme="minorEastAsia" w:hAnsiTheme="minorEastAsia" w:eastAsiaTheme="minorEastAsia"/>
          <w:color w:val="000000" w:themeColor="text1"/>
          <w:sz w:val="24"/>
          <w:szCs w:val="24"/>
        </w:rPr>
        <w:t xml:space="preserve">标的。</w:t>
      </w:r>
      <w:r/>
    </w:p>
    <w:p>
      <w:pPr>
        <w:ind w:left="485" w:firstLine="85"/>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6.关于异常低价的审查</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24"/>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24"/>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w:t>
      </w:r>
      <w:r>
        <w:rPr>
          <w:rFonts w:hint="eastAsia" w:cs="仿宋" w:asciiTheme="minorEastAsia" w:hAnsiTheme="minorEastAsia" w:eastAsiaTheme="minorEastAsia"/>
          <w:color w:val="000000" w:themeColor="text1"/>
          <w:szCs w:val="24"/>
        </w:rPr>
        <w:t xml:space="preserve">分之十</w:t>
      </w:r>
      <w:r>
        <w:rPr>
          <w:rFonts w:hint="eastAsia" w:cs="仿宋" w:asciiTheme="minorEastAsia" w:hAnsiTheme="minorEastAsia" w:eastAsiaTheme="minorEastAsia"/>
          <w:color w:val="000000" w:themeColor="text1"/>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w:t>
      </w:r>
      <w:r>
        <w:rPr>
          <w:rFonts w:hint="eastAsia" w:cs="仿宋" w:asciiTheme="minorEastAsia" w:hAnsiTheme="minorEastAsia" w:eastAsiaTheme="minorEastAsia"/>
          <w:color w:val="000000" w:themeColor="text1"/>
          <w:sz w:val="24"/>
          <w:szCs w:val="24"/>
        </w:rPr>
        <w:t xml:space="preserve">函必须</w:t>
      </w:r>
      <w:r>
        <w:rPr>
          <w:rFonts w:hint="eastAsia" w:cs="仿宋" w:asciiTheme="minorEastAsia" w:hAnsiTheme="minorEastAsia" w:eastAsiaTheme="minorEastAsia"/>
          <w:color w:val="000000" w:themeColor="text1"/>
          <w:sz w:val="24"/>
          <w:szCs w:val="24"/>
        </w:rPr>
        <w:t xml:space="preserve">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w:t>
      </w:r>
      <w:r>
        <w:rPr>
          <w:rFonts w:hint="eastAsia" w:cs="仿宋" w:asciiTheme="minorEastAsia" w:hAnsiTheme="minorEastAsia" w:eastAsiaTheme="minorEastAsia"/>
          <w:color w:val="000000" w:themeColor="text1"/>
          <w:sz w:val="24"/>
          <w:szCs w:val="24"/>
        </w:rPr>
        <w:t xml:space="preserve">期提出</w:t>
      </w:r>
      <w:r>
        <w:rPr>
          <w:rFonts w:hint="eastAsia" w:cs="仿宋" w:asciiTheme="minorEastAsia" w:hAnsiTheme="minorEastAsia" w:eastAsiaTheme="minorEastAsia"/>
          <w:color w:val="000000" w:themeColor="text1"/>
          <w:sz w:val="24"/>
          <w:szCs w:val="24"/>
        </w:rPr>
        <w:t xml:space="preserve">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ind w:firstLine="241"/>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本项目采用以下</w:t>
      </w:r>
      <w:r>
        <w:rPr>
          <w:rFonts w:hint="eastAsia" w:cs="仿宋" w:asciiTheme="minorEastAsia" w:hAnsiTheme="minorEastAsia" w:eastAsiaTheme="minorEastAsia"/>
          <w:b/>
          <w:color w:val="000000" w:themeColor="text1"/>
          <w:sz w:val="24"/>
          <w:szCs w:val="24"/>
          <w:u w:val="single"/>
        </w:rPr>
        <w:t xml:space="preserve"> （1） </w:t>
      </w:r>
      <w:r>
        <w:rPr>
          <w:rFonts w:hint="eastAsia" w:cs="仿宋" w:asciiTheme="minorEastAsia" w:hAnsiTheme="minorEastAsia" w:eastAsiaTheme="minorEastAsia"/>
          <w:b/>
          <w:color w:val="000000" w:themeColor="text1"/>
          <w:sz w:val="24"/>
          <w:szCs w:val="24"/>
        </w:rPr>
        <w:t xml:space="preserve">种方式缴纳履约保证金</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（1）本项目不收取履约保证金</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（2）中标人应按规定提交履约保证金。</w:t>
      </w:r>
      <w:r/>
    </w:p>
    <w:p>
      <w:pPr>
        <w:pStyle w:val="1024"/>
        <w:ind w:firstLine="96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1.中标人必须在合同签订前按规定将履约保证金交至采购人指定账户。中标人未按上述要求提交履约保证金的,采购人可取消其中标资格。</w:t>
      </w:r>
      <w:r/>
    </w:p>
    <w:p>
      <w:pPr>
        <w:pStyle w:val="1024"/>
        <w:ind w:firstLine="96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2.履约保证金（无息）将在合同期结束且经双方验收合格后，采购人凭中标人的收款收据在七个工作日内无息退返给中标单位。</w:t>
      </w:r>
      <w:r/>
    </w:p>
    <w:p>
      <w:pPr>
        <w:ind w:firstLine="960"/>
        <w:spacing w:line="360" w:lineRule="auto"/>
        <w:tabs>
          <w:tab w:val="left" w:pos="90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24"/>
        <w:ind w:firstLine="431"/>
        <w:jc w:val="both"/>
        <w:spacing w:line="360" w:lineRule="auto"/>
        <w:rPr>
          <w:rFonts w:cs="仿宋" w:asciiTheme="minorEastAsia" w:hAnsiTheme="minorEastAsia" w:eastAsiaTheme="minorEastAsia"/>
          <w:color w:val="000000" w:themeColor="text1"/>
          <w:szCs w:val="24"/>
        </w:rPr>
      </w:pPr>
      <w:r/>
      <w:bookmarkStart w:id="37" w:name="_Toc409438818"/>
      <w:r>
        <w:rPr>
          <w:rFonts w:hint="eastAsia" w:cs="仿宋" w:asciiTheme="minorEastAsia" w:hAnsiTheme="minorEastAsia" w:eastAsiaTheme="minorEastAsia"/>
          <w:color w:val="000000" w:themeColor="text1"/>
          <w:szCs w:val="24"/>
        </w:rPr>
        <w:t xml:space="preserve">34.3政府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信用融资功能告知提醒</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我市</w:t>
      </w:r>
      <w:r>
        <w:rPr>
          <w:rFonts w:hint="eastAsia" w:cs="仿宋" w:asciiTheme="minorEastAsia" w:hAnsiTheme="minorEastAsia" w:eastAsiaTheme="minorEastAsia"/>
          <w:color w:val="000000" w:themeColor="text1"/>
          <w:szCs w:val="24"/>
        </w:rPr>
        <w:t xml:space="preserve">已正式启用“苏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”系统，目前已全面开通政府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信用融资（以下简称“政采贷”）功能。成交供应商可凭政府采购合同在中征平台发起贷款申请贷款。</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24"/>
        <w:ind w:firstLine="431"/>
        <w:jc w:val="center"/>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color w:val="000000" w:themeColor="text1"/>
          <w:szCs w:val="24"/>
        </w:rPr>
        <w:t xml:space="preserve">信息第</w:t>
      </w:r>
      <w:r>
        <w:rPr>
          <w:rFonts w:hint="eastAsia" w:cs="仿宋" w:asciiTheme="minorEastAsia" w:hAnsiTheme="minorEastAsia" w:eastAsiaTheme="minorEastAsia"/>
          <w:color w:val="000000" w:themeColor="text1"/>
          <w:szCs w:val="24"/>
        </w:rPr>
        <w:t xml:space="preserve">一行【供应商是否融资】选项里面设置为“是”。</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w:t>
      </w:r>
      <w:r>
        <w:rPr>
          <w:rFonts w:hint="eastAsia" w:cs="仿宋" w:asciiTheme="minorEastAsia" w:hAnsiTheme="minorEastAsia" w:eastAsiaTheme="minorEastAsia"/>
          <w:color w:val="000000" w:themeColor="text1"/>
          <w:szCs w:val="24"/>
        </w:rPr>
        <w:t xml:space="preserve">采购合同申请"</w:t>
      </w: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”系统中公示政府采购合同时，</w:t>
      </w:r>
      <w:r>
        <w:rPr>
          <w:rFonts w:hint="eastAsia" w:cs="仿宋" w:asciiTheme="minorEastAsia" w:hAnsiTheme="minorEastAsia" w:eastAsiaTheme="minorEastAsia"/>
          <w:color w:val="000000" w:themeColor="text1"/>
          <w:szCs w:val="24"/>
        </w:rPr>
        <w:t xml:space="preserve">要勾选融资</w:t>
      </w:r>
      <w:r>
        <w:rPr>
          <w:rFonts w:hint="eastAsia" w:cs="仿宋" w:asciiTheme="minorEastAsia" w:hAnsiTheme="minorEastAsia" w:eastAsiaTheme="minorEastAsia"/>
          <w:color w:val="000000" w:themeColor="text1"/>
          <w:szCs w:val="24"/>
        </w:rPr>
        <w:t xml:space="preserve">标识，为中标供应商融资提供便利。如后续融资失败，采购单位要</w:t>
      </w:r>
      <w:r>
        <w:rPr>
          <w:rFonts w:hint="eastAsia" w:cs="仿宋" w:asciiTheme="minorEastAsia" w:hAnsiTheme="minorEastAsia" w:eastAsiaTheme="minorEastAsia"/>
          <w:color w:val="000000" w:themeColor="text1"/>
          <w:szCs w:val="24"/>
        </w:rPr>
        <w:t xml:space="preserve">及时维护</w:t>
      </w:r>
      <w:r>
        <w:rPr>
          <w:rFonts w:hint="eastAsia" w:cs="仿宋" w:asciiTheme="minorEastAsia" w:hAnsiTheme="minorEastAsia" w:eastAsiaTheme="minorEastAsia"/>
          <w:color w:val="000000" w:themeColor="text1"/>
          <w:szCs w:val="24"/>
        </w:rPr>
        <w:t xml:space="preserve">中标供应</w:t>
      </w:r>
      <w:r>
        <w:rPr>
          <w:rFonts w:hint="eastAsia" w:cs="仿宋" w:asciiTheme="minorEastAsia" w:hAnsiTheme="minorEastAsia" w:eastAsiaTheme="minorEastAsia"/>
          <w:color w:val="000000" w:themeColor="text1"/>
          <w:szCs w:val="24"/>
        </w:rPr>
        <w:t xml:space="preserve">商相关</w:t>
      </w:r>
      <w:r>
        <w:rPr>
          <w:rFonts w:hint="eastAsia" w:cs="仿宋" w:asciiTheme="minorEastAsia" w:hAnsiTheme="minorEastAsia" w:eastAsiaTheme="minorEastAsia"/>
          <w:color w:val="000000" w:themeColor="text1"/>
          <w:szCs w:val="24"/>
        </w:rPr>
        <w:t xml:space="preserve">账号信息，按时支付款项。</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：http://www.ccgp-jiangsu.gov.cn/jiangsu/paying.html</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24"/>
        <w:numPr>
          <w:ilvl w:val="0"/>
          <w:numId w:val="3"/>
        </w:numPr>
        <w:ind w:firstLine="431"/>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8" w:name="_Toc388026586"/>
      <w:r/>
      <w:bookmarkEnd w:id="37"/>
      <w:r/>
      <w:r/>
    </w:p>
    <w:p>
      <w:pPr>
        <w:pStyle w:val="1024"/>
        <w:ind w:firstLine="0"/>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numPr>
          <w:ilvl w:val="0"/>
          <w:numId w:val="4"/>
        </w:numPr>
        <w:ind w:firstLine="0"/>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b/>
          <w:color w:val="000000" w:themeColor="text1"/>
          <w:sz w:val="32"/>
          <w:szCs w:val="32"/>
        </w:rPr>
        <w:t xml:space="preserve">采购</w:t>
      </w:r>
      <w:bookmarkEnd w:id="38"/>
      <w:r>
        <w:rPr>
          <w:rFonts w:hint="eastAsia" w:cs="仿宋" w:asciiTheme="minorEastAsia" w:hAnsiTheme="minorEastAsia" w:eastAsiaTheme="minorEastAsia"/>
          <w:b/>
          <w:color w:val="000000" w:themeColor="text1"/>
          <w:sz w:val="32"/>
          <w:szCs w:val="32"/>
        </w:rPr>
        <w:t xml:space="preserve">需求</w:t>
      </w:r>
      <w:r/>
    </w:p>
    <w:p>
      <w:pPr>
        <w:jc w:val="center"/>
        <w:spacing w:line="360" w:lineRule="auto"/>
        <w:tabs>
          <w:tab w:val="left" w:pos="1260" w:leader="none"/>
        </w:tabs>
        <w:rPr>
          <w:rFonts w:ascii="宋体" w:hAnsi="宋体" w:eastAsia="宋体"/>
          <w:b/>
          <w:sz w:val="28"/>
          <w:szCs w:val="28"/>
        </w:rPr>
      </w:pPr>
      <w:r/>
      <w:bookmarkStart w:id="39" w:name="_Toc388026588"/>
      <w:r/>
      <w:bookmarkStart w:id="40"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48"/>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ascii="宋体" w:hAnsi="宋体" w:eastAsia="宋体" w:cs="宋体"/>
                <w:sz w:val="24"/>
                <w:szCs w:val="24"/>
              </w:rPr>
            </w:pPr>
            <w:r/>
            <w:bookmarkStart w:id="41"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ascii="宋体" w:hAnsi="宋体" w:eastAsia="宋体" w:cs="宋体"/>
                <w:sz w:val="24"/>
                <w:szCs w:val="24"/>
              </w:rPr>
            </w:pPr>
            <w:r>
              <w:rPr>
                <w:rFonts w:cs="仿宋" w:asciiTheme="minorEastAsia" w:hAnsiTheme="minorEastAsia" w:eastAsiaTheme="minorEastAsia"/>
                <w:color w:val="000000" w:themeColor="text1"/>
                <w:sz w:val="24"/>
                <w:szCs w:val="24"/>
              </w:rPr>
              <w:t xml:space="preserve">数字化乳腺X射线机</w:t>
            </w:r>
            <w:r>
              <w:rPr>
                <w:rFonts w:hint="eastAsia" w:cs="仿宋" w:asciiTheme="minorEastAsia" w:hAnsiTheme="minorEastAsia" w:eastAsiaTheme="minorEastAsia"/>
                <w:color w:val="000000" w:themeColor="text1"/>
                <w:sz w:val="24"/>
                <w:szCs w:val="24"/>
              </w:rPr>
              <w:t xml:space="preserve"> </w:t>
            </w:r>
            <w:r/>
          </w:p>
        </w:tc>
        <w:tc>
          <w:tcPr>
            <w:shd w:val="clear" w:color="auto" w:fill="ffffff"/>
            <w:tcW w:w="62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412"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各县域</w:t>
            </w:r>
            <w:r>
              <w:rPr>
                <w:rFonts w:hint="eastAsia" w:ascii="宋体" w:hAnsi="宋体" w:eastAsia="宋体" w:cs="宋体"/>
                <w:sz w:val="24"/>
                <w:szCs w:val="24"/>
              </w:rPr>
              <w:t xml:space="preserve">医</w:t>
            </w:r>
            <w:r>
              <w:rPr>
                <w:rFonts w:hint="eastAsia" w:ascii="宋体" w:hAnsi="宋体" w:eastAsia="宋体" w:cs="宋体"/>
                <w:sz w:val="24"/>
                <w:szCs w:val="24"/>
              </w:rPr>
              <w:t xml:space="preserve">共体医院，具体名单见下表</w:t>
            </w:r>
            <w:bookmarkEnd w:id="41"/>
            <w:r/>
            <w:r/>
          </w:p>
        </w:tc>
      </w:tr>
    </w:tbl>
    <w:p>
      <w:pPr>
        <w:spacing w:line="360" w:lineRule="auto"/>
        <w:tabs>
          <w:tab w:val="left" w:pos="1260" w:leader="none"/>
        </w:tabs>
        <w:rPr>
          <w:rFonts w:ascii="宋体" w:hAnsi="宋体" w:eastAsia="宋体"/>
          <w:b/>
          <w:sz w:val="24"/>
          <w:szCs w:val="24"/>
        </w:rPr>
      </w:pPr>
      <w:r>
        <w:rPr>
          <w:rFonts w:ascii="宋体" w:hAnsi="宋体" w:eastAsia="宋体"/>
          <w:b/>
          <w:sz w:val="24"/>
          <w:szCs w:val="24"/>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3"/>
        <w:gridCol w:w="3313"/>
        <w:gridCol w:w="1864"/>
      </w:tblGrid>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共体名称</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泰州市姜堰中医院</w:t>
            </w: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泰州市姜堰中医院</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1套</w:t>
            </w:r>
            <w:r/>
          </w:p>
        </w:tc>
      </w:tr>
    </w:tbl>
    <w:p>
      <w:pPr>
        <w:spacing w:line="360" w:lineRule="auto"/>
        <w:tabs>
          <w:tab w:val="left" w:pos="1260" w:leader="none"/>
        </w:tabs>
        <w:rPr>
          <w:rFonts w:ascii="宋体" w:hAnsi="宋体" w:eastAsia="宋体"/>
          <w:b/>
          <w:sz w:val="24"/>
          <w:szCs w:val="24"/>
        </w:rPr>
      </w:pPr>
      <w:r>
        <w:rPr>
          <w:rFonts w:ascii="宋体" w:hAnsi="宋体" w:eastAsia="宋体"/>
          <w:b/>
          <w:sz w:val="24"/>
          <w:szCs w:val="24"/>
        </w:rPr>
      </w:r>
      <w:r/>
    </w:p>
    <w:p>
      <w:pPr>
        <w:pStyle w:val="831"/>
        <w:spacing w:line="360" w:lineRule="auto"/>
        <w:rPr>
          <w:rFonts w:asciiTheme="minorEastAsia" w:hAnsiTheme="minorEastAsia" w:eastAsiaTheme="minorEastAsia"/>
          <w:b/>
          <w:szCs w:val="28"/>
        </w:rPr>
      </w:pPr>
      <w:r>
        <w:rPr>
          <w:rFonts w:asciiTheme="minorEastAsia" w:hAnsiTheme="minorEastAsia" w:eastAsiaTheme="minorEastAsia"/>
          <w:b/>
          <w:szCs w:val="28"/>
        </w:rPr>
      </w:r>
      <w:r/>
    </w:p>
    <w:p>
      <w:pPr>
        <w:pStyle w:val="831"/>
        <w:spacing w:line="360" w:lineRule="auto"/>
        <w:rPr>
          <w:rFonts w:asciiTheme="minorEastAsia" w:hAnsiTheme="minorEastAsia" w:eastAsiaTheme="minorEastAsia"/>
          <w:b/>
          <w:szCs w:val="28"/>
        </w:rPr>
      </w:pPr>
      <w:r>
        <w:rPr>
          <w:rFonts w:asciiTheme="minorEastAsia" w:hAnsiTheme="minorEastAsia" w:eastAsiaTheme="minorEastAsia"/>
          <w:b/>
          <w:szCs w:val="28"/>
        </w:rPr>
      </w:r>
      <w:r/>
    </w:p>
    <w:p>
      <w:pPr>
        <w:pStyle w:val="831"/>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br w:type="page" w:clear="all"/>
      </w:r>
      <w:r/>
    </w:p>
    <w:p>
      <w:pPr>
        <w:pStyle w:val="831"/>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1、功能需求</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用于人体乳腺数字平板X射线摄影诊断系统，C</w:t>
      </w:r>
      <w:r>
        <w:rPr>
          <w:rFonts w:hint="eastAsia" w:cs="宋体" w:asciiTheme="minorEastAsia" w:hAnsiTheme="minorEastAsia" w:eastAsiaTheme="minorEastAsia"/>
          <w:sz w:val="24"/>
          <w:szCs w:val="24"/>
        </w:rPr>
        <w:t xml:space="preserve">形臂可</w:t>
      </w:r>
      <w:r>
        <w:rPr>
          <w:rFonts w:hint="eastAsia" w:cs="宋体" w:asciiTheme="minorEastAsia" w:hAnsiTheme="minorEastAsia" w:eastAsiaTheme="minorEastAsia"/>
          <w:sz w:val="24"/>
          <w:szCs w:val="24"/>
        </w:rPr>
        <w:t xml:space="preserve">实现电动摆位。</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2、主要技术规格和要求　</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2.1、高压发生器</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2.1.1、高压发生器最大输出功率≥5KW</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2.1.2、管电压可调范围：20～49KV</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2.1.3、最大mA≥200mA</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2.1.4、最小</w:t>
      </w:r>
      <w:r>
        <w:rPr>
          <w:rFonts w:hint="eastAsia" w:cs="宋体" w:asciiTheme="minorEastAsia" w:hAnsiTheme="minorEastAsia" w:eastAsiaTheme="minorEastAsia"/>
          <w:sz w:val="24"/>
          <w:szCs w:val="24"/>
        </w:rPr>
        <w:t xml:space="preserve">mAs</w:t>
      </w:r>
      <w:r>
        <w:rPr>
          <w:rFonts w:hint="eastAsia" w:cs="宋体" w:asciiTheme="minorEastAsia" w:hAnsiTheme="minorEastAsia" w:eastAsiaTheme="minorEastAsia"/>
          <w:sz w:val="24"/>
          <w:szCs w:val="24"/>
        </w:rPr>
        <w:t xml:space="preserve">≤2mAs</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2.1.5、最大</w:t>
      </w:r>
      <w:r>
        <w:rPr>
          <w:rFonts w:hint="eastAsia" w:cs="宋体" w:asciiTheme="minorEastAsia" w:hAnsiTheme="minorEastAsia" w:eastAsiaTheme="minorEastAsia"/>
          <w:sz w:val="24"/>
          <w:szCs w:val="24"/>
        </w:rPr>
        <w:t xml:space="preserve">mAs</w:t>
      </w:r>
      <w:r>
        <w:rPr>
          <w:rFonts w:hint="eastAsia" w:cs="宋体" w:asciiTheme="minorEastAsia" w:hAnsiTheme="minorEastAsia" w:eastAsiaTheme="minorEastAsia"/>
          <w:sz w:val="24"/>
          <w:szCs w:val="24"/>
        </w:rPr>
        <w:t xml:space="preserve">≥600mAs</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2.1.6、最大曝光时间范围≥10s</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2.1.7、多种曝光控制方式：全自动曝光AEC模式或手动曝光模式</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2.1.8、全自动曝光AEC模式可通过三种方式实现：（1）标准模式；（2）对比度优先模式；（3）剂量优先模式</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2.1.9、发生器与机架一体化设计</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2.2、X线球管</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2.2.1、阳极靶面采用乳腺专用钨靶，不接受</w:t>
      </w:r>
      <w:r>
        <w:rPr>
          <w:rFonts w:hint="eastAsia" w:cs="宋体" w:asciiTheme="minorEastAsia" w:hAnsiTheme="minorEastAsia" w:eastAsiaTheme="minorEastAsia"/>
          <w:sz w:val="24"/>
          <w:szCs w:val="24"/>
        </w:rPr>
        <w:t xml:space="preserve">钼</w:t>
      </w:r>
      <w:r>
        <w:rPr>
          <w:rFonts w:hint="eastAsia" w:cs="宋体" w:asciiTheme="minorEastAsia" w:hAnsiTheme="minorEastAsia" w:eastAsiaTheme="minorEastAsia"/>
          <w:sz w:val="24"/>
          <w:szCs w:val="24"/>
        </w:rPr>
        <w:t xml:space="preserve">靶或含</w:t>
      </w:r>
      <w:r>
        <w:rPr>
          <w:rFonts w:hint="eastAsia" w:cs="宋体" w:asciiTheme="minorEastAsia" w:hAnsiTheme="minorEastAsia" w:eastAsiaTheme="minorEastAsia"/>
          <w:sz w:val="24"/>
          <w:szCs w:val="24"/>
        </w:rPr>
        <w:t xml:space="preserve">钼</w:t>
      </w:r>
      <w:r>
        <w:rPr>
          <w:rFonts w:hint="eastAsia" w:cs="宋体" w:asciiTheme="minorEastAsia" w:hAnsiTheme="minorEastAsia" w:eastAsiaTheme="minorEastAsia"/>
          <w:sz w:val="24"/>
          <w:szCs w:val="24"/>
        </w:rPr>
        <w:t xml:space="preserve">双靶</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2.2.2、</w:t>
      </w:r>
      <w:r>
        <w:rPr>
          <w:rFonts w:hint="eastAsia" w:cs="宋体" w:asciiTheme="minorEastAsia" w:hAnsiTheme="minorEastAsia" w:eastAsiaTheme="minorEastAsia"/>
          <w:sz w:val="24"/>
          <w:szCs w:val="24"/>
        </w:rPr>
        <w:t xml:space="preserve">球管小</w:t>
      </w:r>
      <w:r>
        <w:rPr>
          <w:rFonts w:hint="eastAsia" w:cs="宋体" w:asciiTheme="minorEastAsia" w:hAnsiTheme="minorEastAsia" w:eastAsiaTheme="minorEastAsia"/>
          <w:sz w:val="24"/>
          <w:szCs w:val="24"/>
        </w:rPr>
        <w:t xml:space="preserve">/大焦点尺寸</w:t>
      </w:r>
      <w:r>
        <w:rPr>
          <w:rFonts w:hint="eastAsia" w:cs="宋体" w:asciiTheme="minorEastAsia" w:hAnsiTheme="minorEastAsia" w:eastAsiaTheme="minorEastAsia"/>
          <w:sz w:val="24"/>
          <w:szCs w:val="24"/>
        </w:rPr>
        <w:tab/>
        <w:t xml:space="preserve">≤0.1/0.3mm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▲2.2.3、靶面角度具备</w:t>
      </w:r>
      <w:r>
        <w:rPr>
          <w:rFonts w:hint="eastAsia" w:cs="宋体" w:asciiTheme="minorEastAsia" w:hAnsiTheme="minorEastAsia" w:eastAsiaTheme="minorEastAsia"/>
          <w:sz w:val="24"/>
          <w:szCs w:val="24"/>
        </w:rPr>
        <w:t xml:space="preserve">双角度</w:t>
      </w:r>
      <w:r>
        <w:rPr>
          <w:rFonts w:hint="eastAsia" w:cs="宋体" w:asciiTheme="minorEastAsia" w:hAnsiTheme="minorEastAsia" w:eastAsiaTheme="minorEastAsia"/>
          <w:sz w:val="24"/>
          <w:szCs w:val="24"/>
        </w:rPr>
        <w:t xml:space="preserve">曝光功能，大、小焦点可自动对应不同的靶面角度进行曝光</w:t>
      </w:r>
      <w:r>
        <w:rPr>
          <w:rFonts w:hint="eastAsia" w:cs="宋体" w:asciiTheme="minorEastAsia" w:hAnsiTheme="minorEastAsia" w:eastAsiaTheme="minorEastAsia"/>
          <w:sz w:val="24"/>
          <w:szCs w:val="24"/>
        </w:rPr>
        <w:tab/>
        <w:t xml:space="preserve">≤10°/16°</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▲2.2.4、阳极旋转转速≥9500RPM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2.2.5、最大阳极热容量≥350KHU</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2.2.6、管套热容量</w:t>
      </w:r>
      <w:r>
        <w:rPr>
          <w:rFonts w:hint="eastAsia" w:cs="宋体" w:asciiTheme="minorEastAsia" w:hAnsiTheme="minorEastAsia" w:eastAsiaTheme="minorEastAsia"/>
          <w:sz w:val="24"/>
          <w:szCs w:val="24"/>
        </w:rPr>
        <w:tab/>
        <w:t xml:space="preserve">≥500KHU</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2.2.7、</w:t>
      </w:r>
      <w:r>
        <w:rPr>
          <w:rFonts w:hint="eastAsia" w:cs="宋体" w:asciiTheme="minorEastAsia" w:hAnsiTheme="minorEastAsia" w:eastAsiaTheme="minorEastAsia"/>
          <w:sz w:val="24"/>
          <w:szCs w:val="24"/>
        </w:rPr>
        <w:t xml:space="preserve">限束器</w:t>
      </w:r>
      <w:r>
        <w:rPr>
          <w:rFonts w:hint="eastAsia" w:cs="宋体" w:asciiTheme="minorEastAsia" w:hAnsiTheme="minorEastAsia" w:eastAsiaTheme="minorEastAsia"/>
          <w:sz w:val="24"/>
          <w:szCs w:val="24"/>
        </w:rPr>
        <w:t xml:space="preserve">类型：电动，自动调节</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2.2.8、附加滤过材料：银、</w:t>
      </w:r>
      <w:r>
        <w:rPr>
          <w:rFonts w:hint="eastAsia" w:cs="宋体" w:asciiTheme="minorEastAsia" w:hAnsiTheme="minorEastAsia" w:eastAsiaTheme="minorEastAsia"/>
          <w:sz w:val="24"/>
          <w:szCs w:val="24"/>
        </w:rPr>
        <w:t xml:space="preserve">铑</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2.3、平板探测器</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2.3.1、探测器材料：非晶硅或非晶硒</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2.3.2、探测器尺寸</w:t>
      </w:r>
      <w:r>
        <w:rPr>
          <w:rFonts w:hint="eastAsia" w:cs="宋体" w:asciiTheme="minorEastAsia" w:hAnsiTheme="minorEastAsia" w:eastAsiaTheme="minorEastAsia"/>
          <w:sz w:val="24"/>
          <w:szCs w:val="24"/>
        </w:rPr>
        <w:tab/>
        <w:t xml:space="preserve">≥23×29cm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2.3.3、高分辨率采集矩阵≥3072×3840</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▲2.3.4、像素尺寸</w:t>
      </w:r>
      <w:r>
        <w:rPr>
          <w:rFonts w:hint="eastAsia" w:cs="宋体" w:asciiTheme="minorEastAsia" w:hAnsiTheme="minorEastAsia" w:eastAsiaTheme="minorEastAsia"/>
          <w:sz w:val="24"/>
          <w:szCs w:val="24"/>
        </w:rPr>
        <w:tab/>
        <w:t xml:space="preserve">＜80um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2.3.5、采集</w:t>
      </w:r>
      <w:r>
        <w:rPr>
          <w:rFonts w:hint="eastAsia" w:cs="宋体" w:asciiTheme="minorEastAsia" w:hAnsiTheme="minorEastAsia" w:eastAsiaTheme="minorEastAsia"/>
          <w:sz w:val="24"/>
          <w:szCs w:val="24"/>
        </w:rPr>
        <w:t xml:space="preserve">灰阶度</w:t>
      </w:r>
      <w:r>
        <w:rPr>
          <w:rFonts w:hint="eastAsia" w:cs="宋体" w:asciiTheme="minorEastAsia" w:hAnsiTheme="minorEastAsia" w:eastAsiaTheme="minorEastAsia"/>
          <w:sz w:val="24"/>
          <w:szCs w:val="24"/>
        </w:rPr>
        <w:tab/>
        <w:t xml:space="preserve">≥16bits</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2.3.6、空间分辨率</w:t>
      </w:r>
      <w:r>
        <w:rPr>
          <w:rFonts w:hint="eastAsia" w:cs="宋体" w:asciiTheme="minorEastAsia" w:hAnsiTheme="minorEastAsia" w:eastAsiaTheme="minorEastAsia"/>
          <w:sz w:val="24"/>
          <w:szCs w:val="24"/>
        </w:rPr>
        <w:tab/>
        <w:t xml:space="preserve">≥6.5 </w:t>
      </w:r>
      <w:r>
        <w:rPr>
          <w:rFonts w:hint="eastAsia" w:cs="宋体" w:asciiTheme="minorEastAsia" w:hAnsiTheme="minorEastAsia" w:eastAsiaTheme="minorEastAsia"/>
          <w:sz w:val="24"/>
          <w:szCs w:val="24"/>
        </w:rPr>
        <w:t xml:space="preserve">lp</w:t>
      </w:r>
      <w:r>
        <w:rPr>
          <w:rFonts w:hint="eastAsia" w:cs="宋体" w:asciiTheme="minorEastAsia" w:hAnsiTheme="minorEastAsia" w:eastAsiaTheme="minorEastAsia"/>
          <w:sz w:val="24"/>
          <w:szCs w:val="24"/>
        </w:rPr>
        <w:t xml:space="preserve">/mm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2.3.7、DQE</w:t>
      </w:r>
      <w:r>
        <w:rPr>
          <w:rFonts w:hint="eastAsia" w:cs="宋体" w:asciiTheme="minorEastAsia" w:hAnsiTheme="minorEastAsia" w:eastAsiaTheme="minorEastAsia"/>
          <w:sz w:val="24"/>
          <w:szCs w:val="24"/>
        </w:rPr>
        <w:tab/>
        <w:t xml:space="preserve">≥70%@ 1 </w:t>
      </w:r>
      <w:r>
        <w:rPr>
          <w:rFonts w:hint="eastAsia" w:cs="宋体" w:asciiTheme="minorEastAsia" w:hAnsiTheme="minorEastAsia" w:eastAsiaTheme="minorEastAsia"/>
          <w:sz w:val="24"/>
          <w:szCs w:val="24"/>
        </w:rPr>
        <w:t xml:space="preserve">lp</w:t>
      </w:r>
      <w:r>
        <w:rPr>
          <w:rFonts w:hint="eastAsia" w:cs="宋体" w:asciiTheme="minorEastAsia" w:hAnsiTheme="minorEastAsia" w:eastAsiaTheme="minorEastAsia"/>
          <w:sz w:val="24"/>
          <w:szCs w:val="24"/>
        </w:rPr>
        <w:t xml:space="preserve">/mm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2.3.8、AEC自动曝光系统采用整板探测器作为探测单元，即使是极小乳腺或非中心摆位的乳腺，也能够获得优异图像质量，不接受电离室</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2.4、立式摄影机架</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▲2.4.1、源像距≥68cm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2.4.2、摄影臂为旋转C</w:t>
      </w:r>
      <w:r>
        <w:rPr>
          <w:rFonts w:hint="eastAsia" w:cs="宋体" w:asciiTheme="minorEastAsia" w:hAnsiTheme="minorEastAsia" w:eastAsiaTheme="minorEastAsia"/>
          <w:sz w:val="24"/>
          <w:szCs w:val="24"/>
        </w:rPr>
        <w:t xml:space="preserve">形臂全</w:t>
      </w:r>
      <w:r>
        <w:rPr>
          <w:rFonts w:hint="eastAsia" w:cs="宋体" w:asciiTheme="minorEastAsia" w:hAnsiTheme="minorEastAsia" w:eastAsiaTheme="minorEastAsia"/>
          <w:sz w:val="24"/>
          <w:szCs w:val="24"/>
        </w:rPr>
        <w:t xml:space="preserve">电动设计，非O型臂</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2.4.3、能上下移动、旋转灵活，等中心旋转、角度记忆，具备一键到位、一键镜像功能，机架上的控制</w:t>
      </w:r>
      <w:r>
        <w:rPr>
          <w:rFonts w:hint="eastAsia" w:cs="宋体" w:asciiTheme="minorEastAsia" w:hAnsiTheme="minorEastAsia" w:eastAsiaTheme="minorEastAsia"/>
          <w:sz w:val="24"/>
          <w:szCs w:val="24"/>
        </w:rPr>
        <w:t xml:space="preserve">键至少</w:t>
      </w:r>
      <w:r>
        <w:rPr>
          <w:rFonts w:hint="eastAsia" w:cs="宋体" w:asciiTheme="minorEastAsia" w:hAnsiTheme="minorEastAsia" w:eastAsiaTheme="minorEastAsia"/>
          <w:sz w:val="24"/>
          <w:szCs w:val="24"/>
        </w:rPr>
        <w:t xml:space="preserve">有6个不同操作位置供选择，操作方便</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2.4.4、一键到下一摆位、一键到对称体位功能</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2.4.5、C臂探测中心离地最小距离≤65cm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2.4.6、C臂探测中心垂直运动范围≥80cm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2.4.7、C</w:t>
      </w:r>
      <w:r>
        <w:rPr>
          <w:rFonts w:hint="eastAsia" w:cs="宋体" w:asciiTheme="minorEastAsia" w:hAnsiTheme="minorEastAsia" w:eastAsiaTheme="minorEastAsia"/>
          <w:sz w:val="24"/>
          <w:szCs w:val="24"/>
        </w:rPr>
        <w:t xml:space="preserve">形臂旋转</w:t>
      </w:r>
      <w:r>
        <w:rPr>
          <w:rFonts w:hint="eastAsia" w:cs="宋体" w:asciiTheme="minorEastAsia" w:hAnsiTheme="minorEastAsia" w:eastAsiaTheme="minorEastAsia"/>
          <w:sz w:val="24"/>
          <w:szCs w:val="24"/>
        </w:rPr>
        <w:t xml:space="preserve">角度≥340°</w:t>
      </w:r>
      <w:r/>
    </w:p>
    <w:p>
      <w:pPr>
        <w:jc w:val="left"/>
        <w:spacing w:line="360" w:lineRule="auto"/>
        <w:tabs>
          <w:tab w:val="left" w:pos="90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2.4.8、常规压迫板≥2个，小压迫板尺寸≤18×24cm，大压迫板尺寸≥24×29cm</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2.4.9、最大压迫力（电动）≥200N</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2.4.10、压迫板运动方式：智能压迫、手动调节</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2.4.11、压迫板解压方式：自动解压、手动解压</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2.4.12、压迫</w:t>
      </w:r>
      <w:r>
        <w:rPr>
          <w:rFonts w:hint="eastAsia" w:cs="宋体" w:asciiTheme="minorEastAsia" w:hAnsiTheme="minorEastAsia" w:eastAsiaTheme="minorEastAsia"/>
          <w:sz w:val="24"/>
          <w:szCs w:val="24"/>
        </w:rPr>
        <w:t xml:space="preserve">板支持</w:t>
      </w:r>
      <w:r>
        <w:rPr>
          <w:rFonts w:hint="eastAsia" w:cs="宋体" w:asciiTheme="minorEastAsia" w:hAnsiTheme="minorEastAsia" w:eastAsiaTheme="minorEastAsia"/>
          <w:sz w:val="24"/>
          <w:szCs w:val="24"/>
        </w:rPr>
        <w:t xml:space="preserve">紧急释放、自动释放</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2.4.13、压迫板圆形微调电动旋钮</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2.4.14、</w:t>
      </w:r>
      <w:r>
        <w:rPr>
          <w:rFonts w:hint="eastAsia" w:cs="宋体" w:asciiTheme="minorEastAsia" w:hAnsiTheme="minorEastAsia" w:eastAsiaTheme="minorEastAsia"/>
          <w:sz w:val="24"/>
          <w:szCs w:val="24"/>
        </w:rPr>
        <w:t xml:space="preserve">脚闸2副</w:t>
      </w:r>
      <w:r>
        <w:rPr>
          <w:rFonts w:hint="eastAsia" w:cs="宋体" w:asciiTheme="minorEastAsia" w:hAnsiTheme="minorEastAsia" w:eastAsiaTheme="minorEastAsia"/>
          <w:sz w:val="24"/>
          <w:szCs w:val="24"/>
        </w:rPr>
        <w:t xml:space="preserve">，可支持C</w:t>
      </w:r>
      <w:r>
        <w:rPr>
          <w:rFonts w:hint="eastAsia" w:cs="宋体" w:asciiTheme="minorEastAsia" w:hAnsiTheme="minorEastAsia" w:eastAsiaTheme="minorEastAsia"/>
          <w:sz w:val="24"/>
          <w:szCs w:val="24"/>
        </w:rPr>
        <w:t xml:space="preserve">形臂垂直</w:t>
      </w:r>
      <w:r>
        <w:rPr>
          <w:rFonts w:hint="eastAsia" w:cs="宋体" w:asciiTheme="minorEastAsia" w:hAnsiTheme="minorEastAsia" w:eastAsiaTheme="minorEastAsia"/>
          <w:sz w:val="24"/>
          <w:szCs w:val="24"/>
        </w:rPr>
        <w:t xml:space="preserve">升降运动与压迫板压迫控制</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2.4.1</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、机架与工作台均设有一键急停键</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2.5、图像采集工作站</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2.5.1、CPU主频≥3.6GHz</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2.5.2、主机工作站操作台内存≥32GB</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2.5.3、主机工作站操作台硬盘≥4TB</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2.5.4、显示器尺寸≥24英寸</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2.5.5、显示器分辨率≥1900×1200</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、操作软件基本功能：基于DICOM标准的患者登记、患者管理、参数设</w:t>
      </w:r>
      <w:r>
        <w:rPr>
          <w:rFonts w:hint="eastAsia" w:cs="宋体" w:asciiTheme="minorEastAsia" w:hAnsiTheme="minorEastAsia" w:eastAsiaTheme="minorEastAsia"/>
          <w:sz w:val="24"/>
          <w:szCs w:val="24"/>
        </w:rPr>
        <w:t xml:space="preserve">置、患者检查、图像导入、图像显示、图像调整、数字化归档、胶片打印管理等</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、彩色摆位图，能够用于提示每个拍摄部位</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、支持一次拍摄得到三种图像模式：二维图像、DBT图像、二维合成图像</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、具备智能图像拒绝分析，可一键导出数据分析报告</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、图像基本后处理功能：图像整体缩放、图像移动、窗宽/</w:t>
      </w:r>
      <w:r>
        <w:rPr>
          <w:rFonts w:hint="eastAsia" w:cs="宋体" w:asciiTheme="minorEastAsia" w:hAnsiTheme="minorEastAsia" w:eastAsiaTheme="minorEastAsia"/>
          <w:sz w:val="24"/>
          <w:szCs w:val="24"/>
        </w:rPr>
        <w:t xml:space="preserve">窗位调整</w:t>
      </w:r>
      <w:r>
        <w:rPr>
          <w:rFonts w:hint="eastAsia" w:cs="宋体" w:asciiTheme="minorEastAsia" w:hAnsiTheme="minorEastAsia" w:eastAsiaTheme="minorEastAsia"/>
          <w:sz w:val="24"/>
          <w:szCs w:val="24"/>
        </w:rPr>
        <w:t xml:space="preserve">、图像局部放大、感兴趣区域缩放、图像反色、图像翻转/旋转、输入文本；图像显示支持多种布局</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11</w:t>
      </w:r>
      <w:r>
        <w:rPr>
          <w:rFonts w:hint="eastAsia" w:cs="宋体" w:asciiTheme="minorEastAsia" w:hAnsiTheme="minorEastAsia" w:eastAsiaTheme="minorEastAsia"/>
          <w:sz w:val="24"/>
          <w:szCs w:val="24"/>
        </w:rPr>
        <w:t xml:space="preserve">、可在数字图像上显示各种曝光参数，如kV/</w:t>
      </w:r>
      <w:r>
        <w:rPr>
          <w:rFonts w:hint="eastAsia" w:cs="宋体" w:asciiTheme="minorEastAsia" w:hAnsiTheme="minorEastAsia" w:eastAsiaTheme="minorEastAsia"/>
          <w:sz w:val="24"/>
          <w:szCs w:val="24"/>
        </w:rPr>
        <w:t xml:space="preserve">mAs</w:t>
      </w:r>
      <w:r>
        <w:rPr>
          <w:rFonts w:hint="eastAsia" w:cs="宋体" w:asciiTheme="minorEastAsia" w:hAnsiTheme="minorEastAsia" w:eastAsiaTheme="minorEastAsia"/>
          <w:sz w:val="24"/>
          <w:szCs w:val="24"/>
        </w:rPr>
        <w:t xml:space="preserve">/压迫力度/压迫厚度/剂量/(曝光)扫描时间等</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rPr>
        <w:t xml:space="preserve">、具有乳腺假体植入物的选择功能</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13</w:t>
      </w:r>
      <w:r>
        <w:rPr>
          <w:rFonts w:hint="eastAsia" w:cs="宋体" w:asciiTheme="minorEastAsia" w:hAnsiTheme="minorEastAsia" w:eastAsiaTheme="minorEastAsia"/>
          <w:sz w:val="24"/>
          <w:szCs w:val="24"/>
        </w:rPr>
        <w:t xml:space="preserve">、控制方式：快捷功能操控盒、鼠标</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14</w:t>
      </w:r>
      <w:r>
        <w:rPr>
          <w:rFonts w:hint="eastAsia" w:cs="宋体" w:asciiTheme="minorEastAsia" w:hAnsiTheme="minorEastAsia" w:eastAsiaTheme="minorEastAsia"/>
          <w:sz w:val="24"/>
          <w:szCs w:val="24"/>
        </w:rPr>
        <w:t xml:space="preserve">、支持与PACS/RIS/HIS系统的集成</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15</w:t>
      </w:r>
      <w:r>
        <w:rPr>
          <w:rFonts w:hint="eastAsia" w:cs="宋体" w:asciiTheme="minorEastAsia" w:hAnsiTheme="minorEastAsia" w:eastAsiaTheme="minorEastAsia"/>
          <w:sz w:val="24"/>
          <w:szCs w:val="24"/>
        </w:rPr>
        <w:t xml:space="preserve">、支持动态实时患者信息检索与显示</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16</w:t>
      </w:r>
      <w:r>
        <w:rPr>
          <w:rFonts w:hint="eastAsia" w:cs="宋体" w:asciiTheme="minorEastAsia" w:hAnsiTheme="minorEastAsia" w:eastAsiaTheme="minorEastAsia"/>
          <w:sz w:val="24"/>
          <w:szCs w:val="24"/>
        </w:rPr>
        <w:t xml:space="preserve">、支持患者、检查、序列、图像四级数据库信息管理</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17</w:t>
      </w:r>
      <w:r>
        <w:rPr>
          <w:rFonts w:hint="eastAsia" w:cs="宋体" w:asciiTheme="minorEastAsia" w:hAnsiTheme="minorEastAsia" w:eastAsiaTheme="minorEastAsia"/>
          <w:sz w:val="24"/>
          <w:szCs w:val="24"/>
        </w:rPr>
        <w:t xml:space="preserve">、支持检查不同状态显示与排序</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18</w:t>
      </w:r>
      <w:r>
        <w:rPr>
          <w:rFonts w:hint="eastAsia" w:cs="宋体" w:asciiTheme="minorEastAsia" w:hAnsiTheme="minorEastAsia" w:eastAsiaTheme="minorEastAsia"/>
          <w:sz w:val="24"/>
          <w:szCs w:val="24"/>
        </w:rPr>
        <w:t xml:space="preserve">、预定</w:t>
      </w:r>
      <w:r>
        <w:rPr>
          <w:rFonts w:hint="eastAsia" w:cs="宋体" w:asciiTheme="minorEastAsia" w:hAnsiTheme="minorEastAsia" w:eastAsiaTheme="minorEastAsia"/>
          <w:sz w:val="24"/>
          <w:szCs w:val="24"/>
        </w:rPr>
        <w:t xml:space="preserve">义拍摄</w:t>
      </w:r>
      <w:r>
        <w:rPr>
          <w:rFonts w:hint="eastAsia" w:cs="宋体" w:asciiTheme="minorEastAsia" w:hAnsiTheme="minorEastAsia" w:eastAsiaTheme="minorEastAsia"/>
          <w:sz w:val="24"/>
          <w:szCs w:val="24"/>
        </w:rPr>
        <w:t xml:space="preserve">参数与后期调整</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19</w:t>
      </w:r>
      <w:r>
        <w:rPr>
          <w:rFonts w:hint="eastAsia" w:cs="宋体" w:asciiTheme="minorEastAsia" w:hAnsiTheme="minorEastAsia" w:eastAsiaTheme="minorEastAsia"/>
          <w:sz w:val="24"/>
          <w:szCs w:val="24"/>
        </w:rPr>
        <w:t xml:space="preserve">、支持灰度处理与调整</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20</w:t>
      </w:r>
      <w:r>
        <w:rPr>
          <w:rFonts w:hint="eastAsia" w:cs="宋体" w:asciiTheme="minorEastAsia" w:hAnsiTheme="minorEastAsia" w:eastAsiaTheme="minorEastAsia"/>
          <w:sz w:val="24"/>
          <w:szCs w:val="24"/>
        </w:rPr>
        <w:t xml:space="preserve">、可显示并调整灰阶直方图和输入输出曲线的相应关系</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rPr>
        <w:t xml:space="preserve">、可进行组织均衡和噪声抑制等频率处理</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、按照</w:t>
      </w:r>
      <w:r>
        <w:rPr>
          <w:rFonts w:hint="eastAsia" w:cs="宋体" w:asciiTheme="minorEastAsia" w:hAnsiTheme="minorEastAsia" w:eastAsiaTheme="minorEastAsia"/>
          <w:sz w:val="24"/>
          <w:szCs w:val="24"/>
        </w:rPr>
        <w:t xml:space="preserve">限束器</w:t>
      </w:r>
      <w:r>
        <w:rPr>
          <w:rFonts w:hint="eastAsia" w:cs="宋体" w:asciiTheme="minorEastAsia" w:hAnsiTheme="minorEastAsia" w:eastAsiaTheme="minorEastAsia"/>
          <w:sz w:val="24"/>
          <w:szCs w:val="24"/>
        </w:rPr>
        <w:t xml:space="preserve">边界自动裁剪图像感兴趣区</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23</w:t>
      </w:r>
      <w:r>
        <w:rPr>
          <w:rFonts w:hint="eastAsia" w:cs="宋体" w:asciiTheme="minorEastAsia" w:hAnsiTheme="minorEastAsia" w:eastAsiaTheme="minorEastAsia"/>
          <w:sz w:val="24"/>
          <w:szCs w:val="24"/>
        </w:rPr>
        <w:t xml:space="preserve">、支持DICOM 3.0，包括：DICOM Send</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DICOM Print</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DICOM Storage commitment</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DICOM Query/Retrieve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DICOM Worklist/MPPS</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24</w:t>
      </w:r>
      <w:r>
        <w:rPr>
          <w:rFonts w:hint="eastAsia" w:cs="宋体" w:asciiTheme="minorEastAsia" w:hAnsiTheme="minorEastAsia" w:eastAsiaTheme="minorEastAsia"/>
          <w:sz w:val="24"/>
          <w:szCs w:val="24"/>
        </w:rPr>
        <w:t xml:space="preserve">、投标产品所属整机制造商必须取得《计算机软件著作权登记证书》,并提供相关证书证明材料</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2.6、图像后处理工作站</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2.6.1、配备原厂乳腺专用后处理工作站</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2.6.2、针对乳腺辅助诊断设计专用快捷键盘</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2.6.3、支持中文图文诊断报告输出</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2.6.4、支持一键多图同步图像处理，可实现多幅图像的同步放大、缩小、窗</w:t>
      </w:r>
      <w:r>
        <w:rPr>
          <w:rFonts w:hint="eastAsia" w:cs="宋体" w:asciiTheme="minorEastAsia" w:hAnsiTheme="minorEastAsia" w:eastAsiaTheme="minorEastAsia"/>
          <w:sz w:val="24"/>
          <w:szCs w:val="24"/>
        </w:rPr>
        <w:t xml:space="preserve">宽窗位</w:t>
      </w:r>
      <w:r>
        <w:rPr>
          <w:rFonts w:hint="eastAsia" w:cs="宋体" w:asciiTheme="minorEastAsia" w:hAnsiTheme="minorEastAsia" w:eastAsiaTheme="minorEastAsia"/>
          <w:sz w:val="24"/>
          <w:szCs w:val="24"/>
        </w:rPr>
        <w:t xml:space="preserve">调节</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2.6.5、支持同一患者不同时间检查的自动/手动合并</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2.6.6、软件</w:t>
      </w:r>
      <w:r>
        <w:rPr>
          <w:rFonts w:hint="eastAsia" w:cs="宋体" w:asciiTheme="minorEastAsia" w:hAnsiTheme="minorEastAsia" w:eastAsiaTheme="minorEastAsia"/>
          <w:sz w:val="24"/>
          <w:szCs w:val="24"/>
        </w:rPr>
        <w:t xml:space="preserve">自带按</w:t>
      </w:r>
      <w:r>
        <w:rPr>
          <w:rFonts w:hint="eastAsia" w:cs="宋体" w:asciiTheme="minorEastAsia" w:hAnsiTheme="minorEastAsia" w:eastAsiaTheme="minorEastAsia"/>
          <w:sz w:val="24"/>
          <w:szCs w:val="24"/>
        </w:rPr>
        <w:t xml:space="preserve">BI-RADS分类的结构化报告</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2.6.7、支持随访计划的制定和跟踪</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2.6.8、可直接对比不同病人的图像</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2.6.9、支持多等级对比度/亮度图像处理</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2.6.10、支持一键图像窗</w:t>
      </w:r>
      <w:r>
        <w:rPr>
          <w:rFonts w:hint="eastAsia" w:cs="宋体" w:asciiTheme="minorEastAsia" w:hAnsiTheme="minorEastAsia" w:eastAsiaTheme="minorEastAsia"/>
          <w:sz w:val="24"/>
          <w:szCs w:val="24"/>
        </w:rPr>
        <w:t xml:space="preserve">宽窗位</w:t>
      </w:r>
      <w:r>
        <w:rPr>
          <w:rFonts w:hint="eastAsia" w:cs="宋体" w:asciiTheme="minorEastAsia" w:hAnsiTheme="minorEastAsia" w:eastAsiaTheme="minorEastAsia"/>
          <w:sz w:val="24"/>
          <w:szCs w:val="24"/>
        </w:rPr>
        <w:t xml:space="preserve">复原</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2.6.11、支持一键自动胶片布局</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2.6.12、支持自定义挂片协议</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2.6.13、具备智能乳头识别功能，可实现双侧乳头自动对齐，辅助医生高效阅片</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2.6.14、具备智能病灶导航功能，可辅助医生快速实现病灶精准定位</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2.6.15、具备智能图像自适应功能，自动调整图像缩放比例，保持图像品质的同时，提升阅片效率</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2.6.16、诊断工作站配置8M专业医用竖屏≥2台</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2.7、具备三维断层功能</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★2.7.1、具备已获得NMPA三类认证的三维断层功能，并提供注册证明材料</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2.7.2、扫描角度范围覆盖15°～50°（</w:t>
      </w:r>
      <w:r>
        <w:rPr>
          <w:rFonts w:hint="eastAsia" w:cs="宋体" w:asciiTheme="minorEastAsia" w:hAnsiTheme="minorEastAsia" w:eastAsiaTheme="minorEastAsia"/>
          <w:sz w:val="24"/>
          <w:szCs w:val="24"/>
        </w:rPr>
        <w:t xml:space="preserve">单角度</w:t>
      </w:r>
      <w:r>
        <w:rPr>
          <w:rFonts w:hint="eastAsia" w:cs="宋体" w:asciiTheme="minorEastAsia" w:hAnsiTheme="minorEastAsia" w:eastAsiaTheme="minorEastAsia"/>
          <w:sz w:val="24"/>
          <w:szCs w:val="24"/>
        </w:rPr>
        <w:t xml:space="preserve">大广角或</w:t>
      </w:r>
      <w:r>
        <w:rPr>
          <w:rFonts w:hint="eastAsia" w:cs="宋体" w:asciiTheme="minorEastAsia" w:hAnsiTheme="minorEastAsia" w:eastAsiaTheme="minorEastAsia"/>
          <w:sz w:val="24"/>
          <w:szCs w:val="24"/>
        </w:rPr>
        <w:t xml:space="preserve">双角度</w:t>
      </w:r>
      <w:r>
        <w:rPr>
          <w:rFonts w:hint="eastAsia" w:cs="宋体" w:asciiTheme="minorEastAsia" w:hAnsiTheme="minorEastAsia" w:eastAsiaTheme="minorEastAsia"/>
          <w:sz w:val="24"/>
          <w:szCs w:val="24"/>
        </w:rPr>
        <w:t xml:space="preserve">模式均可）</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2.7.3、单个体位断层摄影采集图像数≥15张</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2.7.4、断层扫描采集方式：连续曝光或步进式曝光</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▲2.7.5、单个体位断层摄影扫描时间≤10s</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2.7.6、重建层厚≤1mm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2.7.7、支持通过三维断层图像自动融合出一张二维图像，替代传统二维图像</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▲2.7.8、支持断层图像自定义层厚融合功能，并有不同重建算法为肿块和钙化</w:t>
      </w:r>
      <w:r>
        <w:rPr>
          <w:rFonts w:hint="eastAsia" w:cs="宋体" w:asciiTheme="minorEastAsia" w:hAnsiTheme="minorEastAsia" w:eastAsiaTheme="minorEastAsia"/>
          <w:sz w:val="24"/>
          <w:szCs w:val="24"/>
        </w:rPr>
        <w:t xml:space="preserve">簇</w:t>
      </w:r>
      <w:r>
        <w:rPr>
          <w:rFonts w:hint="eastAsia" w:cs="宋体" w:asciiTheme="minorEastAsia" w:hAnsiTheme="minorEastAsia" w:eastAsiaTheme="minorEastAsia"/>
          <w:sz w:val="24"/>
          <w:szCs w:val="24"/>
        </w:rPr>
        <w:t xml:space="preserve">提供更具空间形态的辨识度</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2.8、质量控制系统</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2.8.1、系统内置整机校准质量控制流程</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2.8.2、系统配置PMMA</w:t>
      </w:r>
      <w:r>
        <w:rPr>
          <w:rFonts w:hint="eastAsia" w:cs="宋体" w:asciiTheme="minorEastAsia" w:hAnsiTheme="minorEastAsia" w:eastAsiaTheme="minorEastAsia"/>
          <w:sz w:val="24"/>
          <w:szCs w:val="24"/>
        </w:rPr>
        <w:t xml:space="preserve">质量控制模体</w:t>
      </w:r>
      <w:r>
        <w:rPr>
          <w:rFonts w:hint="eastAsia" w:cs="宋体" w:asciiTheme="minorEastAsia" w:hAnsiTheme="minorEastAsia" w:eastAsiaTheme="minorEastAsia"/>
          <w:sz w:val="24"/>
          <w:szCs w:val="24"/>
        </w:rPr>
        <w:t xml:space="preserve">≥8个</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2.9、立体定位穿刺活检系统</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▲2.9.1、穿刺立体定位单元重量≤5kg</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2.9.2、介入活检定位精度≤1 mm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2.9.3、活检针进针运动微调精度≤1 mm</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▲2.9.4、支持</w:t>
      </w:r>
      <w:r>
        <w:rPr>
          <w:rFonts w:hint="eastAsia" w:cs="宋体" w:asciiTheme="minorEastAsia" w:hAnsiTheme="minorEastAsia" w:eastAsiaTheme="minorEastAsia"/>
          <w:sz w:val="24"/>
          <w:szCs w:val="24"/>
        </w:rPr>
        <w:t xml:space="preserve">持针器</w:t>
      </w:r>
      <w:r>
        <w:rPr>
          <w:rFonts w:hint="eastAsia" w:cs="宋体" w:asciiTheme="minorEastAsia" w:hAnsiTheme="minorEastAsia" w:eastAsiaTheme="minorEastAsia"/>
          <w:sz w:val="24"/>
          <w:szCs w:val="24"/>
        </w:rPr>
        <w:t xml:space="preserve">在X、Y、Z</w:t>
      </w:r>
      <w:r>
        <w:rPr>
          <w:rFonts w:hint="eastAsia" w:cs="宋体" w:asciiTheme="minorEastAsia" w:hAnsiTheme="minorEastAsia" w:eastAsiaTheme="minorEastAsia"/>
          <w:sz w:val="24"/>
          <w:szCs w:val="24"/>
        </w:rPr>
        <w:t xml:space="preserve">轴纯电动</w:t>
      </w:r>
      <w:r>
        <w:rPr>
          <w:rFonts w:hint="eastAsia" w:cs="宋体" w:asciiTheme="minorEastAsia" w:hAnsiTheme="minorEastAsia" w:eastAsiaTheme="minorEastAsia"/>
          <w:sz w:val="24"/>
          <w:szCs w:val="24"/>
        </w:rPr>
        <w:t xml:space="preserve">运动</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2.9.5、一键控制，自动完成正负角度两次曝光</w:t>
      </w:r>
      <w:r>
        <w:rPr>
          <w:rFonts w:hint="eastAsia" w:cs="宋体" w:asciiTheme="minorEastAsia" w:hAnsiTheme="minorEastAsia" w:eastAsiaTheme="minorEastAsia"/>
          <w:sz w:val="24"/>
          <w:szCs w:val="24"/>
        </w:rPr>
        <w:t xml:space="preserve">及球管旋转</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2.9.6、控制屏为彩色触控屏</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2.9.7、控制屏支持实时显示目标病灶位置、当前实际位置以及两者的位置差异；实时显示实际位置到安全边际的差距</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2.9.8、控制屏与采集工作站均可显示目标点</w:t>
      </w:r>
      <w:r>
        <w:rPr>
          <w:rFonts w:hint="eastAsia" w:cs="宋体" w:asciiTheme="minorEastAsia" w:hAnsiTheme="minorEastAsia" w:eastAsiaTheme="minorEastAsia"/>
          <w:sz w:val="24"/>
          <w:szCs w:val="24"/>
        </w:rPr>
        <w:t xml:space="preserve">对应穿</w:t>
      </w:r>
      <w:r>
        <w:rPr>
          <w:rFonts w:hint="eastAsia" w:cs="宋体" w:asciiTheme="minorEastAsia" w:hAnsiTheme="minorEastAsia" w:eastAsiaTheme="minorEastAsia"/>
          <w:sz w:val="24"/>
          <w:szCs w:val="24"/>
        </w:rPr>
        <w:t xml:space="preserve">刺针型号</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2.9.9、控制屏具备防水防尘设计≥IP65，有效避免试剂或血液侵入</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2.9.10、安全提示音，并支持自定义开启或关闭</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2.9.11、支持活检标本专用摄影协议</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▲2.9.12、支持XYZ多视角下病灶定位预览，并提供图片证明资料</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2.9.13、提供专业化仿真穿刺</w:t>
      </w:r>
      <w:r>
        <w:rPr>
          <w:rFonts w:hint="eastAsia" w:cs="宋体" w:asciiTheme="minorEastAsia" w:hAnsiTheme="minorEastAsia" w:eastAsiaTheme="minorEastAsia"/>
          <w:sz w:val="24"/>
          <w:szCs w:val="24"/>
        </w:rPr>
        <w:t xml:space="preserve">培训模体及</w:t>
      </w:r>
      <w:r>
        <w:rPr>
          <w:rFonts w:hint="eastAsia" w:cs="宋体" w:asciiTheme="minorEastAsia" w:hAnsiTheme="minorEastAsia" w:eastAsiaTheme="minorEastAsia"/>
          <w:sz w:val="24"/>
          <w:szCs w:val="24"/>
        </w:rPr>
        <w:t xml:space="preserve">辅助设施</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2.10、断层融合定位活检系统</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★2.10.1、具备在断层融合下进行定位活检的功能</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▲2.10.2、具备的乳腺断层融合活检立体定位功能</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2.10.3、在断层融合下进行定位活检的断层融合采集中采用连续曝光或步进式曝光</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2.10.4、在断层融合下进行定位活检的断层采集，大角度模式曝光次数≥20次</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2.10.5、在断层融合下进行定位活检的断层采集，小角度模式曝光次数≤15次</w:t>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2.10.6、诊断和三维活检在同一个采集工作站上完成，无需其他额外工作站即可完成活检图像的采集、传输和处理；</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2.10.7、支持</w:t>
      </w:r>
      <w:r>
        <w:rPr>
          <w:rFonts w:hint="eastAsia" w:cs="宋体" w:asciiTheme="minorEastAsia" w:hAnsiTheme="minorEastAsia" w:eastAsiaTheme="minorEastAsia"/>
          <w:sz w:val="24"/>
          <w:szCs w:val="24"/>
        </w:rPr>
        <w:t xml:space="preserve">持针器</w:t>
      </w:r>
      <w:r>
        <w:rPr>
          <w:rFonts w:hint="eastAsia" w:cs="宋体" w:asciiTheme="minorEastAsia" w:hAnsiTheme="minorEastAsia" w:eastAsiaTheme="minorEastAsia"/>
          <w:sz w:val="24"/>
          <w:szCs w:val="24"/>
        </w:rPr>
        <w:t xml:space="preserve">在X、Y、Z</w:t>
      </w:r>
      <w:r>
        <w:rPr>
          <w:rFonts w:hint="eastAsia" w:cs="宋体" w:asciiTheme="minorEastAsia" w:hAnsiTheme="minorEastAsia" w:eastAsiaTheme="minorEastAsia"/>
          <w:sz w:val="24"/>
          <w:szCs w:val="24"/>
        </w:rPr>
        <w:t xml:space="preserve">轴纯电动</w:t>
      </w:r>
      <w:r>
        <w:rPr>
          <w:rFonts w:hint="eastAsia" w:cs="宋体" w:asciiTheme="minorEastAsia" w:hAnsiTheme="minorEastAsia" w:eastAsiaTheme="minorEastAsia"/>
          <w:sz w:val="24"/>
          <w:szCs w:val="24"/>
        </w:rPr>
        <w:t xml:space="preserve">运动</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2.10.8、控制屏与采集工作站均可显示目标点</w:t>
      </w:r>
      <w:r>
        <w:rPr>
          <w:rFonts w:hint="eastAsia" w:cs="宋体" w:asciiTheme="minorEastAsia" w:hAnsiTheme="minorEastAsia" w:eastAsiaTheme="minorEastAsia"/>
          <w:sz w:val="24"/>
          <w:szCs w:val="24"/>
        </w:rPr>
        <w:t xml:space="preserve">对应穿</w:t>
      </w:r>
      <w:r>
        <w:rPr>
          <w:rFonts w:hint="eastAsia" w:cs="宋体" w:asciiTheme="minorEastAsia" w:hAnsiTheme="minorEastAsia" w:eastAsiaTheme="minorEastAsia"/>
          <w:sz w:val="24"/>
          <w:szCs w:val="24"/>
        </w:rPr>
        <w:t xml:space="preserve">刺针型号</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2.10.9、支持XYZ多视角下病灶定位预览，并提供图片证明资料</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2.11、配套的防护用品及装置</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2.11.1、</w:t>
      </w:r>
      <w:r>
        <w:rPr>
          <w:rFonts w:hint="eastAsia" w:cs="宋体" w:asciiTheme="minorEastAsia" w:hAnsiTheme="minorEastAsia" w:eastAsiaTheme="minorEastAsia"/>
          <w:sz w:val="24"/>
          <w:szCs w:val="24"/>
        </w:rPr>
        <w:t xml:space="preserve">提供铅衣2套</w:t>
      </w:r>
      <w:r>
        <w:rPr>
          <w:rFonts w:hint="eastAsia" w:cs="宋体" w:asciiTheme="minorEastAsia" w:hAnsiTheme="minorEastAsia" w:eastAsiaTheme="minorEastAsia"/>
          <w:sz w:val="24"/>
          <w:szCs w:val="24"/>
        </w:rPr>
        <w:tab/>
      </w:r>
      <w:r/>
    </w:p>
    <w:p>
      <w:pPr>
        <w:jc w:val="left"/>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br w:type="page" w:clear="all"/>
      </w:r>
      <w:r/>
    </w:p>
    <w:p>
      <w:pPr>
        <w:jc w:val="left"/>
        <w:spacing w:line="360" w:lineRule="auto"/>
        <w:tabs>
          <w:tab w:val="left" w:pos="1260" w:leader="none"/>
        </w:tabs>
        <w:rPr>
          <w:rFonts w:ascii="宋体" w:hAnsi="宋体" w:eastAsia="宋体" w:cs="宋体"/>
          <w:b/>
          <w:bCs/>
          <w:sz w:val="24"/>
          <w:szCs w:val="24"/>
        </w:rPr>
      </w:pPr>
      <w:r>
        <w:rPr>
          <w:rFonts w:ascii="宋体" w:hAnsi="宋体" w:eastAsia="宋体" w:cs="宋体"/>
          <w:b/>
          <w:bCs/>
          <w:sz w:val="24"/>
          <w:szCs w:val="24"/>
        </w:rPr>
      </w:r>
      <w:r/>
    </w:p>
    <w:p>
      <w:pPr>
        <w:jc w:val="left"/>
        <w:spacing w:line="360" w:lineRule="auto"/>
        <w:tabs>
          <w:tab w:val="left" w:pos="1260" w:leader="none"/>
        </w:tabs>
        <w:rPr>
          <w:rFonts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w:t>
      </w:r>
      <w:r>
        <w:rPr>
          <w:rFonts w:hint="eastAsia" w:ascii="宋体" w:hAnsi="宋体" w:eastAsia="宋体" w:cs="宋体"/>
          <w:b/>
          <w:bCs/>
          <w:sz w:val="28"/>
          <w:szCs w:val="28"/>
        </w:rPr>
        <w:t xml:space="preserve">要求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1418"/>
        <w:gridCol w:w="6236"/>
      </w:tblGrid>
      <w:tr>
        <w:trPr>
          <w:jc w:val="center"/>
          <w:trHeight w:val="520"/>
        </w:trPr>
        <w:tc>
          <w:tcPr>
            <w:tcW w:w="465"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exact"/>
              <w:rPr>
                <w:rFonts w:ascii="宋体" w:hAnsi="宋体" w:eastAsia="宋体" w:cs="仿宋"/>
                <w:sz w:val="24"/>
                <w:szCs w:val="24"/>
                <w:lang w:val="zh-CN"/>
              </w:rPr>
            </w:pPr>
            <w:r/>
            <w:bookmarkStart w:id="42" w:name="OLE_LINK4"/>
            <w:r>
              <w:rPr>
                <w:rFonts w:ascii="宋体" w:hAnsi="宋体" w:eastAsia="宋体" w:cs="仿宋"/>
                <w:sz w:val="24"/>
                <w:szCs w:val="24"/>
              </w:rPr>
              <w:t xml:space="preserve">合同签订后30个工作日内完成交货、安装、调试及验收</w:t>
            </w:r>
            <w:r>
              <w:rPr>
                <w:rFonts w:hint="eastAsia" w:ascii="宋体" w:hAnsi="宋体" w:eastAsia="宋体" w:cs="仿宋"/>
                <w:sz w:val="24"/>
                <w:szCs w:val="24"/>
              </w:rPr>
              <w:t xml:space="preserve">。</w:t>
            </w:r>
            <w:bookmarkEnd w:id="42"/>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exact"/>
              <w:rPr>
                <w:rFonts w:ascii="宋体" w:hAnsi="宋体" w:eastAsia="宋体" w:cs="仿宋"/>
                <w:sz w:val="24"/>
                <w:szCs w:val="24"/>
              </w:rPr>
            </w:pPr>
            <w:r>
              <w:rPr>
                <w:rFonts w:hint="eastAsia" w:ascii="宋体" w:hAnsi="宋体" w:eastAsia="宋体" w:cs="仿宋"/>
                <w:sz w:val="24"/>
                <w:szCs w:val="24"/>
              </w:rPr>
              <w:t xml:space="preserve">提供</w:t>
            </w:r>
            <w:r>
              <w:rPr>
                <w:rFonts w:hint="eastAsia" w:ascii="宋体" w:hAnsi="宋体" w:eastAsia="宋体" w:cs="仿宋"/>
                <w:sz w:val="24"/>
                <w:szCs w:val="24"/>
              </w:rPr>
              <w:t xml:space="preserve">不少于五年</w:t>
            </w:r>
            <w:r>
              <w:rPr>
                <w:rFonts w:hint="eastAsia" w:ascii="宋体" w:hAnsi="宋体" w:eastAsia="宋体" w:cs="仿宋"/>
                <w:sz w:val="24"/>
                <w:szCs w:val="24"/>
              </w:rPr>
              <w:t xml:space="preserve">的原厂免费质保，质保为全保（包括但不限于所有原厂设备的校准、质控、软硬件、所需配件、人工费、维修人员车旅费等）。供应商在保修期内应确保开机率为95%以上，如达不到此要求，每超过一天，保修期延长两周。</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exact"/>
              <w:rPr>
                <w:rFonts w:ascii="宋体" w:hAnsi="宋体" w:eastAsia="宋体" w:cs="仿宋"/>
                <w:sz w:val="24"/>
                <w:szCs w:val="24"/>
                <w:lang w:val="zh-CN"/>
              </w:rPr>
            </w:pPr>
            <w:r>
              <w:rPr>
                <w:rFonts w:hint="eastAsia" w:ascii="宋体" w:hAnsi="宋体" w:eastAsia="宋体" w:cs="仿宋"/>
                <w:sz w:val="24"/>
                <w:szCs w:val="24"/>
                <w:lang w:val="zh-CN"/>
              </w:rPr>
              <w:t xml:space="preserve">1、合同签订完毕后，</w:t>
            </w:r>
            <w:r>
              <w:rPr>
                <w:rFonts w:hint="eastAsia" w:ascii="宋体" w:hAnsi="宋体" w:eastAsia="宋体" w:cs="仿宋"/>
                <w:sz w:val="24"/>
                <w:szCs w:val="24"/>
              </w:rPr>
              <w:t xml:space="preserve">各</w:t>
            </w:r>
            <w:r>
              <w:rPr>
                <w:rFonts w:hint="eastAsia" w:ascii="宋体" w:hAnsi="宋体" w:eastAsia="宋体" w:cs="仿宋"/>
                <w:sz w:val="24"/>
                <w:szCs w:val="24"/>
                <w:lang w:val="zh-CN"/>
              </w:rPr>
              <w:t xml:space="preserve">最终</w:t>
            </w:r>
            <w:r>
              <w:rPr>
                <w:rFonts w:hint="eastAsia" w:ascii="宋体" w:hAnsi="宋体" w:eastAsia="宋体" w:cs="仿宋"/>
                <w:sz w:val="24"/>
                <w:szCs w:val="24"/>
                <w:lang w:val="zh-CN"/>
              </w:rPr>
              <w:t xml:space="preserve">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支付合同总价30％的预付款。设备安装调试验收合格后，中标供应</w:t>
            </w:r>
            <w:r>
              <w:rPr>
                <w:rFonts w:hint="eastAsia" w:ascii="宋体" w:hAnsi="宋体" w:eastAsia="宋体" w:cs="仿宋"/>
                <w:sz w:val="24"/>
                <w:szCs w:val="24"/>
                <w:lang w:val="zh-CN"/>
              </w:rPr>
              <w:t xml:space="preserve">商凭</w:t>
            </w:r>
            <w:r>
              <w:rPr>
                <w:rFonts w:ascii="宋体" w:hAnsi="宋体" w:eastAsia="宋体" w:cs="仿宋"/>
                <w:sz w:val="24"/>
                <w:szCs w:val="24"/>
                <w:lang w:val="zh-CN"/>
              </w:rPr>
              <w:t xml:space="preserve">最终</w:t>
            </w:r>
            <w:r>
              <w:rPr>
                <w:rFonts w:ascii="宋体" w:hAnsi="宋体" w:eastAsia="宋体" w:cs="仿宋"/>
                <w:sz w:val="24"/>
                <w:szCs w:val="24"/>
                <w:lang w:val="zh-CN"/>
              </w:rPr>
              <w:t xml:space="preserve">用户确认的验收报告</w:t>
            </w:r>
            <w:r>
              <w:rPr>
                <w:rFonts w:hint="eastAsia" w:ascii="宋体" w:hAnsi="宋体" w:eastAsia="宋体" w:cs="仿宋"/>
                <w:sz w:val="24"/>
                <w:szCs w:val="24"/>
                <w:lang w:val="zh-CN"/>
              </w:rPr>
              <w:t xml:space="preserve">，向最终用户开具真实、合法的全额销售发票，最终用户在收到发票后30日</w:t>
            </w:r>
            <w:r>
              <w:rPr>
                <w:rFonts w:hint="eastAsia" w:ascii="宋体" w:hAnsi="宋体" w:eastAsia="宋体" w:cs="仿宋"/>
                <w:sz w:val="24"/>
                <w:szCs w:val="24"/>
                <w:lang w:val="zh-CN"/>
              </w:rPr>
              <w:t xml:space="preserve">内向中标供应商支付剩余货款</w:t>
            </w:r>
            <w:r>
              <w:rPr>
                <w:rFonts w:hint="eastAsia" w:ascii="宋体" w:hAnsi="宋体" w:eastAsia="宋体" w:cs="仿宋"/>
                <w:sz w:val="24"/>
                <w:szCs w:val="24"/>
                <w:lang w:val="zh-CN"/>
              </w:rPr>
              <w:t xml:space="preserve">。</w:t>
            </w:r>
            <w:r/>
          </w:p>
          <w:p>
            <w:pPr>
              <w:spacing w:line="360" w:lineRule="exact"/>
              <w:rPr>
                <w:rFonts w:ascii="宋体" w:hAnsi="宋体" w:eastAsia="宋体" w:cs="仿宋"/>
                <w:sz w:val="24"/>
                <w:szCs w:val="24"/>
                <w:lang w:val="zh-CN"/>
              </w:rPr>
            </w:pPr>
            <w:r>
              <w:rPr>
                <w:rFonts w:hint="eastAsia" w:ascii="宋体" w:hAnsi="宋体" w:eastAsia="宋体" w:cs="仿宋"/>
                <w:sz w:val="24"/>
                <w:szCs w:val="24"/>
                <w:lang w:val="zh-CN"/>
              </w:rPr>
              <w:t xml:space="preserve">2、税费：本合同执行中相关的一切税费均由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履约</w:t>
            </w:r>
            <w:r>
              <w:rPr>
                <w:rFonts w:hint="eastAsia" w:ascii="宋体" w:hAnsi="宋体" w:eastAsia="宋体" w:cs="仿宋"/>
                <w:bCs/>
                <w:position w:val="-10"/>
                <w:sz w:val="24"/>
                <w:szCs w:val="24"/>
                <w:lang w:val="zh-CN"/>
              </w:rPr>
              <w:t xml:space="preserve">验收标准</w:t>
            </w:r>
            <w:r/>
          </w:p>
        </w:tc>
        <w:tc>
          <w:tcPr>
            <w:tcW w:w="3694" w:type="pct"/>
            <w:vAlign w:val="center"/>
            <w:textDirection w:val="lrTb"/>
            <w:noWrap w:val="false"/>
          </w:tcPr>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设备安装、调试结束后，采购人对设备试用后进行验收（时间由买、供双方商定），投标人免费派工程师到达现场协助验收工作。投标人提供的设备必须符合我国最新颁布的与之相关的技术规范与标准。</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1.到货日期距仪器生产日期：不超过180天（以铭牌为准）。</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2.采购人对投标人提交的货物依据招标文件上的技术规格要求和投标人承诺的其他指标进行现场验收，符合招标文件技术要求的，给予签收，验收不合格的不予签收，投标人承担由此造成的一切损失。采购人有权随机抽取部分产品送第三方检测机构进行破坏性检测。</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3.投标人验收交货前应对设备</w:t>
            </w:r>
            <w:r>
              <w:rPr>
                <w:rFonts w:hint="eastAsia" w:asciiTheme="minorEastAsia" w:hAnsiTheme="minorEastAsia" w:eastAsiaTheme="minorEastAsia"/>
                <w:sz w:val="24"/>
                <w:szCs w:val="18"/>
              </w:rPr>
              <w:t xml:space="preserve">作出</w:t>
            </w:r>
            <w:r>
              <w:rPr>
                <w:rFonts w:hint="eastAsia" w:asciiTheme="minorEastAsia" w:hAnsiTheme="minorEastAsia" w:eastAsiaTheme="minorEastAsia"/>
                <w:sz w:val="24"/>
                <w:szCs w:val="18"/>
              </w:rPr>
              <w:t xml:space="preserve">全面检查和对验收文件进行整理列出清单，提供详细的验收标准、验收手册作为采购人收货验收和使用的技术条件依据，检验的结果应附验收文件之后随货物交采购人。</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4.对技术复杂的货物，采购人可请国家认可的专业检测机构参与初步验收及最终验收，并由其出具质量检测报告。</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5.采购人有权请检测机构相关专家和采购人单位代表在生产前随时到生产现场查看所有制作材料的型号和进货清单等书面材料及原始凭证，投标人承担有可能产生的材料品牌检测费。</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6.所有设备、材料及安装无质量问题，采购人与投标人双方及有关部门确认验收合格。保修期自验收合格正式开始使用一个月后，开始计算。</w:t>
            </w:r>
            <w:r/>
          </w:p>
          <w:p>
            <w:pPr>
              <w:spacing w:line="360" w:lineRule="exact"/>
              <w:rPr>
                <w:rFonts w:ascii="宋体" w:hAnsi="宋体" w:eastAsia="宋体" w:cs="仿宋"/>
                <w:sz w:val="24"/>
                <w:szCs w:val="24"/>
              </w:rPr>
            </w:pPr>
            <w:r>
              <w:rPr>
                <w:rFonts w:hint="eastAsia" w:asciiTheme="minorEastAsia" w:hAnsiTheme="minorEastAsia" w:eastAsiaTheme="minorEastAsia"/>
                <w:sz w:val="24"/>
                <w:szCs w:val="18"/>
              </w:rPr>
              <w:t xml:space="preserve">7.投标人在最终验收合格之后，向采购人移交但不限于装箱清单、验收报告、测试报告、产品合格证、使用说明书、保养、维护所必须的资料（使用及维护手册、维修图纸、软件备份、故障代码表、备件清单、零配件、维修密码等维护维修必需的材料和信息）等所有设备资料。</w:t>
            </w:r>
            <w:r/>
          </w:p>
        </w:tc>
      </w:tr>
      <w:tr>
        <w:trPr>
          <w:jc w:val="center"/>
          <w:trHeight w:val="90"/>
        </w:trPr>
        <w:tc>
          <w:tcPr>
            <w:tcW w:w="465" w:type="pct"/>
            <w:vAlign w:val="center"/>
            <w:textDirection w:val="lrTb"/>
            <w:noWrap w:val="false"/>
          </w:tcPr>
          <w:p>
            <w:pPr>
              <w:jc w:val="center"/>
              <w:spacing w:line="400" w:lineRule="exact"/>
              <w:rPr>
                <w:rFonts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exact"/>
              <w:rPr>
                <w:rFonts w:ascii="宋体" w:hAnsi="宋体" w:eastAsia="宋体" w:cs="仿宋"/>
                <w:sz w:val="24"/>
                <w:szCs w:val="24"/>
              </w:rPr>
            </w:pPr>
            <w:r>
              <w:rPr>
                <w:rFonts w:hint="eastAsia" w:ascii="宋体" w:hAnsi="宋体" w:eastAsia="宋体" w:cs="仿宋"/>
                <w:sz w:val="24"/>
                <w:szCs w:val="24"/>
              </w:rPr>
              <w:t xml:space="preserve">1</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2</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保修期内每年两次定期维护。</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3</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无论在保修期内还是保修期外，所投设备故障时，设备厂方必须上门维修，同时必须事先与采购人医学装备部取得联系，并做相应登记；在维修过程中与采购人工程师共同完成维修工作。否则引起的一切责任由投标人负责。维修配件费供方必须以低于原厂报价的70％优惠提供（提供承诺书，格式自拟，须加盖投标人公章。</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4</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设备随机耗材要求：投标供应商应列明能确保设备正常使用的，所需耗材及维修配件的清单及价格（格式可自拟）；未列其中的，视为免费</w:t>
            </w:r>
            <w:r>
              <w:rPr>
                <w:rFonts w:hint="eastAsia" w:ascii="宋体" w:hAnsi="宋体" w:eastAsia="宋体" w:cs="仿宋"/>
                <w:sz w:val="24"/>
                <w:szCs w:val="24"/>
              </w:rPr>
              <w:t xml:space="preserve">维保范围</w:t>
            </w:r>
            <w:r>
              <w:rPr>
                <w:rFonts w:hint="eastAsia" w:ascii="宋体" w:hAnsi="宋体" w:eastAsia="宋体" w:cs="仿宋"/>
                <w:sz w:val="24"/>
                <w:szCs w:val="24"/>
              </w:rPr>
              <w:t xml:space="preserve">之材料。</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5</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具备数字化接口的设备应承诺免费开放该接口，并由供应商承担与医院平台系统（如HIS、LIS、PACS等）相连接的接口费用，</w:t>
            </w:r>
            <w:r>
              <w:rPr>
                <w:rFonts w:hint="eastAsia" w:ascii="宋体" w:hAnsi="宋体" w:eastAsia="宋体" w:cs="仿宋"/>
                <w:sz w:val="24"/>
                <w:szCs w:val="24"/>
              </w:rPr>
              <w:t xml:space="preserve">含现有</w:t>
            </w:r>
            <w:r>
              <w:rPr>
                <w:rFonts w:hint="eastAsia" w:ascii="宋体" w:hAnsi="宋体" w:eastAsia="宋体" w:cs="仿宋"/>
                <w:sz w:val="24"/>
                <w:szCs w:val="24"/>
              </w:rPr>
              <w:t xml:space="preserve">和后期设备对接等，不因任何因素增加，甲方无须支付任何费用。(格式可自拟)。</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6</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设备使用年限内（本次所投产品的年限≥10年），生</w:t>
            </w:r>
            <w:r>
              <w:rPr>
                <w:rFonts w:hint="eastAsia" w:ascii="宋体" w:hAnsi="宋体" w:eastAsia="宋体" w:cs="仿宋"/>
                <w:sz w:val="24"/>
                <w:szCs w:val="24"/>
              </w:rPr>
              <w:t xml:space="preserve">产厂家应承诺保证配件、耗材的供应；若因设备升级等原因导致配件、耗材价格提高，或已无法正常供应配件、耗材时，采购人有权要求生产厂家按折旧后的价格将设备回收。</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40" w:lineRule="exact"/>
              <w:rPr>
                <w:rFonts w:ascii="宋体" w:hAnsi="宋体" w:eastAsia="宋体" w:cs="仿宋"/>
                <w:sz w:val="24"/>
                <w:szCs w:val="24"/>
              </w:rPr>
            </w:pPr>
            <w:r>
              <w:rPr>
                <w:rFonts w:hint="eastAsia" w:ascii="宋体" w:hAnsi="宋体" w:eastAsia="宋体" w:cs="仿宋"/>
                <w:sz w:val="24"/>
                <w:szCs w:val="24"/>
              </w:rPr>
              <w:t xml:space="preserve">(</w:t>
            </w:r>
            <w:r>
              <w:rPr>
                <w:rFonts w:hint="eastAsia" w:ascii="宋体" w:hAnsi="宋体" w:eastAsia="宋体" w:cs="仿宋"/>
                <w:sz w:val="24"/>
                <w:szCs w:val="24"/>
              </w:rPr>
              <w:t xml:space="preserve">一</w:t>
            </w:r>
            <w:r>
              <w:rPr>
                <w:rFonts w:hint="eastAsia" w:ascii="宋体" w:hAnsi="宋体" w:eastAsia="宋体" w:cs="仿宋"/>
                <w:sz w:val="24"/>
                <w:szCs w:val="24"/>
              </w:rPr>
              <w:t xml:space="preserve">)包装、发运及运输</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(二)知识产权</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但不限于对外赔偿费用、诉讼费、律师费、差旅费等。</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(三)产权担保</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供应商保证所交付的设备的所有权完全属于</w:t>
            </w:r>
            <w:r>
              <w:rPr>
                <w:rFonts w:hint="eastAsia" w:ascii="宋体" w:hAnsi="宋体" w:eastAsia="宋体" w:cs="仿宋"/>
                <w:sz w:val="24"/>
                <w:szCs w:val="24"/>
              </w:rPr>
              <w:t xml:space="preserve">供应商且无</w:t>
            </w:r>
            <w:r>
              <w:rPr>
                <w:rFonts w:hint="eastAsia" w:ascii="宋体" w:hAnsi="宋体" w:eastAsia="宋体" w:cs="仿宋"/>
                <w:sz w:val="24"/>
                <w:szCs w:val="24"/>
              </w:rPr>
              <w:t xml:space="preserve">任何抵押、查封等产权瑕疵。</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(四)技术资料</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2.没有院方事先书面同意，供应商不得将由院方提供的有关本项目或任何本项目条文、规格、计划、图纸、样品或资料提供给与履行本项目无关的任何其他人。即使</w:t>
            </w:r>
            <w:r>
              <w:rPr>
                <w:rFonts w:hint="eastAsia" w:ascii="宋体" w:hAnsi="宋体" w:eastAsia="宋体" w:cs="仿宋"/>
                <w:sz w:val="24"/>
                <w:szCs w:val="24"/>
              </w:rPr>
              <w:t xml:space="preserve">向履行</w:t>
            </w:r>
            <w:r>
              <w:rPr>
                <w:rFonts w:hint="eastAsia" w:ascii="宋体" w:hAnsi="宋体" w:eastAsia="宋体" w:cs="仿宋"/>
                <w:sz w:val="24"/>
                <w:szCs w:val="24"/>
              </w:rPr>
              <w:t xml:space="preserve">本项目有关的人员提供，也应注意保密并限于履行的必需范围。</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(五)转包或分包</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(六)违约责任</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1.供应商逾期交付设备的，院方可从货款中扣除相应的误期赔偿费，延期交货和延期服务的赔偿费每周按合同价款的百分之</w:t>
            </w:r>
            <w:r>
              <w:rPr>
                <w:rFonts w:hint="eastAsia" w:ascii="宋体" w:hAnsi="宋体" w:eastAsia="宋体" w:cs="仿宋"/>
                <w:sz w:val="24"/>
                <w:szCs w:val="24"/>
              </w:rPr>
              <w:t xml:space="preserve">2</w:t>
            </w:r>
            <w:r>
              <w:rPr>
                <w:rFonts w:hint="eastAsia" w:ascii="宋体" w:hAnsi="宋体" w:eastAsia="宋体" w:cs="仿宋"/>
                <w:sz w:val="24"/>
                <w:szCs w:val="24"/>
              </w:rPr>
              <w:t xml:space="preserve">(2%)计收，直至交货或提供服务为止。但误期赔偿费的最高限额不超过合同价款的百分之二十(20%)。一周按7天计算，不足7天按一周计算。一旦达到误期赔偿的最高限额，甲方有权终止合同。</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w:t>
            </w:r>
            <w:r>
              <w:rPr>
                <w:rFonts w:hint="eastAsia" w:ascii="宋体" w:hAnsi="宋体" w:eastAsia="宋体" w:cs="仿宋"/>
                <w:sz w:val="24"/>
                <w:szCs w:val="24"/>
              </w:rPr>
              <w:t xml:space="preserve">按供应</w:t>
            </w:r>
            <w:r>
              <w:rPr>
                <w:rFonts w:hint="eastAsia" w:ascii="宋体" w:hAnsi="宋体" w:eastAsia="宋体" w:cs="仿宋"/>
                <w:sz w:val="24"/>
                <w:szCs w:val="24"/>
              </w:rPr>
              <w:t xml:space="preserve">商逾期交货处理。供应</w:t>
            </w:r>
            <w:r>
              <w:rPr>
                <w:rFonts w:hint="eastAsia" w:ascii="宋体" w:hAnsi="宋体" w:eastAsia="宋体" w:cs="仿宋"/>
                <w:sz w:val="24"/>
                <w:szCs w:val="24"/>
              </w:rPr>
              <w:t xml:space="preserve">商拒绝</w:t>
            </w:r>
            <w:r>
              <w:rPr>
                <w:rFonts w:hint="eastAsia" w:ascii="宋体" w:hAnsi="宋体" w:eastAsia="宋体" w:cs="仿宋"/>
                <w:sz w:val="24"/>
                <w:szCs w:val="24"/>
              </w:rPr>
              <w:t xml:space="preserve">更换设备的，院方可单方面解除项目，供应商应向院方支付货款总值5%的违约金，如造成院方损失超过违约金的，超出部分由供应商继续承担赔偿责任。</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(七)不可抗力事件处理</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40" w:lineRule="exact"/>
              <w:rPr>
                <w:rFonts w:ascii="宋体" w:hAnsi="宋体" w:eastAsia="宋体" w:cs="仿宋"/>
                <w:sz w:val="24"/>
                <w:szCs w:val="24"/>
                <w:lang w:val="zh-CN"/>
              </w:rPr>
            </w:pPr>
            <w:r>
              <w:rPr>
                <w:rFonts w:hint="eastAsia" w:ascii="宋体" w:hAnsi="宋体" w:eastAsia="宋体" w:cs="仿宋"/>
                <w:sz w:val="24"/>
                <w:szCs w:val="24"/>
              </w:rPr>
              <w:t xml:space="preserve">3.不可抗力事件延续120天以上，双方应通过友好协商，确定是否继续履行合同。</w:t>
            </w:r>
            <w:r/>
          </w:p>
        </w:tc>
      </w:tr>
    </w:tbl>
    <w:p>
      <w:pPr>
        <w:pStyle w:val="831"/>
        <w:spacing w:line="360" w:lineRule="auto"/>
        <w:rPr>
          <w:rFonts w:asciiTheme="minorEastAsia" w:hAnsiTheme="minorEastAsia" w:eastAsiaTheme="minorEastAsia"/>
          <w:sz w:val="24"/>
          <w:szCs w:val="18"/>
        </w:rPr>
      </w:pPr>
      <w:r>
        <w:rPr>
          <w:rFonts w:asciiTheme="minorEastAsia" w:hAnsiTheme="minorEastAsia" w:eastAsiaTheme="minorEastAsia"/>
          <w:sz w:val="24"/>
          <w:szCs w:val="18"/>
        </w:rPr>
      </w:r>
      <w:r/>
    </w:p>
    <w:p>
      <w:pPr>
        <w:spacing w:line="360" w:lineRule="auto"/>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8"/>
          <w:szCs w:val="28"/>
        </w:rPr>
        <w:t xml:space="preserve">四</w:t>
      </w:r>
      <w:r>
        <w:rPr>
          <w:rFonts w:hint="eastAsia" w:ascii="宋体" w:hAnsi="宋体" w:eastAsia="宋体" w:cs="宋体"/>
          <w:b/>
          <w:bCs/>
          <w:sz w:val="28"/>
          <w:szCs w:val="28"/>
        </w:rPr>
        <w:t xml:space="preserve">、采购标的</w:t>
      </w:r>
      <w:r>
        <w:rPr>
          <w:rFonts w:hint="eastAsia" w:ascii="宋体" w:hAnsi="宋体" w:eastAsia="宋体" w:cs="宋体"/>
          <w:b/>
          <w:bCs/>
          <w:sz w:val="28"/>
          <w:szCs w:val="28"/>
        </w:rPr>
        <w:t xml:space="preserve">的</w:t>
      </w:r>
      <w:r>
        <w:rPr>
          <w:rFonts w:hint="eastAsia" w:ascii="宋体" w:hAnsi="宋体" w:eastAsia="宋体" w:cs="宋体"/>
          <w:b/>
          <w:bCs/>
          <w:sz w:val="28"/>
          <w:szCs w:val="28"/>
        </w:rPr>
        <w:t xml:space="preserve">所属行业</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27"/>
        <w:numPr>
          <w:ilvl w:val="0"/>
          <w:numId w:val="6"/>
        </w:numPr>
        <w:jc w:val="center"/>
        <w:spacing w:before="0" w:after="0" w:line="360" w:lineRule="auto"/>
        <w:rPr>
          <w:rFonts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39"/>
      <w:r/>
      <w:bookmarkEnd w:id="40"/>
      <w:r/>
      <w:r/>
    </w:p>
    <w:p>
      <w:pPr>
        <w:jc w:val="left"/>
        <w:spacing w:after="200" w:line="360" w:lineRule="auto"/>
        <w:widowControl/>
        <w:rPr>
          <w:rFonts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jc w:val="left"/>
        <w:spacing w:after="200" w:line="360" w:lineRule="auto"/>
        <w:widowControl/>
        <w:rPr>
          <w:rFonts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360" w:lineRule="auto"/>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w:t>
      </w:r>
      <w:r>
        <w:rPr>
          <w:rFonts w:hint="eastAsia" w:cs="仿宋" w:asciiTheme="minorEastAsia" w:hAnsiTheme="minorEastAsia" w:eastAsiaTheme="minorEastAsia"/>
          <w:color w:val="000000" w:themeColor="text1"/>
          <w:shd w:val="clear" w:color="auto" w:fill="ffffff"/>
        </w:rPr>
        <w:t xml:space="preserve">得分仍</w:t>
      </w:r>
      <w:r>
        <w:rPr>
          <w:rFonts w:hint="eastAsia" w:cs="仿宋" w:asciiTheme="minorEastAsia" w:hAnsiTheme="minorEastAsia" w:eastAsiaTheme="minorEastAsia"/>
          <w:color w:val="000000" w:themeColor="text1"/>
          <w:shd w:val="clear" w:color="auto" w:fill="ffffff"/>
        </w:rPr>
        <w:t xml:space="preserve">相同的，用抽签方式确定中标候选人顺序。投标文件满足招标文件全部实质性要求，</w:t>
      </w:r>
      <w:r>
        <w:rPr>
          <w:rFonts w:hint="eastAsia" w:cs="仿宋" w:asciiTheme="minorEastAsia" w:hAnsiTheme="minorEastAsia" w:eastAsiaTheme="minorEastAsia"/>
          <w:color w:val="000000" w:themeColor="text1"/>
          <w:shd w:val="clear" w:color="auto" w:fill="ffffff"/>
        </w:rPr>
        <w:t xml:space="preserve">且按照</w:t>
      </w:r>
      <w:r>
        <w:rPr>
          <w:rFonts w:hint="eastAsia" w:cs="仿宋" w:asciiTheme="minorEastAsia" w:hAnsiTheme="minorEastAsia" w:eastAsiaTheme="minorEastAsia"/>
          <w:color w:val="000000" w:themeColor="text1"/>
          <w:shd w:val="clear" w:color="auto" w:fill="ffffff"/>
        </w:rPr>
        <w:t xml:space="preserve">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w:t>
      </w:r>
      <w:r>
        <w:rPr>
          <w:rFonts w:hint="eastAsia" w:cs="仿宋" w:asciiTheme="minorEastAsia" w:hAnsiTheme="minorEastAsia" w:eastAsiaTheme="minorEastAsia"/>
          <w:color w:val="000000" w:themeColor="text1"/>
          <w:shd w:val="clear" w:color="auto" w:fill="ffffff"/>
        </w:rPr>
        <w:t xml:space="preserve">微企业</w:t>
      </w:r>
      <w:r>
        <w:rPr>
          <w:rFonts w:hint="eastAsia" w:cs="仿宋" w:asciiTheme="minorEastAsia" w:hAnsiTheme="minorEastAsia" w:eastAsiaTheme="minorEastAsia"/>
          <w:color w:val="000000" w:themeColor="text1"/>
          <w:shd w:val="clear" w:color="auto" w:fill="ffffff"/>
        </w:rPr>
        <w:t xml:space="preserve">不再享受价格扣除优惠政策。</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w:t>
      </w:r>
      <w:r>
        <w:rPr>
          <w:rFonts w:hint="eastAsia" w:ascii="宋体" w:hAnsi="宋体" w:eastAsia="宋体" w:cs="宋体"/>
          <w:color w:val="000000" w:themeColor="text1"/>
          <w:sz w:val="24"/>
          <w:szCs w:val="24"/>
        </w:rPr>
        <w:t xml:space="preserve">斜线划除的</w:t>
      </w:r>
      <w:r>
        <w:rPr>
          <w:rFonts w:hint="eastAsia" w:ascii="宋体" w:hAnsi="宋体" w:eastAsia="宋体" w:cs="宋体"/>
          <w:color w:val="000000" w:themeColor="text1"/>
          <w:sz w:val="24"/>
          <w:szCs w:val="24"/>
        </w:rPr>
        <w:t xml:space="preserve">地方无需填写），三项信息中任意一项未填写的视为该项产品不符合本国产品标准，不享受本国产品价格评审优惠。</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w:t>
      </w:r>
      <w:r>
        <w:rPr>
          <w:rFonts w:hint="eastAsia" w:eastAsia="宋体" w:cs="宋体"/>
          <w:color w:val="000000" w:themeColor="text1"/>
        </w:rPr>
        <w:t xml:space="preserve">作出</w:t>
      </w:r>
      <w:r>
        <w:rPr>
          <w:rFonts w:hint="eastAsia" w:eastAsia="宋体" w:cs="宋体"/>
          <w:color w:val="000000" w:themeColor="text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cs="仿宋" w:asciiTheme="minorEastAsia" w:hAnsiTheme="minorEastAsia" w:eastAsiaTheme="minorEastAsia"/>
          <w:b/>
          <w:color w:val="000000" w:themeColor="text1"/>
          <w:sz w:val="24"/>
          <w:szCs w:val="24"/>
        </w:rPr>
      </w:pPr>
      <w:r/>
      <w:bookmarkStart w:id="43" w:name="_Hlk147842034"/>
      <w:r>
        <w:rPr>
          <w:rFonts w:cs="仿宋" w:asciiTheme="minorEastAsia" w:hAnsiTheme="minorEastAsia" w:eastAsiaTheme="minorEastAsia"/>
          <w:b/>
          <w:color w:val="000000" w:themeColor="text1"/>
          <w:sz w:val="24"/>
          <w:szCs w:val="24"/>
        </w:rPr>
        <w:br w:type="page" w:clear="all"/>
      </w:r>
      <w:r/>
    </w:p>
    <w:p>
      <w:pPr>
        <w:pStyle w:val="861"/>
        <w:numPr>
          <w:ilvl w:val="0"/>
          <w:numId w:val="7"/>
        </w:numPr>
        <w:ind w:firstLine="0"/>
        <w:spacing w:line="360" w:lineRule="auto"/>
        <w:rPr>
          <w:rFonts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ascii="宋体" w:hAnsi="宋体" w:eastAsia="宋体" w:cs="仿宋"/>
                <w:sz w:val="24"/>
                <w:szCs w:val="24"/>
              </w:rPr>
            </w:pPr>
            <w:r>
              <w:rPr>
                <w:rFonts w:hint="eastAsia" w:ascii="宋体" w:hAnsi="宋体" w:eastAsia="宋体" w:cs="仿宋"/>
                <w:sz w:val="24"/>
                <w:szCs w:val="24"/>
              </w:rPr>
              <w:t xml:space="preserve">按</w:t>
            </w:r>
            <w:r>
              <w:rPr>
                <w:rFonts w:hint="eastAsia" w:ascii="宋体" w:hAnsi="宋体" w:eastAsia="宋体" w:cs="仿宋"/>
                <w:sz w:val="24"/>
                <w:szCs w:val="24"/>
              </w:rPr>
              <w:t xml:space="preserve">满足招标文件要求且报价最低的供应商报价为评标基准价，其价格分为满分30分，其他供应商的价格</w:t>
            </w:r>
            <w:r>
              <w:rPr>
                <w:rFonts w:hint="eastAsia" w:ascii="宋体" w:hAnsi="宋体" w:eastAsia="宋体" w:cs="仿宋"/>
                <w:sz w:val="24"/>
                <w:szCs w:val="24"/>
              </w:rPr>
              <w:t xml:space="preserve">分统一</w:t>
            </w:r>
            <w:r>
              <w:rPr>
                <w:rFonts w:hint="eastAsia" w:ascii="宋体" w:hAnsi="宋体" w:eastAsia="宋体" w:cs="仿宋"/>
                <w:sz w:val="24"/>
                <w:szCs w:val="24"/>
              </w:rPr>
              <w:t xml:space="preserve">按照以下公式计算，保留小数点后2位：投标报价得分=（评标基准价/该供应商的投标报价）×30%×100。</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3078"/>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质量、技术要求 </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1.全部满足标书基本要求得</w:t>
            </w:r>
            <w:r>
              <w:rPr>
                <w:rFonts w:hint="eastAsia" w:ascii="宋体" w:hAnsi="宋体" w:eastAsia="宋体" w:cs="仿宋"/>
                <w:sz w:val="24"/>
                <w:szCs w:val="24"/>
              </w:rPr>
              <w:t xml:space="preserve">34</w:t>
            </w:r>
            <w:r>
              <w:rPr>
                <w:rFonts w:hint="eastAsia" w:ascii="宋体" w:hAnsi="宋体" w:eastAsia="宋体" w:cs="仿宋"/>
                <w:sz w:val="24"/>
                <w:szCs w:val="24"/>
              </w:rPr>
              <w:t xml:space="preserve">分，正偏离不加分，★</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为核心技术指标（如有），有一项★</w:t>
            </w:r>
            <w:r>
              <w:rPr>
                <w:rFonts w:hint="eastAsia" w:ascii="宋体" w:hAnsi="宋体" w:eastAsia="宋体" w:cs="仿宋"/>
                <w:sz w:val="24"/>
                <w:szCs w:val="24"/>
              </w:rPr>
              <w:t xml:space="preserve">号指标负</w:t>
            </w:r>
            <w:r>
              <w:rPr>
                <w:rFonts w:hint="eastAsia" w:ascii="宋体" w:hAnsi="宋体" w:eastAsia="宋体" w:cs="仿宋"/>
                <w:sz w:val="24"/>
                <w:szCs w:val="24"/>
              </w:rPr>
              <w:t xml:space="preserve">偏离</w:t>
            </w:r>
            <w:r>
              <w:rPr>
                <w:rFonts w:hint="eastAsia" w:ascii="宋体" w:hAnsi="宋体" w:eastAsia="宋体" w:cs="仿宋"/>
                <w:sz w:val="24"/>
                <w:szCs w:val="24"/>
              </w:rPr>
              <w:t xml:space="preserve">做废</w:t>
            </w:r>
            <w:r>
              <w:rPr>
                <w:rFonts w:hint="eastAsia" w:ascii="宋体" w:hAnsi="宋体" w:eastAsia="宋体" w:cs="仿宋"/>
                <w:sz w:val="24"/>
                <w:szCs w:val="24"/>
              </w:rPr>
              <w:t xml:space="preserve">标处理；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 ▲</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为关键技术指标，有一项▲</w:t>
            </w:r>
            <w:r>
              <w:rPr>
                <w:rFonts w:hint="eastAsia" w:ascii="宋体" w:hAnsi="宋体" w:eastAsia="宋体" w:cs="仿宋"/>
                <w:sz w:val="24"/>
                <w:szCs w:val="24"/>
              </w:rPr>
              <w:t xml:space="preserve">号指标负</w:t>
            </w:r>
            <w:r>
              <w:rPr>
                <w:rFonts w:hint="eastAsia" w:ascii="宋体" w:hAnsi="宋体" w:eastAsia="宋体" w:cs="仿宋"/>
                <w:sz w:val="24"/>
                <w:szCs w:val="24"/>
              </w:rPr>
              <w:t xml:space="preserve">偏离扣2分；（共</w:t>
            </w:r>
            <w:r>
              <w:rPr>
                <w:rFonts w:ascii="宋体" w:hAnsi="宋体" w:eastAsia="宋体" w:cs="仿宋"/>
                <w:sz w:val="24"/>
                <w:szCs w:val="24"/>
              </w:rPr>
              <w:t xml:space="preserve">12</w:t>
            </w:r>
            <w:r>
              <w:rPr>
                <w:rFonts w:hint="eastAsia" w:ascii="宋体" w:hAnsi="宋体" w:eastAsia="宋体" w:cs="仿宋"/>
                <w:sz w:val="24"/>
                <w:szCs w:val="24"/>
              </w:rPr>
              <w:t xml:space="preserve">项）（★号、▲</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3.未标注★、▲</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为一般技术指标，</w:t>
            </w:r>
            <w:r>
              <w:rPr>
                <w:rFonts w:hint="eastAsia" w:ascii="宋体" w:hAnsi="宋体" w:eastAsia="宋体" w:cs="仿宋"/>
                <w:sz w:val="24"/>
                <w:szCs w:val="24"/>
              </w:rPr>
              <w:t xml:space="preserve">每负偏离</w:t>
            </w:r>
            <w:r>
              <w:rPr>
                <w:rFonts w:hint="eastAsia" w:ascii="宋体" w:hAnsi="宋体" w:eastAsia="宋体" w:cs="仿宋"/>
                <w:sz w:val="24"/>
                <w:szCs w:val="24"/>
              </w:rPr>
              <w:t xml:space="preserve">一项扣</w:t>
            </w:r>
            <w:r>
              <w:rPr>
                <w:rFonts w:ascii="宋体" w:hAnsi="宋体" w:eastAsia="宋体" w:cs="仿宋"/>
                <w:sz w:val="24"/>
                <w:szCs w:val="24"/>
              </w:rPr>
              <w:t xml:space="preserve">0.</w:t>
            </w:r>
            <w:r>
              <w:rPr>
                <w:rFonts w:hint="eastAsia" w:ascii="宋体" w:hAnsi="宋体" w:eastAsia="宋体" w:cs="仿宋"/>
                <w:sz w:val="24"/>
                <w:szCs w:val="24"/>
              </w:rPr>
              <w:t xml:space="preserve">1</w:t>
            </w:r>
            <w:r>
              <w:rPr>
                <w:rFonts w:hint="eastAsia" w:ascii="宋体" w:hAnsi="宋体" w:eastAsia="宋体" w:cs="仿宋"/>
                <w:sz w:val="24"/>
                <w:szCs w:val="24"/>
              </w:rPr>
              <w:t xml:space="preserve">分，扣完为止。（共</w:t>
            </w:r>
            <w:r>
              <w:rPr>
                <w:rFonts w:hint="eastAsia" w:ascii="宋体" w:hAnsi="宋体" w:eastAsia="宋体" w:cs="仿宋"/>
                <w:sz w:val="24"/>
                <w:szCs w:val="24"/>
              </w:rPr>
              <w:t xml:space="preserve">100</w:t>
            </w:r>
            <w:r>
              <w:rPr>
                <w:rFonts w:hint="eastAsia" w:ascii="宋体" w:hAnsi="宋体" w:eastAsia="宋体" w:cs="仿宋"/>
                <w:sz w:val="24"/>
                <w:szCs w:val="24"/>
              </w:rPr>
              <w:t xml:space="preserve">项）</w:t>
            </w:r>
            <w:r/>
          </w:p>
          <w:p>
            <w:pPr>
              <w:spacing w:line="360" w:lineRule="auto"/>
            </w:pPr>
            <w:r>
              <w:rPr>
                <w:rFonts w:hint="eastAsia" w:ascii="宋体" w:hAnsi="宋体" w:eastAsia="宋体" w:cs="仿宋"/>
                <w:sz w:val="24"/>
                <w:szCs w:val="24"/>
              </w:rPr>
              <w:t xml:space="preserve">4.产品交付验收时，招标人将对技术规格要求中的★号、▲</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进行逐一核实验收，如发现虚假应标，或无法实现关键技术指标功能，有权向采购主管部门进行举报，</w:t>
            </w:r>
            <w:r>
              <w:rPr>
                <w:rFonts w:hint="eastAsia" w:ascii="宋体" w:hAnsi="宋体" w:eastAsia="宋体" w:cs="仿宋"/>
                <w:sz w:val="24"/>
                <w:szCs w:val="24"/>
              </w:rPr>
              <w:t xml:space="preserve">由成交</w:t>
            </w:r>
            <w:r>
              <w:rPr>
                <w:rFonts w:hint="eastAsia" w:ascii="宋体" w:hAnsi="宋体" w:eastAsia="宋体" w:cs="仿宋"/>
                <w:sz w:val="24"/>
                <w:szCs w:val="24"/>
              </w:rPr>
              <w:t xml:space="preserve">供应商承担一切法律责任。</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34</w:t>
            </w:r>
            <w:r>
              <w:rPr>
                <w:rFonts w:hint="eastAsia" w:ascii="宋体" w:hAnsi="宋体" w:eastAsia="宋体" w:cs="仿宋"/>
                <w:sz w:val="24"/>
                <w:szCs w:val="24"/>
              </w:rPr>
              <w:t xml:space="preserve">分</w:t>
            </w:r>
            <w:r/>
          </w:p>
        </w:tc>
      </w:tr>
      <w:tr>
        <w:trPr>
          <w:jc w:val="center"/>
          <w:trHeight w:val="623"/>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供应商提供对用户的操作培训、业务功能培训等相关培训计划方案，除正常操作培训外，针对甲方的</w:t>
            </w:r>
            <w:r>
              <w:rPr>
                <w:rFonts w:hint="eastAsia" w:ascii="宋体" w:hAnsi="宋体" w:eastAsia="宋体" w:cs="仿宋"/>
                <w:sz w:val="24"/>
                <w:szCs w:val="24"/>
              </w:rPr>
              <w:t xml:space="preserve">特点，提出其他技术培训保障方案：</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w:t>
            </w:r>
            <w:r>
              <w:rPr>
                <w:rFonts w:hint="eastAsia" w:ascii="宋体" w:hAnsi="宋体" w:eastAsia="宋体" w:cs="仿宋"/>
                <w:sz w:val="24"/>
                <w:szCs w:val="24"/>
              </w:rPr>
              <w:t xml:space="preserve">率承诺高</w:t>
            </w:r>
            <w:r>
              <w:rPr>
                <w:rFonts w:hint="eastAsia" w:ascii="宋体" w:hAnsi="宋体" w:eastAsia="宋体" w:cs="仿宋"/>
                <w:sz w:val="24"/>
                <w:szCs w:val="24"/>
              </w:rPr>
              <w:t xml:space="preserve">，得</w:t>
            </w:r>
            <w:r>
              <w:rPr>
                <w:rFonts w:hint="eastAsia" w:ascii="宋体" w:hAnsi="宋体" w:eastAsia="宋体" w:cs="仿宋"/>
                <w:sz w:val="24"/>
                <w:szCs w:val="24"/>
              </w:rPr>
              <w:t xml:space="preserve">7</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较高，得</w:t>
            </w:r>
            <w:r>
              <w:rPr>
                <w:rFonts w:hint="eastAsia" w:ascii="宋体" w:hAnsi="宋体" w:eastAsia="宋体" w:cs="仿宋"/>
                <w:sz w:val="24"/>
                <w:szCs w:val="24"/>
              </w:rPr>
              <w:t xml:space="preserve">4</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一般，得</w:t>
            </w:r>
            <w:r>
              <w:rPr>
                <w:rFonts w:ascii="宋体" w:hAnsi="宋体" w:eastAsia="宋体" w:cs="仿宋"/>
                <w:sz w:val="24"/>
                <w:szCs w:val="24"/>
              </w:rPr>
              <w:t xml:space="preserve">1</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根据供应商提供的项目实施方案内容的完整性及进度计划安排的合理性进行打分，包括但不限于供应商如何在成交后有效地组织技术和人员力量，按时保质地完成供货、安装验收等。</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售后服务方案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w:t>
            </w:r>
            <w:r>
              <w:rPr>
                <w:rFonts w:hint="eastAsia" w:ascii="宋体" w:hAnsi="宋体" w:eastAsia="宋体" w:cs="仿宋"/>
                <w:sz w:val="24"/>
                <w:szCs w:val="24"/>
              </w:rPr>
              <w:t xml:space="preserve">合理，人员配备齐全、设备配备齐全、先进者，得</w:t>
            </w:r>
            <w:r>
              <w:rPr>
                <w:rFonts w:hint="eastAsia" w:ascii="宋体" w:hAnsi="宋体" w:eastAsia="宋体" w:cs="仿宋"/>
                <w:sz w:val="24"/>
                <w:szCs w:val="24"/>
              </w:rPr>
              <w:t xml:space="preserve">7</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w:t>
            </w:r>
            <w:r>
              <w:rPr>
                <w:rFonts w:hint="eastAsia" w:ascii="宋体" w:hAnsi="宋体" w:eastAsia="宋体" w:cs="仿宋"/>
                <w:sz w:val="24"/>
                <w:szCs w:val="24"/>
              </w:rPr>
              <w:t xml:space="preserve">4</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一般者，得</w:t>
            </w:r>
            <w:r>
              <w:rPr>
                <w:rFonts w:ascii="宋体" w:hAnsi="宋体" w:eastAsia="宋体" w:cs="仿宋"/>
                <w:sz w:val="24"/>
                <w:szCs w:val="24"/>
              </w:rPr>
              <w:t xml:space="preserve">1</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w:t>
            </w:r>
            <w:r>
              <w:rPr>
                <w:rFonts w:hint="eastAsia" w:ascii="宋体" w:hAnsi="宋体" w:eastAsia="宋体" w:cs="仿宋"/>
                <w:sz w:val="24"/>
                <w:szCs w:val="24"/>
              </w:rPr>
              <w:t xml:space="preserve">5</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w:t>
            </w:r>
            <w:r>
              <w:rPr>
                <w:rFonts w:hint="eastAsia" w:ascii="宋体" w:hAnsi="宋体" w:eastAsia="宋体" w:cs="仿宋"/>
                <w:sz w:val="24"/>
                <w:szCs w:val="24"/>
              </w:rPr>
              <w:t xml:space="preserve">3</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5</w:t>
            </w:r>
            <w:r>
              <w:rPr>
                <w:rFonts w:hint="eastAsia" w:ascii="宋体" w:hAnsi="宋体" w:eastAsia="宋体" w:cs="仿宋"/>
                <w:sz w:val="24"/>
                <w:szCs w:val="24"/>
              </w:rPr>
              <w:t xml:space="preserve">分</w:t>
            </w:r>
            <w:r/>
          </w:p>
        </w:tc>
      </w:tr>
      <w:tr>
        <w:trPr>
          <w:jc w:val="center"/>
          <w:trHeight w:val="983"/>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w:t>
            </w:r>
            <w:r>
              <w:rPr>
                <w:rFonts w:hint="eastAsia" w:ascii="宋体" w:hAnsi="宋体" w:eastAsia="宋体" w:cs="仿宋"/>
                <w:sz w:val="24"/>
                <w:szCs w:val="24"/>
              </w:rPr>
              <w:t xml:space="preserve">同品牌、同型号或同系列设备</w:t>
            </w:r>
            <w:r>
              <w:rPr>
                <w:rFonts w:hint="eastAsia" w:ascii="宋体" w:hAnsi="宋体" w:eastAsia="宋体" w:cs="仿宋"/>
                <w:sz w:val="24"/>
                <w:szCs w:val="24"/>
              </w:rPr>
              <w:t xml:space="preserve">，同一采购单位不重复计分，提供合同需加盖供应商公章】，每份有效业绩得</w:t>
            </w:r>
            <w:r>
              <w:rPr>
                <w:rFonts w:ascii="宋体" w:hAnsi="宋体" w:eastAsia="宋体" w:cs="仿宋"/>
                <w:sz w:val="24"/>
                <w:szCs w:val="24"/>
              </w:rPr>
              <w:t xml:space="preserve">0.5</w:t>
            </w:r>
            <w:r>
              <w:rPr>
                <w:rFonts w:hint="eastAsia" w:ascii="宋体" w:hAnsi="宋体" w:eastAsia="宋体" w:cs="仿宋"/>
                <w:sz w:val="24"/>
                <w:szCs w:val="24"/>
              </w:rPr>
              <w:t xml:space="preserve">分，最高得</w:t>
            </w:r>
            <w:r>
              <w:rPr>
                <w:rFonts w:ascii="宋体" w:hAnsi="宋体" w:eastAsia="宋体" w:cs="仿宋"/>
                <w:sz w:val="24"/>
                <w:szCs w:val="24"/>
              </w:rPr>
              <w:t xml:space="preserve">2</w:t>
            </w:r>
            <w:r>
              <w:rPr>
                <w:rFonts w:hint="eastAsia" w:ascii="宋体" w:hAnsi="宋体" w:eastAsia="宋体" w:cs="仿宋"/>
                <w:sz w:val="24"/>
                <w:szCs w:val="24"/>
              </w:rPr>
              <w:t xml:space="preserve">分。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ascii="宋体" w:hAnsi="宋体" w:eastAsia="宋体" w:cs="仿宋"/>
                <w:sz w:val="24"/>
                <w:szCs w:val="24"/>
              </w:rPr>
              <w:t xml:space="preserve">2</w:t>
            </w:r>
            <w:r>
              <w:rPr>
                <w:rFonts w:hint="eastAsia" w:ascii="宋体" w:hAnsi="宋体" w:eastAsia="宋体" w:cs="仿宋"/>
                <w:sz w:val="24"/>
                <w:szCs w:val="24"/>
              </w:rPr>
              <w:t xml:space="preserve">分</w:t>
            </w:r>
            <w:r/>
          </w:p>
        </w:tc>
      </w:tr>
      <w:tr>
        <w:trPr>
          <w:jc w:val="center"/>
          <w:trHeight w:val="1086"/>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8</w:t>
            </w:r>
            <w:r/>
          </w:p>
        </w:tc>
        <w:tc>
          <w:tcPr>
            <w:tcW w:w="704"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cs="仿宋"/>
                <w:sz w:val="24"/>
                <w:szCs w:val="24"/>
              </w:rPr>
              <w:t xml:space="preserve">质保期</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供应商提供的原厂出具的售后服务</w:t>
            </w:r>
            <w:r>
              <w:rPr>
                <w:rFonts w:hint="eastAsia" w:ascii="宋体" w:hAnsi="宋体" w:eastAsia="宋体" w:cs="仿宋"/>
                <w:sz w:val="24"/>
                <w:szCs w:val="24"/>
              </w:rPr>
              <w:t xml:space="preserve">承诺书需满足</w:t>
            </w:r>
            <w:r>
              <w:rPr>
                <w:rFonts w:hint="eastAsia" w:ascii="宋体" w:hAnsi="宋体" w:eastAsia="宋体" w:cs="仿宋"/>
                <w:sz w:val="24"/>
                <w:szCs w:val="24"/>
              </w:rPr>
              <w:t xml:space="preserve">采购文件要求的免费原厂质保期要求，满足不得分，每增加1年原厂质保加2分，最多得10分。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10</w:t>
            </w:r>
            <w:r>
              <w:rPr>
                <w:rFonts w:hint="eastAsia" w:ascii="宋体" w:hAnsi="宋体" w:eastAsia="宋体" w:cs="仿宋"/>
                <w:sz w:val="24"/>
                <w:szCs w:val="24"/>
              </w:rPr>
              <w:t xml:space="preserve">分</w:t>
            </w:r>
            <w:r/>
          </w:p>
        </w:tc>
      </w:tr>
    </w:tbl>
    <w:p>
      <w:pPr>
        <w:pStyle w:val="861"/>
        <w:ind w:firstLine="0"/>
        <w:spacing w:line="360" w:lineRule="auto"/>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3"/>
      <w:r/>
      <w:r/>
    </w:p>
    <w:p>
      <w:pPr>
        <w:jc w:val="center"/>
        <w:spacing w:line="360" w:lineRule="auto"/>
        <w:rPr>
          <w:rFonts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w:t>
      </w:r>
      <w:r>
        <w:rPr>
          <w:rFonts w:ascii="宋体" w:hAnsi="宋体" w:eastAsia="宋体"/>
          <w:position w:val="-10"/>
          <w:sz w:val="24"/>
          <w:szCs w:val="24"/>
        </w:rPr>
        <w:t xml:space="preserve">向履行</w:t>
      </w:r>
      <w:r>
        <w:rPr>
          <w:rFonts w:ascii="宋体" w:hAnsi="宋体" w:eastAsia="宋体"/>
          <w:position w:val="-10"/>
          <w:sz w:val="24"/>
          <w:szCs w:val="24"/>
        </w:rPr>
        <w:t xml:space="preserve">本合同有关的人员提供，也应注意保密并限于履行合同的必需范围。</w:t>
      </w:r>
      <w:r/>
    </w:p>
    <w:p>
      <w:pPr>
        <w:ind w:left="495" w:hanging="50"/>
        <w:spacing w:line="360" w:lineRule="auto"/>
        <w:rPr>
          <w:rFonts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ascii="宋体" w:hAnsi="宋体" w:eastAsia="宋体"/>
          <w:position w:val="-10"/>
          <w:sz w:val="24"/>
          <w:szCs w:val="24"/>
          <w:u w:val="single"/>
        </w:rPr>
      </w:pPr>
      <w:r>
        <w:rPr>
          <w:rFonts w:ascii="宋体" w:hAnsi="宋体" w:eastAsia="宋体"/>
          <w:position w:val="-10"/>
          <w:sz w:val="24"/>
          <w:szCs w:val="24"/>
        </w:rPr>
        <w:t xml:space="preserve">乙方保证所交付标的</w:t>
      </w:r>
      <w:r>
        <w:rPr>
          <w:rFonts w:ascii="宋体" w:hAnsi="宋体" w:eastAsia="宋体"/>
          <w:position w:val="-10"/>
          <w:sz w:val="24"/>
          <w:szCs w:val="24"/>
        </w:rPr>
        <w:t xml:space="preserve">的</w:t>
      </w:r>
      <w:r>
        <w:rPr>
          <w:rFonts w:ascii="宋体" w:hAnsi="宋体" w:eastAsia="宋体"/>
          <w:position w:val="-10"/>
          <w:sz w:val="24"/>
          <w:szCs w:val="24"/>
        </w:rPr>
        <w:t xml:space="preserve">所有权完全属于</w:t>
      </w:r>
      <w:r>
        <w:rPr>
          <w:rFonts w:ascii="宋体" w:hAnsi="宋体" w:eastAsia="宋体"/>
          <w:position w:val="-10"/>
          <w:sz w:val="24"/>
          <w:szCs w:val="24"/>
        </w:rPr>
        <w:t xml:space="preserve">乙方且</w:t>
      </w:r>
      <w:r>
        <w:rPr>
          <w:rFonts w:ascii="宋体" w:hAnsi="宋体" w:eastAsia="宋体"/>
          <w:position w:val="-10"/>
          <w:sz w:val="24"/>
          <w:szCs w:val="24"/>
        </w:rPr>
        <w:t xml:space="preserve">无任何抵押、查封等产权瑕疵。</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w:t>
      </w:r>
      <w:r>
        <w:rPr>
          <w:rFonts w:ascii="宋体" w:hAnsi="宋体" w:eastAsia="宋体"/>
          <w:position w:val="-10"/>
          <w:sz w:val="24"/>
          <w:szCs w:val="24"/>
        </w:rPr>
        <w:t xml:space="preserve">自项目</w:t>
      </w:r>
      <w:r>
        <w:rPr>
          <w:rFonts w:ascii="宋体" w:hAnsi="宋体" w:eastAsia="宋体"/>
          <w:position w:val="-10"/>
          <w:sz w:val="24"/>
          <w:szCs w:val="24"/>
        </w:rPr>
        <w:t xml:space="preserve">验收合格之日起计）</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13.2乙方交货前应对产品或服务</w:t>
      </w:r>
      <w:r>
        <w:rPr>
          <w:rFonts w:ascii="宋体" w:hAnsi="宋体" w:eastAsia="宋体"/>
          <w:position w:val="-10"/>
          <w:sz w:val="24"/>
          <w:szCs w:val="24"/>
        </w:rPr>
        <w:t xml:space="preserve">作出</w:t>
      </w:r>
      <w:r>
        <w:rPr>
          <w:rFonts w:ascii="宋体" w:hAnsi="宋体" w:eastAsia="宋体"/>
          <w:position w:val="-10"/>
          <w:sz w:val="24"/>
          <w:szCs w:val="24"/>
        </w:rPr>
        <w:t xml:space="preserve">全面检查和对验收文件进行整理，并列出清单，作为甲方验收和使用的技术条件依据，检验的结果应随服务一起提交甲方。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15.3 乙方逾期交付合同标的</w:t>
      </w:r>
      <w:r>
        <w:rPr>
          <w:rFonts w:ascii="宋体" w:hAnsi="宋体" w:eastAsia="宋体"/>
          <w:position w:val="-10"/>
          <w:sz w:val="24"/>
          <w:szCs w:val="24"/>
        </w:rPr>
        <w:t xml:space="preserve">的</w:t>
      </w:r>
      <w:r>
        <w:rPr>
          <w:rFonts w:ascii="宋体" w:hAnsi="宋体" w:eastAsia="宋体"/>
          <w:position w:val="-10"/>
          <w:sz w:val="24"/>
          <w:szCs w:val="24"/>
        </w:rPr>
        <w:t xml:space="preserve">，乙方应按逾期交货总额</w:t>
      </w:r>
      <w:r>
        <w:rPr>
          <w:rFonts w:hint="eastAsia" w:ascii="宋体" w:hAnsi="宋体" w:eastAsia="宋体"/>
          <w:position w:val="-10"/>
          <w:sz w:val="24"/>
          <w:szCs w:val="24"/>
        </w:rPr>
        <w:t xml:space="preserve">每日万分之五，累计不超过合同总价10%，</w:t>
      </w:r>
      <w:r>
        <w:rPr>
          <w:rFonts w:ascii="宋体" w:hAnsi="宋体" w:eastAsia="宋体"/>
          <w:position w:val="-10"/>
          <w:sz w:val="24"/>
          <w:szCs w:val="24"/>
        </w:rPr>
        <w:t xml:space="preserve">向甲方支付违约金，由甲方从待付合同款中扣除。逾期超过约定日期10个工作日不能交付的，甲方可解除本合同。乙方因逾</w:t>
      </w:r>
      <w:r>
        <w:rPr>
          <w:rFonts w:ascii="宋体" w:hAnsi="宋体" w:eastAsia="宋体"/>
          <w:position w:val="-10"/>
          <w:sz w:val="24"/>
          <w:szCs w:val="24"/>
        </w:rPr>
        <w:t xml:space="preserve">期交付或因其他违约行为导致甲方解除合同的，乙方应向甲方支付合同总值5%的违约金，如造成甲方损失超过违约金的，超出部分由乙方继续承担赔偿责任。 </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w:t>
      </w:r>
      <w:r>
        <w:rPr>
          <w:rFonts w:hint="eastAsia" w:ascii="宋体" w:hAnsi="宋体" w:eastAsia="宋体"/>
          <w:position w:val="-10"/>
          <w:sz w:val="24"/>
          <w:szCs w:val="24"/>
        </w:rPr>
        <w:t xml:space="preserve">向采购人所在地有管辖权的人民法院起诉</w:t>
      </w:r>
      <w:r>
        <w:rPr>
          <w:rFonts w:ascii="宋体" w:hAnsi="宋体" w:eastAsia="宋体"/>
          <w:position w:val="-10"/>
          <w:sz w:val="24"/>
          <w:szCs w:val="24"/>
        </w:rPr>
        <w:t xml:space="preserve">。</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61"/>
        <w:spacing w:line="360" w:lineRule="auto"/>
        <w:rPr>
          <w:rFonts w:ascii="宋体" w:hAnsi="宋体" w:eastAsia="宋体" w:cs="仿宋"/>
          <w:b/>
          <w:color w:val="000000" w:themeColor="text1"/>
          <w:sz w:val="30"/>
          <w:szCs w:val="30"/>
        </w:rPr>
      </w:pPr>
      <w:r>
        <w:rPr>
          <w:rFonts w:ascii="宋体" w:hAnsi="宋体" w:eastAsia="宋体" w:cs="仿宋"/>
          <w:b/>
          <w:color w:val="000000" w:themeColor="text1"/>
          <w:sz w:val="30"/>
          <w:szCs w:val="30"/>
        </w:rPr>
      </w:r>
      <w:r/>
    </w:p>
    <w:p>
      <w:pPr>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61"/>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4" w:name="_Hlt26955039"/>
      <w:r/>
      <w:bookmarkStart w:id="45" w:name="_Hlt26671244"/>
      <w:r/>
      <w:bookmarkStart w:id="46" w:name="_Toc26554094"/>
      <w:r/>
      <w:bookmarkStart w:id="47" w:name="_Toc120614282"/>
      <w:r/>
      <w:bookmarkStart w:id="48" w:name="_Toc49090576"/>
      <w:r/>
      <w:bookmarkEnd w:id="44"/>
      <w:r/>
      <w:bookmarkEnd w:id="45"/>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31"/>
        <w:spacing w:line="360" w:lineRule="auto"/>
        <w:rPr>
          <w:rFonts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49"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49"/>
      <w:r/>
      <w:r/>
    </w:p>
    <w:p>
      <w:pPr>
        <w:spacing w:line="360" w:lineRule="auto"/>
        <w:rPr>
          <w:rFonts w:ascii="宋体" w:hAnsi="宋体" w:eastAsia="宋体"/>
          <w:b/>
          <w:sz w:val="32"/>
          <w:szCs w:val="32"/>
        </w:rPr>
      </w:pPr>
      <w:r>
        <w:rPr>
          <w:rFonts w:hint="eastAsia" w:ascii="宋体" w:hAnsi="宋体" w:eastAsia="宋体"/>
          <w:b/>
          <w:sz w:val="32"/>
          <w:szCs w:val="32"/>
        </w:rPr>
        <w:t xml:space="preserve">一、</w:t>
      </w:r>
      <w:bookmarkStart w:id="50" w:name="_Toc120614284"/>
      <w:r/>
      <w:bookmarkEnd w:id="46"/>
      <w:r/>
      <w:bookmarkEnd w:id="47"/>
      <w:r/>
      <w:bookmarkEnd w:id="48"/>
      <w:r>
        <w:rPr>
          <w:rFonts w:hint="eastAsia" w:ascii="宋体" w:hAnsi="宋体" w:eastAsia="宋体"/>
          <w:b/>
          <w:sz w:val="32"/>
          <w:szCs w:val="32"/>
        </w:rPr>
        <w:t xml:space="preserve">投标声明及承诺函</w:t>
      </w:r>
      <w:r/>
    </w:p>
    <w:p>
      <w:pPr>
        <w:jc w:val="left"/>
        <w:spacing w:line="360" w:lineRule="auto"/>
        <w:rPr>
          <w:rFonts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ascii="宋体" w:hAnsi="宋体" w:eastAsia="宋体"/>
          <w:sz w:val="24"/>
          <w:szCs w:val="21"/>
        </w:rPr>
      </w:pPr>
      <w:r>
        <w:rPr>
          <w:rFonts w:ascii="宋体" w:hAnsi="宋体" w:eastAsia="宋体"/>
          <w:sz w:val="24"/>
          <w:szCs w:val="21"/>
        </w:rPr>
      </w:r>
      <w:r/>
    </w:p>
    <w:p>
      <w:pPr>
        <w:ind w:firstLine="480"/>
        <w:spacing w:line="360" w:lineRule="auto"/>
        <w:rPr>
          <w:rFonts w:ascii="宋体" w:hAnsi="宋体" w:eastAsia="宋体"/>
          <w:sz w:val="24"/>
          <w:szCs w:val="21"/>
        </w:rPr>
      </w:pPr>
      <w:r>
        <w:rPr>
          <w:rFonts w:ascii="宋体" w:hAnsi="宋体" w:eastAsia="宋体"/>
          <w:sz w:val="24"/>
          <w:szCs w:val="21"/>
        </w:rPr>
      </w:r>
      <w:r/>
    </w:p>
    <w:p>
      <w:pPr>
        <w:ind w:firstLine="480"/>
        <w:spacing w:line="360" w:lineRule="auto"/>
        <w:rPr>
          <w:rFonts w:ascii="宋体" w:hAnsi="宋体" w:eastAsia="宋体"/>
          <w:sz w:val="24"/>
          <w:szCs w:val="21"/>
        </w:rPr>
      </w:pPr>
      <w:r>
        <w:rPr>
          <w:rFonts w:ascii="宋体" w:hAnsi="宋体" w:eastAsia="宋体"/>
          <w:sz w:val="24"/>
          <w:szCs w:val="21"/>
        </w:rPr>
      </w:r>
      <w:r/>
    </w:p>
    <w:p>
      <w:pPr>
        <w:spacing w:line="360" w:lineRule="auto"/>
        <w:rPr>
          <w:rFonts w:ascii="宋体" w:hAnsi="宋体" w:eastAsia="宋体"/>
          <w:i/>
          <w:sz w:val="32"/>
          <w:szCs w:val="32"/>
          <w:u w:val="single"/>
        </w:rPr>
      </w:pPr>
      <w:r>
        <w:rPr>
          <w:rFonts w:ascii="宋体" w:hAnsi="宋体" w:eastAsia="宋体"/>
          <w:i/>
          <w:sz w:val="32"/>
          <w:szCs w:val="32"/>
          <w:u w:val="single"/>
        </w:rPr>
      </w:r>
      <w:r/>
    </w:p>
    <w:p>
      <w:pPr>
        <w:spacing w:line="360" w:lineRule="auto"/>
        <w:rPr>
          <w:rFonts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ascii="宋体" w:hAnsi="宋体" w:eastAsia="宋体"/>
          <w:bCs/>
          <w:sz w:val="24"/>
          <w:szCs w:val="21"/>
        </w:rPr>
      </w:pPr>
      <w:r>
        <w:rPr>
          <w:rFonts w:ascii="宋体" w:hAnsi="宋体" w:eastAsia="宋体"/>
          <w:bCs/>
          <w:sz w:val="24"/>
          <w:szCs w:val="21"/>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ind w:firstLine="640"/>
        <w:jc w:val="left"/>
        <w:spacing w:line="360" w:lineRule="auto"/>
        <w:rPr>
          <w:rFonts w:ascii="宋体" w:hAnsi="宋体" w:eastAsia="宋体" w:cs="仿宋_GB2312"/>
          <w:i/>
          <w:sz w:val="32"/>
          <w:szCs w:val="32"/>
          <w:u w:val="single"/>
        </w:rPr>
      </w:pPr>
      <w:r>
        <w:rPr>
          <w:rFonts w:ascii="宋体" w:hAnsi="宋体" w:eastAsia="宋体" w:cs="仿宋_GB2312"/>
          <w:i/>
          <w:sz w:val="32"/>
          <w:szCs w:val="32"/>
          <w:u w:val="single"/>
        </w:rPr>
      </w:r>
      <w:r/>
    </w:p>
    <w:p>
      <w:pPr>
        <w:ind w:firstLine="640"/>
        <w:jc w:val="left"/>
        <w:spacing w:line="360" w:lineRule="auto"/>
        <w:rPr>
          <w:rFonts w:ascii="宋体" w:hAnsi="宋体" w:eastAsia="宋体" w:cs="仿宋_GB2312"/>
          <w:i/>
          <w:sz w:val="32"/>
          <w:szCs w:val="32"/>
          <w:u w:val="single"/>
        </w:rPr>
      </w:pPr>
      <w:r>
        <w:rPr>
          <w:rFonts w:ascii="宋体" w:hAnsi="宋体" w:eastAsia="宋体" w:cs="仿宋_GB2312"/>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pStyle w:val="831"/>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spacing w:line="360" w:lineRule="auto"/>
        <w:rPr>
          <w:rFonts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w:t>
      </w:r>
      <w:r>
        <w:rPr>
          <w:rFonts w:hint="eastAsia" w:ascii="宋体" w:hAnsi="宋体" w:eastAsia="宋体"/>
          <w:sz w:val="24"/>
          <w:szCs w:val="24"/>
        </w:rPr>
        <w:t xml:space="preserve">采购活动的合法代理人，以本单位名义全权处理一切与该项目采购有关的事务。</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      日期：</w:t>
      </w:r>
      <w:bookmarkStart w:id="51" w:name="_Hlt26671380"/>
      <w:r/>
      <w:bookmarkStart w:id="52" w:name="_格式3__银行出具的资信证明"/>
      <w:r/>
      <w:bookmarkStart w:id="53" w:name="_Hlt26955070"/>
      <w:r/>
      <w:bookmarkEnd w:id="51"/>
      <w:r/>
      <w:bookmarkEnd w:id="52"/>
      <w:r/>
      <w:bookmarkEnd w:id="53"/>
      <w:r>
        <w:rPr>
          <w:rFonts w:hint="eastAsia" w:ascii="宋体" w:hAnsi="宋体" w:eastAsia="宋体"/>
          <w:sz w:val="24"/>
          <w:szCs w:val="24"/>
          <w:u w:val="single"/>
        </w:rPr>
        <w:t xml:space="preserve">                                         </w:t>
      </w:r>
      <w:r/>
    </w:p>
    <w:p>
      <w:pPr>
        <w:ind w:firstLine="420"/>
        <w:spacing w:line="360" w:lineRule="auto"/>
        <w:rPr>
          <w:rFonts w:ascii="宋体" w:hAnsi="宋体" w:eastAsia="宋体"/>
          <w:i/>
          <w:sz w:val="24"/>
          <w:szCs w:val="24"/>
          <w:u w:val="single"/>
        </w:rPr>
      </w:pPr>
      <w:r>
        <w:rPr>
          <w:rFonts w:ascii="宋体" w:hAnsi="宋体" w:eastAsia="宋体"/>
          <w:i/>
          <w:sz w:val="24"/>
          <w:szCs w:val="24"/>
          <w:u w:val="single"/>
        </w:rPr>
      </w:r>
      <w:r/>
    </w:p>
    <w:p>
      <w:pPr>
        <w:spacing w:line="360" w:lineRule="auto"/>
        <w:rPr>
          <w:rFonts w:ascii="宋体" w:hAnsi="宋体" w:eastAsia="宋体"/>
          <w:sz w:val="20"/>
          <w:szCs w:val="21"/>
        </w:rPr>
      </w:pPr>
      <w:r>
        <w:rPr>
          <w:rFonts w:ascii="宋体" w:hAnsi="宋体" w:eastAsia="宋体"/>
          <w:sz w:val="20"/>
          <w:szCs w:val="21"/>
        </w:rPr>
      </w:r>
      <w:r/>
    </w:p>
    <w:p>
      <w:pPr>
        <w:spacing w:line="360" w:lineRule="auto"/>
        <w:rPr>
          <w:rFonts w:ascii="宋体" w:hAnsi="宋体" w:eastAsia="宋体"/>
          <w:bCs/>
          <w:sz w:val="24"/>
          <w:szCs w:val="21"/>
        </w:rPr>
      </w:pPr>
      <w:r>
        <w:rPr>
          <w:rFonts w:ascii="宋体" w:hAnsi="宋体" w:eastAsia="宋体"/>
          <w:bCs/>
          <w:sz w:val="24"/>
          <w:szCs w:val="21"/>
        </w:rPr>
      </w:r>
      <w:r/>
    </w:p>
    <w:p>
      <w:pPr>
        <w:jc w:val="center"/>
        <w:spacing w:line="360" w:lineRule="auto"/>
        <w:rPr>
          <w:rFonts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ascii="宋体" w:hAnsi="宋体" w:eastAsia="宋体"/>
          <w:b/>
          <w:sz w:val="32"/>
          <w:szCs w:val="32"/>
        </w:rPr>
      </w:pPr>
      <w:r>
        <w:rPr>
          <w:rFonts w:ascii="宋体" w:hAnsi="宋体" w:eastAsia="宋体"/>
          <w:b/>
          <w:sz w:val="32"/>
          <w:szCs w:val="32"/>
        </w:rPr>
      </w:r>
      <w:r/>
    </w:p>
    <w:p>
      <w:pPr>
        <w:jc w:val="center"/>
        <w:spacing w:line="360" w:lineRule="auto"/>
        <w:rPr>
          <w:rFonts w:ascii="宋体" w:hAnsi="宋体" w:eastAsia="宋体"/>
          <w:b/>
          <w:sz w:val="32"/>
          <w:szCs w:val="32"/>
        </w:rPr>
      </w:pPr>
      <w:r>
        <w:rPr>
          <w:rFonts w:hint="eastAsia" w:ascii="宋体" w:hAnsi="宋体" w:eastAsia="宋体"/>
          <w:b/>
          <w:sz w:val="32"/>
          <w:szCs w:val="32"/>
        </w:rPr>
        <w:t xml:space="preserve">直接在苏</w:t>
      </w:r>
      <w:r>
        <w:rPr>
          <w:rFonts w:hint="eastAsia" w:ascii="宋体" w:hAnsi="宋体" w:eastAsia="宋体"/>
          <w:b/>
          <w:sz w:val="32"/>
          <w:szCs w:val="32"/>
        </w:rPr>
        <w:t xml:space="preserve">采云</w:t>
      </w:r>
      <w:r>
        <w:rPr>
          <w:rFonts w:hint="eastAsia" w:ascii="宋体" w:hAnsi="宋体" w:eastAsia="宋体"/>
          <w:b/>
          <w:sz w:val="32"/>
          <w:szCs w:val="32"/>
        </w:rPr>
        <w:t xml:space="preserve">系统里填写</w:t>
      </w:r>
      <w:r/>
    </w:p>
    <w:p>
      <w:pPr>
        <w:pStyle w:val="831"/>
        <w:spacing w:line="360" w:lineRule="auto"/>
      </w:pPr>
      <w:r/>
      <w:r/>
    </w:p>
    <w:p>
      <w:pPr>
        <w:pStyle w:val="831"/>
        <w:spacing w:line="360" w:lineRule="auto"/>
      </w:pPr>
      <w:r/>
      <w:r/>
    </w:p>
    <w:p>
      <w:pPr>
        <w:jc w:val="center"/>
        <w:spacing w:line="360" w:lineRule="auto"/>
        <w:rPr>
          <w:rFonts w:ascii="宋体" w:hAnsi="宋体" w:eastAsia="宋体"/>
          <w:sz w:val="24"/>
        </w:rPr>
      </w:pPr>
      <w:r>
        <w:rPr>
          <w:rFonts w:ascii="宋体" w:hAnsi="宋体" w:eastAsia="宋体"/>
          <w:sz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831"/>
        <w:spacing w:line="360" w:lineRule="auto"/>
        <w:rPr>
          <w:rFonts w:asciiTheme="minorEastAsia" w:hAnsiTheme="minorEastAsia" w:eastAsiaTheme="minorEastAsia"/>
        </w:rPr>
      </w:pPr>
      <w:r>
        <w:rPr>
          <w:rFonts w:asciiTheme="minorEastAsia" w:hAnsiTheme="minorEastAsia" w:eastAsiaTheme="minorEastAsia"/>
        </w:rPr>
      </w:r>
      <w:r/>
    </w:p>
    <w:p>
      <w:pPr>
        <w:pStyle w:val="831"/>
        <w:spacing w:line="360" w:lineRule="auto"/>
      </w:pPr>
      <w:r/>
      <w:r/>
    </w:p>
    <w:p>
      <w:pPr>
        <w:spacing w:line="360" w:lineRule="auto"/>
      </w:pPr>
      <w:r/>
      <w:r/>
    </w:p>
    <w:p>
      <w:pPr>
        <w:jc w:val="center"/>
        <w:spacing w:line="360" w:lineRule="auto"/>
        <w:rPr>
          <w:rFonts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53"/>
        <w:jc w:val="center"/>
        <w:spacing w:line="360" w:lineRule="auto"/>
        <w:rPr>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52"/>
        <w:jc w:val="center"/>
        <w:spacing w:line="360" w:lineRule="auto"/>
        <w:rPr>
          <w:rFonts w:ascii="宋体" w:hAnsi="宋体"/>
          <w:b/>
          <w:sz w:val="36"/>
          <w:szCs w:val="36"/>
        </w:rPr>
      </w:pPr>
      <w:r>
        <w:rPr>
          <w:rFonts w:hint="eastAsia" w:ascii="宋体" w:hAnsi="宋体"/>
          <w:b/>
          <w:sz w:val="36"/>
          <w:szCs w:val="36"/>
        </w:rPr>
        <w:t xml:space="preserve">中小企业声明函（货物）</w:t>
      </w:r>
      <w:r/>
    </w:p>
    <w:p>
      <w:pPr>
        <w:pStyle w:val="1052"/>
        <w:jc w:val="left"/>
        <w:spacing w:line="360" w:lineRule="auto"/>
        <w:rPr>
          <w:rFonts w:ascii="宋体" w:hAnsi="宋体"/>
          <w:b/>
          <w:sz w:val="32"/>
          <w:szCs w:val="32"/>
        </w:rPr>
      </w:pPr>
      <w:r>
        <w:rPr>
          <w:rFonts w:ascii="宋体" w:hAnsi="宋体"/>
          <w:b/>
          <w:sz w:val="32"/>
          <w:szCs w:val="32"/>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rPr>
      </w:pPr>
      <w:r>
        <w:rPr>
          <w:rFonts w:ascii="宋体" w:hAnsi="宋体"/>
          <w:sz w:val="24"/>
          <w:szCs w:val="24"/>
        </w:rPr>
        <w:t xml:space="preserve">……</w:t>
      </w:r>
      <w:r/>
    </w:p>
    <w:p>
      <w:pPr>
        <w:pStyle w:val="1052"/>
        <w:ind w:firstLine="480"/>
        <w:jc w:val="left"/>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2"/>
        <w:ind w:firstLine="480"/>
        <w:jc w:val="left"/>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2"/>
        <w:ind w:firstLine="480"/>
        <w:jc w:val="center"/>
        <w:spacing w:line="360" w:lineRule="auto"/>
        <w:rPr>
          <w:rFonts w:ascii="宋体" w:hAnsi="宋体"/>
          <w:sz w:val="24"/>
          <w:szCs w:val="24"/>
        </w:rPr>
      </w:pPr>
      <w:r>
        <w:rPr>
          <w:rFonts w:ascii="宋体" w:hAnsi="宋体"/>
          <w:sz w:val="24"/>
          <w:szCs w:val="24"/>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企业名称（加盖CA电子公章）：</w:t>
      </w:r>
      <w:r/>
    </w:p>
    <w:p>
      <w:pPr>
        <w:pStyle w:val="1052"/>
        <w:ind w:firstLine="480"/>
        <w:jc w:val="left"/>
        <w:spacing w:line="360" w:lineRule="auto"/>
        <w:rPr>
          <w:rFonts w:ascii="宋体" w:hAnsi="宋体"/>
          <w:sz w:val="24"/>
          <w:szCs w:val="24"/>
        </w:rPr>
      </w:pPr>
      <w:r>
        <w:rPr>
          <w:rFonts w:hint="eastAsia" w:ascii="宋体" w:hAnsi="宋体"/>
          <w:sz w:val="24"/>
          <w:szCs w:val="24"/>
        </w:rPr>
        <w:t xml:space="preserve">日期：</w:t>
      </w:r>
      <w:r/>
    </w:p>
    <w:p>
      <w:pPr>
        <w:pStyle w:val="1052"/>
        <w:ind w:firstLine="560"/>
        <w:spacing w:line="360" w:lineRule="auto"/>
        <w:rPr>
          <w:rFonts w:ascii="宋体" w:hAnsi="宋体"/>
          <w:sz w:val="28"/>
          <w:szCs w:val="28"/>
        </w:rPr>
      </w:pPr>
      <w:r>
        <w:rPr>
          <w:rFonts w:ascii="宋体" w:hAnsi="宋体"/>
          <w:sz w:val="28"/>
          <w:szCs w:val="28"/>
        </w:rPr>
      </w:r>
      <w:r/>
    </w:p>
    <w:p>
      <w:pPr>
        <w:pStyle w:val="1052"/>
        <w:ind w:firstLine="360"/>
        <w:spacing w:line="360" w:lineRule="auto"/>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2"/>
        <w:jc w:val="center"/>
        <w:spacing w:line="360" w:lineRule="auto"/>
        <w:rPr>
          <w:rFonts w:ascii="宋体" w:hAnsi="宋体"/>
          <w:b/>
          <w:sz w:val="36"/>
          <w:szCs w:val="36"/>
        </w:rPr>
      </w:pPr>
      <w:r>
        <w:rPr>
          <w:rFonts w:ascii="宋体" w:hAnsi="宋体"/>
          <w:b/>
          <w:sz w:val="36"/>
          <w:szCs w:val="36"/>
        </w:rPr>
      </w:r>
      <w:r/>
    </w:p>
    <w:p>
      <w:pPr>
        <w:pStyle w:val="1052"/>
        <w:spacing w:line="360" w:lineRule="auto"/>
        <w:rPr>
          <w:rFonts w:ascii="宋体" w:hAnsi="宋体"/>
          <w:b/>
          <w:sz w:val="36"/>
          <w:szCs w:val="36"/>
        </w:rPr>
      </w:pPr>
      <w:r>
        <w:rPr>
          <w:rFonts w:ascii="宋体" w:hAnsi="宋体"/>
          <w:b/>
          <w:sz w:val="36"/>
          <w:szCs w:val="36"/>
        </w:rPr>
      </w:r>
      <w:r/>
    </w:p>
    <w:p>
      <w:pPr>
        <w:pStyle w:val="1052"/>
        <w:jc w:val="center"/>
        <w:spacing w:line="360" w:lineRule="auto"/>
        <w:rPr>
          <w:rFonts w:ascii="宋体" w:hAnsi="宋体"/>
          <w:b/>
          <w:sz w:val="36"/>
          <w:szCs w:val="36"/>
        </w:rPr>
      </w:pPr>
      <w:r>
        <w:rPr>
          <w:rFonts w:ascii="宋体" w:hAnsi="宋体"/>
          <w:b/>
          <w:sz w:val="36"/>
          <w:szCs w:val="36"/>
        </w:rPr>
      </w:r>
      <w:r/>
    </w:p>
    <w:p>
      <w:pPr>
        <w:pStyle w:val="1052"/>
        <w:spacing w:line="360" w:lineRule="auto"/>
        <w:rPr>
          <w:rFonts w:ascii="宋体" w:hAnsi="宋体"/>
          <w:b/>
          <w:sz w:val="36"/>
          <w:szCs w:val="36"/>
        </w:rPr>
      </w:pPr>
      <w:r>
        <w:rPr>
          <w:rFonts w:ascii="宋体" w:hAnsi="宋体"/>
          <w:b/>
          <w:sz w:val="36"/>
          <w:szCs w:val="36"/>
        </w:rPr>
      </w:r>
      <w:r/>
    </w:p>
    <w:p>
      <w:pPr>
        <w:pStyle w:val="1052"/>
        <w:jc w:val="center"/>
        <w:spacing w:line="360" w:lineRule="auto"/>
        <w:rPr>
          <w:rFonts w:ascii="宋体" w:hAnsi="宋体"/>
          <w:b/>
          <w:sz w:val="36"/>
          <w:szCs w:val="36"/>
        </w:rPr>
      </w:pPr>
      <w:r>
        <w:rPr>
          <w:rFonts w:hint="eastAsia" w:ascii="宋体" w:hAnsi="宋体"/>
          <w:b/>
          <w:sz w:val="36"/>
          <w:szCs w:val="36"/>
        </w:rPr>
        <w:t xml:space="preserve">中小企业声明函（工程、服务）</w:t>
      </w:r>
      <w:r/>
    </w:p>
    <w:p>
      <w:pPr>
        <w:pStyle w:val="1052"/>
        <w:jc w:val="left"/>
        <w:spacing w:line="360" w:lineRule="auto"/>
        <w:rPr>
          <w:rFonts w:ascii="宋体" w:hAnsi="宋体"/>
          <w:b/>
          <w:sz w:val="32"/>
          <w:szCs w:val="32"/>
        </w:rPr>
      </w:pPr>
      <w:r>
        <w:rPr>
          <w:rFonts w:ascii="宋体" w:hAnsi="宋体"/>
          <w:b/>
          <w:sz w:val="32"/>
          <w:szCs w:val="32"/>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rPr>
      </w:pPr>
      <w:r>
        <w:rPr>
          <w:rFonts w:ascii="宋体" w:hAnsi="宋体"/>
          <w:sz w:val="24"/>
          <w:szCs w:val="24"/>
        </w:rPr>
        <w:t xml:space="preserve">……</w:t>
      </w:r>
      <w:r/>
    </w:p>
    <w:p>
      <w:pPr>
        <w:pStyle w:val="1052"/>
        <w:ind w:firstLine="480"/>
        <w:jc w:val="left"/>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2"/>
        <w:ind w:firstLine="480"/>
        <w:jc w:val="left"/>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2"/>
        <w:ind w:firstLine="480"/>
        <w:jc w:val="center"/>
        <w:spacing w:line="360" w:lineRule="auto"/>
        <w:rPr>
          <w:rFonts w:ascii="宋体" w:hAnsi="宋体"/>
          <w:sz w:val="24"/>
          <w:szCs w:val="24"/>
        </w:rPr>
      </w:pPr>
      <w:r>
        <w:rPr>
          <w:rFonts w:ascii="宋体" w:hAnsi="宋体"/>
          <w:sz w:val="24"/>
          <w:szCs w:val="24"/>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企业名称（加盖CA电子公章）：</w:t>
      </w:r>
      <w:r/>
    </w:p>
    <w:p>
      <w:pPr>
        <w:pStyle w:val="1052"/>
        <w:ind w:firstLine="480"/>
        <w:jc w:val="left"/>
        <w:spacing w:line="360" w:lineRule="auto"/>
        <w:rPr>
          <w:rFonts w:ascii="宋体" w:hAnsi="宋体"/>
          <w:sz w:val="24"/>
          <w:szCs w:val="24"/>
        </w:rPr>
      </w:pPr>
      <w:r>
        <w:rPr>
          <w:rFonts w:hint="eastAsia" w:ascii="宋体" w:hAnsi="宋体"/>
          <w:sz w:val="24"/>
          <w:szCs w:val="24"/>
        </w:rPr>
        <w:t xml:space="preserve">日期：</w:t>
      </w:r>
      <w:r/>
    </w:p>
    <w:p>
      <w:pPr>
        <w:pStyle w:val="1052"/>
        <w:ind w:firstLine="480"/>
        <w:spacing w:line="360" w:lineRule="auto"/>
        <w:rPr>
          <w:rFonts w:ascii="宋体" w:hAnsi="宋体"/>
          <w:sz w:val="24"/>
          <w:szCs w:val="24"/>
        </w:rPr>
      </w:pPr>
      <w:r>
        <w:rPr>
          <w:rFonts w:ascii="宋体" w:hAnsi="宋体"/>
          <w:sz w:val="24"/>
          <w:szCs w:val="24"/>
        </w:rPr>
      </w:r>
      <w:r/>
    </w:p>
    <w:p>
      <w:pPr>
        <w:pStyle w:val="1052"/>
        <w:ind w:firstLine="360"/>
        <w:spacing w:line="360" w:lineRule="auto"/>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2"/>
        <w:jc w:val="center"/>
        <w:spacing w:before="151" w:after="151" w:line="360" w:lineRule="auto"/>
        <w:rPr>
          <w:rFonts w:ascii="宋体" w:hAnsi="宋体"/>
          <w:b/>
          <w:bCs/>
          <w:sz w:val="32"/>
          <w:szCs w:val="32"/>
        </w:rPr>
      </w:pPr>
      <w:r>
        <w:rPr>
          <w:rFonts w:ascii="宋体" w:hAnsi="宋体"/>
          <w:b/>
          <w:bCs/>
          <w:sz w:val="32"/>
          <w:szCs w:val="32"/>
        </w:rPr>
      </w:r>
      <w:r/>
    </w:p>
    <w:p>
      <w:pPr>
        <w:pStyle w:val="1052"/>
        <w:spacing w:before="151" w:after="151" w:line="360" w:lineRule="auto"/>
        <w:rPr>
          <w:rFonts w:ascii="宋体" w:hAnsi="宋体"/>
          <w:b/>
          <w:bCs/>
          <w:sz w:val="32"/>
          <w:szCs w:val="32"/>
        </w:rPr>
      </w:pPr>
      <w:r>
        <w:rPr>
          <w:rFonts w:ascii="宋体" w:hAnsi="宋体"/>
          <w:b/>
          <w:bCs/>
          <w:sz w:val="32"/>
          <w:szCs w:val="32"/>
        </w:rPr>
      </w:r>
      <w:r/>
    </w:p>
    <w:p>
      <w:pPr>
        <w:pStyle w:val="1052"/>
        <w:spacing w:line="360" w:lineRule="auto"/>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52"/>
        <w:spacing w:line="360" w:lineRule="auto"/>
        <w:rPr>
          <w:rFonts w:ascii="宋体" w:hAnsi="宋体"/>
          <w:b/>
          <w:sz w:val="36"/>
          <w:szCs w:val="36"/>
        </w:rPr>
      </w:pPr>
      <w:r>
        <w:rPr>
          <w:rFonts w:ascii="宋体" w:hAnsi="宋体"/>
          <w:b/>
          <w:sz w:val="36"/>
          <w:szCs w:val="36"/>
        </w:rPr>
      </w:r>
      <w:r/>
    </w:p>
    <w:p>
      <w:pPr>
        <w:pStyle w:val="1054"/>
        <w:jc w:val="center"/>
        <w:spacing w:before="151" w:after="151" w:line="360" w:lineRule="auto"/>
        <w:rPr>
          <w:rFonts w:ascii="宋体" w:hAnsi="宋体"/>
          <w:b/>
          <w:bCs/>
          <w:sz w:val="32"/>
          <w:szCs w:val="32"/>
        </w:rPr>
      </w:pPr>
      <w:r>
        <w:rPr>
          <w:rFonts w:hint="eastAsia" w:ascii="宋体" w:hAnsi="宋体"/>
          <w:b/>
          <w:bCs/>
          <w:sz w:val="32"/>
          <w:szCs w:val="32"/>
        </w:rPr>
        <w:t xml:space="preserve">残疾人福利性单位声明函</w:t>
      </w:r>
      <w:r/>
    </w:p>
    <w:p>
      <w:pPr>
        <w:pStyle w:val="1055"/>
        <w:spacing w:line="360" w:lineRule="auto"/>
        <w:rPr>
          <w:rFonts w:ascii="宋体" w:hAnsi="宋体"/>
          <w:b/>
          <w:spacing w:val="6"/>
          <w:sz w:val="30"/>
          <w:szCs w:val="30"/>
        </w:rPr>
      </w:pPr>
      <w:r>
        <w:rPr>
          <w:rFonts w:ascii="宋体" w:hAnsi="宋体"/>
          <w:b/>
          <w:spacing w:val="6"/>
          <w:sz w:val="30"/>
          <w:szCs w:val="30"/>
        </w:rPr>
      </w:r>
      <w:r/>
    </w:p>
    <w:p>
      <w:pPr>
        <w:pStyle w:val="1054"/>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54"/>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1056"/>
        <w:ind w:firstLine="3810"/>
        <w:spacing w:line="360" w:lineRule="auto"/>
        <w:rPr>
          <w:rFonts w:ascii="宋体" w:hAnsi="宋体"/>
          <w:spacing w:val="6"/>
          <w:sz w:val="24"/>
          <w:szCs w:val="24"/>
        </w:rPr>
      </w:pPr>
      <w:r>
        <w:rPr>
          <w:rFonts w:ascii="宋体" w:hAnsi="宋体"/>
          <w:spacing w:val="6"/>
          <w:sz w:val="24"/>
          <w:szCs w:val="24"/>
        </w:rPr>
      </w:r>
      <w:r/>
    </w:p>
    <w:p>
      <w:pPr>
        <w:pStyle w:val="1056"/>
        <w:ind w:firstLine="3629"/>
        <w:jc w:val="left"/>
        <w:spacing w:line="360" w:lineRule="auto"/>
        <w:rPr>
          <w:rFonts w:ascii="宋体" w:hAnsi="宋体"/>
          <w:sz w:val="24"/>
        </w:rPr>
      </w:pPr>
      <w:r>
        <w:rPr>
          <w:rFonts w:ascii="宋体" w:hAnsi="宋体"/>
          <w:sz w:val="24"/>
        </w:rPr>
      </w:r>
      <w:r/>
    </w:p>
    <w:p>
      <w:pPr>
        <w:pStyle w:val="1056"/>
        <w:ind w:firstLine="480"/>
        <w:jc w:val="left"/>
        <w:spacing w:line="360" w:lineRule="auto"/>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52"/>
        <w:ind w:firstLine="480"/>
        <w:jc w:val="left"/>
        <w:spacing w:line="360" w:lineRule="auto"/>
        <w:rPr>
          <w:rFonts w:ascii="宋体" w:hAnsi="宋体"/>
          <w:sz w:val="24"/>
          <w:szCs w:val="20"/>
        </w:rPr>
      </w:pPr>
      <w:r>
        <w:rPr>
          <w:rFonts w:hint="eastAsia" w:ascii="宋体" w:hAnsi="宋体"/>
          <w:sz w:val="24"/>
          <w:szCs w:val="20"/>
        </w:rPr>
        <w:t xml:space="preserve">日期：  年  月  日</w:t>
      </w:r>
      <w:r/>
    </w:p>
    <w:p>
      <w:pPr>
        <w:pStyle w:val="1055"/>
        <w:ind w:right="1560" w:firstLine="480"/>
        <w:jc w:val="center"/>
        <w:spacing w:line="360" w:lineRule="auto"/>
        <w:tabs>
          <w:tab w:val="left" w:pos="4860" w:leader="none"/>
        </w:tabs>
        <w:rPr>
          <w:rFonts w:ascii="宋体" w:hAnsi="宋体" w:cs="Arial"/>
          <w:sz w:val="24"/>
          <w:szCs w:val="24"/>
        </w:rPr>
      </w:pPr>
      <w:r>
        <w:rPr>
          <w:rFonts w:ascii="宋体" w:hAnsi="宋体" w:cs="Arial"/>
          <w:sz w:val="24"/>
          <w:szCs w:val="24"/>
        </w:rPr>
      </w:r>
      <w:r/>
    </w:p>
    <w:p>
      <w:pPr>
        <w:pStyle w:val="1057"/>
        <w:ind w:left="357" w:firstLine="0"/>
        <w:spacing w:line="360" w:lineRule="auto"/>
        <w:rPr>
          <w:rFonts w:ascii="宋体" w:hAnsi="宋体" w:cs="Arial"/>
          <w:sz w:val="24"/>
          <w:szCs w:val="24"/>
        </w:rPr>
      </w:pPr>
      <w:r>
        <w:rPr>
          <w:rFonts w:ascii="宋体" w:hAnsi="宋体" w:cs="Arial"/>
          <w:sz w:val="24"/>
          <w:szCs w:val="24"/>
        </w:rPr>
      </w:r>
      <w:r/>
    </w:p>
    <w:p>
      <w:pPr>
        <w:pStyle w:val="1054"/>
        <w:ind w:firstLine="445"/>
        <w:spacing w:before="151" w:after="151" w:line="360" w:lineRule="auto"/>
        <w:rPr>
          <w:rFonts w:ascii="宋体" w:hAnsi="宋体"/>
          <w:sz w:val="24"/>
        </w:rPr>
      </w:pPr>
      <w:r>
        <w:rPr>
          <w:rFonts w:hint="eastAsia" w:ascii="宋体" w:hAnsi="宋体"/>
          <w:sz w:val="24"/>
        </w:rPr>
        <w:t xml:space="preserve">注：非残疾人福利性单位不需提供此函。</w:t>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jc w:val="center"/>
        <w:rPr>
          <w:rFonts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8"/>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8"/>
        <w:ind w:firstLine="420"/>
        <w:spacing w:before="0" w:beforeAutospacing="0" w:after="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64"/>
          <w:rFonts w:hint="eastAsia" w:ascii="方正魏碑_GBK" w:hAnsi="方正魏碑_GBK" w:eastAsia="方正魏碑_GBK" w:cs="方正魏碑_GBK"/>
          <w:i w:val="0"/>
          <w:color w:val="ff0000"/>
          <w:u w:val="single"/>
          <w:shd w:val="clear" w:color="auto" w:fill="ffffff"/>
        </w:rPr>
        <w:t xml:space="preserve">（产品名称1）</w:t>
      </w:r>
      <w:r>
        <w:rPr>
          <w:rStyle w:val="864"/>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64"/>
          <w:rFonts w:hint="eastAsia" w:ascii="方正魏碑_GBK" w:hAnsi="方正魏碑_GBK" w:eastAsia="方正魏碑_GBK" w:cs="方正魏碑_GBK"/>
          <w:i w:val="0"/>
          <w:color w:val="ff0000"/>
          <w:u w:val="single"/>
          <w:shd w:val="clear" w:color="auto" w:fill="ffffff"/>
        </w:rPr>
        <w:t xml:space="preserve">（厂名）</w:t>
      </w:r>
      <w:r>
        <w:rPr>
          <w:rStyle w:val="864"/>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6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64"/>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64"/>
          <w:rFonts w:hint="eastAsia" w:ascii="方正魏碑_GBK" w:hAnsi="方正魏碑_GBK" w:eastAsia="方正魏碑_GBK" w:cs="方正魏碑_GBK"/>
          <w:i w:val="0"/>
          <w:color w:val="ff0000"/>
          <w:u w:val="single"/>
          <w:shd w:val="clear" w:color="auto" w:fill="ffffff"/>
        </w:rPr>
        <w:t xml:space="preserve">（规定</w:t>
      </w:r>
      <w:r>
        <w:rPr>
          <w:rStyle w:val="864"/>
          <w:rFonts w:ascii="方正魏碑_GBK" w:hAnsi="方正魏碑_GBK" w:eastAsia="方正魏碑_GBK" w:cs="方正魏碑_GBK"/>
          <w:i w:val="0"/>
          <w:color w:val="ff0000"/>
          <w:u w:val="single"/>
          <w:shd w:val="clear" w:color="auto" w:fill="ffffff"/>
        </w:rPr>
        <w:t xml:space="preserve">比例</w:t>
      </w:r>
      <w:r>
        <w:rPr>
          <w:rStyle w:val="864"/>
          <w:rFonts w:hint="eastAsia" w:ascii="方正魏碑_GBK" w:hAnsi="方正魏碑_GBK" w:eastAsia="方正魏碑_GBK" w:cs="方正魏碑_GBK"/>
          <w:i w:val="0"/>
          <w:color w:val="ff0000"/>
          <w:u w:val="single"/>
          <w:shd w:val="clear" w:color="auto" w:fill="ffffff"/>
        </w:rPr>
        <w:t xml:space="preserve">）</w:t>
      </w:r>
      <w:r>
        <w:rPr>
          <w:rStyle w:val="864"/>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6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w:t>
      </w:r>
      <w:r>
        <w:rPr>
          <w:rStyle w:val="864"/>
          <w:rFonts w:ascii="方正魏碑_GBK" w:hAnsi="方正魏碑_GBK" w:eastAsia="方正魏碑_GBK" w:cs="方正魏碑_GBK"/>
          <w:i w:val="0"/>
          <w:color w:val="ff0000"/>
          <w:u w:val="single"/>
          <w:shd w:val="clear" w:color="auto" w:fill="ffffff"/>
        </w:rPr>
        <w:t xml:space="preserve">组件</w:t>
      </w:r>
      <w:r>
        <w:rPr>
          <w:rStyle w:val="864"/>
          <w:rFonts w:hint="eastAsia" w:ascii="方正魏碑_GBK" w:hAnsi="方正魏碑_GBK" w:eastAsia="方正魏碑_GBK" w:cs="方正魏碑_GBK"/>
          <w:i w:val="0"/>
          <w:color w:val="ff0000"/>
          <w:u w:val="single"/>
          <w:shd w:val="clear" w:color="auto" w:fill="ffffff"/>
        </w:rPr>
        <w:t xml:space="preserve">）</w:t>
      </w:r>
      <w:r>
        <w:rPr>
          <w:rStyle w:val="864"/>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6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（关键工序）</w:t>
      </w:r>
      <w:r>
        <w:rPr>
          <w:rStyle w:val="864"/>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6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64"/>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6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6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64"/>
          <w:rFonts w:hint="eastAsia" w:ascii="方正魏碑_GBK" w:hAnsi="方正魏碑_GBK" w:eastAsia="方正魏碑_GBK" w:cs="方正魏碑_GBK"/>
          <w:i w:val="0"/>
          <w:color w:val="ff0000"/>
          <w:u w:val="single"/>
          <w:shd w:val="clear" w:color="auto" w:fill="ffffff"/>
        </w:rPr>
        <w:t xml:space="preserve">（规定</w:t>
      </w:r>
      <w:r>
        <w:rPr>
          <w:rStyle w:val="864"/>
          <w:rFonts w:ascii="方正魏碑_GBK" w:hAnsi="方正魏碑_GBK" w:eastAsia="方正魏碑_GBK" w:cs="方正魏碑_GBK"/>
          <w:i w:val="0"/>
          <w:color w:val="ff0000"/>
          <w:u w:val="single"/>
          <w:shd w:val="clear" w:color="auto" w:fill="ffffff"/>
        </w:rPr>
        <w:t xml:space="preserve">比例</w:t>
      </w:r>
      <w:r>
        <w:rPr>
          <w:rStyle w:val="86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6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w:t>
      </w:r>
      <w:r>
        <w:rPr>
          <w:rStyle w:val="864"/>
          <w:rFonts w:ascii="方正魏碑_GBK" w:hAnsi="方正魏碑_GBK" w:eastAsia="方正魏碑_GBK" w:cs="方正魏碑_GBK"/>
          <w:i w:val="0"/>
          <w:color w:val="ff0000"/>
          <w:u w:val="single"/>
          <w:shd w:val="clear" w:color="auto" w:fill="ffffff"/>
        </w:rPr>
        <w:t xml:space="preserve">组件</w:t>
      </w:r>
      <w:r>
        <w:rPr>
          <w:rStyle w:val="86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6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8"/>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8"/>
        <w:ind w:right="480" w:firstLine="37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8"/>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8"/>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8"/>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8"/>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w:t>
      </w:r>
      <w:r>
        <w:rPr>
          <w:rFonts w:hint="eastAsia" w:ascii="方正魏碑_GBK" w:hAnsi="方正魏碑_GBK" w:eastAsia="方正魏碑_GBK" w:cs="方正魏碑_GBK"/>
          <w:color w:val="ff0000"/>
          <w:sz w:val="22"/>
          <w:shd w:val="clear" w:color="auto" w:fill="ffffff"/>
        </w:rPr>
        <w:t xml:space="preserve">斜线划除的</w:t>
      </w:r>
      <w:r>
        <w:rPr>
          <w:rFonts w:hint="eastAsia" w:ascii="方正魏碑_GBK" w:hAnsi="方正魏碑_GBK" w:eastAsia="方正魏碑_GBK" w:cs="方正魏碑_GBK"/>
          <w:color w:val="ff0000"/>
          <w:sz w:val="22"/>
          <w:shd w:val="clear" w:color="auto" w:fill="ffffff"/>
        </w:rPr>
        <w:t xml:space="preserve">地方无需填写。</w:t>
      </w:r>
      <w:r/>
    </w:p>
    <w:p>
      <w:pPr>
        <w:pStyle w:val="1054"/>
        <w:ind w:firstLine="445"/>
        <w:spacing w:before="151" w:after="151" w:line="360" w:lineRule="auto"/>
        <w:rPr>
          <w:rFonts w:ascii="宋体" w:hAnsi="宋体"/>
          <w:sz w:val="24"/>
        </w:rPr>
      </w:pPr>
      <w:r>
        <w:rPr>
          <w:rFonts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r/>
      <w:r/>
    </w:p>
    <w:p>
      <w:pPr>
        <w:pStyle w:val="831"/>
        <w:spacing w:line="360" w:lineRule="auto"/>
      </w:pPr>
      <w:r/>
      <w:r/>
    </w:p>
    <w:p>
      <w:pPr>
        <w:spacing w:line="360" w:lineRule="auto"/>
      </w:pPr>
      <w:r/>
      <w:r/>
    </w:p>
    <w:p>
      <w:pPr>
        <w:pStyle w:val="831"/>
        <w:spacing w:line="360" w:lineRule="auto"/>
      </w:pPr>
      <w:r/>
      <w:r/>
    </w:p>
    <w:p>
      <w:pPr>
        <w:pStyle w:val="831"/>
        <w:spacing w:line="360" w:lineRule="auto"/>
      </w:pPr>
      <w:r/>
      <w:r/>
    </w:p>
    <w:p>
      <w:pPr>
        <w:jc w:val="center"/>
        <w:spacing w:line="360" w:lineRule="auto"/>
        <w:widowControl/>
        <w:rPr>
          <w:rFonts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31"/>
        <w:spacing w:line="360" w:lineRule="auto"/>
      </w:pPr>
      <w:r/>
      <w:r/>
    </w:p>
    <w:p>
      <w:pPr>
        <w:spacing w:line="360" w:lineRule="auto"/>
      </w:pPr>
      <w:r/>
      <w:r/>
    </w:p>
    <w:p>
      <w:pPr>
        <w:pStyle w:val="831"/>
        <w:spacing w:line="360" w:lineRule="auto"/>
      </w:pPr>
      <w:r/>
      <w:r/>
    </w:p>
    <w:p>
      <w:pPr>
        <w:spacing w:line="360" w:lineRule="auto"/>
      </w:pPr>
      <w:r/>
      <w:r/>
    </w:p>
    <w:p>
      <w:pPr>
        <w:pStyle w:val="831"/>
        <w:spacing w:line="360" w:lineRule="auto"/>
      </w:pPr>
      <w:r/>
      <w:r/>
    </w:p>
    <w:p>
      <w:pPr>
        <w:spacing w:line="360" w:lineRule="auto"/>
      </w:pPr>
      <w:r/>
      <w:r/>
    </w:p>
    <w:p>
      <w:pPr>
        <w:pStyle w:val="831"/>
        <w:spacing w:line="360" w:lineRule="auto"/>
      </w:pPr>
      <w:r/>
      <w:r/>
    </w:p>
    <w:p>
      <w:pPr>
        <w:spacing w:line="360" w:lineRule="auto"/>
      </w:pPr>
      <w:r/>
      <w:r/>
    </w:p>
    <w:p>
      <w:pPr>
        <w:pStyle w:val="831"/>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4" w:name="_Toc11176"/>
      <w:r>
        <w:rPr>
          <w:rFonts w:hint="eastAsia" w:eastAsia="黑体" w:cs="黑体"/>
          <w:b/>
          <w:sz w:val="32"/>
          <w:szCs w:val="24"/>
        </w:rPr>
        <w:t xml:space="preserve">十、</w:t>
      </w:r>
      <w:bookmarkEnd w:id="54"/>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w:t>
      </w:r>
      <w:r>
        <w:rPr>
          <w:rFonts w:hint="eastAsia" w:eastAsia="仿宋_GB2312"/>
          <w:b/>
          <w:sz w:val="24"/>
          <w:szCs w:val="22"/>
        </w:rPr>
        <w:t xml:space="preserve">传业绩</w:t>
      </w:r>
      <w:r>
        <w:rPr>
          <w:rFonts w:hint="eastAsia" w:eastAsia="仿宋_GB2312"/>
          <w:b/>
          <w:sz w:val="24"/>
          <w:szCs w:val="22"/>
        </w:rPr>
        <w:t xml:space="preserve">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5" w:name="_Toc28140"/>
      <w:r>
        <w:rPr>
          <w:rFonts w:hint="eastAsia" w:eastAsia="黑体" w:cs="黑体"/>
          <w:b/>
          <w:sz w:val="32"/>
          <w:szCs w:val="24"/>
        </w:rPr>
        <w:t xml:space="preserve">十一</w:t>
      </w:r>
      <w:r>
        <w:rPr>
          <w:rFonts w:eastAsia="黑体" w:cs="黑体"/>
          <w:b/>
          <w:sz w:val="32"/>
          <w:szCs w:val="24"/>
        </w:rPr>
        <w:t xml:space="preserve">、投标所需其他材料</w:t>
      </w:r>
      <w:bookmarkEnd w:id="55"/>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eastAsia="仿宋_GB2312"/>
          <w:sz w:val="28"/>
          <w:szCs w:val="28"/>
        </w:rPr>
        <w:t xml:space="preserve">将此空文档</w:t>
      </w:r>
      <w:r>
        <w:rPr>
          <w:rFonts w:hint="eastAsia" w:eastAsia="仿宋_GB2312"/>
          <w:sz w:val="28"/>
          <w:szCs w:val="28"/>
        </w:rPr>
        <w:t xml:space="preserve">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0"/>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56" w:name="_Hlt26955066"/>
      <w:r/>
      <w:bookmarkStart w:id="57" w:name="_Hlt26671374"/>
      <w:r/>
      <w:bookmarkStart w:id="58" w:name="_Hlt26609389"/>
      <w:r/>
      <w:bookmarkStart w:id="59" w:name="_Toc462564146"/>
      <w:r/>
      <w:bookmarkEnd w:id="56"/>
      <w:r/>
      <w:bookmarkEnd w:id="57"/>
      <w:r/>
      <w:bookmarkEnd w:id="58"/>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0" w:name="_格式2__法定代表人授权书"/>
      <w:r/>
      <w:bookmarkEnd w:id="59"/>
      <w:r/>
      <w:bookmarkEnd w:id="60"/>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rPr>
          <w:rFonts w:hint="eastAsia" w:asciiTheme="minorEastAsia" w:hAnsiTheme="minorEastAsia" w:eastAsiaTheme="minorEastAsia"/>
          <w:sz w:val="24"/>
          <w:szCs w:val="24"/>
        </w:rPr>
        <w:t xml:space="preserve">　</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格式七</w:t>
      </w:r>
      <w:r>
        <w:rPr>
          <w:rFonts w:hint="eastAsia" w:asciiTheme="minorEastAsia" w:hAnsiTheme="minorEastAsia" w:eastAsiaTheme="minorEastAsia"/>
          <w:sz w:val="24"/>
          <w:szCs w:val="24"/>
        </w:rPr>
        <w:t xml:space="preserve">*****（本项目要求的其他资格条件）</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bookmarkStart w:id="61" w:name="_GoBack"/>
      <w:r/>
      <w:bookmarkEnd w:id="61"/>
      <w:r/>
      <w:r/>
    </w:p>
    <w:p>
      <w:pPr>
        <w:spacing w:line="360" w:lineRule="auto"/>
      </w:pPr>
      <w:r/>
      <w:r/>
    </w:p>
    <w:p>
      <w:pPr>
        <w:spacing w:line="360" w:lineRule="auto"/>
      </w:pPr>
      <w:r/>
      <w:r/>
    </w:p>
    <w:p>
      <w:pPr>
        <w:pStyle w:val="1024"/>
        <w:ind w:firstLine="240"/>
        <w:spacing w:line="360" w:lineRule="auto"/>
        <w:rPr>
          <w:rFonts w:cs="仿宋" w:asciiTheme="minorEastAsia" w:hAnsiTheme="minorEastAsia" w:eastAsiaTheme="minorEastAsia"/>
        </w:rPr>
      </w:pPr>
      <w:r>
        <w:rPr>
          <w:rFonts w:cs="仿宋" w:asciiTheme="minorEastAsia" w:hAnsiTheme="minorEastAsia" w:eastAsiaTheme="minorEastAsia"/>
        </w:rPr>
      </w:r>
      <w:r/>
    </w:p>
    <w:p>
      <w:pPr>
        <w:spacing w:line="360" w:lineRule="auto"/>
      </w:pPr>
      <w:r/>
      <w:r/>
    </w:p>
    <w:p>
      <w:pPr>
        <w:spacing w:line="360" w:lineRule="auto"/>
      </w:pPr>
      <w:r/>
      <w:r/>
    </w:p>
    <w:p>
      <w:pPr>
        <w:pStyle w:val="1024"/>
        <w:ind w:firstLine="240"/>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4"/>
          <w:jc w:val="center"/>
        </w:pPr>
        <w:r>
          <w:fldChar w:fldCharType="begin"/>
        </w:r>
        <w:r>
          <w:instrText xml:space="preserve">PAGE   \* MERGEFORMAT</w:instrText>
        </w:r>
        <w:r>
          <w:fldChar w:fldCharType="separate"/>
        </w:r>
        <w:r>
          <w:rPr>
            <w:lang w:val="zh-CN"/>
          </w:rPr>
          <w:t xml:space="preserve">62</w:t>
        </w:r>
        <w:r>
          <w:rPr>
            <w:lang w:val="zh-CN"/>
          </w:rPr>
          <w:fldChar w:fldCharType="end"/>
        </w:r>
        <w:r/>
      </w:p>
    </w:sdtContent>
  </w:sdt>
  <w:p>
    <w:pPr>
      <w:pStyle w:val="10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9"/>
  </w:num>
  <w:num w:numId="6">
    <w:abstractNumId w:val="2"/>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828"/>
    <w:link w:val="819"/>
    <w:uiPriority w:val="9"/>
    <w:rPr>
      <w:rFonts w:ascii="Arial" w:hAnsi="Arial" w:eastAsia="Arial" w:cs="Arial"/>
      <w:sz w:val="40"/>
      <w:szCs w:val="40"/>
    </w:rPr>
  </w:style>
  <w:style w:type="character" w:styleId="783">
    <w:name w:val="Heading 2 Char"/>
    <w:basedOn w:val="828"/>
    <w:link w:val="820"/>
    <w:uiPriority w:val="9"/>
    <w:rPr>
      <w:rFonts w:ascii="Arial" w:hAnsi="Arial" w:eastAsia="Arial" w:cs="Arial"/>
      <w:sz w:val="34"/>
    </w:rPr>
  </w:style>
  <w:style w:type="character" w:styleId="784">
    <w:name w:val="Heading 3 Char"/>
    <w:basedOn w:val="828"/>
    <w:link w:val="821"/>
    <w:uiPriority w:val="9"/>
    <w:rPr>
      <w:rFonts w:ascii="Arial" w:hAnsi="Arial" w:eastAsia="Arial" w:cs="Arial"/>
      <w:sz w:val="30"/>
      <w:szCs w:val="30"/>
    </w:rPr>
  </w:style>
  <w:style w:type="character" w:styleId="785">
    <w:name w:val="Heading 4 Char"/>
    <w:basedOn w:val="828"/>
    <w:link w:val="822"/>
    <w:uiPriority w:val="9"/>
    <w:rPr>
      <w:rFonts w:ascii="Arial" w:hAnsi="Arial" w:eastAsia="Arial" w:cs="Arial"/>
      <w:b/>
      <w:bCs/>
      <w:sz w:val="26"/>
      <w:szCs w:val="26"/>
    </w:rPr>
  </w:style>
  <w:style w:type="character" w:styleId="786">
    <w:name w:val="Heading 5 Char"/>
    <w:basedOn w:val="828"/>
    <w:link w:val="823"/>
    <w:uiPriority w:val="9"/>
    <w:rPr>
      <w:rFonts w:ascii="Arial" w:hAnsi="Arial" w:eastAsia="Arial" w:cs="Arial"/>
      <w:b/>
      <w:bCs/>
      <w:sz w:val="24"/>
      <w:szCs w:val="24"/>
    </w:rPr>
  </w:style>
  <w:style w:type="character" w:styleId="787">
    <w:name w:val="Heading 6 Char"/>
    <w:basedOn w:val="828"/>
    <w:link w:val="824"/>
    <w:uiPriority w:val="9"/>
    <w:rPr>
      <w:rFonts w:ascii="Arial" w:hAnsi="Arial" w:eastAsia="Arial" w:cs="Arial"/>
      <w:b/>
      <w:bCs/>
      <w:sz w:val="22"/>
      <w:szCs w:val="22"/>
    </w:rPr>
  </w:style>
  <w:style w:type="character" w:styleId="788">
    <w:name w:val="Heading 7 Char"/>
    <w:basedOn w:val="828"/>
    <w:link w:val="825"/>
    <w:uiPriority w:val="9"/>
    <w:rPr>
      <w:rFonts w:ascii="Arial" w:hAnsi="Arial" w:eastAsia="Arial" w:cs="Arial"/>
      <w:b/>
      <w:bCs/>
      <w:i/>
      <w:iCs/>
      <w:sz w:val="22"/>
      <w:szCs w:val="22"/>
    </w:rPr>
  </w:style>
  <w:style w:type="character" w:styleId="789">
    <w:name w:val="Heading 8 Char"/>
    <w:basedOn w:val="828"/>
    <w:link w:val="826"/>
    <w:uiPriority w:val="9"/>
    <w:rPr>
      <w:rFonts w:ascii="Arial" w:hAnsi="Arial" w:eastAsia="Arial" w:cs="Arial"/>
      <w:i/>
      <w:iCs/>
      <w:sz w:val="22"/>
      <w:szCs w:val="22"/>
    </w:rPr>
  </w:style>
  <w:style w:type="character" w:styleId="790">
    <w:name w:val="Heading 9 Char"/>
    <w:basedOn w:val="828"/>
    <w:link w:val="827"/>
    <w:uiPriority w:val="9"/>
    <w:rPr>
      <w:rFonts w:ascii="Arial" w:hAnsi="Arial" w:eastAsia="Arial" w:cs="Arial"/>
      <w:i/>
      <w:iCs/>
      <w:sz w:val="21"/>
      <w:szCs w:val="21"/>
    </w:rPr>
  </w:style>
  <w:style w:type="character" w:styleId="791">
    <w:name w:val="Title Char"/>
    <w:basedOn w:val="828"/>
    <w:link w:val="859"/>
    <w:uiPriority w:val="10"/>
    <w:rPr>
      <w:sz w:val="48"/>
      <w:szCs w:val="48"/>
    </w:rPr>
  </w:style>
  <w:style w:type="character" w:styleId="792">
    <w:name w:val="Subtitle Char"/>
    <w:basedOn w:val="828"/>
    <w:link w:val="851"/>
    <w:uiPriority w:val="11"/>
    <w:rPr>
      <w:sz w:val="24"/>
      <w:szCs w:val="24"/>
    </w:rPr>
  </w:style>
  <w:style w:type="character" w:styleId="793">
    <w:name w:val="Quote Char"/>
    <w:link w:val="882"/>
    <w:uiPriority w:val="29"/>
    <w:rPr>
      <w:i/>
    </w:rPr>
  </w:style>
  <w:style w:type="character" w:styleId="794">
    <w:name w:val="Intense Quote Char"/>
    <w:link w:val="884"/>
    <w:uiPriority w:val="30"/>
    <w:rPr>
      <w:i/>
    </w:rPr>
  </w:style>
  <w:style w:type="character" w:styleId="795">
    <w:name w:val="Caption Char"/>
    <w:basedOn w:val="834"/>
    <w:link w:val="844"/>
    <w:uiPriority w:val="99"/>
  </w:style>
  <w:style w:type="table" w:styleId="796">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5">
    <w:name w:val="Footnote Text Char"/>
    <w:link w:val="852"/>
    <w:uiPriority w:val="99"/>
    <w:rPr>
      <w:sz w:val="18"/>
    </w:rPr>
  </w:style>
  <w:style w:type="character" w:styleId="816">
    <w:name w:val="Endnote Text Char"/>
    <w:link w:val="842"/>
    <w:uiPriority w:val="99"/>
    <w:rPr>
      <w:sz w:val="20"/>
    </w:rPr>
  </w:style>
  <w:style w:type="paragraph" w:styleId="817">
    <w:name w:val="TOC Heading"/>
    <w:uiPriority w:val="39"/>
    <w:unhideWhenUsed/>
  </w:style>
  <w:style w:type="paragraph" w:styleId="818" w:default="1">
    <w:name w:val="Normal"/>
    <w:next w:val="831"/>
    <w:qFormat/>
    <w:pPr>
      <w:jc w:val="both"/>
      <w:widowControl w:val="off"/>
    </w:pPr>
    <w:rPr>
      <w:rFonts w:eastAsia="楷体_GB2312"/>
      <w:sz w:val="26"/>
    </w:rPr>
  </w:style>
  <w:style w:type="paragraph" w:styleId="819">
    <w:name w:val="Heading 1"/>
    <w:basedOn w:val="818"/>
    <w:next w:val="818"/>
    <w:link w:val="869"/>
    <w:qFormat/>
    <w:pPr>
      <w:jc w:val="center"/>
      <w:keepLines/>
      <w:keepNext/>
      <w:spacing w:line="360" w:lineRule="auto"/>
      <w:outlineLvl w:val="0"/>
    </w:pPr>
    <w:rPr>
      <w:rFonts w:eastAsia="宋体"/>
      <w:b/>
      <w:sz w:val="32"/>
    </w:rPr>
  </w:style>
  <w:style w:type="paragraph" w:styleId="820">
    <w:name w:val="Heading 2"/>
    <w:basedOn w:val="818"/>
    <w:next w:val="818"/>
    <w:link w:val="870"/>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71"/>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72"/>
    <w:uiPriority w:val="9"/>
    <w:unhideWhenUsed/>
    <w:qFormat/>
    <w:pPr>
      <w:keepLines/>
      <w:keepNext/>
      <w:spacing w:before="320" w:after="200"/>
      <w:outlineLvl w:val="3"/>
    </w:pPr>
    <w:rPr>
      <w:rFonts w:ascii="Arial" w:hAnsi="Arial" w:eastAsia="Arial" w:cs="Arial"/>
      <w:b/>
      <w:bCs/>
      <w:szCs w:val="26"/>
    </w:rPr>
  </w:style>
  <w:style w:type="paragraph" w:styleId="823">
    <w:name w:val="Heading 5"/>
    <w:basedOn w:val="818"/>
    <w:next w:val="818"/>
    <w:link w:val="873"/>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74"/>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76"/>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77"/>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Body Text"/>
    <w:basedOn w:val="818"/>
    <w:next w:val="818"/>
    <w:link w:val="1060"/>
    <w:uiPriority w:val="99"/>
    <w:qFormat/>
    <w:rPr>
      <w:rFonts w:ascii="楷体_GB2312" w:hAnsi="Arial"/>
      <w:sz w:val="28"/>
    </w:rPr>
  </w:style>
  <w:style w:type="paragraph" w:styleId="832">
    <w:name w:val="toc 7"/>
    <w:basedOn w:val="818"/>
    <w:next w:val="818"/>
    <w:uiPriority w:val="39"/>
    <w:unhideWhenUsed/>
    <w:qFormat/>
    <w:pPr>
      <w:ind w:left="1701"/>
      <w:spacing w:after="57"/>
    </w:pPr>
  </w:style>
  <w:style w:type="paragraph" w:styleId="833">
    <w:name w:val="Normal Indent"/>
    <w:basedOn w:val="818"/>
    <w:next w:val="818"/>
    <w:uiPriority w:val="99"/>
    <w:qFormat/>
    <w:pPr>
      <w:ind w:firstLine="200"/>
    </w:pPr>
  </w:style>
  <w:style w:type="paragraph" w:styleId="834">
    <w:name w:val="Caption"/>
    <w:basedOn w:val="818"/>
    <w:next w:val="818"/>
    <w:uiPriority w:val="35"/>
    <w:semiHidden/>
    <w:unhideWhenUsed/>
    <w:qFormat/>
    <w:pPr>
      <w:spacing w:line="276" w:lineRule="auto"/>
    </w:pPr>
    <w:rPr>
      <w:b/>
      <w:bCs/>
      <w:color w:val="4f81bd"/>
      <w:sz w:val="18"/>
      <w:szCs w:val="18"/>
    </w:rPr>
  </w:style>
  <w:style w:type="paragraph" w:styleId="835">
    <w:name w:val="annotation text"/>
    <w:basedOn w:val="818"/>
    <w:link w:val="1051"/>
    <w:uiPriority w:val="99"/>
    <w:semiHidden/>
    <w:unhideWhenUsed/>
    <w:qFormat/>
    <w:pPr>
      <w:jc w:val="left"/>
    </w:pPr>
  </w:style>
  <w:style w:type="paragraph" w:styleId="836">
    <w:name w:val="Body Text Indent"/>
    <w:basedOn w:val="818"/>
    <w:qFormat/>
    <w:pPr>
      <w:ind w:firstLine="645"/>
    </w:pPr>
    <w:rPr>
      <w:rFonts w:ascii="楷体_GB2312" w:hAnsi="Calibri"/>
      <w:sz w:val="32"/>
      <w:szCs w:val="22"/>
    </w:rPr>
  </w:style>
  <w:style w:type="paragraph" w:styleId="837">
    <w:name w:val="Block Text"/>
    <w:basedOn w:val="818"/>
    <w:qFormat/>
    <w:pPr>
      <w:ind w:left="525" w:right="-1" w:firstLine="525"/>
      <w:spacing w:line="312" w:lineRule="atLeast"/>
    </w:pPr>
    <w:rPr>
      <w:sz w:val="28"/>
      <w:szCs w:val="28"/>
    </w:rPr>
  </w:style>
  <w:style w:type="paragraph" w:styleId="838">
    <w:name w:val="toc 5"/>
    <w:basedOn w:val="818"/>
    <w:next w:val="818"/>
    <w:uiPriority w:val="39"/>
    <w:unhideWhenUsed/>
    <w:qFormat/>
    <w:pPr>
      <w:ind w:left="1134"/>
      <w:spacing w:after="57"/>
    </w:pPr>
  </w:style>
  <w:style w:type="paragraph" w:styleId="839">
    <w:name w:val="toc 3"/>
    <w:basedOn w:val="818"/>
    <w:next w:val="818"/>
    <w:uiPriority w:val="39"/>
    <w:unhideWhenUsed/>
    <w:qFormat/>
    <w:pPr>
      <w:ind w:left="567"/>
      <w:spacing w:after="57"/>
    </w:pPr>
  </w:style>
  <w:style w:type="paragraph" w:styleId="840">
    <w:name w:val="Plain Text"/>
    <w:basedOn w:val="818"/>
    <w:next w:val="833"/>
    <w:qFormat/>
    <w:rPr>
      <w:rFonts w:ascii="宋体"/>
    </w:rPr>
  </w:style>
  <w:style w:type="paragraph" w:styleId="841">
    <w:name w:val="toc 8"/>
    <w:basedOn w:val="818"/>
    <w:next w:val="818"/>
    <w:uiPriority w:val="39"/>
    <w:unhideWhenUsed/>
    <w:qFormat/>
    <w:pPr>
      <w:ind w:left="1984"/>
      <w:spacing w:after="57"/>
    </w:pPr>
  </w:style>
  <w:style w:type="paragraph" w:styleId="842">
    <w:name w:val="endnote text"/>
    <w:basedOn w:val="818"/>
    <w:link w:val="1015"/>
    <w:uiPriority w:val="99"/>
    <w:semiHidden/>
    <w:unhideWhenUsed/>
    <w:qFormat/>
    <w:rPr>
      <w:sz w:val="20"/>
    </w:rPr>
  </w:style>
  <w:style w:type="paragraph" w:styleId="843">
    <w:name w:val="Balloon Text"/>
    <w:basedOn w:val="818"/>
    <w:link w:val="1047"/>
    <w:uiPriority w:val="99"/>
    <w:semiHidden/>
    <w:unhideWhenUsed/>
    <w:qFormat/>
    <w:rPr>
      <w:sz w:val="18"/>
      <w:szCs w:val="18"/>
    </w:rPr>
  </w:style>
  <w:style w:type="paragraph" w:styleId="844">
    <w:name w:val="Footer"/>
    <w:basedOn w:val="818"/>
    <w:link w:val="888"/>
    <w:uiPriority w:val="99"/>
    <w:unhideWhenUsed/>
    <w:qFormat/>
    <w:pPr>
      <w:tabs>
        <w:tab w:val="center" w:pos="7143" w:leader="none"/>
        <w:tab w:val="right" w:pos="14287" w:leader="none"/>
      </w:tabs>
    </w:pPr>
  </w:style>
  <w:style w:type="paragraph" w:styleId="845">
    <w:name w:val="envelope return"/>
    <w:basedOn w:val="846"/>
    <w:uiPriority w:val="99"/>
    <w:unhideWhenUsed/>
    <w:qFormat/>
    <w:rPr>
      <w:rFonts w:ascii="Arial" w:hAnsi="Arial"/>
    </w:rPr>
  </w:style>
  <w:style w:type="paragraph" w:styleId="846" w:customStyle="1">
    <w:name w:val="Normal_19"/>
    <w:next w:val="847"/>
    <w:qFormat/>
    <w:pPr>
      <w:jc w:val="both"/>
      <w:widowControl w:val="off"/>
    </w:pPr>
    <w:rPr>
      <w:sz w:val="21"/>
      <w:szCs w:val="24"/>
    </w:rPr>
  </w:style>
  <w:style w:type="paragraph" w:styleId="847" w:customStyle="1">
    <w:name w:val="正文文本缩进1"/>
    <w:basedOn w:val="818"/>
    <w:next w:val="845"/>
    <w:unhideWhenUsed/>
    <w:qFormat/>
    <w:pPr>
      <w:ind w:firstLine="570"/>
    </w:pPr>
    <w:rPr>
      <w:rFonts w:ascii="宋体" w:eastAsia="宋体"/>
      <w:sz w:val="28"/>
    </w:rPr>
  </w:style>
  <w:style w:type="paragraph" w:styleId="848">
    <w:name w:val="Header"/>
    <w:basedOn w:val="818"/>
    <w:link w:val="1017"/>
    <w:qFormat/>
    <w:pPr>
      <w:jc w:val="center"/>
      <w:tabs>
        <w:tab w:val="center" w:pos="4153" w:leader="none"/>
        <w:tab w:val="right" w:pos="8306" w:leader="none"/>
      </w:tabs>
    </w:pPr>
    <w:rPr>
      <w:sz w:val="18"/>
      <w:szCs w:val="18"/>
    </w:rPr>
  </w:style>
  <w:style w:type="paragraph" w:styleId="849">
    <w:name w:val="toc 1"/>
    <w:basedOn w:val="818"/>
    <w:next w:val="818"/>
    <w:uiPriority w:val="39"/>
    <w:unhideWhenUsed/>
    <w:qFormat/>
    <w:pPr>
      <w:spacing w:after="57"/>
    </w:pPr>
  </w:style>
  <w:style w:type="paragraph" w:styleId="850">
    <w:name w:val="toc 4"/>
    <w:basedOn w:val="818"/>
    <w:next w:val="818"/>
    <w:uiPriority w:val="39"/>
    <w:unhideWhenUsed/>
    <w:qFormat/>
    <w:pPr>
      <w:ind w:left="850"/>
      <w:spacing w:after="57"/>
    </w:pPr>
  </w:style>
  <w:style w:type="paragraph" w:styleId="851">
    <w:name w:val="Subtitle"/>
    <w:basedOn w:val="818"/>
    <w:next w:val="818"/>
    <w:link w:val="881"/>
    <w:uiPriority w:val="11"/>
    <w:qFormat/>
    <w:pPr>
      <w:spacing w:before="200" w:after="200"/>
    </w:pPr>
    <w:rPr>
      <w:sz w:val="24"/>
      <w:szCs w:val="24"/>
    </w:rPr>
  </w:style>
  <w:style w:type="paragraph" w:styleId="852">
    <w:name w:val="footnote text"/>
    <w:basedOn w:val="818"/>
    <w:link w:val="1014"/>
    <w:uiPriority w:val="99"/>
    <w:semiHidden/>
    <w:unhideWhenUsed/>
    <w:qFormat/>
    <w:pPr>
      <w:spacing w:after="40"/>
    </w:pPr>
    <w:rPr>
      <w:sz w:val="18"/>
    </w:rPr>
  </w:style>
  <w:style w:type="paragraph" w:styleId="853">
    <w:name w:val="toc 6"/>
    <w:basedOn w:val="818"/>
    <w:next w:val="818"/>
    <w:uiPriority w:val="39"/>
    <w:unhideWhenUsed/>
    <w:qFormat/>
    <w:pPr>
      <w:ind w:left="1417"/>
      <w:spacing w:after="57"/>
    </w:pPr>
  </w:style>
  <w:style w:type="paragraph" w:styleId="854">
    <w:name w:val="table of figures"/>
    <w:basedOn w:val="818"/>
    <w:next w:val="818"/>
    <w:uiPriority w:val="99"/>
    <w:unhideWhenUsed/>
    <w:qFormat/>
  </w:style>
  <w:style w:type="paragraph" w:styleId="855">
    <w:name w:val="toc 2"/>
    <w:basedOn w:val="818"/>
    <w:next w:val="818"/>
    <w:uiPriority w:val="39"/>
    <w:unhideWhenUsed/>
    <w:qFormat/>
    <w:pPr>
      <w:ind w:left="283"/>
      <w:spacing w:after="57"/>
    </w:pPr>
  </w:style>
  <w:style w:type="paragraph" w:styleId="856">
    <w:name w:val="toc 9"/>
    <w:basedOn w:val="818"/>
    <w:next w:val="818"/>
    <w:uiPriority w:val="39"/>
    <w:unhideWhenUsed/>
    <w:qFormat/>
    <w:pPr>
      <w:ind w:left="2268"/>
      <w:spacing w:after="57"/>
    </w:pPr>
  </w:style>
  <w:style w:type="paragraph" w:styleId="857">
    <w:name w:val="HTML Preformatted"/>
    <w:basedOn w:val="818"/>
    <w:link w:val="1059"/>
    <w:uiPriority w:val="99"/>
    <w:semiHidden/>
    <w:unhideWhenUsed/>
    <w:qFormat/>
    <w:rPr>
      <w:rFonts w:ascii="Courier New" w:hAnsi="Courier New" w:cs="Courier New"/>
      <w:sz w:val="20"/>
    </w:rPr>
  </w:style>
  <w:style w:type="paragraph" w:styleId="858">
    <w:name w:val="Normal (Web)"/>
    <w:basedOn w:val="818"/>
    <w:uiPriority w:val="99"/>
    <w:qFormat/>
    <w:pPr>
      <w:jc w:val="left"/>
      <w:spacing w:before="100" w:beforeAutospacing="1" w:after="100" w:afterAutospacing="1"/>
      <w:widowControl/>
    </w:pPr>
    <w:rPr>
      <w:rFonts w:ascii="宋体" w:hAnsi="宋体"/>
      <w:color w:val="000000"/>
      <w:sz w:val="24"/>
      <w:szCs w:val="24"/>
    </w:rPr>
  </w:style>
  <w:style w:type="paragraph" w:styleId="859">
    <w:name w:val="Title"/>
    <w:basedOn w:val="818"/>
    <w:next w:val="818"/>
    <w:link w:val="880"/>
    <w:uiPriority w:val="10"/>
    <w:qFormat/>
    <w:pPr>
      <w:contextualSpacing/>
      <w:spacing w:before="300" w:after="200"/>
    </w:pPr>
    <w:rPr>
      <w:sz w:val="48"/>
      <w:szCs w:val="48"/>
    </w:rPr>
  </w:style>
  <w:style w:type="paragraph" w:styleId="860">
    <w:name w:val="Body Text First Indent"/>
    <w:basedOn w:val="831"/>
    <w:next w:val="861"/>
    <w:qFormat/>
    <w:pPr>
      <w:ind w:firstLine="420"/>
    </w:pPr>
  </w:style>
  <w:style w:type="paragraph" w:styleId="861">
    <w:name w:val="Body Text First Indent 2"/>
    <w:basedOn w:val="836"/>
    <w:uiPriority w:val="99"/>
    <w:unhideWhenUsed/>
    <w:qFormat/>
    <w:pPr>
      <w:ind w:firstLine="200"/>
    </w:pPr>
  </w:style>
  <w:style w:type="table" w:styleId="862">
    <w:name w:val="Table Grid"/>
    <w:basedOn w:val="82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endnote reference"/>
    <w:uiPriority w:val="99"/>
    <w:semiHidden/>
    <w:unhideWhenUsed/>
    <w:qFormat/>
    <w:rPr>
      <w:vertAlign w:val="superscript"/>
    </w:rPr>
  </w:style>
  <w:style w:type="character" w:styleId="864">
    <w:name w:val="Emphasis"/>
    <w:qFormat/>
    <w:rPr>
      <w:rFonts w:ascii="Times New Roman" w:hAnsi="Times New Roman" w:eastAsia="宋体" w:cs="Times New Roman"/>
      <w:i/>
    </w:rPr>
  </w:style>
  <w:style w:type="character" w:styleId="865">
    <w:name w:val="Hyperlink"/>
    <w:uiPriority w:val="99"/>
    <w:unhideWhenUsed/>
    <w:qFormat/>
    <w:rPr>
      <w:color w:val="0563c1"/>
      <w:u w:val="single"/>
    </w:rPr>
  </w:style>
  <w:style w:type="character" w:styleId="866">
    <w:name w:val="annotation reference"/>
    <w:basedOn w:val="828"/>
    <w:uiPriority w:val="99"/>
    <w:semiHidden/>
    <w:unhideWhenUsed/>
    <w:qFormat/>
    <w:rPr>
      <w:sz w:val="21"/>
      <w:szCs w:val="21"/>
    </w:rPr>
  </w:style>
  <w:style w:type="character" w:styleId="867">
    <w:name w:val="footnote reference"/>
    <w:uiPriority w:val="99"/>
    <w:unhideWhenUsed/>
    <w:qFormat/>
    <w:rPr>
      <w:vertAlign w:val="superscript"/>
    </w:rPr>
  </w:style>
  <w:style w:type="paragraph" w:styleId="868" w:customStyle="1">
    <w:name w:val="标题 31"/>
    <w:basedOn w:val="818"/>
    <w:next w:val="818"/>
    <w:qFormat/>
    <w:pPr>
      <w:keepLines/>
      <w:keepNext/>
      <w:spacing w:before="260" w:after="260" w:line="416" w:lineRule="auto"/>
      <w:outlineLvl w:val="2"/>
    </w:pPr>
    <w:rPr>
      <w:b/>
      <w:bCs/>
      <w:sz w:val="32"/>
      <w:szCs w:val="32"/>
    </w:rPr>
  </w:style>
  <w:style w:type="character" w:styleId="869" w:customStyle="1">
    <w:name w:val="标题 1 字符"/>
    <w:link w:val="819"/>
    <w:qFormat/>
    <w:rPr>
      <w:rFonts w:ascii="Arial" w:hAnsi="Arial" w:eastAsia="Arial" w:cs="Arial"/>
      <w:sz w:val="40"/>
      <w:szCs w:val="40"/>
    </w:rPr>
  </w:style>
  <w:style w:type="character" w:styleId="870" w:customStyle="1">
    <w:name w:val="标题 2 字符"/>
    <w:link w:val="820"/>
    <w:uiPriority w:val="9"/>
    <w:qFormat/>
    <w:rPr>
      <w:rFonts w:ascii="Arial" w:hAnsi="Arial" w:eastAsia="Arial" w:cs="Arial"/>
      <w:sz w:val="34"/>
    </w:rPr>
  </w:style>
  <w:style w:type="character" w:styleId="871" w:customStyle="1">
    <w:name w:val="标题 3 字符"/>
    <w:link w:val="821"/>
    <w:uiPriority w:val="9"/>
    <w:qFormat/>
    <w:rPr>
      <w:rFonts w:ascii="Arial" w:hAnsi="Arial" w:eastAsia="Arial" w:cs="Arial"/>
      <w:sz w:val="30"/>
      <w:szCs w:val="30"/>
    </w:rPr>
  </w:style>
  <w:style w:type="character" w:styleId="872" w:customStyle="1">
    <w:name w:val="标题 4 字符"/>
    <w:link w:val="822"/>
    <w:uiPriority w:val="9"/>
    <w:qFormat/>
    <w:rPr>
      <w:rFonts w:ascii="Arial" w:hAnsi="Arial" w:eastAsia="Arial" w:cs="Arial"/>
      <w:b/>
      <w:bCs/>
      <w:sz w:val="26"/>
      <w:szCs w:val="26"/>
    </w:rPr>
  </w:style>
  <w:style w:type="character" w:styleId="873" w:customStyle="1">
    <w:name w:val="标题 5 字符"/>
    <w:link w:val="823"/>
    <w:uiPriority w:val="9"/>
    <w:qFormat/>
    <w:rPr>
      <w:rFonts w:ascii="Arial" w:hAnsi="Arial" w:eastAsia="Arial" w:cs="Arial"/>
      <w:b/>
      <w:bCs/>
      <w:sz w:val="24"/>
      <w:szCs w:val="24"/>
    </w:rPr>
  </w:style>
  <w:style w:type="character" w:styleId="874" w:customStyle="1">
    <w:name w:val="标题 6 字符"/>
    <w:link w:val="824"/>
    <w:uiPriority w:val="9"/>
    <w:qFormat/>
    <w:rPr>
      <w:rFonts w:ascii="Arial" w:hAnsi="Arial" w:eastAsia="Arial" w:cs="Arial"/>
      <w:b/>
      <w:bCs/>
      <w:sz w:val="22"/>
      <w:szCs w:val="22"/>
    </w:rPr>
  </w:style>
  <w:style w:type="character" w:styleId="875" w:customStyle="1">
    <w:name w:val="标题 7 字符"/>
    <w:link w:val="825"/>
    <w:uiPriority w:val="9"/>
    <w:qFormat/>
    <w:rPr>
      <w:rFonts w:ascii="Arial" w:hAnsi="Arial" w:eastAsia="Arial" w:cs="Arial"/>
      <w:b/>
      <w:bCs/>
      <w:i/>
      <w:iCs/>
      <w:sz w:val="22"/>
      <w:szCs w:val="22"/>
    </w:rPr>
  </w:style>
  <w:style w:type="character" w:styleId="876" w:customStyle="1">
    <w:name w:val="标题 8 字符"/>
    <w:link w:val="826"/>
    <w:uiPriority w:val="9"/>
    <w:qFormat/>
    <w:rPr>
      <w:rFonts w:ascii="Arial" w:hAnsi="Arial" w:eastAsia="Arial" w:cs="Arial"/>
      <w:i/>
      <w:iCs/>
      <w:sz w:val="22"/>
      <w:szCs w:val="22"/>
    </w:rPr>
  </w:style>
  <w:style w:type="character" w:styleId="877" w:customStyle="1">
    <w:name w:val="标题 9 字符"/>
    <w:link w:val="827"/>
    <w:uiPriority w:val="9"/>
    <w:qFormat/>
    <w:rPr>
      <w:rFonts w:ascii="Arial" w:hAnsi="Arial" w:eastAsia="Arial" w:cs="Arial"/>
      <w:i/>
      <w:iCs/>
      <w:sz w:val="21"/>
      <w:szCs w:val="21"/>
    </w:rPr>
  </w:style>
  <w:style w:type="paragraph" w:styleId="878">
    <w:name w:val="List Paragraph"/>
    <w:basedOn w:val="818"/>
    <w:qFormat/>
    <w:pPr>
      <w:ind w:firstLine="420"/>
    </w:pPr>
  </w:style>
  <w:style w:type="paragraph" w:styleId="879">
    <w:name w:val="No Spacing"/>
    <w:uiPriority w:val="1"/>
    <w:qFormat/>
  </w:style>
  <w:style w:type="character" w:styleId="880" w:customStyle="1">
    <w:name w:val="标题 字符"/>
    <w:link w:val="859"/>
    <w:uiPriority w:val="10"/>
    <w:qFormat/>
    <w:rPr>
      <w:sz w:val="48"/>
      <w:szCs w:val="48"/>
    </w:rPr>
  </w:style>
  <w:style w:type="character" w:styleId="881" w:customStyle="1">
    <w:name w:val="副标题 字符"/>
    <w:link w:val="851"/>
    <w:uiPriority w:val="11"/>
    <w:qFormat/>
    <w:rPr>
      <w:sz w:val="24"/>
      <w:szCs w:val="24"/>
    </w:rPr>
  </w:style>
  <w:style w:type="paragraph" w:styleId="882">
    <w:name w:val="Quote"/>
    <w:basedOn w:val="818"/>
    <w:next w:val="818"/>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818"/>
    <w:next w:val="818"/>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Header Char"/>
    <w:uiPriority w:val="99"/>
    <w:qFormat/>
  </w:style>
  <w:style w:type="character" w:styleId="887" w:customStyle="1">
    <w:name w:val="Footer Char"/>
    <w:uiPriority w:val="99"/>
    <w:qFormat/>
  </w:style>
  <w:style w:type="character" w:styleId="888" w:customStyle="1">
    <w:name w:val="页脚 字符"/>
    <w:link w:val="844"/>
    <w:uiPriority w:val="99"/>
    <w:qFormat/>
  </w:style>
  <w:style w:type="table" w:styleId="88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2" w:customStyle="1">
    <w:name w:val="无格式表格 31"/>
    <w:uiPriority w:val="99"/>
    <w:qFormat/>
    <w:tblPr>
      <w:tblCellMar>
        <w:left w:w="0" w:type="dxa"/>
        <w:top w:w="0" w:type="dxa"/>
        <w:right w:w="0" w:type="dxa"/>
        <w:bottom w:w="0" w:type="dxa"/>
      </w:tblCellMar>
    </w:tblPr>
  </w:style>
  <w:style w:type="table" w:styleId="893" w:customStyle="1">
    <w:name w:val="无格式表格 41"/>
    <w:uiPriority w:val="99"/>
    <w:qFormat/>
    <w:tblPr>
      <w:tblCellMar>
        <w:left w:w="0" w:type="dxa"/>
        <w:top w:w="0" w:type="dxa"/>
        <w:right w:w="0" w:type="dxa"/>
        <w:bottom w:w="0" w:type="dxa"/>
      </w:tblCellMar>
    </w:tblPr>
  </w:style>
  <w:style w:type="table" w:styleId="894" w:customStyle="1">
    <w:name w:val="无格式表格 51"/>
    <w:uiPriority w:val="99"/>
    <w:qFormat/>
    <w:tblPr>
      <w:tblCellMar>
        <w:left w:w="0" w:type="dxa"/>
        <w:top w:w="0" w:type="dxa"/>
        <w:right w:w="0" w:type="dxa"/>
        <w:bottom w:w="0" w:type="dxa"/>
      </w:tblCellMar>
    </w:tblPr>
  </w:style>
  <w:style w:type="table" w:styleId="89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customStyle="1">
    <w:name w:val="清单表 1 浅色1"/>
    <w:uiPriority w:val="99"/>
    <w:qFormat/>
    <w:tblPr>
      <w:tblCellMar>
        <w:left w:w="0" w:type="dxa"/>
        <w:top w:w="0" w:type="dxa"/>
        <w:right w:w="0" w:type="dxa"/>
        <w:bottom w:w="0" w:type="dxa"/>
      </w:tblCellMar>
    </w:tblPr>
  </w:style>
  <w:style w:type="table" w:styleId="945" w:customStyle="1">
    <w:name w:val="List Table 1 Light - Accent 1"/>
    <w:uiPriority w:val="99"/>
    <w:qFormat/>
    <w:tblPr>
      <w:tblCellMar>
        <w:left w:w="0" w:type="dxa"/>
        <w:top w:w="0" w:type="dxa"/>
        <w:right w:w="0" w:type="dxa"/>
        <w:bottom w:w="0" w:type="dxa"/>
      </w:tblCellMar>
    </w:tblPr>
  </w:style>
  <w:style w:type="table" w:styleId="946" w:customStyle="1">
    <w:name w:val="List Table 1 Light - Accent 2"/>
    <w:uiPriority w:val="99"/>
    <w:qFormat/>
    <w:tblPr>
      <w:tblCellMar>
        <w:left w:w="0" w:type="dxa"/>
        <w:top w:w="0" w:type="dxa"/>
        <w:right w:w="0" w:type="dxa"/>
        <w:bottom w:w="0" w:type="dxa"/>
      </w:tblCellMar>
    </w:tblPr>
  </w:style>
  <w:style w:type="table" w:styleId="947" w:customStyle="1">
    <w:name w:val="List Table 1 Light - Accent 3"/>
    <w:uiPriority w:val="99"/>
    <w:qFormat/>
    <w:tblPr>
      <w:tblCellMar>
        <w:left w:w="0" w:type="dxa"/>
        <w:top w:w="0" w:type="dxa"/>
        <w:right w:w="0" w:type="dxa"/>
        <w:bottom w:w="0" w:type="dxa"/>
      </w:tblCellMar>
    </w:tblPr>
  </w:style>
  <w:style w:type="table" w:styleId="948" w:customStyle="1">
    <w:name w:val="List Table 1 Light - Accent 4"/>
    <w:uiPriority w:val="99"/>
    <w:qFormat/>
    <w:tblPr>
      <w:tblCellMar>
        <w:left w:w="0" w:type="dxa"/>
        <w:top w:w="0" w:type="dxa"/>
        <w:right w:w="0" w:type="dxa"/>
        <w:bottom w:w="0" w:type="dxa"/>
      </w:tblCellMar>
    </w:tblPr>
  </w:style>
  <w:style w:type="table" w:styleId="949" w:customStyle="1">
    <w:name w:val="List Table 1 Light - Accent 5"/>
    <w:uiPriority w:val="99"/>
    <w:qFormat/>
    <w:tblPr>
      <w:tblCellMar>
        <w:left w:w="0" w:type="dxa"/>
        <w:top w:w="0" w:type="dxa"/>
        <w:right w:w="0" w:type="dxa"/>
        <w:bottom w:w="0" w:type="dxa"/>
      </w:tblCellMar>
    </w:tblPr>
  </w:style>
  <w:style w:type="table" w:styleId="950" w:customStyle="1">
    <w:name w:val="List Table 1 Light - Accent 6"/>
    <w:uiPriority w:val="99"/>
    <w:qFormat/>
    <w:tblPr>
      <w:tblCellMar>
        <w:left w:w="0" w:type="dxa"/>
        <w:top w:w="0" w:type="dxa"/>
        <w:right w:w="0" w:type="dxa"/>
        <w:bottom w:w="0" w:type="dxa"/>
      </w:tblCellMar>
    </w:tblPr>
  </w:style>
  <w:style w:type="table" w:styleId="95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3" w:customStyle="1">
    <w:name w:val="Lined - Accent"/>
    <w:uiPriority w:val="99"/>
    <w:qFormat/>
    <w:rPr>
      <w:color w:val="404040"/>
    </w:rPr>
    <w:tblPr>
      <w:tblCellMar>
        <w:left w:w="0" w:type="dxa"/>
        <w:top w:w="0" w:type="dxa"/>
        <w:right w:w="0" w:type="dxa"/>
        <w:bottom w:w="0" w:type="dxa"/>
      </w:tblCellMar>
    </w:tblPr>
  </w:style>
  <w:style w:type="table" w:styleId="994" w:customStyle="1">
    <w:name w:val="Lined - Accent 1"/>
    <w:uiPriority w:val="99"/>
    <w:qFormat/>
    <w:rPr>
      <w:color w:val="404040"/>
    </w:rPr>
    <w:tblPr>
      <w:tblCellMar>
        <w:left w:w="0" w:type="dxa"/>
        <w:top w:w="0" w:type="dxa"/>
        <w:right w:w="0" w:type="dxa"/>
        <w:bottom w:w="0" w:type="dxa"/>
      </w:tblCellMar>
    </w:tblPr>
  </w:style>
  <w:style w:type="table" w:styleId="995" w:customStyle="1">
    <w:name w:val="Lined - Accent 2"/>
    <w:uiPriority w:val="99"/>
    <w:qFormat/>
    <w:rPr>
      <w:color w:val="404040"/>
    </w:rPr>
    <w:tblPr>
      <w:tblCellMar>
        <w:left w:w="0" w:type="dxa"/>
        <w:top w:w="0" w:type="dxa"/>
        <w:right w:w="0" w:type="dxa"/>
        <w:bottom w:w="0" w:type="dxa"/>
      </w:tblCellMar>
    </w:tblPr>
  </w:style>
  <w:style w:type="table" w:styleId="996" w:customStyle="1">
    <w:name w:val="Lined - Accent 3"/>
    <w:uiPriority w:val="99"/>
    <w:qFormat/>
    <w:rPr>
      <w:color w:val="404040"/>
    </w:rPr>
    <w:tblPr>
      <w:tblCellMar>
        <w:left w:w="0" w:type="dxa"/>
        <w:top w:w="0" w:type="dxa"/>
        <w:right w:w="0" w:type="dxa"/>
        <w:bottom w:w="0" w:type="dxa"/>
      </w:tblCellMar>
    </w:tblPr>
  </w:style>
  <w:style w:type="table" w:styleId="997" w:customStyle="1">
    <w:name w:val="Lined - Accent 4"/>
    <w:uiPriority w:val="99"/>
    <w:qFormat/>
    <w:rPr>
      <w:color w:val="404040"/>
    </w:rPr>
    <w:tblPr>
      <w:tblCellMar>
        <w:left w:w="0" w:type="dxa"/>
        <w:top w:w="0" w:type="dxa"/>
        <w:right w:w="0" w:type="dxa"/>
        <w:bottom w:w="0" w:type="dxa"/>
      </w:tblCellMar>
    </w:tblPr>
  </w:style>
  <w:style w:type="table" w:styleId="998" w:customStyle="1">
    <w:name w:val="Lined - Accent 5"/>
    <w:uiPriority w:val="99"/>
    <w:qFormat/>
    <w:rPr>
      <w:color w:val="404040"/>
    </w:rPr>
    <w:tblPr>
      <w:tblCellMar>
        <w:left w:w="0" w:type="dxa"/>
        <w:top w:w="0" w:type="dxa"/>
        <w:right w:w="0" w:type="dxa"/>
        <w:bottom w:w="0" w:type="dxa"/>
      </w:tblCellMar>
    </w:tblPr>
  </w:style>
  <w:style w:type="table" w:styleId="999" w:customStyle="1">
    <w:name w:val="Lined - Accent 6"/>
    <w:uiPriority w:val="99"/>
    <w:qFormat/>
    <w:rPr>
      <w:color w:val="404040"/>
    </w:rPr>
    <w:tblPr>
      <w:tblCellMar>
        <w:left w:w="0" w:type="dxa"/>
        <w:top w:w="0" w:type="dxa"/>
        <w:right w:w="0" w:type="dxa"/>
        <w:bottom w:w="0" w:type="dxa"/>
      </w:tblCellMar>
    </w:tblPr>
  </w:style>
  <w:style w:type="table" w:styleId="100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4" w:customStyle="1">
    <w:name w:val="脚注文本 字符"/>
    <w:link w:val="852"/>
    <w:uiPriority w:val="99"/>
    <w:qFormat/>
    <w:rPr>
      <w:sz w:val="18"/>
    </w:rPr>
  </w:style>
  <w:style w:type="character" w:styleId="1015" w:customStyle="1">
    <w:name w:val="尾注文本 字符"/>
    <w:link w:val="842"/>
    <w:uiPriority w:val="99"/>
    <w:qFormat/>
    <w:rPr>
      <w:sz w:val="20"/>
    </w:rPr>
  </w:style>
  <w:style w:type="paragraph" w:styleId="1016" w:customStyle="1">
    <w:name w:val="TOC 标题1"/>
    <w:uiPriority w:val="39"/>
    <w:unhideWhenUsed/>
    <w:qFormat/>
  </w:style>
  <w:style w:type="character" w:styleId="1017" w:customStyle="1">
    <w:name w:val="页眉 字符"/>
    <w:link w:val="848"/>
    <w:qFormat/>
    <w:rPr>
      <w:rFonts w:ascii="Times New Roman" w:hAnsi="Times New Roman" w:eastAsia="楷体_GB2312"/>
      <w:sz w:val="18"/>
      <w:szCs w:val="18"/>
    </w:rPr>
  </w:style>
  <w:style w:type="paragraph" w:styleId="1018" w:customStyle="1">
    <w:name w:val="索引 41"/>
    <w:basedOn w:val="818"/>
    <w:next w:val="818"/>
    <w:qFormat/>
    <w:pPr>
      <w:ind w:left="600"/>
    </w:pPr>
    <w:rPr>
      <w:szCs w:val="21"/>
    </w:rPr>
  </w:style>
  <w:style w:type="paragraph" w:styleId="1019" w:customStyle="1">
    <w:name w:val="正文首行缩进 21"/>
    <w:basedOn w:val="847"/>
    <w:uiPriority w:val="99"/>
    <w:unhideWhenUsed/>
    <w:qFormat/>
    <w:pPr>
      <w:ind w:firstLine="420"/>
    </w:pPr>
  </w:style>
  <w:style w:type="paragraph" w:styleId="1020" w:customStyle="1">
    <w:name w:val="目录 11"/>
    <w:basedOn w:val="818"/>
    <w:next w:val="818"/>
    <w:unhideWhenUsed/>
    <w:qFormat/>
    <w:pPr>
      <w:jc w:val="left"/>
    </w:pPr>
    <w:rPr>
      <w:sz w:val="24"/>
    </w:rPr>
  </w:style>
  <w:style w:type="paragraph" w:styleId="1021" w:customStyle="1">
    <w:name w:val="标题 21"/>
    <w:basedOn w:val="818"/>
    <w:next w:val="818"/>
    <w:qFormat/>
    <w:pPr>
      <w:keepLines/>
      <w:keepNext/>
      <w:spacing w:before="260" w:after="260" w:line="416" w:lineRule="auto"/>
      <w:outlineLvl w:val="1"/>
    </w:pPr>
    <w:rPr>
      <w:rFonts w:ascii="Cambria" w:hAnsi="Cambria" w:eastAsia="宋体"/>
      <w:b/>
      <w:bCs/>
      <w:sz w:val="32"/>
      <w:szCs w:val="32"/>
    </w:rPr>
  </w:style>
  <w:style w:type="paragraph" w:styleId="1022" w:customStyle="1">
    <w:name w:val="Default"/>
    <w:qFormat/>
    <w:pPr>
      <w:widowControl w:val="off"/>
    </w:pPr>
    <w:rPr>
      <w:rFonts w:ascii="仿宋" w:eastAsia="仿宋" w:cs="仿宋"/>
      <w:color w:val="000000"/>
      <w:sz w:val="24"/>
      <w:szCs w:val="24"/>
    </w:rPr>
  </w:style>
  <w:style w:type="paragraph" w:styleId="1023" w:customStyle="1">
    <w:name w:val="纯文本1111"/>
    <w:basedOn w:val="818"/>
    <w:next w:val="1024"/>
    <w:unhideWhenUsed/>
    <w:qFormat/>
    <w:rPr>
      <w:rFonts w:ascii="宋体" w:hAnsi="Courier New"/>
    </w:rPr>
  </w:style>
  <w:style w:type="paragraph" w:styleId="1024" w:customStyle="1">
    <w:name w:val="正文缩进1"/>
    <w:basedOn w:val="818"/>
    <w:unhideWhenUsed/>
    <w:qFormat/>
    <w:pPr>
      <w:ind w:firstLine="420"/>
      <w:jc w:val="left"/>
    </w:pPr>
    <w:rPr>
      <w:sz w:val="24"/>
    </w:rPr>
  </w:style>
  <w:style w:type="paragraph" w:styleId="1025" w:customStyle="1">
    <w:name w:val="首行缩进"/>
    <w:basedOn w:val="818"/>
    <w:qFormat/>
    <w:pPr>
      <w:ind w:firstLine="480"/>
      <w:spacing w:line="360" w:lineRule="auto"/>
    </w:pPr>
    <w:rPr>
      <w:rFonts w:hAnsi="宋体" w:eastAsia="宋体" w:cs="宋体"/>
      <w:sz w:val="24"/>
      <w:szCs w:val="24"/>
    </w:rPr>
  </w:style>
  <w:style w:type="paragraph" w:styleId="1026" w:customStyle="1">
    <w:name w:val="Char"/>
    <w:basedOn w:val="818"/>
    <w:qFormat/>
  </w:style>
  <w:style w:type="paragraph" w:styleId="1027" w:customStyle="1">
    <w:name w:val="标题 11"/>
    <w:basedOn w:val="818"/>
    <w:next w:val="818"/>
    <w:qFormat/>
    <w:pPr>
      <w:keepLines/>
      <w:keepNext/>
      <w:spacing w:before="340" w:after="330" w:line="578" w:lineRule="auto"/>
      <w:outlineLvl w:val="0"/>
    </w:pPr>
    <w:rPr>
      <w:b/>
      <w:sz w:val="44"/>
    </w:rPr>
  </w:style>
  <w:style w:type="paragraph" w:styleId="1028" w:customStyle="1">
    <w:name w:val="纯文本1"/>
    <w:basedOn w:val="818"/>
    <w:qFormat/>
    <w:rPr>
      <w:rFonts w:ascii="宋体" w:hAnsi="Courier New"/>
    </w:rPr>
  </w:style>
  <w:style w:type="paragraph" w:styleId="1029" w:customStyle="1">
    <w:name w:val="正文2"/>
    <w:basedOn w:val="818"/>
    <w:qFormat/>
    <w:pPr>
      <w:ind w:firstLine="510"/>
      <w:spacing w:before="156" w:line="360" w:lineRule="auto"/>
    </w:pPr>
    <w:rPr>
      <w:sz w:val="24"/>
    </w:rPr>
  </w:style>
  <w:style w:type="character" w:styleId="1030" w:customStyle="1">
    <w:name w:val="要点1"/>
    <w:qFormat/>
    <w:rPr>
      <w:b/>
      <w:bCs/>
    </w:rPr>
  </w:style>
  <w:style w:type="paragraph" w:styleId="1031" w:customStyle="1">
    <w:name w:val="普通(网站)1"/>
    <w:basedOn w:val="818"/>
    <w:unhideWhenUsed/>
    <w:qFormat/>
    <w:pPr>
      <w:jc w:val="left"/>
      <w:spacing w:before="100" w:beforeAutospacing="1" w:after="100" w:afterAutospacing="1"/>
      <w:widowControl/>
    </w:pPr>
    <w:rPr>
      <w:rFonts w:ascii="宋体" w:hAnsi="宋体" w:cs="宋体"/>
      <w:sz w:val="24"/>
    </w:rPr>
  </w:style>
  <w:style w:type="paragraph" w:styleId="1032" w:customStyle="1">
    <w:name w:val="正文文本缩进 21"/>
    <w:basedOn w:val="818"/>
    <w:unhideWhenUsed/>
    <w:qFormat/>
    <w:pPr>
      <w:ind w:left="420"/>
      <w:spacing w:after="120" w:line="480" w:lineRule="auto"/>
    </w:pPr>
  </w:style>
  <w:style w:type="paragraph" w:styleId="1033" w:customStyle="1">
    <w:name w:val="纯文本11"/>
    <w:basedOn w:val="818"/>
    <w:uiPriority w:val="99"/>
    <w:qFormat/>
    <w:rPr>
      <w:rFonts w:ascii="宋体" w:hAnsi="Courier New"/>
    </w:rPr>
  </w:style>
  <w:style w:type="paragraph" w:styleId="1034" w:customStyle="1">
    <w:name w:val="索引 11"/>
    <w:basedOn w:val="818"/>
    <w:next w:val="818"/>
    <w:unhideWhenUsed/>
    <w:qFormat/>
    <w:pPr>
      <w:jc w:val="center"/>
      <w:spacing w:line="220" w:lineRule="exact"/>
    </w:pPr>
    <w:rPr>
      <w:rFonts w:ascii="仿宋_GB2312" w:eastAsia="仿宋_GB2312"/>
      <w:szCs w:val="21"/>
    </w:rPr>
  </w:style>
  <w:style w:type="paragraph" w:styleId="1035" w:customStyle="1">
    <w:name w:val="正文文本1"/>
    <w:basedOn w:val="818"/>
    <w:unhideWhenUsed/>
    <w:qFormat/>
    <w:rPr>
      <w:rFonts w:ascii="楷体_GB2312"/>
      <w:b/>
      <w:bCs/>
      <w:sz w:val="28"/>
    </w:rPr>
  </w:style>
  <w:style w:type="paragraph" w:styleId="1036" w:customStyle="1">
    <w:name w:val="页眉1"/>
    <w:basedOn w:val="818"/>
    <w:unhideWhenUsed/>
    <w:qFormat/>
    <w:pPr>
      <w:jc w:val="center"/>
      <w:tabs>
        <w:tab w:val="center" w:pos="4153" w:leader="none"/>
        <w:tab w:val="right" w:pos="8306" w:leader="none"/>
      </w:tabs>
      <w:pBdr>
        <w:bottom w:val="single" w:color="000000" w:sz="6" w:space="1"/>
      </w:pBdr>
    </w:pPr>
    <w:rPr>
      <w:sz w:val="18"/>
    </w:rPr>
  </w:style>
  <w:style w:type="paragraph" w:styleId="1037" w:customStyle="1">
    <w:name w:val="页脚1"/>
    <w:basedOn w:val="818"/>
    <w:unhideWhenUsed/>
    <w:qFormat/>
    <w:pPr>
      <w:jc w:val="left"/>
      <w:tabs>
        <w:tab w:val="center" w:pos="4153" w:leader="none"/>
        <w:tab w:val="right" w:pos="8306" w:leader="none"/>
      </w:tabs>
    </w:pPr>
    <w:rPr>
      <w:sz w:val="18"/>
    </w:rPr>
  </w:style>
  <w:style w:type="character" w:styleId="1038" w:customStyle="1">
    <w:name w:val="font81"/>
    <w:qFormat/>
    <w:rPr>
      <w:rFonts w:ascii="Times New Roman" w:hAnsi="Times New Roman" w:cs="Times New Roman"/>
      <w:color w:val="000000"/>
      <w:sz w:val="22"/>
      <w:szCs w:val="22"/>
      <w:u w:val="none"/>
    </w:rPr>
  </w:style>
  <w:style w:type="character" w:styleId="1039" w:customStyle="1">
    <w:name w:val="font11"/>
    <w:qFormat/>
    <w:rPr>
      <w:rFonts w:hint="eastAsia" w:ascii="仿宋" w:hAnsi="仿宋" w:eastAsia="仿宋" w:cs="仿宋"/>
      <w:color w:val="000000"/>
      <w:sz w:val="22"/>
      <w:szCs w:val="22"/>
      <w:u w:val="none"/>
    </w:rPr>
  </w:style>
  <w:style w:type="character" w:styleId="1040" w:customStyle="1">
    <w:name w:val="font101"/>
    <w:qFormat/>
    <w:rPr>
      <w:rFonts w:ascii="Arial" w:hAnsi="Arial" w:cs="Arial"/>
      <w:color w:val="000000"/>
      <w:sz w:val="22"/>
      <w:szCs w:val="22"/>
      <w:u w:val="none"/>
    </w:rPr>
  </w:style>
  <w:style w:type="paragraph" w:styleId="1041" w:customStyle="1">
    <w:name w:val="List Paragraph_f0420307-4c65-4cf4-ac34-e8950b7bacb1"/>
    <w:basedOn w:val="818"/>
    <w:qFormat/>
    <w:pPr>
      <w:ind w:firstLine="420"/>
    </w:pPr>
    <w:rPr>
      <w:rFonts w:eastAsia="宋体"/>
      <w:sz w:val="21"/>
      <w:szCs w:val="21"/>
    </w:rPr>
  </w:style>
  <w:style w:type="character" w:styleId="1042" w:customStyle="1">
    <w:name w:val="font51"/>
    <w:basedOn w:val="828"/>
    <w:qFormat/>
    <w:rPr>
      <w:rFonts w:hint="default" w:ascii="Times New Roman" w:hAnsi="Times New Roman" w:cs="Times New Roman"/>
      <w:color w:val="000000"/>
      <w:sz w:val="21"/>
      <w:szCs w:val="21"/>
      <w:u w:val="none"/>
    </w:rPr>
  </w:style>
  <w:style w:type="character" w:styleId="1043" w:customStyle="1">
    <w:name w:val="font31"/>
    <w:basedOn w:val="828"/>
    <w:qFormat/>
    <w:rPr>
      <w:rFonts w:hint="eastAsia" w:ascii="宋体" w:hAnsi="宋体" w:eastAsia="宋体" w:cs="宋体"/>
      <w:color w:val="000000"/>
      <w:sz w:val="21"/>
      <w:szCs w:val="21"/>
      <w:u w:val="none"/>
    </w:rPr>
  </w:style>
  <w:style w:type="character" w:styleId="1044" w:customStyle="1">
    <w:name w:val="font21"/>
    <w:basedOn w:val="828"/>
    <w:qFormat/>
    <w:rPr>
      <w:rFonts w:hint="default" w:ascii="Times New Roman" w:hAnsi="Times New Roman" w:cs="Times New Roman"/>
      <w:color w:val="000000"/>
      <w:sz w:val="21"/>
      <w:szCs w:val="21"/>
      <w:u w:val="none"/>
    </w:rPr>
  </w:style>
  <w:style w:type="character" w:styleId="1045" w:customStyle="1">
    <w:name w:val="font61"/>
    <w:basedOn w:val="828"/>
    <w:qFormat/>
    <w:rPr>
      <w:rFonts w:hint="eastAsia" w:ascii="宋体" w:hAnsi="宋体" w:eastAsia="宋体" w:cs="宋体"/>
      <w:color w:val="000000"/>
      <w:sz w:val="21"/>
      <w:szCs w:val="21"/>
      <w:u w:val="none"/>
    </w:rPr>
  </w:style>
  <w:style w:type="character" w:styleId="1046" w:customStyle="1">
    <w:name w:val="font41"/>
    <w:basedOn w:val="828"/>
    <w:qFormat/>
    <w:rPr>
      <w:rFonts w:hint="default" w:ascii="Times New Roman" w:hAnsi="Times New Roman" w:cs="Times New Roman"/>
      <w:color w:val="000000"/>
      <w:sz w:val="20"/>
      <w:szCs w:val="20"/>
      <w:u w:val="none"/>
    </w:rPr>
  </w:style>
  <w:style w:type="character" w:styleId="1047" w:customStyle="1">
    <w:name w:val="批注框文本 字符"/>
    <w:basedOn w:val="828"/>
    <w:link w:val="843"/>
    <w:uiPriority w:val="99"/>
    <w:semiHidden/>
    <w:qFormat/>
    <w:rPr>
      <w:rFonts w:eastAsia="楷体_GB2312"/>
      <w:sz w:val="18"/>
      <w:szCs w:val="18"/>
    </w:rPr>
  </w:style>
  <w:style w:type="table" w:styleId="1048" w:customStyle="1">
    <w:name w:val="Table Normal"/>
    <w:semiHidden/>
    <w:unhideWhenUsed/>
    <w:qFormat/>
    <w:tblPr>
      <w:tblCellMar>
        <w:left w:w="0" w:type="dxa"/>
        <w:top w:w="0" w:type="dxa"/>
        <w:right w:w="0" w:type="dxa"/>
        <w:bottom w:w="0" w:type="dxa"/>
      </w:tblCellMar>
    </w:tblPr>
  </w:style>
  <w:style w:type="paragraph" w:styleId="1049" w:customStyle="1">
    <w:name w:val="样式 首行缩进:  2 字符"/>
    <w:basedOn w:val="818"/>
    <w:link w:val="1050"/>
    <w:qFormat/>
    <w:pPr>
      <w:ind w:firstLine="480"/>
      <w:spacing w:line="360" w:lineRule="auto"/>
    </w:pPr>
    <w:rPr>
      <w:rFonts w:eastAsia="宋体"/>
      <w:sz w:val="24"/>
    </w:rPr>
  </w:style>
  <w:style w:type="character" w:styleId="1050" w:customStyle="1">
    <w:name w:val="样式 首行缩进:  2 字符 Char Char"/>
    <w:link w:val="1049"/>
    <w:qFormat/>
    <w:rPr>
      <w:sz w:val="24"/>
    </w:rPr>
  </w:style>
  <w:style w:type="character" w:styleId="1051" w:customStyle="1">
    <w:name w:val="批注文字 字符"/>
    <w:basedOn w:val="828"/>
    <w:link w:val="835"/>
    <w:uiPriority w:val="99"/>
    <w:semiHidden/>
    <w:qFormat/>
    <w:rPr>
      <w:rFonts w:eastAsia="楷体_GB2312"/>
      <w:sz w:val="26"/>
    </w:rPr>
  </w:style>
  <w:style w:type="paragraph" w:styleId="1052" w:customStyle="1">
    <w:name w:val="Normal_17_1"/>
    <w:qFormat/>
    <w:pPr>
      <w:jc w:val="both"/>
      <w:widowControl w:val="off"/>
    </w:pPr>
    <w:rPr>
      <w:rFonts w:ascii="Calibri" w:hAnsi="Calibri"/>
      <w:sz w:val="21"/>
      <w:szCs w:val="22"/>
    </w:rPr>
  </w:style>
  <w:style w:type="paragraph" w:styleId="1053" w:customStyle="1">
    <w:name w:val="Normal_16_1"/>
    <w:qFormat/>
    <w:rPr>
      <w:rFonts w:ascii="宋体" w:hAnsi="宋体"/>
      <w:sz w:val="32"/>
      <w:szCs w:val="24"/>
    </w:rPr>
  </w:style>
  <w:style w:type="paragraph" w:styleId="1054" w:customStyle="1">
    <w:name w:val="正文_9_0_1"/>
    <w:qFormat/>
    <w:pPr>
      <w:jc w:val="both"/>
      <w:widowControl w:val="off"/>
    </w:pPr>
    <w:rPr>
      <w:rFonts w:ascii="Calibri" w:hAnsi="Calibri"/>
      <w:sz w:val="21"/>
      <w:szCs w:val="22"/>
    </w:rPr>
  </w:style>
  <w:style w:type="paragraph" w:styleId="1055" w:customStyle="1">
    <w:name w:val="正文_8_1_1"/>
    <w:qFormat/>
    <w:pPr>
      <w:jc w:val="both"/>
      <w:widowControl w:val="off"/>
    </w:pPr>
    <w:rPr>
      <w:rFonts w:ascii="Calibri" w:hAnsi="Calibri"/>
      <w:sz w:val="21"/>
      <w:szCs w:val="22"/>
    </w:rPr>
  </w:style>
  <w:style w:type="paragraph" w:styleId="1056" w:customStyle="1">
    <w:name w:val="正文_1_0_0_0_0_0"/>
    <w:qFormat/>
    <w:pPr>
      <w:jc w:val="both"/>
      <w:widowControl w:val="off"/>
    </w:pPr>
    <w:rPr>
      <w:sz w:val="21"/>
    </w:rPr>
  </w:style>
  <w:style w:type="paragraph" w:styleId="1057" w:customStyle="1">
    <w:name w:val="列出段落_2"/>
    <w:basedOn w:val="1055"/>
    <w:uiPriority w:val="34"/>
    <w:qFormat/>
    <w:pPr>
      <w:ind w:firstLine="420"/>
    </w:pPr>
  </w:style>
  <w:style w:type="paragraph" w:styleId="1058" w:customStyle="1">
    <w:name w:val="Other|1"/>
    <w:basedOn w:val="818"/>
    <w:qFormat/>
    <w:rPr>
      <w:rFonts w:ascii="宋体" w:hAnsi="宋体" w:eastAsia="宋体" w:cs="宋体"/>
      <w:sz w:val="21"/>
      <w:lang w:val="zh-TW" w:eastAsia="zh-TW" w:bidi="zh-TW"/>
    </w:rPr>
  </w:style>
  <w:style w:type="character" w:styleId="1059" w:customStyle="1">
    <w:name w:val="HTML 预设格式 字符"/>
    <w:basedOn w:val="828"/>
    <w:link w:val="857"/>
    <w:uiPriority w:val="99"/>
    <w:semiHidden/>
    <w:qFormat/>
    <w:rPr>
      <w:rFonts w:ascii="Courier New" w:hAnsi="Courier New" w:eastAsia="楷体_GB2312" w:cs="Courier New"/>
    </w:rPr>
  </w:style>
  <w:style w:type="character" w:styleId="1060" w:customStyle="1">
    <w:name w:val="正文文本 字符"/>
    <w:basedOn w:val="828"/>
    <w:link w:val="831"/>
    <w:uiPriority w:val="99"/>
    <w:rPr>
      <w:rFonts w:ascii="楷体_GB2312" w:hAnsi="Arial"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DADC5554-96EB-49E2-B84B-0514B562F88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28</cp:revision>
  <dcterms:created xsi:type="dcterms:W3CDTF">2026-09-01T03:20:00Z</dcterms:created>
  <dcterms:modified xsi:type="dcterms:W3CDTF">2026-09-18T07:28:18Z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