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46"/>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46"/>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4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泰州市生活垃圾焚烧发电配套项目渗滤液及</w:t>
      </w:r>
      <w:r/>
    </w:p>
    <w:p>
      <w:pPr>
        <w:pStyle w:val="114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lang w:eastAsia="zh-CN"/>
        </w:rPr>
        <w:t xml:space="preserve">废水收集处理、设备设施更换维护项目</w:t>
      </w:r>
      <w:r/>
    </w:p>
    <w:p>
      <w:pPr>
        <w:pStyle w:val="114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：JSZC-321200-HQGC-C2026-0033</w:t>
      </w:r>
      <w:r/>
    </w:p>
    <w:p>
      <w:pPr>
        <w:pStyle w:val="114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泰州市生活垃圾处理中心</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1146"/>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lang w:val="en-US" w:eastAsia="zh-CN"/>
        </w:rPr>
        <w:t xml:space="preserve">2026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9</w:t>
      </w:r>
      <w:r>
        <w:rPr>
          <w:rFonts w:hint="eastAsia" w:ascii="新宋体" w:hAnsi="新宋体" w:eastAsia="新宋体"/>
          <w:b/>
          <w:bCs/>
          <w:color w:val="auto"/>
          <w:sz w:val="32"/>
          <w:szCs w:val="32"/>
          <w:highlight w:val="none"/>
        </w:rPr>
        <w:t xml:space="preserve">月</w:t>
      </w:r>
      <w:r/>
    </w:p>
    <w:p>
      <w:pPr>
        <w:pStyle w:val="1146"/>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6"/>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47"/>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132"/>
        <w:pageBreakBefore w:val="0"/>
        <w:spacing w:line="360" w:lineRule="auto"/>
        <w:rPr>
          <w:rFonts w:hint="eastAsia" w:ascii="宋体" w:hAnsi="宋体" w:eastAsia="宋体"/>
          <w:caps w:val="0"/>
          <w:color w:val="auto"/>
          <w:sz w:val="21"/>
          <w:szCs w:val="21"/>
          <w:highlight w:val="none"/>
        </w:rPr>
      </w:pPr>
      <w:r>
        <w:rPr>
          <w:rStyle w:val="1144"/>
          <w:rFonts w:ascii="宋体" w:hAnsi="宋体"/>
          <w:color w:val="auto"/>
          <w:highlight w:val="none"/>
        </w:rPr>
        <w:fldChar w:fldCharType="begin"/>
      </w:r>
      <w:r>
        <w:rPr>
          <w:rStyle w:val="1144"/>
          <w:rFonts w:ascii="宋体" w:hAnsi="宋体"/>
          <w:color w:val="auto"/>
          <w:highlight w:val="none"/>
        </w:rPr>
        <w:instrText xml:space="preserve"> TOC \o "1-1" \h \z \u </w:instrText>
      </w:r>
      <w:r>
        <w:rPr>
          <w:rStyle w:val="1144"/>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3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113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1</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32"/>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6</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32"/>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31</w:t>
      </w:r>
      <w:r/>
    </w:p>
    <w:p>
      <w:pPr>
        <w:pStyle w:val="1132"/>
        <w:pageBreakBefore w:val="0"/>
        <w:spacing w:line="360" w:lineRule="auto"/>
        <w:rPr>
          <w:rStyle w:val="1144"/>
          <w:rFonts w:hint="eastAsia" w:ascii="宋体" w:hAnsi="宋体" w:eastAsia="宋体"/>
          <w:color w:val="auto"/>
          <w:highlight w:val="none"/>
          <w:lang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7</w:t>
      </w:r>
      <w:r/>
    </w:p>
    <w:p>
      <w:pPr>
        <w:pStyle w:val="1132"/>
        <w:pageBreakBefore w:val="0"/>
        <w:spacing w:line="360" w:lineRule="auto"/>
        <w:rPr>
          <w:rStyle w:val="1144"/>
          <w:rFonts w:hint="eastAsia" w:ascii="宋体" w:hAnsi="宋体"/>
          <w:color w:val="auto"/>
          <w:highlight w:val="none"/>
        </w:rPr>
      </w:pPr>
      <w:r>
        <w:rPr>
          <w:rStyle w:val="1144"/>
          <w:rFonts w:ascii="宋体" w:hAnsi="宋体"/>
          <w:color w:val="auto"/>
          <w:highlight w:val="none"/>
        </w:rPr>
        <w:fldChar w:fldCharType="end"/>
      </w:r>
      <w:r/>
    </w:p>
    <w:p>
      <w:pPr>
        <w:pStyle w:val="1132"/>
        <w:pageBreakBefore w:val="0"/>
        <w:spacing w:line="360" w:lineRule="auto"/>
        <w:rPr>
          <w:rStyle w:val="1144"/>
          <w:rFonts w:hint="eastAsia" w:ascii="宋体" w:hAnsi="宋体"/>
          <w:color w:val="auto"/>
          <w:highlight w:val="none"/>
        </w:rPr>
      </w:pPr>
      <w:r>
        <w:rPr>
          <w:rFonts w:hint="eastAsia" w:ascii="宋体" w:hAnsi="宋体"/>
          <w:color w:val="auto"/>
          <w:highlight w:val="none"/>
        </w:rPr>
      </w:r>
      <w:r/>
    </w:p>
    <w:p>
      <w:pPr>
        <w:pStyle w:val="1132"/>
        <w:pageBreakBefore w:val="0"/>
        <w:spacing w:line="360" w:lineRule="auto"/>
        <w:rPr>
          <w:rStyle w:val="1144"/>
          <w:rFonts w:hint="eastAsia" w:ascii="宋体" w:hAnsi="宋体"/>
          <w:color w:val="auto"/>
          <w:highlight w:val="none"/>
        </w:rPr>
      </w:pPr>
      <w:r>
        <w:rPr>
          <w:rFonts w:hint="eastAsia" w:ascii="宋体" w:hAnsi="宋体"/>
          <w:color w:val="auto"/>
          <w:highlight w:val="none"/>
        </w:rPr>
      </w:r>
      <w:r/>
    </w:p>
    <w:p>
      <w:pPr>
        <w:pStyle w:val="1146"/>
        <w:ind w:firstLine="360"/>
        <w:jc w:val="center"/>
        <w:pageBreakBefore w:val="0"/>
        <w:spacing w:line="360" w:lineRule="auto"/>
        <w:rPr>
          <w:rStyle w:val="1144"/>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16"/>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35393798"/>
      <w:r/>
      <w:bookmarkStart w:id="2" w:name="_Toc35393629"/>
      <w:r/>
      <w:bookmarkStart w:id="3" w:name="_Toc28359012"/>
      <w:r/>
      <w:bookmarkStart w:id="4" w:name="_Toc28359089"/>
      <w:r/>
      <w:bookmarkStart w:id="5" w:name="_Toc513029209"/>
      <w:r/>
      <w:bookmarkStart w:id="6" w:name="_Toc14577347"/>
      <w:r/>
      <w:bookmarkStart w:id="7" w:name="_Toc61149549"/>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泰州市生活垃圾焚烧发电配套项目渗滤液及废水收集处理、设备设施更换维护项目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auto"/>
          <w:szCs w:val="21"/>
          <w:highlight w:val="none"/>
          <w:u w:val="none"/>
        </w:rPr>
        <w:t xml:space="preserve">并于</w:t>
      </w:r>
      <w:r>
        <w:rPr>
          <w:rFonts w:hint="eastAsia" w:ascii="宋体" w:hAnsi="宋体" w:cs="仿宋_GB2312"/>
          <w:color w:val="auto"/>
          <w:szCs w:val="21"/>
          <w:highlight w:val="none"/>
          <w:u w:val="none"/>
          <w:lang w:eastAsia="zh-CN"/>
        </w:rPr>
        <w:t xml:space="preserve">2026年</w:t>
      </w:r>
      <w:r>
        <w:rPr>
          <w:rFonts w:hint="eastAsia" w:ascii="宋体" w:hAnsi="宋体" w:cs="仿宋_GB2312"/>
          <w:color w:val="auto"/>
          <w:szCs w:val="21"/>
          <w:highlight w:val="none"/>
          <w:u w:val="none"/>
          <w:lang w:val="en-US" w:eastAsia="zh-CN"/>
        </w:rPr>
        <w:t xml:space="preserve">9</w:t>
      </w:r>
      <w:r>
        <w:rPr>
          <w:rFonts w:hint="eastAsia" w:ascii="宋体" w:hAnsi="宋体" w:cs="仿宋_GB2312"/>
          <w:color w:val="auto"/>
          <w:szCs w:val="21"/>
          <w:highlight w:val="none"/>
          <w:u w:val="none"/>
        </w:rPr>
        <w:t xml:space="preserve">月</w:t>
      </w:r>
      <w:r>
        <w:rPr>
          <w:rFonts w:hint="eastAsia" w:ascii="宋体" w:hAnsi="宋体" w:cs="仿宋_GB2312"/>
          <w:color w:val="auto"/>
          <w:szCs w:val="21"/>
          <w:highlight w:val="none"/>
          <w:u w:val="none"/>
          <w:lang w:val="en-US" w:eastAsia="zh-CN"/>
        </w:rPr>
        <w:t xml:space="preserve">28</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35393630"/>
      <w:r/>
      <w:bookmarkStart w:id="9" w:name="_Toc35393799"/>
      <w:r/>
      <w:bookmarkStart w:id="10" w:name="_Toc28359013"/>
      <w:r/>
      <w:bookmarkStart w:id="11" w:name="_Toc28359090"/>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JSZC-321200-HQGC-C2026-0033</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泰州市生活垃圾焚烧发电配套项目渗滤液及废水收集处理、设备设施更换维护项目</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default" w:ascii="宋体" w:hAnsi="宋体" w:cs="宋体"/>
          <w:color w:val="auto"/>
          <w:szCs w:val="21"/>
          <w:highlight w:val="none"/>
          <w:lang w:val="en-US"/>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181.98万元人民币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color w:val="auto"/>
          <w:highlight w:val="none"/>
          <w:lang w:val="en-US" w:eastAsia="zh-CN"/>
        </w:rPr>
        <w:t xml:space="preserve">60.66</w:t>
      </w:r>
      <w:r>
        <w:rPr>
          <w:rFonts w:hint="eastAsia" w:ascii="宋体" w:hAnsi="宋体" w:cs="宋体"/>
          <w:color w:val="auto"/>
          <w:highlight w:val="none"/>
          <w:lang w:eastAsia="zh-CN"/>
        </w:rPr>
        <w:t xml:space="preserve">万</w:t>
      </w:r>
      <w:r>
        <w:rPr>
          <w:rFonts w:hint="eastAsia" w:ascii="宋体" w:hAnsi="宋体" w:eastAsia="宋体" w:cs="宋体"/>
          <w:color w:val="auto"/>
          <w:highlight w:val="none"/>
          <w:lang w:eastAsia="zh-CN"/>
        </w:rPr>
        <w:t xml:space="preserve">元</w:t>
      </w:r>
      <w:r>
        <w:rPr>
          <w:rFonts w:hint="eastAsia" w:ascii="宋体" w:hAnsi="宋体" w:cs="宋体"/>
          <w:color w:val="auto"/>
          <w:highlight w:val="none"/>
          <w:lang w:val="en-US" w:eastAsia="zh-CN"/>
        </w:rPr>
        <w:t xml:space="preserve">/年</w:t>
      </w:r>
      <w:r>
        <w:rPr>
          <w:rFonts w:hint="eastAsia" w:ascii="宋体" w:hAnsi="宋体" w:eastAsia="宋体" w:cs="宋体"/>
          <w:color w:val="auto"/>
          <w:highlight w:val="none"/>
        </w:rPr>
        <w:t xml:space="preserve">人民币（超过限价报价的，作为无效响应处理）</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cs="宋体" w:asciiTheme="majorEastAsia" w:hAnsiTheme="majorEastAsia" w:eastAsiaTheme="majorEastAsia"/>
          <w:bCs/>
          <w:color w:val="auto"/>
          <w:szCs w:val="21"/>
          <w:highlight w:val="none"/>
          <w:lang w:val="en-US" w:eastAsia="zh-CN"/>
        </w:rPr>
        <w:t xml:space="preserve">泰州市生活垃圾焚烧发电配套项目（以下简称“配套项目”）渗滤液及废水收集处理、设备设施更换维护项目是根据配套项目环评批复要求：“废水应根据水质特性进行分类处理，飞灰填埋场渗滤液经厂内自行处理达到《生活垃圾填埋场污染控制标准》（GB16889-2008）表2要求，其他废水经厂内预处理达到接管标准，二者部分回用，其余与生活污水一并接入泰州第四污水处理厂</w:t>
      </w:r>
      <w:r>
        <w:rPr>
          <w:rFonts w:hint="eastAsia" w:cs="宋体" w:asciiTheme="majorEastAsia" w:hAnsiTheme="majorEastAsia" w:eastAsiaTheme="majorEastAsia"/>
          <w:bCs/>
          <w:color w:val="auto"/>
          <w:szCs w:val="21"/>
          <w:highlight w:val="none"/>
          <w:lang w:val="en-US" w:eastAsia="zh-CN"/>
        </w:rPr>
        <w:t xml:space="preserve">集中处理。”建设运行的。2020年底配套项目飞灰填埋场封场后，该项目按照封场环评批复要求：渗滤液经填埋场污水处理站采用“氧化还原沉淀+砂滤+反渗透”工艺预处理达到《生活垃圾填埋场污染控制标准》（GB16889-2008）表2标准后，接入泰州市城北污水处理厂集中处理。”目前，该项目设备设施已正常运行10年，部分设施锈蚀严重需要维护，过滤、膜处理系统等急需更换，且委托运营合同2026年9月底到期，为了确保泰州市生活垃圾焚烧发电配套项目渗滤液及废水收集处理设施安全、环保、稳定运营，现通过本次采购选定一家服务单位。</w:t>
      </w:r>
      <w:r>
        <w:rPr>
          <w:rFonts w:hint="eastAsia" w:ascii="宋体" w:hAnsi="宋体" w:eastAsia="宋体" w:cs="宋体"/>
          <w:color w:val="auto"/>
          <w:highlight w:val="none"/>
          <w:lang w:eastAsia="zh-CN"/>
        </w:rPr>
        <w:t xml:space="preserve">具体内容见磋商文件第四章 项目需求。</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服务期限为三年（2026年10月1日—2029年9月30日）。</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91"/>
      <w:r/>
      <w:bookmarkStart w:id="13" w:name="_Toc35393631"/>
      <w:r/>
      <w:bookmarkStart w:id="14" w:name="_Toc28359014"/>
      <w:r/>
      <w:bookmarkStart w:id="15" w:name="_Toc35393800"/>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pageBreakBefore w:val="0"/>
        <w:spacing w:line="360" w:lineRule="auto"/>
        <w:rPr>
          <w:rFonts w:hint="eastAsia" w:cs="宋体" w:asciiTheme="majorEastAsia" w:hAnsiTheme="majorEastAsia" w:eastAsiaTheme="majorEastAsia"/>
          <w:bCs/>
          <w:color w:val="auto"/>
          <w:szCs w:val="21"/>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ascii="宋体" w:hAnsi="宋体" w:cs="宋体"/>
          <w:color w:val="auto"/>
          <w:highlight w:val="none"/>
        </w:rPr>
        <w:t xml:space="preserve">本项目</w:t>
      </w:r>
      <w:r>
        <w:rPr>
          <w:rFonts w:ascii="宋体" w:hAnsi="宋体" w:cs="宋体"/>
          <w:color w:val="auto"/>
          <w:highlight w:val="none"/>
        </w:rPr>
        <w:t xml:space="preserve">不专门面向中小微企业、监狱企业、残疾人福利性单位。执行《政府采购促进中小企业发展管理办法》《江苏省财政厅关于进一步加大政府采购支持中小企业力度的通知》</w:t>
      </w:r>
      <w:r>
        <w:rPr>
          <w:rFonts w:ascii="宋体" w:hAnsi="宋体" w:cs="宋体"/>
          <w:color w:val="auto"/>
          <w:highlight w:val="none"/>
        </w:rPr>
        <w:t xml:space="preserve">。中小微企业划分标准参照工信部联企业</w:t>
      </w:r>
      <w:r>
        <w:rPr>
          <w:rFonts w:ascii="宋体" w:hAnsi="宋体" w:cs="宋体"/>
          <w:color w:val="auto"/>
          <w:highlight w:val="none"/>
          <w:lang w:eastAsia="zh-CN"/>
        </w:rPr>
        <w:t xml:space="preserve">〔2011〕3</w:t>
      </w:r>
      <w:r>
        <w:rPr>
          <w:rFonts w:hint="eastAsia" w:cs="宋体" w:asciiTheme="majorEastAsia" w:hAnsiTheme="majorEastAsia" w:eastAsiaTheme="majorEastAsia"/>
          <w:bCs/>
          <w:color w:val="auto"/>
          <w:szCs w:val="21"/>
          <w:highlight w:val="none"/>
          <w:lang w:eastAsia="zh-CN"/>
        </w:rPr>
        <w:t xml:space="preserve">00号</w:t>
      </w:r>
      <w:r>
        <w:rPr>
          <w:rFonts w:hint="eastAsia" w:cs="宋体" w:asciiTheme="majorEastAsia" w:hAnsiTheme="majorEastAsia" w:eastAsiaTheme="majorEastAsia"/>
          <w:bCs/>
          <w:color w:val="auto"/>
          <w:szCs w:val="21"/>
          <w:highlight w:val="none"/>
        </w:rPr>
        <w:t xml:space="preserve">文规定，本项目采购标的所属行业为“</w:t>
      </w:r>
      <w:r>
        <w:rPr>
          <w:rFonts w:hint="eastAsia" w:cs="宋体" w:asciiTheme="majorEastAsia" w:hAnsiTheme="majorEastAsia" w:eastAsiaTheme="majorEastAsia"/>
          <w:b/>
          <w:bCs w:val="0"/>
          <w:color w:val="auto"/>
          <w:szCs w:val="21"/>
          <w:highlight w:val="none"/>
        </w:rPr>
        <w:t xml:space="preserve">其他未列明行业</w:t>
      </w:r>
      <w:r>
        <w:rPr>
          <w:rFonts w:hint="eastAsia" w:cs="宋体" w:asciiTheme="majorEastAsia" w:hAnsiTheme="majorEastAsia" w:eastAsiaTheme="majorEastAsia"/>
          <w:bCs/>
          <w:color w:val="auto"/>
          <w:szCs w:val="21"/>
          <w:highlight w:val="none"/>
        </w:rPr>
        <w:t xml:space="preserve">”。</w:t>
      </w:r>
      <w:r/>
    </w:p>
    <w:p>
      <w:pPr>
        <w:ind w:firstLine="42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eastAsiaTheme="majorEastAsia"/>
          <w:b/>
          <w:szCs w:val="21"/>
          <w:highlight w:val="none"/>
          <w:lang w:val="en-US" w:eastAsia="zh-CN"/>
        </w:rPr>
        <w:t xml:space="preserve">无</w:t>
      </w:r>
      <w:r>
        <w:rPr>
          <w:rFonts w:hint="eastAsia" w:ascii="宋体" w:hAnsi="宋体" w:cs="宋体"/>
          <w:b/>
          <w:bCs/>
          <w:sz w:val="21"/>
          <w:szCs w:val="21"/>
          <w:highlight w:val="none"/>
          <w:lang w:val="en-US" w:eastAsia="zh-CN" w:bidi="ar-SA"/>
        </w:rPr>
        <w:t xml:space="preserve">。</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28359015"/>
      <w:r/>
      <w:bookmarkStart w:id="17" w:name="_Toc28359092"/>
      <w:r/>
      <w:bookmarkStart w:id="18" w:name="_Toc35393632"/>
      <w:r/>
      <w:bookmarkStart w:id="19" w:name="_Toc35393801"/>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3.1供应商如确定参加</w:t>
      </w:r>
      <w:r>
        <w:rPr>
          <w:rFonts w:hint="eastAsia" w:cs="宋体" w:asciiTheme="majorEastAsia" w:hAnsiTheme="majorEastAsia" w:eastAsiaTheme="majorEastAsia"/>
          <w:bCs/>
          <w:color w:val="auto"/>
          <w:szCs w:val="21"/>
          <w:highlight w:val="none"/>
          <w:lang w:eastAsia="zh-CN"/>
        </w:rPr>
        <w:t xml:space="preserve">竞争性磋商活动</w:t>
      </w:r>
      <w:r>
        <w:rPr>
          <w:rFonts w:hint="eastAsia" w:cs="宋体" w:asciiTheme="majorEastAsia" w:hAnsiTheme="majorEastAsia" w:eastAsiaTheme="majorEastAsia"/>
          <w:bCs/>
          <w:color w:val="auto"/>
          <w:szCs w:val="21"/>
          <w:highlight w:val="none"/>
        </w:rPr>
        <w:t xml:space="preserve">，可自行下载采购文件及有关资料，按照采购文件规定进行注册、领取CA和办理电子签章请至泰州市高港区泰州大道388号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中国医药城会展</w:t>
      </w:r>
      <w:r>
        <w:rPr>
          <w:rFonts w:hint="eastAsia" w:cs="宋体" w:asciiTheme="majorEastAsia" w:hAnsiTheme="majorEastAsia" w:eastAsiaTheme="majorEastAsia"/>
          <w:bCs/>
          <w:color w:val="auto"/>
          <w:szCs w:val="21"/>
          <w:highlight w:val="none"/>
          <w:lang w:eastAsia="zh-CN"/>
        </w:rPr>
        <w:t xml:space="preserve">政务服务中心</w:t>
      </w:r>
      <w:r>
        <w:rPr>
          <w:rFonts w:hint="eastAsia" w:cs="宋体" w:asciiTheme="majorEastAsia" w:hAnsiTheme="majorEastAsia" w:eastAsiaTheme="majorEastAsia"/>
          <w:bCs/>
          <w:color w:val="auto"/>
          <w:szCs w:val="21"/>
          <w:highlight w:val="none"/>
        </w:rPr>
        <w:t xml:space="preserve">W3馆西南角</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公共资源交易大厅6号窗口办理，电话：0523-81568158，17327800634</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根据《“苏采云”系统供应商操作手册http://www.ccgp-jiangsu.gov.cn/jiangsu/zlxz/ee/ee3a4bc5a3454aa2b0d9312230633ce9.html》规定，在“苏采云”（http://jszfcg.jsczt.cn/jszc/login）中按要求制作、上传电子响应文件（技术支持电话：0523-8763396</w:t>
      </w:r>
      <w:r>
        <w:rPr>
          <w:rFonts w:hint="eastAsia" w:cs="宋体" w:asciiTheme="majorEastAsia" w:hAnsiTheme="majorEastAsia" w:eastAsiaTheme="majorEastAsia"/>
          <w:bCs/>
          <w:color w:val="auto"/>
          <w:szCs w:val="21"/>
          <w:highlight w:val="none"/>
          <w:lang w:eastAsia="zh-CN"/>
        </w:rPr>
        <w:t xml:space="preserve">5、</w:t>
      </w:r>
      <w:r>
        <w:rPr>
          <w:rFonts w:hint="eastAsia" w:cs="宋体" w:asciiTheme="majorEastAsia" w:hAnsiTheme="majorEastAsia" w:eastAsiaTheme="majorEastAsia"/>
          <w:bCs/>
          <w:color w:val="auto"/>
          <w:szCs w:val="21"/>
          <w:highlight w:val="none"/>
        </w:rPr>
        <w:t xml:space="preserve">0523-86897512；客服QQ：70933924</w:t>
      </w:r>
      <w:r>
        <w:rPr>
          <w:rFonts w:hint="eastAsia" w:cs="宋体" w:asciiTheme="majorEastAsia" w:hAnsiTheme="majorEastAsia" w:eastAsiaTheme="majorEastAsia"/>
          <w:bCs/>
          <w:color w:val="auto"/>
          <w:szCs w:val="21"/>
          <w:highlight w:val="none"/>
          <w:lang w:eastAsia="zh-CN"/>
        </w:rPr>
        <w:t xml:space="preserve">4、</w:t>
      </w:r>
      <w:r>
        <w:rPr>
          <w:rFonts w:hint="eastAsia" w:cs="宋体" w:asciiTheme="majorEastAsia" w:hAnsiTheme="majorEastAsia" w:eastAsiaTheme="majorEastAsia"/>
          <w:bCs/>
          <w:color w:val="auto"/>
          <w:szCs w:val="21"/>
          <w:highlight w:val="none"/>
        </w:rPr>
        <w:t xml:space="preserve">1195486789）。有关本次</w:t>
      </w:r>
      <w:r>
        <w:rPr>
          <w:rFonts w:hint="eastAsia" w:cs="宋体" w:asciiTheme="majorEastAsia" w:hAnsiTheme="majorEastAsia" w:eastAsiaTheme="majorEastAsia"/>
          <w:bCs/>
          <w:color w:val="auto"/>
          <w:szCs w:val="21"/>
          <w:highlight w:val="none"/>
          <w:lang w:val="en-US" w:eastAsia="zh-CN"/>
        </w:rPr>
        <w:t xml:space="preserve">采购</w:t>
      </w:r>
      <w:r>
        <w:rPr>
          <w:rFonts w:hint="eastAsia" w:cs="宋体" w:asciiTheme="majorEastAsia" w:hAnsiTheme="majorEastAsia" w:eastAsiaTheme="majorEastAsia"/>
          <w:bCs/>
          <w:color w:val="auto"/>
          <w:szCs w:val="21"/>
          <w:highlight w:val="none"/>
        </w:rPr>
        <w:t xml:space="preserve">的事项若存在变动或修改，敬请及时关注“江苏政府采购网”发布的更正公告。</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lang w:val="en-US" w:eastAsia="zh-CN"/>
        </w:rPr>
        <w:t xml:space="preserve">3.2</w:t>
      </w:r>
      <w:r>
        <w:rPr>
          <w:rFonts w:hint="eastAsia" w:cs="宋体" w:asciiTheme="majorEastAsia" w:hAnsiTheme="majorEastAsia" w:eastAsiaTheme="majorEastAsia"/>
          <w:bCs/>
          <w:color w:val="auto"/>
          <w:szCs w:val="21"/>
          <w:highlight w:val="none"/>
        </w:rPr>
        <w:t xml:space="preserve">供应商插入CA证书登录“苏采云”系统后选择具体项目，点击“我要参与”并签章提交《投标供应商确认函》，提交《投标供应商确认函》日期视同为依法获取招标文件日期。</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3</w:t>
      </w:r>
      <w:r>
        <w:rPr>
          <w:rFonts w:hint="eastAsia" w:cs="宋体" w:asciiTheme="majorEastAsia" w:hAnsiTheme="majorEastAsia" w:eastAsiaTheme="majorEastAsia"/>
          <w:bCs/>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4</w:t>
      </w:r>
      <w:r>
        <w:rPr>
          <w:rFonts w:hint="eastAsia" w:cs="宋体" w:asciiTheme="majorEastAsia" w:hAnsiTheme="majorEastAsia" w:eastAsiaTheme="majorEastAsia"/>
          <w:bCs/>
          <w:color w:val="auto"/>
          <w:szCs w:val="21"/>
          <w:highlight w:val="none"/>
        </w:rPr>
        <w:t xml:space="preserve">开评标全过程中，磋商供应商一端参与交互的人员</w:t>
      </w:r>
      <w:r>
        <w:rPr>
          <w:rFonts w:hint="eastAsia" w:cs="宋体" w:asciiTheme="majorEastAsia" w:hAnsiTheme="majorEastAsia" w:eastAsiaTheme="majorEastAsia"/>
          <w:bCs/>
          <w:color w:val="auto"/>
          <w:szCs w:val="21"/>
          <w:highlight w:val="none"/>
          <w:lang w:eastAsia="zh-CN"/>
        </w:rPr>
        <w:t xml:space="preserve">均将</w:t>
      </w:r>
      <w:r>
        <w:rPr>
          <w:rFonts w:hint="eastAsia" w:cs="宋体" w:asciiTheme="majorEastAsia" w:hAnsiTheme="majorEastAsia" w:eastAsiaTheme="majorEastAsia"/>
          <w:bCs/>
          <w:color w:val="auto"/>
          <w:szCs w:val="21"/>
          <w:highlight w:val="none"/>
        </w:rPr>
        <w:t xml:space="preserve">被</w:t>
      </w:r>
      <w:r>
        <w:rPr>
          <w:rFonts w:hint="eastAsia" w:cs="宋体" w:asciiTheme="majorEastAsia" w:hAnsiTheme="majorEastAsia" w:eastAsiaTheme="majorEastAsia"/>
          <w:bCs/>
          <w:color w:val="auto"/>
          <w:szCs w:val="21"/>
          <w:highlight w:val="none"/>
          <w:lang w:eastAsia="zh-CN"/>
        </w:rPr>
        <w:t xml:space="preserve">视为</w:t>
      </w:r>
      <w:r>
        <w:rPr>
          <w:rFonts w:hint="eastAsia" w:cs="宋体" w:asciiTheme="majorEastAsia" w:hAnsiTheme="majorEastAsia" w:eastAsiaTheme="majorEastAsia"/>
          <w:bCs/>
          <w:color w:val="auto"/>
          <w:szCs w:val="21"/>
          <w:highlight w:val="none"/>
        </w:rPr>
        <w:t xml:space="preserve">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28359016"/>
      <w:r/>
      <w:bookmarkStart w:id="21" w:name="_Toc35393802"/>
      <w:r/>
      <w:bookmarkStart w:id="22" w:name="_Toc35393633"/>
      <w:r/>
      <w:bookmarkStart w:id="23" w:name="_Toc28359093"/>
      <w:r>
        <w:rPr>
          <w:rFonts w:hint="eastAsia" w:ascii="宋体" w:hAnsi="宋体" w:cs="宋体"/>
          <w:color w:val="auto"/>
          <w:szCs w:val="21"/>
          <w:highlight w:val="none"/>
        </w:rPr>
        <w:t xml:space="preserve">1.响应文件提交截止时间：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分（北京时间）</w:t>
      </w:r>
      <w:r>
        <w:rPr>
          <w:rFonts w:hint="eastAsia" w:ascii="宋体" w:hAnsi="宋体" w:cs="宋体"/>
          <w:color w:val="auto"/>
          <w:szCs w:val="21"/>
          <w:highlight w:val="none"/>
          <w:lang w:eastAsia="zh-CN"/>
        </w:rPr>
        <w:t xml:space="preserve">，逾时</w:t>
      </w:r>
      <w:r>
        <w:rPr>
          <w:rFonts w:hint="eastAsia" w:ascii="宋体" w:hAnsi="宋体" w:cs="宋体"/>
          <w:color w:val="auto"/>
          <w:szCs w:val="21"/>
          <w:highlight w:val="none"/>
        </w:rPr>
        <w:t xml:space="preserve">，“苏采云”系统将拒绝</w:t>
      </w:r>
      <w:r>
        <w:rPr>
          <w:rFonts w:hint="eastAsia" w:ascii="宋体" w:hAnsi="宋体" w:cs="宋体"/>
          <w:color w:val="auto"/>
          <w:szCs w:val="21"/>
          <w:highlight w:val="none"/>
          <w:lang w:eastAsia="zh-CN"/>
        </w:rPr>
        <w:t xml:space="preserve">接收</w:t>
      </w:r>
      <w:r>
        <w:rPr>
          <w:rFonts w:hint="eastAsia" w:ascii="宋体" w:hAnsi="宋体" w:cs="宋体"/>
          <w:color w:val="auto"/>
          <w:szCs w:val="21"/>
          <w:highlight w:val="none"/>
        </w:rPr>
        <w:t xml:space="preserve">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35393803"/>
      <w:r/>
      <w:bookmarkStart w:id="25" w:name="_Toc28359094"/>
      <w:r/>
      <w:bookmarkStart w:id="26" w:name="_Toc35393634"/>
      <w:r/>
      <w:bookmarkStart w:id="27" w:name="_Toc28359017"/>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在开标室按规定时间自行实施远程解密，</w:t>
      </w:r>
      <w:r>
        <w:rPr>
          <w:rFonts w:hint="eastAsia" w:ascii="宋体" w:hAnsi="宋体" w:cs="宋体"/>
          <w:color w:val="auto"/>
          <w:szCs w:val="21"/>
          <w:highlight w:val="none"/>
          <w:lang w:eastAsia="zh-CN"/>
        </w:rPr>
        <w:t xml:space="preserve">供应商</w:t>
      </w:r>
      <w:r>
        <w:rPr>
          <w:rFonts w:hint="eastAsia" w:ascii="宋体" w:hAnsi="宋体" w:cs="宋体"/>
          <w:b/>
          <w:bCs/>
          <w:color w:val="auto"/>
          <w:szCs w:val="21"/>
          <w:highlight w:val="none"/>
        </w:rPr>
        <w:t xml:space="preserve">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w:t>
      </w:r>
      <w:r>
        <w:rPr>
          <w:rFonts w:hint="eastAsia" w:ascii="宋体" w:hAnsi="宋体" w:cs="宋体"/>
          <w:color w:val="auto"/>
          <w:szCs w:val="21"/>
          <w:highlight w:val="none"/>
          <w:lang w:eastAsia="zh-CN"/>
        </w:rPr>
        <w:t xml:space="preserve">所有</w:t>
      </w:r>
      <w:r>
        <w:rPr>
          <w:rFonts w:hint="eastAsia" w:ascii="宋体" w:hAnsi="宋体" w:cs="宋体"/>
          <w:color w:val="auto"/>
          <w:szCs w:val="21"/>
          <w:highlight w:val="none"/>
        </w:rPr>
        <w:t xml:space="preserve">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804"/>
      <w:r/>
      <w:bookmarkStart w:id="29" w:name="_Toc35393635"/>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28359095"/>
      <w:r/>
      <w:bookmarkStart w:id="31" w:name="_Toc35393805"/>
      <w:r/>
      <w:bookmarkStart w:id="32" w:name="_Toc35393636"/>
      <w:r/>
      <w:bookmarkStart w:id="33" w:name="_Toc28359018"/>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val="en-US" w:eastAsia="zh-CN"/>
        </w:rPr>
      </w:pPr>
      <w:r>
        <w:rPr>
          <w:rFonts w:hint="eastAsia" w:ascii="宋体" w:hAnsi="宋体" w:cs="宋体"/>
          <w:szCs w:val="21"/>
          <w:highlight w:val="none"/>
        </w:rPr>
        <w:t xml:space="preserve">1.项目磋商活动模式：不见面远程磋商模式，供应商在各自地点通过不见面交易系统参加开标会。</w:t>
      </w:r>
      <w:r>
        <w:rPr>
          <w:rFonts w:hint="eastAsia" w:cs="宋体" w:asciiTheme="majorEastAsia" w:hAnsiTheme="majorEastAsia" w:eastAsiaTheme="majorEastAsia"/>
          <w:bCs/>
          <w:color w:val="auto"/>
          <w:szCs w:val="21"/>
          <w:highlight w:val="none"/>
        </w:rPr>
        <w:t xml:space="preserve">技术支持电话：0523-8763396</w:t>
      </w:r>
      <w:r>
        <w:rPr>
          <w:rFonts w:hint="eastAsia" w:cs="宋体" w:asciiTheme="majorEastAsia" w:hAnsiTheme="majorEastAsia" w:eastAsiaTheme="majorEastAsia"/>
          <w:bCs/>
          <w:color w:val="auto"/>
          <w:szCs w:val="21"/>
          <w:highlight w:val="none"/>
          <w:lang w:eastAsia="zh-CN"/>
        </w:rPr>
        <w:t xml:space="preserve">5、</w:t>
      </w:r>
      <w:r>
        <w:rPr>
          <w:rFonts w:hint="eastAsia" w:cs="宋体" w:asciiTheme="majorEastAsia" w:hAnsiTheme="majorEastAsia" w:eastAsiaTheme="majorEastAsia"/>
          <w:bCs/>
          <w:color w:val="auto"/>
          <w:szCs w:val="21"/>
          <w:highlight w:val="none"/>
        </w:rPr>
        <w:t xml:space="preserve">0523-86897512</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客服</w:t>
      </w:r>
      <w:r>
        <w:rPr>
          <w:rFonts w:hint="eastAsia" w:cs="宋体" w:asciiTheme="majorEastAsia" w:hAnsiTheme="majorEastAsia" w:eastAsiaTheme="majorEastAsia"/>
          <w:bCs/>
          <w:color w:val="auto"/>
          <w:szCs w:val="21"/>
          <w:highlight w:val="none"/>
          <w:lang w:eastAsia="zh-CN"/>
        </w:rPr>
        <w:t xml:space="preserve">QQ：709339244、1195486789。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w:t>
      </w:r>
      <w:r>
        <w:rPr>
          <w:rFonts w:hint="eastAsia" w:ascii="宋体" w:hAnsi="宋体" w:cs="宋体"/>
          <w:b/>
          <w:bCs/>
          <w:szCs w:val="21"/>
          <w:highlight w:val="none"/>
          <w:lang w:eastAsia="zh-CN"/>
        </w:rPr>
        <w:t xml:space="preserve">《政府采购竞争性磋商采购方式管理暂行办法》</w:t>
      </w:r>
      <w:r>
        <w:rPr>
          <w:rFonts w:hint="eastAsia" w:ascii="宋体" w:hAnsi="宋体" w:cs="宋体"/>
          <w:b/>
          <w:bCs/>
          <w:szCs w:val="21"/>
          <w:highlight w:val="none"/>
        </w:rPr>
        <w:t xml:space="preserve">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b/>
          <w:bCs/>
          <w:szCs w:val="21"/>
          <w:highlight w:val="none"/>
        </w:rPr>
        <w:t xml:space="preserve">5.</w:t>
      </w:r>
      <w:r>
        <w:rPr>
          <w:rFonts w:hint="eastAsia" w:ascii="宋体" w:hAnsi="宋体" w:eastAsia="宋体" w:cs="宋体"/>
          <w:b/>
          <w:bCs w:val="0"/>
          <w:color w:val="auto"/>
          <w:sz w:val="21"/>
          <w:szCs w:val="21"/>
          <w:highlight w:val="none"/>
          <w:lang w:val="en-US" w:eastAsia="zh-CN" w:bidi="ar"/>
        </w:rPr>
        <w:t xml:space="preserve">本项目为固定单价合同，</w:t>
      </w:r>
      <w:r>
        <w:rPr>
          <w:rFonts w:hint="eastAsia" w:ascii="宋体" w:hAnsi="宋体" w:cs="宋体"/>
          <w:b/>
          <w:bCs w:val="0"/>
          <w:color w:val="auto"/>
          <w:sz w:val="21"/>
          <w:szCs w:val="21"/>
          <w:highlight w:val="none"/>
          <w:lang w:val="en-US" w:eastAsia="zh-CN" w:bidi="ar"/>
        </w:rPr>
        <w:t xml:space="preserve">报价</w:t>
      </w:r>
      <w:r>
        <w:rPr>
          <w:rFonts w:hint="eastAsia" w:ascii="宋体" w:hAnsi="宋体" w:cs="宋体"/>
          <w:b/>
          <w:bCs w:val="0"/>
          <w:szCs w:val="21"/>
          <w:highlight w:val="none"/>
          <w:lang w:val="en-US" w:eastAsia="zh-CN"/>
        </w:rPr>
        <w:t xml:space="preserve">应包含</w:t>
      </w:r>
      <w:r>
        <w:rPr>
          <w:rFonts w:hint="eastAsia" w:ascii="宋体" w:hAnsi="宋体" w:cs="宋体"/>
          <w:szCs w:val="21"/>
          <w:highlight w:val="none"/>
          <w:lang w:val="zh-CN"/>
        </w:rPr>
        <w:t xml:space="preserve">在整个运营期内供应商应自行承担的费用和风险，包括实施该项目所必须的修理、购买及保存本项目必需的替换设备或零件、保存适当库存量的零件与设备、清除和处理维修所产生的废料、水、电、药品费、检修和更换设备配件</w:t>
      </w:r>
      <w:r>
        <w:rPr>
          <w:rFonts w:hint="eastAsia" w:ascii="宋体" w:hAnsi="宋体" w:cs="宋体"/>
          <w:szCs w:val="21"/>
          <w:highlight w:val="none"/>
          <w:lang w:val="en-US" w:eastAsia="zh-CN"/>
        </w:rPr>
        <w:t xml:space="preserve">以及</w:t>
      </w:r>
      <w:r>
        <w:rPr>
          <w:rFonts w:hint="eastAsia" w:ascii="宋体" w:hAnsi="宋体" w:cs="宋体"/>
          <w:szCs w:val="21"/>
          <w:highlight w:val="none"/>
          <w:lang w:val="zh-CN"/>
        </w:rPr>
        <w:t xml:space="preserve">人工费等。</w:t>
      </w:r>
      <w:r>
        <w:rPr>
          <w:rFonts w:hint="eastAsia" w:ascii="宋体" w:hAnsi="宋体" w:eastAsia="宋体" w:cs="宋体"/>
          <w:b/>
          <w:bCs w:val="0"/>
          <w:color w:val="auto"/>
          <w:sz w:val="21"/>
          <w:szCs w:val="21"/>
          <w:highlight w:val="none"/>
          <w:lang w:val="en-US" w:eastAsia="zh-CN" w:bidi="ar"/>
        </w:rPr>
        <w:t xml:space="preserve">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1.采购单位：泰州市生活垃圾处理中心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地址：泰州市农业开发区红旗良种场三工区东</w:t>
      </w:r>
      <w:r>
        <w:rPr>
          <w:rFonts w:hint="eastAsia"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联系人：李先生    联系电话：0523-86296808</w:t>
      </w:r>
      <w:r/>
    </w:p>
    <w:p>
      <w:pPr>
        <w:ind w:firstLine="420"/>
        <w:spacing w:line="360" w:lineRule="auto"/>
        <w:rPr>
          <w:rFonts w:ascii="宋体" w:hAnsi="宋体"/>
          <w:szCs w:val="21"/>
          <w:highlight w:val="none"/>
        </w:rPr>
      </w:pPr>
      <w:r>
        <w:rPr>
          <w:rFonts w:hint="eastAsia" w:ascii="宋体" w:hAnsi="宋体"/>
          <w:szCs w:val="21"/>
          <w:highlight w:val="none"/>
        </w:rPr>
        <w:t xml:space="preserve">2.代理机构：江苏华强工程投资管理咨询有限公司</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联系人：张女士/杨女士，联系电话：</w:t>
      </w:r>
      <w:r>
        <w:rPr>
          <w:rFonts w:hint="eastAsia" w:ascii="宋体" w:hAnsi="宋体" w:cs="宋体"/>
          <w:color w:val="auto"/>
          <w:szCs w:val="21"/>
          <w:highlight w:val="none"/>
          <w:lang w:eastAsia="zh-CN"/>
        </w:rPr>
        <w:t xml:space="preserve">0523-86933690</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办公地址：泰州市海陵南路179号华诚大厦B座9楼西侧 </w:t>
      </w:r>
      <w:r/>
    </w:p>
    <w:p>
      <w:pPr>
        <w:ind w:firstLine="420"/>
        <w:spacing w:line="360" w:lineRule="auto"/>
        <w:rPr>
          <w:rFonts w:ascii="宋体" w:hAnsi="宋体"/>
          <w:szCs w:val="21"/>
          <w:highlight w:val="none"/>
        </w:rPr>
      </w:pPr>
      <w:r>
        <w:rPr>
          <w:rFonts w:hint="eastAsia" w:ascii="宋体" w:hAnsi="宋体"/>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0523-86933690</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泰州市生活垃圾焚烧发电配套项目渗滤液及废水收集处理、设备设施更换维护项目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w:t>
      </w:r>
      <w:r>
        <w:rPr>
          <w:rFonts w:hint="eastAsia" w:ascii="宋体" w:hAnsi="宋体"/>
          <w:color w:val="auto"/>
          <w:szCs w:val="21"/>
          <w:highlight w:val="none"/>
          <w:lang w:eastAsia="zh-CN"/>
        </w:rPr>
        <w:t xml:space="preserve">《竞争性磋商采购公告》</w:t>
      </w:r>
      <w:r>
        <w:rPr>
          <w:rFonts w:hint="eastAsia" w:ascii="宋体" w:hAnsi="宋体"/>
          <w:color w:val="auto"/>
          <w:szCs w:val="21"/>
          <w:highlight w:val="none"/>
        </w:rPr>
        <w:t xml:space="preserve">中合格磋商供应商资格</w:t>
      </w:r>
      <w:r>
        <w:rPr>
          <w:rFonts w:hint="eastAsia" w:ascii="宋体" w:hAnsi="宋体"/>
          <w:color w:val="auto"/>
          <w:szCs w:val="21"/>
          <w:highlight w:val="none"/>
          <w:lang w:eastAsia="zh-CN"/>
        </w:rPr>
        <w:t xml:space="preserve">要求</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满足本磋商文件实质性要求和</w:t>
      </w:r>
      <w:r>
        <w:rPr>
          <w:rFonts w:hint="eastAsia" w:ascii="宋体" w:hAnsi="宋体"/>
          <w:color w:val="auto"/>
          <w:szCs w:val="21"/>
          <w:highlight w:val="none"/>
          <w:lang w:eastAsia="zh-CN"/>
        </w:rPr>
        <w:t xml:space="preserve">条件</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4.2招标代理服务费</w:t>
      </w:r>
      <w:r>
        <w:rPr>
          <w:rFonts w:hint="eastAsia" w:ascii="宋体" w:hAnsi="宋体"/>
          <w:color w:val="auto"/>
          <w:szCs w:val="21"/>
          <w:highlight w:val="none"/>
          <w:lang w:val="en-US" w:eastAsia="zh-CN"/>
        </w:rPr>
        <w:t xml:space="preserve">按照</w:t>
      </w:r>
      <w:r>
        <w:rPr>
          <w:rFonts w:hint="eastAsia" w:ascii="宋体" w:hAnsi="宋体"/>
          <w:color w:val="auto"/>
          <w:szCs w:val="21"/>
          <w:highlight w:val="none"/>
        </w:rPr>
        <w:t xml:space="preserve">《江苏省政府采购代理服务收费指导意见》</w:t>
      </w:r>
      <w:r>
        <w:rPr>
          <w:rFonts w:hint="eastAsia" w:ascii="宋体" w:hAnsi="宋体"/>
          <w:color w:val="auto"/>
          <w:szCs w:val="21"/>
          <w:highlight w:val="none"/>
          <w:lang w:eastAsia="zh-CN"/>
        </w:rPr>
        <w:t xml:space="preserve">（苏</w:t>
      </w:r>
      <w:r>
        <w:rPr>
          <w:rFonts w:hint="eastAsia" w:ascii="宋体" w:hAnsi="宋体"/>
          <w:color w:val="auto"/>
          <w:szCs w:val="21"/>
          <w:highlight w:val="none"/>
        </w:rPr>
        <w:t xml:space="preserve">政采协</w:t>
      </w:r>
      <w:r>
        <w:rPr>
          <w:rFonts w:hint="eastAsia" w:ascii="宋体" w:hAnsi="宋体"/>
          <w:color w:val="auto"/>
          <w:szCs w:val="21"/>
          <w:highlight w:val="none"/>
          <w:lang w:eastAsia="zh-CN"/>
        </w:rPr>
        <w:t xml:space="preserve">〔2024〕20号）</w:t>
      </w:r>
      <w:r>
        <w:rPr>
          <w:rFonts w:hint="eastAsia" w:ascii="宋体" w:hAnsi="宋体"/>
          <w:color w:val="auto"/>
          <w:szCs w:val="21"/>
          <w:highlight w:val="none"/>
          <w:lang w:val="en-US" w:eastAsia="zh-CN"/>
        </w:rPr>
        <w:t xml:space="preserve">50%计取</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专家评审费据实结算，上述费用由采购人支付</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513029237"/>
      <w:r/>
      <w:bookmarkStart w:id="35" w:name="_Toc20823309"/>
      <w:r/>
      <w:bookmarkStart w:id="36" w:name="_Toc16938553"/>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u w:val="none"/>
        </w:rPr>
      </w:pPr>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37" w:name="_Toc513029210"/>
      <w:r/>
      <w:bookmarkStart w:id="38" w:name="_Toc20823282"/>
      <w:r/>
      <w:bookmarkStart w:id="39" w:name="_Toc16938526"/>
      <w:r>
        <w:rPr>
          <w:rFonts w:hint="eastAsia" w:ascii="宋体" w:hAnsi="宋体"/>
          <w:color w:val="auto"/>
          <w:szCs w:val="21"/>
          <w:highlight w:val="none"/>
          <w:u w:val="none"/>
        </w:rPr>
        <w:t xml:space="preserve">1.磋商文件构成</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0" w:name="_Toc20823283"/>
      <w:r/>
      <w:bookmarkStart w:id="41" w:name="_Toc513029211"/>
      <w:r/>
      <w:bookmarkStart w:id="42" w:name="_Toc16938527"/>
      <w:r/>
      <w:bookmarkStart w:id="43" w:name="_Toc462564070"/>
      <w:r>
        <w:rPr>
          <w:rFonts w:hint="eastAsia" w:ascii="宋体" w:hAnsi="宋体"/>
          <w:color w:val="auto"/>
          <w:szCs w:val="21"/>
          <w:highlight w:val="none"/>
          <w:u w:val="none"/>
        </w:rPr>
        <w:t xml:space="preserve">2.磋商文件的澄清</w:t>
      </w:r>
      <w:bookmarkEnd w:id="40"/>
      <w:r/>
      <w:bookmarkEnd w:id="41"/>
      <w:r/>
      <w:bookmarkEnd w:id="42"/>
      <w:r/>
      <w:bookmarkEnd w:id="43"/>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4" w:name="_Toc462564071"/>
      <w:r/>
      <w:bookmarkStart w:id="45" w:name="_Toc16938528"/>
      <w:r/>
      <w:bookmarkStart w:id="46" w:name="_Toc513029212"/>
      <w:r/>
      <w:bookmarkStart w:id="47" w:name="_Toc20823284"/>
      <w:r>
        <w:rPr>
          <w:rFonts w:hint="eastAsia" w:ascii="宋体" w:hAnsi="宋体"/>
          <w:color w:val="auto"/>
          <w:szCs w:val="21"/>
          <w:highlight w:val="none"/>
          <w:u w:val="none"/>
        </w:rPr>
        <w:t xml:space="preserve">3.磋商文件的修改</w:t>
      </w:r>
      <w:bookmarkEnd w:id="44"/>
      <w:r/>
      <w:bookmarkEnd w:id="45"/>
      <w:r/>
      <w:bookmarkEnd w:id="46"/>
      <w:r/>
      <w:bookmarkEnd w:id="47"/>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w:t>
      </w:r>
      <w:r>
        <w:rPr>
          <w:rFonts w:hint="eastAsia" w:ascii="宋体" w:hAnsi="宋体" w:cs="宋体"/>
          <w:b/>
          <w:bCs/>
          <w:color w:val="auto"/>
          <w:szCs w:val="21"/>
          <w:highlight w:val="none"/>
          <w:u w:val="none"/>
          <w:lang w:eastAsia="zh-CN"/>
        </w:rPr>
        <w:t xml:space="preserve">应通过</w:t>
      </w:r>
      <w:r>
        <w:rPr>
          <w:rFonts w:hint="eastAsia" w:ascii="宋体" w:hAnsi="宋体" w:cs="宋体"/>
          <w:b/>
          <w:bCs/>
          <w:color w:val="auto"/>
          <w:szCs w:val="21"/>
          <w:highlight w:val="none"/>
          <w:u w:val="none"/>
        </w:rPr>
        <w:t xml:space="preserve">“苏采云”系统发布澄清公告</w:t>
      </w:r>
      <w:r>
        <w:rPr>
          <w:rFonts w:hint="eastAsia" w:ascii="宋体" w:hAnsi="宋体" w:cs="宋体"/>
          <w:b/>
          <w:bCs/>
          <w:color w:val="auto"/>
          <w:szCs w:val="21"/>
          <w:highlight w:val="none"/>
          <w:u w:val="none"/>
          <w:lang w:eastAsia="zh-CN"/>
        </w:rPr>
        <w:t xml:space="preserve">或者修改内容。</w:t>
      </w:r>
      <w:r>
        <w:rPr>
          <w:rFonts w:hint="eastAsia" w:ascii="宋体" w:hAnsi="宋体" w:cs="宋体"/>
          <w:b/>
          <w:bCs/>
          <w:color w:val="auto"/>
          <w:szCs w:val="21"/>
          <w:highlight w:val="none"/>
          <w:u w:val="none"/>
        </w:rPr>
        <w:t xml:space="preserve">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 xml:space="preserve">，采购</w:t>
      </w:r>
      <w:r>
        <w:rPr>
          <w:rFonts w:hint="eastAsia" w:ascii="宋体" w:hAnsi="宋体" w:cs="宋体"/>
          <w:b/>
          <w:bCs/>
          <w:color w:val="auto"/>
          <w:szCs w:val="21"/>
          <w:highlight w:val="none"/>
          <w:u w:val="none"/>
        </w:rPr>
        <w:t xml:space="preserve">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w:t>
      </w:r>
      <w:r>
        <w:rPr>
          <w:rFonts w:hint="eastAsia" w:ascii="宋体" w:hAnsi="宋体" w:cs="宋体"/>
          <w:color w:val="auto"/>
          <w:sz w:val="21"/>
          <w:szCs w:val="21"/>
          <w:highlight w:val="none"/>
          <w:u w:val="none"/>
          <w:lang w:val="en-US" w:eastAsia="zh-CN" w:bidi="ar"/>
        </w:rPr>
        <w:t xml:space="preserve">被评定为</w:t>
      </w:r>
      <w:r>
        <w:rPr>
          <w:rFonts w:hint="eastAsia" w:ascii="宋体" w:hAnsi="宋体" w:eastAsia="宋体" w:cs="宋体"/>
          <w:color w:val="auto"/>
          <w:sz w:val="21"/>
          <w:szCs w:val="21"/>
          <w:highlight w:val="none"/>
          <w:u w:val="none"/>
          <w:lang w:val="en-US" w:eastAsia="zh-CN" w:bidi="ar"/>
        </w:rPr>
        <w:t xml:space="preserve">无效响应</w:t>
      </w:r>
      <w:r>
        <w:rPr>
          <w:rFonts w:hint="eastAsia" w:ascii="宋体" w:hAnsi="宋体" w:cs="宋体"/>
          <w:color w:val="auto"/>
          <w:sz w:val="21"/>
          <w:szCs w:val="21"/>
          <w:highlight w:val="none"/>
          <w:u w:val="none"/>
          <w:lang w:val="en-US" w:eastAsia="zh-CN" w:bidi="ar"/>
        </w:rPr>
        <w:t xml:space="preserve">文件</w:t>
      </w:r>
      <w:r>
        <w:rPr>
          <w:rFonts w:hint="eastAsia" w:ascii="宋体" w:hAnsi="宋体" w:eastAsia="宋体" w:cs="宋体"/>
          <w:color w:val="auto"/>
          <w:sz w:val="21"/>
          <w:szCs w:val="21"/>
          <w:highlight w:val="none"/>
          <w:u w:val="none"/>
          <w:lang w:val="en-US" w:eastAsia="zh-CN" w:bidi="ar"/>
        </w:rPr>
        <w:t xml:space="preserve">，且不允许在磋商截止时间后补正。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不包括合同、财务、税务、发票等形式的业务专用章</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（7）具备法律、行政法规规定的其他条件的证明材料，如“信用中国”“中国政府采购网”网站信用记录截图；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（8）小微企业声明函、残疾人福利性单位声明函（如有）；</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（9）关于符合本国产品标准的声明函；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2.1.2</w:t>
      </w:r>
      <w:r>
        <w:rPr>
          <w:rFonts w:hint="eastAsia" w:ascii="宋体" w:hAnsi="宋体" w:cs="宋体"/>
          <w:color w:val="auto"/>
          <w:sz w:val="21"/>
          <w:szCs w:val="21"/>
          <w:highlight w:val="none"/>
          <w:u w:val="none"/>
          <w:lang w:val="en-US" w:eastAsia="zh-CN" w:bidi="ar"/>
        </w:rPr>
        <w:t xml:space="preserve"> 商务</w:t>
      </w:r>
      <w:r>
        <w:rPr>
          <w:rFonts w:hint="eastAsia" w:ascii="宋体" w:hAnsi="宋体" w:eastAsia="宋体" w:cs="宋体"/>
          <w:color w:val="auto"/>
          <w:sz w:val="21"/>
          <w:szCs w:val="21"/>
          <w:highlight w:val="none"/>
          <w:u w:val="none"/>
          <w:lang w:val="en-US" w:eastAsia="zh-CN" w:bidi="ar"/>
        </w:rPr>
        <w:t xml:space="preserve">技术文件（按照本文件第六章统一提供的规范表式填写）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u w:val="none"/>
          <w:lang w:val="en-US" w:eastAsia="zh-CN" w:bidi="ar"/>
        </w:rPr>
        <w:t xml:space="preserve">）授权委托书；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2</w:t>
      </w:r>
      <w:r>
        <w:rPr>
          <w:rFonts w:hint="eastAsia" w:ascii="宋体" w:hAnsi="宋体" w:eastAsia="宋体" w:cs="宋体"/>
          <w:color w:val="auto"/>
          <w:sz w:val="21"/>
          <w:szCs w:val="21"/>
          <w:highlight w:val="none"/>
          <w:u w:val="none"/>
          <w:lang w:val="en-US" w:eastAsia="zh-CN" w:bidi="ar"/>
        </w:rPr>
        <w:t xml:space="preserve">）磋商响应函；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5</w:t>
      </w:r>
      <w:r>
        <w:rPr>
          <w:rFonts w:hint="eastAsia" w:ascii="宋体" w:hAnsi="宋体" w:eastAsia="宋体" w:cs="宋体"/>
          <w:color w:val="auto"/>
          <w:sz w:val="21"/>
          <w:szCs w:val="21"/>
          <w:highlight w:val="none"/>
          <w:u w:val="none"/>
          <w:lang w:val="en-US" w:eastAsia="zh-CN" w:bidi="ar"/>
        </w:rPr>
        <w:t xml:space="preserve">）供应商基本情况表；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u w:val="none"/>
          <w:lang w:val="en-US" w:eastAsia="zh-CN" w:bidi="ar"/>
        </w:rPr>
        <w:t xml:space="preserve">）技术方案（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cs="宋体"/>
          <w:b/>
          <w:bCs/>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7</w:t>
      </w:r>
      <w:r>
        <w:rPr>
          <w:rFonts w:hint="eastAsia" w:ascii="宋体" w:hAnsi="宋体" w:eastAsia="宋体" w:cs="宋体"/>
          <w:color w:val="auto"/>
          <w:sz w:val="21"/>
          <w:szCs w:val="21"/>
          <w:highlight w:val="none"/>
          <w:u w:val="none"/>
          <w:lang w:val="en-US" w:eastAsia="zh-CN" w:bidi="ar"/>
        </w:rPr>
        <w:t xml:space="preserve">）拟投入本项目的主要人员表；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val="en-US" w:eastAsia="zh-CN" w:bidi="ar"/>
        </w:rPr>
        <w:t xml:space="preserve">）服务</w:t>
      </w:r>
      <w:r>
        <w:rPr>
          <w:rFonts w:hint="eastAsia" w:ascii="宋体" w:hAnsi="宋体" w:cs="宋体"/>
          <w:color w:val="auto"/>
          <w:sz w:val="21"/>
          <w:szCs w:val="21"/>
          <w:highlight w:val="none"/>
          <w:u w:val="none"/>
          <w:lang w:val="en-US" w:eastAsia="zh-CN" w:bidi="ar"/>
        </w:rPr>
        <w:t xml:space="preserve">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9</w:t>
      </w:r>
      <w:r>
        <w:rPr>
          <w:rFonts w:hint="eastAsia" w:ascii="宋体" w:hAnsi="宋体" w:eastAsia="宋体" w:cs="宋体"/>
          <w:color w:val="auto"/>
          <w:sz w:val="21"/>
          <w:szCs w:val="21"/>
          <w:highlight w:val="none"/>
          <w:u w:val="none"/>
          <w:lang w:val="en-US" w:eastAsia="zh-CN" w:bidi="ar"/>
        </w:rPr>
        <w:t xml:space="preserve">）根据项目需求和评审方法以及评审标准，供应商为使自身处于有利评审地位，应当提交的其他文件和证明资料；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10</w:t>
      </w:r>
      <w:r>
        <w:rPr>
          <w:rFonts w:hint="eastAsia" w:ascii="宋体" w:hAnsi="宋体" w:eastAsia="宋体" w:cs="宋体"/>
          <w:color w:val="auto"/>
          <w:sz w:val="21"/>
          <w:szCs w:val="21"/>
          <w:highlight w:val="none"/>
          <w:u w:val="none"/>
          <w:lang w:val="en-US" w:eastAsia="zh-CN" w:bidi="ar"/>
        </w:rPr>
        <w:t xml:space="preserve">）采购文件需要的其他资料及供应商认为需要提供的其他内容。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 &lt; </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 &lt; </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 &lt; </w:t>
      </w:r>
      <w:r>
        <w:rPr>
          <w:rFonts w:hint="eastAsia" w:ascii="宋体" w:hAnsi="宋体" w:eastAsia="宋体" w:cs="宋体"/>
          <w:color w:val="auto"/>
          <w:sz w:val="21"/>
          <w:szCs w:val="21"/>
          <w:highlight w:val="none"/>
          <w:u w:val="none"/>
          <w:lang w:val="en-US" w:eastAsia="zh-CN" w:bidi="ar"/>
        </w:rPr>
        <w:t xml:space="preserve">采购项目最高限价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rPr>
        <w:t xml:space="preserve">六十（60）天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w:t>
      </w:r>
      <w:r>
        <w:rPr>
          <w:rFonts w:hint="eastAsia" w:ascii="宋体" w:hAnsi="宋体" w:cs="宋体"/>
          <w:color w:val="auto"/>
          <w:szCs w:val="21"/>
          <w:highlight w:val="none"/>
          <w:u w:val="none"/>
          <w:lang w:eastAsia="zh-CN"/>
        </w:rPr>
        <w:t xml:space="preserve">因</w:t>
      </w:r>
      <w:r>
        <w:rPr>
          <w:rFonts w:hint="eastAsia" w:ascii="宋体" w:hAnsi="宋体" w:cs="宋体"/>
          <w:color w:val="auto"/>
          <w:szCs w:val="21"/>
          <w:highlight w:val="none"/>
          <w:u w:val="none"/>
        </w:rPr>
        <w:t xml:space="preserve">他人盗用投标带来的后果</w:t>
      </w:r>
      <w:r>
        <w:rPr>
          <w:rFonts w:hint="eastAsia" w:ascii="宋体" w:hAnsi="宋体" w:cs="宋体"/>
          <w:color w:val="auto"/>
          <w:szCs w:val="21"/>
          <w:highlight w:val="none"/>
          <w:u w:val="none"/>
          <w:lang w:eastAsia="zh-CN"/>
        </w:rPr>
        <w:t xml:space="preserve">，均</w:t>
      </w:r>
      <w:r>
        <w:rPr>
          <w:rFonts w:hint="eastAsia" w:ascii="宋体" w:hAnsi="宋体" w:cs="宋体"/>
          <w:color w:val="auto"/>
          <w:szCs w:val="21"/>
          <w:highlight w:val="none"/>
          <w:u w:val="none"/>
        </w:rPr>
        <w:t xml:space="preserve">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 xml:space="preserve">进行扫描，并上传</w:t>
      </w:r>
      <w:r>
        <w:rPr>
          <w:rFonts w:hint="eastAsia" w:ascii="宋体" w:hAnsi="宋体" w:cs="宋体"/>
          <w:color w:val="auto"/>
          <w:szCs w:val="21"/>
          <w:highlight w:val="none"/>
          <w:u w:val="none"/>
        </w:rPr>
        <w:t xml:space="preserve">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48" w:name="_Toc513029225"/>
      <w:r/>
      <w:bookmarkStart w:id="49" w:name="_Toc20823297"/>
      <w:r/>
      <w:bookmarkStart w:id="50" w:name="_Toc16938541"/>
      <w:r/>
      <w:bookmarkStart w:id="51" w:name="_Toc462564084"/>
      <w:r>
        <w:rPr>
          <w:rFonts w:hint="eastAsia" w:ascii="宋体" w:hAnsi="宋体" w:cs="宋体"/>
          <w:color w:val="auto"/>
          <w:szCs w:val="21"/>
          <w:highlight w:val="none"/>
          <w:u w:val="none"/>
        </w:rPr>
        <w:t xml:space="preserve">1.响应文件</w:t>
      </w:r>
      <w:bookmarkEnd w:id="48"/>
      <w:r/>
      <w:bookmarkEnd w:id="49"/>
      <w:r/>
      <w:bookmarkEnd w:id="50"/>
      <w:r/>
      <w:bookmarkEnd w:id="51"/>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w:t>
      </w:r>
      <w:r>
        <w:rPr>
          <w:rFonts w:hint="eastAsia" w:ascii="宋体" w:hAnsi="宋体" w:cs="宋体"/>
          <w:color w:val="auto"/>
          <w:szCs w:val="21"/>
          <w:highlight w:val="none"/>
          <w:u w:val="none"/>
        </w:rPr>
        <w:t xml:space="preserve">通过“苏采云”系统提交政府采购客户端工具导出加密的响应文件（后缀名为zip）。</w:t>
      </w:r>
      <w:r>
        <w:rPr>
          <w:rFonts w:hint="eastAsia" w:ascii="宋体" w:hAnsi="宋体" w:cs="宋体"/>
          <w:b/>
          <w:bCs/>
          <w:color w:val="auto"/>
          <w:szCs w:val="21"/>
          <w:highlight w:val="none"/>
          <w:u w:val="none"/>
        </w:rPr>
        <w:t xml:space="preserve">响应文件不得超过150M</w:t>
      </w:r>
      <w:r>
        <w:rPr>
          <w:rFonts w:hint="eastAsia" w:ascii="宋体" w:hAnsi="宋体" w:cs="宋体"/>
          <w:b/>
          <w:bCs/>
          <w:color w:val="auto"/>
          <w:szCs w:val="21"/>
          <w:highlight w:val="none"/>
          <w:u w:val="none"/>
          <w:lang w:eastAsia="zh-CN"/>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w:t>
      </w:r>
      <w:r>
        <w:rPr>
          <w:rFonts w:hint="eastAsia" w:ascii="宋体" w:hAnsi="宋体" w:cs="宋体"/>
          <w:color w:val="auto"/>
          <w:szCs w:val="21"/>
          <w:highlight w:val="none"/>
          <w:u w:val="none"/>
          <w:lang w:eastAsia="zh-CN"/>
        </w:rPr>
        <w:t xml:space="preserve">造成</w:t>
      </w:r>
      <w:r>
        <w:rPr>
          <w:rFonts w:hint="eastAsia" w:ascii="宋体" w:hAnsi="宋体" w:cs="宋体"/>
          <w:color w:val="auto"/>
          <w:szCs w:val="21"/>
          <w:highlight w:val="none"/>
          <w:u w:val="none"/>
        </w:rPr>
        <w:t xml:space="preserve">电子响应文件上传不成功</w:t>
      </w:r>
      <w:r>
        <w:rPr>
          <w:rFonts w:hint="eastAsia" w:ascii="宋体" w:hAnsi="宋体" w:cs="宋体"/>
          <w:color w:val="auto"/>
          <w:szCs w:val="21"/>
          <w:highlight w:val="none"/>
          <w:u w:val="none"/>
          <w:lang w:eastAsia="zh-CN"/>
        </w:rPr>
        <w:t xml:space="preserve">，由</w:t>
      </w:r>
      <w:r>
        <w:rPr>
          <w:rFonts w:hint="eastAsia" w:ascii="宋体" w:hAnsi="宋体" w:cs="宋体"/>
          <w:color w:val="auto"/>
          <w:szCs w:val="21"/>
          <w:highlight w:val="none"/>
          <w:u w:val="none"/>
        </w:rPr>
        <w:t xml:space="preserve">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2.2采购人或采购代理机构可以按照规定，通过修改响应文件酌情延长响应文件提交截止日期，在此情况下，供应商的所有权利和义务</w:t>
      </w:r>
      <w:r>
        <w:rPr>
          <w:rFonts w:hint="eastAsia" w:ascii="宋体" w:hAnsi="宋体" w:cs="宋体"/>
          <w:color w:val="auto"/>
          <w:szCs w:val="21"/>
          <w:highlight w:val="none"/>
          <w:u w:val="none"/>
          <w:lang w:eastAsia="zh-CN"/>
        </w:rPr>
        <w:t xml:space="preserve">以及</w:t>
      </w:r>
      <w:r>
        <w:rPr>
          <w:rFonts w:hint="eastAsia" w:ascii="宋体" w:hAnsi="宋体" w:cs="宋体"/>
          <w:color w:val="auto"/>
          <w:szCs w:val="21"/>
          <w:highlight w:val="none"/>
          <w:u w:val="none"/>
        </w:rPr>
        <w:t xml:space="preserve">受制的截止日期均应以延长后</w:t>
      </w:r>
      <w:r>
        <w:rPr>
          <w:rFonts w:hint="eastAsia" w:ascii="宋体" w:hAnsi="宋体" w:cs="宋体"/>
          <w:color w:val="auto"/>
          <w:szCs w:val="21"/>
          <w:highlight w:val="none"/>
          <w:u w:val="none"/>
          <w:lang w:eastAsia="zh-CN"/>
        </w:rPr>
        <w:t xml:space="preserve">的新</w:t>
      </w:r>
      <w:r>
        <w:rPr>
          <w:rFonts w:hint="eastAsia" w:ascii="宋体" w:hAnsi="宋体" w:cs="宋体"/>
          <w:color w:val="auto"/>
          <w:szCs w:val="21"/>
          <w:highlight w:val="none"/>
          <w:u w:val="none"/>
        </w:rPr>
        <w:t xml:space="preserve">的截止日期为准。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w:t>
      </w:r>
      <w:r>
        <w:rPr>
          <w:rFonts w:hint="eastAsia" w:ascii="宋体" w:hAnsi="宋体" w:cs="宋体"/>
          <w:color w:val="auto"/>
          <w:szCs w:val="21"/>
          <w:highlight w:val="none"/>
          <w:u w:val="none"/>
          <w:lang w:eastAsia="zh-CN"/>
        </w:rPr>
        <w:t xml:space="preserve">开标时间到达</w:t>
      </w:r>
      <w:r>
        <w:rPr>
          <w:rFonts w:hint="eastAsia" w:ascii="宋体" w:hAnsi="宋体" w:cs="宋体"/>
          <w:color w:val="auto"/>
          <w:szCs w:val="21"/>
          <w:highlight w:val="none"/>
          <w:u w:val="none"/>
        </w:rPr>
        <w:t xml:space="preserve">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w:t>
      </w:r>
      <w:r>
        <w:rPr>
          <w:rFonts w:hint="eastAsia" w:ascii="宋体" w:hAnsi="宋体" w:cs="宋体"/>
          <w:color w:val="auto"/>
          <w:szCs w:val="21"/>
          <w:highlight w:val="none"/>
          <w:u w:val="none"/>
          <w:lang w:eastAsia="zh-CN"/>
        </w:rPr>
        <w:t xml:space="preserve">响应文件作</w:t>
      </w:r>
      <w:r>
        <w:rPr>
          <w:rFonts w:hint="eastAsia" w:ascii="宋体" w:hAnsi="宋体" w:cs="宋体"/>
          <w:color w:val="auto"/>
          <w:szCs w:val="21"/>
          <w:highlight w:val="none"/>
          <w:u w:val="none"/>
        </w:rPr>
        <w:t xml:space="preserve">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w:t>
      </w:r>
      <w:r>
        <w:rPr>
          <w:rFonts w:hint="eastAsia" w:ascii="宋体" w:hAnsi="宋体" w:cs="宋体"/>
          <w:b/>
          <w:color w:val="auto"/>
          <w:szCs w:val="21"/>
          <w:highlight w:val="none"/>
          <w:u w:val="none"/>
          <w:lang w:eastAsia="zh-CN"/>
        </w:rPr>
        <w:t xml:space="preserve">，各</w:t>
      </w:r>
      <w:r>
        <w:rPr>
          <w:rFonts w:hint="eastAsia" w:ascii="宋体" w:hAnsi="宋体" w:cs="宋体"/>
          <w:b/>
          <w:color w:val="auto"/>
          <w:szCs w:val="21"/>
          <w:highlight w:val="none"/>
          <w:u w:val="none"/>
        </w:rPr>
        <w:t xml:space="preserve">供应商</w:t>
      </w:r>
      <w:r>
        <w:rPr>
          <w:rFonts w:hint="eastAsia" w:ascii="宋体" w:hAnsi="宋体" w:cs="宋体"/>
          <w:b/>
          <w:color w:val="auto"/>
          <w:szCs w:val="21"/>
          <w:highlight w:val="none"/>
          <w:u w:val="none"/>
          <w:lang w:eastAsia="zh-CN"/>
        </w:rPr>
        <w:t xml:space="preserve">应及时</w:t>
      </w:r>
      <w:r>
        <w:rPr>
          <w:rFonts w:hint="eastAsia" w:ascii="宋体" w:hAnsi="宋体" w:cs="宋体"/>
          <w:b/>
          <w:color w:val="auto"/>
          <w:szCs w:val="21"/>
          <w:highlight w:val="none"/>
          <w:u w:val="none"/>
        </w:rPr>
        <w:t xml:space="preserve">登录不见面开标大厅</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响应文件提交截止时间后，采购代理机构将在系统内公布供应商名单，然后通过开标会议区发出响应文件解密的指令，供应商按规定时间自行实施远程解密</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解密限定在开标后30分钟</w:t>
      </w:r>
      <w:r>
        <w:rPr>
          <w:rFonts w:hint="eastAsia" w:ascii="宋体" w:hAnsi="宋体" w:cs="宋体"/>
          <w:b/>
          <w:color w:val="auto"/>
          <w:szCs w:val="21"/>
          <w:highlight w:val="none"/>
          <w:u w:val="none"/>
          <w:lang w:eastAsia="zh-CN"/>
        </w:rPr>
        <w:t xml:space="preserve">内</w:t>
      </w:r>
      <w:r>
        <w:rPr>
          <w:rFonts w:hint="eastAsia" w:ascii="宋体" w:hAnsi="宋体" w:cs="宋体"/>
          <w:b/>
          <w:color w:val="auto"/>
          <w:szCs w:val="21"/>
          <w:highlight w:val="none"/>
          <w:u w:val="none"/>
        </w:rPr>
        <w:t xml:space="preserve">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五</w:t>
      </w:r>
      <w:r>
        <w:rPr>
          <w:rFonts w:hint="eastAsia" w:ascii="宋体" w:hAnsi="宋体" w:eastAsia="宋体" w:cs="宋体"/>
          <w:b/>
          <w:bCs/>
          <w:color w:val="auto"/>
          <w:sz w:val="21"/>
          <w:szCs w:val="21"/>
          <w:highlight w:val="none"/>
          <w:u w:val="none"/>
          <w:lang w:val="en-US" w:eastAsia="zh-CN" w:bidi="ar"/>
        </w:rPr>
        <w:t xml:space="preserve">、磋商与评审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w:t>
      </w:r>
      <w:r>
        <w:rPr>
          <w:rFonts w:hint="eastAsia" w:ascii="宋体" w:hAnsi="宋体" w:cs="宋体"/>
          <w:color w:val="auto"/>
          <w:sz w:val="21"/>
          <w:szCs w:val="21"/>
          <w:highlight w:val="none"/>
          <w:u w:val="none"/>
          <w:lang w:val="en-US" w:eastAsia="zh-CN" w:bidi="ar"/>
        </w:rPr>
        <w:t xml:space="preserve">。该小组</w:t>
      </w:r>
      <w:r>
        <w:rPr>
          <w:rFonts w:hint="eastAsia" w:ascii="宋体" w:hAnsi="宋体" w:eastAsia="宋体" w:cs="宋体"/>
          <w:color w:val="auto"/>
          <w:sz w:val="21"/>
          <w:szCs w:val="21"/>
          <w:highlight w:val="none"/>
          <w:u w:val="none"/>
          <w:lang w:val="en-US" w:eastAsia="zh-CN" w:bidi="ar"/>
        </w:rPr>
        <w:t xml:space="preserve">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w:t>
      </w:r>
      <w:r>
        <w:rPr>
          <w:rFonts w:hint="eastAsia" w:ascii="宋体" w:hAnsi="宋体" w:cs="宋体"/>
          <w:color w:val="auto"/>
          <w:sz w:val="21"/>
          <w:szCs w:val="21"/>
          <w:highlight w:val="none"/>
          <w:u w:val="none"/>
          <w:lang w:val="en-US" w:eastAsia="zh-CN" w:bidi="ar"/>
        </w:rPr>
        <w:t xml:space="preserve">，按</w:t>
      </w:r>
      <w:r>
        <w:rPr>
          <w:rFonts w:hint="eastAsia" w:ascii="宋体" w:hAnsi="宋体" w:eastAsia="宋体" w:cs="宋体"/>
          <w:color w:val="auto"/>
          <w:sz w:val="21"/>
          <w:szCs w:val="21"/>
          <w:highlight w:val="none"/>
          <w:u w:val="none"/>
          <w:lang w:val="en-US" w:eastAsia="zh-CN" w:bidi="ar"/>
        </w:rPr>
        <w:t xml:space="preserve">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w:t>
      </w:r>
      <w:r>
        <w:rPr>
          <w:rFonts w:hint="eastAsia" w:ascii="宋体" w:hAnsi="宋体" w:cs="宋体"/>
          <w:color w:val="auto"/>
          <w:sz w:val="21"/>
          <w:szCs w:val="21"/>
          <w:highlight w:val="none"/>
          <w:u w:val="none"/>
          <w:lang w:val="en-US" w:eastAsia="zh-CN" w:bidi="ar"/>
        </w:rPr>
        <w:t xml:space="preserve">，应</w:t>
      </w:r>
      <w:r>
        <w:rPr>
          <w:rFonts w:hint="eastAsia" w:ascii="宋体" w:hAnsi="宋体" w:eastAsia="宋体" w:cs="宋体"/>
          <w:color w:val="auto"/>
          <w:sz w:val="21"/>
          <w:szCs w:val="21"/>
          <w:highlight w:val="none"/>
          <w:u w:val="none"/>
          <w:lang w:val="en-US" w:eastAsia="zh-CN" w:bidi="ar"/>
        </w:rPr>
        <w:t xml:space="preserve">派人按磋商小组通知的时间和地点</w:t>
      </w:r>
      <w:r>
        <w:rPr>
          <w:rFonts w:hint="eastAsia" w:ascii="宋体" w:hAnsi="宋体" w:cs="宋体"/>
          <w:color w:val="auto"/>
          <w:sz w:val="21"/>
          <w:szCs w:val="21"/>
          <w:highlight w:val="none"/>
          <w:u w:val="none"/>
          <w:lang w:val="en-US" w:eastAsia="zh-CN" w:bidi="ar"/>
        </w:rPr>
        <w:t xml:space="preserve">作出</w:t>
      </w:r>
      <w:r>
        <w:rPr>
          <w:rFonts w:hint="eastAsia" w:ascii="宋体" w:hAnsi="宋体" w:eastAsia="宋体" w:cs="宋体"/>
          <w:color w:val="auto"/>
          <w:sz w:val="21"/>
          <w:szCs w:val="21"/>
          <w:highlight w:val="none"/>
          <w:u w:val="none"/>
          <w:lang w:val="en-US" w:eastAsia="zh-CN" w:bidi="ar"/>
        </w:rPr>
        <w:t xml:space="preserve">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w:t>
      </w:r>
      <w:r>
        <w:rPr>
          <w:rFonts w:hint="eastAsia" w:ascii="宋体" w:hAnsi="宋体" w:cs="宋体"/>
          <w:color w:val="auto"/>
          <w:sz w:val="21"/>
          <w:szCs w:val="21"/>
          <w:highlight w:val="none"/>
          <w:u w:val="none"/>
          <w:lang w:val="en-US" w:eastAsia="zh-CN" w:bidi="ar"/>
        </w:rPr>
        <w:t xml:space="preserve">，将</w:t>
      </w:r>
      <w:r>
        <w:rPr>
          <w:rFonts w:hint="eastAsia" w:ascii="宋体" w:hAnsi="宋体" w:eastAsia="宋体" w:cs="宋体"/>
          <w:color w:val="auto"/>
          <w:sz w:val="21"/>
          <w:szCs w:val="21"/>
          <w:highlight w:val="none"/>
          <w:u w:val="none"/>
          <w:lang w:val="en-US" w:eastAsia="zh-CN" w:bidi="ar"/>
        </w:rPr>
        <w:t xml:space="preserve">按照不利于供应商的内容进行评审。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w:t>
      </w:r>
      <w:r>
        <w:rPr>
          <w:rFonts w:hint="eastAsia" w:ascii="宋体" w:hAnsi="宋体" w:cs="宋体"/>
          <w:color w:val="auto"/>
          <w:sz w:val="21"/>
          <w:szCs w:val="21"/>
          <w:highlight w:val="none"/>
          <w:u w:val="none"/>
          <w:lang w:val="en-US" w:eastAsia="zh-CN" w:bidi="ar"/>
        </w:rPr>
        <w:t xml:space="preserve">提交</w:t>
      </w:r>
      <w:r>
        <w:rPr>
          <w:rFonts w:hint="eastAsia" w:ascii="宋体" w:hAnsi="宋体" w:eastAsia="宋体" w:cs="宋体"/>
          <w:color w:val="auto"/>
          <w:sz w:val="21"/>
          <w:szCs w:val="21"/>
          <w:highlight w:val="none"/>
          <w:u w:val="none"/>
          <w:lang w:val="en-US" w:eastAsia="zh-CN" w:bidi="ar"/>
        </w:rPr>
        <w:t xml:space="preserve">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 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w:t>
      </w:r>
      <w:r>
        <w:rPr>
          <w:rFonts w:hint="eastAsia" w:ascii="宋体" w:hAnsi="宋体" w:cs="宋体"/>
          <w:color w:val="auto"/>
          <w:sz w:val="21"/>
          <w:szCs w:val="21"/>
          <w:highlight w:val="none"/>
          <w:u w:val="none"/>
          <w:lang w:val="en-US" w:eastAsia="zh-CN" w:bidi="ar"/>
        </w:rPr>
        <w:t xml:space="preserve">相同且</w:t>
      </w:r>
      <w:r>
        <w:rPr>
          <w:rFonts w:hint="eastAsia" w:ascii="宋体" w:hAnsi="宋体" w:eastAsia="宋体" w:cs="宋体"/>
          <w:color w:val="auto"/>
          <w:sz w:val="21"/>
          <w:szCs w:val="21"/>
          <w:highlight w:val="none"/>
          <w:u w:val="none"/>
          <w:lang w:val="en-US" w:eastAsia="zh-CN" w:bidi="ar"/>
        </w:rPr>
        <w:t xml:space="preserve">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w:t>
      </w:r>
      <w:r>
        <w:rPr>
          <w:rFonts w:hint="eastAsia" w:ascii="宋体" w:hAnsi="宋体" w:cs="宋体"/>
          <w:color w:val="auto"/>
          <w:sz w:val="21"/>
          <w:szCs w:val="21"/>
          <w:highlight w:val="none"/>
          <w:u w:val="none"/>
          <w:lang w:val="en-US" w:eastAsia="zh-CN" w:bidi="ar"/>
        </w:rPr>
        <w:t xml:space="preserve">，符合</w:t>
      </w:r>
      <w:r>
        <w:rPr>
          <w:rFonts w:hint="eastAsia" w:ascii="宋体" w:hAnsi="宋体" w:eastAsia="宋体" w:cs="宋体"/>
          <w:color w:val="auto"/>
          <w:sz w:val="21"/>
          <w:szCs w:val="21"/>
          <w:highlight w:val="none"/>
          <w:u w:val="none"/>
          <w:lang w:val="en-US" w:eastAsia="zh-CN" w:bidi="ar"/>
        </w:rPr>
        <w:t xml:space="preserve">竞争要求的供应商或者报价未超过采购预算的供应商不足3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，或者提交最后报价的供应商少于3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（符合供应商须知前附表规定的允许符合要求的供应商只有2家时可以继续进行采购活动的情形</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符合竞争要求的供应商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报价未超过采购预算的供应商或者提交最后报价的供应商不足2家的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5</w:t>
      </w:r>
      <w:r>
        <w:rPr>
          <w:rFonts w:hint="eastAsia" w:ascii="宋体" w:hAnsi="宋体" w:eastAsia="宋体" w:cs="宋体"/>
          <w:color w:val="auto"/>
          <w:sz w:val="21"/>
          <w:szCs w:val="21"/>
          <w:highlight w:val="none"/>
          <w:u w:val="none"/>
          <w:lang w:val="en-US" w:eastAsia="zh-CN" w:bidi="ar"/>
        </w:rPr>
        <w:t xml:space="preserve">）因重大变故，采购任务取消的。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六</w:t>
      </w:r>
      <w:r>
        <w:rPr>
          <w:rFonts w:hint="eastAsia" w:ascii="宋体" w:hAnsi="宋体" w:eastAsia="宋体" w:cs="宋体"/>
          <w:b/>
          <w:bCs w:val="0"/>
          <w:color w:val="auto"/>
          <w:sz w:val="21"/>
          <w:szCs w:val="21"/>
          <w:highlight w:val="none"/>
          <w:u w:val="none"/>
          <w:lang w:val="en-US" w:eastAsia="zh-CN" w:bidi="ar"/>
        </w:rPr>
        <w:t xml:space="preserve">、成交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七</w:t>
      </w:r>
      <w:r>
        <w:rPr>
          <w:rFonts w:hint="eastAsia" w:ascii="宋体" w:hAnsi="宋体" w:eastAsia="宋体" w:cs="宋体"/>
          <w:b/>
          <w:bCs w:val="0"/>
          <w:color w:val="auto"/>
          <w:sz w:val="21"/>
          <w:szCs w:val="21"/>
          <w:highlight w:val="none"/>
          <w:u w:val="none"/>
          <w:lang w:val="en-US" w:eastAsia="zh-CN" w:bidi="ar"/>
        </w:rPr>
        <w:t xml:space="preserve">、合同签订相关事项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本项目不收取履约保证金。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w:t>
      </w:r>
      <w:r>
        <w:rPr>
          <w:rFonts w:hint="eastAsia" w:ascii="宋体" w:hAnsi="宋体" w:cs="宋体"/>
          <w:color w:val="auto"/>
          <w:sz w:val="21"/>
          <w:szCs w:val="24"/>
          <w:highlight w:val="none"/>
          <w:u w:val="none"/>
          <w:vertAlign w:val="baseline"/>
          <w:lang w:val="en-US" w:eastAsia="zh-CN" w:bidi="ar"/>
        </w:rPr>
        <w:t xml:space="preserve">1 </w:t>
      </w:r>
      <w:r>
        <w:rPr>
          <w:rFonts w:hint="eastAsia" w:ascii="宋体" w:hAnsi="宋体" w:eastAsia="宋体" w:cs="宋体"/>
          <w:color w:val="auto"/>
          <w:sz w:val="21"/>
          <w:szCs w:val="24"/>
          <w:highlight w:val="none"/>
          <w:u w:val="none"/>
          <w:vertAlign w:val="baseline"/>
          <w:lang w:val="en-US" w:eastAsia="zh-CN" w:bidi="ar"/>
        </w:rPr>
        <w:t xml:space="preserve">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签订合同后，成交供应商不得将成交产品或服务进行转包。未经采购人同意，成交供应商也不得采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cs="宋体"/>
          <w:b/>
          <w:bCs/>
          <w:color w:val="auto"/>
          <w:sz w:val="21"/>
          <w:szCs w:val="24"/>
          <w:highlight w:val="none"/>
          <w:u w:val="none"/>
          <w:vertAlign w:val="baseline"/>
          <w:lang w:val="en-US" w:eastAsia="zh-CN" w:bidi="ar"/>
        </w:rPr>
        <w:t xml:space="preserve">八</w:t>
      </w:r>
      <w:r>
        <w:rPr>
          <w:rFonts w:hint="eastAsia" w:ascii="宋体" w:hAnsi="宋体" w:eastAsia="宋体" w:cs="宋体"/>
          <w:b/>
          <w:bCs/>
          <w:color w:val="auto"/>
          <w:sz w:val="21"/>
          <w:szCs w:val="24"/>
          <w:highlight w:val="none"/>
          <w:u w:val="none"/>
          <w:vertAlign w:val="baseline"/>
          <w:lang w:val="en-US" w:eastAsia="zh-CN" w:bidi="ar"/>
        </w:rPr>
        <w:t xml:space="preserve">、</w:t>
      </w:r>
      <w:bookmarkStart w:id="52" w:name="bookmark17"/>
      <w:r/>
      <w:bookmarkEnd w:id="52"/>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w:t>
      </w:r>
      <w:r>
        <w:rPr>
          <w:rFonts w:hint="eastAsia" w:ascii="宋体" w:hAnsi="宋体" w:cs="宋体"/>
          <w:color w:val="auto"/>
          <w:szCs w:val="21"/>
          <w:highlight w:val="none"/>
          <w:u w:val="none"/>
          <w:lang w:eastAsia="zh-CN"/>
        </w:rPr>
        <w:t xml:space="preserve">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 xml:space="preserve">适用</w:t>
      </w:r>
      <w:r>
        <w:rPr>
          <w:rFonts w:hint="eastAsia" w:ascii="宋体" w:hAnsi="宋体" w:cs="宋体"/>
          <w:color w:val="auto"/>
          <w:szCs w:val="21"/>
          <w:highlight w:val="none"/>
          <w:u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w:t>
      </w:r>
      <w:r>
        <w:rPr>
          <w:rFonts w:hint="eastAsia" w:ascii="宋体" w:hAnsi="宋体" w:cs="宋体"/>
          <w:color w:val="auto"/>
          <w:szCs w:val="21"/>
          <w:highlight w:val="none"/>
          <w:u w:val="none"/>
          <w:lang w:eastAsia="zh-CN"/>
        </w:rPr>
        <w:t xml:space="preserve">材料</w:t>
      </w:r>
      <w:r>
        <w:rPr>
          <w:rFonts w:hint="eastAsia" w:ascii="宋体" w:hAnsi="宋体" w:cs="宋体"/>
          <w:color w:val="auto"/>
          <w:szCs w:val="21"/>
          <w:highlight w:val="none"/>
          <w:u w:val="none"/>
        </w:rPr>
        <w:t xml:space="preserve">、涉及</w:t>
      </w:r>
      <w:r>
        <w:rPr>
          <w:rFonts w:hint="eastAsia" w:ascii="宋体" w:hAnsi="宋体" w:cs="宋体"/>
          <w:color w:val="auto"/>
          <w:szCs w:val="21"/>
          <w:highlight w:val="none"/>
          <w:u w:val="none"/>
          <w:lang w:eastAsia="zh-CN"/>
        </w:rPr>
        <w:t xml:space="preserve">商业秘密</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书面形式</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送达</w:t>
      </w:r>
      <w:r>
        <w:rPr>
          <w:rFonts w:hint="eastAsia" w:ascii="宋体" w:hAnsi="宋体" w:cs="宋体"/>
          <w:color w:val="auto"/>
          <w:szCs w:val="21"/>
          <w:highlight w:val="none"/>
          <w:u w:val="none"/>
        </w:rPr>
        <w:t xml:space="preserve">、匿名的《质疑函》</w:t>
      </w:r>
      <w:r>
        <w:rPr>
          <w:rFonts w:hint="eastAsia" w:ascii="宋体" w:hAnsi="宋体" w:cs="宋体"/>
          <w:color w:val="auto"/>
          <w:szCs w:val="21"/>
          <w:highlight w:val="none"/>
          <w:u w:val="none"/>
          <w:lang w:eastAsia="zh-CN"/>
        </w:rPr>
        <w:t xml:space="preserve">，将</w:t>
      </w:r>
      <w:r>
        <w:rPr>
          <w:rFonts w:hint="eastAsia" w:ascii="宋体" w:hAnsi="宋体" w:cs="宋体"/>
          <w:color w:val="auto"/>
          <w:szCs w:val="21"/>
          <w:highlight w:val="none"/>
          <w:u w:val="none"/>
        </w:rPr>
        <w:t xml:space="preserve">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w:t>
      </w:r>
      <w:r>
        <w:rPr>
          <w:rFonts w:hint="eastAsia" w:ascii="宋体" w:hAnsi="宋体" w:cs="宋体"/>
          <w:color w:val="auto"/>
          <w:szCs w:val="21"/>
          <w:highlight w:val="none"/>
          <w:u w:val="none"/>
          <w:lang w:eastAsia="zh-CN"/>
        </w:rPr>
        <w:t xml:space="preserve">商的</w:t>
      </w:r>
      <w:r>
        <w:rPr>
          <w:rFonts w:hint="eastAsia" w:ascii="宋体" w:hAnsi="宋体" w:cs="宋体"/>
          <w:color w:val="auto"/>
          <w:szCs w:val="21"/>
          <w:highlight w:val="none"/>
          <w:u w:val="none"/>
        </w:rPr>
        <w:t xml:space="preserve">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 xml:space="preserve">的质疑</w:t>
      </w:r>
      <w:r>
        <w:rPr>
          <w:rFonts w:hint="eastAsia" w:ascii="宋体" w:hAnsi="宋体" w:cs="宋体"/>
          <w:color w:val="auto"/>
          <w:szCs w:val="21"/>
          <w:highlight w:val="none"/>
          <w:u w:val="none"/>
        </w:rPr>
        <w:t xml:space="preserve">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cs="宋体"/>
          <w:b/>
          <w:bCs/>
          <w:color w:val="auto"/>
          <w:sz w:val="21"/>
          <w:szCs w:val="24"/>
          <w:highlight w:val="none"/>
          <w:u w:val="none"/>
          <w:vertAlign w:val="baseline"/>
          <w:lang w:val="en-US" w:eastAsia="zh-CN" w:bidi="ar"/>
        </w:rPr>
        <w:t xml:space="preserve">九</w:t>
      </w:r>
      <w:r>
        <w:rPr>
          <w:rFonts w:hint="eastAsia" w:ascii="宋体" w:hAnsi="宋体" w:eastAsia="宋体" w:cs="宋体"/>
          <w:b/>
          <w:bCs/>
          <w:color w:val="auto"/>
          <w:sz w:val="21"/>
          <w:szCs w:val="24"/>
          <w:highlight w:val="none"/>
          <w:u w:val="none"/>
          <w:vertAlign w:val="baseline"/>
          <w:lang w:val="en-US" w:eastAsia="zh-CN" w:bidi="ar"/>
        </w:rPr>
        <w:t xml:space="preserve">、其他事项说明：</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2.《中华人民共和国政府采购法实施条例》</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3.</w:t>
      </w:r>
      <w:r>
        <w:rPr>
          <w:rFonts w:hint="eastAsia" w:ascii="宋体" w:hAnsi="宋体" w:cs="宋体"/>
          <w:color w:val="auto"/>
          <w:highlight w:val="none"/>
          <w:u w:val="none"/>
          <w:lang w:eastAsia="zh-CN"/>
        </w:rPr>
        <w:t xml:space="preserve">《政府采购竞争性磋商采购方式管理暂行办法》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w:t>
      </w:r>
      <w:r>
        <w:rPr>
          <w:rFonts w:hint="eastAsia" w:ascii="宋体" w:hAnsi="宋体" w:cs="宋体"/>
          <w:color w:val="auto"/>
          <w:highlight w:val="none"/>
          <w:u w:val="none"/>
          <w:lang w:eastAsia="zh-CN"/>
        </w:rPr>
        <w:t xml:space="preserve">《政府采购促进中小企业发展办法的通知》（</w:t>
      </w:r>
      <w:r>
        <w:rPr>
          <w:rFonts w:hint="eastAsia" w:ascii="宋体" w:hAnsi="宋体" w:cs="宋体"/>
          <w:color w:val="auto"/>
          <w:highlight w:val="none"/>
          <w:u w:val="none"/>
        </w:rPr>
        <w:t xml:space="preserve">财库〔2020〕46</w:t>
      </w:r>
      <w:r>
        <w:rPr>
          <w:rFonts w:hint="eastAsia" w:ascii="宋体" w:hAnsi="宋体" w:cs="宋体"/>
          <w:color w:val="auto"/>
          <w:highlight w:val="none"/>
          <w:u w:val="none"/>
          <w:lang w:eastAsia="zh-CN"/>
        </w:rPr>
        <w:t xml:space="preserve">号）</w:t>
      </w:r>
      <w:r>
        <w:rPr>
          <w:rFonts w:hint="eastAsia" w:ascii="宋体" w:hAnsi="宋体" w:cs="宋体"/>
          <w:color w:val="auto"/>
          <w:highlight w:val="none"/>
          <w:u w:val="none"/>
        </w:rPr>
        <w:t xml:space="preserve"> </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4.1若本项目专门面向中小微企业，不再进行价格扣除。</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4.2若本项目不专门面向中小微企业，执行以下政策：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4.2.1供应商需按照采购文件的要求提供相应的《小微企业声明函》</w:t>
      </w:r>
      <w:r>
        <w:rPr>
          <w:rFonts w:hint="eastAsia" w:ascii="宋体" w:hAnsi="宋体" w:cs="宋体"/>
          <w:color w:val="auto"/>
          <w:highlight w:val="none"/>
          <w:u w:val="none"/>
        </w:rPr>
        <w:t xml:space="preserve">，</w:t>
      </w:r>
      <w:r>
        <w:rPr>
          <w:rFonts w:hint="eastAsia" w:ascii="宋体" w:hAnsi="宋体" w:cs="宋体"/>
          <w:b/>
          <w:bCs/>
          <w:color w:val="auto"/>
          <w:highlight w:val="none"/>
          <w:u w:val="none"/>
        </w:rPr>
        <w:t xml:space="preserve">价格</w:t>
      </w:r>
      <w:r>
        <w:rPr>
          <w:rFonts w:hint="eastAsia" w:ascii="宋体" w:hAnsi="宋体" w:cs="宋体"/>
          <w:b/>
          <w:bCs/>
          <w:color w:val="auto"/>
          <w:highlight w:val="none"/>
          <w:u w:val="none"/>
        </w:rPr>
        <w:t xml:space="preserve">享受10%</w:t>
      </w:r>
      <w:r>
        <w:rPr>
          <w:rFonts w:hint="eastAsia" w:ascii="宋体" w:hAnsi="宋体" w:cs="宋体"/>
          <w:b/>
          <w:bCs/>
          <w:color w:val="auto"/>
          <w:highlight w:val="none"/>
          <w:u w:val="none"/>
        </w:rPr>
        <w:t xml:space="preserve">扣除</w:t>
      </w:r>
      <w:r>
        <w:rPr>
          <w:rFonts w:hint="eastAsia" w:ascii="宋体" w:hAnsi="宋体" w:cs="宋体"/>
          <w:b/>
          <w:bCs/>
          <w:color w:val="auto"/>
          <w:highlight w:val="none"/>
          <w:u w:val="none"/>
        </w:rPr>
        <w:t xml:space="preserve">参与</w:t>
      </w:r>
      <w:r>
        <w:rPr>
          <w:rFonts w:hint="eastAsia" w:ascii="宋体" w:hAnsi="宋体" w:cs="宋体"/>
          <w:b/>
          <w:bCs/>
          <w:color w:val="auto"/>
          <w:highlight w:val="none"/>
          <w:u w:val="none"/>
        </w:rPr>
        <w:t xml:space="preserve">评审</w:t>
      </w:r>
      <w:r>
        <w:rPr>
          <w:rFonts w:hint="eastAsia" w:ascii="宋体" w:hAnsi="宋体" w:cs="宋体"/>
          <w:color w:val="auto"/>
          <w:highlight w:val="none"/>
          <w:u w:val="none"/>
        </w:rPr>
        <w:t xml:space="preserve">。</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4.2.2监狱和戒毒企业</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4.2.3残疾人福利单位</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（1）残疾人福利单位需按照采购文件的要求提供《残疾人福利性单位声明函》。</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4.3</w:t>
      </w:r>
      <w:r>
        <w:rPr>
          <w:rFonts w:hint="eastAsia" w:ascii="宋体" w:hAnsi="宋体" w:cs="宋体"/>
          <w:color w:val="auto"/>
          <w:highlight w:val="none"/>
          <w:u w:val="none"/>
        </w:rPr>
        <w:t xml:space="preserve">残疾人福利单位、监狱企业属于小型、微型企业的，不重复享受政策。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4.4</w:t>
      </w:r>
      <w:r>
        <w:rPr>
          <w:rFonts w:hint="eastAsia" w:ascii="宋体" w:hAnsi="宋体" w:cs="宋体"/>
          <w:color w:val="auto"/>
          <w:highlight w:val="none"/>
          <w:u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《江苏省财政厅关于进一步加大政府采购支持中小企业力度的通知》苏财购〔2022〕45号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7</w:t>
      </w:r>
      <w:r>
        <w:rPr>
          <w:rFonts w:hint="eastAsia" w:ascii="宋体" w:hAnsi="宋体" w:cs="宋体"/>
          <w:color w:val="auto"/>
          <w:highlight w:val="none"/>
          <w:u w:val="none"/>
        </w:rPr>
        <w:t xml:space="preserve">.节能环保</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8</w:t>
      </w:r>
      <w:r>
        <w:rPr>
          <w:rFonts w:hint="eastAsia" w:ascii="宋体" w:hAnsi="宋体" w:cs="宋体"/>
          <w:color w:val="auto"/>
          <w:highlight w:val="none"/>
          <w:u w:val="none"/>
        </w:rPr>
        <w:t xml:space="preserve">.需求标准</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9</w:t>
      </w:r>
      <w:r>
        <w:rPr>
          <w:rFonts w:hint="eastAsia" w:ascii="宋体" w:hAnsi="宋体" w:cs="宋体"/>
          <w:color w:val="auto"/>
          <w:highlight w:val="none"/>
          <w:u w:val="none"/>
        </w:rPr>
        <w:t xml:space="preserve">.《江苏省财政厅转发财政部关于推动解决政府采购异常低价问题的通知》（苏财购〔202</w:t>
      </w: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36</w:t>
      </w:r>
      <w:r>
        <w:rPr>
          <w:rFonts w:hint="eastAsia" w:ascii="宋体" w:hAnsi="宋体" w:cs="宋体"/>
          <w:color w:val="auto"/>
          <w:highlight w:val="none"/>
          <w:u w:val="none"/>
        </w:rPr>
        <w:t xml:space="preserve">号）。</w:t>
      </w:r>
      <w:r/>
    </w:p>
    <w:p>
      <w:pPr>
        <w:ind w:firstLine="420"/>
        <w:spacing w:line="360" w:lineRule="auto"/>
        <w:rPr>
          <w:rFonts w:hint="eastAsia" w:ascii="宋体" w:hAnsi="宋体" w:cs="宋体"/>
          <w:color w:val="auto"/>
          <w:highlight w:val="none"/>
          <w:u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u w:val="none"/>
        </w:rPr>
        <w:t xml:space="preserve">1</w:t>
      </w:r>
      <w:r>
        <w:rPr>
          <w:rFonts w:hint="eastAsia" w:ascii="宋体" w:hAnsi="宋体" w:cs="宋体"/>
          <w:color w:val="auto"/>
          <w:highlight w:val="none"/>
          <w:u w:val="none"/>
          <w:lang w:val="en-US" w:eastAsia="zh-CN"/>
        </w:rPr>
        <w:t xml:space="preserve">0</w:t>
      </w:r>
      <w:r>
        <w:rPr>
          <w:rFonts w:hint="eastAsia" w:ascii="宋体" w:hAnsi="宋体" w:cs="宋体"/>
          <w:color w:val="auto"/>
          <w:highlight w:val="none"/>
          <w:u w:val="none"/>
        </w:rPr>
        <w:t xml:space="preserve">.成交供应商可凭政府采购合同办理融资贷款，详情请见泰州市政府采购网“政采贷”专栏。</w:t>
      </w:r>
      <w:bookmarkEnd w:id="34"/>
      <w:r/>
      <w:bookmarkEnd w:id="35"/>
      <w:r/>
      <w:bookmarkEnd w:id="36"/>
      <w:r/>
      <w:r/>
    </w:p>
    <w:p>
      <w:pPr>
        <w:pStyle w:val="1116"/>
        <w:numPr>
          <w:ilvl w:val="0"/>
          <w:numId w:val="3"/>
        </w:numPr>
        <w:ind w:firstLine="422"/>
        <w:jc w:val="center"/>
        <w:pageBreakBefore w:val="0"/>
        <w:spacing w:line="360" w:lineRule="auto"/>
        <w:rPr>
          <w:rFonts w:hint="eastAsia" w:ascii="宋体" w:hAnsi="宋体" w:eastAsia="宋体"/>
          <w:b/>
          <w:color w:val="auto"/>
          <w:sz w:val="21"/>
          <w:szCs w:val="21"/>
          <w:highlight w:val="none"/>
        </w:rPr>
      </w:pPr>
      <w:r/>
      <w:bookmarkStart w:id="53" w:name="_Toc86268901"/>
      <w:r>
        <w:rPr>
          <w:rFonts w:hint="eastAsia" w:ascii="宋体" w:hAnsi="宋体" w:eastAsia="宋体"/>
          <w:b/>
          <w:color w:val="auto"/>
          <w:sz w:val="21"/>
          <w:szCs w:val="21"/>
          <w:highlight w:val="none"/>
        </w:rPr>
        <w:t xml:space="preserve"> 合同条款及格式</w:t>
      </w:r>
      <w:bookmarkEnd w:id="53"/>
      <w:r/>
      <w:r/>
    </w:p>
    <w:p>
      <w:pPr>
        <w:pStyle w:val="1148"/>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份，采购单位</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份、供应商</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要求成交供应商通过减少货物数量或降低服务</w:t>
      </w:r>
      <w:r>
        <w:rPr>
          <w:rFonts w:hint="eastAsia" w:ascii="宋体" w:hAnsi="宋体" w:cs="宋体"/>
          <w:color w:val="auto"/>
          <w:szCs w:val="21"/>
          <w:highlight w:val="none"/>
          <w:lang w:eastAsia="zh-CN"/>
        </w:rPr>
        <w:t xml:space="preserve">标准</w:t>
      </w:r>
      <w:r>
        <w:rPr>
          <w:rFonts w:hint="eastAsia" w:ascii="宋体" w:hAnsi="宋体" w:cs="宋体"/>
          <w:color w:val="auto"/>
          <w:szCs w:val="21"/>
          <w:highlight w:val="none"/>
        </w:rPr>
        <w:t xml:space="preserve">，在履行合同中采取更改配置、调换物品等</w:t>
      </w:r>
      <w:r>
        <w:rPr>
          <w:rFonts w:hint="eastAsia" w:ascii="宋体" w:hAnsi="宋体" w:cs="宋体"/>
          <w:color w:val="auto"/>
          <w:szCs w:val="21"/>
          <w:highlight w:val="none"/>
          <w:lang w:eastAsia="zh-CN"/>
        </w:rPr>
        <w:t xml:space="preserve">手段</w:t>
      </w:r>
      <w:r>
        <w:rPr>
          <w:rFonts w:hint="eastAsia" w:ascii="宋体" w:hAnsi="宋体" w:cs="宋体"/>
          <w:color w:val="auto"/>
          <w:szCs w:val="21"/>
          <w:highlight w:val="none"/>
        </w:rPr>
        <w:t xml:space="preserve">，要求成交供应商出具虚假发票或任意更改销售</w:t>
      </w:r>
      <w:r>
        <w:rPr>
          <w:rFonts w:hint="eastAsia" w:ascii="宋体" w:hAnsi="宋体" w:cs="宋体"/>
          <w:color w:val="auto"/>
          <w:szCs w:val="21"/>
          <w:highlight w:val="none"/>
          <w:lang w:eastAsia="zh-CN"/>
        </w:rPr>
        <w:t xml:space="preserve">发票</w:t>
      </w:r>
      <w:r>
        <w:rPr>
          <w:rFonts w:hint="eastAsia" w:ascii="宋体" w:hAnsi="宋体" w:cs="宋体"/>
          <w:color w:val="auto"/>
          <w:szCs w:val="21"/>
          <w:highlight w:val="none"/>
        </w:rPr>
        <w:t xml:space="preserve">，谋取不正当利益的，承担相应的法律责任。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149"/>
        <w:jc w:val="center"/>
        <w:pageBreakBefore w:val="0"/>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54" w:name="_Toc87985472"/>
      <w:r/>
      <w:bookmarkStart w:id="55" w:name="_Toc498006744"/>
      <w:r/>
      <w:r/>
    </w:p>
    <w:p>
      <w:pPr>
        <w:pStyle w:val="1132"/>
        <w:jc w:val="center"/>
        <w:spacing w:before="0" w:after="0" w:line="360" w:lineRule="auto"/>
        <w:rPr>
          <w:highlight w:val="none"/>
        </w:rPr>
      </w:pPr>
      <w:r/>
      <w:bookmarkStart w:id="56" w:name="_Toc86268902"/>
      <w:r>
        <w:rPr>
          <w:rFonts w:hint="eastAsia" w:ascii="宋体" w:hAnsi="宋体"/>
          <w:sz w:val="21"/>
          <w:szCs w:val="21"/>
          <w:highlight w:val="none"/>
        </w:rPr>
        <w:t xml:space="preserve">（参考文本）</w:t>
      </w:r>
      <w:r/>
    </w:p>
    <w:p>
      <w:pPr>
        <w:jc w:val="center"/>
        <w:spacing w:line="360" w:lineRule="auto"/>
        <w:rPr>
          <w:rFonts w:ascii="宋体" w:hAnsi="宋体"/>
          <w:b/>
          <w:bCs/>
          <w:szCs w:val="21"/>
          <w:highlight w:val="none"/>
        </w:rPr>
      </w:pPr>
      <w:r>
        <w:rPr>
          <w:rFonts w:ascii="宋体" w:hAnsi="宋体"/>
          <w:b/>
          <w:bCs/>
          <w:szCs w:val="21"/>
          <w:highlight w:val="none"/>
        </w:rPr>
        <w:t xml:space="preserve">合同条款表</w:t>
      </w:r>
      <w:r/>
    </w:p>
    <w:p>
      <w:pPr>
        <w:ind w:firstLine="420"/>
        <w:spacing w:line="360" w:lineRule="auto"/>
        <w:rPr>
          <w:highlight w:val="none"/>
          <w:u w:val="single"/>
        </w:rPr>
      </w:pPr>
      <w:r/>
      <w:bookmarkStart w:id="57" w:name="_Toc185670844"/>
      <w:r/>
      <w:bookmarkStart w:id="58" w:name="_Toc214682915"/>
      <w:r/>
      <w:bookmarkStart w:id="59" w:name="_Toc168227940"/>
      <w:r/>
      <w:bookmarkStart w:id="60" w:name="_Toc185672381"/>
      <w:r/>
      <w:bookmarkStart w:id="61" w:name="_Toc186515170"/>
      <w:r/>
      <w:bookmarkStart w:id="62" w:name="_Toc185671412"/>
      <w:r/>
      <w:bookmarkStart w:id="63" w:name="_Toc185412941"/>
      <w:r/>
      <w:bookmarkStart w:id="64" w:name="_Toc258313648"/>
      <w:r>
        <w:rPr>
          <w:rFonts w:hint="eastAsia"/>
          <w:highlight w:val="none"/>
        </w:rPr>
        <w:t xml:space="preserve">项目编号：</w:t>
      </w:r>
      <w:r/>
    </w:p>
    <w:p>
      <w:pPr>
        <w:ind w:firstLine="420"/>
        <w:spacing w:line="360" w:lineRule="auto"/>
        <w:rPr>
          <w:rFonts w:ascii="Times New Roman" w:hAnsi="Times New Roman"/>
          <w:highlight w:val="none"/>
        </w:rPr>
      </w:pPr>
      <w:r>
        <w:rPr>
          <w:rFonts w:hint="eastAsia"/>
          <w:highlight w:val="none"/>
        </w:rPr>
        <w:t xml:space="preserve">项目名称：</w:t>
      </w:r>
      <w:r/>
    </w:p>
    <w:p>
      <w:pPr>
        <w:ind w:firstLine="420"/>
        <w:spacing w:line="360" w:lineRule="auto"/>
        <w:rPr>
          <w:highlight w:val="none"/>
        </w:rPr>
      </w:pPr>
      <w:r>
        <w:rPr>
          <w:rFonts w:hint="eastAsia"/>
          <w:highlight w:val="none"/>
        </w:rPr>
        <w:t xml:space="preserve">采购人：（以下简称甲方）                        供应商：（以下简称乙方）</w:t>
      </w:r>
      <w:r/>
    </w:p>
    <w:p>
      <w:pPr>
        <w:ind w:firstLine="420"/>
        <w:spacing w:line="360" w:lineRule="auto"/>
        <w:rPr>
          <w:highlight w:val="none"/>
          <w:u w:val="single"/>
        </w:rPr>
      </w:pPr>
      <w:r>
        <w:rPr>
          <w:rFonts w:hint="eastAsia"/>
          <w:highlight w:val="none"/>
        </w:rPr>
        <w:t xml:space="preserve">住所地：                                        住所地：</w:t>
      </w:r>
      <w:r/>
    </w:p>
    <w:p>
      <w:pPr>
        <w:ind w:firstLine="420"/>
        <w:spacing w:line="360" w:lineRule="auto"/>
        <w:rPr>
          <w:highlight w:val="none"/>
        </w:rPr>
      </w:pPr>
      <w:r>
        <w:rPr>
          <w:rFonts w:hint="eastAsia"/>
          <w:highlight w:val="none"/>
        </w:rPr>
        <w:t xml:space="preserve">根据《中华人民共和国政府采购法</w:t>
      </w:r>
      <w:r>
        <w:rPr>
          <w:rFonts w:hint="eastAsia"/>
          <w:highlight w:val="none"/>
          <w:lang w:eastAsia="zh-CN"/>
        </w:rPr>
        <w:t xml:space="preserve">》和《</w:t>
      </w:r>
      <w:r>
        <w:rPr>
          <w:rFonts w:hint="eastAsia"/>
          <w:highlight w:val="none"/>
        </w:rPr>
        <w:t xml:space="preserve">中华人民共和国民法典》等法律法规的规定，甲乙双方按照泰州市生活垃圾处理中心的招标结果签订本合同。</w:t>
      </w:r>
      <w:r/>
    </w:p>
    <w:p>
      <w:pPr>
        <w:numPr>
          <w:ilvl w:val="0"/>
          <w:numId w:val="4"/>
        </w:numPr>
        <w:ind w:firstLine="420"/>
        <w:spacing w:line="360" w:lineRule="auto"/>
        <w:rPr>
          <w:highlight w:val="none"/>
        </w:rPr>
      </w:pPr>
      <w:r>
        <w:rPr>
          <w:rFonts w:hint="eastAsia"/>
          <w:highlight w:val="none"/>
        </w:rPr>
        <w:t xml:space="preserve"> 合同标的</w:t>
      </w:r>
      <w:r/>
    </w:p>
    <w:p>
      <w:pPr>
        <w:ind w:firstLine="420"/>
        <w:spacing w:line="360" w:lineRule="auto"/>
        <w:rPr>
          <w:highlight w:val="none"/>
        </w:rPr>
      </w:pPr>
      <w:r>
        <w:rPr>
          <w:rFonts w:hint="eastAsia"/>
          <w:highlight w:val="none"/>
        </w:rPr>
        <w:t xml:space="preserve">乙方根据甲方需求提供下列服务：</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63"/>
        <w:gridCol w:w="4819"/>
        <w:gridCol w:w="1735"/>
      </w:tblGrid>
      <w:tr>
        <w:trPr>
          <w:jc w:val="center"/>
        </w:trPr>
        <w:tc>
          <w:tcPr>
            <w:tcW w:w="306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服务项目</w:t>
            </w:r>
            <w:r/>
          </w:p>
        </w:tc>
        <w:tc>
          <w:tcPr>
            <w:tcW w:w="481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技术参数要求</w:t>
            </w:r>
            <w:r/>
          </w:p>
        </w:tc>
        <w:tc>
          <w:tcPr>
            <w:tcW w:w="173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数量</w:t>
            </w:r>
            <w:r/>
          </w:p>
        </w:tc>
      </w:tr>
      <w:tr>
        <w:trPr>
          <w:jc w:val="center"/>
          <w:trHeight w:val="414"/>
        </w:trPr>
        <w:tc>
          <w:tcPr>
            <w:tcW w:w="3063"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4819"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1735"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3063"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4819"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1735"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3063"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4819"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c>
          <w:tcPr>
            <w:tcW w:w="1735" w:type="dxa"/>
            <w:vAlign w:val="center"/>
            <w:textDirection w:val="lrTb"/>
            <w:noWrap w:val="false"/>
          </w:tcPr>
          <w:p>
            <w:pPr>
              <w:ind w:firstLine="420"/>
              <w:spacing w:line="360" w:lineRule="auto"/>
              <w:rPr>
                <w:rFonts w:ascii="宋体" w:hAnsi="宋体" w:cs="宋体"/>
                <w:szCs w:val="21"/>
                <w:highlight w:val="none"/>
              </w:rPr>
            </w:pPr>
            <w:r>
              <w:rPr>
                <w:rFonts w:ascii="宋体" w:hAnsi="宋体" w:cs="宋体"/>
                <w:szCs w:val="21"/>
                <w:highlight w:val="none"/>
              </w:rPr>
            </w:r>
            <w:r/>
          </w:p>
        </w:tc>
      </w:tr>
    </w:tbl>
    <w:p>
      <w:pPr>
        <w:numPr>
          <w:ilvl w:val="0"/>
          <w:numId w:val="4"/>
        </w:numPr>
        <w:ind w:firstLine="420"/>
        <w:spacing w:line="360" w:lineRule="auto"/>
        <w:rPr>
          <w:highlight w:val="none"/>
        </w:rPr>
      </w:pPr>
      <w:r>
        <w:rPr>
          <w:rFonts w:hint="eastAsia"/>
          <w:highlight w:val="none"/>
        </w:rPr>
        <w:t xml:space="preserve"> 合同总价款</w:t>
      </w:r>
      <w:r/>
    </w:p>
    <w:p>
      <w:pPr>
        <w:ind w:left="420"/>
        <w:spacing w:line="360" w:lineRule="auto"/>
        <w:rPr>
          <w:rFonts w:ascii="Times New Roman" w:hAnsi="Times New Roman"/>
          <w:szCs w:val="20"/>
          <w:highlight w:val="none"/>
        </w:rPr>
      </w:pPr>
      <w:r>
        <w:rPr>
          <w:rFonts w:hint="eastAsia"/>
          <w:highlight w:val="none"/>
        </w:rPr>
        <w:t xml:space="preserve">本合同项下</w:t>
      </w:r>
      <w:r>
        <w:rPr>
          <w:rFonts w:hint="eastAsia"/>
          <w:highlight w:val="none"/>
          <w:lang w:val="en-US" w:eastAsia="zh-CN"/>
        </w:rPr>
        <w:t xml:space="preserve">服务</w:t>
      </w:r>
      <w:r>
        <w:rPr>
          <w:rFonts w:hint="eastAsia"/>
          <w:highlight w:val="none"/>
        </w:rPr>
        <w:t xml:space="preserve">总价款为</w:t>
      </w:r>
      <w:r>
        <w:rPr>
          <w:rFonts w:hint="eastAsia"/>
          <w:highlight w:val="none"/>
          <w:u w:val="single"/>
        </w:rPr>
        <w:t xml:space="preserve">             </w:t>
      </w:r>
      <w:r>
        <w:rPr>
          <w:rFonts w:hint="eastAsia"/>
          <w:highlight w:val="none"/>
        </w:rPr>
        <w:t xml:space="preserve">（大写）人民币，分项价款在“投标报价表”中有明确规定。</w:t>
      </w:r>
      <w:r>
        <w:rPr>
          <w:highlight w:val="none"/>
        </w:rPr>
        <w:t xml:space="preserve">   </w:t>
      </w:r>
      <w:r/>
    </w:p>
    <w:p>
      <w:pPr>
        <w:ind w:firstLine="420"/>
        <w:spacing w:line="360" w:lineRule="auto"/>
        <w:rPr>
          <w:rFonts w:ascii="宋体" w:hAnsi="宋体" w:cs="宋体"/>
          <w:szCs w:val="21"/>
          <w:highlight w:val="none"/>
        </w:rPr>
      </w:pPr>
      <w:r>
        <w:rPr>
          <w:highlight w:val="none"/>
        </w:rPr>
        <w:t xml:space="preserve">1.</w:t>
      </w:r>
      <w:r>
        <w:rPr>
          <w:rFonts w:hint="eastAsia"/>
          <w:highlight w:val="none"/>
        </w:rPr>
        <w:t xml:space="preserve">本合同总价款包含完成本服务项目发生的</w:t>
      </w:r>
      <w:r>
        <w:rPr>
          <w:rFonts w:hint="eastAsia" w:ascii="宋体" w:hAnsi="宋体" w:cs="宋体"/>
          <w:szCs w:val="21"/>
          <w:highlight w:val="none"/>
        </w:rPr>
        <w:t xml:space="preserve">该合同总金额是指完成</w:t>
      </w:r>
      <w:r>
        <w:rPr>
          <w:rFonts w:hint="eastAsia" w:ascii="宋体" w:hAnsi="宋体" w:cs="宋体"/>
          <w:szCs w:val="21"/>
          <w:highlight w:val="none"/>
          <w:lang w:eastAsia="zh-CN"/>
        </w:rPr>
        <w:t xml:space="preserve">本服务项目</w:t>
      </w:r>
      <w:r>
        <w:rPr>
          <w:rFonts w:hint="eastAsia" w:ascii="宋体" w:hAnsi="宋体" w:cs="宋体"/>
          <w:szCs w:val="21"/>
          <w:highlight w:val="none"/>
        </w:rPr>
        <w:t xml:space="preserve">所需的人员、场地、工具、检测等直至达到验收条件产生的所有含税费用。本合同执行期间，合同总金额不变。</w:t>
      </w:r>
      <w:r/>
    </w:p>
    <w:p>
      <w:pPr>
        <w:ind w:firstLine="420"/>
        <w:spacing w:line="360" w:lineRule="auto"/>
        <w:rPr>
          <w:highlight w:val="none"/>
        </w:rPr>
      </w:pPr>
      <w:r>
        <w:rPr>
          <w:highlight w:val="none"/>
        </w:rPr>
        <w:t xml:space="preserve">2.</w:t>
      </w:r>
      <w:r>
        <w:rPr>
          <w:rFonts w:hint="eastAsia"/>
          <w:highlight w:val="none"/>
        </w:rPr>
        <w:t xml:space="preserve">本合同执行期间合同总价款不变。</w:t>
      </w:r>
      <w:r/>
    </w:p>
    <w:p>
      <w:pPr>
        <w:ind w:firstLine="420"/>
        <w:spacing w:line="360" w:lineRule="auto"/>
        <w:rPr>
          <w:highlight w:val="none"/>
        </w:rPr>
      </w:pPr>
      <w:r>
        <w:rPr>
          <w:highlight w:val="none"/>
        </w:rPr>
        <w:t xml:space="preserve">3.</w:t>
      </w:r>
      <w:r>
        <w:rPr>
          <w:rFonts w:hint="eastAsia"/>
          <w:highlight w:val="none"/>
        </w:rPr>
        <w:t xml:space="preserve">分项报价：</w:t>
      </w:r>
      <w:r/>
    </w:p>
    <w:tbl>
      <w:tblPr>
        <w:tblStyle w:val="1120"/>
        <w:tblW w:w="4809" w:type="pct"/>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2"/>
        <w:gridCol w:w="1990"/>
        <w:gridCol w:w="1992"/>
        <w:gridCol w:w="1992"/>
        <w:gridCol w:w="1886"/>
      </w:tblGrid>
      <w:tr>
        <w:trPr/>
        <w:tc>
          <w:tcPr>
            <w:tcBorders>
              <w:top w:val="single" w:color="auto" w:sz="4" w:space="0"/>
              <w:left w:val="single" w:color="auto" w:sz="4" w:space="0"/>
              <w:bottom w:val="single" w:color="auto" w:sz="4" w:space="0"/>
              <w:right w:val="single" w:color="auto" w:sz="4" w:space="0"/>
            </w:tcBorders>
            <w:tcW w:w="898" w:type="pct"/>
            <w:vAlign w:val="center"/>
            <w:textDirection w:val="lrTb"/>
            <w:noWrap w:val="false"/>
          </w:tcPr>
          <w:p>
            <w:pPr>
              <w:jc w:val="center"/>
              <w:spacing w:line="360" w:lineRule="auto"/>
              <w:rPr>
                <w:sz w:val="22"/>
                <w:highlight w:val="none"/>
              </w:rPr>
            </w:pPr>
            <w:r>
              <w:rPr>
                <w:rFonts w:hint="eastAsia"/>
                <w:sz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38" w:type="pct"/>
            <w:vAlign w:val="center"/>
            <w:textDirection w:val="lrTb"/>
            <w:noWrap w:val="false"/>
          </w:tcPr>
          <w:p>
            <w:pPr>
              <w:jc w:val="center"/>
              <w:spacing w:line="360" w:lineRule="auto"/>
              <w:rPr>
                <w:sz w:val="22"/>
                <w:highlight w:val="none"/>
              </w:rPr>
            </w:pPr>
            <w:r>
              <w:rPr>
                <w:rFonts w:hint="eastAsia"/>
                <w:sz w:val="22"/>
                <w:highlight w:val="none"/>
              </w:rPr>
              <w:t xml:space="preserve">名称</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sz w:val="22"/>
                <w:highlight w:val="none"/>
              </w:rPr>
            </w:pPr>
            <w:r>
              <w:rPr>
                <w:rFonts w:hint="eastAsia"/>
                <w:sz w:val="22"/>
                <w:highlight w:val="none"/>
              </w:rPr>
              <w:t xml:space="preserve">数量</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sz w:val="22"/>
                <w:highlight w:val="none"/>
              </w:rPr>
            </w:pPr>
            <w:r>
              <w:rPr>
                <w:rFonts w:hint="eastAsia"/>
                <w:sz w:val="22"/>
                <w:highlight w:val="none"/>
              </w:rPr>
              <w:t xml:space="preserve">单价（元）</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rPr>
                <w:sz w:val="22"/>
                <w:highlight w:val="none"/>
              </w:rPr>
            </w:pPr>
            <w:r>
              <w:rPr>
                <w:rFonts w:hint="eastAsia"/>
                <w:sz w:val="22"/>
                <w:highlight w:val="none"/>
              </w:rPr>
              <w:t xml:space="preserve">总价（元）</w:t>
            </w:r>
            <w:r/>
          </w:p>
        </w:tc>
      </w:tr>
      <w:tr>
        <w:trPr/>
        <w:tc>
          <w:tcPr>
            <w:tcBorders>
              <w:top w:val="single" w:color="auto" w:sz="4" w:space="0"/>
              <w:left w:val="single" w:color="auto" w:sz="4" w:space="0"/>
              <w:bottom w:val="single" w:color="auto" w:sz="4" w:space="0"/>
              <w:right w:val="single" w:color="auto" w:sz="4" w:space="0"/>
            </w:tcBorders>
            <w:tcW w:w="89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983" w:type="pct"/>
            <w:vAlign w:val="top"/>
            <w:textDirection w:val="lrTb"/>
            <w:noWrap w:val="false"/>
          </w:tcPr>
          <w:p>
            <w:pPr>
              <w:spacing w:line="360" w:lineRule="auto"/>
              <w:rPr>
                <w:sz w:val="22"/>
                <w:highlight w:val="none"/>
              </w:rPr>
            </w:pPr>
            <w:r>
              <w:rPr>
                <w:sz w:val="22"/>
                <w:highlight w:val="none"/>
              </w:rPr>
            </w:r>
            <w:r/>
          </w:p>
        </w:tc>
      </w:tr>
      <w:tr>
        <w:trPr/>
        <w:tc>
          <w:tcPr>
            <w:tcBorders>
              <w:top w:val="single" w:color="auto" w:sz="4" w:space="0"/>
              <w:left w:val="single" w:color="auto" w:sz="4" w:space="0"/>
              <w:bottom w:val="single" w:color="auto" w:sz="4" w:space="0"/>
              <w:right w:val="single" w:color="auto" w:sz="4" w:space="0"/>
            </w:tcBorders>
            <w:tcW w:w="89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983" w:type="pct"/>
            <w:vAlign w:val="top"/>
            <w:textDirection w:val="lrTb"/>
            <w:noWrap w:val="false"/>
          </w:tcPr>
          <w:p>
            <w:pPr>
              <w:spacing w:line="360" w:lineRule="auto"/>
              <w:rPr>
                <w:sz w:val="22"/>
                <w:highlight w:val="none"/>
              </w:rPr>
            </w:pPr>
            <w:r>
              <w:rPr>
                <w:sz w:val="22"/>
                <w:highlight w:val="none"/>
              </w:rPr>
            </w:r>
            <w:r/>
          </w:p>
        </w:tc>
      </w:tr>
      <w:tr>
        <w:trPr/>
        <w:tc>
          <w:tcPr>
            <w:tcBorders>
              <w:top w:val="single" w:color="auto" w:sz="4" w:space="0"/>
              <w:left w:val="single" w:color="auto" w:sz="4" w:space="0"/>
              <w:bottom w:val="single" w:color="auto" w:sz="4" w:space="0"/>
              <w:right w:val="single" w:color="auto" w:sz="4" w:space="0"/>
            </w:tcBorders>
            <w:tcW w:w="89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8"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1039" w:type="pct"/>
            <w:vAlign w:val="top"/>
            <w:textDirection w:val="lrTb"/>
            <w:noWrap w:val="false"/>
          </w:tcPr>
          <w:p>
            <w:pPr>
              <w:spacing w:line="360" w:lineRule="auto"/>
              <w:rPr>
                <w:sz w:val="22"/>
                <w:highlight w:val="none"/>
              </w:rPr>
            </w:pPr>
            <w:r>
              <w:rPr>
                <w:sz w:val="22"/>
                <w:highlight w:val="none"/>
              </w:rPr>
            </w:r>
            <w:r/>
          </w:p>
        </w:tc>
        <w:tc>
          <w:tcPr>
            <w:tcBorders>
              <w:top w:val="single" w:color="auto" w:sz="4" w:space="0"/>
              <w:left w:val="single" w:color="auto" w:sz="4" w:space="0"/>
              <w:bottom w:val="single" w:color="auto" w:sz="4" w:space="0"/>
              <w:right w:val="single" w:color="auto" w:sz="4" w:space="0"/>
            </w:tcBorders>
            <w:tcW w:w="983" w:type="pct"/>
            <w:vAlign w:val="top"/>
            <w:textDirection w:val="lrTb"/>
            <w:noWrap w:val="false"/>
          </w:tcPr>
          <w:p>
            <w:pPr>
              <w:spacing w:line="360" w:lineRule="auto"/>
              <w:rPr>
                <w:sz w:val="22"/>
                <w:highlight w:val="none"/>
              </w:rPr>
            </w:pPr>
            <w:r>
              <w:rPr>
                <w:sz w:val="22"/>
                <w:highlight w:val="none"/>
              </w:rPr>
            </w:r>
            <w:r/>
          </w:p>
        </w:tc>
      </w:tr>
    </w:tbl>
    <w:p>
      <w:pPr>
        <w:ind w:firstLine="420"/>
        <w:spacing w:line="336" w:lineRule="auto"/>
        <w:rPr>
          <w:rFonts w:ascii="Times New Roman" w:hAnsi="Times New Roman"/>
          <w:szCs w:val="20"/>
          <w:highlight w:val="none"/>
        </w:rPr>
      </w:pPr>
      <w:r>
        <w:rPr>
          <w:rFonts w:hint="eastAsia"/>
          <w:highlight w:val="none"/>
        </w:rPr>
        <w:t xml:space="preserve">第三条  组成本合同的有关文件</w:t>
      </w:r>
      <w:r/>
    </w:p>
    <w:p>
      <w:pPr>
        <w:ind w:firstLine="420"/>
        <w:spacing w:line="336" w:lineRule="auto"/>
        <w:rPr>
          <w:highlight w:val="none"/>
        </w:rPr>
      </w:pPr>
      <w:r>
        <w:rPr>
          <w:rFonts w:hint="eastAsia"/>
          <w:highlight w:val="none"/>
        </w:rPr>
        <w:t xml:space="preserve">下列关于泰州市政府采购</w:t>
      </w:r>
      <w:r>
        <w:rPr>
          <w:rFonts w:hint="eastAsia"/>
          <w:highlight w:val="none"/>
          <w:u w:val="single"/>
        </w:rPr>
        <w:t xml:space="preserve">                </w:t>
      </w:r>
      <w:r>
        <w:rPr>
          <w:rFonts w:hint="eastAsia"/>
          <w:highlight w:val="none"/>
        </w:rPr>
        <w:t xml:space="preserve">（项目编号）的采购文件、响应文件或与本次采购活动方式相适应的文件及有关附件是本合同不可分割的组成部分，与本合同具有同等法律效力，这些文件包括但不限于：</w:t>
      </w:r>
      <w:r/>
    </w:p>
    <w:p>
      <w:pPr>
        <w:ind w:firstLine="420"/>
        <w:spacing w:line="336" w:lineRule="auto"/>
        <w:rPr>
          <w:highlight w:val="none"/>
        </w:rPr>
      </w:pPr>
      <w:r>
        <w:rPr>
          <w:highlight w:val="none"/>
        </w:rPr>
        <w:t xml:space="preserve">1</w:t>
      </w:r>
      <w:r>
        <w:rPr>
          <w:rFonts w:hint="eastAsia"/>
          <w:highlight w:val="none"/>
        </w:rPr>
        <w:t xml:space="preserve">.乙方提供的投标文件和投标报价表；</w:t>
      </w:r>
      <w:r/>
    </w:p>
    <w:p>
      <w:pPr>
        <w:ind w:firstLine="420"/>
        <w:spacing w:line="336" w:lineRule="auto"/>
        <w:rPr>
          <w:highlight w:val="none"/>
        </w:rPr>
      </w:pPr>
      <w:r>
        <w:rPr>
          <w:highlight w:val="none"/>
        </w:rPr>
        <w:t xml:space="preserve">2</w:t>
      </w:r>
      <w:r>
        <w:rPr>
          <w:rFonts w:hint="eastAsia"/>
          <w:highlight w:val="none"/>
        </w:rPr>
        <w:t xml:space="preserve">.技术规格响应表；</w:t>
      </w:r>
      <w:r/>
    </w:p>
    <w:p>
      <w:pPr>
        <w:ind w:firstLine="420"/>
        <w:spacing w:line="336" w:lineRule="auto"/>
        <w:rPr>
          <w:highlight w:val="none"/>
        </w:rPr>
      </w:pPr>
      <w:r>
        <w:rPr>
          <w:highlight w:val="none"/>
        </w:rPr>
        <w:t xml:space="preserve">3</w:t>
      </w:r>
      <w:r>
        <w:rPr>
          <w:rFonts w:hint="eastAsia"/>
          <w:highlight w:val="none"/>
        </w:rPr>
        <w:t xml:space="preserve">.投标承诺</w:t>
      </w:r>
      <w:r>
        <w:rPr>
          <w:highlight w:val="none"/>
        </w:rPr>
        <w:t xml:space="preserve">/</w:t>
      </w:r>
      <w:r>
        <w:rPr>
          <w:rFonts w:hint="eastAsia"/>
          <w:highlight w:val="none"/>
        </w:rPr>
        <w:t xml:space="preserve">服务承诺；</w:t>
      </w:r>
      <w:r/>
    </w:p>
    <w:p>
      <w:pPr>
        <w:ind w:firstLine="420"/>
        <w:spacing w:line="336" w:lineRule="auto"/>
        <w:rPr>
          <w:highlight w:val="none"/>
        </w:rPr>
      </w:pPr>
      <w:r>
        <w:rPr>
          <w:highlight w:val="none"/>
        </w:rPr>
        <w:t xml:space="preserve">4</w:t>
      </w:r>
      <w:r>
        <w:rPr>
          <w:rFonts w:hint="eastAsia"/>
          <w:highlight w:val="none"/>
        </w:rPr>
        <w:t xml:space="preserve">.中标通知书；</w:t>
      </w:r>
      <w:r/>
    </w:p>
    <w:p>
      <w:pPr>
        <w:ind w:firstLine="420"/>
        <w:spacing w:line="336" w:lineRule="auto"/>
        <w:rPr>
          <w:highlight w:val="none"/>
        </w:rPr>
      </w:pPr>
      <w:r>
        <w:rPr>
          <w:highlight w:val="none"/>
        </w:rPr>
        <w:t xml:space="preserve">5</w:t>
      </w:r>
      <w:r>
        <w:rPr>
          <w:rFonts w:hint="eastAsia"/>
          <w:highlight w:val="none"/>
        </w:rPr>
        <w:t xml:space="preserve">.甲乙双方商定的其他文件等。</w:t>
      </w:r>
      <w:r/>
    </w:p>
    <w:p>
      <w:pPr>
        <w:ind w:firstLine="420"/>
        <w:spacing w:line="336" w:lineRule="auto"/>
        <w:rPr>
          <w:highlight w:val="none"/>
        </w:rPr>
      </w:pPr>
      <w:r>
        <w:rPr>
          <w:rFonts w:hint="eastAsia"/>
          <w:highlight w:val="none"/>
        </w:rPr>
        <w:t xml:space="preserve">第四条  履行合同期限、地点</w:t>
      </w:r>
      <w:r/>
    </w:p>
    <w:p>
      <w:pPr>
        <w:ind w:firstLine="420"/>
        <w:spacing w:line="336" w:lineRule="auto"/>
        <w:rPr>
          <w:rFonts w:hint="eastAsia" w:ascii="宋体" w:hAnsi="宋体"/>
          <w:szCs w:val="21"/>
          <w:highlight w:val="none"/>
          <w:lang w:val="zh-CN"/>
        </w:rPr>
      </w:pPr>
      <w:r>
        <w:rPr>
          <w:rFonts w:hint="eastAsia" w:ascii="宋体" w:hAnsi="宋体"/>
          <w:szCs w:val="21"/>
          <w:highlight w:val="none"/>
        </w:rPr>
        <w:t xml:space="preserve">1.履行合同期限：</w:t>
      </w:r>
      <w:r>
        <w:rPr>
          <w:rFonts w:hint="eastAsia" w:ascii="宋体" w:hAnsi="宋体"/>
          <w:szCs w:val="21"/>
          <w:highlight w:val="none"/>
          <w:lang w:val="zh-CN"/>
        </w:rPr>
        <w:t xml:space="preserve">自合同签订之日起三年。</w:t>
      </w:r>
      <w:r/>
    </w:p>
    <w:p>
      <w:pPr>
        <w:ind w:firstLine="420"/>
        <w:spacing w:line="336" w:lineRule="auto"/>
        <w:rPr>
          <w:highlight w:val="none"/>
        </w:rPr>
      </w:pPr>
      <w:r>
        <w:rPr>
          <w:highlight w:val="none"/>
        </w:rPr>
        <w:t xml:space="preserve">2.</w:t>
      </w:r>
      <w:r>
        <w:rPr>
          <w:rFonts w:hint="eastAsia"/>
          <w:highlight w:val="none"/>
        </w:rPr>
        <w:t xml:space="preserve">履行合同地点：甲方指定地点。</w:t>
      </w:r>
      <w:r/>
    </w:p>
    <w:p>
      <w:pPr>
        <w:ind w:firstLine="420"/>
        <w:spacing w:line="336" w:lineRule="auto"/>
        <w:rPr>
          <w:highlight w:val="none"/>
        </w:rPr>
      </w:pPr>
      <w:r>
        <w:rPr>
          <w:rFonts w:hint="eastAsia"/>
          <w:highlight w:val="none"/>
        </w:rPr>
        <w:t xml:space="preserve">第五条  权利保证</w:t>
      </w:r>
      <w:r/>
    </w:p>
    <w:p>
      <w:pPr>
        <w:ind w:firstLine="420"/>
        <w:spacing w:line="336" w:lineRule="auto"/>
        <w:rPr>
          <w:highlight w:val="none"/>
        </w:rPr>
      </w:pPr>
      <w:r>
        <w:rPr>
          <w:rFonts w:hint="eastAsia"/>
          <w:highlight w:val="none"/>
        </w:rPr>
        <w:t xml:space="preserve">乙方应保证向甲方提供的服务不受第三方提出侵犯其专利权、版权、商标权或其他权利的起诉。一旦出现侵权，乙方应承担全部责任。</w:t>
      </w:r>
      <w:r/>
    </w:p>
    <w:p>
      <w:pPr>
        <w:ind w:firstLine="420"/>
        <w:spacing w:line="336" w:lineRule="auto"/>
        <w:rPr>
          <w:highlight w:val="none"/>
        </w:rPr>
      </w:pPr>
      <w:r>
        <w:rPr>
          <w:rFonts w:hint="eastAsia"/>
          <w:highlight w:val="none"/>
        </w:rPr>
        <w:t xml:space="preserve">第六条  质量保证</w:t>
      </w:r>
      <w:r/>
    </w:p>
    <w:p>
      <w:pPr>
        <w:ind w:firstLine="420"/>
        <w:spacing w:line="336" w:lineRule="auto"/>
        <w:rPr>
          <w:highlight w:val="none"/>
        </w:rPr>
      </w:pPr>
      <w:r>
        <w:rPr>
          <w:highlight w:val="none"/>
        </w:rPr>
        <w:t xml:space="preserve">1.</w:t>
      </w:r>
      <w:r>
        <w:rPr>
          <w:rFonts w:hint="eastAsia"/>
          <w:highlight w:val="none"/>
        </w:rPr>
        <w:t xml:space="preserve">乙方提供的服务质量应当符合采购文件的约定，以及乙方的承诺。</w:t>
      </w:r>
      <w:r/>
    </w:p>
    <w:p>
      <w:pPr>
        <w:ind w:firstLine="420"/>
        <w:spacing w:line="336" w:lineRule="auto"/>
        <w:rPr>
          <w:highlight w:val="none"/>
        </w:rPr>
      </w:pPr>
      <w:r>
        <w:rPr>
          <w:highlight w:val="none"/>
        </w:rPr>
        <w:t xml:space="preserve">2.</w:t>
      </w:r>
      <w:r>
        <w:rPr>
          <w:rFonts w:hint="eastAsia"/>
          <w:highlight w:val="none"/>
        </w:rPr>
        <w:t xml:space="preserve">除特别说明外，质量保证期为自验收合格后，在此期间，乙方提供免费服务。</w:t>
      </w:r>
      <w:r/>
    </w:p>
    <w:p>
      <w:pPr>
        <w:ind w:firstLine="420"/>
        <w:spacing w:line="336" w:lineRule="auto"/>
        <w:rPr>
          <w:highlight w:val="none"/>
        </w:rPr>
      </w:pPr>
      <w:r>
        <w:rPr>
          <w:rFonts w:hint="eastAsia"/>
          <w:highlight w:val="none"/>
        </w:rPr>
        <w:t xml:space="preserve">第七条  验收</w:t>
      </w:r>
      <w:r/>
    </w:p>
    <w:p>
      <w:pPr>
        <w:ind w:firstLine="420"/>
        <w:spacing w:line="336" w:lineRule="auto"/>
        <w:rPr>
          <w:highlight w:val="none"/>
        </w:rPr>
      </w:pPr>
      <w:r>
        <w:rPr>
          <w:highlight w:val="none"/>
        </w:rPr>
        <w:t xml:space="preserve">1.</w:t>
      </w:r>
      <w:r>
        <w:rPr>
          <w:rFonts w:hint="eastAsia"/>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挂钩。</w:t>
      </w:r>
      <w:r/>
    </w:p>
    <w:p>
      <w:pPr>
        <w:ind w:firstLine="420"/>
        <w:spacing w:line="336" w:lineRule="auto"/>
        <w:rPr>
          <w:highlight w:val="none"/>
        </w:rPr>
      </w:pPr>
      <w:r>
        <w:rPr>
          <w:highlight w:val="none"/>
        </w:rPr>
        <w:t xml:space="preserve">2.</w:t>
      </w:r>
      <w:r>
        <w:rPr>
          <w:rFonts w:hint="eastAsia"/>
          <w:highlight w:val="none"/>
        </w:rPr>
        <w:t xml:space="preserve">甲方可以邀请参加本项目的其他供应商或第三方专业机构及专家参与验收。</w:t>
      </w:r>
      <w:r/>
    </w:p>
    <w:p>
      <w:pPr>
        <w:ind w:firstLine="420"/>
        <w:spacing w:line="336" w:lineRule="auto"/>
        <w:rPr>
          <w:highlight w:val="none"/>
        </w:rPr>
      </w:pPr>
      <w:r>
        <w:rPr>
          <w:rFonts w:hint="eastAsia"/>
          <w:highlight w:val="none"/>
        </w:rPr>
        <w:t xml:space="preserve">第八条  履约保证金</w:t>
      </w:r>
      <w:r/>
    </w:p>
    <w:p>
      <w:pPr>
        <w:ind w:firstLine="420"/>
        <w:spacing w:line="336" w:lineRule="auto"/>
        <w:rPr>
          <w:highlight w:val="none"/>
        </w:rPr>
      </w:pPr>
      <w:r>
        <w:rPr>
          <w:rFonts w:hint="eastAsia"/>
          <w:highlight w:val="none"/>
        </w:rPr>
        <w:t xml:space="preserve">本项目不收取</w:t>
      </w:r>
      <w:r>
        <w:rPr>
          <w:rFonts w:hint="eastAsia" w:ascii="宋体" w:hAnsi="宋体"/>
          <w:szCs w:val="21"/>
          <w:highlight w:val="none"/>
        </w:rPr>
        <w:t xml:space="preserve">履约保证金</w:t>
      </w:r>
      <w:r>
        <w:rPr>
          <w:rFonts w:hint="eastAsia"/>
          <w:highlight w:val="none"/>
        </w:rPr>
        <w:t xml:space="preserve">。</w:t>
      </w:r>
      <w:r/>
    </w:p>
    <w:p>
      <w:pPr>
        <w:ind w:firstLine="420"/>
        <w:spacing w:line="336" w:lineRule="auto"/>
        <w:rPr>
          <w:highlight w:val="none"/>
        </w:rPr>
      </w:pPr>
      <w:r>
        <w:rPr>
          <w:rFonts w:hint="eastAsia"/>
          <w:highlight w:val="none"/>
        </w:rPr>
        <w:t xml:space="preserve">第九条  合同款支付</w:t>
      </w:r>
      <w:r/>
    </w:p>
    <w:p>
      <w:pPr>
        <w:ind w:firstLine="420"/>
        <w:spacing w:line="336" w:lineRule="auto"/>
        <w:rPr>
          <w:highlight w:val="none"/>
        </w:rPr>
      </w:pPr>
      <w:r>
        <w:rPr>
          <w:highlight w:val="none"/>
        </w:rPr>
        <w:t xml:space="preserve">1.</w:t>
      </w:r>
      <w:r>
        <w:rPr>
          <w:rFonts w:hint="eastAsia"/>
          <w:highlight w:val="none"/>
        </w:rPr>
        <w:t xml:space="preserve">本合同项下所有款项均以人民币支付。</w:t>
      </w:r>
      <w:r/>
    </w:p>
    <w:p>
      <w:pPr>
        <w:ind w:firstLine="420"/>
        <w:spacing w:line="336" w:lineRule="auto"/>
        <w:rPr>
          <w:highlight w:val="none"/>
        </w:rPr>
      </w:pPr>
      <w:r>
        <w:rPr>
          <w:highlight w:val="none"/>
        </w:rPr>
        <w:t xml:space="preserve">2.</w:t>
      </w:r>
      <w:r>
        <w:rPr>
          <w:rFonts w:hint="eastAsia"/>
          <w:highlight w:val="none"/>
        </w:rPr>
        <w:t xml:space="preserve">本合同项下的采购资金由甲方自行支付，乙方按本合同内容合格的履行义务后，凭验收报告、正式发票办理项目款结算手续。</w:t>
      </w:r>
      <w:r/>
    </w:p>
    <w:p>
      <w:pPr>
        <w:ind w:firstLine="420"/>
        <w:spacing w:line="336" w:lineRule="auto"/>
        <w:rPr>
          <w:rFonts w:hint="eastAsia" w:ascii="宋体" w:hAnsi="宋体" w:eastAsia="宋体"/>
          <w:highlight w:val="none"/>
          <w:lang w:eastAsia="zh-CN"/>
        </w:rPr>
      </w:pPr>
      <w:r>
        <w:rPr>
          <w:highlight w:val="none"/>
        </w:rPr>
        <w:t xml:space="preserve">3.</w:t>
      </w:r>
      <w:r>
        <w:rPr>
          <w:rFonts w:hint="eastAsia" w:ascii="宋体" w:hAnsi="宋体"/>
          <w:highlight w:val="none"/>
        </w:rPr>
        <w:t xml:space="preserve"> （1）每个考评周期为一个季度，季度结束后，甲方对乙方履约情况开展验收评估打分，作为结算依据，单次考评对应的结算款为合同总价的六分之一</w:t>
      </w:r>
      <w:r>
        <w:rPr>
          <w:rFonts w:hint="eastAsia" w:ascii="宋体" w:hAnsi="宋体"/>
          <w:highlight w:val="none"/>
          <w:lang w:eastAsia="zh-CN"/>
        </w:rPr>
        <w:t xml:space="preserve">。</w:t>
      </w:r>
      <w:r/>
    </w:p>
    <w:p>
      <w:pPr>
        <w:ind w:firstLine="420"/>
        <w:spacing w:line="336" w:lineRule="auto"/>
        <w:rPr>
          <w:rFonts w:ascii="宋体" w:hAnsi="宋体"/>
          <w:highlight w:val="none"/>
        </w:rPr>
      </w:pPr>
      <w:r>
        <w:rPr>
          <w:rFonts w:hint="eastAsia" w:ascii="宋体" w:hAnsi="宋体"/>
          <w:highlight w:val="none"/>
        </w:rPr>
        <w:t xml:space="preserve">（2）全年分 2 次付款，每两个考评周期（半年）支付一次。</w:t>
      </w:r>
      <w:r/>
    </w:p>
    <w:p>
      <w:pPr>
        <w:ind w:firstLine="420"/>
        <w:spacing w:line="336" w:lineRule="auto"/>
        <w:rPr>
          <w:rFonts w:hint="eastAsia"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）全年处理量≥2800 吨的，按考核结果全额付款；若全年处理量不足 2800 吨，在年度末结算时，按 180 元 / 吨扣减相应费用。</w:t>
      </w:r>
      <w:r/>
    </w:p>
    <w:p>
      <w:pPr>
        <w:ind w:firstLine="420"/>
        <w:jc w:val="left"/>
        <w:spacing w:line="360" w:lineRule="auto"/>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4</w:t>
      </w:r>
      <w:r>
        <w:rPr>
          <w:rFonts w:hint="eastAsia" w:ascii="宋体" w:hAnsi="宋体"/>
          <w:highlight w:val="none"/>
        </w:rPr>
        <w:t xml:space="preserve">）支付条件：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90分</w:t>
      </w:r>
      <w:r>
        <w:rPr>
          <w:rFonts w:hint="eastAsia" w:ascii="宋体" w:hAnsi="宋体" w:cs="宋体"/>
          <w:szCs w:val="21"/>
          <w:highlight w:val="none"/>
        </w:rPr>
        <w:t xml:space="preserve">时</w:t>
      </w:r>
      <w:r>
        <w:rPr>
          <w:rFonts w:ascii="宋体" w:hAnsi="宋体" w:cs="宋体"/>
          <w:szCs w:val="21"/>
          <w:highlight w:val="none"/>
        </w:rPr>
        <w:t xml:space="preserve">，全额支付当季度运营服务款</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90分</w:t>
      </w:r>
      <w:r>
        <w:rPr>
          <w:rFonts w:hint="eastAsia" w:ascii="宋体" w:hAnsi="宋体" w:cs="宋体"/>
          <w:szCs w:val="21"/>
          <w:highlight w:val="none"/>
          <w:lang w:val="en-US"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80分</w:t>
      </w:r>
      <w:r>
        <w:rPr>
          <w:rFonts w:hint="eastAsia" w:ascii="宋体" w:hAnsi="宋体" w:cs="宋体"/>
          <w:szCs w:val="21"/>
          <w:highlight w:val="none"/>
        </w:rPr>
        <w:t xml:space="preserve">时</w:t>
      </w:r>
      <w:r>
        <w:rPr>
          <w:rFonts w:ascii="宋体" w:hAnsi="宋体" w:cs="宋体"/>
          <w:szCs w:val="21"/>
          <w:highlight w:val="none"/>
        </w:rPr>
        <w:t xml:space="preserve">，扣除当季度运营服务费的5%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③</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80分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70分，扣除当季度运营服务费的10%</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④</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70分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60分，扣除当季度运营服务费的15%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⑤</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60</w:t>
      </w:r>
      <w:r>
        <w:rPr>
          <w:rFonts w:hint="eastAsia" w:ascii="宋体" w:hAnsi="宋体" w:cs="宋体"/>
          <w:szCs w:val="21"/>
          <w:highlight w:val="none"/>
          <w:lang w:eastAsia="zh-CN"/>
        </w:rPr>
        <w:t xml:space="preserve">分时</w:t>
      </w:r>
      <w:r>
        <w:rPr>
          <w:rFonts w:hint="eastAsia" w:ascii="宋体" w:hAnsi="宋体" w:cs="宋体"/>
          <w:szCs w:val="21"/>
          <w:highlight w:val="none"/>
        </w:rPr>
        <w:t xml:space="preserve">，</w:t>
      </w:r>
      <w:r>
        <w:rPr>
          <w:rFonts w:ascii="宋体" w:hAnsi="宋体" w:cs="宋体"/>
          <w:szCs w:val="21"/>
          <w:highlight w:val="none"/>
        </w:rPr>
        <w:t xml:space="preserve">为不合格，扣除当季度运营服务费的30%</w:t>
      </w:r>
      <w:r>
        <w:rPr>
          <w:rFonts w:hint="eastAsia" w:ascii="宋体" w:hAnsi="宋体" w:cs="宋体"/>
          <w:szCs w:val="21"/>
          <w:highlight w:val="none"/>
          <w:lang w:eastAsia="zh-CN"/>
        </w:rPr>
        <w:t xml:space="preserve">，</w:t>
      </w:r>
      <w:r>
        <w:rPr>
          <w:rFonts w:ascii="宋体" w:hAnsi="宋体" w:cs="宋体"/>
          <w:szCs w:val="21"/>
          <w:highlight w:val="none"/>
        </w:rPr>
        <w:t xml:space="preserve">并限期10日内</w:t>
      </w:r>
      <w:r>
        <w:rPr>
          <w:rFonts w:hint="eastAsia" w:ascii="宋体" w:hAnsi="宋体" w:cs="宋体"/>
          <w:szCs w:val="21"/>
          <w:highlight w:val="none"/>
        </w:rPr>
        <w:t xml:space="preserve">完成</w:t>
      </w:r>
      <w:r>
        <w:rPr>
          <w:rFonts w:ascii="宋体" w:hAnsi="宋体" w:cs="宋体"/>
          <w:szCs w:val="21"/>
          <w:highlight w:val="none"/>
        </w:rPr>
        <w:t xml:space="preserve">整</w:t>
      </w:r>
      <w:r>
        <w:rPr>
          <w:rFonts w:hint="eastAsia" w:ascii="宋体" w:hAnsi="宋体" w:cs="宋体"/>
          <w:szCs w:val="21"/>
          <w:highlight w:val="none"/>
        </w:rPr>
        <w:t xml:space="preserve">改</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⑥</w:t>
      </w:r>
      <w:r>
        <w:rPr>
          <w:rFonts w:ascii="宋体" w:hAnsi="宋体" w:cs="宋体"/>
          <w:szCs w:val="21"/>
          <w:highlight w:val="none"/>
        </w:rPr>
        <w:t xml:space="preserve">一年内累计达2次考核不合格的，</w:t>
      </w:r>
      <w:r>
        <w:rPr>
          <w:rFonts w:hint="eastAsia" w:ascii="宋体" w:hAnsi="宋体" w:cs="宋体"/>
          <w:szCs w:val="21"/>
          <w:highlight w:val="none"/>
        </w:rPr>
        <w:t xml:space="preserve">中心</w:t>
      </w:r>
      <w:r>
        <w:rPr>
          <w:rFonts w:ascii="宋体" w:hAnsi="宋体" w:cs="宋体"/>
          <w:szCs w:val="21"/>
          <w:highlight w:val="none"/>
        </w:rPr>
        <w:t xml:space="preserve">有权单方面终止合同，</w:t>
      </w:r>
      <w:r>
        <w:rPr>
          <w:rFonts w:hint="eastAsia" w:ascii="宋体" w:hAnsi="宋体"/>
          <w:highlight w:val="none"/>
        </w:rPr>
        <w:t xml:space="preserve">乙方须无条件按甲方要求办理移交、退场手续</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⑦</w:t>
      </w:r>
      <w:r>
        <w:rPr>
          <w:rFonts w:hint="eastAsia" w:ascii="宋体" w:hAnsi="宋体" w:cs="宋体"/>
          <w:szCs w:val="21"/>
          <w:highlight w:val="none"/>
          <w:lang w:eastAsia="zh-CN"/>
        </w:rPr>
        <w:t xml:space="preserve">成交供应商</w:t>
      </w:r>
      <w:r>
        <w:rPr>
          <w:rFonts w:ascii="宋体" w:hAnsi="宋体" w:cs="宋体"/>
          <w:szCs w:val="21"/>
          <w:highlight w:val="none"/>
        </w:rPr>
        <w:t xml:space="preserve">在运营期间被环保督查发现问题并处理的，招标人将视情况给予扣分或</w:t>
      </w:r>
      <w:r>
        <w:rPr>
          <w:rFonts w:hint="eastAsia" w:ascii="宋体" w:hAnsi="宋体" w:cs="宋体"/>
          <w:szCs w:val="21"/>
          <w:highlight w:val="none"/>
        </w:rPr>
        <w:t xml:space="preserve">罚款；</w:t>
      </w:r>
      <w:r>
        <w:rPr>
          <w:rFonts w:ascii="宋体" w:hAnsi="宋体" w:cs="宋体"/>
          <w:szCs w:val="21"/>
          <w:highlight w:val="none"/>
        </w:rPr>
        <w:t xml:space="preserve">在一个季度内，</w:t>
      </w:r>
      <w:r>
        <w:rPr>
          <w:rFonts w:hint="eastAsia" w:ascii="宋体" w:hAnsi="宋体" w:cs="宋体"/>
          <w:szCs w:val="21"/>
          <w:highlight w:val="none"/>
        </w:rPr>
        <w:t xml:space="preserve">被</w:t>
      </w:r>
      <w:r>
        <w:rPr>
          <w:rFonts w:ascii="宋体" w:hAnsi="宋体" w:cs="宋体"/>
          <w:szCs w:val="21"/>
          <w:highlight w:val="none"/>
        </w:rPr>
        <w:t xml:space="preserve">上级主管部门、业主方、社会各方抽查、检查或举报的，经核查</w:t>
      </w:r>
      <w:r>
        <w:rPr>
          <w:rFonts w:hint="eastAsia" w:ascii="宋体" w:hAnsi="宋体" w:cs="宋体"/>
          <w:szCs w:val="21"/>
          <w:highlight w:val="none"/>
        </w:rPr>
        <w:t xml:space="preserve">出水水质</w:t>
      </w:r>
      <w:r>
        <w:rPr>
          <w:rFonts w:ascii="宋体" w:hAnsi="宋体" w:cs="宋体"/>
          <w:szCs w:val="21"/>
          <w:highlight w:val="none"/>
        </w:rPr>
        <w:t xml:space="preserve">不达标1次扣除该季度运营费用50%</w:t>
      </w:r>
      <w:r>
        <w:rPr>
          <w:rFonts w:hint="eastAsia" w:ascii="宋体" w:hAnsi="宋体" w:cs="宋体"/>
          <w:szCs w:val="21"/>
          <w:highlight w:val="none"/>
        </w:rPr>
        <w:t xml:space="preserve">；</w:t>
      </w:r>
      <w:r>
        <w:rPr>
          <w:rFonts w:hint="eastAsia" w:ascii="宋体" w:hAnsi="宋体" w:cs="宋体"/>
          <w:szCs w:val="21"/>
          <w:highlight w:val="none"/>
          <w:lang w:eastAsia="zh-CN"/>
        </w:rPr>
        <w:t xml:space="preserve">达到</w:t>
      </w:r>
      <w:r>
        <w:rPr>
          <w:rFonts w:ascii="宋体" w:hAnsi="宋体" w:cs="宋体"/>
          <w:szCs w:val="21"/>
          <w:highlight w:val="none"/>
        </w:rPr>
        <w:t xml:space="preserve">2次及以上的，扣除季度运营费用，</w:t>
      </w:r>
      <w:r>
        <w:rPr>
          <w:rFonts w:hint="eastAsia" w:ascii="宋体" w:hAnsi="宋体" w:cs="宋体"/>
          <w:szCs w:val="21"/>
          <w:highlight w:val="none"/>
        </w:rPr>
        <w:t xml:space="preserve">同时应当消除上级或社会各方对当地政府及业主方带来的一</w:t>
      </w:r>
      <w:r>
        <w:rPr>
          <w:rFonts w:ascii="宋体" w:hAnsi="宋体" w:cs="宋体"/>
          <w:szCs w:val="21"/>
          <w:highlight w:val="none"/>
        </w:rPr>
        <w:t xml:space="preserve">切不良影响，</w:t>
      </w:r>
      <w:r>
        <w:rPr>
          <w:rFonts w:hint="eastAsia" w:ascii="宋体" w:hAnsi="宋体" w:cs="宋体"/>
          <w:szCs w:val="21"/>
          <w:highlight w:val="none"/>
        </w:rPr>
        <w:t xml:space="preserve">并</w:t>
      </w:r>
      <w:r>
        <w:rPr>
          <w:rFonts w:ascii="宋体" w:hAnsi="宋体" w:cs="宋体"/>
          <w:szCs w:val="21"/>
          <w:highlight w:val="none"/>
        </w:rPr>
        <w:t xml:space="preserve">赔偿相关</w:t>
      </w:r>
      <w:r>
        <w:rPr>
          <w:rFonts w:hint="eastAsia" w:ascii="宋体" w:hAnsi="宋体" w:cs="宋体"/>
          <w:szCs w:val="21"/>
          <w:highlight w:val="none"/>
        </w:rPr>
        <w:t xml:space="preserve">损失。</w:t>
      </w:r>
      <w:r/>
    </w:p>
    <w:p>
      <w:pPr>
        <w:ind w:firstLine="422"/>
        <w:jc w:val="left"/>
        <w:spacing w:line="360" w:lineRule="auto"/>
        <w:rPr>
          <w:rFonts w:ascii="宋体" w:hAnsi="宋体"/>
          <w:b/>
          <w:highlight w:val="none"/>
        </w:rPr>
      </w:pPr>
      <w:r>
        <w:rPr>
          <w:rFonts w:hint="eastAsia" w:ascii="宋体" w:hAnsi="宋体" w:cs="宋体"/>
          <w:b/>
          <w:szCs w:val="21"/>
          <w:highlight w:val="none"/>
        </w:rPr>
        <w:t xml:space="preserve">以上均不计息。</w:t>
      </w:r>
      <w:r/>
    </w:p>
    <w:p>
      <w:pPr>
        <w:ind w:firstLine="420"/>
        <w:spacing w:line="336" w:lineRule="auto"/>
        <w:rPr>
          <w:highlight w:val="none"/>
        </w:rPr>
      </w:pPr>
      <w:r>
        <w:rPr>
          <w:rFonts w:hint="eastAsia"/>
          <w:highlight w:val="none"/>
        </w:rPr>
        <w:t xml:space="preserve">第十条  违约责任</w:t>
      </w:r>
      <w:r/>
    </w:p>
    <w:p>
      <w:pPr>
        <w:ind w:firstLine="420"/>
        <w:spacing w:line="336" w:lineRule="auto"/>
        <w:rPr>
          <w:highlight w:val="none"/>
        </w:rPr>
      </w:pPr>
      <w:r>
        <w:rPr>
          <w:highlight w:val="none"/>
        </w:rPr>
        <w:t xml:space="preserve">1.</w:t>
      </w:r>
      <w:r>
        <w:rPr>
          <w:rFonts w:hint="eastAsia"/>
          <w:highlight w:val="none"/>
        </w:rPr>
        <w:t xml:space="preserve">乙方按合同约定的时间和质量标准提供服务，而甲方无正当理由逾期支付服务费用的，每逾期</w:t>
      </w:r>
      <w:r>
        <w:rPr>
          <w:highlight w:val="none"/>
        </w:rPr>
        <w:t xml:space="preserve">1</w:t>
      </w:r>
      <w:r>
        <w:rPr>
          <w:rFonts w:hint="eastAsia"/>
          <w:highlight w:val="none"/>
        </w:rPr>
        <w:t xml:space="preserve">天甲方向乙方偿付欠款总额的</w:t>
      </w:r>
      <w:r>
        <w:rPr>
          <w:highlight w:val="none"/>
        </w:rPr>
        <w:t xml:space="preserve">5</w:t>
      </w:r>
      <w:r>
        <w:rPr>
          <w:rFonts w:hint="eastAsia"/>
          <w:highlight w:val="none"/>
        </w:rPr>
        <w:t xml:space="preserve">‰滞纳金，但累计滞纳金总额不超过欠款总额的</w:t>
      </w:r>
      <w:r>
        <w:rPr>
          <w:highlight w:val="none"/>
        </w:rPr>
        <w:t xml:space="preserve">5%</w:t>
      </w:r>
      <w:r>
        <w:rPr>
          <w:rFonts w:hint="eastAsia"/>
          <w:highlight w:val="none"/>
        </w:rPr>
        <w:t xml:space="preserve">。</w:t>
      </w:r>
      <w:r/>
    </w:p>
    <w:p>
      <w:pPr>
        <w:ind w:firstLine="420"/>
        <w:spacing w:line="336" w:lineRule="auto"/>
        <w:rPr>
          <w:highlight w:val="none"/>
        </w:rPr>
      </w:pPr>
      <w:r>
        <w:rPr>
          <w:highlight w:val="none"/>
        </w:rPr>
        <w:t xml:space="preserve">2.</w:t>
      </w:r>
      <w:r>
        <w:rPr>
          <w:rFonts w:hint="eastAsia"/>
          <w:highlight w:val="none"/>
        </w:rPr>
        <w:t xml:space="preserve">乙方违约，甲方可从本期服务费中扣除相应违约金。</w:t>
      </w:r>
      <w:r/>
    </w:p>
    <w:p>
      <w:pPr>
        <w:ind w:firstLine="420"/>
        <w:spacing w:line="336" w:lineRule="auto"/>
        <w:rPr>
          <w:highlight w:val="none"/>
        </w:rPr>
      </w:pPr>
      <w:r>
        <w:rPr>
          <w:highlight w:val="none"/>
        </w:rPr>
        <w:t xml:space="preserve">3.</w:t>
      </w:r>
      <w:r>
        <w:rPr>
          <w:rFonts w:hint="eastAsia"/>
          <w:highlight w:val="none"/>
        </w:rPr>
        <w:t xml:space="preserve">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36" w:lineRule="auto"/>
        <w:rPr>
          <w:highlight w:val="none"/>
        </w:rPr>
      </w:pPr>
      <w:r>
        <w:rPr>
          <w:highlight w:val="none"/>
        </w:rPr>
        <w:t xml:space="preserve">4.</w:t>
      </w:r>
      <w:r>
        <w:rPr>
          <w:rFonts w:hint="eastAsia"/>
          <w:highlight w:val="none"/>
        </w:rPr>
        <w:t xml:space="preserve">乙方未按合同约定的时间和质量标准提供服务，给甲方造成损失的，甲方可要求乙方按实赔偿；因乙方服务质量问题导致甲方无法实现合同目的的，甲方有权解除合同。</w:t>
      </w:r>
      <w:r/>
    </w:p>
    <w:p>
      <w:pPr>
        <w:ind w:firstLine="420"/>
        <w:spacing w:line="336" w:lineRule="auto"/>
        <w:rPr>
          <w:highlight w:val="none"/>
        </w:rPr>
      </w:pPr>
      <w:r>
        <w:rPr>
          <w:highlight w:val="none"/>
        </w:rPr>
        <w:t xml:space="preserve">5.</w:t>
      </w:r>
      <w:r>
        <w:rPr>
          <w:rFonts w:hint="eastAsia"/>
          <w:highlight w:val="none"/>
        </w:rPr>
        <w:t xml:space="preserve">其他违约责任约定</w:t>
      </w:r>
      <w:r/>
    </w:p>
    <w:p>
      <w:pPr>
        <w:ind w:firstLine="420"/>
        <w:spacing w:line="336" w:lineRule="auto"/>
        <w:rPr>
          <w:highlight w:val="none"/>
        </w:rPr>
      </w:pPr>
      <w:r>
        <w:rPr>
          <w:rFonts w:hint="eastAsia"/>
          <w:highlight w:val="none"/>
        </w:rPr>
        <w:t xml:space="preserve">第十一条  合同的变更和终止</w:t>
      </w:r>
      <w:r/>
    </w:p>
    <w:p>
      <w:pPr>
        <w:ind w:firstLine="420"/>
        <w:spacing w:line="336" w:lineRule="auto"/>
        <w:rPr>
          <w:highlight w:val="none"/>
        </w:rPr>
      </w:pPr>
      <w:r>
        <w:rPr>
          <w:highlight w:val="none"/>
        </w:rPr>
        <w:t xml:space="preserve">1.</w:t>
      </w:r>
      <w:r>
        <w:rPr>
          <w:rFonts w:hint="eastAsia"/>
          <w:highlight w:val="none"/>
        </w:rPr>
        <w:t xml:space="preserve">除</w:t>
      </w:r>
      <w:r>
        <w:rPr>
          <w:rFonts w:hint="eastAsia"/>
          <w:highlight w:val="none"/>
          <w:lang w:eastAsia="zh-CN"/>
        </w:rPr>
        <w:t xml:space="preserve">《中华人民共和国政府采购法》第五十条</w:t>
      </w:r>
      <w:r>
        <w:rPr>
          <w:rFonts w:hint="eastAsia"/>
          <w:highlight w:val="none"/>
        </w:rPr>
        <w:t xml:space="preserve">第二款规定的情形外，本合同一经签订，甲乙双方不得擅自变更、中止或终止合同。</w:t>
      </w:r>
      <w:r/>
    </w:p>
    <w:p>
      <w:pPr>
        <w:ind w:firstLine="420"/>
        <w:spacing w:line="336" w:lineRule="auto"/>
        <w:rPr>
          <w:highlight w:val="none"/>
        </w:rPr>
      </w:pPr>
      <w:r>
        <w:rPr>
          <w:highlight w:val="none"/>
        </w:rPr>
        <w:t xml:space="preserve">2.</w:t>
      </w:r>
      <w:r>
        <w:rPr>
          <w:rFonts w:hint="eastAsia"/>
          <w:highlight w:val="none"/>
        </w:rPr>
        <w:t xml:space="preserve">除发生法律规定的不能预见、不能避免并不能克服的客观情况外，甲乙双方不得放弃或拒绝履行合同。</w:t>
      </w:r>
      <w:r/>
    </w:p>
    <w:p>
      <w:pPr>
        <w:ind w:firstLine="420"/>
        <w:spacing w:line="336" w:lineRule="auto"/>
        <w:rPr>
          <w:highlight w:val="none"/>
        </w:rPr>
      </w:pPr>
      <w:r>
        <w:rPr>
          <w:rFonts w:hint="eastAsia"/>
          <w:highlight w:val="none"/>
        </w:rPr>
        <w:t xml:space="preserve">第十二条  合同的转让</w:t>
      </w:r>
      <w:r/>
    </w:p>
    <w:p>
      <w:pPr>
        <w:ind w:firstLine="420"/>
        <w:spacing w:line="336" w:lineRule="auto"/>
        <w:rPr>
          <w:highlight w:val="none"/>
        </w:rPr>
      </w:pPr>
      <w:r>
        <w:rPr>
          <w:rFonts w:hint="eastAsia"/>
          <w:highlight w:val="none"/>
        </w:rPr>
        <w:t xml:space="preserve">乙方不得擅自部分或全部转让其应履行的合同义务。</w:t>
      </w:r>
      <w:r/>
    </w:p>
    <w:p>
      <w:pPr>
        <w:ind w:firstLine="420"/>
        <w:spacing w:line="336" w:lineRule="auto"/>
        <w:rPr>
          <w:highlight w:val="none"/>
        </w:rPr>
      </w:pPr>
      <w:r>
        <w:rPr>
          <w:rFonts w:hint="eastAsia"/>
          <w:highlight w:val="none"/>
        </w:rPr>
        <w:t xml:space="preserve">第十三条  争议的解决</w:t>
      </w:r>
      <w:r/>
    </w:p>
    <w:p>
      <w:pPr>
        <w:ind w:firstLine="420"/>
        <w:spacing w:line="336" w:lineRule="auto"/>
        <w:rPr>
          <w:highlight w:val="none"/>
        </w:rPr>
      </w:pPr>
      <w:r>
        <w:rPr>
          <w:highlight w:val="none"/>
        </w:rPr>
        <w:t xml:space="preserve">1.</w:t>
      </w:r>
      <w:r>
        <w:rPr>
          <w:rFonts w:hint="eastAsia"/>
          <w:highlight w:val="none"/>
        </w:rPr>
        <w:t xml:space="preserve">因履行本合同引起的或与本合同有关的争议，甲、乙双方应首先通过友好协商解决，如果协商不能解决争议，则采取以下第</w:t>
      </w:r>
      <w:r>
        <w:rPr>
          <w:rFonts w:hint="eastAsia"/>
          <w:b/>
          <w:color w:val="000000"/>
          <w:highlight w:val="none"/>
        </w:rPr>
        <w:t xml:space="preserve">（1）</w:t>
      </w:r>
      <w:r>
        <w:rPr>
          <w:rFonts w:hint="eastAsia"/>
          <w:highlight w:val="none"/>
        </w:rPr>
        <w:t xml:space="preserve">种方式解决争议：</w:t>
      </w:r>
      <w:r/>
    </w:p>
    <w:p>
      <w:pPr>
        <w:ind w:firstLine="420"/>
        <w:spacing w:line="336" w:lineRule="auto"/>
        <w:rPr>
          <w:highlight w:val="none"/>
        </w:rPr>
      </w:pPr>
      <w:r>
        <w:rPr>
          <w:rFonts w:hint="eastAsia"/>
          <w:highlight w:val="none"/>
        </w:rPr>
        <w:t xml:space="preserve">（</w:t>
      </w:r>
      <w:r>
        <w:rPr>
          <w:highlight w:val="none"/>
        </w:rPr>
        <w:t xml:space="preserve">1</w:t>
      </w:r>
      <w:r>
        <w:rPr>
          <w:rFonts w:hint="eastAsia"/>
          <w:highlight w:val="none"/>
        </w:rPr>
        <w:t xml:space="preserve">）向甲方所在地有管辖权的人民法院提起诉讼；</w:t>
      </w:r>
      <w:r/>
    </w:p>
    <w:p>
      <w:pPr>
        <w:ind w:firstLine="420"/>
        <w:spacing w:line="336" w:lineRule="auto"/>
        <w:rPr>
          <w:highlight w:val="none"/>
        </w:rPr>
      </w:pPr>
      <w:r>
        <w:rPr>
          <w:rFonts w:hint="eastAsia"/>
          <w:highlight w:val="none"/>
        </w:rPr>
        <w:t xml:space="preserve">（</w:t>
      </w:r>
      <w:r>
        <w:rPr>
          <w:highlight w:val="none"/>
        </w:rPr>
        <w:t xml:space="preserve">2</w:t>
      </w:r>
      <w:r>
        <w:rPr>
          <w:rFonts w:hint="eastAsia"/>
          <w:highlight w:val="none"/>
        </w:rPr>
        <w:t xml:space="preserve">）向泰州仲裁委员会按其仲裁规则申请仲裁。</w:t>
      </w:r>
      <w:r/>
    </w:p>
    <w:p>
      <w:pPr>
        <w:ind w:firstLine="420"/>
        <w:spacing w:line="336" w:lineRule="auto"/>
        <w:rPr>
          <w:highlight w:val="none"/>
        </w:rPr>
      </w:pPr>
      <w:r>
        <w:rPr>
          <w:rFonts w:hint="eastAsia"/>
          <w:highlight w:val="none"/>
        </w:rPr>
        <w:t xml:space="preserve">如</w:t>
      </w:r>
      <w:r>
        <w:rPr>
          <w:rFonts w:hint="eastAsia"/>
          <w:highlight w:val="none"/>
          <w:lang w:eastAsia="zh-CN"/>
        </w:rPr>
        <w:t xml:space="preserve">未</w:t>
      </w:r>
      <w:r>
        <w:rPr>
          <w:rFonts w:hint="eastAsia"/>
          <w:highlight w:val="none"/>
        </w:rPr>
        <w:t xml:space="preserve">约定，默认采取第</w:t>
      </w:r>
      <w:r>
        <w:rPr>
          <w:highlight w:val="none"/>
        </w:rPr>
        <w:t xml:space="preserve">2</w:t>
      </w:r>
      <w:r>
        <w:rPr>
          <w:rFonts w:hint="eastAsia"/>
          <w:highlight w:val="none"/>
        </w:rPr>
        <w:t xml:space="preserve">种方式解决争议。</w:t>
      </w:r>
      <w:r/>
    </w:p>
    <w:p>
      <w:pPr>
        <w:ind w:firstLine="420"/>
        <w:spacing w:line="336" w:lineRule="auto"/>
        <w:rPr>
          <w:highlight w:val="none"/>
        </w:rPr>
      </w:pPr>
      <w:r>
        <w:rPr>
          <w:highlight w:val="none"/>
        </w:rPr>
        <w:t xml:space="preserve">2.</w:t>
      </w:r>
      <w:r>
        <w:rPr>
          <w:rFonts w:hint="eastAsia"/>
          <w:highlight w:val="none"/>
        </w:rPr>
        <w:t xml:space="preserve">在仲裁期间，本合同应继续履行。</w:t>
      </w:r>
      <w:r/>
    </w:p>
    <w:p>
      <w:pPr>
        <w:ind w:firstLine="420"/>
        <w:spacing w:line="336" w:lineRule="auto"/>
        <w:rPr>
          <w:highlight w:val="none"/>
        </w:rPr>
      </w:pPr>
      <w:r>
        <w:rPr>
          <w:rFonts w:hint="eastAsia"/>
          <w:highlight w:val="none"/>
        </w:rPr>
        <w:t xml:space="preserve">第十四条  诚实信用</w:t>
      </w:r>
      <w:r/>
    </w:p>
    <w:p>
      <w:pPr>
        <w:ind w:firstLine="420"/>
        <w:spacing w:line="336" w:lineRule="auto"/>
        <w:rPr>
          <w:highlight w:val="none"/>
        </w:rPr>
      </w:pPr>
      <w:r>
        <w:rPr>
          <w:rFonts w:hint="eastAsia"/>
          <w:highlight w:val="none"/>
        </w:rPr>
        <w:t xml:space="preserve">乙方应诚实信用，严格按照招标（采购）文件要求和投标（响应）承诺履行合同，不向甲方进行商业贿赂或者提供不正当利益。</w:t>
      </w:r>
      <w:r/>
    </w:p>
    <w:p>
      <w:pPr>
        <w:ind w:firstLine="420"/>
        <w:spacing w:line="336" w:lineRule="auto"/>
        <w:rPr>
          <w:highlight w:val="none"/>
        </w:rPr>
      </w:pPr>
      <w:r>
        <w:rPr>
          <w:rFonts w:hint="eastAsia"/>
          <w:highlight w:val="none"/>
        </w:rPr>
        <w:t xml:space="preserve">第十五条  合同生效及其他</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1.本合同自签订之日起生效。</w:t>
      </w:r>
      <w:r/>
    </w:p>
    <w:p>
      <w:pPr>
        <w:ind w:right="210" w:firstLine="420"/>
        <w:jc w:val="left"/>
        <w:spacing w:line="336" w:lineRule="auto"/>
        <w:widowControl/>
        <w:rPr>
          <w:rFonts w:hint="eastAsia" w:ascii="宋体" w:hAnsi="宋体" w:cs="宋体"/>
          <w:szCs w:val="21"/>
          <w:highlight w:val="none"/>
          <w:lang w:val="en-US" w:eastAsia="zh-CN"/>
        </w:rPr>
      </w:pPr>
      <w:r>
        <w:rPr>
          <w:rFonts w:hint="eastAsia" w:ascii="宋体" w:hAnsi="宋体" w:cs="宋体"/>
          <w:szCs w:val="21"/>
          <w:highlight w:val="none"/>
        </w:rPr>
        <w:t xml:space="preserve">2.本合同一式_____份，甲乙双方各执____份</w:t>
      </w:r>
      <w:r>
        <w:rPr>
          <w:rFonts w:hint="eastAsia" w:ascii="宋体" w:hAnsi="宋体" w:cs="宋体"/>
          <w:szCs w:val="21"/>
          <w:highlight w:val="none"/>
          <w:lang w:val="en-US" w:eastAsia="zh-CN"/>
        </w:rPr>
        <w:t xml:space="preserve">。</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本合同应按照中华人民共和国的现行法律进行解释。</w:t>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738"/>
        <w:spacing w:line="336" w:lineRule="auto"/>
        <w:widowControl/>
        <w:rPr>
          <w:rFonts w:hint="eastAsia" w:ascii="宋体" w:hAnsi="宋体" w:cs="宋体"/>
          <w:b/>
          <w:szCs w:val="21"/>
          <w:highlight w:val="none"/>
        </w:rPr>
      </w:pPr>
      <w:r>
        <w:rPr>
          <w:rFonts w:hint="eastAsia" w:ascii="宋体" w:hAnsi="宋体" w:cs="宋体"/>
          <w:b/>
          <w:szCs w:val="21"/>
          <w:highlight w:val="none"/>
        </w:rPr>
        <w:t xml:space="preserve">本页无正文内容。</w:t>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420"/>
        <w:jc w:val="left"/>
        <w:spacing w:line="336" w:lineRule="auto"/>
        <w:widowControl/>
        <w:rPr>
          <w:rFonts w:hint="eastAsia" w:ascii="宋体" w:hAnsi="宋体" w:cs="宋体"/>
          <w:szCs w:val="21"/>
          <w:highlight w:val="none"/>
        </w:rPr>
      </w:pPr>
      <w:r>
        <w:rPr>
          <w:rFonts w:hint="eastAsia" w:ascii="宋体" w:hAnsi="宋体" w:cs="宋体"/>
          <w:szCs w:val="21"/>
          <w:highlight w:val="none"/>
        </w:rPr>
      </w:r>
      <w:r/>
    </w:p>
    <w:p>
      <w:pPr>
        <w:ind w:right="210" w:firstLine="735"/>
        <w:jc w:val="left"/>
        <w:spacing w:line="336" w:lineRule="auto"/>
        <w:widowControl/>
        <w:rPr>
          <w:rFonts w:ascii="宋体" w:hAnsi="宋体" w:cs="宋体"/>
          <w:szCs w:val="21"/>
          <w:highlight w:val="none"/>
        </w:rPr>
      </w:pPr>
      <w:r>
        <w:rPr>
          <w:rFonts w:hint="eastAsia" w:ascii="宋体" w:hAnsi="宋体" w:cs="宋体"/>
          <w:szCs w:val="21"/>
          <w:highlight w:val="none"/>
        </w:rPr>
        <w:t xml:space="preserve"> 甲方（采购人）：   （盖章）              乙方（供应商）：    （盖章）</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法定代表人：                  法定代表人：       </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委托代理人：                  委托代理人：</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电话：                     电话：</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开户银行：                   开户银行：</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eastAsia="zh-CN"/>
        </w:rPr>
        <w:t xml:space="preserve">账号</w:t>
      </w:r>
      <w:r>
        <w:rPr>
          <w:rFonts w:hint="eastAsia" w:ascii="宋体" w:hAnsi="宋体" w:cs="宋体"/>
          <w:szCs w:val="21"/>
          <w:highlight w:val="none"/>
        </w:rPr>
        <w:t xml:space="preserve">：                     </w:t>
      </w:r>
      <w:r>
        <w:rPr>
          <w:rFonts w:hint="eastAsia" w:ascii="宋体" w:hAnsi="宋体" w:cs="宋体"/>
          <w:szCs w:val="21"/>
          <w:highlight w:val="none"/>
          <w:lang w:eastAsia="zh-CN"/>
        </w:rPr>
        <w:t xml:space="preserve">账号</w:t>
      </w:r>
      <w:r>
        <w:rPr>
          <w:rFonts w:hint="eastAsia" w:ascii="宋体" w:hAnsi="宋体" w:cs="宋体"/>
          <w:szCs w:val="21"/>
          <w:highlight w:val="none"/>
        </w:rPr>
        <w:t xml:space="preserve">：</w:t>
      </w:r>
      <w:r/>
    </w:p>
    <w:p>
      <w:pPr>
        <w:ind w:right="210" w:firstLine="420"/>
        <w:jc w:val="left"/>
        <w:spacing w:line="336" w:lineRule="auto"/>
        <w:widowControl/>
        <w:rPr>
          <w:rFonts w:ascii="宋体" w:hAnsi="宋体" w:cs="宋体"/>
          <w:szCs w:val="21"/>
          <w:highlight w:val="none"/>
        </w:rPr>
      </w:pPr>
      <w:r>
        <w:rPr>
          <w:rFonts w:hint="eastAsia" w:ascii="宋体" w:hAnsi="宋体" w:cs="宋体"/>
          <w:szCs w:val="21"/>
          <w:highlight w:val="none"/>
        </w:rPr>
        <w:t xml:space="preserve">   单位地址：                   单位地址： </w:t>
      </w:r>
      <w:r/>
    </w:p>
    <w:p>
      <w:pPr>
        <w:ind w:right="210" w:firstLine="840"/>
        <w:jc w:val="left"/>
        <w:spacing w:line="336" w:lineRule="auto"/>
        <w:widowControl/>
        <w:rPr>
          <w:rFonts w:hint="eastAsia" w:ascii="宋体" w:hAnsi="宋体" w:cs="宋体"/>
          <w:szCs w:val="21"/>
          <w:highlight w:val="none"/>
        </w:rPr>
        <w:sectPr>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Cs w:val="21"/>
          <w:highlight w:val="none"/>
        </w:rPr>
        <w:t xml:space="preserve">日期：   年    月    日                     日期：   年  月  日 </w:t>
      </w:r>
      <w:bookmarkEnd w:id="57"/>
      <w:r/>
      <w:bookmarkEnd w:id="58"/>
      <w:r/>
      <w:bookmarkEnd w:id="59"/>
      <w:r/>
      <w:bookmarkEnd w:id="60"/>
      <w:r/>
      <w:bookmarkEnd w:id="61"/>
      <w:r/>
      <w:bookmarkEnd w:id="62"/>
      <w:r/>
      <w:bookmarkEnd w:id="63"/>
      <w:r/>
      <w:bookmarkEnd w:id="64"/>
      <w:r/>
      <w:r/>
    </w:p>
    <w:p>
      <w:pPr>
        <w:pageBreakBefore w:val="0"/>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ageBreakBefore w:val="0"/>
        <w:spacing w:line="360" w:lineRule="auto"/>
        <w:rPr>
          <w:rFonts w:hint="eastAsia" w:ascii="宋体" w:hAnsi="宋体" w:cs="宋体"/>
          <w:color w:val="auto"/>
          <w:sz w:val="15"/>
          <w:szCs w:val="15"/>
          <w:highlight w:val="none"/>
        </w:rPr>
        <w:sectPr>
          <w:footerReference w:type="default" r:id="rId15"/>
          <w:footnotePr/>
          <w:endnotePr/>
          <w:type w:val="continuous"/>
          <w:pgSz w:w="11907" w:h="16840" w:orient="portrait"/>
          <w:pgMar w:top="1134" w:right="1134" w:bottom="1134" w:left="1560" w:header="851" w:footer="851" w:gutter="0"/>
          <w:cols w:num="1" w:sep="0" w:space="720" w:equalWidth="1"/>
          <w:docGrid w:linePitch="360"/>
        </w:sectPr>
      </w:pPr>
      <w:r>
        <w:rPr>
          <w:rFonts w:hint="eastAsia" w:ascii="宋体" w:hAnsi="宋体" w:cs="宋体"/>
          <w:color w:val="auto"/>
          <w:sz w:val="15"/>
          <w:szCs w:val="15"/>
          <w:highlight w:val="none"/>
        </w:rPr>
      </w:r>
      <w:r/>
    </w:p>
    <w:p>
      <w:pPr>
        <w:pageBreakBefore w:val="0"/>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Style w:val="1116"/>
        <w:numPr>
          <w:ilvl w:val="0"/>
          <w:numId w:val="0"/>
        </w:numPr>
        <w:jc w:val="center"/>
        <w:spacing w:line="360" w:lineRule="auto"/>
        <w:rPr>
          <w:rFonts w:ascii="宋体" w:hAnsi="宋体" w:eastAsia="宋体"/>
          <w:b/>
          <w:sz w:val="36"/>
          <w:szCs w:val="36"/>
          <w:highlight w:val="none"/>
        </w:rPr>
      </w:pPr>
      <w:r>
        <w:rPr>
          <w:rFonts w:hint="eastAsia" w:ascii="宋体" w:hAnsi="宋体" w:eastAsia="宋体"/>
          <w:b/>
          <w:color w:val="auto"/>
          <w:sz w:val="21"/>
          <w:szCs w:val="21"/>
          <w:highlight w:val="none"/>
          <w:lang w:val="en-US" w:eastAsia="zh-CN"/>
        </w:rPr>
        <w:t xml:space="preserve">第四章 </w:t>
      </w:r>
      <w:r>
        <w:rPr>
          <w:rFonts w:hint="eastAsia" w:ascii="宋体" w:hAnsi="宋体" w:eastAsia="宋体"/>
          <w:b/>
          <w:color w:val="auto"/>
          <w:sz w:val="21"/>
          <w:szCs w:val="21"/>
          <w:highlight w:val="none"/>
        </w:rPr>
        <w:t xml:space="preserve">项目需求</w:t>
      </w:r>
      <w:bookmarkEnd w:id="54"/>
      <w:r/>
      <w:bookmarkEnd w:id="55"/>
      <w:r/>
      <w:bookmarkEnd w:id="56"/>
      <w:r/>
      <w:bookmarkStart w:id="65" w:name="_Toc86268903"/>
      <w:r/>
      <w:bookmarkStart w:id="66" w:name="_Toc23828480"/>
      <w:r/>
      <w:bookmarkStart w:id="67" w:name="_Toc26554097"/>
      <w:r/>
      <w:bookmarkStart w:id="68" w:name="_Toc61149622"/>
      <w:r/>
      <w:r/>
    </w:p>
    <w:p>
      <w:pPr>
        <w:pStyle w:val="1159"/>
        <w:numPr>
          <w:ilvl w:val="0"/>
          <w:numId w:val="5"/>
        </w:numPr>
        <w:spacing w:line="360" w:lineRule="auto"/>
        <w:rPr>
          <w:rFonts w:hint="eastAsia" w:ascii="宋体" w:hAnsi="宋体"/>
          <w:b/>
          <w:szCs w:val="21"/>
          <w:highlight w:val="none"/>
        </w:rPr>
      </w:pPr>
      <w:r>
        <w:rPr>
          <w:rFonts w:ascii="宋体" w:hAnsi="宋体"/>
          <w:b/>
          <w:szCs w:val="21"/>
          <w:highlight w:val="none"/>
        </w:rPr>
        <w:t xml:space="preserve">项目概况</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1.泰州市生活垃圾焚烧发电配套项目（以下简称“配套项目”）渗滤液及废水收集处理、设备设施更换维护项目是根据配套</w:t>
      </w:r>
      <w:r>
        <w:rPr>
          <w:rFonts w:hint="eastAsia" w:ascii="宋体" w:hAnsi="宋体"/>
          <w:highlight w:val="none"/>
          <w:lang w:val="en-US" w:eastAsia="zh-CN"/>
        </w:rPr>
        <w:t xml:space="preserve">项目环评批复要求：“废水应根据水质特性进行分类处理，飞灰填埋场渗滤液经厂内自行处理达到《生活垃圾填埋场污染控制标准》（GB16889-2008）表2要求，其他废水经厂内预处理达到接管标准，二者部分回用，其余与生活污水一并接入泰州第四污水处理厂集中处理。”建设运行的。2020年底配套项目飞灰填埋场封场后，该项目按照封场环评批复要求：“渗滤液经填埋场污水处理站采用‘氧化还原沉淀+砂滤+反渗透’工艺预处理达到《生活垃圾填埋场污染控制标准》（GB16889-2008）表2标准后，接入泰州市城北污水处理厂集中处理。”</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配套项目渗滤液及废水收集处理所有设施设备以现场实物为准，因该项目渗滤液处理设备设施已运行10年，部分设施锈蚀严重，过滤、膜处理系统已不能满足处理运行要求，为确保渗滤液处理设施安全、环保、稳定运行，拟参照原组件品牌配套更换，维修更换后，必须确保与原设备完全匹配兼容，且至少满足三年正常运行。另外，中标总价包含渗滤液处理设备设施维修、更换产生的全部费用，且三年运行期内任何运行设备方面的维修、更换费用全部由成交供应商承担，采购人不再承担任何费用。</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2.预算金额：总预算不超过181.98万元（每年60.66万元）。</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3.服务期限：服务期限为三年（2026年10月1日—2029年9月30日）</w:t>
      </w:r>
      <w:r/>
    </w:p>
    <w:p>
      <w:pPr>
        <w:pStyle w:val="1159"/>
        <w:numPr>
          <w:ilvl w:val="0"/>
          <w:numId w:val="5"/>
        </w:numPr>
        <w:spacing w:line="360" w:lineRule="auto"/>
        <w:rPr>
          <w:rFonts w:ascii="宋体" w:hAnsi="宋体"/>
          <w:b/>
          <w:szCs w:val="21"/>
          <w:highlight w:val="none"/>
        </w:rPr>
      </w:pPr>
      <w:r>
        <w:rPr>
          <w:rFonts w:hint="eastAsia" w:ascii="宋体" w:hAnsi="宋体"/>
          <w:b/>
          <w:szCs w:val="21"/>
          <w:highlight w:val="none"/>
        </w:rPr>
        <w:t xml:space="preserve">技术</w:t>
      </w:r>
      <w:r>
        <w:rPr>
          <w:rFonts w:ascii="宋体" w:hAnsi="宋体"/>
          <w:b/>
          <w:szCs w:val="21"/>
          <w:highlight w:val="none"/>
        </w:rPr>
        <w:t xml:space="preserve">要求</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1.本项目为泰州市生活垃圾焚烧发电配套项目渗滤液及废水收集处理设施，采用</w:t>
      </w:r>
      <w:r>
        <w:rPr>
          <w:rFonts w:hint="default" w:ascii="宋体" w:hAnsi="宋体"/>
          <w:highlight w:val="none"/>
          <w:lang w:val="en-US" w:eastAsia="zh-CN"/>
        </w:rPr>
        <w:t xml:space="preserve">“</w:t>
      </w:r>
      <w:r>
        <w:rPr>
          <w:rFonts w:hint="eastAsia" w:ascii="宋体" w:hAnsi="宋体"/>
          <w:highlight w:val="none"/>
          <w:lang w:val="en-US" w:eastAsia="zh-CN"/>
        </w:rPr>
        <w:t xml:space="preserve">氧化还原沉淀</w:t>
      </w:r>
      <w:r>
        <w:rPr>
          <w:rFonts w:hint="default" w:ascii="宋体" w:hAnsi="宋体"/>
          <w:highlight w:val="none"/>
          <w:lang w:val="en-US" w:eastAsia="zh-CN"/>
        </w:rPr>
        <w:t xml:space="preserve">+</w:t>
      </w:r>
      <w:r>
        <w:rPr>
          <w:rFonts w:hint="eastAsia" w:ascii="宋体" w:hAnsi="宋体"/>
          <w:highlight w:val="none"/>
          <w:lang w:val="en-US" w:eastAsia="zh-CN"/>
        </w:rPr>
        <w:t xml:space="preserve">砂滤</w:t>
      </w:r>
      <w:r>
        <w:rPr>
          <w:rFonts w:hint="default" w:ascii="宋体" w:hAnsi="宋体"/>
          <w:highlight w:val="none"/>
          <w:lang w:val="en-US" w:eastAsia="zh-CN"/>
        </w:rPr>
        <w:t xml:space="preserve">+</w:t>
      </w:r>
      <w:r>
        <w:rPr>
          <w:rFonts w:hint="eastAsia" w:ascii="宋体" w:hAnsi="宋体"/>
          <w:highlight w:val="none"/>
          <w:lang w:val="en-US" w:eastAsia="zh-CN"/>
        </w:rPr>
        <w:t xml:space="preserve">反渗透”工艺进行处理，设计处理规模为20 m³/d。</w:t>
      </w:r>
      <w:r/>
    </w:p>
    <w:p>
      <w:pPr>
        <w:ind w:firstLine="420"/>
        <w:spacing w:line="360" w:lineRule="auto"/>
        <w:rPr>
          <w:rFonts w:hint="eastAsia" w:ascii="宋体" w:hAnsi="宋体"/>
          <w:highlight w:val="none"/>
          <w:lang w:val="en-US" w:eastAsia="zh-CN"/>
        </w:rPr>
      </w:pPr>
      <w:r>
        <w:rPr>
          <w:rFonts w:hint="eastAsia" w:ascii="宋体" w:hAnsi="宋体"/>
          <w:highlight w:val="none"/>
          <w:lang w:val="en-US" w:eastAsia="zh-CN"/>
        </w:rPr>
        <w:t xml:space="preserve">2.本项目</w:t>
      </w:r>
      <w:r>
        <w:rPr>
          <w:rFonts w:hint="eastAsia" w:ascii="宋体" w:hAnsi="宋体"/>
          <w:highlight w:val="none"/>
          <w:lang w:val="zh-CN" w:eastAsia="zh-CN"/>
        </w:rPr>
        <w:t xml:space="preserve">运营期间的</w:t>
      </w:r>
      <w:r>
        <w:rPr>
          <w:rFonts w:hint="eastAsia" w:ascii="宋体" w:hAnsi="宋体"/>
          <w:highlight w:val="none"/>
          <w:lang w:val="en-US" w:eastAsia="zh-CN"/>
        </w:rPr>
        <w:t xml:space="preserve">进、出水水质。</w:t>
      </w:r>
      <w:r/>
    </w:p>
    <w:p>
      <w:pPr>
        <w:ind w:firstLine="420"/>
        <w:rPr>
          <w:rFonts w:hint="eastAsia" w:ascii="宋体" w:hAnsi="宋体" w:eastAsiaTheme="minorEastAsia"/>
          <w:highlight w:val="none"/>
          <w:lang w:eastAsia="zh-CN"/>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lang w:val="en-US" w:eastAsia="zh-CN"/>
        </w:rPr>
        <w:t xml:space="preserve">本项目</w:t>
      </w:r>
      <w:r>
        <w:rPr>
          <w:rFonts w:hint="eastAsia" w:ascii="宋体" w:hAnsi="宋体"/>
          <w:highlight w:val="none"/>
          <w:lang w:val="zh-CN" w:eastAsia="zh-CN"/>
        </w:rPr>
        <w:t xml:space="preserve">运营期间的</w:t>
      </w:r>
      <w:r>
        <w:rPr>
          <w:rFonts w:hint="eastAsia" w:ascii="宋体" w:hAnsi="宋体"/>
          <w:highlight w:val="none"/>
        </w:rPr>
        <w:t xml:space="preserve">进水水质</w:t>
      </w:r>
      <w:r>
        <w:rPr>
          <w:rFonts w:hint="eastAsia" w:ascii="宋体" w:hAnsi="宋体"/>
          <w:highlight w:val="none"/>
          <w:lang w:eastAsia="zh-CN"/>
        </w:rPr>
        <w:t xml:space="preserve">：</w:t>
      </w:r>
      <w:r/>
    </w:p>
    <w:p>
      <w:pPr>
        <w:jc w:val="center"/>
        <w:rPr>
          <w:rFonts w:ascii="宋体" w:hAnsi="宋体"/>
          <w:highlight w:val="none"/>
        </w:rPr>
      </w:pPr>
      <w:r>
        <w:rPr>
          <w:rFonts w:hint="eastAsia" w:ascii="宋体" w:hAnsi="宋体"/>
          <w:highlight w:val="none"/>
        </w:rPr>
        <w:t xml:space="preserve">进水水质</w:t>
      </w:r>
      <w:r/>
    </w:p>
    <w:p>
      <w:pPr>
        <w:jc w:val="center"/>
        <w:rPr>
          <w:rFonts w:hint="eastAsia" w:ascii="宋体" w:hAnsi="宋体"/>
          <w:highlight w:val="none"/>
        </w:rPr>
      </w:pPr>
      <w:r>
        <w:rPr>
          <w:rFonts w:hint="eastAsia" w:ascii="宋体" w:hAnsi="宋体"/>
          <w:highlight w:val="none"/>
        </w:rPr>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1"/>
        <w:gridCol w:w="2346"/>
        <w:gridCol w:w="2563"/>
      </w:tblGrid>
      <w:tr>
        <w:trPr>
          <w:jc w:val="center"/>
          <w:trHeight w:val="397"/>
          <w:tblHeader/>
        </w:trPr>
        <w:tc>
          <w:tcPr>
            <w:shd w:val="clear" w:color="auto" w:fill="auto"/>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rPr>
              <w:t xml:space="preserve">序号</w:t>
            </w:r>
            <w:r/>
          </w:p>
        </w:tc>
        <w:tc>
          <w:tcPr>
            <w:shd w:val="clear" w:color="auto" w:fill="auto"/>
            <w:tcW w:w="2346"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rPr>
              <w:t xml:space="preserve">项目</w:t>
            </w:r>
            <w:r/>
          </w:p>
        </w:tc>
        <w:tc>
          <w:tcPr>
            <w:shd w:val="clear" w:color="auto" w:fill="auto"/>
            <w:tcW w:w="2563"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rPr>
              <w:t xml:space="preserve">浓度</w:t>
            </w:r>
            <w:r>
              <w:rPr>
                <w:rFonts w:hint="eastAsia" w:ascii="宋体" w:hAnsi="宋体"/>
                <w:highlight w:val="none"/>
                <w:lang w:eastAsia="zh-CN"/>
              </w:rPr>
              <w:t xml:space="preserve">（</w:t>
            </w:r>
            <w:r>
              <w:rPr>
                <w:rFonts w:hint="eastAsia" w:ascii="宋体" w:hAnsi="宋体"/>
                <w:highlight w:val="none"/>
              </w:rPr>
              <w:t xml:space="preserve">mg/L</w:t>
            </w:r>
            <w:r>
              <w:rPr>
                <w:rFonts w:hint="eastAsia" w:ascii="宋体" w:hAnsi="宋体"/>
                <w:highlight w:val="none"/>
                <w:lang w:eastAsia="zh-CN"/>
              </w:rPr>
              <w:t xml:space="preserve">）</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1</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pH</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7~10</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2</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总汞</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0.25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3</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总铅</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5.0</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4</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总镉</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5</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总铬</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12</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6</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六价铬</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2.5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7</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总铜</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75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8</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总锌</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75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9</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总镍</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10</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总砷</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2.5</w:t>
            </w:r>
            <w:r/>
          </w:p>
        </w:tc>
      </w:tr>
      <w:tr>
        <w:trPr>
          <w:jc w:val="center"/>
          <w:trHeight w:val="397"/>
        </w:trPr>
        <w:tc>
          <w:tcPr>
            <w:tcW w:w="2281" w:type="dxa"/>
            <w:vAlign w:val="center"/>
            <w:textDirection w:val="lrTb"/>
            <w:noWrap w:val="false"/>
          </w:tcPr>
          <w:p>
            <w:pPr>
              <w:jc w:val="center"/>
              <w:rPr>
                <w:rFonts w:hint="eastAsia" w:ascii="宋体" w:hAnsi="宋体"/>
                <w:highlight w:val="none"/>
                <w:lang w:val="en-US" w:eastAsia="zh-CN"/>
              </w:rPr>
            </w:pPr>
            <w:r>
              <w:rPr>
                <w:rFonts w:hint="eastAsia" w:ascii="宋体" w:hAnsi="宋体"/>
                <w:highlight w:val="none"/>
                <w:lang w:val="en-US" w:eastAsia="zh-CN"/>
              </w:rPr>
              <w:t xml:space="preserve">11</w:t>
            </w:r>
            <w:r/>
          </w:p>
        </w:tc>
        <w:tc>
          <w:tcPr>
            <w:tcW w:w="2346"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无机氟化物</w:t>
            </w:r>
            <w:r/>
          </w:p>
          <w:p>
            <w:pPr>
              <w:jc w:val="center"/>
              <w:rPr>
                <w:rFonts w:hint="eastAsia"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不包括氟化钙</w:t>
            </w:r>
            <w:r>
              <w:rPr>
                <w:rFonts w:hint="eastAsia" w:ascii="宋体" w:hAnsi="宋体"/>
                <w:highlight w:val="none"/>
                <w:lang w:eastAsia="zh-CN"/>
              </w:rPr>
              <w:t xml:space="preserve">）</w:t>
            </w:r>
            <w:r/>
          </w:p>
        </w:tc>
        <w:tc>
          <w:tcPr>
            <w:tcW w:w="2563"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100</w:t>
            </w:r>
            <w:r/>
          </w:p>
        </w:tc>
      </w:tr>
    </w:tbl>
    <w:p>
      <w:pPr>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lang w:val="zh-CN" w:eastAsia="zh-CN"/>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lang w:val="en-US" w:eastAsia="zh-CN"/>
        </w:rPr>
        <w:t xml:space="preserve">本项目</w:t>
      </w:r>
      <w:r>
        <w:rPr>
          <w:rFonts w:hint="eastAsia" w:ascii="宋体" w:hAnsi="宋体"/>
          <w:highlight w:val="none"/>
          <w:lang w:val="zh-CN" w:eastAsia="zh-CN"/>
        </w:rPr>
        <w:t xml:space="preserve">运营期间的出水水质标准：</w:t>
      </w:r>
      <w:r/>
    </w:p>
    <w:p>
      <w:pPr>
        <w:ind w:firstLine="420"/>
        <w:keepLines w:val="0"/>
        <w:keepNext w:val="0"/>
        <w:pageBreakBefore w:val="0"/>
        <w:spacing w:line="360" w:lineRule="auto"/>
        <w:widowControl w:val="off"/>
        <w:rPr>
          <w:rFonts w:hint="eastAsia" w:ascii="宋体" w:hAnsi="宋体"/>
          <w:highlight w:val="none"/>
          <w:lang w:val="zh-CN" w:eastAsia="zh-CN"/>
        </w:rPr>
      </w:pPr>
      <w:r>
        <w:rPr>
          <w:rFonts w:hint="eastAsia" w:ascii="宋体" w:hAnsi="宋体"/>
          <w:highlight w:val="none"/>
          <w:lang w:val="zh-CN" w:eastAsia="zh-CN"/>
        </w:rPr>
        <w:t xml:space="preserve">处理后出水达到《生活垃圾填埋场污染控制标准》（GB16889-20</w:t>
      </w:r>
      <w:r>
        <w:rPr>
          <w:rFonts w:hint="eastAsia" w:ascii="宋体" w:hAnsi="宋体"/>
          <w:highlight w:val="none"/>
          <w:lang w:val="en-US" w:eastAsia="zh-CN"/>
        </w:rPr>
        <w:t xml:space="preserve">24</w:t>
      </w:r>
      <w:r>
        <w:rPr>
          <w:rFonts w:hint="eastAsia" w:ascii="宋体" w:hAnsi="宋体"/>
          <w:highlight w:val="none"/>
          <w:lang w:val="zh-CN" w:eastAsia="zh-CN"/>
        </w:rPr>
        <w:t xml:space="preserve">）表二规定的排放限值，具体指标如下表所示。（</w:t>
      </w:r>
      <w:r>
        <w:rPr>
          <w:rFonts w:hint="eastAsia" w:ascii="宋体" w:hAnsi="宋体"/>
          <w:highlight w:val="none"/>
          <w:lang w:val="en-US" w:eastAsia="zh-CN"/>
        </w:rPr>
        <w:t xml:space="preserve">注：2024年9月1日起生态环境部废止</w:t>
      </w:r>
      <w:r>
        <w:rPr>
          <w:rFonts w:hint="eastAsia" w:ascii="宋体" w:hAnsi="宋体"/>
          <w:highlight w:val="none"/>
          <w:lang w:val="zh-CN" w:eastAsia="zh-CN"/>
        </w:rPr>
        <w:t xml:space="preserve">《生活垃圾填埋场污染控制标准》（GB16889-20</w:t>
      </w:r>
      <w:r>
        <w:rPr>
          <w:rFonts w:hint="eastAsia" w:ascii="宋体" w:hAnsi="宋体"/>
          <w:highlight w:val="none"/>
          <w:lang w:val="en-US" w:eastAsia="zh-CN"/>
        </w:rPr>
        <w:t xml:space="preserve">08</w:t>
      </w:r>
      <w:r>
        <w:rPr>
          <w:rFonts w:hint="eastAsia" w:ascii="宋体" w:hAnsi="宋体"/>
          <w:highlight w:val="none"/>
          <w:lang w:val="zh-CN" w:eastAsia="zh-CN"/>
        </w:rPr>
        <w:t xml:space="preserve">）</w:t>
      </w:r>
      <w:r>
        <w:rPr>
          <w:rFonts w:hint="eastAsia" w:ascii="宋体" w:hAnsi="宋体"/>
          <w:highlight w:val="none"/>
          <w:lang w:val="en-US" w:eastAsia="zh-CN"/>
        </w:rPr>
        <w:t xml:space="preserve">，实施</w:t>
      </w:r>
      <w:r>
        <w:rPr>
          <w:rFonts w:hint="eastAsia" w:ascii="宋体" w:hAnsi="宋体"/>
          <w:highlight w:val="none"/>
          <w:lang w:val="zh-CN" w:eastAsia="zh-CN"/>
        </w:rPr>
        <w:t xml:space="preserve">《生活垃圾填埋场污染控制标准》（GB16889-20</w:t>
      </w:r>
      <w:r>
        <w:rPr>
          <w:rFonts w:hint="eastAsia" w:ascii="宋体" w:hAnsi="宋体"/>
          <w:highlight w:val="none"/>
          <w:lang w:val="en-US" w:eastAsia="zh-CN"/>
        </w:rPr>
        <w:t xml:space="preserve">24</w:t>
      </w:r>
      <w:r>
        <w:rPr>
          <w:rFonts w:hint="eastAsia" w:ascii="宋体" w:hAnsi="宋体"/>
          <w:highlight w:val="none"/>
          <w:lang w:val="zh-CN" w:eastAsia="zh-CN"/>
        </w:rPr>
        <w:t xml:space="preserve">））</w:t>
      </w:r>
      <w:r/>
    </w:p>
    <w:p>
      <w:pPr>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lang w:val="zh-CN" w:eastAsia="zh-CN"/>
        </w:rPr>
        <w:t xml:space="preserve">《生活垃圾填埋污染控制标准》（GB16889-20</w:t>
      </w:r>
      <w:r>
        <w:rPr>
          <w:rFonts w:hint="eastAsia" w:ascii="宋体" w:hAnsi="宋体"/>
          <w:highlight w:val="none"/>
          <w:lang w:val="en-US" w:eastAsia="zh-CN"/>
        </w:rPr>
        <w:t xml:space="preserve">24</w:t>
      </w:r>
      <w:r>
        <w:rPr>
          <w:rFonts w:hint="eastAsia" w:ascii="宋体" w:hAnsi="宋体"/>
          <w:highlight w:val="none"/>
          <w:lang w:val="zh-CN" w:eastAsia="zh-CN"/>
        </w:rPr>
        <w:t xml:space="preserve">）表</w:t>
      </w:r>
      <w:r>
        <w:rPr>
          <w:rFonts w:hint="eastAsia" w:ascii="宋体" w:hAnsi="宋体"/>
          <w:highlight w:val="none"/>
          <w:lang w:val="en-US" w:eastAsia="zh-CN"/>
        </w:rPr>
        <w:t xml:space="preserve">2</w:t>
      </w:r>
      <w:r/>
    </w:p>
    <w:tbl>
      <w:tblPr>
        <w:tblStyle w:val="1120"/>
        <w:tblW w:w="89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8"/>
        <w:gridCol w:w="3629"/>
        <w:gridCol w:w="1701"/>
        <w:gridCol w:w="2867"/>
      </w:tblGrid>
      <w:tr>
        <w:trPr>
          <w:jc w:val="center"/>
          <w:trHeight w:val="397"/>
        </w:trPr>
        <w:tc>
          <w:tcPr>
            <w:tcW w:w="75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序号</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控制污染物</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排放浓度限值</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污染物排放监控位置</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色度（稀释倍数）</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40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2</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化学需氧量（CODcr）（mg/L）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100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3</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生化需氧量（BOD5）（mg/L）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30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4</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悬浮物（mg/L）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30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5</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总氮（mg/L）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40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6</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氨氮（mg/L）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25</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7</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总磷（mg/L）</w:t>
            </w:r>
            <w:r/>
          </w:p>
        </w:tc>
        <w:tc>
          <w:tcPr>
            <w:tcW w:w="1701" w:type="dxa"/>
            <w:vAlign w:val="center"/>
            <w:textDirection w:val="lrTb"/>
            <w:noWrap w:val="false"/>
          </w:tcPr>
          <w:p>
            <w:pPr>
              <w:jc w:val="center"/>
              <w:rPr>
                <w:rFonts w:hint="eastAsia" w:ascii="宋体" w:hAnsi="宋体" w:eastAsiaTheme="minorEastAsia"/>
                <w:highlight w:val="none"/>
                <w:lang w:eastAsia="zh-CN"/>
              </w:rPr>
            </w:pPr>
            <w:r>
              <w:rPr>
                <w:rFonts w:hint="eastAsia" w:ascii="宋体" w:hAnsi="宋体"/>
                <w:highlight w:val="none"/>
                <w:lang w:val="en-US" w:eastAsia="zh-CN"/>
              </w:rPr>
              <w:t xml:space="preserve">3</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8</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粪大肠菌群数（个/L）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10000</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eastAsia" w:ascii="宋体" w:hAnsi="宋体" w:eastAsiaTheme="minorEastAsia"/>
                <w:highlight w:val="none"/>
                <w:lang w:val="en-US" w:eastAsia="zh-CN"/>
              </w:rPr>
            </w:pPr>
            <w:r>
              <w:rPr>
                <w:rFonts w:hint="eastAsia" w:ascii="宋体" w:hAnsi="宋体"/>
                <w:highlight w:val="none"/>
                <w:lang w:val="en-US" w:eastAsia="zh-CN"/>
              </w:rPr>
              <w:t xml:space="preserve">9</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w:t>
            </w:r>
            <w:r>
              <w:rPr>
                <w:rFonts w:hint="eastAsia" w:ascii="宋体" w:hAnsi="宋体"/>
                <w:highlight w:val="none"/>
                <w:lang w:val="en-US" w:eastAsia="zh-CN"/>
              </w:rPr>
              <w:t xml:space="preserve">铜</w:t>
            </w:r>
            <w:r>
              <w:rPr>
                <w:rFonts w:hint="eastAsia" w:ascii="宋体" w:hAnsi="宋体"/>
                <w:highlight w:val="none"/>
              </w:rPr>
              <w:t xml:space="preserve">（mg/L）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0.5</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10</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w:t>
            </w:r>
            <w:r>
              <w:rPr>
                <w:rFonts w:hint="eastAsia" w:ascii="宋体" w:hAnsi="宋体"/>
                <w:highlight w:val="none"/>
                <w:lang w:val="en-US" w:eastAsia="zh-CN"/>
              </w:rPr>
              <w:t xml:space="preserve">锌</w:t>
            </w:r>
            <w:r>
              <w:rPr>
                <w:rFonts w:hint="eastAsia" w:ascii="宋体" w:hAnsi="宋体"/>
                <w:highlight w:val="none"/>
              </w:rPr>
              <w:t xml:space="preserve">（mg/L）</w:t>
            </w:r>
            <w:r/>
          </w:p>
        </w:tc>
        <w:tc>
          <w:tcPr>
            <w:tcW w:w="1701" w:type="dxa"/>
            <w:vAlign w:val="center"/>
            <w:textDirection w:val="lrTb"/>
            <w:noWrap w:val="false"/>
          </w:tcPr>
          <w:p>
            <w:pPr>
              <w:jc w:val="center"/>
              <w:rPr>
                <w:rFonts w:hint="eastAsia" w:ascii="宋体" w:hAnsi="宋体" w:eastAsiaTheme="minorEastAsia"/>
                <w:highlight w:val="none"/>
                <w:lang w:val="en-US" w:eastAsia="zh-CN"/>
              </w:rPr>
            </w:pPr>
            <w:r>
              <w:rPr>
                <w:rFonts w:hint="eastAsia" w:ascii="宋体" w:hAnsi="宋体"/>
                <w:highlight w:val="none"/>
                <w:lang w:val="en-US" w:eastAsia="zh-CN"/>
              </w:rPr>
              <w:t xml:space="preserve">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11</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总汞（mg/L）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0.001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12</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总镉（mg/L）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0.01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13</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总铬（mg/L）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14</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六价铬（mg/L）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0.05</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15</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总砷（mg/L）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16</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总铅（mg/L）</w:t>
            </w:r>
            <w:r/>
          </w:p>
        </w:tc>
        <w:tc>
          <w:tcPr>
            <w:tcW w:w="1701"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0.1</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17</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w:t>
            </w:r>
            <w:r>
              <w:rPr>
                <w:rFonts w:hint="eastAsia" w:ascii="宋体" w:hAnsi="宋体"/>
                <w:highlight w:val="none"/>
                <w:lang w:val="en-US" w:eastAsia="zh-CN"/>
              </w:rPr>
              <w:t xml:space="preserve">铍</w:t>
            </w:r>
            <w:r>
              <w:rPr>
                <w:rFonts w:hint="eastAsia" w:ascii="宋体" w:hAnsi="宋体"/>
                <w:highlight w:val="none"/>
              </w:rPr>
              <w:t xml:space="preserve">（mg/L）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0.002</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r>
        <w:trPr>
          <w:jc w:val="center"/>
          <w:trHeight w:val="397"/>
        </w:trPr>
        <w:tc>
          <w:tcPr>
            <w:tcW w:w="758" w:type="dxa"/>
            <w:vAlign w:val="top"/>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18</w:t>
            </w:r>
            <w:r/>
          </w:p>
        </w:tc>
        <w:tc>
          <w:tcPr>
            <w:tcW w:w="3629"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总</w:t>
            </w:r>
            <w:r>
              <w:rPr>
                <w:rFonts w:hint="eastAsia" w:ascii="宋体" w:hAnsi="宋体"/>
                <w:highlight w:val="none"/>
                <w:lang w:val="en-US" w:eastAsia="zh-CN"/>
              </w:rPr>
              <w:t xml:space="preserve">镍</w:t>
            </w:r>
            <w:r>
              <w:rPr>
                <w:rFonts w:hint="eastAsia" w:ascii="宋体" w:hAnsi="宋体"/>
                <w:highlight w:val="none"/>
              </w:rPr>
              <w:t xml:space="preserve">（mg/L）</w:t>
            </w:r>
            <w:r/>
          </w:p>
        </w:tc>
        <w:tc>
          <w:tcPr>
            <w:tcW w:w="1701" w:type="dxa"/>
            <w:vAlign w:val="center"/>
            <w:textDirection w:val="lrTb"/>
            <w:noWrap w:val="false"/>
          </w:tcPr>
          <w:p>
            <w:pPr>
              <w:jc w:val="center"/>
              <w:rPr>
                <w:rFonts w:hint="default" w:ascii="宋体" w:hAnsi="宋体" w:eastAsiaTheme="minorEastAsia"/>
                <w:highlight w:val="none"/>
                <w:lang w:val="en-US" w:eastAsia="zh-CN"/>
              </w:rPr>
            </w:pPr>
            <w:r>
              <w:rPr>
                <w:rFonts w:hint="eastAsia" w:ascii="宋体" w:hAnsi="宋体"/>
                <w:highlight w:val="none"/>
                <w:lang w:val="en-US" w:eastAsia="zh-CN"/>
              </w:rPr>
              <w:t xml:space="preserve">0.05</w:t>
            </w:r>
            <w:r/>
          </w:p>
        </w:tc>
        <w:tc>
          <w:tcPr>
            <w:tcW w:w="2867"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常规污水处理设施排放口</w:t>
            </w:r>
            <w:r/>
          </w:p>
        </w:tc>
      </w:tr>
    </w:tbl>
    <w:p>
      <w:pPr>
        <w:ind w:firstLine="420"/>
        <w:spacing w:line="336" w:lineRule="auto"/>
        <w:rPr>
          <w:rFonts w:hint="eastAsia" w:ascii="宋体" w:hAnsi="宋体"/>
          <w:highlight w:val="none"/>
        </w:rPr>
      </w:pPr>
      <w:r>
        <w:rPr>
          <w:rFonts w:ascii="宋体" w:hAnsi="宋体"/>
          <w:highlight w:val="none"/>
        </w:rPr>
        <w:t xml:space="preserve">2.</w:t>
      </w:r>
      <w:r>
        <w:rPr>
          <w:rFonts w:hint="eastAsia" w:ascii="宋体" w:hAnsi="宋体"/>
          <w:highlight w:val="none"/>
        </w:rPr>
        <w:t xml:space="preserve">3环保要求</w:t>
      </w:r>
      <w:r/>
    </w:p>
    <w:p>
      <w:pPr>
        <w:ind w:firstLine="420"/>
        <w:spacing w:line="336" w:lineRule="auto"/>
        <w:rPr>
          <w:rFonts w:hint="eastAsia"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渗滤液经填埋场污水处理站采用“氧化还原沉淀+砂滤+反渗透”工艺预处理达到《生活垃圾填埋场污染控制标准》（GB16889-2024）表2标准后，接入泰州市城北污水处理厂集中处理。</w:t>
      </w:r>
      <w:r>
        <w:rPr>
          <w:rFonts w:hint="eastAsia" w:ascii="宋体" w:hAnsi="宋体"/>
          <w:highlight w:val="none"/>
        </w:rPr>
        <w:t xml:space="preserve">污水处理污泥及浓水（如有）送泰州市垃圾焚烧发电厂焚烧处理。</w:t>
      </w:r>
      <w:r/>
    </w:p>
    <w:p>
      <w:pPr>
        <w:ind w:firstLine="420"/>
        <w:spacing w:line="336" w:lineRule="auto"/>
        <w:rPr>
          <w:rFonts w:hint="eastAsia" w:ascii="宋体" w:hAnsi="宋体"/>
          <w:highlight w:val="none"/>
        </w:rPr>
      </w:pPr>
      <w:r>
        <w:rPr>
          <w:rFonts w:hint="eastAsia" w:ascii="宋体" w:hAnsi="宋体"/>
          <w:highlight w:val="none"/>
        </w:rPr>
        <w:t xml:space="preserve">（2）厂界噪声执行《工业企业厂界环境噪声排放标准》</w:t>
      </w:r>
      <w:r>
        <w:rPr>
          <w:rFonts w:hint="eastAsia" w:ascii="宋体" w:hAnsi="宋体"/>
          <w:highlight w:val="none"/>
          <w:lang w:eastAsia="zh-CN"/>
        </w:rPr>
        <w:t xml:space="preserve">（</w:t>
      </w:r>
      <w:r>
        <w:rPr>
          <w:rFonts w:hint="eastAsia" w:ascii="宋体" w:hAnsi="宋体"/>
          <w:highlight w:val="none"/>
        </w:rPr>
        <w:t xml:space="preserve">GB12348-2008</w:t>
      </w:r>
      <w:r>
        <w:rPr>
          <w:rFonts w:hint="eastAsia" w:ascii="宋体" w:hAnsi="宋体"/>
          <w:highlight w:val="none"/>
          <w:lang w:eastAsia="zh-CN"/>
        </w:rPr>
        <w:t xml:space="preserve">）</w:t>
      </w:r>
      <w:r>
        <w:rPr>
          <w:rFonts w:hint="eastAsia" w:ascii="宋体" w:hAnsi="宋体"/>
          <w:highlight w:val="none"/>
        </w:rPr>
        <w:t xml:space="preserve">2类标准。</w:t>
      </w:r>
      <w:r/>
    </w:p>
    <w:p>
      <w:pPr>
        <w:pStyle w:val="1159"/>
        <w:numPr>
          <w:ilvl w:val="0"/>
          <w:numId w:val="0"/>
        </w:num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szCs w:val="21"/>
          <w:highlight w:val="none"/>
          <w:lang w:val="en-US" w:eastAsia="zh-CN"/>
        </w:rPr>
        <w:t xml:space="preserve">三、</w:t>
      </w:r>
      <w:r>
        <w:rPr>
          <w:rFonts w:hint="eastAsia" w:ascii="宋体" w:hAnsi="宋体"/>
          <w:b/>
          <w:bCs/>
          <w:highlight w:val="none"/>
          <w:lang w:val="en-US" w:eastAsia="zh-CN"/>
        </w:rPr>
        <w:t xml:space="preserve">配套项目渗滤液处理设备设施维修、更换</w:t>
      </w:r>
      <w:r>
        <w:rPr>
          <w:rFonts w:hint="eastAsia" w:ascii="宋体" w:hAnsi="宋体" w:eastAsiaTheme="minorEastAsia" w:cstheme="minorBidi"/>
          <w:b/>
          <w:bCs/>
          <w:sz w:val="21"/>
          <w:szCs w:val="24"/>
          <w:highlight w:val="none"/>
          <w:lang w:val="en-US" w:eastAsia="zh-CN" w:bidi="ar-SA"/>
        </w:rPr>
        <w:t xml:space="preserve">一览表</w:t>
      </w:r>
      <w:r/>
    </w:p>
    <w:p>
      <w:pPr>
        <w:ind w:firstLine="420"/>
        <w:spacing w:line="360" w:lineRule="auto"/>
        <w:rPr>
          <w:rFonts w:hint="eastAsia" w:ascii="仿宋" w:hAnsi="仿宋" w:eastAsia="仿宋" w:cs="仿宋"/>
          <w:sz w:val="24"/>
          <w:szCs w:val="24"/>
          <w:highlight w:val="none"/>
          <w:lang w:val="en-US" w:eastAsia="zh-CN"/>
        </w:rPr>
      </w:pPr>
      <w:r>
        <w:rPr>
          <w:rFonts w:hint="eastAsia" w:ascii="宋体" w:hAnsi="宋体"/>
          <w:highlight w:val="none"/>
          <w:lang w:val="en-US" w:eastAsia="zh-CN"/>
        </w:rPr>
        <w:t xml:space="preserve">配套设计处理渗滤液处理所有设施设备以现场实物为准，因该项目渗滤液处理设备设施已运行10年，部分设施锈蚀严重，过滤、膜处理系统已不能满足处理运行要求，考虑到部分更换，为确保渗滤液处理设施安全、环保、稳定运行，拟参照原组件品牌进行配套更换。维修更换后，必须确保与原设备完全匹配兼容，且至少满足三年正常运行。</w:t>
      </w:r>
      <w:r/>
    </w:p>
    <w:p>
      <w:pPr>
        <w:pStyle w:val="1159"/>
        <w:numPr>
          <w:ilvl w:val="0"/>
          <w:numId w:val="0"/>
        </w:numPr>
        <w:jc w:val="center"/>
        <w:spacing w:line="360" w:lineRule="auto"/>
        <w:rPr>
          <w:rFonts w:hint="eastAsia" w:ascii="宋体" w:hAnsi="宋体"/>
          <w:highlight w:val="none"/>
          <w:lang w:val="en-US" w:eastAsia="zh-CN"/>
        </w:rPr>
      </w:pPr>
      <w:r>
        <w:rPr>
          <w:rFonts w:hint="eastAsia" w:ascii="宋体" w:hAnsi="宋体"/>
          <w:highlight w:val="none"/>
          <w:lang w:val="en-US" w:eastAsia="zh-CN"/>
        </w:rPr>
        <w:t xml:space="preserve">配套项目渗滤液处理设备设施维修、更换</w:t>
      </w:r>
      <w:r>
        <w:rPr>
          <w:rFonts w:hint="eastAsia" w:ascii="宋体" w:hAnsi="宋体" w:eastAsiaTheme="minorEastAsia" w:cstheme="minorBidi"/>
          <w:sz w:val="21"/>
          <w:szCs w:val="24"/>
          <w:highlight w:val="none"/>
          <w:lang w:val="en-US" w:eastAsia="zh-CN" w:bidi="ar-SA"/>
        </w:rPr>
        <w:t xml:space="preserve">一览表</w:t>
      </w:r>
      <w:r/>
    </w:p>
    <w:tbl>
      <w:tblPr>
        <w:tblStyle w:val="1120"/>
        <w:tblW w:w="8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2"/>
        <w:gridCol w:w="1541"/>
        <w:gridCol w:w="1702"/>
        <w:gridCol w:w="2902"/>
        <w:gridCol w:w="1538"/>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设施部位</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过滤系统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石英砂过滤器</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Φ0.8×3.0m</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1套</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活性炭过滤器</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Φ0.8×3.0m</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1套</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进水泵</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Q=2.5m³/h,H=25m,N=0.75kW</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膜处理系统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RO膜</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膜通量12L/㎡.h</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保安过滤器</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过滤流量：0~10m³/h</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加药设备</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加药计量泵</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Q=0~12L/h,H=20m,N=0.18KW</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污泥处理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板框压滤机</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过滤面积5㎡，过滤压力0.3㎫，功率0.75kW</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1台</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储水罐</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2.0×2.0×6.0m（维修漏点）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2只</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调节池</w:t>
            </w:r>
            <w:r/>
          </w:p>
        </w:tc>
        <w:tc>
          <w:tcPr>
            <w:shd w:val="clear" w:color="auto" w:fill="auto"/>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进口管道更换</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1套</w:t>
            </w:r>
            <w:r/>
          </w:p>
        </w:tc>
      </w:tr>
    </w:tbl>
    <w:p>
      <w:pPr>
        <w:ind w:firstLine="422"/>
        <w:spacing w:line="360" w:lineRule="auto"/>
        <w:rPr>
          <w:rFonts w:ascii="宋体" w:hAnsi="宋体"/>
          <w:b/>
          <w:szCs w:val="21"/>
          <w:highlight w:val="none"/>
        </w:rPr>
      </w:pPr>
      <w:r>
        <w:rPr>
          <w:rFonts w:hint="eastAsia" w:ascii="宋体" w:hAnsi="宋体"/>
          <w:b/>
          <w:szCs w:val="21"/>
          <w:highlight w:val="none"/>
        </w:rPr>
        <w:t xml:space="preserve">四、付款方式</w:t>
      </w:r>
      <w:r/>
    </w:p>
    <w:p>
      <w:pPr>
        <w:ind w:firstLine="420"/>
        <w:spacing w:line="336" w:lineRule="auto"/>
        <w:rPr>
          <w:rFonts w:hint="eastAsia" w:ascii="宋体" w:hAnsi="宋体" w:eastAsia="宋体"/>
          <w:highlight w:val="none"/>
          <w:lang w:eastAsia="zh-CN"/>
        </w:rPr>
      </w:pPr>
      <w:r>
        <w:rPr>
          <w:rFonts w:hint="eastAsia" w:ascii="宋体" w:hAnsi="宋体"/>
          <w:highlight w:val="none"/>
        </w:rPr>
        <w:t xml:space="preserve">（1）每个考评周期为一个季度，季度结束后，</w:t>
      </w:r>
      <w:r>
        <w:rPr>
          <w:rFonts w:hint="eastAsia" w:ascii="宋体" w:hAnsi="宋体"/>
          <w:highlight w:val="none"/>
          <w:lang w:val="en-US" w:eastAsia="zh-CN"/>
        </w:rPr>
        <w:t xml:space="preserve">采购人</w:t>
      </w:r>
      <w:r>
        <w:rPr>
          <w:rFonts w:hint="eastAsia" w:ascii="宋体" w:hAnsi="宋体"/>
          <w:highlight w:val="none"/>
        </w:rPr>
        <w:t xml:space="preserve">对</w:t>
      </w:r>
      <w:r>
        <w:rPr>
          <w:rFonts w:hint="eastAsia" w:ascii="宋体" w:hAnsi="宋体"/>
          <w:highlight w:val="none"/>
          <w:lang w:val="en-US" w:eastAsia="zh-CN"/>
        </w:rPr>
        <w:t xml:space="preserve">供应商</w:t>
      </w:r>
      <w:r>
        <w:rPr>
          <w:rFonts w:hint="eastAsia" w:ascii="宋体" w:hAnsi="宋体"/>
          <w:highlight w:val="none"/>
        </w:rPr>
        <w:t xml:space="preserve">履约情况开展验收评估打分，作为结算依据，单次考评对应的结算款为合同总价的六分之一</w:t>
      </w:r>
      <w:r>
        <w:rPr>
          <w:rFonts w:hint="eastAsia" w:ascii="宋体" w:hAnsi="宋体"/>
          <w:highlight w:val="none"/>
          <w:lang w:eastAsia="zh-CN"/>
        </w:rPr>
        <w:t xml:space="preserve">。</w:t>
      </w:r>
      <w:r/>
    </w:p>
    <w:p>
      <w:pPr>
        <w:ind w:firstLine="420"/>
        <w:spacing w:line="336" w:lineRule="auto"/>
        <w:rPr>
          <w:rFonts w:ascii="宋体" w:hAnsi="宋体"/>
          <w:highlight w:val="none"/>
        </w:rPr>
      </w:pPr>
      <w:r>
        <w:rPr>
          <w:rFonts w:hint="eastAsia" w:ascii="宋体" w:hAnsi="宋体"/>
          <w:highlight w:val="none"/>
        </w:rPr>
        <w:t xml:space="preserve">（2）全年分2次付款，每两个考评周期（半年）支付一次。</w:t>
      </w:r>
      <w:r/>
    </w:p>
    <w:p>
      <w:pPr>
        <w:ind w:firstLine="420"/>
        <w:spacing w:line="336" w:lineRule="auto"/>
        <w:rPr>
          <w:rFonts w:hint="eastAsia"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）全年处理量≥2800 吨的，按考核结果全额付款；若全年处理量不足 2800 吨，在年度末结算时，按 180 元 / 吨扣减相应费用。</w:t>
      </w:r>
      <w:r/>
    </w:p>
    <w:p>
      <w:pPr>
        <w:ind w:firstLine="420"/>
        <w:jc w:val="left"/>
        <w:spacing w:line="360" w:lineRule="auto"/>
        <w:rPr>
          <w:rFonts w:hint="eastAsia" w:ascii="宋体" w:hAnsi="宋体"/>
          <w:highlight w:val="none"/>
        </w:rPr>
      </w:pPr>
      <w:r>
        <w:rPr>
          <w:rFonts w:hint="eastAsia" w:ascii="宋体" w:hAnsi="宋体"/>
          <w:highlight w:val="none"/>
        </w:rPr>
        <w:t xml:space="preserve">（</w:t>
      </w:r>
      <w:r>
        <w:rPr>
          <w:rFonts w:ascii="宋体" w:hAnsi="宋体"/>
          <w:highlight w:val="none"/>
        </w:rPr>
        <w:t xml:space="preserve">4</w:t>
      </w:r>
      <w:r>
        <w:rPr>
          <w:rFonts w:hint="eastAsia" w:ascii="宋体" w:hAnsi="宋体"/>
          <w:highlight w:val="none"/>
        </w:rPr>
        <w:t xml:space="preserve">）支付条件：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90分</w:t>
      </w:r>
      <w:r>
        <w:rPr>
          <w:rFonts w:hint="eastAsia" w:ascii="宋体" w:hAnsi="宋体" w:cs="宋体"/>
          <w:szCs w:val="21"/>
          <w:highlight w:val="none"/>
        </w:rPr>
        <w:t xml:space="preserve">时</w:t>
      </w:r>
      <w:r>
        <w:rPr>
          <w:rFonts w:ascii="宋体" w:hAnsi="宋体" w:cs="宋体"/>
          <w:szCs w:val="21"/>
          <w:highlight w:val="none"/>
        </w:rPr>
        <w:t xml:space="preserve">，全额支付当季度运营服务款</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90分</w:t>
      </w:r>
      <w:r>
        <w:rPr>
          <w:rFonts w:hint="eastAsia" w:ascii="宋体" w:hAnsi="宋体" w:cs="宋体"/>
          <w:szCs w:val="21"/>
          <w:highlight w:val="none"/>
          <w:lang w:val="en-US"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80分</w:t>
      </w:r>
      <w:r>
        <w:rPr>
          <w:rFonts w:hint="eastAsia" w:ascii="宋体" w:hAnsi="宋体" w:cs="宋体"/>
          <w:szCs w:val="21"/>
          <w:highlight w:val="none"/>
        </w:rPr>
        <w:t xml:space="preserve">时</w:t>
      </w:r>
      <w:r>
        <w:rPr>
          <w:rFonts w:ascii="宋体" w:hAnsi="宋体" w:cs="宋体"/>
          <w:szCs w:val="21"/>
          <w:highlight w:val="none"/>
        </w:rPr>
        <w:t xml:space="preserve">，扣除当季度运营服务费的5%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③</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80分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70分，扣除当季度运营服务费的10%</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④</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70分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60分，扣除当季度运营服务费的15%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⑤</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60</w:t>
      </w:r>
      <w:r>
        <w:rPr>
          <w:rFonts w:hint="eastAsia" w:ascii="宋体" w:hAnsi="宋体" w:cs="宋体"/>
          <w:szCs w:val="21"/>
          <w:highlight w:val="none"/>
          <w:lang w:eastAsia="zh-CN"/>
        </w:rPr>
        <w:t xml:space="preserve">分时</w:t>
      </w:r>
      <w:r>
        <w:rPr>
          <w:rFonts w:hint="eastAsia" w:ascii="宋体" w:hAnsi="宋体" w:cs="宋体"/>
          <w:szCs w:val="21"/>
          <w:highlight w:val="none"/>
        </w:rPr>
        <w:t xml:space="preserve">，</w:t>
      </w:r>
      <w:r>
        <w:rPr>
          <w:rFonts w:ascii="宋体" w:hAnsi="宋体" w:cs="宋体"/>
          <w:szCs w:val="21"/>
          <w:highlight w:val="none"/>
        </w:rPr>
        <w:t xml:space="preserve">为不合格，扣除当季度运营服务费的30%</w:t>
      </w:r>
      <w:r>
        <w:rPr>
          <w:rFonts w:hint="eastAsia" w:ascii="宋体" w:hAnsi="宋体" w:cs="宋体"/>
          <w:szCs w:val="21"/>
          <w:highlight w:val="none"/>
          <w:lang w:eastAsia="zh-CN"/>
        </w:rPr>
        <w:t xml:space="preserve">，</w:t>
      </w:r>
      <w:r>
        <w:rPr>
          <w:rFonts w:ascii="宋体" w:hAnsi="宋体" w:cs="宋体"/>
          <w:szCs w:val="21"/>
          <w:highlight w:val="none"/>
        </w:rPr>
        <w:t xml:space="preserve">并限期10日内</w:t>
      </w:r>
      <w:r>
        <w:rPr>
          <w:rFonts w:hint="eastAsia" w:ascii="宋体" w:hAnsi="宋体" w:cs="宋体"/>
          <w:szCs w:val="21"/>
          <w:highlight w:val="none"/>
        </w:rPr>
        <w:t xml:space="preserve">完成</w:t>
      </w:r>
      <w:r>
        <w:rPr>
          <w:rFonts w:ascii="宋体" w:hAnsi="宋体" w:cs="宋体"/>
          <w:szCs w:val="21"/>
          <w:highlight w:val="none"/>
        </w:rPr>
        <w:t xml:space="preserve">整</w:t>
      </w:r>
      <w:r>
        <w:rPr>
          <w:rFonts w:hint="eastAsia" w:ascii="宋体" w:hAnsi="宋体" w:cs="宋体"/>
          <w:szCs w:val="21"/>
          <w:highlight w:val="none"/>
        </w:rPr>
        <w:t xml:space="preserve">改</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⑥</w:t>
      </w:r>
      <w:r>
        <w:rPr>
          <w:rFonts w:ascii="宋体" w:hAnsi="宋体" w:cs="宋体"/>
          <w:szCs w:val="21"/>
          <w:highlight w:val="none"/>
        </w:rPr>
        <w:t xml:space="preserve">一年内累计达2次考核不合格的，</w:t>
      </w:r>
      <w:r>
        <w:rPr>
          <w:rFonts w:hint="eastAsia" w:ascii="宋体" w:hAnsi="宋体" w:cs="宋体"/>
          <w:szCs w:val="21"/>
          <w:highlight w:val="none"/>
        </w:rPr>
        <w:t xml:space="preserve">中心</w:t>
      </w:r>
      <w:r>
        <w:rPr>
          <w:rFonts w:ascii="宋体" w:hAnsi="宋体" w:cs="宋体"/>
          <w:szCs w:val="21"/>
          <w:highlight w:val="none"/>
        </w:rPr>
        <w:t xml:space="preserve">有权单方面终止合同，</w:t>
      </w:r>
      <w:r>
        <w:rPr>
          <w:rFonts w:hint="eastAsia" w:ascii="宋体" w:hAnsi="宋体"/>
          <w:highlight w:val="none"/>
        </w:rPr>
        <w:t xml:space="preserve">乙方须无条件按甲方要求办理移交、退场手续</w:t>
      </w:r>
      <w:r>
        <w:rPr>
          <w:rFonts w:hint="eastAsia" w:ascii="宋体" w:hAnsi="宋体" w:cs="宋体"/>
          <w:szCs w:val="21"/>
          <w:highlight w:val="none"/>
        </w:rPr>
        <w:t xml:space="preserve">；</w:t>
      </w:r>
      <w:r/>
    </w:p>
    <w:p>
      <w:pPr>
        <w:ind w:firstLine="420"/>
        <w:jc w:val="left"/>
        <w:spacing w:line="360" w:lineRule="auto"/>
        <w:rPr>
          <w:rFonts w:hint="eastAsia" w:ascii="宋体" w:hAnsi="宋体" w:cs="宋体"/>
          <w:b/>
          <w:szCs w:val="21"/>
          <w:highlight w:val="none"/>
        </w:rPr>
      </w:pPr>
      <w:r>
        <w:rPr>
          <w:rFonts w:hint="eastAsia" w:ascii="宋体" w:hAnsi="宋体" w:cs="宋体"/>
          <w:szCs w:val="21"/>
          <w:highlight w:val="none"/>
        </w:rPr>
        <w:t xml:space="preserve">⑦</w:t>
      </w:r>
      <w:r>
        <w:rPr>
          <w:rFonts w:hint="eastAsia" w:ascii="宋体" w:hAnsi="宋体" w:cs="宋体"/>
          <w:szCs w:val="21"/>
          <w:highlight w:val="none"/>
          <w:lang w:eastAsia="zh-CN"/>
        </w:rPr>
        <w:t xml:space="preserve">成交供应商</w:t>
      </w:r>
      <w:r>
        <w:rPr>
          <w:rFonts w:ascii="宋体" w:hAnsi="宋体" w:cs="宋体"/>
          <w:szCs w:val="21"/>
          <w:highlight w:val="none"/>
        </w:rPr>
        <w:t xml:space="preserve">在运营期间被环保督查发现问题并处理的，招标人将视情况给予扣分或</w:t>
      </w:r>
      <w:r>
        <w:rPr>
          <w:rFonts w:hint="eastAsia" w:ascii="宋体" w:hAnsi="宋体" w:cs="宋体"/>
          <w:szCs w:val="21"/>
          <w:highlight w:val="none"/>
        </w:rPr>
        <w:t xml:space="preserve">罚款；</w:t>
      </w:r>
      <w:r>
        <w:rPr>
          <w:rFonts w:ascii="宋体" w:hAnsi="宋体" w:cs="宋体"/>
          <w:szCs w:val="21"/>
          <w:highlight w:val="none"/>
        </w:rPr>
        <w:t xml:space="preserve">在一个季度内，</w:t>
      </w:r>
      <w:r>
        <w:rPr>
          <w:rFonts w:hint="eastAsia" w:ascii="宋体" w:hAnsi="宋体" w:cs="宋体"/>
          <w:szCs w:val="21"/>
          <w:highlight w:val="none"/>
        </w:rPr>
        <w:t xml:space="preserve">被</w:t>
      </w:r>
      <w:r>
        <w:rPr>
          <w:rFonts w:ascii="宋体" w:hAnsi="宋体" w:cs="宋体"/>
          <w:szCs w:val="21"/>
          <w:highlight w:val="none"/>
        </w:rPr>
        <w:t xml:space="preserve">上级主管部门、业主方、社会各方抽查、检查或举报的，经核查</w:t>
      </w:r>
      <w:r>
        <w:rPr>
          <w:rFonts w:hint="eastAsia" w:ascii="宋体" w:hAnsi="宋体" w:cs="宋体"/>
          <w:szCs w:val="21"/>
          <w:highlight w:val="none"/>
        </w:rPr>
        <w:t xml:space="preserve">出水水质</w:t>
      </w:r>
      <w:r>
        <w:rPr>
          <w:rFonts w:ascii="宋体" w:hAnsi="宋体" w:cs="宋体"/>
          <w:szCs w:val="21"/>
          <w:highlight w:val="none"/>
        </w:rPr>
        <w:t xml:space="preserve">不达标1次扣除该季度运营费用50%</w:t>
      </w:r>
      <w:r>
        <w:rPr>
          <w:rFonts w:hint="eastAsia" w:ascii="宋体" w:hAnsi="宋体" w:cs="宋体"/>
          <w:szCs w:val="21"/>
          <w:highlight w:val="none"/>
        </w:rPr>
        <w:t xml:space="preserve">；</w:t>
      </w:r>
      <w:r>
        <w:rPr>
          <w:rFonts w:ascii="宋体" w:hAnsi="宋体" w:cs="宋体"/>
          <w:szCs w:val="21"/>
          <w:highlight w:val="none"/>
        </w:rPr>
        <w:t xml:space="preserve">达2次及以上的，扣除季度运营费用，</w:t>
      </w:r>
      <w:r>
        <w:rPr>
          <w:rFonts w:hint="eastAsia" w:ascii="宋体" w:hAnsi="宋体" w:cs="宋体"/>
          <w:szCs w:val="21"/>
          <w:highlight w:val="none"/>
        </w:rPr>
        <w:t xml:space="preserve">同时应当消除上级或社会各方对当地政府及业主方带来的一</w:t>
      </w:r>
      <w:r>
        <w:rPr>
          <w:rFonts w:ascii="宋体" w:hAnsi="宋体" w:cs="宋体"/>
          <w:szCs w:val="21"/>
          <w:highlight w:val="none"/>
        </w:rPr>
        <w:t xml:space="preserve">切不良影响，</w:t>
      </w:r>
      <w:r>
        <w:rPr>
          <w:rFonts w:hint="eastAsia" w:ascii="宋体" w:hAnsi="宋体" w:cs="宋体"/>
          <w:szCs w:val="21"/>
          <w:highlight w:val="none"/>
        </w:rPr>
        <w:t xml:space="preserve">并</w:t>
      </w:r>
      <w:r>
        <w:rPr>
          <w:rFonts w:ascii="宋体" w:hAnsi="宋体" w:cs="宋体"/>
          <w:szCs w:val="21"/>
          <w:highlight w:val="none"/>
        </w:rPr>
        <w:t xml:space="preserve">赔偿相关</w:t>
      </w:r>
      <w:r>
        <w:rPr>
          <w:rFonts w:hint="eastAsia" w:ascii="宋体" w:hAnsi="宋体" w:cs="宋体"/>
          <w:szCs w:val="21"/>
          <w:highlight w:val="none"/>
        </w:rPr>
        <w:t xml:space="preserve">损失（</w:t>
      </w:r>
      <w:r>
        <w:rPr>
          <w:rFonts w:hint="eastAsia" w:ascii="宋体" w:hAnsi="宋体" w:cs="宋体"/>
          <w:b/>
          <w:szCs w:val="21"/>
          <w:highlight w:val="none"/>
        </w:rPr>
        <w:t xml:space="preserve">以上均不计息</w:t>
      </w:r>
      <w:r>
        <w:rPr>
          <w:rFonts w:hint="eastAsia" w:ascii="宋体" w:hAnsi="宋体" w:cs="宋体"/>
          <w:szCs w:val="21"/>
          <w:highlight w:val="none"/>
        </w:rPr>
        <w:t xml:space="preserve">）</w:t>
      </w:r>
      <w:r>
        <w:rPr>
          <w:rFonts w:hint="eastAsia" w:ascii="宋体" w:hAnsi="宋体" w:cs="宋体"/>
          <w:b/>
          <w:szCs w:val="21"/>
          <w:highlight w:val="none"/>
        </w:rPr>
        <w:t xml:space="preserve">。</w:t>
      </w:r>
      <w:r/>
    </w:p>
    <w:p>
      <w:pPr>
        <w:ind w:firstLine="422"/>
        <w:spacing w:line="360" w:lineRule="auto"/>
        <w:rPr>
          <w:rFonts w:ascii="宋体" w:hAnsi="宋体"/>
          <w:b/>
          <w:szCs w:val="21"/>
          <w:highlight w:val="none"/>
        </w:rPr>
      </w:pPr>
      <w:r>
        <w:rPr>
          <w:rFonts w:hint="eastAsia" w:ascii="宋体" w:hAnsi="宋体"/>
          <w:b/>
          <w:szCs w:val="21"/>
          <w:highlight w:val="none"/>
        </w:rPr>
        <w:t xml:space="preserve">五、工作考核</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结合</w:t>
      </w:r>
      <w:r>
        <w:rPr>
          <w:rFonts w:hint="eastAsia" w:ascii="宋体" w:hAnsi="宋体" w:cs="宋体"/>
          <w:szCs w:val="21"/>
          <w:highlight w:val="none"/>
          <w:lang w:val="en-US" w:eastAsia="zh-CN"/>
        </w:rPr>
        <w:t xml:space="preserve">泰州市生活垃圾焚烧发电配套项目渗滤液及废水收集处理、设备设施更换维护项目</w:t>
      </w:r>
      <w:r>
        <w:rPr>
          <w:rFonts w:hint="eastAsia" w:ascii="宋体" w:hAnsi="宋体" w:cs="宋体"/>
          <w:szCs w:val="21"/>
          <w:highlight w:val="none"/>
        </w:rPr>
        <w:t xml:space="preserve">实际情况，对成交供应商履约情况实行百分制考核，由采购人成立检查考核小组负责实施，考核成绩与服务费用挂钩。</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1.考核范围</w:t>
      </w:r>
      <w:r/>
    </w:p>
    <w:p>
      <w:pPr>
        <w:ind w:firstLine="420"/>
        <w:jc w:val="left"/>
        <w:spacing w:line="360" w:lineRule="auto"/>
        <w:rPr>
          <w:rFonts w:hint="eastAsia" w:ascii="宋体" w:hAnsi="宋体" w:cs="宋体"/>
          <w:szCs w:val="21"/>
          <w:highlight w:val="none"/>
        </w:rPr>
      </w:pPr>
      <w:r>
        <w:rPr>
          <w:rFonts w:hint="eastAsia" w:ascii="宋体" w:hAnsi="宋体"/>
          <w:highlight w:val="none"/>
        </w:rPr>
        <w:t xml:space="preserve">泰州市生活垃圾焚烧发电配套项目</w:t>
      </w:r>
      <w:r>
        <w:rPr>
          <w:rFonts w:hint="eastAsia" w:ascii="宋体" w:hAnsi="宋体" w:cs="宋体"/>
          <w:szCs w:val="21"/>
          <w:highlight w:val="none"/>
        </w:rPr>
        <w:t xml:space="preserve">渗滤液处理设施环保、安全、稳定运行，及时处理渗滤液环保达标排放</w:t>
      </w:r>
      <w:r>
        <w:rPr>
          <w:rFonts w:hint="eastAsia" w:ascii="宋体" w:hAnsi="宋体" w:cs="宋体"/>
          <w:szCs w:val="21"/>
          <w:highlight w:val="none"/>
          <w:lang w:eastAsia="zh-CN"/>
        </w:rPr>
        <w:t xml:space="preserve">，</w:t>
      </w:r>
      <w:r>
        <w:rPr>
          <w:rFonts w:hint="eastAsia" w:ascii="宋体" w:hAnsi="宋体" w:cs="宋体"/>
          <w:szCs w:val="21"/>
          <w:highlight w:val="none"/>
        </w:rPr>
        <w:t xml:space="preserve">出水水质符合《生活垃圾填埋场污染控制标准》（GB16889-20</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）表</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2.考核方式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每季度（</w:t>
      </w:r>
      <w:r>
        <w:rPr>
          <w:rFonts w:ascii="宋体" w:hAnsi="宋体" w:cs="宋体"/>
          <w:szCs w:val="21"/>
          <w:highlight w:val="none"/>
        </w:rPr>
        <w:t xml:space="preserve">3</w:t>
      </w:r>
      <w:r>
        <w:rPr>
          <w:rFonts w:hint="eastAsia" w:ascii="宋体" w:hAnsi="宋体" w:cs="宋体"/>
          <w:szCs w:val="21"/>
          <w:highlight w:val="none"/>
        </w:rPr>
        <w:t xml:space="preserve">个</w:t>
      </w:r>
      <w:r>
        <w:rPr>
          <w:rFonts w:ascii="宋体" w:hAnsi="宋体" w:cs="宋体"/>
          <w:szCs w:val="21"/>
          <w:highlight w:val="none"/>
        </w:rPr>
        <w:t xml:space="preserve">月</w:t>
      </w:r>
      <w:r>
        <w:rPr>
          <w:rFonts w:hint="eastAsia" w:ascii="宋体" w:hAnsi="宋体" w:cs="宋体"/>
          <w:szCs w:val="21"/>
          <w:highlight w:val="none"/>
        </w:rPr>
        <w:t xml:space="preserve">）</w:t>
      </w:r>
      <w:r>
        <w:rPr>
          <w:rFonts w:ascii="宋体" w:hAnsi="宋体" w:cs="宋体"/>
          <w:szCs w:val="21"/>
          <w:highlight w:val="none"/>
        </w:rPr>
        <w:t xml:space="preserve">进行一次考核，依</w:t>
      </w:r>
      <w:r>
        <w:rPr>
          <w:rFonts w:hint="eastAsia" w:ascii="宋体" w:hAnsi="宋体" w:cs="宋体"/>
          <w:szCs w:val="21"/>
          <w:highlight w:val="none"/>
        </w:rPr>
        <w:t xml:space="preserve">据</w:t>
      </w:r>
      <w:r>
        <w:rPr>
          <w:rFonts w:ascii="宋体" w:hAnsi="宋体" w:cs="宋体"/>
          <w:szCs w:val="21"/>
          <w:highlight w:val="none"/>
        </w:rPr>
        <w:t xml:space="preserve">考评</w:t>
      </w:r>
      <w:r>
        <w:rPr>
          <w:rFonts w:hint="eastAsia" w:ascii="宋体" w:hAnsi="宋体" w:cs="宋体"/>
          <w:szCs w:val="21"/>
          <w:highlight w:val="none"/>
        </w:rPr>
        <w:t xml:space="preserve">办法进行评分，分值1</w:t>
      </w:r>
      <w:r>
        <w:rPr>
          <w:rFonts w:ascii="宋体" w:hAnsi="宋体" w:cs="宋体"/>
          <w:szCs w:val="21"/>
          <w:highlight w:val="none"/>
        </w:rPr>
        <w:t xml:space="preserve">00</w:t>
      </w:r>
      <w:r>
        <w:rPr>
          <w:rFonts w:hint="eastAsia" w:ascii="宋体" w:hAnsi="宋体" w:cs="宋体"/>
          <w:szCs w:val="21"/>
          <w:highlight w:val="none"/>
        </w:rPr>
        <w:t xml:space="preserve">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（1）考核形式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中心安排</w:t>
      </w:r>
      <w:r>
        <w:rPr>
          <w:rFonts w:ascii="宋体" w:hAnsi="宋体" w:cs="宋体"/>
          <w:szCs w:val="21"/>
          <w:highlight w:val="none"/>
        </w:rPr>
        <w:t xml:space="preserve">3</w:t>
      </w:r>
      <w:r>
        <w:rPr>
          <w:rFonts w:hint="eastAsia" w:ascii="宋体" w:hAnsi="宋体" w:cs="宋体"/>
          <w:szCs w:val="21"/>
          <w:highlight w:val="none"/>
        </w:rPr>
        <w:t xml:space="preserve">名工作人员组成考核小组，采用日常监管和集中季度考核相结合的形式。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（2）考核内容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考核主要内容：人员情况、运行管理、水质管理、设备管理、安全管理和环境卫生六个方面。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3.考核结果运用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考核</w:t>
      </w:r>
      <w:bookmarkStart w:id="69" w:name="_Hlk136441538"/>
      <w:r>
        <w:rPr>
          <w:rFonts w:hint="eastAsia" w:ascii="宋体" w:hAnsi="宋体" w:cs="宋体"/>
          <w:szCs w:val="21"/>
          <w:highlight w:val="none"/>
        </w:rPr>
        <w:t xml:space="preserve">得分≥</w:t>
      </w:r>
      <w:bookmarkEnd w:id="69"/>
      <w:r>
        <w:rPr>
          <w:rFonts w:ascii="宋体" w:hAnsi="宋体" w:cs="宋体"/>
          <w:szCs w:val="21"/>
          <w:highlight w:val="none"/>
        </w:rPr>
        <w:t xml:space="preserve">90分</w:t>
      </w:r>
      <w:r>
        <w:rPr>
          <w:rFonts w:hint="eastAsia" w:ascii="宋体" w:hAnsi="宋体" w:cs="宋体"/>
          <w:szCs w:val="21"/>
          <w:highlight w:val="none"/>
        </w:rPr>
        <w:t xml:space="preserve">时</w:t>
      </w:r>
      <w:r>
        <w:rPr>
          <w:rFonts w:ascii="宋体" w:hAnsi="宋体" w:cs="宋体"/>
          <w:szCs w:val="21"/>
          <w:highlight w:val="none"/>
        </w:rPr>
        <w:t xml:space="preserve">，全额支付</w:t>
      </w:r>
      <w:bookmarkStart w:id="70" w:name="_Hlk136422199"/>
      <w:r>
        <w:rPr>
          <w:rFonts w:ascii="宋体" w:hAnsi="宋体" w:cs="宋体"/>
          <w:szCs w:val="21"/>
          <w:highlight w:val="none"/>
        </w:rPr>
        <w:t xml:space="preserve">当季度运营</w:t>
      </w:r>
      <w:bookmarkEnd w:id="70"/>
      <w:r>
        <w:rPr>
          <w:rFonts w:ascii="宋体" w:hAnsi="宋体" w:cs="宋体"/>
          <w:szCs w:val="21"/>
          <w:highlight w:val="none"/>
        </w:rPr>
        <w:t xml:space="preserve">服务款</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90分</w:t>
      </w:r>
      <w:r>
        <w:rPr>
          <w:rFonts w:hint="eastAsia" w:ascii="宋体" w:hAnsi="宋体" w:cs="宋体"/>
          <w:szCs w:val="21"/>
          <w:highlight w:val="none"/>
        </w:rPr>
        <w:t xml:space="preserve">、≥</w:t>
      </w:r>
      <w:r>
        <w:rPr>
          <w:rFonts w:ascii="宋体" w:hAnsi="宋体" w:cs="宋体"/>
          <w:szCs w:val="21"/>
          <w:highlight w:val="none"/>
        </w:rPr>
        <w:t xml:space="preserve">80分</w:t>
      </w:r>
      <w:r>
        <w:rPr>
          <w:rFonts w:hint="eastAsia" w:ascii="宋体" w:hAnsi="宋体" w:cs="宋体"/>
          <w:szCs w:val="21"/>
          <w:highlight w:val="none"/>
        </w:rPr>
        <w:t xml:space="preserve">时</w:t>
      </w:r>
      <w:r>
        <w:rPr>
          <w:rFonts w:ascii="宋体" w:hAnsi="宋体" w:cs="宋体"/>
          <w:szCs w:val="21"/>
          <w:highlight w:val="none"/>
        </w:rPr>
        <w:t xml:space="preserve">，扣除当季度运营服务费的5%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80分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70分，扣除当季度运营服务费的10%</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70分</w:t>
      </w:r>
      <w:r>
        <w:rPr>
          <w:rFonts w:hint="eastAsia" w:ascii="宋体" w:hAnsi="宋体" w:cs="宋体"/>
          <w:szCs w:val="21"/>
          <w:highlight w:val="none"/>
          <w:lang w:eastAsia="zh-CN"/>
        </w:rPr>
        <w:t xml:space="preserve">且</w:t>
      </w:r>
      <w:r>
        <w:rPr>
          <w:rFonts w:hint="eastAsia" w:ascii="宋体" w:hAnsi="宋体" w:cs="宋体"/>
          <w:szCs w:val="21"/>
          <w:highlight w:val="none"/>
        </w:rPr>
        <w:t xml:space="preserve">≥</w:t>
      </w:r>
      <w:r>
        <w:rPr>
          <w:rFonts w:ascii="宋体" w:hAnsi="宋体" w:cs="宋体"/>
          <w:szCs w:val="21"/>
          <w:highlight w:val="none"/>
        </w:rPr>
        <w:t xml:space="preserve">60分，扣除当季度运营服务费的15%</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考核</w:t>
      </w:r>
      <w:r>
        <w:rPr>
          <w:rFonts w:hint="eastAsia" w:ascii="宋体" w:hAnsi="宋体" w:cs="宋体"/>
          <w:szCs w:val="21"/>
          <w:highlight w:val="none"/>
        </w:rPr>
        <w:t xml:space="preserve">得分＜</w:t>
      </w:r>
      <w:r>
        <w:rPr>
          <w:rFonts w:ascii="宋体" w:hAnsi="宋体" w:cs="宋体"/>
          <w:szCs w:val="21"/>
          <w:highlight w:val="none"/>
        </w:rPr>
        <w:t xml:space="preserve">60</w:t>
      </w:r>
      <w:r>
        <w:rPr>
          <w:rFonts w:hint="eastAsia" w:ascii="宋体" w:hAnsi="宋体" w:cs="宋体"/>
          <w:szCs w:val="21"/>
          <w:highlight w:val="none"/>
          <w:lang w:eastAsia="zh-CN"/>
        </w:rPr>
        <w:t xml:space="preserve">分时</w:t>
      </w:r>
      <w:r>
        <w:rPr>
          <w:rFonts w:hint="eastAsia" w:ascii="宋体" w:hAnsi="宋体" w:cs="宋体"/>
          <w:szCs w:val="21"/>
          <w:highlight w:val="none"/>
        </w:rPr>
        <w:t xml:space="preserve">，</w:t>
      </w:r>
      <w:r>
        <w:rPr>
          <w:rFonts w:ascii="宋体" w:hAnsi="宋体" w:cs="宋体"/>
          <w:szCs w:val="21"/>
          <w:highlight w:val="none"/>
        </w:rPr>
        <w:t xml:space="preserve">为不合格，扣除当季度运营服务费的30%</w:t>
      </w:r>
      <w:r>
        <w:rPr>
          <w:rFonts w:hint="eastAsia" w:ascii="宋体" w:hAnsi="宋体" w:cs="宋体"/>
          <w:szCs w:val="21"/>
          <w:highlight w:val="none"/>
          <w:lang w:eastAsia="zh-CN"/>
        </w:rPr>
        <w:t xml:space="preserve">，</w:t>
      </w:r>
      <w:r>
        <w:rPr>
          <w:rFonts w:ascii="宋体" w:hAnsi="宋体" w:cs="宋体"/>
          <w:szCs w:val="21"/>
          <w:highlight w:val="none"/>
        </w:rPr>
        <w:t xml:space="preserve">并限期10日内</w:t>
      </w:r>
      <w:r>
        <w:rPr>
          <w:rFonts w:hint="eastAsia" w:ascii="宋体" w:hAnsi="宋体" w:cs="宋体"/>
          <w:szCs w:val="21"/>
          <w:highlight w:val="none"/>
        </w:rPr>
        <w:t xml:space="preserve">完成</w:t>
      </w:r>
      <w:r>
        <w:rPr>
          <w:rFonts w:ascii="宋体" w:hAnsi="宋体" w:cs="宋体"/>
          <w:szCs w:val="21"/>
          <w:highlight w:val="none"/>
        </w:rPr>
        <w:t xml:space="preserve">整</w:t>
      </w:r>
      <w:r>
        <w:rPr>
          <w:rFonts w:hint="eastAsia" w:ascii="宋体" w:hAnsi="宋体" w:cs="宋体"/>
          <w:szCs w:val="21"/>
          <w:highlight w:val="none"/>
        </w:rPr>
        <w:t xml:space="preserve">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t xml:space="preserve">一年内累计达2次考核不合格的，</w:t>
      </w:r>
      <w:r>
        <w:rPr>
          <w:rFonts w:hint="eastAsia" w:ascii="宋体" w:hAnsi="宋体" w:cs="宋体"/>
          <w:szCs w:val="21"/>
          <w:highlight w:val="none"/>
        </w:rPr>
        <w:t xml:space="preserve">中心</w:t>
      </w:r>
      <w:r>
        <w:rPr>
          <w:rFonts w:ascii="宋体" w:hAnsi="宋体" w:cs="宋体"/>
          <w:szCs w:val="21"/>
          <w:highlight w:val="none"/>
        </w:rPr>
        <w:t xml:space="preserve">有权单方面终止合同。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eastAsia="zh-CN"/>
        </w:rPr>
        <w:t xml:space="preserve">成交供应商</w:t>
      </w:r>
      <w:r>
        <w:rPr>
          <w:rFonts w:ascii="宋体" w:hAnsi="宋体" w:cs="宋体"/>
          <w:szCs w:val="21"/>
          <w:highlight w:val="none"/>
        </w:rPr>
        <w:t xml:space="preserve">在运营期间被环保督查发现问题并处理的，招标人将视情况给予扣分或</w:t>
      </w:r>
      <w:r>
        <w:rPr>
          <w:rFonts w:hint="eastAsia" w:ascii="宋体" w:hAnsi="宋体" w:cs="宋体"/>
          <w:szCs w:val="21"/>
          <w:highlight w:val="none"/>
        </w:rPr>
        <w:t xml:space="preserve">罚款；</w:t>
      </w:r>
      <w:r>
        <w:rPr>
          <w:rFonts w:ascii="宋体" w:hAnsi="宋体" w:cs="宋体"/>
          <w:szCs w:val="21"/>
          <w:highlight w:val="none"/>
        </w:rPr>
        <w:t xml:space="preserve">在一个季度内，</w:t>
      </w:r>
      <w:r>
        <w:rPr>
          <w:rFonts w:hint="eastAsia" w:ascii="宋体" w:hAnsi="宋体" w:cs="宋体"/>
          <w:szCs w:val="21"/>
          <w:highlight w:val="none"/>
        </w:rPr>
        <w:t xml:space="preserve">被</w:t>
      </w:r>
      <w:r>
        <w:rPr>
          <w:rFonts w:ascii="宋体" w:hAnsi="宋体" w:cs="宋体"/>
          <w:szCs w:val="21"/>
          <w:highlight w:val="none"/>
        </w:rPr>
        <w:t xml:space="preserve">上级主管部门、业主方、社会各方抽查、检查或举报的，经核查</w:t>
      </w:r>
      <w:r>
        <w:rPr>
          <w:rFonts w:hint="eastAsia" w:ascii="宋体" w:hAnsi="宋体" w:cs="宋体"/>
          <w:szCs w:val="21"/>
          <w:highlight w:val="none"/>
        </w:rPr>
        <w:t xml:space="preserve">出水水质</w:t>
      </w:r>
      <w:r>
        <w:rPr>
          <w:rFonts w:ascii="宋体" w:hAnsi="宋体" w:cs="宋体"/>
          <w:szCs w:val="21"/>
          <w:highlight w:val="none"/>
        </w:rPr>
        <w:t xml:space="preserve">不达标1次</w:t>
      </w:r>
      <w:r>
        <w:rPr>
          <w:rFonts w:hint="eastAsia" w:ascii="宋体" w:hAnsi="宋体" w:cs="宋体"/>
          <w:szCs w:val="21"/>
          <w:highlight w:val="none"/>
          <w:lang w:eastAsia="zh-CN"/>
        </w:rPr>
        <w:t xml:space="preserve">，扣除</w:t>
      </w:r>
      <w:r>
        <w:rPr>
          <w:rFonts w:ascii="宋体" w:hAnsi="宋体" w:cs="宋体"/>
          <w:szCs w:val="21"/>
          <w:highlight w:val="none"/>
        </w:rPr>
        <w:t xml:space="preserve">该季度运营费用50%</w:t>
      </w:r>
      <w:r>
        <w:rPr>
          <w:rFonts w:hint="eastAsia" w:ascii="宋体" w:hAnsi="宋体" w:cs="宋体"/>
          <w:szCs w:val="21"/>
          <w:highlight w:val="none"/>
        </w:rPr>
        <w:t xml:space="preserve">；</w:t>
      </w:r>
      <w:r>
        <w:rPr>
          <w:rFonts w:hint="eastAsia" w:ascii="宋体" w:hAnsi="宋体" w:cs="宋体"/>
          <w:szCs w:val="21"/>
          <w:highlight w:val="none"/>
          <w:lang w:eastAsia="zh-CN"/>
        </w:rPr>
        <w:t xml:space="preserve">达到</w:t>
      </w:r>
      <w:r>
        <w:rPr>
          <w:rFonts w:ascii="宋体" w:hAnsi="宋体" w:cs="宋体"/>
          <w:szCs w:val="21"/>
          <w:highlight w:val="none"/>
        </w:rPr>
        <w:t xml:space="preserve">2次及以上的，扣除季度运营费用，</w:t>
      </w:r>
      <w:r>
        <w:rPr>
          <w:rFonts w:hint="eastAsia" w:ascii="宋体" w:hAnsi="宋体" w:cs="宋体"/>
          <w:szCs w:val="21"/>
          <w:highlight w:val="none"/>
        </w:rPr>
        <w:t xml:space="preserve">同时应当消除上级或社会各方对当地政府及业主方带来的一</w:t>
      </w:r>
      <w:r>
        <w:rPr>
          <w:rFonts w:ascii="宋体" w:hAnsi="宋体" w:cs="宋体"/>
          <w:szCs w:val="21"/>
          <w:highlight w:val="none"/>
        </w:rPr>
        <w:t xml:space="preserve">切不良影响，</w:t>
      </w:r>
      <w:r>
        <w:rPr>
          <w:rFonts w:hint="eastAsia" w:ascii="宋体" w:hAnsi="宋体" w:cs="宋体"/>
          <w:szCs w:val="21"/>
          <w:highlight w:val="none"/>
        </w:rPr>
        <w:t xml:space="preserve">并</w:t>
      </w:r>
      <w:r>
        <w:rPr>
          <w:rFonts w:ascii="宋体" w:hAnsi="宋体" w:cs="宋体"/>
          <w:szCs w:val="21"/>
          <w:highlight w:val="none"/>
        </w:rPr>
        <w:t xml:space="preserve">赔偿相关</w:t>
      </w:r>
      <w:r>
        <w:rPr>
          <w:rFonts w:hint="eastAsia" w:ascii="宋体" w:hAnsi="宋体" w:cs="宋体"/>
          <w:szCs w:val="21"/>
          <w:highlight w:val="none"/>
        </w:rPr>
        <w:t xml:space="preserve">损失。</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 本办法由泰州市生活垃圾处理中心负责解释。</w:t>
      </w:r>
      <w:r/>
    </w:p>
    <w:p>
      <w:pPr>
        <w:rPr>
          <w:rFonts w:hint="eastAsia" w:ascii="宋体" w:hAnsi="宋体"/>
          <w:b/>
          <w:bCs/>
          <w:color w:val="000000"/>
          <w:szCs w:val="21"/>
          <w:highlight w:val="none"/>
        </w:rPr>
      </w:pPr>
      <w:r>
        <w:rPr>
          <w:rFonts w:hint="eastAsia" w:ascii="宋体" w:hAnsi="宋体"/>
          <w:b/>
          <w:bCs/>
          <w:color w:val="000000"/>
          <w:szCs w:val="21"/>
          <w:highlight w:val="none"/>
        </w:rPr>
      </w:r>
      <w:r/>
    </w:p>
    <w:p>
      <w:pPr>
        <w:rPr>
          <w:rFonts w:hint="eastAsia" w:ascii="宋体" w:hAnsi="宋体"/>
          <w:b/>
          <w:bCs/>
          <w:color w:val="000000"/>
          <w:szCs w:val="21"/>
          <w:highlight w:val="none"/>
        </w:rPr>
      </w:pPr>
      <w:r>
        <w:rPr>
          <w:rFonts w:hint="eastAsia" w:ascii="宋体" w:hAnsi="宋体"/>
          <w:b/>
          <w:bCs/>
          <w:color w:val="000000"/>
          <w:szCs w:val="21"/>
          <w:highlight w:val="none"/>
        </w:rPr>
      </w:r>
      <w:r/>
    </w:p>
    <w:p>
      <w:pPr>
        <w:rPr>
          <w:rFonts w:ascii="宋体" w:hAnsi="宋体"/>
          <w:b/>
          <w:bCs/>
          <w:color w:val="000000"/>
          <w:szCs w:val="21"/>
          <w:highlight w:val="none"/>
        </w:rPr>
      </w:pPr>
      <w:r>
        <w:rPr>
          <w:rFonts w:hint="eastAsia" w:ascii="宋体" w:hAnsi="宋体"/>
          <w:b/>
          <w:bCs/>
          <w:color w:val="000000"/>
          <w:szCs w:val="21"/>
          <w:highlight w:val="none"/>
        </w:rPr>
        <w:t xml:space="preserve">附件一：</w:t>
      </w:r>
      <w:r/>
    </w:p>
    <w:p>
      <w:pPr>
        <w:jc w:val="center"/>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泰州市生活垃圾焚烧发电配套项目渗滤液及废水收集处理、设备</w:t>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设施更换维护项目</w:t>
      </w:r>
      <w:r>
        <w:rPr>
          <w:rFonts w:hint="eastAsia" w:ascii="宋体" w:hAnsi="宋体"/>
          <w:b/>
          <w:bCs/>
          <w:color w:val="000000"/>
          <w:sz w:val="24"/>
          <w:szCs w:val="24"/>
          <w:highlight w:val="none"/>
        </w:rPr>
        <w:t xml:space="preserve">考核评分办法</w:t>
      </w:r>
      <w:r/>
    </w:p>
    <w:p>
      <w:pPr>
        <w:jc w:val="center"/>
        <w:rPr>
          <w:rFonts w:ascii="宋体" w:hAnsi="宋体"/>
          <w:b/>
          <w:bCs/>
          <w:color w:val="000000"/>
          <w:szCs w:val="21"/>
          <w:highlight w:val="none"/>
        </w:rPr>
      </w:pPr>
      <w:r>
        <w:rPr>
          <w:rFonts w:ascii="宋体" w:hAnsi="宋体"/>
          <w:b/>
          <w:bCs/>
          <w:color w:val="000000"/>
          <w:szCs w:val="21"/>
          <w:highlight w:val="none"/>
        </w:rPr>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701"/>
        <w:gridCol w:w="684"/>
        <w:gridCol w:w="1511"/>
        <w:gridCol w:w="3383"/>
        <w:gridCol w:w="1013"/>
      </w:tblGrid>
      <w:tr>
        <w:trPr>
          <w:jc w:val="center"/>
          <w:trHeight w:val="676"/>
        </w:trPr>
        <w:tc>
          <w:tcPr>
            <w:tcW w:w="662"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序号</w:t>
            </w:r>
            <w:r/>
          </w:p>
        </w:tc>
        <w:tc>
          <w:tcPr>
            <w:tcW w:w="701"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项目</w:t>
            </w:r>
            <w:r/>
          </w:p>
        </w:tc>
        <w:tc>
          <w:tcPr>
            <w:tcW w:w="684"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项目总分</w:t>
            </w:r>
            <w:r/>
          </w:p>
        </w:tc>
        <w:tc>
          <w:tcPr>
            <w:tcW w:w="1511"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考核内容</w:t>
            </w:r>
            <w:r/>
          </w:p>
        </w:tc>
        <w:tc>
          <w:tcPr>
            <w:tcW w:w="3383"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扣分标准</w:t>
            </w:r>
            <w:r/>
          </w:p>
        </w:tc>
        <w:tc>
          <w:tcPr>
            <w:tcW w:w="1013"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项目得分</w:t>
            </w:r>
            <w:r/>
          </w:p>
        </w:tc>
      </w:tr>
      <w:tr>
        <w:trPr>
          <w:jc w:val="center"/>
          <w:trHeight w:val="760"/>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人员情况</w:t>
            </w:r>
            <w:r/>
          </w:p>
        </w:tc>
        <w:tc>
          <w:tcPr>
            <w:tcW w:w="684"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0</w:t>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运行管理机构</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人员及运行管理机构未配置或不健全，每差一个扣2分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03"/>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岗位职责是否明确</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岗位职责未制定或不健全的，每差一个扣</w:t>
            </w:r>
            <w:r>
              <w:rPr>
                <w:rFonts w:ascii="宋体" w:hAnsi="宋体"/>
                <w:szCs w:val="21"/>
                <w:highlight w:val="none"/>
              </w:rPr>
              <w:t xml:space="preserve">1</w:t>
            </w:r>
            <w:r>
              <w:rPr>
                <w:rFonts w:hint="eastAsia" w:ascii="宋体" w:hAnsi="宋体"/>
                <w:szCs w:val="21"/>
                <w:highlight w:val="none"/>
              </w:rPr>
              <w:t xml:space="preserve">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70"/>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运行管理</w:t>
            </w:r>
            <w:r/>
          </w:p>
        </w:tc>
        <w:tc>
          <w:tcPr>
            <w:tcW w:w="684"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0</w:t>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运行管理技术规程</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未制定技术规程扣5分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54"/>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处理站运行记录</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现场运行记录不完整、不规范、不真实，运行记录统计报表与运行实际不吻合，发现一项扣</w:t>
            </w:r>
            <w:r>
              <w:rPr>
                <w:rFonts w:ascii="宋体" w:hAnsi="宋体"/>
                <w:szCs w:val="21"/>
                <w:highlight w:val="none"/>
              </w:rPr>
              <w:t xml:space="preserve">2</w:t>
            </w:r>
            <w:r>
              <w:rPr>
                <w:rFonts w:hint="eastAsia" w:ascii="宋体" w:hAnsi="宋体"/>
                <w:szCs w:val="21"/>
                <w:highlight w:val="none"/>
              </w:rPr>
              <w:t xml:space="preserve">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11"/>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处理设备运行情况</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渗滤液处理设备设施运行不正常，未及时收集处理，发现一项扣2分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27"/>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水质管理</w:t>
            </w:r>
            <w:r/>
          </w:p>
        </w:tc>
        <w:tc>
          <w:tcPr>
            <w:tcW w:w="684" w:type="dxa"/>
            <w:vAlign w:val="center"/>
            <w:vMerge w:val="restart"/>
            <w:textDirection w:val="lrTb"/>
            <w:noWrap w:val="false"/>
          </w:tcPr>
          <w:p>
            <w:pPr>
              <w:jc w:val="center"/>
              <w:rPr>
                <w:rFonts w:ascii="宋体" w:hAnsi="宋体"/>
                <w:szCs w:val="21"/>
                <w:highlight w:val="none"/>
              </w:rPr>
            </w:pPr>
            <w:r>
              <w:rPr>
                <w:rFonts w:ascii="宋体" w:hAnsi="宋体"/>
                <w:szCs w:val="21"/>
                <w:highlight w:val="none"/>
              </w:rPr>
              <w:t xml:space="preserve">30</w:t>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出水水质情况</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每季度第三方出水水质检测不合格一项</w:t>
            </w:r>
            <w:r>
              <w:rPr>
                <w:rFonts w:ascii="宋体" w:hAnsi="宋体"/>
                <w:szCs w:val="21"/>
                <w:highlight w:val="none"/>
              </w:rPr>
              <w:t xml:space="preserve">扣5分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81"/>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排放标准</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未按《生活垃圾</w:t>
            </w:r>
            <w:r>
              <w:rPr>
                <w:rFonts w:hint="eastAsia" w:ascii="宋体" w:hAnsi="宋体"/>
                <w:szCs w:val="21"/>
                <w:highlight w:val="none"/>
                <w:lang w:eastAsia="zh-CN"/>
              </w:rPr>
              <w:t xml:space="preserve">填埋场</w:t>
            </w:r>
            <w:r>
              <w:rPr>
                <w:rFonts w:hint="eastAsia" w:ascii="宋体" w:hAnsi="宋体"/>
                <w:szCs w:val="21"/>
                <w:highlight w:val="none"/>
              </w:rPr>
              <w:t xml:space="preserve">污染控制标准》</w:t>
            </w:r>
            <w:r>
              <w:rPr>
                <w:rFonts w:hint="eastAsia" w:ascii="宋体" w:hAnsi="宋体"/>
                <w:szCs w:val="21"/>
                <w:highlight w:val="none"/>
                <w:lang w:eastAsia="zh-CN"/>
              </w:rPr>
              <w:t xml:space="preserve">（GB 16889-2024）</w:t>
            </w:r>
            <w:r>
              <w:rPr>
                <w:rFonts w:hint="eastAsia" w:ascii="宋体" w:hAnsi="宋体"/>
                <w:szCs w:val="21"/>
                <w:highlight w:val="none"/>
                <w:lang w:val="en-US" w:eastAsia="zh-CN"/>
              </w:rPr>
              <w:t xml:space="preserve">表2</w:t>
            </w:r>
            <w:r>
              <w:rPr>
                <w:rFonts w:ascii="宋体" w:hAnsi="宋体"/>
                <w:szCs w:val="21"/>
                <w:highlight w:val="none"/>
              </w:rPr>
              <w:t xml:space="preserve">要求</w:t>
            </w:r>
            <w:r>
              <w:rPr>
                <w:rFonts w:hint="eastAsia" w:ascii="宋体" w:hAnsi="宋体"/>
                <w:szCs w:val="21"/>
                <w:highlight w:val="none"/>
              </w:rPr>
              <w:t xml:space="preserve">进行排放，不合格一项</w:t>
            </w:r>
            <w:r>
              <w:rPr>
                <w:rFonts w:ascii="宋体" w:hAnsi="宋体"/>
                <w:szCs w:val="21"/>
                <w:highlight w:val="none"/>
              </w:rPr>
              <w:t xml:space="preserve">扣5分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79"/>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设备管理</w:t>
            </w:r>
            <w:r/>
          </w:p>
        </w:tc>
        <w:tc>
          <w:tcPr>
            <w:tcW w:w="684"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0</w:t>
            </w:r>
            <w:r/>
          </w:p>
        </w:tc>
        <w:tc>
          <w:tcPr>
            <w:tcW w:w="1511"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rPr>
              <w:t xml:space="preserve">设备检修、维护</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更换</w:t>
            </w:r>
            <w:r/>
          </w:p>
        </w:tc>
        <w:tc>
          <w:tcPr>
            <w:tcW w:w="3383" w:type="dxa"/>
            <w:vAlign w:val="center"/>
            <w:textDirection w:val="lrTb"/>
            <w:noWrap w:val="false"/>
          </w:tcPr>
          <w:p>
            <w:pPr>
              <w:rPr>
                <w:rFonts w:ascii="宋体" w:hAnsi="宋体"/>
                <w:szCs w:val="21"/>
                <w:highlight w:val="none"/>
              </w:rPr>
            </w:pPr>
            <w:r>
              <w:rPr>
                <w:rFonts w:ascii="宋体" w:hAnsi="宋体"/>
                <w:szCs w:val="21"/>
                <w:highlight w:val="none"/>
              </w:rPr>
              <w:t xml:space="preserve">未按要求对全部设</w:t>
            </w:r>
            <w:r>
              <w:rPr>
                <w:rFonts w:hint="eastAsia" w:ascii="宋体" w:hAnsi="宋体"/>
                <w:szCs w:val="21"/>
                <w:highlight w:val="none"/>
              </w:rPr>
              <w:t xml:space="preserve">备、主要工艺设备检修、维护</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更换</w:t>
            </w:r>
            <w:r>
              <w:rPr>
                <w:rFonts w:hint="eastAsia" w:ascii="宋体" w:hAnsi="宋体"/>
                <w:szCs w:val="21"/>
                <w:highlight w:val="none"/>
              </w:rPr>
              <w:t xml:space="preserve">，发现一项扣2分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04"/>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设备实际运行情况</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抽检</w:t>
            </w:r>
            <w:r>
              <w:rPr>
                <w:rFonts w:ascii="宋体" w:hAnsi="宋体"/>
                <w:szCs w:val="21"/>
                <w:highlight w:val="none"/>
              </w:rPr>
              <w:t xml:space="preserve">1</w:t>
            </w:r>
            <w:r>
              <w:rPr>
                <w:rFonts w:hint="eastAsia" w:ascii="宋体" w:hAnsi="宋体"/>
                <w:szCs w:val="21"/>
                <w:highlight w:val="none"/>
                <w:lang w:eastAsia="zh-CN"/>
              </w:rPr>
              <w:t xml:space="preserve">—</w:t>
            </w:r>
            <w:r>
              <w:rPr>
                <w:rFonts w:ascii="宋体" w:hAnsi="宋体"/>
                <w:szCs w:val="21"/>
                <w:highlight w:val="none"/>
              </w:rPr>
              <w:t xml:space="preserve">3台设备，设备实际运</w:t>
            </w:r>
            <w:r>
              <w:rPr>
                <w:rFonts w:hint="eastAsia" w:ascii="宋体" w:hAnsi="宋体"/>
                <w:szCs w:val="21"/>
                <w:highlight w:val="none"/>
              </w:rPr>
              <w:t xml:space="preserve">行情况与记录不吻合，发现一项扣</w:t>
            </w:r>
            <w:r>
              <w:rPr>
                <w:rFonts w:ascii="宋体" w:hAnsi="宋体"/>
                <w:szCs w:val="21"/>
                <w:highlight w:val="none"/>
              </w:rPr>
              <w:t xml:space="preserve">2分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67"/>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安全管理</w:t>
            </w:r>
            <w:r/>
          </w:p>
        </w:tc>
        <w:tc>
          <w:tcPr>
            <w:tcW w:w="684"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安全运行</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安全管理制度不完善、不有效落实，厂内安全标识不规范明晰，发现一项扣</w:t>
            </w:r>
            <w:r>
              <w:rPr>
                <w:rFonts w:ascii="宋体" w:hAnsi="宋体"/>
                <w:szCs w:val="21"/>
                <w:highlight w:val="none"/>
              </w:rPr>
              <w:t xml:space="preserve">1分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41"/>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发生有</w:t>
            </w:r>
            <w:r>
              <w:rPr>
                <w:rFonts w:ascii="宋体" w:hAnsi="宋体"/>
                <w:szCs w:val="21"/>
                <w:highlight w:val="none"/>
              </w:rPr>
              <w:t xml:space="preserve">责安全生产事故</w:t>
            </w:r>
            <w:r/>
          </w:p>
        </w:tc>
        <w:tc>
          <w:tcPr>
            <w:tcW w:w="3383" w:type="dxa"/>
            <w:vAlign w:val="center"/>
            <w:textDirection w:val="lrTb"/>
            <w:noWrap w:val="false"/>
          </w:tcPr>
          <w:p>
            <w:pPr>
              <w:rPr>
                <w:rFonts w:ascii="宋体" w:hAnsi="宋体"/>
                <w:szCs w:val="21"/>
                <w:highlight w:val="none"/>
              </w:rPr>
            </w:pPr>
            <w:r>
              <w:rPr>
                <w:rFonts w:ascii="宋体" w:hAnsi="宋体"/>
                <w:szCs w:val="21"/>
                <w:highlight w:val="none"/>
              </w:rPr>
              <w:t xml:space="preserve">每次扣</w:t>
            </w:r>
            <w:r>
              <w:rPr>
                <w:rFonts w:hint="eastAsia" w:ascii="宋体" w:hAnsi="宋体"/>
                <w:szCs w:val="21"/>
                <w:highlight w:val="none"/>
              </w:rPr>
              <w:t xml:space="preserve">2</w:t>
            </w:r>
            <w:r>
              <w:rPr>
                <w:rFonts w:ascii="宋体" w:hAnsi="宋体"/>
                <w:szCs w:val="21"/>
                <w:highlight w:val="none"/>
              </w:rPr>
              <w:t xml:space="preserve">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85"/>
        </w:trPr>
        <w:tc>
          <w:tcPr>
            <w:tcW w:w="66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70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环境卫生</w:t>
            </w:r>
            <w:r/>
          </w:p>
        </w:tc>
        <w:tc>
          <w:tcPr>
            <w:tcW w:w="68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1511"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厂区环境卫生、设施和绿化</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厂区环境卫生不整洁、设施和绿化维护不到位，每项扣</w:t>
            </w:r>
            <w:r>
              <w:rPr>
                <w:rFonts w:ascii="宋体" w:hAnsi="宋体"/>
                <w:szCs w:val="21"/>
                <w:highlight w:val="none"/>
              </w:rPr>
              <w:t xml:space="preserve">1分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18"/>
        </w:trPr>
        <w:tc>
          <w:tcPr>
            <w:tcW w:w="662"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701"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其他</w:t>
            </w:r>
            <w:r/>
          </w:p>
        </w:tc>
        <w:tc>
          <w:tcPr>
            <w:tcW w:w="684"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0</w:t>
            </w:r>
            <w:r/>
          </w:p>
        </w:tc>
        <w:tc>
          <w:tcPr>
            <w:tcW w:w="1511"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资料、档案管理</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台账不清晰、内容不完整、记录不连续、数据不准确，档案管理不规范，每项扣</w:t>
            </w:r>
            <w:r>
              <w:rPr>
                <w:rFonts w:ascii="宋体" w:hAnsi="宋体"/>
                <w:szCs w:val="21"/>
                <w:highlight w:val="none"/>
              </w:rPr>
              <w:t xml:space="preserve">1分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79"/>
        </w:trPr>
        <w:tc>
          <w:tcPr>
            <w:tcW w:w="662"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701"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684"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511" w:type="dxa"/>
            <w:vAlign w:val="center"/>
            <w:textDirection w:val="lrTb"/>
            <w:noWrap w:val="false"/>
          </w:tcPr>
          <w:p>
            <w:pPr>
              <w:rPr>
                <w:rFonts w:ascii="宋体" w:hAnsi="宋体"/>
                <w:szCs w:val="21"/>
                <w:highlight w:val="none"/>
              </w:rPr>
            </w:pPr>
            <w:r>
              <w:rPr>
                <w:rFonts w:ascii="宋体" w:hAnsi="宋体"/>
                <w:szCs w:val="21"/>
                <w:highlight w:val="none"/>
              </w:rPr>
              <w:t xml:space="preserve">上级</w:t>
            </w:r>
            <w:r>
              <w:rPr>
                <w:rFonts w:hint="eastAsia" w:ascii="宋体" w:hAnsi="宋体"/>
                <w:szCs w:val="21"/>
                <w:highlight w:val="none"/>
              </w:rPr>
              <w:t xml:space="preserve">、主管部门抽查及</w:t>
            </w:r>
            <w:r>
              <w:rPr>
                <w:rFonts w:ascii="宋体" w:hAnsi="宋体"/>
                <w:szCs w:val="21"/>
                <w:highlight w:val="none"/>
              </w:rPr>
              <w:t xml:space="preserve">新闻媒</w:t>
            </w:r>
            <w:r>
              <w:rPr>
                <w:rFonts w:hint="eastAsia" w:ascii="宋体" w:hAnsi="宋体"/>
                <w:szCs w:val="21"/>
                <w:highlight w:val="none"/>
              </w:rPr>
              <w:t xml:space="preserve">体曝光事件</w:t>
            </w:r>
            <w:r/>
          </w:p>
        </w:tc>
        <w:tc>
          <w:tcPr>
            <w:tcW w:w="3383"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发生有责通报或曝光，每发生一次扣</w:t>
            </w:r>
            <w:r>
              <w:rPr>
                <w:rFonts w:ascii="宋体" w:hAnsi="宋体"/>
                <w:szCs w:val="21"/>
                <w:highlight w:val="none"/>
              </w:rPr>
              <w:t xml:space="preserve">4分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845"/>
        </w:trPr>
        <w:tc>
          <w:tcPr>
            <w:gridSpan w:val="5"/>
            <w:tcW w:w="6941"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考核得分</w:t>
            </w:r>
            <w:r/>
          </w:p>
        </w:tc>
        <w:tc>
          <w:tcPr>
            <w:tcW w:w="1013" w:type="dxa"/>
            <w:vAlign w:val="center"/>
            <w:textDirection w:val="lrTb"/>
            <w:noWrap w:val="false"/>
          </w:tcPr>
          <w:p>
            <w:pPr>
              <w:rPr>
                <w:rFonts w:ascii="宋体" w:hAnsi="宋体"/>
                <w:szCs w:val="21"/>
                <w:highlight w:val="none"/>
              </w:rPr>
            </w:pPr>
            <w:r>
              <w:rPr>
                <w:rFonts w:ascii="宋体" w:hAnsi="宋体"/>
                <w:szCs w:val="21"/>
                <w:highlight w:val="none"/>
              </w:rPr>
            </w:r>
            <w:r/>
          </w:p>
        </w:tc>
      </w:tr>
    </w:tbl>
    <w:p>
      <w:pPr>
        <w:rPr>
          <w:highlight w:val="none"/>
        </w:rPr>
      </w:pPr>
      <w:r>
        <w:rPr>
          <w:highlight w:val="none"/>
        </w:rPr>
      </w:r>
      <w:r/>
    </w:p>
    <w:p>
      <w:pPr>
        <w:spacing w:line="360" w:lineRule="auto"/>
        <w:rPr>
          <w:rFonts w:hint="eastAsia" w:ascii="宋体" w:hAnsi="宋体" w:cs="宋体"/>
          <w:color w:val="000000"/>
          <w:sz w:val="24"/>
          <w:highlight w:val="none"/>
        </w:rPr>
      </w:pPr>
      <w:r>
        <w:rPr>
          <w:rFonts w:hint="eastAsia" w:ascii="宋体" w:hAnsi="宋体" w:cs="宋体"/>
          <w:b/>
          <w:szCs w:val="21"/>
          <w:highlight w:val="none"/>
        </w:rPr>
        <w:t xml:space="preserve">注：</w:t>
      </w:r>
      <w:r>
        <w:rPr>
          <w:rFonts w:hint="eastAsia" w:ascii="宋体" w:hAnsi="宋体" w:cs="宋体"/>
          <w:szCs w:val="21"/>
          <w:highlight w:val="none"/>
        </w:rPr>
        <w:t xml:space="preserve">采购人有权在服务期间修改考核办法，</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在服务期内须无条件服</w:t>
      </w:r>
      <w:r>
        <w:rPr>
          <w:rFonts w:hint="eastAsia" w:ascii="宋体" w:hAnsi="宋体" w:cs="宋体"/>
          <w:szCs w:val="21"/>
          <w:highlight w:val="none"/>
          <w:lang w:val="en-US" w:eastAsia="zh-CN"/>
        </w:rPr>
        <w:t xml:space="preserve">从。</w:t>
      </w:r>
      <w:r/>
    </w:p>
    <w:p>
      <w:pPr>
        <w:ind w:firstLine="420"/>
        <w:pageBreakBefore w:val="0"/>
        <w:spacing w:line="360" w:lineRule="auto"/>
        <w:rPr>
          <w:rFonts w:hint="eastAsia" w:ascii="宋体" w:hAnsi="宋体" w:cs="宋体"/>
          <w:color w:val="auto"/>
          <w:szCs w:val="21"/>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olor w:val="auto"/>
          <w:szCs w:val="21"/>
          <w:highlight w:val="none"/>
        </w:rPr>
        <w:t xml:space="preserve">  </w:t>
      </w:r>
      <w:r/>
    </w:p>
    <w:p>
      <w:pPr>
        <w:pStyle w:val="1116"/>
        <w:numPr>
          <w:ilvl w:val="0"/>
          <w:numId w:val="6"/>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65"/>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w:t>
      </w:r>
      <w:r>
        <w:rPr>
          <w:rFonts w:hint="eastAsia" w:ascii="宋体" w:hAnsi="宋体" w:cs="宋体"/>
          <w:color w:val="auto"/>
          <w:szCs w:val="21"/>
          <w:highlight w:val="none"/>
          <w:lang w:eastAsia="zh-CN"/>
        </w:rPr>
        <w:t xml:space="preserve">组成，人数为</w:t>
      </w:r>
      <w:r>
        <w:rPr>
          <w:rFonts w:hint="eastAsia" w:ascii="宋体" w:hAnsi="宋体" w:cs="宋体"/>
          <w:color w:val="auto"/>
          <w:szCs w:val="21"/>
          <w:highlight w:val="none"/>
        </w:rPr>
        <w:t xml:space="preserve">3人及以上</w:t>
      </w:r>
      <w:r>
        <w:rPr>
          <w:rFonts w:hint="eastAsia" w:ascii="宋体" w:hAnsi="宋体" w:cs="宋体"/>
          <w:color w:val="auto"/>
          <w:szCs w:val="21"/>
          <w:highlight w:val="none"/>
          <w:lang w:eastAsia="zh-CN"/>
        </w:rPr>
        <w:t xml:space="preserve">单数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w:t>
      </w:r>
      <w:r>
        <w:rPr>
          <w:rFonts w:hint="eastAsia" w:ascii="宋体" w:hAnsi="宋体" w:cs="宋体"/>
          <w:color w:val="auto"/>
          <w:szCs w:val="21"/>
          <w:highlight w:val="none"/>
          <w:lang w:eastAsia="zh-CN"/>
        </w:rPr>
        <w:t xml:space="preserve">，按</w:t>
      </w:r>
      <w:r>
        <w:rPr>
          <w:rFonts w:hint="eastAsia" w:ascii="宋体" w:hAnsi="宋体" w:cs="宋体"/>
          <w:color w:val="auto"/>
          <w:szCs w:val="21"/>
          <w:highlight w:val="none"/>
        </w:rPr>
        <w:t xml:space="preserve">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w:t>
      </w:r>
      <w:r>
        <w:rPr>
          <w:rFonts w:hint="eastAsia" w:ascii="宋体" w:hAnsi="宋体" w:cs="宋体"/>
          <w:color w:val="auto"/>
          <w:szCs w:val="21"/>
          <w:highlight w:val="none"/>
          <w:lang w:eastAsia="zh-CN"/>
        </w:rPr>
        <w:t xml:space="preserve">干涉</w:t>
      </w:r>
      <w:r>
        <w:rPr>
          <w:rFonts w:hint="eastAsia" w:ascii="宋体" w:hAnsi="宋体" w:cs="宋体"/>
          <w:color w:val="auto"/>
          <w:szCs w:val="21"/>
          <w:highlight w:val="none"/>
        </w:rPr>
        <w:t xml:space="preserve">，应当及时向财政、监察等部门举报。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w:t>
      </w:r>
      <w:r>
        <w:rPr>
          <w:rFonts w:hint="eastAsia" w:ascii="宋体" w:hAnsi="宋体" w:cs="宋体"/>
          <w:color w:val="auto"/>
          <w:szCs w:val="21"/>
          <w:highlight w:val="none"/>
          <w:lang w:eastAsia="zh-CN"/>
        </w:rPr>
        <w:t xml:space="preserve">逐一</w:t>
      </w:r>
      <w:r>
        <w:rPr>
          <w:rFonts w:hint="eastAsia" w:ascii="宋体" w:hAnsi="宋体" w:cs="宋体"/>
          <w:color w:val="auto"/>
          <w:szCs w:val="21"/>
          <w:highlight w:val="none"/>
        </w:rPr>
        <w:t xml:space="preserve">进行磋商。</w:t>
      </w:r>
      <w:r>
        <w:rPr>
          <w:rFonts w:hint="eastAsia" w:ascii="宋体" w:hAnsi="宋体" w:cs="宋体"/>
          <w:color w:val="auto"/>
          <w:szCs w:val="21"/>
          <w:highlight w:val="none"/>
          <w:lang w:eastAsia="zh-CN"/>
        </w:rPr>
        <w:t xml:space="preserve">分别</w:t>
      </w:r>
      <w:r>
        <w:rPr>
          <w:rFonts w:hint="eastAsia" w:ascii="宋体" w:hAnsi="宋体" w:cs="宋体"/>
          <w:color w:val="auto"/>
          <w:szCs w:val="21"/>
          <w:highlight w:val="none"/>
        </w:rPr>
        <w:t xml:space="preserve">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w:t>
      </w:r>
      <w:r>
        <w:rPr>
          <w:rFonts w:hint="eastAsia" w:ascii="宋体" w:hAnsi="宋体" w:cs="宋体"/>
          <w:color w:val="auto"/>
          <w:szCs w:val="21"/>
          <w:highlight w:val="none"/>
          <w:lang w:eastAsia="zh-CN"/>
        </w:rPr>
        <w:t xml:space="preserve">供应商的响应报价</w:t>
      </w:r>
      <w:r>
        <w:rPr>
          <w:rFonts w:hint="eastAsia" w:ascii="宋体" w:hAnsi="宋体" w:cs="宋体"/>
          <w:color w:val="auto"/>
          <w:szCs w:val="21"/>
          <w:highlight w:val="none"/>
        </w:rPr>
        <w:t xml:space="preserve">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w:t>
      </w:r>
      <w:r>
        <w:rPr>
          <w:rFonts w:hint="eastAsia" w:ascii="宋体" w:hAnsi="宋体" w:cs="宋体"/>
          <w:color w:val="auto"/>
          <w:szCs w:val="21"/>
          <w:highlight w:val="none"/>
          <w:lang w:eastAsia="zh-CN"/>
        </w:rPr>
        <w:t xml:space="preserve">与供应商逐一集中</w:t>
      </w:r>
      <w:r>
        <w:rPr>
          <w:rFonts w:hint="eastAsia" w:ascii="宋体" w:hAnsi="宋体" w:cs="宋体"/>
          <w:color w:val="auto"/>
          <w:szCs w:val="21"/>
          <w:highlight w:val="none"/>
        </w:rPr>
        <w:t xml:space="preserve">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w:t>
      </w:r>
      <w:r>
        <w:rPr>
          <w:rFonts w:hint="eastAsia" w:ascii="宋体" w:hAnsi="宋体" w:cs="宋体"/>
          <w:color w:val="auto"/>
          <w:szCs w:val="21"/>
          <w:highlight w:val="none"/>
          <w:lang w:eastAsia="zh-CN"/>
        </w:rPr>
        <w:t xml:space="preserve">，视为</w:t>
      </w:r>
      <w:r>
        <w:rPr>
          <w:rFonts w:hint="eastAsia" w:ascii="宋体" w:hAnsi="宋体" w:cs="宋体"/>
          <w:color w:val="auto"/>
          <w:szCs w:val="21"/>
          <w:highlight w:val="none"/>
        </w:rPr>
        <w:t xml:space="preserve">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供应商的技术资料、价格及其他信息。</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Cs w:val="21"/>
          <w:highlight w:val="none"/>
        </w:rPr>
        <w:t xml:space="preserve">6.</w:t>
      </w:r>
      <w:r>
        <w:rPr>
          <w:rFonts w:hint="eastAsia" w:ascii="宋体" w:hAnsi="宋体" w:eastAsia="宋体" w:cs="宋体"/>
          <w:color w:val="auto"/>
          <w:sz w:val="21"/>
          <w:szCs w:val="21"/>
          <w:highlight w:val="none"/>
          <w:u w:val="none"/>
          <w:lang w:val="en-US" w:eastAsia="zh-CN" w:bidi="ar"/>
        </w:rPr>
        <w:t xml:space="preserve">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 &lt; </w:t>
      </w:r>
      <w:r>
        <w:rPr>
          <w:rFonts w:hint="eastAsia" w:ascii="宋体" w:hAnsi="宋体" w:eastAsia="宋体" w:cs="宋体"/>
          <w:color w:val="auto"/>
          <w:sz w:val="21"/>
          <w:szCs w:val="21"/>
          <w:highlight w:val="none"/>
          <w:u w:val="none"/>
          <w:lang w:val="en-US" w:eastAsia="zh-CN" w:bidi="ar"/>
        </w:rPr>
        <w:t xml:space="preserve">采购项目最高限价×45%；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 w:val="21"/>
          <w:szCs w:val="21"/>
          <w:highlight w:val="none"/>
          <w:u w:val="none"/>
          <w:lang w:val="en-US" w:eastAsia="zh-CN" w:bidi="ar"/>
        </w:rPr>
        <w:t xml:space="preserve">6.2</w:t>
      </w:r>
      <w:r>
        <w:rPr>
          <w:rFonts w:hint="eastAsia" w:ascii="宋体" w:hAnsi="宋体" w:eastAsia="宋体" w:cs="宋体"/>
          <w:color w:val="auto"/>
          <w:sz w:val="21"/>
          <w:szCs w:val="21"/>
          <w:highlight w:val="none"/>
          <w:u w:val="none"/>
          <w:lang w:val="en-US" w:eastAsia="zh-CN" w:bidi="ar"/>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w:t>
      </w:r>
      <w:r>
        <w:rPr>
          <w:rFonts w:hint="eastAsia" w:ascii="宋体" w:hAnsi="宋体" w:cs="宋体"/>
          <w:color w:val="auto"/>
          <w:szCs w:val="21"/>
          <w:highlight w:val="none"/>
          <w:lang w:eastAsia="zh-CN"/>
        </w:rPr>
        <w:t xml:space="preserve">供应商，并</w:t>
      </w:r>
      <w:r>
        <w:rPr>
          <w:rFonts w:hint="eastAsia" w:ascii="宋体" w:hAnsi="宋体" w:cs="宋体"/>
          <w:color w:val="auto"/>
          <w:szCs w:val="21"/>
          <w:highlight w:val="none"/>
        </w:rPr>
        <w:t xml:space="preserve">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w:t>
      </w:r>
      <w:r>
        <w:rPr>
          <w:rFonts w:hint="eastAsia" w:ascii="宋体" w:hAnsi="宋体" w:cs="宋体"/>
          <w:color w:val="auto"/>
          <w:szCs w:val="21"/>
          <w:highlight w:val="none"/>
          <w:lang w:eastAsia="zh-CN"/>
        </w:rPr>
        <w:t xml:space="preserve">相同且</w:t>
      </w:r>
      <w:r>
        <w:rPr>
          <w:rFonts w:hint="eastAsia" w:ascii="宋体" w:hAnsi="宋体" w:cs="宋体"/>
          <w:color w:val="auto"/>
          <w:szCs w:val="21"/>
          <w:highlight w:val="none"/>
        </w:rPr>
        <w:t xml:space="preserve">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0"/>
        <w:jc w:val="center"/>
        <w:pageBreakBefore w:val="0"/>
        <w:spacing w:line="360" w:lineRule="auto"/>
        <w:rPr>
          <w:rFonts w:hint="eastAsia" w:ascii="Calibri" w:hAnsi="Calibri" w:eastAsia="宋体" w:cs="Times New Roman"/>
          <w:sz w:val="21"/>
          <w:szCs w:val="24"/>
          <w:highlight w:val="none"/>
          <w:lang w:val="en-US" w:eastAsia="zh-CN" w:bidi="ar-SA"/>
        </w:rPr>
      </w:pPr>
      <w:r>
        <w:rPr>
          <w:rFonts w:hint="eastAsia" w:cs="宋体"/>
          <w:b/>
          <w:color w:val="auto"/>
          <w:szCs w:val="21"/>
          <w:highlight w:val="none"/>
        </w:rPr>
        <w:t xml:space="preserve"> 评审标准</w:t>
      </w:r>
      <w:r/>
    </w:p>
    <w:tbl>
      <w:tblPr>
        <w:tblStyle w:val="1120"/>
        <w:tblW w:w="960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160"/>
        <w:gridCol w:w="6570"/>
        <w:gridCol w:w="726"/>
      </w:tblGrid>
      <w:tr>
        <w:trPr>
          <w:jc w:val="center"/>
        </w:trPr>
        <w:tc>
          <w:tcPr>
            <w:tcW w:w="1148"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序号</w:t>
            </w:r>
            <w:r/>
          </w:p>
        </w:tc>
        <w:tc>
          <w:tcPr>
            <w:tcW w:w="11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评分因素</w:t>
            </w:r>
            <w:r/>
          </w:p>
        </w:tc>
        <w:tc>
          <w:tcPr>
            <w:tcW w:w="657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评分细则</w:t>
            </w:r>
            <w:r/>
          </w:p>
        </w:tc>
        <w:tc>
          <w:tcPr>
            <w:tcW w:w="726"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t xml:space="preserve">分值</w:t>
            </w:r>
            <w:r/>
          </w:p>
        </w:tc>
      </w:tr>
      <w:tr>
        <w:trPr>
          <w:jc w:val="center"/>
          <w:trHeight w:val="1305"/>
        </w:trPr>
        <w:tc>
          <w:tcPr>
            <w:tcW w:w="114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p>
            <w:pPr>
              <w:jc w:val="center"/>
              <w:rPr>
                <w:rFonts w:ascii="宋体" w:hAnsi="宋体"/>
                <w:szCs w:val="21"/>
                <w:highlight w:val="none"/>
              </w:rPr>
            </w:pPr>
            <w:r>
              <w:rPr>
                <w:rFonts w:ascii="宋体" w:hAnsi="宋体"/>
                <w:szCs w:val="21"/>
                <w:highlight w:val="none"/>
              </w:rPr>
              <w:t xml:space="preserve">价格</w:t>
            </w:r>
            <w:r>
              <w:rPr>
                <w:rFonts w:hint="eastAsia" w:ascii="宋体" w:hAnsi="宋体"/>
                <w:szCs w:val="21"/>
                <w:highlight w:val="none"/>
              </w:rPr>
              <w:t xml:space="preserve">部分</w:t>
            </w:r>
            <w:r/>
          </w:p>
          <w:p>
            <w:pPr>
              <w:jc w:val="center"/>
              <w:rPr>
                <w:rFonts w:ascii="宋体" w:hAnsi="宋体"/>
                <w:szCs w:val="21"/>
                <w:highlight w:val="none"/>
              </w:rPr>
            </w:pPr>
            <w:r>
              <w:rPr>
                <w:rFonts w:hint="eastAsia" w:ascii="宋体" w:hAnsi="宋体"/>
                <w:szCs w:val="21"/>
                <w:highlight w:val="none"/>
              </w:rPr>
              <w:t xml:space="preserve">（20分）</w:t>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投标报价（20分）</w:t>
            </w:r>
            <w:r/>
          </w:p>
        </w:tc>
        <w:tc>
          <w:tcPr>
            <w:tcW w:w="6570" w:type="dxa"/>
            <w:vAlign w:val="center"/>
            <w:textDirection w:val="lrTb"/>
            <w:noWrap w:val="false"/>
          </w:tcPr>
          <w:p>
            <w:pPr>
              <w:spacing w:line="260" w:lineRule="exact"/>
              <w:rPr>
                <w:rFonts w:ascii="宋体" w:hAnsi="宋体"/>
                <w:szCs w:val="21"/>
                <w:highlight w:val="none"/>
              </w:rPr>
            </w:pPr>
            <w:r>
              <w:rPr>
                <w:rFonts w:hint="eastAsia" w:ascii="宋体" w:hAnsi="宋体"/>
                <w:szCs w:val="21"/>
                <w:highlight w:val="none"/>
              </w:rPr>
              <w:t xml:space="preserve">满足招标文件要求且投标报价最低的投标报价为评标基准价，其价格为满分。其他</w:t>
            </w:r>
            <w:r>
              <w:rPr>
                <w:rFonts w:hint="eastAsia" w:ascii="宋体" w:hAnsi="宋体"/>
                <w:szCs w:val="21"/>
                <w:highlight w:val="none"/>
                <w:lang w:eastAsia="zh-CN"/>
              </w:rPr>
              <w:t xml:space="preserve">响应供应商</w:t>
            </w:r>
            <w:r>
              <w:rPr>
                <w:rFonts w:hint="eastAsia" w:ascii="宋体" w:hAnsi="宋体"/>
                <w:szCs w:val="21"/>
                <w:highlight w:val="none"/>
              </w:rPr>
              <w:t xml:space="preserve">的价格分按照下列公式计算：</w:t>
            </w:r>
            <w:r/>
          </w:p>
          <w:p>
            <w:pPr>
              <w:spacing w:line="260" w:lineRule="exact"/>
              <w:rPr>
                <w:rFonts w:ascii="宋体" w:hAnsi="宋体"/>
                <w:szCs w:val="21"/>
                <w:highlight w:val="none"/>
              </w:rPr>
            </w:pPr>
            <w:r>
              <w:rPr>
                <w:rFonts w:hint="eastAsia" w:ascii="宋体" w:hAnsi="宋体"/>
                <w:szCs w:val="21"/>
                <w:highlight w:val="none"/>
              </w:rPr>
              <w:t xml:space="preserve">投标报价得分＝（评标基准价/投标报价）×20分</w:t>
            </w:r>
            <w:r/>
          </w:p>
          <w:p>
            <w:pPr>
              <w:spacing w:line="260" w:lineRule="exact"/>
              <w:rPr>
                <w:rFonts w:ascii="宋体" w:hAnsi="宋体"/>
                <w:szCs w:val="21"/>
                <w:highlight w:val="none"/>
              </w:rPr>
            </w:pPr>
            <w:r>
              <w:rPr>
                <w:rFonts w:hint="eastAsia" w:ascii="宋体" w:hAnsi="宋体"/>
                <w:b/>
                <w:szCs w:val="21"/>
                <w:highlight w:val="none"/>
              </w:rPr>
              <w:t xml:space="preserve">备注：</w:t>
            </w:r>
            <w:r>
              <w:rPr>
                <w:rFonts w:hint="eastAsia" w:ascii="宋体" w:hAnsi="宋体"/>
                <w:szCs w:val="21"/>
                <w:highlight w:val="none"/>
              </w:rPr>
              <w:t xml:space="preserve">保留两位小数</w:t>
            </w:r>
            <w:r>
              <w:rPr>
                <w:rFonts w:hint="eastAsia" w:ascii="宋体" w:hAnsi="宋体"/>
                <w:szCs w:val="21"/>
                <w:highlight w:val="none"/>
                <w:lang w:eastAsia="zh-CN"/>
              </w:rPr>
              <w:t xml:space="preserve">，</w:t>
            </w:r>
            <w:r>
              <w:rPr>
                <w:rFonts w:hint="eastAsia" w:ascii="宋体" w:hAnsi="宋体"/>
                <w:szCs w:val="21"/>
                <w:highlight w:val="none"/>
              </w:rPr>
              <w:t xml:space="preserve">小数点后第三位四舍五入。</w:t>
            </w:r>
            <w:r/>
          </w:p>
        </w:tc>
        <w:tc>
          <w:tcPr>
            <w:tcW w:w="726"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20</w:t>
            </w:r>
            <w:r/>
          </w:p>
        </w:tc>
      </w:tr>
      <w:tr>
        <w:trPr>
          <w:jc w:val="center"/>
          <w:trHeight w:val="3543"/>
        </w:trPr>
        <w:tc>
          <w:tcPr>
            <w:tcW w:w="1148"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p>
            <w:pPr>
              <w:jc w:val="center"/>
              <w:rPr>
                <w:rFonts w:ascii="宋体" w:hAnsi="宋体"/>
                <w:szCs w:val="21"/>
                <w:highlight w:val="none"/>
              </w:rPr>
            </w:pPr>
            <w:r>
              <w:rPr>
                <w:rFonts w:hint="eastAsia" w:ascii="宋体" w:hAnsi="宋体"/>
                <w:szCs w:val="21"/>
                <w:highlight w:val="none"/>
              </w:rPr>
              <w:t xml:space="preserve">商务部分（</w:t>
            </w:r>
            <w:r>
              <w:rPr>
                <w:rFonts w:hint="eastAsia" w:ascii="宋体" w:hAnsi="宋体"/>
                <w:szCs w:val="21"/>
                <w:highlight w:val="none"/>
                <w:lang w:val="en-US" w:eastAsia="zh-CN"/>
              </w:rPr>
              <w:t xml:space="preserve">19</w:t>
            </w:r>
            <w:r>
              <w:rPr>
                <w:rFonts w:hint="eastAsia" w:ascii="宋体" w:hAnsi="宋体"/>
                <w:szCs w:val="21"/>
                <w:highlight w:val="none"/>
              </w:rPr>
              <w:t xml:space="preserve">分）</w:t>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企业综合实力</w:t>
            </w:r>
            <w:r/>
          </w:p>
          <w:p>
            <w:pPr>
              <w:jc w:val="center"/>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ascii="宋体" w:hAnsi="宋体"/>
                <w:szCs w:val="21"/>
                <w:highlight w:val="none"/>
              </w:rPr>
            </w:pPr>
            <w:r>
              <w:rPr>
                <w:rFonts w:hint="eastAsia" w:ascii="宋体" w:hAnsi="宋体"/>
                <w:szCs w:val="21"/>
                <w:highlight w:val="none"/>
                <w:lang w:eastAsia="zh-CN"/>
              </w:rPr>
              <w:t xml:space="preserve">供应商</w:t>
            </w:r>
            <w:r>
              <w:rPr>
                <w:rFonts w:hint="eastAsia" w:ascii="宋体" w:hAnsi="宋体"/>
                <w:szCs w:val="21"/>
                <w:highlight w:val="none"/>
              </w:rPr>
              <w:t xml:space="preserve">获得有效期内的：</w:t>
            </w:r>
            <w:r/>
          </w:p>
          <w:p>
            <w:pPr>
              <w:spacing w:line="260" w:lineRule="exact"/>
              <w:rPr>
                <w:rFonts w:hint="eastAsia" w:ascii="宋体" w:hAnsi="宋体"/>
                <w:szCs w:val="21"/>
                <w:highlight w:val="none"/>
                <w:lang w:eastAsia="zh-CN"/>
              </w:rPr>
            </w:pPr>
            <w:r>
              <w:rPr>
                <w:rFonts w:ascii="宋体" w:hAnsi="宋体"/>
                <w:szCs w:val="21"/>
                <w:highlight w:val="none"/>
              </w:rPr>
              <w:t xml:space="preserve">1.</w:t>
            </w:r>
            <w:r>
              <w:rPr>
                <w:rFonts w:hint="eastAsia" w:ascii="宋体" w:hAnsi="宋体"/>
                <w:szCs w:val="21"/>
                <w:highlight w:val="none"/>
                <w:lang w:val="en-US" w:eastAsia="zh-CN"/>
              </w:rPr>
              <w:t xml:space="preserve">与环保相关的</w:t>
            </w:r>
            <w:r>
              <w:rPr>
                <w:rFonts w:ascii="宋体" w:hAnsi="宋体"/>
                <w:szCs w:val="21"/>
                <w:highlight w:val="none"/>
              </w:rPr>
              <w:t xml:space="preserve">质量管理体系认证证书、环境管理体系认证证书、职业健康管理体系认证证书，每具备一个得</w:t>
            </w:r>
            <w:r>
              <w:rPr>
                <w:rFonts w:hint="eastAsia" w:ascii="宋体" w:hAnsi="宋体"/>
                <w:szCs w:val="21"/>
                <w:highlight w:val="none"/>
                <w:lang w:val="en-US" w:eastAsia="zh-CN"/>
              </w:rPr>
              <w:t xml:space="preserve">2</w:t>
            </w:r>
            <w:r>
              <w:rPr>
                <w:rFonts w:ascii="宋体" w:hAnsi="宋体"/>
                <w:szCs w:val="21"/>
                <w:highlight w:val="none"/>
              </w:rPr>
              <w:t xml:space="preserve">分，满分</w:t>
            </w:r>
            <w:r>
              <w:rPr>
                <w:rFonts w:hint="eastAsia" w:ascii="宋体" w:hAnsi="宋体"/>
                <w:szCs w:val="21"/>
                <w:highlight w:val="none"/>
                <w:lang w:val="en-US" w:eastAsia="zh-CN"/>
              </w:rPr>
              <w:t xml:space="preserve">6</w:t>
            </w:r>
            <w:r>
              <w:rPr>
                <w:rFonts w:ascii="宋体" w:hAnsi="宋体"/>
                <w:szCs w:val="21"/>
                <w:highlight w:val="none"/>
              </w:rPr>
              <w:t xml:space="preserve">分</w:t>
            </w:r>
            <w:r>
              <w:rPr>
                <w:rFonts w:hint="eastAsia" w:ascii="宋体" w:hAnsi="宋体"/>
                <w:szCs w:val="21"/>
                <w:highlight w:val="none"/>
                <w:lang w:eastAsia="zh-CN"/>
              </w:rPr>
              <w:t xml:space="preserve">。</w:t>
            </w:r>
            <w:r/>
          </w:p>
          <w:p>
            <w:pPr>
              <w:spacing w:line="260" w:lineRule="exact"/>
              <w:rPr>
                <w:rFonts w:ascii="宋体" w:hAnsi="宋体"/>
                <w:b/>
                <w:bCs/>
                <w:szCs w:val="21"/>
                <w:highlight w:val="none"/>
              </w:rPr>
            </w:pPr>
            <w:r>
              <w:rPr>
                <w:rFonts w:ascii="宋体" w:hAnsi="宋体"/>
                <w:b/>
                <w:bCs/>
                <w:szCs w:val="21"/>
                <w:highlight w:val="none"/>
              </w:rPr>
              <w:t xml:space="preserve">注：提供有效期内的证书</w:t>
            </w:r>
            <w:r>
              <w:rPr>
                <w:rFonts w:hint="eastAsia" w:ascii="宋体" w:hAnsi="宋体"/>
                <w:b/>
                <w:bCs/>
                <w:szCs w:val="21"/>
                <w:highlight w:val="none"/>
                <w:lang w:val="en-US" w:eastAsia="zh-CN"/>
              </w:rPr>
              <w:t xml:space="preserve">扫描</w:t>
            </w:r>
            <w:r>
              <w:rPr>
                <w:rFonts w:ascii="宋体" w:hAnsi="宋体"/>
                <w:b/>
                <w:bCs/>
                <w:szCs w:val="21"/>
                <w:highlight w:val="none"/>
              </w:rPr>
              <w:t xml:space="preserve">件并加盖</w:t>
            </w:r>
            <w:r>
              <w:rPr>
                <w:rFonts w:hint="eastAsia" w:ascii="宋体" w:hAnsi="宋体"/>
                <w:b/>
                <w:bCs/>
                <w:szCs w:val="21"/>
                <w:highlight w:val="none"/>
                <w:lang w:eastAsia="zh-CN"/>
              </w:rPr>
              <w:t xml:space="preserve">供应商</w:t>
            </w:r>
            <w:r>
              <w:rPr>
                <w:rFonts w:ascii="宋体" w:hAnsi="宋体"/>
                <w:b/>
                <w:bCs/>
                <w:szCs w:val="21"/>
                <w:highlight w:val="none"/>
              </w:rPr>
              <w:t xml:space="preserve">公章，</w:t>
            </w:r>
            <w:r>
              <w:rPr>
                <w:rFonts w:hint="eastAsia" w:ascii="宋体" w:hAnsi="宋体"/>
                <w:b/>
                <w:bCs/>
                <w:szCs w:val="21"/>
                <w:highlight w:val="none"/>
              </w:rPr>
              <w:t xml:space="preserve">认证证书需在“全国认证认可信息公共服务平台”网站可查询，过期失效的不得分。</w:t>
            </w:r>
            <w:r>
              <w:rPr>
                <w:rFonts w:ascii="宋体" w:hAnsi="宋体"/>
                <w:b/>
                <w:bCs/>
                <w:szCs w:val="21"/>
                <w:highlight w:val="none"/>
              </w:rPr>
              <w:t xml:space="preserve">在网上查询不到的不得分。</w:t>
            </w:r>
            <w:r/>
          </w:p>
          <w:p>
            <w:pPr>
              <w:spacing w:line="260" w:lineRule="exact"/>
              <w:rPr>
                <w:rFonts w:ascii="宋体" w:hAnsi="宋体"/>
                <w:szCs w:val="21"/>
                <w:highlight w:val="none"/>
              </w:rPr>
            </w:pPr>
            <w:r>
              <w:rPr>
                <w:rFonts w:ascii="宋体" w:hAnsi="宋体"/>
                <w:szCs w:val="21"/>
                <w:highlight w:val="none"/>
              </w:rPr>
            </w:r>
            <w:r/>
          </w:p>
          <w:p>
            <w:pPr>
              <w:spacing w:line="26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供应商</w:t>
            </w:r>
            <w:r>
              <w:rPr>
                <w:rFonts w:hint="eastAsia" w:ascii="宋体" w:hAnsi="宋体"/>
                <w:szCs w:val="21"/>
                <w:highlight w:val="none"/>
                <w:lang w:val="zh-CN"/>
              </w:rPr>
              <w:t xml:space="preserve">获得省级及以上环境保护产业协会颁发的水污染治理能力乙级或以上能力</w:t>
            </w:r>
            <w:r>
              <w:rPr>
                <w:rFonts w:hint="eastAsia" w:ascii="宋体" w:hAnsi="宋体"/>
                <w:szCs w:val="21"/>
                <w:highlight w:val="none"/>
              </w:rPr>
              <w:t xml:space="preserve">证书，且在有效期内的，得3分，没有不得分。</w:t>
            </w:r>
            <w:r/>
          </w:p>
          <w:p>
            <w:pPr>
              <w:spacing w:line="260" w:lineRule="exact"/>
              <w:rPr>
                <w:rFonts w:hint="default" w:ascii="宋体" w:hAnsi="宋体"/>
                <w:szCs w:val="21"/>
                <w:highlight w:val="none"/>
                <w:lang w:val="en-US"/>
              </w:rPr>
            </w:pPr>
            <w:r>
              <w:rPr>
                <w:rFonts w:hint="eastAsia" w:ascii="宋体" w:hAnsi="宋体"/>
                <w:b/>
                <w:bCs/>
                <w:szCs w:val="21"/>
                <w:highlight w:val="none"/>
                <w:lang w:val="en-US" w:eastAsia="zh-CN"/>
              </w:rPr>
              <w:t xml:space="preserve">注：</w:t>
            </w:r>
            <w:r>
              <w:rPr>
                <w:rFonts w:hint="eastAsia" w:ascii="宋体" w:hAnsi="宋体"/>
                <w:b/>
                <w:bCs/>
                <w:szCs w:val="21"/>
                <w:highlight w:val="none"/>
              </w:rPr>
              <w:t xml:space="preserve">须提供相关证明材料原件扫描件并加盖</w:t>
            </w:r>
            <w:r>
              <w:rPr>
                <w:rFonts w:hint="eastAsia" w:ascii="宋体" w:hAnsi="宋体"/>
                <w:b/>
                <w:bCs/>
                <w:szCs w:val="21"/>
                <w:highlight w:val="none"/>
                <w:lang w:val="en-US" w:eastAsia="zh-CN"/>
              </w:rPr>
              <w:t xml:space="preserve">供应商公</w:t>
            </w:r>
            <w:r>
              <w:rPr>
                <w:rFonts w:hint="eastAsia" w:ascii="宋体" w:hAnsi="宋体"/>
                <w:b/>
                <w:bCs/>
                <w:szCs w:val="21"/>
                <w:highlight w:val="none"/>
              </w:rPr>
              <w:t xml:space="preserve">章，</w:t>
            </w:r>
            <w:r>
              <w:rPr>
                <w:rFonts w:ascii="宋体" w:hAnsi="宋体"/>
                <w:b/>
                <w:bCs/>
                <w:szCs w:val="21"/>
                <w:highlight w:val="none"/>
              </w:rPr>
              <w:t xml:space="preserve">否则不得分</w:t>
            </w:r>
            <w:r>
              <w:rPr>
                <w:rFonts w:hint="eastAsia" w:ascii="宋体" w:hAnsi="宋体"/>
                <w:b/>
                <w:bCs/>
                <w:szCs w:val="21"/>
                <w:highlight w:val="none"/>
              </w:rPr>
              <w:t xml:space="preserve">。</w:t>
            </w:r>
            <w:r/>
          </w:p>
        </w:tc>
        <w:tc>
          <w:tcPr>
            <w:tcW w:w="726" w:type="dxa"/>
            <w:vAlign w:val="center"/>
            <w:textDirection w:val="lrTb"/>
            <w:noWrap w:val="false"/>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9</w:t>
            </w:r>
            <w:r/>
          </w:p>
        </w:tc>
      </w:tr>
      <w:tr>
        <w:trPr>
          <w:jc w:val="center"/>
          <w:trHeight w:val="1398"/>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业绩</w:t>
            </w:r>
            <w:r/>
          </w:p>
          <w:p>
            <w:pPr>
              <w:jc w:val="center"/>
              <w:rPr>
                <w:rFonts w:ascii="宋体" w:hAnsi="宋体"/>
                <w:szCs w:val="21"/>
                <w:highlight w:val="none"/>
              </w:rPr>
            </w:pPr>
            <w:r>
              <w:rPr>
                <w:rFonts w:hint="eastAsia" w:ascii="宋体" w:hAnsi="宋体" w:cs="宋体"/>
                <w:szCs w:val="21"/>
                <w:highlight w:val="none"/>
              </w:rPr>
              <w:t xml:space="preserve">（10分）</w:t>
            </w:r>
            <w:r/>
          </w:p>
        </w:tc>
        <w:tc>
          <w:tcPr>
            <w:tcW w:w="6570" w:type="dxa"/>
            <w:vAlign w:val="center"/>
            <w:textDirection w:val="lrTb"/>
            <w:noWrap w:val="false"/>
          </w:tcPr>
          <w:p>
            <w:pPr>
              <w:spacing w:line="26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供应商自 2023 年</w:t>
            </w:r>
            <w:r>
              <w:rPr>
                <w:rFonts w:hint="eastAsia" w:ascii="宋体" w:hAnsi="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月</w:t>
            </w:r>
            <w:r>
              <w:rPr>
                <w:rFonts w:hint="eastAsia" w:ascii="宋体" w:hAnsi="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日起（以合同签订时间为准）承接过与本项目相类似的环保运营维护服务项目，每提供</w:t>
            </w:r>
            <w:r>
              <w:rPr>
                <w:rFonts w:hint="eastAsia" w:ascii="宋体" w:hAnsi="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个项目得</w:t>
            </w:r>
            <w:r>
              <w:rPr>
                <w:rFonts w:hint="eastAsia" w:ascii="宋体" w:hAnsi="宋体"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分，本项分值最高 10 分。</w:t>
            </w:r>
            <w:r/>
          </w:p>
          <w:p>
            <w:pPr>
              <w:spacing w:line="260" w:lineRule="exact"/>
              <w:rPr>
                <w:rFonts w:ascii="宋体" w:hAnsi="宋体"/>
                <w:szCs w:val="21"/>
                <w:highlight w:val="none"/>
              </w:rPr>
            </w:pPr>
            <w:r>
              <w:rPr>
                <w:rFonts w:hint="eastAsia" w:ascii="宋体" w:hAnsi="宋体"/>
                <w:b/>
                <w:bCs/>
                <w:szCs w:val="21"/>
                <w:highlight w:val="none"/>
              </w:rPr>
              <w:t xml:space="preserve">注：需提供相关合同</w:t>
            </w:r>
            <w:r>
              <w:rPr>
                <w:rFonts w:hint="eastAsia" w:ascii="宋体" w:hAnsi="宋体"/>
                <w:b/>
                <w:bCs/>
                <w:szCs w:val="21"/>
                <w:highlight w:val="none"/>
                <w:lang w:eastAsia="zh-CN"/>
              </w:rPr>
              <w:t xml:space="preserve">扫描件并加盖</w:t>
            </w:r>
            <w:r>
              <w:rPr>
                <w:rFonts w:hint="eastAsia" w:ascii="宋体" w:hAnsi="宋体"/>
                <w:b/>
                <w:bCs/>
                <w:szCs w:val="21"/>
                <w:highlight w:val="none"/>
              </w:rPr>
              <w:t xml:space="preserve">公章，</w:t>
            </w:r>
            <w:r>
              <w:rPr>
                <w:rFonts w:ascii="宋体" w:hAnsi="宋体"/>
                <w:b/>
                <w:bCs/>
                <w:szCs w:val="21"/>
                <w:highlight w:val="none"/>
              </w:rPr>
              <w:t xml:space="preserve">否则不得分。</w:t>
            </w:r>
            <w:r/>
          </w:p>
        </w:tc>
        <w:tc>
          <w:tcPr>
            <w:tcW w:w="726"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10</w:t>
            </w:r>
            <w:r/>
          </w:p>
        </w:tc>
      </w:tr>
      <w:tr>
        <w:trPr>
          <w:jc w:val="center"/>
          <w:trHeight w:val="1684"/>
        </w:trPr>
        <w:tc>
          <w:tcPr>
            <w:tcW w:w="1148"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p>
            <w:pPr>
              <w:jc w:val="center"/>
              <w:rPr>
                <w:rFonts w:ascii="宋体" w:hAnsi="宋体"/>
                <w:szCs w:val="21"/>
                <w:highlight w:val="none"/>
              </w:rPr>
            </w:pPr>
            <w:r>
              <w:rPr>
                <w:rFonts w:hint="eastAsia" w:ascii="宋体" w:hAnsi="宋体"/>
                <w:szCs w:val="21"/>
                <w:highlight w:val="none"/>
              </w:rPr>
              <w:t xml:space="preserve">技术部分（</w:t>
            </w:r>
            <w:r>
              <w:rPr>
                <w:rFonts w:hint="eastAsia" w:ascii="宋体" w:hAnsi="宋体"/>
                <w:szCs w:val="21"/>
                <w:highlight w:val="none"/>
                <w:lang w:val="en-US" w:eastAsia="zh-CN"/>
              </w:rPr>
              <w:t xml:space="preserve">61</w:t>
            </w:r>
            <w:r>
              <w:rPr>
                <w:rFonts w:hint="eastAsia" w:ascii="宋体" w:hAnsi="宋体"/>
                <w:szCs w:val="21"/>
                <w:highlight w:val="none"/>
              </w:rPr>
              <w:t xml:space="preserve">分）</w:t>
            </w:r>
            <w:r/>
          </w:p>
        </w:tc>
        <w:tc>
          <w:tcPr>
            <w:tcW w:w="1160"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项目需求分析</w:t>
            </w:r>
            <w:r/>
          </w:p>
          <w:p>
            <w:pPr>
              <w:jc w:val="center"/>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12</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充分理解本项目 “氧化还原沉淀 + 砂滤 + 反渗透” 渗滤液处理工艺、现场设备现状、GB16889-2024 新标准及本市环保考评管理要求；能够完整识别项目重难点（老旧设备兼容更换、三年稳定运维、出水达标），提出具体、可落地的针对性应对措施，得</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lang w:eastAsia="zh-CN"/>
              </w:rPr>
              <w:t xml:space="preserve">分；</w:t>
            </w:r>
            <w:r/>
          </w:p>
          <w:p>
            <w:pPr>
              <w:spacing w:line="260" w:lineRule="exact"/>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lang w:eastAsia="zh-CN"/>
              </w:rPr>
              <w:t xml:space="preserve">理解本项目渗滤液处理工艺、设备、排放标准及环保考评要求；可识别大部分项目重难点，应对措施具备一定可行性，但细节不够充分，得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lang w:eastAsia="zh-CN"/>
              </w:rPr>
              <w:t xml:space="preserve">分；</w:t>
            </w:r>
            <w:r/>
          </w:p>
          <w:p>
            <w:pPr>
              <w:spacing w:line="260" w:lineRule="exact"/>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对项目仅有基本理解，重难点分析存在部分缺漏，应对措施较为笼统，缺乏针对性，得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分；</w:t>
            </w:r>
            <w:r/>
          </w:p>
          <w:p>
            <w:pPr>
              <w:spacing w:line="260" w:lineRule="exact"/>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eastAsia="zh-CN"/>
              </w:rPr>
              <w:t xml:space="preserve">对项目工艺、标准、重难点认知不足，未提出有效应对措施或方案明显不符合项目实际，得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lang w:eastAsia="zh-CN"/>
              </w:rPr>
              <w:t xml:space="preserve">分。</w:t>
            </w:r>
            <w:r/>
          </w:p>
          <w:p>
            <w:pPr>
              <w:spacing w:line="260" w:lineRule="exact"/>
              <w:rPr>
                <w:rFonts w:ascii="宋体" w:hAnsi="宋体"/>
                <w:szCs w:val="21"/>
                <w:highlight w:val="none"/>
              </w:rPr>
            </w:pPr>
            <w:r>
              <w:rPr>
                <w:rFonts w:hint="eastAsia" w:ascii="宋体" w:hAnsi="宋体"/>
                <w:color w:val="000000"/>
                <w:szCs w:val="21"/>
                <w:highlight w:val="none"/>
                <w:lang w:val="en-US" w:eastAsia="zh-CN"/>
              </w:rPr>
              <w:t xml:space="preserve">5.未提供不得分。</w:t>
            </w:r>
            <w:r/>
          </w:p>
        </w:tc>
        <w:tc>
          <w:tcPr>
            <w:tcW w:w="726" w:type="dxa"/>
            <w:vAlign w:val="center"/>
            <w:textDirection w:val="lrTb"/>
            <w:noWrap w:val="false"/>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12</w:t>
            </w:r>
            <w:r/>
          </w:p>
        </w:tc>
      </w:tr>
      <w:tr>
        <w:trPr>
          <w:jc w:val="center"/>
          <w:trHeight w:val="90"/>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人员配备（</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ascii="宋体" w:hAnsi="宋体"/>
                <w:color w:val="000000"/>
                <w:szCs w:val="21"/>
                <w:highlight w:val="none"/>
              </w:rPr>
            </w:pPr>
            <w:r>
              <w:rPr>
                <w:rFonts w:hint="eastAsia" w:ascii="宋体" w:hAnsi="宋体"/>
                <w:color w:val="000000"/>
                <w:szCs w:val="21"/>
                <w:highlight w:val="none"/>
              </w:rPr>
              <w:t xml:space="preserve">根据</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提供的</w:t>
            </w:r>
            <w:r>
              <w:rPr>
                <w:rFonts w:hint="eastAsia" w:ascii="宋体" w:hAnsi="宋体"/>
                <w:szCs w:val="21"/>
                <w:highlight w:val="none"/>
              </w:rPr>
              <w:t xml:space="preserve">人员配备</w:t>
            </w:r>
            <w:r>
              <w:rPr>
                <w:rFonts w:hint="eastAsia" w:ascii="宋体" w:hAnsi="宋体"/>
                <w:color w:val="000000"/>
                <w:szCs w:val="21"/>
                <w:highlight w:val="none"/>
              </w:rPr>
              <w:t xml:space="preserve">进行综合评分：</w:t>
            </w:r>
            <w:r/>
          </w:p>
          <w:p>
            <w:pPr>
              <w:jc w:val="left"/>
              <w:spacing w:line="260" w:lineRule="exact"/>
              <w:rPr>
                <w:rFonts w:hint="eastAsia" w:ascii="宋体" w:hAnsi="宋体"/>
                <w:szCs w:val="21"/>
                <w:highlight w:val="none"/>
              </w:rPr>
            </w:pPr>
            <w:r>
              <w:rPr>
                <w:rFonts w:hint="eastAsia" w:ascii="宋体" w:hAnsi="宋体"/>
                <w:szCs w:val="21"/>
                <w:highlight w:val="none"/>
              </w:rPr>
              <w:t xml:space="preserve">1.配备项目经理具备二级建造师证书的得2分</w:t>
            </w:r>
            <w:r>
              <w:rPr>
                <w:rFonts w:hint="eastAsia" w:ascii="宋体" w:hAnsi="宋体"/>
                <w:szCs w:val="21"/>
                <w:highlight w:val="none"/>
                <w:lang w:eastAsia="zh-CN"/>
              </w:rPr>
              <w:t xml:space="preserve">，</w:t>
            </w:r>
            <w:r>
              <w:rPr>
                <w:rFonts w:hint="eastAsia" w:ascii="宋体" w:hAnsi="宋体"/>
                <w:szCs w:val="21"/>
                <w:highlight w:val="none"/>
              </w:rPr>
              <w:t xml:space="preserve">具有安全员证书的得1分，本项最高得3分；</w:t>
            </w:r>
            <w:r/>
          </w:p>
          <w:p>
            <w:pPr>
              <w:jc w:val="left"/>
              <w:spacing w:line="260" w:lineRule="exact"/>
              <w:rPr>
                <w:rFonts w:hint="eastAsia" w:ascii="宋体" w:hAnsi="宋体"/>
                <w:szCs w:val="21"/>
                <w:highlight w:val="none"/>
                <w:lang w:eastAsia="zh-CN"/>
              </w:rPr>
            </w:pPr>
            <w:r>
              <w:rPr>
                <w:rFonts w:hint="eastAsia" w:ascii="宋体" w:hAnsi="宋体"/>
                <w:szCs w:val="21"/>
                <w:highlight w:val="none"/>
              </w:rPr>
              <w:t xml:space="preserve">2.配备运行人员中具有环保类工程师或助理工程师职称的，得2分</w:t>
            </w:r>
            <w:r>
              <w:rPr>
                <w:rFonts w:hint="eastAsia" w:ascii="宋体" w:hAnsi="宋体"/>
                <w:szCs w:val="21"/>
                <w:highlight w:val="none"/>
                <w:lang w:eastAsia="zh-CN"/>
              </w:rPr>
              <w:t xml:space="preserve">；</w:t>
            </w:r>
            <w:r/>
          </w:p>
          <w:p>
            <w:pPr>
              <w:jc w:val="left"/>
              <w:spacing w:line="26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3.配备专职化验员</w:t>
            </w:r>
            <w:r>
              <w:rPr>
                <w:rFonts w:hint="eastAsia" w:ascii="宋体" w:hAnsi="宋体"/>
                <w:szCs w:val="21"/>
                <w:highlight w:val="none"/>
              </w:rPr>
              <w:t xml:space="preserve">1人</w:t>
            </w:r>
            <w:r>
              <w:rPr>
                <w:rFonts w:hint="eastAsia" w:ascii="宋体" w:hAnsi="宋体"/>
                <w:szCs w:val="21"/>
                <w:highlight w:val="none"/>
                <w:lang w:val="en-US" w:eastAsia="zh-CN"/>
              </w:rPr>
              <w:t xml:space="preserve">及</w:t>
            </w:r>
            <w:r>
              <w:rPr>
                <w:rFonts w:hint="eastAsia" w:ascii="宋体" w:hAnsi="宋体"/>
                <w:szCs w:val="21"/>
                <w:highlight w:val="none"/>
              </w:rPr>
              <w:t xml:space="preserve">以上的得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jc w:val="left"/>
              <w:spacing w:line="260" w:lineRule="exact"/>
              <w:rPr>
                <w:rFonts w:hint="eastAsia" w:ascii="宋体" w:hAnsi="宋体"/>
                <w:szCs w:val="21"/>
                <w:highlight w:val="none"/>
              </w:rPr>
            </w:pPr>
            <w:r/>
            <w:bookmarkStart w:id="71" w:name="OLE_LINK1"/>
            <w:r>
              <w:rPr>
                <w:rFonts w:hint="eastAsia" w:ascii="宋体" w:hAnsi="宋体"/>
                <w:szCs w:val="21"/>
                <w:highlight w:val="none"/>
                <w:lang w:val="en-US" w:eastAsia="zh-CN"/>
              </w:rPr>
              <w:t xml:space="preserve">4</w:t>
            </w:r>
            <w:r>
              <w:rPr>
                <w:rFonts w:hint="eastAsia" w:ascii="宋体" w:hAnsi="宋体"/>
                <w:szCs w:val="21"/>
                <w:highlight w:val="none"/>
              </w:rPr>
              <w:t xml:space="preserve">.配备</w:t>
            </w:r>
            <w:bookmarkEnd w:id="71"/>
            <w:r>
              <w:rPr>
                <w:rFonts w:hint="eastAsia" w:ascii="宋体" w:hAnsi="宋体"/>
                <w:szCs w:val="21"/>
                <w:highlight w:val="none"/>
              </w:rPr>
              <w:t xml:space="preserve">污</w:t>
            </w:r>
            <w:r>
              <w:rPr>
                <w:rFonts w:hint="eastAsia" w:ascii="宋体" w:hAnsi="宋体"/>
                <w:szCs w:val="21"/>
                <w:highlight w:val="none"/>
                <w:lang w:eastAsia="zh-CN"/>
              </w:rPr>
              <w:t xml:space="preserve">废水处理</w:t>
            </w:r>
            <w:r>
              <w:rPr>
                <w:rFonts w:hint="eastAsia" w:ascii="宋体" w:hAnsi="宋体"/>
                <w:szCs w:val="21"/>
                <w:highlight w:val="none"/>
                <w:lang w:val="en-US" w:eastAsia="zh-CN"/>
              </w:rPr>
              <w:t xml:space="preserve">工</w:t>
            </w:r>
            <w:r>
              <w:rPr>
                <w:rFonts w:hint="eastAsia" w:ascii="宋体" w:hAnsi="宋体"/>
                <w:szCs w:val="21"/>
                <w:highlight w:val="none"/>
              </w:rPr>
              <w:t xml:space="preserve">1人</w:t>
            </w:r>
            <w:r>
              <w:rPr>
                <w:rFonts w:hint="eastAsia" w:ascii="宋体" w:hAnsi="宋体"/>
                <w:szCs w:val="21"/>
                <w:highlight w:val="none"/>
                <w:lang w:val="en-US" w:eastAsia="zh-CN"/>
              </w:rPr>
              <w:t xml:space="preserve">及</w:t>
            </w:r>
            <w:r>
              <w:rPr>
                <w:rFonts w:hint="eastAsia" w:ascii="宋体" w:hAnsi="宋体"/>
                <w:szCs w:val="21"/>
                <w:highlight w:val="none"/>
              </w:rPr>
              <w:t xml:space="preserve">以上的得1分；</w:t>
            </w:r>
            <w:r/>
          </w:p>
          <w:p>
            <w:pPr>
              <w:jc w:val="left"/>
              <w:spacing w:line="260" w:lineRule="exact"/>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.配备专职持证电工1人</w:t>
            </w:r>
            <w:r>
              <w:rPr>
                <w:rFonts w:hint="eastAsia" w:ascii="宋体" w:hAnsi="宋体"/>
                <w:szCs w:val="21"/>
                <w:highlight w:val="none"/>
                <w:lang w:val="en-US" w:eastAsia="zh-CN"/>
              </w:rPr>
              <w:t xml:space="preserve">及</w:t>
            </w:r>
            <w:r>
              <w:rPr>
                <w:rFonts w:hint="eastAsia" w:ascii="宋体" w:hAnsi="宋体"/>
                <w:szCs w:val="21"/>
                <w:highlight w:val="none"/>
              </w:rPr>
              <w:t xml:space="preserve">以上的得1分；</w:t>
            </w:r>
            <w:r/>
          </w:p>
          <w:p>
            <w:pPr>
              <w:jc w:val="left"/>
              <w:spacing w:line="260" w:lineRule="exact"/>
              <w:rPr>
                <w:rFonts w:hint="eastAsia"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.配备专职持证电焊工1人</w:t>
            </w:r>
            <w:r>
              <w:rPr>
                <w:rFonts w:hint="eastAsia" w:ascii="宋体" w:hAnsi="宋体"/>
                <w:szCs w:val="21"/>
                <w:highlight w:val="none"/>
                <w:lang w:val="en-US" w:eastAsia="zh-CN"/>
              </w:rPr>
              <w:t xml:space="preserve">及</w:t>
            </w:r>
            <w:r>
              <w:rPr>
                <w:rFonts w:hint="eastAsia" w:ascii="宋体" w:hAnsi="宋体"/>
                <w:szCs w:val="21"/>
                <w:highlight w:val="none"/>
              </w:rPr>
              <w:t xml:space="preserve">以上的得1分；</w:t>
            </w:r>
            <w:r/>
          </w:p>
          <w:p>
            <w:pPr>
              <w:jc w:val="left"/>
              <w:spacing w:line="260" w:lineRule="exact"/>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.未配备不得分，同一人得分只记一次。本项最高得</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p>
          <w:p>
            <w:pPr>
              <w:spacing w:line="260" w:lineRule="exact"/>
              <w:rPr>
                <w:rFonts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b/>
                <w:color w:val="000000"/>
                <w:szCs w:val="21"/>
                <w:highlight w:val="none"/>
              </w:rPr>
              <w:t xml:space="preserve">提供上述相关人员资格证书扫描件</w:t>
            </w:r>
            <w:r>
              <w:rPr>
                <w:rFonts w:hint="eastAsia" w:ascii="宋体" w:hAnsi="宋体"/>
                <w:b/>
                <w:color w:val="000000"/>
                <w:szCs w:val="21"/>
                <w:highlight w:val="none"/>
                <w:lang w:eastAsia="zh-CN"/>
              </w:rPr>
              <w:t xml:space="preserve">，</w:t>
            </w:r>
            <w:r>
              <w:rPr>
                <w:rFonts w:hint="eastAsia" w:ascii="宋体" w:hAnsi="宋体"/>
                <w:b/>
                <w:color w:val="000000"/>
                <w:szCs w:val="21"/>
                <w:highlight w:val="none"/>
              </w:rPr>
              <w:t xml:space="preserve">并加盖</w:t>
            </w:r>
            <w:r>
              <w:rPr>
                <w:rFonts w:hint="eastAsia" w:ascii="宋体" w:hAnsi="宋体"/>
                <w:b/>
                <w:color w:val="000000"/>
                <w:szCs w:val="21"/>
                <w:highlight w:val="none"/>
                <w:lang w:eastAsia="zh-CN"/>
              </w:rPr>
              <w:t xml:space="preserve">供应商</w:t>
            </w:r>
            <w:r>
              <w:rPr>
                <w:rFonts w:hint="eastAsia" w:ascii="宋体" w:hAnsi="宋体"/>
                <w:b/>
                <w:color w:val="000000"/>
                <w:szCs w:val="21"/>
                <w:highlight w:val="none"/>
              </w:rPr>
              <w:t xml:space="preserve">公章，否则不得分</w:t>
            </w:r>
            <w:r>
              <w:rPr>
                <w:rFonts w:hint="eastAsia" w:ascii="宋体" w:hAnsi="宋体"/>
                <w:color w:val="000000"/>
                <w:szCs w:val="21"/>
                <w:highlight w:val="none"/>
              </w:rPr>
              <w:t xml:space="preserve">。</w:t>
            </w:r>
            <w:r/>
          </w:p>
        </w:tc>
        <w:tc>
          <w:tcPr>
            <w:tcW w:w="726" w:type="dxa"/>
            <w:vAlign w:val="center"/>
            <w:textDirection w:val="lrTb"/>
            <w:noWrap w:val="false"/>
          </w:tcPr>
          <w:p>
            <w:pPr>
              <w:jc w:val="center"/>
              <w:spacing w:line="400" w:lineRule="exact"/>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p>
        </w:tc>
      </w:tr>
      <w:tr>
        <w:trPr>
          <w:jc w:val="center"/>
          <w:trHeight w:val="2377"/>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工艺运行及管理</w:t>
            </w:r>
            <w:r/>
          </w:p>
          <w:p>
            <w:pPr>
              <w:jc w:val="center"/>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方案必须针对本项目 20m³/d 渗滤液处理规模、“氧化还原沉淀 + 砂滤 + 反渗透” 工艺、老旧设备现状编制，评审要点：包含工艺参数控制、药剂投加管理、膜系统运维、运行台账管理、质量控制措施。1.方案完整覆盖全部评审要点，参数贴合本项目进水水质条件，质量控制措施完备可落地，得</w:t>
            </w: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rPr>
              <w:t xml:space="preserve">分；</w:t>
            </w:r>
            <w:r/>
          </w:p>
          <w:p>
            <w:pPr>
              <w:numPr>
                <w:ilvl w:val="0"/>
                <w:numId w:val="0"/>
              </w:numPr>
              <w:spacing w:line="260" w:lineRule="exact"/>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覆盖大部分评审要点，部分内容通用性强，针对本项目的细化不足，质量控制措施基本齐全，得</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p>
          <w:p>
            <w:pPr>
              <w:numPr>
                <w:ilvl w:val="0"/>
                <w:numId w:val="0"/>
              </w:numPr>
              <w:spacing w:line="260" w:lineRule="exact"/>
              <w:rPr>
                <w:rFonts w:ascii="宋体" w:hAnsi="宋体"/>
                <w:color w:val="000000"/>
                <w:szCs w:val="21"/>
                <w:highlight w:val="none"/>
              </w:rPr>
            </w:pP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rPr>
              <w:t xml:space="preserve">仅覆盖少部分评审要点，内容空洞，缺少针对本项目工艺管控措施，得</w:t>
            </w: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numPr>
                <w:ilvl w:val="0"/>
                <w:numId w:val="0"/>
              </w:numPr>
              <w:spacing w:line="260" w:lineRule="exact"/>
              <w:rPr>
                <w:rFonts w:ascii="宋体" w:hAnsi="宋体"/>
                <w:color w:val="000000"/>
                <w:szCs w:val="21"/>
                <w:highlight w:val="none"/>
              </w:rPr>
            </w:pPr>
            <w:r>
              <w:rPr>
                <w:rFonts w:hint="eastAsia" w:ascii="宋体" w:hAnsi="宋体" w:cs="Times New Roman"/>
                <w:szCs w:val="21"/>
                <w:highlight w:val="none"/>
                <w:lang w:val="en-US" w:eastAsia="zh-CN"/>
              </w:rPr>
              <w:t xml:space="preserve">4.</w:t>
            </w:r>
            <w:r>
              <w:rPr>
                <w:rFonts w:hint="eastAsia" w:ascii="宋体" w:hAnsi="宋体" w:eastAsia="宋体" w:cs="Times New Roman"/>
                <w:szCs w:val="21"/>
                <w:highlight w:val="none"/>
              </w:rPr>
              <w:t xml:space="preserve">未提供</w:t>
            </w:r>
            <w:r>
              <w:rPr>
                <w:rFonts w:hint="eastAsia" w:ascii="宋体" w:hAnsi="宋体" w:eastAsia="宋体" w:cs="Times New Roman"/>
                <w:szCs w:val="21"/>
                <w:highlight w:val="none"/>
                <w:lang w:val="en-US" w:eastAsia="zh-CN"/>
              </w:rPr>
              <w:t xml:space="preserve">不得</w:t>
            </w:r>
            <w:r>
              <w:rPr>
                <w:rFonts w:hint="eastAsia" w:ascii="宋体" w:hAnsi="宋体" w:eastAsia="宋体" w:cs="Times New Roman"/>
                <w:szCs w:val="21"/>
                <w:highlight w:val="none"/>
              </w:rPr>
              <w:t xml:space="preserve">分。</w:t>
            </w:r>
            <w:r/>
          </w:p>
        </w:tc>
        <w:tc>
          <w:tcPr>
            <w:tcW w:w="726" w:type="dxa"/>
            <w:vAlign w:val="center"/>
            <w:textDirection w:val="lrTb"/>
            <w:noWrap w:val="false"/>
          </w:tcPr>
          <w:p>
            <w:pPr>
              <w:jc w:val="center"/>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r>
      <w:tr>
        <w:trPr>
          <w:jc w:val="center"/>
          <w:trHeight w:val="3624"/>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项目设施检修与维护方案</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rPr>
              <w:t xml:space="preserve">分）</w:t>
            </w:r>
            <w:r/>
          </w:p>
        </w:tc>
        <w:tc>
          <w:tcPr>
            <w:tcW w:w="6570" w:type="dxa"/>
            <w:vAlign w:val="center"/>
            <w:textDirection w:val="lrTb"/>
            <w:noWrap w:val="false"/>
          </w:tcPr>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针对本项目设备清单（石英砂过滤器、活性炭过滤器、RO 膜、加药设备、板框压滤机、储水罐、管道等），方案需包含：运维组织架构及岗位职责、日常巡检、定期检修计划、设备更换保障、故障应急处置、三年质保期内维修保障措施。</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组织架构、岗位职责清晰完整，检修维护计划贴合本项目全部设备清单，故障处置、三年运维保障措施完整、针对性强，全部要点均响应，得</w:t>
            </w: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rPr>
              <w:t xml:space="preserve">分；</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架构职责较清晰，检修维护计划覆盖主要设备，缺少部分专项设备维护细节，保障措施较完整，得</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架构、检修计划简单笼统，未结合本项目设备清单，缺少故障处置或三年运维保障，得</w:t>
            </w: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未</w:t>
            </w:r>
            <w:r>
              <w:rPr>
                <w:rFonts w:hint="eastAsia" w:ascii="宋体" w:hAnsi="宋体"/>
                <w:szCs w:val="21"/>
                <w:highlight w:val="none"/>
              </w:rPr>
              <w:t xml:space="preserve">提供不得分</w:t>
            </w:r>
            <w:r>
              <w:rPr>
                <w:rFonts w:hint="eastAsia" w:ascii="宋体" w:hAnsi="宋体" w:eastAsia="宋体" w:cs="Times New Roman"/>
                <w:szCs w:val="21"/>
                <w:highlight w:val="none"/>
              </w:rPr>
              <w:t xml:space="preserve">。</w:t>
            </w:r>
            <w:r/>
          </w:p>
        </w:tc>
        <w:tc>
          <w:tcPr>
            <w:tcW w:w="726" w:type="dxa"/>
            <w:vAlign w:val="center"/>
            <w:textDirection w:val="lrTb"/>
            <w:noWrap w:val="false"/>
          </w:tcPr>
          <w:p>
            <w:pPr>
              <w:jc w:val="center"/>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r>
      <w:tr>
        <w:trPr>
          <w:jc w:val="center"/>
          <w:trHeight w:val="3054"/>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进水水质超标和国家标准变化时的解决方案</w:t>
            </w:r>
            <w:r/>
          </w:p>
          <w:p>
            <w:pPr>
              <w:jc w:val="center"/>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hint="eastAsia" w:ascii="宋体" w:hAnsi="宋体" w:eastAsia="宋体" w:cs="Times New Roman"/>
                <w:szCs w:val="21"/>
                <w:highlight w:val="none"/>
              </w:rPr>
            </w:pPr>
            <w:r>
              <w:rPr>
                <w:rFonts w:ascii="宋体" w:hAnsi="宋体" w:cs="宋体"/>
                <w:szCs w:val="21"/>
                <w:highlight w:val="none"/>
              </w:rPr>
              <w:t xml:space="preserve">方</w:t>
            </w:r>
            <w:r>
              <w:rPr>
                <w:rFonts w:hint="eastAsia" w:ascii="宋体" w:hAnsi="宋体" w:eastAsia="宋体" w:cs="Times New Roman"/>
                <w:szCs w:val="21"/>
                <w:highlight w:val="none"/>
              </w:rPr>
              <w:t xml:space="preserve">案需包含：进水重金属、污染物超标时分级处置流程、药剂调整、工艺调整、应急减量、超标预警；国家排放标准更新后的技术改造、工艺调整、台账报备、对接主管部门处置措施。</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进水超标分级处置流程清晰，工艺调整措施具体可行，新标准变化应对方案完整，具备预警、处置、报备全流程，可操作性强，得</w:t>
            </w: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rPr>
              <w:t xml:space="preserve">分；</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包含进水超标、标准变化两方面应对，部分处置措施偏通用，缺少分级处置细节，整体可操作性较强，得</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p>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仅简单描述处置思路，缺少流程、参数，可操作性一般，得</w:t>
            </w: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260" w:lineRule="exact"/>
              <w:rPr>
                <w:rFonts w:hint="eastAsia" w:ascii="Calibri" w:hAnsi="Calibri" w:eastAsia="宋体" w:cs="Times New Roman"/>
                <w:sz w:val="21"/>
                <w:szCs w:val="24"/>
                <w:highlight w:val="none"/>
                <w:lang w:val="en-US" w:eastAsia="zh-CN" w:bidi="ar-SA"/>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未提供不得分。</w:t>
            </w:r>
            <w:r/>
          </w:p>
        </w:tc>
        <w:tc>
          <w:tcPr>
            <w:tcW w:w="726" w:type="dxa"/>
            <w:vAlign w:val="center"/>
            <w:textDirection w:val="lrTb"/>
            <w:noWrap w:val="false"/>
          </w:tcPr>
          <w:p>
            <w:pPr>
              <w:jc w:val="center"/>
              <w:spacing w:line="4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8</w:t>
            </w:r>
            <w:r/>
          </w:p>
        </w:tc>
      </w:tr>
      <w:tr>
        <w:trPr>
          <w:jc w:val="center"/>
          <w:trHeight w:val="3055"/>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检测质量保证方案</w:t>
            </w:r>
            <w:r/>
          </w:p>
          <w:p>
            <w:pPr>
              <w:jc w:val="center"/>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tc>
        <w:tc>
          <w:tcPr>
            <w:tcW w:w="6570" w:type="dxa"/>
            <w:vAlign w:val="center"/>
            <w:textDirection w:val="lrTb"/>
            <w:noWrap w:val="false"/>
          </w:tcPr>
          <w:p>
            <w:pPr>
              <w:spacing w:line="260" w:lineRule="exact"/>
              <w:rPr>
                <w:rFonts w:hint="eastAsia" w:ascii="宋体" w:hAnsi="宋体" w:eastAsia="宋体" w:cs="Times New Roman"/>
                <w:szCs w:val="21"/>
                <w:highlight w:val="none"/>
                <w:lang w:val="en-US" w:eastAsia="zh-CN"/>
              </w:rPr>
            </w:pPr>
            <w:r>
              <w:rPr>
                <w:rFonts w:hint="eastAsia" w:ascii="宋体" w:hAnsi="宋体"/>
                <w:szCs w:val="21"/>
                <w:highlight w:val="none"/>
              </w:rPr>
              <w:t xml:space="preserve">针对本项目出水执行 GB16889</w:t>
            </w:r>
            <w:r>
              <w:rPr>
                <w:rFonts w:hint="eastAsia" w:ascii="宋体" w:hAnsi="宋体"/>
                <w:szCs w:val="21"/>
                <w:highlight w:val="none"/>
              </w:rPr>
              <w:noBreakHyphen/>
            </w:r>
            <w:r>
              <w:rPr>
                <w:rFonts w:hint="eastAsia" w:ascii="宋体" w:hAnsi="宋体"/>
                <w:szCs w:val="21"/>
                <w:highlight w:val="none"/>
              </w:rPr>
              <w:t xml:space="preserve">2024 表 2 标准，方案应覆盖：日常自检计划、采样点位、检测指标、第三方检测配合、样品留存、检测</w:t>
            </w:r>
            <w:r>
              <w:rPr>
                <w:rFonts w:hint="eastAsia" w:ascii="宋体" w:hAnsi="宋体" w:eastAsia="宋体" w:cs="Times New Roman"/>
                <w:szCs w:val="21"/>
                <w:highlight w:val="none"/>
                <w:lang w:val="en-US" w:eastAsia="zh-CN"/>
              </w:rPr>
              <w:t xml:space="preserve">数据台账管理、数据异常处置、质量管控。</w:t>
            </w:r>
            <w:r/>
          </w:p>
          <w:p>
            <w:pPr>
              <w:spacing w:line="2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1.完整覆盖全部评审要点，采样、检测频次贴合项目实际，异常处置措施完备，得</w:t>
            </w:r>
            <w:r>
              <w:rPr>
                <w:rFonts w:hint="eastAsia" w:ascii="宋体" w:hAnsi="宋体" w:cs="Times New Roman"/>
                <w:szCs w:val="21"/>
                <w:highlight w:val="none"/>
                <w:lang w:val="en-US" w:eastAsia="zh-CN"/>
              </w:rPr>
              <w:t xml:space="preserve">8</w:t>
            </w:r>
            <w:r>
              <w:rPr>
                <w:rFonts w:hint="eastAsia" w:ascii="宋体" w:hAnsi="宋体" w:eastAsia="宋体" w:cs="Times New Roman"/>
                <w:szCs w:val="21"/>
                <w:highlight w:val="none"/>
                <w:lang w:val="en-US" w:eastAsia="zh-CN"/>
              </w:rPr>
              <w:t xml:space="preserve">分；</w:t>
            </w:r>
            <w:r/>
          </w:p>
          <w:p>
            <w:pPr>
              <w:spacing w:line="2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2.覆盖大部分要点，部分检测频次、处置措施偏通用，缺少部分细化，得5分；</w:t>
            </w:r>
            <w:bookmarkStart w:id="100" w:name="_GoBack"/>
            <w:r/>
            <w:bookmarkEnd w:id="100"/>
            <w:r/>
            <w:r/>
          </w:p>
          <w:p>
            <w:pPr>
              <w:spacing w:line="2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3.内容简单，缺少采样计划、异常处置，质量管控措施不充分，得2分；</w:t>
            </w:r>
            <w:r/>
          </w:p>
          <w:p>
            <w:pPr>
              <w:spacing w:line="260" w:lineRule="exact"/>
              <w:rPr>
                <w:rFonts w:ascii="宋体" w:hAnsi="宋体"/>
                <w:szCs w:val="21"/>
                <w:highlight w:val="none"/>
              </w:rPr>
            </w:pPr>
            <w:r>
              <w:rPr>
                <w:rFonts w:hint="eastAsia" w:ascii="宋体" w:hAnsi="宋体" w:eastAsia="宋体" w:cs="Times New Roman"/>
                <w:szCs w:val="21"/>
                <w:highlight w:val="none"/>
                <w:lang w:val="en-US" w:eastAsia="zh-CN"/>
              </w:rPr>
              <w:t xml:space="preserve">4.未提供不得</w:t>
            </w:r>
            <w:r>
              <w:rPr>
                <w:rFonts w:hint="eastAsia" w:ascii="宋体" w:hAnsi="宋体"/>
                <w:szCs w:val="21"/>
                <w:highlight w:val="none"/>
              </w:rPr>
              <w:t xml:space="preserve">分。</w:t>
            </w:r>
            <w:r/>
          </w:p>
        </w:tc>
        <w:tc>
          <w:tcPr>
            <w:tcW w:w="726" w:type="dxa"/>
            <w:vAlign w:val="center"/>
            <w:textDirection w:val="lrTb"/>
            <w:noWrap w:val="false"/>
          </w:tcPr>
          <w:p>
            <w:pPr>
              <w:jc w:val="center"/>
              <w:spacing w:line="4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8</w:t>
            </w:r>
            <w:r/>
          </w:p>
        </w:tc>
      </w:tr>
      <w:tr>
        <w:trPr>
          <w:jc w:val="center"/>
          <w:trHeight w:val="2389"/>
        </w:trPr>
        <w:tc>
          <w:tcPr>
            <w:tcW w:w="1148"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1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环境保护方案</w:t>
            </w:r>
            <w:r/>
          </w:p>
          <w:p>
            <w:pPr>
              <w:jc w:val="center"/>
              <w:rPr>
                <w:rFonts w:ascii="宋体" w:hAnsi="宋体"/>
                <w:szCs w:val="21"/>
                <w:highlight w:val="none"/>
              </w:rPr>
            </w:pPr>
            <w:r>
              <w:rPr>
                <w:rFonts w:hint="eastAsia" w:ascii="宋体" w:hAnsi="宋体"/>
                <w:szCs w:val="21"/>
                <w:highlight w:val="none"/>
              </w:rPr>
              <w:t xml:space="preserve">（7分）</w:t>
            </w:r>
            <w:r/>
          </w:p>
        </w:tc>
        <w:tc>
          <w:tcPr>
            <w:tcW w:w="6570" w:type="dxa"/>
            <w:vAlign w:val="center"/>
            <w:textDirection w:val="lrTb"/>
            <w:noWrap w:val="false"/>
          </w:tcPr>
          <w:p>
            <w:pPr>
              <w:spacing w:line="2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方案内容需包含：污泥及浓水处置（送垃圾焚烧厂焚烧）、厂界噪声管控、厂区废气异味防控、固废分类管理、厂区环境保洁、环保风险应急。</w:t>
            </w:r>
            <w:r/>
          </w:p>
          <w:p>
            <w:pPr>
              <w:numPr>
                <w:ilvl w:val="0"/>
                <w:numId w:val="0"/>
              </w:numPr>
              <w:spacing w:line="260" w:lineRule="exact"/>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1.</w:t>
            </w:r>
            <w:r>
              <w:rPr>
                <w:rFonts w:hint="eastAsia" w:ascii="宋体" w:hAnsi="宋体" w:eastAsia="宋体" w:cs="Times New Roman"/>
                <w:szCs w:val="21"/>
                <w:highlight w:val="none"/>
              </w:rPr>
              <w:t xml:space="preserve">完整覆盖上述全部评审要点，措施贴合本项目实际，风险预判充分、针对性强，得</w:t>
            </w:r>
            <w:r>
              <w:rPr>
                <w:rFonts w:hint="eastAsia" w:ascii="宋体" w:hAnsi="宋体" w:cs="Times New Roman"/>
                <w:szCs w:val="21"/>
                <w:highlight w:val="none"/>
                <w:lang w:val="en-US" w:eastAsia="zh-CN"/>
              </w:rPr>
              <w:t xml:space="preserve">7</w:t>
            </w:r>
            <w:r>
              <w:rPr>
                <w:rFonts w:hint="eastAsia" w:ascii="宋体" w:hAnsi="宋体" w:eastAsia="宋体" w:cs="Times New Roman"/>
                <w:szCs w:val="21"/>
                <w:highlight w:val="none"/>
              </w:rPr>
              <w:t xml:space="preserve">分；</w:t>
            </w:r>
            <w:r/>
          </w:p>
          <w:p>
            <w:pPr>
              <w:numPr>
                <w:ilvl w:val="0"/>
                <w:numId w:val="0"/>
              </w:numPr>
              <w:spacing w:line="260" w:lineRule="exact"/>
              <w:rPr>
                <w:rFonts w:ascii="宋体" w:hAnsi="宋体" w:cs="宋体"/>
                <w:szCs w:val="21"/>
                <w:highlight w:val="none"/>
              </w:rPr>
            </w:pP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覆盖大部分评审要点，个别措施描述笼统，针对性较强，得</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p>
          <w:p>
            <w:pPr>
              <w:numPr>
                <w:ilvl w:val="0"/>
                <w:numId w:val="0"/>
              </w:numPr>
              <w:spacing w:line="260" w:lineRule="exact"/>
              <w:rPr>
                <w:rFonts w:ascii="宋体" w:hAnsi="宋体" w:cs="宋体"/>
                <w:szCs w:val="21"/>
                <w:highlight w:val="none"/>
              </w:rPr>
            </w:pP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rPr>
              <w:t xml:space="preserve">仅简单描述，内容宽泛，缺少项目具体落地措施，得</w:t>
            </w:r>
            <w:r>
              <w:rPr>
                <w:rFonts w:hint="eastAsia" w:ascii="宋体" w:hAnsi="宋体" w:cs="Times New Roman"/>
                <w:szCs w:val="21"/>
                <w:highlight w:val="none"/>
                <w:lang w:val="en-US" w:eastAsia="zh-CN"/>
              </w:rPr>
              <w:t xml:space="preserve">2分</w:t>
            </w:r>
            <w:r>
              <w:rPr>
                <w:rFonts w:hint="eastAsia" w:ascii="宋体" w:hAnsi="宋体" w:eastAsia="宋体" w:cs="Times New Roman"/>
                <w:szCs w:val="21"/>
                <w:highlight w:val="none"/>
              </w:rPr>
              <w:t xml:space="preserve">；</w:t>
            </w:r>
            <w:r/>
          </w:p>
          <w:p>
            <w:pPr>
              <w:numPr>
                <w:ilvl w:val="0"/>
                <w:numId w:val="0"/>
              </w:numPr>
              <w:spacing w:line="260" w:lineRule="exact"/>
              <w:rPr>
                <w:rFonts w:ascii="宋体" w:hAnsi="宋体" w:cs="宋体"/>
                <w:szCs w:val="21"/>
                <w:highlight w:val="none"/>
              </w:rPr>
            </w:pPr>
            <w:r>
              <w:rPr>
                <w:rFonts w:hint="eastAsia" w:ascii="宋体" w:hAnsi="宋体" w:cs="Times New Roman"/>
                <w:szCs w:val="21"/>
                <w:highlight w:val="none"/>
                <w:lang w:val="en-US" w:eastAsia="zh-CN"/>
              </w:rPr>
              <w:t xml:space="preserve">4.</w:t>
            </w:r>
            <w:r>
              <w:rPr>
                <w:rFonts w:hint="eastAsia" w:ascii="宋体" w:hAnsi="宋体" w:eastAsia="宋体" w:cs="Times New Roman"/>
                <w:szCs w:val="21"/>
                <w:highlight w:val="none"/>
              </w:rPr>
              <w:t xml:space="preserve">未提供不得分。</w:t>
            </w:r>
            <w:r/>
          </w:p>
        </w:tc>
        <w:tc>
          <w:tcPr>
            <w:tcW w:w="726"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7</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w:t>
      </w:r>
      <w:r>
        <w:rPr>
          <w:rFonts w:hint="eastAsia" w:ascii="宋体" w:hAnsi="宋体" w:cs="宋体"/>
          <w:b/>
          <w:bCs/>
          <w:color w:val="auto"/>
          <w:szCs w:val="21"/>
          <w:highlight w:val="none"/>
          <w:lang w:val="en-US" w:eastAsia="zh-CN"/>
        </w:rPr>
        <w:t xml:space="preserve">原件</w:t>
      </w:r>
      <w:r>
        <w:rPr>
          <w:rFonts w:hint="eastAsia" w:ascii="宋体" w:hAnsi="宋体" w:cs="宋体"/>
          <w:b/>
          <w:bCs/>
          <w:color w:val="auto"/>
          <w:szCs w:val="21"/>
          <w:highlight w:val="none"/>
        </w:rPr>
        <w:t xml:space="preserve">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color w:val="auto"/>
          <w:szCs w:val="21"/>
          <w:highlight w:val="none"/>
          <w:lang w:val="en-US" w:eastAsia="zh-CN"/>
        </w:rPr>
        <w:t xml:space="preserve">本项目</w:t>
      </w:r>
      <w:r>
        <w:rPr>
          <w:rFonts w:hint="eastAsia" w:ascii="宋体" w:hAnsi="宋体" w:cs="宋体"/>
          <w:b/>
          <w:bCs/>
          <w:szCs w:val="21"/>
          <w:highlight w:val="none"/>
        </w:rPr>
        <w:t xml:space="preserve">不</w:t>
      </w:r>
      <w:r>
        <w:rPr>
          <w:rFonts w:hint="eastAsia" w:ascii="宋体" w:hAnsi="宋体" w:cs="宋体"/>
          <w:b/>
          <w:bCs/>
          <w:szCs w:val="21"/>
          <w:highlight w:val="none"/>
        </w:rPr>
        <w:t xml:space="preserve">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供应商应</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w:t>
      </w:r>
      <w:r>
        <w:rPr>
          <w:rFonts w:hint="eastAsia" w:ascii="宋体" w:hAnsi="宋体" w:cs="宋体"/>
          <w:b/>
          <w:bCs/>
          <w:szCs w:val="21"/>
          <w:highlight w:val="none"/>
        </w:rPr>
        <w:t xml:space="preserve">，</w:t>
      </w:r>
      <w:r>
        <w:rPr>
          <w:rFonts w:hint="eastAsia" w:ascii="宋体" w:hAnsi="宋体" w:cs="宋体"/>
          <w:b/>
          <w:bCs/>
          <w:szCs w:val="21"/>
          <w:highlight w:val="none"/>
        </w:rPr>
        <w:t xml:space="preserve">价格</w:t>
      </w:r>
      <w:r>
        <w:rPr>
          <w:rFonts w:hint="eastAsia" w:ascii="宋体" w:hAnsi="宋体" w:cs="宋体"/>
          <w:b/>
          <w:bCs/>
          <w:szCs w:val="21"/>
          <w:highlight w:val="none"/>
        </w:rPr>
        <w:t xml:space="preserve">享受10%</w:t>
      </w:r>
      <w:r>
        <w:rPr>
          <w:rFonts w:hint="eastAsia" w:ascii="宋体" w:hAnsi="宋体" w:cs="宋体"/>
          <w:b/>
          <w:bCs/>
          <w:szCs w:val="21"/>
          <w:highlight w:val="none"/>
        </w:rPr>
        <w:t xml:space="preserve">扣除</w:t>
      </w:r>
      <w:r>
        <w:rPr>
          <w:rFonts w:hint="eastAsia" w:ascii="宋体" w:hAnsi="宋体" w:cs="宋体"/>
          <w:b/>
          <w:bCs/>
          <w:szCs w:val="21"/>
          <w:highlight w:val="none"/>
        </w:rPr>
        <w:t xml:space="preserve">后</w:t>
      </w:r>
      <w:r>
        <w:rPr>
          <w:rFonts w:hint="eastAsia" w:ascii="宋体" w:hAnsi="宋体" w:cs="宋体"/>
          <w:b/>
          <w:bCs/>
          <w:szCs w:val="21"/>
          <w:highlight w:val="none"/>
        </w:rPr>
        <w:t xml:space="preserve">参与</w:t>
      </w:r>
      <w:r>
        <w:rPr>
          <w:rFonts w:hint="eastAsia" w:ascii="宋体" w:hAnsi="宋体" w:cs="宋体"/>
          <w:b/>
          <w:bCs/>
          <w:szCs w:val="21"/>
          <w:highlight w:val="none"/>
        </w:rPr>
        <w:t xml:space="preserve">评审</w:t>
      </w:r>
      <w:r>
        <w:rPr>
          <w:rFonts w:hint="eastAsia" w:ascii="宋体" w:hAnsi="宋体" w:cs="宋体"/>
          <w:b/>
          <w:bCs/>
          <w:szCs w:val="21"/>
          <w:highlight w:val="none"/>
          <w:lang w:eastAsia="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1137"/>
        <w:pageBreakBefore w:val="0"/>
        <w:spacing w:line="360" w:lineRule="auto"/>
        <w:rPr>
          <w:rFonts w:hint="eastAsia" w:ascii="宋体" w:hAnsi="宋体"/>
          <w:bCs w:val="0"/>
          <w:color w:val="auto"/>
          <w:sz w:val="21"/>
          <w:szCs w:val="21"/>
          <w:highlight w:val="none"/>
        </w:rPr>
      </w:pPr>
      <w:r/>
      <w:bookmarkStart w:id="72" w:name="_Toc107246273"/>
      <w:r>
        <w:rPr>
          <w:rFonts w:hint="eastAsia" w:ascii="宋体" w:hAnsi="宋体"/>
          <w:bCs w:val="0"/>
          <w:color w:val="auto"/>
          <w:sz w:val="21"/>
          <w:szCs w:val="21"/>
          <w:highlight w:val="none"/>
        </w:rPr>
        <w:t xml:space="preserve">第六章 响应文件格式</w:t>
      </w:r>
      <w:bookmarkEnd w:id="72"/>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lang w:val="en-US"/>
        </w:rPr>
      </w:pPr>
      <w:r>
        <w:rPr>
          <w:rFonts w:hint="eastAsia" w:ascii="宋体" w:hAnsi="宋体" w:cs="宋体"/>
          <w:color w:val="auto"/>
          <w:szCs w:val="21"/>
          <w:highlight w:val="none"/>
          <w:u w:val="single"/>
        </w:rPr>
        <w:t xml:space="preserve">4.</w:t>
      </w:r>
      <w:r>
        <w:rPr>
          <w:rFonts w:hint="eastAsia" w:ascii="宋体" w:hAnsi="宋体" w:cs="宋体"/>
          <w:color w:val="auto"/>
          <w:szCs w:val="21"/>
          <w:highlight w:val="none"/>
          <w:u w:val="single"/>
          <w:lang w:val="en-US" w:eastAsia="zh-CN"/>
        </w:rPr>
        <w:t xml:space="preserve">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firstLine="480"/>
        <w:pageBreakBefore w:val="0"/>
        <w:spacing w:line="360" w:lineRule="auto"/>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 xml:space="preserve">5.依法缴纳税收：</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firstLine="480"/>
        <w:pageBreakBefore w:val="0"/>
        <w:spacing w:line="360" w:lineRule="auto"/>
        <w:rPr>
          <w:rFonts w:hint="eastAsia" w:ascii="宋体" w:hAnsi="宋体" w:cs="宋体"/>
          <w:color w:val="auto"/>
          <w:szCs w:val="21"/>
          <w:highlight w:val="none"/>
          <w:u w:val="single"/>
          <w:lang w:eastAsia="zh-CN"/>
        </w:rPr>
      </w:pPr>
      <w:r>
        <w:rPr>
          <w:rFonts w:hint="eastAsia" w:ascii="宋体" w:hAnsi="宋体" w:cs="宋体"/>
          <w:color w:val="auto"/>
          <w:szCs w:val="21"/>
          <w:highlight w:val="none"/>
          <w:u w:val="single"/>
          <w:lang w:val="en-US" w:eastAsia="zh-CN"/>
        </w:rPr>
        <w:t xml:space="preserve">6.社会保障资金：</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w:t>
      </w:r>
      <w:r>
        <w:rPr>
          <w:rFonts w:hint="eastAsia" w:ascii="宋体" w:hAnsi="宋体" w:cs="宋体"/>
          <w:color w:val="auto"/>
          <w:szCs w:val="21"/>
          <w:highlight w:val="none"/>
          <w:u w:val="single"/>
          <w:lang w:eastAsia="zh-CN"/>
        </w:rPr>
        <w:t xml:space="preserve">响应供应商</w:t>
      </w:r>
      <w:r>
        <w:rPr>
          <w:rFonts w:hint="eastAsia" w:ascii="宋体" w:hAnsi="宋体" w:cs="宋体"/>
          <w:color w:val="auto"/>
          <w:szCs w:val="21"/>
          <w:highlight w:val="none"/>
          <w:u w:val="single"/>
        </w:rPr>
        <w:t xml:space="preserve">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eastAsia="宋体" w:cs="宋体"/>
          <w:bCs/>
          <w:color w:val="auto"/>
          <w:szCs w:val="21"/>
          <w:highlight w:val="none"/>
          <w:u w:val="single"/>
          <w:lang w:eastAsia="zh-CN"/>
        </w:rPr>
      </w:pPr>
      <w:r>
        <w:rPr>
          <w:rFonts w:hint="eastAsia" w:ascii="宋体" w:hAnsi="宋体" w:cs="宋体"/>
          <w:bCs/>
          <w:color w:val="auto"/>
          <w:szCs w:val="21"/>
          <w:highlight w:val="none"/>
          <w:u w:val="single"/>
        </w:rPr>
        <w:t xml:space="preserve">10.《中小企业声明函》或《残疾人福利性单位声明函》或监狱和戒毒企业证明材料</w:t>
      </w:r>
      <w:r>
        <w:rPr>
          <w:rFonts w:hint="eastAsia" w:ascii="宋体" w:hAnsi="宋体" w:cs="宋体"/>
          <w:bCs/>
          <w:color w:val="auto"/>
          <w:szCs w:val="21"/>
          <w:highlight w:val="none"/>
          <w:u w:val="single"/>
          <w:lang w:eastAsia="zh-CN"/>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注：上述1—10中任何一条不符合要求，则资格性审查不通过，按无效响应文件处理。</w:t>
      </w:r>
      <w:r/>
    </w:p>
    <w:p>
      <w:pPr>
        <w:pStyle w:val="1152"/>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5.第四章项目需求中要求提供的材料（如有）；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pageBreakBefore w:val="0"/>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泰州市生活垃圾焚烧发电配套项目渗滤液及废水收集处理、设备设施更换维护项目</w:t>
      </w:r>
      <w:r/>
    </w:p>
    <w:p>
      <w:pPr>
        <w:pStyle w:val="1138"/>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38"/>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21"/>
        <w:pageBreakBefore w:val="0"/>
        <w:spacing w:line="360" w:lineRule="auto"/>
        <w:rPr>
          <w:color w:val="auto"/>
          <w:highlight w:val="none"/>
        </w:rPr>
      </w:pPr>
      <w:r>
        <w:rPr>
          <w:color w:val="auto"/>
          <w:highlight w:val="none"/>
        </w:rPr>
      </w:r>
      <w:r/>
    </w:p>
    <w:p>
      <w:pPr>
        <w:pStyle w:val="1129"/>
        <w:jc w:val="center"/>
        <w:pageBreakBefore w:val="0"/>
        <w:spacing w:line="360" w:lineRule="auto"/>
        <w:rPr>
          <w:rFonts w:ascii="Microsoft New Tai Lue" w:hAnsi="Microsoft New Tai Lue" w:cs="Microsoft New Tai Lue"/>
          <w:b/>
          <w:color w:val="auto"/>
          <w:sz w:val="84"/>
          <w:szCs w:val="84"/>
          <w:highlight w:val="none"/>
        </w:rPr>
      </w:pPr>
      <w:r/>
      <w:bookmarkStart w:id="73"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73"/>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112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2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2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29"/>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29"/>
        <w:jc w:val="center"/>
        <w:pageBreakBefore w:val="0"/>
        <w:spacing w:line="360" w:lineRule="auto"/>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eastAsia="zh-CN"/>
        </w:rPr>
        <w:t xml:space="preserve">响应供应商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1129"/>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66"/>
      <w:r/>
      <w:bookmarkEnd w:id="67"/>
      <w:r/>
      <w:bookmarkEnd w:id="68"/>
      <w:r/>
      <w:bookmarkStart w:id="74" w:name="_Toc456102122"/>
      <w:r/>
      <w:bookmarkStart w:id="75" w:name="_Toc456102499"/>
      <w:r/>
      <w:bookmarkStart w:id="76" w:name="_Toc337816640"/>
      <w:r/>
      <w:bookmarkStart w:id="77" w:name="_Toc456102676"/>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112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24"/>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23"/>
        <w:pageBreakBefore w:val="0"/>
        <w:spacing w:line="360" w:lineRule="auto"/>
        <w:rPr>
          <w:color w:val="auto"/>
          <w:highlight w:val="none"/>
        </w:rPr>
      </w:pPr>
      <w:r>
        <w:rPr>
          <w:color w:val="auto"/>
          <w:highlight w:val="none"/>
        </w:rPr>
      </w:r>
      <w:r/>
    </w:p>
    <w:p>
      <w:pPr>
        <w:pStyle w:val="1117"/>
        <w:ind w:firstLine="422"/>
        <w:pageBreakBefore w:val="0"/>
        <w:spacing w:before="0" w:after="0" w:line="360" w:lineRule="auto"/>
        <w:rPr>
          <w:rFonts w:hint="eastAsia" w:ascii="宋体" w:hAnsi="宋体" w:eastAsia="宋体"/>
          <w:color w:val="auto"/>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17"/>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153"/>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53"/>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153"/>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153"/>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78" w:name="_Hlt26955070"/>
      <w:r/>
      <w:bookmarkEnd w:id="78"/>
      <w:r/>
      <w:bookmarkStart w:id="79" w:name="_格式3__银行出具的资信证明"/>
      <w:r/>
      <w:bookmarkEnd w:id="79"/>
      <w:r/>
      <w:bookmarkStart w:id="80" w:name="_Hlt26671380"/>
      <w:r/>
      <w:bookmarkEnd w:id="80"/>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112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24"/>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34"/>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1134"/>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134"/>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1123"/>
        <w:pageBreakBefore w:val="0"/>
        <w:spacing w:line="360" w:lineRule="auto"/>
        <w:rPr>
          <w:color w:val="auto"/>
          <w:highlight w:val="none"/>
        </w:rPr>
      </w:pPr>
      <w:r>
        <w:rPr>
          <w:color w:val="auto"/>
          <w:highlight w:val="none"/>
        </w:rPr>
      </w:r>
      <w:r/>
    </w:p>
    <w:p>
      <w:pPr>
        <w:pStyle w:val="1117"/>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17"/>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7"/>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项目</w:t>
      </w:r>
      <w:r>
        <w:rPr>
          <w:rFonts w:hint="eastAsia" w:ascii="宋体" w:hAnsi="宋体" w:cs="宋体"/>
          <w:color w:val="auto"/>
          <w:szCs w:val="21"/>
          <w:highlight w:val="none"/>
        </w:rPr>
        <w:t xml:space="preserve">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5.服务</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泰州市生活垃圾处理中心</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响应供应商</w:t>
      </w:r>
      <w:r>
        <w:rPr>
          <w:rFonts w:hint="eastAsia" w:ascii="宋体" w:hAnsi="宋体" w:cs="宋体"/>
          <w:color w:val="auto"/>
          <w:szCs w:val="21"/>
          <w:highlight w:val="none"/>
        </w:rPr>
        <w:t xml:space="preserve">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jc w:val="center"/>
        <w:spacing w:line="360" w:lineRule="auto"/>
        <w:rPr>
          <w:rFonts w:hint="eastAsia" w:ascii="宋体" w:hAnsi="宋体" w:cs="宋体"/>
          <w:b/>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cs="宋体"/>
          <w:b/>
          <w:szCs w:val="21"/>
          <w:highlight w:val="none"/>
        </w:rPr>
        <w:t xml:space="preserve">中小企业声明函（工程、服务）</w:t>
      </w:r>
      <w:r/>
    </w:p>
    <w:p>
      <w:pPr>
        <w:ind w:firstLine="56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val="en-US" w:bidi="zh-CN"/>
        </w:rPr>
        <w:t xml:space="preserve">其他未列明行业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jc w:val="center"/>
        <w:spacing w:line="360" w:lineRule="auto"/>
        <w:rPr>
          <w:rFonts w:hint="eastAsia" w:ascii="宋体" w:hAnsi="宋体" w:eastAsia="宋体" w:cs="宋体"/>
          <w:b/>
          <w:bCs/>
          <w:color w:val="auto"/>
          <w:szCs w:val="21"/>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Cs w:val="21"/>
          <w:highlight w:val="none"/>
          <w:lang w:val="en-US" w:eastAsia="zh-CN"/>
        </w:rPr>
      </w:r>
      <w:r/>
    </w:p>
    <w:p>
      <w:pPr>
        <w:jc w:val="center"/>
        <w:spacing w:line="360" w:lineRule="auto"/>
        <w:rPr>
          <w:rFonts w:ascii="宋体" w:hAnsi="宋体" w:cs="宋体"/>
          <w:color w:val="auto"/>
          <w:sz w:val="24"/>
          <w:szCs w:val="24"/>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残疾人福利性单位声明函</w:t>
      </w:r>
      <w:r/>
    </w:p>
    <w:p>
      <w:pPr>
        <w:ind w:firstLine="48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lang w:eastAsia="zh-CN"/>
        </w:rPr>
        <w:t xml:space="preserve">〔2017〕141号</w:t>
      </w:r>
      <w:r>
        <w:rPr>
          <w:rFonts w:hint="eastAsia" w:ascii="宋体" w:hAnsi="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项目（分包号：**）采购活动提供本单位制造的货物，或者提供其他残疾人福利性单位制造的货物（不包括使用非残疾人福利性单位注册商标的货物）。</w:t>
      </w:r>
      <w:r/>
    </w:p>
    <w:p>
      <w:pPr>
        <w:ind w:firstLine="48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firstLine="48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成交供应商为残疾人福利单位的，此声明函将随成交结果同时公告，接受社会监督）</w:t>
      </w:r>
      <w:r/>
    </w:p>
    <w:p>
      <w:pPr>
        <w:ind w:firstLine="624"/>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right="1560" w:firstLine="624"/>
        <w:jc w:val="center"/>
        <w:spacing w:line="360" w:lineRule="auto"/>
        <w:tabs>
          <w:tab w:val="left" w:pos="4860" w:leader="none"/>
        </w:tabs>
        <w:rPr>
          <w:rFonts w:ascii="宋体" w:hAnsi="宋体" w:cs="宋体"/>
          <w:color w:val="auto"/>
          <w:sz w:val="21"/>
          <w:szCs w:val="21"/>
          <w:highlight w:val="none"/>
        </w:rPr>
      </w:pPr>
      <w:r>
        <w:rPr>
          <w:rFonts w:hint="eastAsia" w:ascii="仿宋_GB2312" w:hAnsi="宋体" w:eastAsia="仿宋_GB2312" w:cs="宋体"/>
          <w:color w:val="auto"/>
          <w:sz w:val="21"/>
          <w:szCs w:val="21"/>
          <w:highlight w:val="none"/>
        </w:rPr>
        <w:t xml:space="preserve">             </w:t>
      </w:r>
      <w:r>
        <w:rPr>
          <w:rFonts w:hint="eastAsia" w:ascii="宋体" w:hAnsi="宋体" w:cs="宋体"/>
          <w:color w:val="auto"/>
          <w:sz w:val="21"/>
          <w:szCs w:val="21"/>
          <w:highlight w:val="none"/>
        </w:rPr>
        <w:t xml:space="preserve">          供应商全称（加盖CA电子公章）：</w:t>
      </w:r>
      <w:r/>
    </w:p>
    <w:p>
      <w:pPr>
        <w:ind w:right="1560" w:firstLine="480"/>
        <w:jc w:val="center"/>
        <w:spacing w:line="360" w:lineRule="auto"/>
        <w:tabs>
          <w:tab w:val="left" w:pos="48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sz w:val="24"/>
          <w:szCs w:val="24"/>
          <w:highlight w:val="none"/>
        </w:rPr>
      </w:r>
      <w:r/>
    </w:p>
    <w:p>
      <w:pPr>
        <w:pStyle w:val="1136"/>
        <w:ind w:left="0" w:right="0" w:firstLine="420"/>
        <w:jc w:val="center"/>
        <w:keepLines w:val="0"/>
        <w:keepNext w:val="0"/>
        <w:pageBreakBefore w:val="0"/>
        <w:spacing w:before="30" w:beforeAutospacing="0" w:after="30" w:afterAutospacing="0" w:line="360" w:lineRule="auto"/>
        <w:shd w:val="clear" w:color="auto" w:fill="ffffff"/>
        <w:widowControl/>
        <w:rPr>
          <w:rFonts w:hint="eastAsia" w:ascii="宋体" w:hAnsi="宋体" w:eastAsia="宋体"/>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b/>
          <w:bCs/>
          <w:color w:val="auto"/>
          <w:sz w:val="21"/>
          <w:szCs w:val="21"/>
          <w:highlight w:val="none"/>
          <w:lang w:val="en-US" w:eastAsia="zh-CN"/>
        </w:rPr>
        <w:t xml:space="preserve">8.</w:t>
      </w:r>
      <w:r>
        <w:rPr>
          <w:rFonts w:hint="eastAsia" w:ascii="宋体" w:hAnsi="宋体" w:eastAsia="宋体"/>
          <w:b/>
          <w:bCs/>
          <w:color w:val="auto"/>
          <w:sz w:val="21"/>
          <w:szCs w:val="21"/>
          <w:highlight w:val="none"/>
        </w:rPr>
        <w:t xml:space="preserve">磋商响应函</w:t>
      </w:r>
      <w:r/>
    </w:p>
    <w:p>
      <w:pPr>
        <w:pStyle w:val="1146"/>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eastAsia="zh-CN"/>
        </w:rPr>
        <w:t xml:space="preserve">泰州市生活垃圾焚烧发电配套项目渗滤液及废水收集处理、设备设施更换维护项目</w:t>
      </w:r>
      <w:r>
        <w:rPr>
          <w:rFonts w:hint="eastAsia" w:ascii="宋体" w:hAnsi="宋体"/>
          <w:color w:val="auto"/>
          <w:sz w:val="21"/>
          <w:szCs w:val="21"/>
          <w:highlight w:val="none"/>
        </w:rPr>
        <w:t xml:space="preserve">磋商采购的有关事宜。</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153"/>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112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rPr>
        <w:t xml:space="preserve">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154"/>
        <w:ind w:left="0" w:firstLine="0"/>
        <w:jc w:val="center"/>
        <w:pageBreakBefore w:val="0"/>
        <w:spacing w:line="360" w:lineRule="auto"/>
        <w:rPr>
          <w:rFonts w:hint="eastAsia" w:ascii="宋体" w:hAnsi="宋体" w:cs="宋体"/>
          <w:color w:val="auto"/>
          <w:sz w:val="21"/>
          <w:szCs w:val="21"/>
          <w:highlight w:val="none"/>
        </w:rPr>
      </w:pPr>
      <w:r/>
      <w:bookmarkStart w:id="81" w:name="_Toc20755"/>
      <w:r/>
      <w:bookmarkStart w:id="82" w:name="_Toc15683"/>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.商务条款响应及偏离表</w:t>
      </w:r>
      <w:bookmarkEnd w:id="81"/>
      <w:r/>
      <w:bookmarkEnd w:id="82"/>
      <w:r/>
      <w:r/>
    </w:p>
    <w:tbl>
      <w:tblPr>
        <w:tblStyle w:val="11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rFonts w:hint="eastAsia" w:eastAsia="宋体"/>
                <w:color w:val="auto"/>
                <w:szCs w:val="21"/>
                <w:highlight w:val="none"/>
                <w:lang w:val="en-US" w:eastAsia="zh-CN"/>
              </w:rPr>
            </w:pPr>
            <w:r>
              <w:rPr>
                <w:rFonts w:hint="eastAsia"/>
                <w:color w:val="auto"/>
                <w:szCs w:val="21"/>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eastAsia="宋体"/>
                <w:color w:val="auto"/>
                <w:szCs w:val="21"/>
                <w:highlight w:val="none"/>
                <w:lang w:val="en-US" w:eastAsia="zh-CN"/>
              </w:rPr>
            </w:pPr>
            <w:r>
              <w:rPr>
                <w:rFonts w:hint="eastAsia"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1123"/>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74"/>
      <w:r/>
      <w:bookmarkEnd w:id="75"/>
      <w:r/>
      <w:bookmarkEnd w:id="76"/>
      <w:r/>
      <w:bookmarkEnd w:id="77"/>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11</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1120"/>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55"/>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155"/>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83" w:name="_Toc56141898"/>
      <w:r/>
      <w:bookmarkStart w:id="84" w:name="_Toc56139088"/>
      <w:r/>
      <w:bookmarkStart w:id="85" w:name="_Toc440442375"/>
      <w:r/>
      <w:bookmarkStart w:id="86" w:name="_Toc55705168"/>
      <w:r/>
      <w:bookmarkStart w:id="87" w:name="_Toc56153862"/>
      <w:r/>
      <w:bookmarkStart w:id="88" w:name="_Toc59900983"/>
      <w:r/>
      <w:bookmarkStart w:id="89" w:name="_Toc54372655"/>
      <w:r/>
      <w:bookmarkStart w:id="90" w:name="_Toc434481560"/>
      <w:r/>
      <w:bookmarkStart w:id="91" w:name="_Toc439777351"/>
      <w:r/>
      <w:bookmarkStart w:id="92" w:name="_Toc55654540"/>
      <w:r/>
      <w:bookmarkStart w:id="93" w:name="_Toc55707673"/>
      <w:r/>
      <w:bookmarkStart w:id="94" w:name="_Toc59896715"/>
      <w:r/>
      <w:bookmarkStart w:id="95" w:name="_Toc54372237"/>
      <w:r/>
      <w:bookmarkStart w:id="96" w:name="_Toc56409114"/>
      <w:r/>
      <w:bookmarkStart w:id="97" w:name="_Toc439777159"/>
      <w:r/>
      <w:bookmarkStart w:id="98" w:name="_Toc54372071"/>
      <w:r/>
      <w:bookmarkStart w:id="99" w:name="_Toc55639393"/>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17"/>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.首次响应报价表</w:t>
      </w:r>
      <w:r/>
    </w:p>
    <w:p>
      <w:pPr>
        <w:pStyle w:val="1117"/>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112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rPr>
                <w:rFonts w:hint="eastAsia" w:ascii="宋体" w:hAnsi="宋体" w:cs="宋体"/>
                <w:b/>
                <w:color w:val="auto"/>
                <w:szCs w:val="21"/>
                <w:highlight w:val="none"/>
                <w:lang w:val="en-US" w:eastAsia="zh-CN"/>
              </w:rPr>
              <w:t xml:space="preserve">/年</w:t>
            </w:r>
            <w:r>
              <w:rPr>
                <w:rFonts w:hint="eastAsia" w:ascii="宋体" w:hAnsi="宋体" w:cs="宋体"/>
                <w:b/>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Cs/>
                <w:color w:val="auto"/>
                <w:szCs w:val="21"/>
                <w:highlight w:val="none"/>
                <w:lang w:eastAsia="zh-CN"/>
              </w:rPr>
              <w:t xml:space="preserve">泰州市生活垃圾焚烧发电配套项目渗滤液及废水收集处理、设备设施更换维护项目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1156"/>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w:t>
      </w:r>
      <w:r/>
    </w:p>
    <w:tbl>
      <w:tblPr>
        <w:tblStyle w:val="1120"/>
        <w:tblW w:w="4997"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96"/>
        <w:gridCol w:w="2036"/>
        <w:gridCol w:w="1542"/>
        <w:gridCol w:w="1100"/>
        <w:gridCol w:w="911"/>
        <w:gridCol w:w="911"/>
        <w:gridCol w:w="1269"/>
      </w:tblGrid>
      <w:tr>
        <w:trPr>
          <w:jc w:val="center"/>
          <w:trHeight w:val="567"/>
        </w:trPr>
        <w:tc>
          <w:tcPr>
            <w:tcBorders>
              <w:top w:val="single" w:color="auto" w:sz="4" w:space="0"/>
              <w:left w:val="single" w:color="auto" w:sz="4" w:space="0"/>
              <w:bottom w:val="single" w:color="auto" w:sz="6" w:space="0"/>
              <w:right w:val="single" w:color="auto" w:sz="6" w:space="0"/>
            </w:tcBorders>
            <w:tcW w:w="939"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064"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lang w:val="en-US" w:eastAsia="zh-CN"/>
              </w:rPr>
              <w:t xml:space="preserve">服务</w:t>
            </w:r>
            <w:r>
              <w:rPr>
                <w:rFonts w:hint="eastAsia" w:ascii="宋体" w:hAnsi="宋体" w:cs="宋体"/>
                <w:bCs/>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806" w:type="pct"/>
            <w:vAlign w:val="center"/>
            <w:textDirection w:val="lrTb"/>
            <w:noWrap w:val="false"/>
          </w:tcPr>
          <w:p>
            <w:pPr>
              <w:pStyle w:val="1169"/>
              <w:jc w:val="center"/>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服务内容</w:t>
            </w:r>
            <w:r/>
          </w:p>
        </w:tc>
        <w:tc>
          <w:tcPr>
            <w:tcBorders>
              <w:top w:val="single" w:color="auto" w:sz="4" w:space="0"/>
              <w:left w:val="single" w:color="auto" w:sz="6" w:space="0"/>
              <w:bottom w:val="single" w:color="auto" w:sz="6" w:space="0"/>
              <w:right w:val="single" w:color="auto" w:sz="4" w:space="0"/>
            </w:tcBorders>
            <w:tcW w:w="575"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659" w:type="pct"/>
            <w:vAlign w:val="center"/>
            <w:textDirection w:val="lrTb"/>
            <w:noWrap w:val="false"/>
          </w:tcPr>
          <w:p>
            <w:pPr>
              <w:pStyle w:val="1169"/>
              <w:jc w:val="center"/>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r>
      <w:tr>
        <w:trPr>
          <w:jc w:val="center"/>
          <w:trHeight w:val="567"/>
        </w:trPr>
        <w:tc>
          <w:tcPr>
            <w:tcBorders>
              <w:top w:val="single" w:color="auto" w:sz="6" w:space="0"/>
              <w:left w:val="single" w:color="auto" w:sz="4" w:space="0"/>
              <w:bottom w:val="single" w:color="auto" w:sz="6" w:space="0"/>
              <w:right w:val="single" w:color="auto" w:sz="6" w:space="0"/>
            </w:tcBorders>
            <w:tcW w:w="939"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064"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575"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47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659"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9"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064"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575"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47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659"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9"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064"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575"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47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659"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9"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064"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575"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476" w:type="pct"/>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476"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659" w:type="pct"/>
            <w:vAlign w:val="center"/>
            <w:textDirection w:val="lrTb"/>
            <w:noWrap w:val="false"/>
          </w:tcPr>
          <w:p>
            <w:pPr>
              <w:pStyle w:val="1169"/>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9"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投标总报价</w:t>
            </w:r>
            <w:r/>
          </w:p>
        </w:tc>
        <w:tc>
          <w:tcPr>
            <w:gridSpan w:val="6"/>
            <w:tcBorders>
              <w:top w:val="single" w:color="auto" w:sz="6" w:space="0"/>
              <w:left w:val="single" w:color="auto" w:sz="6" w:space="0"/>
              <w:bottom w:val="single" w:color="auto" w:sz="6" w:space="0"/>
              <w:right w:val="single" w:color="auto" w:sz="4" w:space="0"/>
            </w:tcBorders>
            <w:tcW w:w="4060" w:type="pct"/>
            <w:vAlign w:val="center"/>
            <w:textDirection w:val="lrTb"/>
            <w:noWrap w:val="false"/>
          </w:tcPr>
          <w:p>
            <w:pPr>
              <w:pStyle w:val="1169"/>
              <w:jc w:val="left"/>
              <w:spacing w:line="360" w:lineRule="auto"/>
              <w:tabs>
                <w:tab w:val="left" w:pos="1824"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1122"/>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14</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.其他（供应商认为有必要提供的声明和文件，如有自拟并自行添加）</w:t>
      </w:r>
      <w:r/>
    </w:p>
    <w:p>
      <w:pPr>
        <w:pStyle w:val="1157"/>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1157"/>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153"/>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rPr>
        <w:rStyle w:val="114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0"/>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138"/>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0"/>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0"/>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1"/>
      <w:numFmt w:val="japaneseCounting"/>
      <w:isLgl w:val="false"/>
      <w:suff w:val="tab"/>
      <w:lvlText w:val="%1、"/>
      <w:lvlJc w:val="left"/>
      <w:pPr>
        <w:ind w:left="858" w:hanging="432"/>
      </w:pPr>
      <w:rPr>
        <w:rFonts w:hint="default"/>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6"/>
  </w:num>
  <w:num w:numId="5">
    <w:abstractNumId w:val="4"/>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8">
    <w:name w:val="Heading 1 Char"/>
    <w:basedOn w:val="1119"/>
    <w:link w:val="1116"/>
    <w:uiPriority w:val="9"/>
    <w:rPr>
      <w:rFonts w:ascii="Arial" w:hAnsi="Arial" w:eastAsia="Arial" w:cs="Arial"/>
      <w:sz w:val="40"/>
      <w:szCs w:val="40"/>
    </w:rPr>
  </w:style>
  <w:style w:type="character" w:styleId="949">
    <w:name w:val="Heading 2 Char"/>
    <w:basedOn w:val="1119"/>
    <w:link w:val="1117"/>
    <w:uiPriority w:val="9"/>
    <w:rPr>
      <w:rFonts w:ascii="Arial" w:hAnsi="Arial" w:eastAsia="Arial" w:cs="Arial"/>
      <w:sz w:val="34"/>
    </w:rPr>
  </w:style>
  <w:style w:type="character" w:styleId="950">
    <w:name w:val="Heading 3 Char"/>
    <w:basedOn w:val="1119"/>
    <w:link w:val="1118"/>
    <w:uiPriority w:val="9"/>
    <w:rPr>
      <w:rFonts w:ascii="Arial" w:hAnsi="Arial" w:eastAsia="Arial" w:cs="Arial"/>
      <w:sz w:val="30"/>
      <w:szCs w:val="30"/>
    </w:rPr>
  </w:style>
  <w:style w:type="paragraph" w:styleId="951">
    <w:name w:val="Heading 4"/>
    <w:basedOn w:val="1115"/>
    <w:next w:val="1115"/>
    <w:link w:val="952"/>
    <w:uiPriority w:val="9"/>
    <w:unhideWhenUsed/>
    <w:qFormat/>
    <w:pPr>
      <w:keepLines/>
      <w:keepNext/>
      <w:spacing w:before="320" w:after="200"/>
      <w:outlineLvl w:val="3"/>
    </w:pPr>
    <w:rPr>
      <w:rFonts w:ascii="Arial" w:hAnsi="Arial" w:eastAsia="Arial" w:cs="Arial"/>
      <w:b/>
      <w:bCs/>
      <w:sz w:val="26"/>
      <w:szCs w:val="26"/>
    </w:rPr>
  </w:style>
  <w:style w:type="character" w:styleId="952">
    <w:name w:val="Heading 4 Char"/>
    <w:basedOn w:val="1119"/>
    <w:link w:val="951"/>
    <w:uiPriority w:val="9"/>
    <w:rPr>
      <w:rFonts w:ascii="Arial" w:hAnsi="Arial" w:eastAsia="Arial" w:cs="Arial"/>
      <w:b/>
      <w:bCs/>
      <w:sz w:val="26"/>
      <w:szCs w:val="26"/>
    </w:rPr>
  </w:style>
  <w:style w:type="paragraph" w:styleId="953">
    <w:name w:val="Heading 5"/>
    <w:basedOn w:val="1115"/>
    <w:next w:val="1115"/>
    <w:link w:val="954"/>
    <w:uiPriority w:val="9"/>
    <w:unhideWhenUsed/>
    <w:qFormat/>
    <w:pPr>
      <w:keepLines/>
      <w:keepNext/>
      <w:spacing w:before="320" w:after="200"/>
      <w:outlineLvl w:val="4"/>
    </w:pPr>
    <w:rPr>
      <w:rFonts w:ascii="Arial" w:hAnsi="Arial" w:eastAsia="Arial" w:cs="Arial"/>
      <w:b/>
      <w:bCs/>
      <w:sz w:val="24"/>
      <w:szCs w:val="24"/>
    </w:rPr>
  </w:style>
  <w:style w:type="character" w:styleId="954">
    <w:name w:val="Heading 5 Char"/>
    <w:basedOn w:val="1119"/>
    <w:link w:val="953"/>
    <w:uiPriority w:val="9"/>
    <w:rPr>
      <w:rFonts w:ascii="Arial" w:hAnsi="Arial" w:eastAsia="Arial" w:cs="Arial"/>
      <w:b/>
      <w:bCs/>
      <w:sz w:val="24"/>
      <w:szCs w:val="24"/>
    </w:rPr>
  </w:style>
  <w:style w:type="paragraph" w:styleId="955">
    <w:name w:val="Heading 6"/>
    <w:basedOn w:val="1115"/>
    <w:next w:val="1115"/>
    <w:link w:val="956"/>
    <w:uiPriority w:val="9"/>
    <w:unhideWhenUsed/>
    <w:qFormat/>
    <w:pPr>
      <w:keepLines/>
      <w:keepNext/>
      <w:spacing w:before="320" w:after="200"/>
      <w:outlineLvl w:val="5"/>
    </w:pPr>
    <w:rPr>
      <w:rFonts w:ascii="Arial" w:hAnsi="Arial" w:eastAsia="Arial" w:cs="Arial"/>
      <w:b/>
      <w:bCs/>
      <w:sz w:val="22"/>
      <w:szCs w:val="22"/>
    </w:rPr>
  </w:style>
  <w:style w:type="character" w:styleId="956">
    <w:name w:val="Heading 6 Char"/>
    <w:basedOn w:val="1119"/>
    <w:link w:val="955"/>
    <w:uiPriority w:val="9"/>
    <w:rPr>
      <w:rFonts w:ascii="Arial" w:hAnsi="Arial" w:eastAsia="Arial" w:cs="Arial"/>
      <w:b/>
      <w:bCs/>
      <w:sz w:val="22"/>
      <w:szCs w:val="22"/>
    </w:rPr>
  </w:style>
  <w:style w:type="paragraph" w:styleId="957">
    <w:name w:val="Heading 7"/>
    <w:basedOn w:val="1115"/>
    <w:next w:val="1115"/>
    <w:link w:val="958"/>
    <w:uiPriority w:val="9"/>
    <w:unhideWhenUsed/>
    <w:qFormat/>
    <w:pPr>
      <w:keepLines/>
      <w:keepNext/>
      <w:spacing w:before="320" w:after="200"/>
      <w:outlineLvl w:val="6"/>
    </w:pPr>
    <w:rPr>
      <w:rFonts w:ascii="Arial" w:hAnsi="Arial" w:eastAsia="Arial" w:cs="Arial"/>
      <w:b/>
      <w:bCs/>
      <w:i/>
      <w:iCs/>
      <w:sz w:val="22"/>
      <w:szCs w:val="22"/>
    </w:rPr>
  </w:style>
  <w:style w:type="character" w:styleId="958">
    <w:name w:val="Heading 7 Char"/>
    <w:basedOn w:val="1119"/>
    <w:link w:val="957"/>
    <w:uiPriority w:val="9"/>
    <w:rPr>
      <w:rFonts w:ascii="Arial" w:hAnsi="Arial" w:eastAsia="Arial" w:cs="Arial"/>
      <w:b/>
      <w:bCs/>
      <w:i/>
      <w:iCs/>
      <w:sz w:val="22"/>
      <w:szCs w:val="22"/>
    </w:rPr>
  </w:style>
  <w:style w:type="paragraph" w:styleId="959">
    <w:name w:val="Heading 8"/>
    <w:basedOn w:val="1115"/>
    <w:next w:val="1115"/>
    <w:link w:val="960"/>
    <w:uiPriority w:val="9"/>
    <w:unhideWhenUsed/>
    <w:qFormat/>
    <w:pPr>
      <w:keepLines/>
      <w:keepNext/>
      <w:spacing w:before="320" w:after="200"/>
      <w:outlineLvl w:val="7"/>
    </w:pPr>
    <w:rPr>
      <w:rFonts w:ascii="Arial" w:hAnsi="Arial" w:eastAsia="Arial" w:cs="Arial"/>
      <w:i/>
      <w:iCs/>
      <w:sz w:val="22"/>
      <w:szCs w:val="22"/>
    </w:rPr>
  </w:style>
  <w:style w:type="character" w:styleId="960">
    <w:name w:val="Heading 8 Char"/>
    <w:basedOn w:val="1119"/>
    <w:link w:val="959"/>
    <w:uiPriority w:val="9"/>
    <w:rPr>
      <w:rFonts w:ascii="Arial" w:hAnsi="Arial" w:eastAsia="Arial" w:cs="Arial"/>
      <w:i/>
      <w:iCs/>
      <w:sz w:val="22"/>
      <w:szCs w:val="22"/>
    </w:rPr>
  </w:style>
  <w:style w:type="paragraph" w:styleId="961">
    <w:name w:val="Heading 9"/>
    <w:basedOn w:val="1115"/>
    <w:next w:val="1115"/>
    <w:link w:val="962"/>
    <w:uiPriority w:val="9"/>
    <w:unhideWhenUsed/>
    <w:qFormat/>
    <w:pPr>
      <w:keepLines/>
      <w:keepNext/>
      <w:spacing w:before="320" w:after="200"/>
      <w:outlineLvl w:val="8"/>
    </w:pPr>
    <w:rPr>
      <w:rFonts w:ascii="Arial" w:hAnsi="Arial" w:eastAsia="Arial" w:cs="Arial"/>
      <w:i/>
      <w:iCs/>
      <w:sz w:val="21"/>
      <w:szCs w:val="21"/>
    </w:rPr>
  </w:style>
  <w:style w:type="character" w:styleId="962">
    <w:name w:val="Heading 9 Char"/>
    <w:basedOn w:val="1119"/>
    <w:link w:val="961"/>
    <w:uiPriority w:val="9"/>
    <w:rPr>
      <w:rFonts w:ascii="Arial" w:hAnsi="Arial" w:eastAsia="Arial" w:cs="Arial"/>
      <w:i/>
      <w:iCs/>
      <w:sz w:val="21"/>
      <w:szCs w:val="21"/>
    </w:rPr>
  </w:style>
  <w:style w:type="paragraph" w:styleId="963">
    <w:name w:val="No Spacing"/>
    <w:uiPriority w:val="1"/>
    <w:qFormat/>
    <w:pPr>
      <w:spacing w:before="0" w:after="0" w:line="240" w:lineRule="auto"/>
    </w:pPr>
  </w:style>
  <w:style w:type="character" w:styleId="964">
    <w:name w:val="Title Char"/>
    <w:basedOn w:val="1119"/>
    <w:link w:val="1137"/>
    <w:uiPriority w:val="10"/>
    <w:rPr>
      <w:sz w:val="48"/>
      <w:szCs w:val="48"/>
    </w:rPr>
  </w:style>
  <w:style w:type="paragraph" w:styleId="965">
    <w:name w:val="Subtitle"/>
    <w:basedOn w:val="1115"/>
    <w:next w:val="1115"/>
    <w:link w:val="966"/>
    <w:uiPriority w:val="11"/>
    <w:qFormat/>
    <w:pPr>
      <w:spacing w:before="200" w:after="200"/>
    </w:pPr>
    <w:rPr>
      <w:sz w:val="24"/>
      <w:szCs w:val="24"/>
    </w:rPr>
  </w:style>
  <w:style w:type="character" w:styleId="966">
    <w:name w:val="Subtitle Char"/>
    <w:basedOn w:val="1119"/>
    <w:link w:val="965"/>
    <w:uiPriority w:val="11"/>
    <w:rPr>
      <w:sz w:val="24"/>
      <w:szCs w:val="24"/>
    </w:rPr>
  </w:style>
  <w:style w:type="paragraph" w:styleId="967">
    <w:name w:val="Quote"/>
    <w:basedOn w:val="1115"/>
    <w:next w:val="1115"/>
    <w:link w:val="968"/>
    <w:uiPriority w:val="29"/>
    <w:qFormat/>
    <w:pPr>
      <w:ind w:left="720" w:right="720"/>
    </w:pPr>
    <w:rPr>
      <w:i/>
    </w:rPr>
  </w:style>
  <w:style w:type="character" w:styleId="968">
    <w:name w:val="Quote Char"/>
    <w:link w:val="967"/>
    <w:uiPriority w:val="29"/>
    <w:rPr>
      <w:i/>
    </w:rPr>
  </w:style>
  <w:style w:type="paragraph" w:styleId="969">
    <w:name w:val="Intense Quote"/>
    <w:basedOn w:val="1115"/>
    <w:next w:val="1115"/>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name w:val="Intense Quote Char"/>
    <w:link w:val="969"/>
    <w:uiPriority w:val="30"/>
    <w:rPr>
      <w:i/>
    </w:rPr>
  </w:style>
  <w:style w:type="character" w:styleId="971">
    <w:name w:val="Header Char"/>
    <w:basedOn w:val="1119"/>
    <w:link w:val="1131"/>
    <w:uiPriority w:val="99"/>
  </w:style>
  <w:style w:type="character" w:styleId="972">
    <w:name w:val="Footer Char"/>
    <w:basedOn w:val="1119"/>
    <w:link w:val="1130"/>
    <w:uiPriority w:val="99"/>
  </w:style>
  <w:style w:type="paragraph" w:styleId="973">
    <w:name w:val="Caption"/>
    <w:basedOn w:val="1115"/>
    <w:next w:val="1115"/>
    <w:uiPriority w:val="35"/>
    <w:semiHidden/>
    <w:unhideWhenUsed/>
    <w:qFormat/>
    <w:pPr>
      <w:spacing w:line="276" w:lineRule="auto"/>
    </w:pPr>
    <w:rPr>
      <w:b/>
      <w:bCs/>
      <w:color w:val="4f81bd" w:themeColor="accent1"/>
      <w:sz w:val="18"/>
      <w:szCs w:val="18"/>
    </w:rPr>
  </w:style>
  <w:style w:type="character" w:styleId="974">
    <w:name w:val="Caption Char"/>
    <w:basedOn w:val="973"/>
    <w:link w:val="1130"/>
    <w:uiPriority w:val="99"/>
  </w:style>
  <w:style w:type="table" w:styleId="975">
    <w:name w:val="Table Grid Light"/>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6">
    <w:name w:val="Plain Table 1"/>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2"/>
    <w:basedOn w:val="11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3"/>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name w:val="Plain Table 4"/>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name w:val="Plain Table 5"/>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1">
    <w:name w:val="Grid Table 1 Light"/>
    <w:basedOn w:val="11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2">
    <w:name w:val="Grid Table 1 Light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3">
    <w:name w:val="Grid Table 1 Light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4">
    <w:name w:val="Grid Table 1 Light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5">
    <w:name w:val="Grid Table 1 Light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6">
    <w:name w:val="Grid Table 1 Light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7">
    <w:name w:val="Grid Table 1 Light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8">
    <w:name w:val="Grid Table 2"/>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9">
    <w:name w:val="Grid Table 2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0">
    <w:name w:val="Grid Table 2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2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2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2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4">
    <w:name w:val="Grid Table 2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5">
    <w:name w:val="Grid Table 3"/>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basedOn w:val="11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4 - Accent 1"/>
    <w:basedOn w:val="11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4">
    <w:name w:val="Grid Table 4 - Accent 2"/>
    <w:basedOn w:val="11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5">
    <w:name w:val="Grid Table 4 - Accent 3"/>
    <w:basedOn w:val="11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6">
    <w:name w:val="Grid Table 4 - Accent 4"/>
    <w:basedOn w:val="11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7">
    <w:name w:val="Grid Table 4 - Accent 5"/>
    <w:basedOn w:val="11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8">
    <w:name w:val="Grid Table 4 - Accent 6"/>
    <w:basedOn w:val="11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9">
    <w:name w:val="Grid Table 5 Dark"/>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0">
    <w:name w:val="Grid Table 5 Dark- Accent 1"/>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11">
    <w:name w:val="Grid Table 5 Dark - Accent 2"/>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12">
    <w:name w:val="Grid Table 5 Dark - Accent 3"/>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3">
    <w:name w:val="Grid Table 5 Dark- Accent 4"/>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4">
    <w:name w:val="Grid Table 5 Dark - Accent 5"/>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5">
    <w:name w:val="Grid Table 5 Dark - Accent 6"/>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6">
    <w:name w:val="Grid Table 6 Colorful"/>
    <w:basedOn w:val="11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7">
    <w:name w:val="Grid Table 6 Colorful - Accent 1"/>
    <w:basedOn w:val="11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8">
    <w:name w:val="Grid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9">
    <w:name w:val="Grid Table 6 Colorful - Accent 3"/>
    <w:basedOn w:val="11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20">
    <w:name w:val="Grid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21">
    <w:name w:val="Grid Table 6 Colorful - Accent 5"/>
    <w:basedOn w:val="11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2">
    <w:name w:val="Grid Table 6 Colorful - Accent 6"/>
    <w:basedOn w:val="11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3">
    <w:name w:val="Grid Table 7 Colorful"/>
    <w:basedOn w:val="11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4">
    <w:name w:val="Grid Table 7 Colorful - Accent 1"/>
    <w:basedOn w:val="11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5">
    <w:name w:val="Grid Table 7 Colorful - Accent 2"/>
    <w:basedOn w:val="11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6">
    <w:name w:val="Grid Table 7 Colorful - Accent 3"/>
    <w:basedOn w:val="11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7">
    <w:name w:val="Grid Table 7 Colorful - Accent 4"/>
    <w:basedOn w:val="11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8">
    <w:name w:val="Grid Table 7 Colorful - Accent 5"/>
    <w:basedOn w:val="11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9">
    <w:name w:val="Grid Table 7 Colorful - Accent 6"/>
    <w:basedOn w:val="11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0">
    <w:name w:val="List Table 1 Light"/>
    <w:basedOn w:val="11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1 Light - Accent 1"/>
    <w:basedOn w:val="11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2">
    <w:name w:val="List Table 1 Light - Accent 2"/>
    <w:basedOn w:val="11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3">
    <w:name w:val="List Table 1 Light - Accent 3"/>
    <w:basedOn w:val="11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4">
    <w:name w:val="List Table 1 Light - Accent 4"/>
    <w:basedOn w:val="11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5">
    <w:name w:val="List Table 1 Light - Accent 5"/>
    <w:basedOn w:val="11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6">
    <w:name w:val="List Table 1 Light - Accent 6"/>
    <w:basedOn w:val="11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7">
    <w:name w:val="List Table 2"/>
    <w:basedOn w:val="11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8">
    <w:name w:val="List Table 2 - Accent 1"/>
    <w:basedOn w:val="11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9">
    <w:name w:val="List Table 2 - Accent 2"/>
    <w:basedOn w:val="11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0">
    <w:name w:val="List Table 2 - Accent 3"/>
    <w:basedOn w:val="11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1">
    <w:name w:val="List Table 2 - Accent 4"/>
    <w:basedOn w:val="11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2">
    <w:name w:val="List Table 2 - Accent 5"/>
    <w:basedOn w:val="11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3">
    <w:name w:val="List Table 2 - Accent 6"/>
    <w:basedOn w:val="11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4">
    <w:name w:val="List Table 3"/>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3 - Accent 1"/>
    <w:basedOn w:val="11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6">
    <w:name w:val="List Table 3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7">
    <w:name w:val="List Table 3 - Accent 3"/>
    <w:basedOn w:val="11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8">
    <w:name w:val="List Table 3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9">
    <w:name w:val="List Table 3 - Accent 5"/>
    <w:basedOn w:val="11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50">
    <w:name w:val="List Table 3 - Accent 6"/>
    <w:basedOn w:val="11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51">
    <w:name w:val="List Table 4"/>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2">
    <w:name w:val="List Table 4 - Accent 1"/>
    <w:basedOn w:val="11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3">
    <w:name w:val="List Table 4 - Accent 2"/>
    <w:basedOn w:val="11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4">
    <w:name w:val="List Table 4 - Accent 3"/>
    <w:basedOn w:val="11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5">
    <w:name w:val="List Table 4 - Accent 4"/>
    <w:basedOn w:val="11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6">
    <w:name w:val="List Table 4 - Accent 5"/>
    <w:basedOn w:val="11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7">
    <w:name w:val="List Table 4 - Accent 6"/>
    <w:basedOn w:val="11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8">
    <w:name w:val="List Table 5 Dark"/>
    <w:basedOn w:val="11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1"/>
    <w:basedOn w:val="11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2"/>
    <w:basedOn w:val="11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3"/>
    <w:basedOn w:val="11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4"/>
    <w:basedOn w:val="11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5"/>
    <w:basedOn w:val="11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6"/>
    <w:basedOn w:val="11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6 Colorful"/>
    <w:basedOn w:val="11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6">
    <w:name w:val="List Table 6 Colorful - Accent 1"/>
    <w:basedOn w:val="11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7">
    <w:name w:val="List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8">
    <w:name w:val="List Table 6 Colorful - Accent 3"/>
    <w:basedOn w:val="11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9">
    <w:name w:val="List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70">
    <w:name w:val="List Table 6 Colorful - Accent 5"/>
    <w:basedOn w:val="11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71">
    <w:name w:val="List Table 6 Colorful - Accent 6"/>
    <w:basedOn w:val="11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72">
    <w:name w:val="List Table 7 Colorful"/>
    <w:basedOn w:val="11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3">
    <w:name w:val="List Table 7 Colorful - Accent 1"/>
    <w:basedOn w:val="11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4">
    <w:name w:val="List Table 7 Colorful - Accent 2"/>
    <w:basedOn w:val="11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5">
    <w:name w:val="List Table 7 Colorful - Accent 3"/>
    <w:basedOn w:val="11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6">
    <w:name w:val="List Table 7 Colorful - Accent 4"/>
    <w:basedOn w:val="11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7">
    <w:name w:val="List Table 7 Colorful - Accent 5"/>
    <w:basedOn w:val="11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8">
    <w:name w:val="List Table 7 Colorful - Accent 6"/>
    <w:basedOn w:val="11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9">
    <w:name w:val="Lined - Accent"/>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Lined - Accent 1"/>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1">
    <w:name w:val="Lined - Accent 2"/>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2">
    <w:name w:val="Lined - Accent 3"/>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3">
    <w:name w:val="Lined - Accent 4"/>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4">
    <w:name w:val="Lined - Accent 5"/>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5">
    <w:name w:val="Lined - Accent 6"/>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6">
    <w:name w:val="Bordered &amp; Lined - Accent"/>
    <w:basedOn w:val="11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7">
    <w:name w:val="Bordered &amp; Lined - Accent 1"/>
    <w:basedOn w:val="11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8">
    <w:name w:val="Bordered &amp; Lined - Accent 2"/>
    <w:basedOn w:val="11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9">
    <w:name w:val="Bordered &amp; Lined - Accent 3"/>
    <w:basedOn w:val="11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90">
    <w:name w:val="Bordered &amp; Lined - Accent 4"/>
    <w:basedOn w:val="11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91">
    <w:name w:val="Bordered &amp; Lined - Accent 5"/>
    <w:basedOn w:val="11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92">
    <w:name w:val="Bordered &amp; Lined - Accent 6"/>
    <w:basedOn w:val="11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3">
    <w:name w:val="Bordered"/>
    <w:basedOn w:val="11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4">
    <w:name w:val="Bordered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5">
    <w:name w:val="Bordered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6">
    <w:name w:val="Bordered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7">
    <w:name w:val="Bordered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8">
    <w:name w:val="Bordered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9">
    <w:name w:val="Bordered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0">
    <w:name w:val="Footnote Text Char"/>
    <w:link w:val="1133"/>
    <w:uiPriority w:val="99"/>
    <w:rPr>
      <w:sz w:val="18"/>
    </w:rPr>
  </w:style>
  <w:style w:type="character" w:styleId="1101">
    <w:name w:val="footnote reference"/>
    <w:basedOn w:val="1119"/>
    <w:uiPriority w:val="99"/>
    <w:unhideWhenUsed/>
    <w:rPr>
      <w:vertAlign w:val="superscript"/>
    </w:rPr>
  </w:style>
  <w:style w:type="paragraph" w:styleId="1102">
    <w:name w:val="endnote text"/>
    <w:basedOn w:val="1115"/>
    <w:link w:val="1103"/>
    <w:uiPriority w:val="99"/>
    <w:semiHidden/>
    <w:unhideWhenUsed/>
    <w:pPr>
      <w:spacing w:after="0" w:line="240" w:lineRule="auto"/>
    </w:pPr>
    <w:rPr>
      <w:sz w:val="20"/>
    </w:rPr>
  </w:style>
  <w:style w:type="character" w:styleId="1103">
    <w:name w:val="Endnote Text Char"/>
    <w:link w:val="1102"/>
    <w:uiPriority w:val="99"/>
    <w:rPr>
      <w:sz w:val="20"/>
    </w:rPr>
  </w:style>
  <w:style w:type="character" w:styleId="1104">
    <w:name w:val="endnote reference"/>
    <w:basedOn w:val="1119"/>
    <w:uiPriority w:val="99"/>
    <w:semiHidden/>
    <w:unhideWhenUsed/>
    <w:rPr>
      <w:vertAlign w:val="superscript"/>
    </w:rPr>
  </w:style>
  <w:style w:type="paragraph" w:styleId="1105">
    <w:name w:val="toc 2"/>
    <w:basedOn w:val="1115"/>
    <w:next w:val="1115"/>
    <w:uiPriority w:val="39"/>
    <w:unhideWhenUsed/>
    <w:pPr>
      <w:ind w:left="283" w:right="0" w:firstLine="0"/>
      <w:spacing w:after="57"/>
    </w:pPr>
  </w:style>
  <w:style w:type="paragraph" w:styleId="1106">
    <w:name w:val="toc 3"/>
    <w:basedOn w:val="1115"/>
    <w:next w:val="1115"/>
    <w:uiPriority w:val="39"/>
    <w:unhideWhenUsed/>
    <w:pPr>
      <w:ind w:left="567" w:right="0" w:firstLine="0"/>
      <w:spacing w:after="57"/>
    </w:pPr>
  </w:style>
  <w:style w:type="paragraph" w:styleId="1107">
    <w:name w:val="toc 4"/>
    <w:basedOn w:val="1115"/>
    <w:next w:val="1115"/>
    <w:uiPriority w:val="39"/>
    <w:unhideWhenUsed/>
    <w:pPr>
      <w:ind w:left="850" w:right="0" w:firstLine="0"/>
      <w:spacing w:after="57"/>
    </w:pPr>
  </w:style>
  <w:style w:type="paragraph" w:styleId="1108">
    <w:name w:val="toc 5"/>
    <w:basedOn w:val="1115"/>
    <w:next w:val="1115"/>
    <w:uiPriority w:val="39"/>
    <w:unhideWhenUsed/>
    <w:pPr>
      <w:ind w:left="1134" w:right="0" w:firstLine="0"/>
      <w:spacing w:after="57"/>
    </w:pPr>
  </w:style>
  <w:style w:type="paragraph" w:styleId="1109">
    <w:name w:val="toc 6"/>
    <w:basedOn w:val="1115"/>
    <w:next w:val="1115"/>
    <w:uiPriority w:val="39"/>
    <w:unhideWhenUsed/>
    <w:pPr>
      <w:ind w:left="1417" w:right="0" w:firstLine="0"/>
      <w:spacing w:after="57"/>
    </w:pPr>
  </w:style>
  <w:style w:type="paragraph" w:styleId="1110">
    <w:name w:val="toc 7"/>
    <w:basedOn w:val="1115"/>
    <w:next w:val="1115"/>
    <w:uiPriority w:val="39"/>
    <w:unhideWhenUsed/>
    <w:pPr>
      <w:ind w:left="1701" w:right="0" w:firstLine="0"/>
      <w:spacing w:after="57"/>
    </w:pPr>
  </w:style>
  <w:style w:type="paragraph" w:styleId="1111">
    <w:name w:val="toc 8"/>
    <w:basedOn w:val="1115"/>
    <w:next w:val="1115"/>
    <w:uiPriority w:val="39"/>
    <w:unhideWhenUsed/>
    <w:pPr>
      <w:ind w:left="1984" w:right="0" w:firstLine="0"/>
      <w:spacing w:after="57"/>
    </w:pPr>
  </w:style>
  <w:style w:type="paragraph" w:styleId="1112">
    <w:name w:val="toc 9"/>
    <w:basedOn w:val="1115"/>
    <w:next w:val="1115"/>
    <w:uiPriority w:val="39"/>
    <w:unhideWhenUsed/>
    <w:pPr>
      <w:ind w:left="2268" w:right="0" w:firstLine="0"/>
      <w:spacing w:after="57"/>
    </w:pPr>
  </w:style>
  <w:style w:type="paragraph" w:styleId="1113">
    <w:name w:val="TOC Heading"/>
    <w:uiPriority w:val="39"/>
    <w:unhideWhenUsed/>
  </w:style>
  <w:style w:type="paragraph" w:styleId="1114">
    <w:name w:val="table of figures"/>
    <w:basedOn w:val="1115"/>
    <w:next w:val="1115"/>
    <w:uiPriority w:val="99"/>
    <w:unhideWhenUsed/>
    <w:pPr>
      <w:spacing w:after="0" w:afterAutospacing="0"/>
    </w:pPr>
  </w:style>
  <w:style w:type="paragraph" w:styleId="1115" w:default="1">
    <w:name w:val="Normal"/>
    <w:next w:val="1121"/>
    <w:uiPriority w:val="0"/>
    <w:qFormat/>
    <w:pPr>
      <w:jc w:val="both"/>
      <w:widowControl w:val="off"/>
    </w:pPr>
    <w:rPr>
      <w:rFonts w:ascii="Calibri" w:hAnsi="Calibri" w:eastAsia="宋体" w:cs="Times New Roman"/>
      <w:sz w:val="21"/>
      <w:szCs w:val="24"/>
      <w:lang w:val="en-US" w:eastAsia="zh-CN" w:bidi="ar-SA"/>
    </w:rPr>
  </w:style>
  <w:style w:type="paragraph" w:styleId="1116">
    <w:name w:val="Heading 1"/>
    <w:basedOn w:val="1115"/>
    <w:next w:val="1115"/>
    <w:uiPriority w:val="0"/>
    <w:qFormat/>
    <w:pPr>
      <w:keepNext/>
      <w:outlineLvl w:val="0"/>
    </w:pPr>
    <w:rPr>
      <w:rFonts w:ascii="楷体_GB2312" w:hAnsi="Times New Roman" w:eastAsia="楷体_GB2312"/>
      <w:sz w:val="28"/>
      <w:szCs w:val="20"/>
    </w:rPr>
  </w:style>
  <w:style w:type="paragraph" w:styleId="1117">
    <w:name w:val="Heading 2"/>
    <w:basedOn w:val="1115"/>
    <w:next w:val="1115"/>
    <w:uiPriority w:val="0"/>
    <w:qFormat/>
    <w:pPr>
      <w:jc w:val="center"/>
      <w:keepLines/>
      <w:keepNext/>
      <w:spacing w:before="260" w:after="260" w:line="416" w:lineRule="auto"/>
      <w:outlineLvl w:val="1"/>
    </w:pPr>
    <w:rPr>
      <w:rFonts w:ascii="Arial" w:hAnsi="Arial" w:eastAsia="幼圆"/>
      <w:b/>
      <w:sz w:val="44"/>
      <w:szCs w:val="20"/>
    </w:rPr>
  </w:style>
  <w:style w:type="paragraph" w:styleId="1118">
    <w:name w:val="Heading 3"/>
    <w:basedOn w:val="1115"/>
    <w:next w:val="1115"/>
    <w:uiPriority w:val="9"/>
    <w:qFormat/>
    <w:pPr>
      <w:keepLines/>
      <w:keepNext/>
      <w:spacing w:before="260" w:after="260" w:line="416" w:lineRule="auto"/>
      <w:outlineLvl w:val="2"/>
    </w:pPr>
    <w:rPr>
      <w:rFonts w:ascii="Times New Roman" w:hAnsi="Times New Roman"/>
      <w:b/>
      <w:sz w:val="32"/>
      <w:szCs w:val="20"/>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customStyle="1">
    <w:name w:val="段"/>
    <w:next w:val="1115"/>
    <w:uiPriority w:val="0"/>
    <w:qFormat/>
    <w:pPr>
      <w:ind w:firstLine="200"/>
      <w:jc w:val="both"/>
    </w:pPr>
    <w:rPr>
      <w:rFonts w:ascii="宋体" w:hAnsi="Times New Roman" w:eastAsia="宋体" w:cs="Times New Roman"/>
      <w:sz w:val="21"/>
      <w:szCs w:val="22"/>
      <w:lang w:val="en-US" w:eastAsia="zh-CN" w:bidi="ar-SA"/>
    </w:rPr>
  </w:style>
  <w:style w:type="paragraph" w:styleId="1122">
    <w:name w:val="Note Heading"/>
    <w:basedOn w:val="1115"/>
    <w:next w:val="1115"/>
    <w:uiPriority w:val="0"/>
    <w:unhideWhenUsed/>
    <w:qFormat/>
    <w:pPr>
      <w:jc w:val="center"/>
    </w:pPr>
    <w:rPr>
      <w:szCs w:val="24"/>
    </w:rPr>
  </w:style>
  <w:style w:type="paragraph" w:styleId="1123">
    <w:name w:val="Normal Indent"/>
    <w:basedOn w:val="1115"/>
    <w:uiPriority w:val="0"/>
    <w:qFormat/>
    <w:pPr>
      <w:ind w:firstLine="420"/>
    </w:pPr>
    <w:rPr>
      <w:rFonts w:ascii="Times New Roman" w:hAnsi="Times New Roman"/>
      <w:szCs w:val="20"/>
    </w:rPr>
  </w:style>
  <w:style w:type="paragraph" w:styleId="1124">
    <w:name w:val="Body Text"/>
    <w:basedOn w:val="1115"/>
    <w:uiPriority w:val="0"/>
    <w:qFormat/>
    <w:pPr>
      <w:spacing w:after="120"/>
    </w:pPr>
  </w:style>
  <w:style w:type="paragraph" w:styleId="1125">
    <w:name w:val="Body Text Indent"/>
    <w:basedOn w:val="1115"/>
    <w:next w:val="1126"/>
    <w:uiPriority w:val="0"/>
    <w:qFormat/>
    <w:pPr>
      <w:ind w:firstLine="645"/>
    </w:pPr>
    <w:rPr>
      <w:rFonts w:ascii="楷体_GB2312" w:hAnsi="Times New Roman" w:eastAsia="楷体_GB2312"/>
      <w:sz w:val="32"/>
      <w:szCs w:val="20"/>
    </w:rPr>
  </w:style>
  <w:style w:type="paragraph" w:styleId="1126">
    <w:name w:val="envelope return"/>
    <w:basedOn w:val="1115"/>
    <w:uiPriority w:val="99"/>
    <w:qFormat/>
    <w:rPr>
      <w:rFonts w:ascii="Arial" w:hAnsi="Arial" w:cs="Arial"/>
    </w:rPr>
  </w:style>
  <w:style w:type="paragraph" w:styleId="1127">
    <w:name w:val="List 2"/>
    <w:basedOn w:val="1115"/>
    <w:uiPriority w:val="0"/>
    <w:qFormat/>
    <w:pPr>
      <w:ind w:left="100" w:hanging="200"/>
      <w:jc w:val="left"/>
    </w:pPr>
    <w:rPr>
      <w:rFonts w:ascii="宋体" w:hAnsi="宋体"/>
    </w:rPr>
  </w:style>
  <w:style w:type="paragraph" w:styleId="1128">
    <w:name w:val="Block Text"/>
    <w:basedOn w:val="1115"/>
    <w:uiPriority w:val="0"/>
    <w:unhideWhenUsed/>
    <w:qFormat/>
    <w:rPr>
      <w:rFonts w:eastAsia="微软雅黑"/>
    </w:rPr>
  </w:style>
  <w:style w:type="paragraph" w:styleId="1129">
    <w:name w:val="Plain Text"/>
    <w:basedOn w:val="1115"/>
    <w:uiPriority w:val="99"/>
    <w:qFormat/>
    <w:rPr>
      <w:rFonts w:ascii="宋体" w:hAnsi="Courier New"/>
      <w:szCs w:val="20"/>
    </w:rPr>
  </w:style>
  <w:style w:type="paragraph" w:styleId="1130">
    <w:name w:val="Footer"/>
    <w:basedOn w:val="1115"/>
    <w:uiPriority w:val="0"/>
    <w:qFormat/>
    <w:pPr>
      <w:jc w:val="left"/>
      <w:tabs>
        <w:tab w:val="center" w:pos="4153" w:leader="none"/>
        <w:tab w:val="right" w:pos="8306" w:leader="none"/>
      </w:tabs>
    </w:pPr>
    <w:rPr>
      <w:rFonts w:ascii="Times New Roman" w:hAnsi="Times New Roman"/>
      <w:sz w:val="18"/>
      <w:szCs w:val="20"/>
    </w:rPr>
  </w:style>
  <w:style w:type="paragraph" w:styleId="1131">
    <w:name w:val="Header"/>
    <w:basedOn w:val="111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32">
    <w:name w:val="toc 1"/>
    <w:basedOn w:val="1115"/>
    <w:next w:val="111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33">
    <w:name w:val="footnote text"/>
    <w:basedOn w:val="1115"/>
    <w:uiPriority w:val="99"/>
    <w:semiHidden/>
    <w:unhideWhenUsed/>
    <w:qFormat/>
    <w:pPr>
      <w:spacing w:after="40"/>
    </w:pPr>
    <w:rPr>
      <w:sz w:val="18"/>
    </w:rPr>
  </w:style>
  <w:style w:type="paragraph" w:styleId="1134">
    <w:name w:val="Body Text 2"/>
    <w:basedOn w:val="1115"/>
    <w:uiPriority w:val="0"/>
    <w:qFormat/>
    <w:pPr>
      <w:spacing w:after="120" w:line="480" w:lineRule="auto"/>
    </w:pPr>
  </w:style>
  <w:style w:type="paragraph" w:styleId="1135">
    <w:name w:val="HTML Preformatted"/>
    <w:basedOn w:val="111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136">
    <w:name w:val="Normal (Web)"/>
    <w:basedOn w:val="1115"/>
    <w:uiPriority w:val="0"/>
    <w:qFormat/>
    <w:pPr>
      <w:jc w:val="left"/>
      <w:spacing w:beforeAutospacing="1" w:afterAutospacing="1"/>
    </w:pPr>
    <w:rPr>
      <w:rFonts w:cs="Times New Roman"/>
      <w:sz w:val="24"/>
    </w:rPr>
  </w:style>
  <w:style w:type="paragraph" w:styleId="1137">
    <w:name w:val="Title"/>
    <w:basedOn w:val="1115"/>
    <w:next w:val="1115"/>
    <w:uiPriority w:val="0"/>
    <w:qFormat/>
    <w:pPr>
      <w:jc w:val="center"/>
      <w:spacing w:before="240" w:after="60"/>
      <w:outlineLvl w:val="0"/>
    </w:pPr>
    <w:rPr>
      <w:rFonts w:ascii="等线 Light" w:hAnsi="等线 Light"/>
      <w:b/>
      <w:bCs/>
      <w:sz w:val="32"/>
      <w:szCs w:val="32"/>
    </w:rPr>
  </w:style>
  <w:style w:type="paragraph" w:styleId="1138">
    <w:name w:val="Body Text First Indent"/>
    <w:basedOn w:val="1115"/>
    <w:uiPriority w:val="0"/>
    <w:unhideWhenUsed/>
    <w:qFormat/>
    <w:pPr>
      <w:ind w:firstLine="420"/>
    </w:pPr>
    <w:rPr>
      <w:rFonts w:ascii="楷体_GB2312" w:hAnsi="Arial" w:eastAsia="楷体_GB2312"/>
      <w:sz w:val="28"/>
      <w:szCs w:val="20"/>
    </w:rPr>
  </w:style>
  <w:style w:type="paragraph" w:styleId="1139">
    <w:name w:val="Body Text First Indent 2"/>
    <w:basedOn w:val="1125"/>
    <w:uiPriority w:val="0"/>
    <w:qFormat/>
    <w:pPr>
      <w:ind w:firstLine="420"/>
    </w:pPr>
    <w:rPr>
      <w:rFonts w:cs="宋体"/>
      <w:szCs w:val="21"/>
    </w:rPr>
  </w:style>
  <w:style w:type="table" w:styleId="1140">
    <w:name w:val="Table Grid"/>
    <w:basedOn w:val="11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Strong"/>
    <w:basedOn w:val="1119"/>
    <w:uiPriority w:val="0"/>
    <w:qFormat/>
    <w:rPr>
      <w:b/>
    </w:rPr>
  </w:style>
  <w:style w:type="character" w:styleId="1142">
    <w:name w:val="page number"/>
    <w:uiPriority w:val="0"/>
    <w:qFormat/>
    <w:rPr>
      <w:rFonts w:ascii="Times New Roman" w:hAnsi="Times New Roman" w:eastAsia="宋体" w:cs="Times New Roman"/>
    </w:rPr>
  </w:style>
  <w:style w:type="character" w:styleId="1143">
    <w:name w:val="Emphasis"/>
    <w:basedOn w:val="1119"/>
    <w:uiPriority w:val="20"/>
    <w:qFormat/>
    <w:rPr>
      <w:i/>
    </w:rPr>
  </w:style>
  <w:style w:type="character" w:styleId="1144">
    <w:name w:val="Hyperlink"/>
    <w:uiPriority w:val="99"/>
    <w:qFormat/>
    <w:rPr>
      <w:rFonts w:ascii="Times New Roman" w:hAnsi="Times New Roman" w:eastAsia="宋体" w:cs="Times New Roman"/>
      <w:color w:val="0000ff"/>
      <w:u w:val="single"/>
    </w:rPr>
  </w:style>
  <w:style w:type="paragraph" w:styleId="1145" w:customStyle="1">
    <w:name w:val="注释标题1"/>
    <w:basedOn w:val="1115"/>
    <w:next w:val="1115"/>
    <w:uiPriority w:val="0"/>
    <w:qFormat/>
    <w:rPr>
      <w:rFonts w:ascii="Verdana" w:hAnsi="Verdana"/>
      <w:szCs w:val="20"/>
    </w:rPr>
  </w:style>
  <w:style w:type="paragraph" w:styleId="1146" w:customStyle="1">
    <w:name w:val="普通正文"/>
    <w:basedOn w:val="1115"/>
    <w:uiPriority w:val="0"/>
    <w:qFormat/>
    <w:pPr>
      <w:ind w:firstLine="482"/>
      <w:jc w:val="left"/>
      <w:spacing w:line="360" w:lineRule="auto"/>
    </w:pPr>
    <w:rPr>
      <w:rFonts w:ascii="Arial" w:hAnsi="Arial"/>
      <w:sz w:val="24"/>
    </w:rPr>
  </w:style>
  <w:style w:type="paragraph" w:styleId="1147" w:customStyle="1">
    <w:name w:val="TOC 标题1"/>
    <w:basedOn w:val="1116"/>
    <w:next w:val="111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48" w:customStyle="1">
    <w:name w:val="目录 31"/>
    <w:basedOn w:val="1115"/>
    <w:next w:val="1115"/>
    <w:uiPriority w:val="0"/>
    <w:qFormat/>
    <w:pPr>
      <w:ind w:left="840"/>
    </w:pPr>
    <w:rPr>
      <w:lang w:eastAsia="en-US"/>
    </w:rPr>
  </w:style>
  <w:style w:type="paragraph" w:styleId="1149" w:customStyle="1">
    <w:name w:val="标题 31"/>
    <w:basedOn w:val="1115"/>
    <w:next w:val="1150"/>
    <w:uiPriority w:val="0"/>
    <w:qFormat/>
    <w:pPr>
      <w:keepLines/>
      <w:keepNext/>
      <w:spacing w:before="260" w:after="260" w:line="413" w:lineRule="auto"/>
      <w:outlineLvl w:val="2"/>
    </w:pPr>
    <w:rPr>
      <w:b/>
      <w:sz w:val="32"/>
      <w:szCs w:val="20"/>
    </w:rPr>
  </w:style>
  <w:style w:type="paragraph" w:styleId="1150" w:customStyle="1">
    <w:name w:val="正文缩进1"/>
    <w:basedOn w:val="1115"/>
    <w:uiPriority w:val="0"/>
    <w:qFormat/>
    <w:pPr>
      <w:ind w:firstLine="420"/>
    </w:pPr>
    <w:rPr>
      <w:szCs w:val="20"/>
    </w:rPr>
  </w:style>
  <w:style w:type="paragraph" w:styleId="1151" w:customStyle="1">
    <w:name w:val="DAS正文"/>
    <w:basedOn w:val="1115"/>
    <w:uiPriority w:val="5"/>
    <w:qFormat/>
    <w:pPr>
      <w:ind w:right="181" w:firstLine="480"/>
      <w:spacing w:line="360" w:lineRule="auto"/>
    </w:pPr>
    <w:rPr>
      <w:rFonts w:ascii="Verdana" w:hAnsi="Verdana"/>
    </w:rPr>
  </w:style>
  <w:style w:type="paragraph" w:styleId="1152" w:customStyle="1">
    <w:name w:val="sh4"/>
    <w:basedOn w:val="1115"/>
    <w:uiPriority w:val="0"/>
    <w:qFormat/>
    <w:pPr>
      <w:ind w:firstLine="420"/>
      <w:spacing w:line="460" w:lineRule="exact"/>
    </w:pPr>
    <w:rPr>
      <w:rFonts w:ascii="宋体" w:hAnsi="宋体"/>
      <w:szCs w:val="21"/>
      <w:lang w:eastAsia="en-US"/>
    </w:rPr>
  </w:style>
  <w:style w:type="paragraph" w:styleId="1153" w:customStyle="1">
    <w:name w:val="Char"/>
    <w:basedOn w:val="1115"/>
    <w:uiPriority w:val="0"/>
    <w:qFormat/>
    <w:pPr>
      <w:tabs>
        <w:tab w:val="left" w:pos="360" w:leader="none"/>
      </w:tabs>
    </w:pPr>
    <w:rPr>
      <w:rFonts w:ascii="Times New Roman" w:hAnsi="Times New Roman"/>
      <w:sz w:val="24"/>
    </w:rPr>
  </w:style>
  <w:style w:type="paragraph" w:styleId="1154" w:customStyle="1">
    <w:name w:val="二级目录"/>
    <w:next w:val="1115"/>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55" w:customStyle="1">
    <w:name w:val="简单回函地址"/>
    <w:basedOn w:val="1115"/>
    <w:uiPriority w:val="0"/>
    <w:qFormat/>
    <w:rPr>
      <w:rFonts w:ascii="Times New Roman" w:hAnsi="Times New Roman" w:cs="宋体"/>
      <w:szCs w:val="21"/>
    </w:rPr>
  </w:style>
  <w:style w:type="paragraph" w:styleId="1156" w:customStyle="1">
    <w:name w:val="索引 41"/>
    <w:basedOn w:val="1115"/>
    <w:next w:val="1115"/>
    <w:uiPriority w:val="0"/>
    <w:qFormat/>
    <w:pPr>
      <w:ind w:left="1260"/>
    </w:pPr>
  </w:style>
  <w:style w:type="paragraph" w:styleId="1157" w:customStyle="1">
    <w:name w:val="普通(网站)1"/>
    <w:basedOn w:val="1115"/>
    <w:uiPriority w:val="0"/>
    <w:unhideWhenUsed/>
    <w:qFormat/>
    <w:pPr>
      <w:jc w:val="left"/>
      <w:spacing w:before="100" w:beforeAutospacing="1" w:after="100" w:afterAutospacing="1"/>
    </w:pPr>
    <w:rPr>
      <w:sz w:val="24"/>
      <w:lang w:eastAsia="en-US"/>
    </w:rPr>
  </w:style>
  <w:style w:type="paragraph" w:styleId="1158" w:customStyle="1">
    <w:name w:val="页脚11"/>
    <w:basedOn w:val="1115"/>
    <w:uiPriority w:val="0"/>
    <w:qFormat/>
    <w:pPr>
      <w:jc w:val="left"/>
      <w:tabs>
        <w:tab w:val="center" w:pos="4153" w:leader="none"/>
        <w:tab w:val="right" w:pos="8306" w:leader="none"/>
      </w:tabs>
    </w:pPr>
    <w:rPr>
      <w:sz w:val="18"/>
      <w:szCs w:val="18"/>
      <w:lang w:eastAsia="en-US"/>
    </w:rPr>
  </w:style>
  <w:style w:type="paragraph" w:styleId="1159">
    <w:name w:val="List Paragraph"/>
    <w:basedOn w:val="1115"/>
    <w:uiPriority w:val="34"/>
    <w:qFormat/>
    <w:pPr>
      <w:ind w:firstLine="420"/>
    </w:pPr>
  </w:style>
  <w:style w:type="paragraph" w:styleId="1160" w:customStyle="1">
    <w:name w:val="列出段落2"/>
    <w:basedOn w:val="1115"/>
    <w:uiPriority w:val="34"/>
    <w:qFormat/>
    <w:pPr>
      <w:contextualSpacing/>
      <w:ind w:left="720"/>
      <w:jc w:val="left"/>
      <w:widowControl/>
    </w:pPr>
    <w:rPr>
      <w:sz w:val="24"/>
      <w:lang w:eastAsia="en-US" w:bidi="en-US"/>
    </w:rPr>
  </w:style>
  <w:style w:type="paragraph" w:styleId="1161" w:customStyle="1">
    <w:name w:val="列表段落1"/>
    <w:basedOn w:val="1115"/>
    <w:uiPriority w:val="34"/>
    <w:qFormat/>
    <w:pPr>
      <w:ind w:firstLine="420"/>
    </w:pPr>
  </w:style>
  <w:style w:type="paragraph" w:styleId="1162" w:customStyle="1">
    <w:name w:val="style4"/>
    <w:basedOn w:val="1115"/>
    <w:next w:val="1163"/>
    <w:uiPriority w:val="99"/>
    <w:qFormat/>
    <w:pPr>
      <w:spacing w:before="280" w:after="280"/>
      <w:widowControl/>
    </w:pPr>
    <w:rPr>
      <w:rFonts w:ascii="宋体"/>
      <w:sz w:val="18"/>
    </w:rPr>
  </w:style>
  <w:style w:type="paragraph" w:styleId="1163" w:customStyle="1">
    <w:name w:val="2"/>
    <w:next w:val="1115"/>
    <w:uiPriority w:val="99"/>
    <w:qFormat/>
    <w:pPr>
      <w:jc w:val="both"/>
      <w:widowControl w:val="off"/>
    </w:pPr>
    <w:rPr>
      <w:rFonts w:ascii="Times New Roman" w:hAnsi="Times New Roman" w:eastAsia="宋体" w:cs="Times New Roman"/>
      <w:sz w:val="21"/>
      <w:szCs w:val="22"/>
      <w:lang w:val="en-US" w:eastAsia="zh-CN" w:bidi="ar-SA"/>
    </w:rPr>
  </w:style>
  <w:style w:type="character" w:styleId="1164" w:customStyle="1">
    <w:name w:val="font51"/>
    <w:basedOn w:val="1119"/>
    <w:uiPriority w:val="0"/>
    <w:qFormat/>
    <w:rPr>
      <w:rFonts w:ascii="宋体" w:hAnsi="宋体" w:eastAsia="宋体" w:cs="宋体"/>
      <w:color w:val="000000"/>
      <w:sz w:val="18"/>
      <w:szCs w:val="18"/>
      <w:u w:val="none"/>
    </w:rPr>
  </w:style>
  <w:style w:type="paragraph" w:styleId="1165" w:customStyle="1">
    <w:name w:val="*正文"/>
    <w:basedOn w:val="1115"/>
    <w:uiPriority w:val="0"/>
    <w:qFormat/>
    <w:pPr>
      <w:ind w:firstLine="480"/>
      <w:spacing w:line="360" w:lineRule="auto"/>
    </w:pPr>
    <w:rPr>
      <w:rFonts w:ascii="宋体" w:hAnsi="宋体"/>
      <w:sz w:val="24"/>
    </w:rPr>
  </w:style>
  <w:style w:type="character" w:styleId="1166" w:customStyle="1">
    <w:name w:val="font11"/>
    <w:uiPriority w:val="0"/>
    <w:qFormat/>
    <w:rPr>
      <w:rFonts w:hint="eastAsia" w:ascii="宋体" w:hAnsi="宋体" w:eastAsia="宋体" w:cs="宋体"/>
      <w:color w:val="000000"/>
      <w:sz w:val="24"/>
      <w:szCs w:val="24"/>
      <w:u w:val="none"/>
    </w:rPr>
  </w:style>
  <w:style w:type="paragraph" w:styleId="1167" w:customStyle="1">
    <w:name w:val="正文文本1"/>
    <w:basedOn w:val="1115"/>
    <w:uiPriority w:val="0"/>
    <w:qFormat/>
    <w:rPr>
      <w:rFonts w:ascii="楷体_GB2312" w:hAnsi="Arial" w:eastAsia="楷体_GB2312"/>
      <w:sz w:val="28"/>
      <w:szCs w:val="20"/>
    </w:rPr>
  </w:style>
  <w:style w:type="paragraph" w:styleId="1168" w:customStyle="1">
    <w:name w:val="列表段落"/>
    <w:basedOn w:val="1115"/>
    <w:uiPriority w:val="1"/>
    <w:qFormat/>
    <w:pPr>
      <w:ind w:firstLine="420"/>
    </w:pPr>
    <w:rPr>
      <w:szCs w:val="22"/>
    </w:rPr>
  </w:style>
  <w:style w:type="paragraph" w:styleId="1169" w:customStyle="1">
    <w:name w:val="Plain Text1"/>
    <w:basedOn w:val="1115"/>
    <w:uiPriority w:val="0"/>
    <w:qFormat/>
    <w:pPr>
      <w:spacing w:line="312" w:lineRule="atLeast"/>
    </w:pPr>
    <w:rPr>
      <w:rFonts w:ascii="Arial Black" w:hAnsi="Courier New"/>
      <w:szCs w:val="20"/>
    </w:rPr>
  </w:style>
  <w:style w:type="paragraph" w:styleId="1170" w:customStyle="1">
    <w:name w:val="Plain Text11"/>
    <w:basedOn w:val="1115"/>
    <w:uiPriority w:val="0"/>
    <w:qFormat/>
    <w:rPr>
      <w:rFonts w:ascii="宋体" w:hAnsi="Courier New" w:eastAsia="楷体_GB2312"/>
      <w:sz w:val="28"/>
      <w:szCs w:val="20"/>
    </w:rPr>
  </w:style>
  <w:style w:type="paragraph" w:styleId="1171" w:customStyle="1">
    <w:name w:val="列出段落1"/>
    <w:basedOn w:val="1115"/>
    <w:uiPriority w:val="34"/>
    <w:qFormat/>
    <w:pPr>
      <w:ind w:firstLine="420"/>
    </w:pPr>
  </w:style>
  <w:style w:type="paragraph" w:styleId="1172" w:customStyle="1">
    <w:name w:val="Table Text"/>
    <w:basedOn w:val="1115"/>
    <w:uiPriority w:val="0"/>
    <w:semiHidden/>
    <w:qFormat/>
    <w:rPr>
      <w:rFonts w:ascii="宋体" w:hAnsi="宋体" w:eastAsia="宋体" w:cs="宋体"/>
      <w:sz w:val="24"/>
      <w:szCs w:val="24"/>
      <w:lang w:val="en-US" w:eastAsia="en-US" w:bidi="ar-SA"/>
    </w:rPr>
  </w:style>
  <w:style w:type="table" w:styleId="1173" w:customStyle="1">
    <w:name w:val="Table Normal"/>
    <w:uiPriority w:val="0"/>
    <w:semiHidden/>
    <w:unhideWhenUsed/>
    <w:qFormat/>
    <w:tblPr>
      <w:tblCellMar>
        <w:left w:w="0" w:type="dxa"/>
        <w:top w:w="0" w:type="dxa"/>
        <w:right w:w="0" w:type="dxa"/>
        <w:bottom w:w="0" w:type="dxa"/>
      </w:tblCellMar>
    </w:tblPr>
  </w:style>
  <w:style w:type="paragraph" w:styleId="1174" w:customStyle="1">
    <w:name w:val="正文文本首行缩进1"/>
    <w:next w:val="1175"/>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75" w:customStyle="1">
    <w:name w:val="正文缩进11"/>
    <w:next w:val="1115"/>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176"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77" w:customStyle="1">
    <w:name w:val="Table Paragraph"/>
    <w:basedOn w:val="1115"/>
    <w:uiPriority w:val="1"/>
    <w:qFormat/>
    <w:pPr>
      <w:jc w:val="left"/>
    </w:pPr>
    <w:rPr>
      <w:rFonts w:ascii="宋体" w:hAnsi="Times New Roman" w:cs="宋体"/>
      <w:sz w:val="24"/>
      <w:szCs w:val="24"/>
    </w:rPr>
  </w:style>
  <w:style w:type="paragraph" w:styleId="1178" w:customStyle="1">
    <w:name w:val="正文11"/>
    <w:next w:val="1179"/>
    <w:uiPriority w:val="0"/>
    <w:qFormat/>
    <w:pPr>
      <w:widowControl w:val="off"/>
    </w:pPr>
    <w:rPr>
      <w:rFonts w:hint="default" w:ascii="宋体" w:hAnsi="宋体" w:eastAsia="宋体" w:cs="Times New Roman"/>
      <w:sz w:val="22"/>
      <w:szCs w:val="22"/>
      <w:lang w:val="zh-CN" w:eastAsia="zh-CN" w:bidi="zh-CN"/>
    </w:rPr>
  </w:style>
  <w:style w:type="paragraph" w:styleId="1179" w:customStyle="1">
    <w:name w:val="目录 11"/>
    <w:basedOn w:val="1178"/>
    <w:next w:val="1178"/>
    <w:uiPriority w:val="0"/>
    <w:qFormat/>
    <w:pPr>
      <w:ind w:left="156"/>
      <w:spacing w:before="254"/>
    </w:pPr>
    <w:rPr>
      <w:sz w:val="24"/>
      <w:szCs w:val="24"/>
    </w:rPr>
  </w:style>
  <w:style w:type="paragraph" w:styleId="1180" w:customStyle="1">
    <w:name w:val="Other|1"/>
    <w:basedOn w:val="1115"/>
    <w:uiPriority w:val="0"/>
    <w:qFormat/>
    <w:pPr>
      <w:spacing w:line="396" w:lineRule="exact"/>
    </w:pPr>
    <w:rPr>
      <w:lang w:val="zh-TW" w:eastAsia="zh-TW" w:bidi="zh-TW"/>
    </w:rPr>
  </w:style>
  <w:style w:type="numbering" w:styleId="1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c210b8a3-108f-4208-b956-c4630b9a8a25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78ED87F8</paraID>
      <start>312</start>
      <end>313</end>
      <status>unmodified</status>
      <modifiedWord/>
      <trackRevisions>false</trackRevisions>
    </reviewItem>
    <reviewItem>
      <errorID>0a248fbf-5dc4-4be5-8062-58e36dfeb40d</errorID>
      <errorWord>（</errorWord>
      <group>L1_Punc</group>
      <groupName>标点问题</groupName>
      <ability>L2_Punc_CN</ability>
      <abilityName>标点符号问题</abilityName>
      <candidateList/>
      <explain>同一形式括号套用。</explain>
      <paraID>5F78096B</paraID>
      <start>35</start>
      <end>36</end>
      <status>ignored</status>
      <modifiedWord/>
      <trackRevisions>false</trackRevisions>
    </reviewItem>
    <reviewItem>
      <errorID>37875b72-a455-4357-8bfa-d805afce55b1</errorID>
      <errorWord>）</errorWord>
      <group>L1_Punc</group>
      <groupName>标点问题</groupName>
      <ability>L2_Punc_CN</ability>
      <abilityName>标点符号问题</abilityName>
      <candidateList/>
      <explain>同一形式括号套用。</explain>
      <paraID>5F78096B</paraID>
      <start>39</start>
      <end>40</end>
      <status>ignored</status>
      <modifiedWord/>
      <trackRevisions>false</trackRevisions>
    </reviewItem>
    <reviewItem>
      <errorID>92932117-6e21-4bab-929a-0d136ccee6a4</errorID>
      <errorWord>逾时</errorWord>
      <group>L1_Punc</group>
      <groupName>标点问题</groupName>
      <ability>L2_Punc_CN</ability>
      <abilityName>标点符号问题</abilityName>
      <candidateList>
        <item>，逾时</item>
      </candidateList>
      <explain/>
      <paraID>30AFA105</paraID>
      <start>33</start>
      <end>36</end>
      <status>modified</status>
      <modifiedWord>，逾时</modifiedWord>
      <trackRevisions>false</trackRevisions>
    </reviewItem>
    <reviewItem>
      <errorID>cbb16cc0-1015-4534-b30f-3d4fba8ce253</errorID>
      <errorWord>接受</errorWord>
      <group>L1_Word</group>
      <groupName>字词问题</groupName>
      <ability>L2_Typo</ability>
      <abilityName>字词错误</abilityName>
      <candidateList>
        <item>接收</item>
      </candidateList>
      <explain>存在发音相同字词的误用。</explain>
      <paraID>30AFA105</paraID>
      <start>47</start>
      <end>49</end>
      <status>modified</status>
      <modifiedWord>接收</modifiedWord>
      <trackRevisions>false</trackRevisions>
    </reviewItem>
    <reviewItem>
      <errorID>26a0445e-dd0c-4557-9a05-eaaaec34e71d</errorID>
      <errorWord>“.</errorWord>
      <group>L1_Punc</group>
      <groupName>标点问题</groupName>
      <ability>L2_Punc_CN</ability>
      <abilityName>标点符号问题</abilityName>
      <candidateList>
        <item>“</item>
      </candidateList>
      <explain/>
      <paraID>1B4EB89F</paraID>
      <start>191</start>
      <end>193</end>
      <status>ignored</status>
      <modifiedWord/>
      <trackRevisions>false</trackRevisions>
    </reviewItem>
    <reviewItem>
      <errorID>95eb4f42-4051-4e9a-9966-2580c7643c01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22BD597D</paraID>
      <start>12</start>
      <end>13</end>
      <status>unmodified</status>
      <modifiedWord/>
      <trackRevisions>false</trackRevisions>
    </reviewItem>
    <reviewItem>
      <errorID>72bdeced-6d2b-4ecc-941b-a2abc0a6f6a7</errorID>
      <errorWord>，</errorWord>
      <group>L1_Punc</group>
      <groupName>标点问题</groupName>
      <ability>L2_Punc_CN</ability>
      <abilityName>标点符号问题</abilityName>
      <candidateList>
        <item>；</item>
      </candidateList>
      <explain/>
      <paraID>22BD597D</paraID>
      <start>64</start>
      <end>65</end>
      <status>modified</status>
      <modifiedWord>；</modifiedWord>
      <trackRevisions>false</trackRevisions>
    </reviewItem>
    <reviewItem>
      <errorID>ae38d0af-55cc-4ecb-843d-82d95ce87ea7</errorID>
      <errorWord>〈</errorWord>
      <group>L1_Punc</group>
      <groupName>标点问题</groupName>
      <ability>L2_Punc_CN</ability>
      <abilityName>标点符号问题</abilityName>
      <candidateList>
        <item> &lt; </item>
      </candidateList>
      <explain/>
      <paraID>66C1BB2E</paraID>
      <start>48</start>
      <end>51</end>
      <status>modified</status>
      <modifiedWord> &lt; </modifiedWord>
      <trackRevisions>false</trackRevisions>
    </reviewItem>
    <reviewItem>
      <errorID>c5831579-4510-459e-987f-1e909edad87b</errorID>
      <errorWord>。</errorWord>
      <group>L1_Punc</group>
      <groupName>标点问题</groupName>
      <ability>L2_Punc_CN</ability>
      <abilityName>标点符号问题</abilityName>
      <candidateList>
        <item>，</item>
      </candidateList>
      <explain/>
      <paraID>7BE1DEF1</paraID>
      <start>34</start>
      <end>35</end>
      <status>modified</status>
      <modifiedWord>，</modifiedWord>
      <trackRevisions>false</trackRevisions>
    </reviewItem>
    <reviewItem>
      <errorID>6f138d4d-8462-4421-98e6-cb5eb94d45e8</errorID>
      <errorWord>。</errorWord>
      <group>L1_Punc</group>
      <groupName>标点问题</groupName>
      <ability>L2_Punc_CN</ability>
      <abilityName>标点符号问题</abilityName>
      <candidateList>
        <item/>
      </candidateList>
      <explain/>
      <paraID>48B53D89</paraID>
      <start>141</start>
      <end>142</end>
      <status>unmodified</status>
      <modifiedWord/>
      <trackRevisions>false</trackRevisions>
    </reviewItem>
    <reviewItem>
      <errorID>3b488a66-e6a3-442b-936f-84378c90485e</errorID>
      <errorWord>下载</errorWord>
      <group>L1_Word</group>
      <groupName>字词问题</groupName>
      <ability>L2_Typo</ability>
      <abilityName>字词错误</abilityName>
      <candidateList>
        <item>处下载</item>
      </candidateList>
      <explain/>
      <paraID> F8FE576</paraID>
      <start>25</start>
      <end>27</end>
      <status>unmodified</status>
      <modifiedWord/>
      <trackRevisions>false</trackRevisions>
    </reviewItem>
    <reviewItem>
      <errorID>a7d7f8f3-8a24-46ab-a474-2e21167cde6c</errorID>
      <errorWord>GB16889</errorWord>
      <group>L1_Word</group>
      <groupName>字词问题</groupName>
      <ability>L2_Typo</ability>
      <abilityName>字词错误</abilityName>
      <candidateList>
        <item>GB 16889</item>
      </candidateList>
      <explain/>
      <paraID>3F6EE997</paraID>
      <start>114</start>
      <end>121</end>
      <status>unmodified</status>
      <modifiedWord/>
      <trackRevisions>false</trackRevisions>
    </reviewItem>
    <reviewItem>
      <errorID>69a2aace-b8d7-4365-9d7a-33b2989d6f35</errorID>
      <errorWord>GB16889</errorWord>
      <group>L1_Word</group>
      <groupName>字词问题</groupName>
      <ability>L2_Typo</ability>
      <abilityName>字词错误</abilityName>
      <candidateList>
        <item>GB 16889</item>
      </candidateList>
      <explain/>
      <paraID>3F6EE997</paraID>
      <start>274</start>
      <end>281</end>
      <status>unmodified</status>
      <modifiedWord/>
      <trackRevisions>false</trackRevisions>
    </reviewItem>
    <reviewItem>
      <errorID>d8d6a4c3-320f-4c1f-b2b9-7c3d588ec832</errorID>
      <errorWord>）</errorWord>
      <group>L1_Punc</group>
      <groupName>标点问题</groupName>
      <ability>L2_Punc_CN</ability>
      <abilityName>标点符号问题</abilityName>
      <candidateList>
        <item>）。</item>
      </candidateList>
      <explain/>
      <paraID>1BCA4306</paraID>
      <start>36</start>
      <end>37</end>
      <status>unmodified</status>
      <modifiedWord/>
      <trackRevisions>false</trackRevisions>
    </reviewItem>
    <reviewItem>
      <errorID>d8815b83-a9e0-4963-be8f-342b6ca1fc67</errorID>
      <errorWord>生态环境部</errorWord>
      <group>L1_Political</group>
      <groupName>政治性问题</groupName>
      <ability>L2_Keyword</ability>
      <abilityName>固定表述</abilityName>
      <candidateList>
        <item>，生态环境部</item>
      </candidateList>
      <explain>此处内容疑似含有固定表述相关错误，建议核查。</explain>
      <paraID>784445EC</paraID>
      <start>69</start>
      <end>74</end>
      <status>unmodified</status>
      <modifiedWord/>
      <trackRevisions>false</trackRevisions>
    </reviewItem>
    <reviewItem>
      <errorID>b86ac357-90ad-438d-9a71-f32066cdf0c6</errorID>
      <errorWord>（</errorWord>
      <group>L1_Punc</group>
      <groupName>标点问题</groupName>
      <ability>L2_Punc_CN</ability>
      <abilityName>标点符号问题</abilityName>
      <candidateList/>
      <explain>同一形式括号套用。</explain>
      <paraID>784445EC</paraID>
      <start>91</start>
      <end>92</end>
      <status>unmodified</status>
      <modifiedWord/>
      <trackRevisions>false</trackRevisions>
    </reviewItem>
    <reviewItem>
      <errorID>b0f95ab8-e9e3-4439-bb25-9cc0d60bef4d</errorID>
      <errorWord>）</errorWord>
      <group>L1_Punc</group>
      <groupName>标点问题</groupName>
      <ability>L2_Punc_CN</ability>
      <abilityName>标点符号问题</abilityName>
      <candidateList/>
      <explain>同一形式括号套用。</explain>
      <paraID>784445EC</paraID>
      <start>104</start>
      <end>105</end>
      <status>unmodified</status>
      <modifiedWord/>
      <trackRevisions>false</trackRevisions>
    </reviewItem>
    <reviewItem>
      <errorID>19b9728f-729f-44ed-84f1-c2956a84026a</errorID>
      <errorWord>（</errorWord>
      <group>L1_Punc</group>
      <groupName>标点问题</groupName>
      <ability>L2_Punc_CN</ability>
      <abilityName>标点符号问题</abilityName>
      <candidateList/>
      <explain>同一形式括号套用。</explain>
      <paraID>784445EC</paraID>
      <start>123</start>
      <end>124</end>
      <status>unmodified</status>
      <modifiedWord/>
      <trackRevisions>false</trackRevisions>
    </reviewItem>
    <reviewItem>
      <errorID>c7dbf265-c9b0-46cf-828b-76dba7835547</errorID>
      <errorWord>）</errorWord>
      <group>L1_Punc</group>
      <groupName>标点问题</groupName>
      <ability>L2_Punc_CN</ability>
      <abilityName>标点符号问题</abilityName>
      <candidateList/>
      <explain>同一形式括号套用。</explain>
      <paraID>784445EC</paraID>
      <start>136</start>
      <end>137</end>
      <status>unmodified</status>
      <modifiedWord/>
      <trackRevisions>false</trackRevisions>
    </reviewItem>
    <reviewItem>
      <errorID>48e43c77-b434-4c04-9bc8-b86cd6e46ed5</errorID>
      <errorWord>配套设计</errorWord>
      <group>L1_Grammar</group>
      <groupName>语法问题</groupName>
      <ability>L2_Grammar</ability>
      <abilityName>语法错误</abilityName>
      <candidateList>
        <item>配套</item>
      </candidateList>
      <explain/>
      <paraID>2E6B37C9</paraID>
      <start>0</start>
      <end>4</end>
      <status>unmodified</status>
      <modifiedWord/>
      <trackRevisions>false</trackRevisions>
    </reviewItem>
    <reviewItem>
      <errorID>0a404bd8-3638-4727-8787-a873a46c5b80</errorID>
      <errorWord>处理</errorWord>
      <group>L1_Word</group>
      <groupName>字词问题</groupName>
      <ability>L2_Typo</ability>
      <abilityName>字词错误</abilityName>
      <candidateList>
        <item>的</item>
      </candidateList>
      <explain/>
      <paraID>2E6B37C9</paraID>
      <start>9</start>
      <end>11</end>
      <status>unmodified</status>
      <modifiedWord/>
      <trackRevisions>false</trackRevisions>
    </reviewItem>
    <reviewItem>
      <errorID>5e10bcc6-1cb6-49db-a587-5daaff3faa10</errorID>
      <errorWord>，</errorWord>
      <group>L1_Punc</group>
      <groupName>标点问题</groupName>
      <ability>L2_Punc_CN</ability>
      <abilityName>标点符号问题</abilityName>
      <candidateList>
        <item>。</item>
      </candidateList>
      <explain/>
      <paraID>2E6B37C9</paraID>
      <start>24</start>
      <end>25</end>
      <status>unmodified</status>
      <modifiedWord/>
      <trackRevisions>false</trackRevisions>
    </reviewItem>
    <reviewItem>
      <errorID>d9222ba0-90f0-49f3-b803-5983f119dbb1</errorID>
      <errorWord>、</errorWord>
      <group>L1_Word</group>
      <groupName>字词问题</groupName>
      <ability>L2_Typo</ability>
      <abilityName>字词错误</abilityName>
      <candidateList>
        <item>且</item>
      </candidateList>
      <explain/>
      <paraID>75DB166B</paraID>
      <start>9</start>
      <end>10</end>
      <status>modified</status>
      <modifiedWord>且</modifiedWord>
      <trackRevisions>false</trackRevisions>
    </reviewItem>
    <reviewItem>
      <errorID>40717268-0596-4c19-9afb-5f55d8a03259</errorID>
      <errorWord>、</errorWord>
      <group>L1_Word</group>
      <groupName>字词问题</groupName>
      <ability>L2_Typo</ability>
      <abilityName>字词错误</abilityName>
      <candidateList>
        <item>且</item>
      </candidateList>
      <explain/>
      <paraID>3B3B1FD6</paraID>
      <start>9</start>
      <end>10</end>
      <status>modified</status>
      <modifiedWord>且</modifiedWord>
      <trackRevisions>false</trackRevisions>
    </reviewItem>
    <reviewItem>
      <errorID>b3b36432-a4cf-476b-8ab4-836fa9b30b2b</errorID>
      <errorWord>、</errorWord>
      <group>L1_Word</group>
      <groupName>字词问题</groupName>
      <ability>L2_Typo</ability>
      <abilityName>字词错误</abilityName>
      <candidateList>
        <item>且</item>
      </candidateList>
      <explain/>
      <paraID>391093FE</paraID>
      <start>11</start>
      <end>12</end>
      <status>modified</status>
      <modifiedWord>且</modifiedWord>
      <trackRevisions>false</trackRevisions>
    </reviewItem>
    <reviewItem>
      <errorID>f5ab9d75-7db7-4552-beec-3886645843f4</errorID>
      <errorWord>、</errorWord>
      <group>L1_Word</group>
      <groupName>字词问题</groupName>
      <ability>L2_Typo</ability>
      <abilityName>字词错误</abilityName>
      <candidateList>
        <item>且</item>
      </candidateList>
      <explain/>
      <paraID>731BD2C7</paraID>
      <start>11</start>
      <end>12</end>
      <status>modified</status>
      <modifiedWord>且</modifiedWord>
      <trackRevisions>false</trackRevisions>
    </reviewItem>
    <reviewItem>
      <errorID>8567269f-6cdf-4580-8c22-38310d99473f</errorID>
      <errorWord> </errorWord>
      <group>L1_Punc</group>
      <groupName>标点问题</groupName>
      <ability>L2_Punc_CN</ability>
      <abilityName>标点符号问题</abilityName>
      <candidateList>
        <item/>
      </candidateList>
      <explain>此处空格冗余，建议删除。</explain>
      <paraID>1F3D2051</paraID>
      <start>3</start>
      <end>3</end>
      <status>modified</status>
      <modifiedWord/>
      <trackRevisions>false</trackRevisions>
    </reviewItem>
    <reviewItem>
      <errorID>6629c2a7-9732-4da6-8ed7-aa2c4dcaeb66</errorID>
      <errorWord>扣除</errorWord>
      <group>L1_Punc</group>
      <groupName>标点问题</groupName>
      <ability>L2_Punc_CN</ability>
      <abilityName>标点符号问题</abilityName>
      <candidateList>
        <item>，扣除</item>
      </candidateList>
      <explain/>
      <paraID>1F3D2051</paraID>
      <start>87</start>
      <end>90</end>
      <status>modified</status>
      <modifiedWord>，扣除</modifiedWord>
      <trackRevisions>false</trackRevisions>
    </reviewItem>
    <reviewItem>
      <errorID>8181921e-b634-46ea-97b0-660bb257517c</errorID>
      <errorWord>干涉时</errorWord>
      <group>L1_Word</group>
      <groupName>字词问题</groupName>
      <ability>L2_Typo</ability>
      <abilityName>字词错误</abilityName>
      <candidateList>
        <item>干涉</item>
      </candidateList>
      <explain/>
      <paraID>3F1216DE</paraID>
      <start>19</start>
      <end>21</end>
      <status>modified</status>
      <modifiedWord>干涉</modifiedWord>
      <trackRevisions>false</trackRevisions>
    </reviewItem>
    <reviewItem>
      <errorID>e608c51c-808a-4b4d-8b75-c8cd77da3298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4487C273</paraID>
      <start>48</start>
      <end>49</end>
      <status>unmodified</status>
      <modifiedWord/>
      <trackRevisions>false</trackRevisions>
    </reviewItem>
    <reviewItem>
      <errorID>7e294e23-5721-4ce2-b545-a8cbaf2bd0be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28915DE</paraID>
      <start>48</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860DEF-2B0F-46EE-8F13-0190FA15FB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15</cp:revision>
  <dcterms:created xsi:type="dcterms:W3CDTF">2025-01-10T03:25:00Z</dcterms:created>
  <dcterms:modified xsi:type="dcterms:W3CDTF">2026-09-14T09:08:35Z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93CF3B0532A9576650619E6AC6106E2D_43</vt:lpwstr>
  </property>
  <property fmtid="{D5CDD505-2E9C-101B-9397-08002B2CF9AE}" pid="4" name="KSOTemplateDocerSaveRecord">
    <vt:lpwstr>eyJoZGlkIjoiNDNjNDNhODExMTU3M2YwZjIzYmVlOWRjMWNiODM5ZjAiLCJ1c2VySWQiOiIxMjk1Njk1OTc0In0=</vt:lpwstr>
  </property>
</Properties>
</file>