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60"/>
          <w:szCs w:val="60"/>
          <w:highlight w:val="none"/>
        </w:rPr>
      </w:pPr>
      <w:r/>
      <w:bookmarkStart w:id="0" w:name="OLE_LINK2"/>
      <w:r/>
      <w:bookmarkStart w:id="1" w:name="OLE_LINK1"/>
      <w:r>
        <w:rPr>
          <w:rFonts w:hint="eastAsia" w:ascii="宋体" w:hAnsi="宋体" w:cs="宋体"/>
          <w:color w:val="auto"/>
          <w:sz w:val="60"/>
          <w:szCs w:val="60"/>
          <w:highlight w:val="none"/>
        </w:rPr>
        <w:t xml:space="preserve">泰州市政府采购项目</w:t>
      </w:r>
      <w:bookmarkEnd w:id="0"/>
      <w:r/>
      <w:bookmarkEnd w:id="1"/>
      <w:r/>
      <w:r/>
    </w:p>
    <w:p>
      <w:pPr>
        <w:jc w:val="both"/>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6"/>
          <w:szCs w:val="36"/>
          <w:highlight w:val="none"/>
        </w:rPr>
      </w:pPr>
      <w:r/>
      <w:bookmarkStart w:id="2" w:name="_Toc28993"/>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jc w:val="center"/>
        <w:rPr>
          <w:rFonts w:hint="eastAsia" w:ascii="宋体" w:hAnsi="宋体" w:cs="宋体"/>
          <w:color w:val="auto"/>
          <w:sz w:val="40"/>
          <w:szCs w:val="40"/>
          <w:highlight w:val="none"/>
        </w:rPr>
      </w:pPr>
      <w:r>
        <w:rPr>
          <w:rFonts w:hint="eastAsia" w:ascii="宋体" w:hAnsi="宋体" w:cs="宋体"/>
          <w:color w:val="auto"/>
          <w:sz w:val="40"/>
          <w:szCs w:val="40"/>
          <w:highlight w:val="none"/>
        </w:rPr>
        <w:t xml:space="preserve">竞争性磋商采购文件</w:t>
      </w:r>
      <w:bookmarkEnd w:id="2"/>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t xml:space="preserve">（全流程电子化不见面开标）</w:t>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项目编号：JSZC-321200-TXJS-C2026-0023</w:t>
      </w:r>
      <w:r/>
    </w:p>
    <w:p>
      <w:pPr>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升级长江干流高港段禁渔视频监控系统</w:t>
      </w:r>
      <w:r/>
    </w:p>
    <w:p>
      <w:pPr>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采购单位：</w:t>
      </w:r>
      <w:r>
        <w:rPr>
          <w:rFonts w:hint="eastAsia" w:ascii="宋体" w:hAnsi="宋体" w:cs="宋体"/>
          <w:color w:val="auto"/>
          <w:sz w:val="30"/>
          <w:szCs w:val="30"/>
          <w:highlight w:val="none"/>
          <w:lang w:eastAsia="zh-CN"/>
        </w:rPr>
        <w:t xml:space="preserve">泰州市农业综合行政执法支队</w:t>
      </w:r>
      <w:r/>
    </w:p>
    <w:p>
      <w:pPr>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代理机构：</w:t>
      </w:r>
      <w:r>
        <w:rPr>
          <w:rFonts w:hint="eastAsia" w:ascii="宋体" w:hAnsi="宋体" w:cs="宋体"/>
          <w:color w:val="auto"/>
          <w:sz w:val="30"/>
          <w:szCs w:val="30"/>
          <w:highlight w:val="none"/>
          <w:lang w:eastAsia="zh-CN"/>
        </w:rPr>
        <w:t xml:space="preserve">江苏天信建设项目咨询有限公司</w:t>
      </w:r>
      <w:r/>
    </w:p>
    <w:p>
      <w:pPr>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2026年</w:t>
      </w:r>
      <w:r>
        <w:rPr>
          <w:rFonts w:hint="eastAsia" w:ascii="宋体" w:hAnsi="宋体" w:cs="宋体"/>
          <w:color w:val="auto"/>
          <w:sz w:val="30"/>
          <w:szCs w:val="30"/>
          <w:highlight w:val="none"/>
          <w:lang w:val="en-US" w:eastAsia="zh-CN"/>
        </w:rPr>
        <w:t xml:space="preserve">10</w:t>
      </w:r>
      <w:r>
        <w:rPr>
          <w:rFonts w:hint="eastAsia" w:ascii="宋体" w:hAnsi="宋体" w:cs="宋体"/>
          <w:color w:val="auto"/>
          <w:sz w:val="30"/>
          <w:szCs w:val="30"/>
          <w:highlight w:val="none"/>
        </w:rPr>
        <w:t xml:space="preserve">月</w:t>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sectPr>
          <w:headerReference w:type="even" r:id="rId8"/>
          <w:headerReference w:type="first" r:id="rId9"/>
          <w:footerReference w:type="even" r:id="rId10"/>
          <w:footerReference w:type="first" r:id="rId11"/>
          <w:footnotePr/>
          <w:endnotePr/>
          <w:type w:val="nextPage"/>
          <w:pgSz w:w="11906" w:h="16838" w:orient="portrait"/>
          <w:pgMar w:top="1440" w:right="1463" w:bottom="1440" w:left="1463" w:header="851" w:footer="992" w:gutter="0"/>
          <w:cols w:num="1" w:sep="0" w:space="720" w:equalWidth="1"/>
          <w:docGrid w:linePitch="360"/>
        </w:sectPr>
      </w:pPr>
      <w:r>
        <w:rPr>
          <w:rFonts w:hint="eastAsia" w:ascii="宋体" w:hAnsi="宋体" w:cs="宋体"/>
          <w:color w:val="auto"/>
          <w:sz w:val="44"/>
          <w:szCs w:val="44"/>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目  录</w:t>
      </w:r>
      <w:r/>
    </w:p>
    <w:p>
      <w:pPr>
        <w:pStyle w:val="987"/>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第一章  竞争性磋商采购公告</w:t>
      </w:r>
      <w:r/>
    </w:p>
    <w:p>
      <w:pPr>
        <w:pStyle w:val="987"/>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参加磋商供应商须知</w:t>
      </w:r>
      <w:r/>
    </w:p>
    <w:p>
      <w:pPr>
        <w:pStyle w:val="987"/>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合同条款及格式</w:t>
      </w:r>
      <w:r/>
    </w:p>
    <w:p>
      <w:pPr>
        <w:pStyle w:val="987"/>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项目需求</w:t>
      </w:r>
      <w:r/>
    </w:p>
    <w:p>
      <w:pPr>
        <w:pStyle w:val="987"/>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评审方法和评审标准</w:t>
      </w:r>
      <w:r/>
    </w:p>
    <w:p>
      <w:pPr>
        <w:pStyle w:val="987"/>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响应文件的组成和格式</w:t>
      </w:r>
      <w:r/>
    </w:p>
    <w:p>
      <w:pPr>
        <w:pStyle w:val="970"/>
        <w:keepNext w:val="0"/>
        <w:rPr>
          <w:rFonts w:hint="eastAsia" w:ascii="宋体" w:hAnsi="宋体" w:eastAsia="宋体" w:cs="宋体"/>
          <w:color w:val="auto"/>
          <w:sz w:val="32"/>
          <w:szCs w:val="32"/>
          <w:highlight w:val="none"/>
        </w:rPr>
        <w:sectPr>
          <w:footerReference w:type="default" r:id="rId12"/>
          <w:footnotePr/>
          <w:endnotePr/>
          <w:type w:val="nextPage"/>
          <w:pgSz w:w="11906" w:h="16838" w:orient="portrait"/>
          <w:pgMar w:top="1440" w:right="1463" w:bottom="1440" w:left="1463" w:header="851" w:footer="992" w:gutter="0"/>
          <w:pgNumType w:start="1"/>
          <w:cols w:num="1" w:sep="0" w:space="720" w:equalWidth="1"/>
          <w:docGrid w:linePitch="360"/>
        </w:sectPr>
      </w:pPr>
      <w:r/>
      <w:bookmarkStart w:id="3" w:name="_Toc24405"/>
      <w:r/>
      <w:bookmarkStart w:id="4" w:name="_Toc32147"/>
      <w:r/>
      <w:r/>
    </w:p>
    <w:p>
      <w:pPr>
        <w:pStyle w:val="970"/>
        <w:jc w:val="center"/>
        <w:keepNext w:val="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第一章 竞争性磋商</w:t>
      </w:r>
      <w:bookmarkStart w:id="5" w:name="二．报价方须知"/>
      <w:r/>
      <w:bookmarkEnd w:id="5"/>
      <w:r>
        <w:rPr>
          <w:rFonts w:hint="eastAsia" w:ascii="黑体" w:hAnsi="黑体" w:eastAsia="黑体" w:cs="黑体"/>
          <w:color w:val="auto"/>
          <w:sz w:val="32"/>
          <w:szCs w:val="32"/>
          <w:highlight w:val="none"/>
        </w:rPr>
        <w:t xml:space="preserve">采购公告</w:t>
      </w:r>
      <w:bookmarkEnd w:id="3"/>
      <w:r/>
      <w:bookmarkEnd w:id="4"/>
      <w:r/>
      <w:r/>
    </w:p>
    <w:p>
      <w:pPr>
        <w:rPr>
          <w:rFonts w:hint="eastAsia" w:ascii="宋体" w:hAnsi="宋体" w:cs="宋体"/>
          <w:color w:val="auto"/>
          <w:szCs w:val="21"/>
          <w:highlight w:val="none"/>
        </w:rPr>
        <w:pBdr>
          <w:top w:val="single" w:color="000000" w:sz="4" w:space="0"/>
          <w:left w:val="single" w:color="000000" w:sz="4" w:space="0"/>
          <w:bottom w:val="single" w:color="000000" w:sz="4" w:space="0"/>
          <w:right w:val="single" w:color="000000" w:sz="4" w:space="0"/>
        </w:pBdr>
      </w:pPr>
      <w:r/>
      <w:bookmarkStart w:id="6" w:name="_Toc35393798"/>
      <w:r/>
      <w:bookmarkStart w:id="7" w:name="_Toc28359012"/>
      <w:r/>
      <w:bookmarkStart w:id="8" w:name="_Toc35393629"/>
      <w:r/>
      <w:bookmarkStart w:id="9" w:name="_Toc28359089"/>
      <w:r>
        <w:rPr>
          <w:rFonts w:hint="eastAsia" w:ascii="宋体" w:hAnsi="宋体" w:cs="宋体"/>
          <w:b/>
          <w:bCs/>
          <w:color w:val="auto"/>
          <w:szCs w:val="21"/>
          <w:highlight w:val="none"/>
        </w:rPr>
        <w:t xml:space="preserve">项目概况</w:t>
      </w:r>
      <w:r/>
    </w:p>
    <w:p>
      <w:pPr>
        <w:ind w:firstLine="420"/>
        <w:rPr>
          <w:rFonts w:hint="eastAsia" w:ascii="宋体" w:hAnsi="宋体" w:cs="宋体"/>
          <w:color w:val="auto"/>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Cs w:val="21"/>
          <w:highlight w:val="none"/>
          <w:u w:val="single"/>
          <w:lang w:eastAsia="zh-CN"/>
        </w:rPr>
        <w:t xml:space="preserve">升级长江干流高港段禁渔视频监控系统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的潜在供应商可在</w:t>
      </w:r>
      <w:r>
        <w:rPr>
          <w:rFonts w:hint="eastAsia" w:ascii="宋体" w:hAnsi="宋体" w:cs="宋体"/>
          <w:color w:val="auto"/>
          <w:szCs w:val="21"/>
          <w:highlight w:val="none"/>
          <w:u w:val="single"/>
        </w:rPr>
        <w:t xml:space="preserve">江苏省政府采购“苏采云”系统</w:t>
      </w:r>
      <w:r>
        <w:rPr>
          <w:rFonts w:hint="eastAsia" w:ascii="宋体" w:hAnsi="宋体" w:cs="宋体"/>
          <w:color w:val="auto"/>
          <w:szCs w:val="21"/>
          <w:highlight w:val="none"/>
        </w:rPr>
        <w:t xml:space="preserve">自行免费下载采购文件，并于</w:t>
      </w:r>
      <w:r>
        <w:rPr>
          <w:rFonts w:hint="eastAsia" w:ascii="宋体" w:hAnsi="宋体" w:cs="宋体"/>
          <w:color w:val="auto"/>
          <w:szCs w:val="21"/>
          <w:highlight w:val="none"/>
          <w:u w:val="single"/>
        </w:rPr>
        <w:t xml:space="preserve">2026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10</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20</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9</w:t>
      </w:r>
      <w:r>
        <w:rPr>
          <w:rFonts w:hint="eastAsia" w:ascii="宋体" w:hAnsi="宋体" w:cs="宋体"/>
          <w:bCs/>
          <w:color w:val="auto"/>
          <w:szCs w:val="21"/>
          <w:highlight w:val="none"/>
          <w:u w:val="single"/>
        </w:rPr>
        <w:t xml:space="preserve">点00分</w:t>
      </w:r>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一、项目基本情况</w:t>
      </w:r>
      <w:bookmarkEnd w:id="6"/>
      <w:r/>
      <w:bookmarkEnd w:id="7"/>
      <w:r/>
      <w:bookmarkEnd w:id="8"/>
      <w:r/>
      <w:bookmarkEnd w:id="9"/>
      <w:r/>
      <w:r/>
    </w:p>
    <w:p>
      <w:pPr>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项目编号：</w:t>
      </w:r>
      <w:r>
        <w:rPr>
          <w:rFonts w:ascii="Segoe UI" w:hAnsi="Segoe UI" w:eastAsia="Segoe UI" w:cs="Segoe UI"/>
          <w:i w:val="0"/>
          <w:iCs w:val="0"/>
          <w:caps w:val="0"/>
          <w:spacing w:val="0"/>
          <w:sz w:val="21"/>
          <w:szCs w:val="21"/>
          <w:shd w:val="clear" w:color="auto" w:fill="ffffff"/>
        </w:rPr>
        <w:t xml:space="preserve">JSZC-321200-TXJS-C2026-0023</w:t>
      </w:r>
      <w:r>
        <w:rPr>
          <w:rFonts w:hint="eastAsia" w:ascii="宋体" w:hAnsi="宋体" w:cs="宋体"/>
          <w:color w:val="auto"/>
          <w:szCs w:val="21"/>
          <w:highlight w:val="none"/>
          <w:lang w:val="en-US" w:eastAsia="zh-CN"/>
        </w:rPr>
        <w:t xml:space="preserve"> </w:t>
      </w:r>
      <w:r/>
    </w:p>
    <w:p>
      <w:pPr>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lang w:eastAsia="zh-CN"/>
        </w:rPr>
        <w:t xml:space="preserve">升级长江干流高港段禁渔视频监控系统</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采购方式：竞争性磋商</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预算金额：</w:t>
      </w:r>
      <w:r>
        <w:rPr>
          <w:rFonts w:hint="eastAsia" w:ascii="宋体" w:hAnsi="宋体" w:cs="宋体"/>
          <w:color w:val="auto"/>
          <w:szCs w:val="21"/>
          <w:highlight w:val="none"/>
          <w:lang w:eastAsia="zh-CN"/>
        </w:rPr>
        <w:t xml:space="preserve">174</w:t>
      </w:r>
      <w:r>
        <w:rPr>
          <w:rFonts w:hint="eastAsia" w:ascii="宋体" w:hAnsi="宋体" w:cs="宋体"/>
          <w:color w:val="auto"/>
          <w:szCs w:val="21"/>
          <w:highlight w:val="none"/>
        </w:rPr>
        <w:t xml:space="preserve">万元</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最高限价：</w:t>
      </w:r>
      <w:r>
        <w:rPr>
          <w:rFonts w:hint="eastAsia" w:ascii="宋体" w:hAnsi="宋体" w:cs="宋体"/>
          <w:color w:val="auto"/>
          <w:szCs w:val="21"/>
          <w:highlight w:val="none"/>
          <w:lang w:eastAsia="zh-CN"/>
        </w:rPr>
        <w:t xml:space="preserve">174</w:t>
      </w:r>
      <w:r>
        <w:rPr>
          <w:rFonts w:hint="eastAsia" w:ascii="宋体" w:hAnsi="宋体" w:cs="宋体"/>
          <w:color w:val="auto"/>
          <w:szCs w:val="21"/>
          <w:highlight w:val="none"/>
        </w:rPr>
        <w:t xml:space="preserve">万元，报价不得超过采购项目最高限价金额，否则按无效响应处理</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采购需求：</w:t>
      </w:r>
      <w:r>
        <w:rPr>
          <w:rFonts w:hint="eastAsia" w:ascii="宋体" w:hAnsi="宋体" w:cs="宋体"/>
          <w:color w:val="auto"/>
          <w:szCs w:val="21"/>
          <w:highlight w:val="none"/>
          <w:lang w:eastAsia="zh-CN"/>
        </w:rPr>
        <w:t xml:space="preserve">为进一步强化长江禁渔执法监管，创新智能监管水平，根据《省政府办公厅关于坚定不移推进长江十年禁渔工作的实施意见》（苏政办发〔2024〕30号），拟采购符合要求的禁渔视频监控和语音喊话服务，并为</w:t>
      </w:r>
      <w:r>
        <w:rPr>
          <w:rFonts w:hint="eastAsia" w:ascii="宋体" w:hAnsi="宋体" w:cs="宋体"/>
          <w:color w:val="auto"/>
          <w:szCs w:val="21"/>
          <w:highlight w:val="none"/>
          <w:lang w:val="en-US" w:eastAsia="zh-CN"/>
        </w:rPr>
        <w:t xml:space="preserve">其</w:t>
      </w:r>
      <w:r>
        <w:rPr>
          <w:rFonts w:hint="eastAsia" w:ascii="宋体" w:hAnsi="宋体" w:cs="宋体"/>
          <w:color w:val="auto"/>
          <w:szCs w:val="21"/>
          <w:highlight w:val="none"/>
          <w:lang w:eastAsia="zh-CN"/>
        </w:rPr>
        <w:t xml:space="preserve">提供为期三年的运行保障服务。具体要求详见采购文件。</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合同履行期限：三年，自合同签订之日起</w:t>
      </w:r>
      <w:r>
        <w:rPr>
          <w:rFonts w:hint="eastAsia" w:ascii="宋体" w:hAnsi="宋体" w:cs="宋体"/>
          <w:color w:val="auto"/>
          <w:szCs w:val="21"/>
          <w:highlight w:val="none"/>
          <w:lang w:val="en-US" w:eastAsia="zh-CN"/>
        </w:rPr>
        <w:t xml:space="preserve">45</w:t>
      </w:r>
      <w:r>
        <w:rPr>
          <w:rFonts w:hint="eastAsia" w:ascii="宋体" w:hAnsi="宋体" w:cs="宋体"/>
          <w:color w:val="auto"/>
          <w:szCs w:val="21"/>
          <w:highlight w:val="none"/>
        </w:rPr>
        <w:t xml:space="preserve">日内提供符合要求的禁渔视频监控和语音喊话服务；自验收合格之日起提供三年的禁渔视频监控和语音喊话运行保障服务。</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本项目（是/否）接受联合体：否。</w:t>
      </w:r>
      <w:r/>
    </w:p>
    <w:p>
      <w:pPr>
        <w:ind w:firstLine="422"/>
        <w:rPr>
          <w:rFonts w:hint="eastAsia" w:ascii="宋体" w:hAnsi="宋体" w:cs="宋体"/>
          <w:b/>
          <w:color w:val="auto"/>
          <w:szCs w:val="21"/>
          <w:highlight w:val="none"/>
        </w:rPr>
      </w:pPr>
      <w:r/>
      <w:bookmarkStart w:id="10" w:name="_Toc28359013"/>
      <w:r/>
      <w:bookmarkStart w:id="11" w:name="_Toc35393799"/>
      <w:r/>
      <w:bookmarkStart w:id="12" w:name="_Toc28359090"/>
      <w:r/>
      <w:bookmarkStart w:id="13" w:name="_Toc35393630"/>
      <w:r>
        <w:rPr>
          <w:rFonts w:hint="eastAsia" w:ascii="宋体" w:hAnsi="宋体" w:cs="宋体"/>
          <w:b/>
          <w:color w:val="auto"/>
          <w:szCs w:val="21"/>
          <w:highlight w:val="none"/>
        </w:rPr>
        <w:t xml:space="preserve">二、申请人的资格要求</w:t>
      </w:r>
      <w:bookmarkEnd w:id="10"/>
      <w:r/>
      <w:bookmarkEnd w:id="11"/>
      <w:r/>
      <w:bookmarkEnd w:id="12"/>
      <w:r/>
      <w:bookmarkEnd w:id="13"/>
      <w:r/>
      <w:r/>
    </w:p>
    <w:p>
      <w:pPr>
        <w:ind w:firstLine="422"/>
        <w:rPr>
          <w:rFonts w:hint="eastAsia" w:ascii="宋体" w:hAnsi="宋体" w:cs="宋体"/>
          <w:color w:val="auto"/>
          <w:szCs w:val="21"/>
          <w:highlight w:val="none"/>
        </w:rPr>
      </w:pPr>
      <w:r/>
      <w:bookmarkStart w:id="14" w:name="_Toc35393800"/>
      <w:r/>
      <w:bookmarkStart w:id="15" w:name="_Toc28359014"/>
      <w:r/>
      <w:bookmarkStart w:id="16" w:name="_Toc28359091"/>
      <w:r/>
      <w:bookmarkStart w:id="17" w:name="_Toc35393631"/>
      <w:r>
        <w:rPr>
          <w:rFonts w:hint="eastAsia" w:ascii="宋体" w:hAnsi="宋体" w:cs="宋体"/>
          <w:color w:val="auto"/>
          <w:szCs w:val="21"/>
          <w:highlight w:val="none"/>
        </w:rPr>
        <w:t xml:space="preserve">（一）满足《中华人民共和国政府采购法》第二十二条规定：</w:t>
      </w:r>
      <w:r/>
    </w:p>
    <w:p>
      <w:pPr>
        <w:ind w:firstLine="422"/>
        <w:rPr>
          <w:rFonts w:hint="eastAsia" w:ascii="宋体" w:hAnsi="宋体" w:cs="宋体"/>
          <w:color w:val="auto"/>
          <w:szCs w:val="21"/>
          <w:highlight w:val="none"/>
        </w:rPr>
      </w:pPr>
      <w:r>
        <w:rPr>
          <w:rFonts w:hint="eastAsia" w:ascii="宋体" w:hAnsi="宋体" w:cs="宋体"/>
          <w:color w:val="auto"/>
          <w:szCs w:val="21"/>
          <w:highlight w:val="none"/>
        </w:rPr>
        <w:t xml:space="preserve">（1）法人或者其他组织的营业执照等证明文件，自然人的身份证明；</w:t>
      </w:r>
      <w:r/>
    </w:p>
    <w:p>
      <w:pPr>
        <w:ind w:firstLine="422"/>
        <w:rPr>
          <w:rFonts w:hint="eastAsia" w:ascii="宋体" w:hAnsi="宋体" w:cs="宋体"/>
          <w:color w:val="auto"/>
          <w:szCs w:val="21"/>
          <w:highlight w:val="none"/>
        </w:rPr>
      </w:pPr>
      <w:r>
        <w:rPr>
          <w:rFonts w:hint="eastAsia" w:ascii="宋体" w:hAnsi="宋体" w:cs="宋体"/>
          <w:color w:val="auto"/>
          <w:szCs w:val="21"/>
          <w:highlight w:val="none"/>
        </w:rPr>
        <w:t xml:space="preserve">（2）具有良好的商业信誉和健全的财务会计制度；</w:t>
      </w:r>
      <w:r/>
    </w:p>
    <w:p>
      <w:pPr>
        <w:ind w:firstLine="422"/>
        <w:rPr>
          <w:rFonts w:hint="eastAsia" w:ascii="宋体" w:hAnsi="宋体" w:cs="宋体"/>
          <w:color w:val="auto"/>
          <w:szCs w:val="21"/>
          <w:highlight w:val="none"/>
        </w:rPr>
      </w:pPr>
      <w:r>
        <w:rPr>
          <w:rFonts w:hint="eastAsia" w:ascii="宋体" w:hAnsi="宋体" w:cs="宋体"/>
          <w:color w:val="auto"/>
          <w:szCs w:val="21"/>
          <w:highlight w:val="none"/>
        </w:rPr>
        <w:t xml:space="preserve">（3）具有履行合同所必需的设备和专业技术能力；</w:t>
      </w:r>
      <w:r/>
    </w:p>
    <w:p>
      <w:pPr>
        <w:ind w:firstLine="422"/>
        <w:rPr>
          <w:rFonts w:hint="eastAsia" w:ascii="宋体" w:hAnsi="宋体" w:cs="宋体"/>
          <w:color w:val="auto"/>
          <w:szCs w:val="21"/>
          <w:highlight w:val="none"/>
        </w:rPr>
      </w:pPr>
      <w:r>
        <w:rPr>
          <w:rFonts w:hint="eastAsia" w:ascii="宋体" w:hAnsi="宋体" w:cs="宋体"/>
          <w:color w:val="auto"/>
          <w:szCs w:val="21"/>
          <w:highlight w:val="none"/>
        </w:rPr>
        <w:t xml:space="preserve">（4）有依法缴纳税收和社会保障资金的良好记录；</w:t>
      </w:r>
      <w:r/>
    </w:p>
    <w:p>
      <w:pPr>
        <w:ind w:firstLine="422"/>
        <w:rPr>
          <w:rFonts w:hint="eastAsia" w:ascii="宋体" w:hAnsi="宋体" w:cs="宋体"/>
          <w:color w:val="auto"/>
          <w:szCs w:val="21"/>
          <w:highlight w:val="none"/>
        </w:rPr>
      </w:pPr>
      <w:r>
        <w:rPr>
          <w:rFonts w:hint="eastAsia" w:ascii="宋体" w:hAnsi="宋体" w:cs="宋体"/>
          <w:color w:val="auto"/>
          <w:szCs w:val="21"/>
          <w:highlight w:val="none"/>
        </w:rPr>
        <w:t xml:space="preserve">（5）在参加政府采购活动三年内，在经营活动中没有重大违法记录；</w:t>
      </w:r>
      <w:r/>
    </w:p>
    <w:p>
      <w:pPr>
        <w:ind w:firstLine="422"/>
        <w:rPr>
          <w:rFonts w:hint="eastAsia" w:ascii="宋体" w:hAnsi="宋体" w:cs="宋体"/>
          <w:color w:val="auto"/>
          <w:szCs w:val="21"/>
          <w:highlight w:val="none"/>
        </w:rPr>
      </w:pPr>
      <w:r>
        <w:rPr>
          <w:rFonts w:hint="eastAsia" w:ascii="宋体" w:hAnsi="宋体" w:cs="宋体"/>
          <w:color w:val="auto"/>
          <w:szCs w:val="21"/>
          <w:highlight w:val="none"/>
        </w:rPr>
        <w:t xml:space="preserve">（6）法律、行政法规规定的其他条件。</w:t>
      </w:r>
      <w:r/>
    </w:p>
    <w:p>
      <w:pPr>
        <w:ind w:firstLine="422"/>
        <w:rPr>
          <w:rFonts w:hint="eastAsia"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1.本项目不专门面向中小微企业、监狱企业、残疾人福利性单位，对符合条件的小型和微型企业、残疾人福利单位、监狱企业给予10%的扣除价格，用扣除后的价格参与评审。本项目属于软件和信息技术服务业类，根据工信部等部委发布的《关于印发中小企业划型标准规定的通知》（工信部联企业〔2011〕300号），按照本次采购标的所属行业的划型标准，符合条件的中小企业应按照采购文件格式要求提供《中小企业声明函》。提交中小企业声明函并成交的，随成交公告一同公示。</w:t>
      </w:r>
      <w:r/>
    </w:p>
    <w:p>
      <w:pPr>
        <w:ind w:firstLine="422"/>
        <w:rPr>
          <w:rFonts w:hint="eastAsia" w:ascii="宋体" w:hAnsi="宋体" w:cs="宋体"/>
          <w:color w:val="auto"/>
          <w:szCs w:val="21"/>
          <w:highlight w:val="none"/>
        </w:rPr>
      </w:pPr>
      <w:r>
        <w:rPr>
          <w:rFonts w:hint="eastAsia" w:ascii="宋体" w:hAnsi="宋体" w:cs="宋体"/>
          <w:color w:val="auto"/>
          <w:szCs w:val="21"/>
          <w:highlight w:val="none"/>
        </w:rPr>
        <w:t xml:space="preserve">注：中小微企业以供应商填写的《中小企业声明函》为判定标准，残疾人福利性单位以供应商填写的《残疾人福利性单位声明函》为判定标准，监狱企业须供应商提供由省级以上监狱管理局、戒毒管理局（含新疆生产建设兵团）出具的属于监狱企业的证明文件，否则不予认定。</w:t>
      </w:r>
      <w:r/>
    </w:p>
    <w:p>
      <w:pPr>
        <w:ind w:firstLine="422"/>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r/>
    </w:p>
    <w:p>
      <w:pPr>
        <w:ind w:firstLine="422"/>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1.供应商须在中华人民共和国境内注册，具备有效的营业执照</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供应商为分支机构的须提供总公司出具的授权委托书</w:t>
      </w:r>
      <w:r>
        <w:rPr>
          <w:rFonts w:hint="eastAsia" w:ascii="宋体" w:hAnsi="宋体" w:cs="宋体"/>
          <w:color w:val="auto"/>
          <w:szCs w:val="21"/>
          <w:highlight w:val="none"/>
          <w:lang w:eastAsia="zh-CN"/>
        </w:rPr>
        <w:t xml:space="preserve">。</w:t>
      </w:r>
      <w:r/>
    </w:p>
    <w:p>
      <w:pPr>
        <w:ind w:firstLine="422"/>
        <w:rPr>
          <w:rFonts w:hint="eastAsia" w:ascii="宋体" w:hAnsi="宋体" w:cs="宋体"/>
          <w:color w:val="auto"/>
          <w:szCs w:val="21"/>
          <w:highlight w:val="none"/>
        </w:rPr>
      </w:pPr>
      <w:r>
        <w:rPr>
          <w:rFonts w:hint="eastAsia" w:ascii="宋体" w:hAnsi="宋体" w:cs="宋体"/>
          <w:color w:val="auto"/>
          <w:szCs w:val="21"/>
          <w:highlight w:val="none"/>
        </w:rPr>
        <w:t xml:space="preserve">注：根据银行、保险、石油石化、电力、电信等行业特殊情况及本项目特点，允许上述行业的分公司或分支机构参与本项目磋商，但同一集团公司的不同分公司或分支机构，不得同时参加本项目。</w:t>
      </w:r>
      <w:r/>
    </w:p>
    <w:p>
      <w:pPr>
        <w:ind w:firstLine="422"/>
        <w:rPr>
          <w:rFonts w:hint="eastAsia" w:ascii="宋体" w:hAnsi="宋体" w:cs="宋体"/>
          <w:color w:val="auto"/>
          <w:szCs w:val="21"/>
          <w:highlight w:val="none"/>
        </w:rPr>
      </w:pPr>
      <w:r>
        <w:rPr>
          <w:rFonts w:hint="eastAsia" w:ascii="宋体" w:hAnsi="宋体" w:cs="宋体"/>
          <w:color w:val="auto"/>
          <w:szCs w:val="21"/>
          <w:highlight w:val="none"/>
        </w:rPr>
        <w:t xml:space="preserve">（四）其他要求：</w:t>
      </w:r>
      <w:r/>
    </w:p>
    <w:p>
      <w:pPr>
        <w:ind w:firstLine="422"/>
        <w:rPr>
          <w:rFonts w:hint="eastAsia" w:ascii="宋体" w:hAnsi="宋体" w:cs="宋体"/>
          <w:color w:val="auto"/>
          <w:szCs w:val="21"/>
          <w:highlight w:val="none"/>
        </w:rPr>
      </w:pPr>
      <w:r>
        <w:rPr>
          <w:rFonts w:hint="eastAsia" w:ascii="宋体" w:hAnsi="宋体" w:cs="宋体"/>
          <w:color w:val="auto"/>
          <w:szCs w:val="21"/>
          <w:highlight w:val="none"/>
        </w:rPr>
        <w:t xml:space="preserve">1.供应商未被“信用中国”网站（www.creditchina.gov.cn）列入失信被执行人、重大税收违法失信主体、政府采购严重失信行为记录名单；</w:t>
      </w:r>
      <w:r/>
    </w:p>
    <w:p>
      <w:pPr>
        <w:ind w:firstLine="422"/>
        <w:rPr>
          <w:rFonts w:hint="eastAsia" w:ascii="宋体" w:hAnsi="宋体" w:cs="宋体"/>
          <w:color w:val="auto"/>
          <w:szCs w:val="21"/>
          <w:highlight w:val="none"/>
        </w:rPr>
      </w:pPr>
      <w:r>
        <w:rPr>
          <w:rFonts w:hint="eastAsia" w:ascii="宋体" w:hAnsi="宋体" w:cs="宋体"/>
          <w:color w:val="auto"/>
          <w:szCs w:val="21"/>
          <w:highlight w:val="none"/>
        </w:rPr>
        <w:t xml:space="preserve">2.除单一来源采购项目外，为采购项目提供整体设计、规范编制或者项目管理、监理、检测等服务的供应商，不得再参与该采购项目的其他采购活动；</w:t>
      </w:r>
      <w:r/>
    </w:p>
    <w:p>
      <w:pPr>
        <w:ind w:firstLine="422"/>
        <w:rPr>
          <w:rFonts w:hint="eastAsia" w:ascii="宋体" w:hAnsi="宋体" w:cs="宋体"/>
          <w:color w:val="auto"/>
          <w:szCs w:val="21"/>
          <w:highlight w:val="none"/>
        </w:rPr>
      </w:pPr>
      <w:r>
        <w:rPr>
          <w:rFonts w:hint="eastAsia" w:ascii="宋体" w:hAnsi="宋体" w:cs="宋体"/>
          <w:color w:val="auto"/>
          <w:szCs w:val="21"/>
          <w:highlight w:val="none"/>
        </w:rPr>
        <w:t xml:space="preserve">3.供应商单位负责人为同一人或者存在直接控股、管理关系的不同供应商，不得参加同一合同项下的采购活动。</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三、获取采购文件</w:t>
      </w:r>
      <w:bookmarkEnd w:id="14"/>
      <w:r/>
      <w:bookmarkEnd w:id="15"/>
      <w:r/>
      <w:bookmarkEnd w:id="16"/>
      <w:r/>
      <w:bookmarkEnd w:id="17"/>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时间：</w:t>
      </w:r>
      <w:bookmarkStart w:id="18" w:name="_Toc35393632"/>
      <w:r/>
      <w:bookmarkStart w:id="19" w:name="_Toc28359015"/>
      <w:r/>
      <w:bookmarkStart w:id="20" w:name="_Toc35393801"/>
      <w:r/>
      <w:bookmarkStart w:id="21" w:name="_Toc28359092"/>
      <w:r>
        <w:rPr>
          <w:rFonts w:ascii="宋体" w:hAnsi="宋体" w:cs="宋体"/>
          <w:color w:val="auto"/>
          <w:highlight w:val="none"/>
        </w:rPr>
        <w:t xml:space="preserve">自磋商采购公告发布之日起5个工作日</w:t>
      </w:r>
      <w:r>
        <w:rPr>
          <w:rFonts w:hint="eastAsia" w:ascii="宋体" w:hAnsi="宋体" w:cs="宋体"/>
          <w:color w:val="auto"/>
          <w:szCs w:val="21"/>
          <w:highlight w:val="none"/>
        </w:rPr>
        <w:t xml:space="preserve">；</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地点：江苏政府采购“苏采云”系统；</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方式：供应商完成注册并办理CA证书后登录“苏采云”政府采购一体化平台，选择本项目点击“我要参与”并下载本项目采购文件；</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售价：0.00元。</w:t>
      </w:r>
      <w:r/>
    </w:p>
    <w:p>
      <w:pPr>
        <w:ind w:firstLine="422"/>
        <w:rPr>
          <w:rFonts w:hint="eastAsia" w:ascii="宋体" w:hAnsi="宋体" w:cs="宋体"/>
          <w:b/>
          <w:color w:val="auto"/>
          <w:szCs w:val="21"/>
          <w:highlight w:val="none"/>
        </w:rPr>
      </w:pPr>
      <w:r>
        <w:rPr>
          <w:rFonts w:hint="eastAsia" w:ascii="宋体" w:hAnsi="宋体" w:cs="宋体"/>
          <w:b/>
          <w:color w:val="auto"/>
          <w:szCs w:val="21"/>
          <w:highlight w:val="none"/>
        </w:rPr>
        <w:t xml:space="preserve">四、响应文件提交</w:t>
      </w:r>
      <w:bookmarkEnd w:id="18"/>
      <w:r/>
      <w:bookmarkEnd w:id="19"/>
      <w:r/>
      <w:bookmarkEnd w:id="20"/>
      <w:r/>
      <w:bookmarkEnd w:id="21"/>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截止时间：2026年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点00分（北京时间）；</w:t>
      </w:r>
      <w:r/>
    </w:p>
    <w:p>
      <w:pPr>
        <w:ind w:firstLine="420"/>
        <w:rPr>
          <w:rFonts w:hint="eastAsia" w:ascii="宋体" w:hAnsi="宋体" w:cs="宋体"/>
          <w:bCs/>
          <w:color w:val="auto"/>
          <w:szCs w:val="21"/>
          <w:highlight w:val="none"/>
        </w:rPr>
      </w:pPr>
      <w:r>
        <w:rPr>
          <w:rFonts w:hint="eastAsia" w:ascii="宋体" w:hAnsi="宋体" w:cs="宋体"/>
          <w:color w:val="auto"/>
          <w:szCs w:val="21"/>
          <w:highlight w:val="none"/>
        </w:rPr>
        <w:t xml:space="preserve">地点：“苏采云”系统（网址：</w:t>
      </w:r>
      <w:bookmarkStart w:id="22" w:name="OLE_LINK38"/>
      <w:r/>
      <w:bookmarkStart w:id="23" w:name="OLE_LINK37"/>
      <w:r>
        <w:rPr>
          <w:rFonts w:hint="eastAsia" w:ascii="宋体" w:hAnsi="宋体" w:cs="宋体"/>
          <w:color w:val="auto"/>
          <w:szCs w:val="21"/>
          <w:highlight w:val="none"/>
        </w:rPr>
        <w:t xml:space="preserve">http://jszfcg.jsczt.cn/</w:t>
      </w:r>
      <w:bookmarkEnd w:id="22"/>
      <w:r/>
      <w:bookmarkEnd w:id="23"/>
      <w:r>
        <w:rPr>
          <w:rFonts w:hint="eastAsia" w:ascii="宋体" w:hAnsi="宋体" w:cs="宋体"/>
          <w:color w:val="auto"/>
          <w:szCs w:val="21"/>
          <w:highlight w:val="none"/>
        </w:rPr>
        <w:t xml:space="preserve">）。</w:t>
      </w:r>
      <w:r/>
    </w:p>
    <w:p>
      <w:pPr>
        <w:ind w:firstLine="422"/>
        <w:rPr>
          <w:rFonts w:hint="eastAsia" w:ascii="宋体" w:hAnsi="宋体" w:cs="宋体"/>
          <w:b/>
          <w:color w:val="auto"/>
          <w:szCs w:val="21"/>
          <w:highlight w:val="none"/>
        </w:rPr>
      </w:pPr>
      <w:r/>
      <w:bookmarkStart w:id="24" w:name="_Toc28359016"/>
      <w:r/>
      <w:bookmarkStart w:id="25" w:name="_Toc28359093"/>
      <w:r/>
      <w:bookmarkStart w:id="26" w:name="_Toc35393802"/>
      <w:r/>
      <w:bookmarkStart w:id="27" w:name="_Toc35393633"/>
      <w:r>
        <w:rPr>
          <w:rFonts w:hint="eastAsia" w:ascii="宋体" w:hAnsi="宋体" w:cs="宋体"/>
          <w:b/>
          <w:color w:val="auto"/>
          <w:szCs w:val="21"/>
          <w:highlight w:val="none"/>
        </w:rPr>
        <w:t xml:space="preserve">五、开启</w:t>
      </w:r>
      <w:bookmarkEnd w:id="24"/>
      <w:r/>
      <w:bookmarkEnd w:id="25"/>
      <w:r/>
      <w:bookmarkEnd w:id="26"/>
      <w:r/>
      <w:bookmarkEnd w:id="27"/>
      <w:r>
        <w:rPr>
          <w:rFonts w:hint="eastAsia" w:ascii="宋体" w:hAnsi="宋体" w:cs="宋体"/>
          <w:b/>
          <w:color w:val="auto"/>
          <w:szCs w:val="21"/>
          <w:highlight w:val="none"/>
        </w:rPr>
        <w:t xml:space="preserve">（开标时间）</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时间：2026年</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点00分（北京时间）；</w:t>
      </w:r>
      <w:r/>
    </w:p>
    <w:p>
      <w:pPr>
        <w:ind w:firstLine="420"/>
        <w:rPr>
          <w:rFonts w:hint="eastAsia" w:ascii="宋体" w:hAnsi="宋体" w:cs="宋体"/>
          <w:bCs/>
          <w:color w:val="auto"/>
          <w:szCs w:val="21"/>
          <w:highlight w:val="none"/>
        </w:rPr>
      </w:pPr>
      <w:r>
        <w:rPr>
          <w:rFonts w:hint="eastAsia" w:ascii="宋体" w:hAnsi="宋体" w:cs="宋体"/>
          <w:color w:val="auto"/>
          <w:szCs w:val="21"/>
          <w:highlight w:val="none"/>
        </w:rPr>
        <w:t xml:space="preserve">地点：“苏采云”系统（网址：http://jszfcg.jsczt.cn/）“开标大厅”。</w:t>
      </w:r>
      <w:r/>
    </w:p>
    <w:p>
      <w:pPr>
        <w:ind w:firstLine="422"/>
        <w:rPr>
          <w:rFonts w:hint="eastAsia" w:ascii="宋体" w:hAnsi="宋体" w:cs="宋体"/>
          <w:b/>
          <w:color w:val="auto"/>
          <w:szCs w:val="21"/>
          <w:highlight w:val="none"/>
        </w:rPr>
      </w:pPr>
      <w:r/>
      <w:bookmarkStart w:id="28" w:name="_Toc28359017"/>
      <w:r/>
      <w:bookmarkStart w:id="29" w:name="_Toc35393634"/>
      <w:r/>
      <w:bookmarkStart w:id="30" w:name="_Toc35393803"/>
      <w:r/>
      <w:bookmarkStart w:id="31" w:name="_Toc28359094"/>
      <w:r>
        <w:rPr>
          <w:rFonts w:hint="eastAsia" w:ascii="宋体" w:hAnsi="宋体" w:cs="宋体"/>
          <w:b/>
          <w:color w:val="auto"/>
          <w:szCs w:val="21"/>
          <w:highlight w:val="none"/>
        </w:rPr>
        <w:t xml:space="preserve">六、公告期限</w:t>
      </w:r>
      <w:bookmarkEnd w:id="28"/>
      <w:r/>
      <w:bookmarkEnd w:id="29"/>
      <w:r/>
      <w:bookmarkEnd w:id="30"/>
      <w:r/>
      <w:bookmarkEnd w:id="31"/>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自本公告发布之日起3个工作日。</w:t>
      </w:r>
      <w:r/>
    </w:p>
    <w:p>
      <w:pPr>
        <w:ind w:firstLine="422"/>
        <w:rPr>
          <w:rFonts w:hint="eastAsia" w:ascii="宋体" w:hAnsi="宋体" w:cs="宋体"/>
          <w:b/>
          <w:color w:val="auto"/>
          <w:szCs w:val="21"/>
          <w:highlight w:val="none"/>
        </w:rPr>
      </w:pPr>
      <w:r/>
      <w:bookmarkStart w:id="32" w:name="_Toc35393804"/>
      <w:r/>
      <w:bookmarkStart w:id="33" w:name="_Toc35393635"/>
      <w:r>
        <w:rPr>
          <w:rFonts w:hint="eastAsia" w:ascii="宋体" w:hAnsi="宋体" w:cs="宋体"/>
          <w:b/>
          <w:color w:val="auto"/>
          <w:szCs w:val="21"/>
          <w:highlight w:val="none"/>
        </w:rPr>
        <w:t xml:space="preserve">七、其他补充事宜</w:t>
      </w:r>
      <w:bookmarkEnd w:id="32"/>
      <w:r/>
      <w:bookmarkEnd w:id="33"/>
      <w:r/>
      <w:r/>
    </w:p>
    <w:p>
      <w:pPr>
        <w:contextualSpacing w:val="0"/>
        <w:ind w:firstLine="420"/>
        <w:jc w:val="left"/>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w:t>
      </w:r>
      <w:r>
        <w:rPr>
          <w:rFonts w:ascii="宋体" w:hAnsi="宋体" w:cs="宋体"/>
          <w:color w:val="auto"/>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hint="eastAsia" w:ascii="宋体" w:hAnsi="宋体" w:cs="宋体"/>
          <w:color w:val="auto"/>
          <w:szCs w:val="21"/>
          <w:highlight w:val="none"/>
        </w:rPr>
        <w:t xml:space="preserve">。</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2.本次招标的事项若存在变动或修改，敬请及时关注“江苏政府采购网”发布的更正公告。</w:t>
      </w:r>
      <w:r/>
    </w:p>
    <w:p>
      <w:pPr>
        <w:ind w:firstLine="420"/>
        <w:rPr>
          <w:rFonts w:hint="eastAsia" w:ascii="宋体" w:hAnsi="宋体" w:cs="宋体"/>
          <w:color w:val="auto"/>
          <w:szCs w:val="21"/>
          <w:highlight w:val="none"/>
        </w:rPr>
      </w:pPr>
      <w:r>
        <w:rPr>
          <w:rFonts w:ascii="宋体" w:hAnsi="宋体" w:cs="宋体"/>
          <w:color w:val="auto"/>
          <w:szCs w:val="21"/>
          <w:highlight w:val="none"/>
        </w:rPr>
        <w:t xml:space="preserve">3</w:t>
      </w:r>
      <w:r>
        <w:rPr>
          <w:rFonts w:hint="eastAsia" w:ascii="宋体" w:hAnsi="宋体" w:cs="宋体"/>
          <w:color w:val="auto"/>
          <w:szCs w:val="21"/>
          <w:highlight w:val="none"/>
        </w:rPr>
        <w:t xml:space="preserve">.</w:t>
      </w:r>
      <w:r>
        <w:rPr>
          <w:rFonts w:ascii="宋体" w:hAnsi="宋体" w:cs="宋体"/>
          <w:color w:val="auto"/>
          <w:szCs w:val="21"/>
          <w:highlight w:val="none"/>
        </w:rPr>
        <w:t xml:space="preserve">本次磋商不收取磋商保证金</w:t>
      </w:r>
      <w:r>
        <w:rPr>
          <w:rFonts w:hint="eastAsia" w:ascii="宋体" w:hAnsi="宋体" w:cs="宋体"/>
          <w:color w:val="auto"/>
          <w:szCs w:val="21"/>
          <w:highlight w:val="none"/>
        </w:rPr>
        <w:t xml:space="preserve">。</w:t>
      </w:r>
      <w:r/>
    </w:p>
    <w:p>
      <w:pPr>
        <w:ind w:firstLine="422"/>
        <w:rPr>
          <w:rFonts w:hint="eastAsia" w:ascii="宋体" w:hAnsi="宋体" w:cs="宋体"/>
          <w:b/>
          <w:color w:val="auto"/>
          <w:szCs w:val="21"/>
          <w:highlight w:val="none"/>
        </w:rPr>
      </w:pPr>
      <w:r/>
      <w:bookmarkStart w:id="34" w:name="_Toc28359095"/>
      <w:r/>
      <w:bookmarkStart w:id="35" w:name="_Toc35393636"/>
      <w:r/>
      <w:bookmarkStart w:id="36" w:name="_Toc28359018"/>
      <w:r/>
      <w:bookmarkStart w:id="37" w:name="_Toc35393805"/>
      <w:r>
        <w:rPr>
          <w:rFonts w:hint="eastAsia" w:ascii="宋体" w:hAnsi="宋体" w:cs="宋体"/>
          <w:b/>
          <w:color w:val="auto"/>
          <w:szCs w:val="21"/>
          <w:highlight w:val="none"/>
        </w:rPr>
        <w:t xml:space="preserve">八、凡对本次采购提出询问，请按以下方式联系</w:t>
      </w:r>
      <w:bookmarkEnd w:id="34"/>
      <w:r/>
      <w:bookmarkEnd w:id="35"/>
      <w:r/>
      <w:bookmarkEnd w:id="36"/>
      <w:r/>
      <w:bookmarkEnd w:id="37"/>
      <w:r/>
      <w:r/>
    </w:p>
    <w:p>
      <w:pPr>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1.采购单位：</w:t>
      </w:r>
      <w:r>
        <w:rPr>
          <w:rFonts w:hint="eastAsia" w:ascii="宋体" w:hAnsi="宋体" w:cs="宋体"/>
          <w:color w:val="auto"/>
          <w:szCs w:val="21"/>
          <w:highlight w:val="none"/>
          <w:lang w:eastAsia="zh-CN"/>
        </w:rPr>
        <w:t xml:space="preserve">泰州市农业综合行政执法支队</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地址：泰州市海陵区凤凰东路66号</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李</w:t>
      </w:r>
      <w:r>
        <w:rPr>
          <w:rFonts w:hint="eastAsia" w:ascii="宋体" w:hAnsi="宋体" w:eastAsia="宋体" w:cs="宋体"/>
          <w:color w:val="auto"/>
          <w:szCs w:val="21"/>
          <w:highlight w:val="none"/>
          <w:lang w:val="zh-CN" w:eastAsia="zh-CN"/>
        </w:rPr>
        <w:t xml:space="preserve">先生</w:t>
      </w:r>
      <w:r>
        <w:rPr>
          <w:rFonts w:hint="eastAsia" w:ascii="宋体" w:hAnsi="宋体" w:eastAsia="宋体" w:cs="宋体"/>
          <w:color w:val="auto"/>
          <w:szCs w:val="21"/>
          <w:highlight w:val="none"/>
        </w:rPr>
        <w:t xml:space="preserve">  </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联系电话：0523-86886316</w:t>
      </w:r>
      <w:r/>
    </w:p>
    <w:p>
      <w:pPr>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2.代理机构：</w:t>
      </w:r>
      <w:r>
        <w:rPr>
          <w:rFonts w:hint="eastAsia" w:ascii="宋体" w:hAnsi="宋体" w:cs="宋体"/>
          <w:color w:val="auto"/>
          <w:szCs w:val="21"/>
          <w:highlight w:val="none"/>
          <w:lang w:eastAsia="zh-CN"/>
        </w:rPr>
        <w:t xml:space="preserve">江苏天信建设项目咨询有限公司</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地址：泰州市凤凰西路168号1号楼210室</w:t>
      </w:r>
      <w:r/>
    </w:p>
    <w:p>
      <w:pPr>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余女士</w:t>
      </w:r>
      <w:r/>
    </w:p>
    <w:p>
      <w:pPr>
        <w:ind w:firstLine="42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联系电话：</w:t>
      </w:r>
      <w:bookmarkStart w:id="38" w:name="_Toc28359021"/>
      <w:r/>
      <w:bookmarkStart w:id="39" w:name="_Toc35393808"/>
      <w:r/>
      <w:bookmarkStart w:id="40" w:name="_Toc35393639"/>
      <w:r/>
      <w:bookmarkStart w:id="41" w:name="_Toc28359098"/>
      <w:r>
        <w:rPr>
          <w:rFonts w:hint="eastAsia" w:ascii="宋体" w:hAnsi="宋体" w:cs="宋体"/>
          <w:color w:val="auto"/>
          <w:szCs w:val="21"/>
          <w:highlight w:val="none"/>
          <w:lang w:val="en-US" w:eastAsia="zh-CN"/>
        </w:rPr>
        <w:t xml:space="preserve">17798565619</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bookmarkEnd w:id="38"/>
      <w:r/>
      <w:bookmarkEnd w:id="39"/>
      <w:r/>
      <w:bookmarkEnd w:id="40"/>
      <w:r/>
      <w:bookmarkEnd w:id="41"/>
      <w:r/>
      <w:r/>
    </w:p>
    <w:p>
      <w:pPr>
        <w:ind w:firstLine="42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余女士</w:t>
      </w:r>
      <w:r/>
    </w:p>
    <w:p>
      <w:pPr>
        <w:ind w:firstLine="420"/>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val="en-US" w:eastAsia="zh-CN"/>
        </w:rPr>
        <w:t xml:space="preserve">17798565619</w:t>
      </w:r>
      <w:r/>
    </w:p>
    <w:p>
      <w:pPr>
        <w:ind w:firstLine="420"/>
        <w:rPr>
          <w:rFonts w:hint="eastAsia" w:ascii="宋体" w:hAnsi="宋体" w:cs="宋体"/>
          <w:color w:val="auto"/>
          <w:highlight w:val="none"/>
        </w:rPr>
      </w:pPr>
      <w:r>
        <w:rPr>
          <w:rFonts w:hint="eastAsia" w:ascii="宋体" w:hAnsi="宋体" w:cs="宋体"/>
          <w:color w:val="auto"/>
          <w:highlight w:val="none"/>
        </w:rPr>
      </w:r>
      <w:r/>
    </w:p>
    <w:p>
      <w:pPr>
        <w:pStyle w:val="970"/>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clear="all"/>
      </w:r>
      <w:bookmarkStart w:id="42" w:name="_Toc11632"/>
      <w:r/>
      <w:bookmarkStart w:id="43" w:name="_Toc13715"/>
      <w:r>
        <w:rPr>
          <w:rFonts w:hint="eastAsia" w:ascii="黑体" w:hAnsi="黑体" w:eastAsia="黑体" w:cs="黑体"/>
          <w:color w:val="auto"/>
          <w:sz w:val="32"/>
          <w:szCs w:val="32"/>
          <w:highlight w:val="none"/>
        </w:rPr>
        <w:t xml:space="preserve">第二章 参加磋商供应商须知</w:t>
      </w:r>
      <w:bookmarkEnd w:id="42"/>
      <w:r/>
      <w:bookmarkEnd w:id="43"/>
      <w:r/>
      <w:r/>
    </w:p>
    <w:p>
      <w:pPr>
        <w:jc w:val="center"/>
        <w:rPr>
          <w:rFonts w:hint="eastAsia" w:ascii="宋体" w:hAnsi="宋体" w:cs="宋体"/>
          <w:b/>
          <w:color w:val="auto"/>
          <w:highlight w:val="none"/>
        </w:rPr>
      </w:pPr>
      <w:r>
        <w:rPr>
          <w:rFonts w:hint="eastAsia" w:ascii="宋体" w:hAnsi="宋体" w:cs="宋体"/>
          <w:color w:val="auto"/>
          <w:highlight w:val="none"/>
        </w:rPr>
        <w:t xml:space="preserve">（参加竞争性磋商的供应商以下简称“供应商”）</w:t>
      </w:r>
      <w:r/>
    </w:p>
    <w:tbl>
      <w:tblPr>
        <w:tblStyle w:val="753"/>
        <w:tblW w:w="9518" w:type="dxa"/>
        <w:tblInd w:w="0" w:type="dxa"/>
        <w:tblLayout w:type="fixed"/>
        <w:tblCellMar>
          <w:left w:w="108" w:type="dxa"/>
          <w:top w:w="0" w:type="dxa"/>
          <w:right w:w="108" w:type="dxa"/>
          <w:bottom w:w="0" w:type="dxa"/>
        </w:tblCellMar>
        <w:tblLook w:val="04A0" w:firstRow="1" w:lastRow="0" w:firstColumn="1" w:lastColumn="0" w:noHBand="0" w:noVBand="1"/>
      </w:tblPr>
      <w:tblGrid>
        <w:gridCol w:w="706"/>
        <w:gridCol w:w="8812"/>
      </w:tblGrid>
      <w:tr>
        <w:trPr>
          <w:trHeight w:val="551"/>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jc w:val="center"/>
              <w:spacing w:line="400" w:lineRule="atLeast"/>
              <w:rPr>
                <w:rFonts w:hint="eastAsia" w:ascii="宋体" w:hAnsi="宋体" w:cs="宋体"/>
                <w:color w:val="auto"/>
                <w:szCs w:val="21"/>
                <w:highlight w:val="none"/>
              </w:rPr>
            </w:pPr>
            <w:r>
              <w:rPr>
                <w:rFonts w:hint="eastAsia" w:ascii="宋体" w:hAnsi="宋体" w:cs="宋体"/>
                <w:b/>
                <w:bCs/>
                <w:color w:val="auto"/>
                <w:szCs w:val="21"/>
                <w:highlight w:val="none"/>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jc w:val="center"/>
              <w:spacing w:line="400" w:lineRule="atLeast"/>
              <w:rPr>
                <w:rFonts w:hint="eastAsia" w:ascii="宋体" w:hAnsi="宋体" w:cs="宋体"/>
                <w:color w:val="auto"/>
                <w:szCs w:val="21"/>
                <w:highlight w:val="none"/>
              </w:rPr>
            </w:pPr>
            <w:r>
              <w:rPr>
                <w:rFonts w:hint="eastAsia" w:ascii="宋体" w:hAnsi="宋体" w:cs="宋体"/>
                <w:b/>
                <w:bCs/>
                <w:color w:val="auto"/>
                <w:szCs w:val="21"/>
                <w:highlight w:val="none"/>
                <w:lang w:val="zh-CN"/>
              </w:rPr>
              <w:t xml:space="preserve">内容</w:t>
            </w:r>
            <w:r/>
          </w:p>
        </w:tc>
      </w:tr>
      <w:tr>
        <w:trPr>
          <w:trHeight w:val="765"/>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jc w:val="center"/>
              <w:spacing w:line="400" w:lineRule="atLeast"/>
              <w:rPr>
                <w:rFonts w:hint="eastAsia" w:ascii="宋体" w:hAnsi="宋体" w:cs="宋体"/>
                <w:color w:val="auto"/>
                <w:szCs w:val="21"/>
                <w:highlight w:val="none"/>
              </w:rPr>
            </w:pPr>
            <w:r>
              <w:rPr>
                <w:rFonts w:hint="eastAsia" w:ascii="宋体" w:hAnsi="宋体" w:cs="宋体"/>
                <w:color w:val="auto"/>
                <w:szCs w:val="21"/>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lang w:val="zh-CN"/>
              </w:rPr>
              <w:t xml:space="preserve">项目名称：升级长江干流高港段禁渔视频监控系统</w:t>
            </w:r>
            <w:r/>
          </w:p>
          <w:p>
            <w:pPr>
              <w:rPr>
                <w:rFonts w:hint="eastAsia" w:ascii="宋体" w:hAnsi="宋体" w:cs="宋体"/>
                <w:color w:val="auto"/>
                <w:szCs w:val="21"/>
                <w:highlight w:val="none"/>
              </w:rPr>
            </w:pPr>
            <w:r>
              <w:rPr>
                <w:rFonts w:hint="eastAsia" w:ascii="宋体" w:hAnsi="宋体" w:cs="宋体"/>
                <w:color w:val="auto"/>
                <w:szCs w:val="21"/>
                <w:highlight w:val="none"/>
                <w:lang w:val="zh-CN"/>
              </w:rPr>
              <w:t xml:space="preserve">项目编号：</w:t>
            </w:r>
            <w:r>
              <w:rPr>
                <w:rFonts w:ascii="Segoe UI" w:hAnsi="Segoe UI" w:eastAsia="Segoe UI" w:cs="Segoe UI"/>
                <w:i w:val="0"/>
                <w:iCs w:val="0"/>
                <w:caps w:val="0"/>
                <w:spacing w:val="0"/>
                <w:sz w:val="21"/>
                <w:szCs w:val="21"/>
                <w:shd w:val="clear" w:color="auto" w:fill="ffffff"/>
              </w:rPr>
              <w:t xml:space="preserve">JSZC-321200-TXJS-C2026-0023</w:t>
            </w:r>
            <w:r/>
          </w:p>
        </w:tc>
      </w:tr>
      <w:tr>
        <w:trPr>
          <w:trHeight w:val="891"/>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ind w:right="102"/>
              <w:jc w:val="center"/>
              <w:spacing w:line="400" w:lineRule="atLeast"/>
              <w:rPr>
                <w:rFonts w:hint="eastAsia" w:ascii="宋体" w:hAnsi="宋体" w:cs="宋体"/>
                <w:color w:val="auto"/>
                <w:szCs w:val="21"/>
                <w:highlight w:val="none"/>
              </w:rPr>
            </w:pPr>
            <w:r>
              <w:rPr>
                <w:rFonts w:hint="eastAsia" w:ascii="宋体" w:hAnsi="宋体" w:cs="宋体"/>
                <w:color w:val="auto"/>
                <w:szCs w:val="21"/>
                <w:highlight w:val="none"/>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zh-CN"/>
              </w:rPr>
              <w:t xml:space="preserve">采购机构：</w:t>
            </w:r>
            <w:r>
              <w:rPr>
                <w:rFonts w:hint="eastAsia" w:ascii="宋体" w:hAnsi="宋体" w:cs="宋体"/>
                <w:color w:val="auto"/>
                <w:szCs w:val="21"/>
                <w:highlight w:val="none"/>
                <w:lang w:eastAsia="zh-CN"/>
              </w:rPr>
              <w:t xml:space="preserve">泰州市农业综合行政执法支队</w:t>
            </w:r>
            <w:r/>
          </w:p>
          <w:p>
            <w:pPr>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机构：</w:t>
            </w:r>
            <w:r>
              <w:rPr>
                <w:rFonts w:hint="eastAsia" w:ascii="宋体" w:hAnsi="宋体" w:cs="宋体"/>
                <w:color w:val="auto"/>
                <w:szCs w:val="21"/>
                <w:highlight w:val="none"/>
                <w:lang w:eastAsia="zh-CN"/>
              </w:rPr>
              <w:t xml:space="preserve">江苏天信建设项目咨询有限公司</w:t>
            </w:r>
            <w:r>
              <w:rPr>
                <w:rFonts w:hint="eastAsia" w:ascii="宋体" w:hAnsi="宋体" w:cs="宋体"/>
                <w:color w:val="auto"/>
                <w:szCs w:val="21"/>
                <w:highlight w:val="none"/>
                <w:lang w:val="zh-CN"/>
              </w:rPr>
              <w:t xml:space="preserve">（以下简称</w:t>
            </w:r>
            <w:r>
              <w:rPr>
                <w:rFonts w:hint="eastAsia" w:ascii="宋体" w:hAnsi="宋体" w:cs="宋体"/>
                <w:color w:val="auto"/>
                <w:szCs w:val="21"/>
                <w:highlight w:val="none"/>
              </w:rPr>
              <w:t xml:space="preserve">代理机构</w:t>
            </w:r>
            <w:r>
              <w:rPr>
                <w:rFonts w:hint="eastAsia" w:ascii="宋体" w:hAnsi="宋体" w:cs="宋体"/>
                <w:color w:val="auto"/>
                <w:szCs w:val="21"/>
                <w:highlight w:val="none"/>
                <w:lang w:val="zh-CN"/>
              </w:rPr>
              <w:t xml:space="preserve">）</w:t>
            </w:r>
            <w:r/>
          </w:p>
        </w:tc>
      </w:tr>
      <w:tr>
        <w:trPr>
          <w:trHeight w:val="582"/>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ind w:right="102"/>
              <w:jc w:val="center"/>
              <w:spacing w:line="400" w:lineRule="atLeast"/>
              <w:rPr>
                <w:rFonts w:hint="eastAsia" w:ascii="宋体" w:hAnsi="宋体" w:cs="宋体"/>
                <w:color w:val="auto"/>
                <w:szCs w:val="21"/>
                <w:highlight w:val="none"/>
              </w:rPr>
            </w:pPr>
            <w:r>
              <w:rPr>
                <w:rFonts w:hint="eastAsia" w:ascii="宋体" w:hAnsi="宋体" w:cs="宋体"/>
                <w:color w:val="auto"/>
                <w:szCs w:val="21"/>
                <w:highlight w:val="none"/>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采购文件发放：自公告发布之日起5个工作日</w:t>
            </w:r>
            <w:r/>
          </w:p>
        </w:tc>
      </w:tr>
      <w:tr>
        <w:trPr>
          <w:trHeight w:val="603"/>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本项目最高限价：174万元</w:t>
            </w:r>
            <w:r/>
          </w:p>
        </w:tc>
      </w:tr>
      <w:tr>
        <w:trPr>
          <w:trHeight w:val="539"/>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jc w:val="center"/>
              <w:spacing w:line="400" w:lineRule="atLeast"/>
              <w:rPr>
                <w:rFonts w:hint="eastAsia" w:ascii="宋体" w:hAnsi="宋体" w:cs="宋体"/>
                <w:color w:val="auto"/>
                <w:szCs w:val="21"/>
                <w:highlight w:val="none"/>
              </w:rPr>
            </w:pPr>
            <w:r>
              <w:rPr>
                <w:rFonts w:hint="eastAsia" w:ascii="宋体" w:hAnsi="宋体" w:cs="宋体"/>
                <w:color w:val="auto"/>
                <w:szCs w:val="21"/>
                <w:highlight w:val="none"/>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spacing w:line="264" w:lineRule="atLeast"/>
              <w:rPr>
                <w:rFonts w:hint="eastAsia" w:ascii="宋体" w:hAnsi="宋体" w:cs="宋体"/>
                <w:color w:val="auto"/>
                <w:szCs w:val="21"/>
                <w:highlight w:val="none"/>
              </w:rPr>
            </w:pPr>
            <w:r>
              <w:rPr>
                <w:rFonts w:hint="eastAsia" w:ascii="宋体" w:hAnsi="宋体" w:cs="宋体"/>
                <w:color w:val="auto"/>
                <w:szCs w:val="21"/>
                <w:highlight w:val="none"/>
                <w:lang w:val="zh-CN"/>
              </w:rPr>
              <w:t xml:space="preserve">磋商有效期：开标后</w:t>
            </w:r>
            <w:r>
              <w:rPr>
                <w:rFonts w:hint="eastAsia" w:ascii="宋体" w:hAnsi="宋体" w:cs="宋体"/>
                <w:color w:val="auto"/>
                <w:szCs w:val="21"/>
                <w:highlight w:val="none"/>
              </w:rPr>
              <w:t xml:space="preserve">九十</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90</w:t>
            </w:r>
            <w:r>
              <w:rPr>
                <w:rFonts w:hint="eastAsia" w:ascii="宋体" w:hAnsi="宋体" w:cs="宋体"/>
                <w:b/>
                <w:bCs/>
                <w:color w:val="auto"/>
                <w:szCs w:val="21"/>
                <w:highlight w:val="none"/>
                <w:lang w:val="zh-CN"/>
              </w:rPr>
              <w:t xml:space="preserve">)</w:t>
            </w:r>
            <w:r>
              <w:rPr>
                <w:rFonts w:hint="eastAsia" w:ascii="宋体" w:hAnsi="宋体" w:cs="宋体"/>
                <w:color w:val="auto"/>
                <w:szCs w:val="21"/>
                <w:highlight w:val="none"/>
                <w:lang w:val="zh-CN"/>
              </w:rPr>
              <w:t xml:space="preserve">天</w:t>
            </w:r>
            <w:r/>
          </w:p>
        </w:tc>
      </w:tr>
      <w:tr>
        <w:trPr>
          <w:trHeight w:val="478"/>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jc w:val="center"/>
              <w:spacing w:line="400" w:lineRule="atLeast"/>
              <w:rPr>
                <w:rFonts w:hint="eastAsia" w:ascii="宋体" w:hAnsi="宋体" w:cs="宋体"/>
                <w:color w:val="auto"/>
                <w:szCs w:val="21"/>
                <w:highlight w:val="none"/>
              </w:rPr>
            </w:pPr>
            <w:r>
              <w:rPr>
                <w:rFonts w:ascii="宋体" w:hAnsi="宋体" w:cs="宋体"/>
                <w:color w:val="auto"/>
                <w:szCs w:val="21"/>
                <w:highlight w:val="none"/>
                <w:lang w:val="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spacing w:line="264" w:lineRule="atLeast"/>
              <w:rPr>
                <w:rFonts w:hint="eastAsia" w:ascii="宋体" w:hAnsi="宋体" w:cs="宋体"/>
                <w:color w:val="auto"/>
                <w:szCs w:val="21"/>
                <w:highlight w:val="none"/>
              </w:rPr>
            </w:pPr>
            <w:r>
              <w:rPr>
                <w:rFonts w:hint="eastAsia" w:ascii="宋体" w:hAnsi="宋体" w:cs="宋体"/>
                <w:color w:val="auto"/>
                <w:szCs w:val="21"/>
                <w:highlight w:val="none"/>
                <w:lang w:val="zh-CN"/>
              </w:rPr>
              <w:t xml:space="preserve">签订合同地点：由采购人指定</w:t>
            </w:r>
            <w:r/>
          </w:p>
        </w:tc>
      </w:tr>
      <w:tr>
        <w:trPr>
          <w:trHeight w:val="612"/>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jc w:val="center"/>
              <w:spacing w:line="400" w:lineRule="atLeast"/>
              <w:rPr>
                <w:rFonts w:hint="eastAsia" w:ascii="宋体" w:hAnsi="宋体" w:cs="宋体"/>
                <w:color w:val="auto"/>
                <w:szCs w:val="21"/>
                <w:highlight w:val="none"/>
              </w:rPr>
            </w:pPr>
            <w:r>
              <w:rPr>
                <w:rFonts w:ascii="宋体" w:hAnsi="宋体" w:cs="宋体"/>
                <w:color w:val="auto"/>
                <w:szCs w:val="21"/>
                <w:highlight w:val="none"/>
                <w:lang w:val="zh-CN"/>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lang w:val="zh-CN"/>
              </w:rPr>
              <w:t xml:space="preserve">本项目不收取</w:t>
            </w:r>
            <w:r>
              <w:rPr>
                <w:rFonts w:ascii="宋体" w:hAnsi="宋体" w:cs="宋体"/>
                <w:color w:val="auto"/>
                <w:szCs w:val="21"/>
                <w:highlight w:val="none"/>
                <w:lang w:val="zh-CN"/>
              </w:rPr>
              <w:t xml:space="preserve">履约保证金</w:t>
            </w:r>
            <w:r/>
          </w:p>
        </w:tc>
      </w:tr>
      <w:tr>
        <w:trPr>
          <w:trHeight w:val="685"/>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jc w:val="center"/>
              <w:spacing w:line="400" w:lineRule="atLeast"/>
              <w:rPr>
                <w:rFonts w:hint="eastAsia" w:ascii="宋体" w:hAnsi="宋体" w:cs="宋体"/>
                <w:color w:val="auto"/>
                <w:szCs w:val="21"/>
                <w:highlight w:val="none"/>
              </w:rPr>
            </w:pPr>
            <w:r>
              <w:rPr>
                <w:rFonts w:ascii="宋体" w:hAnsi="宋体" w:cs="宋体"/>
                <w:color w:val="auto"/>
                <w:szCs w:val="21"/>
                <w:highlight w:val="none"/>
                <w:lang w:val="zh-CN"/>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采购代理费按照苏政采【2024】20号文的</w:t>
            </w:r>
            <w:r>
              <w:rPr>
                <w:rFonts w:hint="eastAsia" w:ascii="宋体" w:hAnsi="宋体" w:cs="宋体"/>
                <w:color w:val="auto"/>
                <w:szCs w:val="21"/>
                <w:highlight w:val="none"/>
                <w:lang w:val="en-US" w:eastAsia="zh-CN"/>
              </w:rPr>
              <w:t xml:space="preserve">80%计取，超过20000元按20000元支付</w:t>
            </w:r>
            <w:r>
              <w:rPr>
                <w:rFonts w:hint="eastAsia" w:ascii="宋体" w:hAnsi="宋体" w:cs="宋体"/>
                <w:color w:val="auto"/>
                <w:szCs w:val="21"/>
                <w:highlight w:val="none"/>
                <w:lang w:val="zh-CN"/>
              </w:rPr>
              <w:t xml:space="preserve">，此费用由采购人支付；</w:t>
            </w:r>
            <w:r/>
          </w:p>
          <w:p>
            <w:pPr>
              <w:rPr>
                <w:rFonts w:hint="eastAsia" w:ascii="宋体" w:hAnsi="宋体" w:cs="宋体"/>
                <w:color w:val="auto"/>
                <w:szCs w:val="21"/>
                <w:highlight w:val="none"/>
              </w:rPr>
            </w:pPr>
            <w:r>
              <w:rPr>
                <w:rFonts w:hint="eastAsia" w:ascii="宋体" w:hAnsi="宋体" w:cs="宋体"/>
                <w:color w:val="auto"/>
                <w:szCs w:val="21"/>
                <w:highlight w:val="none"/>
                <w:lang w:val="zh-CN"/>
              </w:rPr>
              <w:t xml:space="preserve">费用结算基数：按成交金额为基数。</w:t>
            </w:r>
            <w:r/>
          </w:p>
        </w:tc>
      </w:tr>
      <w:tr>
        <w:trPr>
          <w:trHeight w:val="685"/>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jc w:val="center"/>
              <w:spacing w:line="400" w:lineRule="atLeas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9</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jc w:val="left"/>
              <w:rPr>
                <w:rFonts w:hint="eastAsia" w:ascii="宋体" w:hAnsi="宋体" w:cs="宋体"/>
                <w:color w:val="auto"/>
                <w:szCs w:val="21"/>
                <w:highlight w:val="none"/>
                <w:lang w:val="zh-CN"/>
              </w:rPr>
            </w:pPr>
            <w:r>
              <w:rPr>
                <w:rFonts w:ascii="宋体" w:hAnsi="宋体" w:cs="宋体"/>
                <w:color w:val="auto"/>
                <w:szCs w:val="21"/>
                <w:highlight w:val="none"/>
                <w:lang w:val="zh-CN"/>
              </w:rPr>
              <w:t xml:space="preserve">投标供应商成交后提供纸质版响应文件一正一副，送至代理公司或邮寄至</w:t>
            </w:r>
            <w:r>
              <w:rPr>
                <w:rFonts w:hint="eastAsia" w:ascii="宋体" w:hAnsi="宋体" w:cs="宋体"/>
                <w:color w:val="auto"/>
                <w:szCs w:val="21"/>
                <w:highlight w:val="none"/>
                <w:lang w:val="zh-CN"/>
              </w:rPr>
              <w:t xml:space="preserve">江苏天信建设项目咨询有限公司</w:t>
            </w:r>
            <w:r>
              <w:rPr>
                <w:rFonts w:ascii="宋体" w:hAnsi="宋体" w:cs="宋体"/>
                <w:color w:val="auto"/>
                <w:szCs w:val="21"/>
                <w:highlight w:val="none"/>
                <w:lang w:val="zh-CN"/>
              </w:rPr>
              <w:t xml:space="preserve">（地址：</w:t>
            </w:r>
            <w:r>
              <w:rPr>
                <w:rFonts w:hint="eastAsia" w:ascii="宋体" w:hAnsi="宋体" w:cs="宋体"/>
                <w:color w:val="auto"/>
                <w:szCs w:val="21"/>
                <w:highlight w:val="none"/>
                <w:lang w:val="zh-CN"/>
              </w:rPr>
              <w:t xml:space="preserve">泰州市凤凰西路168号1号楼210室</w:t>
            </w:r>
            <w:r>
              <w:rPr>
                <w:rFonts w:ascii="宋体" w:hAnsi="宋体" w:cs="宋体"/>
                <w:color w:val="auto"/>
                <w:szCs w:val="21"/>
                <w:highlight w:val="none"/>
                <w:lang w:val="zh-CN"/>
              </w:rPr>
              <w:t xml:space="preserve">，联系人：</w:t>
            </w:r>
            <w:r>
              <w:rPr>
                <w:rFonts w:hint="eastAsia" w:ascii="宋体" w:hAnsi="宋体" w:cs="宋体"/>
                <w:color w:val="auto"/>
                <w:szCs w:val="21"/>
                <w:highlight w:val="none"/>
                <w:lang w:val="zh-CN"/>
              </w:rPr>
              <w:t xml:space="preserve">余女士</w:t>
            </w:r>
            <w:r>
              <w:rPr>
                <w:rFonts w:ascii="宋体" w:hAnsi="宋体" w:cs="宋体"/>
                <w:color w:val="auto"/>
                <w:szCs w:val="21"/>
                <w:highlight w:val="none"/>
                <w:lang w:val="zh-CN"/>
              </w:rPr>
              <w:t xml:space="preserve">，电话：</w:t>
            </w:r>
            <w:r>
              <w:rPr>
                <w:rFonts w:hint="eastAsia" w:ascii="宋体" w:hAnsi="宋体" w:cs="宋体"/>
                <w:color w:val="auto"/>
                <w:szCs w:val="21"/>
                <w:highlight w:val="none"/>
                <w:lang w:val="en-US" w:eastAsia="zh-CN"/>
              </w:rPr>
              <w:t xml:space="preserve">17798565619</w:t>
            </w:r>
            <w:r>
              <w:rPr>
                <w:rFonts w:ascii="宋体" w:hAnsi="宋体" w:cs="宋体"/>
                <w:color w:val="auto"/>
                <w:szCs w:val="21"/>
                <w:highlight w:val="none"/>
                <w:lang w:val="zh-CN"/>
              </w:rPr>
              <w:t xml:space="preserve">）。</w:t>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706" w:type="dxa"/>
            <w:vAlign w:val="center"/>
            <w:textDirection w:val="lrTb"/>
            <w:noWrap w:val="false"/>
          </w:tcPr>
          <w:p>
            <w:pPr>
              <w:jc w:val="center"/>
              <w:spacing w:before="120" w:after="120"/>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shd w:val="clear" w:color="000000" w:fill="ffffff"/>
            <w:tcBorders>
              <w:top w:val="single" w:color="000000" w:sz="2" w:space="0"/>
              <w:left w:val="single" w:color="000000" w:sz="2" w:space="0"/>
              <w:bottom w:val="single" w:color="000000" w:sz="2" w:space="0"/>
              <w:right w:val="single" w:color="000000" w:sz="2" w:space="0"/>
            </w:tcBorders>
            <w:tcW w:w="8812" w:type="dxa"/>
            <w:vAlign w:val="center"/>
            <w:textDirection w:val="lrTb"/>
            <w:noWrap w:val="false"/>
          </w:tcPr>
          <w:p>
            <w:pPr>
              <w:spacing w:before="120" w:after="120"/>
              <w:rPr>
                <w:rFonts w:hint="eastAsia" w:ascii="宋体" w:hAnsi="宋体" w:cs="宋体"/>
                <w:color w:val="auto"/>
                <w:szCs w:val="21"/>
                <w:highlight w:val="none"/>
              </w:rPr>
            </w:pPr>
            <w:r>
              <w:rPr>
                <w:rFonts w:hint="eastAsia" w:ascii="宋体" w:hAnsi="宋体" w:cs="宋体"/>
                <w:color w:val="auto"/>
                <w:szCs w:val="21"/>
                <w:highlight w:val="none"/>
                <w:lang w:val="zh-CN"/>
              </w:rPr>
              <w:t xml:space="preserve">不管磋商结果如何，</w:t>
            </w:r>
            <w:r>
              <w:rPr>
                <w:color w:val="auto"/>
                <w:szCs w:val="21"/>
                <w:highlight w:val="none"/>
              </w:rPr>
              <w:t xml:space="preserve">磋商</w:t>
            </w:r>
            <w:r>
              <w:rPr>
                <w:rFonts w:hint="eastAsia" w:ascii="宋体" w:hAnsi="宋体" w:cs="宋体"/>
                <w:color w:val="auto"/>
                <w:szCs w:val="21"/>
                <w:highlight w:val="none"/>
                <w:lang w:val="zh-CN"/>
              </w:rPr>
              <w:t xml:space="preserve">供应商均应自行承担磋商所需一切费用。</w:t>
            </w:r>
            <w:r/>
          </w:p>
        </w:tc>
      </w:tr>
    </w:tbl>
    <w:p>
      <w:pPr>
        <w:ind w:firstLine="422"/>
        <w:rPr>
          <w:rFonts w:hint="eastAsia" w:ascii="宋体" w:hAnsi="宋体" w:cs="宋体"/>
          <w:b/>
          <w:bCs/>
          <w:color w:val="auto"/>
          <w:highlight w:val="none"/>
        </w:rPr>
      </w:pPr>
      <w:r>
        <w:rPr>
          <w:rFonts w:hint="eastAsia" w:ascii="宋体" w:hAnsi="宋体" w:cs="宋体"/>
          <w:b/>
          <w:bCs/>
          <w:color w:val="auto"/>
          <w:highlight w:val="none"/>
        </w:rPr>
        <w:t xml:space="preserve">一、总则</w:t>
      </w:r>
      <w:r/>
    </w:p>
    <w:p>
      <w:pPr>
        <w:ind w:firstLine="420"/>
        <w:rPr>
          <w:rFonts w:hint="eastAsia" w:ascii="宋体" w:hAnsi="宋体" w:cs="宋体"/>
          <w:color w:val="auto"/>
          <w:highlight w:val="none"/>
        </w:rPr>
      </w:pPr>
      <w:r>
        <w:rPr>
          <w:rFonts w:hint="eastAsia" w:ascii="宋体" w:hAnsi="宋体" w:cs="宋体"/>
          <w:color w:val="auto"/>
          <w:highlight w:val="none"/>
        </w:rPr>
        <w:t xml:space="preserve">1.适用范围</w:t>
      </w:r>
      <w:r>
        <w:rPr>
          <w:rFonts w:hint="eastAsia" w:ascii="宋体" w:hAnsi="宋体" w:cs="宋体"/>
          <w:color w:val="auto"/>
          <w:highlight w:val="none"/>
        </w:rPr>
        <w:tab/>
      </w:r>
      <w:r/>
    </w:p>
    <w:p>
      <w:pPr>
        <w:ind w:firstLine="420"/>
        <w:rPr>
          <w:rFonts w:hint="eastAsia" w:ascii="宋体" w:hAnsi="宋体" w:cs="宋体"/>
          <w:color w:val="auto"/>
          <w:highlight w:val="none"/>
        </w:rPr>
      </w:pPr>
      <w:r>
        <w:rPr>
          <w:rFonts w:hint="eastAsia" w:ascii="宋体" w:hAnsi="宋体" w:cs="宋体"/>
          <w:color w:val="auto"/>
          <w:highlight w:val="none"/>
        </w:rPr>
        <w:t xml:space="preserve">本采购文件仅适用于</w:t>
      </w:r>
      <w:r>
        <w:rPr>
          <w:rFonts w:hint="eastAsia" w:ascii="宋体" w:hAnsi="宋体" w:cs="宋体"/>
          <w:color w:val="auto"/>
          <w:szCs w:val="21"/>
          <w:highlight w:val="none"/>
          <w:lang w:eastAsia="zh-CN"/>
        </w:rPr>
        <w:t xml:space="preserve">升级长江干流高港段禁渔视频监控系统</w:t>
      </w:r>
      <w:r>
        <w:rPr>
          <w:rFonts w:hint="eastAsia" w:ascii="宋体" w:hAnsi="宋体" w:cs="宋体"/>
          <w:color w:val="auto"/>
          <w:highlight w:val="none"/>
        </w:rPr>
        <w:t xml:space="preserve">。</w:t>
      </w:r>
      <w:r/>
    </w:p>
    <w:p>
      <w:pPr>
        <w:ind w:firstLine="420"/>
        <w:rPr>
          <w:rFonts w:hint="eastAsia" w:ascii="宋体" w:hAnsi="宋体" w:cs="宋体"/>
          <w:color w:val="auto"/>
          <w:highlight w:val="none"/>
        </w:rPr>
      </w:pPr>
      <w:r>
        <w:rPr>
          <w:rFonts w:hint="eastAsia" w:ascii="宋体" w:hAnsi="宋体" w:cs="宋体"/>
          <w:color w:val="auto"/>
          <w:highlight w:val="none"/>
        </w:rPr>
        <w:t xml:space="preserve">2.项目采购方式</w:t>
      </w:r>
      <w:r/>
    </w:p>
    <w:p>
      <w:pPr>
        <w:ind w:firstLine="420"/>
        <w:rPr>
          <w:rFonts w:hint="eastAsia" w:ascii="宋体" w:hAnsi="宋体" w:cs="宋体"/>
          <w:color w:val="auto"/>
          <w:highlight w:val="none"/>
        </w:rPr>
      </w:pPr>
      <w:r>
        <w:rPr>
          <w:rFonts w:hint="eastAsia" w:ascii="宋体" w:hAnsi="宋体" w:cs="宋体"/>
          <w:color w:val="auto"/>
          <w:highlight w:val="none"/>
        </w:rPr>
        <w:t xml:space="preserve">本次采购采取竞争性磋商的方式。</w:t>
      </w:r>
      <w:r/>
    </w:p>
    <w:p>
      <w:pPr>
        <w:ind w:firstLine="420"/>
        <w:rPr>
          <w:rFonts w:hint="eastAsia" w:ascii="宋体" w:hAnsi="宋体" w:cs="宋体"/>
          <w:color w:val="auto"/>
          <w:highlight w:val="none"/>
        </w:rPr>
      </w:pPr>
      <w:r>
        <w:rPr>
          <w:rFonts w:hint="eastAsia" w:ascii="宋体" w:hAnsi="宋体" w:cs="宋体"/>
          <w:color w:val="auto"/>
          <w:highlight w:val="none"/>
        </w:rPr>
        <w:t xml:space="preserve">3.合格的供应商</w:t>
      </w:r>
      <w:r/>
    </w:p>
    <w:p>
      <w:pPr>
        <w:ind w:firstLine="420"/>
        <w:rPr>
          <w:rFonts w:hint="eastAsia" w:ascii="宋体" w:hAnsi="宋体" w:cs="宋体"/>
          <w:color w:val="auto"/>
          <w:highlight w:val="none"/>
        </w:rPr>
      </w:pPr>
      <w:r>
        <w:rPr>
          <w:rFonts w:hint="eastAsia" w:ascii="宋体" w:hAnsi="宋体" w:cs="宋体"/>
          <w:color w:val="auto"/>
          <w:highlight w:val="none"/>
        </w:rPr>
        <w:t xml:space="preserve">3.1满足本采购文件“竞争性磋商采购公告”中申请人的资格要求的规定。</w:t>
      </w:r>
      <w:r/>
    </w:p>
    <w:p>
      <w:pPr>
        <w:ind w:firstLine="420"/>
        <w:rPr>
          <w:rFonts w:hint="eastAsia" w:ascii="宋体" w:hAnsi="宋体" w:cs="宋体"/>
          <w:color w:val="auto"/>
          <w:highlight w:val="none"/>
        </w:rPr>
      </w:pPr>
      <w:r>
        <w:rPr>
          <w:rFonts w:hint="eastAsia" w:ascii="宋体" w:hAnsi="宋体" w:cs="宋体"/>
          <w:color w:val="auto"/>
          <w:highlight w:val="none"/>
        </w:rPr>
        <w:t xml:space="preserve">3.2满足本采购文件实质性要求和条件的规定。</w:t>
      </w:r>
      <w:r/>
    </w:p>
    <w:p>
      <w:pPr>
        <w:ind w:firstLine="420"/>
        <w:rPr>
          <w:rFonts w:hint="eastAsia" w:ascii="宋体" w:hAnsi="宋体" w:cs="宋体"/>
          <w:color w:val="auto"/>
          <w:highlight w:val="none"/>
        </w:rPr>
      </w:pPr>
      <w:r>
        <w:rPr>
          <w:rFonts w:hint="eastAsia" w:ascii="宋体" w:hAnsi="宋体" w:cs="宋体"/>
          <w:color w:val="auto"/>
          <w:highlight w:val="none"/>
        </w:rPr>
        <w:t xml:space="preserve">4.参加磋商费用</w:t>
      </w:r>
      <w:r/>
    </w:p>
    <w:p>
      <w:pPr>
        <w:ind w:firstLine="420"/>
        <w:rPr>
          <w:rFonts w:hint="eastAsia" w:ascii="宋体" w:hAnsi="宋体" w:cs="宋体"/>
          <w:color w:val="auto"/>
          <w:highlight w:val="none"/>
        </w:rPr>
      </w:pPr>
      <w:r>
        <w:rPr>
          <w:rFonts w:hint="eastAsia" w:ascii="宋体" w:hAnsi="宋体" w:cs="宋体"/>
          <w:color w:val="auto"/>
          <w:highlight w:val="none"/>
        </w:rPr>
        <w:t xml:space="preserve">参加磋商供应商应自行承担所有与参加磋商有关的费用。不论最终的成交结果如何，采购人和代理机构在任何情况下均无义务和责任承担这些费用。</w:t>
      </w:r>
      <w:r/>
    </w:p>
    <w:p>
      <w:pPr>
        <w:ind w:firstLine="420"/>
        <w:rPr>
          <w:rFonts w:hint="eastAsia" w:ascii="宋体" w:hAnsi="宋体" w:cs="宋体"/>
          <w:color w:val="auto"/>
          <w:highlight w:val="none"/>
        </w:rPr>
      </w:pPr>
      <w:r>
        <w:rPr>
          <w:rFonts w:hint="eastAsia" w:ascii="宋体" w:hAnsi="宋体" w:cs="宋体"/>
          <w:color w:val="auto"/>
          <w:highlight w:val="none"/>
        </w:rPr>
        <w:t xml:space="preserve">5.采购文件的约束力</w:t>
      </w:r>
      <w:r/>
    </w:p>
    <w:p>
      <w:pPr>
        <w:ind w:firstLine="420"/>
        <w:rPr>
          <w:rFonts w:hint="eastAsia" w:ascii="宋体" w:hAnsi="宋体" w:cs="宋体"/>
          <w:color w:val="auto"/>
          <w:highlight w:val="none"/>
        </w:rPr>
      </w:pPr>
      <w:r>
        <w:rPr>
          <w:rFonts w:hint="eastAsia" w:ascii="宋体" w:hAnsi="宋体" w:cs="宋体"/>
          <w:color w:val="auto"/>
          <w:highlight w:val="none"/>
        </w:rPr>
        <w:t xml:space="preserve">供应商一旦领取了本采购文件并决定参加磋商，即被视为接受了本采购文件的规定和约束，并且视为自竞争性磋商公告期限届满之日起已经知道或应当知道自身权益是否受到了损害。</w:t>
      </w:r>
      <w:r/>
    </w:p>
    <w:p>
      <w:pPr>
        <w:ind w:firstLine="420"/>
        <w:rPr>
          <w:rFonts w:hint="eastAsia" w:ascii="宋体" w:hAnsi="宋体" w:cs="宋体"/>
          <w:color w:val="auto"/>
          <w:highlight w:val="none"/>
        </w:rPr>
      </w:pPr>
      <w:r>
        <w:rPr>
          <w:rFonts w:hint="eastAsia" w:ascii="宋体" w:hAnsi="宋体" w:cs="宋体"/>
          <w:color w:val="auto"/>
          <w:highlight w:val="none"/>
        </w:rPr>
        <w:t xml:space="preserve">6</w:t>
      </w:r>
      <w:bookmarkStart w:id="44" w:name="_Toc20823283"/>
      <w:r/>
      <w:bookmarkStart w:id="45" w:name="_Toc16938527"/>
      <w:r/>
      <w:bookmarkStart w:id="46" w:name="_Toc462564070"/>
      <w:r/>
      <w:bookmarkStart w:id="47" w:name="_Toc513029211"/>
      <w:r>
        <w:rPr>
          <w:rFonts w:hint="eastAsia" w:ascii="宋体" w:hAnsi="宋体" w:cs="宋体"/>
          <w:color w:val="auto"/>
          <w:highlight w:val="none"/>
        </w:rPr>
        <w:t xml:space="preserve">.采购文件的澄清</w:t>
      </w:r>
      <w:bookmarkEnd w:id="44"/>
      <w:r/>
      <w:bookmarkEnd w:id="45"/>
      <w:r/>
      <w:bookmarkEnd w:id="46"/>
      <w:r/>
      <w:bookmarkEnd w:id="47"/>
      <w:r>
        <w:rPr>
          <w:rFonts w:hint="eastAsia" w:ascii="宋体" w:hAnsi="宋体" w:cs="宋体"/>
          <w:color w:val="auto"/>
          <w:highlight w:val="none"/>
        </w:rPr>
        <w:t xml:space="preserve">及修改</w:t>
      </w:r>
      <w:r/>
    </w:p>
    <w:p>
      <w:pPr>
        <w:ind w:firstLine="420"/>
        <w:rPr>
          <w:rFonts w:hint="eastAsia" w:ascii="宋体" w:hAnsi="宋体" w:cs="宋体"/>
          <w:color w:val="auto"/>
          <w:highlight w:val="none"/>
        </w:rPr>
      </w:pPr>
      <w:r>
        <w:rPr>
          <w:rFonts w:hint="eastAsia" w:ascii="宋体" w:hAnsi="宋体" w:cs="宋体"/>
          <w:color w:val="auto"/>
          <w:highlight w:val="none"/>
        </w:rPr>
        <w:t xml:space="preserve">6.1任何要求对采购文件进行澄清的供应商，均应在法律法规规定的质疑时效内按竞争性磋商采购公告中的通讯地址，以书面形式通知代理机构，（以代理机构实际收到供应商相关文件为准）。提交首次响应文件截止之日前，代理机构可以对已发出的采购文件进行必要的澄清或者修改，澄清或者修改的内容作为采购文件的组成部分。澄清或者修改的内容可能影响响应文件编制的，代理机构将在提交首次响应文件截止时间至少5日前，以书面形式通知所有获取采购文件的供应商。不足5日的，代理机构顺延提交首次响应文件截止时间。</w:t>
      </w:r>
      <w:r/>
    </w:p>
    <w:p>
      <w:pPr>
        <w:ind w:firstLine="420"/>
        <w:rPr>
          <w:rFonts w:hint="eastAsia" w:ascii="宋体" w:hAnsi="宋体" w:cs="宋体"/>
          <w:color w:val="auto"/>
          <w:highlight w:val="none"/>
        </w:rPr>
      </w:pPr>
      <w:r>
        <w:rPr>
          <w:rFonts w:hint="eastAsia" w:ascii="宋体" w:hAnsi="宋体" w:cs="宋体"/>
          <w:color w:val="auto"/>
          <w:highlight w:val="none"/>
        </w:rPr>
        <w:t xml:space="preserve">6.2代理机构不组织供应商进行现场考察或召开磋商前答疑会。</w:t>
      </w:r>
      <w:r/>
    </w:p>
    <w:p>
      <w:pPr>
        <w:ind w:firstLine="420"/>
        <w:rPr>
          <w:rFonts w:hint="eastAsia" w:ascii="宋体" w:hAnsi="宋体" w:cs="宋体"/>
          <w:color w:val="auto"/>
          <w:highlight w:val="none"/>
        </w:rPr>
      </w:pPr>
      <w:r>
        <w:rPr>
          <w:rFonts w:hint="eastAsia" w:ascii="宋体" w:hAnsi="宋体" w:cs="宋体"/>
          <w:color w:val="auto"/>
          <w:highlight w:val="none"/>
        </w:rPr>
        <w:t xml:space="preserve">7.合同形式：固定单价合同</w:t>
      </w:r>
      <w:r/>
    </w:p>
    <w:p>
      <w:pPr>
        <w:ind w:firstLine="422"/>
        <w:rPr>
          <w:rFonts w:hint="eastAsia" w:ascii="宋体" w:hAnsi="宋体" w:cs="宋体"/>
          <w:b/>
          <w:bCs/>
          <w:color w:val="auto"/>
          <w:highlight w:val="none"/>
        </w:rPr>
      </w:pPr>
      <w:r/>
      <w:bookmarkStart w:id="48" w:name="_Toc61149553"/>
      <w:r/>
      <w:bookmarkStart w:id="49" w:name="_Toc462564072"/>
      <w:r/>
      <w:bookmarkStart w:id="50" w:name="_Toc513029213"/>
      <w:r/>
      <w:bookmarkStart w:id="51" w:name="_Toc14577351"/>
      <w:r>
        <w:rPr>
          <w:rFonts w:hint="eastAsia" w:ascii="宋体" w:hAnsi="宋体" w:cs="宋体"/>
          <w:b/>
          <w:bCs/>
          <w:color w:val="auto"/>
          <w:highlight w:val="none"/>
        </w:rPr>
        <w:t xml:space="preserve">二、磋商响应文件的编制</w:t>
      </w:r>
      <w:bookmarkEnd w:id="48"/>
      <w:r/>
      <w:bookmarkEnd w:id="49"/>
      <w:r/>
      <w:bookmarkEnd w:id="50"/>
      <w:r/>
      <w:bookmarkEnd w:id="51"/>
      <w:r>
        <w:rPr>
          <w:rFonts w:hint="eastAsia" w:ascii="宋体" w:hAnsi="宋体" w:cs="宋体"/>
          <w:b/>
          <w:bCs/>
          <w:color w:val="auto"/>
          <w:highlight w:val="none"/>
        </w:rPr>
        <w:t xml:space="preserve">及保证金收取</w:t>
      </w:r>
      <w:r/>
    </w:p>
    <w:p>
      <w:pPr>
        <w:ind w:firstLine="420"/>
        <w:rPr>
          <w:rFonts w:hint="eastAsia" w:ascii="宋体" w:hAnsi="宋体" w:cs="宋体"/>
          <w:color w:val="auto"/>
          <w:highlight w:val="none"/>
        </w:rPr>
      </w:pPr>
      <w:r/>
      <w:bookmarkStart w:id="52" w:name="_Hlt26954834"/>
      <w:r/>
      <w:bookmarkEnd w:id="52"/>
      <w:r/>
      <w:bookmarkStart w:id="53" w:name="_Toc14577353"/>
      <w:r/>
      <w:bookmarkStart w:id="54" w:name="_Toc462564074"/>
      <w:r/>
      <w:bookmarkStart w:id="55" w:name="_Toc61149555"/>
      <w:r/>
      <w:bookmarkStart w:id="56" w:name="_Toc513029215"/>
      <w:r/>
      <w:bookmarkStart w:id="57" w:name="_Toc462564073"/>
      <w:r/>
      <w:bookmarkStart w:id="58" w:name="_Toc513029214"/>
      <w:r/>
      <w:bookmarkStart w:id="59" w:name="_Toc61149554"/>
      <w:r/>
      <w:bookmarkStart w:id="60" w:name="_Toc14577352"/>
      <w:r>
        <w:rPr>
          <w:rFonts w:hint="eastAsia" w:ascii="宋体" w:hAnsi="宋体" w:cs="宋体"/>
          <w:color w:val="auto"/>
          <w:highlight w:val="none"/>
        </w:rPr>
        <w:t xml:space="preserve">1.响应文件</w:t>
      </w:r>
      <w:bookmarkEnd w:id="53"/>
      <w:r/>
      <w:bookmarkEnd w:id="54"/>
      <w:r/>
      <w:bookmarkEnd w:id="55"/>
      <w:r/>
      <w:bookmarkEnd w:id="56"/>
      <w:r>
        <w:rPr>
          <w:rFonts w:hint="eastAsia" w:ascii="宋体" w:hAnsi="宋体" w:cs="宋体"/>
          <w:color w:val="auto"/>
          <w:highlight w:val="none"/>
        </w:rPr>
        <w:t xml:space="preserve">编制要求</w:t>
      </w:r>
      <w:r/>
    </w:p>
    <w:p>
      <w:pPr>
        <w:ind w:firstLine="420"/>
        <w:rPr>
          <w:rFonts w:hint="eastAsia" w:ascii="宋体" w:hAnsi="宋体" w:cs="宋体"/>
          <w:color w:val="auto"/>
          <w:highlight w:val="none"/>
        </w:rPr>
      </w:pPr>
      <w:r>
        <w:rPr>
          <w:rFonts w:hint="eastAsia" w:ascii="宋体" w:hAnsi="宋体" w:cs="宋体"/>
          <w:color w:val="auto"/>
          <w:highlight w:val="none"/>
        </w:rPr>
        <w:t xml:space="preserve">1.1供应商提交的响应文件以及其与代理机构及采购人就有关磋商的所有来往函电均应使用简体中文。采购文件中既有中文也有外文的，以中文意义为准。</w:t>
      </w:r>
      <w:r/>
    </w:p>
    <w:p>
      <w:pPr>
        <w:ind w:firstLine="420"/>
        <w:rPr>
          <w:rFonts w:hint="eastAsia" w:ascii="宋体" w:hAnsi="宋体" w:cs="宋体"/>
          <w:color w:val="auto"/>
          <w:highlight w:val="none"/>
        </w:rPr>
      </w:pPr>
      <w:r>
        <w:rPr>
          <w:rFonts w:hint="eastAsia" w:ascii="宋体" w:hAnsi="宋体" w:cs="宋体"/>
          <w:color w:val="auto"/>
          <w:highlight w:val="none"/>
        </w:rPr>
        <w:t xml:space="preserve">1.2除技术性能另有规定外，响应文件所使用的度量衡单位，均须采用国家法定计量单位。</w:t>
      </w:r>
      <w:bookmarkEnd w:id="57"/>
      <w:r/>
      <w:bookmarkEnd w:id="58"/>
      <w:r/>
      <w:bookmarkEnd w:id="59"/>
      <w:r/>
      <w:bookmarkEnd w:id="60"/>
      <w:r/>
      <w:r/>
    </w:p>
    <w:p>
      <w:pPr>
        <w:ind w:firstLine="420"/>
        <w:rPr>
          <w:rFonts w:hint="eastAsia" w:ascii="宋体" w:hAnsi="宋体" w:cs="宋体"/>
          <w:color w:val="auto"/>
          <w:highlight w:val="none"/>
        </w:rPr>
      </w:pPr>
      <w:r/>
      <w:bookmarkStart w:id="61" w:name="_Hlt26954836"/>
      <w:r/>
      <w:bookmarkEnd w:id="61"/>
      <w:r/>
      <w:bookmarkStart w:id="62" w:name="_Hlt26670357"/>
      <w:r/>
      <w:bookmarkEnd w:id="62"/>
      <w:r/>
      <w:bookmarkStart w:id="63" w:name="_Toc513029219"/>
      <w:r/>
      <w:bookmarkStart w:id="64" w:name="_Toc14577357"/>
      <w:r/>
      <w:bookmarkStart w:id="65" w:name="_Toc61149558"/>
      <w:r/>
      <w:bookmarkStart w:id="66" w:name="_Toc513029217"/>
      <w:r/>
      <w:bookmarkStart w:id="67" w:name="_Toc14577355"/>
      <w:r/>
      <w:bookmarkStart w:id="68" w:name="_Toc61149557"/>
      <w:r>
        <w:rPr>
          <w:rFonts w:hint="eastAsia" w:ascii="宋体" w:hAnsi="宋体" w:cs="宋体"/>
          <w:color w:val="auto"/>
          <w:highlight w:val="none"/>
        </w:rPr>
        <w:t xml:space="preserve">1.3响应文件构成</w:t>
      </w:r>
      <w:r/>
    </w:p>
    <w:p>
      <w:pPr>
        <w:ind w:firstLine="420"/>
        <w:rPr>
          <w:rFonts w:hint="eastAsia" w:ascii="宋体" w:hAnsi="宋体" w:cs="宋体"/>
          <w:color w:val="auto"/>
          <w:highlight w:val="none"/>
        </w:rPr>
      </w:pPr>
      <w:r>
        <w:rPr>
          <w:rFonts w:hint="eastAsia" w:ascii="宋体" w:hAnsi="宋体" w:cs="宋体"/>
          <w:color w:val="auto"/>
          <w:highlight w:val="none"/>
        </w:rPr>
        <w:t xml:space="preserve">供应商应认真阅读和理解采购文件，并按采购文件的要求编制响应文件；响应文件应对采购文件作实质性响应，并保证所提供资料的真实性。供应商编写的响应文件应包括下列部分：</w:t>
      </w:r>
      <w:r/>
    </w:p>
    <w:p>
      <w:pPr>
        <w:ind w:firstLine="420"/>
        <w:rPr>
          <w:rFonts w:hint="eastAsia" w:ascii="宋体" w:hAnsi="宋体" w:cs="宋体"/>
          <w:color w:val="auto"/>
          <w:highlight w:val="none"/>
        </w:rPr>
      </w:pPr>
      <w:r>
        <w:rPr>
          <w:rFonts w:hint="eastAsia" w:ascii="宋体" w:hAnsi="宋体" w:cs="宋体"/>
          <w:color w:val="auto"/>
          <w:highlight w:val="none"/>
        </w:rPr>
        <w:t xml:space="preserve">加★项目若有缺失或无效，将导致该响应文件作无效响应文件评定，且不允许在磋商截止时间后补正。</w:t>
      </w:r>
      <w:r/>
    </w:p>
    <w:p>
      <w:pPr>
        <w:ind w:firstLine="420"/>
        <w:rPr>
          <w:rFonts w:hint="eastAsia" w:ascii="宋体" w:hAnsi="宋体" w:cs="宋体"/>
          <w:color w:val="auto"/>
          <w:highlight w:val="none"/>
        </w:rPr>
      </w:pPr>
      <w:r>
        <w:rPr>
          <w:rFonts w:hint="eastAsia" w:ascii="宋体" w:hAnsi="宋体" w:cs="宋体"/>
          <w:color w:val="auto"/>
          <w:highlight w:val="none"/>
        </w:rPr>
        <w:t xml:space="preserve">1.3.1 资格证明文件</w:t>
      </w:r>
      <w:r/>
    </w:p>
    <w:p>
      <w:pPr>
        <w:ind w:firstLine="420"/>
        <w:rPr>
          <w:rFonts w:hint="eastAsia" w:ascii="宋体" w:hAnsi="宋体" w:cs="宋体"/>
          <w:color w:val="auto"/>
          <w:highlight w:val="none"/>
        </w:rPr>
      </w:pPr>
      <w:r>
        <w:rPr>
          <w:rFonts w:hint="eastAsia" w:ascii="宋体" w:hAnsi="宋体" w:cs="宋体"/>
          <w:color w:val="auto"/>
          <w:highlight w:val="none"/>
        </w:rPr>
        <w:t xml:space="preserve">（1）★具有独立承担民事责任能力的企事业法人营业执照；</w:t>
      </w:r>
      <w:r/>
    </w:p>
    <w:p>
      <w:pPr>
        <w:ind w:firstLine="420"/>
        <w:rPr>
          <w:rFonts w:hint="eastAsia" w:ascii="宋体" w:hAnsi="宋体" w:cs="宋体"/>
          <w:color w:val="auto"/>
          <w:highlight w:val="none"/>
        </w:rPr>
      </w:pPr>
      <w:r>
        <w:rPr>
          <w:rFonts w:hint="eastAsia" w:ascii="宋体" w:hAnsi="宋体" w:cs="宋体"/>
          <w:color w:val="auto"/>
          <w:highlight w:val="none"/>
        </w:rPr>
        <w:t xml:space="preserve">（2）★供应商法定代表人资格证明书</w:t>
      </w:r>
      <w:bookmarkStart w:id="69" w:name="OLE_LINK57"/>
      <w:r/>
      <w:bookmarkStart w:id="70" w:name="OLE_LINK56"/>
      <w:r>
        <w:rPr>
          <w:rFonts w:hint="eastAsia" w:ascii="宋体" w:hAnsi="宋体" w:cs="宋体"/>
          <w:b/>
          <w:color w:val="auto"/>
          <w:highlight w:val="none"/>
        </w:rPr>
        <w:t xml:space="preserve">（格式见附件）</w:t>
      </w:r>
      <w:bookmarkEnd w:id="69"/>
      <w:r/>
      <w:bookmarkEnd w:id="70"/>
      <w:r>
        <w:rPr>
          <w:rFonts w:hint="eastAsia" w:ascii="宋体" w:hAnsi="宋体" w:cs="宋体"/>
          <w:color w:val="auto"/>
          <w:highlight w:val="none"/>
        </w:rPr>
        <w:t xml:space="preserve">；</w:t>
      </w:r>
      <w:r/>
    </w:p>
    <w:p>
      <w:pPr>
        <w:ind w:firstLine="420"/>
        <w:rPr>
          <w:rFonts w:hint="eastAsia" w:ascii="宋体" w:hAnsi="宋体" w:cs="宋体"/>
          <w:color w:val="auto"/>
          <w:highlight w:val="none"/>
        </w:rPr>
      </w:pPr>
      <w:r>
        <w:rPr>
          <w:rFonts w:hint="eastAsia" w:ascii="宋体" w:hAnsi="宋体" w:cs="宋体"/>
          <w:color w:val="auto"/>
          <w:highlight w:val="none"/>
        </w:rPr>
        <w:t xml:space="preserve">（3）★供应商法定代表人授权委托书</w:t>
      </w:r>
      <w:r>
        <w:rPr>
          <w:rFonts w:hint="eastAsia" w:ascii="宋体" w:hAnsi="宋体" w:cs="宋体"/>
          <w:b/>
          <w:color w:val="auto"/>
          <w:highlight w:val="none"/>
        </w:rPr>
        <w:t xml:space="preserve">（格式见附件，法定代表人亲自参加磋商的除外）</w:t>
      </w:r>
      <w:r>
        <w:rPr>
          <w:rFonts w:hint="eastAsia" w:ascii="宋体" w:hAnsi="宋体" w:cs="宋体"/>
          <w:color w:val="auto"/>
          <w:highlight w:val="none"/>
        </w:rPr>
        <w:t xml:space="preserve">；</w:t>
      </w:r>
      <w:r/>
    </w:p>
    <w:p>
      <w:pPr>
        <w:ind w:firstLine="420"/>
        <w:rPr>
          <w:rFonts w:hint="eastAsia" w:ascii="宋体" w:hAnsi="宋体" w:cs="宋体"/>
          <w:color w:val="auto"/>
          <w:highlight w:val="none"/>
        </w:rPr>
      </w:pPr>
      <w:r>
        <w:rPr>
          <w:rFonts w:hint="eastAsia" w:ascii="宋体" w:hAnsi="宋体" w:cs="宋体"/>
          <w:color w:val="auto"/>
          <w:highlight w:val="none"/>
        </w:rPr>
        <w:t xml:space="preserve">（4）★按照本文件第一章第二条之（三）中“本项目的特定资格要求”应当提供的材料等（如有）；</w:t>
      </w:r>
      <w:r/>
    </w:p>
    <w:p>
      <w:pPr>
        <w:ind w:firstLine="420"/>
        <w:rPr>
          <w:rFonts w:hint="eastAsia" w:ascii="宋体" w:hAnsi="宋体" w:cs="宋体"/>
          <w:color w:val="auto"/>
          <w:highlight w:val="none"/>
        </w:rPr>
      </w:pPr>
      <w:r>
        <w:rPr>
          <w:rFonts w:hint="eastAsia" w:ascii="宋体" w:hAnsi="宋体" w:cs="宋体"/>
          <w:color w:val="auto"/>
          <w:highlight w:val="none"/>
        </w:rPr>
        <w:t xml:space="preserve">（5）★供应商近六个月中任意一个月份的财务状况报告（至少包含资产负债表和利润表）或由会计师事务所出具的近两年中任意一个年度的审计报告和所附已审财务报告复印件；其他组织、自然人及成立未满一年的法人应提供银行出具的资信证明；</w:t>
      </w:r>
      <w:r/>
    </w:p>
    <w:p>
      <w:pPr>
        <w:ind w:firstLine="420"/>
        <w:rPr>
          <w:rFonts w:hint="eastAsia" w:ascii="宋体" w:hAnsi="宋体" w:cs="宋体"/>
          <w:color w:val="auto"/>
          <w:highlight w:val="none"/>
        </w:rPr>
      </w:pPr>
      <w:r>
        <w:rPr>
          <w:rFonts w:hint="eastAsia" w:ascii="宋体" w:hAnsi="宋体" w:cs="宋体"/>
          <w:color w:val="auto"/>
          <w:highlight w:val="none"/>
        </w:rPr>
        <w:t xml:space="preserve">（6）★供应商近六个月中任意一个月份的依法缴纳税收的相关材料（提供相关主管部门证明或银行代扣证明）复印件（依法免税的供应商，应提供其依法免税的证明材料）；</w:t>
      </w:r>
      <w:r/>
    </w:p>
    <w:p>
      <w:pPr>
        <w:ind w:firstLine="420"/>
        <w:rPr>
          <w:rFonts w:hint="eastAsia" w:ascii="宋体" w:hAnsi="宋体" w:cs="宋体"/>
          <w:color w:val="auto"/>
          <w:highlight w:val="none"/>
        </w:rPr>
      </w:pPr>
      <w:r>
        <w:rPr>
          <w:rFonts w:hint="eastAsia" w:ascii="宋体" w:hAnsi="宋体" w:cs="宋体"/>
          <w:color w:val="auto"/>
          <w:highlight w:val="none"/>
        </w:rPr>
        <w:t xml:space="preserve">（7）★供应商近六个月中任意一个月份的依法缴纳社会保障资金的相关材料（提供相关主管部门证明或银行代扣证明）；</w:t>
      </w:r>
      <w:r/>
    </w:p>
    <w:p>
      <w:pPr>
        <w:ind w:firstLine="420"/>
        <w:rPr>
          <w:rFonts w:hint="eastAsia" w:ascii="宋体" w:hAnsi="宋体" w:cs="宋体"/>
          <w:color w:val="auto"/>
          <w:highlight w:val="none"/>
        </w:rPr>
      </w:pPr>
      <w:r>
        <w:rPr>
          <w:rFonts w:hint="eastAsia" w:ascii="宋体" w:hAnsi="宋体" w:cs="宋体"/>
          <w:color w:val="auto"/>
          <w:highlight w:val="none"/>
        </w:rPr>
        <w:t xml:space="preserve">（8）★参加政府采购活动前3年内在经营活动中没有重大违法记录的书面声明</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rPr>
          <w:rFonts w:hint="eastAsia" w:ascii="宋体" w:hAnsi="宋体" w:cs="宋体"/>
          <w:color w:val="auto"/>
          <w:highlight w:val="none"/>
        </w:rPr>
      </w:pPr>
      <w:r>
        <w:rPr>
          <w:rFonts w:hint="eastAsia" w:ascii="宋体" w:hAnsi="宋体" w:cs="宋体"/>
          <w:color w:val="auto"/>
          <w:highlight w:val="none"/>
        </w:rPr>
        <w:t xml:space="preserve">（9）★具备履行合同所必需的设备和专业技术能力的书面声明</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rPr>
          <w:rFonts w:hint="eastAsia" w:ascii="宋体" w:hAnsi="宋体" w:cs="宋体"/>
          <w:color w:val="auto"/>
          <w:highlight w:val="none"/>
        </w:rPr>
      </w:pPr>
      <w:r>
        <w:rPr>
          <w:rFonts w:hint="eastAsia" w:ascii="宋体" w:hAnsi="宋体" w:cs="宋体"/>
          <w:color w:val="auto"/>
          <w:highlight w:val="none"/>
        </w:rPr>
        <w:t xml:space="preserve">（10）供应商应提供《中小企业声明函》或《残疾人福利性单位声明函》或省级以上监狱管理局、戒毒管理局（含新疆生产建设兵团）出具的属于监狱企业的证明文件；</w:t>
      </w:r>
      <w:r/>
    </w:p>
    <w:p>
      <w:pPr>
        <w:ind w:firstLine="420"/>
        <w:rPr>
          <w:rFonts w:hint="eastAsia" w:ascii="宋体" w:hAnsi="宋体" w:cs="宋体"/>
          <w:color w:val="auto"/>
          <w:highlight w:val="none"/>
        </w:rPr>
      </w:pPr>
      <w:r>
        <w:rPr>
          <w:rFonts w:hint="eastAsia" w:ascii="宋体" w:hAnsi="宋体" w:cs="宋体"/>
          <w:color w:val="auto"/>
          <w:highlight w:val="none"/>
        </w:rPr>
        <w:t xml:space="preserve">如上述资格证明文件第（5）（6）（7）三项遇有国家相关政策规定可不具备的，必须提供相关政策规定或相关单位出具的有效证明。</w:t>
      </w:r>
      <w:r/>
    </w:p>
    <w:p>
      <w:pPr>
        <w:ind w:firstLine="420"/>
        <w:rPr>
          <w:rFonts w:hint="eastAsia" w:ascii="宋体" w:hAnsi="宋体" w:cs="宋体"/>
          <w:color w:val="auto"/>
          <w:highlight w:val="none"/>
        </w:rPr>
      </w:pPr>
      <w:r>
        <w:rPr>
          <w:rFonts w:hint="eastAsia" w:ascii="宋体" w:hAnsi="宋体" w:cs="宋体"/>
          <w:color w:val="auto"/>
          <w:highlight w:val="none"/>
        </w:rPr>
        <w:t xml:space="preserve">1.3.2商务技术文件（按照本文件第六章统一提供的规范表式填写）</w:t>
      </w:r>
      <w:r/>
    </w:p>
    <w:p>
      <w:pPr>
        <w:ind w:firstLine="420"/>
        <w:rPr>
          <w:rFonts w:hint="eastAsia" w:ascii="宋体" w:hAnsi="宋体" w:cs="宋体"/>
          <w:color w:val="auto"/>
          <w:highlight w:val="none"/>
        </w:rPr>
      </w:pPr>
      <w:r>
        <w:rPr>
          <w:rFonts w:hint="eastAsia" w:ascii="宋体" w:hAnsi="宋体" w:cs="宋体"/>
          <w:color w:val="auto"/>
          <w:highlight w:val="none"/>
        </w:rPr>
        <w:t xml:space="preserve">（1）★磋商响应函</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rPr>
          <w:rFonts w:hint="eastAsia" w:ascii="宋体" w:hAnsi="宋体" w:cs="宋体"/>
          <w:color w:val="auto"/>
          <w:highlight w:val="none"/>
        </w:rPr>
      </w:pPr>
      <w:r>
        <w:rPr>
          <w:rFonts w:hint="eastAsia" w:ascii="宋体" w:hAnsi="宋体" w:cs="宋体"/>
          <w:color w:val="auto"/>
          <w:highlight w:val="none"/>
        </w:rPr>
        <w:t xml:space="preserve">（2）★磋商报价表（参考格式，以苏采云系统格式为准）；</w:t>
      </w:r>
      <w:r/>
    </w:p>
    <w:p>
      <w:pPr>
        <w:ind w:firstLine="420"/>
        <w:rPr>
          <w:rFonts w:hint="eastAsia" w:ascii="宋体" w:hAnsi="宋体" w:cs="宋体"/>
          <w:color w:val="auto"/>
          <w:highlight w:val="none"/>
        </w:rPr>
      </w:pPr>
      <w:r>
        <w:rPr>
          <w:rFonts w:hint="eastAsia" w:ascii="宋体" w:hAnsi="宋体" w:cs="宋体"/>
          <w:color w:val="auto"/>
          <w:highlight w:val="none"/>
        </w:rPr>
        <w:t xml:space="preserve">（3）★首轮响应报价明细表</w:t>
      </w:r>
      <w:r>
        <w:rPr>
          <w:rFonts w:hint="eastAsia" w:ascii="宋体" w:hAnsi="宋体" w:cs="宋体"/>
          <w:b/>
          <w:color w:val="auto"/>
          <w:highlight w:val="none"/>
        </w:rPr>
        <w:t xml:space="preserve">（格式见附件）；</w:t>
      </w:r>
      <w:r/>
    </w:p>
    <w:p>
      <w:pPr>
        <w:ind w:firstLine="420"/>
        <w:rPr>
          <w:rFonts w:hint="eastAsia" w:ascii="宋体" w:hAnsi="宋体" w:cs="宋体"/>
          <w:color w:val="auto"/>
          <w:highlight w:val="none"/>
        </w:rPr>
      </w:pPr>
      <w:r>
        <w:rPr>
          <w:rFonts w:hint="eastAsia" w:ascii="宋体" w:hAnsi="宋体" w:cs="宋体"/>
          <w:color w:val="auto"/>
          <w:highlight w:val="none"/>
        </w:rPr>
        <w:t xml:space="preserve">（4）★技术及商务响应偏离表</w:t>
      </w:r>
      <w:r>
        <w:rPr>
          <w:rFonts w:hint="eastAsia" w:ascii="宋体" w:hAnsi="宋体" w:cs="宋体"/>
          <w:b/>
          <w:color w:val="auto"/>
          <w:highlight w:val="none"/>
        </w:rPr>
        <w:t xml:space="preserve">（格式见附件）</w:t>
      </w:r>
      <w:r>
        <w:rPr>
          <w:rFonts w:hint="eastAsia" w:ascii="宋体" w:hAnsi="宋体" w:cs="宋体"/>
          <w:color w:val="auto"/>
          <w:highlight w:val="none"/>
        </w:rPr>
        <w:t xml:space="preserve">；</w:t>
      </w:r>
      <w:r/>
    </w:p>
    <w:p>
      <w:pPr>
        <w:ind w:firstLine="420"/>
        <w:rPr>
          <w:rFonts w:hint="eastAsia" w:ascii="宋体" w:hAnsi="宋体" w:cs="宋体"/>
          <w:color w:val="auto"/>
          <w:highlight w:val="none"/>
        </w:rPr>
      </w:pPr>
      <w:r>
        <w:rPr>
          <w:rFonts w:hint="eastAsia" w:ascii="宋体" w:hAnsi="宋体" w:cs="宋体"/>
          <w:color w:val="auto"/>
          <w:highlight w:val="none"/>
        </w:rPr>
        <w:t xml:space="preserve">（5）根据项目需求和评审方法以及评审标准，供应商为使自身处于有利评审地位，应当提交的其他文件和证明资料；</w:t>
      </w:r>
      <w:bookmarkEnd w:id="63"/>
      <w:r/>
      <w:bookmarkEnd w:id="64"/>
      <w:r/>
      <w:bookmarkEnd w:id="65"/>
      <w:r/>
      <w:r/>
    </w:p>
    <w:p>
      <w:pPr>
        <w:ind w:firstLine="420"/>
        <w:rPr>
          <w:rFonts w:hint="eastAsia" w:ascii="宋体" w:hAnsi="宋体" w:cs="宋体"/>
          <w:color w:val="auto"/>
          <w:highlight w:val="none"/>
        </w:rPr>
      </w:pPr>
      <w:r>
        <w:rPr>
          <w:rFonts w:hint="eastAsia" w:ascii="宋体" w:hAnsi="宋体" w:cs="宋体"/>
          <w:color w:val="auto"/>
          <w:highlight w:val="none"/>
        </w:rPr>
        <w:t xml:space="preserve">1.3.3如标书制作工具中的格式和内容与“泰州市政府采购网”发布的采购文件不一致，请以“泰州市政府采购网”发布的采购文件为准。</w:t>
      </w:r>
      <w:r/>
    </w:p>
    <w:p>
      <w:pPr>
        <w:ind w:firstLine="420"/>
        <w:rPr>
          <w:rFonts w:hint="eastAsia" w:ascii="宋体" w:hAnsi="宋体" w:cs="宋体"/>
          <w:color w:val="auto"/>
          <w:highlight w:val="none"/>
        </w:rPr>
      </w:pPr>
      <w:r/>
      <w:bookmarkStart w:id="71" w:name="_Hlt26668999"/>
      <w:r/>
      <w:bookmarkEnd w:id="71"/>
      <w:r>
        <w:rPr>
          <w:rFonts w:hint="eastAsia" w:ascii="宋体" w:hAnsi="宋体" w:cs="宋体"/>
          <w:color w:val="auto"/>
          <w:highlight w:val="none"/>
        </w:rPr>
        <w:t xml:space="preserve">2.磋商响应报价</w:t>
      </w:r>
      <w:bookmarkEnd w:id="66"/>
      <w:r/>
      <w:bookmarkEnd w:id="67"/>
      <w:r/>
      <w:bookmarkStart w:id="72" w:name="_Hlt26670373"/>
      <w:r/>
      <w:bookmarkEnd w:id="72"/>
      <w:r>
        <w:rPr>
          <w:rFonts w:hint="eastAsia" w:ascii="宋体" w:hAnsi="宋体" w:cs="宋体"/>
          <w:color w:val="auto"/>
          <w:highlight w:val="none"/>
        </w:rPr>
        <w:t xml:space="preserve">表</w:t>
      </w:r>
      <w:bookmarkEnd w:id="68"/>
      <w:r/>
      <w:r/>
    </w:p>
    <w:p>
      <w:pPr>
        <w:ind w:firstLine="420"/>
        <w:rPr>
          <w:rFonts w:hint="eastAsia" w:ascii="宋体" w:hAnsi="宋体" w:cs="宋体"/>
          <w:color w:val="auto"/>
          <w:highlight w:val="none"/>
        </w:rPr>
      </w:pPr>
      <w:r>
        <w:rPr>
          <w:rFonts w:hint="eastAsia" w:ascii="宋体" w:hAnsi="宋体" w:cs="宋体"/>
          <w:color w:val="auto"/>
          <w:highlight w:val="none"/>
        </w:rPr>
        <w:t xml:space="preserve">2.1供应商应按照采购文件规定格式填报磋商响应报价表。每项产品或服务只允许有一个报价，任何有选择的报价将不予接受，采购文件中另有规定的按规定执行。</w:t>
      </w:r>
      <w:r/>
    </w:p>
    <w:p>
      <w:pPr>
        <w:ind w:firstLine="420"/>
        <w:rPr>
          <w:rFonts w:hint="eastAsia" w:ascii="宋体" w:hAnsi="宋体" w:cs="宋体"/>
          <w:color w:val="auto"/>
          <w:highlight w:val="none"/>
        </w:rPr>
      </w:pPr>
      <w:r>
        <w:rPr>
          <w:rFonts w:hint="eastAsia" w:ascii="宋体" w:hAnsi="宋体" w:cs="宋体"/>
          <w:color w:val="auto"/>
          <w:highlight w:val="none"/>
        </w:rPr>
        <w:t xml:space="preserve">2.2标的物</w:t>
      </w:r>
      <w:r/>
    </w:p>
    <w:p>
      <w:pPr>
        <w:ind w:firstLine="420"/>
        <w:rPr>
          <w:rFonts w:hint="eastAsia" w:ascii="宋体" w:hAnsi="宋体" w:cs="宋体"/>
          <w:color w:val="auto"/>
          <w:highlight w:val="none"/>
        </w:rPr>
      </w:pPr>
      <w:r>
        <w:rPr>
          <w:rFonts w:hint="eastAsia" w:ascii="宋体" w:hAnsi="宋体" w:cs="宋体"/>
          <w:color w:val="auto"/>
          <w:highlight w:val="none"/>
        </w:rPr>
        <w:t xml:space="preserve">详见项目需求。</w:t>
      </w:r>
      <w:r/>
    </w:p>
    <w:p>
      <w:pPr>
        <w:ind w:firstLine="420"/>
        <w:rPr>
          <w:rFonts w:hint="eastAsia" w:ascii="宋体" w:hAnsi="宋体" w:cs="宋体"/>
          <w:color w:val="auto"/>
          <w:highlight w:val="none"/>
        </w:rPr>
      </w:pPr>
      <w:r>
        <w:rPr>
          <w:rFonts w:hint="eastAsia" w:ascii="宋体" w:hAnsi="宋体" w:cs="宋体"/>
          <w:color w:val="auto"/>
          <w:highlight w:val="none"/>
        </w:rPr>
        <w:t xml:space="preserve">2.3有关费用的处理</w:t>
      </w:r>
      <w:r/>
    </w:p>
    <w:p>
      <w:pPr>
        <w:ind w:firstLine="420"/>
        <w:rPr>
          <w:rFonts w:hint="eastAsia" w:ascii="宋体" w:hAnsi="宋体" w:cs="宋体"/>
          <w:color w:val="auto"/>
          <w:highlight w:val="none"/>
        </w:rPr>
      </w:pPr>
      <w:r>
        <w:rPr>
          <w:rFonts w:hint="eastAsia" w:ascii="宋体" w:hAnsi="宋体" w:cs="宋体"/>
          <w:color w:val="auto"/>
          <w:highlight w:val="none"/>
        </w:rPr>
        <w:t xml:space="preserve">供应商的总报价应包括为完成本项目发生的所有费用，本采购文件中另有规定的除外。</w:t>
      </w:r>
      <w:r/>
    </w:p>
    <w:p>
      <w:pPr>
        <w:ind w:firstLine="420"/>
        <w:rPr>
          <w:rFonts w:hint="eastAsia" w:ascii="宋体" w:hAnsi="宋体" w:cs="宋体"/>
          <w:color w:val="auto"/>
          <w:highlight w:val="none"/>
        </w:rPr>
      </w:pPr>
      <w:r>
        <w:rPr>
          <w:rFonts w:hint="eastAsia" w:ascii="宋体" w:hAnsi="宋体" w:cs="宋体"/>
          <w:color w:val="auto"/>
          <w:highlight w:val="none"/>
        </w:rPr>
        <w:t xml:space="preserve">采购文件未列明，而供应商认为必需的费用也须列入报价。</w:t>
      </w:r>
      <w:r/>
    </w:p>
    <w:p>
      <w:pPr>
        <w:ind w:firstLine="420"/>
        <w:rPr>
          <w:rFonts w:hint="eastAsia" w:ascii="宋体" w:hAnsi="宋体" w:cs="宋体"/>
          <w:color w:val="auto"/>
          <w:highlight w:val="none"/>
        </w:rPr>
      </w:pPr>
      <w:r>
        <w:rPr>
          <w:rFonts w:hint="eastAsia" w:ascii="宋体" w:hAnsi="宋体" w:cs="宋体"/>
          <w:color w:val="auto"/>
          <w:highlight w:val="none"/>
        </w:rPr>
        <w:t xml:space="preserve">2.4报价采用的货币及方式</w:t>
      </w:r>
      <w:r/>
    </w:p>
    <w:p>
      <w:pPr>
        <w:ind w:firstLine="420"/>
        <w:rPr>
          <w:rFonts w:hint="eastAsia" w:ascii="宋体" w:hAnsi="宋体" w:cs="宋体"/>
          <w:color w:val="auto"/>
          <w:highlight w:val="none"/>
        </w:rPr>
      </w:pPr>
      <w:r>
        <w:rPr>
          <w:rFonts w:hint="eastAsia" w:ascii="宋体" w:hAnsi="宋体" w:cs="宋体"/>
          <w:color w:val="auto"/>
          <w:highlight w:val="none"/>
        </w:rPr>
        <w:t xml:space="preserve">响应文件中的单价和总价，无特殊规定的采用人民币报价，以元为单位标注。采购文件中另有规定的按规定执行。</w:t>
      </w:r>
      <w:r/>
    </w:p>
    <w:p>
      <w:pPr>
        <w:ind w:firstLine="420"/>
        <w:rPr>
          <w:rFonts w:hint="eastAsia" w:ascii="宋体" w:hAnsi="宋体" w:cs="宋体"/>
          <w:color w:val="auto"/>
          <w:highlight w:val="none"/>
        </w:rPr>
      </w:pPr>
      <w:r>
        <w:rPr>
          <w:rFonts w:hint="eastAsia" w:ascii="宋体" w:hAnsi="宋体" w:cs="宋体"/>
          <w:color w:val="auto"/>
          <w:highlight w:val="none"/>
        </w:rPr>
        <w:t xml:space="preserve">2.5 响应报价表上的价格应按采购文件规定填写。</w:t>
      </w:r>
      <w:r/>
    </w:p>
    <w:p>
      <w:pPr>
        <w:ind w:firstLine="420"/>
        <w:rPr>
          <w:rFonts w:hint="eastAsia" w:ascii="宋体" w:hAnsi="宋体" w:cs="宋体"/>
          <w:color w:val="auto"/>
          <w:highlight w:val="none"/>
        </w:rPr>
      </w:pPr>
      <w:r>
        <w:rPr>
          <w:rFonts w:hint="eastAsia" w:ascii="宋体" w:hAnsi="宋体" w:cs="宋体"/>
          <w:color w:val="auto"/>
          <w:highlight w:val="none"/>
        </w:rPr>
        <w:t xml:space="preserve">2.6最高限价</w:t>
      </w:r>
      <w:r/>
    </w:p>
    <w:p>
      <w:pPr>
        <w:ind w:firstLine="420"/>
        <w:rPr>
          <w:rFonts w:hint="eastAsia" w:ascii="宋体" w:hAnsi="宋体" w:cs="宋体"/>
          <w:color w:val="auto"/>
          <w:highlight w:val="none"/>
        </w:rPr>
      </w:pPr>
      <w:r>
        <w:rPr>
          <w:rFonts w:hint="eastAsia" w:ascii="宋体" w:hAnsi="宋体" w:cs="宋体"/>
          <w:color w:val="auto"/>
          <w:highlight w:val="none"/>
        </w:rPr>
        <w:t xml:space="preserve">供应商报价超过最高限价的，作为无效标处理。</w:t>
      </w:r>
      <w:r/>
    </w:p>
    <w:p>
      <w:pPr>
        <w:ind w:firstLine="420"/>
        <w:rPr>
          <w:rFonts w:hint="eastAsia" w:ascii="宋体" w:hAnsi="宋体" w:cs="宋体"/>
          <w:color w:val="auto"/>
          <w:highlight w:val="none"/>
        </w:rPr>
      </w:pPr>
      <w:r/>
      <w:bookmarkStart w:id="73" w:name="_Hlt26954854"/>
      <w:r/>
      <w:bookmarkEnd w:id="73"/>
      <w:r/>
      <w:bookmarkStart w:id="74" w:name="_Hlt26954731"/>
      <w:r/>
      <w:bookmarkEnd w:id="74"/>
      <w:r/>
      <w:bookmarkStart w:id="75" w:name="_Hlt26670493"/>
      <w:r/>
      <w:bookmarkEnd w:id="75"/>
      <w:r/>
      <w:bookmarkStart w:id="76" w:name="_Hlt26670425"/>
      <w:r/>
      <w:bookmarkEnd w:id="76"/>
      <w:r/>
      <w:bookmarkStart w:id="77" w:name="_Hlt26954739"/>
      <w:r/>
      <w:bookmarkEnd w:id="77"/>
      <w:r/>
      <w:bookmarkStart w:id="78" w:name="_Hlt26954734"/>
      <w:r/>
      <w:bookmarkEnd w:id="78"/>
      <w:r/>
      <w:bookmarkStart w:id="79" w:name="_Hlt26954848"/>
      <w:r/>
      <w:bookmarkEnd w:id="79"/>
      <w:r/>
      <w:bookmarkStart w:id="80" w:name="_Hlt26670482"/>
      <w:r/>
      <w:bookmarkEnd w:id="80"/>
      <w:r/>
      <w:bookmarkStart w:id="81" w:name="_Hlt26670486"/>
      <w:r/>
      <w:bookmarkEnd w:id="81"/>
      <w:r/>
      <w:bookmarkStart w:id="82" w:name="_Hlt26954846"/>
      <w:r/>
      <w:bookmarkEnd w:id="82"/>
      <w:r/>
      <w:bookmarkStart w:id="83" w:name="_Hlt26954852"/>
      <w:r/>
      <w:bookmarkEnd w:id="83"/>
      <w:r/>
      <w:bookmarkStart w:id="84" w:name="_Hlt26954850"/>
      <w:r/>
      <w:bookmarkEnd w:id="84"/>
      <w:r/>
      <w:bookmarkStart w:id="85" w:name="_Hlt26954749"/>
      <w:r/>
      <w:bookmarkEnd w:id="85"/>
      <w:r/>
      <w:bookmarkStart w:id="86" w:name="_Hlt26954842"/>
      <w:r/>
      <w:bookmarkEnd w:id="86"/>
      <w:r/>
      <w:bookmarkStart w:id="87" w:name="_Hlt26954844"/>
      <w:r/>
      <w:bookmarkEnd w:id="87"/>
      <w:r/>
      <w:bookmarkStart w:id="88" w:name="_Hlt26670489"/>
      <w:r/>
      <w:bookmarkEnd w:id="88"/>
      <w:r/>
      <w:bookmarkStart w:id="89" w:name="_Hlt26670403"/>
      <w:r/>
      <w:bookmarkEnd w:id="89"/>
      <w:r/>
      <w:bookmarkStart w:id="90" w:name="_Hlt26668983"/>
      <w:r/>
      <w:bookmarkEnd w:id="90"/>
      <w:r/>
      <w:bookmarkStart w:id="91" w:name="_Toc513029224"/>
      <w:r/>
      <w:bookmarkStart w:id="92" w:name="_Toc14577362"/>
      <w:r/>
      <w:bookmarkStart w:id="93" w:name="_Toc61149562"/>
      <w:r>
        <w:rPr>
          <w:rFonts w:hint="eastAsia" w:ascii="宋体" w:hAnsi="宋体" w:cs="宋体"/>
          <w:color w:val="auto"/>
          <w:highlight w:val="none"/>
        </w:rPr>
        <w:t xml:space="preserve">3.磋商保证金</w:t>
      </w:r>
      <w:r/>
    </w:p>
    <w:p>
      <w:pPr>
        <w:ind w:firstLine="420"/>
        <w:rPr>
          <w:rFonts w:hint="eastAsia" w:ascii="宋体" w:hAnsi="宋体" w:cs="宋体"/>
          <w:color w:val="auto"/>
          <w:highlight w:val="none"/>
        </w:rPr>
      </w:pPr>
      <w:r>
        <w:rPr>
          <w:rFonts w:hint="eastAsia" w:ascii="宋体" w:hAnsi="宋体" w:cs="宋体"/>
          <w:color w:val="auto"/>
          <w:highlight w:val="none"/>
        </w:rPr>
        <w:t xml:space="preserve">依据《关于做好政府采购支持企业发展有关事项的通知》（苏财购〔2020〕52号）文件规定精神，本项目免收磋商保证金。采购文件中有关磋商保证金的条款均取消。</w:t>
      </w:r>
      <w:r/>
    </w:p>
    <w:p>
      <w:pPr>
        <w:ind w:firstLine="422"/>
        <w:rPr>
          <w:rFonts w:hint="eastAsia" w:ascii="宋体" w:hAnsi="宋体" w:cs="宋体"/>
          <w:b/>
          <w:bCs/>
          <w:color w:val="auto"/>
          <w:highlight w:val="none"/>
        </w:rPr>
      </w:pPr>
      <w:r>
        <w:rPr>
          <w:rFonts w:hint="eastAsia" w:ascii="宋体" w:hAnsi="宋体" w:cs="宋体"/>
          <w:b/>
          <w:bCs/>
          <w:color w:val="auto"/>
          <w:highlight w:val="none"/>
        </w:rPr>
        <w:t xml:space="preserve">三、响应文件的递交</w:t>
      </w:r>
      <w:bookmarkEnd w:id="91"/>
      <w:r/>
      <w:bookmarkEnd w:id="92"/>
      <w:r/>
      <w:bookmarkEnd w:id="93"/>
      <w:r/>
      <w:r/>
    </w:p>
    <w:p>
      <w:pPr>
        <w:ind w:firstLine="420"/>
        <w:rPr>
          <w:rFonts w:hint="eastAsia" w:ascii="宋体" w:hAnsi="宋体" w:cs="宋体"/>
          <w:color w:val="auto"/>
          <w:highlight w:val="none"/>
        </w:rPr>
      </w:pPr>
      <w:r/>
      <w:bookmarkStart w:id="94" w:name="_Hlt26954856"/>
      <w:r/>
      <w:bookmarkEnd w:id="94"/>
      <w:r/>
      <w:bookmarkStart w:id="95" w:name="_Toc61149563"/>
      <w:r/>
      <w:bookmarkStart w:id="96" w:name="_Toc462564084"/>
      <w:r/>
      <w:bookmarkStart w:id="97" w:name="_Toc513029225"/>
      <w:r/>
      <w:bookmarkStart w:id="98" w:name="_Toc14577363"/>
      <w:r>
        <w:rPr>
          <w:rFonts w:hint="eastAsia" w:ascii="宋体" w:hAnsi="宋体" w:cs="宋体"/>
          <w:color w:val="auto"/>
          <w:highlight w:val="none"/>
        </w:rPr>
        <w:t xml:space="preserve">1.</w:t>
      </w:r>
      <w:bookmarkEnd w:id="95"/>
      <w:r/>
      <w:bookmarkEnd w:id="96"/>
      <w:r/>
      <w:bookmarkEnd w:id="97"/>
      <w:r/>
      <w:bookmarkEnd w:id="98"/>
      <w:r>
        <w:rPr>
          <w:rFonts w:hint="eastAsia" w:ascii="宋体" w:hAnsi="宋体" w:cs="宋体"/>
          <w:color w:val="auto"/>
          <w:highlight w:val="none"/>
        </w:rPr>
        <w:t xml:space="preserve">电子响应文件的递交</w:t>
      </w:r>
      <w:r/>
    </w:p>
    <w:p>
      <w:pPr>
        <w:ind w:firstLine="420"/>
        <w:rPr>
          <w:rFonts w:hint="eastAsia" w:ascii="宋体" w:hAnsi="宋体" w:cs="宋体"/>
          <w:color w:val="auto"/>
          <w:highlight w:val="none"/>
        </w:rPr>
      </w:pPr>
      <w:r>
        <w:rPr>
          <w:rFonts w:hint="eastAsia" w:ascii="宋体" w:hAnsi="宋体" w:cs="宋体"/>
          <w:color w:val="auto"/>
          <w:highlight w:val="none"/>
        </w:rPr>
        <w:t xml:space="preserve">1.1供应商应当按照《操作手册》规定，在提交响应文件截止时间前制作并上传电子响应文件。</w:t>
      </w:r>
      <w:r/>
    </w:p>
    <w:p>
      <w:pPr>
        <w:ind w:firstLine="420"/>
        <w:rPr>
          <w:rFonts w:hint="eastAsia" w:ascii="宋体" w:hAnsi="宋体" w:cs="宋体"/>
          <w:color w:val="auto"/>
          <w:highlight w:val="none"/>
        </w:rPr>
      </w:pPr>
      <w:r>
        <w:rPr>
          <w:rFonts w:hint="eastAsia" w:ascii="宋体" w:hAnsi="宋体" w:cs="宋体"/>
          <w:color w:val="auto"/>
          <w:highlight w:val="none"/>
        </w:rPr>
        <w:t xml:space="preserve">2提交响应文件的截止时间</w:t>
      </w:r>
      <w:r/>
    </w:p>
    <w:p>
      <w:pPr>
        <w:ind w:firstLine="420"/>
        <w:rPr>
          <w:rFonts w:hint="eastAsia" w:ascii="宋体" w:hAnsi="宋体" w:cs="宋体"/>
          <w:color w:val="auto"/>
          <w:highlight w:val="none"/>
        </w:rPr>
      </w:pPr>
      <w:r>
        <w:rPr>
          <w:rFonts w:hint="eastAsia" w:ascii="宋体" w:hAnsi="宋体" w:cs="宋体"/>
          <w:color w:val="auto"/>
          <w:highlight w:val="none"/>
        </w:rPr>
        <w:t xml:space="preserve">2.1供应商上传电子响应文件的时间不得迟于采购公告中规定的提交响应文件截止时间。</w:t>
      </w:r>
      <w:r/>
    </w:p>
    <w:p>
      <w:pPr>
        <w:ind w:firstLine="420"/>
        <w:rPr>
          <w:rFonts w:hint="eastAsia"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供应商应充分考虑到网络环境、网络带宽等风险因素，如因供应商自身原因造成的电子响应文件上传不成功的按照本采购文件第二章第5.3.2条规定作无效响应处理。</w:t>
      </w:r>
      <w:r/>
    </w:p>
    <w:p>
      <w:pPr>
        <w:ind w:firstLine="420"/>
        <w:rPr>
          <w:rFonts w:hint="eastAsia" w:ascii="宋体" w:hAnsi="宋体" w:cs="宋体"/>
          <w:color w:val="auto"/>
          <w:highlight w:val="none"/>
        </w:rPr>
      </w:pPr>
      <w:r>
        <w:rPr>
          <w:rFonts w:hint="eastAsia" w:ascii="宋体" w:hAnsi="宋体" w:cs="宋体"/>
          <w:color w:val="auto"/>
          <w:highlight w:val="none"/>
        </w:rPr>
        <w:t xml:space="preserve">2.2采购人和代理机构可以按照规定，通过修改采购文件酌情延长提交响应文件截止日期，在此情况下，供应商的所有权利和义务以及供应商受制的截止日期均应以延长后新的截止日期为准。</w:t>
      </w:r>
      <w:r/>
    </w:p>
    <w:p>
      <w:pPr>
        <w:ind w:firstLine="420"/>
        <w:rPr>
          <w:rFonts w:hint="eastAsia" w:ascii="宋体" w:hAnsi="宋体" w:cs="宋体"/>
          <w:color w:val="auto"/>
          <w:highlight w:val="none"/>
        </w:rPr>
      </w:pPr>
      <w:r/>
      <w:bookmarkStart w:id="99" w:name="_Hlt26954752"/>
      <w:r/>
      <w:bookmarkEnd w:id="99"/>
      <w:r/>
      <w:bookmarkStart w:id="100" w:name="_Hlt26670496"/>
      <w:r/>
      <w:bookmarkEnd w:id="100"/>
      <w:r/>
      <w:bookmarkStart w:id="101" w:name="_Hlt26954858"/>
      <w:r/>
      <w:bookmarkEnd w:id="101"/>
      <w:r/>
      <w:bookmarkStart w:id="102" w:name="_Toc513029226"/>
      <w:r/>
      <w:bookmarkStart w:id="103" w:name="_Toc14577364"/>
      <w:r/>
      <w:bookmarkStart w:id="104" w:name="_Toc61149564"/>
      <w:r>
        <w:rPr>
          <w:rFonts w:hint="eastAsia" w:ascii="宋体" w:hAnsi="宋体" w:cs="宋体"/>
          <w:color w:val="auto"/>
          <w:highlight w:val="none"/>
        </w:rPr>
        <w:t xml:space="preserve">3.响应文件的拒收</w:t>
      </w:r>
      <w:r/>
    </w:p>
    <w:p>
      <w:pPr>
        <w:ind w:firstLine="420"/>
        <w:rPr>
          <w:rFonts w:hint="eastAsia" w:ascii="宋体" w:hAnsi="宋体" w:cs="宋体"/>
          <w:color w:val="auto"/>
          <w:highlight w:val="none"/>
        </w:rPr>
      </w:pPr>
      <w:r>
        <w:rPr>
          <w:rFonts w:hint="eastAsia" w:ascii="宋体" w:hAnsi="宋体" w:cs="宋体"/>
          <w:color w:val="auto"/>
          <w:highlight w:val="none"/>
        </w:rPr>
        <w:t xml:space="preserve">3.1采购人拒绝接收在规定的提交响应文件截止时间后上传的任何电子响应文件。</w:t>
      </w:r>
      <w:r/>
    </w:p>
    <w:p>
      <w:pPr>
        <w:ind w:firstLine="420"/>
        <w:rPr>
          <w:rFonts w:hint="eastAsia" w:ascii="宋体" w:hAnsi="宋体" w:cs="宋体"/>
          <w:color w:val="auto"/>
          <w:highlight w:val="none"/>
        </w:rPr>
      </w:pPr>
      <w:r>
        <w:rPr>
          <w:rFonts w:hint="eastAsia" w:ascii="宋体" w:hAnsi="宋体" w:cs="宋体"/>
          <w:color w:val="auto"/>
          <w:highlight w:val="none"/>
        </w:rPr>
        <w:t xml:space="preserve">4.响应文件的撤回和修改</w:t>
      </w:r>
      <w:r/>
    </w:p>
    <w:p>
      <w:pPr>
        <w:ind w:firstLine="420"/>
        <w:rPr>
          <w:rFonts w:hint="eastAsia" w:ascii="宋体" w:hAnsi="宋体" w:cs="宋体"/>
          <w:color w:val="auto"/>
          <w:highlight w:val="none"/>
        </w:rPr>
      </w:pPr>
      <w:r>
        <w:rPr>
          <w:rFonts w:hint="eastAsia" w:ascii="宋体" w:hAnsi="宋体" w:cs="宋体"/>
          <w:color w:val="auto"/>
          <w:highlight w:val="none"/>
        </w:rPr>
        <w:t xml:space="preserve">4.1响应文件的撤回</w:t>
      </w:r>
      <w:r/>
    </w:p>
    <w:p>
      <w:pPr>
        <w:ind w:firstLine="420"/>
        <w:rPr>
          <w:rFonts w:hint="eastAsia" w:ascii="宋体" w:hAnsi="宋体" w:cs="宋体"/>
          <w:color w:val="auto"/>
          <w:highlight w:val="none"/>
        </w:rPr>
      </w:pPr>
      <w:r>
        <w:rPr>
          <w:rFonts w:hint="eastAsia" w:ascii="宋体" w:hAnsi="宋体" w:cs="宋体"/>
          <w:color w:val="auto"/>
          <w:highlight w:val="none"/>
        </w:rPr>
        <w:t xml:space="preserve">4.1.1电子响应文件的撤回</w:t>
      </w:r>
      <w:r/>
    </w:p>
    <w:p>
      <w:pPr>
        <w:ind w:firstLine="420"/>
        <w:rPr>
          <w:rFonts w:hint="eastAsia" w:ascii="宋体" w:hAnsi="宋体" w:cs="宋体"/>
          <w:color w:val="auto"/>
          <w:highlight w:val="none"/>
        </w:rPr>
      </w:pPr>
      <w:r>
        <w:rPr>
          <w:rFonts w:hint="eastAsia" w:ascii="宋体" w:hAnsi="宋体" w:cs="宋体"/>
          <w:color w:val="auto"/>
          <w:highlight w:val="none"/>
        </w:rPr>
        <w:t xml:space="preserve">供应商可在提交响应文件截止时间前，撤回其电子响应文件，具体操作方法见《操作手册》。</w:t>
      </w:r>
      <w:r/>
    </w:p>
    <w:p>
      <w:pPr>
        <w:ind w:firstLine="420"/>
        <w:rPr>
          <w:rFonts w:hint="eastAsia" w:ascii="宋体" w:hAnsi="宋体" w:cs="宋体"/>
          <w:color w:val="auto"/>
          <w:highlight w:val="none"/>
        </w:rPr>
      </w:pPr>
      <w:r>
        <w:rPr>
          <w:rFonts w:hint="eastAsia" w:ascii="宋体" w:hAnsi="宋体" w:cs="宋体"/>
          <w:color w:val="auto"/>
          <w:highlight w:val="none"/>
        </w:rPr>
        <w:t xml:space="preserve">4.1.2供应商撤回电子响应文件，则视为其不再参与本项目磋商活动。</w:t>
      </w:r>
      <w:r/>
    </w:p>
    <w:p>
      <w:pPr>
        <w:ind w:firstLine="420"/>
        <w:rPr>
          <w:rFonts w:hint="eastAsia" w:ascii="宋体" w:hAnsi="宋体" w:cs="宋体"/>
          <w:color w:val="auto"/>
          <w:highlight w:val="none"/>
        </w:rPr>
      </w:pPr>
      <w:r>
        <w:rPr>
          <w:rFonts w:hint="eastAsia" w:ascii="宋体" w:hAnsi="宋体" w:cs="宋体"/>
          <w:color w:val="auto"/>
          <w:highlight w:val="none"/>
        </w:rPr>
        <w:t xml:space="preserve">4.2响应文件的修改</w:t>
      </w:r>
      <w:r/>
    </w:p>
    <w:p>
      <w:pPr>
        <w:ind w:firstLine="420"/>
        <w:rPr>
          <w:rFonts w:hint="eastAsia" w:ascii="宋体" w:hAnsi="宋体" w:cs="宋体"/>
          <w:color w:val="auto"/>
          <w:highlight w:val="none"/>
        </w:rPr>
      </w:pPr>
      <w:r>
        <w:rPr>
          <w:rFonts w:hint="eastAsia" w:ascii="宋体" w:hAnsi="宋体" w:cs="宋体"/>
          <w:color w:val="auto"/>
          <w:highlight w:val="none"/>
        </w:rPr>
        <w:t xml:space="preserve">供应商可在提交响应文件截止时间前，对其电子响应文件进行修改，具体操作方法见《操作手册》。</w:t>
      </w:r>
      <w:r/>
    </w:p>
    <w:p>
      <w:pPr>
        <w:ind w:firstLine="420"/>
        <w:rPr>
          <w:rFonts w:hint="eastAsia" w:ascii="宋体" w:hAnsi="宋体" w:cs="宋体"/>
          <w:color w:val="auto"/>
          <w:highlight w:val="none"/>
        </w:rPr>
      </w:pPr>
      <w:r>
        <w:rPr>
          <w:rFonts w:hint="eastAsia" w:ascii="宋体" w:hAnsi="宋体" w:cs="宋体"/>
          <w:color w:val="auto"/>
          <w:highlight w:val="none"/>
        </w:rPr>
        <w:t xml:space="preserve">4.3在提交响应文件截止时间之后，供应商不得对其电子响应文件作任何修改。</w:t>
      </w:r>
      <w:r/>
    </w:p>
    <w:p>
      <w:pPr>
        <w:ind w:firstLine="420"/>
        <w:rPr>
          <w:rFonts w:hint="eastAsia" w:ascii="宋体" w:hAnsi="宋体" w:cs="宋体"/>
          <w:color w:val="auto"/>
          <w:highlight w:val="none"/>
        </w:rPr>
      </w:pPr>
      <w:r>
        <w:rPr>
          <w:rFonts w:hint="eastAsia" w:ascii="宋体" w:hAnsi="宋体" w:cs="宋体"/>
          <w:color w:val="auto"/>
          <w:highlight w:val="none"/>
        </w:rPr>
        <w:t xml:space="preserve">4.4在提交响应文件截止时间至采购文件中规定的磋商有效期满之间的这段时间内，供应商不得撤回其响应文件。</w:t>
      </w:r>
      <w:r/>
    </w:p>
    <w:p>
      <w:pPr>
        <w:ind w:firstLine="422"/>
        <w:rPr>
          <w:rFonts w:hint="eastAsia" w:ascii="宋体" w:hAnsi="宋体" w:cs="宋体"/>
          <w:b/>
          <w:bCs/>
          <w:color w:val="auto"/>
          <w:highlight w:val="none"/>
        </w:rPr>
      </w:pPr>
      <w:r>
        <w:rPr>
          <w:rFonts w:hint="eastAsia" w:ascii="宋体" w:hAnsi="宋体" w:cs="宋体"/>
          <w:b/>
          <w:bCs/>
          <w:color w:val="auto"/>
          <w:highlight w:val="none"/>
        </w:rPr>
        <w:t xml:space="preserve">四、响应文件的解密与评审</w:t>
      </w:r>
      <w:r/>
    </w:p>
    <w:p>
      <w:pPr>
        <w:ind w:firstLine="420"/>
        <w:rPr>
          <w:rFonts w:hint="eastAsia" w:ascii="宋体" w:hAnsi="宋体" w:cs="宋体"/>
          <w:color w:val="auto"/>
          <w:highlight w:val="none"/>
        </w:rPr>
      </w:pPr>
      <w:r>
        <w:rPr>
          <w:rFonts w:hint="eastAsia" w:ascii="宋体" w:hAnsi="宋体" w:cs="宋体"/>
          <w:color w:val="auto"/>
          <w:highlight w:val="none"/>
        </w:rPr>
        <w:t xml:space="preserve">1.响应文件解密</w:t>
      </w:r>
      <w:r/>
    </w:p>
    <w:p>
      <w:pPr>
        <w:ind w:firstLine="420"/>
        <w:rPr>
          <w:rFonts w:hint="eastAsia" w:ascii="宋体" w:hAnsi="宋体" w:cs="宋体"/>
          <w:color w:val="auto"/>
          <w:highlight w:val="none"/>
        </w:rPr>
      </w:pPr>
      <w:r>
        <w:rPr>
          <w:rFonts w:hint="eastAsia" w:ascii="宋体" w:hAnsi="宋体" w:cs="宋体"/>
          <w:color w:val="auto"/>
          <w:highlight w:val="none"/>
        </w:rPr>
        <w:t xml:space="preserve">1.1供应商应当按照《操作手册》规定，在苏采云系统规定的时间内对响应文件进行解密。</w:t>
      </w:r>
      <w:r/>
    </w:p>
    <w:p>
      <w:pPr>
        <w:ind w:firstLine="420"/>
        <w:rPr>
          <w:rFonts w:hint="eastAsia" w:ascii="宋体" w:hAnsi="宋体" w:cs="宋体"/>
          <w:color w:val="auto"/>
          <w:highlight w:val="none"/>
        </w:rPr>
      </w:pPr>
      <w:r>
        <w:rPr>
          <w:rFonts w:hint="eastAsia" w:ascii="宋体" w:hAnsi="宋体" w:cs="宋体"/>
          <w:color w:val="auto"/>
          <w:highlight w:val="none"/>
        </w:rPr>
        <w:t xml:space="preserve">2.磋商小组</w:t>
      </w:r>
      <w:r/>
    </w:p>
    <w:p>
      <w:pPr>
        <w:ind w:firstLine="420"/>
        <w:rPr>
          <w:rFonts w:hint="eastAsia" w:ascii="宋体" w:hAnsi="宋体" w:cs="宋体"/>
          <w:color w:val="auto"/>
          <w:highlight w:val="none"/>
        </w:rPr>
      </w:pPr>
      <w:r>
        <w:rPr>
          <w:rFonts w:hint="eastAsia" w:ascii="宋体" w:hAnsi="宋体" w:cs="宋体"/>
          <w:color w:val="auto"/>
          <w:highlight w:val="none"/>
        </w:rPr>
        <w:t xml:space="preserve">2.1采购代理机构将组织磋商小组对响应文件进行评审。</w:t>
      </w:r>
      <w:r/>
    </w:p>
    <w:p>
      <w:pPr>
        <w:ind w:firstLine="420"/>
        <w:rPr>
          <w:rFonts w:hint="eastAsia" w:ascii="宋体" w:hAnsi="宋体" w:cs="宋体"/>
          <w:color w:val="auto"/>
          <w:highlight w:val="none"/>
        </w:rPr>
      </w:pPr>
      <w:r>
        <w:rPr>
          <w:rFonts w:hint="eastAsia" w:ascii="宋体" w:hAnsi="宋体" w:cs="宋体"/>
          <w:color w:val="auto"/>
          <w:highlight w:val="none"/>
        </w:rPr>
        <w:t xml:space="preserve">2.2磋商小组独立工作，负责评审所有响应文件并确定成交候选人。</w:t>
      </w:r>
      <w:r/>
    </w:p>
    <w:p>
      <w:pPr>
        <w:ind w:firstLine="420"/>
        <w:rPr>
          <w:rFonts w:hint="eastAsia" w:ascii="宋体" w:hAnsi="宋体" w:cs="宋体"/>
          <w:color w:val="auto"/>
          <w:highlight w:val="none"/>
        </w:rPr>
      </w:pPr>
      <w:r>
        <w:rPr>
          <w:rFonts w:hint="eastAsia" w:ascii="宋体" w:hAnsi="宋体" w:cs="宋体"/>
          <w:color w:val="auto"/>
          <w:highlight w:val="none"/>
        </w:rPr>
        <w:t xml:space="preserve">3.评审过程的保密与公正</w:t>
      </w:r>
      <w:r/>
    </w:p>
    <w:p>
      <w:pPr>
        <w:ind w:firstLine="420"/>
        <w:rPr>
          <w:rFonts w:hint="eastAsia" w:ascii="宋体" w:hAnsi="宋体" w:cs="宋体"/>
          <w:color w:val="auto"/>
          <w:highlight w:val="none"/>
        </w:rPr>
      </w:pPr>
      <w:r>
        <w:rPr>
          <w:rFonts w:hint="eastAsia" w:ascii="宋体" w:hAnsi="宋体" w:cs="宋体"/>
          <w:color w:val="auto"/>
          <w:highlight w:val="none"/>
        </w:rPr>
        <w:t xml:space="preserve">3.1磋商小组、采购人和采购代理机构工作人员、相关监督人员等与评审工作有关的人员，对评审情况以及在评审过程中获悉的国家秘密、商业秘密负有保密责任。</w:t>
      </w:r>
      <w:r/>
    </w:p>
    <w:p>
      <w:pPr>
        <w:ind w:firstLine="420"/>
        <w:rPr>
          <w:rFonts w:hint="eastAsia" w:ascii="宋体" w:hAnsi="宋体" w:cs="宋体"/>
          <w:color w:val="auto"/>
          <w:highlight w:val="none"/>
        </w:rPr>
      </w:pPr>
      <w:r>
        <w:rPr>
          <w:rFonts w:hint="eastAsia" w:ascii="宋体" w:hAnsi="宋体" w:cs="宋体"/>
          <w:color w:val="auto"/>
          <w:highlight w:val="none"/>
        </w:rPr>
        <w:t xml:space="preserve">3.2在评审过程中，供应商不得以任何行为影响磋商评审过程，否则其响应文件将被作为无效响应文件。</w:t>
      </w:r>
      <w:r/>
    </w:p>
    <w:p>
      <w:pPr>
        <w:ind w:firstLine="420"/>
        <w:rPr>
          <w:rFonts w:hint="eastAsia" w:ascii="宋体" w:hAnsi="宋体" w:cs="宋体"/>
          <w:color w:val="auto"/>
          <w:highlight w:val="none"/>
        </w:rPr>
      </w:pPr>
      <w:r>
        <w:rPr>
          <w:rFonts w:hint="eastAsia" w:ascii="宋体" w:hAnsi="宋体" w:cs="宋体"/>
          <w:color w:val="auto"/>
          <w:highlight w:val="none"/>
        </w:rPr>
        <w:t xml:space="preserve">3.3在项目评审期间，采购代理机构将设专门人员与供应商联系。</w:t>
      </w:r>
      <w:r/>
    </w:p>
    <w:p>
      <w:pPr>
        <w:ind w:firstLine="420"/>
        <w:rPr>
          <w:rFonts w:hint="eastAsia" w:ascii="宋体" w:hAnsi="宋体" w:cs="宋体"/>
          <w:color w:val="auto"/>
          <w:highlight w:val="none"/>
        </w:rPr>
      </w:pPr>
      <w:r>
        <w:rPr>
          <w:rFonts w:hint="eastAsia" w:ascii="宋体" w:hAnsi="宋体" w:cs="宋体"/>
          <w:color w:val="auto"/>
          <w:highlight w:val="none"/>
        </w:rPr>
        <w:t xml:space="preserve">3.4采购人、代理机构和磋商小组不向未成交的供应商解释未成交原因，也不公布评审过程中的相关细节。</w:t>
      </w:r>
      <w:r/>
    </w:p>
    <w:p>
      <w:pPr>
        <w:ind w:firstLine="420"/>
        <w:rPr>
          <w:rFonts w:hint="eastAsia" w:ascii="宋体" w:hAnsi="宋体" w:cs="宋体"/>
          <w:color w:val="auto"/>
          <w:highlight w:val="none"/>
        </w:rPr>
      </w:pPr>
      <w:r>
        <w:rPr>
          <w:rFonts w:hint="eastAsia" w:ascii="宋体" w:hAnsi="宋体" w:cs="宋体"/>
          <w:color w:val="auto"/>
          <w:highlight w:val="none"/>
        </w:rPr>
        <w:t xml:space="preserve">4.评审过程中的澄清</w:t>
      </w:r>
      <w:r/>
    </w:p>
    <w:p>
      <w:pPr>
        <w:ind w:firstLine="420"/>
        <w:rPr>
          <w:rFonts w:hint="eastAsia" w:ascii="宋体" w:hAnsi="宋体" w:cs="宋体"/>
          <w:color w:val="auto"/>
          <w:highlight w:val="none"/>
        </w:rPr>
      </w:pPr>
      <w:r>
        <w:rPr>
          <w:rFonts w:hint="eastAsia" w:ascii="宋体" w:hAnsi="宋体" w:cs="宋体"/>
          <w:color w:val="auto"/>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rPr>
          <w:rFonts w:hint="eastAsia" w:ascii="宋体" w:hAnsi="宋体" w:cs="宋体"/>
          <w:color w:val="auto"/>
          <w:highlight w:val="none"/>
        </w:rPr>
      </w:pPr>
      <w:r>
        <w:rPr>
          <w:rFonts w:hint="eastAsia" w:ascii="宋体" w:hAnsi="宋体" w:cs="宋体"/>
          <w:color w:val="auto"/>
          <w:highlight w:val="none"/>
        </w:rPr>
        <w:t xml:space="preserve">磋商小组并非对每个供应商都作澄清要求。</w:t>
      </w:r>
      <w:r/>
    </w:p>
    <w:p>
      <w:pPr>
        <w:ind w:firstLine="420"/>
        <w:rPr>
          <w:rFonts w:hint="eastAsia" w:ascii="宋体" w:hAnsi="宋体" w:cs="宋体"/>
          <w:color w:val="auto"/>
          <w:highlight w:val="none"/>
        </w:rPr>
      </w:pPr>
      <w:r>
        <w:rPr>
          <w:rFonts w:hint="eastAsia" w:ascii="宋体" w:hAnsi="宋体" w:cs="宋体"/>
          <w:color w:val="auto"/>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rPr>
          <w:rFonts w:hint="eastAsia" w:ascii="宋体" w:hAnsi="宋体" w:cs="宋体"/>
          <w:color w:val="auto"/>
          <w:highlight w:val="none"/>
        </w:rPr>
      </w:pPr>
      <w:r>
        <w:rPr>
          <w:rFonts w:hint="eastAsia" w:ascii="宋体" w:hAnsi="宋体" w:cs="宋体"/>
          <w:color w:val="auto"/>
          <w:highlight w:val="none"/>
        </w:rPr>
        <w:t xml:space="preserve">4.3接到磋商小组澄清、说明和更正要求的供应商如未按规定作出澄清、说明和更正，其风险由供应商自行承担。</w:t>
      </w:r>
      <w:r/>
    </w:p>
    <w:p>
      <w:pPr>
        <w:ind w:firstLine="420"/>
        <w:rPr>
          <w:rFonts w:hint="eastAsia" w:ascii="宋体" w:hAnsi="宋体" w:cs="宋体"/>
          <w:color w:val="auto"/>
          <w:highlight w:val="none"/>
        </w:rPr>
      </w:pPr>
      <w:r>
        <w:rPr>
          <w:rFonts w:hint="eastAsia" w:ascii="宋体" w:hAnsi="宋体" w:cs="宋体"/>
          <w:color w:val="auto"/>
          <w:highlight w:val="none"/>
        </w:rPr>
        <w:t xml:space="preserve">5.对响应文件的审查</w:t>
      </w:r>
      <w:r/>
    </w:p>
    <w:p>
      <w:pPr>
        <w:ind w:firstLine="420"/>
        <w:rPr>
          <w:rFonts w:hint="eastAsia" w:ascii="宋体" w:hAnsi="宋体" w:cs="宋体"/>
          <w:color w:val="auto"/>
          <w:highlight w:val="none"/>
        </w:rPr>
      </w:pPr>
      <w:r>
        <w:rPr>
          <w:rFonts w:hint="eastAsia" w:ascii="宋体" w:hAnsi="宋体" w:cs="宋体"/>
          <w:color w:val="auto"/>
          <w:highlight w:val="none"/>
        </w:rPr>
        <w:t xml:space="preserve">5.1响应文件审查分为资格审查和符合性审查。</w:t>
      </w:r>
      <w:r/>
    </w:p>
    <w:p>
      <w:pPr>
        <w:ind w:firstLine="420"/>
        <w:rPr>
          <w:rFonts w:hint="eastAsia" w:ascii="宋体" w:hAnsi="宋体" w:cs="宋体"/>
          <w:color w:val="auto"/>
          <w:highlight w:val="none"/>
        </w:rPr>
      </w:pPr>
      <w:r>
        <w:rPr>
          <w:rFonts w:hint="eastAsia" w:ascii="宋体" w:hAnsi="宋体" w:cs="宋体"/>
          <w:color w:val="auto"/>
          <w:highlight w:val="none"/>
        </w:rPr>
        <w:t xml:space="preserve">5.1.1资格审查：由磋商小组依据法律法规和采购文件的规定，对响应文件中的资格证明文件进行审查，以确定供应商是否具备参加磋商的资格。</w:t>
      </w:r>
      <w:r/>
    </w:p>
    <w:p>
      <w:pPr>
        <w:ind w:firstLine="420"/>
        <w:rPr>
          <w:rFonts w:hint="eastAsia" w:ascii="宋体" w:hAnsi="宋体" w:cs="宋体"/>
          <w:color w:val="auto"/>
          <w:highlight w:val="none"/>
        </w:rPr>
      </w:pPr>
      <w:r>
        <w:rPr>
          <w:rFonts w:hint="eastAsia" w:ascii="宋体" w:hAnsi="宋体" w:cs="宋体"/>
          <w:color w:val="auto"/>
          <w:highlight w:val="none"/>
        </w:rPr>
        <w:t xml:space="preserve">磋商小组在进行资格审查的同时，将在“信用中国”网站（www.creditchina.gov.cn）查询供应商的信用记录，以确定供应商是否具备磋商资格。</w:t>
      </w:r>
      <w:r/>
    </w:p>
    <w:p>
      <w:pPr>
        <w:ind w:firstLine="420"/>
        <w:rPr>
          <w:rFonts w:hint="eastAsia" w:ascii="宋体" w:hAnsi="宋体" w:cs="宋体"/>
          <w:color w:val="auto"/>
          <w:highlight w:val="none"/>
        </w:rPr>
      </w:pPr>
      <w:r>
        <w:rPr>
          <w:rFonts w:hint="eastAsia" w:ascii="宋体" w:hAnsi="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rPr>
          <w:rFonts w:hint="eastAsia" w:ascii="宋体" w:hAnsi="宋体" w:cs="宋体"/>
          <w:color w:val="auto"/>
          <w:highlight w:val="none"/>
        </w:rPr>
      </w:pPr>
      <w:r>
        <w:rPr>
          <w:rFonts w:hint="eastAsia" w:ascii="宋体" w:hAnsi="宋体" w:cs="宋体"/>
          <w:color w:val="auto"/>
          <w:highlight w:val="none"/>
        </w:rPr>
        <w:t xml:space="preserve">5.1.2符合性审查：依据采购文件的规定，由磋商小组从响应文件的有效性、完整性和对采购文件的响应程度进行审查，以确定是否对采购文件的实质性要求作出响应。</w:t>
      </w:r>
      <w:r/>
    </w:p>
    <w:p>
      <w:pPr>
        <w:ind w:firstLine="420"/>
        <w:rPr>
          <w:rFonts w:hint="eastAsia" w:ascii="宋体" w:hAnsi="宋体" w:cs="宋体"/>
          <w:color w:val="auto"/>
          <w:highlight w:val="none"/>
        </w:rPr>
      </w:pPr>
      <w:r>
        <w:rPr>
          <w:rFonts w:hint="eastAsia" w:ascii="宋体" w:hAnsi="宋体" w:cs="宋体"/>
          <w:color w:val="auto"/>
          <w:highlight w:val="none"/>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20"/>
        <w:rPr>
          <w:rFonts w:hint="eastAsia" w:ascii="宋体" w:hAnsi="宋体" w:cs="宋体"/>
          <w:color w:val="auto"/>
          <w:highlight w:val="none"/>
        </w:rPr>
      </w:pPr>
      <w:r>
        <w:rPr>
          <w:rFonts w:hint="eastAsia" w:ascii="宋体" w:hAnsi="宋体" w:cs="宋体"/>
          <w:color w:val="auto"/>
          <w:highlight w:val="none"/>
        </w:rPr>
        <w:t xml:space="preserve">5.2在详细评审之前，磋商小组将首先审查每份响应文件是否实质性响应了采购文件的要求。实质性响应的响应文件应该是与采购文件要求的条款、条件和规格相符，没有重大偏离或保留。</w:t>
      </w:r>
      <w:r/>
    </w:p>
    <w:p>
      <w:pPr>
        <w:ind w:firstLine="420"/>
        <w:rPr>
          <w:rFonts w:hint="eastAsia"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rPr>
          <w:rFonts w:hint="eastAsia" w:ascii="宋体" w:hAnsi="宋体" w:cs="宋体"/>
          <w:color w:val="auto"/>
          <w:highlight w:val="none"/>
        </w:rPr>
      </w:pPr>
      <w:r>
        <w:rPr>
          <w:rFonts w:hint="eastAsia" w:ascii="宋体" w:hAnsi="宋体" w:cs="宋体"/>
          <w:color w:val="auto"/>
          <w:highlight w:val="none"/>
        </w:rPr>
        <w:t xml:space="preserve">5.3未实质性响应采购文件的情形</w:t>
      </w:r>
      <w:r/>
    </w:p>
    <w:p>
      <w:pPr>
        <w:ind w:firstLine="420"/>
        <w:rPr>
          <w:rFonts w:hint="eastAsia" w:ascii="宋体" w:hAnsi="宋体" w:cs="宋体"/>
          <w:color w:val="auto"/>
          <w:highlight w:val="none"/>
        </w:rPr>
      </w:pPr>
      <w:r>
        <w:rPr>
          <w:rFonts w:hint="eastAsia" w:ascii="宋体" w:hAnsi="宋体" w:cs="宋体"/>
          <w:color w:val="auto"/>
          <w:highlight w:val="none"/>
        </w:rPr>
        <w:t xml:space="preserve">5.3.1供应商在苏采云系统规定的时间内未成功解密电子响应文件的；</w:t>
      </w:r>
      <w:r/>
    </w:p>
    <w:p>
      <w:pPr>
        <w:ind w:firstLine="420"/>
        <w:rPr>
          <w:rFonts w:hint="eastAsia" w:ascii="宋体" w:hAnsi="宋体" w:cs="宋体"/>
          <w:color w:val="auto"/>
          <w:highlight w:val="none"/>
        </w:rPr>
      </w:pPr>
      <w:r>
        <w:rPr>
          <w:rFonts w:hint="eastAsia" w:ascii="宋体" w:hAnsi="宋体" w:cs="宋体"/>
          <w:color w:val="auto"/>
          <w:highlight w:val="none"/>
        </w:rPr>
        <w:t xml:space="preserve">5.3.2供应商未按照采购文件要求上传电子响应文件的；</w:t>
      </w:r>
      <w:r/>
    </w:p>
    <w:p>
      <w:pPr>
        <w:ind w:firstLine="420"/>
        <w:rPr>
          <w:rFonts w:hint="eastAsia" w:ascii="宋体" w:hAnsi="宋体" w:cs="宋体"/>
          <w:color w:val="auto"/>
          <w:highlight w:val="none"/>
        </w:rPr>
      </w:pPr>
      <w:r>
        <w:rPr>
          <w:rFonts w:hint="eastAsia" w:ascii="宋体" w:hAnsi="宋体" w:cs="宋体"/>
          <w:color w:val="auto"/>
          <w:highlight w:val="none"/>
        </w:rPr>
        <w:t xml:space="preserve">5.3.3同一供应商提交两个（含两个）以上不同的响应文件或者最后报价的；</w:t>
      </w:r>
      <w:r/>
    </w:p>
    <w:p>
      <w:pPr>
        <w:ind w:firstLine="420"/>
        <w:rPr>
          <w:rFonts w:hint="eastAsia" w:ascii="宋体" w:hAnsi="宋体" w:cs="宋体"/>
          <w:color w:val="auto"/>
          <w:highlight w:val="none"/>
        </w:rPr>
      </w:pPr>
      <w:r>
        <w:rPr>
          <w:rFonts w:hint="eastAsia" w:ascii="宋体" w:hAnsi="宋体" w:cs="宋体"/>
          <w:color w:val="auto"/>
          <w:highlight w:val="none"/>
        </w:rPr>
        <w:t xml:space="preserve">5.3.4供应商不具备采购文件中规定的资格要求的；</w:t>
      </w:r>
      <w:r/>
    </w:p>
    <w:p>
      <w:pPr>
        <w:ind w:firstLine="420"/>
        <w:rPr>
          <w:rFonts w:hint="eastAsia" w:ascii="宋体" w:hAnsi="宋体" w:cs="宋体"/>
          <w:color w:val="auto"/>
          <w:highlight w:val="none"/>
        </w:rPr>
      </w:pPr>
      <w:r>
        <w:rPr>
          <w:rFonts w:hint="eastAsia" w:ascii="宋体" w:hAnsi="宋体" w:cs="宋体"/>
          <w:color w:val="auto"/>
          <w:highlight w:val="none"/>
        </w:rPr>
        <w:t xml:space="preserve">5.3.5供应商的最后报价超过了采购预算或最高限价的；</w:t>
      </w:r>
      <w:r/>
    </w:p>
    <w:p>
      <w:pPr>
        <w:ind w:firstLine="420"/>
        <w:rPr>
          <w:rFonts w:hint="eastAsia" w:ascii="宋体" w:hAnsi="宋体" w:cs="宋体"/>
          <w:color w:val="auto"/>
          <w:highlight w:val="none"/>
        </w:rPr>
      </w:pPr>
      <w:r>
        <w:rPr>
          <w:rFonts w:hint="eastAsia" w:ascii="宋体" w:hAnsi="宋体" w:cs="宋体"/>
          <w:color w:val="auto"/>
          <w:highlight w:val="none"/>
        </w:rPr>
        <w:t xml:space="preserve">5.3.6不符合采购文件中规定的实质性要求和条件的；</w:t>
      </w:r>
      <w:r/>
    </w:p>
    <w:p>
      <w:pPr>
        <w:ind w:firstLine="420"/>
        <w:rPr>
          <w:rFonts w:hint="eastAsia" w:ascii="宋体" w:hAnsi="宋体" w:cs="宋体"/>
          <w:color w:val="auto"/>
          <w:highlight w:val="none"/>
        </w:rPr>
      </w:pPr>
      <w:r>
        <w:rPr>
          <w:rFonts w:hint="eastAsia" w:ascii="宋体" w:hAnsi="宋体" w:cs="宋体"/>
          <w:color w:val="auto"/>
          <w:highlight w:val="none"/>
        </w:rPr>
        <w:t xml:space="preserve">5.3.7供应商被“信用中国”网站（www.creditchina.gov.cn）列入失信被执行人、重大税收违法失信主体、政府采购严重违法失信行为记录名单，或查询“信用中国”网站后发现供应商存在其他不符合《中华人民共和国政府采购法》第二十二条规定条件的信用记录；</w:t>
      </w:r>
      <w:r/>
    </w:p>
    <w:p>
      <w:pPr>
        <w:ind w:firstLine="420"/>
        <w:rPr>
          <w:rFonts w:hint="eastAsia" w:ascii="宋体" w:hAnsi="宋体" w:cs="宋体"/>
          <w:color w:val="auto"/>
          <w:highlight w:val="none"/>
        </w:rPr>
      </w:pPr>
      <w:r>
        <w:rPr>
          <w:rFonts w:hint="eastAsia" w:ascii="宋体" w:hAnsi="宋体" w:cs="宋体"/>
          <w:color w:val="auto"/>
          <w:highlight w:val="none"/>
        </w:rPr>
        <w:t xml:space="preserve">5.3.8响应文件中含有采购人不能接受的附加条件的；</w:t>
      </w:r>
      <w:r/>
    </w:p>
    <w:p>
      <w:pPr>
        <w:ind w:firstLine="420"/>
        <w:rPr>
          <w:rFonts w:hint="eastAsia" w:ascii="宋体" w:hAnsi="宋体" w:cs="宋体"/>
          <w:color w:val="auto"/>
          <w:highlight w:val="none"/>
        </w:rPr>
      </w:pPr>
      <w:r>
        <w:rPr>
          <w:rFonts w:hint="eastAsia" w:ascii="宋体" w:hAnsi="宋体" w:cs="宋体"/>
          <w:color w:val="auto"/>
          <w:highlight w:val="none"/>
        </w:rPr>
        <w:t xml:space="preserve">5.3.9磋商小组认定供应商的报价明显低于其他通过符合性审查供应商的报价，有可能影响服务质量或者不能诚信履约，且供应商不能应磋商小组要求在合理的时间内提供书面说明，并加盖CA电子公章（必要时磋商小组可要求供应商提交相关证明材料）证明其报价合理性的；</w:t>
      </w:r>
      <w:r/>
    </w:p>
    <w:p>
      <w:pPr>
        <w:ind w:firstLine="420"/>
        <w:rPr>
          <w:rFonts w:hint="eastAsia" w:ascii="宋体" w:hAnsi="宋体" w:cs="宋体"/>
          <w:color w:val="auto"/>
          <w:highlight w:val="none"/>
        </w:rPr>
      </w:pPr>
      <w:r>
        <w:rPr>
          <w:rFonts w:hint="eastAsia" w:ascii="宋体" w:hAnsi="宋体" w:cs="宋体"/>
          <w:color w:val="auto"/>
          <w:highlight w:val="none"/>
        </w:rPr>
        <w:t xml:space="preserve">5.3.10响应文件未按照采购文件要求加盖CA电子公章的；</w:t>
      </w:r>
      <w:r/>
    </w:p>
    <w:p>
      <w:pPr>
        <w:ind w:firstLine="420"/>
        <w:rPr>
          <w:rFonts w:hint="eastAsia" w:ascii="宋体" w:hAnsi="宋体" w:cs="宋体"/>
          <w:color w:val="auto"/>
          <w:highlight w:val="none"/>
        </w:rPr>
      </w:pPr>
      <w:r>
        <w:rPr>
          <w:rFonts w:hint="eastAsia" w:ascii="宋体" w:hAnsi="宋体" w:cs="宋体"/>
          <w:color w:val="auto"/>
          <w:highlight w:val="none"/>
        </w:rPr>
        <w:t xml:space="preserve">5.3.11标注“★”号，不能满足采购文件要求的；</w:t>
      </w:r>
      <w:r/>
    </w:p>
    <w:p>
      <w:pPr>
        <w:ind w:firstLine="420"/>
        <w:rPr>
          <w:rFonts w:hint="eastAsia" w:ascii="宋体" w:hAnsi="宋体" w:cs="宋体"/>
          <w:color w:val="auto"/>
          <w:highlight w:val="none"/>
        </w:rPr>
      </w:pPr>
      <w:r>
        <w:rPr>
          <w:rFonts w:hint="eastAsia" w:ascii="宋体" w:hAnsi="宋体" w:cs="宋体"/>
          <w:color w:val="auto"/>
          <w:highlight w:val="none"/>
        </w:rPr>
        <w:t xml:space="preserve">5.4未实质性响应采购文件的响应文件按无效响应处理。</w:t>
      </w:r>
      <w:r/>
    </w:p>
    <w:p>
      <w:pPr>
        <w:ind w:firstLine="420"/>
        <w:rPr>
          <w:rFonts w:hint="eastAsia" w:ascii="宋体" w:hAnsi="宋体" w:cs="宋体"/>
          <w:color w:val="auto"/>
          <w:highlight w:val="none"/>
        </w:rPr>
      </w:pPr>
      <w:r>
        <w:rPr>
          <w:rFonts w:hint="eastAsia" w:ascii="宋体" w:hAnsi="宋体" w:cs="宋体"/>
          <w:color w:val="auto"/>
          <w:highlight w:val="none"/>
        </w:rPr>
        <w:t xml:space="preserve">5.5如果响应文件实质上没有响应采购文件的要求，磋商小组将予以拒绝，供应商不得通过修改或撤销不符合要求的偏离或保留而使其成为实质性响应的文件。</w:t>
      </w:r>
      <w:r/>
    </w:p>
    <w:p>
      <w:pPr>
        <w:ind w:firstLine="420"/>
        <w:rPr>
          <w:rFonts w:hint="eastAsia" w:ascii="宋体" w:hAnsi="宋体" w:cs="宋体"/>
          <w:color w:val="auto"/>
          <w:highlight w:val="none"/>
        </w:rPr>
      </w:pPr>
      <w:r>
        <w:rPr>
          <w:rFonts w:hint="eastAsia" w:ascii="宋体" w:hAnsi="宋体" w:cs="宋体"/>
          <w:color w:val="auto"/>
          <w:highlight w:val="none"/>
        </w:rPr>
        <w:t xml:space="preserve">5.6供应商在项目评审全过程中应保持通信畅通，并安排专人与采购代理机构及磋商小组联系。</w:t>
      </w:r>
      <w:r/>
    </w:p>
    <w:p>
      <w:pPr>
        <w:ind w:firstLine="420"/>
        <w:rPr>
          <w:rFonts w:hint="eastAsia" w:ascii="宋体" w:hAnsi="宋体" w:cs="宋体"/>
          <w:color w:val="auto"/>
          <w:highlight w:val="none"/>
        </w:rPr>
      </w:pPr>
      <w:r>
        <w:rPr>
          <w:rFonts w:hint="eastAsia" w:ascii="宋体" w:hAnsi="宋体" w:cs="宋体"/>
          <w:color w:val="auto"/>
          <w:highlight w:val="none"/>
        </w:rPr>
        <w:t xml:space="preserve">6.磋商程序及评审方法和评审标准</w:t>
      </w:r>
      <w:r/>
    </w:p>
    <w:p>
      <w:pPr>
        <w:ind w:firstLine="420"/>
        <w:rPr>
          <w:rFonts w:hint="eastAsia" w:ascii="宋体" w:hAnsi="宋体" w:cs="宋体"/>
          <w:color w:val="auto"/>
          <w:highlight w:val="none"/>
        </w:rPr>
      </w:pPr>
      <w:r>
        <w:rPr>
          <w:rFonts w:hint="eastAsia" w:ascii="宋体" w:hAnsi="宋体" w:cs="宋体"/>
          <w:color w:val="auto"/>
          <w:highlight w:val="none"/>
        </w:rPr>
        <w:t xml:space="preserve">6.1磋商程序</w:t>
      </w:r>
      <w:r/>
    </w:p>
    <w:p>
      <w:pPr>
        <w:ind w:firstLine="420"/>
        <w:rPr>
          <w:rFonts w:hint="eastAsia" w:ascii="宋体" w:hAnsi="宋体" w:cs="宋体"/>
          <w:color w:val="auto"/>
          <w:highlight w:val="none"/>
        </w:rPr>
      </w:pPr>
      <w:r>
        <w:rPr>
          <w:rFonts w:hint="eastAsia" w:ascii="宋体" w:hAnsi="宋体" w:cs="宋体"/>
          <w:color w:val="auto"/>
          <w:highlight w:val="none"/>
        </w:rPr>
        <w:t xml:space="preserve">6.1.1对于通过资格审查和符合性审查的供应商，磋商小组将集中与单一供应商分别进行磋商。</w:t>
      </w:r>
      <w:r/>
    </w:p>
    <w:p>
      <w:pPr>
        <w:ind w:firstLine="420"/>
        <w:rPr>
          <w:rFonts w:hint="eastAsia" w:ascii="宋体" w:hAnsi="宋体" w:cs="宋体"/>
          <w:color w:val="auto"/>
          <w:highlight w:val="none"/>
        </w:rPr>
      </w:pPr>
      <w:r>
        <w:rPr>
          <w:rFonts w:hint="eastAsia" w:ascii="宋体" w:hAnsi="宋体" w:cs="宋体"/>
          <w:color w:val="auto"/>
          <w:highlight w:val="none"/>
        </w:rPr>
        <w:t xml:space="preserve">在磋商过程中，磋商小组可能根据采购文件和磋商情况实质性变动的内容有：采购需求中的技术、服务要求以及合同草案条款。对采购文件作出的实质性变动是采购文件的有效组成部分，磋商小组将在苏采云系统中通知所有参加磋商的供应商。供应商应当按照采购文件的变动情况和磋商小组的要求在苏采云系统中重新提交响应文件，并加盖CA电子公章。</w:t>
      </w:r>
      <w:r/>
    </w:p>
    <w:p>
      <w:pPr>
        <w:ind w:firstLine="420"/>
        <w:rPr>
          <w:rFonts w:hint="eastAsia" w:ascii="宋体" w:hAnsi="宋体" w:cs="宋体"/>
          <w:color w:val="auto"/>
          <w:highlight w:val="none"/>
        </w:rPr>
      </w:pPr>
      <w:r>
        <w:rPr>
          <w:rFonts w:hint="eastAsia" w:ascii="宋体" w:hAnsi="宋体" w:cs="宋体"/>
          <w:color w:val="auto"/>
          <w:highlight w:val="none"/>
        </w:rPr>
        <w:t xml:space="preserve">6.1.2采购文件能够详细列明采购标的的技术、服务要求的，磋商结束后，磋商小组将在苏采云系统要求所有实质性响应的供应商在规定时间内提交最后报价。本项目最后报价仅报总价，最后各项单价计算方法为：（最后报价总价/首次报价总价）*首次各项报价的单价。</w:t>
      </w:r>
      <w:r/>
    </w:p>
    <w:p>
      <w:pPr>
        <w:ind w:firstLine="420"/>
        <w:rPr>
          <w:rFonts w:hint="eastAsia" w:ascii="宋体" w:hAnsi="宋体" w:cs="宋体"/>
          <w:color w:val="auto"/>
          <w:highlight w:val="none"/>
        </w:rPr>
      </w:pPr>
      <w:r>
        <w:rPr>
          <w:rFonts w:hint="eastAsia" w:ascii="宋体" w:hAnsi="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20"/>
        <w:rPr>
          <w:rFonts w:hint="eastAsia"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rPr>
          <w:rFonts w:hint="eastAsia" w:ascii="宋体" w:hAnsi="宋体" w:cs="宋体"/>
          <w:color w:val="auto"/>
          <w:highlight w:val="none"/>
        </w:rPr>
      </w:pPr>
      <w:r>
        <w:rPr>
          <w:rFonts w:hint="eastAsia" w:ascii="宋体" w:hAnsi="宋体" w:cs="宋体"/>
          <w:color w:val="auto"/>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20"/>
        <w:rPr>
          <w:rFonts w:hint="eastAsia" w:ascii="宋体" w:hAnsi="宋体" w:cs="宋体"/>
          <w:color w:val="auto"/>
          <w:highlight w:val="none"/>
        </w:rPr>
      </w:pPr>
      <w:r>
        <w:rPr>
          <w:rFonts w:hint="eastAsia" w:ascii="宋体" w:hAnsi="宋体" w:cs="宋体"/>
          <w:color w:val="auto"/>
          <w:highlight w:val="none"/>
        </w:rPr>
        <w:t xml:space="preserve">6.2评审方法和评审标准</w:t>
      </w:r>
      <w:r/>
    </w:p>
    <w:p>
      <w:pPr>
        <w:ind w:firstLine="420"/>
        <w:rPr>
          <w:rFonts w:hint="eastAsia" w:ascii="宋体" w:hAnsi="宋体" w:cs="宋体"/>
          <w:color w:val="auto"/>
          <w:highlight w:val="none"/>
        </w:rPr>
      </w:pPr>
      <w:r>
        <w:rPr>
          <w:rFonts w:hint="eastAsia" w:ascii="宋体" w:hAnsi="宋体" w:cs="宋体"/>
          <w:color w:val="auto"/>
          <w:highlight w:val="none"/>
        </w:rPr>
        <w:t xml:space="preserve">6.2.1评审方法。经磋商确定最终采购需求和提交最后报价的供应商后，由磋商小组采用综合评分法对提交最后报价的供应商的响应文件和最后报价进行综合评分。</w:t>
      </w:r>
      <w:r/>
    </w:p>
    <w:p>
      <w:pPr>
        <w:ind w:firstLine="420"/>
        <w:rPr>
          <w:rFonts w:hint="eastAsia" w:ascii="宋体" w:hAnsi="宋体" w:cs="宋体"/>
          <w:color w:val="auto"/>
          <w:highlight w:val="none"/>
        </w:rPr>
      </w:pPr>
      <w:r>
        <w:rPr>
          <w:rFonts w:hint="eastAsia" w:ascii="宋体" w:hAnsi="宋体" w:cs="宋体"/>
          <w:color w:val="auto"/>
          <w:highlight w:val="none"/>
        </w:rPr>
        <w:t xml:space="preserve">本采购文件所述综合评分法，是指响应文件满足采购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6.2.2相同品牌产品的处理方法</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w:t>
      </w:r>
      <w:r>
        <w:rPr>
          <w:rFonts w:hint="eastAsia" w:ascii="宋体" w:cs="宋体"/>
          <w:color w:val="auto"/>
          <w:szCs w:val="21"/>
          <w:highlight w:val="none"/>
        </w:rPr>
        <w:t xml:space="preserve">采取随机抽取方式</w:t>
      </w:r>
      <w:r>
        <w:rPr>
          <w:rFonts w:hint="eastAsia" w:ascii="宋体" w:hAnsi="宋体" w:cs="宋体"/>
          <w:color w:val="auto"/>
          <w:szCs w:val="21"/>
          <w:highlight w:val="none"/>
        </w:rPr>
        <w:t xml:space="preserve">确定，其他同品牌供应商不作为中标候选人。</w:t>
      </w:r>
      <w:r/>
    </w:p>
    <w:p>
      <w:pPr>
        <w:ind w:firstLine="420"/>
        <w:rPr>
          <w:rFonts w:hint="eastAsia" w:ascii="宋体" w:hAnsi="宋体" w:cs="宋体"/>
          <w:color w:val="auto"/>
          <w:highlight w:val="none"/>
        </w:rPr>
      </w:pPr>
      <w:r>
        <w:rPr>
          <w:rFonts w:hint="eastAsia" w:ascii="宋体" w:hAnsi="宋体" w:cs="宋体"/>
          <w:color w:val="auto"/>
          <w:szCs w:val="21"/>
          <w:highlight w:val="none"/>
        </w:rPr>
        <w:t xml:space="preserve">非单一产品采购项目，采购文件中将载明其中的核心产品。多家供应商提供的核心产品品牌相同的，按前两款规定处理。</w:t>
      </w:r>
      <w:r/>
    </w:p>
    <w:p>
      <w:pPr>
        <w:ind w:firstLine="420"/>
        <w:rPr>
          <w:rFonts w:hint="eastAsia" w:ascii="宋体" w:hAnsi="宋体" w:cs="宋体"/>
          <w:color w:val="auto"/>
          <w:highlight w:val="none"/>
        </w:rPr>
      </w:pPr>
      <w:r>
        <w:rPr>
          <w:rFonts w:hint="eastAsia" w:ascii="宋体" w:hAnsi="宋体" w:cs="宋体"/>
          <w:color w:val="auto"/>
          <w:highlight w:val="none"/>
        </w:rPr>
        <w:t xml:space="preserve">6.2.3评审标准</w:t>
      </w:r>
      <w:r/>
    </w:p>
    <w:p>
      <w:pPr>
        <w:ind w:firstLine="420"/>
        <w:rPr>
          <w:rFonts w:hint="eastAsia" w:ascii="宋体" w:hAnsi="宋体" w:cs="宋体"/>
          <w:color w:val="auto"/>
          <w:highlight w:val="none"/>
        </w:rPr>
      </w:pPr>
      <w:r>
        <w:rPr>
          <w:rFonts w:hint="eastAsia" w:ascii="宋体" w:hAnsi="宋体" w:cs="宋体"/>
          <w:color w:val="auto"/>
          <w:highlight w:val="none"/>
        </w:rPr>
        <w:t xml:space="preserve">详见本采购文件第五章规定。</w:t>
      </w:r>
      <w:r/>
    </w:p>
    <w:p>
      <w:pPr>
        <w:ind w:firstLine="420"/>
        <w:rPr>
          <w:rFonts w:hint="eastAsia" w:ascii="宋体" w:hAnsi="宋体" w:cs="宋体"/>
          <w:color w:val="auto"/>
          <w:highlight w:val="none"/>
        </w:rPr>
      </w:pPr>
      <w:r>
        <w:rPr>
          <w:rFonts w:hint="eastAsia" w:ascii="宋体" w:hAnsi="宋体" w:cs="宋体"/>
          <w:color w:val="auto"/>
          <w:highlight w:val="none"/>
        </w:rPr>
        <w:t xml:space="preserve">6.3采购活动终止的情况</w:t>
      </w:r>
      <w:r/>
    </w:p>
    <w:p>
      <w:pPr>
        <w:ind w:firstLine="420"/>
        <w:rPr>
          <w:rFonts w:hint="eastAsia" w:ascii="宋体" w:hAnsi="宋体" w:cs="宋体"/>
          <w:color w:val="auto"/>
          <w:highlight w:val="none"/>
        </w:rPr>
      </w:pPr>
      <w:r>
        <w:rPr>
          <w:rFonts w:hint="eastAsia" w:ascii="宋体" w:hAnsi="宋体" w:cs="宋体"/>
          <w:color w:val="auto"/>
          <w:highlight w:val="none"/>
        </w:rPr>
        <w:t xml:space="preserve">出现下列情形之一的，本次竞争性磋商采购活动将被终止：</w:t>
      </w:r>
      <w:r/>
    </w:p>
    <w:p>
      <w:pPr>
        <w:ind w:firstLine="420"/>
        <w:rPr>
          <w:rFonts w:hint="eastAsia" w:ascii="宋体" w:hAnsi="宋体" w:cs="宋体"/>
          <w:color w:val="auto"/>
          <w:highlight w:val="none"/>
        </w:rPr>
      </w:pPr>
      <w:r>
        <w:rPr>
          <w:rFonts w:hint="eastAsia" w:ascii="宋体" w:hAnsi="宋体" w:cs="宋体"/>
          <w:color w:val="auto"/>
          <w:highlight w:val="none"/>
        </w:rPr>
        <w:t xml:space="preserve">6.3.1因情况变化，不再符合规定的竞争性磋商采购方式适用情形的。</w:t>
      </w:r>
      <w:r/>
    </w:p>
    <w:p>
      <w:pPr>
        <w:ind w:firstLine="420"/>
        <w:rPr>
          <w:rFonts w:hint="eastAsia" w:ascii="宋体" w:hAnsi="宋体" w:cs="宋体"/>
          <w:color w:val="auto"/>
          <w:highlight w:val="none"/>
        </w:rPr>
      </w:pPr>
      <w:r>
        <w:rPr>
          <w:rFonts w:hint="eastAsia" w:ascii="宋体" w:hAnsi="宋体" w:cs="宋体"/>
          <w:color w:val="auto"/>
          <w:highlight w:val="none"/>
        </w:rPr>
        <w:t xml:space="preserve">6.3.2出现影响采购公正性的违法、违规行为的。</w:t>
      </w:r>
      <w:r/>
    </w:p>
    <w:p>
      <w:pPr>
        <w:ind w:firstLine="420"/>
        <w:rPr>
          <w:rFonts w:hint="eastAsia" w:ascii="宋体" w:hAnsi="宋体" w:cs="宋体"/>
          <w:color w:val="auto"/>
          <w:highlight w:val="none"/>
        </w:rPr>
      </w:pPr>
      <w:r>
        <w:rPr>
          <w:rFonts w:hint="eastAsia" w:ascii="宋体" w:hAnsi="宋体" w:cs="宋体"/>
          <w:color w:val="auto"/>
          <w:highlight w:val="none"/>
        </w:rPr>
        <w:t xml:space="preserve">6.3.3除本采购文件第二章第6.1.2条第三款规定的情形外，在采购过程中符合要求的供应商或者最后报价未超过采购预算的供应商不足3家的。</w:t>
      </w:r>
      <w:r/>
    </w:p>
    <w:p>
      <w:pPr>
        <w:ind w:firstLine="420"/>
        <w:rPr>
          <w:rFonts w:hint="eastAsia" w:ascii="宋体" w:hAnsi="宋体" w:cs="宋体"/>
          <w:color w:val="auto"/>
          <w:highlight w:val="none"/>
        </w:rPr>
      </w:pPr>
      <w:r>
        <w:rPr>
          <w:rFonts w:hint="eastAsia" w:ascii="宋体" w:hAnsi="宋体" w:cs="宋体"/>
          <w:color w:val="auto"/>
          <w:highlight w:val="none"/>
        </w:rPr>
        <w:t xml:space="preserve">6.3.4在苏采云系统规定时间内成功解密电子响应文件的供应商不足3家的。</w:t>
      </w:r>
      <w:r/>
    </w:p>
    <w:p>
      <w:pPr>
        <w:ind w:firstLine="422"/>
        <w:rPr>
          <w:rFonts w:hint="eastAsia" w:ascii="宋体" w:hAnsi="宋体" w:cs="宋体"/>
          <w:b/>
          <w:bCs/>
          <w:color w:val="auto"/>
          <w:highlight w:val="none"/>
        </w:rPr>
      </w:pPr>
      <w:r>
        <w:rPr>
          <w:rFonts w:hint="eastAsia" w:ascii="宋体" w:hAnsi="宋体" w:cs="宋体"/>
          <w:b/>
          <w:bCs/>
          <w:color w:val="auto"/>
          <w:highlight w:val="none"/>
        </w:rPr>
        <w:t xml:space="preserve">五、成交</w:t>
      </w:r>
      <w:r/>
    </w:p>
    <w:p>
      <w:pPr>
        <w:ind w:firstLine="420"/>
        <w:rPr>
          <w:rFonts w:hint="eastAsia" w:ascii="宋体" w:hAnsi="宋体" w:cs="宋体"/>
          <w:color w:val="auto"/>
          <w:highlight w:val="none"/>
        </w:rPr>
      </w:pPr>
      <w:r>
        <w:rPr>
          <w:rFonts w:hint="eastAsia" w:ascii="宋体" w:hAnsi="宋体" w:cs="宋体"/>
          <w:color w:val="auto"/>
          <w:highlight w:val="none"/>
        </w:rPr>
        <w:t xml:space="preserve">1.确定成交单位</w:t>
      </w:r>
      <w:r/>
    </w:p>
    <w:p>
      <w:pPr>
        <w:ind w:firstLine="420"/>
        <w:rPr>
          <w:rFonts w:hint="eastAsia" w:ascii="宋体" w:hAnsi="宋体" w:cs="宋体"/>
          <w:color w:val="auto"/>
          <w:highlight w:val="none"/>
        </w:rPr>
      </w:pPr>
      <w:r>
        <w:rPr>
          <w:rFonts w:hint="eastAsia" w:ascii="宋体" w:hAnsi="宋体" w:cs="宋体"/>
          <w:color w:val="auto"/>
          <w:highlight w:val="none"/>
        </w:rPr>
        <w:t xml:space="preserve">1.1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420"/>
        <w:rPr>
          <w:rFonts w:hint="eastAsia" w:ascii="宋体" w:hAnsi="宋体" w:cs="宋体"/>
          <w:color w:val="auto"/>
          <w:highlight w:val="none"/>
        </w:rPr>
      </w:pPr>
      <w:r>
        <w:rPr>
          <w:rFonts w:hint="eastAsia" w:ascii="宋体" w:hAnsi="宋体" w:cs="宋体"/>
          <w:color w:val="auto"/>
          <w:highlight w:val="none"/>
        </w:rPr>
        <w:t xml:space="preserve">1.2采购人从评审报告提出的成交候选供应商中，按照排序由高到低的原则确定成交供应商。采购人在确定成交供应商后，采购人将在“泰州市政府采购网”发布成交结果公告，公告期限为1个工作日。</w:t>
      </w:r>
      <w:r/>
    </w:p>
    <w:p>
      <w:pPr>
        <w:ind w:firstLine="420"/>
        <w:rPr>
          <w:rFonts w:hint="eastAsia" w:ascii="宋体" w:hAnsi="宋体" w:cs="宋体"/>
          <w:color w:val="auto"/>
          <w:highlight w:val="none"/>
        </w:rPr>
      </w:pPr>
      <w:r>
        <w:rPr>
          <w:rFonts w:hint="eastAsia" w:ascii="宋体" w:hAnsi="宋体" w:cs="宋体"/>
          <w:color w:val="auto"/>
          <w:highlight w:val="none"/>
        </w:rPr>
        <w:t xml:space="preserve">1.3若有充分证据证明，成交供应商出现下列情况之一的，一经查实，将被取消成交资格：</w:t>
      </w:r>
      <w:r/>
    </w:p>
    <w:p>
      <w:pPr>
        <w:ind w:firstLine="420"/>
        <w:rPr>
          <w:rFonts w:hint="eastAsia" w:ascii="宋体" w:hAnsi="宋体" w:cs="宋体"/>
          <w:color w:val="auto"/>
          <w:highlight w:val="none"/>
        </w:rPr>
      </w:pPr>
      <w:r>
        <w:rPr>
          <w:rFonts w:hint="eastAsia" w:ascii="宋体" w:hAnsi="宋体" w:cs="宋体"/>
          <w:color w:val="auto"/>
          <w:highlight w:val="none"/>
        </w:rPr>
        <w:t xml:space="preserve">1.3.1提供虚假材料牟取成交的。</w:t>
      </w:r>
      <w:r/>
    </w:p>
    <w:p>
      <w:pPr>
        <w:ind w:firstLine="420"/>
        <w:rPr>
          <w:rFonts w:hint="eastAsia" w:ascii="宋体" w:hAnsi="宋体" w:cs="宋体"/>
          <w:color w:val="auto"/>
          <w:highlight w:val="none"/>
        </w:rPr>
      </w:pPr>
      <w:r>
        <w:rPr>
          <w:rFonts w:hint="eastAsia" w:ascii="宋体" w:hAnsi="宋体" w:cs="宋体"/>
          <w:color w:val="auto"/>
          <w:highlight w:val="none"/>
        </w:rPr>
        <w:t xml:space="preserve">1.3.2与评审专家、采购人、其他供应商或者采购代理机构工作人员恶意串通的。</w:t>
      </w:r>
      <w:r/>
    </w:p>
    <w:p>
      <w:pPr>
        <w:ind w:firstLine="420"/>
        <w:rPr>
          <w:rFonts w:hint="eastAsia" w:ascii="宋体" w:hAnsi="宋体" w:cs="宋体"/>
          <w:color w:val="auto"/>
          <w:highlight w:val="none"/>
        </w:rPr>
      </w:pPr>
      <w:r>
        <w:rPr>
          <w:rFonts w:hint="eastAsia" w:ascii="宋体" w:hAnsi="宋体" w:cs="宋体"/>
          <w:color w:val="auto"/>
          <w:highlight w:val="none"/>
        </w:rPr>
        <w:t xml:space="preserve">1.3.3向评审专家、采购人或采购代理机构工作人员行贿或者提供其他不正当利益的。</w:t>
      </w:r>
      <w:r/>
    </w:p>
    <w:p>
      <w:pPr>
        <w:ind w:firstLine="420"/>
        <w:rPr>
          <w:rFonts w:hint="eastAsia" w:ascii="宋体" w:hAnsi="宋体" w:cs="宋体"/>
          <w:color w:val="auto"/>
          <w:highlight w:val="none"/>
        </w:rPr>
      </w:pPr>
      <w:r>
        <w:rPr>
          <w:rFonts w:hint="eastAsia" w:ascii="宋体" w:hAnsi="宋体" w:cs="宋体"/>
          <w:color w:val="auto"/>
          <w:highlight w:val="none"/>
        </w:rPr>
        <w:t xml:space="preserve">1.3.4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20"/>
        <w:rPr>
          <w:rFonts w:hint="eastAsia" w:ascii="宋体" w:hAnsi="宋体" w:cs="宋体"/>
          <w:color w:val="auto"/>
          <w:highlight w:val="none"/>
        </w:rPr>
      </w:pPr>
      <w:r>
        <w:rPr>
          <w:rFonts w:hint="eastAsia" w:ascii="宋体" w:hAnsi="宋体" w:cs="宋体"/>
          <w:color w:val="auto"/>
          <w:highlight w:val="none"/>
        </w:rPr>
        <w:t xml:space="preserve">1.3.5不满足本采购文件规定的实质性要求，但在评审过程中又未被磋商小组发现的。</w:t>
      </w:r>
      <w:r/>
    </w:p>
    <w:p>
      <w:pPr>
        <w:ind w:firstLine="420"/>
        <w:rPr>
          <w:rFonts w:hint="eastAsia" w:ascii="宋体" w:hAnsi="宋体" w:cs="宋体"/>
          <w:color w:val="auto"/>
          <w:highlight w:val="none"/>
        </w:rPr>
      </w:pPr>
      <w:r>
        <w:rPr>
          <w:rFonts w:hint="eastAsia" w:ascii="宋体" w:hAnsi="宋体" w:cs="宋体"/>
          <w:color w:val="auto"/>
          <w:highlight w:val="none"/>
        </w:rPr>
        <w:t xml:space="preserve">1.3.6成交后无正当理由拒不与采购人签订政府采购合同或者未按照采购文件确定的事项签订政府采购合同的。</w:t>
      </w:r>
      <w:r/>
    </w:p>
    <w:p>
      <w:pPr>
        <w:ind w:firstLine="420"/>
        <w:rPr>
          <w:rFonts w:hint="eastAsia" w:ascii="宋体" w:hAnsi="宋体" w:cs="宋体"/>
          <w:color w:val="auto"/>
          <w:highlight w:val="none"/>
        </w:rPr>
      </w:pPr>
      <w:r>
        <w:rPr>
          <w:rFonts w:hint="eastAsia" w:ascii="宋体" w:hAnsi="宋体" w:cs="宋体"/>
          <w:color w:val="auto"/>
          <w:highlight w:val="none"/>
        </w:rPr>
        <w:t xml:space="preserve">2.质疑处理</w:t>
      </w:r>
      <w:r/>
    </w:p>
    <w:p>
      <w:pPr>
        <w:ind w:firstLine="420"/>
        <w:rPr>
          <w:rFonts w:hint="eastAsia" w:ascii="宋体" w:hAnsi="宋体" w:cs="宋体"/>
          <w:color w:val="auto"/>
          <w:highlight w:val="none"/>
        </w:rPr>
      </w:pPr>
      <w:r>
        <w:rPr>
          <w:rFonts w:hint="eastAsia" w:ascii="宋体" w:hAnsi="宋体" w:cs="宋体"/>
          <w:color w:val="auto"/>
          <w:highlight w:val="none"/>
        </w:rPr>
        <w:t xml:space="preserve">2.1提出质疑的供应商应当是参与所质疑项目采购活动的供应商。潜在供应商依法获取其可质疑的采购文件的，可以对采购文件提出质疑。</w:t>
      </w:r>
      <w:r/>
    </w:p>
    <w:p>
      <w:pPr>
        <w:ind w:firstLine="420"/>
        <w:rPr>
          <w:rFonts w:hint="eastAsia" w:ascii="宋体" w:hAnsi="宋体" w:cs="宋体"/>
          <w:color w:val="auto"/>
          <w:highlight w:val="none"/>
        </w:rPr>
      </w:pPr>
      <w:r>
        <w:rPr>
          <w:rFonts w:hint="eastAsia" w:ascii="宋体" w:hAnsi="宋体" w:cs="宋体"/>
          <w:color w:val="auto"/>
          <w:highlight w:val="none"/>
        </w:rPr>
        <w:t xml:space="preserve">2.2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20"/>
        <w:rPr>
          <w:rFonts w:hint="eastAsia" w:ascii="宋体" w:hAnsi="宋体" w:cs="宋体"/>
          <w:color w:val="auto"/>
          <w:highlight w:val="none"/>
        </w:rPr>
      </w:pPr>
      <w:r>
        <w:rPr>
          <w:rFonts w:hint="eastAsia" w:ascii="宋体" w:hAnsi="宋体" w:cs="宋体"/>
          <w:color w:val="auto"/>
          <w:highlight w:val="none"/>
        </w:rPr>
        <w:t xml:space="preserve">2.2.1对可以质疑的采购文件提出质疑的，为收到采购文件之日或者采购文件公告期限届满之日。</w:t>
      </w:r>
      <w:r/>
    </w:p>
    <w:p>
      <w:pPr>
        <w:ind w:firstLine="420"/>
        <w:rPr>
          <w:rFonts w:hint="eastAsia" w:ascii="宋体" w:hAnsi="宋体" w:cs="宋体"/>
          <w:color w:val="auto"/>
          <w:highlight w:val="none"/>
        </w:rPr>
      </w:pPr>
      <w:r>
        <w:rPr>
          <w:rFonts w:hint="eastAsia" w:ascii="宋体" w:hAnsi="宋体" w:cs="宋体"/>
          <w:color w:val="auto"/>
          <w:highlight w:val="none"/>
        </w:rPr>
        <w:t xml:space="preserve">2.2.2对采购过程提出质疑的，为各采购程序环节结束之日。</w:t>
      </w:r>
      <w:r/>
    </w:p>
    <w:p>
      <w:pPr>
        <w:ind w:firstLine="420"/>
        <w:rPr>
          <w:rFonts w:hint="eastAsia" w:ascii="宋体" w:hAnsi="宋体" w:cs="宋体"/>
          <w:color w:val="auto"/>
          <w:highlight w:val="none"/>
        </w:rPr>
      </w:pPr>
      <w:r>
        <w:rPr>
          <w:rFonts w:hint="eastAsia" w:ascii="宋体" w:hAnsi="宋体" w:cs="宋体"/>
          <w:color w:val="auto"/>
          <w:highlight w:val="none"/>
        </w:rPr>
        <w:t xml:space="preserve">2.2.3对成交结果提出质疑的，为成交结果公告期限届满之日。</w:t>
      </w:r>
      <w:r/>
    </w:p>
    <w:p>
      <w:pPr>
        <w:ind w:firstLine="420"/>
        <w:rPr>
          <w:rFonts w:hint="eastAsia" w:ascii="宋体" w:hAnsi="宋体" w:cs="宋体"/>
          <w:color w:val="auto"/>
          <w:highlight w:val="none"/>
        </w:rPr>
      </w:pPr>
      <w:r>
        <w:rPr>
          <w:rFonts w:hint="eastAsia" w:ascii="宋体" w:hAnsi="宋体" w:cs="宋体"/>
          <w:color w:val="auto"/>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20"/>
        <w:rPr>
          <w:rFonts w:hint="eastAsia" w:ascii="宋体" w:hAnsi="宋体" w:cs="宋体"/>
          <w:color w:val="auto"/>
          <w:highlight w:val="none"/>
        </w:rPr>
      </w:pPr>
      <w:r>
        <w:rPr>
          <w:rFonts w:hint="eastAsia" w:ascii="宋体" w:hAnsi="宋体" w:cs="宋体"/>
          <w:color w:val="auto"/>
          <w:highlight w:val="none"/>
        </w:rPr>
        <w:t xml:space="preserve">2.3质疑函必须按照本采购文件中《质疑函范本》要求的格式和内容进行填写。</w:t>
      </w:r>
      <w:r/>
    </w:p>
    <w:p>
      <w:pPr>
        <w:ind w:firstLine="420"/>
        <w:rPr>
          <w:rFonts w:hint="eastAsia" w:ascii="宋体" w:hAnsi="宋体" w:cs="宋体"/>
          <w:color w:val="auto"/>
          <w:highlight w:val="none"/>
        </w:rPr>
      </w:pPr>
      <w:r>
        <w:rPr>
          <w:rFonts w:hint="eastAsia" w:ascii="宋体" w:hAnsi="宋体" w:cs="宋体"/>
          <w:color w:val="auto"/>
          <w:highlight w:val="none"/>
        </w:rPr>
        <w:t xml:space="preserve">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20"/>
        <w:rPr>
          <w:rFonts w:hint="eastAsia" w:ascii="宋体" w:hAnsi="宋体" w:cs="宋体"/>
          <w:color w:val="auto"/>
          <w:highlight w:val="none"/>
        </w:rPr>
      </w:pPr>
      <w:r>
        <w:rPr>
          <w:rFonts w:hint="eastAsia" w:ascii="宋体" w:hAnsi="宋体" w:cs="宋体"/>
          <w:color w:val="auto"/>
          <w:highlight w:val="none"/>
        </w:rPr>
        <w:t xml:space="preserve">采购人及采购代理机构只接收以纸质原件形式送达的质疑。</w:t>
      </w:r>
      <w:r/>
    </w:p>
    <w:p>
      <w:pPr>
        <w:ind w:firstLine="420"/>
        <w:rPr>
          <w:rFonts w:hint="eastAsia" w:ascii="宋体" w:hAnsi="宋体" w:cs="宋体"/>
          <w:color w:val="auto"/>
          <w:highlight w:val="none"/>
        </w:rPr>
      </w:pPr>
      <w:r>
        <w:rPr>
          <w:rFonts w:hint="eastAsia" w:ascii="宋体" w:hAnsi="宋体" w:cs="宋体"/>
          <w:color w:val="auto"/>
          <w:highlight w:val="none"/>
        </w:rPr>
        <w:t xml:space="preserve">采购人质疑接收人及联系方式见本采购文件第一章。</w:t>
      </w:r>
      <w:r/>
    </w:p>
    <w:p>
      <w:pPr>
        <w:ind w:firstLine="420"/>
        <w:rPr>
          <w:rFonts w:hint="eastAsia" w:ascii="宋体" w:hAnsi="宋体" w:cs="宋体"/>
          <w:color w:val="auto"/>
          <w:highlight w:val="none"/>
        </w:rPr>
      </w:pPr>
      <w:r>
        <w:rPr>
          <w:rFonts w:hint="eastAsia" w:ascii="宋体" w:hAnsi="宋体" w:cs="宋体"/>
          <w:color w:val="auto"/>
          <w:highlight w:val="none"/>
        </w:rPr>
        <w:t xml:space="preserve">2.5以下情形的质疑不予受理</w:t>
      </w:r>
      <w:r/>
    </w:p>
    <w:p>
      <w:pPr>
        <w:ind w:firstLine="420"/>
        <w:rPr>
          <w:rFonts w:hint="eastAsia" w:ascii="宋体" w:hAnsi="宋体" w:cs="宋体"/>
          <w:color w:val="auto"/>
          <w:highlight w:val="none"/>
        </w:rPr>
      </w:pPr>
      <w:r>
        <w:rPr>
          <w:rFonts w:hint="eastAsia" w:ascii="宋体" w:hAnsi="宋体" w:cs="宋体"/>
          <w:color w:val="auto"/>
          <w:highlight w:val="none"/>
        </w:rPr>
        <w:t xml:space="preserve">2.5.1内容不符合《政府采购质疑和投诉办法》第十二条规定的质疑。</w:t>
      </w:r>
      <w:r/>
    </w:p>
    <w:p>
      <w:pPr>
        <w:ind w:firstLine="420"/>
        <w:rPr>
          <w:rFonts w:hint="eastAsia" w:ascii="宋体" w:hAnsi="宋体" w:cs="宋体"/>
          <w:color w:val="auto"/>
          <w:highlight w:val="none"/>
        </w:rPr>
      </w:pPr>
      <w:r>
        <w:rPr>
          <w:rFonts w:hint="eastAsia" w:ascii="宋体" w:hAnsi="宋体" w:cs="宋体"/>
          <w:color w:val="auto"/>
          <w:highlight w:val="none"/>
        </w:rPr>
        <w:t xml:space="preserve">2.5.2超出政府采购法定期限的质疑。</w:t>
      </w:r>
      <w:r/>
    </w:p>
    <w:p>
      <w:pPr>
        <w:ind w:firstLine="420"/>
        <w:rPr>
          <w:rFonts w:hint="eastAsia" w:ascii="宋体" w:hAnsi="宋体" w:cs="宋体"/>
          <w:color w:val="auto"/>
          <w:highlight w:val="none"/>
        </w:rPr>
      </w:pPr>
      <w:r>
        <w:rPr>
          <w:rFonts w:hint="eastAsia" w:ascii="宋体" w:hAnsi="宋体" w:cs="宋体"/>
          <w:color w:val="auto"/>
          <w:highlight w:val="none"/>
        </w:rPr>
        <w:t xml:space="preserve">2.5.3以传真、电子邮件等方式递交的非原件形式的质疑。</w:t>
      </w:r>
      <w:r/>
    </w:p>
    <w:p>
      <w:pPr>
        <w:ind w:firstLine="420"/>
        <w:rPr>
          <w:rFonts w:hint="eastAsia" w:ascii="宋体" w:hAnsi="宋体" w:cs="宋体"/>
          <w:color w:val="auto"/>
          <w:highlight w:val="none"/>
        </w:rPr>
      </w:pPr>
      <w:r>
        <w:rPr>
          <w:rFonts w:hint="eastAsia" w:ascii="宋体" w:hAnsi="宋体" w:cs="宋体"/>
          <w:color w:val="auto"/>
          <w:highlight w:val="none"/>
        </w:rPr>
        <w:t xml:space="preserve">2.5.4未参加磋商活动的供应商或在磋商活动中自身权益未受到损害的供应商所提出的质疑。</w:t>
      </w:r>
      <w:r/>
    </w:p>
    <w:p>
      <w:pPr>
        <w:ind w:firstLine="420"/>
        <w:rPr>
          <w:rFonts w:hint="eastAsia" w:ascii="宋体" w:hAnsi="宋体" w:cs="宋体"/>
          <w:color w:val="auto"/>
          <w:highlight w:val="none"/>
        </w:rPr>
      </w:pPr>
      <w:r>
        <w:rPr>
          <w:rFonts w:hint="eastAsia" w:ascii="宋体" w:hAnsi="宋体" w:cs="宋体"/>
          <w:color w:val="auto"/>
          <w:highlight w:val="none"/>
        </w:rPr>
        <w:t xml:space="preserve">2.5.5供应商组成联合体参加磋商，联合体中任何一方或多方未按要求签字、盖章、加盖公章的质疑。</w:t>
      </w:r>
      <w:r/>
    </w:p>
    <w:p>
      <w:pPr>
        <w:ind w:firstLine="420"/>
        <w:rPr>
          <w:rFonts w:hint="eastAsia" w:ascii="宋体" w:hAnsi="宋体" w:cs="宋体"/>
          <w:color w:val="auto"/>
          <w:highlight w:val="none"/>
        </w:rPr>
      </w:pPr>
      <w:r>
        <w:rPr>
          <w:rFonts w:hint="eastAsia" w:ascii="宋体" w:hAnsi="宋体" w:cs="宋体"/>
          <w:color w:val="auto"/>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rPr>
          <w:rFonts w:hint="eastAsia" w:ascii="宋体" w:hAnsi="宋体" w:cs="宋体"/>
          <w:color w:val="auto"/>
          <w:highlight w:val="none"/>
        </w:rPr>
      </w:pPr>
      <w:r>
        <w:rPr>
          <w:rFonts w:hint="eastAsia" w:ascii="宋体" w:hAnsi="宋体" w:cs="宋体"/>
          <w:color w:val="auto"/>
          <w:highlight w:val="none"/>
        </w:rPr>
        <w:t xml:space="preserve">3.成交通知书</w:t>
      </w:r>
      <w:r/>
    </w:p>
    <w:p>
      <w:pPr>
        <w:ind w:firstLine="420"/>
        <w:rPr>
          <w:rFonts w:hint="eastAsia" w:ascii="宋体" w:hAnsi="宋体" w:cs="宋体"/>
          <w:color w:val="auto"/>
          <w:highlight w:val="none"/>
        </w:rPr>
      </w:pPr>
      <w:r>
        <w:rPr>
          <w:rFonts w:hint="eastAsia" w:ascii="宋体" w:hAnsi="宋体" w:cs="宋体"/>
          <w:color w:val="auto"/>
          <w:highlight w:val="none"/>
        </w:rPr>
        <w:t xml:space="preserve">3.1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rPr>
          <w:rFonts w:hint="eastAsia" w:ascii="宋体" w:hAnsi="宋体" w:cs="宋体"/>
          <w:color w:val="auto"/>
          <w:highlight w:val="none"/>
        </w:rPr>
      </w:pPr>
      <w:r>
        <w:rPr>
          <w:rFonts w:hint="eastAsia" w:ascii="宋体" w:hAnsi="宋体" w:cs="宋体"/>
          <w:color w:val="auto"/>
          <w:highlight w:val="none"/>
        </w:rPr>
        <w:t xml:space="preserve">3.2成交通知书将是合同的一个组成部分。对采购人和成交供应商均具有法律效力。成交通知书发出后，采购人改变成交结果的，或者成交供应商放弃成交项目的，应当依法承担法律责任。</w:t>
      </w:r>
      <w:bookmarkEnd w:id="102"/>
      <w:r/>
      <w:bookmarkEnd w:id="103"/>
      <w:r/>
      <w:bookmarkEnd w:id="104"/>
      <w:r/>
      <w:r/>
    </w:p>
    <w:p>
      <w:pPr>
        <w:ind w:firstLine="422"/>
        <w:rPr>
          <w:rFonts w:hint="eastAsia" w:ascii="宋体" w:hAnsi="宋体" w:cs="宋体"/>
          <w:b/>
          <w:bCs/>
          <w:color w:val="auto"/>
          <w:highlight w:val="none"/>
        </w:rPr>
      </w:pPr>
      <w:r/>
      <w:bookmarkStart w:id="105" w:name="_Toc20823309"/>
      <w:r/>
      <w:bookmarkStart w:id="106" w:name="_Toc16938553"/>
      <w:r/>
      <w:bookmarkStart w:id="107" w:name="_Toc513029237"/>
      <w:r>
        <w:rPr>
          <w:rFonts w:hint="eastAsia" w:ascii="宋体" w:hAnsi="宋体" w:cs="宋体"/>
          <w:b/>
          <w:bCs/>
          <w:color w:val="auto"/>
          <w:highlight w:val="none"/>
        </w:rPr>
        <w:t xml:space="preserve">六、签订、履行合同</w:t>
      </w:r>
      <w:r/>
    </w:p>
    <w:p>
      <w:pPr>
        <w:ind w:firstLine="420"/>
        <w:rPr>
          <w:rFonts w:hint="eastAsia" w:ascii="宋体" w:hAnsi="宋体" w:cs="宋体"/>
          <w:color w:val="auto"/>
          <w:highlight w:val="none"/>
        </w:rPr>
      </w:pPr>
      <w:r>
        <w:rPr>
          <w:rFonts w:hint="eastAsia" w:ascii="宋体" w:hAnsi="宋体" w:cs="宋体"/>
          <w:color w:val="auto"/>
          <w:highlight w:val="none"/>
        </w:rPr>
        <w:t xml:space="preserve">1.签订合同</w:t>
      </w:r>
      <w:r/>
    </w:p>
    <w:p>
      <w:pPr>
        <w:ind w:firstLine="420"/>
        <w:rPr>
          <w:rFonts w:hint="eastAsia" w:ascii="宋体" w:hAnsi="宋体" w:cs="宋体"/>
          <w:color w:val="auto"/>
          <w:highlight w:val="none"/>
        </w:rPr>
      </w:pPr>
      <w:r>
        <w:rPr>
          <w:rFonts w:hint="eastAsia" w:ascii="宋体" w:hAnsi="宋体" w:cs="宋体"/>
          <w:color w:val="auto"/>
          <w:highlight w:val="none"/>
        </w:rPr>
        <w:t xml:space="preserve">1.l成交供应商应当在成交通知书发出之日起30日内，按照采购文件确定的事项与采购人签订政府采购合同。</w:t>
      </w:r>
      <w:r/>
    </w:p>
    <w:p>
      <w:pPr>
        <w:ind w:firstLine="420"/>
        <w:rPr>
          <w:rFonts w:hint="eastAsia" w:ascii="宋体" w:hAnsi="宋体" w:cs="宋体"/>
          <w:color w:val="auto"/>
          <w:highlight w:val="none"/>
        </w:rPr>
      </w:pPr>
      <w:r>
        <w:rPr>
          <w:rFonts w:hint="eastAsia" w:ascii="宋体" w:hAnsi="宋体" w:cs="宋体"/>
          <w:color w:val="auto"/>
          <w:highlight w:val="none"/>
        </w:rPr>
        <w:t xml:space="preserve">1.2采购文件、成交供应商的响应文件及磋商过程中有关澄清、承诺文件均应作为合同附件。</w:t>
      </w:r>
      <w:r/>
    </w:p>
    <w:p>
      <w:pPr>
        <w:ind w:firstLine="420"/>
        <w:rPr>
          <w:rFonts w:hint="eastAsia" w:ascii="宋体" w:hAnsi="宋体" w:cs="宋体"/>
          <w:color w:val="auto"/>
          <w:highlight w:val="none"/>
        </w:rPr>
      </w:pPr>
      <w:r>
        <w:rPr>
          <w:rFonts w:hint="eastAsia" w:ascii="宋体" w:hAnsi="宋体" w:cs="宋体"/>
          <w:color w:val="auto"/>
          <w:highlight w:val="none"/>
        </w:rPr>
        <w:t xml:space="preserve">2.标的物的追加</w:t>
      </w:r>
      <w:r/>
    </w:p>
    <w:p>
      <w:pPr>
        <w:ind w:firstLine="420"/>
        <w:rPr>
          <w:rFonts w:hint="eastAsia" w:ascii="宋体" w:hAnsi="宋体" w:cs="宋体"/>
          <w:color w:val="auto"/>
          <w:highlight w:val="none"/>
        </w:rPr>
      </w:pPr>
      <w:r>
        <w:rPr>
          <w:rFonts w:hint="eastAsia" w:ascii="宋体" w:hAnsi="宋体" w:cs="宋体"/>
          <w:color w:val="auto"/>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22"/>
        <w:rPr>
          <w:rFonts w:hint="eastAsia" w:ascii="宋体" w:hAnsi="宋体" w:cs="宋体"/>
          <w:b/>
          <w:bCs/>
          <w:color w:val="auto"/>
          <w:highlight w:val="none"/>
        </w:rPr>
      </w:pPr>
      <w:r>
        <w:rPr>
          <w:rFonts w:hint="eastAsia" w:ascii="宋体" w:hAnsi="宋体" w:cs="宋体"/>
          <w:b/>
          <w:bCs/>
          <w:color w:val="auto"/>
          <w:highlight w:val="none"/>
        </w:rPr>
        <w:t xml:space="preserve">七、</w:t>
      </w:r>
      <w:bookmarkEnd w:id="105"/>
      <w:r/>
      <w:bookmarkEnd w:id="106"/>
      <w:r/>
      <w:bookmarkEnd w:id="107"/>
      <w:r>
        <w:rPr>
          <w:rFonts w:ascii="宋体" w:hAnsi="宋体" w:cs="宋体"/>
          <w:b/>
          <w:bCs/>
          <w:color w:val="auto"/>
          <w:highlight w:val="none"/>
        </w:rPr>
        <w:t xml:space="preserve">政府采购政策功能落实</w:t>
      </w:r>
      <w:r/>
    </w:p>
    <w:p>
      <w:pPr>
        <w:ind w:firstLine="420"/>
        <w:rPr>
          <w:rFonts w:hint="eastAsia" w:ascii="宋体" w:hAnsi="宋体" w:cs="宋体"/>
          <w:b/>
          <w:bCs/>
          <w:color w:val="auto"/>
          <w:highlight w:val="none"/>
        </w:rPr>
      </w:pPr>
      <w:r>
        <w:rPr>
          <w:rFonts w:hint="eastAsia" w:ascii="宋体" w:hAnsi="宋体" w:cs="宋体"/>
          <w:b/>
          <w:bCs/>
          <w:color w:val="auto"/>
          <w:highlight w:val="none"/>
        </w:rPr>
        <w:t xml:space="preserve">1、中小企业政策</w:t>
      </w:r>
      <w:r/>
    </w:p>
    <w:p>
      <w:pPr>
        <w:ind w:firstLine="420"/>
        <w:rPr>
          <w:rFonts w:hint="eastAsia" w:ascii="宋体" w:hAnsi="宋体" w:cs="宋体"/>
          <w:color w:val="auto"/>
          <w:highlight w:val="none"/>
        </w:rPr>
      </w:pPr>
      <w:r>
        <w:rPr>
          <w:rFonts w:hint="eastAsia" w:ascii="宋体" w:hAnsi="宋体" w:cs="宋体"/>
          <w:color w:val="auto"/>
          <w:highlight w:val="none"/>
        </w:rPr>
        <w:t xml:space="preserve">本项目按第</w:t>
      </w:r>
      <w:r>
        <w:rPr>
          <w:rFonts w:hint="eastAsia" w:ascii="宋体" w:hAnsi="宋体" w:cs="宋体"/>
          <w:color w:val="auto"/>
          <w:highlight w:val="none"/>
          <w:u w:val="single"/>
        </w:rPr>
        <w:t xml:space="preserve"> （2） </w:t>
      </w:r>
      <w:r>
        <w:rPr>
          <w:rFonts w:hint="eastAsia" w:ascii="宋体" w:hAnsi="宋体" w:cs="宋体"/>
          <w:color w:val="auto"/>
          <w:highlight w:val="none"/>
        </w:rPr>
        <w:t xml:space="preserve">种政策落实：</w:t>
      </w:r>
      <w:r/>
    </w:p>
    <w:p>
      <w:pPr>
        <w:ind w:firstLine="420"/>
        <w:rPr>
          <w:rFonts w:hint="eastAsia" w:ascii="宋体" w:hAnsi="宋体" w:cs="宋体"/>
          <w:color w:val="auto"/>
          <w:highlight w:val="none"/>
        </w:rPr>
      </w:pPr>
      <w:r>
        <w:rPr>
          <w:rFonts w:hint="eastAsia" w:ascii="宋体" w:hAnsi="宋体" w:cs="宋体"/>
          <w:color w:val="auto"/>
          <w:highlight w:val="none"/>
        </w:rPr>
        <w:t xml:space="preserve">（1）本项目专门面向中小企业（含监狱与戒毒企业、残疾人福利企业）采购。</w:t>
      </w:r>
      <w:r/>
    </w:p>
    <w:p>
      <w:pPr>
        <w:ind w:firstLine="420"/>
        <w:rPr>
          <w:rFonts w:hint="eastAsia" w:ascii="宋体" w:hAnsi="宋体" w:cs="宋体"/>
          <w:color w:val="auto"/>
          <w:highlight w:val="none"/>
        </w:rPr>
      </w:pPr>
      <w:r>
        <w:rPr>
          <w:rFonts w:hint="eastAsia" w:ascii="宋体" w:hAnsi="宋体" w:cs="宋体"/>
          <w:color w:val="auto"/>
          <w:highlight w:val="none"/>
        </w:rPr>
        <w:t xml:space="preserve">（2）对符合规定情形的小微企业报价给予10%扣除，用扣除后的价格参加评审。</w:t>
      </w:r>
      <w:r/>
    </w:p>
    <w:p>
      <w:pPr>
        <w:ind w:firstLine="420"/>
        <w:rPr>
          <w:rFonts w:hint="eastAsia" w:ascii="宋体" w:hAnsi="宋体" w:cs="宋体"/>
          <w:color w:val="auto"/>
          <w:highlight w:val="none"/>
        </w:rPr>
      </w:pPr>
      <w:r>
        <w:rPr>
          <w:rFonts w:hint="eastAsia" w:ascii="宋体" w:hAnsi="宋体" w:cs="宋体"/>
          <w:color w:val="auto"/>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20"/>
        <w:rPr>
          <w:rFonts w:hint="eastAsia" w:ascii="宋体" w:hAnsi="宋体" w:cs="宋体"/>
          <w:color w:val="auto"/>
          <w:highlight w:val="none"/>
        </w:rPr>
      </w:pPr>
      <w:r>
        <w:rPr>
          <w:rFonts w:hint="eastAsia" w:ascii="宋体" w:hAnsi="宋体" w:cs="宋体"/>
          <w:color w:val="auto"/>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20"/>
        <w:rPr>
          <w:rFonts w:hint="eastAsia" w:ascii="宋体" w:hAnsi="宋体" w:cs="宋体"/>
          <w:color w:val="auto"/>
          <w:highlight w:val="none"/>
        </w:rPr>
      </w:pPr>
      <w:r>
        <w:rPr>
          <w:rFonts w:hint="eastAsia" w:ascii="宋体" w:hAnsi="宋体" w:cs="宋体"/>
          <w:color w:val="auto"/>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20"/>
        <w:rPr>
          <w:rFonts w:hint="eastAsia" w:ascii="宋体" w:hAnsi="宋体" w:cs="宋体"/>
          <w:color w:val="auto"/>
          <w:highlight w:val="none"/>
        </w:rPr>
      </w:pPr>
      <w:r>
        <w:rPr>
          <w:rFonts w:hint="eastAsia" w:ascii="宋体" w:hAnsi="宋体" w:cs="宋体"/>
          <w:color w:val="auto"/>
          <w:highlight w:val="none"/>
        </w:rPr>
        <w:t xml:space="preserve">注：残疾人福利单位、监狱企业属于小型、微型企业的，不重复享受政策。</w:t>
      </w:r>
      <w:r/>
    </w:p>
    <w:p>
      <w:pPr>
        <w:ind w:firstLine="420"/>
        <w:rPr>
          <w:rFonts w:hint="eastAsia" w:ascii="宋体" w:hAnsi="宋体" w:cs="宋体"/>
          <w:color w:val="auto"/>
          <w:highlight w:val="none"/>
        </w:rPr>
      </w:pPr>
      <w:r>
        <w:rPr>
          <w:rFonts w:hint="eastAsia" w:ascii="宋体" w:hAnsi="宋体" w:cs="宋体"/>
          <w:color w:val="auto"/>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420"/>
        <w:rPr>
          <w:rFonts w:hint="eastAsia" w:ascii="宋体" w:hAnsi="宋体" w:cs="宋体"/>
          <w:color w:val="auto"/>
          <w:highlight w:val="none"/>
        </w:rPr>
      </w:pPr>
      <w:r>
        <w:rPr>
          <w:rFonts w:hint="eastAsia" w:ascii="宋体" w:hAnsi="宋体" w:cs="宋体"/>
          <w:color w:val="auto"/>
          <w:highlight w:val="none"/>
        </w:rPr>
        <w:t xml:space="preserve">2、节能产品、环境标志产品</w:t>
      </w:r>
      <w:r/>
    </w:p>
    <w:p>
      <w:pPr>
        <w:ind w:firstLine="420"/>
        <w:rPr>
          <w:rFonts w:hint="eastAsia" w:ascii="宋体" w:hAnsi="宋体" w:cs="宋体"/>
          <w:color w:val="auto"/>
          <w:highlight w:val="none"/>
        </w:rPr>
      </w:pPr>
      <w:r>
        <w:rPr>
          <w:rFonts w:hint="eastAsia" w:ascii="宋体" w:hAnsi="宋体" w:cs="宋体"/>
          <w:color w:val="auto"/>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20"/>
        <w:rPr>
          <w:rFonts w:hint="eastAsia" w:ascii="宋体" w:hAnsi="宋体" w:cs="宋体"/>
          <w:color w:val="auto"/>
          <w:highlight w:val="none"/>
        </w:rPr>
      </w:pPr>
      <w:r>
        <w:rPr>
          <w:rFonts w:hint="eastAsia" w:ascii="宋体" w:hAnsi="宋体" w:cs="宋体"/>
          <w:color w:val="auto"/>
          <w:highlight w:val="none"/>
        </w:rPr>
        <w:t xml:space="preserve">2.1拟采购的产品属于政府强制采购的节能产品品目清单范围的，供应商须提供国家确定的认证机构出具的、处于有效期之内的节能产品认证证书，否则其投标文件作无效标处理。</w:t>
      </w:r>
      <w:r/>
    </w:p>
    <w:p>
      <w:pPr>
        <w:ind w:firstLine="420"/>
        <w:rPr>
          <w:rFonts w:hint="eastAsia" w:ascii="宋体" w:hAnsi="宋体" w:cs="宋体"/>
          <w:color w:val="auto"/>
          <w:highlight w:val="none"/>
        </w:rPr>
      </w:pPr>
      <w:r>
        <w:rPr>
          <w:rFonts w:hint="eastAsia" w:ascii="宋体" w:hAnsi="宋体" w:cs="宋体"/>
          <w:color w:val="auto"/>
          <w:highlight w:val="none"/>
        </w:rPr>
        <w:t xml:space="preserve">3、政府采购需求标准</w:t>
      </w:r>
      <w:r/>
    </w:p>
    <w:p>
      <w:pPr>
        <w:ind w:firstLine="420"/>
        <w:rPr>
          <w:rFonts w:hint="eastAsia" w:ascii="宋体" w:hAnsi="宋体" w:cs="宋体"/>
          <w:color w:val="auto"/>
          <w:highlight w:val="none"/>
        </w:rPr>
      </w:pPr>
      <w:r>
        <w:rPr>
          <w:rFonts w:hint="eastAsia" w:ascii="宋体" w:hAnsi="宋体" w:cs="宋体"/>
          <w:color w:val="auto"/>
          <w:highlight w:val="none"/>
        </w:rPr>
        <w:t xml:space="preserve">3.1商品包装、快递包装政府采购需求标准（试行）</w:t>
      </w:r>
      <w:r/>
    </w:p>
    <w:p>
      <w:pPr>
        <w:ind w:firstLine="420"/>
        <w:rPr>
          <w:rFonts w:hint="eastAsia" w:ascii="宋体" w:hAnsi="宋体" w:cs="宋体"/>
          <w:color w:val="auto"/>
          <w:highlight w:val="none"/>
        </w:rPr>
      </w:pPr>
      <w:r>
        <w:rPr>
          <w:rFonts w:hint="eastAsia" w:ascii="宋体" w:hAnsi="宋体" w:cs="宋体"/>
          <w:color w:val="auto"/>
          <w:highlight w:val="none"/>
        </w:rPr>
        <w:t xml:space="preserve">按照财政部印发的《商品包装政府采购需求标准（试行）》《快递包装政府采购需求标准（试行）》要求执行，本项目商品包装和快递包装的具体需求详见第四章采购需求。</w:t>
      </w:r>
      <w:r/>
    </w:p>
    <w:p>
      <w:pPr>
        <w:ind w:firstLine="420"/>
        <w:rPr>
          <w:rFonts w:hint="eastAsia" w:ascii="宋体" w:hAnsi="宋体" w:cs="宋体"/>
          <w:color w:val="auto"/>
          <w:highlight w:val="none"/>
        </w:rPr>
      </w:pPr>
      <w:r>
        <w:rPr>
          <w:rFonts w:hint="eastAsia" w:ascii="宋体" w:hAnsi="宋体" w:cs="宋体"/>
          <w:color w:val="auto"/>
          <w:highlight w:val="none"/>
        </w:rPr>
        <w:t xml:space="preserve">3.2绿色数据中心政府采购需求标准（试行）</w:t>
      </w:r>
      <w:r/>
    </w:p>
    <w:p>
      <w:pPr>
        <w:ind w:firstLine="420"/>
        <w:rPr>
          <w:rFonts w:hint="eastAsia" w:ascii="宋体" w:hAnsi="宋体" w:cs="宋体"/>
          <w:color w:val="auto"/>
          <w:highlight w:val="none"/>
        </w:rPr>
      </w:pPr>
      <w:r>
        <w:rPr>
          <w:rFonts w:hint="eastAsia" w:ascii="宋体" w:hAnsi="宋体" w:cs="宋体"/>
          <w:color w:val="auto"/>
          <w:highlight w:val="none"/>
        </w:rPr>
        <w:t xml:space="preserve">按照财政部生态环境部工业和信息化部关于印发《绿色数据中心政府采购</w:t>
      </w:r>
      <w:r/>
    </w:p>
    <w:p>
      <w:pPr>
        <w:ind w:firstLine="420"/>
        <w:rPr>
          <w:rFonts w:hint="eastAsia" w:ascii="宋体" w:hAnsi="宋体" w:cs="宋体"/>
          <w:color w:val="auto"/>
          <w:highlight w:val="none"/>
        </w:rPr>
      </w:pPr>
      <w:r>
        <w:rPr>
          <w:rFonts w:hint="eastAsia" w:ascii="宋体" w:hAnsi="宋体" w:cs="宋体"/>
          <w:color w:val="auto"/>
          <w:highlight w:val="none"/>
        </w:rPr>
        <w:t xml:space="preserve">需求标准（试行）》的通知要求执行。</w:t>
      </w:r>
      <w:r/>
    </w:p>
    <w:p>
      <w:pPr>
        <w:ind w:firstLine="420"/>
        <w:rPr>
          <w:rFonts w:hint="eastAsia" w:ascii="宋体" w:hAnsi="宋体" w:cs="宋体"/>
          <w:color w:val="auto"/>
          <w:highlight w:val="none"/>
        </w:rPr>
      </w:pPr>
      <w:r>
        <w:rPr>
          <w:rFonts w:hint="eastAsia" w:ascii="宋体" w:hAnsi="宋体" w:cs="宋体"/>
          <w:color w:val="auto"/>
          <w:highlight w:val="none"/>
        </w:rPr>
        <w:t xml:space="preserve">3.3绿色采购</w:t>
      </w:r>
      <w:r/>
    </w:p>
    <w:p>
      <w:pPr>
        <w:ind w:firstLine="420"/>
        <w:rPr>
          <w:rFonts w:hint="eastAsia" w:ascii="宋体" w:hAnsi="宋体" w:cs="宋体"/>
          <w:color w:val="auto"/>
          <w:highlight w:val="none"/>
        </w:rPr>
      </w:pPr>
      <w:r>
        <w:rPr>
          <w:rFonts w:hint="eastAsia" w:ascii="宋体" w:hAnsi="宋体" w:cs="宋体"/>
          <w:color w:val="auto"/>
          <w:highlight w:val="none"/>
        </w:rPr>
        <w:t xml:space="preserve">根据《关于调整优化节能产品、环境标志产品政府采购执行机制的通知》</w:t>
      </w:r>
      <w:r/>
    </w:p>
    <w:p>
      <w:pPr>
        <w:ind w:firstLine="420"/>
        <w:rPr>
          <w:rFonts w:hint="eastAsia" w:ascii="宋体" w:hAnsi="宋体" w:cs="宋体"/>
          <w:color w:val="auto"/>
          <w:highlight w:val="none"/>
        </w:rPr>
      </w:pPr>
      <w:r>
        <w:rPr>
          <w:rFonts w:hint="eastAsia" w:ascii="宋体" w:hAnsi="宋体" w:cs="宋体"/>
          <w:color w:val="auto"/>
          <w:highlight w:val="none"/>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20"/>
        <w:rPr>
          <w:rFonts w:hint="eastAsia" w:ascii="宋体" w:hAnsi="宋体" w:cs="宋体"/>
          <w:color w:val="auto"/>
          <w:highlight w:val="none"/>
        </w:rPr>
      </w:pPr>
      <w:r>
        <w:rPr>
          <w:rFonts w:hint="eastAsia" w:ascii="宋体" w:hAnsi="宋体" w:cs="宋体"/>
          <w:color w:val="auto"/>
          <w:highlight w:val="none"/>
        </w:rPr>
        <w:t xml:space="preserve">4、采购本国产品的支持政策</w:t>
      </w:r>
      <w:r/>
    </w:p>
    <w:p>
      <w:pPr>
        <w:ind w:firstLine="420"/>
        <w:rPr>
          <w:rFonts w:hint="eastAsia" w:ascii="宋体" w:hAnsi="宋体" w:cs="宋体"/>
          <w:color w:val="auto"/>
          <w:highlight w:val="none"/>
        </w:rPr>
      </w:pPr>
      <w:r>
        <w:rPr>
          <w:rFonts w:hint="eastAsia" w:ascii="宋体" w:hAnsi="宋体" w:cs="宋体"/>
          <w:color w:val="auto"/>
          <w:highlight w:val="none"/>
        </w:rPr>
        <w:t xml:space="preserve">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cs="宋体"/>
          <w:color w:val="auto"/>
          <w:highlight w:val="none"/>
        </w:rPr>
      </w:pPr>
      <w:r>
        <w:rPr>
          <w:rFonts w:hint="eastAsia" w:ascii="宋体" w:hAnsi="宋体" w:cs="宋体"/>
          <w:color w:val="auto"/>
          <w:highlight w:val="none"/>
        </w:rPr>
        <w:t xml:space="preserve">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cs="宋体"/>
          <w:color w:val="auto"/>
          <w:highlight w:val="none"/>
        </w:rPr>
      </w:pPr>
      <w:r>
        <w:rPr>
          <w:rFonts w:hint="eastAsia" w:ascii="宋体" w:hAnsi="宋体" w:cs="宋体"/>
          <w:color w:val="auto"/>
          <w:highlight w:val="none"/>
        </w:rPr>
        <w:t xml:space="preserve">4.3本项目政府采购活动中既有本国产品又有非本国产品参与竞争的，依法对本国产品给予价格评审优惠，对本国产品的报价给予20%的价格扣除，用扣除后的价格参与评审。</w:t>
      </w:r>
      <w:r/>
    </w:p>
    <w:p>
      <w:pPr>
        <w:ind w:firstLine="420"/>
        <w:rPr>
          <w:rFonts w:hint="eastAsia" w:ascii="宋体" w:hAnsi="宋体" w:cs="宋体"/>
          <w:color w:val="auto"/>
          <w:highlight w:val="none"/>
        </w:rPr>
      </w:pPr>
      <w:r>
        <w:rPr>
          <w:rFonts w:hint="eastAsia" w:ascii="宋体" w:hAnsi="宋体" w:cs="宋体"/>
          <w:color w:val="auto"/>
          <w:highlight w:val="none"/>
        </w:rPr>
        <w:t xml:space="preserve">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rPr>
          <w:rFonts w:hint="eastAsia" w:ascii="宋体" w:hAnsi="宋体" w:cs="宋体"/>
          <w:color w:val="auto"/>
          <w:highlight w:val="none"/>
        </w:rPr>
      </w:pPr>
      <w:r>
        <w:rPr>
          <w:rFonts w:hint="eastAsia" w:ascii="宋体" w:hAnsi="宋体" w:cs="宋体"/>
          <w:color w:val="auto"/>
          <w:highlight w:val="none"/>
        </w:rPr>
        <w:t xml:space="preserve">4.5供应商需按照采购文件的要求提供《关于符合本国产品标准的声明函》（以下简称《声明函》），如不提供将不享受本国产品价格评审优惠。</w:t>
      </w:r>
      <w:r/>
    </w:p>
    <w:p>
      <w:pPr>
        <w:ind w:firstLine="420"/>
        <w:rPr>
          <w:rFonts w:hint="eastAsia" w:ascii="宋体" w:hAnsi="宋体" w:cs="宋体"/>
          <w:color w:val="auto"/>
          <w:highlight w:val="none"/>
        </w:rPr>
      </w:pPr>
      <w:r>
        <w:rPr>
          <w:rFonts w:hint="eastAsia" w:ascii="宋体" w:hAnsi="宋体" w:cs="宋体"/>
          <w:color w:val="auto"/>
          <w:highlight w:val="none"/>
        </w:rPr>
        <w:t xml:space="preserve">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rPr>
          <w:rFonts w:hint="eastAsia" w:ascii="宋体" w:hAnsi="宋体" w:cs="宋体"/>
          <w:color w:val="auto"/>
          <w:highlight w:val="none"/>
        </w:rPr>
      </w:pPr>
      <w:r>
        <w:rPr>
          <w:rFonts w:hint="eastAsia" w:ascii="宋体" w:hAnsi="宋体" w:cs="宋体"/>
          <w:color w:val="auto"/>
          <w:highlight w:val="none"/>
        </w:rPr>
        <w:t xml:space="preserve">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供应商提供的相关产品视为不符合本国产品标准。</w:t>
      </w:r>
      <w:r/>
    </w:p>
    <w:p>
      <w:pPr>
        <w:ind w:firstLine="422"/>
        <w:rPr>
          <w:rFonts w:hint="eastAsia" w:ascii="宋体" w:hAnsi="宋体" w:cs="宋体"/>
          <w:b/>
          <w:bCs/>
          <w:color w:val="auto"/>
          <w:highlight w:val="none"/>
        </w:rPr>
      </w:pPr>
      <w:r>
        <w:rPr>
          <w:rFonts w:hint="eastAsia" w:ascii="宋体" w:hAnsi="宋体" w:cs="宋体"/>
          <w:b/>
          <w:bCs/>
          <w:color w:val="auto"/>
          <w:highlight w:val="none"/>
        </w:rPr>
        <w:t xml:space="preserve">八、关于异常低价的审查</w:t>
      </w:r>
      <w:r/>
    </w:p>
    <w:p>
      <w:pPr>
        <w:ind w:firstLine="420"/>
        <w:rPr>
          <w:rFonts w:hint="eastAsia" w:ascii="宋体" w:hAnsi="宋体" w:cs="宋体"/>
          <w:color w:val="auto"/>
          <w:highlight w:val="none"/>
        </w:rPr>
      </w:pPr>
      <w:r>
        <w:rPr>
          <w:rFonts w:hint="eastAsia" w:ascii="宋体" w:hAnsi="宋体" w:cs="宋体"/>
          <w:color w:val="auto"/>
          <w:highlight w:val="none"/>
        </w:rPr>
        <w:t xml:space="preserve">根据财库〔2026〕2号文《</w:t>
      </w:r>
      <w:bookmarkStart w:id="108" w:name="OLE_LINK6"/>
      <w:r>
        <w:rPr>
          <w:rFonts w:hint="eastAsia" w:ascii="宋体" w:hAnsi="宋体" w:cs="宋体"/>
          <w:color w:val="auto"/>
          <w:highlight w:val="none"/>
        </w:rPr>
        <w:t xml:space="preserve">财政部关于推动解决政府采购异常低价问题的通知</w:t>
      </w:r>
      <w:bookmarkEnd w:id="108"/>
      <w:r>
        <w:rPr>
          <w:rFonts w:hint="eastAsia" w:ascii="宋体" w:hAnsi="宋体" w:cs="宋体"/>
          <w:color w:val="auto"/>
          <w:highlight w:val="none"/>
        </w:rPr>
        <w:t xml:space="preserve">》：</w:t>
      </w:r>
      <w:r/>
    </w:p>
    <w:p>
      <w:pPr>
        <w:ind w:firstLine="420"/>
        <w:rPr>
          <w:rFonts w:hint="eastAsia" w:ascii="宋体" w:hAnsi="宋体" w:cs="宋体"/>
          <w:color w:val="auto"/>
          <w:highlight w:val="none"/>
        </w:rPr>
      </w:pPr>
      <w:r>
        <w:rPr>
          <w:rFonts w:hint="eastAsia" w:ascii="宋体" w:hAnsi="宋体" w:cs="宋体"/>
          <w:color w:val="auto"/>
          <w:highlight w:val="none"/>
        </w:rPr>
        <w:t xml:space="preserve">1.政府采购评审中出现下列情形之一的，评审委员会应当启动异常低价投标（响应）审查程序：</w:t>
      </w:r>
      <w:r/>
    </w:p>
    <w:p>
      <w:pPr>
        <w:ind w:firstLine="420"/>
        <w:rPr>
          <w:rFonts w:hint="eastAsia" w:ascii="宋体" w:hAnsi="宋体" w:cs="宋体"/>
          <w:color w:val="auto"/>
          <w:highlight w:val="none"/>
        </w:rPr>
      </w:pPr>
      <w:r>
        <w:rPr>
          <w:rFonts w:hint="eastAsia" w:ascii="宋体" w:hAnsi="宋体" w:cs="宋体"/>
          <w:color w:val="auto"/>
          <w:highlight w:val="none"/>
        </w:rPr>
        <w:t xml:space="preserve">1.1投标（响应）报价低于全部通过符合性审查供应商投标（响应）报价平均值65%的，即投标（响应）报价&lt;全部通过符合性审查供应商投标（响应）报价平均值×65%；</w:t>
      </w:r>
      <w:r/>
    </w:p>
    <w:p>
      <w:pPr>
        <w:ind w:firstLine="420"/>
        <w:rPr>
          <w:rFonts w:hint="eastAsia" w:ascii="宋体" w:hAnsi="宋体" w:cs="宋体"/>
          <w:color w:val="auto"/>
          <w:highlight w:val="none"/>
        </w:rPr>
      </w:pPr>
      <w:r>
        <w:rPr>
          <w:rFonts w:hint="eastAsia" w:ascii="宋体" w:hAnsi="宋体" w:cs="宋体"/>
          <w:color w:val="auto"/>
          <w:highlight w:val="none"/>
        </w:rPr>
        <w:t xml:space="preserve">1.2投标（响应）报价低于通过符合性审查的次低报价供应商投标（响应）报价65%的，即投标（响应）报价&lt;通过符合性审查的次低报价供应商投标（响应）报价×65%；</w:t>
      </w:r>
      <w:r/>
    </w:p>
    <w:p>
      <w:pPr>
        <w:ind w:firstLine="420"/>
        <w:rPr>
          <w:rFonts w:hint="eastAsia" w:ascii="宋体" w:hAnsi="宋体" w:cs="宋体"/>
          <w:color w:val="auto"/>
          <w:highlight w:val="none"/>
        </w:rPr>
      </w:pPr>
      <w:r>
        <w:rPr>
          <w:rFonts w:hint="eastAsia" w:ascii="宋体" w:hAnsi="宋体" w:cs="宋体"/>
          <w:color w:val="auto"/>
          <w:highlight w:val="none"/>
        </w:rPr>
        <w:t xml:space="preserve">1.3投标（响应）报价低于采购项目最高限价65%的，即投标（响应）报价&lt;采购项目最高限价×65%；</w:t>
      </w:r>
      <w:r/>
    </w:p>
    <w:p>
      <w:pPr>
        <w:ind w:firstLine="420"/>
        <w:rPr>
          <w:rFonts w:hint="eastAsia" w:ascii="宋体" w:hAnsi="宋体" w:cs="宋体"/>
          <w:color w:val="auto"/>
          <w:highlight w:val="none"/>
        </w:rPr>
      </w:pPr>
      <w:r>
        <w:rPr>
          <w:rFonts w:hint="eastAsia" w:ascii="宋体" w:hAnsi="宋体" w:cs="宋体"/>
          <w:color w:val="auto"/>
          <w:highlight w:val="none"/>
        </w:rPr>
        <w:t xml:space="preserve">1.4评审委员会基于专业判断，认为供应商报价过低，有可能影响产品质量或者不能诚信履约的其他情形。</w:t>
      </w:r>
      <w:r/>
    </w:p>
    <w:p>
      <w:pPr>
        <w:ind w:firstLine="420"/>
        <w:rPr>
          <w:rFonts w:hint="eastAsia" w:ascii="宋体" w:hAnsi="宋体" w:cs="宋体"/>
          <w:color w:val="auto"/>
          <w:highlight w:val="none"/>
        </w:rPr>
      </w:pPr>
      <w:r>
        <w:rPr>
          <w:rFonts w:hint="eastAsia" w:ascii="宋体" w:hAnsi="宋体" w:cs="宋体"/>
          <w:color w:val="auto"/>
          <w:highlight w:val="none"/>
        </w:rPr>
        <w:t xml:space="preserve">2.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rPr>
          <w:rFonts w:hint="eastAsia" w:ascii="宋体" w:hAnsi="宋体" w:cs="宋体"/>
          <w:color w:val="auto"/>
          <w:highlight w:val="none"/>
        </w:rPr>
      </w:pPr>
      <w:r>
        <w:rPr>
          <w:rFonts w:hint="eastAsia" w:ascii="宋体" w:hAnsi="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rPr>
          <w:rFonts w:hint="eastAsia" w:ascii="宋体" w:hAnsi="宋体" w:cs="宋体"/>
          <w:color w:val="auto"/>
          <w:highlight w:val="none"/>
        </w:rPr>
      </w:pPr>
      <w:r>
        <w:rPr>
          <w:rFonts w:hint="eastAsia" w:ascii="宋体" w:hAnsi="宋体" w:cs="宋体"/>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rPr>
          <w:rFonts w:hint="eastAsia" w:ascii="宋体" w:hAnsi="宋体" w:cs="宋体"/>
          <w:color w:val="auto"/>
          <w:highlight w:val="none"/>
        </w:rPr>
      </w:pPr>
      <w:r>
        <w:rPr>
          <w:rFonts w:hint="eastAsia" w:ascii="宋体" w:hAnsi="宋体" w:cs="宋体"/>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70"/>
        <w:jc w:val="center"/>
        <w:keepNext w:val="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黑体" w:hAnsi="黑体" w:eastAsia="黑体" w:cs="黑体"/>
          <w:color w:val="auto"/>
          <w:sz w:val="32"/>
          <w:szCs w:val="32"/>
          <w:highlight w:val="none"/>
        </w:rPr>
        <w:t xml:space="preserve">第三章  合同条款及格式（参考）</w:t>
      </w:r>
      <w:r/>
    </w:p>
    <w:p>
      <w:pPr>
        <w:ind w:firstLine="480"/>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注：本合同仅为合同的参考文本，合同签订双方可根据项目的具体要求进行修订，但合同条款不得与采购文件和</w:t>
      </w:r>
      <w:r>
        <w:rPr>
          <w:rFonts w:hint="eastAsia" w:ascii="宋体" w:hAnsi="宋体" w:eastAsia="宋体" w:cs="宋体"/>
          <w:bCs/>
          <w:color w:val="auto"/>
          <w:sz w:val="22"/>
          <w:szCs w:val="22"/>
          <w:highlight w:val="none"/>
          <w:lang w:val="en-US" w:eastAsia="zh-CN"/>
        </w:rPr>
        <w:t xml:space="preserve">响应文件</w:t>
      </w:r>
      <w:r>
        <w:rPr>
          <w:rFonts w:hint="eastAsia" w:ascii="宋体" w:hAnsi="宋体" w:eastAsia="宋体" w:cs="宋体"/>
          <w:color w:val="auto"/>
          <w:sz w:val="22"/>
          <w:szCs w:val="22"/>
          <w:highlight w:val="none"/>
        </w:rPr>
        <w:t xml:space="preserve">有实质性偏离。</w:t>
      </w:r>
      <w:r/>
    </w:p>
    <w:p>
      <w:pPr>
        <w:jc w:val="left"/>
        <w:keepLines w:val="0"/>
        <w:keepNext w:val="0"/>
        <w:pageBreakBefore w:val="0"/>
        <w:spacing w:line="400" w:lineRule="exact"/>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center"/>
        <w:rPr>
          <w:rFonts w:hint="eastAsia" w:ascii="宋体" w:hAnsi="宋体" w:eastAsia="宋体" w:cs="宋体"/>
          <w:color w:val="auto"/>
          <w:sz w:val="40"/>
          <w:szCs w:val="40"/>
          <w:highlight w:val="none"/>
          <w:lang w:val="zh-CN"/>
        </w:rPr>
      </w:pPr>
      <w:r>
        <w:rPr>
          <w:rFonts w:hint="eastAsia" w:ascii="宋体" w:hAnsi="宋体" w:eastAsia="宋体" w:cs="宋体"/>
          <w:color w:val="auto"/>
          <w:sz w:val="40"/>
          <w:szCs w:val="40"/>
          <w:highlight w:val="none"/>
          <w:lang w:val="zh-CN"/>
        </w:rPr>
        <w:t xml:space="preserve">政府采购合同（示范文本）</w:t>
      </w:r>
      <w:r/>
    </w:p>
    <w:p>
      <w:pPr>
        <w:jc w:val="center"/>
        <w:rPr>
          <w:rFonts w:hint="eastAsia" w:ascii="宋体" w:hAnsi="宋体" w:eastAsia="宋体" w:cs="宋体"/>
          <w:color w:val="auto"/>
          <w:sz w:val="40"/>
          <w:szCs w:val="40"/>
          <w:highlight w:val="none"/>
          <w:lang w:val="zh-CN"/>
        </w:rPr>
      </w:pPr>
      <w:r>
        <w:rPr>
          <w:rFonts w:hint="eastAsia" w:ascii="宋体" w:hAnsi="宋体" w:eastAsia="宋体" w:cs="宋体"/>
          <w:color w:val="auto"/>
          <w:sz w:val="40"/>
          <w:szCs w:val="40"/>
          <w:highlight w:val="none"/>
          <w:lang w:val="zh-CN"/>
        </w:rPr>
        <w:t xml:space="preserve">（服务类）</w:t>
      </w:r>
      <w:r/>
    </w:p>
    <w:p>
      <w:pPr>
        <w:ind w:firstLine="480"/>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r>
      <w:r/>
    </w:p>
    <w:p>
      <w:pPr>
        <w:ind w:firstLine="480"/>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合同编号：</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            </w:t>
      </w:r>
      <w:r/>
    </w:p>
    <w:p>
      <w:pPr>
        <w:ind w:firstLine="480"/>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甲方（采购人）：</w:t>
      </w:r>
      <w:r>
        <w:rPr>
          <w:rFonts w:hint="eastAsia" w:ascii="宋体" w:hAnsi="宋体" w:eastAsia="宋体" w:cs="宋体"/>
          <w:color w:val="auto"/>
          <w:sz w:val="22"/>
          <w:szCs w:val="22"/>
          <w:highlight w:val="none"/>
          <w:u w:val="single"/>
          <w:lang w:val="zh-CN"/>
        </w:rPr>
        <w:t xml:space="preserve">                    </w:t>
      </w:r>
      <w:r/>
    </w:p>
    <w:p>
      <w:pPr>
        <w:ind w:firstLine="480"/>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住所地：</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                                  </w:t>
      </w:r>
      <w:r/>
    </w:p>
    <w:p>
      <w:pPr>
        <w:ind w:firstLine="480"/>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乙方（供应商）：</w:t>
      </w:r>
      <w:r>
        <w:rPr>
          <w:rFonts w:hint="eastAsia" w:ascii="宋体" w:hAnsi="宋体" w:eastAsia="宋体" w:cs="宋体"/>
          <w:color w:val="auto"/>
          <w:sz w:val="22"/>
          <w:szCs w:val="22"/>
          <w:highlight w:val="none"/>
          <w:u w:val="single"/>
          <w:lang w:val="zh-CN"/>
        </w:rPr>
        <w:t xml:space="preserve">                    </w:t>
      </w:r>
      <w:r/>
    </w:p>
    <w:p>
      <w:pPr>
        <w:ind w:firstLine="480"/>
        <w:jc w:val="left"/>
        <w:spacing w:line="400" w:lineRule="exact"/>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lang w:val="zh-CN"/>
        </w:rPr>
        <w:t xml:space="preserve">住所地：</w:t>
      </w:r>
      <w:r>
        <w:rPr>
          <w:rFonts w:hint="eastAsia" w:ascii="宋体" w:hAnsi="宋体" w:eastAsia="宋体" w:cs="宋体"/>
          <w:color w:val="auto"/>
          <w:sz w:val="22"/>
          <w:szCs w:val="22"/>
          <w:highlight w:val="none"/>
          <w:u w:val="single"/>
          <w:lang w:val="zh-CN"/>
        </w:rPr>
        <w:t xml:space="preserve">                          </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乙方于</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年</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月</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日参加了</w:t>
      </w:r>
      <w:r>
        <w:rPr>
          <w:rFonts w:hint="eastAsia" w:ascii="宋体" w:hAnsi="宋体" w:eastAsia="宋体" w:cs="宋体"/>
          <w:color w:val="auto"/>
          <w:sz w:val="22"/>
          <w:szCs w:val="22"/>
          <w:highlight w:val="none"/>
          <w:u w:val="single"/>
          <w:lang w:val="zh-CN"/>
        </w:rPr>
        <w:t xml:space="preserve"> （采购人或者代理机构） </w:t>
      </w:r>
      <w:r>
        <w:rPr>
          <w:rFonts w:hint="eastAsia" w:ascii="宋体" w:hAnsi="宋体" w:eastAsia="宋体" w:cs="宋体"/>
          <w:color w:val="auto"/>
          <w:sz w:val="22"/>
          <w:szCs w:val="22"/>
          <w:highlight w:val="none"/>
          <w:lang w:val="zh-CN"/>
        </w:rPr>
        <w:t xml:space="preserve">组织的“ </w:t>
      </w:r>
      <w:r>
        <w:rPr>
          <w:rFonts w:hint="eastAsia" w:ascii="宋体" w:hAnsi="宋体" w:eastAsia="宋体" w:cs="宋体"/>
          <w:color w:val="auto"/>
          <w:sz w:val="22"/>
          <w:szCs w:val="22"/>
          <w:highlight w:val="none"/>
          <w:u w:val="single"/>
          <w:lang w:val="zh-CN"/>
        </w:rPr>
        <w:t xml:space="preserve"> （项目名称及项目编号）  </w:t>
      </w:r>
      <w:r>
        <w:rPr>
          <w:rFonts w:hint="eastAsia" w:ascii="宋体" w:hAnsi="宋体" w:eastAsia="宋体" w:cs="宋体"/>
          <w:color w:val="auto"/>
          <w:sz w:val="22"/>
          <w:szCs w:val="22"/>
          <w:highlight w:val="none"/>
          <w:lang w:val="zh-CN"/>
        </w:rPr>
        <w:t xml:space="preserve">”政府采购活动，经评标评审，确定乙方为</w:t>
      </w:r>
      <w:r>
        <w:rPr>
          <w:rFonts w:hint="eastAsia" w:ascii="宋体" w:hAnsi="宋体" w:eastAsia="宋体" w:cs="宋体"/>
          <w:color w:val="auto"/>
          <w:sz w:val="22"/>
          <w:szCs w:val="22"/>
          <w:highlight w:val="none"/>
          <w:u w:val="single"/>
          <w:lang w:val="zh-CN"/>
        </w:rPr>
        <w:t xml:space="preserve"> （包及包名称） </w:t>
      </w:r>
      <w:r>
        <w:rPr>
          <w:rFonts w:hint="eastAsia" w:ascii="宋体" w:hAnsi="宋体" w:eastAsia="宋体" w:cs="宋体"/>
          <w:color w:val="auto"/>
          <w:sz w:val="22"/>
          <w:szCs w:val="22"/>
          <w:highlight w:val="none"/>
          <w:lang w:val="zh-CN"/>
        </w:rPr>
        <w:t xml:space="preserve">的供应商，按照《中华人民共和国民法典》《中华人民共和国政府采购法》和相关的法律法规规定，以及招标（采购）文件要求，经甲乙双方协商一致，签订本政府采购合同。</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第一条 合同标的</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服务名称：</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服务内容：</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技术标准：</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第二条  合同总金额</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合同总金额为人民币（大写）：</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该价款包括了服务价格及与之配套的设计、制造、正版软件、检验、包装、运输、保险、税费以及安装、组织验收、培训、技术服务（包括技术资料、图纸提供等）、质保期服务等全部价款，除此之外，甲方不再向乙方支付其他任何费用。</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第三条  服务交付</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1.交付日期： </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2.交付地点：</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第四条  交付验收</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1.甲方应当根据国家、行业验收标准，以及合同约定验收方案，明确验收时间、方式、程序和内容等事项，组成验收小组，在收到乙方项目验收建议之日起【】日内，对采购项目进行实质性验收（验收建议有明显不当的除外）。乙方应对提交的服务成果作出全面检查和整理，并列出清单，作为甲方验收和使用技术条件依据，清单应随提交的服务成果交给甲方。</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2.对大型或复杂的政府采购项目，甲方可以邀请国家认可的质量检测机构参与验收工作，并出具验收报告，相关费用负担由甲乙双方商定。</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3.乙方在指定地点提交服务成果后，甲乙双方应依据招标文件、磋商文件等材料的要求共同验收，并出具书面验收报告。</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第五条  所有权归属</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乙方将服务成果交付甲方，在所有权转移之前，标的物损毁、灭失的风险归乙方，乙方保证所交付的服务成果的所有权完全属于乙方且无任何抵押、查封等产权瑕疵。</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如乙方交付的服务成果有产权瑕疵，视为乙方违约，乙方须向甲方支付【】%的违约金；如果合同总金额价款已经支付完毕或者开始支付合同价款时才发现产权有瑕疵，乙方仍须支付上述违约金并赔偿甲方由此遭受的一切损失。</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第六条  包装、装运及运输</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1.乙方负责包装、装运和运输，由于不适当的包装、装运和运输造成任何损坏均由乙方负责。</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2.包装费、运费及相关费用已包含在合同总金额内。</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第七条  款项支付</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1.服务成果交付甲方，经甲乙双方共同验收合格后由甲方负责办理支付手续。</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2.允许乙方提供电子发票，甲方自收到合格发票之日起【】日内支付资金，并不得附加未经约定的其他条件。</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3.付款方式 </w:t>
      </w:r>
      <w:r/>
    </w:p>
    <w:p>
      <w:pPr>
        <w:ind w:firstLine="480"/>
        <w:spacing w:line="440" w:lineRule="exact"/>
        <w:tabs>
          <w:tab w:val="left" w:pos="840" w:leader="none"/>
        </w:tabs>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3.1预付款比例：</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％，于政府采购合同签订生效并具备实施条件后【】日内支付。</w:t>
      </w:r>
      <w:r/>
    </w:p>
    <w:p>
      <w:pPr>
        <w:ind w:firstLine="480"/>
        <w:spacing w:line="44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第八条  履约保证金</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1.履约保证金用于补偿甲方因乙方不能履行或不能完全履行合同义务而蒙受的损失。</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2.乙方应当以支票、汇票、本票或者金融机构、担保机构出具的保函等非现金形式提交履约保证金，提交形式：</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，金额：人民币（大写）</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 ）元（履约保证金不得超过政府采购合同金额的10%）。</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3.在采购标的交付验收合格无质量问题后，甲方应在【】日内退还履约保证金。</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第九条  售后服务及承诺</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1.服务质量保证期限自提交服务验收合格之日起</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年，在质量保证期内，乙方应对服务出现的问题负责处理并承担一切费用，并且赔偿甲方的损失。</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2.乙方有完善的服务体系，有能力提供持续的、本地化售后服务。</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3.乙方负责系统安装和调试以及操作人员培训，并制定详细的培训计划，使操作人员能独立进行管理、操作、维护和故障处理等工作，做好相关记录及技术文档收集整理，待验收后移交。</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4.服务范围：负责招标文件所涉及的所有服务。</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第十条  知识产权</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1.乙方保证，甲方在享受服务或者服务的任何一部分时，免受第三方提出的侵犯其专利权、商标权或其他知识产权的起诉。如发生此类纠纷，由乙方承担一切责任；如因此给甲方造成损失的，乙方负责全额赔偿。</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2.乙方为执行本合同而提供的技术资料或者其他相关资料、软件等由甲方永久免费使用。</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第十一条  甲方责任</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1.及时办理付款手续。</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2.负责提供工作场地，协助乙方办理有关事宜。</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3.对合同条款及所知悉的乙方商业秘密负有保密义务。</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第十二条  乙方责任</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1.保证所提供服务为磋商文件承诺服务，符合相关法律法规规定并且满足甲方的需求，保证其配套项目部件为全新的未使用的且符合相关的质量要求。</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2.保证所提供服务的售后服务，严格依据磋商文件及相关承诺，对服务以及与之配套的项目进行保修、维护等。</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3.保证其所提供服务不存在侵犯第三方知识产权的行为，否则由此产生的损失由乙方承担。</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第十三条  违约责任</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1.乙方所提供服务成果及与之配套项目等不符合合同约定标准，甲方有权拒收。同时，乙方向甲方支付合同总金额【】%的违约金。</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2.乙方不能交付服务成果时，乙方向甲方支付合同总金额【】%的违约金。</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3.乙方逾期交付服务成果时，每逾1日乙方向甲方支付合同总金额【】‰的滞纳金。逾期交付超过【】日，甲方有权决定是否继续履行合同，如甲方决定终止履行合同的，乙方向甲方支付合同总金额【】%的违约金，并且赔偿甲方因此所遭受的损失。</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4.甲方逾期退还履约保证金的违约责任：采购人延迟退还供应商缴纳的履约保证金的，应当支付逾期利息。双方对逾期利息的利率有约定的，约定利率不得低于合同订立时1年期贷款市场报价利率；未作约定的，按照每日利率万分之五支付逾期利息。</w:t>
      </w:r>
      <w:r/>
    </w:p>
    <w:p>
      <w:pPr>
        <w:ind w:firstLine="480"/>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5.甲方逾期支付资金的违约责任：</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6.因甲方原因导致变更、中止或者终止政府采购合同的，甲方对供应商受到的损失予以赔偿或者补偿：</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7.因甲方过错而给乙方造成的损失，由甲方负担。</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第十四条  不可抗力</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甲乙双方的任何一方由于不可抗力不能履行合同时，应当及时通知对方不能履行或不能完全履行的情况和理由；在取得有关主管机关证明以后，允许延期履行、部分履行或者终止履行合同的，根据情况可以部分或全部免予承担违约责任。</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第十五条  保密</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乙方在合同履行期间知悉甲方的工作秘密（包括相关业务信息），不得透露或以其他方式提供给合同双方以外的其他方（包括乙方内部与本合同无关的任何人员），乙方的保密责任不因本合同的终止而终止。</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乙方违反本合同所规定的保密义务，应按照本合同总金额的【】%支付违约金。</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第十六条  争议解决</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甲乙双方在合同履行过程中发生争议，应通过协商解决。如协商不成，可以向合同签订地法院提起诉讼。</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第十七条  合同生效及其他</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1.除招标文件规定且甲方事先书面同意外，乙方不得部分或者全部转让、分包履行其应履行的合同项下的义务。</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2.合同由甲、乙双方法定代表人（或者被授权代表）签字并加盖单位公章。 </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3.本合同一式</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份，甲方</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份，乙方</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份。</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第十八条   服务期限</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本合同服务期限为</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年；服务期限自 </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年</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月</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日起至</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年</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月</w:t>
      </w:r>
      <w:r>
        <w:rPr>
          <w:rFonts w:hint="eastAsia" w:ascii="宋体" w:hAnsi="宋体" w:eastAsia="宋体" w:cs="宋体"/>
          <w:color w:val="auto"/>
          <w:sz w:val="22"/>
          <w:szCs w:val="22"/>
          <w:highlight w:val="none"/>
          <w:u w:val="single"/>
          <w:lang w:val="zh-CN"/>
        </w:rPr>
        <w:t xml:space="preserve">   </w:t>
      </w:r>
      <w:r>
        <w:rPr>
          <w:rFonts w:hint="eastAsia" w:ascii="宋体" w:hAnsi="宋体" w:eastAsia="宋体" w:cs="宋体"/>
          <w:color w:val="auto"/>
          <w:sz w:val="22"/>
          <w:szCs w:val="22"/>
          <w:highlight w:val="none"/>
          <w:lang w:val="zh-CN"/>
        </w:rPr>
        <w:t xml:space="preserve">日止。</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第十九条  下列文件为本合同不可分割部分</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1.政府采购招标（采购）文件（包括澄清、修改）；</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2.乙方磋商（响应）文件；</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3.中标（成交）通知书；</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4.中标人在评标评审过程中做出的有关澄清、说明、承诺或者补正文件；</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5.政府采购委托协议书；</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甲    方：                             乙    方：</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单位名称（公章）：                       单位名称（公章）：</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法定代表人（被授权代表）签字：         法定代表人（被授权代表）签字：                </w:t>
      </w:r>
      <w:r/>
    </w:p>
    <w:p>
      <w:pPr>
        <w:ind w:firstLine="482"/>
        <w:spacing w:line="400" w:lineRule="exact"/>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电    话：                             电    话：</w:t>
      </w:r>
      <w:r/>
    </w:p>
    <w:p>
      <w:pPr>
        <w:ind w:firstLine="482"/>
        <w:spacing w:line="400" w:lineRule="exact"/>
        <w:tabs>
          <w:tab w:val="left" w:pos="7820" w:leader="none"/>
        </w:tabs>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r>
      <w:r/>
    </w:p>
    <w:p>
      <w:pPr>
        <w:ind w:firstLine="482"/>
        <w:spacing w:line="400" w:lineRule="exact"/>
        <w:tabs>
          <w:tab w:val="left" w:pos="7820" w:leader="none"/>
        </w:tabs>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年   月   日                           年   月   日</w:t>
      </w:r>
      <w:r/>
    </w:p>
    <w:p>
      <w:pPr>
        <w:spacing w:line="3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20" w:lineRule="exact"/>
        <w:rPr>
          <w:b/>
          <w:bCs/>
          <w:color w:val="auto"/>
          <w:sz w:val="28"/>
          <w:szCs w:val="28"/>
          <w:highlight w:val="none"/>
        </w:rPr>
      </w:pPr>
      <w:r>
        <w:rPr>
          <w:b/>
          <w:bCs/>
          <w:color w:val="auto"/>
          <w:sz w:val="28"/>
          <w:szCs w:val="28"/>
          <w:highlight w:val="none"/>
        </w:rPr>
      </w:r>
      <w:r/>
    </w:p>
    <w:p>
      <w:pPr>
        <w:spacing w:line="320" w:lineRule="exact"/>
        <w:rPr>
          <w:b/>
          <w:bCs/>
          <w:color w:val="auto"/>
          <w:sz w:val="28"/>
          <w:szCs w:val="28"/>
          <w:highlight w:val="none"/>
        </w:rPr>
      </w:pPr>
      <w:r>
        <w:rPr>
          <w:b/>
          <w:bCs/>
          <w:color w:val="auto"/>
          <w:sz w:val="28"/>
          <w:szCs w:val="28"/>
          <w:highlight w:val="none"/>
        </w:rPr>
      </w:r>
      <w:r/>
    </w:p>
    <w:p>
      <w:pPr>
        <w:spacing w:line="320" w:lineRule="exact"/>
        <w:rPr>
          <w:b/>
          <w:bCs/>
          <w:color w:val="auto"/>
          <w:sz w:val="28"/>
          <w:szCs w:val="28"/>
          <w:highlight w:val="none"/>
        </w:rPr>
      </w:pPr>
      <w:r>
        <w:rPr>
          <w:b/>
          <w:bCs/>
          <w:color w:val="auto"/>
          <w:sz w:val="28"/>
          <w:szCs w:val="28"/>
          <w:highlight w:val="none"/>
        </w:rPr>
      </w:r>
      <w:r/>
    </w:p>
    <w:p>
      <w:pPr>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970"/>
        <w:jc w:val="center"/>
        <w:keepNext w:val="0"/>
        <w:rPr>
          <w:rFonts w:hint="eastAsia" w:ascii="黑体" w:hAnsi="黑体" w:eastAsia="黑体" w:cs="黑体"/>
          <w:color w:val="auto"/>
          <w:sz w:val="32"/>
          <w:szCs w:val="32"/>
          <w:highlight w:val="none"/>
        </w:rPr>
      </w:pPr>
      <w:r>
        <w:rPr>
          <w:rFonts w:hint="eastAsia" w:ascii="宋体" w:hAnsi="宋体" w:eastAsia="宋体" w:cs="宋体"/>
          <w:color w:val="auto"/>
          <w:szCs w:val="21"/>
          <w:highlight w:val="none"/>
        </w:rPr>
        <w:br w:type="page" w:clear="all"/>
      </w:r>
      <w:bookmarkStart w:id="109" w:name="_Toc22763"/>
      <w:r>
        <w:rPr>
          <w:rFonts w:hint="eastAsia" w:ascii="黑体" w:hAnsi="黑体" w:eastAsia="黑体" w:cs="黑体"/>
          <w:color w:val="auto"/>
          <w:sz w:val="32"/>
          <w:szCs w:val="32"/>
          <w:highlight w:val="none"/>
        </w:rPr>
        <w:t xml:space="preserve">第四章  项目需求</w:t>
      </w:r>
      <w:bookmarkEnd w:id="109"/>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本项目采购内容是委托一家服务方在长江干流高港段指定地点提供符合新标准的视频监控和语音喊话服务，并承担为期三年的运行保障服务。</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（一）视频监控和语音喊话服务涉及前端监控系统、后端显示系统、后台存储系统及语音喊话系统四部分组成。</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1.前端监控系统</w:t>
      </w:r>
      <w:r/>
    </w:p>
    <w:p>
      <w:pPr>
        <w:ind w:firstLine="480"/>
        <w:spacing w:line="56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在长江干流高港段指定的29个点位提供符合标准的视频监控服务，同时考虑视频监控挂载所需的高空资源和设施设备的采购、安装及供电、网络资源，确保前端监控系统正常运行。</w:t>
      </w:r>
      <w:r/>
    </w:p>
    <w:p>
      <w:pPr>
        <w:ind w:firstLine="48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1.1摄视频监控参数</w:t>
      </w:r>
      <w:r/>
    </w:p>
    <w:tbl>
      <w:tblPr>
        <w:tblStyle w:val="75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717"/>
        <w:gridCol w:w="789"/>
        <w:gridCol w:w="6129"/>
      </w:tblGrid>
      <w:tr>
        <w:trPr>
          <w:trHeight w:val="366"/>
        </w:trPr>
        <w:tc>
          <w:tcPr>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tc>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jc w:val="center"/>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3410" w:type="pct"/>
            <w:vAlign w:val="center"/>
            <w:textDirection w:val="lrTb"/>
            <w:noWrap w:val="false"/>
          </w:tcPr>
          <w:p>
            <w:pPr>
              <w:jc w:val="center"/>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服务规范</w:t>
            </w:r>
            <w:r/>
          </w:p>
        </w:tc>
      </w:tr>
      <w:tr>
        <w:trPr>
          <w:trHeight w:val="3667"/>
        </w:trPr>
        <w:tc>
          <w:tcPr>
            <w:tcBorders>
              <w:top w:val="single" w:color="auto" w:sz="4" w:space="0"/>
              <w:left w:val="single" w:color="auto" w:sz="4" w:space="0"/>
              <w:right w:val="single" w:color="auto" w:sz="4" w:space="0"/>
            </w:tcBorders>
            <w:tcW w:w="749" w:type="pct"/>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双目热成像球机</w:t>
            </w:r>
            <w:r/>
          </w:p>
        </w:tc>
        <w:tc>
          <w:tcPr>
            <w:shd w:val="clear" w:color="000000" w:fill="ffffff"/>
            <w:tcBorders>
              <w:top w:val="single" w:color="auto" w:sz="4" w:space="0"/>
              <w:left w:val="single" w:color="auto" w:sz="4" w:space="0"/>
              <w:right w:val="single" w:color="auto" w:sz="4" w:space="0"/>
            </w:tcBorders>
            <w:tcW w:w="399" w:type="pct"/>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p>
        </w:tc>
        <w:tc>
          <w:tcPr>
            <w:shd w:val="clear" w:color="000000" w:fill="ffffff"/>
            <w:tcBorders>
              <w:top w:val="single" w:color="auto" w:sz="4" w:space="0"/>
              <w:left w:val="single" w:color="auto" w:sz="4" w:space="0"/>
              <w:right w:val="single" w:color="auto" w:sz="4" w:space="0"/>
            </w:tcBorders>
            <w:tcW w:w="439" w:type="pct"/>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w:t>
            </w:r>
            <w:r/>
          </w:p>
        </w:tc>
        <w:tc>
          <w:tcPr>
            <w:tcBorders>
              <w:top w:val="single" w:color="auto" w:sz="4" w:space="0"/>
              <w:left w:val="single" w:color="auto" w:sz="4" w:space="0"/>
              <w:bottom w:val="single" w:color="auto" w:sz="4" w:space="0"/>
              <w:right w:val="single" w:color="auto" w:sz="4" w:space="0"/>
            </w:tcBorders>
            <w:tcW w:w="3410"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1.可见光光学变倍：≥56倍；补光类型：红外；最大补光距离：150m；</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2.探测器像素：≥400×300；热成像镜头焦距：≥50mm；</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3.传感器类型：≥1/1.8英寸CMOS；最大分辨率：≥2688×1520；可见光像素：≥400万；</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4透雾功能：光学透雾；</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5.可见光防抖功能：电子防抖；可见光镜头焦距：6mm～336mm；</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6.雨刷功能：支持雨感雨刷，支持单次/多次可设，雨刷频率、持续时间可设；</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7.火点侦测距离（最远）：≥3000m；周界防范距离（人）：≥500m；周界防范距离（车）：≥1500m；</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8.AI智能：船只检测、火点侦测、拌线入侵、区域入侵、目标分类等多种智能功能，可对监控画面中通过指定区域的船只数量进行统计和显示；可显示船只型号信息；</w:t>
            </w:r>
            <w:r/>
          </w:p>
        </w:tc>
      </w:tr>
      <w:tr>
        <w:trPr>
          <w:trHeight w:val="1174"/>
        </w:trPr>
        <w:tc>
          <w:tcPr>
            <w:tcBorders>
              <w:left w:val="single" w:color="auto" w:sz="4" w:space="0"/>
              <w:bottom w:val="single" w:color="auto" w:sz="4" w:space="0"/>
              <w:right w:val="single" w:color="auto" w:sz="4" w:space="0"/>
            </w:tcBorders>
            <w:tcW w:w="749" w:type="pct"/>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000000" w:fill="ffffff"/>
            <w:tcBorders>
              <w:left w:val="single" w:color="auto" w:sz="4" w:space="0"/>
              <w:bottom w:val="single" w:color="auto" w:sz="4" w:space="0"/>
              <w:right w:val="single" w:color="auto" w:sz="4" w:space="0"/>
            </w:tcBorders>
            <w:tcW w:w="399" w:type="pct"/>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000000" w:fill="ffffff"/>
            <w:tcBorders>
              <w:left w:val="single" w:color="auto" w:sz="4" w:space="0"/>
              <w:bottom w:val="single" w:color="auto" w:sz="4" w:space="0"/>
              <w:right w:val="single" w:color="auto" w:sz="4" w:space="0"/>
            </w:tcBorders>
            <w:tcW w:w="439" w:type="pct"/>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410"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▲9.最小可分辨温差（MRTD）：≤150mk （提供公安部有效检测报告复印件加盖原厂公章或投标专用章）</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▲10.噪声等效温差（NETD）：≤8mk（提供公安部有效检测报告复印件加盖原厂公章或投标专用章）</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可按照所设置的预置位完成巡航路径，支持≥2000条巡航线，每条可设置≥512个预置点；在IE浏览器下，具有一键巡航控制按钮，并应支持一键巡航操作;可对已设定的S型扫描路径、预置位、螺旋路径进行自动巡航（提供公安部有效检测报告复印件加盖原厂公章或投标专用章）</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▲12.能够识别江面上的船只，并触发报警；并且能够统计船只的信息，包括船只的长度、宽度、速度及与样机距离; （提供公安部有效检测报告复印件加盖原厂公章或投标专用章）</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▲13.设备应支持GPS定位、北斗定位，具备远程定位功能，支持位置信息上传；（提供公安部有效检测报告复印件加盖原厂公章或投标专用章）</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1.2视频监控点位</w:t>
      </w:r>
      <w:r/>
    </w:p>
    <w:tbl>
      <w:tblPr>
        <w:tblStyle w:val="753"/>
        <w:tblW w:w="7816" w:type="dxa"/>
        <w:jc w:val="center"/>
        <w:tblLayout w:type="fixed"/>
        <w:tblCellMar>
          <w:left w:w="108" w:type="dxa"/>
          <w:top w:w="0" w:type="dxa"/>
          <w:right w:w="108" w:type="dxa"/>
          <w:bottom w:w="0" w:type="dxa"/>
        </w:tblCellMar>
        <w:tblLook w:val="04A0" w:firstRow="1" w:lastRow="0" w:firstColumn="1" w:lastColumn="0" w:noHBand="0" w:noVBand="1"/>
      </w:tblPr>
      <w:tblGrid>
        <w:gridCol w:w="1001"/>
        <w:gridCol w:w="3490"/>
        <w:gridCol w:w="3325"/>
      </w:tblGrid>
      <w:tr>
        <w:trPr>
          <w:jc w:val="center"/>
          <w:trHeight w:val="315"/>
        </w:trPr>
        <w:tc>
          <w:tcPr>
            <w:tcBorders>
              <w:top w:val="single" w:color="auto" w:sz="4" w:space="0"/>
              <w:left w:val="single" w:color="auto" w:sz="4" w:space="0"/>
              <w:bottom w:val="single" w:color="auto" w:sz="4" w:space="0"/>
              <w:right w:val="single" w:color="auto" w:sz="4" w:space="0"/>
            </w:tcBorders>
            <w:tcW w:w="1001" w:type="dxa"/>
            <w:vAlign w:val="center"/>
            <w:textDirection w:val="lrTb"/>
            <w:noWrap/>
          </w:tcPr>
          <w:p>
            <w:pPr>
              <w:jc w:val="center"/>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3490" w:type="dxa"/>
            <w:vAlign w:val="center"/>
            <w:textDirection w:val="lrTb"/>
            <w:noWrap/>
          </w:tcPr>
          <w:p>
            <w:pPr>
              <w:jc w:val="center"/>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点位名称</w:t>
            </w:r>
            <w:r/>
          </w:p>
        </w:tc>
        <w:tc>
          <w:tcPr>
            <w:tcBorders>
              <w:top w:val="single" w:color="auto" w:sz="4" w:space="0"/>
              <w:left w:val="single" w:color="auto" w:sz="4" w:space="0"/>
              <w:bottom w:val="single" w:color="auto" w:sz="4" w:space="0"/>
              <w:right w:val="single" w:color="auto" w:sz="4" w:space="0"/>
            </w:tcBorders>
            <w:tcW w:w="3325" w:type="dxa"/>
            <w:vAlign w:val="center"/>
            <w:textDirection w:val="lrTb"/>
            <w:noWrap w:val="false"/>
          </w:tcPr>
          <w:p>
            <w:pPr>
              <w:jc w:val="center"/>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295"/>
        </w:trPr>
        <w:tc>
          <w:tcPr>
            <w:tcBorders>
              <w:top w:val="single" w:color="auto"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auto"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三福船厂下口</w:t>
            </w:r>
            <w:r/>
          </w:p>
        </w:tc>
        <w:tc>
          <w:tcPr>
            <w:tcBorders>
              <w:top w:val="single" w:color="auto"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高港大桥西侧5</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同兴闸上游江堤6</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港务码头</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同兴闸入江口</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老三福船厂内7</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高港大桥北</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汽渡码头</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中航船舶码头北侧8</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电厂码头10</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南官河进江口</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滨冮公园平台4</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引江河口西</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中航船舶内9</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窑厂3</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天发渔港2</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永安永胜</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泰州大桥</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销毁现场</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新三福船厂</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粮库</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电厂出水口1</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东夹江</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双龙闸</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滨江公园</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引江河禁渔区东侧</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引江河禁渔区西侧</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引江河禁渔区南侧</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w:t>
            </w:r>
            <w:r/>
          </w:p>
        </w:tc>
        <w:tc>
          <w:tcPr>
            <w:tcBorders>
              <w:top w:val="none" w:color="000000" w:sz="4" w:space="0"/>
              <w:left w:val="none" w:color="000000" w:sz="4" w:space="0"/>
              <w:bottom w:val="single" w:color="000000" w:sz="8" w:space="0"/>
              <w:right w:val="single" w:color="auto" w:sz="4" w:space="0"/>
            </w:tcBorders>
            <w:tcW w:w="3490"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引江河禁渔区北侧</w:t>
            </w:r>
            <w:r/>
          </w:p>
        </w:tc>
        <w:tc>
          <w:tcPr>
            <w:tcBorders>
              <w:top w:val="none" w:color="000000" w:sz="4" w:space="0"/>
              <w:left w:val="single" w:color="auto" w:sz="4" w:space="0"/>
              <w:bottom w:val="single" w:color="000000" w:sz="8" w:space="0"/>
              <w:right w:val="single" w:color="000000" w:sz="8" w:space="0"/>
            </w:tcBorders>
            <w:tcW w:w="3325"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视频监控点位分布图</w:t>
      </w:r>
      <w:r/>
    </w:p>
    <w:p>
      <w:pPr>
        <w:rPr>
          <w:rFonts w:hint="eastAsia" w:ascii="宋体" w:hAnsi="宋体" w:eastAsia="宋体" w:cs="宋体"/>
          <w:color w:val="auto"/>
          <w:sz w:val="24"/>
          <w:szCs w:val="24"/>
          <w:highlight w:val="none"/>
        </w:rPr>
      </w:pPr>
      <w:r>
        <w:rPr>
          <w:rFonts w:hint="eastAsia"/>
          <w:color w:val="auto"/>
          <w:highlight w:val="none"/>
        </w:rPr>
        <mc:AlternateContent>
          <mc:Choice Requires="wpg">
            <w:drawing>
              <wp:inline xmlns:wp="http://schemas.openxmlformats.org/drawingml/2006/wordprocessingDrawing" distT="0" distB="0" distL="0" distR="0">
                <wp:extent cx="5274310" cy="4379595"/>
                <wp:effectExtent l="0" t="0" r="2540" b="19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54781" name="图片 1"/>
                        <pic:cNvPicPr>
                          <a:picLocks noChangeAspect="1"/>
                        </pic:cNvPicPr>
                        <pic:nvPr/>
                      </pic:nvPicPr>
                      <pic:blipFill>
                        <a:blip r:embed="rId17"/>
                        <a:stretch/>
                      </pic:blipFill>
                      <pic:spPr bwMode="auto">
                        <a:xfrm>
                          <a:off x="0" y="0"/>
                          <a:ext cx="5274310" cy="43795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344.8pt;mso-wrap-distance-left:0.0pt;mso-wrap-distance-top:0.0pt;mso-wrap-distance-right:0.0pt;mso-wrap-distance-bottom:0.0pt;" stroked="false">
                <v:path textboxrect="0,0,0,0"/>
                <v:imagedata r:id="rId17" o:title=""/>
              </v:shape>
            </w:pict>
          </mc:Fallback>
        </mc:AlternateConten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视频监控配套服务</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需要提供稳定的电源，确保上述摄像机能够7*24小时稳定运行；需要提供稳定的网络，采用专线传输，传输速率不得低于10Mb/s，确保电脑端或手机端实时查看摄像机监控画面</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并有专业的技术人员负责解决摄像机出现的任何故障。</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2.后端显示系统</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提供监控图像显示与控制服务，主要对上述点位视频监控采集到的画面、图像、视频进行分析处理，确保采购人能够通过电脑、手机等硬件设备获取实时动态。</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2.1图像显示服务要求</w:t>
      </w:r>
      <w:r/>
    </w:p>
    <w:tbl>
      <w:tblPr>
        <w:tblStyle w:val="753"/>
        <w:tblW w:w="5033" w:type="pct"/>
        <w:tblInd w:w="0" w:type="dxa"/>
        <w:tblLayout w:type="autofit"/>
        <w:tblCellMar>
          <w:left w:w="108" w:type="dxa"/>
          <w:top w:w="0" w:type="dxa"/>
          <w:right w:w="108" w:type="dxa"/>
          <w:bottom w:w="0" w:type="dxa"/>
        </w:tblCellMar>
        <w:tblLook w:val="04A0" w:firstRow="1" w:lastRow="0" w:firstColumn="1" w:lastColumn="0" w:noHBand="0" w:noVBand="1"/>
      </w:tblPr>
      <w:tblGrid>
        <w:gridCol w:w="1424"/>
        <w:gridCol w:w="805"/>
        <w:gridCol w:w="756"/>
        <w:gridCol w:w="6055"/>
      </w:tblGrid>
      <w:tr>
        <w:trPr>
          <w:trHeight w:val="385"/>
        </w:trPr>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360" w:lineRule="exac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服务内容</w:t>
            </w:r>
            <w:r/>
          </w:p>
        </w:tc>
        <w:tc>
          <w:tcPr>
            <w:shd w:val="clear" w:color="000000" w:fill="ffffff"/>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spacing w:line="360" w:lineRule="exac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数量</w:t>
            </w:r>
            <w:r/>
          </w:p>
        </w:tc>
        <w:tc>
          <w:tcPr>
            <w:shd w:val="clear" w:color="000000" w:fill="ffffff"/>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360" w:lineRule="exac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单位</w:t>
            </w:r>
            <w:r/>
          </w:p>
        </w:tc>
        <w:tc>
          <w:tcPr>
            <w:tcBorders>
              <w:top w:val="single" w:color="auto" w:sz="4" w:space="0"/>
              <w:left w:val="single" w:color="auto" w:sz="4" w:space="0"/>
              <w:bottom w:val="single" w:color="auto" w:sz="4" w:space="0"/>
              <w:right w:val="single" w:color="auto" w:sz="4" w:space="0"/>
            </w:tcBorders>
            <w:tcW w:w="3349" w:type="pct"/>
            <w:vAlign w:val="center"/>
            <w:textDirection w:val="lrTb"/>
            <w:noWrap w:val="false"/>
          </w:tcPr>
          <w:p>
            <w:pPr>
              <w:jc w:val="center"/>
              <w:spacing w:line="360" w:lineRule="exact"/>
              <w:widowControl/>
              <w:rPr>
                <w:rFonts w:hint="eastAsia" w:ascii="宋体" w:hAnsi="宋体" w:eastAsia="宋体" w:cs="宋体"/>
                <w:b/>
                <w:bCs/>
                <w:color w:val="auto"/>
                <w:sz w:val="24"/>
                <w:szCs w:val="24"/>
                <w:highlight w:val="none"/>
                <w:lang w:bidi="ar"/>
              </w:rPr>
            </w:pPr>
            <w:r>
              <w:rPr>
                <w:rFonts w:hint="eastAsia" w:ascii="宋体" w:hAnsi="宋体" w:eastAsia="宋体" w:cs="宋体"/>
                <w:b/>
                <w:bCs/>
                <w:color w:val="auto"/>
                <w:sz w:val="24"/>
                <w:szCs w:val="24"/>
                <w:highlight w:val="none"/>
                <w:lang w:bidi="ar"/>
              </w:rPr>
              <w:t xml:space="preserve">服务规范</w:t>
            </w:r>
            <w:r/>
          </w:p>
        </w:tc>
      </w:tr>
      <w:tr>
        <w:trPr>
          <w:trHeight w:val="1373"/>
        </w:trPr>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室内大屏显示系统（含配电柜、工程线缆及安装调测）</w:t>
            </w:r>
            <w:r/>
          </w:p>
        </w:tc>
        <w:tc>
          <w:tcPr>
            <w:shd w:val="clear" w:color="000000" w:fill="ffffff"/>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auto" w:sz="4" w:space="0"/>
              <w:left w:val="single" w:color="auto" w:sz="4" w:space="0"/>
              <w:bottom w:val="single" w:color="auto" w:sz="4" w:space="0"/>
              <w:right w:val="single" w:color="auto" w:sz="4" w:space="0"/>
            </w:tcBorders>
            <w:tcW w:w="3349" w:type="pct"/>
            <w:vAlign w:val="center"/>
            <w:textDirection w:val="lrTb"/>
            <w:noWrap w:val="false"/>
          </w:tcPr>
          <w:p>
            <w:pPr>
              <w:pStyle w:val="7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1.尺寸≥6㎡(分辨率2080*1248)；</w:t>
            </w:r>
            <w:r/>
          </w:p>
          <w:p>
            <w:pPr>
              <w:pStyle w:val="7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2.单元板尺寸(mm)：320*160，单元板分辨率(Dots)：208*104；                                 </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3.使用寿命：≥100000h，MTBF平均无故障时间≥100000h；MTTR平均修复时间≤2分钟</w:t>
            </w:r>
            <w:r/>
          </w:p>
        </w:tc>
      </w:tr>
      <w:tr>
        <w:trPr>
          <w:trHeight w:val="85"/>
        </w:trPr>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视频处理器</w:t>
            </w:r>
            <w:r/>
          </w:p>
        </w:tc>
        <w:tc>
          <w:tcPr>
            <w:shd w:val="clear" w:color="000000" w:fill="ffffff"/>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auto" w:sz="4" w:space="0"/>
              <w:left w:val="single" w:color="auto" w:sz="4" w:space="0"/>
              <w:bottom w:val="single" w:color="auto" w:sz="4" w:space="0"/>
              <w:right w:val="single" w:color="auto" w:sz="4" w:space="0"/>
            </w:tcBorders>
            <w:tcW w:w="3349" w:type="pct"/>
            <w:vAlign w:val="center"/>
            <w:textDirection w:val="lrTb"/>
            <w:noWrap w:val="false"/>
          </w:tcPr>
          <w:p>
            <w:pPr>
              <w:pStyle w:val="7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1.最大4096X2160@60Hz输入分辨率</w:t>
            </w:r>
            <w:r/>
          </w:p>
          <w:p>
            <w:pPr>
              <w:pStyle w:val="7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2.最大带载1048万像素，16路千兆网口输出</w:t>
            </w:r>
            <w:r/>
          </w:p>
          <w:p>
            <w:pPr>
              <w:pStyle w:val="7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3.最宽16384像素点或最高8192像素点</w:t>
            </w:r>
            <w:r/>
          </w:p>
          <w:p>
            <w:pPr>
              <w:pStyle w:val="7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4.支持6路信号输入:1xHDMI2.0，1xDP1.2，2xHDMI1.4，2xDVI</w:t>
            </w:r>
            <w:r/>
          </w:p>
          <w:p>
            <w:pPr>
              <w:pStyle w:val="7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5.支持6画面显示，位置、大小可自由调节</w:t>
            </w:r>
            <w:r/>
          </w:p>
          <w:p>
            <w:pPr>
              <w:pStyle w:val="7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6.支持视频信号任意切换，裁剪，拼接，缩放</w:t>
            </w:r>
            <w:r/>
          </w:p>
          <w:p>
            <w:pPr>
              <w:pStyle w:val="7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7.支持LAN口控制，支持手机端APP控制</w:t>
            </w:r>
            <w:r/>
          </w:p>
        </w:tc>
      </w:tr>
      <w:tr>
        <w:trPr>
          <w:trHeight w:val="85"/>
        </w:trPr>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LED条屏</w:t>
            </w:r>
            <w:r/>
          </w:p>
        </w:tc>
        <w:tc>
          <w:tcPr>
            <w:shd w:val="clear" w:color="000000" w:fill="ffffff"/>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p>
        </w:tc>
        <w:tc>
          <w:tcPr>
            <w:tcBorders>
              <w:top w:val="single" w:color="auto" w:sz="4" w:space="0"/>
              <w:left w:val="single" w:color="auto" w:sz="4" w:space="0"/>
              <w:bottom w:val="single" w:color="auto" w:sz="4" w:space="0"/>
              <w:right w:val="single" w:color="auto" w:sz="4" w:space="0"/>
            </w:tcBorders>
            <w:tcW w:w="3349" w:type="pct"/>
            <w:vAlign w:val="center"/>
            <w:textDirection w:val="lrTb"/>
            <w:noWrap w:val="false"/>
          </w:tcPr>
          <w:p>
            <w:pPr>
              <w:pStyle w:val="7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主要性能参数：尺寸3040mm*304mm；</w:t>
            </w:r>
            <w:r/>
          </w:p>
          <w:p>
            <w:pPr>
              <w:pStyle w:val="7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像素点间距(mm) 4.75；</w:t>
            </w:r>
            <w:r/>
          </w:p>
          <w:p>
            <w:pPr>
              <w:pStyle w:val="7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象素密度(点/m2) 44321；</w:t>
            </w:r>
            <w:r/>
          </w:p>
          <w:p>
            <w:pPr>
              <w:pStyle w:val="7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单元板分辨率(点) 64×32；</w:t>
            </w:r>
            <w:r/>
          </w:p>
          <w:p>
            <w:pPr>
              <w:pStyle w:val="7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单元板尺寸(mm) 305×152；</w:t>
            </w:r>
            <w:r/>
          </w:p>
          <w:p>
            <w:pPr>
              <w:pStyle w:val="7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含支架和电源及排线异步控制卡</w:t>
            </w:r>
            <w:r/>
          </w:p>
        </w:tc>
      </w:tr>
      <w:tr>
        <w:trPr>
          <w:trHeight w:val="85"/>
        </w:trPr>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图像工作站</w:t>
            </w:r>
            <w:r/>
          </w:p>
        </w:tc>
        <w:tc>
          <w:tcPr>
            <w:shd w:val="clear" w:color="000000" w:fill="ffffff"/>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处</w:t>
            </w:r>
            <w:r/>
          </w:p>
        </w:tc>
        <w:tc>
          <w:tcPr>
            <w:tcBorders>
              <w:top w:val="single" w:color="auto" w:sz="4" w:space="0"/>
              <w:left w:val="single" w:color="auto" w:sz="4" w:space="0"/>
              <w:bottom w:val="single" w:color="auto" w:sz="4" w:space="0"/>
              <w:right w:val="single" w:color="auto" w:sz="4" w:space="0"/>
            </w:tcBorders>
            <w:tcW w:w="3349" w:type="pct"/>
            <w:vAlign w:val="center"/>
            <w:textDirection w:val="lrTb"/>
            <w:noWrap w:val="false"/>
          </w:tcPr>
          <w:p>
            <w:pPr>
              <w:pStyle w:val="7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能够稳定、流畅显示前端监控系统采集到的画面、图像、视频</w:t>
            </w:r>
            <w:r/>
          </w:p>
        </w:tc>
      </w:tr>
      <w:tr>
        <w:trPr>
          <w:trHeight w:val="85"/>
        </w:trPr>
        <w:tc>
          <w:tcPr>
            <w:tcBorders>
              <w:top w:val="single" w:color="auto" w:sz="4" w:space="0"/>
              <w:left w:val="single" w:color="auto" w:sz="4" w:space="0"/>
              <w:bottom w:val="single" w:color="auto" w:sz="4" w:space="0"/>
              <w:right w:val="single" w:color="auto" w:sz="4" w:space="0"/>
            </w:tcBorders>
            <w:tcW w:w="78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执法终端</w:t>
            </w:r>
            <w:r/>
          </w:p>
        </w:tc>
        <w:tc>
          <w:tcPr>
            <w:shd w:val="clear" w:color="000000" w:fill="ffffff"/>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41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auto" w:sz="4" w:space="0"/>
              <w:left w:val="single" w:color="auto" w:sz="4" w:space="0"/>
              <w:bottom w:val="single" w:color="auto" w:sz="4" w:space="0"/>
              <w:right w:val="single" w:color="auto" w:sz="4" w:space="0"/>
            </w:tcBorders>
            <w:tcW w:w="3349" w:type="pct"/>
            <w:vAlign w:val="center"/>
            <w:textDirection w:val="lrTb"/>
            <w:noWrap w:val="false"/>
          </w:tcPr>
          <w:p>
            <w:pPr>
              <w:pStyle w:val="758"/>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定制</w:t>
            </w:r>
            <w:r/>
          </w:p>
        </w:tc>
      </w:tr>
    </w:tbl>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w:t>
      </w:r>
      <w:r>
        <w:rPr>
          <w:rFonts w:hint="eastAsia" w:ascii="宋体" w:hAnsi="宋体" w:eastAsia="宋体" w:cs="宋体"/>
          <w:color w:val="auto"/>
          <w:sz w:val="24"/>
          <w:szCs w:val="24"/>
          <w:highlight w:val="none"/>
        </w:rPr>
        <w:t xml:space="preserve">图像控制系统服务</w:t>
      </w:r>
      <w:r>
        <w:rPr>
          <w:rFonts w:hint="eastAsia" w:ascii="宋体" w:hAnsi="宋体" w:eastAsia="宋体" w:cs="宋体"/>
          <w:color w:val="auto"/>
          <w:sz w:val="24"/>
          <w:szCs w:val="24"/>
          <w:highlight w:val="none"/>
        </w:rPr>
      </w:r>
      <w:r/>
    </w:p>
    <w:p>
      <w:pPr>
        <w:ind w:firstLine="456"/>
        <w:spacing w:line="5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提供可供采购人使用的控制操作平台服务，统筹整合 AI 识别算法、水域全域监控、远程语音喊话、船舶管控、预警推送功能；须承诺该平台支持政务外网专线VPN安全边界接入。</w:t>
      </w:r>
      <w:r/>
    </w:p>
    <w:p>
      <w:pPr>
        <w:ind w:firstLine="456"/>
        <w:spacing w:line="58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供应商须列出系统平台可供AI识别的行为清单，其中必须包含但不限于以下类型：①垂钓侦测识别：对指定岸线进行监测，当发现人员有甩杆、抛杆等行为时触发告警；②区域入侵识别：前端监控系统监控的区域进行实时监测，当发现有船只进入时触发告警；③撒网侦测识别：对指定水域进行监测，当检测到人员实时抛撒网具动作时触发告警。</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3.后台存储系统</w:t>
      </w:r>
      <w:r/>
    </w:p>
    <w:p>
      <w:pPr>
        <w:ind w:firstLine="456"/>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后台存储系统主要具备设备管理、用户管理、视频监控录像等功能。通过前端监控系统采集到的画面、图像、视频，能够实时录像、及时回放，录像存储时间不得少于15天。 </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4.语音喊话系统</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在长江干流高港段提供符合要求的广播喊话服务，同时考虑广播挂载所需的基础浇筑、电源网络接入及巡检维护服务。</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语音喊话服务要求</w:t>
      </w:r>
      <w:r/>
    </w:p>
    <w:tbl>
      <w:tblPr>
        <w:tblStyle w:val="75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13"/>
        <w:gridCol w:w="1046"/>
        <w:gridCol w:w="744"/>
        <w:gridCol w:w="805"/>
        <w:gridCol w:w="5673"/>
      </w:tblGrid>
      <w:tr>
        <w:trPr>
          <w:trHeight w:val="351"/>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序号</w:t>
            </w:r>
            <w:r/>
          </w:p>
        </w:tc>
        <w:tc>
          <w:tcPr>
            <w:tcBorders>
              <w:top w:val="single" w:color="auto" w:sz="4" w:space="0"/>
              <w:left w:val="none" w:color="000000" w:sz="4" w:space="0"/>
              <w:bottom w:val="single" w:color="auto" w:sz="4" w:space="0"/>
              <w:right w:val="single" w:color="auto" w:sz="4" w:space="0"/>
            </w:tcBorders>
            <w:tcW w:w="582"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服务</w:t>
            </w:r>
            <w:r/>
          </w:p>
          <w:p>
            <w:pPr>
              <w:jc w:val="center"/>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内容</w:t>
            </w:r>
            <w:r/>
          </w:p>
        </w:tc>
        <w:tc>
          <w:tcPr>
            <w:shd w:val="clear" w:color="000000" w:fill="ffffff"/>
            <w:tcBorders>
              <w:top w:val="single" w:color="auto" w:sz="4" w:space="0"/>
              <w:left w:val="none" w:color="000000" w:sz="4" w:space="0"/>
              <w:bottom w:val="single" w:color="auto" w:sz="4" w:space="0"/>
              <w:right w:val="single" w:color="auto" w:sz="4" w:space="0"/>
            </w:tcBorders>
            <w:tcW w:w="414"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数量</w:t>
            </w:r>
            <w:r/>
          </w:p>
        </w:tc>
        <w:tc>
          <w:tcPr>
            <w:shd w:val="clear" w:color="000000" w:fill="ffffff"/>
            <w:tcBorders>
              <w:top w:val="single" w:color="auto" w:sz="4" w:space="0"/>
              <w:left w:val="none" w:color="000000" w:sz="4" w:space="0"/>
              <w:bottom w:val="single" w:color="auto" w:sz="4" w:space="0"/>
              <w:right w:val="single" w:color="auto" w:sz="4" w:space="0"/>
            </w:tcBorders>
            <w:tcW w:w="44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单位</w:t>
            </w:r>
            <w:r/>
          </w:p>
        </w:tc>
        <w:tc>
          <w:tcPr>
            <w:tcBorders>
              <w:top w:val="single" w:color="auto" w:sz="4" w:space="0"/>
              <w:left w:val="none" w:color="000000" w:sz="4" w:space="0"/>
              <w:bottom w:val="single" w:color="auto" w:sz="4" w:space="0"/>
              <w:right w:val="single" w:color="auto" w:sz="4" w:space="0"/>
            </w:tcBorders>
            <w:tcW w:w="3156"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服务规范</w:t>
            </w:r>
            <w:r/>
          </w:p>
        </w:tc>
      </w:tr>
      <w:tr>
        <w:trPr>
          <w:trHeight w:val="2512"/>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pStyle w:val="758"/>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582"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广播话筒（配套软件）</w:t>
            </w:r>
            <w:r/>
          </w:p>
        </w:tc>
        <w:tc>
          <w:tcPr>
            <w:shd w:val="clear" w:color="000000" w:fill="ffffff"/>
            <w:tcBorders>
              <w:top w:val="single" w:color="auto" w:sz="4" w:space="0"/>
              <w:left w:val="none" w:color="000000" w:sz="4" w:space="0"/>
              <w:bottom w:val="single" w:color="auto" w:sz="4" w:space="0"/>
              <w:right w:val="single" w:color="auto" w:sz="4" w:space="0"/>
            </w:tcBorders>
            <w:tcW w:w="414"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448" w:type="pct"/>
            <w:vAlign w:val="center"/>
            <w:textDirection w:val="lrTb"/>
            <w:noWrap w:val="false"/>
          </w:tcPr>
          <w:p>
            <w:pPr>
              <w:jc w:val="center"/>
              <w:spacing w:line="360" w:lineRule="exact"/>
              <w:widowControl/>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套</w:t>
            </w:r>
            <w:r/>
          </w:p>
        </w:tc>
        <w:tc>
          <w:tcPr>
            <w:tcBorders>
              <w:top w:val="single" w:color="auto" w:sz="4" w:space="0"/>
              <w:left w:val="none" w:color="000000" w:sz="4" w:space="0"/>
              <w:bottom w:val="single" w:color="auto" w:sz="4" w:space="0"/>
              <w:right w:val="single" w:color="auto" w:sz="4" w:space="0"/>
            </w:tcBorders>
            <w:tcW w:w="3156"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1.具有自定义按钮功能，支持自定义音乐播放、对讲、广播功能；具有紧急报警按钮功能，支持一键报警广播功能。</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2.内置网络音频解码功能，支持MP3、WAV、FLAC、OGG、AAC、OPUS音频格式，支持播放8kHz、16kHz、32kHz、44.1kHz、48kHz采样率的音频。</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3.设备支持全双工双向对讲功能，支持≥12路多方会议通话功能，支持多方通话可视化展示。设备自带回声消除抑制功能。</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4.桌面式设计，自带≥10.1英寸IPS屏幕，分辨率等同或优于1024x600，支持触摸操控。支持进入休眠、低功耗省电模式，支持账号密码管理。</w:t>
            </w:r>
            <w:r/>
          </w:p>
        </w:tc>
      </w:tr>
      <w:tr>
        <w:trPr>
          <w:trHeight w:val="637"/>
        </w:trPr>
        <w:tc>
          <w:tcPr>
            <w:tcBorders>
              <w:top w:val="single" w:color="auto" w:sz="4" w:space="0"/>
              <w:left w:val="single" w:color="auto" w:sz="4" w:space="0"/>
              <w:right w:val="single" w:color="auto" w:sz="4" w:space="0"/>
            </w:tcBorders>
            <w:tcW w:w="397" w:type="pct"/>
            <w:vAlign w:val="center"/>
            <w:vMerge w:val="restart"/>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582"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网络功放</w:t>
            </w:r>
            <w:r/>
          </w:p>
        </w:tc>
        <w:tc>
          <w:tcPr>
            <w:shd w:val="clear" w:color="000000" w:fill="ffffff"/>
            <w:tcBorders>
              <w:top w:val="single" w:color="auto" w:sz="4" w:space="0"/>
              <w:left w:val="none" w:color="000000" w:sz="4" w:space="0"/>
              <w:bottom w:val="single" w:color="auto" w:sz="4" w:space="0"/>
              <w:right w:val="single" w:color="auto" w:sz="4" w:space="0"/>
            </w:tcBorders>
            <w:tcW w:w="414" w:type="pct"/>
            <w:vAlign w:val="center"/>
            <w:textDirection w:val="lrTb"/>
            <w:noWrap w:val="false"/>
          </w:tcPr>
          <w:p>
            <w:pPr>
              <w:jc w:val="center"/>
              <w:spacing w:line="360" w:lineRule="exact"/>
              <w:widowControl/>
              <w:tabs>
                <w:tab w:val="left" w:pos="3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shd w:val="clear" w:color="000000" w:fill="ffffff"/>
            <w:tcBorders>
              <w:top w:val="single" w:color="auto" w:sz="4" w:space="0"/>
              <w:left w:val="none" w:color="000000" w:sz="4" w:space="0"/>
              <w:bottom w:val="single" w:color="auto" w:sz="4" w:space="0"/>
              <w:right w:val="single" w:color="auto" w:sz="4" w:space="0"/>
            </w:tcBorders>
            <w:tcW w:w="44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套</w:t>
            </w:r>
            <w:r/>
          </w:p>
        </w:tc>
        <w:tc>
          <w:tcPr>
            <w:tcBorders>
              <w:top w:val="single" w:color="auto" w:sz="4" w:space="0"/>
              <w:left w:val="none" w:color="000000" w:sz="4" w:space="0"/>
              <w:bottom w:val="single" w:color="auto" w:sz="4" w:space="0"/>
              <w:right w:val="single" w:color="auto" w:sz="4" w:space="0"/>
            </w:tcBorders>
            <w:tcW w:w="3156" w:type="pct"/>
            <w:vAlign w:val="center"/>
            <w:textDirection w:val="lrTb"/>
            <w:noWrap w:val="false"/>
          </w:tcPr>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1.具有≥1路100V定压信号备份输入接口，在机器无网络的状态下切换到备份通道。支持网络与模拟100V主备切换功能。</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2.内置网络音频解码功能，支持MP3、WAV、FLAC、OGG、AAC、OPUS音频格式，支持播放8kHz、16kHz、32kHz、44.1kHz、48kHz采样率的音频。</w:t>
            </w:r>
            <w:r/>
          </w:p>
          <w:p>
            <w:pP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3.系统支持抗丢包恢复功能，系统开启抗丢包恢复功能后，网络丢包≥37.5%音频播放无卡顿。（应提供由具备相应检测能力的机构出具的有效检测报告及能力证明）</w:t>
            </w:r>
            <w:r/>
          </w:p>
        </w:tc>
      </w:tr>
      <w:tr>
        <w:trPr>
          <w:trHeight w:val="863"/>
        </w:trPr>
        <w:tc>
          <w:tcPr>
            <w:tcBorders>
              <w:left w:val="single" w:color="auto" w:sz="4" w:space="0"/>
              <w:right w:val="single" w:color="auto" w:sz="4" w:space="0"/>
            </w:tcBorders>
            <w:tcW w:w="397" w:type="pct"/>
            <w:vAlign w:val="center"/>
            <w:vMerge w:val="continue"/>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right w:val="single" w:color="auto" w:sz="4" w:space="0"/>
            </w:tcBorders>
            <w:tcW w:w="582"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号角扬声器</w:t>
            </w:r>
            <w:r/>
          </w:p>
        </w:tc>
        <w:tc>
          <w:tcPr>
            <w:shd w:val="clear" w:color="000000" w:fill="ffffff"/>
            <w:tcBorders>
              <w:top w:val="single" w:color="auto" w:sz="4" w:space="0"/>
              <w:left w:val="none" w:color="000000" w:sz="4" w:space="0"/>
              <w:right w:val="single" w:color="auto" w:sz="4" w:space="0"/>
            </w:tcBorders>
            <w:tcW w:w="414" w:type="pct"/>
            <w:vAlign w:val="center"/>
            <w:textDirection w:val="lrTb"/>
            <w:noWrap w:val="false"/>
          </w:tcPr>
          <w:p>
            <w:pPr>
              <w:jc w:val="center"/>
              <w:spacing w:line="360" w:lineRule="exact"/>
              <w:widowControl/>
              <w:tabs>
                <w:tab w:val="left" w:pos="3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shd w:val="clear" w:color="000000" w:fill="ffffff"/>
            <w:tcBorders>
              <w:top w:val="single" w:color="auto" w:sz="4" w:space="0"/>
              <w:left w:val="none" w:color="000000" w:sz="4" w:space="0"/>
              <w:right w:val="single" w:color="auto" w:sz="4" w:space="0"/>
            </w:tcBorders>
            <w:tcW w:w="448" w:type="pct"/>
            <w:vAlign w:val="center"/>
            <w:textDirection w:val="lrTb"/>
            <w:noWrap w:val="false"/>
          </w:tcPr>
          <w:p>
            <w:pPr>
              <w:jc w:val="center"/>
              <w:spacing w:line="360" w:lineRule="exact"/>
              <w:widowControl/>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套</w:t>
            </w:r>
            <w:r/>
          </w:p>
        </w:tc>
        <w:tc>
          <w:tcPr>
            <w:tcBorders>
              <w:top w:val="single" w:color="auto" w:sz="4" w:space="0"/>
              <w:left w:val="none" w:color="000000" w:sz="4" w:space="0"/>
              <w:right w:val="single" w:color="auto" w:sz="4" w:space="0"/>
            </w:tcBorders>
            <w:tcW w:w="3156"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喇叭单元：≥2.5"高音驱动头×1</w:t>
            </w:r>
            <w:r/>
          </w:p>
        </w:tc>
      </w:tr>
      <w:tr>
        <w:trPr>
          <w:trHeight w:val="646"/>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582"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控制主机</w:t>
            </w:r>
            <w:r/>
          </w:p>
        </w:tc>
        <w:tc>
          <w:tcPr>
            <w:shd w:val="clear" w:color="000000" w:fill="ffffff"/>
            <w:tcBorders>
              <w:top w:val="single" w:color="auto" w:sz="4" w:space="0"/>
              <w:left w:val="none" w:color="000000" w:sz="4" w:space="0"/>
              <w:bottom w:val="single" w:color="auto" w:sz="4" w:space="0"/>
              <w:right w:val="single" w:color="auto" w:sz="4" w:space="0"/>
            </w:tcBorders>
            <w:tcW w:w="414"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448"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套</w:t>
            </w:r>
            <w:r/>
          </w:p>
        </w:tc>
        <w:tc>
          <w:tcPr>
            <w:tcBorders>
              <w:top w:val="single" w:color="auto" w:sz="4" w:space="0"/>
              <w:left w:val="none" w:color="000000" w:sz="4" w:space="0"/>
              <w:bottom w:val="single" w:color="auto" w:sz="4" w:space="0"/>
              <w:right w:val="single" w:color="auto" w:sz="4" w:space="0"/>
            </w:tcBorders>
            <w:tcW w:w="3156" w:type="pct"/>
            <w:vAlign w:val="center"/>
            <w:textDirection w:val="lrTb"/>
            <w:noWrap w:val="false"/>
          </w:tcPr>
          <w:p>
            <w:pPr>
              <w:pStyle w:val="758"/>
              <w:spacing w:line="3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采用的国产处理器配置≥8核，≥8线程，≥2.7GHz主频；≥1×256G M.2固态硬盘；≥1×8G DDR4内存。配套数字化网络广播系统服务平台</w:t>
            </w:r>
            <w:r/>
          </w:p>
        </w:tc>
      </w:tr>
    </w:tbl>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广播话筒点位</w:t>
      </w:r>
      <w:r/>
    </w:p>
    <w:tbl>
      <w:tblPr>
        <w:tblStyle w:val="753"/>
        <w:tblW w:w="8308" w:type="dxa"/>
        <w:jc w:val="center"/>
        <w:tblLayout w:type="fixed"/>
        <w:tblCellMar>
          <w:left w:w="108" w:type="dxa"/>
          <w:top w:w="0" w:type="dxa"/>
          <w:right w:w="108" w:type="dxa"/>
          <w:bottom w:w="0" w:type="dxa"/>
        </w:tblCellMar>
        <w:tblLook w:val="04A0" w:firstRow="1" w:lastRow="0" w:firstColumn="1" w:lastColumn="0" w:noHBand="0" w:noVBand="1"/>
      </w:tblPr>
      <w:tblGrid>
        <w:gridCol w:w="1001"/>
        <w:gridCol w:w="3745"/>
        <w:gridCol w:w="3562"/>
      </w:tblGrid>
      <w:tr>
        <w:trPr>
          <w:jc w:val="center"/>
          <w:trHeight w:val="315"/>
        </w:trPr>
        <w:tc>
          <w:tcPr>
            <w:tcBorders>
              <w:top w:val="single" w:color="auto" w:sz="4" w:space="0"/>
              <w:left w:val="single" w:color="auto" w:sz="4" w:space="0"/>
              <w:bottom w:val="single" w:color="auto" w:sz="4" w:space="0"/>
              <w:right w:val="single" w:color="auto" w:sz="4" w:space="0"/>
            </w:tcBorders>
            <w:tcW w:w="1001" w:type="dxa"/>
            <w:vAlign w:val="center"/>
            <w:textDirection w:val="lrTb"/>
            <w:noWrap/>
          </w:tcPr>
          <w:p>
            <w:pPr>
              <w:jc w:val="center"/>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tcBorders>
              <w:top w:val="single" w:color="auto" w:sz="4" w:space="0"/>
              <w:left w:val="single" w:color="auto" w:sz="4" w:space="0"/>
              <w:bottom w:val="single" w:color="auto" w:sz="4" w:space="0"/>
              <w:right w:val="single" w:color="auto" w:sz="4" w:space="0"/>
            </w:tcBorders>
            <w:tcW w:w="3745" w:type="dxa"/>
            <w:vAlign w:val="center"/>
            <w:textDirection w:val="lrTb"/>
            <w:noWrap/>
          </w:tcPr>
          <w:p>
            <w:pPr>
              <w:jc w:val="center"/>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点位名称</w:t>
            </w:r>
            <w:r/>
          </w:p>
        </w:tc>
        <w:tc>
          <w:tcPr>
            <w:tcBorders>
              <w:top w:val="single" w:color="auto" w:sz="4" w:space="0"/>
              <w:left w:val="single" w:color="auto" w:sz="4" w:space="0"/>
              <w:bottom w:val="single" w:color="auto" w:sz="4" w:space="0"/>
              <w:right w:val="single" w:color="auto" w:sz="4" w:space="0"/>
            </w:tcBorders>
            <w:tcW w:w="3562" w:type="dxa"/>
            <w:vAlign w:val="center"/>
            <w:textDirection w:val="lrTb"/>
            <w:noWrap w:val="false"/>
          </w:tcPr>
          <w:p>
            <w:pPr>
              <w:jc w:val="center"/>
              <w:spacing w:line="3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none" w:color="000000" w:sz="4" w:space="0"/>
              <w:left w:val="none" w:color="000000" w:sz="4" w:space="0"/>
              <w:bottom w:val="single" w:color="000000" w:sz="8" w:space="0"/>
              <w:right w:val="single" w:color="auto" w:sz="4" w:space="0"/>
            </w:tcBorders>
            <w:tcW w:w="3745"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高港大桥西侧5</w:t>
            </w:r>
            <w:r/>
          </w:p>
        </w:tc>
        <w:tc>
          <w:tcPr>
            <w:tcBorders>
              <w:top w:val="none" w:color="000000" w:sz="4" w:space="0"/>
              <w:left w:val="single" w:color="auto" w:sz="4" w:space="0"/>
              <w:bottom w:val="single" w:color="000000" w:sz="8" w:space="0"/>
              <w:right w:val="single" w:color="000000" w:sz="8" w:space="0"/>
            </w:tcBorders>
            <w:tcW w:w="3562"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挂高离地面≥3米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none" w:color="000000" w:sz="4" w:space="0"/>
              <w:left w:val="none" w:color="000000" w:sz="4" w:space="0"/>
              <w:bottom w:val="single" w:color="000000" w:sz="8" w:space="0"/>
              <w:right w:val="single" w:color="auto" w:sz="4" w:space="0"/>
            </w:tcBorders>
            <w:tcW w:w="3745"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老三福船厂内7</w:t>
            </w:r>
            <w:r/>
          </w:p>
        </w:tc>
        <w:tc>
          <w:tcPr>
            <w:tcBorders>
              <w:top w:val="none" w:color="000000" w:sz="4" w:space="0"/>
              <w:left w:val="single" w:color="auto" w:sz="4" w:space="0"/>
              <w:bottom w:val="single" w:color="000000" w:sz="8" w:space="0"/>
              <w:right w:val="single" w:color="000000" w:sz="8" w:space="0"/>
            </w:tcBorders>
            <w:tcW w:w="3562"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挂高离地面≥3米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Borders>
              <w:top w:val="none" w:color="000000" w:sz="4" w:space="0"/>
              <w:left w:val="none" w:color="000000" w:sz="4" w:space="0"/>
              <w:bottom w:val="single" w:color="000000" w:sz="8" w:space="0"/>
              <w:right w:val="single" w:color="auto" w:sz="4" w:space="0"/>
            </w:tcBorders>
            <w:tcW w:w="3745"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汽渡码头</w:t>
            </w:r>
            <w:r/>
          </w:p>
        </w:tc>
        <w:tc>
          <w:tcPr>
            <w:tcBorders>
              <w:top w:val="none" w:color="000000" w:sz="4" w:space="0"/>
              <w:left w:val="single" w:color="auto" w:sz="4" w:space="0"/>
              <w:bottom w:val="single" w:color="000000" w:sz="8" w:space="0"/>
              <w:right w:val="single" w:color="000000" w:sz="8" w:space="0"/>
            </w:tcBorders>
            <w:tcW w:w="3562"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挂高离地面≥3米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tcBorders>
              <w:top w:val="none" w:color="000000" w:sz="4" w:space="0"/>
              <w:left w:val="none" w:color="000000" w:sz="4" w:space="0"/>
              <w:bottom w:val="single" w:color="000000" w:sz="8" w:space="0"/>
              <w:right w:val="single" w:color="auto" w:sz="4" w:space="0"/>
            </w:tcBorders>
            <w:tcW w:w="3745"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中航船舶码头北侧8</w:t>
            </w:r>
            <w:r/>
          </w:p>
        </w:tc>
        <w:tc>
          <w:tcPr>
            <w:tcBorders>
              <w:top w:val="none" w:color="000000" w:sz="4" w:space="0"/>
              <w:left w:val="single" w:color="auto" w:sz="4" w:space="0"/>
              <w:bottom w:val="single" w:color="000000" w:sz="8" w:space="0"/>
              <w:right w:val="single" w:color="000000" w:sz="8" w:space="0"/>
            </w:tcBorders>
            <w:tcW w:w="3562"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挂高离地面≥3米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tcBorders>
              <w:top w:val="none" w:color="000000" w:sz="4" w:space="0"/>
              <w:left w:val="none" w:color="000000" w:sz="4" w:space="0"/>
              <w:bottom w:val="single" w:color="000000" w:sz="8" w:space="0"/>
              <w:right w:val="single" w:color="auto" w:sz="4" w:space="0"/>
            </w:tcBorders>
            <w:tcW w:w="3745"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电厂码头10</w:t>
            </w:r>
            <w:r/>
          </w:p>
        </w:tc>
        <w:tc>
          <w:tcPr>
            <w:tcBorders>
              <w:top w:val="none" w:color="000000" w:sz="4" w:space="0"/>
              <w:left w:val="single" w:color="auto" w:sz="4" w:space="0"/>
              <w:bottom w:val="single" w:color="000000" w:sz="8" w:space="0"/>
              <w:right w:val="single" w:color="000000" w:sz="8" w:space="0"/>
            </w:tcBorders>
            <w:tcW w:w="3562"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挂高离地面≥3米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tcBorders>
              <w:top w:val="none" w:color="000000" w:sz="4" w:space="0"/>
              <w:left w:val="none" w:color="000000" w:sz="4" w:space="0"/>
              <w:bottom w:val="single" w:color="000000" w:sz="8" w:space="0"/>
              <w:right w:val="single" w:color="auto" w:sz="4" w:space="0"/>
            </w:tcBorders>
            <w:tcW w:w="3745"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滨冮公园平台4</w:t>
            </w:r>
            <w:r/>
          </w:p>
        </w:tc>
        <w:tc>
          <w:tcPr>
            <w:tcBorders>
              <w:top w:val="none" w:color="000000" w:sz="4" w:space="0"/>
              <w:left w:val="single" w:color="auto" w:sz="4" w:space="0"/>
              <w:bottom w:val="single" w:color="000000" w:sz="8" w:space="0"/>
              <w:right w:val="single" w:color="000000" w:sz="8" w:space="0"/>
            </w:tcBorders>
            <w:tcW w:w="3562"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挂高离地面≥3米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7</w:t>
            </w:r>
            <w:r/>
          </w:p>
        </w:tc>
        <w:tc>
          <w:tcPr>
            <w:tcBorders>
              <w:top w:val="none" w:color="000000" w:sz="4" w:space="0"/>
              <w:left w:val="none" w:color="000000" w:sz="4" w:space="0"/>
              <w:bottom w:val="single" w:color="000000" w:sz="8" w:space="0"/>
              <w:right w:val="single" w:color="auto" w:sz="4" w:space="0"/>
            </w:tcBorders>
            <w:tcW w:w="3745"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窑厂3</w:t>
            </w:r>
            <w:r/>
          </w:p>
        </w:tc>
        <w:tc>
          <w:tcPr>
            <w:tcBorders>
              <w:top w:val="none" w:color="000000" w:sz="4" w:space="0"/>
              <w:left w:val="single" w:color="auto" w:sz="4" w:space="0"/>
              <w:bottom w:val="single" w:color="000000" w:sz="8" w:space="0"/>
              <w:right w:val="single" w:color="000000" w:sz="8" w:space="0"/>
            </w:tcBorders>
            <w:tcW w:w="3562"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挂高离地面≥3米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8</w:t>
            </w:r>
            <w:r/>
          </w:p>
        </w:tc>
        <w:tc>
          <w:tcPr>
            <w:tcBorders>
              <w:top w:val="none" w:color="000000" w:sz="4" w:space="0"/>
              <w:left w:val="none" w:color="000000" w:sz="4" w:space="0"/>
              <w:bottom w:val="single" w:color="000000" w:sz="8" w:space="0"/>
              <w:right w:val="single" w:color="auto" w:sz="4" w:space="0"/>
            </w:tcBorders>
            <w:tcW w:w="3745"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天发渔港2</w:t>
            </w:r>
            <w:r/>
          </w:p>
        </w:tc>
        <w:tc>
          <w:tcPr>
            <w:tcBorders>
              <w:top w:val="none" w:color="000000" w:sz="4" w:space="0"/>
              <w:left w:val="single" w:color="auto" w:sz="4" w:space="0"/>
              <w:bottom w:val="single" w:color="000000" w:sz="8" w:space="0"/>
              <w:right w:val="single" w:color="000000" w:sz="8" w:space="0"/>
            </w:tcBorders>
            <w:tcW w:w="3562"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挂高离地面≥3米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9</w:t>
            </w:r>
            <w:r/>
          </w:p>
        </w:tc>
        <w:tc>
          <w:tcPr>
            <w:tcBorders>
              <w:top w:val="none" w:color="000000" w:sz="4" w:space="0"/>
              <w:left w:val="none" w:color="000000" w:sz="4" w:space="0"/>
              <w:bottom w:val="single" w:color="000000" w:sz="8" w:space="0"/>
              <w:right w:val="single" w:color="auto" w:sz="4" w:space="0"/>
            </w:tcBorders>
            <w:tcW w:w="3745"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粮库</w:t>
            </w:r>
            <w:r/>
          </w:p>
        </w:tc>
        <w:tc>
          <w:tcPr>
            <w:tcBorders>
              <w:top w:val="none" w:color="000000" w:sz="4" w:space="0"/>
              <w:left w:val="single" w:color="auto" w:sz="4" w:space="0"/>
              <w:bottom w:val="single" w:color="000000" w:sz="8" w:space="0"/>
              <w:right w:val="single" w:color="000000" w:sz="8" w:space="0"/>
            </w:tcBorders>
            <w:tcW w:w="3562"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挂高离地面≥3米</w:t>
            </w:r>
            <w:r/>
          </w:p>
        </w:tc>
      </w:tr>
      <w:tr>
        <w:trPr>
          <w:jc w:val="center"/>
          <w:trHeight w:val="295"/>
        </w:trPr>
        <w:tc>
          <w:tcPr>
            <w:tcBorders>
              <w:top w:val="none" w:color="000000" w:sz="4" w:space="0"/>
              <w:left w:val="single" w:color="000000" w:sz="8" w:space="0"/>
              <w:bottom w:val="single" w:color="000000" w:sz="8" w:space="0"/>
              <w:right w:val="single" w:color="000000" w:sz="8" w:space="0"/>
            </w:tcBorders>
            <w:tcW w:w="1001" w:type="dxa"/>
            <w:vAlign w:val="bottom"/>
            <w:textDirection w:val="lrTb"/>
            <w:noWrap/>
          </w:tcPr>
          <w:p>
            <w:pPr>
              <w:jc w:val="center"/>
              <w:spacing w:line="3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1</w:t>
            </w:r>
            <w:r>
              <w:rPr>
                <w:rFonts w:hint="eastAsia" w:ascii="宋体" w:hAnsi="宋体" w:cs="宋体"/>
                <w:color w:val="auto"/>
                <w:sz w:val="24"/>
                <w:szCs w:val="24"/>
                <w:highlight w:val="none"/>
                <w:lang w:val="en-US" w:eastAsia="zh-CN" w:bidi="ar"/>
              </w:rPr>
              <w:t xml:space="preserve">0</w:t>
            </w:r>
            <w:r/>
          </w:p>
        </w:tc>
        <w:tc>
          <w:tcPr>
            <w:tcBorders>
              <w:top w:val="none" w:color="000000" w:sz="4" w:space="0"/>
              <w:left w:val="none" w:color="000000" w:sz="4" w:space="0"/>
              <w:bottom w:val="single" w:color="000000" w:sz="8" w:space="0"/>
              <w:right w:val="single" w:color="auto" w:sz="4" w:space="0"/>
            </w:tcBorders>
            <w:tcW w:w="3745" w:type="dxa"/>
            <w:vAlign w:val="bottom"/>
            <w:textDirection w:val="lrTb"/>
            <w:noWrap/>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电厂出水口1</w:t>
            </w:r>
            <w:r/>
          </w:p>
        </w:tc>
        <w:tc>
          <w:tcPr>
            <w:tcBorders>
              <w:top w:val="none" w:color="000000" w:sz="4" w:space="0"/>
              <w:left w:val="single" w:color="auto" w:sz="4" w:space="0"/>
              <w:bottom w:val="single" w:color="000000" w:sz="8" w:space="0"/>
              <w:right w:val="single" w:color="000000" w:sz="8" w:space="0"/>
            </w:tcBorders>
            <w:tcW w:w="3562" w:type="dxa"/>
            <w:vAlign w:val="bottom"/>
            <w:textDirection w:val="lrTb"/>
            <w:noWrap w:val="false"/>
          </w:tcPr>
          <w:p>
            <w:pPr>
              <w:jc w:val="center"/>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挂高离地面≥3米</w:t>
            </w:r>
            <w:r/>
          </w:p>
        </w:tc>
      </w:tr>
    </w:tbl>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备注：本项目成交后，若因电力、网络、空间利用等不可抗力因素对广播话筒点位进行调整，须经采购人同意，否则采购人有权终止本项目。</w:t>
      </w:r>
      <w:r/>
    </w:p>
    <w:p>
      <w:pPr>
        <w:ind w:firstLine="482"/>
        <w:spacing w:line="5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4.3语音喊话配套服务</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需提供立杆设立、建筑浇筑、设备安装等服务，确保提供录音喊话服务的广播离地不低于3米；</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需要提供稳定的电源，确保上述广播能够7*24小时稳定输出音频；</w:t>
      </w:r>
      <w:r>
        <w:rPr>
          <w:rFonts w:hint="eastAsia" w:ascii="宋体" w:hAnsi="宋体" w:cs="宋体"/>
          <w:color w:val="auto"/>
          <w:sz w:val="24"/>
          <w:szCs w:val="24"/>
          <w:highlight w:val="none"/>
          <w:lang w:val="en-US" w:eastAsia="zh-CN"/>
        </w:rPr>
        <w:t xml:space="preserve">并能</w:t>
      </w:r>
      <w:r>
        <w:rPr>
          <w:rFonts w:hint="eastAsia" w:ascii="宋体" w:hAnsi="宋体" w:eastAsia="宋体" w:cs="宋体"/>
          <w:color w:val="auto"/>
          <w:sz w:val="24"/>
          <w:szCs w:val="24"/>
          <w:highlight w:val="none"/>
        </w:rPr>
        <w:t xml:space="preserve">实时操作、控制音频输出；有专业的技术人员负责解决广播出现的任何故障。</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（二）运行保障服务</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运行保障服务主要包含上述前端监控系统、后端显示系统、后台存储系统、语音喊话系统的设备维修、损坏更换、软件升级、网络保障、电力供应及日常巡检相关服务。</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依据项目运维实际需求，供应商应设有24小时全天技术服务电话，并派专人负责沟通协调，并支持现场运维及远程技术支持。</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设备发生故障时立即启动运维处置流程，运维人员须2小时响应，</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小时内抵达现场，一般故障</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小时内完成修复；若</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小时内无法修复，</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个工作日内提供不低于原设备性能的备用设备投入运行。</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三、服务期限与费用支付</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1.服务期限：本项目服务期限为三年，自视频监控和语音喊话服务通过采购人验收合格之日起计算。</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费用说明：本项目服务费为包干价，包含：①为达成本项目服务效果所需全部设备的提供、运输、安装调试及网络、电力费用；②三年服务期内设备维修、损失更换、备品备件费用；③日常巡检、系统升级、故障处理及人工技术服务费用。如因成本上涨或降低，采购人对中标价格一律不作调整。</w:t>
      </w:r>
      <w:r/>
    </w:p>
    <w:p>
      <w:pPr>
        <w:ind w:firstLine="480"/>
        <w:spacing w:line="5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3.付款方式：</w:t>
      </w:r>
      <w:r>
        <w:rPr>
          <w:rFonts w:hint="eastAsia" w:ascii="宋体" w:hAnsi="宋体" w:cs="宋体"/>
          <w:color w:val="auto"/>
          <w:sz w:val="24"/>
          <w:szCs w:val="24"/>
          <w:highlight w:val="none"/>
          <w:lang w:eastAsia="zh-CN"/>
        </w:rPr>
        <w:t xml:space="preserve">费用分三期支付，</w:t>
      </w:r>
      <w:r>
        <w:rPr>
          <w:rFonts w:hint="eastAsia" w:ascii="宋体" w:hAnsi="宋体" w:cs="宋体"/>
          <w:color w:val="auto"/>
          <w:sz w:val="24"/>
          <w:szCs w:val="24"/>
          <w:highlight w:val="none"/>
          <w:lang w:val="en-US" w:eastAsia="zh-CN"/>
        </w:rPr>
        <w:t xml:space="preserve">自验收合格后</w:t>
      </w:r>
      <w:r>
        <w:rPr>
          <w:rFonts w:hint="eastAsia" w:ascii="宋体" w:hAnsi="宋体" w:cs="宋体"/>
          <w:color w:val="auto"/>
          <w:sz w:val="24"/>
          <w:szCs w:val="24"/>
          <w:highlight w:val="none"/>
          <w:lang w:eastAsia="zh-CN"/>
        </w:rPr>
        <w:t xml:space="preserve">服务每满一年且年度验收合格后支付一期。</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四、其他事项</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1.本项目不集中组织现场勘查，各潜在供应商可自行前往现场勘查。</w:t>
      </w:r>
      <w:r/>
    </w:p>
    <w:p>
      <w:pPr>
        <w:ind w:firstLine="480"/>
        <w:spacing w:line="5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2.本磋商文件中所列监测要求和监测内容为基准要求，如潜在供应商不能完全符合此基准要求，可高于此基准要求进行投标，采购人不接受低于该基准要求的投标。</w:t>
      </w:r>
      <w:r/>
    </w:p>
    <w:p>
      <w:pPr>
        <w:ind w:firstLine="480"/>
        <w:spacing w:line="58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项目施工及后续维保服务期间，如发生各类安全事故，全部责任、损失及由此产生的一切法律后果均由成交单位自行承担。成交单位应落实安全生产主体责任，制定安全防护方案，购买相关保险，采购人不承担任何安全事故连带责任。</w:t>
      </w:r>
      <w:r/>
    </w:p>
    <w:p>
      <w:pP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br w:type="page" w:clear="all"/>
      </w:r>
      <w:r/>
    </w:p>
    <w:p>
      <w:pPr>
        <w:pStyle w:val="970"/>
        <w:jc w:val="center"/>
        <w:keepNext w:val="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第五章  评审方法和评审标准</w:t>
      </w:r>
      <w:r/>
    </w:p>
    <w:p>
      <w:pPr>
        <w:ind w:firstLine="420"/>
        <w:rPr>
          <w:rFonts w:hint="eastAsia" w:ascii="宋体" w:hAnsi="宋体" w:cs="宋体"/>
          <w:color w:val="auto"/>
          <w:highlight w:val="none"/>
        </w:rPr>
      </w:pPr>
      <w:r>
        <w:rPr>
          <w:rFonts w:hint="eastAsia" w:ascii="宋体" w:hAnsi="宋体" w:cs="宋体"/>
          <w:color w:val="auto"/>
          <w:highlight w:val="none"/>
        </w:rPr>
        <w:t xml:space="preserve">本次采购采用百分制综合评分法，即供应商在最大限度地满足采购文件实质性要求的基础上，按照采购文件的各项因素进行综合评审后，总分设定为100分。磋商小组遵循公平、公正、择优原则，独立按照评分标准分别评定供应商的分值；各供应商的最终得分为各评委所评定分值的平均值，并按从高到低顺序排列，评审得分相同的，按照最后报价由低到高的顺序推荐；</w:t>
      </w:r>
      <w:r>
        <w:rPr>
          <w:rFonts w:hint="eastAsia" w:ascii="宋体" w:hAnsi="宋体" w:cs="宋体"/>
          <w:b/>
          <w:bCs/>
          <w:color w:val="auto"/>
          <w:highlight w:val="none"/>
        </w:rPr>
        <w:t xml:space="preserve">评审得分且最后报价相同的，按照技术指标优劣顺序推荐；技术指标得分仍相同的，通过抽签方式确定排序。</w:t>
      </w:r>
      <w:r>
        <w:rPr>
          <w:rFonts w:hint="eastAsia" w:ascii="宋体" w:hAnsi="宋体" w:cs="宋体"/>
          <w:color w:val="auto"/>
          <w:highlight w:val="none"/>
        </w:rPr>
        <w:t xml:space="preserve">因供应商自身原因，在磋商期间，不能及时、完整、有效提供相关原件以供磋商小组查询，由此导致不利于响应文件的磋商后果由供应商承担。</w:t>
      </w:r>
      <w:r/>
    </w:p>
    <w:p>
      <w:pPr>
        <w:ind w:firstLine="420"/>
        <w:rPr>
          <w:rFonts w:hint="eastAsia" w:ascii="宋体" w:hAnsi="宋体" w:cs="宋体"/>
          <w:color w:val="auto"/>
          <w:highlight w:val="none"/>
        </w:rPr>
      </w:pPr>
      <w:r>
        <w:rPr>
          <w:rFonts w:hint="eastAsia" w:ascii="宋体" w:hAnsi="宋体" w:cs="宋体"/>
          <w:color w:val="auto"/>
          <w:highlight w:val="none"/>
        </w:rPr>
        <w:t xml:space="preserve">评分细则详见下表：</w:t>
      </w:r>
      <w:r/>
    </w:p>
    <w:tbl>
      <w:tblPr>
        <w:tblStyle w:val="753"/>
        <w:tblW w:w="8716"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69"/>
        <w:gridCol w:w="1390"/>
        <w:gridCol w:w="6057"/>
      </w:tblGrid>
      <w:tr>
        <w:trPr>
          <w:jc w:val="center"/>
          <w:trHeight w:val="436"/>
        </w:trPr>
        <w:tc>
          <w:tcPr>
            <w:tcW w:w="1269" w:type="dxa"/>
            <w:vAlign w:val="center"/>
            <w:textDirection w:val="lrTb"/>
            <w:noWrap w:val="false"/>
          </w:tcPr>
          <w:p>
            <w:pPr>
              <w:jc w:val="cente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评审因素</w:t>
            </w:r>
            <w:r/>
          </w:p>
        </w:tc>
        <w:tc>
          <w:tcPr>
            <w:gridSpan w:val="2"/>
            <w:tcW w:w="7447" w:type="dxa"/>
            <w:vAlign w:val="center"/>
            <w:textDirection w:val="lrTb"/>
            <w:noWrap w:val="false"/>
          </w:tcPr>
          <w:p>
            <w:pPr>
              <w:jc w:val="cente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评分细则</w:t>
            </w:r>
            <w:r/>
          </w:p>
        </w:tc>
      </w:tr>
      <w:tr>
        <w:trPr>
          <w:jc w:val="center"/>
          <w:trHeight w:val="1231"/>
        </w:trPr>
        <w:tc>
          <w:tcPr>
            <w:tcW w:w="1269" w:type="dxa"/>
            <w:vAlign w:val="center"/>
            <w:textDirection w:val="lrTb"/>
            <w:noWrap w:val="false"/>
          </w:tcPr>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价格部分（</w:t>
            </w:r>
            <w:r>
              <w:rPr>
                <w:rFonts w:hint="eastAsia" w:ascii="宋体" w:hAnsi="宋体" w:cs="宋体"/>
                <w:bCs/>
                <w:color w:val="auto"/>
                <w:szCs w:val="21"/>
                <w:highlight w:val="none"/>
                <w:lang w:val="en-US" w:eastAsia="zh-CN"/>
              </w:rPr>
              <w:t xml:space="preserve">20</w:t>
            </w:r>
            <w:r>
              <w:rPr>
                <w:rFonts w:hint="eastAsia" w:ascii="宋体" w:hAnsi="宋体" w:cs="宋体"/>
                <w:bCs/>
                <w:color w:val="auto"/>
                <w:szCs w:val="21"/>
                <w:highlight w:val="none"/>
              </w:rPr>
              <w:t xml:space="preserve">分）</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r>
            <w:r/>
          </w:p>
        </w:tc>
        <w:tc>
          <w:tcPr>
            <w:gridSpan w:val="2"/>
            <w:tcW w:w="7447" w:type="dxa"/>
            <w:vAlign w:val="center"/>
            <w:textDirection w:val="lrTb"/>
            <w:noWrap w:val="false"/>
          </w:tcPr>
          <w:p>
            <w:pPr>
              <w:spacing w:line="348" w:lineRule="auto"/>
              <w:rPr>
                <w:rFonts w:hint="eastAsia" w:ascii="宋体" w:hAnsi="宋体" w:cs="宋体"/>
                <w:color w:val="auto"/>
                <w:szCs w:val="21"/>
                <w:highlight w:val="none"/>
              </w:rPr>
            </w:pPr>
            <w:r>
              <w:rPr>
                <w:rFonts w:hint="eastAsia" w:ascii="宋体" w:hAnsi="宋体" w:cs="宋体"/>
                <w:color w:val="auto"/>
                <w:szCs w:val="21"/>
                <w:highlight w:val="none"/>
              </w:rPr>
              <w:t xml:space="preserve">以满足采购文件要求的最低价为基准价，得满分</w:t>
            </w:r>
            <w:r>
              <w:rPr>
                <w:rFonts w:hint="eastAsia" w:ascii="宋体" w:hAnsi="宋体" w:cs="宋体"/>
                <w:color w:val="auto"/>
                <w:szCs w:val="21"/>
                <w:highlight w:val="none"/>
                <w:lang w:val="en-US" w:eastAsia="zh-CN"/>
              </w:rPr>
              <w:t xml:space="preserve">20</w:t>
            </w:r>
            <w:r>
              <w:rPr>
                <w:rFonts w:hint="eastAsia" w:ascii="宋体" w:hAnsi="宋体" w:cs="宋体"/>
                <w:color w:val="auto"/>
                <w:szCs w:val="21"/>
                <w:highlight w:val="none"/>
              </w:rPr>
              <w:t xml:space="preserve">分，其他报价得分＝（基准价/其他报价）×</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0×100％（保留小数点后两位）。</w:t>
            </w:r>
            <w:r/>
          </w:p>
          <w:p>
            <w:pPr>
              <w:shd w:val="clear" w:color="ffffff" w:fill="ffffff"/>
              <w:rPr>
                <w:rFonts w:hint="eastAsia" w:ascii="宋体" w:hAnsi="宋体" w:cs="宋体"/>
                <w:bCs/>
                <w:color w:val="auto"/>
                <w:szCs w:val="21"/>
                <w:highlight w:val="none"/>
              </w:rPr>
            </w:pPr>
            <w:r>
              <w:rPr>
                <w:rFonts w:hint="eastAsia" w:ascii="宋体" w:hAnsi="宋体" w:cs="宋体"/>
                <w:b/>
                <w:bCs/>
                <w:color w:val="auto"/>
                <w:szCs w:val="21"/>
                <w:highlight w:val="none"/>
              </w:rPr>
              <w:t xml:space="preserve">说明：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tc>
      </w:tr>
      <w:tr>
        <w:trPr>
          <w:jc w:val="center"/>
          <w:trHeight w:val="269"/>
        </w:trPr>
        <w:tc>
          <w:tcPr>
            <w:tcBorders>
              <w:top w:val="single" w:color="auto" w:sz="4" w:space="0"/>
              <w:right w:val="single" w:color="auto" w:sz="4" w:space="0"/>
            </w:tcBorders>
            <w:tcW w:w="1269" w:type="dxa"/>
            <w:vAlign w:val="center"/>
            <w:vMerge w:val="restart"/>
            <w:textDirection w:val="lrTb"/>
            <w:noWrap w:val="false"/>
          </w:tcPr>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r>
            <w:r/>
          </w:p>
          <w:p>
            <w:pPr>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r>
            <w:r/>
          </w:p>
          <w:p>
            <w:pPr>
              <w:rPr>
                <w:rFonts w:hint="eastAsia"/>
                <w:color w:val="auto"/>
                <w:highlight w:val="none"/>
              </w:rPr>
            </w:pPr>
            <w:r>
              <w:rPr>
                <w:rFonts w:hint="eastAsia" w:ascii="宋体" w:hAnsi="宋体" w:cs="宋体"/>
                <w:bCs/>
                <w:color w:val="auto"/>
                <w:szCs w:val="21"/>
                <w:highlight w:val="none"/>
              </w:rPr>
              <w:t xml:space="preserve">商务部分（</w:t>
            </w:r>
            <w:r>
              <w:rPr>
                <w:rFonts w:hint="eastAsia" w:ascii="宋体" w:hAnsi="宋体" w:cs="宋体"/>
                <w:bCs/>
                <w:color w:val="auto"/>
                <w:szCs w:val="21"/>
                <w:highlight w:val="none"/>
                <w:lang w:val="en-US" w:eastAsia="zh-CN"/>
              </w:rPr>
              <w:t xml:space="preserve">40</w:t>
            </w:r>
            <w:r>
              <w:rPr>
                <w:rFonts w:hint="eastAsia" w:ascii="宋体" w:hAnsi="宋体" w:cs="宋体"/>
                <w:bCs/>
                <w:color w:val="auto"/>
                <w:szCs w:val="21"/>
                <w:highlight w:val="none"/>
              </w:rPr>
              <w:t xml:space="preserve">分）</w:t>
            </w:r>
            <w:r/>
          </w:p>
          <w:p>
            <w:pPr>
              <w:jc w:val="left"/>
              <w:rPr>
                <w:rFonts w:hint="eastAsia" w:eastAsia="宋体"/>
                <w:color w:val="auto"/>
                <w:highlight w:val="none"/>
                <w:lang w:val="en-US" w:eastAsia="zh-CN"/>
              </w:rPr>
            </w:pPr>
            <w:r>
              <w:rPr>
                <w:rFonts w:hint="eastAsia" w:eastAsia="宋体"/>
                <w:color w:val="auto"/>
                <w:highlight w:val="none"/>
                <w:lang w:val="en-US" w:eastAsia="zh-CN"/>
              </w:rPr>
            </w:r>
            <w:r/>
          </w:p>
        </w:tc>
        <w:tc>
          <w:tcPr>
            <w:shd w:val="clear" w:color="auto" w:fill="auto"/>
            <w:tcBorders>
              <w:top w:val="single" w:color="auto" w:sz="4" w:space="0"/>
              <w:left w:val="single" w:color="auto" w:sz="4" w:space="0"/>
              <w:bottom w:val="single" w:color="auto" w:sz="4" w:space="0"/>
            </w:tcBorders>
            <w:tcW w:w="1390" w:type="dxa"/>
            <w:vAlign w:val="center"/>
            <w:textDirection w:val="lrTb"/>
            <w:noWrap w:val="false"/>
          </w:tcPr>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项目需求</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响应情况</w:t>
            </w:r>
            <w:r/>
          </w:p>
          <w:p>
            <w:pPr>
              <w:shd w:val="clear" w:color="ffffff" w:fill="ffffff"/>
              <w:rPr>
                <w:rFonts w:hint="eastAsia" w:ascii="宋体" w:hAnsi="宋体" w:eastAsia="宋体" w:cs="宋体"/>
                <w:bCs/>
                <w:color w:val="auto"/>
                <w:sz w:val="21"/>
                <w:szCs w:val="21"/>
                <w:highlight w:val="none"/>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18</w:t>
            </w:r>
            <w:r>
              <w:rPr>
                <w:rFonts w:hint="eastAsia" w:ascii="宋体" w:hAnsi="宋体" w:cs="宋体"/>
                <w:bCs/>
                <w:color w:val="auto"/>
                <w:szCs w:val="21"/>
                <w:highlight w:val="none"/>
              </w:rPr>
              <w:t xml:space="preserve">分）</w:t>
            </w:r>
            <w:r/>
          </w:p>
        </w:tc>
        <w:tc>
          <w:tcPr>
            <w:shd w:val="clear" w:color="auto" w:fill="auto"/>
            <w:tcW w:w="6057" w:type="dxa"/>
            <w:vAlign w:val="center"/>
            <w:textDirection w:val="lrTb"/>
            <w:noWrap w:val="false"/>
          </w:tcPr>
          <w:p>
            <w:pPr>
              <w:jc w:val="left"/>
              <w:spacing w:line="360"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1、投标产品所有技术参数全部满足或优于采购文件详细技术要求，得</w:t>
            </w:r>
            <w:r>
              <w:rPr>
                <w:rFonts w:hint="eastAsia" w:ascii="宋体" w:hAnsi="宋体" w:cs="宋体"/>
                <w:color w:val="auto"/>
                <w:szCs w:val="21"/>
                <w:highlight w:val="none"/>
                <w:lang w:val="en-US" w:eastAsia="zh-CN"/>
              </w:rPr>
              <w:t xml:space="preserve">18</w:t>
            </w:r>
            <w:r>
              <w:rPr>
                <w:rFonts w:hint="eastAsia" w:ascii="宋体" w:hAnsi="宋体" w:cs="宋体"/>
                <w:color w:val="auto"/>
                <w:szCs w:val="21"/>
                <w:highlight w:val="none"/>
              </w:rPr>
              <w:t xml:space="preserve">分。标注▲为关键指标，其余为一般参数。</w:t>
            </w:r>
            <w:r/>
          </w:p>
          <w:p>
            <w:pPr>
              <w:jc w:val="left"/>
              <w:spacing w:line="360"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2、每项▲参数负偏离扣 2 分，每项一般参数负偏离扣 1 分，</w:t>
            </w:r>
            <w:r>
              <w:rPr>
                <w:rFonts w:hint="eastAsia" w:ascii="宋体" w:hAnsi="宋体" w:cs="宋体"/>
                <w:color w:val="auto"/>
                <w:szCs w:val="21"/>
                <w:highlight w:val="none"/>
                <w:lang w:val="en-US" w:eastAsia="zh-CN"/>
              </w:rPr>
              <w:t xml:space="preserve">此项最多扣8分，</w:t>
            </w:r>
            <w:r>
              <w:rPr>
                <w:rFonts w:hint="eastAsia" w:ascii="宋体" w:hAnsi="宋体" w:cs="宋体"/>
                <w:color w:val="auto"/>
                <w:szCs w:val="21"/>
                <w:highlight w:val="none"/>
              </w:rPr>
              <w:t xml:space="preserve">参数不达标、未按要求提供佐证材料均认定为负偏离。</w:t>
            </w:r>
            <w:r/>
          </w:p>
          <w:p>
            <w:pPr>
              <w:jc w:val="left"/>
              <w:spacing w:line="360" w:lineRule="atLeast"/>
              <w:widowControl/>
              <w:rPr>
                <w:rFonts w:hint="eastAsia" w:ascii="宋体" w:hAnsi="宋体" w:eastAsia="宋体" w:cs="宋体"/>
                <w:bCs/>
                <w:color w:val="auto"/>
                <w:sz w:val="21"/>
                <w:szCs w:val="21"/>
                <w:highlight w:val="none"/>
              </w:rPr>
            </w:pPr>
            <w:r>
              <w:rPr>
                <w:rFonts w:hint="eastAsia" w:ascii="宋体" w:hAnsi="宋体" w:cs="宋体"/>
                <w:color w:val="auto"/>
                <w:szCs w:val="21"/>
                <w:highlight w:val="none"/>
              </w:rPr>
              <w:t xml:space="preserve">3、供应商若提供虚假证明材料、虚假应答参数或虚假偏离表，投标无效，评标委员会将线索报送采购监管部门，追究相关责任。</w:t>
            </w:r>
            <w:r/>
          </w:p>
        </w:tc>
      </w:tr>
      <w:tr>
        <w:trPr>
          <w:jc w:val="center"/>
          <w:trHeight w:val="269"/>
        </w:trPr>
        <w:tc>
          <w:tcPr>
            <w:tcBorders>
              <w:right w:val="single" w:color="auto" w:sz="4" w:space="0"/>
            </w:tcBorders>
            <w:tcW w:w="1269" w:type="dxa"/>
            <w:vAlign w:val="center"/>
            <w:vMerge w:val="continue"/>
            <w:textDirection w:val="lrTb"/>
            <w:noWrap w:val="false"/>
          </w:tcPr>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4" w:space="0"/>
              <w:left w:val="single" w:color="auto" w:sz="4" w:space="0"/>
              <w:bottom w:val="single" w:color="auto" w:sz="4" w:space="0"/>
            </w:tcBorders>
            <w:tcW w:w="1390" w:type="dxa"/>
            <w:vAlign w:val="center"/>
            <w:textDirection w:val="lrTb"/>
            <w:noWrap w:val="false"/>
          </w:tcPr>
          <w:p>
            <w:pPr>
              <w:shd w:val="clear" w:color="ffffff" w:fill="ffffff"/>
              <w:rPr>
                <w:rFonts w:hint="eastAsia"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团队人员</w:t>
            </w:r>
            <w:r/>
          </w:p>
          <w:p>
            <w:pPr>
              <w:shd w:val="clear" w:color="ffffff" w:fill="ffff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（7分）</w:t>
            </w:r>
            <w:r/>
          </w:p>
        </w:tc>
        <w:tc>
          <w:tcPr>
            <w:tcW w:w="6057" w:type="dxa"/>
            <w:vAlign w:val="center"/>
            <w:textDirection w:val="lrTb"/>
            <w:noWrap w:val="false"/>
          </w:tcPr>
          <w:p>
            <w:pPr>
              <w:spacing w:line="360" w:lineRule="exact"/>
              <w:rPr>
                <w:rFonts w:hint="eastAsia" w:ascii="宋体" w:hAnsi="宋体" w:eastAsia="宋体" w:cs="宋体"/>
                <w:color w:val="auto"/>
                <w:sz w:val="21"/>
                <w:szCs w:val="21"/>
                <w:highlight w:val="none"/>
                <w:lang w:bidi="ar"/>
              </w:rPr>
            </w:pPr>
            <w:r>
              <w:rPr>
                <w:rFonts w:hint="eastAsia" w:ascii="宋体" w:hAnsi="宋体" w:eastAsia="宋体" w:cs="宋体"/>
                <w:b/>
                <w:bCs/>
                <w:color w:val="auto"/>
                <w:sz w:val="21"/>
                <w:szCs w:val="21"/>
                <w:highlight w:val="none"/>
                <w:lang w:bidi="ar"/>
              </w:rPr>
              <w:t xml:space="preserve">项目负责人：</w:t>
            </w:r>
            <w:r>
              <w:rPr>
                <w:rFonts w:ascii="宋体" w:hAnsi="宋体" w:eastAsia="宋体" w:cs="宋体"/>
                <w:color w:val="auto"/>
                <w:sz w:val="21"/>
                <w:szCs w:val="21"/>
                <w:highlight w:val="none"/>
              </w:rPr>
              <w:t xml:space="preserve">专业为</w:t>
            </w:r>
            <w:r>
              <w:rPr>
                <w:rFonts w:hint="eastAsia" w:ascii="宋体" w:hAnsi="宋体" w:eastAsia="宋体" w:cs="宋体"/>
                <w:color w:val="auto"/>
                <w:sz w:val="21"/>
                <w:szCs w:val="21"/>
                <w:highlight w:val="none"/>
                <w:lang w:bidi="ar"/>
              </w:rPr>
              <w:t xml:space="preserve">通信、软件等与项目需求相关的专业，</w:t>
            </w:r>
            <w:r>
              <w:rPr>
                <w:rFonts w:ascii="宋体" w:hAnsi="宋体" w:eastAsia="宋体" w:cs="宋体"/>
                <w:color w:val="auto"/>
                <w:sz w:val="21"/>
                <w:szCs w:val="21"/>
                <w:highlight w:val="none"/>
              </w:rPr>
              <w:t xml:space="preserve">具有高级及以上职称</w:t>
            </w:r>
            <w:r>
              <w:rPr>
                <w:rFonts w:hint="eastAsia" w:ascii="宋体" w:hAnsi="宋体" w:eastAsia="宋体" w:cs="宋体"/>
                <w:color w:val="auto"/>
                <w:sz w:val="21"/>
                <w:szCs w:val="21"/>
                <w:highlight w:val="none"/>
                <w:lang w:bidi="ar"/>
              </w:rPr>
              <w:t xml:space="preserve">，得3分。</w:t>
            </w:r>
            <w:r>
              <w:rPr>
                <w:rFonts w:hint="eastAsia" w:ascii="宋体" w:hAnsi="宋体" w:eastAsia="宋体" w:cs="宋体"/>
                <w:b/>
                <w:bCs/>
                <w:color w:val="auto"/>
                <w:sz w:val="21"/>
                <w:szCs w:val="21"/>
                <w:highlight w:val="none"/>
                <w:lang w:bidi="ar"/>
              </w:rPr>
              <w:t xml:space="preserve">团队成员：</w:t>
            </w:r>
            <w:r>
              <w:rPr>
                <w:rFonts w:hint="eastAsia" w:ascii="宋体" w:hAnsi="宋体" w:eastAsia="宋体" w:cs="宋体"/>
                <w:color w:val="auto"/>
                <w:sz w:val="21"/>
                <w:szCs w:val="21"/>
                <w:highlight w:val="none"/>
                <w:lang w:bidi="ar"/>
              </w:rPr>
              <w:t xml:space="preserve">除项目负责人外，</w:t>
            </w:r>
            <w:r>
              <w:rPr>
                <w:rFonts w:ascii="宋体" w:hAnsi="宋体" w:eastAsia="宋体" w:cs="宋体"/>
                <w:color w:val="auto"/>
                <w:sz w:val="21"/>
                <w:szCs w:val="21"/>
                <w:highlight w:val="none"/>
              </w:rPr>
              <w:t xml:space="preserve">专业为</w:t>
            </w:r>
            <w:r>
              <w:rPr>
                <w:rFonts w:hint="eastAsia" w:ascii="宋体" w:hAnsi="宋体" w:eastAsia="宋体" w:cs="宋体"/>
                <w:color w:val="auto"/>
                <w:sz w:val="21"/>
                <w:szCs w:val="21"/>
                <w:highlight w:val="none"/>
                <w:lang w:bidi="ar"/>
              </w:rPr>
              <w:t xml:space="preserve">通信、软件等与项目需求相关的专业，</w:t>
            </w:r>
            <w:r>
              <w:rPr>
                <w:rFonts w:ascii="宋体" w:hAnsi="宋体" w:eastAsia="宋体" w:cs="宋体"/>
                <w:color w:val="auto"/>
                <w:sz w:val="21"/>
                <w:szCs w:val="21"/>
                <w:highlight w:val="none"/>
              </w:rPr>
              <w:t xml:space="preserve">具有</w:t>
            </w:r>
            <w:r>
              <w:rPr>
                <w:rFonts w:hint="eastAsia" w:ascii="宋体" w:hAnsi="宋体" w:eastAsia="宋体" w:cs="宋体"/>
                <w:color w:val="auto"/>
                <w:sz w:val="21"/>
                <w:szCs w:val="21"/>
                <w:highlight w:val="none"/>
                <w:lang w:bidi="ar"/>
              </w:rPr>
              <w:t xml:space="preserve">中级</w:t>
            </w:r>
            <w:r>
              <w:rPr>
                <w:rFonts w:ascii="宋体" w:hAnsi="宋体" w:eastAsia="宋体" w:cs="宋体"/>
                <w:color w:val="auto"/>
                <w:sz w:val="21"/>
                <w:szCs w:val="21"/>
                <w:highlight w:val="none"/>
              </w:rPr>
              <w:t xml:space="preserve">及以上</w:t>
            </w:r>
            <w:r>
              <w:rPr>
                <w:rFonts w:hint="eastAsia" w:ascii="宋体" w:hAnsi="宋体" w:eastAsia="宋体" w:cs="宋体"/>
                <w:color w:val="auto"/>
                <w:sz w:val="21"/>
                <w:szCs w:val="21"/>
                <w:highlight w:val="none"/>
                <w:lang w:bidi="ar"/>
              </w:rPr>
              <w:t xml:space="preserve">职称或本科学位的专业技术人员，每人得</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分，满分</w:t>
            </w:r>
            <w:r>
              <w:rPr>
                <w:rFonts w:hint="eastAsia" w:ascii="宋体" w:hAnsi="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分。</w:t>
            </w:r>
            <w:r/>
          </w:p>
          <w:p>
            <w:pPr>
              <w:shd w:val="clear" w:color="ffffff" w:fill="ffffff"/>
              <w:rPr>
                <w:rFonts w:hint="eastAsia" w:ascii="宋体" w:hAnsi="宋体" w:cs="宋体"/>
                <w:bCs/>
                <w:color w:val="auto"/>
                <w:szCs w:val="21"/>
                <w:highlight w:val="none"/>
              </w:rPr>
            </w:pPr>
            <w:r>
              <w:rPr>
                <w:rFonts w:hint="eastAsia" w:ascii="宋体" w:hAnsi="宋体" w:eastAsia="宋体" w:cs="宋体"/>
                <w:b/>
                <w:bCs/>
                <w:color w:val="auto"/>
                <w:sz w:val="21"/>
                <w:szCs w:val="21"/>
                <w:highlight w:val="none"/>
                <w:lang w:bidi="ar"/>
              </w:rPr>
              <w:t xml:space="preserve">注：提供以上人员的相关证明材料（职称、学历、学位等证书）复印件加盖供应商公章，同时提供近三个月</w:t>
            </w:r>
            <w:r>
              <w:rPr>
                <w:rFonts w:hint="eastAsia" w:ascii="宋体" w:hAnsi="宋体" w:cs="宋体"/>
                <w:b/>
                <w:bCs/>
                <w:color w:val="auto"/>
                <w:sz w:val="21"/>
                <w:szCs w:val="21"/>
                <w:highlight w:val="none"/>
                <w:lang w:eastAsia="zh-CN" w:bidi="ar"/>
              </w:rPr>
              <w:t xml:space="preserve">（</w:t>
            </w:r>
            <w:r>
              <w:rPr>
                <w:rFonts w:hint="eastAsia" w:ascii="宋体" w:hAnsi="宋体" w:cs="宋体"/>
                <w:b/>
                <w:bCs/>
                <w:color w:val="auto"/>
                <w:sz w:val="21"/>
                <w:szCs w:val="21"/>
                <w:highlight w:val="none"/>
                <w:lang w:val="en-US" w:eastAsia="zh-CN" w:bidi="ar"/>
              </w:rPr>
              <w:t xml:space="preserve">不含投标当月）</w:t>
            </w:r>
            <w:r>
              <w:rPr>
                <w:rFonts w:hint="eastAsia" w:ascii="宋体" w:hAnsi="宋体" w:eastAsia="宋体" w:cs="宋体"/>
                <w:b/>
                <w:bCs/>
                <w:color w:val="auto"/>
                <w:sz w:val="21"/>
                <w:szCs w:val="21"/>
                <w:highlight w:val="none"/>
                <w:lang w:bidi="ar"/>
              </w:rPr>
              <w:t xml:space="preserve">的社保证明材料。</w:t>
            </w:r>
            <w:r/>
          </w:p>
        </w:tc>
      </w:tr>
      <w:tr>
        <w:trPr>
          <w:jc w:val="center"/>
          <w:trHeight w:val="269"/>
        </w:trPr>
        <w:tc>
          <w:tcPr>
            <w:tcBorders>
              <w:right w:val="single" w:color="auto" w:sz="4" w:space="0"/>
            </w:tcBorders>
            <w:tcW w:w="1269" w:type="dxa"/>
            <w:vAlign w:val="center"/>
            <w:vMerge w:val="continue"/>
            <w:textDirection w:val="lrTb"/>
            <w:noWrap w:val="false"/>
          </w:tcPr>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r>
            <w:r/>
          </w:p>
        </w:tc>
        <w:tc>
          <w:tcPr>
            <w:shd w:val="clear" w:color="auto" w:fill="auto"/>
            <w:tcBorders>
              <w:top w:val="single" w:color="auto" w:sz="4" w:space="0"/>
              <w:left w:val="single" w:color="auto" w:sz="4" w:space="0"/>
              <w:bottom w:val="single" w:color="auto" w:sz="4" w:space="0"/>
            </w:tcBorders>
            <w:tcW w:w="1390" w:type="dxa"/>
            <w:vAlign w:val="center"/>
            <w:textDirection w:val="lrTb"/>
            <w:noWrap w:val="false"/>
          </w:tcPr>
          <w:p>
            <w:pPr>
              <w:jc w:val="left"/>
              <w:spacing w:line="360" w:lineRule="auto"/>
              <w:widowControl/>
              <w:rPr>
                <w:rFonts w:hint="eastAsia"/>
                <w:color w:val="auto"/>
                <w:szCs w:val="21"/>
                <w:highlight w:val="none"/>
              </w:rPr>
            </w:pPr>
            <w:r>
              <w:rPr>
                <w:rFonts w:hint="eastAsia"/>
                <w:color w:val="auto"/>
                <w:szCs w:val="21"/>
                <w:highlight w:val="none"/>
              </w:rPr>
              <w:t xml:space="preserve">业绩</w:t>
            </w:r>
            <w:r/>
          </w:p>
          <w:p>
            <w:pPr>
              <w:jc w:val="left"/>
              <w:spacing w:line="360" w:lineRule="auto"/>
              <w:widowControl/>
              <w:rPr>
                <w:rFonts w:hint="eastAsia" w:ascii="Times New Roman" w:hAnsi="Times New Roman" w:eastAsia="宋体" w:cs="Times New Roman"/>
                <w:color w:val="auto"/>
                <w:sz w:val="21"/>
                <w:szCs w:val="21"/>
                <w:highlight w:val="none"/>
                <w:lang w:val="en-US" w:eastAsia="zh-CN"/>
              </w:rPr>
            </w:pP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15</w:t>
            </w:r>
            <w:r>
              <w:rPr>
                <w:rFonts w:hint="eastAsia" w:ascii="宋体" w:hAnsi="宋体" w:cs="宋体"/>
                <w:bCs/>
                <w:color w:val="auto"/>
                <w:szCs w:val="21"/>
                <w:highlight w:val="none"/>
              </w:rPr>
              <w:t xml:space="preserve">分）</w:t>
            </w:r>
            <w:r/>
          </w:p>
        </w:tc>
        <w:tc>
          <w:tcPr>
            <w:shd w:val="clear" w:color="auto" w:fill="auto"/>
            <w:tcW w:w="6057" w:type="dxa"/>
            <w:vAlign w:val="center"/>
            <w:textDirection w:val="lrTb"/>
            <w:noWrap w:val="false"/>
          </w:tcPr>
          <w:p>
            <w:pPr>
              <w:spacing w:line="360" w:lineRule="auto"/>
              <w:widowControl/>
              <w:rPr>
                <w:rFonts w:hint="default" w:ascii="Times New Roman" w:hAnsi="Times New Roman" w:eastAsia="宋体" w:cs="Times New Roman"/>
                <w:color w:val="auto"/>
                <w:sz w:val="21"/>
                <w:szCs w:val="21"/>
                <w:highlight w:val="none"/>
                <w:lang w:val="en-US" w:eastAsia="zh-CN"/>
              </w:rPr>
            </w:pPr>
            <w:r>
              <w:rPr>
                <w:rFonts w:hint="eastAsia"/>
                <w:color w:val="auto"/>
                <w:highlight w:val="none"/>
              </w:rPr>
              <w:t xml:space="preserve">投标人202</w:t>
            </w:r>
            <w:r>
              <w:rPr>
                <w:rFonts w:hint="eastAsia"/>
                <w:color w:val="auto"/>
                <w:highlight w:val="none"/>
                <w:lang w:val="en-US" w:eastAsia="zh-CN"/>
              </w:rPr>
              <w:t xml:space="preserve">3</w:t>
            </w:r>
            <w:r>
              <w:rPr>
                <w:rFonts w:hint="eastAsia"/>
                <w:color w:val="auto"/>
                <w:highlight w:val="none"/>
              </w:rPr>
              <w:t xml:space="preserve">年1月1日以来承担过类似（类似业绩是指视频监控服务，时间以合同签订时间为准）项目业绩的，每提供1个业绩得</w:t>
            </w:r>
            <w:r>
              <w:rPr>
                <w:color w:val="auto"/>
                <w:highlight w:val="none"/>
              </w:rPr>
              <w:t xml:space="preserve">3</w:t>
            </w:r>
            <w:r>
              <w:rPr>
                <w:rFonts w:hint="eastAsia"/>
                <w:color w:val="auto"/>
                <w:highlight w:val="none"/>
              </w:rPr>
              <w:t xml:space="preserve">分，最高得</w:t>
            </w:r>
            <w:r>
              <w:rPr>
                <w:rFonts w:hint="eastAsia"/>
                <w:color w:val="auto"/>
                <w:highlight w:val="none"/>
                <w:lang w:val="en-US" w:eastAsia="zh-CN"/>
              </w:rPr>
              <w:t xml:space="preserve">15</w:t>
            </w:r>
            <w:r>
              <w:rPr>
                <w:rFonts w:hint="eastAsia"/>
                <w:color w:val="auto"/>
                <w:highlight w:val="none"/>
              </w:rPr>
              <w:t xml:space="preserve">分。提供业绩合同扫描件加盖电子公章，不提供不得分。</w:t>
            </w:r>
            <w:r/>
          </w:p>
        </w:tc>
      </w:tr>
      <w:tr>
        <w:trPr>
          <w:jc w:val="center"/>
          <w:trHeight w:val="269"/>
        </w:trPr>
        <w:tc>
          <w:tcPr>
            <w:tcBorders>
              <w:top w:val="single" w:color="auto" w:sz="4" w:space="0"/>
              <w:right w:val="single" w:color="auto" w:sz="4" w:space="0"/>
            </w:tcBorders>
            <w:tcW w:w="1269" w:type="dxa"/>
            <w:vAlign w:val="center"/>
            <w:vMerge w:val="restart"/>
            <w:textDirection w:val="lrTb"/>
            <w:noWrap w:val="false"/>
          </w:tcPr>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技术</w:t>
            </w:r>
            <w:r>
              <w:rPr>
                <w:rFonts w:hint="eastAsia" w:ascii="宋体" w:hAnsi="宋体" w:cs="宋体"/>
                <w:bCs/>
                <w:color w:val="auto"/>
                <w:szCs w:val="21"/>
                <w:highlight w:val="none"/>
              </w:rPr>
              <w:t xml:space="preserve">部分（40分）</w:t>
            </w:r>
            <w:r/>
          </w:p>
        </w:tc>
        <w:tc>
          <w:tcPr>
            <w:tcBorders>
              <w:top w:val="single" w:color="auto" w:sz="4" w:space="0"/>
              <w:left w:val="single" w:color="auto" w:sz="4" w:space="0"/>
              <w:bottom w:val="single" w:color="auto" w:sz="4" w:space="0"/>
            </w:tcBorders>
            <w:tcW w:w="1390" w:type="dxa"/>
            <w:vAlign w:val="center"/>
            <w:textDirection w:val="lrTb"/>
            <w:noWrap w:val="false"/>
          </w:tcPr>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项目实施方案</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（10分）</w:t>
            </w:r>
            <w:r/>
          </w:p>
        </w:tc>
        <w:tc>
          <w:tcPr>
            <w:tcW w:w="6057" w:type="dxa"/>
            <w:vAlign w:val="center"/>
            <w:textDirection w:val="lrTb"/>
            <w:noWrap w:val="false"/>
          </w:tcPr>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供应商根据本项目实际情况制定整体服务方案，包括但不限于①项目实施进度计划及进度保障措施②设备安装、调试、验收方案③紧急故障处理预案及时间、落实服务承诺的保障措施。</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项目实施方案内容全面详实，针对性强，切实可行，优于项目需求的得10分；</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项目实施方案内容全面较全面，针对性较强，较切实可行，满足项目需求的得7分；</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项目实施方案内容全面基本全面，有一定针对性，基本可行，基本满足项目需求的得4分；</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项目实施方案</w:t>
            </w:r>
            <w:r>
              <w:rPr>
                <w:rFonts w:ascii="宋体" w:hAnsi="宋体" w:cs="宋体"/>
                <w:bCs/>
                <w:color w:val="auto"/>
                <w:szCs w:val="21"/>
                <w:highlight w:val="none"/>
              </w:rPr>
              <w:t xml:space="preserve">内容不够全面，针对性一般，可行性较差</w:t>
            </w:r>
            <w:r>
              <w:rPr>
                <w:rFonts w:hint="eastAsia" w:ascii="宋体" w:hAnsi="宋体" w:cs="宋体"/>
                <w:bCs/>
                <w:color w:val="auto"/>
                <w:szCs w:val="21"/>
                <w:highlight w:val="none"/>
              </w:rPr>
              <w:t xml:space="preserve">，低于项目需求的得1分；</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未提供不得分。</w:t>
            </w:r>
            <w:r/>
          </w:p>
        </w:tc>
      </w:tr>
      <w:tr>
        <w:trPr>
          <w:jc w:val="center"/>
          <w:trHeight w:val="576"/>
        </w:trPr>
        <w:tc>
          <w:tcPr>
            <w:tcBorders>
              <w:right w:val="single" w:color="auto" w:sz="4" w:space="0"/>
            </w:tcBorders>
            <w:tcW w:w="1269" w:type="dxa"/>
            <w:vAlign w:val="center"/>
            <w:vMerge w:val="continue"/>
            <w:textDirection w:val="lrTb"/>
            <w:noWrap w:val="false"/>
          </w:tcPr>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4" w:space="0"/>
              <w:left w:val="single" w:color="auto" w:sz="4" w:space="0"/>
              <w:bottom w:val="single" w:color="auto" w:sz="4" w:space="0"/>
            </w:tcBorders>
            <w:tcW w:w="1390" w:type="dxa"/>
            <w:vAlign w:val="center"/>
            <w:textDirection w:val="lrTb"/>
            <w:noWrap w:val="false"/>
          </w:tcPr>
          <w:p>
            <w:pPr>
              <w:shd w:val="clear" w:color="ffffff" w:fill="ffffff"/>
              <w:rPr>
                <w:rFonts w:hint="eastAsia" w:ascii="宋体" w:hAnsi="宋体" w:cs="宋体"/>
                <w:color w:val="auto"/>
                <w:szCs w:val="21"/>
                <w:highlight w:val="none"/>
              </w:rPr>
            </w:pPr>
            <w:r>
              <w:rPr>
                <w:rFonts w:hint="eastAsia" w:ascii="宋体" w:hAnsi="宋体" w:cs="宋体"/>
                <w:color w:val="auto"/>
                <w:szCs w:val="21"/>
                <w:highlight w:val="none"/>
              </w:rPr>
              <w:t xml:space="preserve">配送、安装及调试方案</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（10分）</w:t>
            </w:r>
            <w:r/>
          </w:p>
        </w:tc>
        <w:tc>
          <w:tcPr>
            <w:tcW w:w="6057" w:type="dxa"/>
            <w:vAlign w:val="center"/>
            <w:textDirection w:val="lrTb"/>
            <w:noWrap w:val="false"/>
          </w:tcPr>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根供应商应根据采购需求，结合项目实际，提供供货方案，方案应包括但不限于以下内容，产品运输方案：包括但不限于供货进度安排，供货组织和管理，供货保证措施等内容；安装方案：按照仪器设备要求的安装条件,制定安装方案；调试验收方案。</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方案内容全面详实，针对性强，切实可行，优于项目需求的得10分；</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方案内容全面较全面，针对性较强，较切实可行，满足项目需求的得7分；</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方案内容全面基本全面，有一定针对性，基本可行，基本满足项目需求的得4分；</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方案内容全面不够全面，针对性强，可行性较差，低于项目需求的得1分；</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未提供不得分。</w:t>
            </w:r>
            <w:r/>
          </w:p>
        </w:tc>
      </w:tr>
      <w:tr>
        <w:trPr>
          <w:jc w:val="center"/>
          <w:trHeight w:val="576"/>
        </w:trPr>
        <w:tc>
          <w:tcPr>
            <w:tcBorders>
              <w:right w:val="single" w:color="auto" w:sz="4" w:space="0"/>
            </w:tcBorders>
            <w:tcW w:w="1269" w:type="dxa"/>
            <w:vAlign w:val="center"/>
            <w:vMerge w:val="continue"/>
            <w:textDirection w:val="lrTb"/>
            <w:noWrap w:val="false"/>
          </w:tcPr>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4" w:space="0"/>
              <w:left w:val="single" w:color="auto" w:sz="4" w:space="0"/>
              <w:bottom w:val="single" w:color="auto" w:sz="4" w:space="0"/>
            </w:tcBorders>
            <w:tcW w:w="1390" w:type="dxa"/>
            <w:vAlign w:val="center"/>
            <w:textDirection w:val="lrTb"/>
            <w:noWrap w:val="false"/>
          </w:tcPr>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培训方案</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（10分）</w:t>
            </w:r>
            <w:r/>
          </w:p>
        </w:tc>
        <w:tc>
          <w:tcPr>
            <w:tcW w:w="6057" w:type="dxa"/>
            <w:vAlign w:val="center"/>
            <w:textDirection w:val="lrTb"/>
            <w:noWrap w:val="false"/>
          </w:tcPr>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供应商根据本项目实际情况制定技术培训方案，包括但不限于针对本次项目提供每台设备的①培训时长及人数②培训授课人员经验介绍③培训内容及方式。</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方案内容全面详实，针对性强，切实可行，优于项目需求的得10分；</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方案内容全面较全面，针对性较强，较切实可行，满足项目需求的得7分；</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方案内容全面基本全面，有一定针对性，基本可行，基本满足项目需求的得4分；</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方案内容全面不够全面，针对性强，可行性较差，低于项目需求的得1分；</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未提供不得分。</w:t>
            </w:r>
            <w:r/>
          </w:p>
        </w:tc>
      </w:tr>
      <w:tr>
        <w:trPr>
          <w:jc w:val="center"/>
          <w:trHeight w:val="267"/>
        </w:trPr>
        <w:tc>
          <w:tcPr>
            <w:tcBorders>
              <w:right w:val="single" w:color="auto" w:sz="4" w:space="0"/>
            </w:tcBorders>
            <w:tcW w:w="1269" w:type="dxa"/>
            <w:vAlign w:val="center"/>
            <w:vMerge w:val="continue"/>
            <w:textDirection w:val="lrTb"/>
            <w:noWrap w:val="false"/>
          </w:tcPr>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r>
            <w:r/>
          </w:p>
        </w:tc>
        <w:tc>
          <w:tcPr>
            <w:tcBorders>
              <w:top w:val="single" w:color="auto" w:sz="4" w:space="0"/>
              <w:left w:val="single" w:color="auto" w:sz="4" w:space="0"/>
            </w:tcBorders>
            <w:tcW w:w="1390" w:type="dxa"/>
            <w:vAlign w:val="center"/>
            <w:textDirection w:val="lrTb"/>
            <w:noWrap w:val="false"/>
          </w:tcPr>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售后服务</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具体方案</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（10分）</w:t>
            </w:r>
            <w:r/>
          </w:p>
        </w:tc>
        <w:tc>
          <w:tcPr>
            <w:tcW w:w="6057" w:type="dxa"/>
            <w:vAlign w:val="center"/>
            <w:textDirection w:val="lrTb"/>
            <w:noWrap w:val="false"/>
          </w:tcPr>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方案应包括但不限于售后服务内容、故障响应情况及售后技术人员配备情况等，对售后服务方案的全面性、可行性、针对性进行评价。</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方案内容全面详实，针对性强，切实可行，优于项目需求的得10分；</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方案内容全面较全面，针对性较强，较切实可行，满足项目需求的得7分；</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方案内容全面基本全面，有一定针对性，基本可行，基本满足项目需求的得4分；</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方案内容全面不够全面，针对性强，可行性较差，低于项目需求的得1分；</w:t>
            </w:r>
            <w:r/>
          </w:p>
          <w:p>
            <w:pPr>
              <w:shd w:val="clear" w:color="ffffff" w:fill="ffffff"/>
              <w:rPr>
                <w:rFonts w:hint="eastAsia" w:ascii="宋体" w:hAnsi="宋体" w:cs="宋体"/>
                <w:bCs/>
                <w:color w:val="auto"/>
                <w:szCs w:val="21"/>
                <w:highlight w:val="none"/>
              </w:rPr>
            </w:pPr>
            <w:r>
              <w:rPr>
                <w:rFonts w:hint="eastAsia" w:ascii="宋体" w:hAnsi="宋体" w:cs="宋体"/>
                <w:bCs/>
                <w:color w:val="auto"/>
                <w:szCs w:val="21"/>
                <w:highlight w:val="none"/>
              </w:rPr>
              <w:t xml:space="preserve">未提供不得分。</w:t>
            </w:r>
            <w:r/>
          </w:p>
        </w:tc>
      </w:tr>
    </w:tbl>
    <w:p>
      <w:pPr>
        <w:rPr>
          <w:rFonts w:hint="eastAsia" w:ascii="宋体" w:hAnsi="宋体" w:cs="宋体"/>
          <w:b/>
          <w:color w:val="auto"/>
          <w:highlight w:val="none"/>
        </w:rPr>
      </w:pPr>
      <w:r>
        <w:rPr>
          <w:rFonts w:hint="eastAsia" w:ascii="宋体" w:hAnsi="宋体" w:cs="宋体"/>
          <w:b/>
          <w:color w:val="auto"/>
          <w:highlight w:val="none"/>
        </w:rPr>
        <w:t xml:space="preserve">注：</w:t>
      </w:r>
      <w:r/>
    </w:p>
    <w:p>
      <w:pPr>
        <w:ind w:firstLine="420"/>
        <w:rPr>
          <w:rFonts w:hint="eastAsia" w:ascii="宋体" w:hAnsi="宋体" w:cs="宋体"/>
          <w:b/>
          <w:color w:val="auto"/>
          <w:highlight w:val="none"/>
        </w:rPr>
      </w:pPr>
      <w:r>
        <w:rPr>
          <w:rFonts w:hint="eastAsia" w:ascii="宋体" w:hAnsi="宋体" w:cs="宋体"/>
          <w:color w:val="auto"/>
          <w:highlight w:val="none"/>
        </w:rPr>
        <w:t xml:space="preserve">1.以上评分标准中每一条，各供应商均应提供相关的资料并作出相应的对比供评分评判。</w:t>
      </w:r>
      <w:r/>
    </w:p>
    <w:p>
      <w:pPr>
        <w:ind w:firstLine="420"/>
        <w:rPr>
          <w:rFonts w:hint="eastAsia" w:ascii="宋体" w:hAnsi="宋体" w:cs="宋体"/>
          <w:color w:val="auto"/>
          <w:highlight w:val="none"/>
        </w:rPr>
      </w:pPr>
      <w:r>
        <w:rPr>
          <w:rFonts w:hint="eastAsia" w:ascii="宋体" w:hAnsi="宋体" w:cs="宋体"/>
          <w:color w:val="auto"/>
          <w:highlight w:val="none"/>
        </w:rPr>
        <w:t xml:space="preserve">2.响应文件中如出现前后不一致时，磋商小组有权请供应商澄清说明，澄清说明事项涉及评分时，该项不得分。</w:t>
      </w:r>
      <w:r/>
    </w:p>
    <w:p>
      <w:pPr>
        <w:ind w:firstLine="420"/>
        <w:rPr>
          <w:rFonts w:hint="eastAsia" w:ascii="宋体" w:hAnsi="宋体" w:cs="宋体"/>
          <w:color w:val="auto"/>
          <w:highlight w:val="none"/>
        </w:rPr>
      </w:pPr>
      <w:r>
        <w:rPr>
          <w:rFonts w:hint="eastAsia" w:ascii="宋体" w:hAnsi="宋体" w:cs="宋体"/>
          <w:color w:val="auto"/>
          <w:highlight w:val="none"/>
        </w:rPr>
        <w:t xml:space="preserve">3.供应商承诺所提供的商务、技术、业绩资料全部真实，如有伪造，视作供应商自动放弃投标及成交资格，并视作供应商自愿接受相关处罚。</w:t>
      </w:r>
      <w:r/>
    </w:p>
    <w:p>
      <w:pPr>
        <w:ind w:firstLine="420"/>
        <w:rPr>
          <w:rFonts w:hint="eastAsia" w:ascii="宋体" w:hAnsi="宋体" w:cs="宋体"/>
          <w:color w:val="auto"/>
          <w:highlight w:val="none"/>
        </w:rPr>
      </w:pPr>
      <w:r>
        <w:rPr>
          <w:rFonts w:hint="eastAsia" w:ascii="宋体" w:hAnsi="宋体" w:cs="宋体"/>
          <w:color w:val="auto"/>
          <w:highlight w:val="none"/>
        </w:rPr>
        <w:t xml:space="preserve">4.供应商应根据国家政策调整规律进行报价，充分考虑服务期内的市场因素和成本变化状况的风险。</w:t>
      </w:r>
      <w:r/>
    </w:p>
    <w:p>
      <w:pPr>
        <w:ind w:firstLine="420"/>
        <w:rPr>
          <w:rFonts w:hint="eastAsia" w:ascii="宋体" w:hAnsi="宋体" w:cs="宋体"/>
          <w:color w:val="auto"/>
          <w:highlight w:val="none"/>
        </w:rPr>
      </w:pPr>
      <w:r>
        <w:rPr>
          <w:rFonts w:hint="eastAsia" w:ascii="宋体" w:hAnsi="宋体" w:cs="宋体"/>
          <w:color w:val="auto"/>
          <w:highlight w:val="none"/>
        </w:rPr>
        <w:t xml:space="preserve">5.响应供应商应认真进行现场勘察工作，场地现状及限制性因素由响应供应商向采购人查询并自行勘察核实，供应商的响应行为视为已充分调查、了解、核实场地现状，并同意接受准备履约合同。</w:t>
      </w:r>
      <w:r/>
    </w:p>
    <w:p>
      <w:pPr>
        <w:ind w:firstLine="420"/>
        <w:rPr>
          <w:rFonts w:hint="eastAsia" w:ascii="宋体" w:hAnsi="宋体" w:cs="宋体"/>
          <w:color w:val="auto"/>
          <w:highlight w:val="none"/>
        </w:rPr>
      </w:pPr>
      <w:r>
        <w:rPr>
          <w:rFonts w:hint="eastAsia" w:ascii="宋体" w:hAnsi="宋体" w:cs="宋体"/>
          <w:color w:val="auto"/>
          <w:highlight w:val="none"/>
        </w:rPr>
        <w:t xml:space="preserve">6.本办法未尽事宜，由磋商小组依据有关法规研究解决。</w:t>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970"/>
        <w:jc w:val="center"/>
        <w:keepNext w:val="0"/>
        <w:rPr>
          <w:rFonts w:hint="eastAsia" w:ascii="黑体" w:hAnsi="黑体" w:eastAsia="黑体" w:cs="黑体"/>
          <w:color w:val="auto"/>
          <w:sz w:val="32"/>
          <w:szCs w:val="32"/>
          <w:highlight w:val="none"/>
        </w:rPr>
      </w:pPr>
      <w:r/>
      <w:bookmarkStart w:id="110" w:name="_Toc29253"/>
      <w:r>
        <w:rPr>
          <w:rFonts w:hint="eastAsia" w:ascii="黑体" w:hAnsi="黑体" w:eastAsia="黑体" w:cs="黑体"/>
          <w:color w:val="auto"/>
          <w:sz w:val="32"/>
          <w:szCs w:val="32"/>
          <w:highlight w:val="none"/>
        </w:rPr>
        <w:t xml:space="preserve">第六章 响应文件的组成和格式</w:t>
      </w:r>
      <w:bookmarkEnd w:id="110"/>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w:t>
      </w:r>
      <w:r>
        <w:rPr>
          <w:rFonts w:ascii="宋体" w:hAnsi="宋体" w:cs="宋体"/>
          <w:b/>
          <w:color w:val="auto"/>
          <w:sz w:val="28"/>
          <w:highlight w:val="none"/>
        </w:rPr>
        <w:t xml:space="preserve">本章仅提供响应文件中的部分文件格式，不应被理解为包含了响应文件所需的全部资料）</w:t>
      </w:r>
      <w:r/>
    </w:p>
    <w:p>
      <w:pPr>
        <w:rPr>
          <w:rFonts w:hint="eastAsia" w:ascii="宋体" w:hAnsi="宋体" w:cs="宋体"/>
          <w:color w:val="auto"/>
          <w:highlight w:val="none"/>
        </w:rPr>
      </w:pPr>
      <w:r>
        <w:rPr>
          <w:rFonts w:hint="eastAsia" w:ascii="宋体" w:hAnsi="宋体" w:cs="宋体"/>
          <w:color w:val="auto"/>
          <w:highlight w:val="none"/>
        </w:rPr>
      </w:r>
      <w:r/>
    </w:p>
    <w:p>
      <w:pPr>
        <w:jc w:val="left"/>
        <w:spacing w:line="240" w:lineRule="auto"/>
        <w:widowControl/>
        <w:rPr>
          <w:rFonts w:hint="eastAsia" w:ascii="宋体" w:hAnsi="宋体" w:cs="宋体"/>
          <w:color w:val="auto"/>
          <w:sz w:val="28"/>
          <w:szCs w:val="21"/>
          <w:highlight w:val="none"/>
        </w:rPr>
      </w:pPr>
      <w:r>
        <w:rPr>
          <w:rFonts w:hint="eastAsia" w:hAnsi="宋体"/>
          <w:color w:val="auto"/>
          <w:highlight w:val="none"/>
        </w:rPr>
        <w:br w:type="page" w:clear="all"/>
      </w:r>
      <w:r/>
    </w:p>
    <w:p>
      <w:pPr>
        <w:pStyle w:val="1002"/>
        <w:rPr>
          <w:rFonts w:hint="eastAsia" w:hAnsi="宋体" w:eastAsia="宋体"/>
          <w:color w:val="auto"/>
          <w:highlight w:val="none"/>
        </w:rPr>
      </w:pPr>
      <w:r>
        <w:rPr>
          <w:rFonts w:hint="eastAsia" w:hAnsi="宋体" w:eastAsia="宋体"/>
          <w:color w:val="auto"/>
          <w:highlight w:val="none"/>
        </w:rPr>
        <w:t xml:space="preserve">封面</w:t>
      </w:r>
      <w:r/>
    </w:p>
    <w:p>
      <w:pPr>
        <w:pStyle w:val="1002"/>
        <w:rPr>
          <w:rFonts w:hint="eastAsia" w:hAnsi="宋体" w:eastAsia="宋体"/>
          <w:color w:val="auto"/>
          <w:highlight w:val="none"/>
        </w:rPr>
      </w:pPr>
      <w:r>
        <w:rPr>
          <w:rFonts w:hint="eastAsia" w:hAnsi="宋体" w:eastAsia="宋体"/>
          <w:color w:val="auto"/>
          <w:highlight w:val="none"/>
        </w:rPr>
      </w:r>
      <w:r/>
    </w:p>
    <w:p>
      <w:pPr>
        <w:pStyle w:val="1002"/>
        <w:rPr>
          <w:rFonts w:hint="eastAsia" w:hAnsi="宋体" w:eastAsia="宋体"/>
          <w:color w:val="auto"/>
          <w:highlight w:val="none"/>
        </w:rPr>
      </w:pPr>
      <w:r>
        <w:rPr>
          <w:rFonts w:hint="eastAsia" w:hAnsi="宋体" w:eastAsia="宋体"/>
          <w:color w:val="auto"/>
          <w:highlight w:val="none"/>
        </w:rPr>
      </w:r>
      <w:r/>
    </w:p>
    <w:p>
      <w:pPr>
        <w:pStyle w:val="1002"/>
        <w:rPr>
          <w:rFonts w:hint="eastAsia" w:hAnsi="宋体" w:eastAsia="宋体"/>
          <w:color w:val="auto"/>
          <w:highlight w:val="none"/>
        </w:rPr>
      </w:pPr>
      <w:r>
        <w:rPr>
          <w:rFonts w:hint="eastAsia" w:hAnsi="宋体" w:eastAsia="宋体"/>
          <w:color w:val="auto"/>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响 应 文 件</w:t>
      </w:r>
      <w:r/>
    </w:p>
    <w:p>
      <w:pPr>
        <w:pStyle w:val="994"/>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7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94"/>
        <w:rPr>
          <w:rFonts w:hint="eastAsia" w:ascii="宋体" w:hAnsi="宋体" w:cs="宋体"/>
          <w:color w:val="auto"/>
          <w:highlight w:val="none"/>
        </w:rPr>
      </w:pPr>
      <w:r>
        <w:rPr>
          <w:rFonts w:hint="eastAsia" w:ascii="宋体" w:hAnsi="宋体" w:cs="宋体"/>
          <w:color w:val="auto"/>
          <w:highlight w:val="none"/>
        </w:rPr>
        <w:t xml:space="preserve">项目名称：</w:t>
      </w:r>
      <w:r/>
    </w:p>
    <w:p>
      <w:pPr>
        <w:pStyle w:val="994"/>
        <w:rPr>
          <w:rFonts w:hint="eastAsia" w:ascii="宋体" w:hAnsi="宋体" w:cs="宋体"/>
          <w:color w:val="auto"/>
          <w:highlight w:val="none"/>
        </w:rPr>
      </w:pPr>
      <w:r>
        <w:rPr>
          <w:rFonts w:hint="eastAsia" w:ascii="宋体" w:hAnsi="宋体" w:cs="宋体"/>
          <w:color w:val="auto"/>
          <w:highlight w:val="none"/>
        </w:rPr>
        <w:t xml:space="preserve">项目编号： </w:t>
      </w:r>
      <w:r/>
    </w:p>
    <w:p>
      <w:pPr>
        <w:pStyle w:val="994"/>
        <w:rPr>
          <w:rFonts w:hint="eastAsia" w:ascii="宋体" w:hAnsi="宋体" w:cs="宋体"/>
          <w:color w:val="auto"/>
          <w:highlight w:val="none"/>
        </w:rPr>
      </w:pPr>
      <w:r>
        <w:rPr>
          <w:rFonts w:hint="eastAsia" w:ascii="宋体" w:hAnsi="宋体" w:cs="宋体"/>
          <w:color w:val="auto"/>
          <w:highlight w:val="none"/>
        </w:rPr>
        <w:t xml:space="preserve">供应商名称 ：（加盖CA电子公章）</w:t>
      </w:r>
      <w:r/>
    </w:p>
    <w:p>
      <w:pPr>
        <w:pStyle w:val="994"/>
        <w:rPr>
          <w:rFonts w:hint="eastAsia" w:ascii="宋体" w:hAnsi="宋体" w:cs="宋体"/>
          <w:color w:val="auto"/>
          <w:sz w:val="21"/>
          <w:highlight w:val="none"/>
        </w:rPr>
      </w:pPr>
      <w:r>
        <w:rPr>
          <w:rFonts w:hint="eastAsia" w:ascii="宋体" w:hAnsi="宋体" w:cs="宋体"/>
          <w:color w:val="auto"/>
          <w:highlight w:val="none"/>
        </w:rPr>
        <w:t xml:space="preserve">日期 ：</w:t>
      </w:r>
      <w:r/>
    </w:p>
    <w:p>
      <w:pPr>
        <w:pStyle w:val="994"/>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szCs w:val="32"/>
          <w:highlight w:val="none"/>
        </w:rPr>
      </w:pPr>
      <w:r>
        <w:rPr>
          <w:rFonts w:hint="eastAsia" w:ascii="宋体" w:hAnsi="宋体" w:cs="宋体"/>
          <w:color w:val="auto"/>
          <w:highlight w:val="none"/>
        </w:rPr>
        <w:br w:type="page" w:clear="all"/>
      </w:r>
      <w:r>
        <w:rPr>
          <w:rFonts w:hint="eastAsia" w:ascii="宋体" w:hAnsi="宋体" w:cs="宋体"/>
          <w:color w:val="auto"/>
          <w:sz w:val="32"/>
          <w:szCs w:val="32"/>
          <w:highlight w:val="none"/>
        </w:rPr>
        <w:t xml:space="preserve">磋商报价表（首次报价）</w:t>
      </w:r>
      <w:r/>
    </w:p>
    <w:p>
      <w:pPr>
        <w:pStyle w:val="1003"/>
        <w:ind w:firstLine="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03"/>
        <w:ind w:firstLine="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货币单位：人民币元</w:t>
      </w:r>
      <w:r/>
    </w:p>
    <w:p>
      <w:pPr>
        <w:pStyle w:val="1003"/>
        <w:ind w:firstLine="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5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093"/>
        <w:gridCol w:w="2338"/>
        <w:gridCol w:w="2858"/>
      </w:tblGrid>
      <w:tr>
        <w:trPr>
          <w:cantSplit/>
          <w:jc w:val="center"/>
          <w:trHeight w:val="1182"/>
        </w:trPr>
        <w:tc>
          <w:tcPr>
            <w:tcBorders>
              <w:top w:val="single" w:color="000000" w:sz="6" w:space="0"/>
            </w:tcBorders>
            <w:tcW w:w="3093" w:type="dxa"/>
            <w:vAlign w:val="center"/>
            <w:textDirection w:val="lrTb"/>
            <w:noWrap w:val="false"/>
          </w:tcPr>
          <w:p>
            <w:pPr>
              <w:pStyle w:val="991"/>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6" w:space="0"/>
            </w:tcBorders>
            <w:tcW w:w="2338" w:type="dxa"/>
            <w:vAlign w:val="center"/>
            <w:textDirection w:val="lrTb"/>
            <w:noWrap w:val="false"/>
          </w:tcPr>
          <w:p>
            <w:pPr>
              <w:pStyle w:val="991"/>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top w:val="single" w:color="000000" w:sz="6" w:space="0"/>
              <w:right w:val="single" w:color="000000" w:sz="2" w:space="0"/>
            </w:tcBorders>
            <w:tcW w:w="2858" w:type="dxa"/>
            <w:vAlign w:val="center"/>
            <w:textDirection w:val="lrTb"/>
            <w:noWrap w:val="false"/>
          </w:tcPr>
          <w:p>
            <w:pPr>
              <w:pStyle w:val="991"/>
              <w:jc w:val="center"/>
              <w:rPr>
                <w:rFonts w:hint="eastAsia" w:ascii="宋体" w:hAnsi="宋体" w:cs="宋体"/>
                <w:color w:val="auto"/>
                <w:szCs w:val="21"/>
                <w:highlight w:val="none"/>
              </w:rPr>
            </w:pPr>
            <w:r>
              <w:rPr>
                <w:rFonts w:hint="eastAsia" w:ascii="宋体" w:hAnsi="宋体" w:cs="宋体"/>
                <w:color w:val="auto"/>
                <w:szCs w:val="21"/>
                <w:highlight w:val="none"/>
              </w:rPr>
              <w:t xml:space="preserve">总价（小写）</w:t>
            </w:r>
            <w:r/>
          </w:p>
        </w:tc>
      </w:tr>
      <w:tr>
        <w:trPr>
          <w:cantSplit/>
          <w:jc w:val="center"/>
          <w:trHeight w:val="1012"/>
        </w:trPr>
        <w:tc>
          <w:tcPr>
            <w:tcW w:w="3093" w:type="dxa"/>
            <w:vAlign w:val="center"/>
            <w:textDirection w:val="lrTb"/>
            <w:noWrap w:val="false"/>
          </w:tcPr>
          <w:p>
            <w:pPr>
              <w:pStyle w:val="991"/>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338" w:type="dxa"/>
            <w:vAlign w:val="center"/>
            <w:textDirection w:val="lrTb"/>
            <w:noWrap w:val="false"/>
          </w:tcPr>
          <w:p>
            <w:pPr>
              <w:pStyle w:val="991"/>
              <w:jc w:val="center"/>
              <w:rPr>
                <w:rFonts w:hint="eastAsia"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Borders>
              <w:right w:val="single" w:color="000000" w:sz="2" w:space="0"/>
            </w:tcBorders>
            <w:tcW w:w="2858" w:type="dxa"/>
            <w:vAlign w:val="center"/>
            <w:textDirection w:val="lrTb"/>
            <w:noWrap w:val="false"/>
          </w:tcPr>
          <w:p>
            <w:pPr>
              <w:pStyle w:val="991"/>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1035"/>
        </w:trPr>
        <w:tc>
          <w:tcPr>
            <w:tcW w:w="3093" w:type="dxa"/>
            <w:vAlign w:val="center"/>
            <w:textDirection w:val="lrTb"/>
            <w:noWrap w:val="false"/>
          </w:tcPr>
          <w:p>
            <w:pPr>
              <w:pStyle w:val="991"/>
              <w:jc w:val="center"/>
              <w:rPr>
                <w:rFonts w:hint="eastAsia" w:ascii="宋体" w:hAnsi="宋体" w:cs="宋体"/>
                <w:color w:val="auto"/>
                <w:szCs w:val="21"/>
                <w:highlight w:val="none"/>
              </w:rPr>
            </w:pPr>
            <w:r>
              <w:rPr>
                <w:rFonts w:hint="eastAsia" w:ascii="宋体" w:hAnsi="宋体" w:cs="宋体"/>
                <w:color w:val="auto"/>
                <w:szCs w:val="21"/>
                <w:highlight w:val="none"/>
              </w:rPr>
              <w:t xml:space="preserve">总价（大写）：</w:t>
            </w:r>
            <w:r/>
          </w:p>
        </w:tc>
        <w:tc>
          <w:tcPr>
            <w:gridSpan w:val="2"/>
            <w:tcBorders>
              <w:right w:val="single" w:color="000000" w:sz="2" w:space="0"/>
            </w:tcBorders>
            <w:tcW w:w="5196" w:type="dxa"/>
            <w:vAlign w:val="center"/>
            <w:textDirection w:val="lrTb"/>
            <w:noWrap w:val="false"/>
          </w:tcPr>
          <w:p>
            <w:pPr>
              <w:pStyle w:val="991"/>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1003"/>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此表以系统提供的格式为准</w:t>
      </w:r>
      <w:r/>
    </w:p>
    <w:p>
      <w:pPr>
        <w:pStyle w:val="1003"/>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ind w:firstLine="420"/>
        <w:spacing w:line="360" w:lineRule="auto"/>
        <w:widowControl w:val="off"/>
        <w:rPr>
          <w:rFonts w:hint="eastAsia" w:ascii="宋体" w:hAnsi="宋体" w:eastAsia="宋体" w:cs="宋体"/>
          <w:color w:val="auto"/>
          <w:highlight w:val="none"/>
        </w:rPr>
      </w:pPr>
      <w:r/>
      <w:bookmarkStart w:id="111" w:name="OLE_LINK18"/>
      <w:r/>
      <w:r/>
    </w:p>
    <w:p>
      <w:pPr>
        <w:pStyle w:val="1003"/>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供应商（电子签章）：</w:t>
      </w:r>
      <w:bookmarkEnd w:id="111"/>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磋商报价表（二轮报价）</w:t>
      </w:r>
      <w:r/>
    </w:p>
    <w:p>
      <w:pPr>
        <w:pStyle w:val="1003"/>
        <w:ind w:firstLine="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03"/>
        <w:ind w:firstLine="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w:t>
      </w:r>
      <w:bookmarkStart w:id="146" w:name="_GoBack"/>
      <w:r>
        <w:rPr>
          <w:rFonts w:hint="eastAsia" w:ascii="宋体" w:hAnsi="宋体" w:eastAsia="宋体" w:cs="宋体"/>
          <w:color w:val="auto"/>
          <w:highlight w:val="none"/>
        </w:rPr>
        <w:t xml:space="preserve">编号</w:t>
      </w:r>
      <w:bookmarkEnd w:id="146"/>
      <w:r>
        <w:rPr>
          <w:rFonts w:hint="eastAsia" w:ascii="宋体" w:hAnsi="宋体" w:eastAsia="宋体" w:cs="宋体"/>
          <w:color w:val="auto"/>
          <w:highlight w:val="none"/>
        </w:rPr>
        <w:t xml:space="preserve">：                                                    货币单位：人民币元</w:t>
      </w:r>
      <w:r/>
    </w:p>
    <w:p>
      <w:pPr>
        <w:pStyle w:val="1003"/>
        <w:ind w:firstLine="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5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093"/>
        <w:gridCol w:w="2338"/>
        <w:gridCol w:w="2858"/>
      </w:tblGrid>
      <w:tr>
        <w:trPr>
          <w:cantSplit/>
          <w:jc w:val="center"/>
          <w:trHeight w:val="1182"/>
        </w:trPr>
        <w:tc>
          <w:tcPr>
            <w:tcBorders>
              <w:top w:val="single" w:color="000000" w:sz="6" w:space="0"/>
            </w:tcBorders>
            <w:tcW w:w="3093" w:type="dxa"/>
            <w:vAlign w:val="center"/>
            <w:textDirection w:val="lrTb"/>
            <w:noWrap w:val="false"/>
          </w:tcPr>
          <w:p>
            <w:pPr>
              <w:pStyle w:val="991"/>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6" w:space="0"/>
            </w:tcBorders>
            <w:tcW w:w="2338" w:type="dxa"/>
            <w:vAlign w:val="center"/>
            <w:textDirection w:val="lrTb"/>
            <w:noWrap w:val="false"/>
          </w:tcPr>
          <w:p>
            <w:pPr>
              <w:pStyle w:val="991"/>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top w:val="single" w:color="000000" w:sz="6" w:space="0"/>
              <w:right w:val="single" w:color="000000" w:sz="2" w:space="0"/>
            </w:tcBorders>
            <w:tcW w:w="2858" w:type="dxa"/>
            <w:vAlign w:val="center"/>
            <w:textDirection w:val="lrTb"/>
            <w:noWrap w:val="false"/>
          </w:tcPr>
          <w:p>
            <w:pPr>
              <w:pStyle w:val="991"/>
              <w:jc w:val="center"/>
              <w:rPr>
                <w:rFonts w:hint="eastAsia" w:ascii="宋体" w:hAnsi="宋体" w:cs="宋体"/>
                <w:color w:val="auto"/>
                <w:szCs w:val="21"/>
                <w:highlight w:val="none"/>
              </w:rPr>
            </w:pPr>
            <w:r>
              <w:rPr>
                <w:rFonts w:hint="eastAsia" w:ascii="宋体" w:hAnsi="宋体" w:cs="宋体"/>
                <w:color w:val="auto"/>
                <w:szCs w:val="21"/>
                <w:highlight w:val="none"/>
              </w:rPr>
              <w:t xml:space="preserve">总价（小写）</w:t>
            </w:r>
            <w:r/>
          </w:p>
        </w:tc>
      </w:tr>
      <w:tr>
        <w:trPr>
          <w:cantSplit/>
          <w:jc w:val="center"/>
          <w:trHeight w:val="1012"/>
        </w:trPr>
        <w:tc>
          <w:tcPr>
            <w:tcW w:w="3093" w:type="dxa"/>
            <w:vAlign w:val="center"/>
            <w:textDirection w:val="lrTb"/>
            <w:noWrap w:val="false"/>
          </w:tcPr>
          <w:p>
            <w:pPr>
              <w:pStyle w:val="991"/>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338" w:type="dxa"/>
            <w:vAlign w:val="center"/>
            <w:textDirection w:val="lrTb"/>
            <w:noWrap w:val="false"/>
          </w:tcPr>
          <w:p>
            <w:pPr>
              <w:pStyle w:val="991"/>
              <w:jc w:val="center"/>
              <w:rPr>
                <w:rFonts w:hint="eastAsia" w:ascii="宋体" w:hAnsi="宋体" w:cs="宋体"/>
                <w:color w:val="auto"/>
                <w:szCs w:val="21"/>
                <w:highlight w:val="none"/>
              </w:rPr>
            </w:pPr>
            <w:r>
              <w:rPr>
                <w:rFonts w:hint="eastAsia" w:ascii="宋体" w:hAnsi="宋体" w:cs="宋体"/>
                <w:color w:val="auto"/>
                <w:szCs w:val="21"/>
                <w:highlight w:val="none"/>
              </w:rPr>
              <w:t xml:space="preserve">详见响应文件</w:t>
            </w:r>
            <w:r/>
          </w:p>
        </w:tc>
        <w:tc>
          <w:tcPr>
            <w:tcBorders>
              <w:right w:val="single" w:color="000000" w:sz="2" w:space="0"/>
            </w:tcBorders>
            <w:tcW w:w="2858" w:type="dxa"/>
            <w:vAlign w:val="center"/>
            <w:textDirection w:val="lrTb"/>
            <w:noWrap w:val="false"/>
          </w:tcPr>
          <w:p>
            <w:pPr>
              <w:pStyle w:val="991"/>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jc w:val="center"/>
          <w:trHeight w:val="1035"/>
        </w:trPr>
        <w:tc>
          <w:tcPr>
            <w:tcW w:w="3093" w:type="dxa"/>
            <w:vAlign w:val="center"/>
            <w:textDirection w:val="lrTb"/>
            <w:noWrap w:val="false"/>
          </w:tcPr>
          <w:p>
            <w:pPr>
              <w:pStyle w:val="991"/>
              <w:jc w:val="center"/>
              <w:rPr>
                <w:rFonts w:hint="eastAsia" w:ascii="宋体" w:hAnsi="宋体" w:cs="宋体"/>
                <w:color w:val="auto"/>
                <w:szCs w:val="21"/>
                <w:highlight w:val="none"/>
              </w:rPr>
            </w:pPr>
            <w:r>
              <w:rPr>
                <w:rFonts w:hint="eastAsia" w:ascii="宋体" w:hAnsi="宋体" w:cs="宋体"/>
                <w:color w:val="auto"/>
                <w:szCs w:val="21"/>
                <w:highlight w:val="none"/>
              </w:rPr>
              <w:t xml:space="preserve">总价（大写）：</w:t>
            </w:r>
            <w:r/>
          </w:p>
        </w:tc>
        <w:tc>
          <w:tcPr>
            <w:gridSpan w:val="2"/>
            <w:tcBorders>
              <w:right w:val="single" w:color="000000" w:sz="2" w:space="0"/>
            </w:tcBorders>
            <w:tcW w:w="5196" w:type="dxa"/>
            <w:vAlign w:val="center"/>
            <w:textDirection w:val="lrTb"/>
            <w:noWrap w:val="false"/>
          </w:tcPr>
          <w:p>
            <w:pPr>
              <w:pStyle w:val="991"/>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1003"/>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供应商（电子签章）：</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附件1 ：</w:t>
      </w:r>
      <w:r/>
    </w:p>
    <w:p>
      <w:pPr>
        <w:jc w:val="center"/>
        <w:rPr>
          <w:rFonts w:hint="eastAsia" w:ascii="宋体" w:hAnsi="宋体" w:cs="宋体"/>
          <w:color w:val="auto"/>
          <w:sz w:val="32"/>
          <w:szCs w:val="32"/>
          <w:highlight w:val="none"/>
        </w:rPr>
      </w:pPr>
      <w:r/>
      <w:bookmarkStart w:id="112" w:name="_Toc541"/>
      <w:r>
        <w:rPr>
          <w:rFonts w:hint="eastAsia" w:ascii="宋体" w:hAnsi="宋体" w:cs="宋体"/>
          <w:color w:val="auto"/>
          <w:sz w:val="32"/>
          <w:szCs w:val="32"/>
          <w:highlight w:val="none"/>
        </w:rPr>
        <w:t xml:space="preserve">法定代表人资格证明书</w:t>
      </w:r>
      <w:bookmarkEnd w:id="112"/>
      <w:r/>
      <w:r/>
    </w:p>
    <w:p>
      <w:pPr>
        <w:pStyle w:val="992"/>
        <w:rPr>
          <w:rFonts w:hint="eastAsia" w:ascii="宋体" w:hAnsi="宋体" w:eastAsia="宋体"/>
          <w:color w:val="auto"/>
          <w:highlight w:val="none"/>
        </w:rPr>
      </w:pPr>
      <w:r>
        <w:rPr>
          <w:rFonts w:hint="eastAsia" w:ascii="宋体" w:hAnsi="宋体" w:eastAsia="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t xml:space="preserve">（法定代表人姓名）在（供应商名称）处任（职务名称）职务，是（供应商名称）的法定代表人。</w:t>
      </w:r>
      <w:r/>
    </w:p>
    <w:p>
      <w:pPr>
        <w:pStyle w:val="992"/>
        <w:ind w:firstLine="42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特此证明。</w:t>
      </w:r>
      <w:r/>
    </w:p>
    <w:p>
      <w:pPr>
        <w:pStyle w:val="972"/>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t xml:space="preserve">供应商（加盖CA电子章）：</w:t>
      </w:r>
      <w:r/>
    </w:p>
    <w:p>
      <w:pPr>
        <w:pStyle w:val="972"/>
        <w:rPr>
          <w:rFonts w:hint="eastAsia"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972"/>
        <w:rPr>
          <w:rFonts w:hint="eastAsia" w:ascii="宋体" w:hAnsi="宋体" w:cs="宋体"/>
          <w:color w:val="auto"/>
          <w:highlight w:val="none"/>
        </w:rPr>
      </w:pPr>
      <w:r>
        <w:rPr>
          <w:rFonts w:hint="eastAsia" w:ascii="宋体" w:hAnsi="宋体" w:cs="宋体"/>
          <w:color w:val="auto"/>
          <w:highlight w:val="none"/>
        </w:rPr>
        <w:t xml:space="preserve">日  期：</w:t>
      </w:r>
      <w:r/>
    </w:p>
    <w:p>
      <w:pPr>
        <w:pStyle w:val="972"/>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t xml:space="preserve">法定代表人身份证复印件（正反两面均需复印，加盖公章）：</w:t>
      </w:r>
      <w:r/>
    </w:p>
    <w:p>
      <w:pPr>
        <w:pStyle w:val="972"/>
        <w:rPr>
          <w:rFonts w:hint="eastAsia" w:ascii="宋体" w:hAnsi="宋体" w:cs="宋体"/>
          <w:color w:val="auto"/>
          <w:highlight w:val="none"/>
        </w:rPr>
      </w:pPr>
      <w:r>
        <w:rPr>
          <w:rFonts w:hint="eastAsia" w:ascii="宋体" w:hAnsi="宋体" w:cs="宋体"/>
          <w:color w:val="auto"/>
          <w:highlight w:val="none"/>
        </w:rPr>
      </w:r>
      <w:r/>
    </w:p>
    <w:tbl>
      <w:tblPr>
        <w:tblStyle w:val="753"/>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720"/>
        <w:gridCol w:w="4207"/>
      </w:tblGrid>
      <w:tr>
        <w:trPr>
          <w:trHeight w:val="2656"/>
        </w:trPr>
        <w:tc>
          <w:tcPr>
            <w:tcW w:w="4320" w:type="dxa"/>
            <w:textDirection w:val="lrTb"/>
            <w:noWrap w:val="false"/>
          </w:tcPr>
          <w:p>
            <w:pPr>
              <w:pStyle w:val="972"/>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t xml:space="preserve">法定代表人身份证正面复印件</w:t>
            </w:r>
            <w:r/>
          </w:p>
          <w:p>
            <w:pPr>
              <w:pStyle w:val="972"/>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bottom w:val="none" w:color="000000" w:sz="4" w:space="0"/>
            </w:tcBorders>
            <w:tcW w:w="720" w:type="dxa"/>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加</w:t>
            </w:r>
            <w:r/>
          </w:p>
          <w:p>
            <w:pPr>
              <w:rPr>
                <w:rFonts w:hint="eastAsia" w:ascii="宋体" w:hAnsi="宋体" w:cs="宋体"/>
                <w:color w:val="auto"/>
                <w:highlight w:val="none"/>
              </w:rPr>
            </w:pPr>
            <w:r>
              <w:rPr>
                <w:rFonts w:hint="eastAsia" w:ascii="宋体" w:hAnsi="宋体" w:cs="宋体"/>
                <w:color w:val="auto"/>
                <w:highlight w:val="none"/>
              </w:rPr>
              <w:t xml:space="preserve">盖</w:t>
            </w:r>
            <w:r/>
          </w:p>
          <w:p>
            <w:pPr>
              <w:rPr>
                <w:rFonts w:hint="eastAsia" w:ascii="宋体" w:hAnsi="宋体" w:cs="宋体"/>
                <w:color w:val="auto"/>
                <w:highlight w:val="none"/>
              </w:rPr>
            </w:pPr>
            <w:r>
              <w:rPr>
                <w:rFonts w:hint="eastAsia" w:ascii="宋体" w:hAnsi="宋体" w:cs="宋体"/>
                <w:color w:val="auto"/>
                <w:highlight w:val="none"/>
              </w:rPr>
              <w:t xml:space="preserve">CA</w:t>
            </w:r>
            <w:r/>
          </w:p>
          <w:p>
            <w:pPr>
              <w:rPr>
                <w:rFonts w:hint="eastAsia" w:ascii="宋体" w:hAnsi="宋体" w:cs="宋体"/>
                <w:color w:val="auto"/>
                <w:highlight w:val="none"/>
              </w:rPr>
            </w:pPr>
            <w:r>
              <w:rPr>
                <w:rFonts w:hint="eastAsia" w:ascii="宋体" w:hAnsi="宋体" w:cs="宋体"/>
                <w:color w:val="auto"/>
                <w:highlight w:val="none"/>
              </w:rPr>
              <w:t xml:space="preserve">电</w:t>
            </w:r>
            <w:r/>
          </w:p>
          <w:p>
            <w:pPr>
              <w:rPr>
                <w:rFonts w:hint="eastAsia" w:ascii="宋体" w:hAnsi="宋体" w:cs="宋体"/>
                <w:color w:val="auto"/>
                <w:highlight w:val="none"/>
              </w:rPr>
            </w:pPr>
            <w:r>
              <w:rPr>
                <w:rFonts w:hint="eastAsia" w:ascii="宋体" w:hAnsi="宋体" w:cs="宋体"/>
                <w:color w:val="auto"/>
                <w:highlight w:val="none"/>
              </w:rPr>
              <w:t xml:space="preserve">子</w:t>
            </w:r>
            <w:r/>
          </w:p>
          <w:p>
            <w:pPr>
              <w:rPr>
                <w:rFonts w:hint="eastAsia" w:ascii="宋体" w:hAnsi="宋体" w:cs="宋体"/>
                <w:color w:val="auto"/>
                <w:highlight w:val="none"/>
              </w:rPr>
            </w:pPr>
            <w:r>
              <w:rPr>
                <w:rFonts w:hint="eastAsia" w:ascii="宋体" w:hAnsi="宋体" w:cs="宋体"/>
                <w:color w:val="auto"/>
                <w:highlight w:val="none"/>
              </w:rPr>
              <w:t xml:space="preserve">章</w:t>
            </w:r>
            <w:r/>
          </w:p>
          <w:p>
            <w:pPr>
              <w:pStyle w:val="972"/>
              <w:rPr>
                <w:rFonts w:hint="eastAsia" w:ascii="宋体" w:hAnsi="宋体" w:cs="宋体"/>
                <w:color w:val="auto"/>
                <w:highlight w:val="none"/>
              </w:rPr>
            </w:pPr>
            <w:r>
              <w:rPr>
                <w:rFonts w:hint="eastAsia" w:ascii="宋体" w:hAnsi="宋体" w:cs="宋体"/>
                <w:color w:val="auto"/>
                <w:highlight w:val="none"/>
              </w:rPr>
            </w:r>
            <w:r/>
          </w:p>
        </w:tc>
        <w:tc>
          <w:tcPr>
            <w:tcW w:w="4207" w:type="dxa"/>
            <w:textDirection w:val="lrTb"/>
            <w:noWrap w:val="false"/>
          </w:tcPr>
          <w:p>
            <w:pPr>
              <w:pStyle w:val="972"/>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t xml:space="preserve">法定代表人身份证反面复印件</w:t>
            </w:r>
            <w:r/>
          </w:p>
          <w:p>
            <w:pPr>
              <w:pStyle w:val="972"/>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pStyle w:val="978"/>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bookmarkStart w:id="113" w:name="_Toc27742"/>
      <w:r/>
      <w:bookmarkStart w:id="114" w:name="_Toc3508"/>
      <w:r/>
      <w:bookmarkStart w:id="115" w:name="_Toc10173"/>
      <w:r/>
      <w:bookmarkStart w:id="116" w:name="_Toc7422"/>
      <w:r>
        <w:rPr>
          <w:rFonts w:hint="eastAsia" w:ascii="宋体" w:hAnsi="宋体" w:cs="宋体"/>
          <w:color w:val="auto"/>
          <w:sz w:val="24"/>
          <w:highlight w:val="none"/>
        </w:rPr>
        <w:t xml:space="preserve">附件2：</w:t>
      </w:r>
      <w:bookmarkEnd w:id="113"/>
      <w:r/>
      <w:bookmarkEnd w:id="114"/>
      <w:r/>
      <w:bookmarkEnd w:id="115"/>
      <w:r/>
      <w:bookmarkEnd w:id="116"/>
      <w:r>
        <w:rPr>
          <w:rFonts w:hint="eastAsia" w:ascii="宋体" w:hAnsi="宋体" w:cs="宋体"/>
          <w:color w:val="auto"/>
          <w:sz w:val="24"/>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32"/>
          <w:szCs w:val="32"/>
          <w:highlight w:val="none"/>
        </w:rPr>
      </w:pPr>
      <w:r/>
      <w:bookmarkStart w:id="117" w:name="_Toc30840"/>
      <w:r/>
      <w:bookmarkStart w:id="118" w:name="_Toc24313"/>
      <w:r/>
      <w:bookmarkStart w:id="119" w:name="_Toc17493"/>
      <w:r/>
      <w:bookmarkStart w:id="120" w:name="_Toc32139"/>
      <w:r>
        <w:rPr>
          <w:rFonts w:hint="eastAsia" w:ascii="宋体" w:hAnsi="宋体" w:cs="宋体"/>
          <w:color w:val="auto"/>
          <w:sz w:val="32"/>
          <w:szCs w:val="32"/>
          <w:highlight w:val="none"/>
        </w:rPr>
        <w:t xml:space="preserve">法定代表人授权委托书</w:t>
      </w:r>
      <w:bookmarkEnd w:id="117"/>
      <w:r/>
      <w:bookmarkEnd w:id="118"/>
      <w:r/>
      <w:bookmarkEnd w:id="119"/>
      <w:r/>
      <w:bookmarkEnd w:id="120"/>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泰州市农业综合行政执法支队</w:t>
      </w:r>
      <w:r>
        <w:rPr>
          <w:rFonts w:hint="eastAsia" w:ascii="宋体" w:hAnsi="宋体" w:cs="宋体"/>
          <w:color w:val="auto"/>
          <w:szCs w:val="21"/>
          <w:highlight w:val="none"/>
        </w:rPr>
        <w:t xml:space="preserve">：</w:t>
      </w:r>
      <w:r/>
    </w:p>
    <w:p>
      <w:pPr>
        <w:pStyle w:val="100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本授权书声明：____________（供应商名称）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（法定代表人姓名）授权________（被授权人的姓名）为我方就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项目采购活动的合法代理人，以本公司名义全权处理一切与该项目采购有关的事务。</w:t>
      </w:r>
      <w:r/>
    </w:p>
    <w:p>
      <w:pPr>
        <w:pStyle w:val="100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我公司（单位）对被授权代表的签名负全部责任。</w:t>
      </w:r>
      <w:r/>
    </w:p>
    <w:p>
      <w:pPr>
        <w:ind w:firstLine="420"/>
        <w:rPr>
          <w:rFonts w:hint="eastAsia" w:ascii="宋体" w:hAnsi="宋体" w:cs="宋体"/>
          <w:color w:val="auto"/>
          <w:highlight w:val="none"/>
        </w:rPr>
      </w:pPr>
      <w:r>
        <w:rPr>
          <w:rFonts w:hint="eastAsia" w:ascii="宋体" w:hAnsi="宋体" w:cs="宋体"/>
          <w:color w:val="auto"/>
          <w:highlight w:val="none"/>
        </w:rPr>
        <w:t xml:space="preserve">在撤销授权的书面通知送达你处以前，本授权书一直有效，被授权代表签署的所有文件（在授权书有效期内签署的）不因授权的撤销而失效。</w:t>
      </w:r>
      <w:r/>
    </w:p>
    <w:p>
      <w:pPr>
        <w:ind w:firstLine="420"/>
        <w:rPr>
          <w:rFonts w:hint="eastAsia" w:ascii="宋体" w:hAnsi="宋体" w:cs="宋体"/>
          <w:color w:val="auto"/>
          <w:highlight w:val="none"/>
        </w:rPr>
      </w:pPr>
      <w:r>
        <w:rPr>
          <w:rFonts w:hint="eastAsia" w:ascii="宋体" w:hAnsi="宋体" w:cs="宋体"/>
          <w:color w:val="auto"/>
          <w:highlight w:val="none"/>
        </w:rPr>
        <w:t xml:space="preserve">被授权代表情况：</w:t>
      </w:r>
      <w:r/>
    </w:p>
    <w:p>
      <w:pPr>
        <w:rPr>
          <w:rFonts w:hint="eastAsia" w:ascii="宋体" w:hAnsi="宋体" w:cs="宋体"/>
          <w:color w:val="auto"/>
          <w:highlight w:val="none"/>
        </w:rPr>
      </w:pPr>
      <w:r>
        <w:rPr>
          <w:rFonts w:hint="eastAsia" w:ascii="宋体" w:hAnsi="宋体" w:cs="宋体"/>
          <w:color w:val="auto"/>
          <w:highlight w:val="none"/>
        </w:rPr>
        <w:t xml:space="preserve">姓名：                       性别：                    电话：               </w:t>
      </w:r>
      <w:r/>
    </w:p>
    <w:p>
      <w:pPr>
        <w:rPr>
          <w:rFonts w:hint="eastAsia" w:ascii="宋体" w:hAnsi="宋体" w:cs="宋体"/>
          <w:color w:val="auto"/>
          <w:highlight w:val="none"/>
        </w:rPr>
      </w:pPr>
      <w:r>
        <w:rPr>
          <w:rFonts w:hint="eastAsia" w:ascii="宋体" w:hAnsi="宋体" w:cs="宋体"/>
          <w:color w:val="auto"/>
          <w:highlight w:val="none"/>
        </w:rPr>
        <w:t xml:space="preserve">授权代表身份证复印件（正反两面均需复印）（骑缝处加盖公章）：</w:t>
      </w:r>
      <w:r/>
    </w:p>
    <w:p>
      <w:pPr>
        <w:pStyle w:val="972"/>
        <w:rPr>
          <w:rFonts w:hint="eastAsia" w:ascii="宋体" w:hAnsi="宋体" w:cs="宋体"/>
          <w:color w:val="auto"/>
          <w:highlight w:val="none"/>
        </w:rPr>
      </w:pPr>
      <w:r>
        <w:rPr>
          <w:rFonts w:hint="eastAsia" w:ascii="宋体" w:hAnsi="宋体" w:cs="宋体"/>
          <w:color w:val="auto"/>
          <w:highlight w:val="none"/>
        </w:rPr>
      </w:r>
      <w:r/>
    </w:p>
    <w:tbl>
      <w:tblPr>
        <w:tblStyle w:val="753"/>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9"/>
        <w:gridCol w:w="709"/>
        <w:gridCol w:w="3827"/>
      </w:tblGrid>
      <w:tr>
        <w:trPr>
          <w:trHeight w:val="3874"/>
        </w:trPr>
        <w:tc>
          <w:tcPr>
            <w:tcW w:w="3609" w:type="dxa"/>
            <w:textDirection w:val="lrTb"/>
            <w:noWrap w:val="false"/>
          </w:tcPr>
          <w:p>
            <w:pPr>
              <w:pStyle w:val="972"/>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t xml:space="preserve">授权代表身份证正面复印件</w:t>
            </w:r>
            <w:r/>
          </w:p>
          <w:p>
            <w:pPr>
              <w:pStyle w:val="972"/>
              <w:rPr>
                <w:rFonts w:hint="eastAsia" w:ascii="宋体" w:hAnsi="宋体" w:cs="宋体"/>
                <w:color w:val="auto"/>
                <w:highlight w:val="none"/>
              </w:rPr>
            </w:pPr>
            <w:r>
              <w:rPr>
                <w:rFonts w:hint="eastAsia" w:ascii="宋体" w:hAnsi="宋体" w:cs="宋体"/>
                <w:color w:val="auto"/>
                <w:highlight w:val="none"/>
              </w:rPr>
            </w:r>
            <w:r/>
          </w:p>
        </w:tc>
        <w:tc>
          <w:tcPr>
            <w:tcBorders>
              <w:top w:val="none" w:color="000000" w:sz="4" w:space="0"/>
              <w:bottom w:val="none" w:color="000000" w:sz="4" w:space="0"/>
            </w:tcBorders>
            <w:tcW w:w="709" w:type="dxa"/>
            <w:textDirection w:val="lrTb"/>
            <w:noWrap w:val="false"/>
          </w:tcPr>
          <w:p>
            <w:pPr>
              <w:pStyle w:val="972"/>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加</w:t>
            </w:r>
            <w:r/>
          </w:p>
          <w:p>
            <w:pPr>
              <w:rPr>
                <w:rFonts w:hint="eastAsia" w:ascii="宋体" w:hAnsi="宋体" w:cs="宋体"/>
                <w:color w:val="auto"/>
                <w:highlight w:val="none"/>
              </w:rPr>
            </w:pPr>
            <w:r>
              <w:rPr>
                <w:rFonts w:hint="eastAsia" w:ascii="宋体" w:hAnsi="宋体" w:cs="宋体"/>
                <w:color w:val="auto"/>
                <w:highlight w:val="none"/>
              </w:rPr>
              <w:t xml:space="preserve">盖</w:t>
            </w:r>
            <w:r/>
          </w:p>
          <w:p>
            <w:pPr>
              <w:rPr>
                <w:rFonts w:hint="eastAsia" w:ascii="宋体" w:hAnsi="宋体" w:cs="宋体"/>
                <w:color w:val="auto"/>
                <w:highlight w:val="none"/>
              </w:rPr>
            </w:pPr>
            <w:r>
              <w:rPr>
                <w:rFonts w:hint="eastAsia" w:ascii="宋体" w:hAnsi="宋体" w:cs="宋体"/>
                <w:color w:val="auto"/>
                <w:highlight w:val="none"/>
              </w:rPr>
              <w:t xml:space="preserve">CA</w:t>
            </w:r>
            <w:r/>
          </w:p>
          <w:p>
            <w:pPr>
              <w:rPr>
                <w:rFonts w:hint="eastAsia" w:ascii="宋体" w:hAnsi="宋体" w:cs="宋体"/>
                <w:color w:val="auto"/>
                <w:highlight w:val="none"/>
              </w:rPr>
            </w:pPr>
            <w:r>
              <w:rPr>
                <w:rFonts w:hint="eastAsia" w:ascii="宋体" w:hAnsi="宋体" w:cs="宋体"/>
                <w:color w:val="auto"/>
                <w:highlight w:val="none"/>
              </w:rPr>
              <w:t xml:space="preserve">电</w:t>
            </w:r>
            <w:r/>
          </w:p>
          <w:p>
            <w:pPr>
              <w:rPr>
                <w:rFonts w:hint="eastAsia" w:ascii="宋体" w:hAnsi="宋体" w:cs="宋体"/>
                <w:color w:val="auto"/>
                <w:highlight w:val="none"/>
              </w:rPr>
            </w:pPr>
            <w:r>
              <w:rPr>
                <w:rFonts w:hint="eastAsia" w:ascii="宋体" w:hAnsi="宋体" w:cs="宋体"/>
                <w:color w:val="auto"/>
                <w:highlight w:val="none"/>
              </w:rPr>
              <w:t xml:space="preserve">子</w:t>
            </w:r>
            <w:r/>
          </w:p>
          <w:p>
            <w:pPr>
              <w:rPr>
                <w:rFonts w:hint="eastAsia" w:ascii="宋体" w:hAnsi="宋体" w:cs="宋体"/>
                <w:color w:val="auto"/>
                <w:highlight w:val="none"/>
              </w:rPr>
            </w:pPr>
            <w:r>
              <w:rPr>
                <w:rFonts w:hint="eastAsia" w:ascii="宋体" w:hAnsi="宋体" w:cs="宋体"/>
                <w:color w:val="auto"/>
                <w:highlight w:val="none"/>
              </w:rPr>
              <w:t xml:space="preserve">章</w:t>
            </w:r>
            <w:r/>
          </w:p>
          <w:p>
            <w:pPr>
              <w:pStyle w:val="972"/>
              <w:rPr>
                <w:rFonts w:hint="eastAsia" w:ascii="宋体" w:hAnsi="宋体" w:cs="宋体"/>
                <w:color w:val="auto"/>
                <w:highlight w:val="none"/>
              </w:rPr>
            </w:pPr>
            <w:r>
              <w:rPr>
                <w:rFonts w:hint="eastAsia" w:ascii="宋体" w:hAnsi="宋体" w:cs="宋体"/>
                <w:color w:val="auto"/>
                <w:highlight w:val="none"/>
              </w:rPr>
            </w:r>
            <w:r/>
          </w:p>
        </w:tc>
        <w:tc>
          <w:tcPr>
            <w:tcW w:w="3827" w:type="dxa"/>
            <w:textDirection w:val="lrTb"/>
            <w:noWrap w:val="false"/>
          </w:tcPr>
          <w:p>
            <w:pPr>
              <w:pStyle w:val="972"/>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t xml:space="preserve">授权代表身份证反面复印件</w:t>
            </w:r>
            <w:r/>
          </w:p>
          <w:p>
            <w:pPr>
              <w:pStyle w:val="972"/>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t xml:space="preserve">说明：上述证明文件在响应文件中附有授权代表身份证复印件（身份证两面均应复印，身份证复印件加盖公章）时才能生效。</w:t>
      </w:r>
      <w:r/>
    </w:p>
    <w:p>
      <w:pPr>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t xml:space="preserve">供应商（加盖CA电子章）：</w:t>
      </w:r>
      <w:r/>
    </w:p>
    <w:p>
      <w:pPr>
        <w:pStyle w:val="972"/>
        <w:rPr>
          <w:rFonts w:hint="eastAsia"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972"/>
        <w:rPr>
          <w:rFonts w:hint="eastAsia"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cs="宋体"/>
          <w:color w:val="auto"/>
          <w:highlight w:val="none"/>
        </w:rPr>
      </w:pPr>
      <w:r>
        <w:rPr>
          <w:rFonts w:hint="eastAsia" w:ascii="宋体" w:hAnsi="宋体" w:cs="宋体"/>
          <w:color w:val="auto"/>
          <w:highlight w:val="none"/>
        </w:rPr>
        <w:br w:type="page" w:clear="all"/>
      </w:r>
      <w:bookmarkStart w:id="121" w:name="_Toc22640"/>
      <w:r>
        <w:rPr>
          <w:rFonts w:hint="eastAsia" w:ascii="宋体" w:hAnsi="宋体" w:cs="宋体"/>
          <w:color w:val="auto"/>
          <w:highlight w:val="none"/>
        </w:rPr>
        <w:t xml:space="preserve">附件3 ：</w:t>
      </w:r>
      <w:bookmarkEnd w:id="121"/>
      <w:r/>
      <w:r/>
    </w:p>
    <w:p>
      <w:pPr>
        <w:pStyle w:val="1005"/>
        <w:rPr>
          <w:rFonts w:hint="eastAsia" w:ascii="宋体" w:hAnsi="宋体" w:cs="宋体"/>
          <w:color w:val="auto"/>
          <w:highlight w:val="none"/>
        </w:rPr>
      </w:pPr>
      <w:r>
        <w:rPr>
          <w:rFonts w:hint="eastAsia" w:ascii="宋体" w:hAnsi="宋体" w:cs="宋体"/>
          <w:color w:val="auto"/>
          <w:highlight w:val="none"/>
        </w:rPr>
      </w:r>
      <w:r/>
    </w:p>
    <w:p>
      <w:pPr>
        <w:pStyle w:val="1005"/>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参加政府采购活动前 3 年内在经营活动中没有重大违法</w:t>
      </w:r>
      <w:r/>
    </w:p>
    <w:p>
      <w:pPr>
        <w:pStyle w:val="1005"/>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记录的书面声明</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rPr>
          <w:rFonts w:hint="eastAsia" w:ascii="宋体" w:hAnsi="宋体" w:cs="宋体"/>
          <w:color w:val="auto"/>
          <w:highlight w:val="none"/>
        </w:rPr>
      </w:pPr>
      <w:r>
        <w:rPr>
          <w:rFonts w:hint="eastAsia" w:ascii="宋体" w:hAnsi="宋体" w:cs="宋体"/>
          <w:color w:val="auto"/>
          <w:highlight w:val="none"/>
        </w:rPr>
      </w:r>
      <w:r/>
    </w:p>
    <w:p>
      <w:pPr>
        <w:pStyle w:val="972"/>
        <w:rPr>
          <w:rFonts w:hint="eastAsia" w:ascii="宋体" w:hAnsi="宋体" w:cs="宋体"/>
          <w:color w:val="auto"/>
          <w:highlight w:val="none"/>
        </w:rPr>
      </w:pPr>
      <w:r>
        <w:rPr>
          <w:rFonts w:hint="eastAsia" w:ascii="宋体" w:hAnsi="宋体" w:cs="宋体"/>
          <w:color w:val="auto"/>
          <w:highlight w:val="none"/>
        </w:rPr>
        <w:t xml:space="preserve">供应商（加盖CA电子章）：</w:t>
      </w:r>
      <w:r/>
    </w:p>
    <w:p>
      <w:pPr>
        <w:pStyle w:val="972"/>
        <w:rPr>
          <w:rFonts w:hint="eastAsia" w:ascii="宋体" w:hAnsi="宋体" w:cs="宋体"/>
          <w:color w:val="auto"/>
          <w:highlight w:val="none"/>
        </w:rPr>
      </w:pPr>
      <w:r>
        <w:rPr>
          <w:rFonts w:hint="eastAsia" w:ascii="宋体" w:hAnsi="宋体" w:cs="宋体"/>
          <w:color w:val="auto"/>
          <w:highlight w:val="none"/>
        </w:rPr>
        <w:t xml:space="preserve">法定代表人或法定代表人授权代表签字或盖章：</w:t>
      </w:r>
      <w:r/>
    </w:p>
    <w:p>
      <w:pPr>
        <w:pStyle w:val="972"/>
        <w:rPr>
          <w:rFonts w:hint="eastAsia"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cs="宋体"/>
          <w:color w:val="auto"/>
          <w:highlight w:val="none"/>
        </w:rPr>
      </w:pPr>
      <w:r>
        <w:rPr>
          <w:rFonts w:hint="eastAsia" w:ascii="宋体" w:hAnsi="宋体" w:cs="宋体"/>
          <w:color w:val="auto"/>
          <w:highlight w:val="none"/>
        </w:rPr>
        <w:br w:type="page" w:clear="all"/>
      </w:r>
      <w:bookmarkStart w:id="122" w:name="_Toc28534"/>
      <w:r/>
      <w:bookmarkStart w:id="123" w:name="_Toc3595"/>
      <w:r/>
      <w:bookmarkStart w:id="124" w:name="_Toc14753"/>
      <w:r/>
      <w:bookmarkStart w:id="125" w:name="_Toc20864"/>
      <w:r/>
      <w:r/>
    </w:p>
    <w:p>
      <w:pPr>
        <w:rPr>
          <w:color w:val="auto"/>
          <w:sz w:val="24"/>
          <w:highlight w:val="none"/>
        </w:rPr>
      </w:pPr>
      <w:r>
        <w:rPr>
          <w:rFonts w:hint="eastAsia"/>
          <w:color w:val="auto"/>
          <w:sz w:val="24"/>
          <w:highlight w:val="none"/>
        </w:rPr>
        <w:t xml:space="preserve">附件4：</w:t>
      </w:r>
      <w:r>
        <w:rPr>
          <w:color w:val="auto"/>
          <w:sz w:val="24"/>
          <w:highlight w:val="none"/>
        </w:rPr>
        <w:t xml:space="preserve">具备履行合同所必需的设备和专业技术能力的书面声明（格式）； </w:t>
      </w:r>
      <w:r/>
    </w:p>
    <w:p>
      <w:pPr>
        <w:pStyle w:val="979"/>
        <w:jc w:val="center"/>
        <w:rPr>
          <w:rFonts w:hint="eastAsia" w:hAnsi="宋体" w:cs="宋体"/>
          <w:color w:val="auto"/>
          <w:sz w:val="32"/>
          <w:szCs w:val="32"/>
          <w:highlight w:val="none"/>
        </w:rPr>
      </w:pPr>
      <w:r>
        <w:rPr>
          <w:rFonts w:hint="eastAsia" w:hAnsi="宋体" w:cs="宋体"/>
          <w:color w:val="auto"/>
          <w:sz w:val="32"/>
          <w:szCs w:val="32"/>
          <w:highlight w:val="none"/>
        </w:rPr>
        <w:t xml:space="preserve">具备履行合同所必需的设备和专业技术能力的书面声明</w:t>
      </w:r>
      <w:r/>
    </w:p>
    <w:p>
      <w:pPr>
        <w:pStyle w:val="979"/>
        <w:jc w:val="center"/>
        <w:rPr>
          <w:rFonts w:hint="eastAsia" w:hAnsi="宋体" w:cs="宋体"/>
          <w:color w:val="auto"/>
          <w:sz w:val="32"/>
          <w:szCs w:val="32"/>
          <w:highlight w:val="none"/>
        </w:rPr>
      </w:pPr>
      <w:r>
        <w:rPr>
          <w:rFonts w:hint="eastAsia" w:hAnsi="宋体" w:cs="宋体"/>
          <w:color w:val="auto"/>
          <w:sz w:val="32"/>
          <w:szCs w:val="32"/>
          <w:highlight w:val="none"/>
        </w:rPr>
      </w:r>
      <w:r/>
    </w:p>
    <w:p>
      <w:pPr>
        <w:pStyle w:val="1005"/>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（供应商名称）</w:t>
      </w:r>
      <w:r>
        <w:rPr>
          <w:rFonts w:hint="eastAsia" w:ascii="宋体" w:hAnsi="宋体" w:cs="宋体"/>
          <w:color w:val="auto"/>
          <w:sz w:val="21"/>
          <w:szCs w:val="21"/>
          <w:highlight w:val="none"/>
        </w:rPr>
        <w:t xml:space="preserve">在此承诺：</w:t>
      </w:r>
      <w:r/>
    </w:p>
    <w:p>
      <w:pPr>
        <w:pStyle w:val="100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我单位具备履行本项采购合同所必需的设备和专业技术能力，为履行本项采购合同我公司具备如下主要设备和主要专业技术能力：</w:t>
      </w:r>
      <w:r/>
    </w:p>
    <w:p>
      <w:pPr>
        <w:pStyle w:val="100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主要设备有： </w:t>
      </w:r>
      <w:r/>
    </w:p>
    <w:p>
      <w:pPr>
        <w:pStyle w:val="100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主要专业技术能力有：</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bCs/>
          <w:color w:val="auto"/>
          <w:highlight w:val="none"/>
        </w:rPr>
        <w:t xml:space="preserve">供应商</w:t>
      </w:r>
      <w:r>
        <w:rPr>
          <w:rFonts w:hint="eastAsia" w:ascii="宋体" w:hAnsi="宋体" w:cs="宋体"/>
          <w:color w:val="auto"/>
          <w:highlight w:val="none"/>
        </w:rPr>
        <w:t xml:space="preserve">（加盖CA电子章）：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法定代表人或授权代表（签字或盖章）：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cs="宋体"/>
          <w:color w:val="auto"/>
          <w:highlight w:val="none"/>
        </w:rPr>
      </w:r>
      <w:r/>
    </w:p>
    <w:p>
      <w:pPr>
        <w:jc w:val="left"/>
        <w:spacing w:line="240" w:lineRule="auto"/>
        <w:widowControl/>
        <w:rPr>
          <w:rFonts w:hint="eastAsia" w:ascii="宋体" w:hAnsi="宋体" w:cs="宋体"/>
          <w:color w:val="auto"/>
          <w:highlight w:val="none"/>
        </w:rPr>
      </w:pPr>
      <w:r>
        <w:rPr>
          <w:rFonts w:hint="eastAsia" w:ascii="宋体" w:hAnsi="宋体" w:cs="宋体"/>
          <w:color w:val="auto"/>
          <w:highlight w:val="none"/>
        </w:rPr>
        <w:br w:type="page" w:clear="all"/>
      </w:r>
      <w:r/>
    </w:p>
    <w:p>
      <w:pPr>
        <w:rPr>
          <w:rFonts w:hint="eastAsia" w:ascii="宋体" w:hAnsi="宋体" w:cs="宋体"/>
          <w:color w:val="auto"/>
          <w:highlight w:val="none"/>
        </w:rPr>
      </w:pPr>
      <w:r>
        <w:rPr>
          <w:rFonts w:hint="eastAsia" w:ascii="宋体" w:hAnsi="宋体" w:cs="宋体"/>
          <w:color w:val="auto"/>
          <w:highlight w:val="none"/>
        </w:rPr>
        <w:t xml:space="preserve">附件5：</w:t>
      </w:r>
      <w:bookmarkEnd w:id="122"/>
      <w:r/>
      <w:bookmarkEnd w:id="123"/>
      <w:r/>
      <w:bookmarkEnd w:id="124"/>
      <w:r/>
      <w:bookmarkEnd w:id="125"/>
      <w:r>
        <w:rPr>
          <w:rFonts w:hint="eastAsia" w:ascii="宋体" w:hAnsi="宋体" w:cs="宋体"/>
          <w:color w:val="auto"/>
          <w:highlight w:val="none"/>
        </w:rPr>
        <w:t xml:space="preserve"> </w:t>
      </w:r>
      <w:r/>
    </w:p>
    <w:p>
      <w:pPr>
        <w:pStyle w:val="985"/>
        <w:jc w:val="center"/>
        <w:widowControl w:val="off"/>
        <w:rPr>
          <w:rFonts w:hint="eastAsia"/>
          <w:color w:val="auto"/>
          <w:sz w:val="32"/>
          <w:szCs w:val="32"/>
          <w:highlight w:val="none"/>
        </w:rPr>
      </w:pPr>
      <w:r>
        <w:rPr>
          <w:rFonts w:hint="eastAsia"/>
          <w:color w:val="auto"/>
          <w:sz w:val="32"/>
          <w:szCs w:val="32"/>
          <w:highlight w:val="none"/>
        </w:rPr>
        <w:t xml:space="preserve">中小企业声明函 </w:t>
      </w:r>
      <w:r/>
    </w:p>
    <w:p>
      <w:pPr>
        <w:ind w:firstLine="420"/>
        <w:rPr>
          <w:rFonts w:hint="eastAsia" w:ascii="宋体" w:hAnsi="宋体" w:cs="宋体"/>
          <w:bCs/>
          <w:color w:val="auto"/>
          <w:szCs w:val="21"/>
          <w:highlight w:val="none"/>
        </w:rPr>
      </w:pPr>
      <w:r>
        <w:rPr>
          <w:rFonts w:hint="eastAsia" w:ascii="宋体" w:hAnsi="宋体" w:cs="宋体"/>
          <w:bCs/>
          <w:color w:val="auto"/>
          <w:szCs w:val="21"/>
          <w:highlight w:val="none"/>
        </w:rPr>
        <w:t xml:space="preserve">本公司郑重声明，根据《政府采购促进中小企业发展管理办法》（财库﹝2020﹞46号）的规定，本公司参加</w:t>
      </w:r>
      <w:r>
        <w:rPr>
          <w:rFonts w:hint="eastAsia" w:ascii="宋体" w:hAnsi="宋体" w:cs="宋体"/>
          <w:bCs/>
          <w:color w:val="auto"/>
          <w:szCs w:val="21"/>
          <w:highlight w:val="none"/>
          <w:lang w:eastAsia="zh-CN"/>
        </w:rPr>
        <w:t xml:space="preserve">泰州市农业综合行政执法支队</w:t>
      </w:r>
      <w:r>
        <w:rPr>
          <w:rFonts w:hint="eastAsia" w:ascii="宋体" w:hAnsi="宋体" w:cs="宋体"/>
          <w:bCs/>
          <w:color w:val="auto"/>
          <w:szCs w:val="21"/>
          <w:highlight w:val="none"/>
        </w:rPr>
        <w:t xml:space="preserve">的</w:t>
      </w:r>
      <w:r>
        <w:rPr>
          <w:rFonts w:hint="eastAsia" w:ascii="宋体" w:hAnsi="宋体" w:cs="宋体"/>
          <w:bCs/>
          <w:color w:val="auto"/>
          <w:szCs w:val="21"/>
          <w:highlight w:val="none"/>
          <w:u w:val="single"/>
        </w:rPr>
        <w:t xml:space="preserve">（项目名称）</w:t>
      </w:r>
      <w:r>
        <w:rPr>
          <w:rFonts w:hint="eastAsia" w:ascii="宋体" w:hAnsi="宋体" w:cs="宋体"/>
          <w:bCs/>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u w:val="single"/>
        </w:rPr>
        <w:t xml:space="preserve">（标的名称）</w:t>
      </w:r>
      <w:r>
        <w:rPr>
          <w:rFonts w:hint="eastAsia" w:ascii="宋体" w:hAnsi="宋体" w:cs="宋体"/>
          <w:bCs/>
          <w:color w:val="auto"/>
          <w:szCs w:val="21"/>
          <w:highlight w:val="none"/>
        </w:rPr>
        <w:t xml:space="preserve">，属于</w:t>
      </w:r>
      <w:r>
        <w:rPr>
          <w:rFonts w:hint="eastAsia" w:ascii="宋体" w:hAnsi="宋体" w:cs="宋体"/>
          <w:bCs/>
          <w:color w:val="auto"/>
          <w:szCs w:val="21"/>
          <w:highlight w:val="none"/>
          <w:u w:val="single"/>
        </w:rPr>
        <w:t xml:space="preserve">工业行业</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制造商</w:t>
      </w:r>
      <w:r>
        <w:rPr>
          <w:rFonts w:hint="eastAsia" w:ascii="宋体" w:hAnsi="宋体" w:cs="宋体"/>
          <w:bCs/>
          <w:color w:val="auto"/>
          <w:szCs w:val="21"/>
          <w:highlight w:val="none"/>
        </w:rPr>
        <w:t xml:space="preserve">为</w:t>
      </w:r>
      <w:r>
        <w:rPr>
          <w:rFonts w:hint="eastAsia" w:ascii="宋体" w:hAnsi="宋体" w:cs="宋体"/>
          <w:bCs/>
          <w:color w:val="auto"/>
          <w:szCs w:val="21"/>
          <w:highlight w:val="none"/>
          <w:u w:val="single"/>
        </w:rPr>
        <w:t xml:space="preserve">（企业名称）</w:t>
      </w:r>
      <w:r>
        <w:rPr>
          <w:rFonts w:hint="eastAsia" w:ascii="宋体" w:hAnsi="宋体" w:cs="宋体"/>
          <w:bCs/>
          <w:color w:val="auto"/>
          <w:szCs w:val="21"/>
          <w:highlight w:val="none"/>
        </w:rPr>
        <w:t xml:space="preserve">，从业人员</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人，营业收入为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万元，资产总额为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万元，属于</w:t>
      </w:r>
      <w:r>
        <w:rPr>
          <w:rFonts w:hint="eastAsia" w:ascii="宋体" w:hAnsi="宋体" w:cs="宋体"/>
          <w:bCs/>
          <w:color w:val="auto"/>
          <w:szCs w:val="21"/>
          <w:highlight w:val="none"/>
          <w:u w:val="single"/>
        </w:rPr>
        <w:t xml:space="preserve">（中型企业、小型企业、微型企业）</w:t>
      </w:r>
      <w:r>
        <w:rPr>
          <w:rFonts w:hint="eastAsia" w:ascii="宋体" w:hAnsi="宋体" w:cs="宋体"/>
          <w:bCs/>
          <w:color w:val="auto"/>
          <w:szCs w:val="21"/>
          <w:highlight w:val="none"/>
        </w:rPr>
        <w:t xml:space="preserve">；</w:t>
      </w:r>
      <w:r/>
    </w:p>
    <w:p>
      <w:pPr>
        <w:ind w:firstLine="420"/>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u w:val="single"/>
        </w:rPr>
        <w:t xml:space="preserve">（标的名称）</w:t>
      </w:r>
      <w:r>
        <w:rPr>
          <w:rFonts w:hint="eastAsia" w:ascii="宋体" w:hAnsi="宋体" w:cs="宋体"/>
          <w:bCs/>
          <w:color w:val="auto"/>
          <w:szCs w:val="21"/>
          <w:highlight w:val="none"/>
        </w:rPr>
        <w:t xml:space="preserve">，属于（采购文件中明确的所属行业）</w:t>
      </w:r>
      <w:r>
        <w:rPr>
          <w:rFonts w:hint="eastAsia" w:ascii="宋体" w:hAnsi="宋体" w:cs="宋体"/>
          <w:bCs/>
          <w:color w:val="auto"/>
          <w:szCs w:val="21"/>
          <w:highlight w:val="none"/>
          <w:u w:val="single"/>
        </w:rPr>
        <w:t xml:space="preserve">行业</w:t>
      </w:r>
      <w:r>
        <w:rPr>
          <w:rFonts w:hint="eastAsia" w:ascii="宋体" w:hAnsi="宋体" w:cs="宋体"/>
          <w:bCs/>
          <w:color w:val="auto"/>
          <w:szCs w:val="21"/>
          <w:highlight w:val="none"/>
        </w:rPr>
        <w:t xml:space="preserve">；制造商为</w:t>
      </w:r>
      <w:r>
        <w:rPr>
          <w:rFonts w:hint="eastAsia" w:ascii="宋体" w:hAnsi="宋体" w:cs="宋体"/>
          <w:bCs/>
          <w:color w:val="auto"/>
          <w:szCs w:val="21"/>
          <w:highlight w:val="none"/>
          <w:u w:val="single"/>
        </w:rPr>
        <w:t xml:space="preserve">（企业名称）</w:t>
      </w:r>
      <w:r>
        <w:rPr>
          <w:rFonts w:hint="eastAsia" w:ascii="宋体" w:hAnsi="宋体" w:cs="宋体"/>
          <w:bCs/>
          <w:color w:val="auto"/>
          <w:szCs w:val="21"/>
          <w:highlight w:val="none"/>
        </w:rPr>
        <w:t xml:space="preserve">，从业人员</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人，营业收入为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万元，资产总额为</w:t>
      </w:r>
      <w:r>
        <w:rPr>
          <w:rFonts w:hint="eastAsia" w:ascii="宋体" w:hAnsi="宋体" w:cs="宋体"/>
          <w:bCs/>
          <w:color w:val="auto"/>
          <w:szCs w:val="21"/>
          <w:highlight w:val="none"/>
          <w:u w:val="single"/>
        </w:rPr>
        <w:t xml:space="preserve">      </w:t>
      </w:r>
      <w:r>
        <w:rPr>
          <w:rFonts w:hint="eastAsia" w:ascii="宋体" w:hAnsi="宋体" w:cs="宋体"/>
          <w:bCs/>
          <w:color w:val="auto"/>
          <w:szCs w:val="21"/>
          <w:highlight w:val="none"/>
        </w:rPr>
        <w:t xml:space="preserve">万元，属于</w:t>
      </w:r>
      <w:r>
        <w:rPr>
          <w:rFonts w:hint="eastAsia" w:ascii="宋体" w:hAnsi="宋体" w:cs="宋体"/>
          <w:bCs/>
          <w:color w:val="auto"/>
          <w:szCs w:val="21"/>
          <w:highlight w:val="none"/>
          <w:u w:val="single"/>
        </w:rPr>
        <w:t xml:space="preserve">（中型企业、小型企业、微型企业）</w:t>
      </w:r>
      <w:r>
        <w:rPr>
          <w:rFonts w:hint="eastAsia" w:ascii="宋体" w:hAnsi="宋体" w:cs="宋体"/>
          <w:bCs/>
          <w:color w:val="auto"/>
          <w:szCs w:val="21"/>
          <w:highlight w:val="none"/>
        </w:rPr>
        <w:t xml:space="preserve">；</w:t>
      </w:r>
      <w:r/>
    </w:p>
    <w:p>
      <w:pPr>
        <w:ind w:firstLine="420"/>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p>
    <w:p>
      <w:pPr>
        <w:ind w:firstLine="420"/>
        <w:rPr>
          <w:rFonts w:hint="eastAsia" w:ascii="宋体" w:hAnsi="宋体" w:cs="宋体"/>
          <w:bCs/>
          <w:color w:val="auto"/>
          <w:szCs w:val="21"/>
          <w:highlight w:val="none"/>
        </w:rPr>
      </w:pPr>
      <w:r>
        <w:rPr>
          <w:rFonts w:hint="eastAsia" w:ascii="宋体" w:hAnsi="宋体" w:cs="宋体"/>
          <w:bCs/>
          <w:color w:val="auto"/>
          <w:szCs w:val="21"/>
          <w:highlight w:val="none"/>
        </w:rPr>
        <w:t xml:space="preserve">以上企业，不属于大企业的分支机构，不存在控股股东为大企业的情形，也不存在与大企业的负责人为同一人的情形。</w:t>
      </w:r>
      <w:r/>
    </w:p>
    <w:p>
      <w:pPr>
        <w:ind w:firstLine="420"/>
        <w:rPr>
          <w:rFonts w:hint="eastAsia" w:ascii="宋体" w:hAnsi="宋体" w:cs="宋体"/>
          <w:bCs/>
          <w:color w:val="auto"/>
          <w:szCs w:val="21"/>
          <w:highlight w:val="none"/>
        </w:rPr>
      </w:pPr>
      <w:r>
        <w:rPr>
          <w:rFonts w:hint="eastAsia" w:ascii="宋体" w:hAnsi="宋体" w:cs="宋体"/>
          <w:bCs/>
          <w:color w:val="auto"/>
          <w:szCs w:val="21"/>
          <w:highlight w:val="none"/>
        </w:rPr>
        <w:t xml:space="preserve">本企业对上述声明内容的真实性负责。如有虚假，将依法承担相应责任。</w:t>
      </w:r>
      <w:r/>
    </w:p>
    <w:p>
      <w:pPr>
        <w:ind w:right="480" w:firstLine="480"/>
        <w:rPr>
          <w:rFonts w:hint="eastAsia" w:ascii="宋体" w:hAnsi="宋体" w:cs="宋体"/>
          <w:color w:val="auto"/>
          <w:highlight w:val="none"/>
        </w:rPr>
      </w:pPr>
      <w:r>
        <w:rPr>
          <w:rFonts w:hint="eastAsia" w:ascii="宋体" w:hAnsi="宋体" w:cs="宋体"/>
          <w:bCs/>
          <w:color w:val="auto"/>
          <w:sz w:val="24"/>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企业名称：                  （加盖CA电子章）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t xml:space="preserve">说明：</w:t>
      </w:r>
      <w:r/>
    </w:p>
    <w:p>
      <w:pPr>
        <w:ind w:firstLine="420"/>
        <w:rPr>
          <w:rFonts w:hint="eastAsia" w:ascii="宋体" w:hAnsi="宋体" w:cs="宋体"/>
          <w:color w:val="auto"/>
          <w:highlight w:val="none"/>
        </w:rPr>
      </w:pPr>
      <w:r>
        <w:rPr>
          <w:rFonts w:hint="eastAsia" w:ascii="宋体" w:hAnsi="宋体" w:cs="宋体"/>
          <w:color w:val="auto"/>
          <w:highlight w:val="none"/>
        </w:rPr>
        <w:t xml:space="preserve">1.从业人员、营业收入、资产总额填报上一年度数据，无上一年度数据的新成立企业可不填报。</w:t>
      </w:r>
      <w:r/>
    </w:p>
    <w:p>
      <w:pPr>
        <w:ind w:firstLine="420"/>
        <w:jc w:val="left"/>
        <w:rPr>
          <w:rFonts w:hint="eastAsia" w:ascii="宋体" w:hAnsi="宋体" w:cs="宋体"/>
          <w:color w:val="auto"/>
          <w:highlight w:val="none"/>
        </w:rPr>
      </w:pPr>
      <w:r>
        <w:rPr>
          <w:rFonts w:hint="eastAsia" w:ascii="宋体" w:hAnsi="宋体" w:cs="宋体"/>
          <w:color w:val="auto"/>
          <w:highlight w:val="none"/>
        </w:rPr>
        <w:t xml:space="preserve">2.中小微企业划型标准按《关于印发中小企业划型标准规定的通知》（工信部联企业〔2011〕300号），文件网址如下：https://www.miit.gov.cn/jgsj/qyj/wjfb/art/2011/art_235af1ade45c4865957adeed23f9d949.html</w:t>
      </w:r>
      <w:r>
        <w:rPr>
          <w:rFonts w:hint="eastAsia" w:ascii="宋体" w:hAnsi="宋体" w:cs="宋体"/>
          <w:color w:val="auto"/>
          <w:szCs w:val="21"/>
          <w:highlight w:val="none"/>
        </w:rPr>
        <w:t xml:space="preserve">。</w:t>
      </w:r>
      <w:r>
        <w:rPr>
          <w:rFonts w:hint="eastAsia" w:ascii="宋体" w:hAnsi="宋体" w:cs="宋体"/>
          <w:color w:val="auto"/>
          <w:highlight w:val="none"/>
        </w:rPr>
        <w:t xml:space="preserve">本项目采购标的所属行业为</w:t>
      </w:r>
      <w:r>
        <w:rPr>
          <w:rFonts w:hint="eastAsia" w:ascii="宋体" w:hAnsi="宋体" w:cs="宋体"/>
          <w:b/>
          <w:bCs/>
          <w:color w:val="auto"/>
          <w:highlight w:val="none"/>
          <w:u w:val="single"/>
        </w:rPr>
        <w:t xml:space="preserve">软件和信息技术服务业 </w:t>
      </w:r>
      <w:r>
        <w:rPr>
          <w:rFonts w:hint="eastAsia" w:ascii="宋体" w:hAnsi="宋体" w:cs="宋体"/>
          <w:color w:val="auto"/>
          <w:highlight w:val="none"/>
        </w:rPr>
        <w:t xml:space="preserve">。</w:t>
      </w:r>
      <w:r/>
    </w:p>
    <w:p>
      <w:pPr>
        <w:ind w:firstLine="420"/>
        <w:rPr>
          <w:rFonts w:hint="eastAsia" w:ascii="宋体" w:hAnsi="宋体" w:cs="宋体"/>
          <w:color w:val="auto"/>
          <w:highlight w:val="none"/>
        </w:rPr>
      </w:pPr>
      <w:r>
        <w:rPr>
          <w:rFonts w:hint="eastAsia" w:ascii="宋体" w:hAnsi="宋体" w:cs="宋体"/>
          <w:color w:val="auto"/>
          <w:highlight w:val="none"/>
        </w:rPr>
        <w:t xml:space="preserve">3.成交供应商的中小企业声明函将在结果公告中对外公示，声明函内容不实的，属于提供虚假材料谋取成交，将依照《中华人民共和国政府采购法》等国家有关规定追究相应责任。</w:t>
      </w:r>
      <w:r/>
    </w:p>
    <w:p>
      <w:pPr>
        <w:pStyle w:val="985"/>
        <w:widowControl w:val="off"/>
        <w:rPr>
          <w:rFonts w:hint="eastAsia"/>
          <w:color w:val="auto"/>
          <w:highlight w:val="none"/>
        </w:rPr>
      </w:pPr>
      <w:r>
        <w:rPr>
          <w:rFonts w:hint="eastAsia"/>
          <w:color w:val="auto"/>
          <w:highlight w:val="none"/>
          <w:u w:val="single"/>
        </w:rPr>
        <w:br w:type="page" w:clear="all"/>
      </w:r>
      <w:r>
        <w:rPr>
          <w:rFonts w:hint="eastAsia"/>
          <w:color w:val="auto"/>
          <w:highlight w:val="none"/>
        </w:rPr>
        <w:t xml:space="preserve">附件6：</w:t>
      </w:r>
      <w:r/>
    </w:p>
    <w:p>
      <w:pPr>
        <w:pStyle w:val="985"/>
        <w:jc w:val="center"/>
        <w:widowControl w:val="off"/>
        <w:rPr>
          <w:rFonts w:hint="eastAsia"/>
          <w:color w:val="auto"/>
          <w:sz w:val="32"/>
          <w:szCs w:val="32"/>
          <w:highlight w:val="none"/>
        </w:rPr>
      </w:pPr>
      <w:r>
        <w:rPr>
          <w:rFonts w:hint="eastAsia"/>
          <w:color w:val="auto"/>
          <w:sz w:val="32"/>
          <w:szCs w:val="32"/>
          <w:highlight w:val="none"/>
        </w:rPr>
        <w:t xml:space="preserve">残疾人福利性单位声明函</w:t>
      </w:r>
      <w:r/>
    </w:p>
    <w:p>
      <w:pPr>
        <w:pStyle w:val="979"/>
        <w:ind w:firstLine="420"/>
        <w:rPr>
          <w:rFonts w:hint="eastAsia" w:hAnsi="宋体" w:cs="宋体"/>
          <w:color w:val="auto"/>
          <w:highlight w:val="none"/>
        </w:rPr>
      </w:pPr>
      <w:r>
        <w:rPr>
          <w:rFonts w:hint="eastAsia" w:hAnsi="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color w:val="auto"/>
          <w:highlight w:val="none"/>
          <w:u w:val="single"/>
        </w:rPr>
        <w:t xml:space="preserve">                                       </w:t>
      </w:r>
      <w:r>
        <w:rPr>
          <w:rFonts w:hint="eastAsia" w:hAnsi="宋体" w:cs="宋体"/>
          <w:color w:val="auto"/>
          <w:highlight w:val="none"/>
        </w:rPr>
        <w:t xml:space="preserve">单位的</w:t>
      </w:r>
      <w:r>
        <w:rPr>
          <w:rFonts w:hint="eastAsia" w:hAnsi="宋体" w:cs="宋体"/>
          <w:color w:val="auto"/>
          <w:highlight w:val="none"/>
          <w:u w:val="single"/>
        </w:rPr>
        <w:t xml:space="preserve">            </w:t>
      </w:r>
      <w:r>
        <w:rPr>
          <w:rFonts w:hint="eastAsia" w:hAnsi="宋体" w:cs="宋体"/>
          <w:color w:val="auto"/>
          <w:highlight w:val="none"/>
        </w:rPr>
        <w:t xml:space="preserve">项目采购活动提供服务。</w:t>
      </w:r>
      <w:r/>
    </w:p>
    <w:p>
      <w:pPr>
        <w:pStyle w:val="979"/>
        <w:ind w:firstLine="420"/>
        <w:rPr>
          <w:rFonts w:hint="eastAsia" w:hAnsi="宋体" w:cs="宋体"/>
          <w:color w:val="auto"/>
          <w:highlight w:val="none"/>
        </w:rPr>
      </w:pPr>
      <w:r>
        <w:rPr>
          <w:rFonts w:hint="eastAsia" w:hAnsi="宋体" w:cs="宋体"/>
          <w:color w:val="auto"/>
          <w:highlight w:val="none"/>
        </w:rPr>
        <w:t xml:space="preserve">本单位对上述声明的真实性负责。如有虚假，将依法承担相应责任。</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企业名称：                  （加盖CA电子章）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 期：</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说明：</w:t>
      </w:r>
      <w:r/>
    </w:p>
    <w:p>
      <w:pPr>
        <w:ind w:firstLine="420"/>
        <w:rPr>
          <w:rFonts w:hint="eastAsia" w:ascii="宋体" w:hAnsi="宋体" w:cs="宋体"/>
          <w:color w:val="auto"/>
          <w:highlight w:val="none"/>
        </w:rPr>
      </w:pPr>
      <w:r>
        <w:rPr>
          <w:rFonts w:hint="eastAsia" w:ascii="宋体" w:hAnsi="宋体" w:cs="宋体"/>
          <w:color w:val="auto"/>
          <w:highlight w:val="none"/>
        </w:rPr>
        <w:t xml:space="preserve">1.非残疾人福利性单位不需提供此声明函。</w:t>
      </w:r>
      <w:r/>
    </w:p>
    <w:p>
      <w:pPr>
        <w:pStyle w:val="979"/>
        <w:rPr>
          <w:rFonts w:hint="eastAsia" w:hAnsi="宋体" w:cs="宋体"/>
          <w:color w:val="auto"/>
          <w:highlight w:val="none"/>
        </w:rPr>
      </w:pPr>
      <w:r>
        <w:rPr>
          <w:rFonts w:hint="eastAsia" w:hAnsi="宋体" w:cs="宋体"/>
          <w:color w:val="auto"/>
          <w:highlight w:val="none"/>
        </w:rPr>
      </w:r>
      <w:r/>
    </w:p>
    <w:p>
      <w:pPr>
        <w:pStyle w:val="979"/>
        <w:rPr>
          <w:rFonts w:hint="eastAsia" w:hAnsi="宋体" w:cs="宋体"/>
          <w:color w:val="auto"/>
          <w:highlight w:val="none"/>
        </w:rPr>
      </w:pPr>
      <w:r>
        <w:rPr>
          <w:rFonts w:hint="eastAsia" w:hAnsi="宋体" w:cs="宋体"/>
          <w:color w:val="auto"/>
          <w:highlight w:val="none"/>
        </w:rPr>
      </w:r>
      <w:r/>
    </w:p>
    <w:p>
      <w:pPr>
        <w:pStyle w:val="985"/>
        <w:widowControl w:val="off"/>
        <w:rPr>
          <w:rFonts w:hint="eastAsia"/>
          <w:color w:val="auto"/>
          <w:highlight w:val="none"/>
        </w:rPr>
      </w:pPr>
      <w:r>
        <w:rPr>
          <w:rFonts w:hint="eastAsia"/>
          <w:color w:val="auto"/>
          <w:highlight w:val="none"/>
        </w:rPr>
        <w:br w:type="page" w:clear="all"/>
      </w:r>
      <w:r>
        <w:rPr>
          <w:rFonts w:hint="eastAsia"/>
          <w:color w:val="auto"/>
          <w:highlight w:val="none"/>
        </w:rPr>
        <w:t xml:space="preserve">附件7：</w:t>
      </w:r>
      <w:r/>
    </w:p>
    <w:p>
      <w:pPr>
        <w:pStyle w:val="979"/>
        <w:jc w:val="center"/>
        <w:rPr>
          <w:rFonts w:hint="eastAsia" w:hAnsi="宋体" w:cs="宋体"/>
          <w:color w:val="auto"/>
          <w:sz w:val="32"/>
          <w:szCs w:val="32"/>
          <w:highlight w:val="none"/>
        </w:rPr>
      </w:pPr>
      <w:r>
        <w:rPr>
          <w:rFonts w:hint="eastAsia" w:hAnsi="宋体" w:cs="宋体"/>
          <w:color w:val="auto"/>
          <w:sz w:val="32"/>
          <w:szCs w:val="32"/>
          <w:highlight w:val="none"/>
        </w:rPr>
        <w:t xml:space="preserve">监狱企业声明函</w:t>
      </w:r>
      <w:r/>
    </w:p>
    <w:p>
      <w:pPr>
        <w:pStyle w:val="979"/>
        <w:rPr>
          <w:rFonts w:hint="eastAsia" w:hAnsi="宋体" w:cs="宋体"/>
          <w:color w:val="auto"/>
          <w:highlight w:val="none"/>
        </w:rPr>
      </w:pPr>
      <w:r>
        <w:rPr>
          <w:rFonts w:hint="eastAsia"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本单位郑重声明，根据《关于政府采购支持监狱企业发展有关问题的通知》（财库〔2014〕68号）的规定，本单位为监狱企业。</w:t>
      </w:r>
      <w:r/>
    </w:p>
    <w:p>
      <w:pPr>
        <w:ind w:firstLine="420"/>
        <w:rPr>
          <w:rFonts w:hint="eastAsia" w:ascii="宋体" w:hAnsi="宋体" w:cs="宋体"/>
          <w:color w:val="auto"/>
          <w:highlight w:val="none"/>
        </w:rPr>
      </w:pPr>
      <w:r>
        <w:rPr>
          <w:rFonts w:hint="eastAsia" w:ascii="宋体" w:hAnsi="宋体" w:cs="宋体"/>
          <w:color w:val="auto"/>
          <w:highlight w:val="none"/>
        </w:rPr>
        <w:t xml:space="preserve">根据上述标准，我单位属于监狱企业的理由为：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w:t>
      </w:r>
      <w:r/>
    </w:p>
    <w:p>
      <w:pPr>
        <w:pStyle w:val="979"/>
        <w:ind w:firstLine="420"/>
        <w:rPr>
          <w:rFonts w:hint="eastAsia" w:hAnsi="宋体" w:cs="宋体"/>
          <w:color w:val="auto"/>
          <w:highlight w:val="none"/>
        </w:rPr>
      </w:pPr>
      <w:r>
        <w:rPr>
          <w:rFonts w:hint="eastAsia" w:hAnsi="宋体" w:cs="宋体"/>
          <w:color w:val="auto"/>
          <w:highlight w:val="none"/>
        </w:rPr>
        <w:t xml:space="preserve">本单位参加</w:t>
      </w:r>
      <w:r>
        <w:rPr>
          <w:rFonts w:hint="eastAsia" w:hAnsi="宋体" w:cs="宋体"/>
          <w:color w:val="auto"/>
          <w:highlight w:val="none"/>
          <w:u w:val="single"/>
        </w:rPr>
        <w:t xml:space="preserve">（采购人名称）       </w:t>
      </w:r>
      <w:r>
        <w:rPr>
          <w:rFonts w:hint="eastAsia" w:hAnsi="宋体" w:cs="宋体"/>
          <w:color w:val="auto"/>
          <w:highlight w:val="none"/>
        </w:rPr>
        <w:t xml:space="preserve">单位的</w:t>
      </w:r>
      <w:r>
        <w:rPr>
          <w:rFonts w:hint="eastAsia" w:hAnsi="宋体" w:cs="宋体"/>
          <w:color w:val="auto"/>
          <w:highlight w:val="none"/>
          <w:u w:val="single"/>
        </w:rPr>
        <w:t xml:space="preserve">（项目名称）         </w:t>
      </w:r>
      <w:r>
        <w:rPr>
          <w:rFonts w:hint="eastAsia" w:hAnsi="宋体" w:cs="宋体"/>
          <w:color w:val="auto"/>
          <w:highlight w:val="none"/>
        </w:rPr>
        <w:t xml:space="preserve">项目的采购活动，并由本单位为本项目提供服务。</w:t>
      </w:r>
      <w:r/>
    </w:p>
    <w:p>
      <w:pPr>
        <w:pStyle w:val="979"/>
        <w:ind w:firstLine="420"/>
        <w:rPr>
          <w:rFonts w:hint="eastAsia" w:hAnsi="宋体" w:cs="宋体"/>
          <w:color w:val="auto"/>
          <w:highlight w:val="none"/>
        </w:rPr>
      </w:pPr>
      <w:r>
        <w:rPr>
          <w:rFonts w:hint="eastAsia" w:hAnsi="宋体" w:cs="宋体"/>
          <w:color w:val="auto"/>
          <w:highlight w:val="none"/>
        </w:rPr>
        <w:t xml:space="preserve">本单位对上述声明的真实性负责。如有虚假，将依法承担相应责任。</w:t>
      </w:r>
      <w:r/>
    </w:p>
    <w:p>
      <w:pPr>
        <w:pStyle w:val="979"/>
        <w:rPr>
          <w:rFonts w:hint="eastAsia" w:hAnsi="宋体" w:cs="宋体"/>
          <w:color w:val="auto"/>
          <w:highlight w:val="none"/>
        </w:rPr>
      </w:pPr>
      <w:r>
        <w:rPr>
          <w:rFonts w:hint="eastAsia" w:hAnsi="宋体" w:cs="宋体"/>
          <w:color w:val="auto"/>
          <w:highlight w:val="none"/>
        </w:rPr>
      </w:r>
      <w:r/>
    </w:p>
    <w:p>
      <w:pPr>
        <w:pStyle w:val="979"/>
        <w:rPr>
          <w:rFonts w:hint="eastAsia" w:hAnsi="宋体" w:cs="宋体"/>
          <w:color w:val="auto"/>
          <w:highlight w:val="none"/>
        </w:rPr>
      </w:pPr>
      <w:r>
        <w:rPr>
          <w:rFonts w:hint="eastAsia" w:hAnsi="宋体" w:cs="宋体"/>
          <w:color w:val="auto"/>
          <w:highlight w:val="none"/>
        </w:rPr>
      </w:r>
      <w:r/>
    </w:p>
    <w:p>
      <w:pPr>
        <w:ind w:firstLine="420"/>
        <w:rPr>
          <w:rFonts w:hint="eastAsia" w:ascii="宋体" w:hAnsi="宋体" w:cs="宋体"/>
          <w:color w:val="auto"/>
          <w:highlight w:val="none"/>
        </w:rPr>
      </w:pPr>
      <w:r>
        <w:rPr>
          <w:rFonts w:hint="eastAsia" w:ascii="宋体" w:hAnsi="宋体" w:cs="宋体"/>
          <w:color w:val="auto"/>
          <w:highlight w:val="none"/>
        </w:rPr>
        <w:t xml:space="preserve">企业名称：                  （加盖CA电子章）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 期：</w:t>
      </w:r>
      <w:r/>
    </w:p>
    <w:p>
      <w:pPr>
        <w:pStyle w:val="979"/>
        <w:rPr>
          <w:rFonts w:hint="eastAsia" w:hAnsi="宋体" w:cs="宋体"/>
          <w:color w:val="auto"/>
          <w:highlight w:val="none"/>
        </w:rPr>
      </w:pPr>
      <w:r>
        <w:rPr>
          <w:rFonts w:hint="eastAsia" w:hAnsi="宋体" w:cs="宋体"/>
          <w:color w:val="auto"/>
          <w:highlight w:val="none"/>
        </w:rPr>
      </w:r>
      <w:r/>
    </w:p>
    <w:p>
      <w:pPr>
        <w:pStyle w:val="979"/>
        <w:ind w:firstLine="420"/>
        <w:rPr>
          <w:rFonts w:hint="eastAsia" w:hAnsi="宋体" w:cs="宋体"/>
          <w:color w:val="auto"/>
          <w:highlight w:val="none"/>
        </w:rPr>
      </w:pPr>
      <w:r>
        <w:rPr>
          <w:rFonts w:hint="eastAsia" w:hAnsi="宋体" w:cs="宋体"/>
          <w:color w:val="auto"/>
          <w:highlight w:val="none"/>
        </w:rPr>
        <w:t xml:space="preserve">说明：</w:t>
      </w:r>
      <w:r/>
    </w:p>
    <w:p>
      <w:pPr>
        <w:ind w:firstLine="420"/>
        <w:rPr>
          <w:rFonts w:hint="eastAsia" w:ascii="宋体" w:hAnsi="宋体" w:cs="宋体"/>
          <w:color w:val="auto"/>
          <w:highlight w:val="none"/>
        </w:rPr>
      </w:pPr>
      <w:r>
        <w:rPr>
          <w:rFonts w:hint="eastAsia" w:ascii="宋体" w:hAnsi="宋体" w:cs="宋体"/>
          <w:color w:val="auto"/>
          <w:highlight w:val="none"/>
        </w:rPr>
        <w:t xml:space="preserve">1.监狱企业参加采购活动时，应当提供由省级以上监狱管理局、戒毒管理局（含新疆生产建设兵团）出具的属于监狱企业的证明文件。</w:t>
      </w:r>
      <w:r/>
    </w:p>
    <w:p>
      <w:pPr>
        <w:ind w:firstLine="420"/>
        <w:rPr>
          <w:rFonts w:hint="eastAsia" w:ascii="宋体" w:hAnsi="宋体" w:cs="宋体"/>
          <w:color w:val="auto"/>
          <w:highlight w:val="none"/>
        </w:rPr>
      </w:pPr>
      <w:r>
        <w:rPr>
          <w:rFonts w:hint="eastAsia" w:ascii="宋体" w:hAnsi="宋体" w:cs="宋体"/>
          <w:color w:val="auto"/>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rPr>
          <w:rFonts w:hint="eastAsia" w:ascii="宋体" w:hAnsi="宋体" w:cs="宋体"/>
          <w:color w:val="auto"/>
          <w:highlight w:val="none"/>
        </w:rPr>
      </w:pPr>
      <w:r>
        <w:rPr>
          <w:rFonts w:hint="eastAsia" w:ascii="宋体" w:hAnsi="宋体" w:cs="宋体"/>
          <w:color w:val="auto"/>
          <w:highlight w:val="none"/>
        </w:rPr>
        <w:t xml:space="preserve">3.非监狱企业不需提供此声明函。</w:t>
      </w:r>
      <w:r/>
    </w:p>
    <w:p>
      <w:pPr>
        <w:rPr>
          <w:rFonts w:hint="eastAsia" w:ascii="宋体" w:hAnsi="宋体" w:cs="宋体"/>
          <w:color w:val="auto"/>
          <w:highlight w:val="none"/>
        </w:rPr>
      </w:pPr>
      <w:r>
        <w:rPr>
          <w:rFonts w:hint="eastAsia" w:ascii="宋体" w:hAnsi="宋体" w:cs="宋体"/>
          <w:color w:val="auto"/>
          <w:highlight w:val="none"/>
        </w:rPr>
      </w:r>
      <w:r/>
    </w:p>
    <w:p>
      <w:pPr>
        <w:pStyle w:val="985"/>
        <w:widowControl w:val="off"/>
        <w:rPr>
          <w:rFonts w:hint="eastAsia"/>
          <w:color w:val="auto"/>
          <w:sz w:val="32"/>
          <w:szCs w:val="32"/>
          <w:highlight w:val="none"/>
          <w:lang w:val="zh-CN"/>
        </w:rPr>
      </w:pPr>
      <w:r>
        <w:rPr>
          <w:rFonts w:hint="eastAsia"/>
          <w:color w:val="auto"/>
          <w:highlight w:val="none"/>
        </w:rPr>
        <w:br w:type="page" w:clear="all"/>
      </w:r>
      <w:bookmarkStart w:id="126" w:name="_Toc440442375"/>
      <w:r/>
      <w:bookmarkStart w:id="127" w:name="_Toc439777351"/>
      <w:r/>
      <w:bookmarkStart w:id="128" w:name="_Toc56141898"/>
      <w:r/>
      <w:bookmarkStart w:id="129" w:name="_Toc54372237"/>
      <w:r/>
      <w:bookmarkStart w:id="130" w:name="_Toc54372655"/>
      <w:r/>
      <w:bookmarkStart w:id="131" w:name="_Toc56153862"/>
      <w:r/>
      <w:bookmarkStart w:id="132" w:name="_Toc55707673"/>
      <w:r/>
      <w:bookmarkStart w:id="133" w:name="_Toc59896715"/>
      <w:r/>
      <w:bookmarkStart w:id="134" w:name="_Toc434481560"/>
      <w:r/>
      <w:bookmarkStart w:id="135" w:name="_Toc439777159"/>
      <w:r/>
      <w:bookmarkStart w:id="136" w:name="_Toc56139088"/>
      <w:r/>
      <w:bookmarkStart w:id="137" w:name="_Toc59900983"/>
      <w:r/>
      <w:bookmarkStart w:id="138" w:name="_Toc55705168"/>
      <w:r/>
      <w:bookmarkStart w:id="139" w:name="_Toc54372071"/>
      <w:r/>
      <w:bookmarkStart w:id="140" w:name="_Toc56409114"/>
      <w:r/>
      <w:bookmarkStart w:id="141" w:name="_Toc55654540"/>
      <w:r/>
      <w:bookmarkStart w:id="142" w:name="_Toc55639393"/>
      <w:r>
        <w:rPr>
          <w:rFonts w:hint="eastAsia"/>
          <w:color w:val="auto"/>
          <w:highlight w:val="none"/>
        </w:rPr>
        <w:t xml:space="preserve">附件8：</w:t>
      </w:r>
      <w:r/>
    </w:p>
    <w:p>
      <w:pPr>
        <w:pStyle w:val="985"/>
        <w:jc w:val="center"/>
        <w:spacing w:before="30" w:beforeAutospacing="0" w:after="30" w:afterAutospacing="0"/>
        <w:shd w:val="clear" w:color="auto" w:fill="ffffff"/>
        <w:rPr>
          <w:rFonts w:hint="eastAsia" w:ascii="黑体" w:hAnsi="黑体" w:eastAsia="黑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color w:val="auto"/>
          <w:sz w:val="32"/>
          <w:szCs w:val="32"/>
          <w:highlight w:val="none"/>
        </w:rPr>
        <w:t xml:space="preserve">关于符合本国产品标准的声明函</w:t>
      </w:r>
      <w:r/>
    </w:p>
    <w:p>
      <w:pPr>
        <w:pStyle w:val="985"/>
        <w:ind w:firstLine="420"/>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r>
      <w:r/>
    </w:p>
    <w:p>
      <w:pPr>
        <w:pStyle w:val="985"/>
        <w:ind w:firstLine="420"/>
        <w:spacing w:before="30" w:beforeAutospacing="0" w:after="30" w:afterAutospacing="0"/>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5"/>
        <w:ind w:firstLine="420"/>
        <w:spacing w:before="30" w:beforeAutospacing="0" w:after="30" w:afterAutospacing="0"/>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1.</w:t>
      </w:r>
      <w:r>
        <w:rPr>
          <w:rStyle w:val="1023"/>
          <w:rFonts w:hint="eastAsia" w:ascii="宋体" w:hAnsi="宋体" w:cs="宋体"/>
          <w:color w:val="auto"/>
          <w:szCs w:val="21"/>
          <w:highlight w:val="none"/>
          <w:u w:val="single"/>
          <w:shd w:val="clear" w:color="auto" w:fill="ffffff"/>
        </w:rPr>
        <w:t xml:space="preserve">（产品名称1）</w:t>
      </w:r>
      <w:r>
        <w:rPr>
          <w:rStyle w:val="1023"/>
          <w:rFonts w:hint="eastAsia" w:ascii="宋体" w:hAnsi="宋体" w:cs="宋体"/>
          <w:color w:val="auto"/>
          <w:szCs w:val="21"/>
          <w:highlight w:val="none"/>
          <w:u w:val="single"/>
          <w:shd w:val="clear" w:color="auto" w:fill="ffffff"/>
          <w:vertAlign w:val="superscript"/>
        </w:rPr>
        <w:t xml:space="preserve">1</w:t>
      </w:r>
      <w:r>
        <w:rPr>
          <w:rFonts w:hint="eastAsia"/>
          <w:color w:val="auto"/>
          <w:sz w:val="21"/>
          <w:szCs w:val="21"/>
          <w:highlight w:val="none"/>
          <w:shd w:val="clear" w:color="auto" w:fill="ffffff"/>
        </w:rPr>
        <w:t xml:space="preserve">，生产厂为</w:t>
      </w:r>
      <w:r>
        <w:rPr>
          <w:rStyle w:val="1023"/>
          <w:rFonts w:hint="eastAsia" w:ascii="宋体" w:hAnsi="宋体" w:cs="宋体"/>
          <w:color w:val="auto"/>
          <w:szCs w:val="21"/>
          <w:highlight w:val="none"/>
          <w:u w:val="single"/>
          <w:shd w:val="clear" w:color="auto" w:fill="ffffff"/>
        </w:rPr>
        <w:t xml:space="preserve">（厂名）</w:t>
      </w:r>
      <w:r>
        <w:rPr>
          <w:rStyle w:val="1023"/>
          <w:rFonts w:hint="eastAsia" w:ascii="宋体" w:hAnsi="宋体" w:cs="宋体"/>
          <w:color w:val="auto"/>
          <w:szCs w:val="21"/>
          <w:highlight w:val="none"/>
          <w:u w:val="singl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1023"/>
          <w:rFonts w:hint="eastAsia" w:ascii="宋体" w:hAnsi="宋体" w:cs="宋体"/>
          <w:color w:val="auto"/>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1023"/>
          <w:rFonts w:hint="eastAsia" w:ascii="宋体" w:hAnsi="宋体" w:cs="宋体"/>
          <w:color w:val="auto"/>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的中国境内生产的组件成本占比≥</w:t>
      </w:r>
      <w:r>
        <w:rPr>
          <w:rStyle w:val="1023"/>
          <w:rFonts w:hint="eastAsia" w:ascii="宋体" w:hAnsi="宋体" w:cs="宋体"/>
          <w:color w:val="auto"/>
          <w:szCs w:val="21"/>
          <w:highlight w:val="none"/>
          <w:u w:val="single"/>
          <w:shd w:val="clear" w:color="auto" w:fill="ffffff"/>
        </w:rPr>
        <w:t xml:space="preserve">（规定比例）</w:t>
      </w:r>
      <w:r>
        <w:rPr>
          <w:rStyle w:val="1023"/>
          <w:rFonts w:hint="eastAsia" w:ascii="宋体" w:hAnsi="宋体" w:cs="宋体"/>
          <w:color w:val="auto"/>
          <w:szCs w:val="21"/>
          <w:highlight w:val="none"/>
          <w:u w:val="single"/>
          <w:shd w:val="clear" w:color="auto" w:fill="ffffff"/>
          <w:vertAlign w:val="superscript"/>
        </w:rPr>
        <w:t xml:space="preserve">3</w:t>
      </w:r>
      <w:r>
        <w:rPr>
          <w:rFonts w:hint="eastAsia"/>
          <w:color w:val="auto"/>
          <w:sz w:val="21"/>
          <w:szCs w:val="21"/>
          <w:highlight w:val="none"/>
          <w:shd w:val="clear" w:color="auto" w:fill="ffffff"/>
        </w:rPr>
        <w:t xml:space="preserve">。</w:t>
      </w:r>
      <w:r>
        <w:rPr>
          <w:rStyle w:val="1023"/>
          <w:rFonts w:hint="eastAsia" w:ascii="宋体" w:hAnsi="宋体" w:cs="宋体"/>
          <w:color w:val="auto"/>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1023"/>
          <w:rFonts w:hint="eastAsia" w:ascii="宋体" w:hAnsi="宋体" w:cs="宋体"/>
          <w:color w:val="auto"/>
          <w:szCs w:val="21"/>
          <w:highlight w:val="none"/>
          <w:u w:val="single"/>
          <w:shd w:val="clear" w:color="auto" w:fill="ffffff"/>
        </w:rPr>
        <w:t xml:space="preserve">（关键组件）</w:t>
      </w:r>
      <w:r>
        <w:rPr>
          <w:rStyle w:val="1023"/>
          <w:rFonts w:hint="eastAsia" w:ascii="宋体" w:hAnsi="宋体" w:cs="宋体"/>
          <w:color w:val="auto"/>
          <w:szCs w:val="21"/>
          <w:highlight w:val="none"/>
          <w:u w:val="single"/>
          <w:shd w:val="clear" w:color="auto" w:fill="ffffff"/>
          <w:vertAlign w:val="superscript"/>
        </w:rPr>
        <w:t xml:space="preserve">4</w:t>
      </w:r>
      <w:r>
        <w:rPr>
          <w:rFonts w:hint="eastAsia"/>
          <w:color w:val="auto"/>
          <w:sz w:val="21"/>
          <w:szCs w:val="21"/>
          <w:highlight w:val="none"/>
          <w:shd w:val="clear" w:color="auto" w:fill="ffffff"/>
        </w:rPr>
        <w:t xml:space="preserve">在中国境内生产。</w:t>
      </w:r>
      <w:r>
        <w:rPr>
          <w:rStyle w:val="1023"/>
          <w:rFonts w:hint="eastAsia" w:ascii="宋体" w:hAnsi="宋体" w:cs="宋体"/>
          <w:color w:val="auto"/>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1023"/>
          <w:rFonts w:hint="eastAsia" w:ascii="宋体" w:hAnsi="宋体" w:cs="宋体"/>
          <w:color w:val="auto"/>
          <w:szCs w:val="21"/>
          <w:highlight w:val="none"/>
          <w:u w:val="single"/>
          <w:shd w:val="clear" w:color="auto" w:fill="ffffff"/>
        </w:rPr>
        <w:t xml:space="preserve">（关键工序）</w:t>
      </w:r>
      <w:r>
        <w:rPr>
          <w:rStyle w:val="1023"/>
          <w:rFonts w:hint="eastAsia" w:ascii="宋体" w:hAnsi="宋体" w:cs="宋体"/>
          <w:color w:val="auto"/>
          <w:szCs w:val="21"/>
          <w:highlight w:val="none"/>
          <w:u w:val="single"/>
          <w:shd w:val="clear" w:color="auto" w:fill="ffffff"/>
          <w:vertAlign w:val="superscript"/>
        </w:rPr>
        <w:t xml:space="preserve">5</w:t>
      </w:r>
      <w:r>
        <w:rPr>
          <w:rFonts w:hint="eastAsia"/>
          <w:color w:val="auto"/>
          <w:sz w:val="21"/>
          <w:szCs w:val="21"/>
          <w:highlight w:val="none"/>
          <w:shd w:val="clear" w:color="auto" w:fill="ffffff"/>
        </w:rPr>
        <w:t xml:space="preserve">在中国境内完成。</w:t>
      </w:r>
      <w:r/>
    </w:p>
    <w:p>
      <w:pPr>
        <w:pStyle w:val="985"/>
        <w:ind w:firstLine="420"/>
        <w:spacing w:before="30" w:beforeAutospacing="0" w:after="30" w:afterAutospacing="0"/>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2.</w:t>
      </w:r>
      <w:r>
        <w:rPr>
          <w:rStyle w:val="1023"/>
          <w:rFonts w:hint="eastAsia" w:ascii="宋体" w:hAnsi="宋体" w:cs="宋体"/>
          <w:color w:val="auto"/>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1023"/>
          <w:rFonts w:hint="eastAsia" w:ascii="宋体" w:hAnsi="宋体" w:cs="宋体"/>
          <w:color w:val="auto"/>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1023"/>
          <w:rFonts w:hint="eastAsia" w:ascii="宋体" w:hAnsi="宋体" w:cs="宋体"/>
          <w:color w:val="auto"/>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1023"/>
          <w:rFonts w:hint="eastAsia" w:ascii="宋体" w:hAnsi="宋体" w:cs="宋体"/>
          <w:color w:val="auto"/>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的中国境内生产的组件成本占比≥</w:t>
      </w:r>
      <w:r>
        <w:rPr>
          <w:rStyle w:val="1023"/>
          <w:rFonts w:hint="eastAsia" w:ascii="宋体" w:hAnsi="宋体" w:cs="宋体"/>
          <w:color w:val="auto"/>
          <w:szCs w:val="21"/>
          <w:highlight w:val="none"/>
          <w:u w:val="single"/>
          <w:shd w:val="clear" w:color="auto" w:fill="ffffff"/>
        </w:rPr>
        <w:t xml:space="preserve">（规定比例）</w:t>
      </w:r>
      <w:r>
        <w:rPr>
          <w:rFonts w:hint="eastAsia"/>
          <w:color w:val="auto"/>
          <w:sz w:val="21"/>
          <w:szCs w:val="21"/>
          <w:highlight w:val="none"/>
          <w:shd w:val="clear" w:color="auto" w:fill="ffffff"/>
        </w:rPr>
        <w:t xml:space="preserve">。</w:t>
      </w:r>
      <w:r>
        <w:rPr>
          <w:rStyle w:val="1023"/>
          <w:rFonts w:hint="eastAsia" w:ascii="宋体" w:hAnsi="宋体" w:cs="宋体"/>
          <w:color w:val="auto"/>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1023"/>
          <w:rFonts w:hint="eastAsia" w:ascii="宋体" w:hAnsi="宋体" w:cs="宋体"/>
          <w:color w:val="auto"/>
          <w:szCs w:val="21"/>
          <w:highlight w:val="none"/>
          <w:u w:val="single"/>
          <w:shd w:val="clear" w:color="auto" w:fill="ffffff"/>
        </w:rPr>
        <w:t xml:space="preserve">（关键组件）</w:t>
      </w:r>
      <w:r>
        <w:rPr>
          <w:rFonts w:hint="eastAsia"/>
          <w:color w:val="auto"/>
          <w:sz w:val="21"/>
          <w:szCs w:val="21"/>
          <w:highlight w:val="none"/>
          <w:shd w:val="clear" w:color="auto" w:fill="ffffff"/>
        </w:rPr>
        <w:t xml:space="preserve">在中国境内生产。</w:t>
      </w:r>
      <w:r>
        <w:rPr>
          <w:rStyle w:val="1023"/>
          <w:rFonts w:hint="eastAsia" w:ascii="宋体" w:hAnsi="宋体" w:cs="宋体"/>
          <w:color w:val="auto"/>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1023"/>
          <w:rFonts w:hint="eastAsia" w:ascii="宋体" w:hAnsi="宋体" w:cs="宋体"/>
          <w:color w:val="auto"/>
          <w:szCs w:val="21"/>
          <w:highlight w:val="none"/>
          <w:u w:val="single"/>
          <w:shd w:val="clear" w:color="auto" w:fill="ffffff"/>
        </w:rPr>
        <w:t xml:space="preserve">（关键工序）</w:t>
      </w:r>
      <w:r>
        <w:rPr>
          <w:rFonts w:hint="eastAsia"/>
          <w:color w:val="auto"/>
          <w:sz w:val="21"/>
          <w:szCs w:val="21"/>
          <w:highlight w:val="none"/>
          <w:shd w:val="clear" w:color="auto" w:fill="ffffff"/>
        </w:rPr>
        <w:t xml:space="preserve">在中国境内完成。</w:t>
      </w:r>
      <w:r/>
    </w:p>
    <w:p>
      <w:pPr>
        <w:pStyle w:val="985"/>
        <w:ind w:firstLine="420"/>
        <w:spacing w:before="30" w:beforeAutospacing="0" w:after="30" w:afterAutospacing="0"/>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w:t>
      </w:r>
      <w:r/>
    </w:p>
    <w:p>
      <w:pPr>
        <w:pStyle w:val="985"/>
        <w:ind w:firstLine="420"/>
        <w:spacing w:before="30" w:beforeAutospacing="0" w:after="30" w:afterAutospacing="0"/>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本公司（单位）对上述声明内容的真实性负责。如有虚假，愿承担相应法律责任。</w:t>
      </w:r>
      <w:r/>
    </w:p>
    <w:p>
      <w:pPr>
        <w:pStyle w:val="985"/>
        <w:ind w:firstLine="420"/>
        <w:jc w:val="right"/>
        <w:spacing w:before="30" w:beforeAutospacing="0" w:after="30" w:afterAutospacing="0"/>
        <w:shd w:val="clear" w:color="auto" w:fill="ffffff"/>
        <w:rPr>
          <w:rFonts w:hint="eastAsia"/>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r>
      <w:r/>
    </w:p>
    <w:p>
      <w:pPr>
        <w:pStyle w:val="985"/>
        <w:ind w:firstLine="420"/>
        <w:jc w:val="right"/>
        <w:spacing w:before="30" w:beforeAutospacing="0" w:after="30" w:afterAutospacing="0"/>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rPr>
        <w:t xml:space="preserve">供应商全称（加盖CA电子公章）：</w:t>
      </w:r>
      <w:r>
        <w:rPr>
          <w:rFonts w:hint="eastAsia"/>
          <w:color w:val="auto"/>
          <w:sz w:val="21"/>
          <w:szCs w:val="21"/>
          <w:highlight w:val="none"/>
          <w:shd w:val="clear" w:color="auto" w:fill="ffffff"/>
        </w:rPr>
        <w:t xml:space="preserve">      </w:t>
      </w:r>
      <w:r/>
    </w:p>
    <w:p>
      <w:pPr>
        <w:pStyle w:val="985"/>
        <w:ind w:firstLine="420"/>
        <w:jc w:val="right"/>
        <w:spacing w:before="30" w:beforeAutospacing="0" w:after="30" w:afterAutospacing="0"/>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日期：　　　　　年　　月　日    </w:t>
      </w:r>
      <w:r/>
    </w:p>
    <w:p>
      <w:pPr>
        <w:pStyle w:val="985"/>
        <w:ind w:firstLine="420"/>
        <w:spacing w:before="30" w:beforeAutospacing="0" w:after="30" w:afterAutospacing="0"/>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rPr>
      </w:r>
      <w:r/>
    </w:p>
    <w:p>
      <w:pPr>
        <w:pStyle w:val="985"/>
        <w:ind w:firstLine="420"/>
        <w:spacing w:before="30" w:beforeAutospacing="0" w:after="30" w:afterAutospacing="0"/>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rPr>
      </w:r>
      <w:r/>
    </w:p>
    <w:p>
      <w:pPr>
        <w:pStyle w:val="985"/>
        <w:jc w:val="both"/>
        <w:spacing w:before="30" w:beforeAutospacing="0" w:after="30" w:afterAutospacing="0"/>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_____________________________</w:t>
      </w:r>
      <w:r/>
    </w:p>
    <w:p>
      <w:pPr>
        <w:pStyle w:val="985"/>
        <w:ind w:firstLine="420"/>
        <w:spacing w:before="30" w:beforeAutospacing="0" w:after="30" w:afterAutospacing="0"/>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1.产品如有型号，请在“产品名称”栏一并填写。</w:t>
      </w:r>
      <w:r/>
    </w:p>
    <w:p>
      <w:pPr>
        <w:pStyle w:val="985"/>
        <w:ind w:firstLine="420"/>
        <w:spacing w:before="30" w:beforeAutospacing="0" w:after="30" w:afterAutospacing="0"/>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2.生产厂名与厂址应与生产厂营业执照载明的相关信息保持一致。</w:t>
      </w:r>
      <w:r/>
    </w:p>
    <w:p>
      <w:pPr>
        <w:pStyle w:val="985"/>
        <w:ind w:firstLine="420"/>
        <w:spacing w:before="30" w:beforeAutospacing="0" w:after="30" w:afterAutospacing="0"/>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3.该产品的中国境内生产的组件成本占比相关要求实施前，“规定比例”栏可不填，下同。</w:t>
      </w:r>
      <w:r/>
    </w:p>
    <w:p>
      <w:pPr>
        <w:pStyle w:val="985"/>
        <w:ind w:firstLine="420"/>
        <w:spacing w:before="30" w:beforeAutospacing="0" w:after="30" w:afterAutospacing="0"/>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4.该产品的关键组件要求实施前，“关键组件”栏可不填，下同。</w:t>
      </w:r>
      <w:r/>
    </w:p>
    <w:p>
      <w:pPr>
        <w:pStyle w:val="985"/>
        <w:ind w:firstLine="420"/>
        <w:spacing w:before="30" w:beforeAutospacing="0" w:after="30" w:afterAutospacing="0"/>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5.该产品的关键工序要求实施前，“关键工序”栏可不填，下同。</w:t>
      </w:r>
      <w:r/>
    </w:p>
    <w:p>
      <w:pPr>
        <w:pStyle w:val="977"/>
        <w:rPr>
          <w:rFonts w:hint="eastAsia" w:ascii="宋体" w:hAnsi="宋体" w:eastAsia="宋体" w:cs="宋体"/>
          <w:color w:val="auto"/>
          <w:sz w:val="21"/>
          <w:szCs w:val="21"/>
          <w:highlight w:val="none"/>
          <w:lang w:bidi="ar"/>
        </w:rPr>
        <w:sectPr>
          <w:footerReference w:type="default" r:id="rId13"/>
          <w:footnotePr/>
          <w:endnotePr/>
          <w:type w:val="nextPage"/>
          <w:pgSz w:w="11907" w:h="16840" w:orient="portrait"/>
          <w:pgMar w:top="1440" w:right="1463" w:bottom="1440" w:left="1463" w:header="851" w:footer="851" w:gutter="0"/>
          <w:cols w:num="1" w:sep="0" w:space="1701" w:equalWidth="1"/>
          <w:docGrid w:linePitch="360"/>
        </w:sectPr>
      </w:pPr>
      <w:r>
        <w:rPr>
          <w:rFonts w:hint="eastAsia" w:ascii="宋体" w:hAnsi="宋体" w:eastAsia="宋体" w:cs="宋体"/>
          <w:color w:val="auto"/>
          <w:sz w:val="21"/>
          <w:szCs w:val="21"/>
          <w:highlight w:val="none"/>
          <w:lang w:bidi="ar"/>
        </w:rPr>
      </w:r>
      <w:r/>
    </w:p>
    <w:p>
      <w:pPr>
        <w:rPr>
          <w:rFonts w:hint="eastAsia" w:ascii="宋体" w:hAnsi="宋体" w:cs="宋体"/>
          <w:color w:val="auto"/>
          <w:highlight w:val="none"/>
        </w:rPr>
      </w:pPr>
      <w:r>
        <w:rPr>
          <w:rFonts w:hint="eastAsia" w:ascii="宋体" w:hAnsi="宋体" w:cs="宋体"/>
          <w:color w:val="auto"/>
          <w:highlight w:val="none"/>
        </w:rPr>
        <w:t xml:space="preserve">附件9：</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r/>
    </w:p>
    <w:p>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磋商响应函</w:t>
      </w:r>
      <w:r/>
    </w:p>
    <w:p>
      <w:pPr>
        <w:pStyle w:val="994"/>
        <w:ind w:firstLine="0"/>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（采购人）</w:t>
      </w:r>
      <w:r/>
    </w:p>
    <w:p>
      <w:pPr>
        <w:pStyle w:val="100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号采购文件，正式授权下述签字人_________ （姓名和职务）代表我方______________（供应商的名称），全权处理本项目磋商采购的有关事宜。</w:t>
      </w:r>
      <w:r/>
    </w:p>
    <w:p>
      <w:pPr>
        <w:pStyle w:val="100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100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1.按采购文件规定的各项要求，向采购人提供所需服务。</w:t>
      </w:r>
      <w:r/>
    </w:p>
    <w:p>
      <w:pPr>
        <w:pStyle w:val="100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2.我们已详细审核全部采购文件及其有效补充文件，我们知道必须放弃提出含糊不清或误解问题的权利。</w:t>
      </w:r>
      <w:r/>
    </w:p>
    <w:p>
      <w:pPr>
        <w:pStyle w:val="100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100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100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100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6.一旦我方成交，我方将根据采购文件的规定，严格履行合同的责任和义务，并保证在采购文件规定的时间内完成项目，交付采购人验收、使用。</w:t>
      </w:r>
      <w:r/>
    </w:p>
    <w:p>
      <w:pPr>
        <w:pStyle w:val="100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7.遵守采购文件中要求的收费项目和标准。</w:t>
      </w:r>
      <w:r/>
    </w:p>
    <w:p>
      <w:pPr>
        <w:pStyle w:val="100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8.与本次磋商采购有关的正式通讯地址为：</w:t>
      </w:r>
      <w:r/>
    </w:p>
    <w:p>
      <w:pPr>
        <w:pStyle w:val="100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                         邮编：</w:t>
      </w:r>
      <w:r/>
    </w:p>
    <w:p>
      <w:pPr>
        <w:pStyle w:val="100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电话：                         传真：</w:t>
      </w:r>
      <w:r/>
    </w:p>
    <w:p>
      <w:pPr>
        <w:pStyle w:val="1005"/>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供应商开户行：                 账户： </w:t>
      </w:r>
      <w:r/>
    </w:p>
    <w:p>
      <w:pPr>
        <w:pStyle w:val="1005"/>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联系电话：</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（加盖CA电子章）：</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法定代表人或授权代表（签字或盖章）：</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ind w:firstLine="420"/>
        <w:rPr>
          <w:rFonts w:hint="eastAsia" w:ascii="宋体" w:hAnsi="宋体" w:cs="宋体"/>
          <w:color w:val="auto"/>
          <w:highlight w:val="none"/>
        </w:rPr>
      </w:pPr>
      <w:r>
        <w:rPr>
          <w:rFonts w:hint="eastAsia" w:ascii="宋体" w:hAnsi="宋体" w:cs="宋体"/>
          <w:color w:val="auto"/>
          <w:highlight w:val="none"/>
        </w:rPr>
        <w:br w:type="page" w:clear="all"/>
      </w:r>
      <w:r/>
    </w:p>
    <w:p>
      <w:pPr>
        <w:rPr>
          <w:rFonts w:hint="eastAsia" w:ascii="宋体" w:hAnsi="宋体" w:cs="宋体"/>
          <w:color w:val="auto"/>
          <w:highlight w:val="none"/>
        </w:rPr>
      </w:pPr>
      <w:r/>
      <w:bookmarkStart w:id="143" w:name="_Toc26371"/>
      <w:r/>
      <w:bookmarkStart w:id="144" w:name="_Toc7712"/>
      <w:r/>
      <w:bookmarkStart w:id="145" w:name="_Toc12269"/>
      <w:r>
        <w:rPr>
          <w:rFonts w:hint="eastAsia" w:ascii="宋体" w:hAnsi="宋体" w:cs="宋体"/>
          <w:color w:val="auto"/>
          <w:highlight w:val="none"/>
        </w:rPr>
        <w:t xml:space="preserve">附件10：</w:t>
      </w:r>
      <w:bookmarkEnd w:id="143"/>
      <w:r/>
      <w:bookmarkEnd w:id="144"/>
      <w:r/>
      <w:bookmarkEnd w:id="145"/>
      <w:r/>
      <w:r/>
    </w:p>
    <w:p>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商务响应偏离表</w:t>
      </w:r>
      <w:r/>
    </w:p>
    <w:tbl>
      <w:tblPr>
        <w:tblStyle w:val="753"/>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序号</w:t>
            </w:r>
            <w:r/>
          </w:p>
        </w:tc>
        <w:tc>
          <w:tcPr>
            <w:tcW w:w="265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项目需求</w:t>
            </w:r>
            <w:r/>
          </w:p>
        </w:tc>
        <w:tc>
          <w:tcPr>
            <w:tcW w:w="275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响应情况</w:t>
            </w:r>
            <w:r/>
          </w:p>
        </w:tc>
        <w:tc>
          <w:tcPr>
            <w:tcW w:w="2067"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偏离说明</w:t>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65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75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067"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t xml:space="preserve">注：</w:t>
      </w:r>
      <w:r/>
    </w:p>
    <w:p>
      <w:pPr>
        <w:ind w:firstLine="420"/>
        <w:rPr>
          <w:rFonts w:hint="eastAsia" w:ascii="宋体" w:hAnsi="宋体" w:cs="宋体"/>
          <w:color w:val="auto"/>
          <w:highlight w:val="none"/>
        </w:rPr>
      </w:pPr>
      <w:r>
        <w:rPr>
          <w:rFonts w:hint="eastAsia" w:ascii="宋体" w:hAnsi="宋体" w:cs="宋体"/>
          <w:color w:val="auto"/>
          <w:highlight w:val="none"/>
        </w:rPr>
        <w:t xml:space="preserve">1.本表即为对本采购文件中提出的商务需求进行比较和响应，商务需求主要包括供应商资格、合同期限、合同报价、支付方式及评审办法中所提出的评审要求</w:t>
      </w:r>
      <w:r>
        <w:rPr>
          <w:rFonts w:ascii="宋体" w:hAnsi="宋体" w:cs="宋体"/>
          <w:color w:val="auto"/>
          <w:highlight w:val="none"/>
        </w:rPr>
        <w:t xml:space="preserve">等内容</w:t>
      </w:r>
      <w:r>
        <w:rPr>
          <w:rFonts w:hint="eastAsia" w:ascii="宋体" w:hAnsi="宋体" w:cs="宋体"/>
          <w:color w:val="auto"/>
          <w:highlight w:val="none"/>
        </w:rPr>
        <w:t xml:space="preserve">。</w:t>
      </w:r>
      <w:r/>
    </w:p>
    <w:p>
      <w:pPr>
        <w:ind w:firstLine="315"/>
        <w:rPr>
          <w:rFonts w:hint="eastAsia" w:ascii="宋体" w:hAnsi="宋体" w:cs="宋体"/>
          <w:color w:val="auto"/>
          <w:highlight w:val="none"/>
        </w:rPr>
      </w:pPr>
      <w:r>
        <w:rPr>
          <w:rFonts w:hint="eastAsia" w:ascii="宋体" w:hAnsi="宋体" w:cs="宋体"/>
          <w:color w:val="auto"/>
          <w:highlight w:val="none"/>
        </w:rPr>
        <w:t xml:space="preserve">2.该表必须按照竞争性磋商要求逐条如实填写，根据响应情况在“偏离说明”项填写正偏离或负偏离及原因，完全符合的填写“无偏离”。</w:t>
      </w:r>
      <w:r/>
    </w:p>
    <w:p>
      <w:pPr>
        <w:ind w:firstLine="315"/>
        <w:rPr>
          <w:rFonts w:hint="eastAsia" w:ascii="宋体" w:hAnsi="宋体" w:cs="宋体"/>
          <w:color w:val="auto"/>
          <w:highlight w:val="none"/>
        </w:rPr>
      </w:pPr>
      <w:r>
        <w:rPr>
          <w:rFonts w:hint="eastAsia" w:ascii="宋体" w:hAnsi="宋体" w:cs="宋体"/>
          <w:color w:val="auto"/>
          <w:highlight w:val="none"/>
        </w:rPr>
        <w:t xml:space="preserve">3.该表可扩展，并逐页签字或盖章。</w:t>
      </w:r>
      <w:r/>
    </w:p>
    <w:p>
      <w:pPr>
        <w:ind w:firstLine="315"/>
        <w:rPr>
          <w:rFonts w:hint="eastAsia" w:ascii="宋体" w:hAnsi="宋体" w:cs="宋体"/>
          <w:color w:val="auto"/>
          <w:highlight w:val="none"/>
        </w:rPr>
      </w:pPr>
      <w:r>
        <w:rPr>
          <w:rFonts w:hint="eastAsia" w:ascii="宋体" w:hAnsi="宋体" w:cs="宋体"/>
          <w:color w:val="auto"/>
          <w:highlight w:val="none"/>
        </w:rPr>
        <w:t xml:space="preserve">4.可附相关技术支撑材料。（格式自定）</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bCs/>
          <w:color w:val="auto"/>
          <w:highlight w:val="none"/>
        </w:rPr>
        <w:t xml:space="preserve">供应商</w:t>
      </w:r>
      <w:r>
        <w:rPr>
          <w:rFonts w:hint="eastAsia" w:ascii="宋体" w:hAnsi="宋体" w:cs="宋体"/>
          <w:color w:val="auto"/>
          <w:highlight w:val="none"/>
        </w:rPr>
        <w:t xml:space="preserve">（加盖CA电子章）：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法定代表人或授权代表（签字或盖章）：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spacing w:line="240" w:lineRule="auto"/>
        <w:widowControl/>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jc w:val="center"/>
        <w:rPr>
          <w:rFonts w:hint="eastAsia" w:ascii="宋体" w:hAnsi="宋体" w:cs="宋体"/>
          <w:color w:val="auto"/>
          <w:sz w:val="32"/>
          <w:szCs w:val="32"/>
          <w:highlight w:val="none"/>
          <w:lang w:val="zh-CN"/>
        </w:rPr>
      </w:pPr>
      <w:r>
        <w:rPr>
          <w:rFonts w:hint="eastAsia" w:ascii="宋体" w:hAnsi="宋体" w:cs="宋体"/>
          <w:color w:val="auto"/>
          <w:sz w:val="32"/>
          <w:szCs w:val="32"/>
          <w:highlight w:val="none"/>
        </w:rPr>
        <w:t xml:space="preserve">技术</w:t>
      </w:r>
      <w:r>
        <w:rPr>
          <w:rFonts w:hint="eastAsia" w:ascii="宋体" w:hAnsi="宋体" w:cs="宋体"/>
          <w:color w:val="auto"/>
          <w:sz w:val="32"/>
          <w:szCs w:val="32"/>
          <w:highlight w:val="none"/>
          <w:lang w:val="zh-CN"/>
        </w:rPr>
        <w:t xml:space="preserve">响应偏离表</w:t>
      </w:r>
      <w:r/>
    </w:p>
    <w:tbl>
      <w:tblPr>
        <w:tblStyle w:val="753"/>
        <w:tblW w:w="9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2409"/>
        <w:gridCol w:w="2268"/>
        <w:gridCol w:w="1701"/>
        <w:gridCol w:w="1701"/>
      </w:tblGrid>
      <w:tr>
        <w:trPr>
          <w:jc w:val="center"/>
          <w:trHeight w:val="515"/>
        </w:trPr>
        <w:tc>
          <w:tcPr>
            <w:tcW w:w="98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序号</w:t>
            </w:r>
            <w:r/>
          </w:p>
        </w:tc>
        <w:tc>
          <w:tcPr>
            <w:tcW w:w="2409"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项目需求</w:t>
            </w:r>
            <w:r/>
          </w:p>
        </w:tc>
        <w:tc>
          <w:tcPr>
            <w:tcW w:w="2268"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响应情况</w:t>
            </w:r>
            <w:r/>
          </w:p>
        </w:tc>
        <w:tc>
          <w:tcPr>
            <w:tcW w:w="170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偏离说明</w:t>
            </w:r>
            <w:r/>
          </w:p>
        </w:tc>
        <w:tc>
          <w:tcPr>
            <w:tcW w:w="1701"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证明材料序号</w:t>
            </w:r>
            <w:r/>
          </w:p>
        </w:tc>
      </w:tr>
      <w:tr>
        <w:trPr>
          <w:jc w:val="center"/>
          <w:trHeight w:val="599"/>
        </w:trPr>
        <w:tc>
          <w:tcPr>
            <w:tcW w:w="98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40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26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70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70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98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40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26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70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70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98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40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26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70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70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98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40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26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70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70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98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40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26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70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70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98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40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26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70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70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98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40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26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70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70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r>
        <w:trPr>
          <w:jc w:val="center"/>
          <w:trHeight w:val="599"/>
        </w:trPr>
        <w:tc>
          <w:tcPr>
            <w:tcW w:w="98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409"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2268"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70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c>
          <w:tcPr>
            <w:tcW w:w="1701"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r>
            <w:r/>
          </w:p>
        </w:tc>
      </w:tr>
    </w:tbl>
    <w:p>
      <w:pPr>
        <w:rPr>
          <w:rFonts w:hint="eastAsia" w:ascii="宋体" w:hAnsi="宋体" w:cs="宋体"/>
          <w:color w:val="auto"/>
          <w:highlight w:val="none"/>
        </w:rPr>
      </w:pPr>
      <w:r>
        <w:rPr>
          <w:rFonts w:hint="eastAsia" w:ascii="宋体" w:hAnsi="宋体" w:cs="宋体"/>
          <w:color w:val="auto"/>
          <w:highlight w:val="none"/>
        </w:rPr>
        <w:t xml:space="preserve">注：</w:t>
      </w:r>
      <w:r/>
    </w:p>
    <w:p>
      <w:pPr>
        <w:ind w:firstLine="420"/>
        <w:rPr>
          <w:rFonts w:hint="eastAsia" w:ascii="宋体" w:hAnsi="宋体" w:cs="宋体"/>
          <w:color w:val="auto"/>
          <w:highlight w:val="none"/>
        </w:rPr>
      </w:pPr>
      <w:r>
        <w:rPr>
          <w:rFonts w:hint="eastAsia" w:ascii="宋体" w:hAnsi="宋体" w:cs="宋体"/>
          <w:color w:val="auto"/>
          <w:highlight w:val="none"/>
        </w:rPr>
        <w:t xml:space="preserve">1.本表即为对本采购文件中提出的技术需求进行比较和响应，技术需求主要包含配置及技术参数</w:t>
      </w:r>
      <w:r>
        <w:rPr>
          <w:rFonts w:ascii="宋体" w:hAnsi="宋体" w:cs="宋体"/>
          <w:color w:val="auto"/>
          <w:highlight w:val="none"/>
        </w:rPr>
        <w:t xml:space="preserve">等内容</w:t>
      </w:r>
      <w:r>
        <w:rPr>
          <w:rFonts w:hint="eastAsia" w:ascii="宋体" w:hAnsi="宋体" w:cs="宋体"/>
          <w:color w:val="auto"/>
          <w:highlight w:val="none"/>
        </w:rPr>
        <w:t xml:space="preserve">。</w:t>
      </w:r>
      <w:r/>
    </w:p>
    <w:p>
      <w:pPr>
        <w:ind w:firstLine="315"/>
        <w:rPr>
          <w:rFonts w:hint="eastAsia" w:ascii="宋体" w:hAnsi="宋体" w:cs="宋体"/>
          <w:color w:val="auto"/>
          <w:highlight w:val="none"/>
        </w:rPr>
      </w:pPr>
      <w:r>
        <w:rPr>
          <w:rFonts w:hint="eastAsia" w:ascii="宋体" w:hAnsi="宋体" w:cs="宋体"/>
          <w:color w:val="auto"/>
          <w:highlight w:val="none"/>
        </w:rPr>
        <w:t xml:space="preserve">2.该表必须按照竞争性磋商要求如实填写，根据响应情况在“偏离说明”项填写正偏离或负偏离及原因，完全符合的填写“无偏离”。</w:t>
      </w:r>
      <w:r/>
    </w:p>
    <w:p>
      <w:pPr>
        <w:ind w:firstLine="315"/>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针对第四章项目需求中明确要求提供技术支撑证明材料的技术参数，须配套提交对应证明材料，证明材料按本表参数顺序整理排序，格式自拟</w:t>
      </w:r>
      <w:r>
        <w:rPr>
          <w:rFonts w:hint="eastAsia" w:ascii="宋体" w:hAnsi="宋体" w:cs="宋体"/>
          <w:color w:val="auto"/>
          <w:highlight w:val="none"/>
        </w:rPr>
        <w:t xml:space="preserve">。</w:t>
      </w:r>
      <w:r/>
    </w:p>
    <w:p>
      <w:pPr>
        <w:ind w:firstLine="315"/>
        <w:rPr>
          <w:rFonts w:hint="eastAsia" w:ascii="宋体" w:hAnsi="宋体" w:cs="宋体"/>
          <w:color w:val="auto"/>
          <w:highlight w:val="none"/>
        </w:rPr>
      </w:pPr>
      <w:r>
        <w:rPr>
          <w:rFonts w:hint="eastAsia" w:ascii="宋体" w:hAnsi="宋体" w:cs="宋体"/>
          <w:color w:val="auto"/>
          <w:highlight w:val="none"/>
        </w:rPr>
        <w:t xml:space="preserve">4.</w:t>
      </w:r>
      <w:r>
        <w:rPr>
          <w:color w:val="auto"/>
          <w:highlight w:val="none"/>
        </w:rPr>
        <w:t xml:space="preserve">第四章项目需求内，未要求提供技术支撑证明材料的参数，</w:t>
      </w:r>
      <w:r>
        <w:rPr>
          <w:b/>
          <w:bCs/>
          <w:color w:val="auto"/>
          <w:highlight w:val="none"/>
        </w:rPr>
        <w:t xml:space="preserve">如存在</w:t>
      </w:r>
      <w:r>
        <w:rPr>
          <w:rFonts w:hint="eastAsia"/>
          <w:b/>
          <w:bCs/>
          <w:color w:val="auto"/>
          <w:highlight w:val="none"/>
        </w:rPr>
        <w:t xml:space="preserve">正偏离或</w:t>
      </w:r>
      <w:r>
        <w:rPr>
          <w:b/>
          <w:bCs/>
          <w:color w:val="auto"/>
          <w:highlight w:val="none"/>
        </w:rPr>
        <w:t xml:space="preserve">负偏离，必须在本表偏离表中列明并说明原因</w:t>
      </w:r>
      <w:r>
        <w:rPr>
          <w:color w:val="auto"/>
          <w:highlight w:val="none"/>
        </w:rPr>
        <w:t xml:space="preserve">；无</w:t>
      </w:r>
      <w:r>
        <w:rPr>
          <w:rFonts w:hint="eastAsia"/>
          <w:color w:val="auto"/>
          <w:highlight w:val="none"/>
        </w:rPr>
        <w:t xml:space="preserve">正偏离或</w:t>
      </w:r>
      <w:r>
        <w:rPr>
          <w:color w:val="auto"/>
          <w:highlight w:val="none"/>
        </w:rPr>
        <w:t xml:space="preserve">负偏离的，该类参数无需逐项填报</w:t>
      </w:r>
      <w:r>
        <w:rPr>
          <w:rFonts w:hint="eastAsia" w:ascii="宋体" w:hAnsi="宋体" w:cs="宋体"/>
          <w:color w:val="auto"/>
          <w:highlight w:val="none"/>
        </w:rPr>
        <w:t xml:space="preserve">。</w:t>
      </w:r>
      <w:r/>
    </w:p>
    <w:p>
      <w:pPr>
        <w:ind w:firstLine="315"/>
        <w:rPr>
          <w:rFonts w:hint="eastAsia" w:ascii="宋体" w:hAnsi="宋体" w:cs="宋体"/>
          <w:color w:val="auto"/>
          <w:highlight w:val="none"/>
        </w:rPr>
      </w:pPr>
      <w:r>
        <w:rPr>
          <w:rFonts w:hint="eastAsia" w:ascii="宋体" w:hAnsi="宋体" w:cs="宋体"/>
          <w:color w:val="auto"/>
          <w:highlight w:val="none"/>
        </w:rPr>
        <w:t xml:space="preserve">5.该表可扩展，并逐页签字或盖章。</w:t>
      </w:r>
      <w:r/>
    </w:p>
    <w:p>
      <w:pPr>
        <w:rPr>
          <w:rFonts w:hint="eastAsia" w:ascii="宋体" w:hAnsi="宋体" w:cs="宋体"/>
          <w:color w:val="auto"/>
          <w:highlight w:val="none"/>
        </w:rPr>
      </w:pPr>
      <w:r>
        <w:rPr>
          <w:rFonts w:hint="eastAsia" w:ascii="宋体" w:hAnsi="宋体" w:cs="宋体"/>
          <w:color w:val="auto"/>
          <w:highlight w:val="none"/>
        </w:rPr>
      </w:r>
      <w:r/>
    </w:p>
    <w:p>
      <w:pPr>
        <w:ind w:firstLine="420"/>
        <w:rPr>
          <w:rFonts w:hint="eastAsia" w:ascii="宋体" w:hAnsi="宋体" w:cs="宋体"/>
          <w:color w:val="auto"/>
          <w:highlight w:val="none"/>
        </w:rPr>
      </w:pPr>
      <w:r>
        <w:rPr>
          <w:rFonts w:hint="eastAsia" w:ascii="宋体" w:hAnsi="宋体" w:cs="宋体"/>
          <w:bCs/>
          <w:color w:val="auto"/>
          <w:highlight w:val="none"/>
        </w:rPr>
        <w:t xml:space="preserve">供应商</w:t>
      </w:r>
      <w:r>
        <w:rPr>
          <w:rFonts w:hint="eastAsia" w:ascii="宋体" w:hAnsi="宋体" w:cs="宋体"/>
          <w:color w:val="auto"/>
          <w:highlight w:val="none"/>
        </w:rPr>
        <w:t xml:space="preserve">（加盖CA电子章）：</w:t>
      </w:r>
      <w:r/>
    </w:p>
    <w:p>
      <w:pPr>
        <w:ind w:firstLine="420"/>
        <w:rPr>
          <w:rFonts w:hint="eastAsia" w:ascii="宋体" w:hAnsi="宋体" w:cs="宋体"/>
          <w:color w:val="auto"/>
          <w:highlight w:val="none"/>
        </w:rPr>
      </w:pPr>
      <w:r>
        <w:rPr>
          <w:rFonts w:hint="eastAsia" w:ascii="宋体" w:hAnsi="宋体" w:cs="宋体"/>
          <w:color w:val="auto"/>
          <w:highlight w:val="none"/>
        </w:rPr>
        <w:t xml:space="preserve">法定代表人或授权代表（签字或盖章）：</w:t>
      </w:r>
      <w:r/>
    </w:p>
    <w:p>
      <w:pPr>
        <w:ind w:firstLine="420"/>
        <w:rPr>
          <w:rFonts w:hint="eastAsia" w:ascii="宋体" w:hAnsi="宋体" w:cs="宋体"/>
          <w:color w:val="auto"/>
          <w:highlight w:val="none"/>
        </w:rPr>
      </w:pPr>
      <w:r>
        <w:rPr>
          <w:rFonts w:hint="eastAsia" w:ascii="宋体" w:hAnsi="宋体" w:cs="宋体"/>
          <w:color w:val="auto"/>
          <w:highlight w:val="none"/>
        </w:rPr>
        <w:t xml:space="preserve">日期：  年  月  日</w:t>
      </w:r>
      <w:r/>
    </w:p>
    <w:p>
      <w:pPr>
        <w:rPr>
          <w:rFonts w:hint="eastAsia" w:ascii="宋体" w:hAnsi="宋体" w:cs="宋体"/>
          <w:b/>
          <w:bCs/>
          <w:color w:val="auto"/>
          <w:highlight w:val="none"/>
        </w:rPr>
      </w:pPr>
      <w:r>
        <w:rPr>
          <w:rFonts w:hint="eastAsia" w:ascii="宋体" w:hAnsi="宋体" w:cs="宋体"/>
          <w:b/>
          <w:bCs/>
          <w:color w:val="auto"/>
          <w:highlight w:val="none"/>
        </w:rPr>
      </w:r>
      <w:r/>
    </w:p>
    <w:sectPr>
      <w:footerReference w:type="default" r:id="rId14"/>
      <w:footnotePr/>
      <w:endnotePr/>
      <w:type w:val="nextPage"/>
      <w:pgSz w:w="11906" w:h="16838" w:orient="portrait"/>
      <w:pgMar w:top="1440" w:right="1587" w:bottom="1440"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楷体">
    <w:panose1 w:val="02010600040101010101"/>
  </w:font>
  <w:font w:name="Tahoma">
    <w:panose1 w:val="020B0604030504040204"/>
  </w:font>
  <w:font w:name="Calibri">
    <w:panose1 w:val="020F0502020204030204"/>
  </w:font>
  <w:font w:name="仿宋">
    <w:panose1 w:val="02010609060101010101"/>
  </w:font>
  <w:font w:name="Adobe 仿宋 Std R">
    <w:panose1 w:val="020B0503020202020204"/>
  </w:font>
  <w:font w:name="方正黑体_GBK">
    <w:panose1 w:val="020B0503020202020204"/>
  </w:font>
  <w:font w:name="Cambria">
    <w:panose1 w:val="0204050305040603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490" w:leader="none"/>
        <w:tab w:val="clear" w:pos="7143" w:leader="none"/>
      </w:tabs>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57726954"/>
      <w:docPartObj>
        <w:docPartGallery w:val="autotext"/>
      </w:docPartObj>
      <w:rPr/>
    </w:sdtPr>
    <w:sdtContent>
      <w:p>
        <w:pPr>
          <w:pStyle w:val="76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64"/>
      <w:tabs>
        <w:tab w:val="center" w:pos="4490" w:leader="none"/>
        <w:tab w:val="clear" w:pos="7143"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2772410</wp:posOffset>
              </wp:positionH>
              <wp:positionV relativeFrom="paragraph">
                <wp:posOffset>10795</wp:posOffset>
              </wp:positionV>
              <wp:extent cx="187325" cy="187325"/>
              <wp:effectExtent l="0" t="0"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7570" cy="187570"/>
                      </a:xfrm>
                      <a:prstGeom prst="rect">
                        <a:avLst/>
                      </a:prstGeom>
                      <a:noFill/>
                      <a:ln w="6350">
                        <a:noFill/>
                      </a:ln>
                    </wps:spPr>
                    <wps:txbx>
                      <w:txbxContent>
                        <w:p>
                          <w:pPr>
                            <w:pStyle w:val="982"/>
                          </w:pPr>
                          <w:r>
                            <w:fldChar w:fldCharType="begin"/>
                          </w:r>
                          <w:r>
                            <w:instrText xml:space="preserve"> PAGE  \* MERGEFORMAT </w:instrText>
                          </w:r>
                          <w:r>
                            <w:fldChar w:fldCharType="separate"/>
                          </w:r>
                          <w:r>
                            <w:t xml:space="preserve">5</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18.3pt;mso-position-horizontal:absolute;mso-position-vertical-relative:text;margin-top:0.8pt;mso-position-vertical:absolute;width:14.8pt;height:14.8pt;mso-wrap-distance-left:9.0pt;mso-wrap-distance-top:0.0pt;mso-wrap-distance-right:9.0pt;mso-wrap-distance-bottom:0.0pt;visibility:visible;" filled="f" stroked="f" strokeweight="0.50pt">
              <v:textbox inset="0,0,0,0">
                <w:txbxContent>
                  <w:p>
                    <w:pPr>
                      <w:pStyle w:val="982"/>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default="1">
    <w:name w:val="Normal"/>
    <w:uiPriority w:val="0"/>
    <w:qFormat/>
    <w:pPr>
      <w:jc w:val="both"/>
      <w:spacing w:line="360" w:lineRule="auto"/>
      <w:widowControl w:val="off"/>
    </w:pPr>
    <w:rPr>
      <w:rFonts w:hint="default" w:ascii="Times New Roman" w:hAnsi="Times New Roman" w:eastAsia="宋体" w:cs="Times New Roman"/>
      <w:sz w:val="21"/>
      <w:szCs w:val="24"/>
    </w:rPr>
  </w:style>
  <w:style w:type="paragraph" w:styleId="743">
    <w:name w:val="Heading 1"/>
    <w:basedOn w:val="742"/>
    <w:next w:val="742"/>
    <w:link w:val="842"/>
    <w:uiPriority w:val="9"/>
    <w:qFormat/>
    <w:pPr>
      <w:keepLines/>
      <w:keepNext/>
      <w:spacing w:before="480" w:after="200"/>
      <w:outlineLvl w:val="0"/>
    </w:pPr>
    <w:rPr>
      <w:rFonts w:ascii="Arial" w:hAnsi="Arial" w:eastAsia="Arial" w:cs="Arial"/>
      <w:sz w:val="40"/>
      <w:szCs w:val="40"/>
    </w:rPr>
  </w:style>
  <w:style w:type="paragraph" w:styleId="744">
    <w:name w:val="Heading 2"/>
    <w:basedOn w:val="742"/>
    <w:next w:val="742"/>
    <w:link w:val="843"/>
    <w:uiPriority w:val="9"/>
    <w:unhideWhenUsed/>
    <w:qFormat/>
    <w:pPr>
      <w:keepLines/>
      <w:keepNext/>
      <w:spacing w:before="360" w:after="200"/>
      <w:outlineLvl w:val="1"/>
    </w:pPr>
    <w:rPr>
      <w:rFonts w:ascii="Arial" w:hAnsi="Arial" w:eastAsia="Arial" w:cs="Arial"/>
      <w:sz w:val="34"/>
    </w:rPr>
  </w:style>
  <w:style w:type="paragraph" w:styleId="745">
    <w:name w:val="Heading 3"/>
    <w:basedOn w:val="742"/>
    <w:next w:val="742"/>
    <w:link w:val="804"/>
    <w:uiPriority w:val="9"/>
    <w:unhideWhenUsed/>
    <w:qFormat/>
    <w:pPr>
      <w:keepLines/>
      <w:keepNext/>
      <w:spacing w:before="320" w:after="200"/>
      <w:outlineLvl w:val="2"/>
    </w:pPr>
    <w:rPr>
      <w:rFonts w:ascii="Arial" w:hAnsi="Arial" w:eastAsia="Arial" w:cs="Arial"/>
      <w:sz w:val="30"/>
      <w:szCs w:val="30"/>
    </w:rPr>
  </w:style>
  <w:style w:type="paragraph" w:styleId="746">
    <w:name w:val="Heading 4"/>
    <w:basedOn w:val="742"/>
    <w:next w:val="742"/>
    <w:link w:val="844"/>
    <w:uiPriority w:val="9"/>
    <w:unhideWhenUsed/>
    <w:qFormat/>
    <w:pPr>
      <w:keepLines/>
      <w:keepNext/>
      <w:spacing w:before="320" w:after="200"/>
      <w:outlineLvl w:val="3"/>
    </w:pPr>
    <w:rPr>
      <w:rFonts w:ascii="Arial" w:hAnsi="Arial" w:eastAsia="Arial" w:cs="Arial"/>
      <w:b/>
      <w:bCs/>
      <w:sz w:val="26"/>
      <w:szCs w:val="26"/>
    </w:rPr>
  </w:style>
  <w:style w:type="paragraph" w:styleId="747">
    <w:name w:val="Heading 5"/>
    <w:basedOn w:val="742"/>
    <w:next w:val="742"/>
    <w:link w:val="845"/>
    <w:uiPriority w:val="9"/>
    <w:unhideWhenUsed/>
    <w:qFormat/>
    <w:pPr>
      <w:keepLines/>
      <w:keepNext/>
      <w:spacing w:before="320" w:after="200"/>
      <w:outlineLvl w:val="4"/>
    </w:pPr>
    <w:rPr>
      <w:rFonts w:ascii="Arial" w:hAnsi="Arial" w:eastAsia="Arial" w:cs="Arial"/>
      <w:b/>
      <w:bCs/>
      <w:sz w:val="24"/>
    </w:rPr>
  </w:style>
  <w:style w:type="paragraph" w:styleId="748">
    <w:name w:val="Heading 6"/>
    <w:basedOn w:val="742"/>
    <w:next w:val="742"/>
    <w:link w:val="846"/>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42"/>
    <w:next w:val="742"/>
    <w:link w:val="847"/>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42"/>
    <w:next w:val="742"/>
    <w:link w:val="848"/>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42"/>
    <w:next w:val="742"/>
    <w:link w:val="849"/>
    <w:uiPriority w:val="9"/>
    <w:unhideWhenUsed/>
    <w:qFormat/>
    <w:pPr>
      <w:keepLines/>
      <w:keepNext/>
      <w:spacing w:before="320" w:after="200"/>
      <w:outlineLvl w:val="8"/>
    </w:pPr>
    <w:rPr>
      <w:rFonts w:ascii="Arial" w:hAnsi="Arial" w:eastAsia="Arial" w:cs="Arial"/>
      <w:i/>
      <w:iCs/>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toc 7"/>
    <w:basedOn w:val="742"/>
    <w:next w:val="742"/>
    <w:uiPriority w:val="39"/>
    <w:unhideWhenUsed/>
    <w:qFormat/>
    <w:pPr>
      <w:ind w:left="1701"/>
      <w:spacing w:after="57"/>
    </w:pPr>
  </w:style>
  <w:style w:type="paragraph" w:styleId="755">
    <w:name w:val="Normal Indent"/>
    <w:basedOn w:val="742"/>
    <w:next w:val="742"/>
    <w:link w:val="1019"/>
    <w:uiPriority w:val="0"/>
    <w:qFormat/>
    <w:pPr>
      <w:ind w:firstLine="420"/>
      <w:spacing w:line="240" w:lineRule="auto"/>
    </w:pPr>
    <w:rPr>
      <w:szCs w:val="20"/>
    </w:rPr>
  </w:style>
  <w:style w:type="paragraph" w:styleId="756">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7">
    <w:name w:val="annotation text"/>
    <w:basedOn w:val="742"/>
    <w:link w:val="1027"/>
    <w:uiPriority w:val="0"/>
    <w:qFormat/>
    <w:pPr>
      <w:jc w:val="left"/>
    </w:pPr>
  </w:style>
  <w:style w:type="paragraph" w:styleId="758">
    <w:name w:val="Body Text"/>
    <w:basedOn w:val="742"/>
    <w:uiPriority w:val="0"/>
    <w:qFormat/>
    <w:pPr>
      <w:spacing w:after="120"/>
    </w:pPr>
  </w:style>
  <w:style w:type="paragraph" w:styleId="759">
    <w:name w:val="index 4"/>
    <w:basedOn w:val="742"/>
    <w:next w:val="742"/>
    <w:uiPriority w:val="99"/>
    <w:qFormat/>
    <w:pPr>
      <w:ind w:left="1260"/>
    </w:pPr>
  </w:style>
  <w:style w:type="paragraph" w:styleId="760">
    <w:name w:val="toc 5"/>
    <w:basedOn w:val="742"/>
    <w:next w:val="742"/>
    <w:uiPriority w:val="39"/>
    <w:unhideWhenUsed/>
    <w:qFormat/>
    <w:pPr>
      <w:ind w:left="1134"/>
      <w:spacing w:after="57"/>
    </w:pPr>
  </w:style>
  <w:style w:type="paragraph" w:styleId="761">
    <w:name w:val="toc 3"/>
    <w:basedOn w:val="742"/>
    <w:next w:val="742"/>
    <w:uiPriority w:val="39"/>
    <w:unhideWhenUsed/>
    <w:qFormat/>
    <w:pPr>
      <w:ind w:left="567"/>
      <w:spacing w:after="57"/>
    </w:pPr>
  </w:style>
  <w:style w:type="paragraph" w:styleId="762">
    <w:name w:val="toc 8"/>
    <w:basedOn w:val="742"/>
    <w:next w:val="742"/>
    <w:uiPriority w:val="39"/>
    <w:unhideWhenUsed/>
    <w:qFormat/>
    <w:pPr>
      <w:ind w:left="1984"/>
      <w:spacing w:after="57"/>
    </w:pPr>
  </w:style>
  <w:style w:type="paragraph" w:styleId="763">
    <w:name w:val="endnote text"/>
    <w:basedOn w:val="742"/>
    <w:link w:val="968"/>
    <w:uiPriority w:val="99"/>
    <w:semiHidden/>
    <w:unhideWhenUsed/>
    <w:qFormat/>
    <w:pPr>
      <w:spacing w:line="240" w:lineRule="auto"/>
    </w:pPr>
    <w:rPr>
      <w:sz w:val="20"/>
    </w:rPr>
  </w:style>
  <w:style w:type="paragraph" w:styleId="764">
    <w:name w:val="Footer"/>
    <w:basedOn w:val="742"/>
    <w:link w:val="860"/>
    <w:uiPriority w:val="99"/>
    <w:unhideWhenUsed/>
    <w:qFormat/>
    <w:pPr>
      <w:spacing w:line="240" w:lineRule="auto"/>
      <w:tabs>
        <w:tab w:val="center" w:pos="7143" w:leader="none"/>
        <w:tab w:val="right" w:pos="14287" w:leader="none"/>
      </w:tabs>
    </w:pPr>
  </w:style>
  <w:style w:type="paragraph" w:styleId="765">
    <w:name w:val="Header"/>
    <w:basedOn w:val="742"/>
    <w:link w:val="858"/>
    <w:uiPriority w:val="99"/>
    <w:unhideWhenUsed/>
    <w:qFormat/>
    <w:pPr>
      <w:spacing w:line="240" w:lineRule="auto"/>
      <w:tabs>
        <w:tab w:val="center" w:pos="7143" w:leader="none"/>
        <w:tab w:val="right" w:pos="14287" w:leader="none"/>
      </w:tabs>
    </w:pPr>
  </w:style>
  <w:style w:type="paragraph" w:styleId="766">
    <w:name w:val="toc 1"/>
    <w:basedOn w:val="742"/>
    <w:next w:val="742"/>
    <w:uiPriority w:val="39"/>
    <w:unhideWhenUsed/>
    <w:qFormat/>
    <w:pPr>
      <w:spacing w:after="57"/>
    </w:pPr>
  </w:style>
  <w:style w:type="paragraph" w:styleId="767">
    <w:name w:val="toc 4"/>
    <w:basedOn w:val="742"/>
    <w:next w:val="742"/>
    <w:uiPriority w:val="39"/>
    <w:unhideWhenUsed/>
    <w:qFormat/>
    <w:pPr>
      <w:ind w:left="850"/>
      <w:spacing w:after="57"/>
    </w:pPr>
  </w:style>
  <w:style w:type="paragraph" w:styleId="768">
    <w:name w:val="Subtitle"/>
    <w:basedOn w:val="742"/>
    <w:next w:val="742"/>
    <w:link w:val="853"/>
    <w:uiPriority w:val="11"/>
    <w:qFormat/>
    <w:pPr>
      <w:spacing w:before="200" w:after="200"/>
    </w:pPr>
    <w:rPr>
      <w:sz w:val="24"/>
    </w:rPr>
  </w:style>
  <w:style w:type="paragraph" w:styleId="769">
    <w:name w:val="footnote text"/>
    <w:basedOn w:val="742"/>
    <w:link w:val="967"/>
    <w:uiPriority w:val="99"/>
    <w:semiHidden/>
    <w:unhideWhenUsed/>
    <w:qFormat/>
    <w:pPr>
      <w:spacing w:after="40" w:line="240" w:lineRule="auto"/>
    </w:pPr>
    <w:rPr>
      <w:sz w:val="18"/>
    </w:rPr>
  </w:style>
  <w:style w:type="paragraph" w:styleId="770">
    <w:name w:val="toc 6"/>
    <w:basedOn w:val="742"/>
    <w:next w:val="742"/>
    <w:uiPriority w:val="39"/>
    <w:unhideWhenUsed/>
    <w:qFormat/>
    <w:pPr>
      <w:ind w:left="1417"/>
      <w:spacing w:after="57"/>
    </w:pPr>
  </w:style>
  <w:style w:type="paragraph" w:styleId="771">
    <w:name w:val="table of figures"/>
    <w:basedOn w:val="742"/>
    <w:next w:val="742"/>
    <w:uiPriority w:val="99"/>
    <w:unhideWhenUsed/>
    <w:qFormat/>
  </w:style>
  <w:style w:type="paragraph" w:styleId="772">
    <w:name w:val="toc 2"/>
    <w:basedOn w:val="742"/>
    <w:next w:val="742"/>
    <w:uiPriority w:val="39"/>
    <w:unhideWhenUsed/>
    <w:qFormat/>
    <w:pPr>
      <w:ind w:left="283"/>
      <w:spacing w:after="57"/>
    </w:pPr>
  </w:style>
  <w:style w:type="paragraph" w:styleId="773">
    <w:name w:val="toc 9"/>
    <w:basedOn w:val="742"/>
    <w:next w:val="742"/>
    <w:uiPriority w:val="39"/>
    <w:unhideWhenUsed/>
    <w:qFormat/>
    <w:pPr>
      <w:ind w:left="2268"/>
      <w:spacing w:after="57"/>
    </w:pPr>
  </w:style>
  <w:style w:type="paragraph" w:styleId="774">
    <w:name w:val="Body Text 2"/>
    <w:uiPriority w:val="0"/>
    <w:qFormat/>
    <w:pPr>
      <w:spacing w:after="120" w:line="480" w:lineRule="auto"/>
    </w:pPr>
    <w:rPr>
      <w:rFonts w:hint="default" w:ascii="Arial" w:hAnsi="Arial" w:eastAsia="Arial" w:cs="Arial"/>
      <w:color w:val="000000"/>
      <w:sz w:val="21"/>
      <w:szCs w:val="21"/>
      <w:lang w:eastAsia="en-US"/>
    </w:rPr>
  </w:style>
  <w:style w:type="paragraph" w:styleId="775">
    <w:name w:val="HTML Preformatted"/>
    <w:basedOn w:val="742"/>
    <w:link w:val="1020"/>
    <w:uiPriority w:val="99"/>
    <w:semiHidden/>
    <w:unhideWhenUsed/>
    <w:qFormat/>
    <w:rPr>
      <w:rFonts w:ascii="Courier New" w:hAnsi="Courier New" w:cs="Courier New"/>
      <w:sz w:val="20"/>
      <w:szCs w:val="20"/>
    </w:rPr>
  </w:style>
  <w:style w:type="paragraph" w:styleId="776">
    <w:name w:val="Title"/>
    <w:basedOn w:val="742"/>
    <w:next w:val="742"/>
    <w:link w:val="852"/>
    <w:uiPriority w:val="10"/>
    <w:qFormat/>
    <w:pPr>
      <w:contextualSpacing/>
      <w:spacing w:before="300" w:after="200"/>
    </w:pPr>
    <w:rPr>
      <w:sz w:val="48"/>
      <w:szCs w:val="48"/>
    </w:rPr>
  </w:style>
  <w:style w:type="paragraph" w:styleId="777">
    <w:name w:val="annotation subject"/>
    <w:basedOn w:val="757"/>
    <w:next w:val="757"/>
    <w:link w:val="1028"/>
    <w:uiPriority w:val="99"/>
    <w:semiHidden/>
    <w:unhideWhenUsed/>
    <w:qFormat/>
    <w:rPr>
      <w:b/>
      <w:bCs/>
    </w:rPr>
  </w:style>
  <w:style w:type="paragraph" w:styleId="778">
    <w:name w:val="Body Text First Indent"/>
    <w:basedOn w:val="758"/>
    <w:uiPriority w:val="99"/>
    <w:unhideWhenUsed/>
    <w:qFormat/>
    <w:pPr>
      <w:ind w:firstLine="200"/>
    </w:pPr>
    <w:rPr>
      <w:rFonts w:ascii="仿宋_GB2312" w:eastAsia="仿宋_GB2312"/>
      <w:sz w:val="30"/>
      <w:szCs w:val="30"/>
    </w:rPr>
  </w:style>
  <w:style w:type="table" w:styleId="77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endnote reference"/>
    <w:uiPriority w:val="99"/>
    <w:semiHidden/>
    <w:unhideWhenUsed/>
    <w:qFormat/>
    <w:rPr>
      <w:vertAlign w:val="superscript"/>
    </w:rPr>
  </w:style>
  <w:style w:type="character" w:styleId="781">
    <w:name w:val="Hyperlink"/>
    <w:uiPriority w:val="99"/>
    <w:unhideWhenUsed/>
    <w:qFormat/>
    <w:rPr>
      <w:color w:val="0000ff" w:themeColor="hyperlink"/>
      <w:u w:val="single"/>
      <w14:textFill>
        <w14:solidFill>
          <w14:schemeClr w14:val="hlink"/>
        </w14:solidFill>
      </w14:textFill>
    </w:rPr>
  </w:style>
  <w:style w:type="character" w:styleId="782">
    <w:name w:val="annotation reference"/>
    <w:basedOn w:val="752"/>
    <w:uiPriority w:val="99"/>
    <w:semiHidden/>
    <w:unhideWhenUsed/>
    <w:qFormat/>
    <w:rPr>
      <w:sz w:val="21"/>
      <w:szCs w:val="21"/>
    </w:rPr>
  </w:style>
  <w:style w:type="character" w:styleId="783">
    <w:name w:val="footnote reference"/>
    <w:uiPriority w:val="99"/>
    <w:unhideWhenUsed/>
    <w:qFormat/>
    <w:rPr>
      <w:vertAlign w:val="superscript"/>
    </w:rPr>
  </w:style>
  <w:style w:type="table" w:styleId="784" w:customStyle="1">
    <w:name w:val="Plain Table 1"/>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2"/>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3"/>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basedOn w:val="7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5 Dark"/>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6 Colorful"/>
    <w:basedOn w:val="7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7 Colorful"/>
    <w:basedOn w:val="7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List Table 1 Light"/>
    <w:basedOn w:val="7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2"/>
    <w:basedOn w:val="7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3"/>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4"/>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5 Dark"/>
    <w:basedOn w:val="7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6 Colorful"/>
    <w:basedOn w:val="7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List Table 7 Colorful"/>
    <w:basedOn w:val="7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3" w:customStyle="1">
    <w:name w:val="TOC Heading"/>
    <w:uiPriority w:val="39"/>
    <w:unhideWhenUsed/>
    <w:qFormat/>
    <w:rPr>
      <w:rFonts w:hint="default" w:ascii="Times New Roman" w:hAnsi="Times New Roman" w:eastAsia="宋体" w:cs="Times New Roman"/>
    </w:rPr>
  </w:style>
  <w:style w:type="character" w:styleId="804" w:customStyle="1">
    <w:name w:val="标题 3 字符"/>
    <w:link w:val="745"/>
    <w:uiPriority w:val="9"/>
    <w:qFormat/>
    <w:rPr>
      <w:rFonts w:ascii="Arial" w:hAnsi="Arial" w:eastAsia="Arial" w:cs="Arial"/>
      <w:sz w:val="30"/>
      <w:szCs w:val="30"/>
    </w:rPr>
  </w:style>
  <w:style w:type="character" w:styleId="805" w:customStyle="1">
    <w:name w:val="Heading 1 Char"/>
    <w:basedOn w:val="752"/>
    <w:uiPriority w:val="9"/>
    <w:qFormat/>
    <w:rPr>
      <w:rFonts w:ascii="Arial" w:hAnsi="Arial" w:eastAsia="Arial" w:cs="Arial"/>
      <w:sz w:val="40"/>
      <w:szCs w:val="40"/>
    </w:rPr>
  </w:style>
  <w:style w:type="character" w:styleId="806" w:customStyle="1">
    <w:name w:val="Heading 2 Char"/>
    <w:basedOn w:val="752"/>
    <w:uiPriority w:val="9"/>
    <w:qFormat/>
    <w:rPr>
      <w:rFonts w:ascii="Arial" w:hAnsi="Arial" w:eastAsia="Arial" w:cs="Arial"/>
      <w:sz w:val="34"/>
    </w:rPr>
  </w:style>
  <w:style w:type="character" w:styleId="807" w:customStyle="1">
    <w:name w:val="Heading 3 Char"/>
    <w:basedOn w:val="752"/>
    <w:uiPriority w:val="9"/>
    <w:qFormat/>
    <w:rPr>
      <w:rFonts w:ascii="Arial" w:hAnsi="Arial" w:eastAsia="Arial" w:cs="Arial"/>
      <w:sz w:val="30"/>
      <w:szCs w:val="30"/>
    </w:rPr>
  </w:style>
  <w:style w:type="character" w:styleId="808" w:customStyle="1">
    <w:name w:val="Heading 4 Char"/>
    <w:basedOn w:val="752"/>
    <w:uiPriority w:val="9"/>
    <w:qFormat/>
    <w:rPr>
      <w:rFonts w:ascii="Arial" w:hAnsi="Arial" w:eastAsia="Arial" w:cs="Arial"/>
      <w:b/>
      <w:bCs/>
      <w:sz w:val="26"/>
      <w:szCs w:val="26"/>
    </w:rPr>
  </w:style>
  <w:style w:type="character" w:styleId="809" w:customStyle="1">
    <w:name w:val="Heading 5 Char"/>
    <w:basedOn w:val="752"/>
    <w:uiPriority w:val="9"/>
    <w:qFormat/>
    <w:rPr>
      <w:rFonts w:ascii="Arial" w:hAnsi="Arial" w:eastAsia="Arial" w:cs="Arial"/>
      <w:b/>
      <w:bCs/>
      <w:sz w:val="24"/>
      <w:szCs w:val="24"/>
    </w:rPr>
  </w:style>
  <w:style w:type="character" w:styleId="810" w:customStyle="1">
    <w:name w:val="Heading 6 Char"/>
    <w:basedOn w:val="752"/>
    <w:uiPriority w:val="9"/>
    <w:qFormat/>
    <w:rPr>
      <w:rFonts w:ascii="Arial" w:hAnsi="Arial" w:eastAsia="Arial" w:cs="Arial"/>
      <w:b/>
      <w:bCs/>
      <w:sz w:val="22"/>
      <w:szCs w:val="22"/>
    </w:rPr>
  </w:style>
  <w:style w:type="character" w:styleId="811" w:customStyle="1">
    <w:name w:val="Heading 7 Char"/>
    <w:basedOn w:val="752"/>
    <w:uiPriority w:val="9"/>
    <w:qFormat/>
    <w:rPr>
      <w:rFonts w:ascii="Arial" w:hAnsi="Arial" w:eastAsia="Arial" w:cs="Arial"/>
      <w:b/>
      <w:bCs/>
      <w:i/>
      <w:iCs/>
      <w:sz w:val="22"/>
      <w:szCs w:val="22"/>
    </w:rPr>
  </w:style>
  <w:style w:type="character" w:styleId="812" w:customStyle="1">
    <w:name w:val="Heading 8 Char"/>
    <w:basedOn w:val="752"/>
    <w:uiPriority w:val="9"/>
    <w:qFormat/>
    <w:rPr>
      <w:rFonts w:ascii="Arial" w:hAnsi="Arial" w:eastAsia="Arial" w:cs="Arial"/>
      <w:i/>
      <w:iCs/>
      <w:sz w:val="22"/>
      <w:szCs w:val="22"/>
    </w:rPr>
  </w:style>
  <w:style w:type="character" w:styleId="813" w:customStyle="1">
    <w:name w:val="Heading 9 Char"/>
    <w:basedOn w:val="752"/>
    <w:uiPriority w:val="9"/>
    <w:qFormat/>
    <w:rPr>
      <w:rFonts w:ascii="Arial" w:hAnsi="Arial" w:eastAsia="Arial" w:cs="Arial"/>
      <w:i/>
      <w:iCs/>
      <w:sz w:val="21"/>
      <w:szCs w:val="21"/>
    </w:rPr>
  </w:style>
  <w:style w:type="character" w:styleId="814" w:customStyle="1">
    <w:name w:val="Title Char"/>
    <w:basedOn w:val="752"/>
    <w:uiPriority w:val="10"/>
    <w:qFormat/>
    <w:rPr>
      <w:sz w:val="48"/>
      <w:szCs w:val="48"/>
    </w:rPr>
  </w:style>
  <w:style w:type="character" w:styleId="815" w:customStyle="1">
    <w:name w:val="Subtitle Char"/>
    <w:basedOn w:val="752"/>
    <w:uiPriority w:val="11"/>
    <w:qFormat/>
    <w:rPr>
      <w:sz w:val="24"/>
      <w:szCs w:val="24"/>
    </w:rPr>
  </w:style>
  <w:style w:type="character" w:styleId="816" w:customStyle="1">
    <w:name w:val="Quote Char"/>
    <w:uiPriority w:val="29"/>
    <w:qFormat/>
    <w:rPr>
      <w:i/>
    </w:rPr>
  </w:style>
  <w:style w:type="character" w:styleId="817" w:customStyle="1">
    <w:name w:val="Intense Quote Char"/>
    <w:uiPriority w:val="30"/>
    <w:qFormat/>
    <w:rPr>
      <w:i/>
    </w:rPr>
  </w:style>
  <w:style w:type="character" w:styleId="818" w:customStyle="1">
    <w:name w:val="Header Char"/>
    <w:basedOn w:val="752"/>
    <w:uiPriority w:val="99"/>
    <w:qFormat/>
  </w:style>
  <w:style w:type="character" w:styleId="819" w:customStyle="1">
    <w:name w:val="Caption Char"/>
    <w:uiPriority w:val="99"/>
    <w:qFormat/>
  </w:style>
  <w:style w:type="table" w:styleId="820" w:customStyle="1">
    <w:name w:val="无格式表格 11"/>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21"/>
    <w:basedOn w:val="7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31"/>
    <w:basedOn w:val="75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无格式表格 41"/>
    <w:basedOn w:val="75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无格式表格 51"/>
    <w:basedOn w:val="753"/>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网格表 1 浅色1"/>
    <w:basedOn w:val="7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网格表 2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网格表 3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网格表 41"/>
    <w:basedOn w:val="7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网格表 5 深色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网格表 6 彩色1"/>
    <w:basedOn w:val="7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1" w:customStyle="1">
    <w:name w:val="网格表 7 彩色1"/>
    <w:basedOn w:val="7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清单表 1 浅色1"/>
    <w:basedOn w:val="753"/>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清单表 21"/>
    <w:basedOn w:val="7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清单表 3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清单表 4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清单表 5 深色1"/>
    <w:basedOn w:val="7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清单表 6 彩色1"/>
    <w:basedOn w:val="753"/>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8" w:customStyle="1">
    <w:name w:val="清单表 7 彩色1"/>
    <w:basedOn w:val="753"/>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9" w:customStyle="1">
    <w:name w:val="Footnote Text Char"/>
    <w:uiPriority w:val="99"/>
    <w:qFormat/>
    <w:rPr>
      <w:sz w:val="18"/>
    </w:rPr>
  </w:style>
  <w:style w:type="character" w:styleId="840" w:customStyle="1">
    <w:name w:val="Endnote Text Char"/>
    <w:uiPriority w:val="99"/>
    <w:qFormat/>
    <w:rPr>
      <w:sz w:val="20"/>
    </w:rPr>
  </w:style>
  <w:style w:type="paragraph" w:styleId="841" w:customStyle="1">
    <w:name w:val="TOC 标题1"/>
    <w:uiPriority w:val="39"/>
    <w:unhideWhenUsed/>
    <w:qFormat/>
    <w:rPr>
      <w:rFonts w:hint="default" w:ascii="Times New Roman" w:hAnsi="Times New Roman" w:eastAsia="宋体" w:cs="Times New Roman"/>
    </w:rPr>
  </w:style>
  <w:style w:type="character" w:styleId="842" w:customStyle="1">
    <w:name w:val="标题 1 字符"/>
    <w:link w:val="743"/>
    <w:uiPriority w:val="9"/>
    <w:qFormat/>
    <w:rPr>
      <w:rFonts w:ascii="Arial" w:hAnsi="Arial" w:eastAsia="Arial" w:cs="Arial"/>
      <w:sz w:val="40"/>
      <w:szCs w:val="40"/>
    </w:rPr>
  </w:style>
  <w:style w:type="character" w:styleId="843" w:customStyle="1">
    <w:name w:val="标题 2 字符"/>
    <w:link w:val="744"/>
    <w:uiPriority w:val="9"/>
    <w:qFormat/>
    <w:rPr>
      <w:rFonts w:ascii="Arial" w:hAnsi="Arial" w:eastAsia="Arial" w:cs="Arial"/>
      <w:sz w:val="34"/>
    </w:rPr>
  </w:style>
  <w:style w:type="character" w:styleId="844" w:customStyle="1">
    <w:name w:val="标题 4 字符"/>
    <w:link w:val="746"/>
    <w:uiPriority w:val="9"/>
    <w:qFormat/>
    <w:rPr>
      <w:rFonts w:ascii="Arial" w:hAnsi="Arial" w:eastAsia="Arial" w:cs="Arial"/>
      <w:b/>
      <w:bCs/>
      <w:sz w:val="26"/>
      <w:szCs w:val="26"/>
    </w:rPr>
  </w:style>
  <w:style w:type="character" w:styleId="845" w:customStyle="1">
    <w:name w:val="标题 5 字符"/>
    <w:link w:val="747"/>
    <w:uiPriority w:val="9"/>
    <w:qFormat/>
    <w:rPr>
      <w:rFonts w:ascii="Arial" w:hAnsi="Arial" w:eastAsia="Arial" w:cs="Arial"/>
      <w:b/>
      <w:bCs/>
      <w:sz w:val="24"/>
      <w:szCs w:val="24"/>
    </w:rPr>
  </w:style>
  <w:style w:type="character" w:styleId="846" w:customStyle="1">
    <w:name w:val="标题 6 字符"/>
    <w:link w:val="748"/>
    <w:uiPriority w:val="9"/>
    <w:qFormat/>
    <w:rPr>
      <w:rFonts w:ascii="Arial" w:hAnsi="Arial" w:eastAsia="Arial" w:cs="Arial"/>
      <w:b/>
      <w:bCs/>
      <w:sz w:val="22"/>
      <w:szCs w:val="22"/>
    </w:rPr>
  </w:style>
  <w:style w:type="character" w:styleId="847" w:customStyle="1">
    <w:name w:val="标题 7 字符"/>
    <w:link w:val="749"/>
    <w:uiPriority w:val="9"/>
    <w:qFormat/>
    <w:rPr>
      <w:rFonts w:ascii="Arial" w:hAnsi="Arial" w:eastAsia="Arial" w:cs="Arial"/>
      <w:b/>
      <w:bCs/>
      <w:i/>
      <w:iCs/>
      <w:sz w:val="22"/>
      <w:szCs w:val="22"/>
    </w:rPr>
  </w:style>
  <w:style w:type="character" w:styleId="848" w:customStyle="1">
    <w:name w:val="标题 8 字符"/>
    <w:link w:val="750"/>
    <w:uiPriority w:val="9"/>
    <w:qFormat/>
    <w:rPr>
      <w:rFonts w:ascii="Arial" w:hAnsi="Arial" w:eastAsia="Arial" w:cs="Arial"/>
      <w:i/>
      <w:iCs/>
      <w:sz w:val="22"/>
      <w:szCs w:val="22"/>
    </w:rPr>
  </w:style>
  <w:style w:type="character" w:styleId="849" w:customStyle="1">
    <w:name w:val="标题 9 字符"/>
    <w:link w:val="751"/>
    <w:uiPriority w:val="9"/>
    <w:qFormat/>
    <w:rPr>
      <w:rFonts w:ascii="Arial" w:hAnsi="Arial" w:eastAsia="Arial" w:cs="Arial"/>
      <w:i/>
      <w:iCs/>
      <w:sz w:val="21"/>
      <w:szCs w:val="21"/>
    </w:rPr>
  </w:style>
  <w:style w:type="paragraph" w:styleId="850">
    <w:name w:val="List Paragraph"/>
    <w:basedOn w:val="742"/>
    <w:uiPriority w:val="34"/>
    <w:qFormat/>
    <w:pPr>
      <w:contextualSpacing/>
      <w:ind w:left="720"/>
    </w:pPr>
  </w:style>
  <w:style w:type="paragraph" w:styleId="851">
    <w:name w:val="No Spacing"/>
    <w:uiPriority w:val="1"/>
    <w:qFormat/>
    <w:rPr>
      <w:rFonts w:hint="default" w:ascii="Times New Roman" w:hAnsi="Times New Roman" w:eastAsia="宋体" w:cs="Times New Roman"/>
    </w:rPr>
  </w:style>
  <w:style w:type="character" w:styleId="852" w:customStyle="1">
    <w:name w:val="标题 字符"/>
    <w:link w:val="776"/>
    <w:uiPriority w:val="10"/>
    <w:qFormat/>
    <w:rPr>
      <w:sz w:val="48"/>
      <w:szCs w:val="48"/>
    </w:rPr>
  </w:style>
  <w:style w:type="character" w:styleId="853" w:customStyle="1">
    <w:name w:val="副标题 字符"/>
    <w:link w:val="768"/>
    <w:uiPriority w:val="11"/>
    <w:qFormat/>
    <w:rPr>
      <w:sz w:val="24"/>
      <w:szCs w:val="24"/>
    </w:rPr>
  </w:style>
  <w:style w:type="paragraph" w:styleId="854">
    <w:name w:val="Quote"/>
    <w:basedOn w:val="742"/>
    <w:next w:val="742"/>
    <w:link w:val="855"/>
    <w:uiPriority w:val="29"/>
    <w:qFormat/>
    <w:pPr>
      <w:ind w:left="720" w:right="720"/>
    </w:pPr>
    <w:rPr>
      <w:i/>
    </w:rPr>
  </w:style>
  <w:style w:type="character" w:styleId="855" w:customStyle="1">
    <w:name w:val="引用 字符"/>
    <w:link w:val="854"/>
    <w:uiPriority w:val="29"/>
    <w:qFormat/>
    <w:rPr>
      <w:i/>
    </w:rPr>
  </w:style>
  <w:style w:type="paragraph" w:styleId="856">
    <w:name w:val="Intense Quote"/>
    <w:basedOn w:val="742"/>
    <w:next w:val="742"/>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字符"/>
    <w:link w:val="856"/>
    <w:uiPriority w:val="30"/>
    <w:qFormat/>
    <w:rPr>
      <w:i/>
    </w:rPr>
  </w:style>
  <w:style w:type="character" w:styleId="858" w:customStyle="1">
    <w:name w:val="页眉 字符"/>
    <w:link w:val="765"/>
    <w:uiPriority w:val="99"/>
    <w:qFormat/>
  </w:style>
  <w:style w:type="character" w:styleId="859" w:customStyle="1">
    <w:name w:val="Footer Char"/>
    <w:uiPriority w:val="99"/>
    <w:qFormat/>
  </w:style>
  <w:style w:type="character" w:styleId="860" w:customStyle="1">
    <w:name w:val="页脚 字符"/>
    <w:link w:val="764"/>
    <w:uiPriority w:val="99"/>
    <w:qFormat/>
  </w:style>
  <w:style w:type="table" w:styleId="86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脚注文本 字符"/>
    <w:link w:val="769"/>
    <w:uiPriority w:val="99"/>
    <w:qFormat/>
    <w:rPr>
      <w:sz w:val="18"/>
    </w:rPr>
  </w:style>
  <w:style w:type="character" w:styleId="968" w:customStyle="1">
    <w:name w:val="尾注文本 字符"/>
    <w:link w:val="763"/>
    <w:uiPriority w:val="99"/>
    <w:qFormat/>
    <w:rPr>
      <w:sz w:val="20"/>
    </w:rPr>
  </w:style>
  <w:style w:type="paragraph" w:styleId="969" w:customStyle="1">
    <w:name w:val="TOC 标题11"/>
    <w:uiPriority w:val="39"/>
    <w:unhideWhenUsed/>
    <w:qFormat/>
    <w:rPr>
      <w:rFonts w:hint="default" w:ascii="Times New Roman" w:hAnsi="Times New Roman" w:eastAsia="宋体" w:cs="Times New Roman"/>
    </w:rPr>
  </w:style>
  <w:style w:type="paragraph" w:styleId="970" w:customStyle="1">
    <w:name w:val="标题 11"/>
    <w:basedOn w:val="742"/>
    <w:next w:val="742"/>
    <w:uiPriority w:val="0"/>
    <w:qFormat/>
    <w:pPr>
      <w:keepNext/>
      <w:outlineLvl w:val="0"/>
    </w:pPr>
    <w:rPr>
      <w:rFonts w:ascii="楷体_GB2312" w:eastAsia="楷体_GB2312"/>
      <w:sz w:val="28"/>
      <w:szCs w:val="20"/>
    </w:rPr>
  </w:style>
  <w:style w:type="paragraph" w:styleId="971" w:customStyle="1">
    <w:name w:val="标题 21"/>
    <w:basedOn w:val="742"/>
    <w:next w:val="742"/>
    <w:uiPriority w:val="0"/>
    <w:qFormat/>
    <w:pPr>
      <w:jc w:val="center"/>
      <w:keepLines/>
      <w:keepNext/>
      <w:spacing w:before="260" w:after="260" w:line="416" w:lineRule="auto"/>
      <w:outlineLvl w:val="1"/>
    </w:pPr>
    <w:rPr>
      <w:rFonts w:ascii="Arial" w:hAnsi="Arial" w:eastAsia="幼圆"/>
      <w:b/>
      <w:sz w:val="44"/>
      <w:szCs w:val="20"/>
    </w:rPr>
  </w:style>
  <w:style w:type="paragraph" w:styleId="972" w:customStyle="1">
    <w:name w:val="正文缩进1"/>
    <w:basedOn w:val="742"/>
    <w:next w:val="742"/>
    <w:uiPriority w:val="0"/>
    <w:qFormat/>
    <w:pPr>
      <w:ind w:firstLine="420"/>
    </w:pPr>
    <w:rPr>
      <w:szCs w:val="21"/>
    </w:rPr>
  </w:style>
  <w:style w:type="paragraph" w:styleId="973" w:customStyle="1">
    <w:name w:val="标题 41"/>
    <w:basedOn w:val="742"/>
    <w:next w:val="742"/>
    <w:uiPriority w:val="0"/>
    <w:qFormat/>
    <w:pPr>
      <w:keepLines/>
      <w:keepNext/>
      <w:spacing w:before="120" w:after="120"/>
      <w:outlineLvl w:val="3"/>
    </w:pPr>
    <w:rPr>
      <w:rFonts w:ascii="Arial" w:hAnsi="Arial" w:eastAsia="黑体"/>
      <w:b/>
      <w:sz w:val="28"/>
    </w:rPr>
  </w:style>
  <w:style w:type="character" w:styleId="974" w:customStyle="1">
    <w:name w:val="默认段落字体1"/>
    <w:uiPriority w:val="0"/>
    <w:semiHidden/>
    <w:qFormat/>
  </w:style>
  <w:style w:type="table" w:styleId="975" w:customStyle="1">
    <w:name w:val="普通表格1"/>
    <w:uiPriority w:val="0"/>
    <w:semiHidden/>
    <w:qFormat/>
    <w:tblPr>
      <w:tblCellMar>
        <w:left w:w="0" w:type="dxa"/>
        <w:top w:w="0" w:type="dxa"/>
        <w:right w:w="0" w:type="dxa"/>
        <w:bottom w:w="0" w:type="dxa"/>
      </w:tblCellMar>
    </w:tblPr>
  </w:style>
  <w:style w:type="paragraph" w:styleId="976" w:customStyle="1">
    <w:name w:val="批注文字1"/>
    <w:basedOn w:val="742"/>
    <w:uiPriority w:val="0"/>
    <w:qFormat/>
    <w:pPr>
      <w:jc w:val="left"/>
    </w:pPr>
  </w:style>
  <w:style w:type="paragraph" w:styleId="977" w:customStyle="1">
    <w:name w:val="正文文本1"/>
    <w:basedOn w:val="742"/>
    <w:uiPriority w:val="0"/>
    <w:qFormat/>
    <w:rPr>
      <w:rFonts w:ascii="楷体_GB2312" w:hAnsi="Arial" w:eastAsia="楷体_GB2312"/>
      <w:sz w:val="28"/>
      <w:szCs w:val="20"/>
    </w:rPr>
  </w:style>
  <w:style w:type="paragraph" w:styleId="978" w:customStyle="1">
    <w:name w:val="正文文本缩进1"/>
    <w:basedOn w:val="742"/>
    <w:uiPriority w:val="0"/>
    <w:qFormat/>
    <w:pPr>
      <w:ind w:firstLine="645"/>
    </w:pPr>
    <w:rPr>
      <w:rFonts w:ascii="楷体_GB2312" w:eastAsia="楷体_GB2312"/>
      <w:sz w:val="32"/>
      <w:szCs w:val="20"/>
    </w:rPr>
  </w:style>
  <w:style w:type="paragraph" w:styleId="979" w:customStyle="1">
    <w:name w:val="纯文本11"/>
    <w:basedOn w:val="742"/>
    <w:uiPriority w:val="0"/>
    <w:qFormat/>
    <w:rPr>
      <w:rFonts w:ascii="宋体" w:hAnsi="Courier New"/>
      <w:szCs w:val="21"/>
      <w:lang w:val="zh-CN"/>
    </w:rPr>
  </w:style>
  <w:style w:type="paragraph" w:styleId="980" w:customStyle="1">
    <w:name w:val="批注框文本1"/>
    <w:basedOn w:val="742"/>
    <w:link w:val="981"/>
    <w:uiPriority w:val="0"/>
    <w:qFormat/>
    <w:pPr>
      <w:spacing w:line="240" w:lineRule="auto"/>
    </w:pPr>
    <w:rPr>
      <w:sz w:val="18"/>
      <w:szCs w:val="18"/>
    </w:rPr>
  </w:style>
  <w:style w:type="character" w:styleId="981" w:customStyle="1">
    <w:name w:val="批注框文本 Char"/>
    <w:link w:val="980"/>
    <w:uiPriority w:val="0"/>
    <w:qFormat/>
    <w:rPr>
      <w:sz w:val="18"/>
      <w:szCs w:val="18"/>
    </w:rPr>
  </w:style>
  <w:style w:type="paragraph" w:styleId="982" w:customStyle="1">
    <w:name w:val="页脚1"/>
    <w:basedOn w:val="742"/>
    <w:uiPriority w:val="0"/>
    <w:qFormat/>
    <w:pPr>
      <w:jc w:val="left"/>
      <w:tabs>
        <w:tab w:val="center" w:pos="4153" w:leader="none"/>
        <w:tab w:val="right" w:pos="8306" w:leader="none"/>
      </w:tabs>
    </w:pPr>
    <w:rPr>
      <w:sz w:val="18"/>
      <w:szCs w:val="20"/>
    </w:rPr>
  </w:style>
  <w:style w:type="paragraph" w:styleId="983" w:customStyle="1">
    <w:name w:val="页眉1"/>
    <w:basedOn w:val="742"/>
    <w:uiPriority w:val="0"/>
    <w:qFormat/>
    <w:pPr>
      <w:jc w:val="center"/>
      <w:tabs>
        <w:tab w:val="center" w:pos="4153" w:leader="none"/>
        <w:tab w:val="right" w:pos="8306" w:leader="none"/>
      </w:tabs>
      <w:pBdr>
        <w:bottom w:val="single" w:color="000000" w:sz="6" w:space="1"/>
      </w:pBdr>
    </w:pPr>
    <w:rPr>
      <w:sz w:val="18"/>
      <w:szCs w:val="18"/>
    </w:rPr>
  </w:style>
  <w:style w:type="paragraph" w:styleId="984" w:customStyle="1">
    <w:name w:val="副标题1"/>
    <w:basedOn w:val="742"/>
    <w:next w:val="742"/>
    <w:uiPriority w:val="0"/>
    <w:qFormat/>
    <w:pPr>
      <w:jc w:val="center"/>
      <w:spacing w:before="240" w:after="60" w:line="312" w:lineRule="auto"/>
      <w:outlineLvl w:val="1"/>
    </w:pPr>
    <w:rPr>
      <w:rFonts w:ascii="Cambria" w:hAnsi="Cambria"/>
      <w:b/>
      <w:sz w:val="32"/>
    </w:rPr>
  </w:style>
  <w:style w:type="paragraph" w:styleId="985" w:customStyle="1">
    <w:name w:val="普通(网站)1"/>
    <w:basedOn w:val="742"/>
    <w:uiPriority w:val="0"/>
    <w:qFormat/>
    <w:pPr>
      <w:jc w:val="left"/>
      <w:spacing w:before="100" w:beforeAutospacing="1" w:after="100" w:afterAutospacing="1"/>
      <w:widowControl/>
    </w:pPr>
    <w:rPr>
      <w:rFonts w:ascii="宋体" w:hAnsi="宋体" w:cs="宋体"/>
      <w:sz w:val="24"/>
    </w:rPr>
  </w:style>
  <w:style w:type="paragraph" w:styleId="986" w:customStyle="1">
    <w:name w:val="正文首行缩进1"/>
    <w:basedOn w:val="977"/>
    <w:uiPriority w:val="0"/>
    <w:qFormat/>
    <w:pPr>
      <w:ind w:firstLine="420"/>
      <w:spacing w:after="120"/>
    </w:pPr>
    <w:rPr>
      <w:szCs w:val="24"/>
    </w:rPr>
  </w:style>
  <w:style w:type="paragraph" w:styleId="987" w:customStyle="1">
    <w:name w:val="正文首行缩进 21"/>
    <w:basedOn w:val="978"/>
    <w:uiPriority w:val="0"/>
    <w:semiHidden/>
    <w:qFormat/>
    <w:pPr>
      <w:ind w:firstLine="420"/>
    </w:pPr>
  </w:style>
  <w:style w:type="table" w:styleId="988" w:customStyle="1">
    <w:name w:val="网格型1"/>
    <w:basedOn w:val="975"/>
    <w:uiPriority w:val="0"/>
    <w:qFormat/>
    <w:pPr>
      <w:jc w:val="both"/>
      <w:widowControl w:val="off"/>
    </w:pPr>
    <w:tblPr/>
  </w:style>
  <w:style w:type="character" w:styleId="989" w:customStyle="1">
    <w:name w:val="页码1"/>
    <w:uiPriority w:val="0"/>
    <w:qFormat/>
    <w:rPr>
      <w:rFonts w:ascii="Times New Roman" w:hAnsi="Times New Roman" w:eastAsia="宋体"/>
    </w:rPr>
  </w:style>
  <w:style w:type="paragraph" w:styleId="990" w:customStyle="1">
    <w:name w:val="段"/>
    <w:next w:val="991"/>
    <w:uiPriority w:val="0"/>
    <w:qFormat/>
    <w:pPr>
      <w:ind w:firstLine="200"/>
      <w:jc w:val="both"/>
    </w:pPr>
    <w:rPr>
      <w:rFonts w:hint="default" w:ascii="宋体" w:hAnsi="Times New Roman" w:eastAsia="宋体" w:cs="Times New Roman"/>
      <w:sz w:val="21"/>
    </w:rPr>
  </w:style>
  <w:style w:type="paragraph" w:styleId="991" w:customStyle="1">
    <w:name w:val="正文11"/>
    <w:next w:val="990"/>
    <w:uiPriority w:val="0"/>
    <w:qFormat/>
    <w:pPr>
      <w:jc w:val="both"/>
      <w:widowControl w:val="off"/>
    </w:pPr>
    <w:rPr>
      <w:rFonts w:hint="default" w:ascii="Times New Roman" w:hAnsi="Times New Roman" w:eastAsia="宋体" w:cs="Times New Roman"/>
      <w:sz w:val="21"/>
      <w:szCs w:val="24"/>
    </w:rPr>
  </w:style>
  <w:style w:type="paragraph" w:styleId="992" w:customStyle="1">
    <w:name w:val="Default"/>
    <w:basedOn w:val="742"/>
    <w:uiPriority w:val="0"/>
    <w:qFormat/>
    <w:pPr>
      <w:jc w:val="left"/>
    </w:pPr>
    <w:rPr>
      <w:rFonts w:ascii="仿宋" w:hAnsi="仿宋" w:eastAsia="仿宋" w:cs="宋体"/>
      <w:color w:val="000000"/>
      <w:sz w:val="24"/>
    </w:rPr>
  </w:style>
  <w:style w:type="paragraph" w:styleId="993" w:customStyle="1">
    <w:name w:val="TOC 71"/>
    <w:basedOn w:val="742"/>
    <w:next w:val="742"/>
    <w:uiPriority w:val="0"/>
    <w:qFormat/>
    <w:pPr>
      <w:ind w:left="2550"/>
      <w:spacing w:before="100" w:beforeAutospacing="1" w:after="100" w:afterAutospacing="1"/>
      <w:widowControl/>
    </w:pPr>
    <w:rPr>
      <w:szCs w:val="21"/>
    </w:rPr>
  </w:style>
  <w:style w:type="paragraph" w:styleId="994" w:customStyle="1">
    <w:name w:val="普通正文"/>
    <w:basedOn w:val="742"/>
    <w:uiPriority w:val="0"/>
    <w:qFormat/>
    <w:pPr>
      <w:ind w:firstLine="480"/>
      <w:jc w:val="left"/>
      <w:spacing w:before="120" w:after="120"/>
    </w:pPr>
    <w:rPr>
      <w:rFonts w:ascii="Arial" w:hAnsi="Arial"/>
      <w:sz w:val="24"/>
    </w:rPr>
  </w:style>
  <w:style w:type="paragraph" w:styleId="995" w:customStyle="1">
    <w:name w:val="WPSOffice手动目录 1"/>
    <w:uiPriority w:val="0"/>
    <w:qFormat/>
    <w:rPr>
      <w:rFonts w:hint="default" w:ascii="Times New Roman" w:hAnsi="Times New Roman" w:eastAsia="宋体" w:cs="Times New Roman"/>
    </w:rPr>
  </w:style>
  <w:style w:type="paragraph" w:styleId="996" w:customStyle="1">
    <w:name w:val="List Paragraph1"/>
    <w:basedOn w:val="742"/>
    <w:uiPriority w:val="0"/>
    <w:qFormat/>
    <w:pPr>
      <w:ind w:firstLine="420"/>
    </w:pPr>
    <w:rPr>
      <w:szCs w:val="22"/>
    </w:rPr>
  </w:style>
  <w:style w:type="paragraph" w:styleId="997" w:customStyle="1">
    <w:name w:val="_Style 21"/>
    <w:basedOn w:val="742"/>
    <w:next w:val="996"/>
    <w:uiPriority w:val="0"/>
    <w:qFormat/>
    <w:pPr>
      <w:ind w:left="890" w:firstLine="420"/>
      <w:jc w:val="left"/>
    </w:pPr>
    <w:rPr>
      <w:rFonts w:ascii="Calibri" w:hAnsi="Calibri"/>
      <w:szCs w:val="22"/>
    </w:rPr>
  </w:style>
  <w:style w:type="paragraph" w:styleId="998" w:customStyle="1">
    <w:name w:val="列出段落1"/>
    <w:basedOn w:val="742"/>
    <w:uiPriority w:val="0"/>
    <w:qFormat/>
    <w:pPr>
      <w:ind w:firstLine="420"/>
    </w:pPr>
    <w:rPr>
      <w:rFonts w:ascii="Calibri" w:hAnsi="Calibri"/>
      <w:szCs w:val="22"/>
    </w:rPr>
  </w:style>
  <w:style w:type="paragraph" w:styleId="999" w:customStyle="1">
    <w:name w:val="正文空2格  1."/>
    <w:basedOn w:val="742"/>
    <w:uiPriority w:val="0"/>
    <w:qFormat/>
    <w:pPr>
      <w:ind w:firstLine="480"/>
    </w:pPr>
    <w:rPr>
      <w:rFonts w:cs="宋体"/>
      <w:sz w:val="28"/>
      <w:szCs w:val="20"/>
    </w:rPr>
  </w:style>
  <w:style w:type="paragraph" w:styleId="1000" w:customStyle="1">
    <w:name w:val="_Style 1"/>
    <w:uiPriority w:val="0"/>
    <w:qFormat/>
    <w:rPr>
      <w:rFonts w:hint="default" w:ascii="Tahoma" w:hAnsi="Tahoma" w:eastAsia="宋体" w:cs="Times New Roman"/>
      <w:sz w:val="22"/>
      <w:szCs w:val="22"/>
    </w:rPr>
  </w:style>
  <w:style w:type="paragraph" w:styleId="1001" w:customStyle="1">
    <w:name w:val="注释标题1"/>
    <w:basedOn w:val="742"/>
    <w:next w:val="742"/>
    <w:uiPriority w:val="0"/>
    <w:qFormat/>
    <w:rPr>
      <w:rFonts w:ascii="Verdana" w:hAnsi="Verdana"/>
      <w:szCs w:val="20"/>
    </w:rPr>
  </w:style>
  <w:style w:type="paragraph" w:styleId="1002" w:customStyle="1">
    <w:name w:val="纯文本1"/>
    <w:basedOn w:val="742"/>
    <w:uiPriority w:val="0"/>
    <w:qFormat/>
    <w:rPr>
      <w:rFonts w:ascii="宋体" w:hAnsi="Courier New" w:eastAsia="楷体_GB2312" w:cs="宋体"/>
      <w:sz w:val="28"/>
      <w:szCs w:val="21"/>
    </w:rPr>
  </w:style>
  <w:style w:type="paragraph" w:styleId="1003"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rPr>
  </w:style>
  <w:style w:type="paragraph" w:styleId="1004" w:customStyle="1">
    <w:name w:val="目录 11"/>
    <w:basedOn w:val="991"/>
    <w:next w:val="991"/>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1005" w:customStyle="1">
    <w:name w:val="Char"/>
    <w:basedOn w:val="742"/>
    <w:uiPriority w:val="0"/>
    <w:qFormat/>
    <w:pPr>
      <w:tabs>
        <w:tab w:val="left" w:pos="360" w:leader="none"/>
      </w:tabs>
    </w:pPr>
    <w:rPr>
      <w:sz w:val="24"/>
    </w:rPr>
  </w:style>
  <w:style w:type="character" w:styleId="1006" w:customStyle="1">
    <w:name w:val="font21"/>
    <w:uiPriority w:val="0"/>
    <w:qFormat/>
    <w:rPr>
      <w:rFonts w:hint="eastAsia" w:ascii="宋体" w:hAnsi="宋体" w:eastAsia="宋体" w:cs="宋体"/>
      <w:color w:val="ff0000"/>
      <w:sz w:val="22"/>
      <w:szCs w:val="22"/>
      <w:u w:val="none"/>
    </w:rPr>
  </w:style>
  <w:style w:type="paragraph" w:styleId="1007" w:customStyle="1">
    <w:name w:val="列出段落"/>
    <w:basedOn w:val="742"/>
    <w:uiPriority w:val="34"/>
    <w:qFormat/>
    <w:pPr>
      <w:ind w:firstLine="420"/>
    </w:pPr>
  </w:style>
  <w:style w:type="table" w:styleId="1008" w:customStyle="1">
    <w:name w:val="Table Normal"/>
    <w:uiPriority w:val="0"/>
    <w:unhideWhenUsed/>
    <w:qFormat/>
    <w:tblPr>
      <w:tblCellMar>
        <w:left w:w="0" w:type="dxa"/>
        <w:top w:w="0" w:type="dxa"/>
        <w:right w:w="0" w:type="dxa"/>
        <w:bottom w:w="0" w:type="dxa"/>
      </w:tblCellMar>
    </w:tblPr>
  </w:style>
  <w:style w:type="paragraph" w:styleId="1009" w:customStyle="1">
    <w:name w:val="Table Text"/>
    <w:basedOn w:val="742"/>
    <w:uiPriority w:val="0"/>
    <w:semiHidden/>
    <w:qFormat/>
    <w:rPr>
      <w:rFonts w:ascii="Arial" w:hAnsi="Arial" w:eastAsia="Arial" w:cs="Arial"/>
      <w:szCs w:val="21"/>
      <w:lang w:eastAsia="en-US"/>
    </w:rPr>
  </w:style>
  <w:style w:type="paragraph" w:styleId="1010" w:customStyle="1">
    <w:name w:val="DAS正文"/>
    <w:basedOn w:val="742"/>
    <w:uiPriority w:val="0"/>
    <w:qFormat/>
    <w:pPr>
      <w:ind w:right="181" w:firstLine="480"/>
    </w:pPr>
    <w:rPr>
      <w:rFonts w:ascii="Verdana" w:hAnsi="Verdana"/>
    </w:rPr>
  </w:style>
  <w:style w:type="character" w:styleId="1011" w:customStyle="1">
    <w:name w:val="apple-style-span"/>
    <w:basedOn w:val="752"/>
    <w:uiPriority w:val="0"/>
    <w:qFormat/>
  </w:style>
  <w:style w:type="character" w:styleId="1012" w:customStyle="1">
    <w:name w:val="font41"/>
    <w:basedOn w:val="752"/>
    <w:uiPriority w:val="0"/>
    <w:qFormat/>
    <w:rPr>
      <w:rFonts w:hint="default" w:ascii="方正黑体_GBK" w:hAnsi="方正黑体_GBK" w:eastAsia="方正黑体_GBK" w:cs="方正黑体_GBK"/>
      <w:color w:val="000000"/>
      <w:sz w:val="24"/>
      <w:szCs w:val="24"/>
      <w:u w:val="none"/>
    </w:rPr>
  </w:style>
  <w:style w:type="character" w:styleId="1013" w:customStyle="1">
    <w:name w:val="font71"/>
    <w:basedOn w:val="752"/>
    <w:uiPriority w:val="0"/>
    <w:qFormat/>
    <w:rPr>
      <w:rFonts w:hint="default" w:ascii="方正黑体_GBK" w:hAnsi="方正黑体_GBK" w:eastAsia="方正黑体_GBK" w:cs="方正黑体_GBK"/>
      <w:color w:val="000000"/>
      <w:sz w:val="22"/>
      <w:szCs w:val="22"/>
      <w:u w:val="none"/>
    </w:rPr>
  </w:style>
  <w:style w:type="character" w:styleId="1014" w:customStyle="1">
    <w:name w:val="font51"/>
    <w:basedOn w:val="752"/>
    <w:uiPriority w:val="0"/>
    <w:qFormat/>
    <w:rPr>
      <w:rFonts w:hint="eastAsia" w:ascii="宋体" w:hAnsi="宋体" w:eastAsia="宋体" w:cs="宋体"/>
      <w:color w:val="000000"/>
      <w:sz w:val="24"/>
      <w:szCs w:val="24"/>
      <w:u w:val="none"/>
    </w:rPr>
  </w:style>
  <w:style w:type="character" w:styleId="1015" w:customStyle="1">
    <w:name w:val="font81"/>
    <w:basedOn w:val="752"/>
    <w:uiPriority w:val="0"/>
    <w:qFormat/>
    <w:rPr>
      <w:rFonts w:hint="eastAsia" w:ascii="宋体" w:hAnsi="宋体" w:eastAsia="宋体" w:cs="宋体"/>
      <w:color w:val="000000"/>
      <w:sz w:val="20"/>
      <w:szCs w:val="20"/>
      <w:u w:val="none"/>
    </w:rPr>
  </w:style>
  <w:style w:type="character" w:styleId="1016" w:customStyle="1">
    <w:name w:val="font61"/>
    <w:basedOn w:val="752"/>
    <w:uiPriority w:val="0"/>
    <w:qFormat/>
    <w:rPr>
      <w:rFonts w:hint="eastAsia" w:ascii="宋体" w:hAnsi="宋体" w:eastAsia="宋体" w:cs="宋体"/>
      <w:color w:val="000000"/>
      <w:sz w:val="20"/>
      <w:szCs w:val="20"/>
      <w:u w:val="none"/>
    </w:rPr>
  </w:style>
  <w:style w:type="character" w:styleId="1017" w:customStyle="1">
    <w:name w:val="font01"/>
    <w:basedOn w:val="752"/>
    <w:uiPriority w:val="0"/>
    <w:qFormat/>
    <w:rPr>
      <w:rFonts w:hint="eastAsia" w:ascii="宋体" w:hAnsi="宋体" w:eastAsia="宋体" w:cs="宋体"/>
      <w:color w:val="000000"/>
      <w:sz w:val="22"/>
      <w:szCs w:val="22"/>
      <w:u w:val="none"/>
    </w:rPr>
  </w:style>
  <w:style w:type="paragraph" w:styleId="1018" w:customStyle="1">
    <w:name w:val="文档结构图1"/>
    <w:basedOn w:val="742"/>
    <w:uiPriority w:val="0"/>
    <w:qFormat/>
    <w:pPr>
      <w:shd w:val="clear" w:color="auto" w:fill="000080"/>
    </w:pPr>
  </w:style>
  <w:style w:type="character" w:styleId="1019" w:customStyle="1">
    <w:name w:val="正文缩进 字符"/>
    <w:link w:val="755"/>
    <w:uiPriority w:val="0"/>
    <w:qFormat/>
    <w:rPr>
      <w:sz w:val="21"/>
    </w:rPr>
  </w:style>
  <w:style w:type="character" w:styleId="1020" w:customStyle="1">
    <w:name w:val="HTML 预设格式 字符"/>
    <w:basedOn w:val="752"/>
    <w:link w:val="775"/>
    <w:uiPriority w:val="99"/>
    <w:semiHidden/>
    <w:qFormat/>
    <w:rPr>
      <w:rFonts w:ascii="Courier New" w:hAnsi="Courier New" w:cs="Courier New"/>
    </w:rPr>
  </w:style>
  <w:style w:type="paragraph" w:styleId="1021" w:customStyle="1">
    <w:name w:val="p16"/>
    <w:basedOn w:val="742"/>
    <w:uiPriority w:val="0"/>
    <w:qFormat/>
    <w:pPr>
      <w:jc w:val="left"/>
      <w:widowControl/>
    </w:pPr>
    <w:rPr>
      <w:sz w:val="24"/>
    </w:rPr>
  </w:style>
  <w:style w:type="paragraph" w:styleId="1022" w:customStyle="1">
    <w:name w:val="null3"/>
    <w:uiPriority w:val="0"/>
    <w:qFormat/>
    <w:rPr>
      <w:rFonts w:hint="default" w:asciiTheme="minorHAnsi" w:hAnsiTheme="minorHAnsi" w:eastAsiaTheme="minorEastAsia" w:cstheme="minorBidi"/>
      <w:lang w:eastAsia="zh-Hans"/>
    </w:rPr>
  </w:style>
  <w:style w:type="character" w:styleId="1023" w:customStyle="1">
    <w:name w:val="强调1"/>
    <w:basedOn w:val="1024"/>
    <w:uiPriority w:val="20"/>
    <w:qFormat/>
    <w:rPr>
      <w:rFonts w:ascii="Times New Roman" w:hAnsi="Times New Roman" w:eastAsia="宋体" w:cs="Times New Roman"/>
      <w:sz w:val="21"/>
      <w:szCs w:val="24"/>
      <w:lang w:val="en-US" w:eastAsia="zh-CN" w:bidi="ar-SA"/>
    </w:rPr>
  </w:style>
  <w:style w:type="character" w:styleId="1024" w:customStyle="1">
    <w:name w:val="默认段落字体11"/>
    <w:uiPriority w:val="0"/>
    <w:semiHidden/>
    <w:qFormat/>
  </w:style>
  <w:style w:type="table" w:styleId="1025" w:customStyle="1">
    <w:name w:val="table"/>
    <w:basedOn w:val="753"/>
    <w:uiPriority w:val="0"/>
    <w:qFormat/>
    <w:tblPr/>
  </w:style>
  <w:style w:type="paragraph" w:styleId="1026" w:customStyle="1">
    <w:name w:val="目录 12"/>
    <w:basedOn w:val="742"/>
    <w:next w:val="742"/>
    <w:uiPriority w:val="0"/>
    <w:qFormat/>
    <w:pPr>
      <w:jc w:val="left"/>
      <w:spacing w:after="200" w:line="300" w:lineRule="atLeast"/>
      <w:widowControl/>
    </w:pPr>
    <w:rPr>
      <w:rFonts w:ascii="Calibri" w:hAnsi="Calibri"/>
      <w:sz w:val="22"/>
      <w:szCs w:val="20"/>
    </w:rPr>
  </w:style>
  <w:style w:type="character" w:styleId="1027" w:customStyle="1">
    <w:name w:val="批注文字 字符"/>
    <w:basedOn w:val="752"/>
    <w:link w:val="757"/>
    <w:uiPriority w:val="0"/>
    <w:qFormat/>
    <w:rPr>
      <w:sz w:val="21"/>
      <w:szCs w:val="24"/>
    </w:rPr>
  </w:style>
  <w:style w:type="character" w:styleId="1028" w:customStyle="1">
    <w:name w:val="批注主题 字符"/>
    <w:basedOn w:val="1027"/>
    <w:link w:val="777"/>
    <w:uiPriority w:val="99"/>
    <w:semiHidden/>
    <w:qFormat/>
    <w:rPr>
      <w:b/>
      <w:bCs/>
      <w:sz w:val="21"/>
      <w:szCs w:val="24"/>
    </w:rPr>
  </w:style>
  <w:style w:type="paragraph" w:styleId="1029"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1030" w:customStyle="1">
    <w:name w:val="BodyText1I2"/>
    <w:next w:val="742"/>
    <w:uiPriority w:val="0"/>
    <w:qFormat/>
    <w:pPr>
      <w:ind w:left="420" w:firstLine="420"/>
      <w:jc w:val="both"/>
      <w:spacing w:after="120"/>
    </w:pPr>
    <w:rPr>
      <w:rFonts w:hint="default" w:ascii="Calibri" w:hAnsi="Calibri" w:eastAsia="宋体" w:cs="Times New Roman"/>
      <w:sz w:val="21"/>
      <w:szCs w:val="22"/>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4bda776f-4c00-45c9-9e76-c20fd6ed5eb1</errorID>
      <errorWord>&lt;</errorWord>
      <group>L1_Format</group>
      <groupName>格式问题</groupName>
      <ability>L2_HalfPunc_CN</ability>
      <abilityName>全半角问题</abilityName>
      <candidateList>
        <item>〈</item>
      </candidateList>
      <explain>文本全半角错误。</explain>
      <paraID>54075F67</paraID>
      <start>58</start>
      <end>59</end>
      <status>unmodified</status>
      <modifiedWord/>
      <trackRevisions>false</trackRevisions>
    </reviewItem>
    <reviewItem>
      <errorID>5e86ed77-050c-406e-8297-b6c17e15c9f8</errorID>
      <errorWord>&gt;</errorWord>
      <group>L1_Format</group>
      <groupName>格式问题</groupName>
      <ability>L2_HalfPunc_CN</ability>
      <abilityName>全半角问题</abilityName>
      <candidateList>
        <item>〉</item>
      </candidateList>
      <explain>文本全半角错误。</explain>
      <paraID>54075F67</paraID>
      <start>89</start>
      <end>90</end>
      <status>unmodified</status>
      <modifiedWord/>
      <trackRevisions>false</trackRevisions>
    </reviewItem>
    <reviewItem>
      <errorID>51fb6056-b575-4bad-aa4e-38ceec4d83f5</errorID>
      <errorWord>,</errorWord>
      <group>L1_Format</group>
      <groupName>格式问题</groupName>
      <ability>L2_HalfPunc_CN</ability>
      <abilityName>全半角问题</abilityName>
      <candidateList>
        <item>，</item>
      </candidateList>
      <explain>文本全半角错误。</explain>
      <paraID>1B6561E6</paraID>
      <start>111</start>
      <end>112</end>
      <status>modified</status>
      <modifiedWord>，</modifiedWord>
      <trackRevisions>false</trackRevisions>
    </reviewItem>
    <reviewItem>
      <errorID>df30dfc4-277e-4689-8309-f61eb7afdfd9</errorID>
      <errorWord>&lt;</errorWord>
      <group>L1_Format</group>
      <groupName>格式问题</groupName>
      <ability>L2_HalfPunc_CN</ability>
      <abilityName>全半角问题</abilityName>
      <candidateList>
        <item>〈</item>
      </candidateList>
      <explain>文本全半角错误。</explain>
      <paraID>5CE17F3F</paraID>
      <start>18</start>
      <end>19</end>
      <status>ignored</status>
      <modifiedWord/>
      <trackRevisions>false</trackRevisions>
    </reviewItem>
    <reviewItem>
      <errorID>38175be9-9d06-4b06-9d41-ce8515279412</errorID>
      <errorWord>&gt;的通知》</errorWord>
      <group>L1_Punc</group>
      <groupName>标点问题</groupName>
      <ability>L2_Punc_CN</ability>
      <abilityName>标点符号问题</abilityName>
      <candidateList>
        <item>〉的通知》</item>
      </candidateList>
      <explain/>
      <paraID>5CE17F3F</paraID>
      <start>36</start>
      <end>41</end>
      <status>ignored</status>
      <modifiedWord/>
      <trackRevisions>false</trackRevisions>
    </reviewItem>
    <reviewItem>
      <errorID>17c9ec60-911c-4af7-92f2-103c9c44206c</errorID>
      <errorWord>&lt;</errorWord>
      <group>L1_Format</group>
      <groupName>格式问题</groupName>
      <ability>L2_HalfPunc_CN</ability>
      <abilityName>全半角问题</abilityName>
      <candidateList>
        <item>〈</item>
      </candidateList>
      <explain>文本全半角错误。</explain>
      <paraID>5B8AC6D6</paraID>
      <start>50</start>
      <end>51</end>
      <status>ignored</status>
      <modifiedWord/>
      <trackRevisions>false</trackRevisions>
    </reviewItem>
    <reviewItem>
      <errorID>a4434781-222a-4d0d-be57-71f1b18c3a43</errorID>
      <errorWord>&lt;</errorWord>
      <group>L1_Format</group>
      <groupName>格式问题</groupName>
      <ability>L2_HalfPunc_CN</ability>
      <abilityName>全半角问题</abilityName>
      <candidateList>
        <item>〈</item>
      </candidateList>
      <explain>文本全半角错误。</explain>
      <paraID>462C39F0</paraID>
      <start>50</start>
      <end>51</end>
      <status>ignored</status>
      <modifiedWord/>
      <trackRevisions>false</trackRevisions>
    </reviewItem>
    <reviewItem>
      <errorID>b9b35f9c-a32a-411f-858a-76d1777f1a5f</errorID>
      <errorWord>&lt;</errorWord>
      <group>L1_Format</group>
      <groupName>格式问题</groupName>
      <ability>L2_HalfPunc_CN</ability>
      <abilityName>全半角问题</abilityName>
      <candidateList>
        <item>〈</item>
      </candidateList>
      <explain>文本全半角错误。</explain>
      <paraID>491615EE</paraID>
      <start>35</start>
      <end>36</end>
      <status>ignored</status>
      <modifiedWord/>
      <trackRevisions>false</trackRevisions>
    </reviewItem>
    <reviewItem>
      <errorID>53d2a66c-46df-41c0-b754-ffd8185ec018</errorID>
      <errorWord>机率为</errorWord>
      <group>L1_Word</group>
      <groupName>字词问题</groupName>
      <ability>L2_Typo</ability>
      <abilityName>字词错误</abilityName>
      <candidateList>
        <item>概率为</item>
      </candidateList>
      <explain/>
      <paraID>7DD21A5E</paraID>
      <start>101</start>
      <end>104</end>
      <status>ignored</status>
      <modifiedWord/>
      <trackRevisions>false</trackRevisions>
    </reviewItem>
    <reviewItem>
      <errorID>f9fd8c90-7b06-402a-94df-41e26c3cb8ab</errorID>
      <errorWord>连锁</errorWord>
      <group>L1_Word</group>
      <groupName>字词问题</groupName>
      <ability>L2_Typo</ability>
      <abilityName>字词错误</abilityName>
      <candidateList>
        <item>联锁</item>
      </candidateList>
      <explain>存在发音相同字词的误用。</explain>
      <paraID>334597CF</paraID>
      <start>26</start>
      <end>28</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E41A3CB3-76F8-434A-940D-98E73A7D691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焦进芳</dc:creator>
  <cp:lastModifiedBy>jstxtzfgs</cp:lastModifiedBy>
  <cp:revision>65</cp:revision>
  <dcterms:created xsi:type="dcterms:W3CDTF">2026-08-24T09:29:00Z</dcterms:created>
  <dcterms:modified xsi:type="dcterms:W3CDTF">2026-09-30T02:53:03Z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C3E8DDDFF95C4711A10B3139F5DE8248_13</vt:lpwstr>
  </property>
  <property fmtid="{D5CDD505-2E9C-101B-9397-08002B2CF9AE}" pid="4" name="KSOTemplateDocerSaveRecord">
    <vt:lpwstr>eyJoZGlkIjoiMWM0ODI3MTI2OTY1ZDU0ZDRiY2RlOGUwNzhmZWU4YjkiLCJ1c2VySWQiOiIzMjQ2MzM4MzkifQ==</vt:lpwstr>
  </property>
</Properties>
</file>