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240" w:lineRule="exact"/>
        <w:tabs>
          <w:tab w:val="left" w:pos="3841" w:leader="none"/>
        </w:tabs>
        <w:rPr>
          <w:rFonts w:ascii="宋体" w:hAnsi="宋体" w:eastAsia="宋体"/>
          <w:b/>
          <w:i/>
          <w:color w:val="000000"/>
          <w:sz w:val="21"/>
          <w:szCs w:val="21"/>
        </w:rPr>
      </w:pPr>
      <w:r>
        <w:rPr>
          <w:rFonts w:ascii="宋体" w:hAnsi="宋体" w:eastAsia="宋体"/>
          <w:b/>
          <w:color w:val="000000"/>
          <w:sz w:val="72"/>
        </w:rPr>
        <w:tab/>
      </w:r>
      <w:r/>
    </w:p>
    <w:p>
      <w:pPr>
        <w:jc w:val="center"/>
        <w:rPr>
          <w:rFonts w:ascii="宋体" w:hAnsi="宋体" w:eastAsia="宋体"/>
          <w:b/>
          <w:color w:val="000000"/>
          <w:sz w:val="72"/>
        </w:rPr>
      </w:pPr>
      <w:r>
        <w:rPr>
          <w:rFonts w:ascii="宋体" w:hAnsi="宋体" w:eastAsia="宋体"/>
          <w:b/>
          <w:color w:val="000000"/>
          <w:sz w:val="72"/>
        </w:rPr>
      </w:r>
      <w:r/>
    </w:p>
    <w:p>
      <w:pPr>
        <w:jc w:val="center"/>
        <w:spacing w:line="360" w:lineRule="auto"/>
        <w:rPr>
          <w:rFonts w:ascii="黑体" w:hAnsi="华文中宋" w:eastAsia="黑体"/>
          <w:bCs/>
          <w:spacing w:val="20"/>
          <w:sz w:val="72"/>
          <w:szCs w:val="72"/>
        </w:rPr>
      </w:pPr>
      <w:r>
        <w:rPr>
          <w:rFonts w:hint="eastAsia" w:ascii="黑体" w:hAnsi="华文中宋" w:eastAsia="黑体"/>
          <w:bCs/>
          <w:spacing w:val="20"/>
          <w:sz w:val="72"/>
          <w:szCs w:val="72"/>
        </w:rPr>
        <w:t xml:space="preserve">泰州市政府采购</w:t>
      </w:r>
      <w:r/>
    </w:p>
    <w:p>
      <w:pPr>
        <w:spacing w:line="360" w:lineRule="auto"/>
        <w:rPr>
          <w:rFonts w:ascii="华文中宋" w:hAnsi="华文中宋" w:eastAsia="华文中宋"/>
          <w:bCs/>
          <w:sz w:val="30"/>
        </w:rPr>
      </w:pPr>
      <w:r>
        <w:rPr>
          <w:rFonts w:ascii="华文中宋" w:hAnsi="华文中宋" w:eastAsia="华文中宋"/>
          <w:bCs/>
          <w:sz w:val="30"/>
        </w:rPr>
      </w:r>
      <w:r/>
    </w:p>
    <w:p>
      <w:pPr>
        <w:spacing w:line="360" w:lineRule="auto"/>
        <w:rPr>
          <w:rFonts w:ascii="华文中宋" w:hAnsi="华文中宋" w:eastAsia="华文中宋"/>
          <w:bCs/>
          <w:sz w:val="30"/>
        </w:rPr>
      </w:pPr>
      <w:r>
        <w:rPr>
          <w:rFonts w:ascii="华文中宋" w:hAnsi="华文中宋" w:eastAsia="华文中宋"/>
          <w:bCs/>
          <w:sz w:val="30"/>
        </w:rPr>
      </w:r>
      <w:r/>
    </w:p>
    <w:p>
      <w:pPr>
        <w:spacing w:line="360" w:lineRule="auto"/>
        <w:rPr>
          <w:rFonts w:ascii="华文中宋" w:hAnsi="华文中宋" w:eastAsia="华文中宋"/>
          <w:bCs/>
          <w:sz w:val="30"/>
        </w:rPr>
      </w:pPr>
      <w:r>
        <w:rPr>
          <w:rFonts w:ascii="华文中宋" w:hAnsi="华文中宋" w:eastAsia="华文中宋"/>
          <w:bCs/>
          <w:sz w:val="30"/>
        </w:rPr>
      </w:r>
      <w:r/>
    </w:p>
    <w:p>
      <w:pPr>
        <w:jc w:val="center"/>
        <w:spacing w:line="360" w:lineRule="auto"/>
        <w:rPr>
          <w:rFonts w:ascii="黑体" w:hAnsi="华文中宋" w:eastAsia="黑体"/>
          <w:bCs/>
          <w:spacing w:val="20"/>
          <w:sz w:val="48"/>
          <w:szCs w:val="48"/>
        </w:rPr>
      </w:pPr>
      <w:r>
        <w:rPr>
          <w:rFonts w:hint="eastAsia" w:ascii="黑体" w:hAnsi="华文中宋" w:eastAsia="黑体"/>
          <w:bCs/>
          <w:spacing w:val="20"/>
          <w:sz w:val="48"/>
          <w:szCs w:val="48"/>
        </w:rPr>
        <w:t xml:space="preserve">公开</w:t>
      </w:r>
      <w:r/>
    </w:p>
    <w:p>
      <w:pPr>
        <w:jc w:val="center"/>
        <w:spacing w:line="360" w:lineRule="auto"/>
        <w:rPr>
          <w:rFonts w:ascii="黑体" w:hAnsi="华文中宋" w:eastAsia="黑体"/>
          <w:bCs/>
          <w:spacing w:val="20"/>
          <w:sz w:val="52"/>
          <w:szCs w:val="5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黑体" w:hAnsi="华文中宋" w:eastAsia="黑体"/>
          <w:bCs/>
          <w:spacing w:val="20"/>
          <w:sz w:val="52"/>
          <w:szCs w:val="52"/>
        </w:rPr>
        <w:t xml:space="preserve">招标文件</w:t>
      </w:r>
      <w:r/>
    </w:p>
    <w:p>
      <w:pPr>
        <w:jc w:val="center"/>
        <w:spacing w:line="360" w:lineRule="auto"/>
        <w:rPr>
          <w:rFonts w:ascii="华文中宋" w:hAnsi="华文中宋" w:eastAsia="华文中宋"/>
          <w:bCs/>
          <w:sz w:val="30"/>
        </w:rPr>
      </w:pPr>
      <w:r>
        <w:rPr>
          <w:rFonts w:hint="eastAsia" w:ascii="华文中宋" w:hAnsi="华文中宋" w:eastAsia="华文中宋"/>
          <w:bCs/>
          <w:sz w:val="30"/>
        </w:rPr>
        <w:t xml:space="preserve">（全流程电子化不见面开标）</w:t>
      </w:r>
      <w:r/>
    </w:p>
    <w:p>
      <w:pPr>
        <w:jc w:val="center"/>
        <w:spacing w:line="360" w:lineRule="auto"/>
        <w:tabs>
          <w:tab w:val="left" w:pos="9921" w:leader="none"/>
        </w:tabs>
        <w:rPr>
          <w:rFonts w:ascii="华文中宋" w:hAnsi="华文中宋" w:eastAsia="华文中宋"/>
          <w:bCs/>
          <w:sz w:val="30"/>
        </w:rPr>
      </w:pPr>
      <w:r>
        <w:rPr>
          <w:rFonts w:ascii="华文中宋" w:hAnsi="华文中宋" w:eastAsia="华文中宋"/>
          <w:bCs/>
          <w:sz w:val="30"/>
        </w:rPr>
      </w:r>
      <w:r/>
    </w:p>
    <w:p>
      <w:pPr>
        <w:jc w:val="left"/>
        <w:spacing w:line="360" w:lineRule="auto"/>
        <w:rPr>
          <w:rFonts w:ascii="华文中宋" w:hAnsi="华文中宋" w:eastAsia="华文中宋"/>
          <w:bCs/>
          <w:sz w:val="30"/>
        </w:rPr>
      </w:pPr>
      <w:r>
        <w:rPr>
          <w:rFonts w:ascii="华文中宋" w:hAnsi="华文中宋" w:eastAsia="华文中宋"/>
          <w:bCs/>
          <w:sz w:val="30"/>
        </w:rPr>
      </w:r>
      <w:r/>
    </w:p>
    <w:p>
      <w:pPr>
        <w:ind w:firstLine="300"/>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采购项目编号：</w:t>
      </w:r>
      <w:r>
        <w:rPr>
          <w:rFonts w:hint="eastAsia" w:ascii="黑体" w:hAnsi="华文中宋" w:eastAsia="黑体"/>
          <w:bCs/>
          <w:sz w:val="30"/>
          <w:szCs w:val="30"/>
        </w:rPr>
        <w:tab/>
      </w:r>
      <w:r>
        <w:rPr>
          <w:rFonts w:hint="eastAsia" w:ascii="黑体" w:hAnsi="华文中宋" w:eastAsia="黑体"/>
          <w:bCs/>
          <w:sz w:val="30"/>
          <w:szCs w:val="30"/>
          <w:lang w:eastAsia="zh-CN"/>
        </w:rPr>
        <w:t xml:space="preserve">JSZC-321200-JWZB-G2026-0004</w:t>
      </w:r>
      <w:r>
        <w:rPr>
          <w:rFonts w:hint="eastAsia" w:ascii="黑体" w:hAnsi="华文中宋" w:eastAsia="黑体"/>
          <w:bCs/>
          <w:sz w:val="30"/>
          <w:szCs w:val="30"/>
        </w:rPr>
        <w:t xml:space="preserve">  </w:t>
      </w:r>
      <w:r/>
    </w:p>
    <w:p>
      <w:pPr>
        <w:ind w:firstLine="300"/>
        <w:spacing w:line="360" w:lineRule="auto"/>
        <w:rPr>
          <w:rFonts w:hint="eastAsia" w:ascii="黑体" w:hAnsi="华文中宋" w:eastAsia="黑体"/>
          <w:bCs/>
          <w:sz w:val="30"/>
          <w:szCs w:val="30"/>
          <w:lang w:eastAsia="zh-CN"/>
        </w:rPr>
      </w:pPr>
      <w:r>
        <w:rPr>
          <w:rFonts w:hint="eastAsia" w:ascii="黑体" w:hAnsi="华文中宋" w:eastAsia="黑体"/>
          <w:bCs/>
          <w:sz w:val="30"/>
          <w:szCs w:val="30"/>
        </w:rPr>
        <w:t xml:space="preserve">采购项目名称：</w:t>
      </w:r>
      <w:r>
        <w:rPr>
          <w:rFonts w:hint="eastAsia" w:ascii="黑体" w:hAnsi="华文中宋" w:eastAsia="黑体"/>
          <w:bCs/>
          <w:sz w:val="30"/>
          <w:szCs w:val="30"/>
          <w:lang w:eastAsia="zh-CN"/>
        </w:rPr>
        <w:t xml:space="preserve">泰州市中级人民法院大案要案法庭办公办案家具采购</w:t>
      </w:r>
      <w:r/>
    </w:p>
    <w:p>
      <w:pPr>
        <w:ind w:firstLine="300"/>
        <w:jc w:val="center"/>
        <w:spacing w:line="360" w:lineRule="auto"/>
        <w:rPr>
          <w:rFonts w:hint="eastAsia" w:ascii="黑体" w:hAnsi="华文中宋" w:eastAsia="黑体"/>
          <w:bCs/>
          <w:sz w:val="30"/>
          <w:szCs w:val="30"/>
        </w:rPr>
      </w:pPr>
      <w:r>
        <w:rPr>
          <w:rFonts w:hint="eastAsia" w:ascii="黑体" w:hAnsi="华文中宋" w:eastAsia="黑体"/>
          <w:bCs/>
          <w:sz w:val="30"/>
          <w:szCs w:val="30"/>
        </w:rPr>
        <w:t xml:space="preserve">采购代理机构：江苏经纬工程投资造价咨询事务所有限公司</w:t>
      </w:r>
      <w:r/>
    </w:p>
    <w:p>
      <w:pPr>
        <w:spacing w:line="360" w:lineRule="auto"/>
        <w:rPr>
          <w:rFonts w:ascii="华文中宋" w:hAnsi="华文中宋" w:eastAsia="华文中宋"/>
          <w:bCs/>
          <w:sz w:val="32"/>
        </w:rPr>
      </w:pPr>
      <w:r>
        <w:rPr>
          <w:rFonts w:ascii="华文中宋" w:hAnsi="华文中宋" w:eastAsia="华文中宋"/>
          <w:bCs/>
          <w:sz w:val="32"/>
        </w:rPr>
      </w:r>
      <w:r/>
    </w:p>
    <w:p>
      <w:pPr>
        <w:spacing w:line="360" w:lineRule="auto"/>
        <w:rPr>
          <w:rFonts w:ascii="华文中宋" w:hAnsi="华文中宋" w:eastAsia="华文中宋"/>
          <w:bCs/>
          <w:sz w:val="30"/>
        </w:rPr>
      </w:pPr>
      <w:r>
        <w:rPr>
          <w:rFonts w:ascii="华文中宋" w:hAnsi="华文中宋" w:eastAsia="华文中宋"/>
          <w:bCs/>
          <w:sz w:val="30"/>
        </w:rPr>
      </w:r>
      <w:r/>
    </w:p>
    <w:p>
      <w:pPr>
        <w:spacing w:line="360" w:lineRule="auto"/>
        <w:rPr>
          <w:rFonts w:ascii="华文中宋" w:hAnsi="华文中宋" w:eastAsia="华文中宋"/>
          <w:bCs/>
          <w:sz w:val="30"/>
        </w:rPr>
      </w:pPr>
      <w:r>
        <w:rPr>
          <w:rFonts w:ascii="华文中宋" w:hAnsi="华文中宋" w:eastAsia="华文中宋"/>
          <w:bCs/>
          <w:sz w:val="30"/>
        </w:rPr>
      </w:r>
      <w:r/>
    </w:p>
    <w:p>
      <w:pPr>
        <w:spacing w:line="360" w:lineRule="auto"/>
        <w:rPr>
          <w:rFonts w:ascii="华文中宋" w:hAnsi="华文中宋" w:eastAsia="华文中宋"/>
          <w:bCs/>
          <w:sz w:val="30"/>
        </w:rPr>
      </w:pPr>
      <w:r>
        <w:rPr>
          <w:rFonts w:ascii="华文中宋" w:hAnsi="华文中宋" w:eastAsia="华文中宋"/>
          <w:bCs/>
          <w:sz w:val="30"/>
        </w:rPr>
      </w:r>
      <w:r/>
    </w:p>
    <w:p>
      <w:pPr>
        <w:jc w:val="center"/>
        <w:spacing w:line="360" w:lineRule="auto"/>
        <w:rPr>
          <w:rFonts w:ascii="黑体" w:hAnsi="华文中宋" w:eastAsia="黑体"/>
          <w:bCs/>
          <w:sz w:val="44"/>
          <w:szCs w:val="44"/>
        </w:rPr>
      </w:pPr>
      <w:r>
        <w:rPr>
          <w:rFonts w:hint="eastAsia" w:ascii="黑体" w:hAnsi="华文中宋" w:eastAsia="黑体"/>
          <w:bCs/>
          <w:sz w:val="44"/>
          <w:szCs w:val="44"/>
        </w:rPr>
        <w:t xml:space="preserve">二〇二</w:t>
      </w:r>
      <w:r>
        <w:rPr>
          <w:rFonts w:hint="eastAsia" w:ascii="黑体" w:hAnsi="华文中宋" w:eastAsia="黑体"/>
          <w:bCs/>
          <w:sz w:val="44"/>
          <w:szCs w:val="44"/>
          <w:lang w:eastAsia="zh-CN"/>
        </w:rPr>
        <w:t xml:space="preserve">六</w:t>
      </w:r>
      <w:r>
        <w:rPr>
          <w:rFonts w:hint="eastAsia" w:ascii="黑体" w:hAnsi="华文中宋" w:eastAsia="黑体"/>
          <w:bCs/>
          <w:sz w:val="44"/>
          <w:szCs w:val="44"/>
        </w:rPr>
        <w:t xml:space="preserve">年</w:t>
      </w:r>
      <w:r>
        <w:rPr>
          <w:rFonts w:hint="eastAsia" w:ascii="黑体" w:hAnsi="华文中宋" w:eastAsia="黑体"/>
          <w:bCs/>
          <w:sz w:val="44"/>
          <w:szCs w:val="44"/>
          <w:lang w:eastAsia="zh-CN"/>
        </w:rPr>
        <w:t xml:space="preserve">九</w:t>
      </w:r>
      <w:r>
        <w:rPr>
          <w:rFonts w:hint="eastAsia" w:ascii="黑体" w:hAnsi="华文中宋" w:eastAsia="黑体"/>
          <w:bCs/>
          <w:sz w:val="44"/>
          <w:szCs w:val="44"/>
        </w:rPr>
        <w:t xml:space="preserve">月</w:t>
      </w:r>
      <w:r/>
    </w:p>
    <w:p>
      <w:pPr>
        <w:jc w:val="center"/>
        <w:spacing w:line="360" w:lineRule="auto"/>
        <w:rPr>
          <w:rFonts w:eastAsia="黑体"/>
          <w:bCs/>
          <w:sz w:val="48"/>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bCs/>
          <w:sz w:val="48"/>
        </w:rPr>
      </w:r>
      <w:r/>
    </w:p>
    <w:p>
      <w:pPr>
        <w:jc w:val="center"/>
        <w:spacing w:line="360" w:lineRule="auto"/>
        <w:rPr>
          <w:rFonts w:eastAsia="黑体"/>
          <w:bCs/>
          <w:sz w:val="48"/>
        </w:rPr>
      </w:pPr>
      <w:r>
        <w:rPr>
          <w:rFonts w:hint="eastAsia" w:eastAsia="黑体"/>
          <w:bCs/>
          <w:sz w:val="48"/>
        </w:rPr>
        <w:t xml:space="preserve">目     录</w:t>
      </w:r>
      <w:r/>
    </w:p>
    <w:p>
      <w:pPr>
        <w:jc w:val="center"/>
        <w:spacing w:line="360" w:lineRule="auto"/>
        <w:rPr>
          <w:rFonts w:hint="eastAsia" w:ascii="宋体" w:hAnsi="宋体" w:eastAsia="宋体" w:cs="宋体"/>
          <w:bCs/>
          <w:sz w:val="30"/>
        </w:rPr>
      </w:pPr>
      <w:r>
        <w:rPr>
          <w:rFonts w:hint="eastAsia" w:ascii="宋体" w:hAnsi="宋体" w:eastAsia="宋体" w:cs="宋体"/>
          <w:bCs/>
          <w:sz w:val="30"/>
        </w:rPr>
      </w:r>
      <w:r/>
    </w:p>
    <w:p>
      <w:pPr>
        <w:numPr>
          <w:ilvl w:val="0"/>
          <w:numId w:val="1"/>
        </w:numPr>
        <w:spacing w:line="360" w:lineRule="auto"/>
        <w:rPr>
          <w:rFonts w:hint="eastAsia" w:ascii="宋体" w:hAnsi="宋体" w:eastAsia="宋体" w:cs="宋体"/>
          <w:bCs/>
          <w:sz w:val="30"/>
        </w:rPr>
      </w:pPr>
      <w:r>
        <w:rPr>
          <w:rFonts w:hint="eastAsia" w:ascii="宋体" w:hAnsi="宋体" w:eastAsia="宋体" w:cs="宋体"/>
          <w:bCs/>
          <w:sz w:val="30"/>
          <w:lang w:eastAsia="zh-CN"/>
        </w:rPr>
        <w:t xml:space="preserve">招标公告</w:t>
      </w:r>
      <w:r/>
    </w:p>
    <w:p>
      <w:pPr>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投标人须知</w:t>
      </w:r>
      <w:r/>
    </w:p>
    <w:p>
      <w:pPr>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项目技术要求和有关说明</w:t>
      </w:r>
      <w:r/>
    </w:p>
    <w:p>
      <w:pPr>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合同书（格式文本）</w:t>
      </w:r>
      <w:r/>
    </w:p>
    <w:p>
      <w:pPr>
        <w:numPr>
          <w:ilvl w:val="0"/>
          <w:numId w:val="1"/>
        </w:numPr>
        <w:spacing w:line="360" w:lineRule="auto"/>
        <w:rPr>
          <w:rFonts w:hint="eastAsia" w:ascii="宋体" w:hAnsi="宋体" w:eastAsia="宋体" w:cs="宋体"/>
          <w:bCs/>
          <w:sz w:val="30"/>
        </w:rPr>
      </w:pPr>
      <w:r>
        <w:rPr>
          <w:rFonts w:hint="eastAsia" w:ascii="宋体" w:hAnsi="宋体" w:eastAsia="宋体" w:cs="宋体"/>
          <w:bCs/>
          <w:sz w:val="30"/>
        </w:rPr>
        <w:t xml:space="preserve">附件</w:t>
      </w:r>
      <w:r/>
    </w:p>
    <w:p>
      <w:pPr>
        <w:spacing w:line="360" w:lineRule="auto"/>
        <w:rPr>
          <w:rFonts w:ascii="宋体" w:hAnsi="宋体" w:eastAsia="宋体"/>
          <w:b/>
          <w:color w:val="000000"/>
          <w:sz w:val="21"/>
          <w:szCs w:val="21"/>
        </w:rPr>
      </w:pPr>
      <w:r>
        <w:rPr>
          <w:rFonts w:ascii="宋体" w:hAnsi="宋体" w:eastAsia="宋体"/>
          <w:b/>
          <w:color w:val="000000"/>
          <w:sz w:val="21"/>
          <w:szCs w:val="21"/>
        </w:rPr>
      </w:r>
      <w:r/>
    </w:p>
    <w:p>
      <w:pPr>
        <w:spacing w:line="360" w:lineRule="auto"/>
        <w:rPr>
          <w:rFonts w:ascii="宋体" w:hAnsi="宋体" w:eastAsia="宋体"/>
          <w:b/>
          <w:color w:val="000000"/>
          <w:sz w:val="21"/>
          <w:szCs w:val="21"/>
        </w:rPr>
      </w:pPr>
      <w:r>
        <w:rPr>
          <w:rFonts w:ascii="宋体" w:hAnsi="宋体" w:eastAsia="宋体"/>
          <w:b/>
          <w:color w:val="000000"/>
          <w:sz w:val="21"/>
          <w:szCs w:val="21"/>
        </w:rPr>
      </w:r>
      <w:r/>
    </w:p>
    <w:p>
      <w:pPr>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969"/>
        <w:jc w:val="center"/>
        <w:spacing w:line="360" w:lineRule="auto"/>
        <w:rPr>
          <w:rFonts w:hint="eastAsia" w:ascii="黑体" w:hAnsi="黑体" w:eastAsia="黑体"/>
          <w:b w:val="0"/>
          <w:szCs w:val="22"/>
          <w:lang w:eastAsia="zh-CN"/>
        </w:rPr>
      </w:pPr>
      <w:r>
        <w:rPr>
          <w:color w:val="000000"/>
          <w:sz w:val="21"/>
          <w:szCs w:val="21"/>
        </w:rPr>
        <w:br w:type="page" w:clear="all"/>
      </w:r>
      <w:r>
        <w:rPr>
          <w:rFonts w:hint="eastAsia" w:ascii="黑体" w:hAnsi="黑体" w:eastAsia="黑体"/>
          <w:b w:val="0"/>
          <w:szCs w:val="22"/>
        </w:rPr>
        <w:t xml:space="preserve">一．</w:t>
      </w:r>
      <w:r>
        <w:rPr>
          <w:rFonts w:hint="eastAsia" w:ascii="黑体" w:hAnsi="黑体" w:eastAsia="黑体"/>
          <w:b w:val="0"/>
          <w:szCs w:val="22"/>
          <w:lang w:eastAsia="zh-CN"/>
        </w:rPr>
        <w:t xml:space="preserve">招标公告</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江苏经纬工程投资造价咨询事务所有限公司受泰州市中级人民法院的委托，对</w:t>
      </w:r>
      <w:r>
        <w:rPr>
          <w:rFonts w:hint="eastAsia" w:ascii="宋体" w:hAnsi="宋体" w:eastAsia="宋体" w:cs="宋体"/>
          <w:bCs/>
          <w:sz w:val="24"/>
          <w:lang w:eastAsia="zh-CN"/>
        </w:rPr>
        <w:t xml:space="preserve">泰州市中级人民法院大案要案法庭办公办案家具采购</w:t>
      </w:r>
      <w:r>
        <w:rPr>
          <w:rFonts w:hint="eastAsia" w:ascii="宋体" w:hAnsi="宋体" w:eastAsia="宋体" w:cs="宋体"/>
          <w:bCs/>
          <w:sz w:val="24"/>
        </w:rPr>
        <w:t xml:space="preserve">进行公开招标采购，欢迎符合相关条件的供应商参加投标并提请注意下列相关事项：</w:t>
      </w:r>
      <w:r/>
    </w:p>
    <w:p>
      <w:pPr>
        <w:ind w:firstLine="472"/>
        <w:jc w:val="left"/>
        <w:spacing w:line="360" w:lineRule="auto"/>
        <w:widowControl/>
        <w:rPr>
          <w:rFonts w:hint="eastAsia" w:ascii="宋体" w:hAnsi="宋体" w:eastAsia="宋体" w:cs="宋体"/>
          <w:b/>
          <w:bCs/>
          <w:sz w:val="24"/>
        </w:rPr>
      </w:pPr>
      <w:r/>
      <w:bookmarkStart w:id="0" w:name="_Toc517793358"/>
      <w:r>
        <w:rPr>
          <w:rFonts w:hint="eastAsia" w:ascii="宋体" w:hAnsi="宋体" w:eastAsia="宋体" w:cs="宋体"/>
          <w:b/>
          <w:bCs/>
          <w:sz w:val="24"/>
        </w:rPr>
        <w:t xml:space="preserve">一、项目基本情况</w:t>
      </w:r>
      <w:r/>
    </w:p>
    <w:p>
      <w:pPr>
        <w:ind w:firstLine="470"/>
        <w:jc w:val="left"/>
        <w:spacing w:line="360" w:lineRule="auto"/>
        <w:widowControl/>
        <w:rPr>
          <w:rFonts w:hint="eastAsia" w:ascii="宋体" w:hAnsi="宋体" w:eastAsia="宋体" w:cs="宋体"/>
          <w:sz w:val="24"/>
          <w:lang w:eastAsia="zh-CN"/>
        </w:rPr>
      </w:pPr>
      <w:r>
        <w:rPr>
          <w:rFonts w:hint="eastAsia" w:ascii="宋体" w:hAnsi="宋体" w:eastAsia="宋体" w:cs="宋体"/>
          <w:sz w:val="24"/>
        </w:rPr>
        <w:t xml:space="preserve">1、项目编号：</w:t>
      </w:r>
      <w:r>
        <w:rPr>
          <w:rFonts w:hint="eastAsia" w:ascii="宋体" w:hAnsi="宋体" w:eastAsia="宋体" w:cs="宋体"/>
          <w:sz w:val="24"/>
          <w:lang w:eastAsia="zh-CN"/>
        </w:rPr>
        <w:t xml:space="preserve">JSZC-321200-JWZB-G2026-0004      </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2、项目名称：</w:t>
      </w:r>
      <w:r>
        <w:rPr>
          <w:rFonts w:hint="eastAsia" w:ascii="宋体" w:hAnsi="宋体" w:eastAsia="宋体" w:cs="宋体"/>
          <w:sz w:val="24"/>
          <w:lang w:eastAsia="zh-CN"/>
        </w:rPr>
        <w:t xml:space="preserve">泰州市中级人民法院大案要案法庭办公办案家具采购</w:t>
      </w:r>
      <w:r>
        <w:rPr>
          <w:rFonts w:hint="eastAsia" w:ascii="宋体" w:hAnsi="宋体" w:eastAsia="宋体" w:cs="宋体"/>
          <w:sz w:val="24"/>
        </w:rPr>
        <w:t xml:space="preserve">   </w:t>
      </w:r>
      <w:r/>
    </w:p>
    <w:p>
      <w:pPr>
        <w:ind w:left="482"/>
        <w:jc w:val="left"/>
        <w:spacing w:line="360" w:lineRule="auto"/>
        <w:widowControl/>
        <w:rPr>
          <w:rFonts w:hint="eastAsia" w:ascii="宋体" w:hAnsi="宋体" w:eastAsia="宋体" w:cs="宋体"/>
          <w:sz w:val="24"/>
        </w:rPr>
      </w:pPr>
      <w:r>
        <w:rPr>
          <w:rFonts w:hint="eastAsia" w:ascii="宋体" w:hAnsi="宋体" w:eastAsia="宋体" w:cs="宋体"/>
          <w:sz w:val="24"/>
        </w:rPr>
        <w:t xml:space="preserve">3、采购方式：</w:t>
      </w:r>
      <w:r>
        <w:rPr>
          <w:rFonts w:hint="eastAsia" w:ascii="宋体" w:hAnsi="宋体" w:eastAsia="宋体" w:cs="宋体"/>
          <w:sz w:val="24"/>
          <w:lang w:eastAsia="zh-CN"/>
        </w:rPr>
        <w:t xml:space="preserve">公开招标</w:t>
      </w:r>
      <w:r>
        <w:rPr>
          <w:rFonts w:hint="eastAsia" w:ascii="宋体" w:hAnsi="宋体" w:eastAsia="宋体" w:cs="宋体"/>
          <w:sz w:val="24"/>
        </w:rPr>
        <w:t xml:space="preserve"> </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4、预算金额：（人民币，万元）：</w:t>
      </w:r>
      <w:r>
        <w:rPr>
          <w:rFonts w:hint="eastAsia" w:ascii="宋体" w:hAnsi="宋体" w:eastAsia="宋体" w:cs="宋体"/>
          <w:sz w:val="24"/>
          <w:szCs w:val="24"/>
          <w:highlight w:val="none"/>
          <w:lang w:val="en-US" w:eastAsia="zh-CN"/>
        </w:rPr>
        <w:t xml:space="preserve">144.487 </w:t>
      </w:r>
      <w:r>
        <w:rPr>
          <w:rFonts w:hint="eastAsia" w:ascii="宋体" w:hAnsi="宋体" w:eastAsia="宋体" w:cs="宋体"/>
          <w:sz w:val="24"/>
          <w:szCs w:val="24"/>
          <w:highlight w:val="none"/>
        </w:rPr>
        <w:t xml:space="preserve">万元</w:t>
      </w:r>
      <w:r/>
    </w:p>
    <w:p>
      <w:p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5</w:t>
      </w:r>
      <w:r>
        <w:rPr>
          <w:rFonts w:hint="eastAsia" w:ascii="宋体" w:hAnsi="宋体" w:eastAsia="宋体" w:cs="宋体"/>
          <w:sz w:val="24"/>
        </w:rPr>
        <w:t xml:space="preserve">、采购需求：</w:t>
      </w:r>
      <w:r>
        <w:rPr>
          <w:rFonts w:hint="eastAsia" w:ascii="宋体" w:hAnsi="宋体" w:eastAsia="宋体" w:cs="宋体"/>
          <w:sz w:val="24"/>
          <w:szCs w:val="24"/>
          <w:highlight w:val="none"/>
          <w:lang w:eastAsia="zh-CN"/>
        </w:rPr>
        <w:t xml:space="preserve">本次采购内容为</w:t>
      </w:r>
      <w:r>
        <w:rPr>
          <w:rFonts w:hint="eastAsia" w:ascii="宋体" w:hAnsi="宋体" w:eastAsia="宋体" w:cs="宋体"/>
          <w:sz w:val="24"/>
          <w:lang w:eastAsia="zh-CN"/>
        </w:rPr>
        <w:t xml:space="preserve">泰州市中级人民法院大案要案法庭办公办案家具采购，详见项目技术要求和有关说明。</w:t>
      </w:r>
      <w:r/>
    </w:p>
    <w:p>
      <w:pPr>
        <w:ind w:firstLine="480"/>
        <w:keepLines w:val="0"/>
        <w:keepNext w:val="0"/>
        <w:pageBreakBefore w:val="0"/>
        <w:spacing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sz w:val="24"/>
          <w:lang w:val="en-US" w:eastAsia="zh-CN"/>
        </w:rPr>
        <w:t xml:space="preserve">6</w:t>
      </w:r>
      <w:r>
        <w:rPr>
          <w:rFonts w:hint="eastAsia" w:ascii="宋体" w:hAnsi="宋体" w:eastAsia="宋体" w:cs="宋体"/>
          <w:sz w:val="24"/>
        </w:rPr>
        <w:t xml:space="preserve">、</w:t>
      </w:r>
      <w:r>
        <w:rPr>
          <w:rFonts w:hint="eastAsia" w:ascii="宋体" w:hAnsi="宋体" w:eastAsia="宋体" w:cs="宋体"/>
          <w:bCs/>
          <w:sz w:val="24"/>
          <w:szCs w:val="24"/>
          <w:lang w:val="en-US" w:eastAsia="zh-CN" w:bidi="ar-SA"/>
        </w:rPr>
        <w:t xml:space="preserve">合同履行期限：</w:t>
      </w:r>
      <w:r>
        <w:rPr>
          <w:rFonts w:hint="eastAsia" w:ascii="宋体" w:hAnsi="宋体" w:eastAsia="宋体" w:cs="宋体"/>
          <w:sz w:val="24"/>
          <w:highlight w:val="none"/>
          <w:lang w:val="en-US" w:eastAsia="zh-CN"/>
        </w:rPr>
        <w:t xml:space="preserve">25日历天</w:t>
      </w:r>
      <w:r>
        <w:rPr>
          <w:rFonts w:hint="eastAsia" w:ascii="宋体" w:hAnsi="宋体" w:eastAsia="宋体" w:cs="宋体"/>
          <w:sz w:val="24"/>
          <w:highlight w:val="none"/>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lang w:val="en-US" w:eastAsia="zh-CN"/>
        </w:rPr>
        <w:t xml:space="preserve">7、</w:t>
      </w:r>
      <w:r>
        <w:rPr>
          <w:rFonts w:hint="eastAsia" w:ascii="宋体" w:hAnsi="宋体" w:eastAsia="宋体" w:cs="宋体"/>
          <w:sz w:val="24"/>
        </w:rPr>
        <w:t xml:space="preserve">本项目不接受联合体。</w:t>
      </w:r>
      <w:r/>
    </w:p>
    <w:p>
      <w:pPr>
        <w:ind w:firstLine="480"/>
        <w:jc w:val="left"/>
        <w:spacing w:line="360" w:lineRule="auto"/>
        <w:widowControl/>
        <w:rPr>
          <w:rFonts w:hint="eastAsia" w:ascii="宋体" w:hAnsi="宋体" w:eastAsia="宋体" w:cs="宋体"/>
          <w:sz w:val="24"/>
        </w:rPr>
      </w:pPr>
      <w:r>
        <w:rPr>
          <w:rFonts w:hint="eastAsia" w:ascii="宋体" w:hAnsi="宋体" w:eastAsia="宋体" w:cs="宋体"/>
          <w:sz w:val="24"/>
        </w:rPr>
        <w:t xml:space="preserve">二、</w:t>
      </w:r>
      <w:r>
        <w:rPr>
          <w:rFonts w:hint="eastAsia" w:ascii="宋体" w:hAnsi="宋体" w:eastAsia="宋体" w:cs="宋体"/>
          <w:b/>
          <w:bCs/>
          <w:sz w:val="24"/>
        </w:rPr>
        <w:t xml:space="preserve">申请人的资格要求</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（一）通用资格要求</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1.满足《中华人民共和国政府采购法》第二十二条规定，并提供下列材料：</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1.1具有独立承担民事责任的能力；</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1.2具有良好的商业信誉和健全的财务会计制度；</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1.3具有履行合同所必需的设备和专业技术能力；</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1.4有依法缴纳税收和社会保障资金的良好记录；</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1.5参加政府采购活动前三年内在经营活动中没有重大违法记录；</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1.6法律、行政法规规定的其他条件。</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2.未被“信用中国”网站（www.creditchina.gov.cn）或“中国政府采购网”网站（www.ccgp.gov.cn）列入失信被执行人、重大税收违法失信主体名单、政府采购严重违法失信行为记录名单（提供供应商资格声明函）；</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3.单位负责人为同一人或者存在控股、管理关系的不同单位，不得同时参加磋商，否则有关响应文件均被否决（提供供应商资格声明函）；</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4.为采购项目提供整体设计、规范编制或者项目管理、监理、检测等服务的供应商，不得再参加该采购项目的其他采购活动（提供供应商资格声明函）。</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（二）落实政府采购政策需满足的资格要求：本项目专门面向中小微企业,供应商提供的货物应为中小微企业、监狱企业、残疾人福利性单位制造。</w:t>
      </w:r>
      <w:r/>
    </w:p>
    <w:p>
      <w:pPr>
        <w:ind w:firstLine="480"/>
        <w:spacing w:line="40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（三）本项目的特定资格要求：/</w:t>
      </w:r>
      <w:r/>
    </w:p>
    <w:p>
      <w:pPr>
        <w:ind w:firstLine="472"/>
        <w:jc w:val="left"/>
        <w:spacing w:line="360" w:lineRule="auto"/>
        <w:widowControl/>
        <w:rPr>
          <w:rFonts w:hint="eastAsia" w:ascii="宋体" w:hAnsi="宋体" w:eastAsia="宋体" w:cs="宋体"/>
          <w:b/>
          <w:bCs/>
          <w:sz w:val="24"/>
        </w:rPr>
      </w:pPr>
      <w:r>
        <w:rPr>
          <w:rFonts w:hint="eastAsia" w:ascii="宋体" w:hAnsi="宋体" w:eastAsia="宋体" w:cs="宋体"/>
          <w:b/>
          <w:bCs/>
          <w:sz w:val="24"/>
        </w:rPr>
        <w:t xml:space="preserve">三、获取采购文件</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日至20</w:t>
      </w:r>
      <w:r>
        <w:rPr>
          <w:rFonts w:hint="eastAsia" w:ascii="宋体" w:hAnsi="宋体" w:eastAsia="宋体" w:cs="宋体"/>
          <w:sz w:val="24"/>
          <w:szCs w:val="24"/>
          <w:highlight w:val="none"/>
          <w:lang w:val="en-US" w:eastAsia="zh-CN"/>
        </w:rPr>
        <w:t xml:space="preserve">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日。</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（二）获取方式：</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1.地点：网上注册登记成功后系统内免费下载。</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2.获取方式：本项目采用网上注册登记方式。</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3.潜在投标人访问电子招标投标交易平台的网络地址和方法：</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（2）潜在投标人访问“苏采云”系统的网络地址和方法：“苏采云”系统的网址：http://jszfcg.jsczt.cn/，点击“苏采云”进入系统。</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（3）“CA数字证书”的获取：供应商需办理方正CA锁：</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http://www.ccgp-jiangsu.gov.cn/jiangsu/zlxz/ee/ee3a4bc5a3454aa2b0d9312230633ce9.html 。 </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文件（后缀名为“.kedt”）、供应商操作手册及政府采购客户端工具可通过“苏采云”系统--已报名项目--报名详情页面内相应链接进行下载；供应商操作手册及政府采购客户端工具可通过泰州政府采购网—服务指南--下载中心，点击进入“</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"http://czj.taizhou.gov.cn/art/2022/12/9/art_61762_3436049.html" \t "_blank" \o "苏采云系统操作手册（供应商）"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苏采云系统操作手册（供应商）</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”，进行下载。</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（5）招标代理机构（采购代理机构）将数据电文形式的招标文件加载至“苏采云”系统，供潜在投标人下载或者查阅。</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（6）苏采云系统使用谷歌浏览器参与不见面开标。</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（7）有关本次采购的事项若存在变动或修改，敬请及时关注“江苏政府采购网”发布的更正公告。</w:t>
      </w:r>
      <w:r/>
    </w:p>
    <w:p>
      <w:pPr>
        <w:ind w:firstLine="480"/>
        <w:spacing w:line="40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如潜在供应商未按上述要求操作，将自行承担所产生的风险。</w:t>
      </w:r>
      <w:r/>
    </w:p>
    <w:p>
      <w:pPr>
        <w:ind w:left="520"/>
        <w:spacing w:line="480" w:lineRule="auto"/>
        <w:rPr>
          <w:rFonts w:hint="eastAsia" w:ascii="宋体" w:hAnsi="宋体" w:eastAsia="宋体" w:cs="宋体"/>
          <w:b/>
          <w:bCs/>
          <w:sz w:val="24"/>
        </w:rPr>
        <w:outlineLvl w:val="1"/>
      </w:pPr>
      <w:r/>
      <w:bookmarkStart w:id="1" w:name="_Toc35393624"/>
      <w:r/>
      <w:bookmarkStart w:id="2" w:name="_Toc35393793"/>
      <w:r/>
      <w:bookmarkStart w:id="3" w:name="_Toc28359005"/>
      <w:r/>
      <w:bookmarkStart w:id="4" w:name="_Toc28359082"/>
      <w:r>
        <w:rPr>
          <w:rFonts w:hint="eastAsia" w:ascii="宋体" w:hAnsi="宋体" w:eastAsia="宋体" w:cs="宋体"/>
          <w:b/>
          <w:bCs/>
          <w:sz w:val="24"/>
        </w:rPr>
        <w:t xml:space="preserve">四、</w:t>
      </w:r>
      <w:r>
        <w:rPr>
          <w:rFonts w:hint="eastAsia" w:ascii="宋体" w:hAnsi="宋体" w:eastAsia="宋体" w:cs="宋体"/>
          <w:b/>
          <w:bCs/>
          <w:sz w:val="24"/>
          <w:szCs w:val="24"/>
          <w:highlight w:val="none"/>
        </w:rPr>
        <w:t xml:space="preserve">提交投标文件截止时间、开标时间和地点</w:t>
      </w:r>
      <w:bookmarkEnd w:id="1"/>
      <w:r/>
      <w:bookmarkEnd w:id="2"/>
      <w:r/>
      <w:bookmarkEnd w:id="3"/>
      <w:r/>
      <w:bookmarkEnd w:id="4"/>
      <w:r/>
      <w:r/>
    </w:p>
    <w:p>
      <w:pPr>
        <w:ind w:firstLine="480"/>
        <w:spacing w:line="400" w:lineRule="exact"/>
        <w:rPr>
          <w:rFonts w:hint="eastAsia" w:ascii="宋体" w:hAnsi="宋体" w:eastAsia="宋体" w:cs="宋体"/>
          <w:sz w:val="24"/>
          <w:szCs w:val="24"/>
          <w:highlight w:val="none"/>
        </w:rPr>
      </w:pPr>
      <w:r/>
      <w:bookmarkStart w:id="5" w:name="_Toc28359093"/>
      <w:r/>
      <w:bookmarkStart w:id="6" w:name="_Toc35393633"/>
      <w:r/>
      <w:bookmarkStart w:id="7" w:name="_Toc35393802"/>
      <w:r/>
      <w:bookmarkStart w:id="8" w:name="_Toc28359016"/>
      <w:r>
        <w:rPr>
          <w:rFonts w:hint="eastAsia" w:ascii="宋体" w:hAnsi="宋体" w:eastAsia="宋体" w:cs="宋体"/>
          <w:sz w:val="24"/>
          <w:szCs w:val="24"/>
          <w:highlight w:val="none"/>
        </w:rPr>
        <w:t xml:space="preserve">递交截止时间：202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年10</w:t>
      </w:r>
      <w:r>
        <w:rPr>
          <w:rFonts w:hint="eastAsia" w:ascii="宋体" w:hAnsi="宋体" w:eastAsia="宋体" w:cs="宋体"/>
          <w:sz w:val="24"/>
          <w:szCs w:val="24"/>
          <w:highlight w:val="none"/>
          <w:lang w:val="en-US" w:eastAsia="zh-CN"/>
        </w:rPr>
        <w:t xml:space="preserve">月8日14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0（北京时间）</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地点：“苏采云”系统（网址：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"http://jszfcg.jsczt.cn/）\“开标大厅，点击\“苏采云\”进入系统\“开标大厅\”。"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http://jszfcg.jsczt.cn/）“开标大厅，点击“苏采云”进入系统“开标大厅”。</w:t>
      </w:r>
      <w:r>
        <w:rPr>
          <w:rFonts w:hint="eastAsia" w:ascii="宋体" w:hAnsi="宋体" w:eastAsia="宋体" w:cs="宋体"/>
          <w:sz w:val="24"/>
          <w:szCs w:val="24"/>
          <w:highlight w:val="none"/>
        </w:rPr>
        <w:fldChar w:fldCharType="end"/>
      </w:r>
      <w:r/>
    </w:p>
    <w:p>
      <w:pPr>
        <w:ind w:firstLine="480"/>
        <w:spacing w:line="480" w:lineRule="auto"/>
        <w:rPr>
          <w:rFonts w:hint="eastAsia" w:ascii="宋体" w:hAnsi="宋体" w:eastAsia="宋体" w:cs="宋体"/>
          <w:sz w:val="24"/>
          <w:szCs w:val="24"/>
          <w:highlight w:val="none"/>
        </w:rPr>
        <w:outlineLvl w:val="1"/>
      </w:pPr>
      <w:r>
        <w:rPr>
          <w:rFonts w:hint="eastAsia" w:ascii="宋体" w:hAnsi="宋体" w:eastAsia="宋体" w:cs="宋体"/>
          <w:sz w:val="24"/>
          <w:szCs w:val="24"/>
          <w:highlight w:val="none"/>
          <w:lang w:val="en-US" w:eastAsia="zh-CN"/>
        </w:rPr>
        <w:t xml:space="preserve">开标</w:t>
      </w:r>
      <w:r>
        <w:rPr>
          <w:rFonts w:hint="eastAsia" w:ascii="宋体" w:hAnsi="宋体" w:eastAsia="宋体" w:cs="宋体"/>
          <w:sz w:val="24"/>
          <w:szCs w:val="24"/>
          <w:highlight w:val="none"/>
        </w:rPr>
        <w:t xml:space="preserve">时间:202</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10月8日14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0(北京时间)</w:t>
      </w:r>
      <w:bookmarkEnd w:id="5"/>
      <w:r/>
      <w:bookmarkEnd w:id="6"/>
      <w:r/>
      <w:bookmarkEnd w:id="7"/>
      <w:r/>
      <w:bookmarkEnd w:id="8"/>
      <w:r/>
      <w:r/>
    </w:p>
    <w:p>
      <w:pPr>
        <w:ind w:firstLine="482"/>
        <w:keepLines/>
        <w:keepNext/>
        <w:spacing w:line="400" w:lineRule="exact"/>
        <w:rPr>
          <w:rFonts w:hint="eastAsia" w:ascii="宋体" w:hAnsi="宋体" w:eastAsia="宋体" w:cs="宋体"/>
          <w:b/>
          <w:bCs/>
          <w:sz w:val="24"/>
          <w:szCs w:val="24"/>
          <w:highlight w:val="none"/>
        </w:rPr>
      </w:pPr>
      <w:r/>
      <w:bookmarkStart w:id="9" w:name="_Toc28359084"/>
      <w:r/>
      <w:bookmarkStart w:id="10" w:name="_Toc28359007"/>
      <w:r/>
      <w:bookmarkStart w:id="11" w:name="_Toc35393794"/>
      <w:r/>
      <w:bookmarkStart w:id="12" w:name="_Toc35393625"/>
      <w:r>
        <w:rPr>
          <w:rFonts w:hint="eastAsia" w:ascii="宋体" w:hAnsi="宋体" w:eastAsia="宋体" w:cs="宋体"/>
          <w:b/>
          <w:bCs/>
          <w:sz w:val="24"/>
          <w:szCs w:val="24"/>
          <w:highlight w:val="none"/>
        </w:rPr>
        <w:t xml:space="preserve">五、公告期限</w:t>
      </w:r>
      <w:bookmarkEnd w:id="9"/>
      <w:r/>
      <w:bookmarkEnd w:id="10"/>
      <w:r/>
      <w:bookmarkEnd w:id="11"/>
      <w:r/>
      <w:bookmarkEnd w:id="12"/>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个工作日。</w:t>
      </w:r>
      <w:r/>
    </w:p>
    <w:p>
      <w:pPr>
        <w:ind w:firstLine="482"/>
        <w:keepLines/>
        <w:keepNext/>
        <w:spacing w:line="400" w:lineRule="exact"/>
        <w:rPr>
          <w:rFonts w:hint="eastAsia" w:ascii="宋体" w:hAnsi="宋体" w:eastAsia="宋体" w:cs="宋体"/>
          <w:b/>
          <w:bCs/>
          <w:sz w:val="24"/>
          <w:szCs w:val="24"/>
          <w:highlight w:val="none"/>
        </w:rPr>
      </w:pPr>
      <w:r/>
      <w:bookmarkStart w:id="13" w:name="_Toc35393795"/>
      <w:r/>
      <w:bookmarkStart w:id="14" w:name="_Toc35393626"/>
      <w:r>
        <w:rPr>
          <w:rFonts w:hint="eastAsia" w:ascii="宋体" w:hAnsi="宋体" w:eastAsia="宋体" w:cs="宋体"/>
          <w:b/>
          <w:bCs/>
          <w:sz w:val="24"/>
          <w:szCs w:val="24"/>
          <w:highlight w:val="none"/>
        </w:rPr>
        <w:t xml:space="preserve">六、其他补充事宜</w:t>
      </w:r>
      <w:bookmarkEnd w:id="13"/>
      <w:r/>
      <w:bookmarkEnd w:id="14"/>
      <w:r/>
      <w:r/>
    </w:p>
    <w:p>
      <w:pPr>
        <w:pStyle w:val="1013"/>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 根据省财政厅《关于更</w:t>
      </w:r>
      <w:r>
        <w:rPr>
          <w:rFonts w:hint="eastAsia" w:ascii="宋体" w:hAnsi="宋体" w:eastAsia="宋体" w:cs="宋体"/>
          <w:color w:val="00000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pStyle w:val="1013"/>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如果供应商参与2023年9月18日前发布公告的项目，请使用原CA锁（国信CA和金格电子签章）继续完成投标（响应）流程，操作手册及CA办理指南下载链接：http://www.ccgp-jiangsu.gov.cn/jiangsu/zlxz/aa/aa22e7f645df4922b5056d34396771d3.html。</w:t>
      </w:r>
      <w:r/>
    </w:p>
    <w:p>
      <w:pPr>
        <w:pStyle w:val="1013"/>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领取CA和办理电子签章（请至</w:t>
      </w:r>
      <w:r>
        <w:rPr>
          <w:rFonts w:hint="eastAsia" w:ascii="宋体" w:hAnsi="宋体" w:eastAsia="宋体" w:cs="宋体"/>
          <w:color w:val="000000"/>
          <w:sz w:val="24"/>
          <w:szCs w:val="24"/>
          <w:lang w:eastAsia="zh-CN"/>
        </w:rPr>
        <w:t xml:space="preserve">公共资源交易中心一楼</w:t>
      </w:r>
      <w:r>
        <w:rPr>
          <w:rFonts w:hint="eastAsia" w:ascii="宋体" w:hAnsi="宋体" w:eastAsia="宋体" w:cs="宋体"/>
          <w:color w:val="000000"/>
          <w:sz w:val="24"/>
          <w:szCs w:val="24"/>
        </w:rPr>
        <w:t xml:space="preserve">大厅CA办理窗口办理，具体联系方式见《苏采云系统供应商操作手册》（以下简称《操作手册》））、进行注册并按《操作手册》要求制作、上传电子响应文件。</w:t>
      </w:r>
      <w:r/>
    </w:p>
    <w:p>
      <w:pPr>
        <w:pStyle w:val="1013"/>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有关本次</w:t>
      </w:r>
      <w:r>
        <w:rPr>
          <w:rFonts w:hint="eastAsia" w:eastAsia="宋体" w:cs="宋体"/>
          <w:color w:val="000000"/>
          <w:sz w:val="24"/>
          <w:szCs w:val="24"/>
          <w:lang w:eastAsia="zh-CN"/>
        </w:rPr>
        <w:t xml:space="preserve">招标</w:t>
      </w:r>
      <w:r>
        <w:rPr>
          <w:rFonts w:hint="eastAsia" w:ascii="宋体" w:hAnsi="宋体" w:eastAsia="宋体" w:cs="宋体"/>
          <w:color w:val="000000"/>
          <w:sz w:val="24"/>
          <w:szCs w:val="24"/>
        </w:rPr>
        <w:t xml:space="preserve">的事项若存在变动或修改，敬请及时关注</w:t>
      </w:r>
      <w:r>
        <w:rPr>
          <w:rFonts w:hint="eastAsia" w:ascii="宋体" w:hAnsi="宋体" w:eastAsia="宋体" w:cs="宋体"/>
          <w:color w:val="000000"/>
          <w:sz w:val="24"/>
          <w:szCs w:val="24"/>
          <w:lang w:eastAsia="zh-CN"/>
        </w:rPr>
        <w:t xml:space="preserve">江苏经纬工程投资造价咨询事务所有限公司</w:t>
      </w:r>
      <w:r>
        <w:rPr>
          <w:rFonts w:hint="eastAsia" w:ascii="宋体" w:hAnsi="宋体" w:eastAsia="宋体" w:cs="宋体"/>
          <w:color w:val="000000"/>
          <w:sz w:val="24"/>
          <w:szCs w:val="24"/>
        </w:rPr>
        <w:t xml:space="preserve">在“江苏政府采购网”发布的更正公告。</w:t>
      </w:r>
      <w:r/>
    </w:p>
    <w:p>
      <w:pPr>
        <w:pStyle w:val="1013"/>
        <w:ind w:left="0" w:right="0" w:firstLine="482"/>
        <w:jc w:val="left"/>
        <w:keepLines w:val="0"/>
        <w:keepNext w:val="0"/>
        <w:pageBreakBefore w:val="0"/>
        <w:spacing w:before="0" w:beforeAutospacing="0" w:after="0" w:afterAutospacing="0" w:line="0" w:lineRule="atLeast"/>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 本次</w:t>
      </w:r>
      <w:r>
        <w:rPr>
          <w:rFonts w:hint="eastAsia" w:eastAsia="宋体" w:cs="宋体"/>
          <w:color w:val="000000"/>
          <w:sz w:val="24"/>
          <w:szCs w:val="24"/>
          <w:lang w:eastAsia="zh-CN"/>
        </w:rPr>
        <w:t xml:space="preserve">招标</w:t>
      </w:r>
      <w:r>
        <w:rPr>
          <w:rFonts w:hint="eastAsia" w:ascii="宋体" w:hAnsi="宋体" w:eastAsia="宋体" w:cs="宋体"/>
          <w:color w:val="000000"/>
          <w:sz w:val="24"/>
          <w:szCs w:val="24"/>
        </w:rPr>
        <w:t xml:space="preserve">不收取</w:t>
      </w:r>
      <w:r>
        <w:rPr>
          <w:rFonts w:hint="eastAsia" w:eastAsia="宋体" w:cs="宋体"/>
          <w:color w:val="000000"/>
          <w:sz w:val="24"/>
          <w:szCs w:val="24"/>
          <w:lang w:eastAsia="zh-CN"/>
        </w:rPr>
        <w:t xml:space="preserve">投标</w:t>
      </w:r>
      <w:r>
        <w:rPr>
          <w:rFonts w:hint="eastAsia" w:ascii="宋体" w:hAnsi="宋体" w:eastAsia="宋体" w:cs="宋体"/>
          <w:color w:val="000000"/>
          <w:sz w:val="24"/>
          <w:szCs w:val="24"/>
        </w:rPr>
        <w:t xml:space="preserve">保证金。</w:t>
      </w:r>
      <w:r/>
    </w:p>
    <w:p>
      <w:pPr>
        <w:ind w:firstLine="482"/>
        <w:keepLines/>
        <w:keepNext/>
        <w:spacing w:line="400" w:lineRule="exact"/>
        <w:rPr>
          <w:rFonts w:hint="eastAsia" w:ascii="宋体" w:hAnsi="宋体" w:eastAsia="宋体" w:cs="宋体"/>
          <w:b/>
          <w:bCs/>
          <w:sz w:val="24"/>
          <w:szCs w:val="24"/>
          <w:highlight w:val="none"/>
        </w:rPr>
      </w:pPr>
      <w:r/>
      <w:bookmarkStart w:id="15" w:name="_Toc28359008"/>
      <w:r/>
      <w:bookmarkStart w:id="16" w:name="_Toc28359085"/>
      <w:r/>
      <w:bookmarkStart w:id="17" w:name="_Toc35393627"/>
      <w:r/>
      <w:bookmarkStart w:id="18" w:name="_Toc35393796"/>
      <w:r>
        <w:rPr>
          <w:rFonts w:hint="eastAsia" w:ascii="宋体" w:hAnsi="宋体" w:eastAsia="宋体" w:cs="宋体"/>
          <w:b/>
          <w:bCs/>
          <w:sz w:val="24"/>
          <w:szCs w:val="24"/>
          <w:highlight w:val="none"/>
        </w:rPr>
        <w:t xml:space="preserve">七、对本次招标提出询问，请按以下方式联系</w:t>
      </w:r>
      <w:bookmarkEnd w:id="15"/>
      <w:r/>
      <w:bookmarkEnd w:id="16"/>
      <w:r/>
      <w:bookmarkEnd w:id="17"/>
      <w:r/>
      <w:bookmarkEnd w:id="18"/>
      <w:r/>
      <w:r/>
    </w:p>
    <w:p>
      <w:pPr>
        <w:ind w:firstLine="480"/>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spacing w:line="400" w:lineRule="exact"/>
        <w:rPr>
          <w:rFonts w:hint="eastAsia" w:ascii="宋体" w:hAnsi="宋体" w:eastAsia="宋体" w:cs="宋体"/>
          <w:sz w:val="24"/>
          <w:szCs w:val="24"/>
          <w:highlight w:val="none"/>
          <w:lang w:eastAsia="zh-CN"/>
        </w:rPr>
      </w:pPr>
      <w:r/>
      <w:bookmarkStart w:id="19" w:name="_Toc28359009"/>
      <w:r/>
      <w:bookmarkStart w:id="20" w:name="_Toc28359086"/>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江苏省泰州市中级人民法院</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址：江苏省泰州市海陵区凤凰东路52号  </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lang w:eastAsia="zh-CN"/>
        </w:rPr>
        <w:t xml:space="preserve">陈先生</w:t>
      </w:r>
      <w:r>
        <w:rPr>
          <w:rFonts w:hint="eastAsia" w:ascii="宋体" w:hAnsi="宋体" w:eastAsia="宋体" w:cs="宋体"/>
          <w:sz w:val="24"/>
          <w:szCs w:val="24"/>
          <w:highlight w:val="none"/>
        </w:rPr>
        <w:t xml:space="preserve">  </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联系方式：18852668766 </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bookmarkEnd w:id="19"/>
      <w:r/>
      <w:bookmarkEnd w:id="20"/>
      <w:r>
        <w:rPr>
          <w:rFonts w:hint="eastAsia" w:ascii="宋体" w:hAnsi="宋体" w:eastAsia="宋体" w:cs="宋体"/>
          <w:sz w:val="24"/>
          <w:szCs w:val="24"/>
          <w:highlight w:val="none"/>
        </w:rPr>
        <w:t xml:space="preserve">：</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名称：江苏经纬工程投资造价咨询事务所有限公司　</w:t>
      </w:r>
      <w:r/>
    </w:p>
    <w:p>
      <w:pPr>
        <w:ind w:firstLine="480"/>
        <w:spacing w:line="4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lang w:eastAsia="zh-CN"/>
        </w:rPr>
        <w:t xml:space="preserve">泰州市国际汽车城10栋4楼</w:t>
      </w:r>
      <w:r>
        <w:rPr>
          <w:rFonts w:hint="eastAsia" w:ascii="宋体" w:hAnsi="宋体" w:eastAsia="宋体" w:cs="宋体"/>
          <w:sz w:val="24"/>
          <w:szCs w:val="24"/>
          <w:highlight w:val="none"/>
        </w:rPr>
        <w:t xml:space="preserve">　</w:t>
      </w:r>
      <w:r/>
    </w:p>
    <w:p>
      <w:pPr>
        <w:ind w:firstLine="480"/>
        <w:jc w:val="left"/>
        <w:widowControl/>
      </w:pPr>
      <w:r>
        <w:rPr>
          <w:rFonts w:hint="eastAsia" w:ascii="宋体" w:hAnsi="宋体" w:eastAsia="宋体" w:cs="宋体"/>
          <w:sz w:val="24"/>
          <w:szCs w:val="24"/>
          <w:highlight w:val="none"/>
        </w:rPr>
        <w:t xml:space="preserve">联系人：杜先生　联系方式：0523-86882829</w:t>
      </w:r>
      <w:bookmarkEnd w:id="0"/>
      <w:r/>
      <w:r/>
    </w:p>
    <w:p>
      <w:pPr>
        <w:ind w:firstLine="480"/>
        <w:spacing w:line="360" w:lineRule="auto"/>
        <w:rPr>
          <w:rFonts w:hint="eastAsia" w:ascii="宋体" w:hAnsi="宋体" w:eastAsia="宋体" w:cs="宋体"/>
          <w:bCs/>
          <w:sz w:val="24"/>
        </w:rPr>
      </w:pPr>
      <w:r>
        <w:rPr>
          <w:rFonts w:hint="eastAsia" w:ascii="宋体" w:hAnsi="宋体" w:eastAsia="宋体" w:cs="宋体"/>
          <w:bCs/>
          <w:sz w:val="24"/>
        </w:rPr>
      </w:r>
      <w:r/>
    </w:p>
    <w:p>
      <w:pPr>
        <w:spacing w:line="360" w:lineRule="auto"/>
        <w:rPr>
          <w:rFonts w:hint="eastAsia" w:ascii="宋体" w:hAnsi="宋体" w:eastAsia="宋体" w:cs="宋体"/>
        </w:rPr>
      </w:pPr>
      <w:r>
        <w:rPr>
          <w:rFonts w:hint="eastAsia" w:ascii="宋体" w:hAnsi="宋体" w:eastAsia="宋体" w:cs="宋体"/>
        </w:rPr>
      </w:r>
      <w:r/>
    </w:p>
    <w:p>
      <w:pPr>
        <w:pStyle w:val="969"/>
        <w:spacing w:line="360" w:lineRule="auto"/>
        <w:rPr>
          <w:rFonts w:hint="eastAsia" w:ascii="宋体" w:hAnsi="宋体" w:eastAsia="宋体" w:cs="宋体"/>
          <w:b w:val="0"/>
          <w:szCs w:val="22"/>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 w:val="0"/>
          <w:szCs w:val="22"/>
        </w:rPr>
      </w:r>
      <w:r/>
    </w:p>
    <w:p>
      <w:pPr>
        <w:pStyle w:val="969"/>
        <w:numPr>
          <w:ilvl w:val="0"/>
          <w:numId w:val="2"/>
        </w:numPr>
        <w:jc w:val="center"/>
        <w:spacing w:line="360" w:lineRule="auto"/>
        <w:rPr>
          <w:rFonts w:hint="eastAsia" w:ascii="宋体" w:hAnsi="宋体" w:eastAsia="宋体" w:cs="宋体"/>
          <w:b w:val="0"/>
          <w:szCs w:val="22"/>
        </w:rPr>
      </w:pPr>
      <w:r>
        <w:rPr>
          <w:rFonts w:hint="eastAsia" w:ascii="宋体" w:hAnsi="宋体" w:eastAsia="宋体" w:cs="宋体"/>
          <w:b w:val="0"/>
          <w:szCs w:val="22"/>
        </w:rPr>
        <w:t xml:space="preserve">投标人须知</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本表是对投标人须知的具体补充和修改，如有矛盾，均以本资料表为准。标记</w:t>
      </w:r>
      <w:r>
        <w:rPr>
          <w:rFonts w:hint="eastAsia" w:ascii="宋体" w:hAnsi="宋体" w:eastAsia="宋体" w:cs="宋体"/>
          <w:color w:val="000000"/>
          <w:sz w:val="24"/>
        </w:rPr>
        <w:t xml:space="preserve">“</w:t>
      </w:r>
      <w:r>
        <w:rPr>
          <w:rFonts w:hint="eastAsia" w:ascii="宋体" w:hAnsi="宋体" w:eastAsia="宋体" w:cs="宋体"/>
          <w:b/>
          <w:color w:val="000000"/>
          <w:sz w:val="24"/>
        </w:rPr>
        <w:t xml:space="preserve">■</w:t>
      </w:r>
      <w:r>
        <w:rPr>
          <w:rFonts w:hint="eastAsia" w:ascii="宋体" w:hAnsi="宋体" w:eastAsia="宋体" w:cs="宋体"/>
          <w:color w:val="000000"/>
          <w:sz w:val="24"/>
        </w:rPr>
        <w:t xml:space="preserve">”</w:t>
      </w:r>
      <w:r>
        <w:rPr>
          <w:rFonts w:hint="eastAsia" w:ascii="宋体" w:hAnsi="宋体" w:eastAsia="宋体" w:cs="宋体"/>
          <w:sz w:val="24"/>
        </w:rPr>
        <w:t xml:space="preserve">的选项意为适用于本项目，标记“□”的选项意为不适用于本项目。</w:t>
      </w:r>
      <w:r/>
    </w:p>
    <w:tbl>
      <w:tblPr>
        <w:tblStyle w:val="800"/>
        <w:tblW w:w="8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636"/>
      </w:tblGrid>
      <w:tr>
        <w:trPr>
          <w:jc w:val="center"/>
          <w:trHeight w:val="594"/>
          <w:tblHeader/>
        </w:trPr>
        <w:tc>
          <w:tcPr>
            <w:tcW w:w="1701" w:type="dxa"/>
            <w:vAlign w:val="center"/>
            <w:textDirection w:val="lrTb"/>
            <w:noWrap/>
          </w:tcPr>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项目</w:t>
            </w:r>
            <w:r/>
          </w:p>
        </w:tc>
        <w:tc>
          <w:tcPr>
            <w:tcW w:w="6636" w:type="dxa"/>
            <w:vAlign w:val="center"/>
            <w:textDirection w:val="lrTb"/>
            <w:noWrap/>
          </w:tcPr>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内容</w:t>
            </w:r>
            <w:r/>
          </w:p>
        </w:tc>
      </w:tr>
      <w:tr>
        <w:trPr>
          <w:jc w:val="center"/>
          <w:trHeight w:val="20"/>
        </w:trPr>
        <w:tc>
          <w:tcPr>
            <w:tcW w:w="17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项目属性</w:t>
            </w:r>
            <w:r/>
          </w:p>
        </w:tc>
        <w:tc>
          <w:tcPr>
            <w:tcW w:w="6636" w:type="dxa"/>
            <w:vAlign w:val="center"/>
            <w:textDirection w:val="lrTb"/>
            <w:noWrap/>
          </w:tcPr>
          <w:p>
            <w:pPr>
              <w:jc w:val="left"/>
              <w:spacing w:line="360" w:lineRule="auto"/>
              <w:rPr>
                <w:rFonts w:hint="eastAsia" w:ascii="宋体" w:hAnsi="宋体" w:eastAsia="宋体" w:cs="宋体"/>
                <w:sz w:val="24"/>
              </w:rPr>
            </w:pPr>
            <w:r>
              <w:rPr>
                <w:rFonts w:hint="eastAsia" w:ascii="宋体" w:hAnsi="宋体" w:eastAsia="宋体" w:cs="宋体"/>
                <w:sz w:val="24"/>
              </w:rPr>
              <w:t xml:space="preserve">项目属性：</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□服务</w:t>
            </w:r>
            <w:r/>
          </w:p>
          <w:p>
            <w:pPr>
              <w:jc w:val="left"/>
              <w:spacing w:line="360" w:lineRule="auto"/>
              <w:rPr>
                <w:rFonts w:hint="eastAsia" w:ascii="宋体" w:hAnsi="宋体" w:eastAsia="宋体" w:cs="宋体"/>
                <w:sz w:val="24"/>
                <w:u w:val="single"/>
              </w:rPr>
            </w:pPr>
            <w:r>
              <w:rPr>
                <w:rFonts w:hint="eastAsia" w:ascii="宋体" w:hAnsi="宋体" w:eastAsia="宋体" w:cs="宋体"/>
                <w:b/>
                <w:color w:val="000000"/>
                <w:sz w:val="24"/>
              </w:rPr>
              <w:t xml:space="preserve">■</w:t>
            </w:r>
            <w:r>
              <w:rPr>
                <w:rFonts w:hint="eastAsia" w:ascii="宋体" w:hAnsi="宋体" w:eastAsia="宋体" w:cs="宋体"/>
                <w:sz w:val="24"/>
              </w:rPr>
              <w:t xml:space="preserve">货物</w:t>
            </w:r>
            <w:r/>
          </w:p>
        </w:tc>
      </w:tr>
      <w:tr>
        <w:trPr>
          <w:jc w:val="center"/>
          <w:trHeight w:val="20"/>
        </w:trPr>
        <w:tc>
          <w:tcPr>
            <w:tcW w:w="17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科研仪器设备</w:t>
            </w:r>
            <w:r/>
          </w:p>
        </w:tc>
        <w:tc>
          <w:tcPr>
            <w:tcW w:w="6636" w:type="dxa"/>
            <w:vAlign w:val="center"/>
            <w:textDirection w:val="lrTb"/>
            <w:noWrap/>
          </w:tcPr>
          <w:p>
            <w:pPr>
              <w:jc w:val="left"/>
              <w:spacing w:line="360" w:lineRule="auto"/>
              <w:rPr>
                <w:rFonts w:hint="eastAsia" w:ascii="宋体" w:hAnsi="宋体" w:eastAsia="宋体" w:cs="宋体"/>
                <w:sz w:val="24"/>
              </w:rPr>
            </w:pPr>
            <w:r>
              <w:rPr>
                <w:rFonts w:hint="eastAsia" w:ascii="宋体" w:hAnsi="宋体" w:eastAsia="宋体" w:cs="宋体"/>
                <w:sz w:val="24"/>
              </w:rPr>
              <w:t xml:space="preserve">是否属于科研仪器设备采购项目：</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□是</w:t>
            </w:r>
            <w:r/>
          </w:p>
          <w:p>
            <w:pPr>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否</w:t>
            </w:r>
            <w:r/>
          </w:p>
        </w:tc>
      </w:tr>
      <w:tr>
        <w:trPr>
          <w:jc w:val="center"/>
          <w:trHeight w:val="20"/>
        </w:trPr>
        <w:tc>
          <w:tcPr>
            <w:tcW w:w="17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现场考察</w:t>
            </w:r>
            <w:r/>
          </w:p>
        </w:tc>
        <w:tc>
          <w:tcPr>
            <w:tcW w:w="6636" w:type="dxa"/>
            <w:vAlign w:val="center"/>
            <w:textDirection w:val="lrTb"/>
            <w:noWrap/>
          </w:tcPr>
          <w:p>
            <w:pPr>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不组织</w:t>
            </w:r>
            <w:r/>
          </w:p>
          <w:p>
            <w:pPr>
              <w:jc w:val="left"/>
              <w:spacing w:line="360" w:lineRule="auto"/>
              <w:rPr>
                <w:rFonts w:hint="eastAsia" w:ascii="宋体" w:hAnsi="宋体" w:eastAsia="宋体" w:cs="宋体"/>
                <w:bCs/>
                <w:sz w:val="24"/>
              </w:rPr>
            </w:pPr>
            <w:r>
              <w:rPr>
                <w:rFonts w:hint="eastAsia" w:ascii="宋体" w:hAnsi="宋体" w:eastAsia="宋体" w:cs="宋体"/>
                <w:sz w:val="24"/>
              </w:rPr>
              <w:t xml:space="preserve">□组织，考察时间：__年_月_日_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p>
          <w:p>
            <w:pPr>
              <w:pStyle w:val="996"/>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考察地点：____________。</w:t>
            </w:r>
            <w:r/>
          </w:p>
          <w:p>
            <w:pPr>
              <w:pStyle w:val="996"/>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供应商可自行前往采购人处了解项目情况</w:t>
            </w:r>
            <w:r/>
          </w:p>
        </w:tc>
      </w:tr>
      <w:tr>
        <w:trPr>
          <w:jc w:val="center"/>
          <w:trHeight w:val="20"/>
        </w:trPr>
        <w:tc>
          <w:tcPr>
            <w:tcW w:w="17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开标前答疑会</w:t>
            </w:r>
            <w:r/>
          </w:p>
        </w:tc>
        <w:tc>
          <w:tcPr>
            <w:tcW w:w="6636" w:type="dxa"/>
            <w:vAlign w:val="center"/>
            <w:textDirection w:val="lrTb"/>
            <w:noWrap/>
          </w:tcPr>
          <w:p>
            <w:pPr>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不召开</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□召开，召开时间：__年_月_日_</w:t>
            </w:r>
            <w:r>
              <w:rPr>
                <w:rFonts w:hint="eastAsia" w:ascii="宋体" w:hAnsi="宋体" w:eastAsia="宋体" w:cs="宋体"/>
                <w:bCs/>
                <w:sz w:val="24"/>
              </w:rPr>
              <w:t xml:space="preserve">点</w:t>
            </w:r>
            <w:r>
              <w:rPr>
                <w:rFonts w:hint="eastAsia" w:ascii="宋体" w:hAnsi="宋体" w:eastAsia="宋体" w:cs="宋体"/>
                <w:sz w:val="24"/>
              </w:rPr>
              <w:t xml:space="preserve">_</w:t>
            </w:r>
            <w:r>
              <w:rPr>
                <w:rFonts w:hint="eastAsia" w:ascii="宋体" w:hAnsi="宋体" w:eastAsia="宋体" w:cs="宋体"/>
                <w:bCs/>
                <w:sz w:val="24"/>
              </w:rPr>
              <w:t xml:space="preserve">分</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召开地点：____________。</w:t>
            </w:r>
            <w:r/>
          </w:p>
        </w:tc>
      </w:tr>
      <w:tr>
        <w:trPr>
          <w:jc w:val="center"/>
          <w:trHeight w:val="1535"/>
        </w:trPr>
        <w:tc>
          <w:tcPr>
            <w:tcW w:w="17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标的所属行业</w:t>
            </w:r>
            <w:r/>
          </w:p>
        </w:tc>
        <w:tc>
          <w:tcPr>
            <w:tcW w:w="6636" w:type="dxa"/>
            <w:vAlign w:val="center"/>
            <w:textDirection w:val="lrTb"/>
            <w:noWrap/>
          </w:tcPr>
          <w:p>
            <w:pPr>
              <w:jc w:val="left"/>
              <w:spacing w:line="360" w:lineRule="auto"/>
              <w:rPr>
                <w:rFonts w:hint="eastAsia" w:ascii="宋体" w:hAnsi="宋体" w:eastAsia="宋体" w:cs="宋体"/>
                <w:sz w:val="24"/>
              </w:rPr>
            </w:pPr>
            <w:r>
              <w:rPr>
                <w:rFonts w:hint="eastAsia" w:ascii="宋体" w:hAnsi="宋体" w:eastAsia="宋体" w:cs="宋体"/>
                <w:sz w:val="24"/>
              </w:rPr>
              <w:t xml:space="preserve">本项目采购标的对应的中小企业划分标准所属行业：</w:t>
            </w:r>
            <w:r/>
          </w:p>
          <w:tbl>
            <w:tblPr>
              <w:tblStyle w:val="800"/>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99"/>
              <w:gridCol w:w="3211"/>
            </w:tblGrid>
            <w:tr>
              <w:trPr>
                <w:trHeight w:val="454"/>
              </w:trPr>
              <w:tc>
                <w:tcPr>
                  <w:tcW w:w="2495" w:type="dxa"/>
                  <w:vAlign w:val="center"/>
                  <w:textDirection w:val="lrTb"/>
                  <w:noWrap/>
                </w:tcPr>
                <w:p>
                  <w:pPr>
                    <w:jc w:val="center"/>
                    <w:spacing w:line="360" w:lineRule="auto"/>
                    <w:rPr>
                      <w:rFonts w:hint="eastAsia" w:ascii="宋体" w:hAnsi="宋体" w:eastAsia="宋体" w:cs="宋体"/>
                      <w:bCs/>
                      <w:sz w:val="24"/>
                    </w:rPr>
                  </w:pPr>
                  <w:r>
                    <w:rPr>
                      <w:rFonts w:hint="eastAsia" w:ascii="宋体" w:hAnsi="宋体" w:eastAsia="宋体" w:cs="宋体"/>
                      <w:bCs/>
                      <w:sz w:val="24"/>
                    </w:rPr>
                    <w:t xml:space="preserve">标的名称</w:t>
                  </w:r>
                  <w:r/>
                </w:p>
              </w:tc>
              <w:tc>
                <w:tcPr>
                  <w:tcW w:w="2505"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中小企业划分标准所属行业</w:t>
                  </w:r>
                  <w:r/>
                </w:p>
              </w:tc>
            </w:tr>
            <w:tr>
              <w:trPr>
                <w:trHeight w:val="454"/>
              </w:trPr>
              <w:tc>
                <w:tcPr>
                  <w:tcW w:w="2495" w:type="dxa"/>
                  <w:vAlign w:val="center"/>
                  <w:textDirection w:val="lrTb"/>
                  <w:noWrap/>
                </w:tcPr>
                <w:p>
                  <w:pPr>
                    <w:jc w:val="center"/>
                    <w:spacing w:line="360" w:lineRule="auto"/>
                    <w:rPr>
                      <w:rFonts w:hint="eastAsia" w:ascii="宋体" w:hAnsi="宋体" w:eastAsia="宋体" w:cs="宋体"/>
                      <w:bCs/>
                      <w:sz w:val="24"/>
                      <w:lang w:eastAsia="zh-CN"/>
                    </w:rPr>
                  </w:pPr>
                  <w:r>
                    <w:rPr>
                      <w:rFonts w:hint="eastAsia" w:ascii="宋体" w:hAnsi="宋体" w:eastAsia="宋体" w:cs="宋体"/>
                      <w:sz w:val="24"/>
                      <w:lang w:eastAsia="zh-CN"/>
                    </w:rPr>
                    <w:t xml:space="preserve">泰州市中级人民法院大案要案法庭办公办案家具采购</w:t>
                  </w:r>
                  <w:r/>
                </w:p>
              </w:tc>
              <w:tc>
                <w:tcPr>
                  <w:tcW w:w="2505" w:type="dxa"/>
                  <w:vAlign w:val="center"/>
                  <w:textDirection w:val="lrTb"/>
                  <w:noWrap/>
                </w:tcPr>
                <w:p>
                  <w:pPr>
                    <w:jc w:val="center"/>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工业</w:t>
                  </w:r>
                  <w:r/>
                </w:p>
              </w:tc>
            </w:tr>
          </w:tbl>
          <w:p>
            <w:pPr>
              <w:jc w:val="left"/>
              <w:spacing w:line="360" w:lineRule="auto"/>
              <w:rPr>
                <w:rFonts w:hint="eastAsia" w:ascii="宋体" w:hAnsi="宋体" w:eastAsia="宋体" w:cs="宋体"/>
                <w:sz w:val="24"/>
              </w:rPr>
            </w:pPr>
            <w:r>
              <w:rPr>
                <w:rFonts w:hint="eastAsia" w:ascii="宋体" w:hAnsi="宋体" w:eastAsia="宋体" w:cs="宋体"/>
                <w:sz w:val="24"/>
              </w:rPr>
            </w:r>
            <w:r/>
          </w:p>
        </w:tc>
      </w:tr>
      <w:tr>
        <w:trPr>
          <w:jc w:val="center"/>
          <w:trHeight w:val="1535"/>
        </w:trPr>
        <w:tc>
          <w:tcPr>
            <w:tcW w:w="17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投标报价</w:t>
            </w:r>
            <w:r/>
          </w:p>
        </w:tc>
        <w:tc>
          <w:tcPr>
            <w:tcW w:w="6636" w:type="dxa"/>
            <w:vAlign w:val="center"/>
            <w:textDirection w:val="lrTb"/>
            <w:noWrap/>
          </w:tcPr>
          <w:p>
            <w:pPr>
              <w:jc w:val="left"/>
              <w:spacing w:line="360" w:lineRule="auto"/>
              <w:rPr>
                <w:rFonts w:hint="eastAsia" w:ascii="宋体" w:hAnsi="宋体" w:eastAsia="宋体" w:cs="宋体"/>
                <w:sz w:val="24"/>
              </w:rPr>
            </w:pPr>
            <w:r>
              <w:rPr>
                <w:rFonts w:hint="eastAsia" w:ascii="宋体" w:hAnsi="宋体" w:eastAsia="宋体" w:cs="宋体"/>
                <w:sz w:val="24"/>
              </w:rPr>
              <w:t xml:space="preserve">投标报价的特殊规定：</w:t>
            </w:r>
            <w:r/>
          </w:p>
          <w:p>
            <w:pPr>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无</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□有，具体情形：_____。</w:t>
            </w:r>
            <w:r/>
          </w:p>
        </w:tc>
      </w:tr>
      <w:tr>
        <w:trPr>
          <w:jc w:val="center"/>
          <w:trHeight w:val="775"/>
        </w:trPr>
        <w:tc>
          <w:tcPr>
            <w:tcW w:w="17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投标保证金</w:t>
            </w:r>
            <w:r/>
          </w:p>
        </w:tc>
        <w:tc>
          <w:tcPr>
            <w:tcW w:w="6636" w:type="dxa"/>
            <w:vAlign w:val="center"/>
            <w:textDirection w:val="lrTb"/>
            <w:noWrap/>
          </w:tcPr>
          <w:p>
            <w:pPr>
              <w:pStyle w:val="996"/>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投标保证金金额：</w:t>
            </w:r>
            <w:r>
              <w:rPr>
                <w:rFonts w:hint="eastAsia" w:hAnsi="宋体" w:eastAsia="宋体" w:cs="宋体"/>
                <w:bCs/>
                <w:sz w:val="24"/>
                <w:szCs w:val="24"/>
                <w:lang w:val="en-US" w:eastAsia="zh-CN"/>
              </w:rPr>
              <w:t xml:space="preserve">本项目不需要缴纳投标保证金</w:t>
            </w:r>
            <w:r>
              <w:rPr>
                <w:rFonts w:hint="eastAsia" w:hAnsi="宋体" w:eastAsia="宋体" w:cs="宋体"/>
                <w:sz w:val="24"/>
                <w:szCs w:val="24"/>
                <w:lang w:val="en-US" w:eastAsia="zh-CN"/>
              </w:rPr>
              <w:t xml:space="preserve">。</w:t>
            </w:r>
            <w:r/>
          </w:p>
        </w:tc>
      </w:tr>
      <w:tr>
        <w:trPr>
          <w:jc w:val="center"/>
          <w:trHeight w:val="825"/>
        </w:trPr>
        <w:tc>
          <w:tcPr>
            <w:tcW w:w="17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投标有效期</w:t>
            </w:r>
            <w:r/>
          </w:p>
        </w:tc>
        <w:tc>
          <w:tcPr>
            <w:tcW w:w="6636" w:type="dxa"/>
            <w:vAlign w:val="center"/>
            <w:textDirection w:val="lrTb"/>
            <w:noWrap/>
          </w:tcPr>
          <w:p>
            <w:pPr>
              <w:jc w:val="left"/>
              <w:spacing w:line="360" w:lineRule="auto"/>
              <w:rPr>
                <w:rFonts w:hint="eastAsia" w:ascii="宋体" w:hAnsi="宋体" w:eastAsia="宋体" w:cs="宋体"/>
                <w:sz w:val="24"/>
              </w:rPr>
            </w:pPr>
            <w:r>
              <w:rPr>
                <w:rFonts w:hint="eastAsia" w:ascii="宋体" w:hAnsi="宋体" w:eastAsia="宋体" w:cs="宋体"/>
                <w:sz w:val="24"/>
              </w:rPr>
              <w:t xml:space="preserve">自提交投标文件的截止之日起算</w:t>
            </w:r>
            <w:r>
              <w:rPr>
                <w:rFonts w:hint="eastAsia" w:ascii="宋体" w:hAnsi="宋体" w:eastAsia="宋体" w:cs="宋体"/>
                <w:sz w:val="24"/>
                <w:u w:val="single"/>
              </w:rPr>
              <w:t xml:space="preserve">90</w:t>
            </w:r>
            <w:r>
              <w:rPr>
                <w:rFonts w:hint="eastAsia" w:ascii="宋体" w:hAnsi="宋体" w:eastAsia="宋体" w:cs="宋体"/>
                <w:sz w:val="24"/>
              </w:rPr>
              <w:t xml:space="preserve">日历天。</w:t>
            </w:r>
            <w:r/>
          </w:p>
        </w:tc>
      </w:tr>
      <w:tr>
        <w:trPr>
          <w:jc w:val="center"/>
          <w:trHeight w:val="1535"/>
        </w:trPr>
        <w:tc>
          <w:tcPr>
            <w:tcW w:w="17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确定中标人</w:t>
            </w:r>
            <w:r/>
          </w:p>
        </w:tc>
        <w:tc>
          <w:tcPr>
            <w:tcW w:w="6636" w:type="dxa"/>
            <w:vAlign w:val="center"/>
            <w:textDirection w:val="lrTb"/>
            <w:noWrap/>
          </w:tcPr>
          <w:p>
            <w:pPr>
              <w:pStyle w:val="996"/>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中标候选人并列的，采购人是否委托评标委员会确定中标人：</w:t>
            </w:r>
            <w:r/>
          </w:p>
          <w:p>
            <w:pPr>
              <w:pStyle w:val="996"/>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□否</w:t>
            </w:r>
            <w:r/>
          </w:p>
          <w:p>
            <w:pPr>
              <w:pStyle w:val="996"/>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是</w:t>
            </w:r>
            <w:r/>
          </w:p>
          <w:p>
            <w:pPr>
              <w:pStyle w:val="996"/>
              <w:spacing w:line="360" w:lineRule="auto"/>
              <w:rPr>
                <w:rFonts w:hint="eastAsia" w:hAnsi="宋体" w:eastAsia="宋体" w:cs="宋体"/>
                <w:sz w:val="24"/>
                <w:szCs w:val="24"/>
                <w:lang w:val="en-US" w:eastAsia="zh-CN"/>
              </w:rPr>
            </w:pPr>
            <w:r>
              <w:rPr>
                <w:rFonts w:hint="eastAsia" w:hAnsi="宋体" w:eastAsia="宋体" w:cs="宋体"/>
                <w:sz w:val="24"/>
                <w:szCs w:val="24"/>
                <w:lang w:val="en-US" w:eastAsia="zh-CN"/>
              </w:rPr>
              <w:t xml:space="preserve">中标候选人并列的，按照以下方式确定中标人： </w:t>
            </w:r>
            <w:r/>
          </w:p>
          <w:p>
            <w:pPr>
              <w:pStyle w:val="996"/>
              <w:spacing w:line="360" w:lineRule="auto"/>
              <w:rPr>
                <w:rFonts w:hint="eastAsia" w:hAnsi="宋体" w:eastAsia="宋体" w:cs="宋体"/>
                <w:sz w:val="24"/>
                <w:szCs w:val="24"/>
                <w:lang w:val="en-US" w:eastAsia="zh-CN"/>
              </w:rPr>
            </w:pPr>
            <w:r>
              <w:rPr>
                <w:rFonts w:hint="eastAsia" w:hAnsi="宋体" w:eastAsia="宋体" w:cs="宋体"/>
                <w:b/>
                <w:color w:val="000000"/>
                <w:sz w:val="24"/>
                <w:szCs w:val="24"/>
                <w:lang w:val="en-US" w:eastAsia="zh-CN"/>
              </w:rPr>
              <w:t xml:space="preserve">■</w:t>
            </w:r>
            <w:r>
              <w:rPr>
                <w:rFonts w:hint="eastAsia" w:hAnsi="宋体" w:eastAsia="宋体" w:cs="宋体"/>
                <w:sz w:val="24"/>
                <w:szCs w:val="24"/>
                <w:lang w:val="en-US" w:eastAsia="zh-CN"/>
              </w:rPr>
              <w:t xml:space="preserve">得分且投标报价均相同的，以</w:t>
            </w:r>
            <w:r>
              <w:rPr>
                <w:rFonts w:hint="eastAsia" w:hAnsi="宋体" w:eastAsia="宋体" w:cs="宋体"/>
                <w:sz w:val="24"/>
                <w:szCs w:val="24"/>
                <w:u w:val="single"/>
                <w:lang w:val="en-US" w:eastAsia="zh-CN"/>
              </w:rPr>
              <w:t xml:space="preserve">技术方案</w:t>
            </w:r>
            <w:r>
              <w:rPr>
                <w:rFonts w:hint="eastAsia" w:hAnsi="宋体" w:eastAsia="宋体" w:cs="宋体"/>
                <w:sz w:val="24"/>
                <w:szCs w:val="24"/>
                <w:lang w:val="en-US" w:eastAsia="zh-CN"/>
              </w:rPr>
              <w:t xml:space="preserve">得分高者为中标人</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□随机抽取</w:t>
            </w:r>
            <w:r/>
          </w:p>
        </w:tc>
      </w:tr>
      <w:tr>
        <w:trPr>
          <w:jc w:val="center"/>
          <w:trHeight w:val="1535"/>
        </w:trPr>
        <w:tc>
          <w:tcPr>
            <w:tcW w:w="17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分包</w:t>
            </w:r>
            <w:r/>
          </w:p>
        </w:tc>
        <w:tc>
          <w:tcPr>
            <w:tcW w:w="6636" w:type="dxa"/>
            <w:vAlign w:val="center"/>
            <w:textDirection w:val="lrTb"/>
            <w:noWrap/>
          </w:tcPr>
          <w:p>
            <w:pPr>
              <w:jc w:val="left"/>
              <w:spacing w:line="360" w:lineRule="auto"/>
              <w:rPr>
                <w:rFonts w:hint="eastAsia" w:ascii="宋体" w:hAnsi="宋体" w:eastAsia="宋体" w:cs="宋体"/>
                <w:sz w:val="24"/>
              </w:rPr>
            </w:pPr>
            <w:r>
              <w:rPr>
                <w:rFonts w:hint="eastAsia" w:ascii="宋体" w:hAnsi="宋体" w:eastAsia="宋体" w:cs="宋体"/>
                <w:sz w:val="24"/>
              </w:rPr>
              <w:t xml:space="preserve">本项目的非主体、非关键性工作是否允许分包： </w:t>
            </w:r>
            <w:r/>
          </w:p>
          <w:p>
            <w:pPr>
              <w:jc w:val="left"/>
              <w:spacing w:line="360" w:lineRule="auto"/>
              <w:rPr>
                <w:rFonts w:hint="eastAsia" w:ascii="宋体" w:hAnsi="宋体" w:eastAsia="宋体" w:cs="宋体"/>
                <w:sz w:val="24"/>
              </w:rPr>
            </w:pPr>
            <w:r>
              <w:rPr>
                <w:rFonts w:hint="eastAsia" w:ascii="宋体" w:hAnsi="宋体" w:eastAsia="宋体" w:cs="宋体"/>
                <w:b/>
                <w:color w:val="000000"/>
                <w:sz w:val="24"/>
              </w:rPr>
              <w:t xml:space="preserve">■</w:t>
            </w:r>
            <w:r>
              <w:rPr>
                <w:rFonts w:hint="eastAsia" w:ascii="宋体" w:hAnsi="宋体" w:eastAsia="宋体" w:cs="宋体"/>
                <w:sz w:val="24"/>
              </w:rPr>
              <w:t xml:space="preserve">不允许</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□允许，具体要求：</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（1）可以分包履行的具体内容：_____；</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（2）允许分包的金额或者比例：_____；</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（3）其他要求：_____。</w:t>
            </w:r>
            <w:r/>
          </w:p>
        </w:tc>
      </w:tr>
      <w:tr>
        <w:trPr>
          <w:jc w:val="center"/>
          <w:trHeight w:val="738"/>
        </w:trPr>
        <w:tc>
          <w:tcPr>
            <w:tcW w:w="17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询问</w:t>
            </w:r>
            <w:r/>
          </w:p>
        </w:tc>
        <w:tc>
          <w:tcPr>
            <w:tcW w:w="6636" w:type="dxa"/>
            <w:vAlign w:val="center"/>
            <w:textDirection w:val="lrTb"/>
            <w:noWrap/>
          </w:tcPr>
          <w:p>
            <w:pPr>
              <w:jc w:val="left"/>
              <w:spacing w:line="360" w:lineRule="auto"/>
              <w:rPr>
                <w:rFonts w:hint="eastAsia" w:ascii="宋体" w:hAnsi="宋体" w:eastAsia="宋体" w:cs="宋体"/>
                <w:sz w:val="24"/>
              </w:rPr>
            </w:pPr>
            <w:r>
              <w:rPr>
                <w:rFonts w:hint="eastAsia" w:ascii="宋体" w:hAnsi="宋体" w:eastAsia="宋体" w:cs="宋体"/>
                <w:sz w:val="24"/>
              </w:rPr>
              <w:t xml:space="preserve">询问送达形式：以书面形式送达至联系地点</w:t>
            </w:r>
            <w:r/>
          </w:p>
        </w:tc>
      </w:tr>
      <w:tr>
        <w:trPr>
          <w:jc w:val="center"/>
          <w:trHeight w:val="1535"/>
        </w:trPr>
        <w:tc>
          <w:tcPr>
            <w:tcW w:w="17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联系方式</w:t>
            </w:r>
            <w:r/>
          </w:p>
        </w:tc>
        <w:tc>
          <w:tcPr>
            <w:tcW w:w="6636" w:type="dxa"/>
            <w:vAlign w:val="center"/>
            <w:textDirection w:val="lrTb"/>
            <w:noWrap/>
          </w:tcPr>
          <w:p>
            <w:pPr>
              <w:jc w:val="left"/>
              <w:spacing w:line="360" w:lineRule="auto"/>
              <w:rPr>
                <w:rFonts w:hint="eastAsia" w:ascii="宋体" w:hAnsi="宋体" w:eastAsia="宋体" w:cs="宋体"/>
                <w:sz w:val="24"/>
              </w:rPr>
            </w:pPr>
            <w:r>
              <w:rPr>
                <w:rFonts w:hint="eastAsia" w:ascii="宋体" w:hAnsi="宋体" w:eastAsia="宋体" w:cs="宋体"/>
                <w:sz w:val="24"/>
              </w:rPr>
              <w:t xml:space="preserve">接收询问和质疑的联系方式</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联系部门：江苏经纬工程投资造价咨询事务所有限公司；</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联系电话：0523-86882829；</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通讯地址：泰州市国际汽车城10栋4楼。</w:t>
            </w:r>
            <w:r/>
          </w:p>
        </w:tc>
      </w:tr>
      <w:tr>
        <w:trPr>
          <w:jc w:val="center"/>
          <w:trHeight w:val="1535"/>
        </w:trPr>
        <w:tc>
          <w:tcPr>
            <w:tcW w:w="1701" w:type="dxa"/>
            <w:vAlign w:val="center"/>
            <w:textDirection w:val="lrTb"/>
            <w:noWrap/>
          </w:tcPr>
          <w:p>
            <w:pPr>
              <w:jc w:val="center"/>
              <w:spacing w:line="360" w:lineRule="auto"/>
              <w:rPr>
                <w:rFonts w:hint="eastAsia" w:ascii="宋体" w:hAnsi="宋体" w:eastAsia="宋体" w:cs="宋体"/>
                <w:sz w:val="24"/>
              </w:rPr>
            </w:pPr>
            <w:r>
              <w:rPr>
                <w:rFonts w:hint="eastAsia" w:ascii="宋体" w:hAnsi="宋体" w:eastAsia="宋体" w:cs="宋体"/>
                <w:sz w:val="24"/>
              </w:rPr>
              <w:t xml:space="preserve">代理费</w:t>
            </w:r>
            <w:r/>
          </w:p>
        </w:tc>
        <w:tc>
          <w:tcPr>
            <w:tcW w:w="6636" w:type="dxa"/>
            <w:vAlign w:val="center"/>
            <w:textDirection w:val="lrTb"/>
            <w:noWrap/>
          </w:tcPr>
          <w:p>
            <w:pPr>
              <w:jc w:val="left"/>
              <w:spacing w:line="360" w:lineRule="auto"/>
              <w:rPr>
                <w:rFonts w:hint="eastAsia" w:ascii="宋体" w:hAnsi="宋体" w:eastAsia="宋体" w:cs="宋体"/>
                <w:sz w:val="24"/>
              </w:rPr>
            </w:pPr>
            <w:r>
              <w:rPr>
                <w:rFonts w:hint="eastAsia" w:ascii="宋体" w:hAnsi="宋体" w:eastAsia="宋体" w:cs="宋体"/>
                <w:sz w:val="24"/>
              </w:rPr>
              <w:t xml:space="preserve">收费对象：</w:t>
            </w:r>
            <w:r/>
          </w:p>
          <w:p>
            <w:pPr>
              <w:jc w:val="left"/>
              <w:spacing w:line="360" w:lineRule="auto"/>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rPr>
              <w:t xml:space="preserve">采购人</w:t>
            </w:r>
            <w:r/>
          </w:p>
          <w:p>
            <w:pPr>
              <w:jc w:val="left"/>
              <w:spacing w:line="360" w:lineRule="auto"/>
              <w:rPr>
                <w:rFonts w:hint="eastAsia" w:ascii="宋体" w:hAnsi="宋体" w:eastAsia="宋体" w:cs="宋体"/>
                <w:sz w:val="24"/>
              </w:rPr>
            </w:pPr>
            <w:r>
              <w:rPr>
                <w:rFonts w:ascii="Wingdings 2" w:hAnsi="Wingdings 2" w:eastAsia="Wingdings 2" w:cs="Wingdings 2"/>
                <w:sz w:val="24"/>
              </w:rPr>
              <w:t xml:space="preserve">£</w:t>
            </w:r>
            <w:r>
              <w:rPr>
                <w:rFonts w:hint="eastAsia" w:ascii="宋体" w:hAnsi="宋体" w:eastAsia="宋体" w:cs="宋体"/>
                <w:sz w:val="24"/>
              </w:rPr>
              <w:t xml:space="preserve">中标人</w:t>
            </w:r>
            <w:r/>
          </w:p>
        </w:tc>
      </w:tr>
    </w:tbl>
    <w:p>
      <w:pPr>
        <w:ind w:firstLine="486"/>
        <w:spacing w:line="360" w:lineRule="auto"/>
        <w:rPr>
          <w:rFonts w:hint="eastAsia" w:ascii="宋体" w:hAnsi="宋体" w:eastAsia="宋体" w:cs="宋体"/>
          <w:bCs/>
          <w:sz w:val="24"/>
        </w:rPr>
      </w:pPr>
      <w:r>
        <w:rPr>
          <w:rFonts w:hint="eastAsia" w:ascii="宋体" w:hAnsi="宋体" w:eastAsia="宋体" w:cs="宋体"/>
          <w:bCs/>
          <w:sz w:val="24"/>
        </w:rPr>
      </w:r>
      <w:r/>
    </w:p>
    <w:p>
      <w:pPr>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（一）遵循原则：</w:t>
      </w:r>
      <w:r/>
    </w:p>
    <w:p>
      <w:pPr>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公开透明原则、公平竞争原则、公正原则和诚实信用原则。</w:t>
      </w:r>
      <w:r/>
    </w:p>
    <w:p>
      <w:pPr>
        <w:numPr>
          <w:ilvl w:val="0"/>
          <w:numId w:val="3"/>
        </w:numPr>
        <w:spacing w:line="360" w:lineRule="auto"/>
        <w:rPr>
          <w:rFonts w:hint="eastAsia" w:ascii="宋体" w:hAnsi="宋体" w:eastAsia="宋体" w:cs="宋体"/>
          <w:bCs/>
          <w:sz w:val="24"/>
        </w:rPr>
      </w:pPr>
      <w:r>
        <w:rPr>
          <w:rFonts w:hint="eastAsia" w:ascii="宋体" w:hAnsi="宋体" w:eastAsia="宋体" w:cs="宋体"/>
          <w:bCs/>
          <w:sz w:val="24"/>
        </w:rPr>
        <w:t xml:space="preserve">招标文件：</w:t>
      </w:r>
      <w:r/>
    </w:p>
    <w:p>
      <w:pPr>
        <w:numPr>
          <w:ilvl w:val="0"/>
          <w:numId w:val="4"/>
        </w:numPr>
        <w:ind w:left="0" w:firstLine="529"/>
        <w:spacing w:line="360" w:lineRule="auto"/>
        <w:tabs>
          <w:tab w:val="left" w:pos="-126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招标文件包括本文件目录所列全部内容，投标人应仔细阅读，并在投标文件中充分响应招标文件的所有要求。</w:t>
      </w:r>
      <w:r/>
    </w:p>
    <w:p>
      <w:pPr>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招标文件中的“法定代表人”是指投标人的营业执照或相关部门的登记证明文件中的“法定代表人”或“负责人”。</w:t>
      </w:r>
      <w:r/>
    </w:p>
    <w:p>
      <w:pPr>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w:t>
      </w:r>
      <w:r>
        <w:rPr>
          <w:rFonts w:hint="eastAsia" w:ascii="宋体" w:hAnsi="宋体" w:eastAsia="宋体" w:cs="宋体"/>
          <w:szCs w:val="21"/>
        </w:rPr>
        <w:t xml:space="preserve">http://tzzfcg.taizhou.gov.cn</w:t>
      </w:r>
      <w:r>
        <w:rPr>
          <w:rFonts w:hint="eastAsia" w:ascii="宋体" w:hAnsi="宋体" w:eastAsia="宋体" w:cs="宋体"/>
          <w:bCs/>
          <w:szCs w:val="21"/>
        </w:rPr>
        <w:t xml:space="preserve">，</w:t>
      </w:r>
      <w:r>
        <w:rPr>
          <w:rFonts w:hint="eastAsia" w:ascii="宋体" w:hAnsi="宋体" w:eastAsia="宋体" w:cs="宋体"/>
          <w:bCs/>
          <w:sz w:val="24"/>
        </w:rPr>
        <w:t xml:space="preserve">下同）采购公告中下载招标文件及有关资料，按招标文件要求提交全部资料并对招标文件各项内容做出实质性响应，否则投标无效。</w:t>
      </w:r>
      <w:r/>
    </w:p>
    <w:p>
      <w:pPr>
        <w:numPr>
          <w:ilvl w:val="0"/>
          <w:numId w:val="4"/>
        </w:numPr>
        <w:ind w:left="0" w:firstLine="529"/>
        <w:spacing w:line="360" w:lineRule="auto"/>
        <w:tabs>
          <w:tab w:val="left" w:pos="0" w:leader="none"/>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招标文件仅作为本次招投标使用。</w:t>
      </w:r>
      <w:r/>
    </w:p>
    <w:p>
      <w:pPr>
        <w:ind w:firstLine="486"/>
        <w:spacing w:line="360" w:lineRule="auto"/>
        <w:tabs>
          <w:tab w:val="left" w:pos="630" w:leader="none"/>
        </w:tabs>
        <w:rPr>
          <w:rFonts w:hint="eastAsia" w:ascii="宋体" w:hAnsi="宋体" w:eastAsia="宋体" w:cs="宋体"/>
          <w:bCs/>
          <w:sz w:val="24"/>
        </w:rPr>
      </w:pPr>
      <w:r>
        <w:rPr>
          <w:rFonts w:hint="eastAsia" w:ascii="宋体" w:hAnsi="宋体" w:eastAsia="宋体" w:cs="宋体"/>
          <w:bCs/>
          <w:sz w:val="24"/>
        </w:rPr>
        <w:t xml:space="preserve">（三）招标文件的解释：</w:t>
      </w:r>
      <w:r/>
    </w:p>
    <w:p>
      <w:pPr>
        <w:ind w:left="523"/>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本文件的最终解释权归江苏经纬工程投资造价咨询事务所有限公司。</w:t>
      </w:r>
      <w:r/>
    </w:p>
    <w:p>
      <w:pPr>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（四）招标文件的补充或修正：</w:t>
      </w:r>
      <w:r/>
    </w:p>
    <w:p>
      <w:pPr>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代理公司可在投标截止时间十五日前对招标文件进行必要的澄清或者修改，不足15日的，将顺延提交投标文件的截止时间。</w:t>
      </w:r>
      <w:r/>
    </w:p>
    <w:p>
      <w:pPr>
        <w:numPr>
          <w:ilvl w:val="0"/>
          <w:numId w:val="5"/>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如需对招标文件进行澄清或修正，代理公司将在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更正公告，该澄清或修正的内容为招标文件的组成部分。投标人应在投标截止时间前关注原招标公告媒体上发布的相关更正公告。因投标人未尽注意义务，未及时全面地关注更正公告导致其提交的投标材料不符合采购文件要求，而造成的损失及风险（包括但不限于未中标）由投标人自行承担。</w:t>
      </w:r>
      <w:r/>
    </w:p>
    <w:p>
      <w:pPr>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（五）投标文件的组成：</w:t>
      </w:r>
      <w:r/>
    </w:p>
    <w:p>
      <w:pPr>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投标函（</w:t>
      </w:r>
      <w:r>
        <w:rPr>
          <w:rFonts w:hint="eastAsia" w:ascii="宋体" w:hAnsi="宋体" w:eastAsia="宋体" w:cs="宋体"/>
          <w:b/>
          <w:bCs/>
          <w:sz w:val="24"/>
        </w:rPr>
        <w:t xml:space="preserve">格式见附件）</w:t>
      </w:r>
      <w:r/>
    </w:p>
    <w:p>
      <w:pPr>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资格、资信证明文件：</w:t>
      </w:r>
      <w:r/>
    </w:p>
    <w:p>
      <w:pPr>
        <w:pStyle w:val="1084"/>
        <w:numPr>
          <w:ilvl w:val="1"/>
          <w:numId w:val="6"/>
        </w:numPr>
        <w:ind w:left="0" w:firstLine="567"/>
        <w:spacing w:line="360" w:lineRule="auto"/>
        <w:tabs>
          <w:tab w:val="left" w:pos="1276" w:leader="none"/>
        </w:tabs>
        <w:rPr>
          <w:rFonts w:hint="eastAsia" w:ascii="宋体" w:hAnsi="宋体" w:eastAsia="宋体" w:cs="宋体"/>
          <w:bCs/>
          <w:sz w:val="24"/>
        </w:rPr>
      </w:pPr>
      <w:r>
        <w:rPr>
          <w:rFonts w:hint="eastAsia" w:ascii="宋体" w:hAnsi="宋体" w:eastAsia="宋体" w:cs="宋体"/>
          <w:bCs/>
          <w:sz w:val="24"/>
        </w:rPr>
        <w:t xml:space="preserve">具有独立承担民事责任能力的投标人营业执照或相关部门的登记证明文件复印件；</w:t>
      </w:r>
      <w:r/>
    </w:p>
    <w:p>
      <w:pPr>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lang w:eastAsia="zh-CN"/>
        </w:rPr>
        <w:t xml:space="preserve">法人授权书</w:t>
      </w:r>
      <w:r>
        <w:rPr>
          <w:rFonts w:hint="eastAsia" w:ascii="宋体" w:hAnsi="宋体" w:eastAsia="宋体" w:cs="宋体"/>
          <w:sz w:val="24"/>
        </w:rPr>
        <w:t xml:space="preserve">（</w:t>
      </w:r>
      <w:r>
        <w:rPr>
          <w:rFonts w:hint="eastAsia" w:ascii="宋体" w:hAnsi="宋体" w:eastAsia="宋体" w:cs="宋体"/>
          <w:b/>
          <w:bCs/>
          <w:sz w:val="24"/>
        </w:rPr>
        <w:t xml:space="preserve">格式见附件</w:t>
      </w:r>
      <w:r>
        <w:rPr>
          <w:rFonts w:hint="eastAsia" w:ascii="宋体" w:hAnsi="宋体" w:eastAsia="宋体" w:cs="宋体"/>
          <w:sz w:val="24"/>
        </w:rPr>
        <w:t xml:space="preserve">）；</w:t>
      </w:r>
      <w:r/>
    </w:p>
    <w:p>
      <w:pPr>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投标人法定代表人身份证复印件；</w:t>
      </w:r>
      <w:r/>
    </w:p>
    <w:p>
      <w:pPr>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投标人法定代表人授权代表身份证复印件（</w:t>
      </w:r>
      <w:r>
        <w:rPr>
          <w:rFonts w:hint="eastAsia" w:ascii="宋体" w:hAnsi="宋体" w:eastAsia="宋体" w:cs="宋体"/>
          <w:b/>
          <w:bCs/>
          <w:sz w:val="24"/>
        </w:rPr>
        <w:t xml:space="preserve">法定代表人亲自参加投标的除外</w:t>
      </w:r>
      <w:r>
        <w:rPr>
          <w:rFonts w:hint="eastAsia" w:ascii="宋体" w:hAnsi="宋体" w:eastAsia="宋体" w:cs="宋体"/>
          <w:bCs/>
          <w:sz w:val="24"/>
        </w:rPr>
        <w:t xml:space="preserve">）</w:t>
      </w:r>
      <w:r>
        <w:rPr>
          <w:rFonts w:hint="eastAsia" w:ascii="宋体" w:hAnsi="宋体" w:eastAsia="宋体" w:cs="宋体"/>
          <w:sz w:val="24"/>
        </w:rPr>
        <w:t xml:space="preserve">；</w:t>
      </w:r>
      <w:r/>
    </w:p>
    <w:p>
      <w:pPr>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w:t>
      </w:r>
      <w:r>
        <w:rPr>
          <w:rFonts w:hint="eastAsia" w:ascii="宋体" w:hAnsi="宋体" w:eastAsia="宋体" w:cs="宋体"/>
          <w:bCs/>
          <w:sz w:val="24"/>
          <w:lang w:eastAsia="zh-CN"/>
        </w:rPr>
        <w:t xml:space="preserve">任意一</w:t>
      </w:r>
      <w:r>
        <w:rPr>
          <w:rFonts w:hint="eastAsia" w:ascii="宋体" w:hAnsi="宋体" w:eastAsia="宋体" w:cs="宋体"/>
          <w:bCs/>
          <w:sz w:val="24"/>
        </w:rPr>
        <w:t xml:space="preserve">个月份(不含投标当月)的财务状况报告（资产负债表和利润表）或由会计师事务所出具的近两年中任意一个年度的审计报告和所附已审财务报告复印件；</w:t>
      </w:r>
      <w:r/>
    </w:p>
    <w:p>
      <w:pPr>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w:t>
      </w:r>
      <w:r>
        <w:rPr>
          <w:rFonts w:hint="eastAsia" w:ascii="宋体" w:hAnsi="宋体" w:eastAsia="宋体" w:cs="宋体"/>
          <w:bCs/>
          <w:sz w:val="24"/>
          <w:lang w:eastAsia="zh-CN"/>
        </w:rPr>
        <w:t xml:space="preserve">任意一</w:t>
      </w:r>
      <w:r>
        <w:rPr>
          <w:rFonts w:hint="eastAsia" w:ascii="宋体" w:hAnsi="宋体" w:eastAsia="宋体" w:cs="宋体"/>
          <w:bCs/>
          <w:sz w:val="24"/>
        </w:rPr>
        <w:t xml:space="preserve">个月份(不含投标当月)的依法缴纳税收的相关材料（提供相关主管部门证明或银行代扣证明）复印件；</w:t>
      </w:r>
      <w:r/>
    </w:p>
    <w:p>
      <w:pPr>
        <w:numPr>
          <w:ilvl w:val="1"/>
          <w:numId w:val="6"/>
        </w:numPr>
        <w:ind w:left="0" w:firstLine="529"/>
        <w:spacing w:line="360" w:lineRule="auto"/>
        <w:tabs>
          <w:tab w:val="left" w:pos="945" w:leader="none"/>
          <w:tab w:val="left" w:pos="1276" w:leader="none"/>
        </w:tabs>
        <w:rPr>
          <w:rFonts w:hint="eastAsia" w:ascii="宋体" w:hAnsi="宋体" w:eastAsia="宋体" w:cs="宋体"/>
          <w:bCs/>
          <w:sz w:val="24"/>
        </w:rPr>
      </w:pPr>
      <w:r>
        <w:rPr>
          <w:rFonts w:hint="eastAsia" w:ascii="宋体" w:hAnsi="宋体" w:eastAsia="宋体" w:cs="宋体"/>
          <w:bCs/>
          <w:sz w:val="24"/>
        </w:rPr>
        <w:t xml:space="preserve">投标人近六个月中</w:t>
      </w:r>
      <w:r>
        <w:rPr>
          <w:rFonts w:hint="eastAsia" w:ascii="宋体" w:hAnsi="宋体" w:eastAsia="宋体" w:cs="宋体"/>
          <w:bCs/>
          <w:sz w:val="24"/>
          <w:lang w:eastAsia="zh-CN"/>
        </w:rPr>
        <w:t xml:space="preserve">任意一</w:t>
      </w:r>
      <w:r>
        <w:rPr>
          <w:rFonts w:hint="eastAsia" w:ascii="宋体" w:hAnsi="宋体" w:eastAsia="宋体" w:cs="宋体"/>
          <w:bCs/>
          <w:sz w:val="24"/>
        </w:rPr>
        <w:t xml:space="preserve">个月份(不含投标当月)的依法缴纳社会保障资金的相关材料（提供相关主管部门证明或银行代扣证明）复印件；</w:t>
      </w:r>
      <w:r/>
    </w:p>
    <w:p>
      <w:pPr>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开标一览表（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p>
    <w:p>
      <w:pPr>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lang w:eastAsia="zh-CN"/>
        </w:rPr>
        <w:t xml:space="preserve">供应商资格声明函</w:t>
      </w:r>
      <w:r>
        <w:rPr>
          <w:rFonts w:hint="eastAsia" w:ascii="宋体" w:hAnsi="宋体" w:eastAsia="宋体" w:cs="宋体"/>
          <w:bCs/>
          <w:sz w:val="24"/>
        </w:rPr>
        <w:t xml:space="preserve">（</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p>
    <w:p>
      <w:pPr>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投标偏离表（</w:t>
      </w:r>
      <w:r>
        <w:rPr>
          <w:rFonts w:hint="eastAsia" w:ascii="宋体" w:hAnsi="宋体" w:eastAsia="宋体" w:cs="宋体"/>
          <w:b/>
          <w:bCs/>
          <w:sz w:val="24"/>
        </w:rPr>
        <w:t xml:space="preserve">格式见附件</w:t>
      </w:r>
      <w:r>
        <w:rPr>
          <w:rFonts w:hint="eastAsia" w:ascii="宋体" w:hAnsi="宋体" w:eastAsia="宋体" w:cs="宋体"/>
          <w:bCs/>
          <w:sz w:val="24"/>
        </w:rPr>
        <w:t xml:space="preserve">）</w:t>
      </w:r>
      <w:r/>
    </w:p>
    <w:p>
      <w:pPr>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评分标准中对应的其它所需证明材料（</w:t>
      </w:r>
      <w:r>
        <w:rPr>
          <w:rFonts w:hint="eastAsia" w:ascii="宋体" w:hAnsi="宋体" w:eastAsia="宋体" w:cs="宋体"/>
          <w:b/>
          <w:bCs/>
          <w:sz w:val="24"/>
        </w:rPr>
        <w:t xml:space="preserve">如有自行添加</w:t>
      </w:r>
      <w:r>
        <w:rPr>
          <w:rFonts w:hint="eastAsia" w:ascii="宋体" w:hAnsi="宋体" w:eastAsia="宋体" w:cs="宋体"/>
          <w:bCs/>
          <w:sz w:val="24"/>
        </w:rPr>
        <w:t xml:space="preserve">）</w:t>
      </w:r>
      <w:r/>
    </w:p>
    <w:p>
      <w:pPr>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要求采购人提供的配合（</w:t>
      </w:r>
      <w:r>
        <w:rPr>
          <w:rFonts w:hint="eastAsia" w:ascii="宋体" w:hAnsi="宋体" w:eastAsia="宋体" w:cs="宋体"/>
          <w:b/>
          <w:bCs/>
          <w:sz w:val="24"/>
        </w:rPr>
        <w:t xml:space="preserve">如有自拟并自行添加</w:t>
      </w:r>
      <w:r>
        <w:rPr>
          <w:rFonts w:hint="eastAsia" w:ascii="宋体" w:hAnsi="宋体" w:eastAsia="宋体" w:cs="宋体"/>
          <w:bCs/>
          <w:sz w:val="24"/>
        </w:rPr>
        <w:t xml:space="preserve">）</w:t>
      </w:r>
      <w:r/>
    </w:p>
    <w:p>
      <w:pPr>
        <w:numPr>
          <w:ilvl w:val="0"/>
          <w:numId w:val="6"/>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其它（</w:t>
      </w:r>
      <w:r>
        <w:rPr>
          <w:rFonts w:hint="eastAsia" w:ascii="宋体" w:hAnsi="宋体" w:eastAsia="宋体" w:cs="宋体"/>
          <w:b/>
          <w:bCs/>
          <w:sz w:val="24"/>
        </w:rPr>
        <w:t xml:space="preserve">投标人认为有必要提供的声明和文件，如有自拟并自行添加</w:t>
      </w:r>
      <w:r>
        <w:rPr>
          <w:rFonts w:hint="eastAsia" w:ascii="宋体" w:hAnsi="宋体" w:eastAsia="宋体" w:cs="宋体"/>
          <w:bCs/>
          <w:sz w:val="24"/>
        </w:rPr>
        <w:t xml:space="preserve">）</w:t>
      </w:r>
      <w:r/>
    </w:p>
    <w:p>
      <w:pPr>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上述1-5项投标人必须按要求全部提供，否则投标文件无效。</w:t>
      </w:r>
      <w:r>
        <w:rPr>
          <w:rFonts w:hint="eastAsia" w:ascii="宋体" w:hAnsi="宋体" w:eastAsia="宋体" w:cs="宋体"/>
          <w:sz w:val="24"/>
        </w:rPr>
        <w:t xml:space="preserve">如上述资格证明文件遇年检、换证，则必须提供法定年检、换证单位出具的有效证明复印件。如上述资格证明文件第</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5</w:t>
      </w:r>
      <w:r>
        <w:rPr>
          <w:rFonts w:hint="eastAsia" w:ascii="宋体" w:hAnsi="宋体" w:eastAsia="宋体" w:cs="宋体"/>
          <w:sz w:val="24"/>
          <w:lang w:eastAsia="zh-CN"/>
        </w:rPr>
        <w:t xml:space="preserve">）</w:t>
      </w:r>
      <w:r>
        <w:rPr>
          <w:rFonts w:hint="eastAsia" w:ascii="宋体" w:hAnsi="宋体" w:eastAsia="宋体" w:cs="宋体"/>
          <w:sz w:val="24"/>
        </w:rPr>
        <w:t xml:space="preserve">（6）（7）</w:t>
      </w:r>
      <w:r>
        <w:rPr>
          <w:rFonts w:hint="eastAsia" w:ascii="宋体" w:hAnsi="宋体" w:eastAsia="宋体" w:cs="宋体"/>
          <w:sz w:val="24"/>
          <w:lang w:eastAsia="zh-CN"/>
        </w:rPr>
        <w:t xml:space="preserve">三</w:t>
      </w:r>
      <w:r>
        <w:rPr>
          <w:rFonts w:hint="eastAsia" w:ascii="宋体" w:hAnsi="宋体" w:eastAsia="宋体" w:cs="宋体"/>
          <w:sz w:val="24"/>
        </w:rPr>
        <w:t xml:space="preserve">项遇有国家相关政策规定可不具备的，必须提供相关政策规定或相关单位出具的有效证明复印件。</w:t>
      </w:r>
      <w:r>
        <w:rPr>
          <w:rFonts w:hint="eastAsia" w:ascii="宋体" w:hAnsi="宋体" w:eastAsia="宋体" w:cs="宋体"/>
          <w:bCs/>
          <w:sz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w:t>
      </w:r>
      <w:r/>
    </w:p>
    <w:p>
      <w:pPr>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（六）投标文件的制作：</w:t>
      </w:r>
      <w:r/>
    </w:p>
    <w:p>
      <w:pPr>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所有文件、往来函件均应使用简体中文（规格、型号辅助符号例外）。</w:t>
      </w:r>
      <w:r/>
    </w:p>
    <w:p>
      <w:pPr>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投标文件由投标人按要求参考给定格式如实填写（编写），须有投标人（盖章）、法定代表人或法定代表人授权代表签字或盖章，方为有效，未尽事宜可自行补充。</w:t>
      </w:r>
      <w:r/>
    </w:p>
    <w:p>
      <w:pPr>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如无特别说明，投标人报价一律以人民币为投标结算货币,结算单位为“元”。</w:t>
      </w:r>
      <w:r/>
    </w:p>
    <w:p>
      <w:pPr>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投标文件不应有涂改、增删和潦草之处，如有必须修改时，修改处必须有投标人盖章、法定代表人或法定代表人授权代表的签字。</w:t>
      </w:r>
      <w:r/>
    </w:p>
    <w:p>
      <w:pPr>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投标人应当同时凭CA数字证书登录“</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”，并在投标截止时间前上传电子投标文件。</w:t>
      </w:r>
      <w:r/>
    </w:p>
    <w:p>
      <w:pPr>
        <w:numPr>
          <w:ilvl w:val="0"/>
          <w:numId w:val="7"/>
        </w:numPr>
        <w:ind w:left="1"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投标费用自理。</w:t>
      </w:r>
      <w:r/>
    </w:p>
    <w:p>
      <w:pPr>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（七）投标文件的递交</w:t>
      </w:r>
      <w:r/>
    </w:p>
    <w:p>
      <w:pPr>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 电子投标文件的递交</w:t>
      </w:r>
      <w:r/>
    </w:p>
    <w:p>
      <w:pPr>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投标人应当按照《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供应商操作手册》规定，在投标截止时间前制作并上传电子投标文件。</w:t>
      </w:r>
      <w:r/>
    </w:p>
    <w:p>
      <w:pPr>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2．投标截止日期</w:t>
      </w:r>
      <w:r/>
    </w:p>
    <w:p>
      <w:pPr>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投标人上传电子投标文件的时间不得迟于招标公告中规定的投标截止时间。</w:t>
      </w:r>
      <w:r/>
    </w:p>
    <w:p>
      <w:pPr>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投标人应充分考虑到网络环境、网络带宽等风险因素，如因投标人自身原因造成的电子投标文件上传不成功由投标人自行承担全部责任。</w:t>
      </w:r>
      <w:r/>
    </w:p>
    <w:p>
      <w:pPr>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2.2 采购人和招标代理可以按照规定，通过修改招标文件酌情延长投标截止日期，在此情况下，投标人的所有权利和义务以及投标人受制的截止日期均应以延长后新的截止日期为准。</w:t>
      </w:r>
      <w:r/>
    </w:p>
    <w:p>
      <w:pPr>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（八）投标文件的拒收</w:t>
      </w:r>
      <w:r/>
    </w:p>
    <w:p>
      <w:pPr>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代理公司拒绝接收在其规定的投标截止时间后上传的任何投标文件。</w:t>
      </w:r>
      <w:r/>
    </w:p>
    <w:p>
      <w:pPr>
        <w:ind w:firstLine="486"/>
        <w:spacing w:line="360" w:lineRule="auto"/>
        <w:rPr>
          <w:rFonts w:hint="eastAsia" w:ascii="宋体" w:hAnsi="宋体" w:eastAsia="宋体" w:cs="宋体"/>
          <w:bCs/>
          <w:sz w:val="24"/>
        </w:rPr>
      </w:pPr>
      <w:r>
        <w:rPr>
          <w:rFonts w:hint="eastAsia" w:ascii="宋体" w:hAnsi="宋体" w:eastAsia="宋体" w:cs="宋体"/>
          <w:bCs/>
          <w:sz w:val="24"/>
        </w:rPr>
        <w:t xml:space="preserve">（九）投标文件的撤回和修改</w:t>
      </w:r>
      <w:r/>
    </w:p>
    <w:p>
      <w:pPr>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1、投标文件的撤回</w:t>
      </w:r>
      <w:r/>
    </w:p>
    <w:p>
      <w:pPr>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投标人可在投标截止时间前，撤回其电子投标文件，具体操作方法见《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p>
    <w:p>
      <w:pPr>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 投标文件的修改</w:t>
      </w:r>
      <w:r/>
    </w:p>
    <w:p>
      <w:pPr>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投标人可在投标截止时间前，对其电子投标文件进行修改，具体操作方法见《</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w:t>
      </w:r>
      <w:r/>
    </w:p>
    <w:p>
      <w:pPr>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3、在投标截止时间之后，投标人不得对其电子投标文件作任何修改。</w:t>
      </w:r>
      <w:r/>
    </w:p>
    <w:p>
      <w:pPr>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 无效投标文件的确认：</w:t>
      </w:r>
      <w:r/>
    </w:p>
    <w:p>
      <w:pPr>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投标人有下列情况之一者，投标文件无效：</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投标人未在规定时间内成功解密电子投标文件的；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投标人未按照招标文件要求上传电子投标文件的；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投标文件未按照招标文件要求加盖电子签章；</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招标人的法定代表人授权代表，无法定代表人授权委托书的；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不具备招标文件中规定的资格要求或未按招标文件规定的要求提供资格、资信证明文件的；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sz w:val="24"/>
        </w:rPr>
        <w:t xml:space="preserve">被“信用中国”网站（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25"/>
          <w:rFonts w:ascii="宋体" w:hAnsi="宋体" w:eastAsia="宋体" w:cs="宋体"/>
          <w:sz w:val="24"/>
        </w:rPr>
        <w:t xml:space="preserve">www.creditchina.gov.cn</w:t>
      </w:r>
      <w:r>
        <w:rPr>
          <w:rStyle w:val="1025"/>
          <w:rFonts w:ascii="宋体" w:hAnsi="宋体" w:eastAsia="宋体" w:cs="宋体"/>
          <w:sz w:val="24"/>
        </w:rPr>
        <w:fldChar w:fldCharType="end"/>
      </w:r>
      <w:r>
        <w:rPr>
          <w:rFonts w:hint="eastAsia" w:ascii="宋体" w:hAnsi="宋体" w:eastAsia="宋体" w:cs="宋体"/>
          <w:sz w:val="24"/>
        </w:rPr>
        <w:t xml:space="preserve">）列入失信执行人、重大税收违法案件当事人名单、政府采购严重违法失信行为记录名单的</w:t>
      </w:r>
      <w:r>
        <w:rPr>
          <w:rFonts w:hint="eastAsia" w:ascii="宋体" w:hAnsi="宋体" w:eastAsia="宋体" w:cs="宋体"/>
          <w:bCs/>
          <w:sz w:val="24"/>
        </w:rPr>
        <w:t xml:space="preserve">；</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投标文件未按招标文件规定的内容和要求填写的；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投标文件中有招标文件未允许提供的选择性内容；</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不同投标人的投标文件由同一单位或者个人编制的；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不同投标人委托同一单位或者个人办理投标事宜的；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不同投标人的投标文件载明的项目管理成员为同一人的；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不同投标人的投标文件异常一致或者投标报价呈规律性差异的；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不同投标人的单位负责人为同一人或者存在直接控股、管理关系的；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项目（标段）投标总价超过本项目（标段）预算或最高限价的；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提供虚假材料的（包括工商营业执照、财务报表、资格证明文件等）；</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投标文件含有采购人不能接受的附加条件的；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除单一来源采购项目外，为采购项目提供整体设计、规范编制或者项目管理、监理、检测等服务的；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投标文件内容不全或不符合招标文件中规定的其它实质性要求的。</w:t>
      </w:r>
      <w:r/>
    </w:p>
    <w:p>
      <w:pPr>
        <w:numPr>
          <w:ilvl w:val="0"/>
          <w:numId w:val="8"/>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法律法规和招标文件规定的其它无效情形。</w:t>
      </w:r>
      <w:r/>
    </w:p>
    <w:p>
      <w:pPr>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 开标、评标：</w:t>
      </w:r>
      <w:r/>
    </w:p>
    <w:p>
      <w:pPr>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1．代理公司将在招标公告中规定的时间和地点组织公开开标。投标人应当按照《苏采云系统供应商操作手册》规定，参加开标活动。</w:t>
      </w:r>
      <w:r/>
    </w:p>
    <w:p>
      <w:pPr>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 .开标仪式由代理公司组织。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将自动对项目进行开标，并宣读各投标人的《开标一览表》。</w:t>
      </w:r>
      <w:r/>
    </w:p>
    <w:p>
      <w:pPr>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3.投标人在开标过程中</w:t>
      </w:r>
      <w:r>
        <w:rPr>
          <w:rFonts w:hint="eastAsia" w:ascii="宋体" w:hAnsi="宋体" w:eastAsia="宋体" w:cs="宋体"/>
          <w:bCs/>
          <w:sz w:val="24"/>
          <w:lang w:eastAsia="zh-CN"/>
        </w:rPr>
        <w:t xml:space="preserve">涉及</w:t>
      </w:r>
      <w:r>
        <w:rPr>
          <w:rFonts w:hint="eastAsia" w:ascii="宋体" w:hAnsi="宋体" w:eastAsia="宋体" w:cs="宋体"/>
          <w:bCs/>
          <w:sz w:val="24"/>
        </w:rPr>
        <w:t xml:space="preserve">的投标文件解密、开标结果确认等工作，应按照《</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供应商操作手册》规定执行。每个投标人的解密时长为6分钟，超时视同解密失败。</w:t>
      </w:r>
      <w:r/>
    </w:p>
    <w:p>
      <w:pPr>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4.投标人如果对开标过程和开标记录有疑义，应当根据《苏采云系统供应商操作手册》规定提出，如 </w:t>
      </w:r>
      <w:r>
        <w:rPr>
          <w:rFonts w:hint="eastAsia" w:ascii="宋体" w:hAnsi="宋体" w:eastAsia="宋体" w:cs="宋体"/>
          <w:bCs/>
          <w:sz w:val="24"/>
          <w:lang w:eastAsia="zh-CN"/>
        </w:rPr>
        <w:t xml:space="preserve">苏采云系统</w:t>
      </w:r>
      <w:r>
        <w:rPr>
          <w:rFonts w:hint="eastAsia" w:ascii="宋体" w:hAnsi="宋体" w:eastAsia="宋体" w:cs="宋体"/>
          <w:bCs/>
          <w:sz w:val="24"/>
        </w:rPr>
        <w:t xml:space="preserve">中《开标一览表》宣布后5分钟内未提出的，视同认可开标结果。</w:t>
      </w:r>
      <w:r/>
    </w:p>
    <w:p>
      <w:pPr>
        <w:ind w:left="150"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5.开标时，投标文件中开标一览表内容与投标文件中明细表内容不一致的，以开标一览表为准。</w:t>
      </w:r>
      <w:r/>
    </w:p>
    <w:p>
      <w:pPr>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r/>
    </w:p>
    <w:p>
      <w:pPr>
        <w:ind w:left="1"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6.投标人未参加开标的，视同认可开标结果。</w:t>
      </w:r>
      <w:r/>
    </w:p>
    <w:p>
      <w:pPr>
        <w:ind w:left="1" w:firstLine="486"/>
        <w:spacing w:line="360" w:lineRule="auto"/>
        <w:tabs>
          <w:tab w:val="left" w:pos="945" w:leader="none"/>
        </w:tabs>
        <w:rPr>
          <w:rFonts w:hint="eastAsia" w:ascii="宋体" w:hAnsi="宋体" w:eastAsia="宋体" w:cs="宋体"/>
          <w:bCs/>
          <w:color w:val="ff0000"/>
          <w:sz w:val="24"/>
          <w:u w:val="single"/>
        </w:rPr>
      </w:pPr>
      <w:r>
        <w:rPr>
          <w:rFonts w:hint="eastAsia" w:ascii="宋体" w:hAnsi="宋体" w:eastAsia="宋体" w:cs="宋体"/>
          <w:bCs/>
          <w:sz w:val="24"/>
        </w:rPr>
        <w:t xml:space="preserve">7.评标程序</w:t>
      </w:r>
      <w:r/>
    </w:p>
    <w:p>
      <w:pPr>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评标工作由代理公司负责组织，具体评标事务由依法组建的评标委员会负责。</w:t>
      </w:r>
      <w:r/>
    </w:p>
    <w:p>
      <w:pPr>
        <w:numPr>
          <w:ilvl w:val="0"/>
          <w:numId w:val="9"/>
        </w:numPr>
        <w:ind w:left="0" w:firstLine="529"/>
        <w:spacing w:line="360" w:lineRule="auto"/>
        <w:tabs>
          <w:tab w:val="left" w:pos="63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投标文件初审。初审分为资格性检查和符合性检查。</w:t>
      </w:r>
      <w:r/>
    </w:p>
    <w:p>
      <w:pPr>
        <w:numPr>
          <w:ilvl w:val="0"/>
          <w:numId w:val="10"/>
        </w:numPr>
        <w:ind w:left="0" w:firstLine="529"/>
        <w:spacing w:line="360" w:lineRule="auto"/>
        <w:tabs>
          <w:tab w:val="left" w:pos="525" w:leader="none"/>
          <w:tab w:val="left" w:pos="630"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资格性检查。依据法律法规和招标文件的规定，对投标文件中的资格证明等进行审查；通过“信用中国”网站（</w:t>
      </w:r>
      <w:r>
        <w:rPr>
          <w:rFonts w:hint="eastAsia" w:ascii="宋体" w:hAnsi="宋体" w:eastAsia="宋体" w:cs="宋体"/>
        </w:rPr>
        <w:fldChar w:fldCharType="begin"/>
      </w:r>
      <w:r>
        <w:rPr>
          <w:rFonts w:hint="eastAsia" w:ascii="宋体" w:hAnsi="宋体" w:eastAsia="宋体" w:cs="宋体"/>
        </w:rPr>
        <w:instrText xml:space="preserve"> HYPERLINK "http://www.creditchina.gov.cn" </w:instrText>
      </w:r>
      <w:r>
        <w:rPr>
          <w:rFonts w:hint="eastAsia" w:ascii="宋体" w:hAnsi="宋体" w:eastAsia="宋体" w:cs="宋体"/>
        </w:rPr>
        <w:fldChar w:fldCharType="separate"/>
      </w:r>
      <w:r>
        <w:rPr>
          <w:rStyle w:val="1025"/>
          <w:rFonts w:ascii="宋体" w:hAnsi="宋体" w:eastAsia="宋体" w:cs="宋体"/>
          <w:bCs/>
          <w:sz w:val="24"/>
        </w:rPr>
        <w:t xml:space="preserve">www.creditchina.gov.cn</w:t>
      </w:r>
      <w:r>
        <w:rPr>
          <w:rStyle w:val="1025"/>
          <w:rFonts w:ascii="宋体" w:hAnsi="宋体" w:eastAsia="宋体" w:cs="宋体"/>
          <w:bCs/>
          <w:sz w:val="24"/>
        </w:rPr>
        <w:fldChar w:fldCharType="end"/>
      </w:r>
      <w:r>
        <w:rPr>
          <w:rFonts w:hint="eastAsia" w:ascii="宋体" w:hAnsi="宋体" w:eastAsia="宋体" w:cs="宋体"/>
          <w:bCs/>
          <w:sz w:val="24"/>
        </w:rPr>
        <w:t xml:space="preserve">）查询投标供应商在投标截止时间之前，是否被列入</w:t>
      </w:r>
      <w:r>
        <w:rPr>
          <w:rFonts w:hint="eastAsia" w:ascii="宋体" w:hAnsi="宋体" w:eastAsia="宋体" w:cs="宋体"/>
          <w:sz w:val="24"/>
        </w:rPr>
        <w:t xml:space="preserve">失信执行人、重大税收违法案件当事人名单、政府采购严重违法失信行为记录名单，</w:t>
      </w:r>
      <w:r>
        <w:rPr>
          <w:rFonts w:hint="eastAsia" w:ascii="宋体" w:hAnsi="宋体" w:eastAsia="宋体" w:cs="宋体"/>
          <w:bCs/>
          <w:sz w:val="24"/>
        </w:rPr>
        <w:t xml:space="preserve">以确定投标供应商是否具备投标资格。信用</w:t>
      </w:r>
      <w:r>
        <w:rPr>
          <w:rFonts w:hint="eastAsia" w:ascii="宋体" w:hAnsi="宋体" w:eastAsia="宋体" w:cs="宋体"/>
          <w:sz w:val="24"/>
        </w:rPr>
        <w:t xml:space="preserve">查询结果以网页打印的形式留存并归档。</w:t>
      </w:r>
      <w:r/>
    </w:p>
    <w:p>
      <w:pPr>
        <w:numPr>
          <w:ilvl w:val="0"/>
          <w:numId w:val="10"/>
        </w:numPr>
        <w:ind w:left="0" w:firstLine="529"/>
        <w:spacing w:line="360" w:lineRule="auto"/>
        <w:tabs>
          <w:tab w:val="left" w:pos="525" w:leader="none"/>
          <w:tab w:val="left" w:pos="630" w:leader="none"/>
          <w:tab w:val="left" w:pos="94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符合性检查。依据招标文件的规定，从投标文件的有效性、完整性和对招标文件的响应程度进行审查，以确定是否对招标文件的实质性要求作出响应。</w:t>
      </w:r>
      <w:r/>
    </w:p>
    <w:p>
      <w:pPr>
        <w:numPr>
          <w:ilvl w:val="0"/>
          <w:numId w:val="9"/>
        </w:numPr>
        <w:ind w:left="0" w:firstLine="529"/>
        <w:spacing w:line="360" w:lineRule="auto"/>
        <w:tabs>
          <w:tab w:val="left" w:pos="52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澄清有关问题。对投标文件中含义不明确、同类问题表述不一致或者有明显文字和计算错误的内容，</w:t>
      </w:r>
      <w:r>
        <w:rPr>
          <w:rFonts w:hint="eastAsia" w:ascii="宋体" w:hAnsi="宋体" w:eastAsia="宋体" w:cs="宋体"/>
          <w:sz w:val="24"/>
        </w:rPr>
        <w:t xml:space="preserve">评委会有权以电子函件形式要求投标人对其投标文件</w:t>
      </w:r>
      <w:r>
        <w:rPr>
          <w:rFonts w:hint="eastAsia" w:ascii="宋体" w:hAnsi="宋体" w:eastAsia="宋体" w:cs="宋体"/>
          <w:bCs/>
          <w:sz w:val="24"/>
        </w:rPr>
        <w:t xml:space="preserve">作出必要的澄清、说明或者纠正</w:t>
      </w:r>
      <w:r>
        <w:rPr>
          <w:rFonts w:hint="eastAsia" w:ascii="宋体" w:hAnsi="宋体" w:eastAsia="宋体" w:cs="宋体"/>
          <w:sz w:val="24"/>
        </w:rPr>
        <w:t xml:space="preserve">，但并非对每个投标人都</w:t>
      </w:r>
      <w:r>
        <w:rPr>
          <w:rFonts w:hint="eastAsia" w:ascii="宋体" w:hAnsi="宋体" w:eastAsia="宋体" w:cs="宋体"/>
          <w:sz w:val="24"/>
          <w:lang w:eastAsia="zh-CN"/>
        </w:rPr>
        <w:t xml:space="preserve">作出</w:t>
      </w:r>
      <w:r>
        <w:rPr>
          <w:rFonts w:hint="eastAsia" w:ascii="宋体" w:hAnsi="宋体" w:eastAsia="宋体" w:cs="宋体"/>
          <w:sz w:val="24"/>
        </w:rPr>
        <w:t xml:space="preserve">澄清要求。接到评委会澄清要求的投标人应派人按评委会规定的时间和格式在</w:t>
      </w:r>
      <w:r>
        <w:rPr>
          <w:rFonts w:hint="eastAsia" w:ascii="宋体" w:hAnsi="宋体" w:eastAsia="宋体" w:cs="宋体"/>
          <w:sz w:val="24"/>
          <w:lang w:eastAsia="zh-CN"/>
        </w:rPr>
        <w:t xml:space="preserve">苏采云系统</w:t>
      </w:r>
      <w:r>
        <w:rPr>
          <w:rFonts w:hint="eastAsia" w:ascii="宋体" w:hAnsi="宋体" w:eastAsia="宋体" w:cs="宋体"/>
          <w:sz w:val="24"/>
        </w:rPr>
        <w:t xml:space="preserve">中做出澄清，由其授权的代表签字，澄清的内容作为投标文件的补充部分，但投标的价格和实质性的内容不得做任何更改。具体操作方式见</w:t>
      </w:r>
      <w:r>
        <w:rPr>
          <w:rFonts w:hint="eastAsia" w:ascii="宋体" w:hAnsi="宋体" w:eastAsia="宋体" w:cs="宋体"/>
          <w:bCs/>
          <w:sz w:val="24"/>
        </w:rPr>
        <w:t xml:space="preserve">《苏采云系统供应商操作手册》</w:t>
      </w:r>
      <w:r>
        <w:rPr>
          <w:rFonts w:hint="eastAsia" w:ascii="宋体" w:hAnsi="宋体" w:eastAsia="宋体" w:cs="宋体"/>
          <w:sz w:val="24"/>
        </w:rPr>
        <w:t xml:space="preserve">。接到评委会澄清要求的投标人如未按规定</w:t>
      </w:r>
      <w:r>
        <w:rPr>
          <w:rFonts w:hint="eastAsia" w:ascii="宋体" w:hAnsi="宋体" w:eastAsia="宋体" w:cs="宋体"/>
          <w:sz w:val="24"/>
          <w:lang w:eastAsia="zh-CN"/>
        </w:rPr>
        <w:t xml:space="preserve">作出</w:t>
      </w:r>
      <w:r>
        <w:rPr>
          <w:rFonts w:hint="eastAsia" w:ascii="宋体" w:hAnsi="宋体" w:eastAsia="宋体" w:cs="宋体"/>
          <w:sz w:val="24"/>
        </w:rPr>
        <w:t xml:space="preserve">澄清，其风险由投标人自行承担。</w:t>
      </w:r>
      <w:r/>
    </w:p>
    <w:p>
      <w:pPr>
        <w:numPr>
          <w:ilvl w:val="0"/>
          <w:numId w:val="9"/>
        </w:numPr>
        <w:ind w:left="0" w:firstLine="529"/>
        <w:spacing w:line="360" w:lineRule="auto"/>
        <w:tabs>
          <w:tab w:val="left" w:pos="945" w:leader="none"/>
          <w:tab w:val="left" w:pos="1155" w:leader="none"/>
          <w:tab w:val="left" w:pos="1365" w:leader="none"/>
        </w:tabs>
        <w:rPr>
          <w:rFonts w:hint="eastAsia" w:ascii="宋体" w:hAnsi="宋体" w:eastAsia="宋体" w:cs="宋体"/>
          <w:bCs/>
          <w:sz w:val="24"/>
        </w:rPr>
      </w:pPr>
      <w:r>
        <w:rPr>
          <w:rFonts w:hint="eastAsia" w:ascii="宋体" w:hAnsi="宋体" w:eastAsia="宋体" w:cs="宋体"/>
          <w:bCs/>
          <w:sz w:val="24"/>
        </w:rPr>
        <w:t xml:space="preserve">比较与评价。按招标文件中规定的评标方法和标准，对资格性检查和符合性检查合格的投标文件进行商务和技术评估，综合比较与评价。</w:t>
      </w:r>
      <w:r/>
    </w:p>
    <w:p>
      <w:pPr>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8.评标方法</w:t>
      </w:r>
      <w:r/>
    </w:p>
    <w:p>
      <w:pPr>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投标人通过初审的，方可进入比较与评价程序。</w:t>
      </w:r>
      <w:r/>
    </w:p>
    <w:p>
      <w:pPr>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比较与评价采用综合评分法。 </w:t>
      </w:r>
      <w:r/>
    </w:p>
    <w:p>
      <w:pPr>
        <w:ind w:firstLine="529"/>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单位。</w:t>
      </w:r>
      <w:r/>
    </w:p>
    <w:p>
      <w:pPr>
        <w:ind w:left="570"/>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10.评分标准</w:t>
      </w:r>
      <w:r/>
    </w:p>
    <w:p>
      <w:pPr>
        <w:ind w:left="524"/>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详见附件。</w:t>
      </w:r>
      <w:r/>
    </w:p>
    <w:p>
      <w:pPr>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（十二）定标：</w:t>
      </w:r>
      <w:r/>
    </w:p>
    <w:p>
      <w:pPr>
        <w:numPr>
          <w:ilvl w:val="1"/>
          <w:numId w:val="11"/>
        </w:numPr>
        <w:ind w:left="0" w:firstLine="529"/>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评标委员会根据招标文件规定的评标方法和评标标准进行评审，按招标文件的要求依法确定中标供应商。代理公司将在</w:t>
      </w:r>
      <w:r>
        <w:rPr>
          <w:rFonts w:hint="eastAsia" w:ascii="宋体" w:hAnsi="宋体" w:eastAsia="宋体" w:cs="宋体"/>
          <w:bCs/>
          <w:sz w:val="24"/>
          <w:lang w:eastAsia="zh-CN"/>
        </w:rPr>
        <w:t xml:space="preserve">江苏省政府采购网</w:t>
      </w:r>
      <w:r>
        <w:rPr>
          <w:rFonts w:hint="eastAsia" w:ascii="宋体" w:hAnsi="宋体" w:eastAsia="宋体" w:cs="宋体"/>
          <w:bCs/>
          <w:sz w:val="24"/>
        </w:rPr>
        <w:t xml:space="preserve">发布中标公告。代理公司和评标委员会对未中标原因不</w:t>
      </w:r>
      <w:r>
        <w:rPr>
          <w:rFonts w:hint="eastAsia" w:ascii="宋体" w:hAnsi="宋体" w:eastAsia="宋体" w:cs="宋体"/>
          <w:bCs/>
          <w:sz w:val="24"/>
          <w:lang w:eastAsia="zh-CN"/>
        </w:rPr>
        <w:t xml:space="preserve">作</w:t>
      </w:r>
      <w:r>
        <w:rPr>
          <w:rFonts w:hint="eastAsia" w:ascii="宋体" w:hAnsi="宋体" w:eastAsia="宋体" w:cs="宋体"/>
          <w:bCs/>
          <w:sz w:val="24"/>
        </w:rPr>
        <w:t xml:space="preserve">解释。如有质疑，应在法定质疑期限内，即中标公告期限届满之日起7个工作日内，以书面形式（原件）送达代理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rPr>
        <w:fldChar w:fldCharType="begin"/>
      </w:r>
      <w:r>
        <w:rPr>
          <w:rFonts w:hint="eastAsia" w:ascii="宋体" w:hAnsi="宋体" w:eastAsia="宋体" w:cs="宋体"/>
        </w:rPr>
        <w:instrText xml:space="preserve"> HYPERLINK "http://download.ccgp.gov.cn/2018/zhiyihanfanben.zip" \t "_blank" </w:instrText>
      </w:r>
      <w:r>
        <w:rPr>
          <w:rFonts w:hint="eastAsia" w:ascii="宋体" w:hAnsi="宋体" w:eastAsia="宋体" w:cs="宋体"/>
        </w:rPr>
        <w:fldChar w:fldCharType="separate"/>
      </w:r>
      <w:r>
        <w:rPr>
          <w:rFonts w:hint="eastAsia" w:ascii="宋体" w:hAnsi="宋体" w:eastAsia="宋体" w:cs="宋体"/>
          <w:bCs/>
          <w:sz w:val="24"/>
        </w:rPr>
        <w:t xml:space="preserve">政府采购供应商质疑函范本</w:t>
      </w:r>
      <w:r>
        <w:rPr>
          <w:rFonts w:hint="eastAsia" w:ascii="宋体" w:hAnsi="宋体" w:eastAsia="宋体" w:cs="宋体"/>
          <w:bCs/>
          <w:sz w:val="24"/>
        </w:rPr>
        <w:fldChar w:fldCharType="end"/>
      </w:r>
      <w:r>
        <w:rPr>
          <w:rFonts w:hint="eastAsia" w:ascii="宋体" w:hAnsi="宋体" w:eastAsia="宋体" w:cs="宋体"/>
          <w:bCs/>
          <w:sz w:val="24"/>
        </w:rPr>
        <w:t xml:space="preserve">》）。代理公司将在收到符合上述要求的书面质疑后七个工作日内，对质疑内容做出答复。投标人在法定质疑期限外送达的质疑函或法定质疑期限内送达的质疑函不符合上述要求的均为无效质疑，代理公司对无效质疑不予受理。如质疑查无实据或投标人捏造事实，提供虚假材料进行恶意举报，不配合或采用不正当手段干扰政府采购质疑的，代理公司有权依据政府采购的有关规定，报请政府采购监管部门对该供应商进行相应的行政处罚和记录该供应商的失信信息。</w:t>
      </w:r>
      <w:r/>
    </w:p>
    <w:p>
      <w:pPr>
        <w:numPr>
          <w:ilvl w:val="1"/>
          <w:numId w:val="11"/>
        </w:numPr>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代理公司向中标供应商发中标通知书。</w:t>
      </w:r>
      <w:r/>
    </w:p>
    <w:p>
      <w:pPr>
        <w:ind w:firstLine="486"/>
        <w:spacing w:line="360" w:lineRule="auto"/>
        <w:tabs>
          <w:tab w:val="lef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2.1 代理公司可以邮寄的形式向中标供应商寄发中标通知书，请供应商准确清晰填写《投标函》，如因相关信息填写错误导致中标通知书无法寄达，代理公司将不再寄送中标通知书，由此造成的不利后果由供应商自行承担。</w:t>
      </w:r>
      <w:r/>
    </w:p>
    <w:p>
      <w:pPr>
        <w:ind w:firstLine="486"/>
        <w:jc w:val="left"/>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2.2中标通知书将是合同的一个组成部分。对采购人和中标供应商均具有法律效力。中标通知书发出后，采购人改变中标结果的，或者中标供应商放弃中标项目的，应当依法承担法律责任。</w:t>
      </w:r>
      <w:r/>
    </w:p>
    <w:p>
      <w:pPr>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（十）废标的确认：</w:t>
      </w:r>
      <w:r/>
    </w:p>
    <w:p>
      <w:pPr>
        <w:ind w:firstLine="486"/>
        <w:spacing w:line="360" w:lineRule="auto"/>
        <w:rPr>
          <w:rFonts w:hint="eastAsia" w:ascii="宋体" w:hAnsi="宋体" w:eastAsia="宋体" w:cs="宋体"/>
          <w:bCs/>
          <w:sz w:val="24"/>
        </w:rPr>
      </w:pPr>
      <w:r>
        <w:rPr>
          <w:rFonts w:hint="eastAsia" w:ascii="宋体" w:hAnsi="宋体" w:eastAsia="宋体" w:cs="宋体"/>
          <w:bCs/>
          <w:sz w:val="24"/>
        </w:rPr>
        <w:t xml:space="preserve">在招标采购中，出现下列情况之一的，应予废标：</w:t>
      </w:r>
      <w:r/>
    </w:p>
    <w:p>
      <w:pPr>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符合专业条件的投标人或者对招标文件作出实质性响应的投标人不足三家；</w:t>
      </w:r>
      <w:r/>
    </w:p>
    <w:p>
      <w:pPr>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出现影响采购公正的违法、违规行为；</w:t>
      </w:r>
      <w:r/>
    </w:p>
    <w:p>
      <w:pPr>
        <w:numPr>
          <w:ilvl w:val="0"/>
          <w:numId w:val="12"/>
        </w:numPr>
        <w:ind w:left="0" w:firstLine="525"/>
        <w:spacing w:line="360" w:lineRule="auto"/>
        <w:tabs>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投标人的报价均超过采购预算，采购人不能支付的；</w:t>
      </w:r>
      <w:r/>
    </w:p>
    <w:p>
      <w:pPr>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因重大变故，采购任务取消；</w:t>
      </w:r>
      <w:r/>
    </w:p>
    <w:p>
      <w:pPr>
        <w:numPr>
          <w:ilvl w:val="0"/>
          <w:numId w:val="12"/>
        </w:numPr>
        <w:ind w:left="0" w:firstLine="525"/>
        <w:spacing w:line="360" w:lineRule="auto"/>
        <w:tabs>
          <w:tab w:val="right" w:pos="180" w:leader="none"/>
          <w:tab w:val="left" w:pos="525" w:leader="none"/>
          <w:tab w:val="left" w:pos="945" w:leader="none"/>
          <w:tab w:val="left" w:pos="1260" w:leader="none"/>
        </w:tabs>
        <w:rPr>
          <w:rFonts w:hint="eastAsia" w:ascii="宋体" w:hAnsi="宋体" w:eastAsia="宋体" w:cs="宋体"/>
          <w:bCs/>
          <w:sz w:val="24"/>
        </w:rPr>
      </w:pPr>
      <w:r>
        <w:rPr>
          <w:rFonts w:hint="eastAsia" w:ascii="宋体" w:hAnsi="宋体" w:eastAsia="宋体" w:cs="宋体"/>
          <w:bCs/>
          <w:sz w:val="24"/>
        </w:rPr>
        <w:t xml:space="preserve">不能完全响应招标文件全部要求的。</w:t>
      </w:r>
      <w:r/>
    </w:p>
    <w:p>
      <w:pPr>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（十一）投标保证金：</w:t>
      </w:r>
      <w:r/>
    </w:p>
    <w:p>
      <w:pPr>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1.本项目不需要缴纳投标保证金；</w:t>
      </w:r>
      <w:r/>
    </w:p>
    <w:p>
      <w:pPr>
        <w:ind w:firstLine="486"/>
        <w:spacing w:line="360" w:lineRule="auto"/>
        <w:tabs>
          <w:tab w:val="right" w:pos="525" w:leader="none"/>
          <w:tab w:val="left" w:pos="945" w:leader="none"/>
        </w:tabs>
        <w:rPr>
          <w:rFonts w:hint="eastAsia" w:ascii="宋体" w:hAnsi="宋体" w:eastAsia="宋体" w:cs="宋体"/>
          <w:bCs/>
          <w:sz w:val="24"/>
        </w:rPr>
      </w:pPr>
      <w:r>
        <w:rPr>
          <w:rFonts w:hint="eastAsia" w:ascii="宋体" w:hAnsi="宋体" w:eastAsia="宋体" w:cs="宋体"/>
          <w:bCs/>
          <w:sz w:val="24"/>
        </w:rPr>
        <w:t xml:space="preserve">2.中标供应商有下列情形之一的；且情节严重的，由财政部门将其列入不良行为记录名单，在一至三年内禁止参加政府采购活动，并予以通报：</w:t>
      </w:r>
      <w:r/>
    </w:p>
    <w:p>
      <w:pPr>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中标后无正当理由不与采购人签订合同的；</w:t>
      </w:r>
      <w:r/>
    </w:p>
    <w:p>
      <w:pPr>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将中标项目转让给他人，或者在投标文件中未说明，且未经过采购人同意，将中标项目分包给他人的；</w:t>
      </w:r>
      <w:r/>
    </w:p>
    <w:p>
      <w:pPr>
        <w:numPr>
          <w:ilvl w:val="3"/>
          <w:numId w:val="13"/>
        </w:numPr>
        <w:ind w:left="0" w:firstLine="529"/>
        <w:spacing w:line="360" w:lineRule="auto"/>
        <w:tabs>
          <w:tab w:val="left" w:pos="735"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拒绝履行合同义务的。</w:t>
      </w:r>
      <w:r/>
    </w:p>
    <w:p>
      <w:pPr>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
          <w:sz w:val="24"/>
        </w:rPr>
        <w:t xml:space="preserve">（十二）</w:t>
      </w:r>
      <w:r>
        <w:rPr>
          <w:rFonts w:hint="eastAsia" w:ascii="宋体" w:hAnsi="宋体" w:eastAsia="宋体" w:cs="宋体"/>
          <w:bCs/>
          <w:sz w:val="24"/>
        </w:rPr>
        <w:t xml:space="preserve">中标无效的确认：</w:t>
      </w:r>
      <w:r/>
    </w:p>
    <w:p>
      <w:pPr>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提供虚假材料谋取中标的；</w:t>
      </w:r>
      <w:r/>
    </w:p>
    <w:p>
      <w:pPr>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采取不正当手段诋毁、排挤其他投标人的；</w:t>
      </w:r>
      <w:r/>
    </w:p>
    <w:p>
      <w:pPr>
        <w:numPr>
          <w:ilvl w:val="0"/>
          <w:numId w:val="14"/>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与招标采购单位、其他投标人恶意串通的；</w:t>
      </w:r>
      <w:r/>
    </w:p>
    <w:p>
      <w:pPr>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向招标采购单位行贿或者提供其他不正当利益的；</w:t>
      </w:r>
      <w:r/>
    </w:p>
    <w:p>
      <w:pPr>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在招标过程中与招标采购单位进行协商谈判、不按照招标文件和中标供应商的投标文件订立合同，或者与采购人另行订立背离合同实质性内容的协议的；</w:t>
      </w:r>
      <w:r/>
    </w:p>
    <w:p>
      <w:pPr>
        <w:numPr>
          <w:ilvl w:val="2"/>
          <w:numId w:val="13"/>
        </w:numPr>
        <w:ind w:left="0" w:firstLine="529"/>
        <w:spacing w:line="360" w:lineRule="auto"/>
        <w:tabs>
          <w:tab w:val="left" w:pos="420" w:leader="none"/>
          <w:tab w:val="left" w:pos="945" w:leader="none"/>
          <w:tab w:val="left" w:pos="1155" w:leader="none"/>
        </w:tabs>
        <w:rPr>
          <w:rFonts w:hint="eastAsia" w:ascii="宋体" w:hAnsi="宋体" w:eastAsia="宋体" w:cs="宋体"/>
          <w:bCs/>
          <w:sz w:val="24"/>
        </w:rPr>
      </w:pPr>
      <w:r>
        <w:rPr>
          <w:rFonts w:hint="eastAsia" w:ascii="宋体" w:hAnsi="宋体" w:eastAsia="宋体" w:cs="宋体"/>
          <w:bCs/>
          <w:sz w:val="24"/>
        </w:rPr>
        <w:t xml:space="preserve">拒绝有关部门监督检查或者提供虚假情况的。</w:t>
      </w:r>
      <w:r/>
    </w:p>
    <w:p>
      <w:pPr>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投标人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（十三）签订</w:t>
      </w:r>
      <w:r>
        <w:rPr>
          <w:rFonts w:hint="eastAsia" w:ascii="宋体" w:hAnsi="宋体" w:eastAsia="宋体" w:cs="宋体"/>
          <w:b/>
          <w:sz w:val="24"/>
        </w:rPr>
        <w:t xml:space="preserve">、履行</w:t>
      </w:r>
      <w:r>
        <w:rPr>
          <w:rFonts w:hint="eastAsia" w:ascii="宋体" w:hAnsi="宋体" w:eastAsia="宋体" w:cs="宋体"/>
          <w:bCs/>
          <w:sz w:val="24"/>
        </w:rPr>
        <w:t xml:space="preserve">合同：</w:t>
      </w:r>
      <w:r/>
    </w:p>
    <w:p>
      <w:pPr>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采购人应当自中标通知书发出之日起十五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中标人非因不可抗力未履行招、投标文件和合同规定的义务，一经查实，代理公司将根据具体情况提请政府采购管理部门作出相应处理。</w:t>
      </w:r>
      <w:r/>
    </w:p>
    <w:p>
      <w:pPr>
        <w:numPr>
          <w:ilvl w:val="0"/>
          <w:numId w:val="15"/>
        </w:numPr>
        <w:ind w:left="0" w:firstLine="525"/>
        <w:spacing w:line="360" w:lineRule="auto"/>
        <w:tabs>
          <w:tab w:val="left" w:pos="525" w:leader="none"/>
          <w:tab w:val="left" w:pos="945" w:leader="none"/>
          <w:tab w:val="left" w:pos="1050" w:leader="none"/>
        </w:tabs>
        <w:rPr>
          <w:rFonts w:hint="eastAsia" w:ascii="宋体" w:hAnsi="宋体" w:eastAsia="宋体" w:cs="宋体"/>
          <w:bCs/>
          <w:sz w:val="24"/>
        </w:rPr>
      </w:pPr>
      <w:r>
        <w:rPr>
          <w:rFonts w:hint="eastAsia" w:ascii="宋体" w:hAnsi="宋体" w:eastAsia="宋体" w:cs="宋体"/>
          <w:bCs/>
          <w:sz w:val="24"/>
        </w:rPr>
        <w:t xml:space="preserve">中标供应商向采购人缴纳的履约保证金为政府采购合同金额的</w:t>
      </w:r>
      <w:r>
        <w:rPr>
          <w:rFonts w:hint="eastAsia" w:ascii="宋体" w:hAnsi="宋体" w:eastAsia="宋体" w:cs="宋体"/>
          <w:bCs/>
          <w:sz w:val="24"/>
          <w:lang w:val="en-US" w:eastAsia="zh-CN"/>
        </w:rPr>
        <w:t xml:space="preserve">10</w:t>
      </w:r>
      <w:r>
        <w:rPr>
          <w:rFonts w:hint="eastAsia" w:ascii="宋体" w:hAnsi="宋体" w:eastAsia="宋体" w:cs="宋体"/>
          <w:bCs/>
          <w:sz w:val="24"/>
        </w:rPr>
        <w:t xml:space="preserve">%。收取履约保证金的，采购人应当与中标供应商在采购合同中约定履约保证金退还的方式、时间、条件和不予退还的情形，明确逾期退还履约保证金的违约责任。</w:t>
      </w:r>
      <w:r/>
    </w:p>
    <w:p>
      <w:pPr>
        <w:ind w:firstLine="486"/>
        <w:spacing w:line="360" w:lineRule="auto"/>
        <w:tabs>
          <w:tab w:val="left" w:pos="945" w:leader="none"/>
        </w:tabs>
        <w:rPr>
          <w:rFonts w:hint="eastAsia" w:ascii="宋体" w:hAnsi="宋体" w:eastAsia="宋体" w:cs="宋体"/>
          <w:bCs/>
          <w:sz w:val="24"/>
        </w:rPr>
      </w:pPr>
      <w:r>
        <w:rPr>
          <w:rFonts w:hint="eastAsia" w:ascii="宋体" w:hAnsi="宋体" w:eastAsia="宋体" w:cs="宋体"/>
          <w:bCs/>
          <w:sz w:val="24"/>
        </w:rPr>
        <w:t xml:space="preserve">（十四）政府采购政策功能落实：</w:t>
      </w:r>
      <w:r/>
    </w:p>
    <w:p>
      <w:pPr>
        <w:pStyle w:val="1119"/>
        <w:jc w:val="left"/>
        <w:spacing w:line="360" w:lineRule="auto"/>
        <w:rPr>
          <w:rFonts w:hint="eastAsia" w:ascii="宋体" w:hAnsi="宋体" w:eastAsia="宋体" w:cs="宋体"/>
          <w:bCs/>
          <w:sz w:val="24"/>
        </w:rPr>
      </w:pPr>
      <w:r>
        <w:rPr>
          <w:rFonts w:hint="eastAsia" w:ascii="宋体" w:hAnsi="宋体" w:eastAsia="宋体" w:cs="宋体"/>
          <w:bCs/>
          <w:sz w:val="24"/>
        </w:rPr>
        <w:t xml:space="preserve">落实政府采购的政策：</w:t>
      </w:r>
      <w:r/>
    </w:p>
    <w:p>
      <w:pPr>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1）参加报价的中小企业，应当按照《政府采购促进中小企业发展管理办法》（财库〔2020〕46号）的规定提供《中小企业声明函》（中小企业划型标准详见《工业和信息化部、国家统计局、国家发展和改革委员会、财政部关于印发中小企业划型标准规定的通知》工信部联企业〔2011〕300号）,格式见附件。</w:t>
      </w:r>
      <w:r/>
    </w:p>
    <w:p>
      <w:pPr>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（2）参加报价的监狱和戒毒企业，应根据《财政部 司法部关于政府采购支持监狱企业发展有关问题的通知》（财库〔2014〕68号）要求，提供由省级以上监狱管理局、戒毒管理局（含新疆生产建设兵团）出具的属于监狱企业的证明文件。</w:t>
      </w:r>
      <w:r/>
    </w:p>
    <w:p>
      <w:pPr>
        <w:ind w:firstLine="486"/>
        <w:spacing w:line="360" w:lineRule="auto"/>
        <w:shd w:val="clear" w:color="auto" w:fill="ffffff"/>
        <w:tabs>
          <w:tab w:val="left" w:pos="900" w:leader="none"/>
        </w:tabs>
        <w:rPr>
          <w:rFonts w:hint="eastAsia" w:ascii="宋体" w:hAnsi="宋体" w:eastAsia="宋体" w:cs="宋体"/>
          <w:bCs/>
          <w:sz w:val="24"/>
        </w:rPr>
      </w:pPr>
      <w:r>
        <w:rPr>
          <w:rFonts w:hint="eastAsia" w:ascii="宋体" w:hAnsi="宋体" w:eastAsia="宋体" w:cs="宋体"/>
          <w:bCs/>
          <w:sz w:val="24"/>
        </w:rPr>
        <w:t xml:space="preserve">（3）参加报价的残疾人福利性单位，应根据《关于促进残疾人就业政府采购政策的通知》（财库〔2017〕141号）要求，提供《残疾人福利性单位声明函》，格式见附件。</w:t>
      </w:r>
      <w:r/>
    </w:p>
    <w:p>
      <w:pPr>
        <w:ind w:firstLine="486"/>
        <w:spacing w:line="360" w:lineRule="auto"/>
        <w:rPr>
          <w:rFonts w:ascii="宋体" w:hAnsi="宋体" w:eastAsia="宋体"/>
          <w:color w:val="000000"/>
          <w:sz w:val="24"/>
          <w:szCs w:val="24"/>
        </w:rPr>
      </w:pPr>
      <w:r>
        <w:rPr>
          <w:rFonts w:hint="eastAsia" w:ascii="宋体" w:hAnsi="宋体" w:eastAsia="宋体" w:cs="宋体"/>
          <w:bCs/>
          <w:sz w:val="24"/>
        </w:rPr>
        <w:t xml:space="preserve">（4）执行《财政部 发展改革委 生态环境部 市场监管总局关于调整优化节能产品 环境标志产品政府采购执行机制的通知》（财库〔2019〕9号）文件。评审过程中，如涉及，在同等条件下优先采购具有环境标志、节能、自主创新的产品，必须提供“环境标志产品”或“节能产品”证明，否则不予认可。</w:t>
      </w:r>
      <w:r/>
    </w:p>
    <w:p>
      <w:pPr>
        <w:pStyle w:val="1013"/>
        <w:ind w:firstLine="486"/>
        <w:jc w:val="left"/>
        <w:keepLines w:val="0"/>
        <w:keepNext w:val="0"/>
        <w:pageBreakBefore w:val="0"/>
        <w:spacing w:before="0" w:beforeAutospacing="0" w:after="0" w:afterAutospacing="0" w:line="360" w:lineRule="auto"/>
        <w:widowControl/>
        <w:rPr>
          <w:rFonts w:hint="eastAsia" w:ascii="宋体" w:hAnsi="宋体" w:eastAsia="宋体" w:cs="宋体"/>
          <w:bCs/>
          <w:sz w:val="24"/>
          <w:lang w:val="en-US" w:eastAsia="zh-CN" w:bidi="ar-SA"/>
        </w:rPr>
        <w:suppressLineNumbers w:val="0"/>
      </w:pPr>
      <w:r/>
      <w:bookmarkStart w:id="21" w:name="_Toc409438818"/>
      <w:r>
        <w:rPr>
          <w:rFonts w:hint="eastAsia" w:ascii="宋体" w:hAnsi="宋体" w:eastAsia="宋体" w:cs="宋体"/>
          <w:bCs/>
          <w:sz w:val="24"/>
        </w:rPr>
        <w:t xml:space="preserve">（十</w:t>
      </w:r>
      <w:r>
        <w:rPr>
          <w:rFonts w:hint="eastAsia" w:ascii="宋体" w:hAnsi="宋体" w:eastAsia="宋体" w:cs="宋体"/>
          <w:bCs/>
          <w:sz w:val="24"/>
          <w:lang w:eastAsia="zh-CN"/>
        </w:rPr>
        <w:t xml:space="preserve">五</w:t>
      </w:r>
      <w:r>
        <w:rPr>
          <w:rFonts w:hint="eastAsia" w:ascii="宋体" w:hAnsi="宋体" w:eastAsia="宋体" w:cs="宋体"/>
          <w:bCs/>
          <w:sz w:val="24"/>
        </w:rPr>
        <w:t xml:space="preserve">）</w:t>
      </w:r>
      <w:r>
        <w:rPr>
          <w:rFonts w:hint="eastAsia" w:ascii="宋体" w:hAnsi="宋体" w:eastAsia="宋体" w:cs="宋体"/>
          <w:bCs/>
          <w:sz w:val="24"/>
          <w:lang w:val="en-US" w:eastAsia="zh-CN" w:bidi="ar-SA"/>
        </w:rPr>
        <w:t xml:space="preserve">关于异常低价的处理：</w:t>
      </w:r>
      <w:r/>
    </w:p>
    <w:p>
      <w:pPr>
        <w:pStyle w:val="1013"/>
        <w:ind w:left="0" w:firstLine="556"/>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（1）依据财政部《财政部关于推动解决政府采购异常低价问题的通知（财库〔2026〕2号）》等相关文件精神，评审委员会启动异常低价投标（响应）审查程序。</w:t>
      </w:r>
      <w:r/>
    </w:p>
    <w:p>
      <w:pPr>
        <w:pStyle w:val="1013"/>
        <w:ind w:left="0" w:firstLine="556"/>
        <w:jc w:val="both"/>
        <w:keepLines w:val="0"/>
        <w:keepNext w:val="0"/>
        <w:pageBreakBefore w:val="0"/>
        <w:spacing w:before="0" w:beforeAutospacing="0" w:after="0" w:afterAutospacing="0" w:line="360" w:lineRule="auto"/>
        <w:widowControl w:val="off"/>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响应报价低于采购项目预算65%的，即响应报价&lt;采购项目预算×65%，评审委员会启动异常低价投标（响应）审查程序。供应商应随投响应文件一并提交相关书面说明及必要的证明材料，响应供应商没有提供书面说明、证明材料（包括拟派项目人员连续六个月(2026年1月-2026年6月，不含比选当月)工资奖金发放表、发放工资的银行卡流水凭证、社会保障资金缴费记录、公积金缴费记录等），或者提供的书面说明、证明材料不能证明其报价合理性的，评审委员会将作为无效响应处理。</w:t>
      </w:r>
      <w:r/>
    </w:p>
    <w:p>
      <w:pPr>
        <w:pStyle w:val="1087"/>
        <w:numPr>
          <w:ilvl w:val="0"/>
          <w:numId w:val="0"/>
        </w:numPr>
        <w:ind w:firstLine="486"/>
        <w:keepLines w:val="0"/>
        <w:keepNext w:val="0"/>
        <w:pageBreakBefore w:val="0"/>
        <w:spacing w:line="360" w:lineRule="auto"/>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（十六）本国产品价格扣除政策</w:t>
      </w:r>
      <w:r/>
    </w:p>
    <w:p>
      <w:pPr>
        <w:pStyle w:val="1087"/>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根据《国务院办公厅关于在政府采购中实施本国产品标准及相关政策的通知》（国办发〔2025〕34号）要求，本项目对采购本国产品给予政策支持。</w:t>
      </w:r>
      <w:r/>
    </w:p>
    <w:p>
      <w:pPr>
        <w:pStyle w:val="1087"/>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（1）政府采购活动中既有本国产品又有非本国产品参与竞争的，依法对本国产品给予价格评审优惠，对本国产品的报价给予20%的价格扣除，用扣除后的价格参与评审。</w:t>
      </w:r>
      <w:r/>
    </w:p>
    <w:p>
      <w:pPr>
        <w:pStyle w:val="1087"/>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（2）供应商需按照招标文件的要求提供《关于符合本国产品标准的声明函》（以下简称《声明函》），如不提供将不享受本国产品价格评审优惠。</w:t>
      </w:r>
      <w:r/>
    </w:p>
    <w:p>
      <w:pPr>
        <w:pStyle w:val="1087"/>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3）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87"/>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4）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87"/>
        <w:numPr>
          <w:ilvl w:val="0"/>
          <w:numId w:val="0"/>
        </w:numPr>
        <w:ind w:firstLine="486"/>
        <w:keepLines w:val="0"/>
        <w:keepNext w:val="0"/>
        <w:pageBreakBefore w:val="0"/>
        <w:spacing w:line="360" w:lineRule="auto"/>
        <w:widowControl w:val="off"/>
        <w:rPr>
          <w:rFonts w:hint="eastAsia" w:ascii="宋体" w:hAnsi="宋体" w:cs="宋体"/>
          <w:strike w:val="0"/>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5）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87"/>
        <w:numPr>
          <w:ilvl w:val="0"/>
          <w:numId w:val="0"/>
        </w:numPr>
        <w:ind w:firstLine="486"/>
        <w:keepLines w:val="0"/>
        <w:keepNext w:val="0"/>
        <w:pageBreakBefore w:val="0"/>
        <w:spacing w:line="360" w:lineRule="auto"/>
        <w:widowControl w:val="off"/>
        <w:rPr>
          <w:rFonts w:ascii="宋体" w:hAnsi="宋体" w:cs="宋体"/>
          <w:strike/>
          <w:color w:val="000000"/>
          <w:sz w:val="24"/>
          <w:szCs w:val="24"/>
          <w:highlight w:val="none"/>
          <w:lang w:val="en-US" w:eastAsia="zh-CN" w:bidi="ar-SA"/>
        </w:rPr>
      </w:pPr>
      <w:r>
        <w:rPr>
          <w:rFonts w:hint="eastAsia" w:ascii="宋体" w:hAnsi="宋体" w:cs="宋体"/>
          <w:strike w:val="0"/>
          <w:color w:val="000000"/>
          <w:sz w:val="24"/>
          <w:szCs w:val="24"/>
          <w:highlight w:val="none"/>
          <w:lang w:val="en-US" w:eastAsia="zh-CN" w:bidi="ar-SA"/>
        </w:rPr>
        <w:t xml:space="preserve">（6）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69"/>
        <w:jc w:val="center"/>
        <w:spacing w:before="0" w:after="0" w:line="360" w:lineRule="auto"/>
        <w:rPr>
          <w:rFonts w:ascii="宋体" w:hAnsi="宋体" w:eastAsia="宋体"/>
          <w:color w:val="000000"/>
          <w:sz w:val="30"/>
          <w:szCs w:val="30"/>
        </w:rPr>
      </w:pPr>
      <w:r>
        <w:rPr>
          <w:rFonts w:hint="eastAsia" w:ascii="宋体" w:hAnsi="宋体" w:eastAsia="宋体"/>
          <w:color w:val="000000"/>
        </w:rPr>
        <w:br w:type="page" w:clear="all"/>
      </w:r>
      <w:bookmarkEnd w:id="21"/>
      <w:r>
        <w:rPr>
          <w:rFonts w:hint="eastAsia" w:ascii="黑体" w:hAnsi="黑体" w:eastAsia="黑体"/>
          <w:b w:val="0"/>
          <w:szCs w:val="22"/>
        </w:rPr>
        <w:t xml:space="preserve">三．项目技术要求和有关说明</w:t>
      </w:r>
      <w:r/>
    </w:p>
    <w:p>
      <w:pPr>
        <w:pStyle w:val="1070"/>
        <w:ind w:firstLine="420"/>
        <w:jc w:val="left"/>
        <w:spacing w:before="120" w:after="120" w:line="360" w:lineRule="auto"/>
        <w:rPr>
          <w:rFonts w:hint="eastAsia" w:ascii="宋体" w:hAnsi="宋体" w:eastAsia="宋体" w:cs="宋体"/>
          <w:color w:val="000000"/>
          <w:sz w:val="21"/>
          <w:szCs w:val="21"/>
          <w:highlight w:val="none"/>
        </w:rPr>
      </w:pPr>
      <w:r/>
      <w:bookmarkStart w:id="22" w:name="_Toc388026588"/>
      <w:r/>
      <w:bookmarkStart w:id="23" w:name="_Toc409438821"/>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lang w:val="en-US" w:eastAsia="zh-CN"/>
        </w:rPr>
        <w:t xml:space="preserve">泰州市中级人民法院大案要案法庭办公办案家具采购</w:t>
      </w:r>
      <w:r/>
    </w:p>
    <w:p>
      <w:pPr>
        <w:pStyle w:val="1070"/>
        <w:ind w:firstLine="420"/>
        <w:jc w:val="left"/>
        <w:spacing w:before="120" w:after="120"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项目地点：</w:t>
      </w:r>
      <w:r>
        <w:rPr>
          <w:rFonts w:hint="eastAsia" w:ascii="宋体" w:hAnsi="宋体" w:eastAsia="宋体" w:cs="宋体"/>
          <w:color w:val="000000"/>
          <w:sz w:val="21"/>
          <w:szCs w:val="21"/>
          <w:highlight w:val="none"/>
          <w:lang w:val="en-US" w:eastAsia="zh-CN"/>
        </w:rPr>
        <w:t xml:space="preserve">泰州市</w:t>
      </w:r>
      <w:r>
        <w:rPr>
          <w:rFonts w:hint="eastAsia" w:hAnsi="宋体" w:eastAsia="宋体" w:cs="宋体"/>
          <w:color w:val="000000"/>
          <w:sz w:val="21"/>
          <w:szCs w:val="21"/>
          <w:highlight w:val="none"/>
          <w:lang w:val="en-US" w:eastAsia="zh-CN"/>
        </w:rPr>
        <w:t xml:space="preserve">中级人民法院</w:t>
      </w:r>
      <w:r/>
    </w:p>
    <w:p>
      <w:pPr>
        <w:pStyle w:val="1070"/>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合同履行期限：</w:t>
      </w:r>
      <w:r>
        <w:rPr>
          <w:rFonts w:hint="eastAsia" w:hAnsi="宋体" w:eastAsia="宋体" w:cs="宋体"/>
          <w:color w:val="000000"/>
          <w:sz w:val="21"/>
          <w:szCs w:val="21"/>
          <w:highlight w:val="none"/>
          <w:lang w:val="en-US" w:eastAsia="zh-CN"/>
        </w:rPr>
        <w:t xml:space="preserve">25日历天</w:t>
      </w:r>
      <w:r/>
    </w:p>
    <w:p>
      <w:pPr>
        <w:pStyle w:val="1070"/>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预算金额：144.487万元</w:t>
      </w:r>
      <w:r/>
    </w:p>
    <w:p>
      <w:pPr>
        <w:pStyle w:val="1070"/>
        <w:ind w:firstLine="420"/>
        <w:jc w:val="left"/>
        <w:spacing w:before="120" w:after="120" w:line="360" w:lineRule="auto"/>
        <w:rPr>
          <w:rFonts w:hint="eastAsia" w:ascii="宋体" w:hAnsi="宋体" w:eastAsia="宋体" w:cs="宋体"/>
          <w:color w:val="000000"/>
          <w:sz w:val="21"/>
          <w:szCs w:val="21"/>
          <w:highlight w:val="none"/>
          <w:lang w:val="en-US" w:eastAsia="zh-CN"/>
        </w:rPr>
      </w:pPr>
      <w:r>
        <w:rPr>
          <w:rFonts w:hint="eastAsia" w:hAnsi="宋体" w:eastAsia="宋体" w:cs="宋体"/>
          <w:color w:val="000000"/>
          <w:sz w:val="21"/>
          <w:szCs w:val="21"/>
          <w:highlight w:val="none"/>
          <w:lang w:val="en-US" w:eastAsia="zh-CN"/>
        </w:rPr>
        <w:t xml:space="preserve">具体采购内容详见附件清单。</w:t>
      </w:r>
      <w:r/>
    </w:p>
    <w:p>
      <w:pPr>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jc w:val="cente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spacing w:line="300" w:lineRule="auto"/>
        <w:rPr>
          <w:rFonts w:hint="eastAsia" w:ascii="宋体" w:hAnsi="宋体" w:eastAsia="宋体"/>
          <w:b/>
          <w:bCs/>
          <w:sz w:val="44"/>
          <w:szCs w:val="44"/>
        </w:rPr>
        <w:outlineLvl w:val="0"/>
      </w:pPr>
      <w:r>
        <w:rPr>
          <w:rFonts w:hint="eastAsia" w:ascii="宋体" w:hAnsi="宋体" w:eastAsia="宋体"/>
          <w:b/>
          <w:bCs/>
          <w:sz w:val="44"/>
          <w:szCs w:val="44"/>
        </w:rPr>
      </w:r>
      <w:r/>
    </w:p>
    <w:p>
      <w:pPr>
        <w:jc w:val="center"/>
        <w:spacing w:line="300" w:lineRule="auto"/>
        <w:rPr>
          <w:rFonts w:hint="eastAsia" w:ascii="宋体" w:hAnsi="宋体" w:eastAsia="宋体"/>
          <w:sz w:val="24"/>
          <w:szCs w:val="24"/>
        </w:rPr>
        <w:outlineLvl w:val="0"/>
      </w:pPr>
      <w:r>
        <w:rPr>
          <w:rFonts w:hint="eastAsia" w:ascii="宋体" w:hAnsi="宋体" w:eastAsia="宋体"/>
          <w:b/>
          <w:bCs/>
          <w:sz w:val="44"/>
          <w:szCs w:val="44"/>
        </w:rPr>
        <w:t xml:space="preserve">四．合同书</w:t>
      </w:r>
      <w:r/>
    </w:p>
    <w:p>
      <w:pPr>
        <w:pStyle w:val="970"/>
        <w:rPr>
          <w:rFonts w:hint="eastAsia" w:ascii="宋体" w:hAnsi="宋体" w:cs="宋体"/>
        </w:rPr>
      </w:pPr>
      <w:r/>
      <w:bookmarkStart w:id="24" w:name="_Toc16938559"/>
      <w:r/>
      <w:bookmarkStart w:id="25" w:name="_Toc382814014"/>
      <w:r/>
      <w:bookmarkStart w:id="26" w:name="_Toc288030332"/>
      <w:r/>
      <w:bookmarkStart w:id="27" w:name="_Toc382812484"/>
      <w:r/>
      <w:bookmarkStart w:id="28" w:name="_Toc382811586"/>
      <w:r/>
      <w:bookmarkStart w:id="29" w:name="_Toc282446296"/>
      <w:r/>
      <w:bookmarkStart w:id="30" w:name="_Toc382811181"/>
      <w:r/>
      <w:bookmarkStart w:id="31" w:name="_Toc120614222"/>
      <w:r/>
      <w:bookmarkStart w:id="32" w:name="_Toc383587505"/>
      <w:r/>
      <w:bookmarkStart w:id="33" w:name="_Toc513029243"/>
      <w:r/>
      <w:bookmarkStart w:id="34" w:name="_Toc20823315"/>
      <w:r/>
      <w:bookmarkStart w:id="35" w:name="_Toc382813933"/>
      <w:r/>
      <w:bookmarkStart w:id="36" w:name="_Toc382812295"/>
      <w:r/>
      <w:bookmarkStart w:id="37" w:name="_Toc383698694"/>
      <w:r/>
      <w:bookmarkStart w:id="38" w:name="_Toc390246952"/>
      <w:r/>
      <w:bookmarkStart w:id="39" w:name="_Toc390098887"/>
      <w:r/>
      <w:bookmarkStart w:id="40" w:name="_Toc383679794"/>
      <w:r/>
      <w:bookmarkStart w:id="41" w:name="_Toc416720358"/>
      <w:r/>
      <w:bookmarkStart w:id="42" w:name="_Toc383626041"/>
      <w:r/>
      <w:bookmarkStart w:id="43" w:name="_Toc383623992"/>
      <w:r/>
      <w:bookmarkStart w:id="44" w:name="_Toc390099065"/>
      <w:r/>
      <w:bookmarkStart w:id="45" w:name="_Toc383623720"/>
      <w:r>
        <w:rPr>
          <w:rFonts w:hint="eastAsia" w:ascii="宋体" w:hAnsi="宋体" w:cs="宋体"/>
        </w:rPr>
        <w:t xml:space="preserve">一、通用合同条款</w:t>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rPr>
          <w:rFonts w:hint="eastAsia" w:ascii="宋体" w:hAnsi="宋体" w:cs="宋体"/>
        </w:rPr>
        <w:t xml:space="preserve">部分</w:t>
      </w:r>
      <w:bookmarkEnd w:id="37"/>
      <w:r/>
      <w:bookmarkEnd w:id="38"/>
      <w:r/>
      <w:bookmarkEnd w:id="39"/>
      <w:r/>
      <w:bookmarkEnd w:id="40"/>
      <w:r/>
      <w:bookmarkEnd w:id="41"/>
      <w:r/>
      <w:bookmarkEnd w:id="42"/>
      <w:r/>
      <w:bookmarkEnd w:id="43"/>
      <w:r/>
      <w:bookmarkEnd w:id="44"/>
      <w:r/>
      <w:bookmarkEnd w:id="45"/>
      <w:r/>
      <w:r/>
    </w:p>
    <w:p>
      <w:pPr>
        <w:pStyle w:val="971"/>
        <w:spacing w:before="177" w:after="177" w:line="415" w:lineRule="auto"/>
        <w:rPr>
          <w:rFonts w:hint="eastAsia" w:ascii="宋体" w:hAnsi="宋体" w:eastAsia="宋体" w:cs="宋体"/>
          <w:bCs w:val="0"/>
          <w:sz w:val="21"/>
          <w:szCs w:val="21"/>
        </w:rPr>
      </w:pPr>
      <w:r/>
      <w:bookmarkStart w:id="46" w:name="_Toc382813935"/>
      <w:r/>
      <w:bookmarkStart w:id="47" w:name="_Toc120614224"/>
      <w:r/>
      <w:bookmarkStart w:id="48" w:name="_Toc383626042"/>
      <w:r/>
      <w:bookmarkStart w:id="49" w:name="_Toc20823317"/>
      <w:r/>
      <w:bookmarkStart w:id="50" w:name="_Toc383587507"/>
      <w:r/>
      <w:bookmarkStart w:id="51" w:name="_Toc513029245"/>
      <w:r/>
      <w:bookmarkStart w:id="52" w:name="_Toc390098888"/>
      <w:r/>
      <w:bookmarkStart w:id="53" w:name="_Toc390099066"/>
      <w:r/>
      <w:bookmarkStart w:id="54" w:name="_Toc382812297"/>
      <w:r/>
      <w:bookmarkStart w:id="55" w:name="_Toc282446298"/>
      <w:r/>
      <w:bookmarkStart w:id="56" w:name="_Toc16938561"/>
      <w:r/>
      <w:bookmarkStart w:id="57" w:name="_Toc382814016"/>
      <w:r/>
      <w:bookmarkStart w:id="58" w:name="_Toc382812486"/>
      <w:r/>
      <w:bookmarkStart w:id="59" w:name="_Toc382811183"/>
      <w:r/>
      <w:bookmarkStart w:id="60" w:name="_Toc382811588"/>
      <w:r/>
      <w:bookmarkStart w:id="61" w:name="_Toc416720359"/>
      <w:r/>
      <w:bookmarkStart w:id="62" w:name="_Toc383679795"/>
      <w:r/>
      <w:bookmarkStart w:id="63" w:name="_Toc383623993"/>
      <w:r/>
      <w:bookmarkStart w:id="64" w:name="_Toc383623721"/>
      <w:r/>
      <w:bookmarkStart w:id="65" w:name="_Toc390246953"/>
      <w:r/>
      <w:bookmarkStart w:id="66" w:name="_Toc288030334"/>
      <w:r/>
      <w:bookmarkStart w:id="67" w:name="_Toc383698695"/>
      <w:r>
        <w:rPr>
          <w:rFonts w:hint="eastAsia" w:ascii="宋体" w:hAnsi="宋体" w:eastAsia="宋体" w:cs="宋体"/>
          <w:bCs w:val="0"/>
          <w:sz w:val="21"/>
          <w:szCs w:val="21"/>
        </w:rPr>
        <w:t xml:space="preserve">1、定义</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r/>
    </w:p>
    <w:p>
      <w:pPr>
        <w:ind w:left="526"/>
        <w:rPr>
          <w:rFonts w:hint="eastAsia" w:ascii="宋体" w:hAnsi="宋体" w:eastAsia="宋体" w:cs="宋体"/>
        </w:rPr>
      </w:pPr>
      <w:r>
        <w:rPr>
          <w:rFonts w:hint="eastAsia" w:ascii="宋体" w:hAnsi="宋体" w:eastAsia="宋体" w:cs="宋体"/>
        </w:rPr>
        <w:t xml:space="preserve">本合同中的下列术语应解释为：</w:t>
      </w:r>
      <w:r/>
    </w:p>
    <w:p>
      <w:pPr>
        <w:ind w:left="1098" w:hanging="572"/>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b/>
          <w:szCs w:val="21"/>
        </w:rPr>
        <w:t xml:space="preserve">“合同”</w:t>
      </w:r>
      <w:r>
        <w:rPr>
          <w:rFonts w:hint="eastAsia" w:ascii="宋体" w:hAnsi="宋体" w:eastAsia="宋体" w:cs="宋体"/>
        </w:rPr>
        <w:t xml:space="preserve">系指买方、见证方与卖方签署的、合同格式中载明的买方与卖方所达成的协议，包括所有的附件、附录和构成合同的所有文件。</w:t>
      </w:r>
      <w:r/>
    </w:p>
    <w:p>
      <w:pPr>
        <w:ind w:left="1098" w:hanging="572"/>
        <w:rPr>
          <w:rFonts w:hint="eastAsia" w:ascii="宋体" w:hAnsi="宋体" w:eastAsia="宋体" w:cs="宋体"/>
          <w:szCs w:val="21"/>
        </w:rPr>
      </w:pPr>
      <w:r>
        <w:rPr>
          <w:rFonts w:hint="eastAsia" w:ascii="宋体" w:hAnsi="宋体" w:eastAsia="宋体" w:cs="宋体"/>
          <w:szCs w:val="21"/>
        </w:rPr>
        <w:t xml:space="preserve">（2）</w:t>
      </w:r>
      <w:r>
        <w:rPr>
          <w:rFonts w:hint="eastAsia" w:ascii="宋体" w:hAnsi="宋体" w:eastAsia="宋体" w:cs="宋体"/>
          <w:b/>
          <w:szCs w:val="21"/>
        </w:rPr>
        <w:t xml:space="preserve">“合同价”</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方在正确地完全履行合同义务后</w:t>
      </w:r>
      <w:r>
        <w:rPr>
          <w:rFonts w:hint="eastAsia" w:ascii="宋体" w:hAnsi="宋体" w:eastAsia="宋体" w:cs="宋体"/>
        </w:rPr>
        <w:t xml:space="preserve">买</w:t>
      </w:r>
      <w:r>
        <w:rPr>
          <w:rFonts w:hint="eastAsia" w:ascii="宋体" w:hAnsi="宋体" w:eastAsia="宋体" w:cs="宋体"/>
          <w:szCs w:val="21"/>
        </w:rPr>
        <w:t xml:space="preserve">方应支付给</w:t>
      </w:r>
      <w:r>
        <w:rPr>
          <w:rFonts w:hint="eastAsia" w:ascii="宋体" w:hAnsi="宋体" w:eastAsia="宋体" w:cs="宋体"/>
        </w:rPr>
        <w:t xml:space="preserve">卖</w:t>
      </w:r>
      <w:r>
        <w:rPr>
          <w:rFonts w:hint="eastAsia" w:ascii="宋体" w:hAnsi="宋体" w:eastAsia="宋体" w:cs="宋体"/>
          <w:szCs w:val="21"/>
        </w:rPr>
        <w:t xml:space="preserve">方的价格。</w:t>
      </w:r>
      <w:r/>
    </w:p>
    <w:p>
      <w:pPr>
        <w:ind w:left="1098" w:hanging="572"/>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b/>
          <w:szCs w:val="21"/>
        </w:rPr>
        <w:t xml:space="preserve">“服务”</w:t>
      </w:r>
      <w:r>
        <w:rPr>
          <w:rFonts w:hint="eastAsia" w:ascii="宋体" w:hAnsi="宋体" w:eastAsia="宋体" w:cs="宋体"/>
          <w:szCs w:val="21"/>
        </w:rPr>
        <w:t xml:space="preserve">系指根据合同规定</w:t>
      </w:r>
      <w:r>
        <w:rPr>
          <w:rFonts w:hint="eastAsia" w:ascii="宋体" w:hAnsi="宋体" w:eastAsia="宋体" w:cs="宋体"/>
        </w:rPr>
        <w:t xml:space="preserve">卖</w:t>
      </w:r>
      <w:r>
        <w:rPr>
          <w:rFonts w:hint="eastAsia" w:ascii="宋体" w:hAnsi="宋体" w:eastAsia="宋体" w:cs="宋体"/>
          <w:szCs w:val="21"/>
        </w:rPr>
        <w:t xml:space="preserve">方承担与供货有关所有的辅助服务，如运输、保险以及其它的伴随服务，比如安装、调试、测试、提供技术服务、培训和其他所有的</w:t>
      </w:r>
      <w:r>
        <w:rPr>
          <w:rFonts w:hint="eastAsia" w:ascii="宋体" w:hAnsi="宋体" w:eastAsia="宋体" w:cs="宋体"/>
        </w:rPr>
        <w:t xml:space="preserve">卖</w:t>
      </w:r>
      <w:r>
        <w:rPr>
          <w:rFonts w:hint="eastAsia" w:ascii="宋体" w:hAnsi="宋体" w:eastAsia="宋体" w:cs="宋体"/>
          <w:szCs w:val="21"/>
        </w:rPr>
        <w:t xml:space="preserve">方应承担的义务。</w:t>
      </w:r>
      <w:r/>
    </w:p>
    <w:p>
      <w:pPr>
        <w:ind w:left="526"/>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b/>
          <w:szCs w:val="21"/>
        </w:rPr>
        <w:t xml:space="preserve">“</w:t>
      </w:r>
      <w:r>
        <w:rPr>
          <w:rFonts w:hint="eastAsia" w:ascii="宋体" w:hAnsi="宋体" w:eastAsia="宋体" w:cs="宋体"/>
          <w:b/>
        </w:rPr>
        <w:t xml:space="preserve">买</w:t>
      </w:r>
      <w:r>
        <w:rPr>
          <w:rFonts w:hint="eastAsia" w:ascii="宋体" w:hAnsi="宋体" w:eastAsia="宋体" w:cs="宋体"/>
          <w:b/>
          <w:szCs w:val="21"/>
        </w:rPr>
        <w:t xml:space="preserve">方”</w:t>
      </w:r>
      <w:r>
        <w:rPr>
          <w:rFonts w:hint="eastAsia" w:ascii="宋体" w:hAnsi="宋体" w:eastAsia="宋体" w:cs="宋体"/>
          <w:szCs w:val="21"/>
        </w:rPr>
        <w:t xml:space="preserve">系指购买服务的单位。</w:t>
      </w:r>
      <w:r/>
    </w:p>
    <w:p>
      <w:pPr>
        <w:ind w:left="526"/>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w:t>
      </w:r>
      <w:r>
        <w:rPr>
          <w:rFonts w:hint="eastAsia" w:ascii="宋体" w:hAnsi="宋体" w:eastAsia="宋体" w:cs="宋体"/>
          <w:b/>
        </w:rPr>
        <w:t xml:space="preserve">卖</w:t>
      </w:r>
      <w:r>
        <w:rPr>
          <w:rFonts w:hint="eastAsia" w:ascii="宋体" w:hAnsi="宋体" w:eastAsia="宋体" w:cs="宋体"/>
          <w:b/>
          <w:szCs w:val="21"/>
        </w:rPr>
        <w:t xml:space="preserve">方”</w:t>
      </w:r>
      <w:r>
        <w:rPr>
          <w:rFonts w:hint="eastAsia" w:ascii="宋体" w:hAnsi="宋体" w:eastAsia="宋体" w:cs="宋体"/>
          <w:szCs w:val="21"/>
        </w:rPr>
        <w:t xml:space="preserve">系指提供服务的中标供应商。</w:t>
      </w:r>
      <w:r/>
    </w:p>
    <w:p>
      <w:pPr>
        <w:ind w:left="526"/>
        <w:rPr>
          <w:rFonts w:hint="eastAsia" w:ascii="宋体" w:hAnsi="宋体" w:eastAsia="宋体" w:cs="宋体"/>
          <w:szCs w:val="21"/>
        </w:rPr>
      </w:pPr>
      <w:r>
        <w:rPr>
          <w:rFonts w:hint="eastAsia" w:ascii="宋体" w:hAnsi="宋体" w:eastAsia="宋体" w:cs="宋体"/>
          <w:szCs w:val="21"/>
        </w:rPr>
        <w:t xml:space="preserve">（7）</w:t>
      </w:r>
      <w:r>
        <w:rPr>
          <w:rFonts w:hint="eastAsia" w:ascii="宋体" w:hAnsi="宋体" w:eastAsia="宋体" w:cs="宋体"/>
          <w:b/>
          <w:bCs/>
          <w:szCs w:val="21"/>
        </w:rPr>
        <w:t xml:space="preserve">“见证方”</w:t>
      </w:r>
      <w:r>
        <w:rPr>
          <w:rFonts w:hint="eastAsia" w:ascii="宋体" w:hAnsi="宋体" w:eastAsia="宋体" w:cs="宋体"/>
          <w:szCs w:val="21"/>
        </w:rPr>
        <w:t xml:space="preserve">系指招标人。</w:t>
      </w:r>
      <w:r/>
    </w:p>
    <w:p>
      <w:pPr>
        <w:ind w:left="526"/>
        <w:rPr>
          <w:rFonts w:hint="eastAsia" w:ascii="宋体" w:hAnsi="宋体" w:eastAsia="宋体" w:cs="宋体"/>
          <w:szCs w:val="21"/>
        </w:rPr>
      </w:pPr>
      <w:r>
        <w:rPr>
          <w:rFonts w:hint="eastAsia" w:ascii="宋体" w:hAnsi="宋体" w:eastAsia="宋体" w:cs="宋体"/>
          <w:szCs w:val="21"/>
        </w:rPr>
        <w:t xml:space="preserve">（8）</w:t>
      </w:r>
      <w:r>
        <w:rPr>
          <w:rFonts w:hint="eastAsia" w:ascii="宋体" w:hAnsi="宋体" w:eastAsia="宋体" w:cs="宋体"/>
          <w:b/>
          <w:bCs/>
          <w:szCs w:val="21"/>
        </w:rPr>
        <w:t xml:space="preserve">“采购人”</w:t>
      </w:r>
      <w:r>
        <w:rPr>
          <w:rFonts w:hint="eastAsia" w:ascii="宋体" w:hAnsi="宋体" w:eastAsia="宋体" w:cs="宋体"/>
          <w:szCs w:val="21"/>
        </w:rPr>
        <w:t xml:space="preserve">系指购买服务的单位。</w:t>
      </w:r>
      <w:r/>
    </w:p>
    <w:p>
      <w:pPr>
        <w:pStyle w:val="971"/>
        <w:spacing w:before="177" w:after="177" w:line="415" w:lineRule="auto"/>
        <w:rPr>
          <w:rFonts w:hint="eastAsia" w:ascii="宋体" w:hAnsi="宋体" w:eastAsia="宋体" w:cs="宋体"/>
          <w:bCs w:val="0"/>
          <w:sz w:val="21"/>
          <w:szCs w:val="21"/>
        </w:rPr>
      </w:pPr>
      <w:r/>
      <w:bookmarkStart w:id="68" w:name="_Toc120614225"/>
      <w:r/>
      <w:bookmarkStart w:id="69" w:name="_Toc288030335"/>
      <w:r/>
      <w:bookmarkStart w:id="70" w:name="_Toc282446299"/>
      <w:r/>
      <w:bookmarkStart w:id="71" w:name="_Toc20823318"/>
      <w:r/>
      <w:bookmarkStart w:id="72" w:name="_Toc513029246"/>
      <w:r/>
      <w:bookmarkStart w:id="73" w:name="_Toc16938562"/>
      <w:r/>
      <w:bookmarkStart w:id="74" w:name="_Toc383698696"/>
      <w:r/>
      <w:bookmarkStart w:id="75" w:name="_Toc383623722"/>
      <w:r/>
      <w:bookmarkStart w:id="76" w:name="_Toc383587508"/>
      <w:r/>
      <w:bookmarkStart w:id="77" w:name="_Toc382812298"/>
      <w:r/>
      <w:bookmarkStart w:id="78" w:name="_Toc382812487"/>
      <w:r/>
      <w:bookmarkStart w:id="79" w:name="_Toc382811589"/>
      <w:r/>
      <w:bookmarkStart w:id="80" w:name="_Toc382814017"/>
      <w:r/>
      <w:bookmarkStart w:id="81" w:name="_Toc383679796"/>
      <w:r/>
      <w:bookmarkStart w:id="82" w:name="_Toc382811184"/>
      <w:r/>
      <w:bookmarkStart w:id="83" w:name="_Toc390246954"/>
      <w:r/>
      <w:bookmarkStart w:id="84" w:name="_Toc383623994"/>
      <w:r/>
      <w:bookmarkStart w:id="85" w:name="_Toc390099067"/>
      <w:r/>
      <w:bookmarkStart w:id="86" w:name="_Toc416720360"/>
      <w:r/>
      <w:bookmarkStart w:id="87" w:name="_Toc383626043"/>
      <w:r/>
      <w:bookmarkStart w:id="88" w:name="_Toc382813936"/>
      <w:r/>
      <w:bookmarkStart w:id="89" w:name="_Toc390098889"/>
      <w:r>
        <w:rPr>
          <w:rFonts w:hint="eastAsia" w:ascii="宋体" w:hAnsi="宋体" w:eastAsia="宋体" w:cs="宋体"/>
          <w:bCs w:val="0"/>
          <w:sz w:val="21"/>
          <w:szCs w:val="21"/>
        </w:rPr>
        <w:t xml:space="preserve">2、技术</w:t>
      </w:r>
      <w:bookmarkEnd w:id="68"/>
      <w:r/>
      <w:bookmarkEnd w:id="69"/>
      <w:r/>
      <w:bookmarkEnd w:id="70"/>
      <w:r/>
      <w:bookmarkEnd w:id="71"/>
      <w:r/>
      <w:bookmarkEnd w:id="72"/>
      <w:r/>
      <w:bookmarkEnd w:id="73"/>
      <w:r>
        <w:rPr>
          <w:rFonts w:hint="eastAsia" w:ascii="宋体" w:hAnsi="宋体" w:eastAsia="宋体" w:cs="宋体"/>
          <w:bCs w:val="0"/>
          <w:sz w:val="21"/>
          <w:szCs w:val="21"/>
        </w:rPr>
        <w:t xml:space="preserve">规范</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ind w:firstLine="526"/>
        <w:rPr>
          <w:rFonts w:hint="eastAsia" w:ascii="宋体" w:hAnsi="宋体" w:eastAsia="宋体" w:cs="宋体"/>
        </w:rPr>
      </w:pPr>
      <w:r>
        <w:rPr>
          <w:rFonts w:hint="eastAsia" w:ascii="宋体" w:hAnsi="宋体" w:eastAsia="宋体" w:cs="宋体"/>
        </w:rPr>
        <w:t xml:space="preserve">卖方所提供服务的技术规格、内容应与招标文件规定的业务要求相一致；若技术性能无相应说明，则按国家有关部门最新颁布的标准及规范为准。</w:t>
      </w:r>
      <w:r/>
    </w:p>
    <w:p>
      <w:pPr>
        <w:pStyle w:val="971"/>
        <w:spacing w:before="177" w:after="177" w:line="415" w:lineRule="auto"/>
        <w:rPr>
          <w:rFonts w:hint="eastAsia" w:ascii="宋体" w:hAnsi="宋体" w:eastAsia="宋体" w:cs="宋体"/>
          <w:bCs w:val="0"/>
          <w:sz w:val="21"/>
          <w:szCs w:val="21"/>
        </w:rPr>
      </w:pPr>
      <w:r/>
      <w:bookmarkStart w:id="90" w:name="_Toc383623995"/>
      <w:r/>
      <w:bookmarkStart w:id="91" w:name="_Toc383626044"/>
      <w:r/>
      <w:bookmarkStart w:id="92" w:name="_Toc382812488"/>
      <w:r/>
      <w:bookmarkStart w:id="93" w:name="_Toc282446300"/>
      <w:r/>
      <w:bookmarkStart w:id="94" w:name="_Toc288030336"/>
      <w:r/>
      <w:bookmarkStart w:id="95" w:name="_Toc383698697"/>
      <w:r/>
      <w:bookmarkStart w:id="96" w:name="_Toc390246955"/>
      <w:r/>
      <w:bookmarkStart w:id="97" w:name="_Toc120614226"/>
      <w:r/>
      <w:bookmarkStart w:id="98" w:name="_Toc382812299"/>
      <w:r/>
      <w:bookmarkStart w:id="99" w:name="_Toc382811590"/>
      <w:r/>
      <w:bookmarkStart w:id="100" w:name="_Toc382813937"/>
      <w:r/>
      <w:bookmarkStart w:id="101" w:name="_Toc16938563"/>
      <w:r/>
      <w:bookmarkStart w:id="102" w:name="_Toc382814018"/>
      <w:r/>
      <w:bookmarkStart w:id="103" w:name="_Toc390098890"/>
      <w:r/>
      <w:bookmarkStart w:id="104" w:name="_Toc513029247"/>
      <w:r/>
      <w:bookmarkStart w:id="105" w:name="_Toc382811185"/>
      <w:r/>
      <w:bookmarkStart w:id="106" w:name="_Toc383587509"/>
      <w:r/>
      <w:bookmarkStart w:id="107" w:name="_Toc390099068"/>
      <w:r/>
      <w:bookmarkStart w:id="108" w:name="_Toc383623723"/>
      <w:r/>
      <w:bookmarkStart w:id="109" w:name="_Toc20823319"/>
      <w:r/>
      <w:bookmarkStart w:id="110" w:name="_Toc383679797"/>
      <w:r/>
      <w:bookmarkStart w:id="111" w:name="_Toc416720361"/>
      <w:r>
        <w:rPr>
          <w:rFonts w:hint="eastAsia" w:ascii="宋体" w:hAnsi="宋体" w:eastAsia="宋体" w:cs="宋体"/>
          <w:bCs w:val="0"/>
          <w:sz w:val="21"/>
          <w:szCs w:val="21"/>
        </w:rPr>
        <w:t xml:space="preserve">3、专利权及版权</w:t>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r/>
    </w:p>
    <w:p>
      <w:pPr>
        <w:ind w:firstLine="526"/>
        <w:rPr>
          <w:rFonts w:hint="eastAsia" w:ascii="宋体" w:hAnsi="宋体" w:eastAsia="宋体" w:cs="宋体"/>
        </w:rPr>
      </w:pPr>
      <w:r>
        <w:rPr>
          <w:rFonts w:hint="eastAsia" w:ascii="宋体" w:hAnsi="宋体" w:eastAsia="宋体" w:cs="宋体"/>
        </w:rPr>
        <w:t xml:space="preserve">中标单位对买方提供的业务资料、技术资料应严格保密，不得扩散。卖方应保证买方在使用、接受本合同货物和服务或其任何一部分时不受卖方及第三方提出侵犯其专利权、版权、商标权和工业设计权等知识产权的起诉。一旦出现侵权，由卖方负全部责任。</w:t>
      </w:r>
      <w:r/>
    </w:p>
    <w:p>
      <w:pPr>
        <w:pStyle w:val="971"/>
        <w:spacing w:before="177" w:after="177" w:line="415" w:lineRule="auto"/>
        <w:rPr>
          <w:rFonts w:hint="eastAsia" w:ascii="宋体" w:hAnsi="宋体" w:eastAsia="宋体" w:cs="宋体"/>
          <w:bCs w:val="0"/>
          <w:sz w:val="21"/>
          <w:szCs w:val="21"/>
        </w:rPr>
      </w:pPr>
      <w:r/>
      <w:bookmarkStart w:id="112" w:name="_Toc282446301"/>
      <w:r/>
      <w:bookmarkStart w:id="113" w:name="_Toc288030337"/>
      <w:r/>
      <w:bookmarkStart w:id="114" w:name="_Toc120614227"/>
      <w:r/>
      <w:bookmarkStart w:id="115" w:name="_Toc20823320"/>
      <w:r/>
      <w:bookmarkStart w:id="116" w:name="_Toc513029248"/>
      <w:r/>
      <w:bookmarkStart w:id="117" w:name="_Toc16938564"/>
      <w:r/>
      <w:bookmarkStart w:id="118" w:name="_Toc416720362"/>
      <w:r/>
      <w:bookmarkStart w:id="119" w:name="_Toc383626045"/>
      <w:r/>
      <w:bookmarkStart w:id="120" w:name="_Toc383623996"/>
      <w:r/>
      <w:bookmarkStart w:id="121" w:name="_Toc382813938"/>
      <w:r/>
      <w:bookmarkStart w:id="122" w:name="_Toc382814019"/>
      <w:r/>
      <w:bookmarkStart w:id="123" w:name="_Toc383679798"/>
      <w:r/>
      <w:bookmarkStart w:id="124" w:name="_Toc383587510"/>
      <w:r/>
      <w:bookmarkStart w:id="125" w:name="_Toc390098891"/>
      <w:r/>
      <w:bookmarkStart w:id="126" w:name="_Toc383698698"/>
      <w:r/>
      <w:bookmarkStart w:id="127" w:name="_Toc390099069"/>
      <w:r/>
      <w:bookmarkStart w:id="128" w:name="_Toc383623724"/>
      <w:r/>
      <w:bookmarkStart w:id="129" w:name="_Toc390246956"/>
      <w:r>
        <w:rPr>
          <w:rFonts w:hint="eastAsia" w:ascii="宋体" w:hAnsi="宋体" w:eastAsia="宋体" w:cs="宋体"/>
          <w:bCs w:val="0"/>
          <w:sz w:val="21"/>
          <w:szCs w:val="21"/>
        </w:rPr>
        <w:t xml:space="preserve">4、</w:t>
      </w:r>
      <w:bookmarkEnd w:id="112"/>
      <w:r/>
      <w:bookmarkEnd w:id="113"/>
      <w:r/>
      <w:bookmarkEnd w:id="114"/>
      <w:r/>
      <w:bookmarkEnd w:id="115"/>
      <w:r/>
      <w:bookmarkEnd w:id="116"/>
      <w:r/>
      <w:bookmarkEnd w:id="117"/>
      <w:r/>
      <w:bookmarkStart w:id="130" w:name="_Toc16938566"/>
      <w:r/>
      <w:bookmarkStart w:id="131" w:name="_Toc20823322"/>
      <w:r/>
      <w:bookmarkStart w:id="132" w:name="_Toc282446303"/>
      <w:r/>
      <w:bookmarkStart w:id="133" w:name="_Toc120614229"/>
      <w:r/>
      <w:bookmarkStart w:id="134" w:name="_Toc513029250"/>
      <w:r/>
      <w:bookmarkStart w:id="135" w:name="_Toc288030339"/>
      <w:r>
        <w:rPr>
          <w:rFonts w:hint="eastAsia" w:ascii="宋体" w:hAnsi="宋体" w:eastAsia="宋体" w:cs="宋体"/>
          <w:bCs w:val="0"/>
          <w:sz w:val="21"/>
          <w:szCs w:val="21"/>
        </w:rPr>
        <w:t xml:space="preserve">付款</w:t>
      </w:r>
      <w:bookmarkEnd w:id="130"/>
      <w:r/>
      <w:bookmarkEnd w:id="131"/>
      <w:r/>
      <w:bookmarkEnd w:id="132"/>
      <w:r/>
      <w:bookmarkEnd w:id="133"/>
      <w:r/>
      <w:bookmarkEnd w:id="134"/>
      <w:r/>
      <w:bookmarkEnd w:id="135"/>
      <w:r>
        <w:rPr>
          <w:rFonts w:hint="eastAsia" w:ascii="宋体" w:hAnsi="宋体" w:eastAsia="宋体" w:cs="宋体"/>
          <w:bCs w:val="0"/>
          <w:sz w:val="21"/>
          <w:szCs w:val="21"/>
        </w:rPr>
        <w:t xml:space="preserve">方式</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r/>
    </w:p>
    <w:p>
      <w:pPr>
        <w:ind w:firstLine="526"/>
        <w:rPr>
          <w:rFonts w:hint="eastAsia" w:ascii="宋体" w:hAnsi="宋体" w:eastAsia="宋体" w:cs="宋体"/>
          <w:szCs w:val="21"/>
        </w:rPr>
      </w:pPr>
      <w:r>
        <w:rPr>
          <w:rFonts w:hint="eastAsia" w:ascii="宋体" w:hAnsi="宋体" w:eastAsia="宋体" w:cs="宋体"/>
          <w:b/>
          <w:szCs w:val="21"/>
        </w:rPr>
        <w:t xml:space="preserve">4.1</w:t>
      </w:r>
      <w:r>
        <w:rPr>
          <w:rFonts w:hint="eastAsia" w:ascii="宋体" w:hAnsi="宋体" w:eastAsia="宋体" w:cs="宋体"/>
          <w:szCs w:val="21"/>
        </w:rPr>
        <w:t xml:space="preserve">本合同以人民币付款。</w:t>
      </w:r>
      <w:r/>
    </w:p>
    <w:p>
      <w:pPr>
        <w:ind w:firstLine="526"/>
        <w:rPr>
          <w:rFonts w:hint="eastAsia" w:ascii="宋体" w:hAnsi="宋体" w:eastAsia="宋体" w:cs="宋体"/>
          <w:szCs w:val="21"/>
        </w:rPr>
      </w:pPr>
      <w:r>
        <w:rPr>
          <w:rFonts w:hint="eastAsia" w:ascii="宋体" w:hAnsi="宋体" w:eastAsia="宋体" w:cs="宋体"/>
          <w:b/>
          <w:szCs w:val="21"/>
        </w:rPr>
        <w:t xml:space="preserve">4.2</w:t>
      </w:r>
      <w:r>
        <w:rPr>
          <w:rFonts w:hint="eastAsia" w:ascii="宋体" w:hAnsi="宋体" w:eastAsia="宋体" w:cs="宋体"/>
          <w:szCs w:val="21"/>
        </w:rPr>
        <w:t xml:space="preserve">付款方式见合同专用条款。</w:t>
      </w:r>
      <w:r/>
    </w:p>
    <w:p>
      <w:pPr>
        <w:pStyle w:val="971"/>
        <w:spacing w:before="177" w:after="177" w:line="415" w:lineRule="auto"/>
        <w:rPr>
          <w:rFonts w:hint="eastAsia" w:ascii="宋体" w:hAnsi="宋体" w:eastAsia="宋体" w:cs="宋体"/>
          <w:bCs w:val="0"/>
          <w:sz w:val="21"/>
          <w:szCs w:val="21"/>
        </w:rPr>
      </w:pPr>
      <w:r/>
      <w:bookmarkStart w:id="136" w:name="_Toc382811186"/>
      <w:r/>
      <w:bookmarkStart w:id="137" w:name="_Toc390246957"/>
      <w:r/>
      <w:bookmarkStart w:id="138" w:name="_Toc390098892"/>
      <w:r/>
      <w:bookmarkStart w:id="139" w:name="_Toc382812489"/>
      <w:r/>
      <w:bookmarkStart w:id="140" w:name="_Toc383587511"/>
      <w:r/>
      <w:bookmarkStart w:id="141" w:name="_Toc20823323"/>
      <w:r/>
      <w:bookmarkStart w:id="142" w:name="_Toc383698699"/>
      <w:r/>
      <w:bookmarkStart w:id="143" w:name="_Toc382813939"/>
      <w:r/>
      <w:bookmarkStart w:id="144" w:name="_Toc282446304"/>
      <w:r/>
      <w:bookmarkStart w:id="145" w:name="_Toc383626046"/>
      <w:r/>
      <w:bookmarkStart w:id="146" w:name="_Toc383623725"/>
      <w:r/>
      <w:bookmarkStart w:id="147" w:name="_Toc382811591"/>
      <w:r/>
      <w:bookmarkStart w:id="148" w:name="_Toc416720363"/>
      <w:r/>
      <w:bookmarkStart w:id="149" w:name="_Toc383679799"/>
      <w:r/>
      <w:bookmarkStart w:id="150" w:name="_Toc120614230"/>
      <w:r/>
      <w:bookmarkStart w:id="151" w:name="_Toc390099070"/>
      <w:r/>
      <w:bookmarkStart w:id="152" w:name="_Toc382814020"/>
      <w:r/>
      <w:bookmarkStart w:id="153" w:name="_Toc513029251"/>
      <w:r/>
      <w:bookmarkStart w:id="154" w:name="_Toc383623997"/>
      <w:r/>
      <w:bookmarkStart w:id="155" w:name="_Toc288030340"/>
      <w:r/>
      <w:bookmarkStart w:id="156" w:name="_Toc382812300"/>
      <w:r/>
      <w:bookmarkStart w:id="157" w:name="_Toc16938567"/>
      <w:r>
        <w:rPr>
          <w:rFonts w:hint="eastAsia" w:ascii="宋体" w:hAnsi="宋体" w:eastAsia="宋体" w:cs="宋体"/>
          <w:bCs w:val="0"/>
          <w:sz w:val="21"/>
          <w:szCs w:val="21"/>
        </w:rPr>
        <w:t xml:space="preserve">5、伴随服务</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r/>
    </w:p>
    <w:p>
      <w:pPr>
        <w:ind w:firstLine="526"/>
        <w:rPr>
          <w:rFonts w:hint="eastAsia" w:ascii="宋体" w:hAnsi="宋体" w:eastAsia="宋体" w:cs="宋体"/>
        </w:rPr>
      </w:pPr>
      <w:r>
        <w:rPr>
          <w:rFonts w:hint="eastAsia" w:ascii="宋体" w:hAnsi="宋体" w:eastAsia="宋体" w:cs="宋体"/>
          <w:b/>
        </w:rPr>
        <w:t xml:space="preserve">5.1</w:t>
      </w:r>
      <w:r>
        <w:rPr>
          <w:rFonts w:hint="eastAsia" w:ascii="宋体" w:hAnsi="宋体" w:eastAsia="宋体" w:cs="宋体"/>
        </w:rPr>
        <w:t xml:space="preserve">卖方应按照投标文件的承诺和合同中所附的服务承诺提供服务。</w:t>
      </w:r>
      <w:r/>
    </w:p>
    <w:p>
      <w:pPr>
        <w:ind w:firstLine="526"/>
        <w:rPr>
          <w:rFonts w:hint="eastAsia" w:ascii="宋体" w:hAnsi="宋体" w:eastAsia="宋体" w:cs="宋体"/>
        </w:rPr>
      </w:pPr>
      <w:r>
        <w:rPr>
          <w:rFonts w:hint="eastAsia" w:ascii="宋体" w:hAnsi="宋体" w:eastAsia="宋体" w:cs="宋体"/>
          <w:b/>
        </w:rPr>
        <w:t xml:space="preserve">5.2 </w:t>
      </w:r>
      <w:r>
        <w:rPr>
          <w:rFonts w:hint="eastAsia" w:ascii="宋体" w:hAnsi="宋体" w:eastAsia="宋体" w:cs="宋体"/>
        </w:rPr>
        <w:t xml:space="preserve">除本章第5.1条规定外，卖方还应提供下列服务：</w:t>
      </w:r>
      <w:r/>
    </w:p>
    <w:p>
      <w:pPr>
        <w:ind w:left="789" w:firstLine="294"/>
        <w:rPr>
          <w:rFonts w:hint="eastAsia" w:ascii="宋体" w:hAnsi="宋体" w:eastAsia="宋体" w:cs="宋体"/>
        </w:rPr>
      </w:pPr>
      <w:r>
        <w:rPr>
          <w:rFonts w:hint="eastAsia" w:ascii="宋体" w:hAnsi="宋体" w:eastAsia="宋体" w:cs="宋体"/>
        </w:rPr>
        <w:t xml:space="preserve">(1) 服务的现场质量管理与监督；</w:t>
      </w:r>
      <w:r/>
    </w:p>
    <w:p>
      <w:pPr>
        <w:ind w:left="789" w:firstLine="294"/>
        <w:rPr>
          <w:rFonts w:hint="eastAsia" w:ascii="宋体" w:hAnsi="宋体" w:eastAsia="宋体" w:cs="宋体"/>
        </w:rPr>
      </w:pPr>
      <w:r>
        <w:rPr>
          <w:rFonts w:hint="eastAsia" w:ascii="宋体" w:hAnsi="宋体" w:eastAsia="宋体" w:cs="宋体"/>
        </w:rPr>
        <w:t xml:space="preserve">(2) 提供服务和维护所需的工具；</w:t>
      </w:r>
      <w:r/>
    </w:p>
    <w:p>
      <w:pPr>
        <w:ind w:left="1637" w:hanging="509"/>
        <w:rPr>
          <w:rFonts w:hint="eastAsia" w:ascii="宋体" w:hAnsi="宋体" w:eastAsia="宋体" w:cs="宋体"/>
        </w:rPr>
      </w:pPr>
      <w:r>
        <w:rPr>
          <w:rFonts w:hint="eastAsia" w:ascii="宋体" w:hAnsi="宋体" w:eastAsia="宋体" w:cs="宋体"/>
        </w:rPr>
        <w:t xml:space="preserve">(3) 在合同中卖方承诺的期限内对所提供服务实施运行监督、维护，但前提条件是该服务并不能免除卖方在质量保证期内应承担的义务；</w:t>
      </w:r>
      <w:r/>
    </w:p>
    <w:p>
      <w:pPr>
        <w:ind w:left="1637" w:hanging="509"/>
        <w:rPr>
          <w:rFonts w:hint="eastAsia" w:ascii="宋体" w:hAnsi="宋体" w:eastAsia="宋体" w:cs="宋体"/>
        </w:rPr>
      </w:pPr>
      <w:r>
        <w:rPr>
          <w:rFonts w:hint="eastAsia" w:ascii="宋体" w:hAnsi="宋体" w:eastAsia="宋体" w:cs="宋体"/>
        </w:rPr>
        <w:t xml:space="preserve">(4) 对服务人员进行培训。</w:t>
      </w:r>
      <w:r/>
    </w:p>
    <w:p>
      <w:pPr>
        <w:ind w:firstLine="526"/>
        <w:rPr>
          <w:rFonts w:hint="eastAsia" w:ascii="宋体" w:hAnsi="宋体" w:eastAsia="宋体" w:cs="宋体"/>
        </w:rPr>
      </w:pPr>
      <w:r>
        <w:rPr>
          <w:rFonts w:hint="eastAsia" w:ascii="宋体" w:hAnsi="宋体" w:eastAsia="宋体" w:cs="宋体"/>
          <w:b/>
        </w:rPr>
        <w:t xml:space="preserve">5.3 </w:t>
      </w:r>
      <w:r>
        <w:rPr>
          <w:rFonts w:hint="eastAsia" w:ascii="宋体" w:hAnsi="宋体" w:eastAsia="宋体" w:cs="宋体"/>
        </w:rPr>
        <w:t xml:space="preserve">伴随服务的费用应含在合同价中，不单独进行支付。</w:t>
      </w:r>
      <w:r/>
    </w:p>
    <w:p>
      <w:pPr>
        <w:pStyle w:val="971"/>
        <w:spacing w:before="177" w:after="177" w:line="415" w:lineRule="auto"/>
        <w:rPr>
          <w:rFonts w:hint="eastAsia" w:ascii="宋体" w:hAnsi="宋体" w:eastAsia="宋体" w:cs="宋体"/>
          <w:bCs w:val="0"/>
          <w:sz w:val="21"/>
          <w:szCs w:val="21"/>
        </w:rPr>
      </w:pPr>
      <w:r/>
      <w:bookmarkStart w:id="158" w:name="_Toc120614231"/>
      <w:r/>
      <w:bookmarkStart w:id="159" w:name="_Toc382812301"/>
      <w:r/>
      <w:bookmarkStart w:id="160" w:name="_Toc382813940"/>
      <w:r/>
      <w:bookmarkStart w:id="161" w:name="_Toc383679800"/>
      <w:r/>
      <w:bookmarkStart w:id="162" w:name="_Toc513029252"/>
      <w:r/>
      <w:bookmarkStart w:id="163" w:name="_Toc382811187"/>
      <w:r/>
      <w:bookmarkStart w:id="164" w:name="_Toc383698700"/>
      <w:r/>
      <w:bookmarkStart w:id="165" w:name="_Toc382814021"/>
      <w:r/>
      <w:bookmarkStart w:id="166" w:name="_Toc383587512"/>
      <w:r/>
      <w:bookmarkStart w:id="167" w:name="_Toc20823324"/>
      <w:r/>
      <w:bookmarkStart w:id="168" w:name="_Toc382811592"/>
      <w:r/>
      <w:bookmarkStart w:id="169" w:name="_Toc382812490"/>
      <w:r/>
      <w:bookmarkStart w:id="170" w:name="_Toc383623726"/>
      <w:r/>
      <w:bookmarkStart w:id="171" w:name="_Toc390099071"/>
      <w:r/>
      <w:bookmarkStart w:id="172" w:name="_Toc383626047"/>
      <w:r/>
      <w:bookmarkStart w:id="173" w:name="_Toc416720364"/>
      <w:r/>
      <w:bookmarkStart w:id="174" w:name="_Toc390098893"/>
      <w:r/>
      <w:bookmarkStart w:id="175" w:name="_Toc383623998"/>
      <w:r/>
      <w:bookmarkStart w:id="176" w:name="_Toc282446305"/>
      <w:r/>
      <w:bookmarkStart w:id="177" w:name="_Toc390246958"/>
      <w:r/>
      <w:bookmarkStart w:id="178" w:name="_Toc288030341"/>
      <w:r/>
      <w:bookmarkStart w:id="179" w:name="_Toc16938568"/>
      <w:r>
        <w:rPr>
          <w:rFonts w:hint="eastAsia" w:ascii="宋体" w:hAnsi="宋体" w:eastAsia="宋体" w:cs="宋体"/>
          <w:bCs w:val="0"/>
          <w:sz w:val="21"/>
          <w:szCs w:val="21"/>
        </w:rPr>
        <w:t xml:space="preserve">6、质量保证</w:t>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r/>
    </w:p>
    <w:p>
      <w:pPr>
        <w:ind w:firstLine="526"/>
        <w:rPr>
          <w:rFonts w:hint="eastAsia" w:ascii="宋体" w:hAnsi="宋体" w:eastAsia="宋体" w:cs="宋体"/>
        </w:rPr>
      </w:pPr>
      <w:r>
        <w:rPr>
          <w:rFonts w:hint="eastAsia" w:ascii="宋体" w:hAnsi="宋体" w:eastAsia="宋体" w:cs="宋体"/>
        </w:rPr>
        <w:t xml:space="preserve">6.1投标人所提供服务必须遵守各种国家和部门标准及有关规定。</w:t>
      </w:r>
      <w:r/>
    </w:p>
    <w:p>
      <w:pPr>
        <w:ind w:firstLine="526"/>
        <w:rPr>
          <w:rFonts w:hint="eastAsia" w:ascii="宋体" w:hAnsi="宋体" w:eastAsia="宋体" w:cs="宋体"/>
        </w:rPr>
      </w:pPr>
      <w:r>
        <w:rPr>
          <w:rFonts w:hint="eastAsia" w:ascii="宋体" w:hAnsi="宋体" w:eastAsia="宋体" w:cs="宋体"/>
        </w:rPr>
        <w:t xml:space="preserve">6.2投标人所提供服务必须达到本招标文件中规定的要求。</w:t>
      </w:r>
      <w:r/>
    </w:p>
    <w:p>
      <w:pPr>
        <w:ind w:firstLine="526"/>
        <w:rPr>
          <w:rFonts w:hint="eastAsia" w:ascii="宋体" w:hAnsi="宋体" w:eastAsia="宋体" w:cs="宋体"/>
        </w:rPr>
      </w:pPr>
      <w:r>
        <w:rPr>
          <w:rFonts w:hint="eastAsia" w:ascii="宋体" w:hAnsi="宋体" w:eastAsia="宋体" w:cs="宋体"/>
        </w:rPr>
        <w:t xml:space="preserve">6.3履行本合同的过程中，确因在现有水平和条件下难以克服的技术困难，导致部分或全部达不到招标规定的服务标准，乙方应当承担违约责任。</w:t>
      </w:r>
      <w:r/>
    </w:p>
    <w:p>
      <w:pPr>
        <w:pStyle w:val="971"/>
        <w:spacing w:before="177" w:after="177" w:line="415" w:lineRule="auto"/>
        <w:rPr>
          <w:rFonts w:hint="eastAsia" w:ascii="宋体" w:hAnsi="宋体" w:eastAsia="宋体" w:cs="宋体"/>
          <w:bCs w:val="0"/>
          <w:sz w:val="21"/>
          <w:szCs w:val="21"/>
        </w:rPr>
      </w:pPr>
      <w:r/>
      <w:bookmarkStart w:id="180" w:name="_Toc288030343"/>
      <w:r/>
      <w:bookmarkStart w:id="181" w:name="_Toc282446307"/>
      <w:r/>
      <w:bookmarkStart w:id="182" w:name="_Toc16938570"/>
      <w:r/>
      <w:bookmarkStart w:id="183" w:name="_Toc513029254"/>
      <w:r/>
      <w:bookmarkStart w:id="184" w:name="_Toc20823326"/>
      <w:r/>
      <w:bookmarkStart w:id="185" w:name="_Toc120614233"/>
      <w:r/>
      <w:bookmarkStart w:id="186" w:name="_Toc416720365"/>
      <w:r/>
      <w:bookmarkStart w:id="187" w:name="_Toc399658018"/>
      <w:r/>
      <w:bookmarkStart w:id="188" w:name="_Toc399228176"/>
      <w:r/>
      <w:bookmarkStart w:id="189" w:name="_Toc399853485"/>
      <w:r/>
      <w:bookmarkStart w:id="190" w:name="_Toc399227843"/>
      <w:r/>
      <w:bookmarkStart w:id="191" w:name="_Toc390098908"/>
      <w:r/>
      <w:bookmarkStart w:id="192" w:name="_Toc390099086"/>
      <w:r/>
      <w:bookmarkStart w:id="193" w:name="_Toc383679815"/>
      <w:r/>
      <w:bookmarkStart w:id="194" w:name="_Toc383626062"/>
      <w:r/>
      <w:bookmarkStart w:id="195" w:name="_Toc383624013"/>
      <w:r/>
      <w:bookmarkStart w:id="196" w:name="_Toc390246973"/>
      <w:r/>
      <w:bookmarkStart w:id="197" w:name="_Toc383698715"/>
      <w:r/>
      <w:bookmarkStart w:id="198" w:name="_Toc383623741"/>
      <w:r>
        <w:rPr>
          <w:rFonts w:hint="eastAsia" w:ascii="宋体" w:hAnsi="宋体" w:eastAsia="宋体" w:cs="宋体"/>
          <w:bCs w:val="0"/>
          <w:sz w:val="21"/>
          <w:szCs w:val="21"/>
        </w:rPr>
        <w:t xml:space="preserve">7、</w:t>
      </w:r>
      <w:bookmarkEnd w:id="180"/>
      <w:r/>
      <w:bookmarkEnd w:id="181"/>
      <w:r/>
      <w:bookmarkEnd w:id="182"/>
      <w:r/>
      <w:bookmarkEnd w:id="183"/>
      <w:r/>
      <w:bookmarkEnd w:id="184"/>
      <w:r/>
      <w:bookmarkEnd w:id="185"/>
      <w:r/>
      <w:bookmarkStart w:id="199" w:name="_Toc282446310"/>
      <w:r/>
      <w:bookmarkStart w:id="200" w:name="_Toc120614236"/>
      <w:r/>
      <w:bookmarkStart w:id="201" w:name="_Toc20823329"/>
      <w:r/>
      <w:bookmarkStart w:id="202" w:name="_Toc16938573"/>
      <w:r/>
      <w:bookmarkStart w:id="203" w:name="_Toc288030346"/>
      <w:r/>
      <w:bookmarkStart w:id="204" w:name="_Toc513029257"/>
      <w:r>
        <w:rPr>
          <w:rFonts w:hint="eastAsia" w:ascii="宋体" w:hAnsi="宋体" w:eastAsia="宋体" w:cs="宋体"/>
          <w:bCs w:val="0"/>
          <w:sz w:val="21"/>
          <w:szCs w:val="21"/>
        </w:rPr>
        <w:t xml:space="preserve">不可抗力</w:t>
      </w:r>
      <w:bookmarkEnd w:id="186"/>
      <w:r/>
      <w:bookmarkEnd w:id="187"/>
      <w:r/>
      <w:bookmarkEnd w:id="188"/>
      <w:r/>
      <w:bookmarkEnd w:id="189"/>
      <w:r/>
      <w:bookmarkEnd w:id="190"/>
      <w:r/>
      <w:bookmarkEnd w:id="199"/>
      <w:r/>
      <w:bookmarkEnd w:id="200"/>
      <w:r/>
      <w:bookmarkEnd w:id="201"/>
      <w:r/>
      <w:bookmarkEnd w:id="202"/>
      <w:r/>
      <w:bookmarkEnd w:id="203"/>
      <w:r/>
      <w:bookmarkEnd w:id="204"/>
      <w:r/>
      <w:r/>
    </w:p>
    <w:p>
      <w:pPr>
        <w:ind w:firstLine="526"/>
        <w:rPr>
          <w:rFonts w:hint="eastAsia" w:ascii="宋体" w:hAnsi="宋体" w:eastAsia="宋体" w:cs="宋体"/>
        </w:rPr>
      </w:pPr>
      <w:r>
        <w:rPr>
          <w:rFonts w:hint="eastAsia" w:ascii="宋体" w:hAnsi="宋体" w:eastAsia="宋体" w:cs="宋体"/>
          <w:b/>
        </w:rPr>
        <w:t xml:space="preserve">7.1</w:t>
      </w:r>
      <w:r>
        <w:rPr>
          <w:rFonts w:hint="eastAsia" w:ascii="宋体" w:hAnsi="宋体" w:eastAsia="宋体" w:cs="宋体"/>
        </w:rPr>
        <w:t xml:space="preserve">尽管有合同条款第11条、12条的规定，如果卖方因不可抗力而导致合同实施延误或不能履行合同义务的话，不应该被没收履约保证金，也不应该承担误期赔偿的责任。</w:t>
      </w:r>
      <w:r/>
    </w:p>
    <w:p>
      <w:pPr>
        <w:ind w:firstLine="526"/>
        <w:rPr>
          <w:rFonts w:hint="eastAsia" w:ascii="宋体" w:hAnsi="宋体" w:eastAsia="宋体" w:cs="宋体"/>
        </w:rPr>
      </w:pPr>
      <w:r>
        <w:rPr>
          <w:rFonts w:hint="eastAsia" w:ascii="宋体" w:hAnsi="宋体" w:eastAsia="宋体" w:cs="宋体"/>
          <w:b/>
        </w:rPr>
        <w:t xml:space="preserve">7.2</w:t>
      </w:r>
      <w:r>
        <w:rPr>
          <w:rFonts w:hint="eastAsia" w:ascii="宋体" w:hAnsi="宋体" w:eastAsia="宋体" w:cs="宋体"/>
        </w:rPr>
        <w:t xml:space="preserve">本条所述的“不可抗力”系指那些卖方无法控制、不可预见的事件，但不包括卖方的违约或疏忽。这些事件包括：战争、严重火灾、洪水、台风、地震以及其它买方和卖方商定的事件。</w:t>
      </w:r>
      <w:r/>
    </w:p>
    <w:p>
      <w:pPr>
        <w:ind w:firstLine="526"/>
        <w:rPr>
          <w:rFonts w:hint="eastAsia" w:ascii="宋体" w:hAnsi="宋体" w:eastAsia="宋体" w:cs="宋体"/>
        </w:rPr>
      </w:pPr>
      <w:r>
        <w:rPr>
          <w:rFonts w:hint="eastAsia" w:ascii="宋体" w:hAnsi="宋体" w:eastAsia="宋体" w:cs="宋体"/>
          <w:b/>
        </w:rPr>
        <w:t xml:space="preserve">7.3 </w:t>
      </w:r>
      <w:r>
        <w:rPr>
          <w:rFonts w:hint="eastAsia" w:ascii="宋体" w:hAnsi="宋体" w:eastAsia="宋体" w:cs="宋体"/>
        </w:rPr>
        <w:t xml:space="preserve">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w:t>
      </w:r>
      <w:r>
        <w:rPr>
          <w:rFonts w:hint="eastAsia" w:ascii="宋体" w:hAnsi="宋体" w:eastAsia="宋体" w:cs="宋体"/>
          <w:b/>
          <w:bCs/>
        </w:rPr>
        <w:t xml:space="preserve">30天</w:t>
      </w:r>
      <w:r>
        <w:rPr>
          <w:rFonts w:hint="eastAsia" w:ascii="宋体" w:hAnsi="宋体" w:eastAsia="宋体" w:cs="宋体"/>
        </w:rPr>
        <w:t xml:space="preserve">以上时，买方有权终止与卖方的合同，买方也可以和卖方通过友好协商在合理的时间内达成进一步履行合同的协议。</w:t>
      </w:r>
      <w:r/>
    </w:p>
    <w:p>
      <w:pPr>
        <w:pStyle w:val="971"/>
        <w:spacing w:before="177" w:after="177" w:line="415" w:lineRule="auto"/>
        <w:rPr>
          <w:rFonts w:hint="eastAsia" w:ascii="宋体" w:hAnsi="宋体" w:eastAsia="宋体" w:cs="宋体"/>
          <w:bCs w:val="0"/>
          <w:sz w:val="21"/>
          <w:szCs w:val="21"/>
        </w:rPr>
      </w:pPr>
      <w:r/>
      <w:bookmarkStart w:id="205" w:name="_Toc513029258"/>
      <w:r/>
      <w:bookmarkStart w:id="206" w:name="_Toc416720366"/>
      <w:r/>
      <w:bookmarkStart w:id="207" w:name="_Toc399853486"/>
      <w:r/>
      <w:bookmarkStart w:id="208" w:name="_Toc288030347"/>
      <w:r/>
      <w:bookmarkStart w:id="209" w:name="_Toc399658019"/>
      <w:r/>
      <w:bookmarkStart w:id="210" w:name="_Toc399227844"/>
      <w:r/>
      <w:bookmarkStart w:id="211" w:name="_Toc282446311"/>
      <w:r/>
      <w:bookmarkStart w:id="212" w:name="_Toc399228177"/>
      <w:r/>
      <w:bookmarkStart w:id="213" w:name="_Toc16938574"/>
      <w:r/>
      <w:bookmarkStart w:id="214" w:name="_Toc120614237"/>
      <w:r/>
      <w:bookmarkStart w:id="215" w:name="_Toc20823330"/>
      <w:r>
        <w:rPr>
          <w:rFonts w:hint="eastAsia" w:ascii="宋体" w:hAnsi="宋体" w:eastAsia="宋体" w:cs="宋体"/>
          <w:bCs w:val="0"/>
          <w:sz w:val="21"/>
          <w:szCs w:val="21"/>
        </w:rPr>
        <w:t xml:space="preserve">8、税费</w:t>
      </w:r>
      <w:bookmarkEnd w:id="205"/>
      <w:r/>
      <w:bookmarkEnd w:id="206"/>
      <w:r/>
      <w:bookmarkEnd w:id="207"/>
      <w:r/>
      <w:bookmarkEnd w:id="208"/>
      <w:r/>
      <w:bookmarkEnd w:id="209"/>
      <w:r/>
      <w:bookmarkEnd w:id="210"/>
      <w:r/>
      <w:bookmarkEnd w:id="211"/>
      <w:r/>
      <w:bookmarkEnd w:id="212"/>
      <w:r/>
      <w:bookmarkEnd w:id="213"/>
      <w:r/>
      <w:bookmarkEnd w:id="214"/>
      <w:r/>
      <w:bookmarkEnd w:id="215"/>
      <w:r/>
      <w:r/>
    </w:p>
    <w:p>
      <w:pPr>
        <w:ind w:firstLine="526"/>
        <w:rPr>
          <w:rFonts w:hint="eastAsia" w:ascii="宋体" w:hAnsi="宋体" w:eastAsia="宋体" w:cs="宋体"/>
        </w:rPr>
      </w:pPr>
      <w:r>
        <w:rPr>
          <w:rFonts w:hint="eastAsia" w:ascii="宋体" w:hAnsi="宋体" w:eastAsia="宋体" w:cs="宋体"/>
          <w:b/>
        </w:rPr>
        <w:t xml:space="preserve">8.1</w:t>
      </w:r>
      <w:r>
        <w:rPr>
          <w:rFonts w:hint="eastAsia" w:ascii="宋体" w:hAnsi="宋体" w:eastAsia="宋体" w:cs="宋体"/>
        </w:rPr>
        <w:t xml:space="preserve">本项目实施过程中发生的一切税费均由卖方负担。</w:t>
      </w:r>
      <w:r/>
    </w:p>
    <w:p>
      <w:pPr>
        <w:pStyle w:val="971"/>
        <w:spacing w:before="177" w:after="177" w:line="415" w:lineRule="auto"/>
        <w:rPr>
          <w:rFonts w:hint="eastAsia" w:ascii="宋体" w:hAnsi="宋体" w:eastAsia="宋体" w:cs="宋体"/>
          <w:bCs w:val="0"/>
          <w:sz w:val="21"/>
          <w:szCs w:val="21"/>
        </w:rPr>
      </w:pPr>
      <w:r/>
      <w:bookmarkStart w:id="216" w:name="_Toc288030348"/>
      <w:r/>
      <w:bookmarkStart w:id="217" w:name="_Toc399853487"/>
      <w:r/>
      <w:bookmarkStart w:id="218" w:name="_Toc416720367"/>
      <w:r/>
      <w:bookmarkStart w:id="219" w:name="_Toc399227845"/>
      <w:r/>
      <w:bookmarkStart w:id="220" w:name="_Toc513029259"/>
      <w:r/>
      <w:bookmarkStart w:id="221" w:name="_Toc399228178"/>
      <w:r/>
      <w:bookmarkStart w:id="222" w:name="_Toc16938575"/>
      <w:r/>
      <w:bookmarkStart w:id="223" w:name="_Toc399658020"/>
      <w:r/>
      <w:bookmarkStart w:id="224" w:name="_Toc20823331"/>
      <w:r/>
      <w:bookmarkStart w:id="225" w:name="_Toc282446312"/>
      <w:r/>
      <w:bookmarkStart w:id="226" w:name="_Toc120614238"/>
      <w:r>
        <w:rPr>
          <w:rFonts w:hint="eastAsia" w:ascii="宋体" w:hAnsi="宋体" w:eastAsia="宋体" w:cs="宋体"/>
          <w:bCs w:val="0"/>
          <w:sz w:val="21"/>
          <w:szCs w:val="21"/>
        </w:rPr>
        <w:t xml:space="preserve">9、履约保证金</w:t>
      </w:r>
      <w:bookmarkEnd w:id="216"/>
      <w:r/>
      <w:bookmarkEnd w:id="217"/>
      <w:r/>
      <w:bookmarkEnd w:id="218"/>
      <w:r/>
      <w:bookmarkEnd w:id="219"/>
      <w:r/>
      <w:bookmarkEnd w:id="220"/>
      <w:r/>
      <w:bookmarkEnd w:id="221"/>
      <w:r/>
      <w:bookmarkEnd w:id="222"/>
      <w:r/>
      <w:bookmarkEnd w:id="223"/>
      <w:r/>
      <w:bookmarkEnd w:id="224"/>
      <w:r/>
      <w:bookmarkEnd w:id="225"/>
      <w:r/>
      <w:bookmarkEnd w:id="226"/>
      <w:r/>
      <w:r/>
    </w:p>
    <w:p>
      <w:pPr>
        <w:ind w:firstLine="526"/>
        <w:rPr>
          <w:rFonts w:hint="eastAsia" w:ascii="宋体" w:hAnsi="宋体" w:eastAsia="宋体" w:cs="宋体"/>
          <w:i/>
          <w:u w:val="single"/>
        </w:rPr>
      </w:pPr>
      <w:r>
        <w:rPr>
          <w:rFonts w:hint="eastAsia" w:ascii="宋体" w:hAnsi="宋体" w:eastAsia="宋体" w:cs="宋体"/>
          <w:b/>
        </w:rPr>
        <w:t xml:space="preserve">9.1</w:t>
      </w:r>
      <w:r>
        <w:rPr>
          <w:rFonts w:hint="eastAsia" w:ascii="宋体" w:hAnsi="宋体" w:eastAsia="宋体" w:cs="宋体"/>
        </w:rPr>
        <w:t xml:space="preserve">如卖方未能履行合同规定的义务，买方有权从履约保证金中取得补偿。</w:t>
      </w:r>
      <w:r/>
    </w:p>
    <w:p>
      <w:pPr>
        <w:pStyle w:val="971"/>
        <w:spacing w:before="177" w:after="177" w:line="415" w:lineRule="auto"/>
        <w:rPr>
          <w:rFonts w:hint="eastAsia" w:ascii="宋体" w:hAnsi="宋体" w:eastAsia="宋体" w:cs="宋体"/>
          <w:bCs w:val="0"/>
          <w:sz w:val="21"/>
          <w:szCs w:val="21"/>
        </w:rPr>
      </w:pPr>
      <w:r/>
      <w:bookmarkStart w:id="227" w:name="_Toc288030349"/>
      <w:r/>
      <w:bookmarkStart w:id="228" w:name="_Toc399227846"/>
      <w:r/>
      <w:bookmarkStart w:id="229" w:name="_Toc399658021"/>
      <w:r/>
      <w:bookmarkStart w:id="230" w:name="_Toc282446313"/>
      <w:r/>
      <w:bookmarkStart w:id="231" w:name="_Toc20823332"/>
      <w:r/>
      <w:bookmarkStart w:id="232" w:name="_Toc120614239"/>
      <w:r/>
      <w:bookmarkStart w:id="233" w:name="_Toc513029260"/>
      <w:r/>
      <w:bookmarkStart w:id="234" w:name="_Toc399228179"/>
      <w:r/>
      <w:bookmarkStart w:id="235" w:name="_Toc399853488"/>
      <w:r/>
      <w:bookmarkStart w:id="236" w:name="_Toc16938576"/>
      <w:r/>
      <w:bookmarkStart w:id="237" w:name="_Toc462564119"/>
      <w:r/>
      <w:bookmarkStart w:id="238" w:name="_Toc416720368"/>
      <w:r>
        <w:rPr>
          <w:rFonts w:hint="eastAsia" w:ascii="宋体" w:hAnsi="宋体" w:eastAsia="宋体" w:cs="宋体"/>
          <w:bCs w:val="0"/>
          <w:sz w:val="21"/>
          <w:szCs w:val="21"/>
        </w:rPr>
        <w:t xml:space="preserve">10、仲裁</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r/>
    </w:p>
    <w:p>
      <w:pPr>
        <w:ind w:firstLine="526"/>
        <w:rPr>
          <w:rFonts w:hint="eastAsia" w:ascii="宋体" w:hAnsi="宋体" w:eastAsia="宋体" w:cs="宋体"/>
        </w:rPr>
      </w:pPr>
      <w:r>
        <w:rPr>
          <w:rFonts w:hint="eastAsia" w:ascii="宋体" w:hAnsi="宋体" w:eastAsia="宋体" w:cs="宋体"/>
          <w:b/>
        </w:rPr>
        <w:t xml:space="preserve">10.1</w:t>
      </w:r>
      <w:r>
        <w:rPr>
          <w:rFonts w:hint="eastAsia" w:ascii="宋体" w:hAnsi="宋体" w:eastAsia="宋体" w:cs="宋体"/>
        </w:rPr>
        <w:t xml:space="preserve">在执行本合同中所发生的或与本合同有关的一切争端，买方和卖方应通过友好协商的办法进行解决。如从协商开始30天内仍不能解决，应将争端提交有关省、市政府或行业主管部门寻求可能解决的办法。如果提交有关省、市政府或行业主管部门后30天内仍得不到解决，则应申请仲裁。</w:t>
      </w:r>
      <w:r/>
    </w:p>
    <w:p>
      <w:pPr>
        <w:ind w:firstLine="526"/>
        <w:rPr>
          <w:rFonts w:hint="eastAsia" w:ascii="宋体" w:hAnsi="宋体" w:eastAsia="宋体" w:cs="宋体"/>
        </w:rPr>
      </w:pPr>
      <w:r>
        <w:rPr>
          <w:rFonts w:hint="eastAsia" w:ascii="宋体" w:hAnsi="宋体" w:eastAsia="宋体" w:cs="宋体"/>
          <w:b/>
        </w:rPr>
        <w:t xml:space="preserve">10.2</w:t>
      </w:r>
      <w:r>
        <w:rPr>
          <w:rFonts w:hint="eastAsia" w:ascii="宋体" w:hAnsi="宋体" w:eastAsia="宋体" w:cs="宋体"/>
        </w:rPr>
        <w:t xml:space="preserve">仲裁应根据《中华人民共和国仲裁法》的规定向泰州仲裁委员会申请仲裁。</w:t>
      </w:r>
      <w:r/>
    </w:p>
    <w:p>
      <w:pPr>
        <w:ind w:firstLine="526"/>
        <w:rPr>
          <w:rFonts w:hint="eastAsia" w:ascii="宋体" w:hAnsi="宋体" w:eastAsia="宋体" w:cs="宋体"/>
        </w:rPr>
      </w:pPr>
      <w:r>
        <w:rPr>
          <w:rFonts w:hint="eastAsia" w:ascii="宋体" w:hAnsi="宋体" w:eastAsia="宋体" w:cs="宋体"/>
          <w:b/>
        </w:rPr>
        <w:t xml:space="preserve">10.3</w:t>
      </w:r>
      <w:r>
        <w:rPr>
          <w:rFonts w:hint="eastAsia" w:ascii="宋体" w:hAnsi="宋体" w:eastAsia="宋体" w:cs="宋体"/>
        </w:rPr>
        <w:t xml:space="preserve">仲裁裁决为最终裁决，对买方和卖方均有约束力。</w:t>
      </w:r>
      <w:r/>
    </w:p>
    <w:p>
      <w:pPr>
        <w:ind w:firstLine="526"/>
        <w:rPr>
          <w:rFonts w:hint="eastAsia" w:ascii="宋体" w:hAnsi="宋体" w:eastAsia="宋体" w:cs="宋体"/>
        </w:rPr>
      </w:pPr>
      <w:r>
        <w:rPr>
          <w:rFonts w:hint="eastAsia" w:ascii="宋体" w:hAnsi="宋体" w:eastAsia="宋体" w:cs="宋体"/>
          <w:b/>
        </w:rPr>
        <w:t xml:space="preserve">10.4</w:t>
      </w:r>
      <w:r>
        <w:rPr>
          <w:rFonts w:hint="eastAsia" w:ascii="宋体" w:hAnsi="宋体" w:eastAsia="宋体" w:cs="宋体"/>
        </w:rPr>
        <w:t xml:space="preserve">在仲裁期间，本合同应继续执行。</w:t>
      </w:r>
      <w:r/>
    </w:p>
    <w:p>
      <w:pPr>
        <w:pStyle w:val="971"/>
        <w:spacing w:before="177" w:after="177" w:line="415" w:lineRule="auto"/>
        <w:rPr>
          <w:rFonts w:hint="eastAsia" w:ascii="宋体" w:hAnsi="宋体" w:eastAsia="宋体" w:cs="宋体"/>
          <w:bCs w:val="0"/>
          <w:sz w:val="21"/>
          <w:szCs w:val="21"/>
        </w:rPr>
      </w:pPr>
      <w:r/>
      <w:bookmarkStart w:id="239" w:name="_Toc416720369"/>
      <w:r/>
      <w:bookmarkStart w:id="240" w:name="_Toc282446314"/>
      <w:r/>
      <w:bookmarkStart w:id="241" w:name="_Toc288030350"/>
      <w:r/>
      <w:bookmarkStart w:id="242" w:name="_Toc120614240"/>
      <w:r/>
      <w:bookmarkStart w:id="243" w:name="_Toc462564120"/>
      <w:r/>
      <w:bookmarkStart w:id="244" w:name="_Toc399853489"/>
      <w:r/>
      <w:bookmarkStart w:id="245" w:name="_Toc513029261"/>
      <w:r/>
      <w:bookmarkStart w:id="246" w:name="_Toc20823333"/>
      <w:r/>
      <w:bookmarkStart w:id="247" w:name="_Toc399228180"/>
      <w:r/>
      <w:bookmarkStart w:id="248" w:name="_Toc399658022"/>
      <w:r/>
      <w:bookmarkStart w:id="249" w:name="_Toc399227847"/>
      <w:r/>
      <w:bookmarkStart w:id="250" w:name="_Toc16938577"/>
      <w:r>
        <w:rPr>
          <w:rFonts w:hint="eastAsia" w:ascii="宋体" w:hAnsi="宋体" w:eastAsia="宋体" w:cs="宋体"/>
          <w:bCs w:val="0"/>
          <w:sz w:val="21"/>
          <w:szCs w:val="21"/>
        </w:rPr>
        <w:t xml:space="preserve">11、违约终止合同</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ind w:right="17" w:firstLine="526"/>
        <w:rPr>
          <w:rFonts w:hint="eastAsia" w:ascii="宋体" w:hAnsi="宋体" w:eastAsia="宋体" w:cs="宋体"/>
        </w:rPr>
      </w:pPr>
      <w:r>
        <w:rPr>
          <w:rFonts w:hint="eastAsia" w:ascii="宋体" w:hAnsi="宋体" w:eastAsia="宋体" w:cs="宋体"/>
          <w:b/>
        </w:rPr>
        <w:t xml:space="preserve">11.1</w:t>
      </w:r>
      <w:r>
        <w:rPr>
          <w:rFonts w:hint="eastAsia" w:ascii="宋体" w:hAnsi="宋体" w:eastAsia="宋体" w:cs="宋体"/>
        </w:rPr>
        <w:t xml:space="preserve">在买方对卖方违约而采取的任何补救措施不受影响的情况下，买方可向卖方发出终止部分或全部合同的书面通知书。</w:t>
      </w:r>
      <w:r/>
    </w:p>
    <w:p>
      <w:pPr>
        <w:ind w:left="775"/>
        <w:rPr>
          <w:rFonts w:hint="eastAsia" w:ascii="宋体" w:hAnsi="宋体" w:eastAsia="宋体" w:cs="宋体"/>
        </w:rPr>
      </w:pPr>
      <w:r>
        <w:rPr>
          <w:rFonts w:hint="eastAsia" w:ascii="宋体" w:hAnsi="宋体" w:eastAsia="宋体" w:cs="宋体"/>
        </w:rPr>
        <w:t xml:space="preserve"> (1)如果卖方未能按合同规定的期限或买方同意延长的限期内提供部分或全部服务；</w:t>
      </w:r>
      <w:r/>
    </w:p>
    <w:p>
      <w:pPr>
        <w:ind w:left="775"/>
        <w:rPr>
          <w:rFonts w:hint="eastAsia" w:ascii="宋体" w:hAnsi="宋体" w:eastAsia="宋体" w:cs="宋体"/>
        </w:rPr>
      </w:pPr>
      <w:r>
        <w:rPr>
          <w:rFonts w:hint="eastAsia" w:ascii="宋体" w:hAnsi="宋体" w:eastAsia="宋体" w:cs="宋体"/>
        </w:rPr>
        <w:t xml:space="preserve"> (2)卖方在收到买方发出的违约通知后20天内，或经买方书面认可延长的时间内未能纠正其过失；</w:t>
      </w:r>
      <w:r/>
    </w:p>
    <w:p>
      <w:pPr>
        <w:ind w:firstLine="789"/>
        <w:rPr>
          <w:rFonts w:hint="eastAsia" w:ascii="宋体" w:hAnsi="宋体" w:eastAsia="宋体" w:cs="宋体"/>
        </w:rPr>
      </w:pPr>
      <w:r>
        <w:rPr>
          <w:rFonts w:hint="eastAsia" w:ascii="宋体" w:hAnsi="宋体" w:eastAsia="宋体" w:cs="宋体"/>
        </w:rPr>
        <w:t xml:space="preserve"> (3)如果卖方未能履行合同规定的其他义务。</w:t>
      </w:r>
      <w:r/>
    </w:p>
    <w:p>
      <w:pPr>
        <w:ind w:right="17" w:firstLine="526"/>
        <w:rPr>
          <w:rFonts w:hint="eastAsia" w:ascii="宋体" w:hAnsi="宋体" w:eastAsia="宋体" w:cs="宋体"/>
        </w:rPr>
      </w:pPr>
      <w:r>
        <w:rPr>
          <w:rFonts w:hint="eastAsia" w:ascii="宋体" w:hAnsi="宋体" w:eastAsia="宋体" w:cs="宋体"/>
          <w:b/>
        </w:rPr>
        <w:t xml:space="preserve">11.2</w:t>
      </w:r>
      <w:r>
        <w:rPr>
          <w:rFonts w:hint="eastAsia" w:ascii="宋体" w:hAnsi="宋体" w:eastAsia="宋体" w:cs="宋体"/>
        </w:rPr>
        <w:t xml:space="preserve">在买方根据上述规定，终止了全部或部分合同后，买方可以依其认为适当的条件和方法购买与未提供服务类似的服务，卖方应对买方购买类似服务所超出的那部分费用负责。但是，卖方应继续执行合同中未终止的部分。</w:t>
      </w:r>
      <w:r/>
    </w:p>
    <w:p>
      <w:pPr>
        <w:pStyle w:val="971"/>
        <w:spacing w:before="177" w:after="177" w:line="415" w:lineRule="auto"/>
        <w:rPr>
          <w:rFonts w:hint="eastAsia" w:ascii="宋体" w:hAnsi="宋体" w:eastAsia="宋体" w:cs="宋体"/>
          <w:bCs w:val="0"/>
          <w:sz w:val="21"/>
          <w:szCs w:val="21"/>
        </w:rPr>
      </w:pPr>
      <w:r/>
      <w:bookmarkStart w:id="251" w:name="_Toc513029262"/>
      <w:r/>
      <w:bookmarkStart w:id="252" w:name="_Toc120614241"/>
      <w:r/>
      <w:bookmarkStart w:id="253" w:name="_Toc399853490"/>
      <w:r/>
      <w:bookmarkStart w:id="254" w:name="_Toc399228181"/>
      <w:r/>
      <w:bookmarkStart w:id="255" w:name="_Toc399658023"/>
      <w:r/>
      <w:bookmarkStart w:id="256" w:name="_Toc462564121"/>
      <w:r/>
      <w:bookmarkStart w:id="257" w:name="_Toc282446315"/>
      <w:r/>
      <w:bookmarkStart w:id="258" w:name="_Toc288030351"/>
      <w:r/>
      <w:bookmarkStart w:id="259" w:name="_Toc16938578"/>
      <w:r/>
      <w:bookmarkStart w:id="260" w:name="_Toc416720370"/>
      <w:r/>
      <w:bookmarkStart w:id="261" w:name="_Toc399227848"/>
      <w:r/>
      <w:bookmarkStart w:id="262" w:name="_Toc20823334"/>
      <w:r>
        <w:rPr>
          <w:rFonts w:hint="eastAsia" w:ascii="宋体" w:hAnsi="宋体" w:eastAsia="宋体" w:cs="宋体"/>
          <w:bCs w:val="0"/>
          <w:sz w:val="21"/>
          <w:szCs w:val="21"/>
        </w:rPr>
        <w:t xml:space="preserve">12、破产中止合同</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ind w:firstLine="526"/>
        <w:rPr>
          <w:rFonts w:hint="eastAsia" w:ascii="宋体" w:hAnsi="宋体" w:eastAsia="宋体" w:cs="宋体"/>
        </w:rPr>
      </w:pPr>
      <w:r>
        <w:rPr>
          <w:rFonts w:hint="eastAsia" w:ascii="宋体" w:hAnsi="宋体" w:eastAsia="宋体" w:cs="宋体"/>
          <w:b/>
        </w:rPr>
        <w:t xml:space="preserve">12.1</w:t>
      </w:r>
      <w:r>
        <w:rPr>
          <w:rFonts w:hint="eastAsia" w:ascii="宋体" w:hAnsi="宋体" w:eastAsia="宋体" w:cs="宋体"/>
        </w:rPr>
        <w:t xml:space="preserve">如果卖方破产或无清偿能力时，买方在任何时候书面通知卖方中止合同而不给卖方补偿。该中止合同将不损害或影响买方已经或将要采取的补救措施的权利。</w:t>
      </w:r>
      <w:r/>
    </w:p>
    <w:p>
      <w:pPr>
        <w:pStyle w:val="971"/>
        <w:spacing w:before="177" w:after="177" w:line="415" w:lineRule="auto"/>
        <w:rPr>
          <w:rFonts w:hint="eastAsia" w:ascii="宋体" w:hAnsi="宋体" w:eastAsia="宋体" w:cs="宋体"/>
          <w:bCs w:val="0"/>
          <w:sz w:val="21"/>
          <w:szCs w:val="21"/>
        </w:rPr>
      </w:pPr>
      <w:r/>
      <w:bookmarkStart w:id="263" w:name="_Toc399227849"/>
      <w:r/>
      <w:bookmarkStart w:id="264" w:name="_Toc399853491"/>
      <w:r/>
      <w:bookmarkStart w:id="265" w:name="_Toc399228182"/>
      <w:r/>
      <w:bookmarkStart w:id="266" w:name="_Toc513029263"/>
      <w:r/>
      <w:bookmarkStart w:id="267" w:name="_Toc288030352"/>
      <w:r/>
      <w:bookmarkStart w:id="268" w:name="_Toc20823335"/>
      <w:r/>
      <w:bookmarkStart w:id="269" w:name="_Toc120614242"/>
      <w:r/>
      <w:bookmarkStart w:id="270" w:name="_Toc399658024"/>
      <w:r/>
      <w:bookmarkStart w:id="271" w:name="_Toc462564122"/>
      <w:r/>
      <w:bookmarkStart w:id="272" w:name="_Toc16938579"/>
      <w:r/>
      <w:bookmarkStart w:id="273" w:name="_Toc282446316"/>
      <w:r/>
      <w:bookmarkStart w:id="274" w:name="_Toc416720371"/>
      <w:r>
        <w:rPr>
          <w:rFonts w:hint="eastAsia" w:ascii="宋体" w:hAnsi="宋体" w:eastAsia="宋体" w:cs="宋体"/>
          <w:bCs w:val="0"/>
          <w:sz w:val="21"/>
          <w:szCs w:val="21"/>
        </w:rPr>
        <w:t xml:space="preserve">13、转让</w:t>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r/>
    </w:p>
    <w:p>
      <w:pPr>
        <w:ind w:firstLine="526"/>
        <w:rPr>
          <w:rFonts w:hint="eastAsia" w:ascii="宋体" w:hAnsi="宋体" w:eastAsia="宋体" w:cs="宋体"/>
        </w:rPr>
      </w:pPr>
      <w:r>
        <w:rPr>
          <w:rFonts w:hint="eastAsia" w:ascii="宋体" w:hAnsi="宋体" w:eastAsia="宋体" w:cs="宋体"/>
          <w:b/>
        </w:rPr>
        <w:t xml:space="preserve">13.1</w:t>
      </w:r>
      <w:r>
        <w:rPr>
          <w:rFonts w:hint="eastAsia" w:ascii="宋体" w:hAnsi="宋体" w:eastAsia="宋体" w:cs="宋体"/>
        </w:rPr>
        <w:t xml:space="preserve">除买方事先书面同意外，卖方不得部分转让或全部转让其应履行的合同义务。</w:t>
      </w:r>
      <w:r/>
    </w:p>
    <w:p>
      <w:pPr>
        <w:pStyle w:val="971"/>
        <w:spacing w:before="177" w:after="177" w:line="415" w:lineRule="auto"/>
        <w:rPr>
          <w:rFonts w:hint="eastAsia" w:ascii="宋体" w:hAnsi="宋体" w:eastAsia="宋体" w:cs="宋体"/>
          <w:bCs w:val="0"/>
          <w:sz w:val="21"/>
          <w:szCs w:val="21"/>
        </w:rPr>
      </w:pPr>
      <w:r/>
      <w:bookmarkStart w:id="275" w:name="_Toc282446317"/>
      <w:r/>
      <w:bookmarkStart w:id="276" w:name="_Toc399228183"/>
      <w:r/>
      <w:bookmarkStart w:id="277" w:name="_Toc399658025"/>
      <w:r/>
      <w:bookmarkStart w:id="278" w:name="_Toc399227850"/>
      <w:r/>
      <w:bookmarkStart w:id="279" w:name="_Toc462564123"/>
      <w:r/>
      <w:bookmarkStart w:id="280" w:name="_Toc288030353"/>
      <w:r/>
      <w:bookmarkStart w:id="281" w:name="_Toc16938580"/>
      <w:r/>
      <w:bookmarkStart w:id="282" w:name="_Toc513029264"/>
      <w:r/>
      <w:bookmarkStart w:id="283" w:name="_Toc399853492"/>
      <w:r/>
      <w:bookmarkStart w:id="284" w:name="_Toc416720372"/>
      <w:r/>
      <w:bookmarkStart w:id="285" w:name="_Toc20823336"/>
      <w:r/>
      <w:bookmarkStart w:id="286" w:name="_Toc120614243"/>
      <w:r>
        <w:rPr>
          <w:rFonts w:hint="eastAsia" w:ascii="宋体" w:hAnsi="宋体" w:eastAsia="宋体" w:cs="宋体"/>
          <w:bCs w:val="0"/>
          <w:sz w:val="21"/>
          <w:szCs w:val="21"/>
        </w:rPr>
        <w:t xml:space="preserve">14、合同生效及其它</w:t>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ind w:firstLine="526"/>
        <w:rPr>
          <w:rFonts w:hint="eastAsia" w:ascii="宋体" w:hAnsi="宋体" w:eastAsia="宋体" w:cs="宋体"/>
        </w:rPr>
      </w:pPr>
      <w:r>
        <w:rPr>
          <w:rFonts w:hint="eastAsia" w:ascii="宋体" w:hAnsi="宋体" w:eastAsia="宋体" w:cs="宋体"/>
          <w:b/>
        </w:rPr>
        <w:t xml:space="preserve">14.1</w:t>
      </w:r>
      <w:r>
        <w:rPr>
          <w:rFonts w:hint="eastAsia" w:ascii="宋体" w:hAnsi="宋体" w:eastAsia="宋体" w:cs="宋体"/>
        </w:rPr>
        <w:t xml:space="preserve">合同应在买方、卖方、见证方签字，并在卖方向见证方交纳履约保证金后生效。</w:t>
      </w:r>
      <w:r/>
    </w:p>
    <w:p>
      <w:pPr>
        <w:ind w:firstLine="526"/>
        <w:rPr>
          <w:rFonts w:hint="eastAsia" w:ascii="宋体" w:hAnsi="宋体" w:eastAsia="宋体" w:cs="宋体"/>
        </w:rPr>
      </w:pPr>
      <w:r>
        <w:rPr>
          <w:rFonts w:hint="eastAsia" w:ascii="宋体" w:hAnsi="宋体" w:eastAsia="宋体" w:cs="宋体"/>
          <w:b/>
        </w:rPr>
        <w:t xml:space="preserve">14.2</w:t>
      </w:r>
      <w:r>
        <w:rPr>
          <w:rFonts w:hint="eastAsia" w:ascii="宋体" w:hAnsi="宋体" w:eastAsia="宋体" w:cs="宋体"/>
        </w:rPr>
        <w:t xml:space="preserve">本合同一式五份，以中文书写，买方，卖方、见证方各执一份。</w:t>
      </w:r>
      <w:r/>
    </w:p>
    <w:p>
      <w:pPr>
        <w:ind w:firstLine="526"/>
        <w:rPr>
          <w:rFonts w:hint="eastAsia" w:ascii="宋体" w:hAnsi="宋体" w:eastAsia="宋体" w:cs="宋体"/>
        </w:rPr>
      </w:pPr>
      <w:r>
        <w:rPr>
          <w:rFonts w:hint="eastAsia" w:ascii="宋体" w:hAnsi="宋体" w:eastAsia="宋体" w:cs="宋体"/>
          <w:b/>
        </w:rPr>
        <w:t xml:space="preserve">14.3</w:t>
      </w:r>
      <w:r>
        <w:rPr>
          <w:rFonts w:hint="eastAsia" w:ascii="宋体" w:hAnsi="宋体" w:eastAsia="宋体" w:cs="宋体"/>
        </w:rPr>
        <w:t xml:space="preserve">如需修改或补充合同内容，应经买方、卖方、见证方协商一致，签署书面修改或补充协议。该协议将作为本合同不可分割的一部分。</w:t>
      </w:r>
      <w:r/>
    </w:p>
    <w:p>
      <w:pPr>
        <w:ind w:firstLine="526"/>
        <w:rPr>
          <w:rFonts w:hint="eastAsia" w:ascii="宋体" w:hAnsi="宋体" w:eastAsia="宋体" w:cs="宋体"/>
        </w:rPr>
      </w:pPr>
      <w:r>
        <w:rPr>
          <w:rFonts w:hint="eastAsia" w:ascii="宋体" w:hAnsi="宋体" w:eastAsia="宋体" w:cs="宋体"/>
          <w:b/>
        </w:rPr>
        <w:t xml:space="preserve">14.4</w:t>
      </w:r>
      <w:r>
        <w:rPr>
          <w:rFonts w:hint="eastAsia" w:ascii="宋体" w:hAnsi="宋体" w:eastAsia="宋体" w:cs="宋体"/>
        </w:rPr>
        <w:t xml:space="preserve">本合同应按照中华人民共和国的现行法律进行解释。</w:t>
      </w:r>
      <w:r/>
    </w:p>
    <w:p>
      <w:pPr>
        <w:pStyle w:val="970"/>
        <w:rPr>
          <w:rFonts w:hint="eastAsia" w:ascii="宋体" w:hAnsi="宋体" w:cs="宋体"/>
        </w:rPr>
      </w:pPr>
      <w:r/>
      <w:bookmarkStart w:id="287" w:name="_Toc416720373"/>
      <w:r>
        <w:rPr>
          <w:rFonts w:hint="eastAsia" w:ascii="宋体" w:hAnsi="宋体" w:cs="宋体"/>
        </w:rPr>
        <w:t xml:space="preserve">二、专用合同条款部分</w:t>
      </w:r>
      <w:bookmarkEnd w:id="191"/>
      <w:r/>
      <w:bookmarkEnd w:id="192"/>
      <w:r/>
      <w:bookmarkEnd w:id="193"/>
      <w:r/>
      <w:bookmarkEnd w:id="194"/>
      <w:r/>
      <w:bookmarkEnd w:id="195"/>
      <w:r/>
      <w:bookmarkEnd w:id="196"/>
      <w:r/>
      <w:bookmarkEnd w:id="197"/>
      <w:r/>
      <w:bookmarkEnd w:id="198"/>
      <w:r/>
      <w:bookmarkEnd w:id="287"/>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竞争性谈判方式，依据中标结果，决定将采购合同授予乙方。为进一步明确采购人（甲方）和中标人（乙方）采购过程中的权利、义务和经济责任，根据《中华人民共和国民法典》和《中华人民共和国政府采购法》之规定及本项目采购文件、乙方的响应文件等相关资料，经甲方双方充分协商，遵循平等、自愿、公平和诚实信用原则，特订立本合同，以资共同遵守。</w:t>
      </w:r>
      <w:r/>
    </w:p>
    <w:p>
      <w:pPr>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第一条 合同标的</w:t>
      </w:r>
      <w:r/>
    </w:p>
    <w:p>
      <w:pPr>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1.项目名称：</w:t>
      </w:r>
      <w:r>
        <w:rPr>
          <w:rFonts w:hint="eastAsia" w:ascii="宋体" w:hAnsi="宋体" w:eastAsia="宋体" w:cs="宋体"/>
          <w:color w:val="000000"/>
          <w:szCs w:val="21"/>
          <w:highlight w:val="none"/>
        </w:rPr>
        <w:t xml:space="preserve"> </w:t>
      </w:r>
      <w:r/>
    </w:p>
    <w:p>
      <w:pPr>
        <w:ind w:firstLine="526"/>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2.项目编号： </w:t>
      </w:r>
      <w:r/>
    </w:p>
    <w:p>
      <w:pPr>
        <w:ind w:firstLine="526"/>
        <w:spacing w:line="400" w:lineRule="exact"/>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3.项目内容：</w:t>
      </w:r>
      <w:r/>
    </w:p>
    <w:p>
      <w:pPr>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第二条 合同总价款</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合同总价款：                整，小写￥               。</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合同总价款按此次中标价格执行，</w:t>
      </w:r>
      <w:r>
        <w:rPr>
          <w:rFonts w:hint="eastAsia" w:ascii="宋体" w:hAnsi="宋体" w:eastAsia="宋体" w:cs="宋体"/>
          <w:color w:val="000000"/>
          <w:szCs w:val="21"/>
          <w:highlight w:val="none"/>
        </w:rPr>
        <w:t xml:space="preserve">合同总价应包括</w:t>
      </w:r>
      <w:r>
        <w:rPr>
          <w:rFonts w:hint="eastAsia" w:ascii="宋体" w:hAnsi="宋体" w:eastAsia="宋体" w:cs="宋体"/>
          <w:szCs w:val="21"/>
          <w:highlight w:val="none"/>
        </w:rPr>
        <w:t xml:space="preserve">乙方完成本合同项下全部义务、责任及技术支持、缺陷修补、培训、质保期内的维护、税费等费用</w:t>
      </w:r>
      <w:r>
        <w:rPr>
          <w:rFonts w:hint="eastAsia" w:ascii="宋体" w:hAnsi="宋体" w:eastAsia="宋体" w:cs="宋体"/>
          <w:color w:val="000000"/>
          <w:szCs w:val="21"/>
          <w:highlight w:val="none"/>
        </w:rPr>
        <w:t xml:space="preserve">。</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对于甲方在</w:t>
      </w:r>
      <w:r>
        <w:rPr>
          <w:rFonts w:hint="eastAsia" w:ascii="宋体" w:hAnsi="宋体" w:eastAsia="宋体" w:cs="宋体"/>
          <w:szCs w:val="21"/>
          <w:highlight w:val="none"/>
        </w:rPr>
        <w:t xml:space="preserve">招标</w:t>
      </w:r>
      <w:r>
        <w:rPr>
          <w:rFonts w:hint="eastAsia" w:ascii="宋体" w:hAnsi="宋体" w:eastAsia="宋体" w:cs="宋体"/>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numPr>
          <w:ilvl w:val="0"/>
          <w:numId w:val="16"/>
        </w:numPr>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付款方式</w:t>
      </w:r>
      <w:r/>
    </w:p>
    <w:p>
      <w:pPr>
        <w:pStyle w:val="970"/>
        <w:ind w:firstLine="526"/>
        <w:rPr>
          <w:rFonts w:ascii="宋体" w:hAnsi="宋体" w:eastAsia="宋体" w:cs="宋体"/>
          <w:b w:val="0"/>
          <w:bCs w:val="0"/>
          <w:color w:val="000000"/>
          <w:sz w:val="26"/>
          <w:szCs w:val="21"/>
          <w:highlight w:val="none"/>
          <w:lang w:val="en-US" w:eastAsia="zh-CN" w:bidi="ar-SA"/>
        </w:rPr>
      </w:pPr>
      <w:r>
        <w:rPr>
          <w:rFonts w:hint="eastAsia" w:ascii="宋体" w:hAnsi="宋体" w:eastAsia="宋体" w:cs="宋体"/>
          <w:b w:val="0"/>
          <w:bCs w:val="0"/>
          <w:color w:val="000000"/>
          <w:sz w:val="26"/>
          <w:szCs w:val="21"/>
          <w:highlight w:val="none"/>
          <w:lang w:val="en-US" w:eastAsia="zh-CN" w:bidi="ar-SA"/>
        </w:rPr>
        <w:t xml:space="preserve">货物全部进场且验收合格后付至合同价的90%，余款在质保期满后一次性付清。</w:t>
      </w:r>
      <w:r/>
    </w:p>
    <w:p>
      <w:pPr>
        <w:ind w:firstLine="526"/>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第四条 合同履行要求</w:t>
      </w:r>
      <w:r/>
    </w:p>
    <w:p>
      <w:pPr>
        <w:ind w:firstLine="531"/>
        <w:jc w:val="left"/>
        <w:spacing w:line="360" w:lineRule="auto"/>
        <w:widowControl/>
        <w:rPr>
          <w:rFonts w:hint="eastAsia" w:ascii="宋体" w:hAnsi="宋体" w:eastAsia="宋体" w:cs="宋体"/>
          <w:color w:val="000000"/>
          <w:szCs w:val="21"/>
          <w:highlight w:val="none"/>
        </w:rPr>
      </w:pPr>
      <w:r>
        <w:rPr>
          <w:rFonts w:hint="eastAsia" w:ascii="宋体" w:hAnsi="宋体" w:eastAsia="宋体" w:cs="宋体"/>
          <w:szCs w:val="21"/>
          <w:highlight w:val="none"/>
        </w:rPr>
        <w:t xml:space="preserve">1.合同履行期限：</w:t>
      </w:r>
      <w:r>
        <w:rPr>
          <w:rFonts w:hint="eastAsia" w:ascii="宋体" w:hAnsi="宋体" w:eastAsia="宋体" w:cs="宋体"/>
          <w:szCs w:val="21"/>
          <w:highlight w:val="none"/>
          <w:lang w:val="en-US" w:eastAsia="zh-CN"/>
        </w:rPr>
        <w:t xml:space="preserve">25日历天 </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  </w:t>
      </w:r>
      <w:r/>
    </w:p>
    <w:p>
      <w:pPr>
        <w:ind w:firstLine="526"/>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2.合同履行地点：</w:t>
      </w:r>
      <w:r>
        <w:rPr>
          <w:rFonts w:hint="eastAsia" w:ascii="宋体" w:hAnsi="宋体" w:eastAsia="宋体" w:cs="宋体"/>
          <w:color w:val="000000"/>
          <w:highlight w:val="none"/>
        </w:rPr>
        <w:t xml:space="preserve">用户指定地点</w:t>
      </w:r>
      <w:r>
        <w:rPr>
          <w:rFonts w:hint="eastAsia" w:ascii="宋体" w:hAnsi="宋体" w:eastAsia="宋体" w:cs="宋体"/>
          <w:szCs w:val="21"/>
          <w:highlight w:val="none"/>
        </w:rPr>
        <w:t xml:space="preserve">；</w:t>
      </w:r>
      <w:r/>
    </w:p>
    <w:p>
      <w:pPr>
        <w:ind w:firstLine="526"/>
        <w:jc w:val="left"/>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szCs w:val="21"/>
          <w:highlight w:val="none"/>
        </w:rPr>
        <w:t xml:space="preserve">3.履约保证金：</w:t>
      </w:r>
      <w:r>
        <w:rPr>
          <w:rStyle w:val="1122"/>
          <w:rFonts w:hint="eastAsia" w:ascii="宋体" w:hAnsi="宋体" w:eastAsia="宋体" w:cs="宋体"/>
          <w:color w:val="000000"/>
          <w:szCs w:val="21"/>
          <w:highlight w:val="none"/>
          <w:lang w:eastAsia="zh-CN"/>
        </w:rPr>
        <w:t xml:space="preserve">合同价的</w:t>
      </w:r>
      <w:r>
        <w:rPr>
          <w:rStyle w:val="1122"/>
          <w:rFonts w:hint="eastAsia" w:ascii="宋体" w:hAnsi="宋体" w:eastAsia="宋体" w:cs="宋体"/>
          <w:color w:val="000000"/>
          <w:szCs w:val="21"/>
          <w:highlight w:val="none"/>
          <w:lang w:val="en-US" w:eastAsia="zh-CN"/>
        </w:rPr>
        <w:t xml:space="preserve">10%；</w:t>
      </w:r>
      <w:r/>
    </w:p>
    <w:p>
      <w:pPr>
        <w:ind w:firstLine="526"/>
        <w:spacing w:line="360" w:lineRule="auto"/>
        <w:rPr>
          <w:rFonts w:hint="eastAsia" w:ascii="宋体" w:hAnsi="宋体" w:eastAsia="宋体" w:cs="宋体"/>
          <w:bCs/>
          <w:highlight w:val="none"/>
          <w:lang w:val="en-US"/>
        </w:rPr>
      </w:pPr>
      <w:r>
        <w:rPr>
          <w:rFonts w:hint="eastAsia" w:ascii="宋体" w:hAnsi="宋体" w:eastAsia="宋体" w:cs="宋体"/>
          <w:szCs w:val="21"/>
          <w:highlight w:val="none"/>
        </w:rPr>
        <w:t xml:space="preserve">4.质保期：</w:t>
      </w:r>
      <w:r>
        <w:rPr>
          <w:rFonts w:hint="eastAsia" w:ascii="宋体" w:hAnsi="宋体" w:eastAsia="宋体" w:cs="宋体"/>
          <w:szCs w:val="21"/>
          <w:highlight w:val="none"/>
          <w:lang w:val="en-US" w:eastAsia="zh-CN"/>
        </w:rPr>
        <w:t xml:space="preserve">1年  </w:t>
      </w:r>
      <w:r/>
    </w:p>
    <w:p>
      <w:pPr>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第五条 甲乙双方责任</w:t>
      </w:r>
      <w:r/>
    </w:p>
    <w:p>
      <w:pPr>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（一）甲方责任</w:t>
      </w:r>
      <w:r/>
    </w:p>
    <w:p>
      <w:pPr>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为项目实施提供必要的场地和便利帮助，按时验收，按时支付合同款项等。</w:t>
      </w:r>
      <w:r/>
    </w:p>
    <w:p>
      <w:pPr>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（二）乙方责任</w:t>
      </w:r>
      <w:r/>
    </w:p>
    <w:p>
      <w:pPr>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按采购文件及响应文件要求完成</w:t>
      </w:r>
      <w:r>
        <w:rPr>
          <w:rFonts w:hint="eastAsia" w:ascii="宋体" w:hAnsi="宋体" w:eastAsia="宋体" w:cs="宋体"/>
          <w:szCs w:val="21"/>
          <w:highlight w:val="none"/>
        </w:rPr>
        <w:t xml:space="preserve">项目</w:t>
      </w:r>
      <w:r>
        <w:rPr>
          <w:rFonts w:hint="eastAsia" w:ascii="宋体" w:hAnsi="宋体" w:eastAsia="宋体" w:cs="宋体"/>
          <w:color w:val="000000"/>
          <w:szCs w:val="21"/>
          <w:highlight w:val="none"/>
        </w:rPr>
        <w:t xml:space="preserve">相关内容</w:t>
      </w:r>
      <w:r>
        <w:rPr>
          <w:rFonts w:hint="eastAsia" w:ascii="宋体" w:hAnsi="宋体" w:eastAsia="宋体" w:cs="宋体"/>
          <w:highlight w:val="none"/>
        </w:rPr>
        <w:t xml:space="preserve">。</w:t>
      </w:r>
      <w:r/>
    </w:p>
    <w:p>
      <w:pPr>
        <w:ind w:firstLine="526"/>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第六条 违约责任及索赔</w:t>
      </w:r>
      <w:r/>
    </w:p>
    <w:p>
      <w:pPr>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1.甲乙双方任何一方违反合同，造成对方经济损失的，应给予对方经济赔偿。</w:t>
      </w:r>
      <w:r/>
    </w:p>
    <w:p>
      <w:pPr>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2.如果乙方无正当理由拖延管理或不按合同提供服务，甲方可以加收违约损失赔偿。</w:t>
      </w:r>
      <w:r/>
    </w:p>
    <w:p>
      <w:pPr>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3.乙方如给甲方造成的实际损失高于违约金的，对高出违约金的部分乙方应予以赔偿。</w:t>
      </w:r>
      <w:r/>
    </w:p>
    <w:p>
      <w:pPr>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4.乙方如迟延履行合同、不完全履行合同，除支付违约金外，乙方仍应继续履行合同；不履行或履行合同不符合约定，甲方均有权解除合同，并就乙方违约给甲方造成的损失向乙方索赔。</w:t>
      </w:r>
      <w:r/>
    </w:p>
    <w:p>
      <w:pPr>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5.甲方不能及时按合同付款，则应当付款逾期第5日起，每日按合同总价款的万分之四向乙方支付滞纳金，甲方应付费用拖欠60日后，乙方有权终止其在本合同中承担的任务及责任。</w:t>
      </w:r>
      <w:r/>
    </w:p>
    <w:p>
      <w:pPr>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6.乙方未能履行合同义务（除不可抗力因素外），不能完成合同约定的内容，甲方有权要求乙方给予甲方经济赔偿。</w:t>
      </w:r>
      <w:r/>
    </w:p>
    <w:p>
      <w:pPr>
        <w:ind w:firstLine="526"/>
        <w:spacing w:line="360" w:lineRule="auto"/>
        <w:rPr>
          <w:rFonts w:hint="eastAsia" w:ascii="宋体" w:hAnsi="宋体" w:eastAsia="宋体" w:cs="宋体"/>
          <w:highlight w:val="none"/>
        </w:rPr>
      </w:pPr>
      <w:r>
        <w:rPr>
          <w:rFonts w:hint="eastAsia" w:ascii="宋体" w:hAnsi="宋体" w:eastAsia="宋体" w:cs="宋体"/>
          <w:highlight w:val="none"/>
        </w:rPr>
        <w:t xml:space="preserve">7.如果甲方提出索赔通知后15日内或甲方允许的更长时间内乙方未能予以答复，该索赔应视为已经被乙方接受。甲方将从未付款项中扣除索赔金额，</w:t>
      </w:r>
      <w:r>
        <w:rPr>
          <w:rFonts w:hint="eastAsia" w:ascii="宋体" w:hAnsi="宋体" w:eastAsia="宋体" w:cs="宋体"/>
          <w:color w:val="000000"/>
          <w:szCs w:val="21"/>
          <w:highlight w:val="none"/>
        </w:rPr>
        <w:t xml:space="preserve">并拥有对赔偿不足部分进一步索赔的权利</w:t>
      </w:r>
      <w:r>
        <w:rPr>
          <w:rFonts w:hint="eastAsia" w:ascii="宋体" w:hAnsi="宋体" w:eastAsia="宋体" w:cs="宋体"/>
          <w:highlight w:val="none"/>
        </w:rPr>
        <w:t xml:space="preserve">。</w:t>
      </w:r>
      <w:r/>
    </w:p>
    <w:p>
      <w:pPr>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第七条 不可抗力</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第八条 争端的解决</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1.甲方和乙方应通过友好协商，解决在执行本合同过程中所发生的或与本合同有关的一切争端。如从协商开始十天内仍不能解决，可向有关合同管理部门提请调解。</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2.如果调解不成，双方中的任何一方可向人民法院提起诉讼。诉讼由甲方所在地人民法院管辖。</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3.因合同部分履行引发诉讼的，在诉讼期间，除正在进行诉讼的部分外，本合同的其它部分应继续执行。</w:t>
      </w:r>
      <w:r/>
    </w:p>
    <w:p>
      <w:pPr>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第九条 违约终止合同 </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1.在甲方因乙方违约而按合同约定采取的任何补救措施不受影响的情况下，甲方可在下列情况下向乙方发出书面通知，提出终止部分或全部合同。 </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如果乙方未能在合同规定的限期或甲方同意延长的限期内提供部分或全部服务。</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 如果乙方未能履行合同规定的其它任何义务。 </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3.如果甲方违约，应承担相应的违约责任。</w:t>
      </w:r>
      <w:r/>
    </w:p>
    <w:p>
      <w:pPr>
        <w:ind w:firstLine="526"/>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第十条 合同生效</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1.双方签约人为各自法定代表人或被授权代表。</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2.本合同系指本文件及其附件中的所有部分，招标文件、更正公告、乙方中标的投标文件、中标通知书、乙方在招标过程中的澄清和承诺以及甲乙双方商定的其他文件等为本合同不可缺少的组成部分。</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3.本合同壹式肆份，甲乙双方各执两份，各份具有同等法律效力。</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4.本合同应按照中华人民共和国的现行法律进行解释。</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5.合同修改：除甲乙双方签署书面修改、补充协议，并成为本合同不可分割的一部分之外，本合同条件不得有任何变化或修改。</w:t>
      </w:r>
      <w:r/>
    </w:p>
    <w:p>
      <w:pPr>
        <w:ind w:firstLine="5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甲方：                           地址： </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乙方：                            地址：</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法定代表人或授权代表：</w:t>
      </w:r>
      <w:r/>
    </w:p>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w:t>
      </w:r>
      <w:r/>
    </w:p>
    <w:p>
      <w:pPr>
        <w:ind w:firstLine="526"/>
        <w:spacing w:line="260" w:lineRule="exact"/>
        <w:rPr>
          <w:rFonts w:hint="eastAsia" w:ascii="宋体" w:hAnsi="宋体" w:eastAsia="宋体" w:cs="宋体"/>
        </w:rPr>
      </w:pPr>
      <w:r>
        <w:rPr>
          <w:rFonts w:hint="eastAsia" w:ascii="宋体" w:hAnsi="宋体" w:eastAsia="宋体" w:cs="宋体"/>
          <w:color w:val="000000"/>
          <w:szCs w:val="21"/>
          <w:highlight w:val="none"/>
        </w:rPr>
        <w:t xml:space="preserve">                                               签订日期：  年  月  日</w:t>
      </w:r>
      <w:r/>
    </w:p>
    <w:p>
      <w:pPr>
        <w:rPr>
          <w:rFonts w:hint="eastAsia" w:ascii="仿宋_GB2312" w:hAnsi="仿宋" w:eastAsia="仿宋_GB2312"/>
          <w:sz w:val="24"/>
          <w:szCs w:val="24"/>
        </w:rPr>
        <w:outlineLvl w:val="0"/>
      </w:pPr>
      <w:r>
        <w:rPr>
          <w:rFonts w:hint="eastAsia" w:ascii="仿宋_GB2312" w:hAnsi="仿宋" w:eastAsia="仿宋_GB2312"/>
          <w:sz w:val="24"/>
          <w:szCs w:val="24"/>
        </w:rPr>
      </w:r>
      <w:r/>
    </w:p>
    <w:p>
      <w:pPr>
        <w:pStyle w:val="969"/>
        <w:jc w:val="center"/>
        <w:spacing w:before="0" w:after="0" w:line="240" w:lineRule="auto"/>
        <w:rPr>
          <w:rFonts w:ascii="宋体" w:hAnsi="宋体" w:eastAsia="宋体"/>
          <w:color w:val="000000"/>
          <w:sz w:val="30"/>
          <w:szCs w:val="30"/>
        </w:rPr>
      </w:pPr>
      <w:r>
        <w:rPr>
          <w:rFonts w:hint="eastAsia" w:ascii="宋体" w:hAnsi="宋体" w:eastAsia="宋体" w:cs="宋体"/>
          <w:color w:val="000000"/>
          <w:sz w:val="30"/>
          <w:szCs w:val="30"/>
        </w:rPr>
        <w:br w:type="page" w:clear="all"/>
      </w:r>
      <w:r>
        <w:rPr>
          <w:rFonts w:hint="eastAsia" w:ascii="宋体" w:hAnsi="宋体" w:eastAsia="宋体"/>
          <w:color w:val="000000"/>
          <w:sz w:val="30"/>
          <w:szCs w:val="30"/>
        </w:rPr>
        <w:t xml:space="preserve">第五章 评标办法及标准</w:t>
      </w:r>
      <w:bookmarkEnd w:id="22"/>
      <w:r/>
      <w:bookmarkEnd w:id="23"/>
      <w:r/>
      <w:r/>
    </w:p>
    <w:p>
      <w:pPr>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一、评标办法：</w:t>
      </w:r>
      <w:r/>
    </w:p>
    <w:p>
      <w:pPr>
        <w:pStyle w:val="1070"/>
        <w:ind w:firstLine="486"/>
        <w:spacing w:line="360" w:lineRule="auto"/>
        <w:rPr>
          <w:rFonts w:hAnsi="宋体" w:eastAsia="宋体"/>
          <w:color w:val="000000"/>
          <w:sz w:val="24"/>
          <w:szCs w:val="24"/>
        </w:rPr>
      </w:pPr>
      <w:r>
        <w:rPr>
          <w:rFonts w:hint="eastAsia" w:hAnsi="宋体" w:eastAsia="宋体"/>
          <w:color w:val="000000"/>
          <w:sz w:val="24"/>
          <w:szCs w:val="24"/>
        </w:rPr>
        <w:t xml:space="preserve">1、本次招标评标采用为</w:t>
      </w:r>
      <w:r>
        <w:rPr>
          <w:rFonts w:hint="eastAsia" w:hAnsi="宋体" w:eastAsia="宋体"/>
          <w:color w:val="000000"/>
          <w:sz w:val="24"/>
          <w:szCs w:val="24"/>
          <w:u w:val="single"/>
        </w:rPr>
        <w:t xml:space="preserve">综合评分法</w:t>
      </w:r>
      <w:r>
        <w:rPr>
          <w:rFonts w:hint="eastAsia" w:hAnsi="宋体" w:eastAsia="宋体"/>
          <w:color w:val="000000"/>
          <w:sz w:val="24"/>
          <w:szCs w:val="24"/>
        </w:rPr>
        <w:t xml:space="preserve">。即在满足招标文件实质性要求前提下，按照招标文件中规定的评分标准和各项因素进行综合评审后，以评标总得分最高的投标人作为中标候选供应商或中标人。</w:t>
      </w:r>
      <w:r/>
    </w:p>
    <w:p>
      <w:pPr>
        <w:ind w:firstLine="486"/>
        <w:spacing w:line="360" w:lineRule="auto"/>
        <w:rPr>
          <w:rFonts w:ascii="宋体" w:hAnsi="宋体" w:eastAsia="宋体"/>
          <w:color w:val="000000"/>
          <w:sz w:val="24"/>
          <w:szCs w:val="24"/>
        </w:rPr>
      </w:pPr>
      <w:r>
        <w:rPr>
          <w:rFonts w:hint="eastAsia" w:ascii="宋体" w:hAnsi="宋体" w:eastAsia="宋体"/>
          <w:color w:val="000000"/>
          <w:sz w:val="24"/>
          <w:szCs w:val="24"/>
        </w:rPr>
        <w:t xml:space="preserve">2、评标时，评标委员会成员按照招标文件规定的评分标准，独立对</w:t>
      </w:r>
      <w:r>
        <w:rPr>
          <w:rFonts w:hint="eastAsia" w:eastAsia="宋体"/>
          <w:color w:val="000000"/>
          <w:sz w:val="24"/>
          <w:szCs w:val="24"/>
        </w:rPr>
        <w:t xml:space="preserve">每个投标人的投标文件进行评价、打分</w:t>
      </w:r>
      <w:r>
        <w:rPr>
          <w:rFonts w:hint="eastAsia" w:ascii="宋体" w:hAnsi="宋体" w:eastAsia="宋体"/>
          <w:color w:val="000000"/>
          <w:sz w:val="24"/>
          <w:szCs w:val="24"/>
        </w:rPr>
        <w:t xml:space="preserve">。价格标得分按法规规定的计算公式直接计算取得。技术、商务评审得分和价格标得分相加即为投标人的评标总得分。</w:t>
      </w:r>
      <w:r>
        <w:rPr>
          <w:rFonts w:hint="eastAsia" w:hAnsi="宋体" w:eastAsia="宋体"/>
          <w:color w:val="000000"/>
          <w:sz w:val="24"/>
          <w:szCs w:val="24"/>
        </w:rPr>
        <w:t xml:space="preserve">评分过程中采用“四舍五入”法，并保留小数2位。</w:t>
      </w:r>
      <w:r/>
    </w:p>
    <w:p>
      <w:pPr>
        <w:pStyle w:val="996"/>
        <w:ind w:firstLine="486"/>
        <w:spacing w:line="400" w:lineRule="exact"/>
        <w:rPr>
          <w:rFonts w:hint="eastAsia" w:hAnsi="宋体" w:eastAsia="宋体"/>
          <w:color w:val="000000"/>
          <w:sz w:val="24"/>
          <w:szCs w:val="24"/>
        </w:rPr>
      </w:pPr>
      <w:r>
        <w:rPr>
          <w:rFonts w:hint="eastAsia" w:hAnsi="宋体" w:eastAsia="宋体"/>
          <w:color w:val="000000"/>
          <w:sz w:val="24"/>
          <w:szCs w:val="24"/>
        </w:rPr>
        <w:t xml:space="preserve">3、</w:t>
      </w:r>
      <w:r>
        <w:rPr>
          <w:rFonts w:hAnsi="宋体" w:eastAsia="宋体"/>
          <w:color w:val="000000"/>
          <w:sz w:val="24"/>
          <w:szCs w:val="24"/>
        </w:rPr>
        <w:t xml:space="preserve">如</w:t>
      </w:r>
      <w:r>
        <w:rPr>
          <w:rFonts w:hint="eastAsia" w:hAnsi="宋体" w:eastAsia="宋体"/>
          <w:color w:val="000000"/>
          <w:sz w:val="24"/>
          <w:szCs w:val="24"/>
        </w:rPr>
        <w:t xml:space="preserve">出现评标总</w:t>
      </w:r>
      <w:r>
        <w:rPr>
          <w:rFonts w:hAnsi="宋体" w:eastAsia="宋体"/>
          <w:color w:val="000000"/>
          <w:sz w:val="24"/>
          <w:szCs w:val="24"/>
        </w:rPr>
        <w:t xml:space="preserve">得分最高的投标人有两个或两个以上的，</w:t>
      </w:r>
      <w:r>
        <w:rPr>
          <w:rFonts w:hint="eastAsia" w:hAnsi="宋体" w:eastAsia="宋体"/>
          <w:color w:val="000000"/>
          <w:sz w:val="24"/>
          <w:szCs w:val="24"/>
        </w:rPr>
        <w:t xml:space="preserve">以</w:t>
      </w:r>
      <w:r>
        <w:rPr>
          <w:rFonts w:hAnsi="宋体" w:eastAsia="宋体"/>
          <w:color w:val="000000"/>
          <w:sz w:val="24"/>
          <w:szCs w:val="24"/>
        </w:rPr>
        <w:t xml:space="preserve">投标报价较低者优先作为中标候选人</w:t>
      </w:r>
      <w:r>
        <w:rPr>
          <w:rFonts w:hint="eastAsia" w:hAnsi="宋体" w:eastAsia="宋体"/>
          <w:color w:val="000000"/>
          <w:sz w:val="24"/>
          <w:szCs w:val="24"/>
        </w:rPr>
        <w:t xml:space="preserve">，</w:t>
      </w:r>
      <w:r>
        <w:rPr>
          <w:rFonts w:hAnsi="宋体" w:eastAsia="宋体"/>
          <w:color w:val="000000"/>
          <w:sz w:val="24"/>
          <w:szCs w:val="24"/>
        </w:rPr>
        <w:t xml:space="preserve">如果</w:t>
      </w:r>
      <w:r>
        <w:rPr>
          <w:rFonts w:hint="eastAsia" w:hAnsi="宋体" w:eastAsia="宋体"/>
          <w:color w:val="000000"/>
          <w:sz w:val="24"/>
          <w:szCs w:val="24"/>
        </w:rPr>
        <w:t xml:space="preserve">投标报</w:t>
      </w:r>
      <w:r>
        <w:rPr>
          <w:rFonts w:hAnsi="宋体" w:eastAsia="宋体"/>
          <w:color w:val="000000"/>
          <w:sz w:val="24"/>
          <w:szCs w:val="24"/>
        </w:rPr>
        <w:t xml:space="preserve">价</w:t>
      </w:r>
      <w:r>
        <w:rPr>
          <w:rFonts w:hint="eastAsia" w:hAnsi="宋体" w:eastAsia="宋体"/>
          <w:color w:val="000000"/>
          <w:sz w:val="24"/>
          <w:szCs w:val="24"/>
        </w:rPr>
        <w:t xml:space="preserve">也</w:t>
      </w:r>
      <w:r>
        <w:rPr>
          <w:rFonts w:hAnsi="宋体" w:eastAsia="宋体"/>
          <w:color w:val="000000"/>
          <w:sz w:val="24"/>
          <w:szCs w:val="24"/>
        </w:rPr>
        <w:t xml:space="preserve">相同的，则由公证机构组织以抽签方式确定中标候选</w:t>
      </w:r>
      <w:r>
        <w:rPr>
          <w:rFonts w:hint="eastAsia" w:hAnsi="宋体" w:eastAsia="宋体"/>
          <w:color w:val="000000"/>
          <w:sz w:val="24"/>
          <w:szCs w:val="24"/>
        </w:rPr>
        <w:t xml:space="preserve">供应商或</w:t>
      </w:r>
      <w:r>
        <w:rPr>
          <w:rFonts w:hint="eastAsia" w:hAnsi="宋体" w:eastAsia="宋体"/>
          <w:color w:val="000000"/>
          <w:sz w:val="24"/>
          <w:szCs w:val="24"/>
          <w:lang w:eastAsia="zh-CN"/>
        </w:rPr>
        <w:t xml:space="preserve">中标人</w:t>
      </w:r>
      <w:r>
        <w:rPr>
          <w:rFonts w:hAnsi="宋体" w:eastAsia="宋体"/>
          <w:color w:val="000000"/>
          <w:sz w:val="24"/>
          <w:szCs w:val="24"/>
        </w:rPr>
        <w:t xml:space="preserve">。</w:t>
      </w:r>
      <w:r/>
    </w:p>
    <w:p>
      <w:pPr>
        <w:ind w:firstLine="420"/>
        <w:spacing w:line="360" w:lineRule="auto"/>
        <w:rPr>
          <w:rFonts w:hAnsi="宋体" w:eastAsia="宋体"/>
          <w:color w:val="000000"/>
          <w:sz w:val="24"/>
          <w:szCs w:val="24"/>
        </w:rPr>
      </w:pPr>
      <w:r>
        <w:rPr>
          <w:rFonts w:hint="eastAsia" w:hAnsi="宋体" w:eastAsia="宋体"/>
          <w:color w:val="000000"/>
          <w:sz w:val="24"/>
          <w:szCs w:val="24"/>
        </w:rPr>
        <w:t xml:space="preserve">4、评分标准：</w:t>
      </w:r>
      <w:r/>
    </w:p>
    <w:p>
      <w:pPr>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（1）评标采用综合评分法。</w:t>
      </w:r>
      <w:r/>
    </w:p>
    <w:p>
      <w:pPr>
        <w:ind w:firstLine="486"/>
        <w:spacing w:line="360" w:lineRule="exact"/>
        <w:rPr>
          <w:rFonts w:ascii="宋体" w:hAnsi="宋体" w:eastAsia="宋体"/>
          <w:color w:val="000000"/>
          <w:sz w:val="24"/>
          <w:szCs w:val="24"/>
        </w:rPr>
      </w:pPr>
      <w:r>
        <w:rPr>
          <w:rFonts w:hint="eastAsia" w:ascii="宋体" w:hAnsi="宋体" w:eastAsia="宋体"/>
          <w:color w:val="000000"/>
          <w:sz w:val="24"/>
          <w:szCs w:val="24"/>
        </w:rPr>
        <w:t xml:space="preserve">（2）评标考虑的主要因素及其权值：</w:t>
      </w:r>
      <w:r/>
    </w:p>
    <w:p>
      <w:pPr>
        <w:ind w:firstLine="420"/>
        <w:spacing w:line="360" w:lineRule="auto"/>
        <w:rPr>
          <w:rFonts w:hint="eastAsia" w:ascii="宋体" w:hAnsi="宋体" w:eastAsia="宋体"/>
          <w:sz w:val="24"/>
          <w:szCs w:val="24"/>
        </w:rPr>
      </w:pPr>
      <w:r>
        <w:rPr>
          <w:rFonts w:hint="eastAsia" w:hAnsi="宋体" w:eastAsia="宋体"/>
          <w:color w:val="000000"/>
          <w:sz w:val="24"/>
          <w:szCs w:val="24"/>
        </w:rPr>
        <w:t xml:space="preserve">评委对投标文件的技术及商务响应情况进行评分。评分采用量化方法。</w:t>
      </w:r>
      <w:r/>
    </w:p>
    <w:p>
      <w:pPr>
        <w:ind w:firstLine="429"/>
        <w:spacing w:line="360" w:lineRule="auto"/>
        <w:tabs>
          <w:tab w:val="left" w:pos="945" w:leader="none"/>
        </w:tabs>
        <w:rPr>
          <w:rFonts w:ascii="宋体" w:hAnsi="宋体" w:eastAsia="宋体"/>
          <w:sz w:val="24"/>
          <w:szCs w:val="24"/>
        </w:rPr>
      </w:pPr>
      <w:r>
        <w:rPr>
          <w:rFonts w:hint="eastAsia" w:ascii="宋体" w:hAnsi="宋体" w:eastAsia="宋体"/>
          <w:sz w:val="24"/>
          <w:szCs w:val="24"/>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ind w:firstLine="486"/>
        <w:spacing w:line="360" w:lineRule="auto"/>
        <w:rPr>
          <w:rFonts w:hint="eastAsia" w:ascii="宋体" w:hAnsi="宋体" w:eastAsia="宋体"/>
          <w:b/>
          <w:sz w:val="24"/>
          <w:szCs w:val="24"/>
        </w:rPr>
      </w:pPr>
      <w:r>
        <w:rPr>
          <w:rFonts w:hint="eastAsia" w:ascii="宋体" w:hAnsi="宋体" w:eastAsia="宋体"/>
          <w:b/>
          <w:sz w:val="24"/>
          <w:szCs w:val="24"/>
        </w:rPr>
      </w:r>
      <w:r/>
    </w:p>
    <w:p>
      <w:pPr>
        <w:jc w:val="center"/>
        <w:spacing w:line="480" w:lineRule="auto"/>
        <w:rPr>
          <w:rFonts w:hint="eastAsia" w:ascii="宋体" w:hAnsi="宋体" w:eastAsia="宋体"/>
          <w:b/>
          <w:sz w:val="30"/>
          <w:szCs w:val="30"/>
        </w:rPr>
      </w:pPr>
      <w:r>
        <w:rPr>
          <w:rFonts w:hint="eastAsia" w:ascii="宋体" w:hAnsi="宋体" w:eastAsia="宋体"/>
          <w:b/>
          <w:sz w:val="30"/>
          <w:szCs w:val="30"/>
        </w:rPr>
        <w:br w:type="page" w:clear="all"/>
      </w:r>
      <w:r>
        <w:rPr>
          <w:rFonts w:hint="eastAsia" w:ascii="宋体" w:hAnsi="宋体" w:eastAsia="宋体"/>
          <w:b/>
          <w:sz w:val="30"/>
          <w:szCs w:val="30"/>
        </w:rPr>
        <w:t xml:space="preserve">评标内容及标准</w:t>
      </w:r>
      <w:r/>
    </w:p>
    <w:p>
      <w:pPr>
        <w:pStyle w:val="996"/>
        <w:rPr>
          <w:rFonts w:hint="eastAsia" w:hAnsi="宋体" w:eastAsia="宋体"/>
          <w:b/>
          <w:sz w:val="30"/>
          <w:szCs w:val="30"/>
          <w:lang w:eastAsia="zh-CN"/>
        </w:rPr>
      </w:pPr>
      <w:r>
        <w:rPr>
          <w:rFonts w:hint="eastAsia" w:hAnsi="宋体" w:eastAsia="宋体"/>
          <w:b/>
          <w:sz w:val="30"/>
          <w:szCs w:val="30"/>
          <w:lang w:eastAsia="zh-CN"/>
        </w:rPr>
        <w:t xml:space="preserve">评标办法</w:t>
      </w:r>
      <w:r/>
    </w:p>
    <w:tbl>
      <w:tblPr>
        <w:tblStyle w:val="800"/>
        <w:tblW w:w="483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
        <w:gridCol w:w="2134"/>
        <w:gridCol w:w="656"/>
        <w:gridCol w:w="5626"/>
      </w:tblGrid>
      <w:tr>
        <w:trPr>
          <w:jc w:val="center"/>
          <w:trHeight w:val="454"/>
        </w:trPr>
        <w:tc>
          <w:tcPr>
            <w:gridSpan w:val="2"/>
            <w:tcW w:w="1763" w:type="dxa"/>
            <w:vAlign w:val="center"/>
            <w:textDirection w:val="lrTb"/>
            <w:noWrap w:val="false"/>
          </w:tcPr>
          <w:p>
            <w:pPr>
              <w:pStyle w:val="99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sz w:val="21"/>
                <w:szCs w:val="21"/>
              </w:rPr>
              <w:suppressLineNumbers w:val="0"/>
            </w:pPr>
            <w:r>
              <w:rPr>
                <w:rFonts w:hint="eastAsia" w:ascii="宋体" w:hAnsi="宋体" w:eastAsia="宋体" w:cs="宋体"/>
                <w:b/>
                <w:sz w:val="21"/>
                <w:szCs w:val="21"/>
              </w:rPr>
              <w:t xml:space="preserve">评审因素</w:t>
            </w:r>
            <w:r/>
          </w:p>
        </w:tc>
        <w:tc>
          <w:tcPr>
            <w:tcW w:w="396" w:type="dxa"/>
            <w:vAlign w:val="center"/>
            <w:textDirection w:val="lrTb"/>
            <w:noWrap w:val="false"/>
          </w:tcPr>
          <w:p>
            <w:pPr>
              <w:pStyle w:val="99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sz w:val="21"/>
                <w:szCs w:val="21"/>
              </w:rPr>
              <w:suppressLineNumbers w:val="0"/>
            </w:pPr>
            <w:r>
              <w:rPr>
                <w:rFonts w:hint="eastAsia" w:ascii="宋体" w:hAnsi="宋体" w:eastAsia="宋体" w:cs="宋体"/>
                <w:b/>
                <w:sz w:val="21"/>
                <w:szCs w:val="21"/>
              </w:rPr>
              <w:t xml:space="preserve">标准</w:t>
            </w:r>
            <w:r/>
          </w:p>
          <w:p>
            <w:pPr>
              <w:pStyle w:val="99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sz w:val="21"/>
                <w:szCs w:val="21"/>
              </w:rPr>
              <w:suppressLineNumbers w:val="0"/>
            </w:pPr>
            <w:r>
              <w:rPr>
                <w:rFonts w:hint="eastAsia" w:ascii="宋体" w:hAnsi="宋体" w:eastAsia="宋体" w:cs="宋体"/>
                <w:b/>
                <w:sz w:val="21"/>
                <w:szCs w:val="21"/>
              </w:rPr>
              <w:t xml:space="preserve">分数</w:t>
            </w:r>
            <w:r/>
          </w:p>
        </w:tc>
        <w:tc>
          <w:tcPr>
            <w:tcW w:w="3664" w:type="dxa"/>
            <w:vAlign w:val="center"/>
            <w:textDirection w:val="lrTb"/>
            <w:noWrap w:val="false"/>
          </w:tcPr>
          <w:p>
            <w:pPr>
              <w:pStyle w:val="99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sz w:val="21"/>
                <w:szCs w:val="21"/>
              </w:rPr>
              <w:suppressLineNumbers w:val="0"/>
            </w:pPr>
            <w:r>
              <w:rPr>
                <w:rFonts w:hint="eastAsia" w:ascii="宋体" w:hAnsi="宋体" w:eastAsia="宋体" w:cs="宋体"/>
                <w:b/>
                <w:sz w:val="21"/>
                <w:szCs w:val="21"/>
              </w:rPr>
              <w:t xml:space="preserve">评审标准</w:t>
            </w:r>
            <w:r/>
          </w:p>
        </w:tc>
      </w:tr>
      <w:tr>
        <w:trPr>
          <w:jc w:val="center"/>
          <w:trHeight w:val="454"/>
        </w:trPr>
        <w:tc>
          <w:tcPr>
            <w:tcW w:w="373" w:type="dxa"/>
            <w:vAlign w:val="center"/>
            <w:textDirection w:val="lrTb"/>
            <w:noWrap w:val="false"/>
          </w:tcPr>
          <w:p>
            <w:pPr>
              <w:pStyle w:val="99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报价部分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30分</w:t>
            </w:r>
            <w:r>
              <w:rPr>
                <w:rFonts w:hint="eastAsia" w:ascii="宋体" w:hAnsi="宋体" w:eastAsia="宋体" w:cs="宋体"/>
                <w:bCs/>
                <w:sz w:val="21"/>
                <w:szCs w:val="21"/>
                <w:lang w:eastAsia="zh-CN"/>
              </w:rPr>
              <w:t xml:space="preserve">）</w:t>
            </w:r>
            <w:r/>
          </w:p>
        </w:tc>
        <w:tc>
          <w:tcPr>
            <w:tcW w:w="56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rPr>
              <w:t xml:space="preserve">投标报价</w:t>
            </w:r>
            <w:r/>
          </w:p>
        </w:tc>
        <w:tc>
          <w:tcPr>
            <w:tcW w:w="39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sz w:val="21"/>
                <w:szCs w:val="21"/>
              </w:rPr>
              <w:suppressLineNumbers w:val="0"/>
            </w:pPr>
            <w:r>
              <w:rPr>
                <w:rFonts w:hint="eastAsia" w:ascii="宋体" w:hAnsi="宋体" w:eastAsia="宋体" w:cs="宋体"/>
                <w:bCs/>
                <w:sz w:val="21"/>
                <w:szCs w:val="21"/>
              </w:rPr>
              <w:t xml:space="preserve">30</w:t>
            </w:r>
            <w:r/>
          </w:p>
        </w:tc>
        <w:tc>
          <w:tcPr>
            <w:tcW w:w="3664" w:type="dxa"/>
            <w:vAlign w:val="center"/>
            <w:textDirection w:val="lrTb"/>
            <w:noWrap w:val="false"/>
          </w:tcPr>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t xml:space="preserve">满足投标文件要求且报价最低的投标报价为评标基准价，其价格分为满分。响应人的价格分统一按照下列公式计算：</w:t>
            </w:r>
            <w:r/>
          </w:p>
          <w:p>
            <w:pPr>
              <w:ind w:left="0" w:right="0"/>
              <w:jc w:val="both"/>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t xml:space="preserve">投标报价得分</w:t>
            </w:r>
            <w:r>
              <w:rPr>
                <w:rFonts w:hint="eastAsia" w:ascii="宋体" w:hAnsi="宋体" w:eastAsia="宋体" w:cs="宋体"/>
                <w:sz w:val="21"/>
                <w:szCs w:val="21"/>
                <w:lang w:val="en-US" w:eastAsia="zh-CN"/>
              </w:rPr>
              <w:t xml:space="preserve">=（评标基准价/投标报价）*30</w:t>
            </w:r>
            <w:r/>
          </w:p>
        </w:tc>
      </w:tr>
      <w:tr>
        <w:trPr>
          <w:jc w:val="center"/>
          <w:trHeight w:val="90"/>
        </w:trPr>
        <w:tc>
          <w:tcPr>
            <w:tcW w:w="373" w:type="dxa"/>
            <w:vAlign w:val="center"/>
            <w:vMerge w:val="restart"/>
            <w:textDirection w:val="lrTb"/>
            <w:noWrap w:val="false"/>
          </w:tcPr>
          <w:p>
            <w:pPr>
              <w:pStyle w:val="99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t xml:space="preserve">技术部分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54分</w:t>
            </w:r>
            <w:r>
              <w:rPr>
                <w:rFonts w:hint="eastAsia" w:ascii="宋体" w:hAnsi="宋体" w:eastAsia="宋体" w:cs="宋体"/>
                <w:bCs/>
                <w:sz w:val="21"/>
                <w:szCs w:val="21"/>
                <w:lang w:eastAsia="zh-CN"/>
              </w:rPr>
              <w:t xml:space="preserve">）</w:t>
            </w:r>
            <w:r/>
          </w:p>
        </w:tc>
        <w:tc>
          <w:tcPr>
            <w:tcW w:w="56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rPr>
              <w:suppressLineNumbers w:val="0"/>
            </w:pPr>
            <w:r>
              <w:rPr>
                <w:rFonts w:hint="eastAsia" w:ascii="宋体" w:hAnsi="宋体" w:eastAsia="宋体" w:cs="宋体"/>
                <w:b w:val="0"/>
                <w:bCs/>
                <w:color w:val="000000"/>
                <w:sz w:val="21"/>
                <w:szCs w:val="21"/>
                <w:highlight w:val="none"/>
              </w:rPr>
              <w:t xml:space="preserve">技术</w:t>
            </w:r>
            <w:r>
              <w:rPr>
                <w:rFonts w:hint="eastAsia" w:ascii="宋体" w:hAnsi="宋体" w:eastAsia="宋体" w:cs="宋体"/>
                <w:b w:val="0"/>
                <w:bCs/>
                <w:color w:val="000000"/>
                <w:sz w:val="21"/>
                <w:szCs w:val="21"/>
                <w:highlight w:val="none"/>
                <w:lang w:val="en-US" w:eastAsia="zh-CN"/>
              </w:rPr>
              <w:t xml:space="preserve">参数响应情况</w:t>
            </w:r>
            <w:r/>
          </w:p>
        </w:tc>
        <w:tc>
          <w:tcPr>
            <w:tcW w:w="39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ff0000"/>
                <w:sz w:val="21"/>
                <w:szCs w:val="21"/>
                <w:lang w:val="en-US"/>
              </w:rPr>
              <w:suppressLineNumbers w:val="0"/>
            </w:pPr>
            <w:r>
              <w:rPr>
                <w:rFonts w:hint="eastAsia" w:ascii="宋体" w:hAnsi="宋体" w:eastAsia="宋体" w:cs="宋体"/>
                <w:bCs/>
                <w:color w:val="000000"/>
                <w:sz w:val="21"/>
                <w:szCs w:val="21"/>
                <w:lang w:val="en-US" w:eastAsia="zh-CN"/>
              </w:rPr>
              <w:t xml:space="preserve">10</w:t>
            </w:r>
            <w:r/>
          </w:p>
        </w:tc>
        <w:tc>
          <w:tcPr>
            <w:tcW w:w="3664"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采购清单中带“▲”标注的技术参数为重要参数，</w:t>
            </w:r>
            <w:r>
              <w:rPr>
                <w:rFonts w:hint="eastAsia" w:hAnsi="宋体" w:cs="华文仿宋"/>
                <w:bCs/>
                <w:sz w:val="21"/>
                <w:szCs w:val="21"/>
              </w:rPr>
              <w:t xml:space="preserve">▲</w:t>
            </w:r>
            <w:r>
              <w:rPr>
                <w:rFonts w:hint="eastAsia" w:ascii="宋体" w:hAnsi="宋体" w:eastAsia="宋体" w:cs="宋体"/>
                <w:bCs/>
                <w:sz w:val="21"/>
                <w:szCs w:val="21"/>
              </w:rPr>
              <w:t xml:space="preserve">条款技术指标全部符合采购要求的得</w:t>
            </w:r>
            <w:r>
              <w:rPr>
                <w:rFonts w:hint="eastAsia" w:ascii="宋体" w:hAnsi="宋体" w:eastAsia="宋体" w:cs="宋体"/>
                <w:bCs/>
                <w:sz w:val="21"/>
                <w:szCs w:val="21"/>
                <w:lang w:val="en-US" w:eastAsia="zh-CN"/>
              </w:rPr>
              <w:t xml:space="preserve">10</w:t>
            </w:r>
            <w:r>
              <w:rPr>
                <w:rFonts w:hint="eastAsia" w:ascii="宋体" w:hAnsi="宋体" w:eastAsia="宋体" w:cs="宋体"/>
                <w:bCs/>
                <w:sz w:val="21"/>
                <w:szCs w:val="21"/>
              </w:rPr>
              <w:t xml:space="preserve">分</w:t>
            </w:r>
            <w:r>
              <w:rPr>
                <w:rFonts w:hAnsi="宋体" w:cs="华文仿宋"/>
                <w:bCs/>
                <w:sz w:val="21"/>
                <w:szCs w:val="21"/>
              </w:rPr>
              <w:t xml:space="preserve">，</w:t>
            </w:r>
            <w:r>
              <w:rPr>
                <w:rFonts w:hint="eastAsia" w:ascii="宋体" w:hAnsi="宋体" w:eastAsia="宋体" w:cs="宋体"/>
                <w:bCs/>
                <w:sz w:val="21"/>
                <w:szCs w:val="21"/>
              </w:rPr>
              <w:t xml:space="preserve">有1项技术参数不满足的扣</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分，扣完为止；不提供不得分。</w:t>
            </w:r>
            <w:r/>
          </w:p>
          <w:p>
            <w:pPr>
              <w:numPr>
                <w:ilvl w:val="0"/>
                <w:numId w:val="0"/>
              </w:numPr>
              <w:ind w:left="0" w:right="0"/>
              <w:keepLines w:val="0"/>
              <w:keepNext w:val="0"/>
              <w:pageBreakBefore w:val="0"/>
              <w:spacing w:before="0" w:beforeAutospacing="0" w:after="0" w:afterAutospacing="0" w:line="240" w:lineRule="auto"/>
              <w:widowControl w:val="off"/>
              <w:rPr>
                <w:rFonts w:hint="eastAsia" w:ascii="宋体" w:hAnsi="宋体" w:eastAsia="宋体" w:cs="宋体"/>
                <w:color w:val="ff0000"/>
                <w:sz w:val="21"/>
                <w:szCs w:val="21"/>
              </w:rPr>
              <w:suppressLineNumbers w:val="0"/>
            </w:pPr>
            <w:r>
              <w:rPr>
                <w:rFonts w:hint="eastAsia" w:ascii="宋体" w:hAnsi="宋体" w:eastAsia="宋体" w:cs="宋体"/>
                <w:sz w:val="21"/>
                <w:szCs w:val="21"/>
                <w:highlight w:val="none"/>
                <w:lang w:val="en-US" w:eastAsia="zh-CN"/>
              </w:rPr>
              <w:t xml:space="preserve">注：“▲”标注的技术参数，投标人或所投产品制造商提供2025年1月1日以来由国家认可的第三方权威检测机构出具的具有CMA 标识的合格抽样检测报告进行评分。</w:t>
            </w:r>
            <w:r/>
          </w:p>
        </w:tc>
      </w:tr>
      <w:tr>
        <w:trPr>
          <w:jc w:val="center"/>
          <w:trHeight w:val="1245"/>
        </w:trPr>
        <w:tc>
          <w:tcPr>
            <w:tcW w:w="373"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sz w:val="21"/>
                <w:szCs w:val="21"/>
                <w:lang w:eastAsia="zh-CN"/>
              </w:rPr>
              <w:suppressLineNumbers w:val="0"/>
            </w:pPr>
            <w:r>
              <w:rPr>
                <w:rFonts w:hint="eastAsia" w:ascii="宋体" w:hAnsi="宋体" w:eastAsia="宋体" w:cs="宋体"/>
                <w:bCs/>
                <w:sz w:val="21"/>
                <w:szCs w:val="21"/>
                <w:lang w:eastAsia="zh-CN"/>
              </w:rPr>
            </w:r>
            <w:r/>
          </w:p>
        </w:tc>
        <w:tc>
          <w:tcPr>
            <w:tcW w:w="56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cs="宋体"/>
                <w:b w:val="0"/>
                <w:bCs/>
                <w:color w:val="00000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成品检验报告</w:t>
            </w:r>
            <w:r/>
          </w:p>
        </w:tc>
        <w:tc>
          <w:tcPr>
            <w:tcW w:w="39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000000"/>
                <w:sz w:val="21"/>
                <w:szCs w:val="21"/>
                <w:lang w:val="en-US" w:eastAsia="zh-CN"/>
              </w:rPr>
              <w:suppressLineNumbers w:val="0"/>
            </w:pPr>
            <w:r>
              <w:rPr>
                <w:rFonts w:hint="eastAsia" w:ascii="宋体" w:hAnsi="宋体" w:eastAsia="宋体" w:cs="宋体"/>
                <w:bCs/>
                <w:color w:val="000000"/>
                <w:sz w:val="21"/>
                <w:szCs w:val="21"/>
                <w:lang w:val="en-US" w:eastAsia="zh-CN"/>
              </w:rPr>
              <w:t xml:space="preserve">10</w:t>
            </w:r>
            <w:r/>
          </w:p>
        </w:tc>
        <w:tc>
          <w:tcPr>
            <w:tcW w:w="3664"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投标人或所投产品制造商提供2025年1月1日以来由国家认可的第三方权威检测机构出具的具有CMA 标识的合格抽样检测报告进行评分。</w:t>
            </w:r>
            <w:r/>
          </w:p>
          <w:p>
            <w:pPr>
              <w:numPr>
                <w:ilvl w:val="0"/>
                <w:numId w:val="0"/>
              </w:numPr>
              <w:ind w:left="0" w:right="0"/>
              <w:jc w:val="left"/>
              <w:keepLines w:val="0"/>
              <w:keepNext w:val="0"/>
              <w:pageBreakBefore w:val="0"/>
              <w:spacing w:before="0" w:beforeAutospacing="0" w:after="0" w:afterAutospacing="0" w:line="240" w:lineRule="auto"/>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1、法官台，检验依据GB/T 3324-2024、GB 18584-2024</w:t>
            </w:r>
            <w:r>
              <w:rPr>
                <w:rFonts w:hint="eastAsia" w:ascii="宋体" w:hAnsi="宋体" w:eastAsia="宋体" w:cs="宋体"/>
                <w:sz w:val="21"/>
                <w:szCs w:val="21"/>
                <w:highlight w:val="none"/>
                <w:lang w:val="en-US" w:eastAsia="zh-CN"/>
              </w:rPr>
              <w:t xml:space="preserve">、G</w:t>
            </w:r>
            <w:r>
              <w:rPr>
                <w:rFonts w:hint="eastAsia" w:ascii="宋体" w:hAnsi="宋体" w:eastAsia="宋体" w:cs="宋体"/>
                <w:sz w:val="21"/>
                <w:szCs w:val="21"/>
                <w:highlight w:val="none"/>
                <w:lang w:val="en-US" w:eastAsia="zh-CN"/>
              </w:rPr>
              <w:t xml:space="preserve">B/T 42996.1-2023标准；产品外形尺寸偏差检测合格；形状和位置公差：翘曲度≤1.2mm，平整度≤0.10mm，底脚平稳性≤0.3mm；标识与实物一致性检测合格；外观要求-漆膜检测合格、外观要求-木工要求检测合格；漆膜耐液性-耐酸性不低于2级；漆膜耐磨性不低于2级，漆膜抗冲击不低于2级；漆膜耐黄变≥4级；甲醛≤0.015mg/m³；有害物质限量-家具中可迁移有害元素限量要求：锑、砷、钡、镉、铬、铅、汞、硒均未检出；苯乙烯≤0.05mg/m³，二氯苯（邻，间，对二氯苯之和）≤0.05mg/m³。  </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2、法官椅，检验依据GB/T 3324-2024、GB 18584-2024、GB/T 38401-2019、SN/T 5319-2021标准；形状和位置公差：邻边垂直度、底脚平稳性检测合格；木材含水率；</w:t>
            </w:r>
            <w:r>
              <w:rPr>
                <w:rFonts w:hint="eastAsia" w:ascii="宋体" w:hAnsi="宋体" w:eastAsia="宋体" w:cs="宋体"/>
                <w:sz w:val="21"/>
                <w:szCs w:val="21"/>
                <w:highlight w:val="none"/>
                <w:lang w:val="en-US" w:eastAsia="zh-CN"/>
              </w:rPr>
              <w:t xml:space="preserve">标识与实物一致性检测合格；外观要求-木材检测合格；外观要求-漆膜检测合格；外观要求-软包件检测合格；外观要求-木工要求检测合格；漆膜耐液性-耐酸性不低于2级；漆膜耐磨性不低于2级，漆膜抗冲击不低于2级；漆膜耐黄变≥4级；软包层皮革耐干摩擦≥4级；软包层皮革耐湿摩擦≥4级；软包层真皮涂层黏着牢度≥6.5N/10mm；甲醛≤0.02mg/m³；有害物质限量-家具中可迁移有害元素限量要求：锑、砷、钡、镉、铬、铅、汞、硒均未检出；可分解芳香胺染料未检出；氧化铬未检出；N，N-二甲基甲酰胺含量未检出；多氯联苯未检出。</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3、书记员桌，检验依据GB/T 3324-2024、GB 18584-2024标准；外观要求-漆膜检测合格，外观要求-五金件检测合格，外观要求-木工要求检测合格；理化性能-木制件表面理化性能：漆膜附着力不低于2级，漆膜耐磨性不低于2级，漆膜抗冲击不低于2级；有害物质限量-家具中可迁移有害元素限量要求：锑、砷、钡、镉、铬、铅、汞、硒均未检出；甲醛释放量≤0.01mg/m³。</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4、法庭隔断：符合GB/T 3324-2024、GB 18584-2024标准；外观要求-漆膜检测合格，外观要求-五金件检测合格，外观要求-木工要求检测合格；理化性能-木制件表面理化性能：漆膜附着力不低于2级，漆膜耐磨性不低于2级，漆膜抗冲击不低于2级；有害物质限量-家具中可迁移有害元素限量要求：锑、砷、钡、镉、铬、铅、汞、硒均未检出。</w:t>
            </w:r>
            <w:r/>
          </w:p>
          <w:p>
            <w:pPr>
              <w:numPr>
                <w:ilvl w:val="0"/>
                <w:numId w:val="0"/>
              </w:num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rPr>
              <w:suppressLineNumbers w:val="0"/>
            </w:pPr>
            <w:r>
              <w:rPr>
                <w:rFonts w:hint="eastAsia" w:ascii="宋体" w:hAnsi="宋体" w:eastAsia="宋体" w:cs="宋体"/>
                <w:color w:val="000000"/>
                <w:sz w:val="21"/>
                <w:szCs w:val="21"/>
                <w:lang w:val="en-US" w:eastAsia="zh-CN"/>
              </w:rPr>
              <w:t xml:space="preserve">5、犯人栏：检验依据GB/T 3324-2024、GB 18584-2024标准：外观要求-漆膜检测合格，外观要求-五金件检测合格，外观要求-木工要求检测合格；理化性能-木制件表面理化性能：漆膜附着力不低于2级，漆膜耐磨性不低于2级，漆膜抗冲击不低于2级；有害物质限量-家具中可迁移有害元素限量要求：锑、</w:t>
            </w:r>
            <w:bookmarkStart w:id="291" w:name="_GoBack"/>
            <w:r/>
            <w:bookmarkEnd w:id="291"/>
            <w:r>
              <w:rPr>
                <w:rFonts w:hint="eastAsia" w:ascii="宋体" w:hAnsi="宋体" w:eastAsia="宋体" w:cs="宋体"/>
                <w:color w:val="000000"/>
                <w:sz w:val="21"/>
                <w:szCs w:val="21"/>
                <w:lang w:val="en-US" w:eastAsia="zh-CN"/>
              </w:rPr>
              <w:t xml:space="preserve">砷、钡、镉、铬、铅、汞、硒均未检出。</w:t>
            </w:r>
            <w:r/>
          </w:p>
          <w:p>
            <w:pPr>
              <w:ind w:left="0" w:right="0"/>
              <w:jc w:val="left"/>
              <w:keepLines w:val="0"/>
              <w:keepNext w:val="0"/>
              <w:spacing w:before="0" w:beforeAutospacing="0" w:after="0" w:afterAutospacing="0" w:line="276" w:lineRule="auto"/>
              <w:widowControl/>
              <w:rPr>
                <w:rFonts w:eastAsia="宋体"/>
                <w:lang w:val="en-US" w:eastAsia="zh-CN"/>
              </w:rPr>
              <w:suppressLineNumbers w:val="0"/>
            </w:pPr>
            <w:r>
              <w:rPr>
                <w:rFonts w:hint="eastAsia" w:ascii="宋体" w:hAnsi="宋体" w:eastAsia="宋体" w:cs="宋体"/>
                <w:color w:val="000000"/>
                <w:sz w:val="21"/>
                <w:szCs w:val="21"/>
                <w:lang w:val="en-US" w:eastAsia="zh-CN"/>
              </w:rPr>
              <w:t xml:space="preserve">注：以上5项全部满足得10分，每缺1项及不满足要求的扣2分。扣完为止。</w:t>
            </w:r>
            <w:r/>
          </w:p>
        </w:tc>
      </w:tr>
      <w:tr>
        <w:trPr>
          <w:jc w:val="center"/>
          <w:trHeight w:val="1245"/>
        </w:trPr>
        <w:tc>
          <w:tcPr>
            <w:tcW w:w="373" w:type="dxa"/>
            <w:vAlign w:val="center"/>
            <w:vMerge w:val="continue"/>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Cs/>
                <w:sz w:val="21"/>
                <w:szCs w:val="21"/>
                <w:lang w:eastAsia="zh-CN"/>
              </w:rPr>
              <w:suppressLineNumbers w:val="0"/>
            </w:pPr>
            <w:r>
              <w:rPr>
                <w:rFonts w:hint="eastAsia" w:ascii="宋体" w:hAnsi="宋体" w:eastAsia="宋体" w:cs="宋体"/>
                <w:bCs/>
                <w:sz w:val="21"/>
                <w:szCs w:val="21"/>
                <w:lang w:eastAsia="zh-CN"/>
              </w:rPr>
            </w:r>
            <w:r/>
          </w:p>
        </w:tc>
        <w:tc>
          <w:tcPr>
            <w:tcW w:w="56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cs="宋体"/>
                <w:b w:val="0"/>
                <w:bCs/>
                <w:color w:val="000000"/>
                <w:sz w:val="21"/>
                <w:szCs w:val="21"/>
                <w:highlight w:val="none"/>
                <w:lang w:val="en-US" w:eastAsia="zh-CN"/>
              </w:rPr>
              <w:suppressLineNumbers w:val="0"/>
            </w:pPr>
            <w:r>
              <w:rPr>
                <w:rFonts w:hint="eastAsia" w:ascii="宋体" w:hAnsi="宋体" w:eastAsia="宋体" w:cs="宋体"/>
                <w:b w:val="0"/>
                <w:bCs/>
                <w:color w:val="000000"/>
                <w:sz w:val="21"/>
                <w:szCs w:val="21"/>
                <w:highlight w:val="none"/>
                <w:lang w:val="en-US" w:eastAsia="zh-CN"/>
              </w:rPr>
              <w:t xml:space="preserve">设计方案</w:t>
            </w:r>
            <w:r/>
          </w:p>
        </w:tc>
        <w:tc>
          <w:tcPr>
            <w:tcW w:w="39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000000"/>
                <w:sz w:val="21"/>
                <w:szCs w:val="21"/>
                <w:lang w:val="en-US" w:eastAsia="zh-CN"/>
              </w:rPr>
              <w:suppressLineNumbers w:val="0"/>
            </w:pPr>
            <w:r>
              <w:rPr>
                <w:rFonts w:hint="eastAsia" w:ascii="宋体" w:hAnsi="宋体" w:eastAsia="宋体" w:cs="宋体"/>
                <w:bCs/>
                <w:color w:val="000000"/>
                <w:sz w:val="21"/>
                <w:szCs w:val="21"/>
                <w:lang w:val="en-US" w:eastAsia="zh-CN"/>
              </w:rPr>
              <w:t xml:space="preserve">10</w:t>
            </w:r>
            <w:r/>
          </w:p>
        </w:tc>
        <w:tc>
          <w:tcPr>
            <w:tcW w:w="3664"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投标人针对该项目核心区域的深化设计方案，提供大法庭（庭审观摩室）（工作人员观摩室）</w:t>
            </w:r>
            <w:r>
              <w:rPr>
                <w:rFonts w:hint="eastAsia" w:ascii="宋体" w:hAnsi="宋体" w:eastAsia="宋体" w:cs="宋体"/>
                <w:sz w:val="21"/>
                <w:szCs w:val="21"/>
                <w:highlight w:val="none"/>
                <w:lang w:eastAsia="zh-CN"/>
              </w:rPr>
              <w:t xml:space="preserve">、综合指挥室（数字审委会）、新闻发布中心（媒体采访区）、大案要案法庭（</w:t>
            </w:r>
            <w:r>
              <w:rPr>
                <w:rFonts w:hint="eastAsia" w:ascii="宋体" w:hAnsi="宋体" w:eastAsia="宋体" w:cs="宋体"/>
                <w:sz w:val="21"/>
                <w:szCs w:val="21"/>
                <w:highlight w:val="none"/>
                <w:lang w:val="en-US" w:eastAsia="zh-CN"/>
              </w:rPr>
              <w:t xml:space="preserve">中法庭</w:t>
            </w:r>
            <w:r>
              <w:rPr>
                <w:rFonts w:hint="eastAsia" w:ascii="宋体" w:hAnsi="宋体" w:eastAsia="宋体" w:cs="宋体"/>
                <w:sz w:val="21"/>
                <w:szCs w:val="21"/>
                <w:highlight w:val="none"/>
                <w:lang w:eastAsia="zh-CN"/>
              </w:rPr>
              <w:t xml:space="preserve">）、观摩室</w:t>
            </w:r>
            <w:r>
              <w:rPr>
                <w:rFonts w:hint="eastAsia" w:ascii="宋体" w:hAnsi="宋体" w:eastAsia="宋体" w:cs="宋体"/>
                <w:sz w:val="21"/>
                <w:szCs w:val="21"/>
                <w:highlight w:val="none"/>
              </w:rPr>
              <w:t xml:space="preserve">的家具平面布置图、家具效果图。</w:t>
            </w:r>
            <w:r/>
          </w:p>
          <w:p>
            <w:pPr>
              <w:ind w:left="0" w:right="0"/>
              <w:jc w:val="left"/>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①家具平面布置图：功能布局合理、尺寸标注准确齐全、细节完整，</w:t>
            </w:r>
            <w:r>
              <w:rPr>
                <w:rFonts w:hint="eastAsia" w:ascii="宋体" w:hAnsi="宋体" w:eastAsia="宋体" w:cs="宋体"/>
                <w:sz w:val="21"/>
                <w:szCs w:val="21"/>
                <w:highlight w:val="none"/>
                <w:lang w:val="en-US" w:eastAsia="zh-CN"/>
              </w:rPr>
              <w:t xml:space="preserve">提供齐全且</w:t>
            </w:r>
            <w:r>
              <w:rPr>
                <w:rFonts w:hint="eastAsia" w:ascii="宋体" w:hAnsi="宋体" w:eastAsia="宋体" w:cs="宋体"/>
                <w:sz w:val="21"/>
                <w:szCs w:val="21"/>
                <w:highlight w:val="none"/>
              </w:rPr>
              <w:t xml:space="preserve">满足以上要求得</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分，不满足</w:t>
            </w:r>
            <w:r>
              <w:rPr>
                <w:rFonts w:hint="eastAsia" w:ascii="宋体" w:hAnsi="宋体" w:eastAsia="宋体" w:cs="宋体"/>
                <w:sz w:val="21"/>
                <w:szCs w:val="21"/>
                <w:highlight w:val="none"/>
                <w:lang w:eastAsia="zh-CN"/>
              </w:rPr>
              <w:t xml:space="preserve">的</w:t>
            </w:r>
            <w:r>
              <w:rPr>
                <w:rFonts w:hint="eastAsia" w:ascii="宋体" w:hAnsi="宋体" w:eastAsia="宋体" w:cs="宋体"/>
                <w:sz w:val="21"/>
                <w:szCs w:val="21"/>
                <w:highlight w:val="none"/>
                <w:lang w:val="en-US" w:eastAsia="zh-CN"/>
              </w:rPr>
              <w:t xml:space="preserve">每项扣1</w:t>
            </w:r>
            <w:r>
              <w:rPr>
                <w:rFonts w:hint="eastAsia" w:ascii="宋体" w:hAnsi="宋体" w:eastAsia="宋体" w:cs="宋体"/>
                <w:sz w:val="21"/>
                <w:szCs w:val="21"/>
                <w:highlight w:val="none"/>
              </w:rPr>
              <w:t xml:space="preserve">分。</w:t>
            </w:r>
            <w:r/>
          </w:p>
          <w:p>
            <w:pPr>
              <w:ind w:left="0" w:right="0"/>
              <w:jc w:val="left"/>
              <w:keepLines w:val="0"/>
              <w:keepNext w:val="0"/>
              <w:spacing w:before="0" w:beforeAutospacing="0" w:after="0" w:afterAutospacing="0"/>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sz w:val="21"/>
                <w:szCs w:val="21"/>
                <w:highlight w:val="none"/>
              </w:rPr>
              <w:t xml:space="preserve">②家具效果图：与平面图完全匹配、家具款式能清晰呈现、材质纹理，色彩、氛围与风格高度统一、贴合场景的核心定位，</w:t>
            </w:r>
            <w:r>
              <w:rPr>
                <w:rFonts w:hint="eastAsia" w:ascii="宋体" w:hAnsi="宋体" w:eastAsia="宋体" w:cs="宋体"/>
                <w:sz w:val="21"/>
                <w:szCs w:val="21"/>
                <w:highlight w:val="none"/>
                <w:lang w:val="en-US" w:eastAsia="zh-CN"/>
              </w:rPr>
              <w:t xml:space="preserve">提供齐全且</w:t>
            </w:r>
            <w:r>
              <w:rPr>
                <w:rFonts w:hint="eastAsia" w:ascii="宋体" w:hAnsi="宋体" w:eastAsia="宋体" w:cs="宋体"/>
                <w:sz w:val="21"/>
                <w:szCs w:val="21"/>
                <w:highlight w:val="none"/>
              </w:rPr>
              <w:t xml:space="preserve">满足以上要求得</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 分，不满足</w:t>
            </w:r>
            <w:r>
              <w:rPr>
                <w:rFonts w:hint="eastAsia" w:ascii="宋体" w:hAnsi="宋体" w:eastAsia="宋体" w:cs="宋体"/>
                <w:sz w:val="21"/>
                <w:szCs w:val="21"/>
                <w:highlight w:val="none"/>
                <w:lang w:val="en-US" w:eastAsia="zh-CN"/>
              </w:rPr>
              <w:t xml:space="preserve">每项扣2分</w:t>
            </w:r>
            <w:r>
              <w:rPr>
                <w:rFonts w:hint="eastAsia" w:ascii="宋体" w:hAnsi="宋体" w:eastAsia="宋体" w:cs="宋体"/>
                <w:sz w:val="21"/>
                <w:szCs w:val="21"/>
                <w:highlight w:val="none"/>
              </w:rPr>
              <w:t xml:space="preserve">。</w:t>
            </w:r>
            <w:r/>
          </w:p>
        </w:tc>
      </w:tr>
      <w:tr>
        <w:trPr>
          <w:jc w:val="center"/>
          <w:trHeight w:val="454"/>
        </w:trPr>
        <w:tc>
          <w:tcPr>
            <w:tcW w:w="373" w:type="dxa"/>
            <w:vAlign w:val="center"/>
            <w:vMerge w:val="continue"/>
            <w:textDirection w:val="lrTb"/>
            <w:noWrap w:val="false"/>
          </w:tcPr>
          <w:p>
            <w:pPr>
              <w:pStyle w:val="1008"/>
              <w:ind w:left="0" w:right="0" w:firstLine="0"/>
              <w:jc w:val="both"/>
              <w:keepLines w:val="0"/>
              <w:keepNext w:val="0"/>
              <w:pageBreakBefore w:val="0"/>
              <w:spacing w:before="0" w:beforeAutospacing="0" w:after="0" w:afterAutospacing="0" w:line="240" w:lineRule="auto"/>
              <w:widowControl w:val="off"/>
              <w:tabs>
                <w:tab w:val="right" w:pos="9060" w:leader="dot"/>
              </w:tabs>
              <w:rPr>
                <w:rFonts w:hint="eastAsia" w:ascii="宋体" w:hAnsi="宋体" w:eastAsia="宋体" w:cs="宋体"/>
                <w:b w:val="0"/>
                <w:caps w:val="0"/>
                <w:sz w:val="21"/>
                <w:szCs w:val="21"/>
              </w:rPr>
              <w:suppressLineNumbers w:val="0"/>
            </w:pPr>
            <w:r>
              <w:rPr>
                <w:rFonts w:hint="eastAsia" w:ascii="宋体" w:hAnsi="宋体" w:eastAsia="宋体" w:cs="宋体"/>
                <w:b w:val="0"/>
                <w:caps w:val="0"/>
                <w:sz w:val="21"/>
                <w:szCs w:val="21"/>
              </w:rPr>
            </w:r>
            <w:r/>
          </w:p>
        </w:tc>
        <w:tc>
          <w:tcPr>
            <w:tcW w:w="565" w:type="dxa"/>
            <w:vAlign w:val="center"/>
            <w:textDirection w:val="lrTb"/>
            <w:noWrap w:val="false"/>
          </w:tcPr>
          <w:p>
            <w:pPr>
              <w:pStyle w:val="996"/>
              <w:ind w:left="0" w:right="0"/>
              <w:jc w:val="center"/>
              <w:keepLines w:val="0"/>
              <w:keepNext w:val="0"/>
              <w:pageBreakBefore w:val="0"/>
              <w:spacing w:before="0" w:beforeAutospacing="0" w:after="0" w:afterAutospacing="0" w:line="240" w:lineRule="auto"/>
              <w:widowControl w:val="off"/>
              <w:rPr>
                <w:rFonts w:ascii="宋体" w:hAnsi="宋体" w:eastAsia="宋体" w:cs="宋体"/>
                <w:sz w:val="21"/>
                <w:szCs w:val="21"/>
                <w:lang w:val="en-US" w:eastAsia="zh-CN"/>
              </w:rPr>
              <w:suppressLineNumbers w:val="0"/>
            </w:pPr>
            <w:r>
              <w:rPr>
                <w:rFonts w:hint="eastAsia" w:hAnsi="宋体" w:eastAsia="宋体" w:cs="宋体"/>
                <w:sz w:val="21"/>
                <w:szCs w:val="21"/>
                <w:lang w:val="en-US" w:eastAsia="zh-CN"/>
              </w:rPr>
              <w:t xml:space="preserve">项目实施方案</w:t>
            </w:r>
            <w:r/>
          </w:p>
        </w:tc>
        <w:tc>
          <w:tcPr>
            <w:tcW w:w="39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cs="宋体"/>
                <w:bCs/>
                <w:sz w:val="21"/>
                <w:szCs w:val="21"/>
                <w:lang w:val="en-US" w:eastAsia="zh-CN"/>
              </w:rPr>
              <w:suppressLineNumbers w:val="0"/>
            </w:pPr>
            <w:r>
              <w:rPr>
                <w:rFonts w:hint="eastAsia" w:ascii="宋体" w:hAnsi="宋体" w:eastAsia="宋体" w:cs="宋体"/>
                <w:bCs/>
                <w:sz w:val="21"/>
                <w:szCs w:val="21"/>
                <w:lang w:val="en-US" w:eastAsia="zh-CN"/>
              </w:rPr>
              <w:t xml:space="preserve">24</w:t>
            </w:r>
            <w:r/>
          </w:p>
        </w:tc>
        <w:tc>
          <w:tcPr>
            <w:tcW w:w="3664" w:type="dxa"/>
            <w:vAlign w:val="center"/>
            <w:textDirection w:val="lrTb"/>
            <w:noWrap w:val="false"/>
          </w:tcPr>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根据投标人提供的供货方案，从供货计划、运输方案、安装方案、验收方案4个方面进行综合评价，满分24分。</w:t>
            </w:r>
            <w:r/>
          </w:p>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1、供货计划</w:t>
            </w:r>
            <w:r>
              <w:rPr>
                <w:rFonts w:hint="eastAsia" w:ascii="宋体" w:hAnsi="宋体" w:eastAsia="宋体" w:cs="宋体"/>
                <w:sz w:val="21"/>
                <w:szCs w:val="21"/>
                <w:highlight w:val="none"/>
                <w:lang w:eastAsia="zh-CN"/>
              </w:rPr>
              <w:t xml:space="preserve">全面详实，针对性较强，整体思路科学合理，可操作性较强</w:t>
            </w:r>
            <w:r>
              <w:rPr>
                <w:rFonts w:hint="eastAsia" w:ascii="宋体" w:hAnsi="宋体" w:eastAsia="宋体" w:cs="宋体"/>
                <w:i w:val="0"/>
                <w:iCs w:val="0"/>
                <w:color w:val="000000"/>
                <w:sz w:val="21"/>
                <w:szCs w:val="21"/>
                <w:highlight w:val="none"/>
                <w:u w:val="none"/>
                <w:lang w:val="en-US" w:eastAsia="zh-CN" w:bidi="ar"/>
              </w:rPr>
              <w:t xml:space="preserve">得6分，</w:t>
            </w:r>
            <w:r>
              <w:rPr>
                <w:rFonts w:hint="eastAsia" w:ascii="宋体" w:hAnsi="宋体" w:eastAsia="宋体" w:cs="宋体"/>
                <w:sz w:val="21"/>
                <w:szCs w:val="21"/>
                <w:highlight w:val="none"/>
                <w:lang w:eastAsia="zh-CN"/>
              </w:rPr>
              <w:t xml:space="preserve">有一定的针对性，整体基本合理，可操作性</w:t>
            </w:r>
            <w:r>
              <w:rPr>
                <w:rFonts w:hint="eastAsia" w:ascii="宋体" w:hAnsi="宋体" w:eastAsia="宋体" w:cs="宋体"/>
                <w:sz w:val="21"/>
                <w:szCs w:val="21"/>
                <w:highlight w:val="none"/>
                <w:lang w:val="en-US" w:eastAsia="zh-CN"/>
              </w:rPr>
              <w:t xml:space="preserve">一般得3分，</w:t>
            </w:r>
            <w:r>
              <w:rPr>
                <w:rFonts w:hint="eastAsia" w:ascii="宋体" w:hAnsi="宋体" w:eastAsia="宋体" w:cs="宋体"/>
                <w:i w:val="0"/>
                <w:iCs w:val="0"/>
                <w:color w:val="000000"/>
                <w:sz w:val="21"/>
                <w:szCs w:val="21"/>
                <w:highlight w:val="none"/>
                <w:u w:val="none"/>
                <w:lang w:val="en-US" w:eastAsia="zh-CN" w:bidi="ar"/>
              </w:rPr>
              <w:t xml:space="preserve">内容有欠缺、不科学、欠合理的计1分，缺项的计0分。</w:t>
            </w:r>
            <w:r/>
          </w:p>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2、运输方案</w:t>
            </w:r>
            <w:r>
              <w:rPr>
                <w:rFonts w:hint="eastAsia" w:ascii="宋体" w:hAnsi="宋体" w:eastAsia="宋体" w:cs="宋体"/>
                <w:sz w:val="21"/>
                <w:szCs w:val="21"/>
                <w:highlight w:val="none"/>
                <w:lang w:eastAsia="zh-CN"/>
              </w:rPr>
              <w:t xml:space="preserve">全面详实，针对性较强，整体思路科学合理，可操作性较强</w:t>
            </w:r>
            <w:r>
              <w:rPr>
                <w:rFonts w:hint="eastAsia" w:ascii="宋体" w:hAnsi="宋体" w:eastAsia="宋体" w:cs="宋体"/>
                <w:i w:val="0"/>
                <w:iCs w:val="0"/>
                <w:color w:val="000000"/>
                <w:sz w:val="21"/>
                <w:szCs w:val="21"/>
                <w:highlight w:val="none"/>
                <w:u w:val="none"/>
                <w:lang w:val="en-US" w:eastAsia="zh-CN" w:bidi="ar"/>
              </w:rPr>
              <w:t xml:space="preserve">得6分，</w:t>
            </w:r>
            <w:r>
              <w:rPr>
                <w:rFonts w:hint="eastAsia" w:ascii="宋体" w:hAnsi="宋体" w:eastAsia="宋体" w:cs="宋体"/>
                <w:sz w:val="21"/>
                <w:szCs w:val="21"/>
                <w:highlight w:val="none"/>
                <w:lang w:eastAsia="zh-CN"/>
              </w:rPr>
              <w:t xml:space="preserve">有一定的针对性，整体基本合理，可操作性</w:t>
            </w:r>
            <w:r>
              <w:rPr>
                <w:rFonts w:hint="eastAsia" w:ascii="宋体" w:hAnsi="宋体" w:eastAsia="宋体" w:cs="宋体"/>
                <w:sz w:val="21"/>
                <w:szCs w:val="21"/>
                <w:highlight w:val="none"/>
                <w:lang w:val="en-US" w:eastAsia="zh-CN"/>
              </w:rPr>
              <w:t xml:space="preserve">一般得3分，</w:t>
            </w:r>
            <w:r>
              <w:rPr>
                <w:rFonts w:hint="eastAsia" w:ascii="宋体" w:hAnsi="宋体" w:eastAsia="宋体" w:cs="宋体"/>
                <w:i w:val="0"/>
                <w:iCs w:val="0"/>
                <w:color w:val="000000"/>
                <w:sz w:val="21"/>
                <w:szCs w:val="21"/>
                <w:highlight w:val="none"/>
                <w:u w:val="none"/>
                <w:lang w:val="en-US" w:eastAsia="zh-CN" w:bidi="ar"/>
              </w:rPr>
              <w:t xml:space="preserve">内容有欠缺、不科学、欠合理的计1分，缺项的计0分。</w:t>
            </w:r>
            <w:r/>
          </w:p>
          <w:p>
            <w:pPr>
              <w:ind w:left="0" w:right="0"/>
              <w:jc w:val="left"/>
              <w:keepLines w:val="0"/>
              <w:keepNext w:val="0"/>
              <w:spacing w:before="0" w:beforeAutospacing="0" w:after="0" w:afterAutospacing="0"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3、安装方案</w:t>
            </w:r>
            <w:r>
              <w:rPr>
                <w:rFonts w:hint="eastAsia" w:ascii="宋体" w:hAnsi="宋体" w:eastAsia="宋体" w:cs="宋体"/>
                <w:sz w:val="21"/>
                <w:szCs w:val="21"/>
                <w:highlight w:val="none"/>
                <w:lang w:eastAsia="zh-CN"/>
              </w:rPr>
              <w:t xml:space="preserve">全面详实，针对性较强，整体思路科学合理，可操作性较强</w:t>
            </w:r>
            <w:r>
              <w:rPr>
                <w:rFonts w:hint="eastAsia" w:ascii="宋体" w:hAnsi="宋体" w:eastAsia="宋体" w:cs="宋体"/>
                <w:i w:val="0"/>
                <w:iCs w:val="0"/>
                <w:color w:val="000000"/>
                <w:sz w:val="21"/>
                <w:szCs w:val="21"/>
                <w:highlight w:val="none"/>
                <w:u w:val="none"/>
                <w:lang w:val="en-US" w:eastAsia="zh-CN" w:bidi="ar"/>
              </w:rPr>
              <w:t xml:space="preserve">得6分，</w:t>
            </w:r>
            <w:r>
              <w:rPr>
                <w:rFonts w:hint="eastAsia" w:ascii="宋体" w:hAnsi="宋体" w:eastAsia="宋体" w:cs="宋体"/>
                <w:sz w:val="21"/>
                <w:szCs w:val="21"/>
                <w:highlight w:val="none"/>
                <w:lang w:eastAsia="zh-CN"/>
              </w:rPr>
              <w:t xml:space="preserve">有一定的针对性，整体基本合理，可操作性</w:t>
            </w:r>
            <w:r>
              <w:rPr>
                <w:rFonts w:hint="eastAsia" w:ascii="宋体" w:hAnsi="宋体" w:eastAsia="宋体" w:cs="宋体"/>
                <w:sz w:val="21"/>
                <w:szCs w:val="21"/>
                <w:highlight w:val="none"/>
                <w:lang w:val="en-US" w:eastAsia="zh-CN"/>
              </w:rPr>
              <w:t xml:space="preserve">一般得3分，</w:t>
            </w:r>
            <w:r>
              <w:rPr>
                <w:rFonts w:hint="eastAsia" w:ascii="宋体" w:hAnsi="宋体" w:eastAsia="宋体" w:cs="宋体"/>
                <w:i w:val="0"/>
                <w:iCs w:val="0"/>
                <w:color w:val="000000"/>
                <w:sz w:val="21"/>
                <w:szCs w:val="21"/>
                <w:highlight w:val="none"/>
                <w:u w:val="none"/>
                <w:lang w:val="en-US" w:eastAsia="zh-CN" w:bidi="ar"/>
              </w:rPr>
              <w:t xml:space="preserve">内容有欠缺、不科学、欠合理的计1分，缺项的计0分。</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sz w:val="21"/>
                <w:szCs w:val="21"/>
                <w:lang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4、验收方案</w:t>
            </w:r>
            <w:r>
              <w:rPr>
                <w:rFonts w:hint="eastAsia" w:ascii="宋体" w:hAnsi="宋体" w:eastAsia="宋体" w:cs="宋体"/>
                <w:sz w:val="21"/>
                <w:szCs w:val="21"/>
                <w:highlight w:val="none"/>
                <w:lang w:eastAsia="zh-CN"/>
              </w:rPr>
              <w:t xml:space="preserve">全面详实，针对性较强，整体思路科学合理，可操作性较强</w:t>
            </w:r>
            <w:r>
              <w:rPr>
                <w:rFonts w:hint="eastAsia" w:ascii="宋体" w:hAnsi="宋体" w:eastAsia="宋体" w:cs="宋体"/>
                <w:i w:val="0"/>
                <w:iCs w:val="0"/>
                <w:color w:val="000000"/>
                <w:sz w:val="21"/>
                <w:szCs w:val="21"/>
                <w:highlight w:val="none"/>
                <w:u w:val="none"/>
                <w:lang w:val="en-US" w:eastAsia="zh-CN" w:bidi="ar"/>
              </w:rPr>
              <w:t xml:space="preserve">得6分，</w:t>
            </w:r>
            <w:r>
              <w:rPr>
                <w:rFonts w:hint="eastAsia" w:ascii="宋体" w:hAnsi="宋体" w:eastAsia="宋体" w:cs="宋体"/>
                <w:sz w:val="21"/>
                <w:szCs w:val="21"/>
                <w:highlight w:val="none"/>
                <w:lang w:eastAsia="zh-CN"/>
              </w:rPr>
              <w:t xml:space="preserve">有一定的针对性，整体基本合理，可操作性</w:t>
            </w:r>
            <w:r>
              <w:rPr>
                <w:rFonts w:hint="eastAsia" w:ascii="宋体" w:hAnsi="宋体" w:eastAsia="宋体" w:cs="宋体"/>
                <w:sz w:val="21"/>
                <w:szCs w:val="21"/>
                <w:highlight w:val="none"/>
                <w:lang w:val="en-US" w:eastAsia="zh-CN"/>
              </w:rPr>
              <w:t xml:space="preserve">一般得3分，</w:t>
            </w:r>
            <w:r>
              <w:rPr>
                <w:rFonts w:hint="eastAsia" w:ascii="宋体" w:hAnsi="宋体" w:eastAsia="宋体" w:cs="宋体"/>
                <w:i w:val="0"/>
                <w:iCs w:val="0"/>
                <w:color w:val="000000"/>
                <w:sz w:val="21"/>
                <w:szCs w:val="21"/>
                <w:highlight w:val="none"/>
                <w:u w:val="none"/>
                <w:lang w:val="en-US" w:eastAsia="zh-CN" w:bidi="ar"/>
              </w:rPr>
              <w:t xml:space="preserve">内容有欠缺、不科学、欠合理的计1分，缺项的计0分。</w:t>
            </w:r>
            <w:r/>
          </w:p>
        </w:tc>
      </w:tr>
      <w:tr>
        <w:trPr>
          <w:jc w:val="center"/>
          <w:trHeight w:val="454"/>
        </w:trPr>
        <w:tc>
          <w:tcPr>
            <w:tcW w:w="373" w:type="dxa"/>
            <w:vAlign w:val="center"/>
            <w:vMerge w:val="restart"/>
            <w:textDirection w:val="lrTb"/>
            <w:noWrap w:val="false"/>
          </w:tcPr>
          <w:p>
            <w:pPr>
              <w:pStyle w:val="1008"/>
              <w:ind w:left="0" w:right="0" w:firstLine="0"/>
              <w:jc w:val="center"/>
              <w:keepLines w:val="0"/>
              <w:keepNext w:val="0"/>
              <w:pageBreakBefore w:val="0"/>
              <w:spacing w:before="0" w:beforeAutospacing="0" w:after="0" w:afterAutospacing="0" w:line="240" w:lineRule="auto"/>
              <w:widowControl w:val="off"/>
              <w:tabs>
                <w:tab w:val="right" w:pos="9060" w:leader="dot"/>
              </w:tabs>
              <w:rPr>
                <w:rFonts w:hint="eastAsia" w:ascii="宋体" w:hAnsi="宋体" w:eastAsia="宋体" w:cs="宋体"/>
                <w:b w:val="0"/>
                <w:caps w:val="0"/>
                <w:sz w:val="21"/>
                <w:szCs w:val="21"/>
                <w:lang w:eastAsia="zh-CN"/>
              </w:rPr>
              <w:suppressLineNumbers w:val="0"/>
            </w:pPr>
            <w:r>
              <w:rPr>
                <w:rFonts w:hint="eastAsia" w:ascii="宋体" w:hAnsi="宋体" w:eastAsia="宋体" w:cs="宋体"/>
                <w:b w:val="0"/>
                <w:caps w:val="0"/>
                <w:sz w:val="21"/>
                <w:szCs w:val="21"/>
              </w:rPr>
              <w:t xml:space="preserve">商务部分</w:t>
            </w:r>
            <w:r>
              <w:rPr>
                <w:rFonts w:hint="eastAsia" w:ascii="宋体" w:hAnsi="宋体" w:eastAsia="宋体" w:cs="宋体"/>
                <w:b w:val="0"/>
                <w:caps w:val="0"/>
                <w:sz w:val="21"/>
                <w:szCs w:val="21"/>
                <w:lang w:eastAsia="zh-CN"/>
              </w:rPr>
              <w:t xml:space="preserve">（</w:t>
            </w:r>
            <w:r>
              <w:rPr>
                <w:rFonts w:hint="eastAsia" w:eastAsia="宋体" w:cs="宋体"/>
                <w:b w:val="0"/>
                <w:caps w:val="0"/>
                <w:sz w:val="21"/>
                <w:szCs w:val="21"/>
                <w:lang w:val="en-US" w:eastAsia="zh-CN"/>
              </w:rPr>
              <w:t xml:space="preserve">16</w:t>
            </w:r>
            <w:r>
              <w:rPr>
                <w:rFonts w:hint="eastAsia" w:ascii="宋体" w:hAnsi="宋体" w:eastAsia="宋体" w:cs="宋体"/>
                <w:b w:val="0"/>
                <w:caps w:val="0"/>
                <w:sz w:val="21"/>
                <w:szCs w:val="21"/>
                <w:lang w:val="en-US" w:eastAsia="zh-CN"/>
              </w:rPr>
              <w:t xml:space="preserve">分</w:t>
            </w:r>
            <w:r>
              <w:rPr>
                <w:rFonts w:hint="eastAsia" w:ascii="宋体" w:hAnsi="宋体" w:eastAsia="宋体" w:cs="宋体"/>
                <w:b w:val="0"/>
                <w:caps w:val="0"/>
                <w:sz w:val="21"/>
                <w:szCs w:val="21"/>
                <w:lang w:eastAsia="zh-CN"/>
              </w:rPr>
              <w:t xml:space="preserve">）</w:t>
            </w:r>
            <w:r/>
          </w:p>
        </w:tc>
        <w:tc>
          <w:tcPr>
            <w:tcW w:w="565" w:type="dxa"/>
            <w:vAlign w:val="center"/>
            <w:textDirection w:val="lrTb"/>
            <w:noWrap w:val="false"/>
          </w:tcPr>
          <w:p>
            <w:pPr>
              <w:pStyle w:val="99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val="en-US" w:eastAsia="zh-CN" w:bidi="ar-SA"/>
              </w:rPr>
              <w:suppressLineNumbers w:val="0"/>
            </w:pPr>
            <w:r>
              <w:rPr>
                <w:rFonts w:hint="eastAsia" w:hAnsi="宋体" w:eastAsia="宋体" w:cs="宋体"/>
                <w:color w:val="000000"/>
                <w:sz w:val="21"/>
                <w:szCs w:val="21"/>
                <w:lang w:eastAsia="zh-CN"/>
              </w:rPr>
              <w:t xml:space="preserve">企业综合实力</w:t>
            </w:r>
            <w:r/>
          </w:p>
        </w:tc>
        <w:tc>
          <w:tcPr>
            <w:tcW w:w="39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cs="宋体"/>
                <w:bCs/>
                <w:sz w:val="21"/>
                <w:szCs w:val="21"/>
                <w:lang w:val="en-US" w:eastAsia="zh-CN" w:bidi="ar-SA"/>
              </w:rPr>
              <w:suppressLineNumbers w:val="0"/>
            </w:pPr>
            <w:r>
              <w:rPr>
                <w:rFonts w:hint="eastAsia" w:ascii="宋体" w:hAnsi="宋体" w:eastAsia="宋体" w:cs="宋体"/>
                <w:bCs/>
                <w:sz w:val="21"/>
                <w:szCs w:val="21"/>
                <w:lang w:val="en-US" w:eastAsia="zh-CN"/>
              </w:rPr>
              <w:t xml:space="preserve">5</w:t>
            </w:r>
            <w:r/>
          </w:p>
        </w:tc>
        <w:tc>
          <w:tcPr>
            <w:tcW w:w="366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000000"/>
                <w:sz w:val="21"/>
                <w:szCs w:val="21"/>
                <w:lang w:eastAsia="zh-CN"/>
              </w:rPr>
              <w:suppressLineNumbers w:val="0"/>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eastAsia="zh-CN"/>
              </w:rPr>
              <w:t xml:space="preserve">投标人或</w:t>
            </w:r>
            <w:r>
              <w:rPr>
                <w:rFonts w:hint="eastAsia" w:ascii="宋体" w:hAnsi="宋体" w:eastAsia="宋体" w:cs="宋体"/>
                <w:color w:val="000000"/>
                <w:sz w:val="21"/>
                <w:szCs w:val="21"/>
                <w:lang w:val="en-US" w:eastAsia="zh-CN"/>
              </w:rPr>
              <w:t xml:space="preserve">所投</w:t>
            </w:r>
            <w:r>
              <w:rPr>
                <w:rFonts w:hint="eastAsia" w:ascii="宋体" w:hAnsi="宋体" w:eastAsia="宋体" w:cs="宋体"/>
                <w:color w:val="000000"/>
                <w:sz w:val="21"/>
                <w:szCs w:val="21"/>
                <w:lang w:eastAsia="zh-CN"/>
              </w:rPr>
              <w:t xml:space="preserve">产品制造商具有有效期内的</w:t>
            </w:r>
            <w:r>
              <w:rPr>
                <w:rFonts w:hint="eastAsia" w:ascii="宋体" w:hAnsi="宋体" w:eastAsia="宋体" w:cs="宋体"/>
                <w:color w:val="000000"/>
                <w:sz w:val="21"/>
                <w:szCs w:val="21"/>
                <w:lang w:val="en-US" w:eastAsia="zh-CN"/>
              </w:rPr>
              <w:t xml:space="preserve">中国绿色产品认证证书</w:t>
            </w:r>
            <w:r>
              <w:rPr>
                <w:rFonts w:hint="eastAsia" w:ascii="宋体" w:hAnsi="宋体" w:eastAsia="宋体" w:cs="宋体"/>
                <w:color w:val="000000"/>
                <w:sz w:val="21"/>
                <w:szCs w:val="21"/>
                <w:lang w:eastAsia="zh-CN"/>
              </w:rPr>
              <w:t xml:space="preserve">，至少包括：</w:t>
            </w:r>
            <w:r>
              <w:rPr>
                <w:rFonts w:hint="eastAsia" w:ascii="宋体" w:hAnsi="宋体" w:eastAsia="宋体" w:cs="宋体"/>
                <w:color w:val="000000"/>
                <w:sz w:val="21"/>
                <w:szCs w:val="21"/>
                <w:lang w:val="en-US" w:eastAsia="zh-CN"/>
              </w:rPr>
              <w:t xml:space="preserve">木家具（人造板家具）、软体家具（沙发）、软体家具（椅类）、金属家具。全部提供且符合的得1分，少一项扣1分，扣完为止</w:t>
            </w:r>
            <w:r>
              <w:rPr>
                <w:rFonts w:hint="eastAsia" w:ascii="宋体" w:hAnsi="宋体" w:eastAsia="宋体" w:cs="宋体"/>
                <w:color w:val="000000"/>
                <w:sz w:val="21"/>
                <w:szCs w:val="21"/>
                <w:lang w:eastAsia="zh-CN"/>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pacing w:val="-7"/>
                <w:sz w:val="21"/>
                <w:szCs w:val="21"/>
                <w:lang w:eastAsia="zh-CN"/>
              </w:rPr>
              <w:suppressLineNumbers w:val="0"/>
            </w:pPr>
            <w:r>
              <w:rPr>
                <w:rFonts w:hint="eastAsia" w:ascii="宋体" w:hAnsi="宋体" w:eastAsia="宋体" w:cs="宋体"/>
                <w:color w:val="000000"/>
                <w:sz w:val="21"/>
                <w:szCs w:val="21"/>
                <w:lang w:val="en-US" w:eastAsia="zh-CN"/>
              </w:rPr>
              <w:t xml:space="preserve">2、</w:t>
            </w:r>
            <w:r>
              <w:rPr>
                <w:rFonts w:hint="eastAsia" w:ascii="宋体" w:hAnsi="宋体" w:eastAsia="宋体" w:cs="宋体"/>
                <w:sz w:val="21"/>
                <w:szCs w:val="21"/>
                <w:highlight w:val="none"/>
                <w:lang w:eastAsia="zh-CN"/>
              </w:rPr>
              <w:t xml:space="preserve">投标人或</w:t>
            </w:r>
            <w:r>
              <w:rPr>
                <w:rFonts w:hint="eastAsia" w:ascii="宋体" w:hAnsi="宋体" w:eastAsia="宋体" w:cs="宋体"/>
                <w:sz w:val="21"/>
                <w:szCs w:val="21"/>
                <w:highlight w:val="none"/>
                <w:lang w:val="en-US" w:eastAsia="zh-CN"/>
              </w:rPr>
              <w:t xml:space="preserve">所投</w:t>
            </w:r>
            <w:r>
              <w:rPr>
                <w:rFonts w:hint="eastAsia" w:ascii="宋体" w:hAnsi="宋体" w:eastAsia="宋体" w:cs="宋体"/>
                <w:sz w:val="21"/>
                <w:szCs w:val="21"/>
                <w:highlight w:val="none"/>
                <w:lang w:eastAsia="zh-CN"/>
              </w:rPr>
              <w:t xml:space="preserve">产品制造商具有有效期内的</w:t>
            </w:r>
            <w:r>
              <w:rPr>
                <w:rFonts w:hint="eastAsia" w:ascii="宋体" w:hAnsi="宋体" w:eastAsia="宋体" w:cs="宋体"/>
                <w:sz w:val="21"/>
                <w:szCs w:val="21"/>
                <w:highlight w:val="none"/>
                <w:lang w:val="en-US" w:eastAsia="zh-CN"/>
              </w:rPr>
              <w:t xml:space="preserve">VOCs限量家具产品认证证书</w:t>
            </w:r>
            <w:r>
              <w:rPr>
                <w:rFonts w:hint="eastAsia" w:ascii="宋体" w:hAnsi="宋体" w:eastAsia="宋体" w:cs="宋体"/>
                <w:sz w:val="21"/>
                <w:szCs w:val="21"/>
                <w:highlight w:val="none"/>
                <w:lang w:eastAsia="zh-CN"/>
              </w:rPr>
              <w:t xml:space="preserve">，至少包括：木家具、金属家具、软体家具</w:t>
            </w:r>
            <w:r>
              <w:rPr>
                <w:rFonts w:hint="eastAsia" w:ascii="宋体" w:hAnsi="宋体" w:eastAsia="宋体" w:cs="宋体"/>
                <w:sz w:val="21"/>
                <w:szCs w:val="21"/>
                <w:highlight w:val="none"/>
                <w:lang w:val="en-US" w:eastAsia="zh-CN"/>
              </w:rPr>
              <w:t xml:space="preserve">。全部提供且符合的得1分，少一项扣1分，扣完为止。</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pacing w:val="-7"/>
                <w:sz w:val="21"/>
                <w:szCs w:val="21"/>
                <w:lang w:eastAsia="zh-CN"/>
              </w:rPr>
              <w:suppressLineNumbers w:val="0"/>
            </w:pPr>
            <w:r>
              <w:rPr>
                <w:rFonts w:hint="eastAsia" w:ascii="宋体" w:hAnsi="宋体" w:eastAsia="宋体" w:cs="宋体"/>
                <w:color w:val="000000"/>
                <w:sz w:val="21"/>
                <w:szCs w:val="21"/>
                <w:lang w:val="en-US" w:eastAsia="zh-CN"/>
              </w:rPr>
              <w:t xml:space="preserve">3、</w:t>
            </w:r>
            <w:r>
              <w:rPr>
                <w:rFonts w:hint="eastAsia" w:ascii="宋体" w:hAnsi="宋体" w:eastAsia="宋体" w:cs="宋体"/>
                <w:sz w:val="21"/>
                <w:szCs w:val="21"/>
                <w:highlight w:val="none"/>
                <w:lang w:eastAsia="zh-CN"/>
              </w:rPr>
              <w:t xml:space="preserve">投标人或</w:t>
            </w:r>
            <w:r>
              <w:rPr>
                <w:rFonts w:hint="eastAsia" w:ascii="宋体" w:hAnsi="宋体" w:eastAsia="宋体" w:cs="宋体"/>
                <w:sz w:val="21"/>
                <w:szCs w:val="21"/>
                <w:highlight w:val="none"/>
                <w:lang w:val="en-US" w:eastAsia="zh-CN"/>
              </w:rPr>
              <w:t xml:space="preserve">所投</w:t>
            </w:r>
            <w:r>
              <w:rPr>
                <w:rFonts w:hint="eastAsia" w:ascii="宋体" w:hAnsi="宋体" w:eastAsia="宋体" w:cs="宋体"/>
                <w:sz w:val="21"/>
                <w:szCs w:val="21"/>
                <w:highlight w:val="none"/>
                <w:lang w:eastAsia="zh-CN"/>
              </w:rPr>
              <w:t xml:space="preserve">产品制造商具有有效期内的</w:t>
            </w:r>
            <w:r>
              <w:rPr>
                <w:rFonts w:hint="eastAsia" w:ascii="宋体" w:hAnsi="宋体" w:eastAsia="宋体" w:cs="宋体"/>
                <w:sz w:val="21"/>
                <w:szCs w:val="21"/>
                <w:highlight w:val="none"/>
                <w:lang w:val="en-US" w:eastAsia="zh-CN"/>
              </w:rPr>
              <w:t xml:space="preserve">家具定制服务认证证书</w:t>
            </w:r>
            <w:r>
              <w:rPr>
                <w:rFonts w:hint="eastAsia" w:ascii="宋体" w:hAnsi="宋体" w:eastAsia="宋体" w:cs="宋体"/>
                <w:sz w:val="21"/>
                <w:szCs w:val="21"/>
                <w:highlight w:val="none"/>
                <w:lang w:eastAsia="zh-CN"/>
              </w:rPr>
              <w:t xml:space="preserve">，至少包括：</w:t>
            </w:r>
            <w:r>
              <w:rPr>
                <w:rFonts w:hint="eastAsia" w:ascii="宋体" w:hAnsi="宋体" w:eastAsia="宋体" w:cs="宋体"/>
                <w:sz w:val="21"/>
                <w:szCs w:val="21"/>
                <w:highlight w:val="none"/>
                <w:lang w:val="en-US" w:eastAsia="zh-CN"/>
              </w:rPr>
              <w:t xml:space="preserve">法院家具、木制</w:t>
            </w:r>
            <w:r>
              <w:rPr>
                <w:rFonts w:hint="eastAsia" w:ascii="宋体" w:hAnsi="宋体" w:eastAsia="宋体" w:cs="宋体"/>
                <w:sz w:val="21"/>
                <w:szCs w:val="21"/>
                <w:highlight w:val="none"/>
                <w:lang w:eastAsia="zh-CN"/>
              </w:rPr>
              <w:t xml:space="preserve">家具、金属家具、软体家具</w:t>
            </w:r>
            <w:r>
              <w:rPr>
                <w:rFonts w:hint="eastAsia" w:ascii="宋体" w:hAnsi="宋体" w:eastAsia="宋体" w:cs="宋体"/>
                <w:sz w:val="21"/>
                <w:szCs w:val="21"/>
                <w:highlight w:val="none"/>
                <w:lang w:val="en-US" w:eastAsia="zh-CN"/>
              </w:rPr>
              <w:t xml:space="preserve">。全部提供且符合的得1分，少一项扣1分，扣完为止。</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4、投标人或所投产品制造商具有有效期内的家具中有害物质限量产品认证证书，至少包括：木家具、金属家具、软体家具。全部提供且符合的得1分，少一项扣1分，扣完为止。</w:t>
            </w:r>
            <w:r/>
          </w:p>
          <w:p>
            <w:pPr>
              <w:ind w:left="0" w:right="0"/>
              <w:jc w:val="left"/>
              <w:keepLines w:val="0"/>
              <w:keepNext w:val="0"/>
              <w:pageBreakBefore w:val="0"/>
              <w:spacing w:before="0" w:beforeAutospacing="0" w:after="0" w:afterAutospacing="0" w:line="240" w:lineRule="auto"/>
              <w:widowControl w:val="off"/>
              <w:rPr>
                <w:rFonts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5、投标人或所投产品制造商具有有效期内的人类工效学（产品）认证证书，至少包括：桌台类、椅类、柜架类、沙发类。全部提供且符合的得1分，少一项扣1分，扣完为止。</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注：以上</w:t>
            </w:r>
            <w:r>
              <w:rPr>
                <w:rFonts w:ascii="宋体" w:hAnsi="宋体" w:eastAsia="宋体" w:cs="宋体"/>
                <w:sz w:val="21"/>
                <w:szCs w:val="21"/>
                <w:highlight w:val="none"/>
                <w:lang w:val="en-US" w:eastAsia="zh-CN"/>
              </w:rPr>
              <w:t xml:space="preserve">证书须在“全国认证认可信息公共服务平台”上可查，并提供网页截图。</w:t>
            </w:r>
            <w:r/>
          </w:p>
        </w:tc>
      </w:tr>
      <w:tr>
        <w:trPr>
          <w:jc w:val="center"/>
          <w:trHeight w:val="454"/>
        </w:trPr>
        <w:tc>
          <w:tcPr>
            <w:tcW w:w="373" w:type="dxa"/>
            <w:vAlign w:val="center"/>
            <w:vMerge w:val="continue"/>
            <w:textDirection w:val="lrTb"/>
            <w:noWrap w:val="false"/>
          </w:tcPr>
          <w:p>
            <w:pPr>
              <w:pStyle w:val="1008"/>
              <w:ind w:left="0" w:right="0" w:firstLine="0"/>
              <w:jc w:val="both"/>
              <w:keepLines w:val="0"/>
              <w:keepNext w:val="0"/>
              <w:pageBreakBefore w:val="0"/>
              <w:spacing w:before="0" w:beforeAutospacing="0" w:after="0" w:afterAutospacing="0" w:line="240" w:lineRule="auto"/>
              <w:widowControl w:val="off"/>
              <w:tabs>
                <w:tab w:val="right" w:pos="9060" w:leader="dot"/>
              </w:tabs>
              <w:rPr>
                <w:rFonts w:hint="eastAsia" w:ascii="宋体" w:hAnsi="宋体" w:eastAsia="宋体" w:cs="宋体"/>
                <w:b w:val="0"/>
                <w:caps w:val="0"/>
                <w:sz w:val="21"/>
                <w:szCs w:val="21"/>
              </w:rPr>
              <w:suppressLineNumbers w:val="0"/>
            </w:pPr>
            <w:r>
              <w:rPr>
                <w:rFonts w:hint="eastAsia" w:ascii="宋体" w:hAnsi="宋体" w:eastAsia="宋体" w:cs="宋体"/>
                <w:b w:val="0"/>
                <w:caps w:val="0"/>
                <w:sz w:val="21"/>
                <w:szCs w:val="21"/>
              </w:rPr>
            </w:r>
            <w:r/>
          </w:p>
        </w:tc>
        <w:tc>
          <w:tcPr>
            <w:tcW w:w="565" w:type="dxa"/>
            <w:vAlign w:val="center"/>
            <w:textDirection w:val="lrTb"/>
            <w:noWrap w:val="false"/>
          </w:tcPr>
          <w:p>
            <w:pPr>
              <w:pStyle w:val="99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eastAsia="zh-CN"/>
              </w:rPr>
              <w:t xml:space="preserve">类似项目业绩</w:t>
            </w:r>
            <w:r/>
          </w:p>
        </w:tc>
        <w:tc>
          <w:tcPr>
            <w:tcW w:w="39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ascii="宋体" w:hAnsi="宋体" w:eastAsia="宋体" w:cs="宋体"/>
                <w:bCs/>
                <w:color w:val="ff0000"/>
                <w:sz w:val="21"/>
                <w:szCs w:val="21"/>
                <w:lang w:val="en-US" w:eastAsia="zh-CN" w:bidi="ar-SA"/>
              </w:rPr>
              <w:suppressLineNumbers w:val="0"/>
            </w:pPr>
            <w:r>
              <w:rPr>
                <w:rFonts w:hint="eastAsia" w:ascii="宋体" w:hAnsi="宋体" w:eastAsia="宋体" w:cs="宋体"/>
                <w:bCs/>
                <w:color w:val="000000"/>
                <w:sz w:val="21"/>
                <w:szCs w:val="21"/>
                <w:lang w:val="en-US" w:eastAsia="zh-CN" w:bidi="ar-SA"/>
              </w:rPr>
              <w:t xml:space="preserve">2</w:t>
            </w:r>
            <w:r/>
          </w:p>
        </w:tc>
        <w:tc>
          <w:tcPr>
            <w:tcW w:w="3664" w:type="dxa"/>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ff0000"/>
                <w:sz w:val="21"/>
                <w:szCs w:val="21"/>
                <w:lang w:val="en-US" w:eastAsia="zh-CN" w:bidi="ar-SA"/>
              </w:rPr>
              <w:suppressLineNumbers w:val="0"/>
            </w:pPr>
            <w:r>
              <w:rPr>
                <w:rFonts w:hint="eastAsia" w:ascii="宋体" w:hAnsi="宋体" w:eastAsia="宋体" w:cs="宋体"/>
                <w:sz w:val="21"/>
                <w:szCs w:val="21"/>
              </w:rPr>
              <w:t xml:space="preserve">提供自20</w:t>
            </w:r>
            <w:r>
              <w:rPr>
                <w:rFonts w:hint="eastAsia" w:ascii="宋体" w:hAnsi="宋体" w:eastAsia="宋体" w:cs="宋体"/>
                <w:sz w:val="21"/>
                <w:szCs w:val="21"/>
                <w:lang w:val="en-US" w:eastAsia="zh-CN"/>
              </w:rPr>
              <w:t xml:space="preserve">23</w:t>
            </w:r>
            <w:r>
              <w:rPr>
                <w:rFonts w:hint="eastAsia" w:ascii="宋体" w:hAnsi="宋体" w:eastAsia="宋体" w:cs="宋体"/>
                <w:sz w:val="21"/>
                <w:szCs w:val="21"/>
              </w:rPr>
              <w:t xml:space="preserve">年</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月1日以来（以合同签订时间为准）类似业绩，每提供完整的一份业绩合同得</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分，此项满分</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分,需提供</w:t>
            </w:r>
            <w:r>
              <w:rPr>
                <w:rFonts w:hint="eastAsia" w:ascii="宋体" w:hAnsi="宋体" w:eastAsia="宋体" w:cs="宋体"/>
                <w:sz w:val="21"/>
                <w:szCs w:val="21"/>
                <w:lang w:eastAsia="zh-CN"/>
              </w:rPr>
              <w:t xml:space="preserve">中标通知书、</w:t>
            </w:r>
            <w:r>
              <w:rPr>
                <w:rFonts w:hint="eastAsia" w:ascii="宋体" w:hAnsi="宋体" w:eastAsia="宋体" w:cs="宋体"/>
                <w:sz w:val="21"/>
                <w:szCs w:val="21"/>
              </w:rPr>
              <w:t xml:space="preserve">合同复印件</w:t>
            </w:r>
            <w:r>
              <w:rPr>
                <w:rFonts w:hint="eastAsia" w:ascii="宋体" w:hAnsi="宋体" w:eastAsia="宋体" w:cs="宋体"/>
                <w:sz w:val="21"/>
                <w:szCs w:val="21"/>
                <w:lang w:val="en-US" w:eastAsia="zh-CN"/>
              </w:rPr>
              <w:t xml:space="preserve">及至少一张对应的发票</w:t>
            </w:r>
            <w:r>
              <w:rPr>
                <w:rFonts w:hint="eastAsia" w:ascii="宋体" w:hAnsi="宋体" w:eastAsia="宋体" w:cs="宋体"/>
                <w:sz w:val="21"/>
                <w:szCs w:val="21"/>
              </w:rPr>
              <w:t xml:space="preserve">，不提供不得分。</w:t>
            </w:r>
            <w:r/>
          </w:p>
        </w:tc>
      </w:tr>
      <w:tr>
        <w:trPr>
          <w:jc w:val="center"/>
          <w:trHeight w:val="454"/>
        </w:trPr>
        <w:tc>
          <w:tcPr>
            <w:tcW w:w="373" w:type="dxa"/>
            <w:vAlign w:val="top"/>
            <w:vMerge w:val="continue"/>
            <w:textDirection w:val="lrTb"/>
            <w:noWrap w:val="false"/>
          </w:tcPr>
          <w:p>
            <w:pPr>
              <w:pStyle w:val="1008"/>
              <w:ind w:left="0" w:right="0" w:firstLine="0"/>
              <w:jc w:val="both"/>
              <w:keepLines w:val="0"/>
              <w:keepNext w:val="0"/>
              <w:pageBreakBefore w:val="0"/>
              <w:spacing w:before="0" w:beforeAutospacing="0" w:after="0" w:afterAutospacing="0" w:line="240" w:lineRule="auto"/>
              <w:widowControl w:val="off"/>
              <w:tabs>
                <w:tab w:val="right" w:pos="9060" w:leader="dot"/>
              </w:tabs>
              <w:rPr>
                <w:rFonts w:hint="eastAsia" w:ascii="宋体" w:hAnsi="宋体" w:eastAsia="宋体" w:cs="宋体"/>
                <w:b w:val="0"/>
                <w:caps w:val="0"/>
                <w:sz w:val="21"/>
                <w:szCs w:val="21"/>
              </w:rPr>
              <w:suppressLineNumbers w:val="0"/>
            </w:pPr>
            <w:r>
              <w:rPr>
                <w:rFonts w:hint="eastAsia" w:ascii="宋体" w:hAnsi="宋体" w:eastAsia="宋体" w:cs="宋体"/>
                <w:b w:val="0"/>
                <w:caps w:val="0"/>
                <w:sz w:val="21"/>
                <w:szCs w:val="21"/>
              </w:rPr>
            </w:r>
            <w:r/>
          </w:p>
        </w:tc>
        <w:tc>
          <w:tcPr>
            <w:tcW w:w="1062" w:type="dxa"/>
            <w:vAlign w:val="center"/>
            <w:textDirection w:val="lrTb"/>
            <w:noWrap w:val="false"/>
          </w:tcPr>
          <w:p>
            <w:pPr>
              <w:pStyle w:val="996"/>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sz w:val="21"/>
                <w:szCs w:val="21"/>
                <w:lang w:val="en-US" w:eastAsia="zh-CN" w:bidi="ar-SA"/>
              </w:rPr>
              <w:suppressLineNumbers w:val="0"/>
            </w:pPr>
            <w:r>
              <w:rPr>
                <w:rFonts w:hint="eastAsia" w:ascii="宋体" w:hAnsi="宋体" w:eastAsia="宋体" w:cs="宋体"/>
                <w:bCs/>
                <w:sz w:val="21"/>
                <w:szCs w:val="21"/>
              </w:rPr>
              <w:t xml:space="preserve">售后服务</w:t>
            </w:r>
            <w:r/>
          </w:p>
        </w:tc>
        <w:tc>
          <w:tcPr>
            <w:tcW w:w="396" w:type="dxa"/>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Cs/>
                <w:sz w:val="21"/>
                <w:szCs w:val="21"/>
                <w:lang w:val="en-US" w:eastAsia="zh-CN" w:bidi="ar-SA"/>
              </w:rPr>
              <w:suppressLineNumbers w:val="0"/>
            </w:pPr>
            <w:r>
              <w:rPr>
                <w:rFonts w:hint="eastAsia" w:ascii="宋体" w:hAnsi="宋体" w:eastAsia="宋体" w:cs="宋体"/>
                <w:color w:val="000000"/>
                <w:sz w:val="21"/>
                <w:szCs w:val="21"/>
                <w:lang w:val="en-US" w:eastAsia="zh-CN"/>
              </w:rPr>
              <w:t xml:space="preserve">9</w:t>
            </w:r>
            <w:r/>
          </w:p>
        </w:tc>
        <w:tc>
          <w:tcPr>
            <w:tcW w:w="3664" w:type="dxa"/>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sz w:val="21"/>
                <w:szCs w:val="21"/>
                <w:lang w:eastAsia="zh-CN"/>
              </w:rPr>
              <w:suppressLineNumbers w:val="0"/>
            </w:pPr>
            <w:r>
              <w:rPr>
                <w:rFonts w:hint="eastAsia" w:ascii="宋体" w:hAnsi="宋体" w:eastAsia="宋体"/>
                <w:sz w:val="21"/>
                <w:szCs w:val="21"/>
                <w:lang w:eastAsia="zh-CN"/>
              </w:rPr>
              <w:t xml:space="preserve">投标人根据本项目制定详细的售后服务方案，包含但不仅限于质保期内及质保期满后的服务内容、服务响应时间、服务人员安排及服务保障措施等内容，评标委员会根据供应商提供的售后服务方案进行综合评价：</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sz w:val="21"/>
                <w:szCs w:val="21"/>
                <w:lang w:eastAsia="zh-CN"/>
              </w:rPr>
              <w:suppressLineNumbers w:val="0"/>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1</w:t>
            </w:r>
            <w:r>
              <w:rPr>
                <w:rFonts w:hint="eastAsia" w:ascii="宋体" w:hAnsi="宋体" w:eastAsia="宋体"/>
                <w:sz w:val="21"/>
                <w:szCs w:val="21"/>
                <w:lang w:eastAsia="zh-CN"/>
              </w:rPr>
              <w:t xml:space="preserve">）售后服务方案全面详实，针对性较强，整体思路科学合理，可操作性较强的得</w:t>
            </w:r>
            <w:r>
              <w:rPr>
                <w:rFonts w:hint="eastAsia" w:ascii="宋体" w:hAnsi="宋体" w:eastAsia="宋体"/>
                <w:sz w:val="21"/>
                <w:szCs w:val="21"/>
                <w:lang w:val="en-US" w:eastAsia="zh-CN"/>
              </w:rPr>
              <w:t xml:space="preserve">9</w:t>
            </w:r>
            <w:r>
              <w:rPr>
                <w:rFonts w:hint="eastAsia" w:ascii="宋体" w:hAnsi="宋体" w:eastAsia="宋体"/>
                <w:sz w:val="21"/>
                <w:szCs w:val="21"/>
                <w:lang w:eastAsia="zh-CN"/>
              </w:rPr>
              <w:t xml:space="preserve">分；</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sz w:val="21"/>
                <w:szCs w:val="21"/>
                <w:lang w:eastAsia="zh-CN"/>
              </w:rPr>
              <w:suppressLineNumbers w:val="0"/>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2</w:t>
            </w:r>
            <w:r>
              <w:rPr>
                <w:rFonts w:hint="eastAsia" w:ascii="宋体" w:hAnsi="宋体" w:eastAsia="宋体"/>
                <w:sz w:val="21"/>
                <w:szCs w:val="21"/>
                <w:lang w:eastAsia="zh-CN"/>
              </w:rPr>
              <w:t xml:space="preserve">）售后服务方案基本全面，有一定的针对性，整体基本合理，可操作性一般的得</w:t>
            </w:r>
            <w:r>
              <w:rPr>
                <w:rFonts w:hint="eastAsia" w:ascii="宋体" w:hAnsi="宋体" w:eastAsia="宋体"/>
                <w:sz w:val="21"/>
                <w:szCs w:val="21"/>
                <w:lang w:val="en-US" w:eastAsia="zh-CN"/>
              </w:rPr>
              <w:t xml:space="preserve">5</w:t>
            </w:r>
            <w:r>
              <w:rPr>
                <w:rFonts w:hint="eastAsia" w:ascii="宋体" w:hAnsi="宋体" w:eastAsia="宋体"/>
                <w:sz w:val="21"/>
                <w:szCs w:val="21"/>
                <w:lang w:eastAsia="zh-CN"/>
              </w:rPr>
              <w:t xml:space="preserve">分；</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sz w:val="21"/>
                <w:szCs w:val="21"/>
                <w:lang w:eastAsia="zh-CN"/>
              </w:rPr>
              <w:suppressLineNumbers w:val="0"/>
            </w:pPr>
            <w:r>
              <w:rPr>
                <w:rFonts w:hint="eastAsia" w:ascii="宋体" w:hAnsi="宋体" w:eastAsia="宋体"/>
                <w:sz w:val="21"/>
                <w:szCs w:val="21"/>
                <w:lang w:eastAsia="zh-CN"/>
              </w:rPr>
              <w:t xml:space="preserve">（</w:t>
            </w:r>
            <w:r>
              <w:rPr>
                <w:rFonts w:hint="eastAsia" w:ascii="宋体" w:hAnsi="宋体" w:eastAsia="宋体"/>
                <w:sz w:val="21"/>
                <w:szCs w:val="21"/>
                <w:lang w:val="en-US" w:eastAsia="zh-CN"/>
              </w:rPr>
              <w:t xml:space="preserve">3</w:t>
            </w:r>
            <w:r>
              <w:rPr>
                <w:rFonts w:hint="eastAsia" w:ascii="宋体" w:hAnsi="宋体" w:eastAsia="宋体"/>
                <w:sz w:val="21"/>
                <w:szCs w:val="21"/>
                <w:lang w:eastAsia="zh-CN"/>
              </w:rPr>
              <w:t xml:space="preserve">）售后服务方案简单空洞，针对性一般，整体思路一般，可操作性差的得</w:t>
            </w:r>
            <w:r>
              <w:rPr>
                <w:rFonts w:hint="eastAsia" w:ascii="宋体" w:hAnsi="宋体" w:eastAsia="宋体"/>
                <w:sz w:val="21"/>
                <w:szCs w:val="21"/>
                <w:lang w:val="en-US" w:eastAsia="zh-CN"/>
              </w:rPr>
              <w:t xml:space="preserve">2</w:t>
            </w:r>
            <w:r>
              <w:rPr>
                <w:rFonts w:hint="eastAsia" w:ascii="宋体" w:hAnsi="宋体" w:eastAsia="宋体"/>
                <w:sz w:val="21"/>
                <w:szCs w:val="21"/>
                <w:lang w:eastAsia="zh-CN"/>
              </w:rPr>
              <w:t xml:space="preserve"> 分。</w:t>
            </w:r>
            <w:r/>
          </w:p>
          <w:p>
            <w:pPr>
              <w:ind w:left="0" w:right="0"/>
              <w:keepLines w:val="0"/>
              <w:keepNext w:val="0"/>
              <w:pageBreakBefore w:val="0"/>
              <w:spacing w:before="0" w:beforeAutospacing="0" w:after="0" w:afterAutospacing="0" w:line="240" w:lineRule="auto"/>
              <w:widowControl w:val="off"/>
              <w:rPr>
                <w:rFonts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bidi="ar-SA"/>
              </w:rPr>
              <w:t xml:space="preserve">（4）未提供方案得0分。</w:t>
            </w:r>
            <w:r/>
          </w:p>
        </w:tc>
      </w:tr>
    </w:tbl>
    <w:p>
      <w:pPr>
        <w:ind w:firstLine="420"/>
        <w:spacing w:line="360" w:lineRule="auto"/>
        <w:rPr>
          <w:rFonts w:hint="eastAsia" w:ascii="宋体" w:hAnsi="宋体" w:eastAsia="宋体" w:cs="宋体"/>
          <w:sz w:val="24"/>
        </w:rPr>
      </w:pPr>
      <w:r>
        <w:rPr>
          <w:rFonts w:hint="eastAsia" w:ascii="宋体" w:hAnsi="宋体" w:eastAsia="宋体" w:cs="宋体"/>
          <w:sz w:val="24"/>
        </w:rPr>
        <w:t xml:space="preserve">评标采用综合评分法，评标委员会对满足招标文件实质要求的投标文件，按照本章规定的评分标准进行打分，并按得分由高到低顺序推荐中标候选人。</w:t>
      </w:r>
      <w:r>
        <w:rPr>
          <w:rFonts w:hint="eastAsia" w:ascii="宋体" w:hAnsi="宋体" w:eastAsia="宋体" w:cs="宋体"/>
          <w:b/>
          <w:bCs/>
          <w:sz w:val="24"/>
        </w:rPr>
        <w:t xml:space="preserve">采购人将对第一中标候选人提交的所有资料（含原件）进行考察、核实，若发现弄虚作假的，取消中标资格，并进行公示等相关处罚。</w:t>
      </w:r>
      <w:r/>
    </w:p>
    <w:p>
      <w:pPr>
        <w:ind w:firstLine="420"/>
        <w:spacing w:line="360" w:lineRule="auto"/>
        <w:rPr>
          <w:rFonts w:ascii="宋体" w:hAnsi="宋体" w:eastAsia="宋体"/>
          <w:b/>
          <w:bCs/>
          <w:sz w:val="24"/>
          <w:szCs w:val="24"/>
        </w:rPr>
      </w:pPr>
      <w:r>
        <w:rPr>
          <w:rFonts w:hint="eastAsia" w:ascii="宋体" w:hAnsi="宋体" w:eastAsia="宋体"/>
          <w:b/>
          <w:bCs/>
          <w:sz w:val="24"/>
          <w:szCs w:val="24"/>
        </w:rPr>
        <w:t xml:space="preserve">三、推荐中标候选人:</w:t>
      </w:r>
      <w:r/>
    </w:p>
    <w:p>
      <w:pPr>
        <w:ind w:firstLine="486"/>
        <w:spacing w:line="360" w:lineRule="auto"/>
        <w:rPr>
          <w:rFonts w:hint="eastAsia" w:hAnsi="宋体" w:eastAsia="宋体"/>
          <w:color w:val="000000"/>
          <w:sz w:val="24"/>
          <w:szCs w:val="24"/>
        </w:rPr>
      </w:pPr>
      <w:r>
        <w:rPr>
          <w:rFonts w:hint="eastAsia" w:ascii="宋体" w:hAnsi="宋体" w:eastAsia="宋体"/>
          <w:sz w:val="24"/>
          <w:szCs w:val="24"/>
        </w:rPr>
        <w:t xml:space="preserve">汇总上述各项分值（保留两位小数,小数点后第三位四舍五入），按总得分由高到低的顺序排列,综合得分最高的为中标候选人。</w:t>
      </w:r>
      <w:r>
        <w:rPr>
          <w:rFonts w:hint="eastAsia" w:hAnsi="宋体" w:eastAsia="宋体"/>
          <w:color w:val="000000"/>
          <w:sz w:val="24"/>
          <w:szCs w:val="24"/>
        </w:rPr>
        <w:t xml:space="preserve">排名第一的投标人放弃中标，或因其他情形不具备中标条件的，采购人可依次确定其他投标人为中标候选人，也可依法重新组织采购。</w:t>
      </w:r>
      <w:r/>
    </w:p>
    <w:p>
      <w:pPr>
        <w:jc w:val="center"/>
        <w:spacing w:line="300" w:lineRule="auto"/>
        <w:rPr>
          <w:rFonts w:ascii="宋体" w:hAnsi="宋体" w:eastAsia="宋体"/>
          <w:sz w:val="24"/>
          <w:szCs w:val="24"/>
        </w:rPr>
        <w:sectPr>
          <w:headerReference w:type="default" r:id="rId9"/>
          <w:footerReference w:type="default" r:id="rId10"/>
          <w:footerReference w:type="first" r:id="rId11"/>
          <w:footnotePr/>
          <w:endnotePr/>
          <w:type w:val="nextPage"/>
          <w:pgSz w:w="11906" w:h="16838" w:orient="portrait"/>
          <w:pgMar w:top="1276" w:right="1276" w:bottom="1077" w:left="1134" w:header="680" w:footer="737" w:gutter="0"/>
          <w:cols w:num="1" w:sep="0" w:space="1701" w:equalWidth="1"/>
          <w:docGrid w:linePitch="360"/>
          <w:titlePg/>
        </w:sectPr>
      </w:pPr>
      <w:r/>
      <w:bookmarkStart w:id="288" w:name="_Toc528398513"/>
      <w:r/>
      <w:bookmarkEnd w:id="288"/>
      <w:r/>
      <w:r/>
    </w:p>
    <w:p>
      <w:pPr>
        <w:pStyle w:val="1013"/>
        <w:jc w:val="both"/>
        <w:keepLines w:val="0"/>
        <w:keepNext/>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color w:val="000000"/>
          <w:sz w:val="44"/>
          <w:szCs w:val="44"/>
          <w:lang w:val="en-US" w:eastAsia="zh-CN"/>
        </w:rPr>
        <w:t xml:space="preserve">附件：</w:t>
      </w:r>
      <w:r>
        <w:rPr>
          <w:rFonts w:hint="eastAsia" w:ascii="黑体" w:hAnsi="宋体" w:eastAsia="黑体" w:cs="黑体"/>
          <w:color w:val="000000"/>
          <w:sz w:val="44"/>
          <w:szCs w:val="44"/>
        </w:rPr>
        <w:t xml:space="preserve">响应文件格式</w:t>
      </w:r>
      <w:r/>
    </w:p>
    <w:p>
      <w:pPr>
        <w:pStyle w:val="101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bookmarkStart w:id="289" w:name="_Toc120614282"/>
      <w:r/>
      <w:bookmarkEnd w:id="289"/>
      <w:r/>
      <w:bookmarkStart w:id="290" w:name="_Toc49090576"/>
      <w:r/>
      <w:bookmarkEnd w:id="290"/>
      <w:r>
        <w:rPr>
          <w:rFonts w:hint="eastAsia" w:ascii="宋体" w:hAnsi="宋体" w:eastAsia="宋体" w:cs="宋体"/>
          <w:b/>
          <w:bCs/>
          <w:color w:val="000000"/>
          <w:sz w:val="72"/>
          <w:szCs w:val="72"/>
        </w:rPr>
        <w:t xml:space="preserve">响  应  文  件</w:t>
      </w:r>
      <w:r/>
    </w:p>
    <w:p>
      <w:pPr>
        <w:pStyle w:val="101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名称：</w:t>
      </w:r>
      <w:r>
        <w:rPr>
          <w:rFonts w:hint="eastAsia" w:ascii="宋体" w:hAnsi="宋体" w:eastAsia="宋体" w:cs="宋体"/>
          <w:b/>
          <w:bCs/>
          <w:color w:val="000000"/>
          <w:sz w:val="36"/>
          <w:szCs w:val="36"/>
          <w:u w:val="single"/>
        </w:rPr>
        <w:t xml:space="preserve">               </w:t>
      </w:r>
      <w:r/>
    </w:p>
    <w:p>
      <w:pPr>
        <w:pStyle w:val="1013"/>
        <w:ind w:left="0" w:firstLine="1084"/>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项 目 编号：</w:t>
      </w:r>
      <w:r>
        <w:rPr>
          <w:rFonts w:hint="eastAsia" w:ascii="宋体" w:hAnsi="宋体" w:eastAsia="宋体" w:cs="宋体"/>
          <w:b/>
          <w:bCs/>
          <w:color w:val="000000"/>
          <w:sz w:val="36"/>
          <w:szCs w:val="36"/>
          <w:u w:val="single"/>
        </w:rPr>
        <w:t xml:space="preserve">               </w:t>
      </w:r>
      <w:r/>
    </w:p>
    <w:p>
      <w:pPr>
        <w:pStyle w:val="1013"/>
        <w:jc w:val="left"/>
        <w:keepLines w:val="0"/>
        <w:keepNext w:val="0"/>
        <w:pageBreakBefore w:val="0"/>
        <w:spacing w:before="0" w:beforeAutospacing="0" w:after="0" w:afterAutospacing="0"/>
        <w:widowControl w:val="off"/>
        <w:rPr>
          <w:rFonts w:eastAsia="宋体"/>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供应商名称 ：</w:t>
      </w:r>
      <w:r>
        <w:rPr>
          <w:rFonts w:hint="eastAsia" w:ascii="宋体" w:hAnsi="宋体" w:eastAsia="宋体" w:cs="宋体"/>
          <w:b/>
          <w:bCs/>
          <w:color w:val="000000"/>
          <w:sz w:val="36"/>
          <w:szCs w:val="36"/>
          <w:u w:val="single"/>
        </w:rPr>
        <w:t xml:space="preserve">（加盖CA电子公章）</w:t>
      </w:r>
      <w:r>
        <w:rPr>
          <w:rFonts w:hint="eastAsia" w:ascii="宋体" w:hAnsi="宋体" w:eastAsia="宋体" w:cs="宋体"/>
          <w:b/>
          <w:bCs/>
          <w:color w:val="000000"/>
          <w:sz w:val="36"/>
          <w:szCs w:val="36"/>
          <w:u w:val="single"/>
          <w:lang w:val="en-US" w:eastAsia="zh-CN"/>
        </w:rPr>
        <w:t xml:space="preserve">        </w:t>
      </w:r>
      <w:r/>
    </w:p>
    <w:p>
      <w:pPr>
        <w:pStyle w:val="1013"/>
        <w:jc w:val="left"/>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rPr>
        <w:t xml:space="preserve">   日   期 ：</w:t>
      </w:r>
      <w:r>
        <w:rPr>
          <w:rFonts w:hint="eastAsia" w:ascii="宋体" w:hAnsi="宋体" w:eastAsia="宋体" w:cs="宋体"/>
          <w:b/>
          <w:bCs/>
          <w:color w:val="000000"/>
          <w:sz w:val="36"/>
          <w:szCs w:val="36"/>
          <w:u w:val="single"/>
        </w:rPr>
        <w:t xml:space="preserve">  </w:t>
      </w:r>
      <w:r>
        <w:rPr>
          <w:rFonts w:hint="eastAsia" w:ascii="宋体" w:hAnsi="宋体" w:eastAsia="宋体" w:cs="宋体"/>
          <w:b/>
          <w:bCs/>
          <w:color w:val="000000"/>
          <w:sz w:val="36"/>
          <w:szCs w:val="36"/>
          <w:u w:val="single"/>
          <w:lang w:val="en-US" w:eastAsia="zh-CN"/>
        </w:rPr>
        <w:t xml:space="preserve">                   </w:t>
      </w:r>
      <w:r>
        <w:rPr>
          <w:rFonts w:hint="eastAsia" w:ascii="宋体" w:hAnsi="宋体" w:eastAsia="宋体" w:cs="宋体"/>
          <w:b/>
          <w:bCs/>
          <w:color w:val="000000"/>
          <w:sz w:val="36"/>
          <w:szCs w:val="36"/>
          <w:u w:val="single"/>
        </w:rPr>
        <w:t xml:space="preserve">  </w:t>
      </w:r>
      <w:r/>
    </w:p>
    <w:p>
      <w:pPr>
        <w:pStyle w:val="101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0" w:firstLine="1084"/>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6"/>
          <w:szCs w:val="36"/>
          <w:u w:val="single"/>
        </w:rPr>
        <w:br w:type="page" w:clear="all"/>
      </w:r>
      <w:r/>
    </w:p>
    <w:p>
      <w:pPr>
        <w:pStyle w:val="101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rPr>
        <w:t xml:space="preserve">响应文件目录</w:t>
      </w:r>
      <w:r/>
    </w:p>
    <w:p>
      <w:pPr>
        <w:pStyle w:val="101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一、法人或者其他组织的营业执照等证明文件，自然人的身份证明</w:t>
      </w:r>
      <w:r/>
    </w:p>
    <w:p>
      <w:pPr>
        <w:pStyle w:val="1013"/>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二、上一年度的财务状况报告（</w:t>
      </w:r>
      <w:r>
        <w:rPr>
          <w:rFonts w:hint="eastAsia" w:ascii="宋体" w:hAnsi="宋体" w:eastAsia="宋体" w:cs="宋体"/>
          <w:i/>
          <w:iCs/>
          <w:color w:val="000000"/>
          <w:sz w:val="24"/>
          <w:szCs w:val="24"/>
          <w:u w:val="single"/>
          <w:lang w:eastAsia="zh-CN"/>
        </w:rPr>
        <w:t xml:space="preserve">投标</w:t>
      </w:r>
      <w:r>
        <w:rPr>
          <w:rFonts w:hint="eastAsia" w:ascii="宋体" w:hAnsi="宋体" w:eastAsia="宋体" w:cs="宋体"/>
          <w:i/>
          <w:iCs/>
          <w:color w:val="000000"/>
          <w:sz w:val="24"/>
          <w:szCs w:val="24"/>
          <w:u w:val="single"/>
        </w:rPr>
        <w:t xml:space="preserve">供应商成立不满一年无需提供）</w:t>
      </w:r>
      <w:r/>
    </w:p>
    <w:p>
      <w:pPr>
        <w:pStyle w:val="1013"/>
        <w:ind w:left="0" w:firstLine="480"/>
        <w:jc w:val="both"/>
        <w:keepLines w:val="0"/>
        <w:keepNext w:val="0"/>
        <w:pageBreakBefore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三、依法缴纳税收和社会保障资金的相关材料（提供提交响应文件截止时间前</w:t>
      </w:r>
      <w:r>
        <w:rPr>
          <w:rFonts w:hint="eastAsia" w:ascii="宋体" w:hAnsi="宋体" w:eastAsia="宋体" w:cs="宋体"/>
          <w:i/>
          <w:iCs/>
          <w:color w:val="000000"/>
          <w:sz w:val="24"/>
          <w:szCs w:val="24"/>
          <w:u w:val="single"/>
          <w:lang w:eastAsia="zh-CN"/>
        </w:rPr>
        <w:t xml:space="preserve">六个月</w:t>
      </w:r>
      <w:r>
        <w:rPr>
          <w:rFonts w:hint="eastAsia" w:ascii="宋体" w:hAnsi="宋体" w:eastAsia="宋体" w:cs="宋体"/>
          <w:i/>
          <w:iCs/>
          <w:color w:val="000000"/>
          <w:sz w:val="24"/>
          <w:szCs w:val="24"/>
          <w:u w:val="single"/>
        </w:rPr>
        <w:t xml:space="preserve">内至少一个月依法缴纳税收及缴纳社会保障资金的证明材料。</w:t>
      </w:r>
      <w:r>
        <w:rPr>
          <w:rFonts w:hint="eastAsia" w:ascii="宋体" w:hAnsi="宋体" w:eastAsia="宋体" w:cs="宋体"/>
          <w:i/>
          <w:iCs/>
          <w:color w:val="000000"/>
          <w:sz w:val="24"/>
          <w:szCs w:val="24"/>
          <w:u w:val="single"/>
          <w:lang w:eastAsia="zh-CN"/>
        </w:rPr>
        <w:t xml:space="preserve">投标</w:t>
      </w:r>
      <w:r>
        <w:rPr>
          <w:rFonts w:hint="eastAsia" w:ascii="宋体" w:hAnsi="宋体" w:eastAsia="宋体" w:cs="宋体"/>
          <w:i/>
          <w:iCs/>
          <w:color w:val="000000"/>
          <w:sz w:val="24"/>
          <w:szCs w:val="24"/>
          <w:u w:val="single"/>
        </w:rPr>
        <w:t xml:space="preserve">供应商依法享受缓缴、免缴税收、社会保障资金的提供证明材料。）</w:t>
      </w:r>
      <w:r/>
    </w:p>
    <w:p>
      <w:pPr>
        <w:pStyle w:val="1013"/>
        <w:ind w:left="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四、具备履行合同所必需的设备和专业技术能力的书面声明</w:t>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五、参加政府采购活动前 3 年内在经营活动中没有重大违法记录的书面声明</w:t>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六、特定资格要求的证明文件（如果本项目设置特定资格要求，则需要提供）</w:t>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七、法人授权书</w:t>
      </w:r>
      <w:r/>
    </w:p>
    <w:p>
      <w:pPr>
        <w:pStyle w:val="1013"/>
        <w:ind w:left="0" w:firstLine="480"/>
        <w:jc w:val="both"/>
        <w:keepLines w:val="0"/>
        <w:keepNext w:val="0"/>
        <w:spacing w:before="0" w:beforeAutospacing="0" w:after="0" w:afterAutospacing="0" w:line="0" w:lineRule="atLeast"/>
        <w:widowControl w:val="off"/>
        <w:rPr>
          <w:rFonts w:hint="eastAsia" w:eastAsia="宋体"/>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八、</w:t>
      </w:r>
      <w:r>
        <w:rPr>
          <w:rFonts w:hint="eastAsia" w:ascii="宋体" w:hAnsi="宋体" w:eastAsia="宋体" w:cs="宋体"/>
          <w:i/>
          <w:iCs/>
          <w:color w:val="000000"/>
          <w:sz w:val="24"/>
          <w:szCs w:val="24"/>
          <w:u w:val="single"/>
          <w:lang w:eastAsia="zh-CN"/>
        </w:rPr>
        <w:t xml:space="preserve">投标函</w:t>
      </w:r>
      <w:r/>
    </w:p>
    <w:p>
      <w:pPr>
        <w:pStyle w:val="1013"/>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九、</w:t>
      </w:r>
      <w:r>
        <w:rPr>
          <w:rFonts w:hint="eastAsia" w:ascii="宋体" w:hAnsi="宋体" w:eastAsia="宋体" w:cs="宋体"/>
          <w:i/>
          <w:iCs/>
          <w:color w:val="000000"/>
          <w:sz w:val="24"/>
          <w:szCs w:val="24"/>
          <w:u w:val="single"/>
          <w:lang w:eastAsia="zh-CN"/>
        </w:rPr>
        <w:t xml:space="preserve">中小企业声明函</w:t>
      </w:r>
      <w:r/>
    </w:p>
    <w:p>
      <w:pPr>
        <w:pStyle w:val="1013"/>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rPr>
        <w:t xml:space="preserve">十、残疾人福利性单位声明函</w:t>
      </w:r>
      <w:r/>
    </w:p>
    <w:p>
      <w:pPr>
        <w:pStyle w:val="1013"/>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eastAsia="zh-CN"/>
        </w:rPr>
        <w:t xml:space="preserve">十一、</w:t>
      </w:r>
      <w:r>
        <w:rPr>
          <w:rFonts w:hint="eastAsia" w:ascii="宋体" w:hAnsi="宋体" w:eastAsia="宋体" w:cs="宋体"/>
          <w:i/>
          <w:iCs/>
          <w:color w:val="000000"/>
          <w:sz w:val="24"/>
          <w:szCs w:val="24"/>
          <w:u w:val="single"/>
        </w:rPr>
        <w:t xml:space="preserve">投标偏离表</w:t>
      </w:r>
      <w:r/>
    </w:p>
    <w:p>
      <w:pPr>
        <w:pStyle w:val="1013"/>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eastAsia="zh-CN"/>
        </w:rPr>
        <w:t xml:space="preserve">十二、开标一览表</w:t>
      </w:r>
      <w:r/>
    </w:p>
    <w:p>
      <w:pPr>
        <w:pStyle w:val="1013"/>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val="en-US" w:eastAsia="zh-CN"/>
        </w:rPr>
        <w:t xml:space="preserve">十三、关于符合本国产品标准的声明函</w:t>
      </w:r>
      <w:r/>
    </w:p>
    <w:p>
      <w:pPr>
        <w:pStyle w:val="1013"/>
        <w:ind w:left="0" w:firstLine="480"/>
        <w:jc w:val="both"/>
        <w:keepLines w:val="0"/>
        <w:keepNext w:val="0"/>
        <w:spacing w:before="0" w:beforeAutospacing="0" w:after="0" w:afterAutospacing="0" w:line="0" w:lineRule="atLeast"/>
        <w:widowControl w:val="off"/>
        <w:rPr>
          <w:rFonts w:hint="eastAsia" w:ascii="宋体" w:hAnsi="宋体" w:eastAsia="宋体" w:cs="宋体"/>
          <w:i/>
          <w:iCs/>
          <w:color w:val="000000"/>
          <w:sz w:val="24"/>
          <w:szCs w:val="24"/>
          <w:u w:val="singl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val="en-US" w:eastAsia="zh-CN"/>
        </w:rPr>
        <w:t xml:space="preserve">十四、供应商资格声明函</w:t>
      </w:r>
      <w:r/>
    </w:p>
    <w:p>
      <w:pPr>
        <w:pStyle w:val="101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u w:val="single"/>
          <w:lang w:val="en-US" w:eastAsia="zh-CN"/>
        </w:rPr>
        <w:t xml:space="preserve">十五、质疑函范本</w:t>
      </w:r>
      <w:r/>
    </w:p>
    <w:p>
      <w:pPr>
        <w:pStyle w:val="1013"/>
        <w:ind w:left="0" w:firstLine="480"/>
        <w:jc w:val="both"/>
        <w:keepLines w:val="0"/>
        <w:keepNext w:val="0"/>
        <w:spacing w:before="0" w:beforeAutospacing="0" w:after="0" w:afterAutospacing="0" w:line="0" w:lineRule="atLeast"/>
        <w:widowControl w:val="off"/>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eastAsia="zh-CN"/>
        </w:rPr>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一、法人或者其他组织的营业执照等证明文件，自然人的身份证明</w:t>
      </w:r>
      <w:r/>
    </w:p>
    <w:p>
      <w:pPr>
        <w:pStyle w:val="1013"/>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二、上一年度的财务状况报告</w:t>
      </w:r>
      <w:r/>
    </w:p>
    <w:p>
      <w:pPr>
        <w:pStyle w:val="1013"/>
        <w:ind w:left="0" w:firstLine="480"/>
        <w:jc w:val="both"/>
        <w:keepLines w:val="0"/>
        <w:keepNext w:val="0"/>
        <w:spacing w:before="0" w:beforeAutospacing="0" w:after="0" w:afterAutospacing="0" w:line="0" w:lineRule="atLeast"/>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sz w:val="24"/>
          <w:highlight w:val="none"/>
        </w:rPr>
        <w:t xml:space="preserve">投标人近六个月中任意一个月份(不含投标当月)的财务状况报告（资产负债表和利润表）或由会计师事务所出具的近两年中任意一个年度的审计报告和所附已审财务报告（成立不满一年不需提供）</w:t>
      </w:r>
      <w:r>
        <w:rPr>
          <w:rFonts w:hint="eastAsia" w:ascii="宋体" w:hAnsi="宋体" w:eastAsia="宋体" w:cs="宋体"/>
          <w:b/>
          <w:bCs/>
          <w:sz w:val="24"/>
          <w:highlight w:val="none"/>
        </w:rPr>
        <w:t xml:space="preserve">原件扫描件</w:t>
      </w:r>
      <w:r>
        <w:rPr>
          <w:rFonts w:hint="eastAsia" w:ascii="宋体" w:hAnsi="宋体" w:eastAsia="宋体" w:cs="宋体"/>
          <w:bCs/>
          <w:sz w:val="24"/>
          <w:highlight w:val="none"/>
        </w:rPr>
        <w:t xml:space="preserve">；</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三、依法缴纳税收和社会保障资金的相关材料</w:t>
      </w:r>
      <w:r/>
    </w:p>
    <w:p>
      <w:pPr>
        <w:pStyle w:val="1013"/>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提供提交响应文件截止时间前</w:t>
      </w:r>
      <w:r>
        <w:rPr>
          <w:rFonts w:hint="eastAsia" w:ascii="宋体" w:hAnsi="宋体" w:eastAsia="宋体" w:cs="宋体"/>
          <w:color w:val="000000"/>
          <w:sz w:val="24"/>
          <w:szCs w:val="24"/>
          <w:lang w:eastAsia="zh-CN"/>
        </w:rPr>
        <w:t xml:space="preserve">六个月</w:t>
      </w:r>
      <w:r>
        <w:rPr>
          <w:rFonts w:hint="eastAsia" w:ascii="宋体" w:hAnsi="宋体" w:eastAsia="宋体" w:cs="宋体"/>
          <w:color w:val="000000"/>
          <w:sz w:val="24"/>
          <w:szCs w:val="24"/>
        </w:rPr>
        <w:t xml:space="preserve">内至少一个月依法缴纳税收及缴纳社会保障资金的证明材料。供应商依法享受缓缴、免缴税收、社会保障资金的提供证明材料。</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四、具备履行合同所必需的设备和专业技术能力的书面声明</w:t>
      </w:r>
      <w:r/>
    </w:p>
    <w:p>
      <w:pPr>
        <w:pStyle w:val="1013"/>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我单位郑重声明：我单位具备履行本项采购合同所必需的设备和专业技术能力，为履行本项采购合同我公司具备如下主要设备和主要专业技术能力：</w:t>
      </w:r>
      <w:r/>
    </w:p>
    <w:p>
      <w:pPr>
        <w:pStyle w:val="1013"/>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主要设备有：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ind w:left="0" w:firstLine="492"/>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主要专业技术能力有：</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w:t>
      </w:r>
      <w:r/>
    </w:p>
    <w:p>
      <w:pPr>
        <w:pStyle w:val="101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五、参加政府采购活动前 3 年内在经营活动中没有重大违法记录的书面声明</w:t>
      </w:r>
      <w:r/>
    </w:p>
    <w:p>
      <w:pPr>
        <w:pStyle w:val="101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44"/>
          <w:szCs w:val="44"/>
        </w:rPr>
        <w:t xml:space="preserve">       声  明</w:t>
      </w:r>
      <w:r/>
    </w:p>
    <w:p>
      <w:pPr>
        <w:pStyle w:val="101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六、特定资格要求的证明文件</w:t>
      </w:r>
      <w:r/>
    </w:p>
    <w:p>
      <w:pPr>
        <w:pStyle w:val="101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如果本项目申请人的特定资格要求中要求提供的，必须提供。</w:t>
      </w:r>
      <w:r/>
    </w:p>
    <w:p>
      <w:pPr>
        <w:pStyle w:val="101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3"/>
        <w:jc w:val="both"/>
        <w:keepLines w:val="0"/>
        <w:keepNext w:val="0"/>
        <w:spacing w:before="0" w:beforeAutospacing="0" w:after="0" w:afterAutospacing="0"/>
        <w:widowControl w:val="off"/>
        <w:rPr>
          <w:rFonts w:hint="eastAsia" w:ascii="黑体" w:hAnsi="宋体" w:eastAsia="黑体" w:cs="黑体"/>
          <w:i/>
          <w:iCs/>
          <w:color w:val="000000"/>
          <w:sz w:val="32"/>
          <w:szCs w:val="32"/>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u w:val="single"/>
        </w:rPr>
        <w:t xml:space="preserve">七、法人授权书</w:t>
      </w:r>
      <w:r/>
    </w:p>
    <w:p>
      <w:pPr>
        <w:pStyle w:val="1013"/>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本授权书声明：____________（供应商名称）授权________________（被授权人的姓名）为我方就</w:t>
      </w:r>
      <w:r>
        <w:rPr>
          <w:rFonts w:ascii="Times New Roman" w:hAnsi="Times New Roman" w:cs="Times New Roman"/>
          <w:color w:val="000000"/>
          <w:sz w:val="24"/>
          <w:szCs w:val="24"/>
          <w:u w:val="single"/>
        </w:rPr>
        <w:t xml:space="preserve">        </w:t>
      </w:r>
      <w:r>
        <w:rPr>
          <w:rFonts w:ascii="Times New Roman" w:hAnsi="Times New Roman" w:cs="Times New Roman"/>
          <w:color w:val="000000"/>
          <w:sz w:val="24"/>
          <w:szCs w:val="24"/>
        </w:rPr>
        <w:t xml:space="preserve">号项目采购活动的合法代理人，以本单位名义全权处理一切与该项目采购有关的事务。</w:t>
      </w:r>
      <w:r/>
    </w:p>
    <w:p>
      <w:pPr>
        <w:pStyle w:val="1013"/>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本授权书于______年____月____日起生效，特此声明。</w:t>
      </w:r>
      <w:r/>
    </w:p>
    <w:p>
      <w:pPr>
        <w:pStyle w:val="1013"/>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被授权人身份证号码：</w:t>
      </w:r>
      <w:r>
        <w:rPr>
          <w:rFonts w:ascii="Times New Roman" w:hAnsi="Times New Roman" w:cs="Times New Roman"/>
          <w:color w:val="000000"/>
          <w:sz w:val="24"/>
          <w:szCs w:val="24"/>
          <w:u w:val="single"/>
        </w:rPr>
        <w:t xml:space="preserve">                              </w:t>
      </w:r>
      <w:r/>
    </w:p>
    <w:p>
      <w:pPr>
        <w:pStyle w:val="1013"/>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被授权人联系电话：（手机）</w:t>
      </w:r>
      <w:r>
        <w:rPr>
          <w:rFonts w:ascii="Times New Roman" w:hAnsi="Times New Roman" w:cs="Times New Roman"/>
          <w:color w:val="000000"/>
          <w:sz w:val="24"/>
          <w:szCs w:val="24"/>
          <w:u w:val="single"/>
        </w:rPr>
        <w:t xml:space="preserve">                          </w:t>
      </w:r>
      <w:r/>
    </w:p>
    <w:p>
      <w:pPr>
        <w:pStyle w:val="1013"/>
        <w:ind w:left="0" w:firstLine="120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授权单位名称：</w:t>
      </w:r>
      <w:r>
        <w:rPr>
          <w:rFonts w:ascii="Times New Roman" w:hAnsi="Times New Roman" w:cs="Times New Roman"/>
          <w:color w:val="000000"/>
          <w:sz w:val="24"/>
          <w:szCs w:val="24"/>
          <w:u w:val="single"/>
        </w:rPr>
        <w:t xml:space="preserve">（加盖CA电子公章）</w:t>
      </w:r>
      <w:r/>
    </w:p>
    <w:p>
      <w:pPr>
        <w:pStyle w:val="1013"/>
        <w:ind w:left="0" w:firstLine="480"/>
        <w:jc w:val="both"/>
        <w:keepLines w:val="0"/>
        <w:keepNext w:val="0"/>
        <w:spacing w:before="0" w:beforeAutospacing="0" w:after="0" w:afterAutospacing="0"/>
        <w:widowControl w:val="off"/>
        <w:tabs>
          <w:tab w:val="left" w:pos="360"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单位地址：</w:t>
      </w:r>
      <w:r>
        <w:rPr>
          <w:rFonts w:ascii="Times New Roman" w:hAnsi="Times New Roman" w:cs="Times New Roman"/>
          <w:color w:val="000000"/>
          <w:sz w:val="24"/>
          <w:szCs w:val="24"/>
          <w:u w:val="single"/>
        </w:rPr>
        <w:t xml:space="preserve">                                         </w:t>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rPr>
        <w:t xml:space="preserve">      日期：</w:t>
      </w:r>
      <w:r>
        <w:rPr>
          <w:rFonts w:ascii="Times New Roman" w:hAnsi="Times New Roman" w:cs="Times New Roman"/>
          <w:color w:val="000000"/>
          <w:sz w:val="24"/>
          <w:szCs w:val="24"/>
          <w:u w:val="single"/>
        </w:rPr>
        <w:t xml:space="preserve">                                        </w:t>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1013"/>
        <w:ind w:left="0" w:firstLine="480"/>
        <w:jc w:val="both"/>
        <w:keepLines w:val="0"/>
        <w:keepNext w:val="0"/>
        <w:spacing w:before="0" w:beforeAutospacing="0" w:after="0" w:afterAutospacing="0"/>
        <w:widowControl w:val="off"/>
        <w:tabs>
          <w:tab w:val="left" w:pos="360" w:leader="none"/>
        </w:tabs>
        <w:rPr>
          <w:rFonts w:hint="eastAsia" w:ascii="Times New Roman" w:hAnsi="Times New Roman" w:cs="Times New Roman"/>
          <w:color w:val="000000"/>
          <w:sz w:val="24"/>
          <w:szCs w:val="24"/>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cs="Times New Roman"/>
          <w:color w:val="000000"/>
          <w:sz w:val="24"/>
          <w:szCs w:val="24"/>
          <w:u w:val="single"/>
        </w:rPr>
      </w:r>
      <w:r/>
    </w:p>
    <w:p>
      <w:pPr>
        <w:pStyle w:val="1013"/>
        <w:jc w:val="both"/>
        <w:keepLines/>
        <w:keepNext/>
        <w:spacing w:before="260" w:beforeAutospacing="0" w:after="260" w:afterAutospacing="0" w:line="415" w:lineRule="auto"/>
        <w:widowControl w:val="off"/>
        <w:rPr>
          <w:rFonts w:hint="eastAsia" w:ascii="宋体" w:hAnsi="宋体" w:eastAsia="宋体" w:cs="宋体"/>
          <w:b/>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i/>
          <w:iCs/>
          <w:color w:val="000000"/>
          <w:sz w:val="32"/>
          <w:szCs w:val="32"/>
          <w:u w:val="single"/>
        </w:rPr>
        <w:t xml:space="preserve">八、投标函</w:t>
      </w:r>
      <w:r/>
    </w:p>
    <w:p>
      <w:pPr>
        <w:pStyle w:val="996"/>
        <w:spacing w:line="360" w:lineRule="auto"/>
        <w:rPr>
          <w:rFonts w:hAnsi="宋体"/>
          <w:sz w:val="24"/>
          <w:szCs w:val="24"/>
        </w:rPr>
      </w:pPr>
      <w:r>
        <w:rPr>
          <w:rFonts w:hint="eastAsia" w:hAnsi="宋体" w:eastAsia="宋体" w:cs="宋体"/>
          <w:sz w:val="24"/>
          <w:szCs w:val="24"/>
          <w:lang w:eastAsia="zh-CN"/>
        </w:rPr>
        <w:t xml:space="preserve">致江苏经纬工程投资造价咨询事务所有限公司</w:t>
      </w:r>
      <w:r>
        <w:rPr>
          <w:rFonts w:hint="eastAsia" w:hAnsi="宋体"/>
          <w:sz w:val="24"/>
          <w:szCs w:val="24"/>
        </w:rPr>
        <w:t xml:space="preserve">：</w:t>
      </w:r>
      <w:r/>
    </w:p>
    <w:p>
      <w:pPr>
        <w:pStyle w:val="1070"/>
        <w:ind w:firstLine="480"/>
        <w:spacing w:line="360" w:lineRule="auto"/>
        <w:rPr>
          <w:rFonts w:hAnsi="宋体" w:eastAsia="宋体"/>
          <w:sz w:val="24"/>
          <w:szCs w:val="24"/>
        </w:rPr>
      </w:pPr>
      <w:r>
        <w:rPr>
          <w:rFonts w:hint="eastAsia" w:hAnsi="宋体" w:eastAsia="宋体"/>
          <w:sz w:val="24"/>
          <w:szCs w:val="24"/>
        </w:rPr>
        <w:t xml:space="preserve">我们收到贵公司号招标文件，经仔细阅读和研究，我们决定参加投标活动。</w:t>
      </w:r>
      <w:r/>
    </w:p>
    <w:p>
      <w:pPr>
        <w:pStyle w:val="1070"/>
        <w:ind w:firstLine="480"/>
        <w:spacing w:line="360" w:lineRule="auto"/>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、我们愿意按照招标文件的一切要求，提供完成该项目的全部内容，我们的投标报价包括设备更换费用、耗材费用</w:t>
      </w:r>
      <w:r>
        <w:rPr>
          <w:rFonts w:hAnsi="宋体" w:eastAsia="宋体"/>
          <w:sz w:val="24"/>
          <w:szCs w:val="24"/>
        </w:rPr>
        <w:t xml:space="preserve">、</w:t>
      </w:r>
      <w:r>
        <w:rPr>
          <w:rFonts w:hint="eastAsia" w:hAnsi="宋体" w:eastAsia="宋体"/>
          <w:sz w:val="24"/>
          <w:szCs w:val="24"/>
        </w:rPr>
        <w:t xml:space="preserve">实施服务费、常驻于项目现场工作人员的工资、福利、食宿、交通、通信以及项目利润、税金</w:t>
      </w:r>
      <w:r>
        <w:rPr>
          <w:rFonts w:hAnsi="宋体" w:eastAsia="宋体"/>
          <w:sz w:val="24"/>
          <w:szCs w:val="24"/>
        </w:rPr>
        <w:t xml:space="preserve">以及其他交付使用前所产生的所有费用</w:t>
      </w:r>
      <w:r>
        <w:rPr>
          <w:rFonts w:hint="eastAsia" w:hAnsi="宋体" w:eastAsia="宋体"/>
          <w:sz w:val="24"/>
          <w:szCs w:val="24"/>
        </w:rPr>
        <w:t xml:space="preserve">。</w:t>
      </w:r>
      <w:r/>
    </w:p>
    <w:p>
      <w:pPr>
        <w:pStyle w:val="1070"/>
        <w:ind w:firstLine="480"/>
        <w:spacing w:line="360" w:lineRule="auto"/>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、如果我们的投标响应文件被接受，我们将严格履行招标文件中规定的每一项要求，按期、按质、按量履行合同的义务。</w:t>
      </w:r>
      <w:r/>
    </w:p>
    <w:p>
      <w:pPr>
        <w:pStyle w:val="1070"/>
        <w:ind w:firstLine="480"/>
        <w:spacing w:line="360"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招标文件</w:t>
      </w:r>
      <w:r>
        <w:rPr>
          <w:rFonts w:hAnsi="宋体" w:eastAsia="宋体"/>
          <w:sz w:val="24"/>
          <w:szCs w:val="24"/>
        </w:rPr>
        <w:t xml:space="preserve">，包括</w:t>
      </w:r>
      <w:r>
        <w:rPr>
          <w:rFonts w:hint="eastAsia" w:hAnsi="宋体" w:eastAsia="宋体"/>
          <w:sz w:val="24"/>
          <w:szCs w:val="24"/>
        </w:rPr>
        <w:t xml:space="preserve">补充文件</w:t>
      </w:r>
      <w:r>
        <w:rPr>
          <w:rFonts w:hAnsi="宋体" w:eastAsia="宋体"/>
          <w:sz w:val="24"/>
          <w:szCs w:val="24"/>
        </w:rPr>
        <w:t xml:space="preserve">(如有)。我们完全理解并同意放弃对这方面有不明及误解的权力。</w:t>
      </w:r>
      <w:r/>
    </w:p>
    <w:p>
      <w:pPr>
        <w:pStyle w:val="1070"/>
        <w:ind w:firstLine="480"/>
        <w:spacing w:line="360" w:lineRule="auto"/>
        <w:rPr>
          <w:rFonts w:hAnsi="宋体" w:eastAsia="宋体"/>
          <w:sz w:val="24"/>
          <w:szCs w:val="24"/>
        </w:rPr>
      </w:pPr>
      <w:r>
        <w:rPr>
          <w:rFonts w:hint="eastAsia" w:hAnsi="宋体" w:eastAsia="宋体"/>
          <w:sz w:val="24"/>
          <w:szCs w:val="24"/>
        </w:rPr>
        <w:t xml:space="preserve">4、我们同意按招标文件中的规定，本投标响应文件的有效期限为开标之日开始后</w:t>
      </w:r>
      <w:r>
        <w:rPr>
          <w:rFonts w:hint="eastAsia" w:hAnsi="宋体" w:eastAsia="宋体"/>
          <w:sz w:val="24"/>
          <w:szCs w:val="24"/>
          <w:u w:val="single"/>
        </w:rPr>
        <w:t xml:space="preserve">九十</w:t>
      </w:r>
      <w:r>
        <w:rPr>
          <w:rFonts w:hint="eastAsia" w:hAnsi="宋体" w:eastAsia="宋体"/>
          <w:sz w:val="24"/>
          <w:szCs w:val="24"/>
        </w:rPr>
        <w:t xml:space="preserve">天。</w:t>
      </w:r>
      <w:r/>
    </w:p>
    <w:p>
      <w:pPr>
        <w:pStyle w:val="1070"/>
        <w:ind w:firstLine="480"/>
        <w:spacing w:line="360" w:lineRule="auto"/>
        <w:rPr>
          <w:rFonts w:hAnsi="宋体" w:eastAsia="宋体"/>
          <w:sz w:val="24"/>
          <w:szCs w:val="24"/>
        </w:rPr>
      </w:pPr>
      <w:r>
        <w:rPr>
          <w:rFonts w:hint="eastAsia" w:hAnsi="宋体" w:eastAsia="宋体"/>
          <w:sz w:val="24"/>
          <w:szCs w:val="24"/>
        </w:rPr>
        <w:t xml:space="preserve">5、我们愿意提供采购单位在招标文件中要求的所有资料。</w:t>
      </w:r>
      <w:r/>
    </w:p>
    <w:p>
      <w:pPr>
        <w:pStyle w:val="1070"/>
        <w:ind w:firstLine="480"/>
        <w:spacing w:line="360" w:lineRule="auto"/>
        <w:rPr>
          <w:rFonts w:hAnsi="宋体" w:eastAsia="宋体"/>
          <w:sz w:val="24"/>
          <w:szCs w:val="24"/>
        </w:rPr>
      </w:pPr>
      <w:r>
        <w:rPr>
          <w:rFonts w:hint="eastAsia" w:hAnsi="宋体" w:eastAsia="宋体"/>
          <w:sz w:val="24"/>
          <w:szCs w:val="24"/>
        </w:rPr>
        <w:t xml:space="preserve">6、我们声明：我们在参加本次采购活动前3年内在经营活动中没有重大违法记录。</w:t>
      </w:r>
      <w:r/>
    </w:p>
    <w:p>
      <w:pPr>
        <w:pStyle w:val="1070"/>
        <w:ind w:firstLine="480"/>
        <w:spacing w:line="360" w:lineRule="auto"/>
        <w:rPr>
          <w:rFonts w:hAnsi="宋体" w:eastAsia="宋体"/>
          <w:sz w:val="24"/>
          <w:szCs w:val="24"/>
        </w:rPr>
      </w:pPr>
      <w:r>
        <w:rPr>
          <w:rFonts w:hint="eastAsia" w:hAnsi="宋体" w:eastAsia="宋体"/>
          <w:sz w:val="24"/>
          <w:szCs w:val="24"/>
        </w:rPr>
        <w:t xml:space="preserve">7、我们愿意遵守招标文件中所列的收费标准。</w:t>
      </w:r>
      <w:r/>
    </w:p>
    <w:p>
      <w:pPr>
        <w:pStyle w:val="1070"/>
        <w:ind w:firstLine="480"/>
        <w:spacing w:line="360" w:lineRule="auto"/>
        <w:rPr>
          <w:rFonts w:hAnsi="宋体" w:eastAsia="宋体"/>
          <w:sz w:val="24"/>
          <w:szCs w:val="24"/>
        </w:rPr>
      </w:pPr>
      <w:r>
        <w:rPr>
          <w:rFonts w:hint="eastAsia" w:hAnsi="宋体" w:eastAsia="宋体"/>
          <w:sz w:val="24"/>
          <w:szCs w:val="24"/>
        </w:rPr>
        <w:t xml:space="preserve">8、我们承诺该投标响应文件在评标开始后的全过程中保持有效，不作任何更改和变动。</w:t>
      </w:r>
      <w:r/>
    </w:p>
    <w:p>
      <w:pPr>
        <w:pStyle w:val="1070"/>
        <w:ind w:firstLine="480"/>
        <w:spacing w:line="360" w:lineRule="auto"/>
        <w:rPr>
          <w:rFonts w:hAnsi="宋体" w:eastAsia="宋体"/>
          <w:sz w:val="24"/>
          <w:szCs w:val="24"/>
        </w:rPr>
      </w:pPr>
      <w:r>
        <w:rPr>
          <w:rFonts w:hint="eastAsia" w:hAnsi="宋体" w:eastAsia="宋体"/>
          <w:sz w:val="24"/>
          <w:szCs w:val="24"/>
        </w:rPr>
        <w:t xml:space="preserve">9、我们承诺我公司符合招标文件投标供应商须知中“合格投标供应商的条件”的要求，若与真实情况不符，本公司愿意承担由此而产生的一切后果。</w:t>
      </w:r>
      <w:r/>
    </w:p>
    <w:p>
      <w:pPr>
        <w:pStyle w:val="1070"/>
        <w:ind w:firstLine="480"/>
        <w:spacing w:line="360" w:lineRule="auto"/>
        <w:rPr>
          <w:rFonts w:hAnsi="宋体" w:eastAsia="宋体"/>
          <w:sz w:val="24"/>
          <w:szCs w:val="24"/>
        </w:rPr>
      </w:pPr>
      <w:r>
        <w:rPr>
          <w:rFonts w:hint="eastAsia" w:hAnsi="宋体" w:eastAsia="宋体"/>
          <w:sz w:val="24"/>
          <w:szCs w:val="24"/>
        </w:rPr>
        <w:t xml:space="preserve">10、综合说明：（</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p>
    <w:p>
      <w:pPr>
        <w:pStyle w:val="1070"/>
        <w:ind w:firstLine="480"/>
        <w:spacing w:line="360"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）对招标文件有不同意见的偏离说明；（</w:t>
      </w:r>
      <w:r>
        <w:rPr>
          <w:rFonts w:hAnsi="宋体" w:eastAsia="宋体"/>
          <w:sz w:val="24"/>
          <w:szCs w:val="24"/>
        </w:rPr>
        <w:t xml:space="preserve">4</w:t>
      </w:r>
      <w:r>
        <w:rPr>
          <w:rFonts w:hint="eastAsia" w:hAnsi="宋体" w:eastAsia="宋体"/>
          <w:sz w:val="24"/>
          <w:szCs w:val="24"/>
        </w:rPr>
        <w:t xml:space="preserve">）其它说明。</w:t>
      </w:r>
      <w:r/>
    </w:p>
    <w:p>
      <w:pPr>
        <w:pStyle w:val="1070"/>
        <w:spacing w:line="360" w:lineRule="auto"/>
        <w:rPr>
          <w:rFonts w:hAnsi="宋体" w:eastAsia="宋体"/>
          <w:sz w:val="24"/>
          <w:szCs w:val="24"/>
        </w:rPr>
      </w:pPr>
      <w:r>
        <w:rPr>
          <w:rFonts w:hAnsi="宋体" w:eastAsia="宋体"/>
          <w:sz w:val="24"/>
          <w:szCs w:val="24"/>
        </w:rPr>
      </w:r>
      <w:r/>
    </w:p>
    <w:p>
      <w:pPr>
        <w:pStyle w:val="1070"/>
        <w:ind w:left="3400" w:firstLine="425"/>
        <w:spacing w:line="360" w:lineRule="auto"/>
        <w:rPr>
          <w:rFonts w:hAnsi="宋体" w:eastAsia="宋体"/>
          <w:sz w:val="24"/>
          <w:szCs w:val="24"/>
        </w:rPr>
      </w:pPr>
      <w:r>
        <w:rPr>
          <w:rFonts w:hAnsi="宋体" w:eastAsia="宋体"/>
          <w:sz w:val="24"/>
          <w:szCs w:val="24"/>
        </w:rPr>
      </w:r>
      <w:r/>
    </w:p>
    <w:p>
      <w:pPr>
        <w:pStyle w:val="1070"/>
        <w:ind w:left="3400" w:firstLine="425"/>
        <w:spacing w:line="360" w:lineRule="auto"/>
        <w:rPr>
          <w:rFonts w:hAnsi="宋体" w:eastAsia="宋体"/>
          <w:sz w:val="24"/>
          <w:szCs w:val="24"/>
        </w:rPr>
      </w:pPr>
      <w:r>
        <w:rPr>
          <w:rFonts w:hint="eastAsia" w:hAnsi="宋体" w:eastAsia="宋体"/>
          <w:sz w:val="24"/>
          <w:szCs w:val="24"/>
        </w:rPr>
        <w:t xml:space="preserve">供应商：（单位盖章）</w:t>
      </w:r>
      <w:r/>
    </w:p>
    <w:p>
      <w:pPr>
        <w:pStyle w:val="1070"/>
        <w:ind w:left="3825"/>
        <w:jc w:val="left"/>
        <w:spacing w:line="360" w:lineRule="auto"/>
        <w:rPr>
          <w:rFonts w:hAnsi="宋体" w:eastAsia="宋体"/>
          <w:sz w:val="24"/>
          <w:szCs w:val="24"/>
        </w:rPr>
      </w:pPr>
      <w:r>
        <w:rPr>
          <w:rFonts w:hint="eastAsia" w:hAnsi="宋体" w:eastAsia="宋体"/>
          <w:sz w:val="24"/>
          <w:szCs w:val="24"/>
        </w:rPr>
        <w:t xml:space="preserve">法定代表人或代理人：（签字或盖章）</w:t>
      </w:r>
      <w:r/>
    </w:p>
    <w:p>
      <w:pPr>
        <w:pStyle w:val="1070"/>
        <w:ind w:left="3400" w:firstLine="425"/>
        <w:spacing w:line="360" w:lineRule="auto"/>
        <w:rPr>
          <w:rFonts w:hAnsi="宋体" w:eastAsia="宋体"/>
          <w:sz w:val="24"/>
          <w:szCs w:val="24"/>
        </w:rPr>
      </w:pPr>
      <w:r>
        <w:rPr>
          <w:rFonts w:hint="eastAsia" w:hAnsi="宋体" w:eastAsia="宋体"/>
          <w:sz w:val="24"/>
          <w:szCs w:val="24"/>
        </w:rPr>
        <w:t xml:space="preserve">日期：         年月日</w:t>
      </w:r>
      <w:r/>
    </w:p>
    <w:p>
      <w:pPr>
        <w:pStyle w:val="1013"/>
        <w:ind w:left="420" w:firstLine="480"/>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13"/>
        <w:ind w:left="0" w:firstLine="240"/>
        <w:jc w:val="center"/>
        <w:keepLines w:val="0"/>
        <w:keepNext w:val="0"/>
        <w:spacing w:before="0" w:beforeAutospacing="0" w:after="0" w:afterAutospacing="0" w:line="0" w:lineRule="atLeast"/>
        <w:widowControl w:val="off"/>
        <w:rPr>
          <w:rFonts w:hint="eastAsia" w:ascii="黑体" w:hAnsi="宋体" w:eastAsia="黑体" w:cs="黑体"/>
          <w:b/>
          <w:bCs/>
          <w:color w:val="000000"/>
          <w:sz w:val="32"/>
          <w:szCs w:val="32"/>
        </w:rPr>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jc w:val="center"/>
        <w:spacing w:before="312" w:after="312" w:line="360" w:lineRule="auto"/>
        <w:rPr>
          <w:rFonts w:hint="eastAsia" w:ascii="宋体" w:hAnsi="宋体" w:eastAsia="宋体" w:cs="宋体"/>
          <w:b/>
          <w:bCs/>
          <w:color w:val="000000"/>
          <w:sz w:val="36"/>
          <w:szCs w:val="36"/>
        </w:rPr>
      </w:pPr>
      <w:r>
        <w:rPr>
          <w:rFonts w:hint="eastAsia" w:ascii="黑体" w:hAnsi="宋体" w:eastAsia="黑体" w:cs="黑体"/>
          <w:b/>
          <w:bCs/>
          <w:color w:val="000000"/>
          <w:sz w:val="32"/>
          <w:szCs w:val="32"/>
        </w:rPr>
        <w:t xml:space="preserve">九、</w:t>
      </w:r>
      <w:r>
        <w:rPr>
          <w:rFonts w:hint="eastAsia" w:ascii="宋体" w:hAnsi="宋体" w:eastAsia="宋体" w:cs="宋体"/>
          <w:b/>
          <w:bCs/>
          <w:color w:val="000000"/>
          <w:sz w:val="36"/>
          <w:szCs w:val="36"/>
        </w:rPr>
        <w:t xml:space="preserve">中小企业声明函（</w:t>
      </w:r>
      <w:r>
        <w:rPr>
          <w:rFonts w:hint="eastAsia" w:ascii="宋体" w:hAnsi="宋体" w:eastAsia="宋体" w:cs="宋体"/>
          <w:b/>
          <w:bCs/>
          <w:color w:val="000000"/>
          <w:sz w:val="36"/>
          <w:szCs w:val="36"/>
          <w:lang w:eastAsia="zh-CN"/>
        </w:rPr>
        <w:t xml:space="preserve">货物</w:t>
      </w:r>
      <w:r>
        <w:rPr>
          <w:rFonts w:hint="eastAsia" w:ascii="宋体" w:hAnsi="宋体" w:eastAsia="宋体" w:cs="宋体"/>
          <w:b/>
          <w:bCs/>
          <w:color w:val="000000"/>
          <w:sz w:val="36"/>
          <w:szCs w:val="36"/>
        </w:rPr>
        <w:t xml:space="preserve">）</w:t>
      </w:r>
      <w:r/>
    </w:p>
    <w:p>
      <w:pPr>
        <w:jc w:val="center"/>
        <w:spacing w:after="200" w:line="4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中小企业声明函</w:t>
      </w:r>
      <w:r/>
    </w:p>
    <w:p>
      <w:pPr>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本公司（联合体）郑重声明，根据《政府采购促进中小企业发展管理办法》（财库﹝2020﹞46 号）的规定，本公司参加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u w:val="single"/>
        </w:rPr>
        <w:t xml:space="preserve">编号为*********的</w:t>
      </w:r>
      <w:r>
        <w:rPr>
          <w:rFonts w:hint="eastAsia" w:ascii="宋体" w:hAnsi="宋体" w:eastAsia="宋体" w:cs="宋体"/>
          <w:color w:val="000000"/>
          <w:sz w:val="24"/>
        </w:rPr>
        <w:t xml:space="preserve">采购活动，提供的货物全部由符合政策要求的中小企业制造。相关企业（含联合体中的中小企业、签订分包意向协议的中小企业）的具体情况如下：</w:t>
      </w:r>
      <w:r/>
    </w:p>
    <w:p>
      <w:pPr>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（标的名称）</w:t>
      </w:r>
      <w:r>
        <w:rPr>
          <w:rFonts w:hint="eastAsia" w:ascii="宋体" w:hAnsi="宋体" w:eastAsia="宋体" w:cs="宋体"/>
          <w:color w:val="000000"/>
          <w:sz w:val="24"/>
        </w:rPr>
        <w:t xml:space="preserve"> ，属于</w:t>
      </w:r>
      <w:r>
        <w:rPr>
          <w:rFonts w:hint="eastAsia" w:ascii="宋体" w:hAnsi="宋体" w:eastAsia="宋体" w:cs="宋体"/>
          <w:bCs/>
          <w:color w:val="000000"/>
          <w:sz w:val="24"/>
          <w:u w:val="single"/>
          <w:lang w:val="zh-CN" w:bidi="zh-CN"/>
        </w:rPr>
        <w:t xml:space="preserve">（采购文件中明确的所属行业）</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；制造商为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w:t>
      </w:r>
      <w:r/>
    </w:p>
    <w:p>
      <w:pPr>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u w:val="single"/>
        </w:rPr>
        <w:t xml:space="preserve">2.（标的名称）</w:t>
      </w:r>
      <w:r>
        <w:rPr>
          <w:rFonts w:hint="eastAsia" w:ascii="宋体" w:hAnsi="宋体" w:eastAsia="宋体" w:cs="宋体"/>
          <w:color w:val="000000"/>
          <w:sz w:val="24"/>
        </w:rPr>
        <w:t xml:space="preserve"> ，属于</w:t>
      </w:r>
      <w:r>
        <w:rPr>
          <w:rFonts w:hint="eastAsia" w:ascii="宋体" w:hAnsi="宋体" w:eastAsia="宋体" w:cs="宋体"/>
          <w:bCs/>
          <w:color w:val="000000"/>
          <w:sz w:val="24"/>
          <w:u w:val="single"/>
          <w:lang w:val="zh-CN" w:bidi="zh-CN"/>
        </w:rPr>
        <w:t xml:space="preserve">（采购文件中明确的所属行业）</w:t>
      </w:r>
      <w:r>
        <w:rPr>
          <w:rFonts w:hint="eastAsia" w:ascii="宋体" w:hAnsi="宋体" w:eastAsia="宋体" w:cs="宋体"/>
          <w:color w:val="000000"/>
          <w:sz w:val="24"/>
        </w:rPr>
        <w:t xml:space="preserve">；制造商为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w:t>
      </w:r>
      <w:r/>
    </w:p>
    <w:p>
      <w:pPr>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p>
    <w:p>
      <w:pPr>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法定代表人或者授权代表（签字或盖章）：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供应商全称（盖章）：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备注：</w:t>
      </w:r>
      <w:r/>
    </w:p>
    <w:p>
      <w:pPr>
        <w:ind w:firstLine="480"/>
        <w:jc w:val="left"/>
        <w:spacing w:after="200"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1、从业人员、营业收入、资产总额填报上一年度数据，无上一年度数据的新成立企业可不填报。</w:t>
      </w:r>
      <w:r/>
    </w:p>
    <w:p>
      <w:pPr>
        <w:ind w:firstLine="420"/>
        <w:jc w:val="left"/>
        <w:spacing w:after="200" w:line="360" w:lineRule="auto"/>
        <w:widowControl/>
      </w:pPr>
      <w:r>
        <w:rPr>
          <w:rFonts w:hint="eastAsia" w:ascii="宋体" w:hAnsi="宋体" w:eastAsia="宋体" w:cs="宋体"/>
          <w:bCs/>
          <w:color w:val="000000"/>
          <w:sz w:val="24"/>
        </w:rPr>
        <w:t xml:space="preserve">2、供应商对所报相关数据的真实性负责，中标后代理机构有权将相关内容进行公示。</w:t>
      </w:r>
      <w:r>
        <w:t xml:space="preserve"> </w:t>
      </w:r>
      <w:r/>
    </w:p>
    <w:p>
      <w:pPr>
        <w:pStyle w:val="101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b/>
          <w:bCs/>
          <w:color w:val="000000"/>
          <w:sz w:val="32"/>
          <w:szCs w:val="32"/>
        </w:rPr>
        <w:br w:type="page" w:clear="all"/>
      </w:r>
      <w:r>
        <w:rPr>
          <w:rFonts w:hint="eastAsia" w:ascii="黑体" w:hAnsi="宋体" w:eastAsia="黑体" w:cs="黑体"/>
          <w:b/>
          <w:bCs/>
          <w:color w:val="000000"/>
          <w:sz w:val="32"/>
          <w:szCs w:val="32"/>
        </w:rPr>
        <w:t xml:space="preserve"> 十、残疾人福利性单位声明函</w:t>
      </w:r>
      <w:r/>
    </w:p>
    <w:p>
      <w:pPr>
        <w:ind w:firstLine="562"/>
        <w:jc w:val="center"/>
        <w:spacing w:line="460" w:lineRule="exact"/>
        <w:rPr>
          <w:rFonts w:ascii="宋体" w:hAnsi="宋体" w:cs="宋体"/>
          <w:b/>
          <w:bCs/>
          <w:color w:val="000000"/>
          <w:sz w:val="28"/>
          <w:szCs w:val="28"/>
        </w:rPr>
      </w:pPr>
      <w:r>
        <w:rPr>
          <w:rFonts w:hint="eastAsia" w:ascii="宋体" w:hAnsi="宋体" w:cs="宋体"/>
          <w:b/>
          <w:bCs/>
          <w:color w:val="000000"/>
          <w:sz w:val="28"/>
          <w:szCs w:val="28"/>
        </w:rPr>
        <w:t xml:space="preserve">残疾人福利性单位声明函</w:t>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u w:val="single"/>
          <w:lang w:eastAsia="zh-CN"/>
        </w:rPr>
        <w:t xml:space="preserve">泰州市中级人民法院</w:t>
      </w:r>
      <w:r>
        <w:rPr>
          <w:rFonts w:hint="eastAsia" w:ascii="宋体" w:hAnsi="宋体" w:eastAsia="宋体" w:cs="宋体"/>
          <w:color w:val="000000"/>
          <w:sz w:val="24"/>
        </w:rPr>
        <w:t xml:space="preserve"> 的采购文件编号为</w:t>
      </w:r>
      <w:r>
        <w:rPr>
          <w:rFonts w:hint="eastAsia" w:ascii="宋体" w:hAnsi="宋体" w:eastAsia="宋体" w:cs="宋体"/>
          <w:bCs/>
          <w:color w:val="000000"/>
          <w:sz w:val="24"/>
          <w:u w:val="single"/>
        </w:rPr>
        <w:t xml:space="preserve">**********的</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000000"/>
          <w:sz w:val="24"/>
        </w:rPr>
      </w:pPr>
      <w:r>
        <w:rPr>
          <w:rFonts w:hint="eastAsia" w:ascii="宋体" w:hAnsi="宋体" w:eastAsia="宋体" w:cs="宋体"/>
          <w:color w:val="000000"/>
          <w:sz w:val="24"/>
        </w:rPr>
        <w:t xml:space="preserve">本单位对上述声明的真实性负责。如有虚假，将依法承担相应责任。</w:t>
      </w:r>
      <w:r/>
    </w:p>
    <w:p>
      <w:pPr>
        <w:spacing w:line="588" w:lineRule="exact"/>
        <w:rPr>
          <w:rFonts w:hint="eastAsia" w:ascii="宋体" w:hAnsi="宋体" w:eastAsia="宋体" w:cs="宋体"/>
          <w:color w:val="000000"/>
          <w:spacing w:val="6"/>
          <w:sz w:val="24"/>
        </w:rPr>
      </w:pPr>
      <w:r>
        <w:rPr>
          <w:rFonts w:hint="eastAsia" w:ascii="宋体" w:hAnsi="宋体" w:eastAsia="宋体" w:cs="宋体"/>
          <w:color w:val="000000"/>
          <w:spacing w:val="6"/>
          <w:sz w:val="24"/>
        </w:rPr>
      </w:r>
      <w:r/>
    </w:p>
    <w:p>
      <w:pPr>
        <w:ind w:right="1560" w:firstLine="480"/>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t xml:space="preserve">法定代表人或者授权代表（签字或盖章）：         </w:t>
      </w:r>
      <w:r/>
    </w:p>
    <w:p>
      <w:pPr>
        <w:ind w:right="1560" w:firstLine="480"/>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t xml:space="preserve">供应商全称（盖章）：         </w:t>
      </w:r>
      <w:r/>
    </w:p>
    <w:p>
      <w:pPr>
        <w:ind w:right="1560" w:firstLine="480"/>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t xml:space="preserve">日期：       年     月     日</w:t>
      </w:r>
      <w:r/>
    </w:p>
    <w:p>
      <w:pPr>
        <w:ind w:right="1560" w:firstLine="480"/>
        <w:jc w:val="center"/>
        <w:spacing w:line="588" w:lineRule="exact"/>
        <w:tabs>
          <w:tab w:val="left" w:pos="486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1013"/>
        <w:jc w:val="left"/>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rPr>
        <w:t xml:space="preserve">（备注：1、中标供应商为残疾人福利单位的，此声明函将随中标结果同时公告，接受社会监督）</w:t>
      </w:r>
      <w:r>
        <w:t xml:space="preserve"> </w:t>
      </w:r>
      <w:r/>
    </w:p>
    <w:p>
      <w:pPr>
        <w:pStyle w:val="1013"/>
        <w:jc w:val="left"/>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0" w:firstLine="645"/>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jc w:val="center"/>
        <w:spacing w:after="100" w:afterAutospacing="1" w:line="440" w:lineRule="exact"/>
        <w:rPr>
          <w:rFonts w:ascii="Arial" w:hAnsi="Arial" w:cs="Arial"/>
          <w:b/>
          <w:bCs/>
          <w:sz w:val="24"/>
          <w:highlight w:val="none"/>
        </w:rPr>
        <w:outlineLvl w:val="1"/>
      </w:pPr>
      <w:r>
        <w:rPr>
          <w:rFonts w:hint="eastAsia" w:ascii="宋体" w:hAnsi="宋体" w:cs="宋体"/>
          <w:b/>
          <w:sz w:val="36"/>
          <w:szCs w:val="36"/>
          <w:highlight w:val="none"/>
          <w:lang w:eastAsia="zh-CN"/>
        </w:rPr>
        <w:t xml:space="preserve">十一、</w:t>
      </w:r>
      <w:r>
        <w:rPr>
          <w:rFonts w:hint="eastAsia" w:ascii="宋体" w:hAnsi="宋体" w:cs="宋体"/>
          <w:b/>
          <w:sz w:val="36"/>
          <w:szCs w:val="36"/>
          <w:highlight w:val="none"/>
        </w:rPr>
        <w:t xml:space="preserve">投标偏离表</w:t>
      </w:r>
      <w:r/>
    </w:p>
    <w:p>
      <w:pP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供应商名称（盖章）                  采购项目编号：       </w:t>
      </w:r>
      <w:r/>
    </w:p>
    <w:p>
      <w:pPr>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r>
      <w:r/>
    </w:p>
    <w:tbl>
      <w:tblPr>
        <w:tblStyle w:val="800"/>
        <w:tblW w:w="7908" w:type="dxa"/>
        <w:jc w:val="center"/>
        <w:tblLayout w:type="fixed"/>
        <w:tblCellMar>
          <w:left w:w="15" w:type="dxa"/>
          <w:top w:w="15" w:type="dxa"/>
          <w:right w:w="15" w:type="dxa"/>
          <w:bottom w:w="0" w:type="dxa"/>
        </w:tblCellMar>
        <w:tblLook w:val="04A0" w:firstRow="1" w:lastRow="0" w:firstColumn="1" w:lastColumn="0" w:noHBand="0" w:noVBand="1"/>
      </w:tblPr>
      <w:tblGrid>
        <w:gridCol w:w="1527"/>
        <w:gridCol w:w="2267"/>
        <w:gridCol w:w="2267"/>
        <w:gridCol w:w="1847"/>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top"/>
            <w:textDirection w:val="lrTb"/>
            <w:noWrap/>
          </w:tcPr>
          <w:p>
            <w:pPr>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名称</w:t>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采购文件采购要求</w:t>
            </w:r>
            <w:r/>
          </w:p>
        </w:tc>
        <w:tc>
          <w:tcPr>
            <w:tcBorders>
              <w:top w:val="single" w:color="000000" w:sz="4" w:space="0"/>
              <w:left w:val="single" w:color="000000" w:sz="4" w:space="0"/>
              <w:bottom w:val="single" w:color="000000" w:sz="4" w:space="0"/>
              <w:right w:val="single" w:color="000000" w:sz="4" w:space="0"/>
            </w:tcBorders>
            <w:tcW w:w="2267" w:type="dxa"/>
            <w:vAlign w:val="top"/>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实报内容 </w:t>
            </w:r>
            <w:r/>
          </w:p>
        </w:tc>
        <w:tc>
          <w:tcPr>
            <w:tcBorders>
              <w:top w:val="single" w:color="000000" w:sz="4" w:space="0"/>
              <w:left w:val="single" w:color="000000" w:sz="4" w:space="0"/>
              <w:bottom w:val="single" w:color="000000" w:sz="4" w:space="0"/>
              <w:right w:val="single" w:color="000000" w:sz="4" w:space="0"/>
            </w:tcBorders>
            <w:tcW w:w="1847" w:type="dxa"/>
            <w:vAlign w:val="top"/>
            <w:textDirection w:val="lrTb"/>
            <w:noWrap w:val="false"/>
          </w:tcPr>
          <w:p>
            <w:pPr>
              <w:jc w:val="center"/>
              <w:spacing w:before="100" w:beforeAutospacing="1" w:after="100" w:afterAutospacing="1" w:line="360" w:lineRule="auto"/>
              <w:widowControl/>
              <w:rPr>
                <w:rFonts w:hint="eastAsia" w:ascii="宋体" w:hAnsi="宋体" w:eastAsia="宋体" w:cs="宋体"/>
                <w:color w:val="000000"/>
                <w:sz w:val="24"/>
                <w:highlight w:val="none"/>
                <w:shd w:val="clear" w:color="auto" w:fill="ffffff"/>
              </w:rPr>
            </w:pPr>
            <w:r>
              <w:rPr>
                <w:rFonts w:hint="eastAsia" w:ascii="宋体" w:hAnsi="宋体" w:eastAsia="宋体" w:cs="宋体"/>
                <w:color w:val="000000"/>
                <w:sz w:val="24"/>
                <w:highlight w:val="none"/>
                <w:shd w:val="clear" w:color="auto" w:fill="ffffff"/>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527" w:type="dxa"/>
            <w:vAlign w:val="center"/>
            <w:textDirection w:val="lrTb"/>
            <w:noWrap/>
          </w:tcPr>
          <w:p>
            <w:pPr>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c>
          <w:tcPr>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rPr>
                <w:rFonts w:hint="eastAsia" w:ascii="宋体" w:hAnsi="宋体" w:eastAsia="宋体" w:cs="宋体"/>
                <w:bCs/>
                <w:color w:val="000000"/>
                <w:szCs w:val="24"/>
                <w:highlight w:val="none"/>
              </w:rPr>
            </w:pPr>
            <w:r>
              <w:rPr>
                <w:rFonts w:hint="eastAsia" w:ascii="宋体" w:hAnsi="宋体" w:eastAsia="宋体" w:cs="宋体"/>
                <w:bCs/>
                <w:color w:val="000000"/>
                <w:szCs w:val="24"/>
                <w:highlight w:val="none"/>
              </w:rPr>
            </w:r>
            <w:r/>
          </w:p>
        </w:tc>
      </w:tr>
    </w:tbl>
    <w:p>
      <w:pPr>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法定代表人或法定代表人授权代表签字或盖章：</w:t>
      </w:r>
      <w:r/>
    </w:p>
    <w:p>
      <w:pPr>
        <w:rPr>
          <w:rFonts w:hint="eastAsia" w:ascii="宋体" w:hAnsi="宋体" w:eastAsia="宋体" w:cs="宋体"/>
          <w:bCs/>
          <w:color w:val="000000"/>
          <w:sz w:val="30"/>
          <w:highlight w:val="none"/>
        </w:rPr>
      </w:pPr>
      <w:r>
        <w:rPr>
          <w:rFonts w:hint="eastAsia" w:ascii="宋体" w:hAnsi="宋体" w:eastAsia="宋体" w:cs="宋体"/>
          <w:bCs/>
          <w:color w:val="000000"/>
          <w:sz w:val="30"/>
          <w:highlight w:val="none"/>
        </w:rPr>
      </w:r>
      <w:r/>
    </w:p>
    <w:p>
      <w:pPr>
        <w:pStyle w:val="1013"/>
        <w:jc w:val="both"/>
        <w:keepLines w:val="0"/>
        <w:keepNext w:val="0"/>
        <w:spacing w:before="0" w:beforeAutospacing="0" w:after="0" w:afterAutospacing="0" w:line="480" w:lineRule="auto"/>
        <w:widowControl w:val="off"/>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注：（1）本表不得删除；</w:t>
      </w:r>
      <w:r/>
    </w:p>
    <w:p>
      <w:pPr>
        <w:pStyle w:val="1013"/>
        <w:jc w:val="both"/>
        <w:keepLines w:val="0"/>
        <w:keepNext w:val="0"/>
        <w:spacing w:before="0" w:beforeAutospacing="0" w:after="0" w:afterAutospacing="0" w:line="480" w:lineRule="auto"/>
        <w:widowControl w:val="off"/>
        <w:rPr>
          <w:rFonts w:hint="eastAsia" w:ascii="宋体" w:hAnsi="宋体" w:eastAsia="宋体" w:cs="宋体"/>
          <w:bCs/>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（2）如无任何技术偏离，请于本表“偏离说明”中注明“无偏离或正偏离”；</w:t>
      </w:r>
      <w:r/>
    </w:p>
    <w:p>
      <w:pPr>
        <w:pStyle w:val="1013"/>
        <w:jc w:val="both"/>
        <w:keepLines w:val="0"/>
        <w:keepNext w:val="0"/>
        <w:spacing w:before="0" w:beforeAutospacing="0" w:after="0" w:afterAutospacing="0" w:line="480" w:lineRule="auto"/>
        <w:widowControl w:val="off"/>
        <w:rPr>
          <w:rFonts w:hint="eastAsia" w:ascii="宋体" w:hAnsi="宋体" w:eastAsia="宋体" w:cs="宋体"/>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Cs/>
          <w:color w:val="000000"/>
          <w:sz w:val="24"/>
          <w:highlight w:val="none"/>
        </w:rPr>
        <w:t xml:space="preserve">（3）如有技术负偏离项，请于本表中列明偏离内容，如需要可自行延长，其余无偏离内容不须赘述。</w:t>
      </w:r>
      <w:r>
        <w:rPr>
          <w:rFonts w:hint="eastAsia" w:ascii="宋体" w:hAnsi="宋体" w:eastAsia="宋体" w:cs="宋体"/>
        </w:rPr>
        <w:t xml:space="preserve"> </w:t>
      </w:r>
      <w:r/>
    </w:p>
    <w:p>
      <w:pPr>
        <w:pStyle w:val="1013"/>
        <w:jc w:val="both"/>
        <w:keepLines w:val="0"/>
        <w:keepNext w:val="0"/>
        <w:spacing w:before="0" w:beforeAutospacing="0" w:after="0" w:afterAutospacing="0" w:line="48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
    </w:p>
    <w:p>
      <w:pPr>
        <w:pStyle w:val="972"/>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0"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1013"/>
        <w:ind w:left="0" w:right="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b/>
          <w:bCs/>
          <w:i/>
          <w:iCs/>
          <w:color w:val="000000"/>
          <w:sz w:val="32"/>
          <w:szCs w:val="32"/>
          <w:u w:val="single"/>
          <w:lang w:eastAsia="zh-CN"/>
        </w:rPr>
        <w:t xml:space="preserve">十二、</w:t>
      </w:r>
      <w:r>
        <w:rPr>
          <w:rFonts w:ascii="黑体" w:hAnsi="宋体" w:eastAsia="黑体" w:cs="黑体"/>
          <w:b/>
          <w:bCs/>
          <w:i/>
          <w:iCs/>
          <w:color w:val="000000"/>
          <w:sz w:val="32"/>
          <w:szCs w:val="32"/>
          <w:u w:val="single"/>
        </w:rPr>
        <w:t xml:space="preserve">开标一览表</w:t>
      </w:r>
      <w:r/>
    </w:p>
    <w:p>
      <w:pPr>
        <w:pStyle w:val="1013"/>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投标人全称（加盖CA电子签章）：</w:t>
      </w:r>
      <w:r/>
    </w:p>
    <w:p>
      <w:pPr>
        <w:pStyle w:val="1013"/>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项目名称：</w:t>
      </w:r>
      <w:r/>
    </w:p>
    <w:p>
      <w:pPr>
        <w:pStyle w:val="1013"/>
        <w:ind w:left="0" w:firstLine="480"/>
        <w:jc w:val="left"/>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招标编号：                                   分包号：</w:t>
      </w:r>
      <w:r/>
    </w:p>
    <w:tbl>
      <w:tblPr>
        <w:tblStyle w:val="800"/>
        <w:tblW w:w="0" w:type="auto"/>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W w:w="8206" w:type="dxa"/>
            <w:vAlign w:val="center"/>
            <w:textDirection w:val="lrTb"/>
            <w:noWrap w:val="false"/>
          </w:tcPr>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投标总报价</w:t>
            </w:r>
            <w:r/>
          </w:p>
        </w:tc>
      </w:tr>
      <w:tr>
        <w:trPr>
          <w:tblCellSpacing w:w="0" w:type="dxa"/>
          <w:trHeight w:val="612"/>
        </w:trPr>
        <w:tc>
          <w:tcPr>
            <w:tcW w:w="8206" w:type="dxa"/>
            <w:vAlign w:val="center"/>
            <w:textDirection w:val="lrTb"/>
            <w:noWrap w:val="false"/>
          </w:tcPr>
          <w:p>
            <w:pPr>
              <w:pStyle w:val="1013"/>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小写：                       （人民币：元）</w:t>
            </w:r>
            <w:r/>
          </w:p>
        </w:tc>
      </w:tr>
    </w:tbl>
    <w:p>
      <w:pPr>
        <w:pStyle w:val="1013"/>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1013"/>
        <w:ind w:lef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日期：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pStyle w:val="972"/>
        <w:ind w:left="45" w:firstLine="0"/>
        <w:rPr>
          <w:rFonts w:hint="eastAsia" w:ascii="宋体" w:hAnsi="宋体" w:eastAsia="宋体" w:cs="宋体"/>
          <w:szCs w:val="21"/>
          <w:lang w:val="en-US" w:eastAsia="zh-CN"/>
        </w:rPr>
      </w:pPr>
      <w:r>
        <w:rPr>
          <w:rFonts w:hint="eastAsia" w:ascii="宋体" w:hAnsi="宋体" w:eastAsia="宋体" w:cs="宋体"/>
          <w:szCs w:val="21"/>
          <w:lang w:val="en-US" w:eastAsia="zh-CN"/>
        </w:rPr>
      </w:r>
      <w:r/>
    </w:p>
    <w:p>
      <w:pPr>
        <w:jc w:val="center"/>
        <w:spacing w:line="560" w:lineRule="exact"/>
        <w:rPr>
          <w:rFonts w:hint="eastAsia" w:ascii="宋体" w:hAnsi="宋体" w:eastAsia="宋体" w:cs="宋体"/>
          <w:b/>
          <w:bCs/>
          <w:strike w:val="0"/>
          <w:color w:val="000000"/>
          <w:sz w:val="32"/>
          <w:szCs w:val="32"/>
          <w:highlight w:val="none"/>
          <w:lang w:eastAsia="zh-CN"/>
        </w:rPr>
      </w:pPr>
      <w:r>
        <w:rPr>
          <w:rFonts w:hint="eastAsia" w:ascii="宋体" w:hAnsi="宋体" w:cs="宋体"/>
          <w:b/>
          <w:bCs/>
          <w:strike w:val="0"/>
          <w:color w:val="000000"/>
          <w:sz w:val="32"/>
          <w:szCs w:val="32"/>
          <w:highlight w:val="none"/>
          <w:lang w:eastAsia="zh-CN"/>
        </w:rPr>
        <w:t xml:space="preserve">十三、关于符合本国产品标准的声明函</w:t>
      </w:r>
      <w:r/>
    </w:p>
    <w:p>
      <w:pPr>
        <w:pStyle w:val="1013"/>
        <w:ind w:left="0" w:right="0"/>
        <w:jc w:val="center"/>
        <w:keepLines w:val="0"/>
        <w:keepNext w:val="0"/>
        <w:spacing w:before="15" w:beforeAutospacing="0" w:after="15" w:afterAutospacing="0"/>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rPr>
      </w:r>
      <w:r/>
    </w:p>
    <w:p>
      <w:pPr>
        <w:pStyle w:val="1013"/>
        <w:ind w:left="0" w:firstLine="420"/>
        <w:keepLines w:val="0"/>
        <w:keepNext w:val="0"/>
        <w:spacing w:before="15" w:beforeAutospacing="0" w:after="15" w:afterAutospacing="0"/>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shd w:val="clear" w:color="auto" w:fill="ffffff"/>
        </w:rPr>
        <w:t xml:space="preserve"> </w:t>
      </w:r>
      <w:r/>
    </w:p>
    <w:p>
      <w:pPr>
        <w:pStyle w:val="1013"/>
        <w:ind w:left="0" w:firstLine="420"/>
        <w:keepLines w:val="0"/>
        <w:keepNext w:val="0"/>
        <w:spacing w:before="0" w:beforeAutospacing="0" w:after="0" w:afterAutospacing="0" w:line="360" w:lineRule="auto"/>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3"/>
        <w:ind w:left="0" w:firstLine="420"/>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1.</w:t>
      </w:r>
      <w:r>
        <w:rPr>
          <w:rFonts w:hint="eastAsia" w:ascii="宋体" w:hAnsi="宋体" w:eastAsia="宋体" w:cs="宋体"/>
          <w:strike w:val="0"/>
          <w:color w:val="000000"/>
          <w:sz w:val="24"/>
          <w:szCs w:val="24"/>
          <w:highlight w:val="none"/>
          <w:u w:val="single"/>
          <w:shd w:val="clear" w:color="auto" w:fill="ffffff"/>
        </w:rPr>
        <w:t xml:space="preserve">（产品名称1）</w:t>
      </w:r>
      <w:r>
        <w:rPr>
          <w:rFonts w:hint="eastAsia" w:ascii="宋体" w:hAnsi="宋体" w:eastAsia="宋体" w:cs="宋体"/>
          <w:strike w:val="0"/>
          <w:color w:val="000000"/>
          <w:sz w:val="24"/>
          <w:szCs w:val="24"/>
          <w:highlight w:val="none"/>
          <w:shd w:val="clear" w:color="auto" w:fill="ffffff"/>
          <w:vertAlign w:val="superscript"/>
        </w:rPr>
        <w:t xml:space="preserve">1</w:t>
      </w:r>
      <w:r>
        <w:rPr>
          <w:rFonts w:hint="eastAsia" w:ascii="宋体" w:hAnsi="宋体" w:eastAsia="宋体" w:cs="宋体"/>
          <w:strike w:val="0"/>
          <w:color w:val="000000"/>
          <w:sz w:val="24"/>
          <w:szCs w:val="24"/>
          <w:highlight w:val="none"/>
          <w:shd w:val="clear" w:color="auto" w:fill="ffffff"/>
        </w:rPr>
        <w:t xml:space="preserve">，生产厂为</w:t>
      </w:r>
      <w:r>
        <w:rPr>
          <w:rFonts w:hint="eastAsia" w:ascii="宋体" w:hAnsi="宋体" w:eastAsia="宋体" w:cs="宋体"/>
          <w:strike w:val="0"/>
          <w:color w:val="000000"/>
          <w:sz w:val="24"/>
          <w:szCs w:val="24"/>
          <w:highlight w:val="none"/>
          <w:u w:val="single"/>
          <w:shd w:val="clear" w:color="auto" w:fill="ffffff"/>
        </w:rPr>
        <w:t xml:space="preserve">（厂名）</w:t>
      </w:r>
      <w:r>
        <w:rPr>
          <w:rFonts w:hint="eastAsia" w:ascii="宋体" w:hAnsi="宋体" w:eastAsia="宋体" w:cs="宋体"/>
          <w:strike w:val="0"/>
          <w:color w:val="000000"/>
          <w:sz w:val="24"/>
          <w:szCs w:val="24"/>
          <w:highlight w:val="none"/>
          <w:shd w:val="clear" w:color="auto" w:fill="ffffff"/>
          <w:vertAlign w:val="superscript"/>
        </w:rPr>
        <w:t xml:space="preserve">2</w:t>
      </w:r>
      <w:r>
        <w:rPr>
          <w:rFonts w:hint="eastAsia" w:ascii="宋体" w:hAnsi="宋体" w:eastAsia="宋体" w:cs="宋体"/>
          <w:strike w:val="0"/>
          <w:color w:val="000000"/>
          <w:sz w:val="24"/>
          <w:szCs w:val="24"/>
          <w:highlight w:val="none"/>
          <w:shd w:val="clear" w:color="auto" w:fill="ffffff"/>
        </w:rPr>
        <w:t xml:space="preserve">，厂址为</w:t>
      </w:r>
      <w:r>
        <w:rPr>
          <w:rFonts w:hint="eastAsia" w:ascii="宋体" w:hAnsi="宋体" w:eastAsia="宋体" w:cs="宋体"/>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vertAlign w:val="superscript"/>
        </w:rPr>
        <w:t xml:space="preserve">3</w:t>
      </w:r>
      <w:r>
        <w:rPr>
          <w:rFonts w:hint="eastAsia" w:ascii="宋体" w:hAnsi="宋体" w:eastAsia="宋体" w:cs="宋体"/>
          <w:strike w:val="0"/>
          <w:color w:val="000000"/>
          <w:sz w:val="24"/>
          <w:szCs w:val="24"/>
          <w:highlight w:val="none"/>
          <w:shd w:val="clear" w:color="auto" w:fill="ffffff"/>
        </w:rPr>
        <w:t xml:space="preserve">。</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vertAlign w:val="superscript"/>
        </w:rPr>
        <w:t xml:space="preserve">4</w:t>
      </w:r>
      <w:r>
        <w:rPr>
          <w:rFonts w:hint="eastAsia" w:ascii="宋体" w:hAnsi="宋体" w:eastAsia="宋体" w:cs="宋体"/>
          <w:strike w:val="0"/>
          <w:color w:val="000000"/>
          <w:sz w:val="24"/>
          <w:szCs w:val="24"/>
          <w:highlight w:val="none"/>
          <w:shd w:val="clear" w:color="auto" w:fill="ffffff"/>
        </w:rPr>
        <w:t xml:space="preserve">在中国境内生产。</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vertAlign w:val="superscript"/>
        </w:rPr>
        <w:t xml:space="preserve">5</w:t>
      </w:r>
      <w:r>
        <w:rPr>
          <w:rFonts w:hint="eastAsia" w:ascii="宋体" w:hAnsi="宋体" w:eastAsia="宋体" w:cs="宋体"/>
          <w:strike w:val="0"/>
          <w:color w:val="000000"/>
          <w:sz w:val="24"/>
          <w:szCs w:val="24"/>
          <w:highlight w:val="none"/>
          <w:shd w:val="clear" w:color="auto" w:fill="ffffff"/>
        </w:rPr>
        <w:t xml:space="preserve">在中国境内完成。</w:t>
      </w:r>
      <w:r/>
    </w:p>
    <w:p>
      <w:pPr>
        <w:pStyle w:val="1013"/>
        <w:ind w:left="0" w:firstLine="420"/>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2.</w:t>
      </w:r>
      <w:r>
        <w:rPr>
          <w:rFonts w:hint="eastAsia" w:ascii="宋体" w:hAnsi="宋体" w:eastAsia="宋体" w:cs="宋体"/>
          <w:strike w:val="0"/>
          <w:color w:val="000000"/>
          <w:sz w:val="24"/>
          <w:szCs w:val="24"/>
          <w:highlight w:val="none"/>
          <w:u w:val="single"/>
          <w:shd w:val="clear" w:color="auto" w:fill="ffffff"/>
        </w:rPr>
        <w:t xml:space="preserve">（产品名称2）</w:t>
      </w:r>
      <w:r>
        <w:rPr>
          <w:rFonts w:hint="eastAsia" w:ascii="宋体" w:hAnsi="宋体" w:eastAsia="宋体" w:cs="宋体"/>
          <w:strike w:val="0"/>
          <w:color w:val="000000"/>
          <w:sz w:val="24"/>
          <w:szCs w:val="24"/>
          <w:highlight w:val="none"/>
          <w:shd w:val="clear" w:color="auto" w:fill="ffffff"/>
        </w:rPr>
        <w:t xml:space="preserve">，生产厂为</w:t>
      </w:r>
      <w:r>
        <w:rPr>
          <w:rFonts w:hint="eastAsia" w:ascii="宋体" w:hAnsi="宋体" w:eastAsia="宋体" w:cs="宋体"/>
          <w:strike w:val="0"/>
          <w:color w:val="000000"/>
          <w:sz w:val="24"/>
          <w:szCs w:val="24"/>
          <w:highlight w:val="none"/>
          <w:u w:val="single"/>
          <w:shd w:val="clear" w:color="auto" w:fill="ffffff"/>
        </w:rPr>
        <w:t xml:space="preserve">（厂名）</w:t>
      </w:r>
      <w:r>
        <w:rPr>
          <w:rFonts w:hint="eastAsia" w:ascii="宋体" w:hAnsi="宋体" w:eastAsia="宋体" w:cs="宋体"/>
          <w:strike w:val="0"/>
          <w:color w:val="000000"/>
          <w:sz w:val="24"/>
          <w:szCs w:val="24"/>
          <w:highlight w:val="none"/>
          <w:shd w:val="clear" w:color="auto" w:fill="ffffff"/>
        </w:rPr>
        <w:t xml:space="preserve">，厂址为</w:t>
      </w:r>
      <w:r>
        <w:rPr>
          <w:rFonts w:hint="eastAsia" w:ascii="宋体" w:hAnsi="宋体" w:eastAsia="宋体" w:cs="宋体"/>
          <w:strike w:val="0"/>
          <w:color w:val="000000"/>
          <w:sz w:val="24"/>
          <w:szCs w:val="24"/>
          <w:highlight w:val="none"/>
          <w:u w:val="single"/>
          <w:shd w:val="clear" w:color="auto" w:fill="ffffff"/>
        </w:rPr>
        <w:t xml:space="preserve">（生产厂址）</w:t>
      </w:r>
      <w:r>
        <w:rPr>
          <w:rFonts w:hint="eastAsia" w:ascii="宋体" w:hAnsi="宋体" w:eastAsia="宋体" w:cs="宋体"/>
          <w:strike w:val="0"/>
          <w:color w:val="000000"/>
          <w:sz w:val="24"/>
          <w:szCs w:val="24"/>
          <w:highlight w:val="none"/>
          <w:shd w:val="clear" w:color="auto" w:fill="ffffff"/>
        </w:rPr>
        <w:t xml:space="preserve">。</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的中国境内生产的组件成本占比≥</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在中国境内生产。</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在中国境内完成。</w:t>
      </w:r>
      <w:r/>
    </w:p>
    <w:p>
      <w:pPr>
        <w:pStyle w:val="1013"/>
        <w:ind w:left="0" w:firstLine="420"/>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w:t>
      </w:r>
      <w:r/>
    </w:p>
    <w:p>
      <w:pPr>
        <w:pStyle w:val="1013"/>
        <w:ind w:left="0" w:firstLine="420"/>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本公司（单位）对上述声明内容的真实性负责。如有虚假，愿承担相应法律责任。</w:t>
      </w:r>
      <w:r/>
    </w:p>
    <w:p>
      <w:pPr>
        <w:pStyle w:val="1013"/>
        <w:keepLines w:val="0"/>
        <w:keepNext w:val="0"/>
        <w:spacing w:before="30" w:beforeAutospacing="0" w:after="30" w:afterAutospacing="0" w:line="0" w:lineRule="atLeast"/>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shd w:val="clear" w:color="auto" w:fill="ffffff"/>
        </w:rPr>
        <w:t xml:space="preserve"> </w:t>
      </w:r>
      <w:r/>
    </w:p>
    <w:p>
      <w:pPr>
        <w:pStyle w:val="1013"/>
        <w:jc w:val="right"/>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   公司（单位）名称（加盖CA电子公章）：         </w:t>
      </w:r>
      <w:r/>
    </w:p>
    <w:p>
      <w:pPr>
        <w:pStyle w:val="1013"/>
        <w:jc w:val="center"/>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           日期：      年   月   日         </w:t>
      </w:r>
      <w:r/>
    </w:p>
    <w:p>
      <w:pPr>
        <w:pStyle w:val="1013"/>
        <w:keepLines w:val="0"/>
        <w:keepNext w:val="0"/>
        <w:spacing w:before="30" w:beforeAutospacing="0" w:after="30" w:afterAutospacing="0" w:line="0" w:lineRule="atLeast"/>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shd w:val="clear" w:color="auto" w:fill="ffffff"/>
        </w:rPr>
        <w:t xml:space="preserve"> </w:t>
      </w:r>
      <w:r/>
    </w:p>
    <w:p>
      <w:pPr>
        <w:pStyle w:val="1013"/>
        <w:keepLines w:val="0"/>
        <w:keepNext w:val="0"/>
        <w:spacing w:before="30" w:beforeAutospacing="0" w:after="30" w:afterAutospacing="0" w:line="0" w:lineRule="atLeast"/>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strike w:val="0"/>
          <w:color w:val="000000"/>
          <w:highlight w:val="none"/>
          <w:shd w:val="clear" w:color="auto" w:fill="ffffff"/>
        </w:rPr>
        <w:t xml:space="preserve"> </w:t>
      </w:r>
      <w:r/>
    </w:p>
    <w:p>
      <w:pPr>
        <w:pStyle w:val="1013"/>
        <w:keepLines w:val="0"/>
        <w:keepNext w:val="0"/>
        <w:spacing w:before="30" w:beforeAutospacing="0" w:after="30" w:afterAutospacing="0" w:line="0" w:lineRule="atLeast"/>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_________________</w:t>
      </w:r>
      <w:r/>
    </w:p>
    <w:p>
      <w:pPr>
        <w:pStyle w:val="1013"/>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1.产品如有型号，请在“产品名称”栏一并填写。</w:t>
      </w:r>
      <w:r/>
    </w:p>
    <w:p>
      <w:pPr>
        <w:pStyle w:val="1013"/>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2.生产厂名与厂址应与生产厂营业执照载明的相关信息保持一致。</w:t>
      </w:r>
      <w:r/>
    </w:p>
    <w:p>
      <w:pPr>
        <w:pStyle w:val="1013"/>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3.该产品的中国境内生产的组件成本占比相关要求实施前，“规定比例”栏可不填，下同。</w:t>
      </w:r>
      <w:r/>
    </w:p>
    <w:p>
      <w:pPr>
        <w:pStyle w:val="1013"/>
        <w:keepLines w:val="0"/>
        <w:keepNext w:val="0"/>
        <w:spacing w:before="30" w:beforeAutospacing="0" w:after="30" w:afterAutospacing="0" w:line="360" w:lineRule="auto"/>
        <w:shd w:val="clear" w:color="auto" w:fill="ffffff"/>
        <w:widowControl/>
        <w:rPr>
          <w:strike w:val="0"/>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4.该产品的关键组件要求实施前，“关键组件”栏可不填，下同。</w:t>
      </w:r>
      <w:r/>
    </w:p>
    <w:p>
      <w:pPr>
        <w:pStyle w:val="1013"/>
        <w:keepLines w:val="0"/>
        <w:keepNext w:val="0"/>
        <w:spacing w:before="30" w:beforeAutospacing="0" w:after="30" w:afterAutospacing="0" w:line="360" w:lineRule="auto"/>
        <w:shd w:val="clear" w:color="auto" w:fill="ffffff"/>
        <w:widowControl/>
        <w:rPr>
          <w:rFonts w:hint="eastAsia" w:ascii="宋体" w:hAnsi="宋体" w:eastAsia="宋体" w:cs="宋体"/>
          <w:strike w:val="0"/>
          <w:color w:val="000000"/>
          <w:sz w:val="24"/>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trike w:val="0"/>
          <w:color w:val="000000"/>
          <w:sz w:val="24"/>
          <w:szCs w:val="24"/>
          <w:highlight w:val="none"/>
          <w:shd w:val="clear" w:color="auto" w:fill="ffffff"/>
        </w:rPr>
        <w:t xml:space="preserve">5.该产品的关键工序要求实施前，“关键工序”栏可不填，下同。</w:t>
      </w:r>
      <w:r/>
    </w:p>
    <w:p>
      <w:pPr>
        <w:pStyle w:val="972"/>
        <w:ind w:left="45" w:firstLine="0"/>
        <w:rPr>
          <w:rFonts w:hint="eastAsia" w:ascii="宋体" w:hAnsi="宋体" w:eastAsia="宋体" w:cs="宋体"/>
          <w:strike w:val="0"/>
          <w:color w:val="000000"/>
          <w:sz w:val="24"/>
          <w:szCs w:val="24"/>
          <w:highlight w:val="none"/>
          <w:shd w:val="clear" w:color="auto" w:fill="ffffff"/>
        </w:rPr>
      </w:pPr>
      <w:r>
        <w:rPr>
          <w:rFonts w:hint="eastAsia" w:ascii="宋体" w:hAnsi="宋体" w:eastAsia="宋体" w:cs="宋体"/>
          <w:strike w:val="0"/>
          <w:color w:val="000000"/>
          <w:sz w:val="24"/>
          <w:szCs w:val="24"/>
          <w:highlight w:val="none"/>
          <w:shd w:val="clear" w:color="auto" w:fill="ffffff"/>
        </w:rPr>
        <w:t xml:space="preserve">6.《声明函》中标注“</w:t>
      </w:r>
      <w:r>
        <w:rPr>
          <w:rFonts w:hint="eastAsia" w:ascii="宋体" w:hAnsi="宋体" w:eastAsia="宋体" w:cs="宋体"/>
          <w:strike w:val="0"/>
          <w:color w:val="000000"/>
          <w:sz w:val="24"/>
          <w:szCs w:val="24"/>
          <w:highlight w:val="none"/>
          <w:u w:val="single"/>
          <w:shd w:val="clear" w:color="auto" w:fill="ffffff"/>
        </w:rPr>
        <w:t xml:space="preserve">  /  </w:t>
      </w:r>
      <w:r>
        <w:rPr>
          <w:rFonts w:hint="eastAsia" w:ascii="宋体" w:hAnsi="宋体" w:eastAsia="宋体" w:cs="宋体"/>
          <w:strike w:val="0"/>
          <w:color w:val="000000"/>
          <w:sz w:val="24"/>
          <w:szCs w:val="24"/>
          <w:highlight w:val="none"/>
          <w:shd w:val="clear" w:color="auto" w:fill="ffffff"/>
        </w:rPr>
        <w:t xml:space="preserve">”的地方无需填写。</w:t>
      </w:r>
      <w:r/>
    </w:p>
    <w:p>
      <w:pPr>
        <w:pStyle w:val="972"/>
        <w:ind w:left="45" w:firstLine="0"/>
        <w:rPr>
          <w:rFonts w:hint="eastAsia" w:ascii="宋体" w:hAnsi="宋体" w:eastAsia="宋体" w:cs="宋体"/>
          <w:strike w:val="0"/>
          <w:color w:val="000000"/>
          <w:sz w:val="24"/>
          <w:szCs w:val="24"/>
          <w:highlight w:val="none"/>
          <w:shd w:val="clear" w:color="auto" w:fill="ffffff"/>
        </w:rPr>
      </w:pPr>
      <w:r>
        <w:rPr>
          <w:rFonts w:hint="eastAsia" w:ascii="宋体" w:hAnsi="宋体" w:eastAsia="宋体" w:cs="宋体"/>
          <w:strike w:val="0"/>
          <w:color w:val="000000"/>
          <w:sz w:val="24"/>
          <w:szCs w:val="24"/>
          <w:highlight w:val="none"/>
          <w:shd w:val="clear" w:color="auto" w:fill="ffffff"/>
        </w:rPr>
      </w:r>
      <w:r/>
    </w:p>
    <w:p>
      <w:pPr>
        <w:pStyle w:val="972"/>
        <w:ind w:left="45" w:firstLine="0"/>
        <w:rPr>
          <w:rFonts w:hint="eastAsia" w:ascii="宋体" w:hAnsi="宋体" w:eastAsia="宋体" w:cs="宋体"/>
          <w:strike w:val="0"/>
          <w:color w:val="000000"/>
          <w:sz w:val="24"/>
          <w:szCs w:val="24"/>
          <w:highlight w:val="none"/>
          <w:shd w:val="clear" w:color="auto" w:fill="ffffff"/>
        </w:rPr>
      </w:pPr>
      <w:r>
        <w:rPr>
          <w:rFonts w:hint="eastAsia" w:ascii="宋体" w:hAnsi="宋体" w:eastAsia="宋体" w:cs="宋体"/>
          <w:strike w:val="0"/>
          <w:color w:val="000000"/>
          <w:sz w:val="24"/>
          <w:szCs w:val="24"/>
          <w:highlight w:val="none"/>
          <w:shd w:val="clear" w:color="auto" w:fill="ffffff"/>
        </w:rPr>
      </w:r>
      <w:r/>
    </w:p>
    <w:p>
      <w:pPr>
        <w:pStyle w:val="972"/>
        <w:ind w:left="45" w:firstLine="0"/>
        <w:rPr>
          <w:rFonts w:hint="eastAsia" w:ascii="宋体" w:hAnsi="宋体" w:eastAsia="宋体" w:cs="宋体"/>
          <w:strike w:val="0"/>
          <w:color w:val="000000"/>
          <w:sz w:val="24"/>
          <w:szCs w:val="24"/>
          <w:highlight w:val="none"/>
          <w:shd w:val="clear" w:color="auto" w:fill="ffffff"/>
        </w:rPr>
      </w:pPr>
      <w:r>
        <w:rPr>
          <w:rFonts w:hint="eastAsia" w:ascii="宋体" w:hAnsi="宋体" w:eastAsia="宋体" w:cs="宋体"/>
          <w:strike w:val="0"/>
          <w:color w:val="000000"/>
          <w:sz w:val="24"/>
          <w:szCs w:val="24"/>
          <w:highlight w:val="none"/>
          <w:shd w:val="clear" w:color="auto" w:fill="ffffff"/>
        </w:rPr>
      </w:r>
      <w:r/>
    </w:p>
    <w:p>
      <w:pPr>
        <w:jc w:val="left"/>
        <w:spacing w:line="560" w:lineRule="atLeast"/>
        <w:shd w:val="clear" w:color="auto" w:fill="ffffff"/>
        <w:widowControl/>
        <w:rPr>
          <w:rFonts w:hint="eastAsia" w:ascii="黑体" w:hAnsi="黑体" w:eastAsia="黑体" w:cs="宋体"/>
          <w:iCs/>
          <w:color w:val="000000"/>
          <w:sz w:val="28"/>
          <w:szCs w:val="28"/>
          <w:highlight w:val="none"/>
          <w:lang w:eastAsia="zh-CN"/>
        </w:rPr>
      </w:pPr>
      <w:r>
        <w:rPr>
          <w:rFonts w:hint="eastAsia" w:ascii="黑体" w:hAnsi="黑体" w:eastAsia="黑体" w:cs="宋体"/>
          <w:iCs/>
          <w:color w:val="000000"/>
          <w:sz w:val="28"/>
          <w:szCs w:val="28"/>
          <w:highlight w:val="none"/>
          <w:lang w:eastAsia="zh-CN"/>
        </w:rPr>
        <w:t xml:space="preserve">十四、供应商资格声明函</w:t>
      </w:r>
      <w:r/>
    </w:p>
    <w:p>
      <w:pPr>
        <w:ind w:firstLine="454"/>
        <w:spacing w:line="360" w:lineRule="auto"/>
        <w:rPr>
          <w:rFonts w:ascii="黑体" w:hAnsi="黑体" w:eastAsia="黑体" w:cs="宋体"/>
          <w:iCs/>
          <w:color w:val="000000"/>
          <w:sz w:val="28"/>
          <w:szCs w:val="28"/>
          <w:highlight w:val="none"/>
        </w:rPr>
      </w:pPr>
      <w:r>
        <w:rPr>
          <w:rFonts w:ascii="黑体" w:hAnsi="黑体" w:eastAsia="黑体" w:cs="宋体"/>
          <w:iCs/>
          <w:color w:val="000000"/>
          <w:sz w:val="28"/>
          <w:szCs w:val="28"/>
          <w:highlight w:val="none"/>
        </w:rPr>
      </w:r>
      <w:r/>
    </w:p>
    <w:p>
      <w:pPr>
        <w:jc w:val="center"/>
        <w:spacing w:line="560" w:lineRule="atLeast"/>
        <w:shd w:val="clear" w:color="auto" w:fill="ffffff"/>
        <w:widowControl/>
        <w:rPr>
          <w:rFonts w:hint="eastAsia" w:ascii="黑体" w:hAnsi="黑体" w:eastAsia="黑体" w:cs="宋体"/>
          <w:color w:val="000000"/>
          <w:sz w:val="28"/>
          <w:szCs w:val="28"/>
          <w:highlight w:val="none"/>
          <w:lang w:eastAsia="zh-CN"/>
        </w:rPr>
      </w:pPr>
      <w:r>
        <w:rPr>
          <w:rFonts w:hint="eastAsia" w:ascii="黑体" w:hAnsi="黑体" w:eastAsia="黑体" w:cs="宋体"/>
          <w:color w:val="000000"/>
          <w:sz w:val="28"/>
          <w:szCs w:val="28"/>
          <w:highlight w:val="none"/>
          <w:lang w:eastAsia="zh-CN"/>
        </w:rPr>
        <w:t xml:space="preserve">供应商资格声明函</w:t>
      </w:r>
      <w:r/>
    </w:p>
    <w:p>
      <w:pPr>
        <w:jc w:val="center"/>
        <w:spacing w:line="560" w:lineRule="atLeast"/>
        <w:shd w:val="clear" w:color="auto" w:fill="ffffff"/>
        <w:widowControl/>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p>
    <w:p>
      <w:pPr>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我单位参与</w:t>
      </w:r>
      <w:r>
        <w:rPr>
          <w:rFonts w:hint="eastAsia" w:ascii="宋体" w:hAnsi="宋体" w:eastAsia="宋体" w:cs="宋体"/>
          <w:color w:val="000000"/>
          <w:sz w:val="24"/>
          <w:szCs w:val="24"/>
          <w:highlight w:val="none"/>
          <w:u w:val="single"/>
        </w:rPr>
        <w:t xml:space="preserve">    （项目编号：   ）</w:t>
      </w:r>
      <w:r>
        <w:rPr>
          <w:rFonts w:hint="eastAsia" w:ascii="宋体" w:hAnsi="宋体" w:eastAsia="宋体" w:cs="宋体"/>
          <w:color w:val="000000"/>
          <w:sz w:val="24"/>
          <w:szCs w:val="24"/>
          <w:highlight w:val="none"/>
        </w:rPr>
        <w:t xml:space="preserve">项目的比选响应活动，现承诺如下：</w:t>
      </w:r>
      <w:r/>
    </w:p>
    <w:p>
      <w:pPr>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1.未被“信用中国”网站（www.creditchina.gov.cn）或“中国政府采购网”网站（www.ccgp.gov.cn）列入失信被执行人、</w:t>
      </w:r>
      <w:r>
        <w:rPr>
          <w:rFonts w:hint="eastAsia" w:ascii="宋体" w:hAnsi="宋体" w:eastAsia="宋体" w:cs="宋体"/>
          <w:color w:val="000000"/>
          <w:sz w:val="24"/>
          <w:szCs w:val="24"/>
          <w:highlight w:val="none"/>
          <w:lang w:eastAsia="zh-CN"/>
        </w:rPr>
        <w:t xml:space="preserve">重大税收违法失信主体名单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政府采购严重违法失信行为记录名单</w:t>
      </w:r>
      <w:r>
        <w:rPr>
          <w:rFonts w:hint="eastAsia" w:ascii="宋体" w:hAnsi="宋体" w:eastAsia="宋体" w:cs="宋体"/>
          <w:color w:val="000000"/>
          <w:sz w:val="24"/>
          <w:szCs w:val="24"/>
          <w:highlight w:val="none"/>
        </w:rPr>
        <w:t xml:space="preserve">；</w:t>
      </w:r>
      <w:r/>
    </w:p>
    <w:p>
      <w:pPr>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2.单位负责人为同一人或者存在控股、管理关系的不同单位，不得同时参加磋商，否则有关响应文件均被否决；</w:t>
      </w:r>
      <w:r/>
    </w:p>
    <w:p>
      <w:pPr>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3.为采购项目提供整体设计、规范编制或者项目管理、监理、检测等服务的供应商，不得再参加该采购项目的其他采购活动；</w:t>
      </w:r>
      <w:r/>
    </w:p>
    <w:p>
      <w:pPr>
        <w:ind w:firstLine="640"/>
        <w:jc w:val="left"/>
        <w:spacing w:line="560" w:lineRule="exact"/>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若我单位承诺不实，自愿承担提供虚假材料谋取中选、成交的法律责任。</w:t>
      </w:r>
      <w:r/>
    </w:p>
    <w:p>
      <w:pPr>
        <w:ind w:firstLine="640"/>
        <w:jc w:val="left"/>
        <w:spacing w:line="560" w:lineRule="exact"/>
        <w:shd w:val="clear" w:color="auto" w:fill="ffffff"/>
        <w:widowControl/>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480"/>
        <w:spacing w:line="360" w:lineRule="auto"/>
        <w:tabs>
          <w:tab w:val="left" w:pos="360" w:leader="none"/>
        </w:tabs>
        <w:rPr>
          <w:rFonts w:ascii="宋体" w:hAnsi="宋体" w:eastAsia="宋体" w:cs="宋体"/>
          <w:color w:val="000000"/>
          <w:sz w:val="24"/>
          <w:szCs w:val="24"/>
          <w:highlight w:val="none"/>
        </w:rPr>
      </w:pPr>
      <w:r>
        <w:rPr>
          <w:rFonts w:ascii="Times New Roman" w:hAnsi="Times New Roman" w:eastAsia="宋体" w:cs="Times New Roman"/>
          <w:color w:val="000000"/>
          <w:sz w:val="24"/>
          <w:szCs w:val="24"/>
          <w:highlight w:val="none"/>
        </w:rPr>
        <w:t xml:space="preserve">供应商单位名称：</w:t>
      </w:r>
      <w:r>
        <w:rPr>
          <w:rFonts w:ascii="Times New Roman" w:hAnsi="Times New Roman" w:eastAsia="宋体" w:cs="Times New Roman"/>
          <w:color w:val="000000"/>
          <w:sz w:val="24"/>
          <w:szCs w:val="24"/>
          <w:highlight w:val="none"/>
          <w:u w:val="single"/>
        </w:rPr>
        <w:t xml:space="preserve">（加盖CA电子公章）</w:t>
      </w:r>
      <w:r/>
    </w:p>
    <w:p>
      <w:pPr>
        <w:ind w:firstLine="480"/>
        <w:spacing w:line="360" w:lineRule="auto"/>
        <w:tabs>
          <w:tab w:val="left" w:pos="360" w:leader="none"/>
        </w:tabs>
        <w:rPr>
          <w:rFonts w:ascii="宋体" w:hAnsi="宋体" w:eastAsia="宋体" w:cs="宋体"/>
          <w:color w:val="000000"/>
          <w:sz w:val="24"/>
          <w:szCs w:val="24"/>
          <w:highlight w:val="none"/>
        </w:rPr>
      </w:pPr>
      <w:r>
        <w:rPr>
          <w:rFonts w:ascii="Times New Roman" w:hAnsi="Times New Roman" w:eastAsia="宋体" w:cs="Times New Roman"/>
          <w:color w:val="000000"/>
          <w:sz w:val="24"/>
          <w:szCs w:val="24"/>
          <w:highlight w:val="none"/>
        </w:rPr>
        <w:t xml:space="preserve">单位地址：</w:t>
      </w:r>
      <w:r/>
    </w:p>
    <w:p>
      <w:pPr>
        <w:ind w:firstLine="480"/>
        <w:spacing w:line="360" w:lineRule="auto"/>
        <w:tabs>
          <w:tab w:val="left" w:pos="360" w:leader="none"/>
        </w:tabs>
        <w:rPr>
          <w:rFonts w:ascii="宋体" w:hAnsi="宋体" w:eastAsia="宋体" w:cs="宋体"/>
          <w:color w:val="000000"/>
          <w:sz w:val="24"/>
          <w:szCs w:val="24"/>
          <w:highlight w:val="none"/>
        </w:rPr>
      </w:pPr>
      <w:r>
        <w:rPr>
          <w:rFonts w:ascii="Times New Roman" w:hAnsi="Times New Roman" w:eastAsia="宋体" w:cs="Times New Roman"/>
          <w:color w:val="000000"/>
          <w:sz w:val="24"/>
          <w:szCs w:val="24"/>
          <w:highlight w:val="none"/>
        </w:rPr>
        <w:t xml:space="preserve">日期：</w:t>
      </w:r>
      <w:r/>
    </w:p>
    <w:p>
      <w:pPr>
        <w:jc w:val="center"/>
        <w:spacing w:line="560" w:lineRule="exac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801"/>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spacing w:line="560" w:lineRule="exact"/>
        <w:rPr>
          <w:rFonts w:hint="eastAsia" w:ascii="宋体" w:hAnsi="宋体" w:eastAsia="宋体" w:cs="宋体"/>
          <w:b/>
          <w:bCs/>
          <w:color w:val="000000"/>
          <w:sz w:val="24"/>
          <w:highlight w:val="none"/>
        </w:rPr>
      </w:pPr>
      <w:r>
        <w:rPr>
          <w:rFonts w:hint="eastAsia" w:ascii="宋体" w:hAnsi="宋体" w:eastAsia="宋体" w:cs="宋体"/>
          <w:b/>
          <w:bCs/>
          <w:color w:val="000000"/>
          <w:sz w:val="32"/>
          <w:szCs w:val="32"/>
          <w:highlight w:val="none"/>
        </w:rPr>
        <w:t xml:space="preserve">十</w:t>
      </w:r>
      <w:r>
        <w:rPr>
          <w:rFonts w:hint="eastAsia" w:ascii="宋体" w:hAnsi="宋体" w:cs="宋体"/>
          <w:b/>
          <w:bCs/>
          <w:color w:val="000000"/>
          <w:sz w:val="32"/>
          <w:szCs w:val="32"/>
          <w:highlight w:val="none"/>
          <w:lang w:val="en-US" w:eastAsia="zh-CN"/>
        </w:rPr>
        <w:t xml:space="preserve">五</w:t>
      </w:r>
      <w:r>
        <w:rPr>
          <w:rFonts w:hint="eastAsia" w:ascii="宋体" w:hAnsi="宋体" w:eastAsia="宋体" w:cs="宋体"/>
          <w:b/>
          <w:bCs/>
          <w:color w:val="000000"/>
          <w:sz w:val="32"/>
          <w:szCs w:val="32"/>
          <w:highlight w:val="none"/>
        </w:rPr>
        <w:t xml:space="preserve">、质疑函范本</w:t>
      </w:r>
      <w:r/>
    </w:p>
    <w:p>
      <w:pPr>
        <w:spacing w:before="287"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一、质疑供应商基本信息</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质疑供应商：</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地址：邮编：</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联系人：联系电话：</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授权代表：</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地址：邮编：</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二、质疑项目基本情况</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质疑项目的名称：</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质疑项目的编号：              包号：</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采购人名称：</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采购文件获取日期：</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三、质疑事项具体内容</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质疑事项1：</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事实依据：</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法律依据：</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质疑事项2</w:t>
      </w:r>
      <w:r/>
    </w:p>
    <w:p>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p>
    <w:p>
      <w:pPr>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四、与质疑事项相关的质疑请求</w:t>
      </w:r>
      <w:r/>
    </w:p>
    <w:p>
      <w:pPr>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请求：</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签字（签章）：                   公章：                      </w:t>
      </w:r>
      <w:r/>
    </w:p>
    <w:p>
      <w:pP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w:t>
      </w:r>
      <w:r/>
    </w:p>
    <w:p>
      <w:pPr>
        <w:pStyle w:val="11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123"/>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质疑函制作说明：</w:t>
      </w:r>
      <w:r/>
    </w:p>
    <w:p>
      <w:pPr>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1.供应商提出质疑时，应提交质疑函和必要的证明材料。</w:t>
      </w:r>
      <w:r/>
    </w:p>
    <w:p>
      <w:pPr>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3.质疑供应商对项目的某一分包进行质疑，质疑函中应列明具体分包号。</w:t>
      </w:r>
      <w:r/>
    </w:p>
    <w:p>
      <w:pPr>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4.质疑函的质疑事项应具体、明确，并有必要的事实依据和法律依据。</w:t>
      </w:r>
      <w:r/>
    </w:p>
    <w:p>
      <w:pPr>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5.质疑函的质疑请求应与质疑事项相关。</w:t>
      </w:r>
      <w:r/>
    </w:p>
    <w:p>
      <w:pPr>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598"/>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7.按该表格填写，一式两份，并将该函和相关证据盖公章在规定的时间内分别送达采购人和采购代理机构。</w:t>
      </w:r>
      <w:r/>
    </w:p>
    <w:sectPr>
      <w:footerReference w:type="default" r:id="rId12"/>
      <w:footerReference w:type="even" r:id="rId13"/>
      <w:footnotePr/>
      <w:endnotePr/>
      <w:type w:val="nextPage"/>
      <w:pgSz w:w="11906" w:h="16838" w:orient="portrait"/>
      <w:pgMar w:top="1440" w:right="1758" w:bottom="1246"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Arial Unicode MS">
    <w:panose1 w:val="020B0604020202020204"/>
  </w:font>
  <w:font w:name="Myriad Roman">
    <w:panose1 w:val="020B0503020202020204"/>
  </w:font>
  <w:font w:name="Centaur">
    <w:panose1 w:val="02030504050205020304"/>
  </w:font>
  <w:font w:name="仿宋">
    <w:panose1 w:val="02010609060101010101"/>
  </w:font>
  <w:font w:name="TimesNewRomanPSMT">
    <w:panose1 w:val="02020603050405020304"/>
  </w:font>
  <w:font w:name="Tahoma">
    <w:panose1 w:val="020B0604030504040204"/>
  </w:font>
  <w:font w:name="微软雅黑">
    <w:panose1 w:val="020B0503020204020204"/>
  </w:font>
  <w:font w:name="Calibri">
    <w:panose1 w:val="020F0502020204030204"/>
  </w:font>
  <w:font w:name="黑体">
    <w:panose1 w:val="02010609060101010101"/>
  </w:font>
  <w:font w:name="华文中宋">
    <w:panose1 w:val="02010600040101010101"/>
  </w:font>
  <w:font w:name="Verdana">
    <w:panose1 w:val="020B0604030504040204"/>
  </w:font>
  <w:font w:name="仿宋_GB2312">
    <w:panose1 w:val="02010609060101010101"/>
  </w:font>
  <w:font w:name="Courier New">
    <w:panose1 w:val="02070309020205020404"/>
  </w:font>
  <w:font w:name="Cambria">
    <w:panose1 w:val="02040503050406030204"/>
  </w:font>
  <w:font w:name="Arial">
    <w:panose1 w:val="020B0604020202020204"/>
  </w:font>
  <w:font w:name="楷体_GB2312">
    <w:panose1 w:val="02010609060101010101"/>
  </w:font>
  <w:font w:name="华文仿宋">
    <w:panose1 w:val="02010600040101010101"/>
  </w:font>
  <w:font w:name="宋体">
    <w:panose1 w:val="02010600030101010101"/>
  </w:font>
  <w:font w:name="Calisto MT">
    <w:panose1 w:val="0204060305050503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32</w:t>
                    </w:r>
                    <w:r>
                      <w:rPr>
                        <w:rFonts w:hint="eastAsia"/>
                        <w:lang w:eastAsia="zh-CN"/>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 xml:space="preserve">33</w:t>
                    </w:r>
                    <w:r>
                      <w:rPr>
                        <w:rFonts w:hint="eastAsia"/>
                        <w:lang w:eastAsia="zh-CN"/>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Style w:val="1023"/>
      </w:rPr>
      <w:framePr w:wrap="around" w:vAnchor="text" w:hAnchor="margin" w:xAlign="center" w:y="1"/>
    </w:pPr>
    <w:r>
      <w:rPr>
        <w:rStyle w:val="1023"/>
        <w:rFonts w:hint="eastAsia"/>
      </w:rPr>
      <w:t xml:space="preserve">第</w:t>
    </w:r>
    <w:r>
      <w:fldChar w:fldCharType="begin"/>
    </w:r>
    <w:r>
      <w:rPr>
        <w:rStyle w:val="1023"/>
      </w:rPr>
      <w:instrText xml:space="preserve">PAGE  </w:instrText>
    </w:r>
    <w:r>
      <w:fldChar w:fldCharType="separate"/>
    </w:r>
    <w:r>
      <w:rPr>
        <w:rStyle w:val="1023"/>
      </w:rPr>
      <w:t xml:space="preserve">52</w:t>
    </w:r>
    <w:r>
      <w:fldChar w:fldCharType="end"/>
    </w:r>
    <w:r>
      <w:rPr>
        <w:rStyle w:val="1023"/>
        <w:rFonts w:hint="eastAsia"/>
      </w:rPr>
      <w:t xml:space="preserve">页</w:t>
    </w:r>
    <w:r/>
  </w:p>
  <w:p>
    <w:pPr>
      <w:pStyle w:val="100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Style w:val="1023"/>
      </w:rPr>
      <w:framePr w:wrap="around" w:vAnchor="text" w:hAnchor="margin" w:xAlign="center" w:y="1"/>
    </w:pPr>
    <w:r>
      <w:fldChar w:fldCharType="begin"/>
    </w:r>
    <w:r>
      <w:rPr>
        <w:rStyle w:val="1023"/>
      </w:rPr>
      <w:instrText xml:space="preserve">PAGE  </w:instrText>
    </w:r>
    <w:r>
      <w:fldChar w:fldCharType="end"/>
    </w:r>
    <w:r/>
  </w:p>
  <w:p>
    <w:pPr>
      <w:pStyle w:val="10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both"/>
      <w:rPr>
        <w:rFonts w:hint="eastAsia"/>
        <w:lang w:eastAsia="zh-CN"/>
      </w:rPr>
      <w:pBdr>
        <w:bottom w:val="single" w:color="000000" w:sz="4" w:space="1"/>
      </w:pBdr>
    </w:pPr>
    <w:r>
      <w:rPr>
        <w:rFonts w:hint="eastAsia"/>
      </w:rPr>
      <w:t xml:space="preserve">标号：</w:t>
    </w:r>
    <w:r>
      <w:rPr>
        <w:rFonts w:hint="eastAsia"/>
        <w:lang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98" w:hanging="720"/>
        <w:tabs>
          <w:tab w:val="left" w:pos="898" w:leader="none"/>
        </w:tabs>
      </w:pPr>
      <w:rPr>
        <w:rFonts w:hint="eastAsia" w:cs="Times New Roman"/>
        <w:color w:val="000000"/>
      </w:rPr>
    </w:lvl>
    <w:lvl w:ilvl="1">
      <w:start w:val="3"/>
      <w:numFmt w:val="decimal"/>
      <w:isLgl w:val="false"/>
      <w:suff w:val="tab"/>
      <w:lvlText w:val="%2."/>
      <w:lvlJc w:val="left"/>
      <w:pPr>
        <w:ind w:left="958" w:hanging="360"/>
        <w:tabs>
          <w:tab w:val="left" w:pos="958" w:leader="none"/>
        </w:tabs>
      </w:pPr>
      <w:rPr>
        <w:rFonts w:cs="Times New Roman"/>
      </w:rPr>
    </w:lvl>
    <w:lvl w:ilvl="2">
      <w:start w:val="1"/>
      <w:numFmt w:val="decimalEnclosedCircle"/>
      <w:isLgl w:val="false"/>
      <w:suff w:val="tab"/>
      <w:lvlText w:val="%3"/>
      <w:lvlJc w:val="left"/>
      <w:pPr>
        <w:ind w:left="1378" w:hanging="360"/>
        <w:tabs>
          <w:tab w:val="left" w:pos="1378" w:leader="none"/>
        </w:tabs>
      </w:pPr>
      <w:rPr>
        <w:rFonts w:cs="Times New Roman"/>
        <w:color w:val="000000"/>
      </w:rPr>
    </w:lvl>
    <w:lvl w:ilvl="3">
      <w:start w:val="1"/>
      <w:numFmt w:val="decimal"/>
      <w:isLgl w:val="false"/>
      <w:suff w:val="tab"/>
      <w:lvlText w:val="%4."/>
      <w:lvlJc w:val="left"/>
      <w:pPr>
        <w:ind w:left="1858" w:hanging="420"/>
        <w:tabs>
          <w:tab w:val="left" w:pos="1858" w:leader="none"/>
        </w:tabs>
      </w:pPr>
      <w:rPr>
        <w:rFonts w:cs="Times New Roman"/>
      </w:rPr>
    </w:lvl>
    <w:lvl w:ilvl="4">
      <w:start w:val="1"/>
      <w:numFmt w:val="lowerLetter"/>
      <w:isLgl w:val="false"/>
      <w:suff w:val="tab"/>
      <w:lvlText w:val="%5)"/>
      <w:lvlJc w:val="left"/>
      <w:pPr>
        <w:ind w:left="2278" w:hanging="420"/>
        <w:tabs>
          <w:tab w:val="left" w:pos="2278" w:leader="none"/>
        </w:tabs>
      </w:pPr>
      <w:rPr>
        <w:rFonts w:cs="Times New Roman"/>
      </w:rPr>
    </w:lvl>
    <w:lvl w:ilvl="5">
      <w:start w:val="1"/>
      <w:numFmt w:val="lowerRoman"/>
      <w:isLgl w:val="false"/>
      <w:suff w:val="tab"/>
      <w:lvlText w:val="%6."/>
      <w:lvlJc w:val="right"/>
      <w:pPr>
        <w:ind w:left="2698" w:hanging="420"/>
        <w:tabs>
          <w:tab w:val="left" w:pos="2698" w:leader="none"/>
        </w:tabs>
      </w:pPr>
      <w:rPr>
        <w:rFonts w:cs="Times New Roman"/>
      </w:rPr>
    </w:lvl>
    <w:lvl w:ilvl="6">
      <w:start w:val="1"/>
      <w:numFmt w:val="decimal"/>
      <w:isLgl w:val="false"/>
      <w:suff w:val="tab"/>
      <w:lvlText w:val="%7."/>
      <w:lvlJc w:val="left"/>
      <w:pPr>
        <w:ind w:left="3118" w:hanging="420"/>
        <w:tabs>
          <w:tab w:val="left" w:pos="3118" w:leader="none"/>
        </w:tabs>
      </w:pPr>
      <w:rPr>
        <w:rFonts w:cs="Times New Roman"/>
      </w:rPr>
    </w:lvl>
    <w:lvl w:ilvl="7">
      <w:start w:val="1"/>
      <w:numFmt w:val="lowerLetter"/>
      <w:isLgl w:val="false"/>
      <w:suff w:val="tab"/>
      <w:lvlText w:val="%8)"/>
      <w:lvlJc w:val="left"/>
      <w:pPr>
        <w:ind w:left="3538" w:hanging="420"/>
        <w:tabs>
          <w:tab w:val="left" w:pos="3538" w:leader="none"/>
        </w:tabs>
      </w:pPr>
      <w:rPr>
        <w:rFonts w:cs="Times New Roman"/>
      </w:rPr>
    </w:lvl>
    <w:lvl w:ilvl="8">
      <w:start w:val="1"/>
      <w:numFmt w:val="lowerRoman"/>
      <w:isLgl w:val="false"/>
      <w:suff w:val="tab"/>
      <w:lvlText w:val="%9."/>
      <w:lvlJc w:val="right"/>
      <w:pPr>
        <w:ind w:left="3958" w:hanging="420"/>
        <w:tabs>
          <w:tab w:val="left" w:pos="3958" w:leader="none"/>
        </w:tabs>
      </w:pPr>
      <w:rPr>
        <w:rFonts w:cs="Times New Roman"/>
      </w:rPr>
    </w:lvl>
  </w:abstractNum>
  <w:abstractNum w:abstractNumId="3">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52" w:hanging="420"/>
        <w:tabs>
          <w:tab w:val="left" w:pos="55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7">
    <w:multiLevelType w:val="hybridMultilevel"/>
    <w:lvl w:ilvl="0">
      <w:start w:val="1"/>
      <w:numFmt w:val="decimal"/>
      <w:isLgl w:val="false"/>
      <w:suff w:val="tab"/>
      <w:lvlText w:val="%1．"/>
      <w:lvlJc w:val="left"/>
      <w:pPr>
        <w:ind w:left="570" w:hanging="420"/>
        <w:tabs>
          <w:tab w:val="left" w:pos="570"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rFonts w:ascii="宋体" w:hAnsi="宋体" w:eastAsia="宋体" w:cs="Times New Roman"/>
        <w:color w:val="000000"/>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10">
    <w:multiLevelType w:val="hybridMultilevel"/>
    <w:lvl w:ilvl="0">
      <w:start w:val="1"/>
      <w:numFmt w:val="decimal"/>
      <w:isLgl w:val="false"/>
      <w:suff w:val="tab"/>
      <w:lvlText w:val="%1."/>
      <w:lvlJc w:val="left"/>
      <w:pPr>
        <w:ind w:left="405"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1">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13">
    <w:multiLevelType w:val="hybridMultilevel"/>
    <w:lvl w:ilvl="0">
      <w:start w:val="2"/>
      <w:numFmt w:val="japaneseCounting"/>
      <w:isLgl w:val="false"/>
      <w:suff w:val="tab"/>
      <w:lvlText w:val="（%1）"/>
      <w:lvlJc w:val="left"/>
      <w:pPr>
        <w:ind w:left="1200" w:hanging="720"/>
        <w:tabs>
          <w:tab w:val="left" w:pos="1200" w:leader="none"/>
        </w:tabs>
      </w:pPr>
      <w:rPr>
        <w:rFonts w:cs="Times New Roman"/>
      </w:rPr>
    </w:lvl>
    <w:lvl w:ilvl="1">
      <w:start w:val="1"/>
      <w:numFmt w:val="lowerLetter"/>
      <w:isLgl w:val="false"/>
      <w:suff w:val="tab"/>
      <w:lvlText w:val="%2)"/>
      <w:lvlJc w:val="left"/>
      <w:pPr>
        <w:ind w:left="1320" w:hanging="420"/>
        <w:tabs>
          <w:tab w:val="left" w:pos="1320" w:leader="none"/>
        </w:tabs>
      </w:pPr>
      <w:rPr>
        <w:rFonts w:cs="Times New Roman"/>
      </w:rPr>
    </w:lvl>
    <w:lvl w:ilvl="2">
      <w:start w:val="1"/>
      <w:numFmt w:val="lowerRoman"/>
      <w:isLgl w:val="false"/>
      <w:suff w:val="tab"/>
      <w:lvlText w:val="%3."/>
      <w:lvlJc w:val="right"/>
      <w:pPr>
        <w:ind w:left="1740" w:hanging="420"/>
        <w:tabs>
          <w:tab w:val="left" w:pos="1740" w:leader="none"/>
        </w:tabs>
      </w:pPr>
      <w:rPr>
        <w:rFonts w:cs="Times New Roman"/>
      </w:rPr>
    </w:lvl>
    <w:lvl w:ilvl="3">
      <w:start w:val="1"/>
      <w:numFmt w:val="decimal"/>
      <w:isLgl w:val="false"/>
      <w:suff w:val="tab"/>
      <w:lvlText w:val="%4."/>
      <w:lvlJc w:val="left"/>
      <w:pPr>
        <w:ind w:left="2160" w:hanging="420"/>
        <w:tabs>
          <w:tab w:val="left" w:pos="2160" w:leader="none"/>
        </w:tabs>
      </w:pPr>
      <w:rPr>
        <w:rFonts w:cs="Times New Roman"/>
      </w:rPr>
    </w:lvl>
    <w:lvl w:ilvl="4">
      <w:start w:val="1"/>
      <w:numFmt w:val="lowerLetter"/>
      <w:isLgl w:val="false"/>
      <w:suff w:val="tab"/>
      <w:lvlText w:val="%5)"/>
      <w:lvlJc w:val="left"/>
      <w:pPr>
        <w:ind w:left="2580" w:hanging="420"/>
        <w:tabs>
          <w:tab w:val="left" w:pos="2580" w:leader="none"/>
        </w:tabs>
      </w:pPr>
      <w:rPr>
        <w:rFonts w:cs="Times New Roman"/>
      </w:rPr>
    </w:lvl>
    <w:lvl w:ilvl="5">
      <w:start w:val="1"/>
      <w:numFmt w:val="lowerRoman"/>
      <w:isLgl w:val="false"/>
      <w:suff w:val="tab"/>
      <w:lvlText w:val="%6."/>
      <w:lvlJc w:val="right"/>
      <w:pPr>
        <w:ind w:left="3000" w:hanging="420"/>
        <w:tabs>
          <w:tab w:val="left" w:pos="3000" w:leader="none"/>
        </w:tabs>
      </w:pPr>
      <w:rPr>
        <w:rFonts w:cs="Times New Roman"/>
      </w:rPr>
    </w:lvl>
    <w:lvl w:ilvl="6">
      <w:start w:val="1"/>
      <w:numFmt w:val="decimal"/>
      <w:isLgl w:val="false"/>
      <w:suff w:val="tab"/>
      <w:lvlText w:val="%7."/>
      <w:lvlJc w:val="left"/>
      <w:pPr>
        <w:ind w:left="3420" w:hanging="420"/>
        <w:tabs>
          <w:tab w:val="left" w:pos="3420" w:leader="none"/>
        </w:tabs>
      </w:pPr>
      <w:rPr>
        <w:rFonts w:cs="Times New Roman"/>
      </w:rPr>
    </w:lvl>
    <w:lvl w:ilvl="7">
      <w:start w:val="1"/>
      <w:numFmt w:val="lowerLetter"/>
      <w:isLgl w:val="false"/>
      <w:suff w:val="tab"/>
      <w:lvlText w:val="%8)"/>
      <w:lvlJc w:val="left"/>
      <w:pPr>
        <w:ind w:left="3840" w:hanging="420"/>
        <w:tabs>
          <w:tab w:val="left" w:pos="3840" w:leader="none"/>
        </w:tabs>
      </w:pPr>
      <w:rPr>
        <w:rFonts w:cs="Times New Roman"/>
      </w:rPr>
    </w:lvl>
    <w:lvl w:ilvl="8">
      <w:start w:val="1"/>
      <w:numFmt w:val="lowerRoman"/>
      <w:isLgl w:val="false"/>
      <w:suff w:val="tab"/>
      <w:lvlText w:val="%9."/>
      <w:lvlJc w:val="right"/>
      <w:pPr>
        <w:ind w:left="4260" w:hanging="420"/>
        <w:tabs>
          <w:tab w:val="left" w:pos="4260" w:leader="none"/>
        </w:tabs>
      </w:pPr>
      <w:rPr>
        <w:rFonts w:cs="Times New Roman"/>
      </w:rPr>
    </w:lvl>
  </w:abstractNum>
  <w:abstractNum w:abstractNumId="14">
    <w:multiLevelType w:val="hybridMultilevel"/>
    <w:lvl w:ilvl="0">
      <w:start w:val="1"/>
      <w:numFmt w:val="decimalEnclosedCircle"/>
      <w:isLgl w:val="false"/>
      <w:suff w:val="tab"/>
      <w:lvlText w:val="%1"/>
      <w:lvlJc w:val="left"/>
      <w:pPr>
        <w:ind w:left="881" w:hanging="360"/>
        <w:tabs>
          <w:tab w:val="left" w:pos="881" w:leader="none"/>
        </w:tabs>
      </w:pPr>
      <w:rPr>
        <w:rFonts w:ascii="宋体" w:hAnsi="宋体" w:eastAsia="宋体" w:cs="Times New Roman"/>
      </w:rPr>
    </w:lvl>
    <w:lvl w:ilvl="1">
      <w:start w:val="1"/>
      <w:numFmt w:val="lowerLetter"/>
      <w:isLgl w:val="false"/>
      <w:suff w:val="tab"/>
      <w:lvlText w:val="%2)"/>
      <w:lvlJc w:val="left"/>
      <w:pPr>
        <w:ind w:left="1361" w:hanging="420"/>
        <w:tabs>
          <w:tab w:val="left" w:pos="1361" w:leader="none"/>
        </w:tabs>
      </w:pPr>
      <w:rPr>
        <w:rFonts w:cs="Times New Roman"/>
      </w:rPr>
    </w:lvl>
    <w:lvl w:ilvl="2">
      <w:start w:val="1"/>
      <w:numFmt w:val="lowerRoman"/>
      <w:isLgl w:val="false"/>
      <w:suff w:val="tab"/>
      <w:lvlText w:val="%3."/>
      <w:lvlJc w:val="right"/>
      <w:pPr>
        <w:ind w:left="1781" w:hanging="420"/>
        <w:tabs>
          <w:tab w:val="left" w:pos="1781" w:leader="none"/>
        </w:tabs>
      </w:pPr>
      <w:rPr>
        <w:rFonts w:cs="Times New Roman"/>
      </w:rPr>
    </w:lvl>
    <w:lvl w:ilvl="3">
      <w:start w:val="1"/>
      <w:numFmt w:val="decimal"/>
      <w:isLgl w:val="false"/>
      <w:suff w:val="tab"/>
      <w:lvlText w:val="%4."/>
      <w:lvlJc w:val="left"/>
      <w:pPr>
        <w:ind w:left="2201" w:hanging="420"/>
        <w:tabs>
          <w:tab w:val="left" w:pos="2201" w:leader="none"/>
        </w:tabs>
      </w:pPr>
      <w:rPr>
        <w:rFonts w:cs="Times New Roman"/>
      </w:rPr>
    </w:lvl>
    <w:lvl w:ilvl="4">
      <w:start w:val="1"/>
      <w:numFmt w:val="lowerLetter"/>
      <w:isLgl w:val="false"/>
      <w:suff w:val="tab"/>
      <w:lvlText w:val="%5)"/>
      <w:lvlJc w:val="left"/>
      <w:pPr>
        <w:ind w:left="2621" w:hanging="420"/>
        <w:tabs>
          <w:tab w:val="left" w:pos="2621" w:leader="none"/>
        </w:tabs>
      </w:pPr>
      <w:rPr>
        <w:rFonts w:cs="Times New Roman"/>
      </w:rPr>
    </w:lvl>
    <w:lvl w:ilvl="5">
      <w:start w:val="1"/>
      <w:numFmt w:val="lowerRoman"/>
      <w:isLgl w:val="false"/>
      <w:suff w:val="tab"/>
      <w:lvlText w:val="%6."/>
      <w:lvlJc w:val="right"/>
      <w:pPr>
        <w:ind w:left="3041" w:hanging="420"/>
        <w:tabs>
          <w:tab w:val="left" w:pos="3041" w:leader="none"/>
        </w:tabs>
      </w:pPr>
      <w:rPr>
        <w:rFonts w:cs="Times New Roman"/>
      </w:rPr>
    </w:lvl>
    <w:lvl w:ilvl="6">
      <w:start w:val="1"/>
      <w:numFmt w:val="decimal"/>
      <w:isLgl w:val="false"/>
      <w:suff w:val="tab"/>
      <w:lvlText w:val="%7."/>
      <w:lvlJc w:val="left"/>
      <w:pPr>
        <w:ind w:left="3461" w:hanging="420"/>
        <w:tabs>
          <w:tab w:val="left" w:pos="3461" w:leader="none"/>
        </w:tabs>
      </w:pPr>
      <w:rPr>
        <w:rFonts w:cs="Times New Roman"/>
      </w:rPr>
    </w:lvl>
    <w:lvl w:ilvl="7">
      <w:start w:val="1"/>
      <w:numFmt w:val="lowerLetter"/>
      <w:isLgl w:val="false"/>
      <w:suff w:val="tab"/>
      <w:lvlText w:val="%8)"/>
      <w:lvlJc w:val="left"/>
      <w:pPr>
        <w:ind w:left="3881" w:hanging="420"/>
        <w:tabs>
          <w:tab w:val="left" w:pos="3881" w:leader="none"/>
        </w:tabs>
      </w:pPr>
      <w:rPr>
        <w:rFonts w:cs="Times New Roman"/>
      </w:rPr>
    </w:lvl>
    <w:lvl w:ilvl="8">
      <w:start w:val="1"/>
      <w:numFmt w:val="lowerRoman"/>
      <w:isLgl w:val="false"/>
      <w:suff w:val="tab"/>
      <w:lvlText w:val="%9."/>
      <w:lvlJc w:val="right"/>
      <w:pPr>
        <w:ind w:left="4301" w:hanging="420"/>
        <w:tabs>
          <w:tab w:val="left" w:pos="4301" w:leader="none"/>
        </w:tabs>
      </w:pPr>
      <w:rPr>
        <w:rFonts w:cs="Times New Roman"/>
      </w:rPr>
    </w:lvl>
  </w:abstractNum>
  <w:abstractNum w:abstractNumId="15">
    <w:multiLevelType w:val="hybridMultilevel"/>
    <w:lvl w:ilvl="0">
      <w:start w:val="1"/>
      <w:numFmt w:val="decimal"/>
      <w:isLgl w:val="false"/>
      <w:suff w:val="tab"/>
      <w:lvlText w:val="%1."/>
      <w:lvlJc w:val="left"/>
      <w:pPr>
        <w:ind w:left="972" w:hanging="420"/>
      </w:pPr>
    </w:lvl>
    <w:lvl w:ilvl="1">
      <w:start w:val="1"/>
      <w:numFmt w:val="lowerLetter"/>
      <w:isLgl w:val="false"/>
      <w:suff w:val="tab"/>
      <w:lvlText w:val="%2)"/>
      <w:lvlJc w:val="left"/>
      <w:pPr>
        <w:ind w:left="1392" w:hanging="420"/>
      </w:pPr>
    </w:lvl>
    <w:lvl w:ilvl="2">
      <w:start w:val="1"/>
      <w:numFmt w:val="lowerRoman"/>
      <w:isLgl w:val="false"/>
      <w:suff w:val="tab"/>
      <w:lvlText w:val="%3."/>
      <w:lvlJc w:val="right"/>
      <w:pPr>
        <w:ind w:left="1812" w:hanging="420"/>
      </w:pPr>
    </w:lvl>
    <w:lvl w:ilvl="3">
      <w:start w:val="1"/>
      <w:numFmt w:val="decimal"/>
      <w:isLgl w:val="false"/>
      <w:suff w:val="tab"/>
      <w:lvlText w:val="%4."/>
      <w:lvlJc w:val="left"/>
      <w:pPr>
        <w:ind w:left="2232" w:hanging="420"/>
      </w:pPr>
    </w:lvl>
    <w:lvl w:ilvl="4">
      <w:start w:val="1"/>
      <w:numFmt w:val="lowerLetter"/>
      <w:isLgl w:val="false"/>
      <w:suff w:val="tab"/>
      <w:lvlText w:val="%5)"/>
      <w:lvlJc w:val="left"/>
      <w:pPr>
        <w:ind w:left="2652" w:hanging="420"/>
      </w:pPr>
    </w:lvl>
    <w:lvl w:ilvl="5">
      <w:start w:val="1"/>
      <w:numFmt w:val="lowerRoman"/>
      <w:isLgl w:val="false"/>
      <w:suff w:val="tab"/>
      <w:lvlText w:val="%6."/>
      <w:lvlJc w:val="right"/>
      <w:pPr>
        <w:ind w:left="3072" w:hanging="420"/>
      </w:pPr>
    </w:lvl>
    <w:lvl w:ilvl="6">
      <w:start w:val="1"/>
      <w:numFmt w:val="decimal"/>
      <w:isLgl w:val="false"/>
      <w:suff w:val="tab"/>
      <w:lvlText w:val="%7."/>
      <w:lvlJc w:val="left"/>
      <w:pPr>
        <w:ind w:left="3492" w:hanging="420"/>
      </w:pPr>
    </w:lvl>
    <w:lvl w:ilvl="7">
      <w:start w:val="1"/>
      <w:numFmt w:val="lowerLetter"/>
      <w:isLgl w:val="false"/>
      <w:suff w:val="tab"/>
      <w:lvlText w:val="%8)"/>
      <w:lvlJc w:val="left"/>
      <w:pPr>
        <w:ind w:left="3912" w:hanging="420"/>
      </w:pPr>
    </w:lvl>
    <w:lvl w:ilvl="8">
      <w:start w:val="1"/>
      <w:numFmt w:val="lowerRoman"/>
      <w:isLgl w:val="false"/>
      <w:suff w:val="tab"/>
      <w:lvlText w:val="%9."/>
      <w:lvlJc w:val="right"/>
      <w:pPr>
        <w:ind w:left="4332" w:hanging="420"/>
      </w:pPr>
    </w:lvl>
  </w:abstractNum>
  <w:num w:numId="1">
    <w:abstractNumId w:val="8"/>
  </w:num>
  <w:num w:numId="2">
    <w:abstractNumId w:val="4"/>
  </w:num>
  <w:num w:numId="3">
    <w:abstractNumId w:val="13"/>
  </w:num>
  <w:num w:numId="4">
    <w:abstractNumId w:val="3"/>
  </w:num>
  <w:num w:numId="5">
    <w:abstractNumId w:val="2"/>
  </w:num>
  <w:num w:numId="6">
    <w:abstractNumId w:val="9"/>
  </w:num>
  <w:num w:numId="7">
    <w:abstractNumId w:val="11"/>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7"/>
  </w:num>
  <w:num w:numId="13">
    <w:abstractNumId w:val="10"/>
  </w:num>
  <w:num w:numId="14">
    <w:abstractNumId w:val="6"/>
  </w:num>
  <w:num w:numId="15">
    <w:abstractNumId w:val="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next w:val="801"/>
    <w:link w:val="1122"/>
    <w:uiPriority w:val="0"/>
    <w:qFormat/>
    <w:pPr>
      <w:jc w:val="both"/>
      <w:widowControl w:val="off"/>
    </w:pPr>
    <w:rPr>
      <w:rFonts w:hint="default" w:ascii="Times New Roman" w:hAnsi="Times New Roman" w:eastAsia="楷体_GB2312" w:cs="Times New Roman"/>
      <w:sz w:val="26"/>
      <w:lang w:val="en-US" w:eastAsia="zh-CN" w:bidi="ar-SA"/>
    </w:rPr>
  </w:style>
  <w:style w:type="paragraph" w:styleId="790">
    <w:name w:val="Heading 1"/>
    <w:basedOn w:val="789"/>
    <w:next w:val="789"/>
    <w:link w:val="823"/>
    <w:uiPriority w:val="9"/>
    <w:qFormat/>
    <w:pPr>
      <w:keepLines/>
      <w:keepNext/>
      <w:spacing w:before="480" w:after="200"/>
      <w:outlineLvl w:val="0"/>
    </w:pPr>
    <w:rPr>
      <w:rFonts w:ascii="Arial" w:hAnsi="Arial" w:eastAsia="Arial" w:cs="Arial"/>
      <w:sz w:val="40"/>
      <w:szCs w:val="40"/>
    </w:rPr>
  </w:style>
  <w:style w:type="paragraph" w:styleId="791">
    <w:name w:val="Heading 2"/>
    <w:basedOn w:val="789"/>
    <w:next w:val="789"/>
    <w:link w:val="824"/>
    <w:uiPriority w:val="9"/>
    <w:unhideWhenUsed/>
    <w:qFormat/>
    <w:pPr>
      <w:keepLines/>
      <w:keepNext/>
      <w:spacing w:before="360" w:after="200"/>
      <w:outlineLvl w:val="1"/>
    </w:pPr>
    <w:rPr>
      <w:rFonts w:ascii="Arial" w:hAnsi="Arial" w:eastAsia="Arial" w:cs="Arial"/>
      <w:sz w:val="34"/>
    </w:rPr>
  </w:style>
  <w:style w:type="paragraph" w:styleId="792">
    <w:name w:val="Heading 3"/>
    <w:basedOn w:val="789"/>
    <w:next w:val="789"/>
    <w:link w:val="825"/>
    <w:uiPriority w:val="9"/>
    <w:unhideWhenUsed/>
    <w:qFormat/>
    <w:pPr>
      <w:keepLines/>
      <w:keepNext/>
      <w:spacing w:before="320" w:after="200"/>
      <w:outlineLvl w:val="2"/>
    </w:pPr>
    <w:rPr>
      <w:rFonts w:ascii="Arial" w:hAnsi="Arial" w:eastAsia="Arial" w:cs="Arial"/>
      <w:sz w:val="30"/>
      <w:szCs w:val="30"/>
    </w:rPr>
  </w:style>
  <w:style w:type="paragraph" w:styleId="793">
    <w:name w:val="Heading 4"/>
    <w:basedOn w:val="789"/>
    <w:next w:val="789"/>
    <w:link w:val="826"/>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27"/>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28"/>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29"/>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30"/>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31"/>
    <w:uiPriority w:val="9"/>
    <w:unhideWhenUsed/>
    <w:qFormat/>
    <w:pPr>
      <w:keepLines/>
      <w:keepNext/>
      <w:spacing w:before="320" w:after="200"/>
      <w:outlineLvl w:val="8"/>
    </w:pPr>
    <w:rPr>
      <w:rFonts w:ascii="Arial" w:hAnsi="Arial" w:eastAsia="Arial" w:cs="Arial"/>
      <w:i/>
      <w:iCs/>
      <w:sz w:val="21"/>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customStyle="1">
    <w:name w:val="正文文本缩进 21"/>
    <w:basedOn w:val="789"/>
    <w:link w:val="978"/>
    <w:uiPriority w:val="0"/>
    <w:unhideWhenUsed/>
    <w:qFormat/>
    <w:pPr>
      <w:ind w:left="420"/>
      <w:spacing w:after="120" w:line="480" w:lineRule="auto"/>
    </w:pPr>
  </w:style>
  <w:style w:type="paragraph" w:styleId="802">
    <w:name w:val="toc 7"/>
    <w:basedOn w:val="789"/>
    <w:next w:val="789"/>
    <w:uiPriority w:val="39"/>
    <w:unhideWhenUsed/>
    <w:qFormat/>
    <w:pPr>
      <w:ind w:left="1701" w:right="0" w:firstLine="0"/>
      <w:spacing w:after="57"/>
    </w:pPr>
  </w:style>
  <w:style w:type="paragraph" w:styleId="803">
    <w:name w:val="Caption"/>
    <w:basedOn w:val="789"/>
    <w:next w:val="789"/>
    <w:uiPriority w:val="35"/>
    <w:semiHidden/>
    <w:unhideWhenUsed/>
    <w:qFormat/>
    <w:pPr>
      <w:spacing w:line="276" w:lineRule="auto"/>
    </w:pPr>
    <w:rPr>
      <w:b/>
      <w:bCs/>
      <w:color w:val="4f81bd" w:themeColor="accent1"/>
      <w:sz w:val="18"/>
      <w:szCs w:val="18"/>
    </w:rPr>
  </w:style>
  <w:style w:type="paragraph" w:styleId="804">
    <w:name w:val="toc 5"/>
    <w:basedOn w:val="789"/>
    <w:next w:val="789"/>
    <w:uiPriority w:val="39"/>
    <w:unhideWhenUsed/>
    <w:qFormat/>
    <w:pPr>
      <w:ind w:left="1134" w:right="0" w:firstLine="0"/>
      <w:spacing w:after="57"/>
    </w:pPr>
  </w:style>
  <w:style w:type="paragraph" w:styleId="805">
    <w:name w:val="toc 3"/>
    <w:basedOn w:val="789"/>
    <w:next w:val="789"/>
    <w:uiPriority w:val="39"/>
    <w:unhideWhenUsed/>
    <w:pPr>
      <w:ind w:left="567" w:right="0" w:firstLine="0"/>
      <w:spacing w:after="57"/>
    </w:pPr>
  </w:style>
  <w:style w:type="paragraph" w:styleId="806">
    <w:name w:val="toc 8"/>
    <w:basedOn w:val="789"/>
    <w:next w:val="789"/>
    <w:uiPriority w:val="39"/>
    <w:unhideWhenUsed/>
    <w:pPr>
      <w:ind w:left="1984" w:right="0" w:firstLine="0"/>
      <w:spacing w:after="57"/>
    </w:pPr>
  </w:style>
  <w:style w:type="paragraph" w:styleId="807">
    <w:name w:val="endnote text"/>
    <w:basedOn w:val="789"/>
    <w:link w:val="967"/>
    <w:uiPriority w:val="99"/>
    <w:semiHidden/>
    <w:unhideWhenUsed/>
    <w:qFormat/>
    <w:pPr>
      <w:spacing w:after="0" w:line="240" w:lineRule="auto"/>
    </w:pPr>
    <w:rPr>
      <w:sz w:val="20"/>
    </w:rPr>
  </w:style>
  <w:style w:type="paragraph" w:styleId="808">
    <w:name w:val="Footer"/>
    <w:basedOn w:val="789"/>
    <w:link w:val="840"/>
    <w:uiPriority w:val="99"/>
    <w:unhideWhenUsed/>
    <w:pPr>
      <w:spacing w:after="0" w:line="240" w:lineRule="auto"/>
      <w:tabs>
        <w:tab w:val="center" w:pos="7143" w:leader="none"/>
        <w:tab w:val="right" w:pos="14287" w:leader="none"/>
      </w:tabs>
    </w:pPr>
  </w:style>
  <w:style w:type="paragraph" w:styleId="809">
    <w:name w:val="Header"/>
    <w:basedOn w:val="789"/>
    <w:link w:val="838"/>
    <w:uiPriority w:val="99"/>
    <w:unhideWhenUsed/>
    <w:pPr>
      <w:spacing w:after="0" w:line="240" w:lineRule="auto"/>
      <w:tabs>
        <w:tab w:val="center" w:pos="7143" w:leader="none"/>
        <w:tab w:val="right" w:pos="14287" w:leader="none"/>
      </w:tabs>
    </w:pPr>
  </w:style>
  <w:style w:type="paragraph" w:styleId="810">
    <w:name w:val="toc 1"/>
    <w:basedOn w:val="789"/>
    <w:next w:val="789"/>
    <w:uiPriority w:val="39"/>
    <w:unhideWhenUsed/>
    <w:qFormat/>
    <w:pPr>
      <w:ind w:left="0" w:right="0" w:firstLine="0"/>
      <w:spacing w:after="57"/>
    </w:pPr>
  </w:style>
  <w:style w:type="paragraph" w:styleId="811">
    <w:name w:val="toc 4"/>
    <w:basedOn w:val="789"/>
    <w:next w:val="789"/>
    <w:uiPriority w:val="39"/>
    <w:unhideWhenUsed/>
    <w:qFormat/>
    <w:pPr>
      <w:ind w:left="850" w:right="0" w:firstLine="0"/>
      <w:spacing w:after="57"/>
    </w:pPr>
  </w:style>
  <w:style w:type="paragraph" w:styleId="812">
    <w:name w:val="Subtitle"/>
    <w:basedOn w:val="789"/>
    <w:next w:val="789"/>
    <w:link w:val="833"/>
    <w:uiPriority w:val="11"/>
    <w:qFormat/>
    <w:pPr>
      <w:spacing w:before="200" w:after="200"/>
    </w:pPr>
    <w:rPr>
      <w:sz w:val="24"/>
      <w:szCs w:val="24"/>
    </w:rPr>
  </w:style>
  <w:style w:type="paragraph" w:styleId="813">
    <w:name w:val="footnote text"/>
    <w:basedOn w:val="789"/>
    <w:link w:val="966"/>
    <w:uiPriority w:val="99"/>
    <w:semiHidden/>
    <w:unhideWhenUsed/>
    <w:pPr>
      <w:spacing w:after="40" w:line="240" w:lineRule="auto"/>
    </w:pPr>
    <w:rPr>
      <w:sz w:val="18"/>
    </w:rPr>
  </w:style>
  <w:style w:type="paragraph" w:styleId="814">
    <w:name w:val="toc 6"/>
    <w:basedOn w:val="789"/>
    <w:next w:val="789"/>
    <w:uiPriority w:val="39"/>
    <w:unhideWhenUsed/>
    <w:qFormat/>
    <w:pPr>
      <w:ind w:left="1417" w:right="0" w:firstLine="0"/>
      <w:spacing w:after="57"/>
    </w:pPr>
  </w:style>
  <w:style w:type="paragraph" w:styleId="815">
    <w:name w:val="table of figures"/>
    <w:basedOn w:val="789"/>
    <w:next w:val="789"/>
    <w:uiPriority w:val="99"/>
    <w:unhideWhenUsed/>
    <w:qFormat/>
    <w:pPr>
      <w:spacing w:after="0" w:afterAutospacing="0"/>
    </w:pPr>
  </w:style>
  <w:style w:type="paragraph" w:styleId="816">
    <w:name w:val="toc 2"/>
    <w:basedOn w:val="789"/>
    <w:next w:val="789"/>
    <w:uiPriority w:val="39"/>
    <w:unhideWhenUsed/>
    <w:qFormat/>
    <w:pPr>
      <w:ind w:left="283" w:right="0" w:firstLine="0"/>
      <w:spacing w:after="57"/>
    </w:pPr>
  </w:style>
  <w:style w:type="paragraph" w:styleId="817">
    <w:name w:val="toc 9"/>
    <w:basedOn w:val="789"/>
    <w:next w:val="789"/>
    <w:uiPriority w:val="39"/>
    <w:unhideWhenUsed/>
    <w:qFormat/>
    <w:pPr>
      <w:ind w:left="2268" w:right="0" w:firstLine="0"/>
      <w:spacing w:after="57"/>
    </w:pPr>
  </w:style>
  <w:style w:type="paragraph" w:styleId="818">
    <w:name w:val="Title"/>
    <w:basedOn w:val="789"/>
    <w:next w:val="789"/>
    <w:link w:val="832"/>
    <w:uiPriority w:val="10"/>
    <w:qFormat/>
    <w:pPr>
      <w:contextualSpacing/>
      <w:spacing w:before="300" w:after="200"/>
    </w:pPr>
    <w:rPr>
      <w:sz w:val="48"/>
      <w:szCs w:val="48"/>
    </w:rPr>
  </w:style>
  <w:style w:type="table" w:styleId="819">
    <w:name w:val="Table Grid"/>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endnote reference"/>
    <w:uiPriority w:val="99"/>
    <w:semiHidden/>
    <w:unhideWhenUsed/>
    <w:qFormat/>
    <w:rPr>
      <w:vertAlign w:val="superscript"/>
    </w:rPr>
  </w:style>
  <w:style w:type="character" w:styleId="821">
    <w:name w:val="Hyperlink"/>
    <w:uiPriority w:val="99"/>
    <w:unhideWhenUsed/>
    <w:qFormat/>
    <w:rPr>
      <w:color w:val="0000ff" w:themeColor="hyperlink"/>
      <w:u w:val="single"/>
    </w:rPr>
  </w:style>
  <w:style w:type="character" w:styleId="822">
    <w:name w:val="footnote reference"/>
    <w:uiPriority w:val="99"/>
    <w:unhideWhenUsed/>
    <w:qFormat/>
    <w:rPr>
      <w:vertAlign w:val="superscript"/>
    </w:rPr>
  </w:style>
  <w:style w:type="character" w:styleId="823" w:customStyle="1">
    <w:name w:val="Heading 1 Char"/>
    <w:link w:val="790"/>
    <w:uiPriority w:val="9"/>
    <w:rPr>
      <w:rFonts w:ascii="Arial" w:hAnsi="Arial" w:eastAsia="Arial" w:cs="Arial"/>
      <w:sz w:val="40"/>
      <w:szCs w:val="40"/>
    </w:rPr>
  </w:style>
  <w:style w:type="character" w:styleId="824" w:customStyle="1">
    <w:name w:val="Heading 2 Char"/>
    <w:link w:val="791"/>
    <w:uiPriority w:val="9"/>
    <w:rPr>
      <w:rFonts w:ascii="Arial" w:hAnsi="Arial" w:eastAsia="Arial" w:cs="Arial"/>
      <w:sz w:val="34"/>
    </w:rPr>
  </w:style>
  <w:style w:type="character" w:styleId="825" w:customStyle="1">
    <w:name w:val="Heading 3 Char"/>
    <w:link w:val="792"/>
    <w:uiPriority w:val="9"/>
    <w:rPr>
      <w:rFonts w:ascii="Arial" w:hAnsi="Arial" w:eastAsia="Arial" w:cs="Arial"/>
      <w:sz w:val="30"/>
      <w:szCs w:val="30"/>
    </w:rPr>
  </w:style>
  <w:style w:type="character" w:styleId="826" w:customStyle="1">
    <w:name w:val="Heading 4 Char"/>
    <w:link w:val="793"/>
    <w:uiPriority w:val="9"/>
    <w:rPr>
      <w:rFonts w:ascii="Arial" w:hAnsi="Arial" w:eastAsia="Arial" w:cs="Arial"/>
      <w:b/>
      <w:bCs/>
      <w:sz w:val="26"/>
      <w:szCs w:val="26"/>
    </w:rPr>
  </w:style>
  <w:style w:type="character" w:styleId="827" w:customStyle="1">
    <w:name w:val="Heading 5 Char"/>
    <w:link w:val="794"/>
    <w:uiPriority w:val="9"/>
    <w:qFormat/>
    <w:rPr>
      <w:rFonts w:ascii="Arial" w:hAnsi="Arial" w:eastAsia="Arial" w:cs="Arial"/>
      <w:b/>
      <w:bCs/>
      <w:sz w:val="24"/>
      <w:szCs w:val="24"/>
    </w:rPr>
  </w:style>
  <w:style w:type="character" w:styleId="828" w:customStyle="1">
    <w:name w:val="Heading 6 Char"/>
    <w:link w:val="795"/>
    <w:uiPriority w:val="9"/>
    <w:rPr>
      <w:rFonts w:ascii="Arial" w:hAnsi="Arial" w:eastAsia="Arial" w:cs="Arial"/>
      <w:b/>
      <w:bCs/>
      <w:sz w:val="22"/>
      <w:szCs w:val="22"/>
    </w:rPr>
  </w:style>
  <w:style w:type="character" w:styleId="829" w:customStyle="1">
    <w:name w:val="Heading 7 Char"/>
    <w:link w:val="796"/>
    <w:uiPriority w:val="9"/>
    <w:rPr>
      <w:rFonts w:ascii="Arial" w:hAnsi="Arial" w:eastAsia="Arial" w:cs="Arial"/>
      <w:b/>
      <w:bCs/>
      <w:i/>
      <w:iCs/>
      <w:sz w:val="22"/>
      <w:szCs w:val="22"/>
    </w:rPr>
  </w:style>
  <w:style w:type="character" w:styleId="830" w:customStyle="1">
    <w:name w:val="Heading 8 Char"/>
    <w:link w:val="797"/>
    <w:uiPriority w:val="9"/>
    <w:qFormat/>
    <w:rPr>
      <w:rFonts w:ascii="Arial" w:hAnsi="Arial" w:eastAsia="Arial" w:cs="Arial"/>
      <w:i/>
      <w:iCs/>
      <w:sz w:val="22"/>
      <w:szCs w:val="22"/>
    </w:rPr>
  </w:style>
  <w:style w:type="character" w:styleId="831" w:customStyle="1">
    <w:name w:val="Heading 9 Char"/>
    <w:link w:val="798"/>
    <w:uiPriority w:val="9"/>
    <w:qFormat/>
    <w:rPr>
      <w:rFonts w:ascii="Arial" w:hAnsi="Arial" w:eastAsia="Arial" w:cs="Arial"/>
      <w:i/>
      <w:iCs/>
      <w:sz w:val="21"/>
      <w:szCs w:val="21"/>
    </w:rPr>
  </w:style>
  <w:style w:type="character" w:styleId="832" w:customStyle="1">
    <w:name w:val="Title Char"/>
    <w:link w:val="818"/>
    <w:uiPriority w:val="10"/>
    <w:rPr>
      <w:sz w:val="48"/>
      <w:szCs w:val="48"/>
    </w:rPr>
  </w:style>
  <w:style w:type="character" w:styleId="833" w:customStyle="1">
    <w:name w:val="Subtitle Char"/>
    <w:link w:val="812"/>
    <w:uiPriority w:val="11"/>
    <w:qFormat/>
    <w:rPr>
      <w:sz w:val="24"/>
      <w:szCs w:val="24"/>
    </w:rPr>
  </w:style>
  <w:style w:type="paragraph" w:styleId="834">
    <w:name w:val="Quote"/>
    <w:basedOn w:val="789"/>
    <w:next w:val="789"/>
    <w:link w:val="835"/>
    <w:uiPriority w:val="29"/>
    <w:qFormat/>
    <w:pPr>
      <w:ind w:left="720" w:right="720"/>
    </w:pPr>
    <w:rPr>
      <w:i/>
    </w:rPr>
  </w:style>
  <w:style w:type="character" w:styleId="835" w:customStyle="1">
    <w:name w:val="Quote Char"/>
    <w:link w:val="834"/>
    <w:uiPriority w:val="29"/>
    <w:qFormat/>
    <w:rPr>
      <w:i/>
    </w:rPr>
  </w:style>
  <w:style w:type="paragraph" w:styleId="836">
    <w:name w:val="Intense Quote"/>
    <w:basedOn w:val="789"/>
    <w:next w:val="789"/>
    <w:link w:val="8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7" w:customStyle="1">
    <w:name w:val="Intense Quote Char"/>
    <w:link w:val="836"/>
    <w:uiPriority w:val="30"/>
    <w:qFormat/>
    <w:rPr>
      <w:i/>
    </w:rPr>
  </w:style>
  <w:style w:type="character" w:styleId="838" w:customStyle="1">
    <w:name w:val="Header Char"/>
    <w:link w:val="809"/>
    <w:uiPriority w:val="99"/>
    <w:qFormat/>
  </w:style>
  <w:style w:type="character" w:styleId="839" w:customStyle="1">
    <w:name w:val="Footer Char"/>
    <w:link w:val="808"/>
    <w:uiPriority w:val="99"/>
  </w:style>
  <w:style w:type="character" w:styleId="840" w:customStyle="1">
    <w:name w:val="Caption Char"/>
    <w:link w:val="808"/>
    <w:uiPriority w:val="99"/>
  </w:style>
  <w:style w:type="table" w:styleId="841" w:customStyle="1">
    <w:name w:val="Table Grid Ligh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Grid Table 3"/>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83"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84"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85"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86"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87"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8"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89"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uiPriority w:val="99"/>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uiPriority w:val="99"/>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uiPriority w:val="99"/>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5"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3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3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3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3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3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38" w:customStyle="1">
    <w:name w:val="List Table 7 Colorful"/>
    <w:uiPriority w:val="99"/>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Footnote Text Char"/>
    <w:link w:val="813"/>
    <w:uiPriority w:val="99"/>
    <w:qFormat/>
    <w:rPr>
      <w:sz w:val="18"/>
    </w:rPr>
  </w:style>
  <w:style w:type="character" w:styleId="967" w:customStyle="1">
    <w:name w:val="Endnote Text Char"/>
    <w:link w:val="807"/>
    <w:uiPriority w:val="99"/>
    <w:qFormat/>
    <w:rPr>
      <w:sz w:val="20"/>
    </w:rPr>
  </w:style>
  <w:style w:type="paragraph" w:styleId="968" w:customStyle="1">
    <w:name w:val="TOC Heading"/>
    <w:uiPriority w:val="39"/>
    <w:unhideWhenUsed/>
    <w:qFormat/>
    <w:rPr>
      <w:rFonts w:hint="default" w:ascii="Times New Roman" w:hAnsi="Times New Roman" w:eastAsia="宋体" w:cs="Times New Roman"/>
    </w:rPr>
  </w:style>
  <w:style w:type="paragraph" w:styleId="969" w:customStyle="1">
    <w:name w:val="标题 11"/>
    <w:basedOn w:val="789"/>
    <w:next w:val="789"/>
    <w:link w:val="979"/>
    <w:uiPriority w:val="0"/>
    <w:qFormat/>
    <w:pPr>
      <w:keepLines/>
      <w:keepNext/>
      <w:spacing w:before="340" w:after="330" w:line="578" w:lineRule="auto"/>
      <w:outlineLvl w:val="0"/>
    </w:pPr>
    <w:rPr>
      <w:b/>
      <w:sz w:val="44"/>
    </w:rPr>
  </w:style>
  <w:style w:type="paragraph" w:styleId="970" w:customStyle="1">
    <w:name w:val="标题 21"/>
    <w:basedOn w:val="789"/>
    <w:next w:val="789"/>
    <w:link w:val="980"/>
    <w:uiPriority w:val="0"/>
    <w:qFormat/>
    <w:pPr>
      <w:keepLines/>
      <w:keepNext/>
      <w:spacing w:before="260" w:after="260" w:line="416" w:lineRule="auto"/>
      <w:outlineLvl w:val="1"/>
    </w:pPr>
    <w:rPr>
      <w:rFonts w:ascii="Cambria" w:hAnsi="Cambria" w:eastAsia="宋体"/>
      <w:b/>
      <w:bCs/>
      <w:sz w:val="32"/>
      <w:szCs w:val="32"/>
    </w:rPr>
  </w:style>
  <w:style w:type="paragraph" w:styleId="971" w:customStyle="1">
    <w:name w:val="标题 31"/>
    <w:basedOn w:val="789"/>
    <w:next w:val="972"/>
    <w:link w:val="981"/>
    <w:uiPriority w:val="0"/>
    <w:qFormat/>
    <w:pPr>
      <w:keepLines/>
      <w:keepNext/>
      <w:spacing w:before="260" w:after="260" w:line="416" w:lineRule="auto"/>
      <w:outlineLvl w:val="2"/>
    </w:pPr>
    <w:rPr>
      <w:b/>
      <w:bCs/>
      <w:sz w:val="32"/>
      <w:szCs w:val="32"/>
    </w:rPr>
  </w:style>
  <w:style w:type="paragraph" w:styleId="972" w:customStyle="1">
    <w:name w:val="正文缩进1"/>
    <w:basedOn w:val="789"/>
    <w:link w:val="982"/>
    <w:uiPriority w:val="0"/>
    <w:unhideWhenUsed/>
    <w:qFormat/>
    <w:pPr>
      <w:ind w:firstLine="420"/>
      <w:jc w:val="left"/>
    </w:pPr>
    <w:rPr>
      <w:sz w:val="24"/>
    </w:rPr>
  </w:style>
  <w:style w:type="paragraph" w:styleId="973" w:customStyle="1">
    <w:name w:val="标题 41"/>
    <w:basedOn w:val="789"/>
    <w:next w:val="974"/>
    <w:link w:val="983"/>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974" w:customStyle="1">
    <w:name w:val="正文文本 Char Char"/>
    <w:basedOn w:val="789"/>
    <w:uiPriority w:val="0"/>
    <w:qFormat/>
    <w:pPr>
      <w:jc w:val="center"/>
    </w:pPr>
    <w:rPr>
      <w:szCs w:val="20"/>
    </w:rPr>
  </w:style>
  <w:style w:type="paragraph" w:styleId="975" w:customStyle="1">
    <w:name w:val="标题 51"/>
    <w:basedOn w:val="789"/>
    <w:next w:val="789"/>
    <w:link w:val="984"/>
    <w:uiPriority w:val="0"/>
    <w:qFormat/>
    <w:pPr>
      <w:jc w:val="center"/>
      <w:keepLines/>
      <w:keepNext/>
      <w:outlineLvl w:val="4"/>
    </w:pPr>
    <w:rPr>
      <w:rFonts w:eastAsia="宋体"/>
      <w:b/>
      <w:bCs/>
      <w:sz w:val="28"/>
      <w:szCs w:val="28"/>
    </w:rPr>
  </w:style>
  <w:style w:type="character" w:styleId="976" w:customStyle="1">
    <w:name w:val="默认段落字体1"/>
    <w:link w:val="789"/>
    <w:uiPriority w:val="1"/>
    <w:unhideWhenUsed/>
  </w:style>
  <w:style w:type="table" w:styleId="977" w:customStyle="1">
    <w:name w:val="普通表格1"/>
    <w:uiPriority w:val="99"/>
    <w:unhideWhenUsed/>
    <w:qFormat/>
    <w:tblPr/>
  </w:style>
  <w:style w:type="character" w:styleId="978" w:customStyle="1">
    <w:name w:val="正文文本缩进 2 Char"/>
    <w:link w:val="801"/>
    <w:uiPriority w:val="0"/>
    <w:qFormat/>
    <w:rPr>
      <w:rFonts w:eastAsia="楷体_GB2312"/>
      <w:sz w:val="26"/>
    </w:rPr>
  </w:style>
  <w:style w:type="character" w:styleId="979" w:customStyle="1">
    <w:name w:val="标题 1 Char"/>
    <w:link w:val="969"/>
    <w:uiPriority w:val="0"/>
    <w:qFormat/>
    <w:rPr>
      <w:rFonts w:eastAsia="楷体_GB2312"/>
      <w:b/>
      <w:sz w:val="44"/>
    </w:rPr>
  </w:style>
  <w:style w:type="character" w:styleId="980" w:customStyle="1">
    <w:name w:val="标题 2 Char"/>
    <w:link w:val="970"/>
    <w:uiPriority w:val="0"/>
    <w:qFormat/>
    <w:rPr>
      <w:rFonts w:ascii="Cambria" w:hAnsi="Cambria" w:eastAsia="宋体" w:cs="Times New Roman"/>
      <w:b/>
      <w:bCs/>
      <w:sz w:val="32"/>
      <w:szCs w:val="32"/>
    </w:rPr>
  </w:style>
  <w:style w:type="character" w:styleId="981" w:customStyle="1">
    <w:name w:val="标题 3 Char"/>
    <w:link w:val="971"/>
    <w:uiPriority w:val="0"/>
    <w:qFormat/>
    <w:rPr>
      <w:rFonts w:eastAsia="楷体_GB2312"/>
      <w:b/>
      <w:bCs/>
      <w:sz w:val="32"/>
      <w:szCs w:val="32"/>
    </w:rPr>
  </w:style>
  <w:style w:type="character" w:styleId="982" w:customStyle="1">
    <w:name w:val="正文缩进 Char"/>
    <w:link w:val="972"/>
    <w:uiPriority w:val="0"/>
    <w:qFormat/>
    <w:rPr>
      <w:rFonts w:eastAsia="楷体_GB2312"/>
      <w:sz w:val="24"/>
    </w:rPr>
  </w:style>
  <w:style w:type="character" w:styleId="983" w:customStyle="1">
    <w:name w:val="标题 4 Char"/>
    <w:link w:val="973"/>
    <w:uiPriority w:val="0"/>
    <w:qFormat/>
    <w:rPr>
      <w:rFonts w:ascii="Cambria" w:hAnsi="Cambria" w:eastAsia="宋体" w:cs="Times New Roman"/>
      <w:b/>
      <w:bCs/>
      <w:sz w:val="28"/>
      <w:szCs w:val="28"/>
    </w:rPr>
  </w:style>
  <w:style w:type="character" w:styleId="984" w:customStyle="1">
    <w:name w:val="标题 5 Char"/>
    <w:link w:val="975"/>
    <w:uiPriority w:val="0"/>
    <w:qFormat/>
    <w:rPr>
      <w:b/>
      <w:bCs/>
      <w:sz w:val="28"/>
      <w:szCs w:val="28"/>
    </w:rPr>
  </w:style>
  <w:style w:type="paragraph" w:styleId="985" w:customStyle="1">
    <w:name w:val="文档结构图1"/>
    <w:basedOn w:val="789"/>
    <w:link w:val="986"/>
    <w:uiPriority w:val="0"/>
    <w:unhideWhenUsed/>
    <w:qFormat/>
    <w:pPr>
      <w:shd w:val="clear" w:color="auto" w:fill="000080"/>
    </w:pPr>
    <w:rPr>
      <w:rFonts w:eastAsia="宋体"/>
      <w:sz w:val="21"/>
      <w:szCs w:val="24"/>
    </w:rPr>
  </w:style>
  <w:style w:type="character" w:styleId="986" w:customStyle="1">
    <w:name w:val="文档结构图 Char"/>
    <w:link w:val="985"/>
    <w:uiPriority w:val="0"/>
    <w:qFormat/>
    <w:rPr>
      <w:sz w:val="21"/>
      <w:szCs w:val="24"/>
      <w:shd w:val="clear" w:color="auto" w:fill="000080"/>
    </w:rPr>
  </w:style>
  <w:style w:type="paragraph" w:styleId="987" w:customStyle="1">
    <w:name w:val="批注文字1"/>
    <w:basedOn w:val="789"/>
    <w:link w:val="988"/>
    <w:uiPriority w:val="0"/>
    <w:qFormat/>
    <w:pPr>
      <w:jc w:val="left"/>
    </w:pPr>
  </w:style>
  <w:style w:type="character" w:styleId="988" w:customStyle="1">
    <w:name w:val="批注文字 Char"/>
    <w:link w:val="987"/>
    <w:uiPriority w:val="0"/>
    <w:qFormat/>
    <w:rPr>
      <w:rFonts w:eastAsia="楷体_GB2312"/>
      <w:sz w:val="26"/>
    </w:rPr>
  </w:style>
  <w:style w:type="paragraph" w:styleId="989" w:customStyle="1">
    <w:name w:val="正文文本 31"/>
    <w:basedOn w:val="789"/>
    <w:link w:val="990"/>
    <w:uiPriority w:val="0"/>
    <w:unhideWhenUsed/>
    <w:qFormat/>
    <w:pPr>
      <w:jc w:val="center"/>
    </w:pPr>
    <w:rPr>
      <w:rFonts w:ascii="宋体" w:hAnsi="宋体"/>
    </w:rPr>
  </w:style>
  <w:style w:type="character" w:styleId="990" w:customStyle="1">
    <w:name w:val="正文文本 3 Char"/>
    <w:link w:val="989"/>
    <w:uiPriority w:val="0"/>
    <w:qFormat/>
    <w:rPr>
      <w:rFonts w:ascii="宋体" w:hAnsi="宋体" w:eastAsia="楷体_GB2312"/>
      <w:sz w:val="26"/>
    </w:rPr>
  </w:style>
  <w:style w:type="paragraph" w:styleId="991" w:customStyle="1">
    <w:name w:val="正文文本1"/>
    <w:basedOn w:val="789"/>
    <w:link w:val="992"/>
    <w:uiPriority w:val="0"/>
    <w:unhideWhenUsed/>
    <w:qFormat/>
    <w:rPr>
      <w:rFonts w:ascii="楷体_GB2312"/>
      <w:b/>
      <w:bCs/>
      <w:sz w:val="28"/>
    </w:rPr>
  </w:style>
  <w:style w:type="character" w:styleId="992" w:customStyle="1">
    <w:name w:val="正文文本 Char1"/>
    <w:link w:val="991"/>
    <w:uiPriority w:val="0"/>
    <w:qFormat/>
    <w:rPr>
      <w:rFonts w:ascii="楷体_GB2312" w:eastAsia="楷体_GB2312"/>
      <w:b/>
      <w:bCs/>
      <w:sz w:val="28"/>
    </w:rPr>
  </w:style>
  <w:style w:type="paragraph" w:styleId="993" w:customStyle="1">
    <w:name w:val="正文文本缩进1"/>
    <w:basedOn w:val="789"/>
    <w:link w:val="994"/>
    <w:uiPriority w:val="0"/>
    <w:unhideWhenUsed/>
    <w:qFormat/>
    <w:pPr>
      <w:ind w:firstLine="570"/>
    </w:pPr>
    <w:rPr>
      <w:rFonts w:ascii="宋体" w:eastAsia="宋体"/>
      <w:sz w:val="28"/>
    </w:rPr>
  </w:style>
  <w:style w:type="character" w:styleId="994" w:customStyle="1">
    <w:name w:val="正文文本缩进 Char"/>
    <w:link w:val="993"/>
    <w:uiPriority w:val="0"/>
    <w:qFormat/>
    <w:rPr>
      <w:rFonts w:ascii="宋体"/>
      <w:sz w:val="28"/>
    </w:rPr>
  </w:style>
  <w:style w:type="paragraph" w:styleId="995" w:customStyle="1">
    <w:name w:val="目录 31"/>
    <w:basedOn w:val="789"/>
    <w:next w:val="789"/>
    <w:uiPriority w:val="0"/>
    <w:pPr>
      <w:ind w:left="359"/>
      <w:tabs>
        <w:tab w:val="right" w:pos="8302" w:leader="dot"/>
      </w:tabs>
    </w:pPr>
    <w:rPr>
      <w:rFonts w:eastAsia="宋体"/>
      <w:sz w:val="21"/>
      <w:szCs w:val="24"/>
    </w:rPr>
  </w:style>
  <w:style w:type="paragraph" w:styleId="996" w:customStyle="1">
    <w:name w:val="纯文本111"/>
    <w:basedOn w:val="789"/>
    <w:next w:val="789"/>
    <w:link w:val="997"/>
    <w:uiPriority w:val="0"/>
    <w:unhideWhenUsed/>
    <w:qFormat/>
    <w:rPr>
      <w:rFonts w:ascii="宋体" w:hAnsi="Courier New"/>
    </w:rPr>
  </w:style>
  <w:style w:type="character" w:styleId="997" w:customStyle="1">
    <w:name w:val="纯文本 Char"/>
    <w:link w:val="996"/>
    <w:uiPriority w:val="0"/>
    <w:qFormat/>
    <w:rPr>
      <w:rFonts w:ascii="宋体" w:hAnsi="Courier New" w:eastAsia="楷体_GB2312"/>
      <w:sz w:val="26"/>
    </w:rPr>
  </w:style>
  <w:style w:type="paragraph" w:styleId="998" w:customStyle="1">
    <w:name w:val="日期1"/>
    <w:basedOn w:val="789"/>
    <w:next w:val="789"/>
    <w:link w:val="999"/>
    <w:uiPriority w:val="0"/>
    <w:unhideWhenUsed/>
    <w:qFormat/>
    <w:rPr>
      <w:rFonts w:ascii="宋体" w:hAnsi="宋体"/>
      <w:sz w:val="24"/>
    </w:rPr>
  </w:style>
  <w:style w:type="character" w:styleId="999" w:customStyle="1">
    <w:name w:val="日期 Char"/>
    <w:link w:val="998"/>
    <w:uiPriority w:val="0"/>
    <w:qFormat/>
    <w:rPr>
      <w:rFonts w:ascii="宋体" w:hAnsi="宋体" w:eastAsia="楷体_GB2312"/>
      <w:sz w:val="24"/>
    </w:rPr>
  </w:style>
  <w:style w:type="paragraph" w:styleId="1000" w:customStyle="1">
    <w:name w:val="尾注文本1"/>
    <w:basedOn w:val="789"/>
    <w:link w:val="1001"/>
    <w:uiPriority w:val="0"/>
    <w:unhideWhenUsed/>
    <w:qFormat/>
    <w:pPr>
      <w:jc w:val="left"/>
    </w:pPr>
    <w:rPr>
      <w:rFonts w:ascii="宋体" w:hAnsi="宋体" w:eastAsia="宋体"/>
      <w:sz w:val="21"/>
      <w:szCs w:val="24"/>
    </w:rPr>
  </w:style>
  <w:style w:type="character" w:styleId="1001" w:customStyle="1">
    <w:name w:val="尾注文本 Char"/>
    <w:link w:val="1000"/>
    <w:uiPriority w:val="0"/>
    <w:qFormat/>
    <w:rPr>
      <w:rFonts w:ascii="宋体" w:hAnsi="宋体"/>
      <w:sz w:val="21"/>
      <w:szCs w:val="24"/>
    </w:rPr>
  </w:style>
  <w:style w:type="paragraph" w:styleId="1002" w:customStyle="1">
    <w:name w:val="批注框文本1"/>
    <w:basedOn w:val="789"/>
    <w:link w:val="1003"/>
    <w:uiPriority w:val="0"/>
    <w:qFormat/>
    <w:rPr>
      <w:sz w:val="18"/>
      <w:szCs w:val="18"/>
    </w:rPr>
  </w:style>
  <w:style w:type="character" w:styleId="1003" w:customStyle="1">
    <w:name w:val="批注框文本 Char"/>
    <w:link w:val="1002"/>
    <w:uiPriority w:val="0"/>
    <w:qFormat/>
    <w:rPr>
      <w:rFonts w:eastAsia="楷体_GB2312"/>
      <w:sz w:val="18"/>
      <w:szCs w:val="18"/>
    </w:rPr>
  </w:style>
  <w:style w:type="paragraph" w:styleId="1004" w:customStyle="1">
    <w:name w:val="页脚1"/>
    <w:basedOn w:val="789"/>
    <w:link w:val="1005"/>
    <w:uiPriority w:val="0"/>
    <w:unhideWhenUsed/>
    <w:qFormat/>
    <w:pPr>
      <w:jc w:val="left"/>
      <w:tabs>
        <w:tab w:val="center" w:pos="4153" w:leader="none"/>
        <w:tab w:val="right" w:pos="8306" w:leader="none"/>
      </w:tabs>
    </w:pPr>
    <w:rPr>
      <w:sz w:val="18"/>
    </w:rPr>
  </w:style>
  <w:style w:type="character" w:styleId="1005" w:customStyle="1">
    <w:name w:val="页脚 Char"/>
    <w:link w:val="1004"/>
    <w:uiPriority w:val="0"/>
    <w:qFormat/>
    <w:rPr>
      <w:rFonts w:eastAsia="楷体_GB2312"/>
      <w:sz w:val="18"/>
    </w:rPr>
  </w:style>
  <w:style w:type="paragraph" w:styleId="1006" w:customStyle="1">
    <w:name w:val="页眉1"/>
    <w:basedOn w:val="789"/>
    <w:link w:val="1007"/>
    <w:uiPriority w:val="0"/>
    <w:unhideWhenUsed/>
    <w:qFormat/>
    <w:pPr>
      <w:jc w:val="center"/>
      <w:tabs>
        <w:tab w:val="center" w:pos="4153" w:leader="none"/>
        <w:tab w:val="right" w:pos="8306" w:leader="none"/>
      </w:tabs>
      <w:pBdr>
        <w:bottom w:val="single" w:color="000000" w:sz="6" w:space="1"/>
      </w:pBdr>
    </w:pPr>
    <w:rPr>
      <w:sz w:val="18"/>
    </w:rPr>
  </w:style>
  <w:style w:type="character" w:styleId="1007" w:customStyle="1">
    <w:name w:val="页眉 Char"/>
    <w:link w:val="1006"/>
    <w:uiPriority w:val="0"/>
    <w:qFormat/>
    <w:rPr>
      <w:rFonts w:eastAsia="楷体_GB2312"/>
      <w:sz w:val="18"/>
    </w:rPr>
  </w:style>
  <w:style w:type="paragraph" w:styleId="1008" w:customStyle="1">
    <w:name w:val="目录 11"/>
    <w:basedOn w:val="789"/>
    <w:next w:val="789"/>
    <w:uiPriority w:val="0"/>
    <w:unhideWhenUsed/>
    <w:qFormat/>
    <w:pPr>
      <w:jc w:val="left"/>
    </w:pPr>
    <w:rPr>
      <w:sz w:val="24"/>
    </w:rPr>
  </w:style>
  <w:style w:type="paragraph" w:styleId="1009" w:customStyle="1">
    <w:name w:val="副标题1"/>
    <w:basedOn w:val="789"/>
    <w:link w:val="1010"/>
    <w:uiPriority w:val="0"/>
    <w:qFormat/>
    <w:pPr>
      <w:jc w:val="center"/>
      <w:spacing w:before="240" w:after="60" w:line="312" w:lineRule="auto"/>
      <w:outlineLvl w:val="1"/>
    </w:pPr>
    <w:rPr>
      <w:rFonts w:ascii="Arial" w:hAnsi="Arial" w:eastAsia="宋体"/>
      <w:b/>
      <w:bCs/>
      <w:sz w:val="32"/>
      <w:szCs w:val="32"/>
    </w:rPr>
  </w:style>
  <w:style w:type="character" w:styleId="1010" w:customStyle="1">
    <w:name w:val="副标题 Char"/>
    <w:link w:val="1009"/>
    <w:uiPriority w:val="0"/>
    <w:qFormat/>
    <w:rPr>
      <w:rFonts w:ascii="Arial" w:hAnsi="Arial" w:cs="Arial"/>
      <w:b/>
      <w:bCs/>
      <w:sz w:val="32"/>
      <w:szCs w:val="32"/>
    </w:rPr>
  </w:style>
  <w:style w:type="paragraph" w:styleId="1011" w:customStyle="1">
    <w:name w:val="目录 21"/>
    <w:basedOn w:val="789"/>
    <w:next w:val="789"/>
    <w:uiPriority w:val="0"/>
    <w:unhideWhenUsed/>
    <w:qFormat/>
    <w:pPr>
      <w:ind w:left="420"/>
    </w:pPr>
  </w:style>
  <w:style w:type="paragraph" w:styleId="1012" w:customStyle="1">
    <w:name w:val="目录 91"/>
    <w:basedOn w:val="789"/>
    <w:next w:val="789"/>
    <w:uiPriority w:val="0"/>
    <w:semiHidden/>
    <w:qFormat/>
    <w:pPr>
      <w:ind w:left="3360"/>
    </w:pPr>
  </w:style>
  <w:style w:type="paragraph" w:styleId="1013" w:customStyle="1">
    <w:name w:val="普通(网站)1"/>
    <w:basedOn w:val="789"/>
    <w:uiPriority w:val="0"/>
    <w:unhideWhenUsed/>
    <w:qFormat/>
    <w:pPr>
      <w:jc w:val="left"/>
      <w:spacing w:before="100" w:beforeAutospacing="1" w:after="100" w:afterAutospacing="1"/>
      <w:widowControl/>
    </w:pPr>
    <w:rPr>
      <w:rFonts w:ascii="宋体" w:hAnsi="宋体" w:cs="宋体"/>
      <w:sz w:val="24"/>
    </w:rPr>
  </w:style>
  <w:style w:type="paragraph" w:styleId="1014" w:customStyle="1">
    <w:name w:val="索引 11"/>
    <w:basedOn w:val="789"/>
    <w:next w:val="789"/>
    <w:uiPriority w:val="0"/>
    <w:unhideWhenUsed/>
    <w:qFormat/>
    <w:pPr>
      <w:jc w:val="center"/>
      <w:spacing w:line="220" w:lineRule="exact"/>
    </w:pPr>
    <w:rPr>
      <w:rFonts w:ascii="仿宋_GB2312" w:eastAsia="仿宋_GB2312"/>
      <w:szCs w:val="21"/>
    </w:rPr>
  </w:style>
  <w:style w:type="paragraph" w:styleId="1015" w:customStyle="1">
    <w:name w:val="标题1"/>
    <w:basedOn w:val="789"/>
    <w:link w:val="1016"/>
    <w:uiPriority w:val="10"/>
    <w:qFormat/>
    <w:pPr>
      <w:jc w:val="center"/>
      <w:spacing w:before="240" w:after="60"/>
      <w:outlineLvl w:val="0"/>
    </w:pPr>
    <w:rPr>
      <w:rFonts w:ascii="Arial" w:hAnsi="Arial" w:eastAsia="宋体"/>
      <w:b/>
      <w:bCs/>
      <w:sz w:val="32"/>
      <w:szCs w:val="32"/>
    </w:rPr>
  </w:style>
  <w:style w:type="character" w:styleId="1016" w:customStyle="1">
    <w:name w:val="标题 Char"/>
    <w:link w:val="1015"/>
    <w:uiPriority w:val="10"/>
    <w:qFormat/>
    <w:rPr>
      <w:rFonts w:ascii="Arial" w:hAnsi="Arial"/>
      <w:b/>
      <w:bCs/>
      <w:sz w:val="32"/>
      <w:szCs w:val="32"/>
    </w:rPr>
  </w:style>
  <w:style w:type="paragraph" w:styleId="1017" w:customStyle="1">
    <w:name w:val="批注主题1"/>
    <w:basedOn w:val="987"/>
    <w:next w:val="987"/>
    <w:link w:val="1018"/>
    <w:uiPriority w:val="99"/>
    <w:qFormat/>
    <w:rPr>
      <w:b/>
      <w:bCs/>
    </w:rPr>
  </w:style>
  <w:style w:type="character" w:styleId="1018" w:customStyle="1">
    <w:name w:val="批注主题 Char"/>
    <w:link w:val="1017"/>
    <w:uiPriority w:val="99"/>
    <w:qFormat/>
    <w:rPr>
      <w:b/>
      <w:bCs/>
    </w:rPr>
  </w:style>
  <w:style w:type="paragraph" w:styleId="1019" w:customStyle="1">
    <w:name w:val="正文首行缩进1"/>
    <w:basedOn w:val="991"/>
    <w:link w:val="1020"/>
    <w:uiPriority w:val="0"/>
    <w:unhideWhenUsed/>
    <w:qFormat/>
    <w:pPr>
      <w:ind w:firstLine="420"/>
      <w:spacing w:after="120"/>
    </w:pPr>
    <w:rPr>
      <w:rFonts w:ascii="Times New Roman" w:eastAsia="宋体"/>
      <w:b w:val="0"/>
      <w:bCs w:val="0"/>
      <w:sz w:val="21"/>
      <w:szCs w:val="24"/>
    </w:rPr>
  </w:style>
  <w:style w:type="character" w:styleId="1020" w:customStyle="1">
    <w:name w:val="正文首行缩进 Char"/>
    <w:link w:val="1019"/>
    <w:uiPriority w:val="0"/>
    <w:qFormat/>
  </w:style>
  <w:style w:type="table" w:styleId="1021" w:customStyle="1">
    <w:name w:val="网格型1"/>
    <w:basedOn w:val="977"/>
    <w:uiPriority w:val="0"/>
    <w:unhideWhenUsed/>
    <w:qFormat/>
    <w:pPr>
      <w:jc w:val="both"/>
      <w:widowControl w:val="off"/>
    </w:pPr>
    <w:tblPr/>
  </w:style>
  <w:style w:type="character" w:styleId="1022" w:customStyle="1">
    <w:name w:val="要点1"/>
    <w:link w:val="789"/>
    <w:uiPriority w:val="0"/>
    <w:qFormat/>
    <w:rPr>
      <w:b/>
      <w:bCs/>
    </w:rPr>
  </w:style>
  <w:style w:type="character" w:styleId="1023" w:customStyle="1">
    <w:name w:val="页码1"/>
    <w:link w:val="789"/>
    <w:uiPriority w:val="0"/>
    <w:unhideWhenUsed/>
    <w:qFormat/>
  </w:style>
  <w:style w:type="character" w:styleId="1024" w:customStyle="1">
    <w:name w:val="已访问的超链接1"/>
    <w:link w:val="789"/>
    <w:uiPriority w:val="0"/>
    <w:qFormat/>
    <w:rPr>
      <w:rFonts w:ascii="微软雅黑" w:hAnsi="微软雅黑" w:eastAsia="微软雅黑" w:cs="微软雅黑"/>
      <w:color w:val="3d3d3d"/>
      <w:u w:val="none"/>
    </w:rPr>
  </w:style>
  <w:style w:type="character" w:styleId="1025" w:customStyle="1">
    <w:name w:val="超链接1"/>
    <w:link w:val="789"/>
    <w:uiPriority w:val="99"/>
    <w:unhideWhenUsed/>
    <w:qFormat/>
    <w:rPr>
      <w:rFonts w:hint="eastAsia" w:ascii="微软雅黑" w:hAnsi="微软雅黑" w:eastAsia="微软雅黑" w:cs="微软雅黑"/>
      <w:color w:val="3d3d3d"/>
      <w:u w:val="none"/>
    </w:rPr>
  </w:style>
  <w:style w:type="character" w:styleId="1026" w:customStyle="1">
    <w:name w:val="批注引用1"/>
    <w:link w:val="789"/>
    <w:uiPriority w:val="0"/>
    <w:qFormat/>
    <w:rPr>
      <w:sz w:val="21"/>
      <w:szCs w:val="21"/>
    </w:rPr>
  </w:style>
  <w:style w:type="character" w:styleId="1027" w:customStyle="1">
    <w:name w:val="正文文本 Char"/>
    <w:link w:val="789"/>
    <w:uiPriority w:val="0"/>
    <w:qFormat/>
    <w:rPr>
      <w:sz w:val="21"/>
      <w:szCs w:val="24"/>
    </w:rPr>
  </w:style>
  <w:style w:type="character" w:styleId="1028" w:customStyle="1">
    <w:name w:val="font61"/>
    <w:link w:val="789"/>
    <w:uiPriority w:val="0"/>
    <w:qFormat/>
    <w:rPr>
      <w:rFonts w:ascii="Calibri" w:hAnsi="Calibri" w:cs="Calibri"/>
      <w:color w:val="000000"/>
      <w:sz w:val="20"/>
      <w:szCs w:val="20"/>
      <w:u w:val="none"/>
    </w:rPr>
  </w:style>
  <w:style w:type="character" w:styleId="1029" w:customStyle="1">
    <w:name w:val="Char Char4"/>
    <w:link w:val="789"/>
    <w:uiPriority w:val="0"/>
    <w:qFormat/>
    <w:rPr>
      <w:rFonts w:ascii="Arial" w:hAnsi="Arial" w:eastAsia="黑体" w:cs="Arial"/>
      <w:bCs/>
      <w:sz w:val="24"/>
      <w:szCs w:val="28"/>
      <w:lang w:val="en-US" w:eastAsia="zh-CN" w:bidi="ar-SA"/>
    </w:rPr>
  </w:style>
  <w:style w:type="character" w:styleId="1030" w:customStyle="1">
    <w:name w:val="Char Char Char"/>
    <w:link w:val="789"/>
    <w:uiPriority w:val="0"/>
    <w:qFormat/>
    <w:rPr>
      <w:rFonts w:hint="eastAsia" w:ascii="黑体" w:hAnsi="黑体" w:eastAsia="黑体"/>
      <w:bCs/>
      <w:sz w:val="28"/>
      <w:szCs w:val="32"/>
      <w:lang w:val="en-US" w:eastAsia="zh-CN" w:bidi="ar-SA"/>
    </w:rPr>
  </w:style>
  <w:style w:type="character" w:styleId="1031" w:customStyle="1">
    <w:name w:val="z-窗体底端 Char"/>
    <w:link w:val="1032"/>
    <w:uiPriority w:val="0"/>
    <w:qFormat/>
    <w:rPr>
      <w:rFonts w:ascii="Arial" w:hAnsi="Arial" w:cs="Arial"/>
      <w:vanish/>
      <w:sz w:val="16"/>
      <w:szCs w:val="16"/>
    </w:rPr>
  </w:style>
  <w:style w:type="paragraph" w:styleId="1032" w:customStyle="1">
    <w:name w:val="z-窗体底端1"/>
    <w:basedOn w:val="789"/>
    <w:next w:val="789"/>
    <w:link w:val="1031"/>
    <w:uiPriority w:val="0"/>
    <w:unhideWhenUsed/>
    <w:qFormat/>
    <w:pPr>
      <w:jc w:val="center"/>
      <w:pBdr>
        <w:top w:val="single" w:color="000000" w:sz="6" w:space="1"/>
      </w:pBdr>
    </w:pPr>
    <w:rPr>
      <w:rFonts w:ascii="Arial" w:hAnsi="Arial" w:eastAsia="宋体" w:cs="Arial"/>
      <w:vanish/>
      <w:sz w:val="16"/>
      <w:szCs w:val="16"/>
    </w:rPr>
  </w:style>
  <w:style w:type="character" w:styleId="1033" w:customStyle="1">
    <w:name w:val="纯文本 Char Char"/>
    <w:link w:val="789"/>
    <w:uiPriority w:val="0"/>
    <w:qFormat/>
    <w:rPr>
      <w:rFonts w:ascii="宋体" w:hAnsi="Courier New" w:eastAsia="宋体" w:cs="Courier New"/>
      <w:sz w:val="21"/>
      <w:szCs w:val="21"/>
      <w:lang w:val="en-US" w:eastAsia="zh-CN" w:bidi="ar-SA"/>
    </w:rPr>
  </w:style>
  <w:style w:type="character" w:styleId="1034" w:customStyle="1">
    <w:name w:val="font21"/>
    <w:link w:val="789"/>
    <w:uiPriority w:val="0"/>
    <w:qFormat/>
    <w:rPr>
      <w:rFonts w:hint="eastAsia" w:ascii="宋体" w:hAnsi="宋体" w:eastAsia="宋体" w:cs="宋体"/>
      <w:color w:val="000000"/>
      <w:sz w:val="20"/>
      <w:szCs w:val="20"/>
      <w:u w:val="none"/>
    </w:rPr>
  </w:style>
  <w:style w:type="character" w:styleId="1035" w:customStyle="1">
    <w:name w:val="Other|1_"/>
    <w:link w:val="1036"/>
    <w:uiPriority w:val="0"/>
    <w:qFormat/>
    <w:rPr>
      <w:rFonts w:ascii="宋体" w:hAnsi="宋体" w:eastAsia="宋体" w:cs="宋体"/>
      <w:color w:val="4e4a50"/>
      <w:lang w:val="zh-TW" w:eastAsia="zh-TW" w:bidi="zh-TW"/>
    </w:rPr>
  </w:style>
  <w:style w:type="paragraph" w:styleId="1036" w:customStyle="1">
    <w:name w:val="Other|1"/>
    <w:basedOn w:val="789"/>
    <w:link w:val="1035"/>
    <w:uiPriority w:val="0"/>
    <w:qFormat/>
    <w:pPr>
      <w:jc w:val="center"/>
      <w:spacing w:line="308" w:lineRule="exact"/>
    </w:pPr>
    <w:rPr>
      <w:rFonts w:ascii="宋体" w:hAnsi="宋体" w:eastAsia="宋体" w:cs="宋体"/>
      <w:color w:val="4e4a50"/>
      <w:sz w:val="20"/>
      <w:lang w:val="zh-TW" w:eastAsia="zh-TW" w:bidi="zh-TW"/>
    </w:rPr>
  </w:style>
  <w:style w:type="character" w:styleId="1037" w:customStyle="1">
    <w:name w:val="Heading #2|1_"/>
    <w:link w:val="1038"/>
    <w:uiPriority w:val="0"/>
    <w:qFormat/>
    <w:rPr>
      <w:rFonts w:ascii="宋体" w:hAnsi="宋体" w:eastAsia="宋体" w:cs="宋体"/>
      <w:color w:val="4e4a50"/>
      <w:sz w:val="40"/>
      <w:szCs w:val="40"/>
      <w:lang w:val="zh-TW" w:eastAsia="zh-TW" w:bidi="zh-TW"/>
    </w:rPr>
  </w:style>
  <w:style w:type="paragraph" w:styleId="1038" w:customStyle="1">
    <w:name w:val="Heading #2|1"/>
    <w:basedOn w:val="789"/>
    <w:link w:val="1037"/>
    <w:uiPriority w:val="0"/>
    <w:qFormat/>
    <w:pPr>
      <w:jc w:val="center"/>
      <w:spacing w:after="550" w:line="595" w:lineRule="exact"/>
      <w:outlineLvl w:val="1"/>
    </w:pPr>
    <w:rPr>
      <w:rFonts w:ascii="宋体" w:hAnsi="宋体" w:eastAsia="宋体" w:cs="宋体"/>
      <w:color w:val="4e4a50"/>
      <w:sz w:val="40"/>
      <w:szCs w:val="40"/>
      <w:lang w:val="zh-TW" w:eastAsia="zh-TW" w:bidi="zh-TW"/>
    </w:rPr>
  </w:style>
  <w:style w:type="character" w:styleId="1039" w:customStyle="1">
    <w:name w:val="z-窗体顶端 Char2"/>
    <w:link w:val="789"/>
    <w:uiPriority w:val="99"/>
    <w:semiHidden/>
    <w:qFormat/>
    <w:rPr>
      <w:rFonts w:ascii="Arial" w:hAnsi="Arial" w:eastAsia="楷体_GB2312" w:cs="Arial"/>
      <w:vanish/>
      <w:sz w:val="16"/>
      <w:szCs w:val="16"/>
    </w:rPr>
  </w:style>
  <w:style w:type="character" w:styleId="1040" w:customStyle="1">
    <w:name w:val="z-窗体底端 Char2"/>
    <w:link w:val="789"/>
    <w:uiPriority w:val="99"/>
    <w:semiHidden/>
    <w:qFormat/>
    <w:rPr>
      <w:rFonts w:ascii="Arial" w:hAnsi="Arial" w:eastAsia="楷体_GB2312" w:cs="Arial"/>
      <w:vanish/>
      <w:sz w:val="16"/>
      <w:szCs w:val="16"/>
    </w:rPr>
  </w:style>
  <w:style w:type="character" w:styleId="1041" w:customStyle="1">
    <w:name w:val="Picture caption|1_"/>
    <w:link w:val="1042"/>
    <w:uiPriority w:val="0"/>
    <w:qFormat/>
    <w:rPr>
      <w:rFonts w:ascii="宋体" w:hAnsi="宋体" w:eastAsia="宋体" w:cs="宋体"/>
      <w:color w:val="4e4a50"/>
      <w:sz w:val="26"/>
      <w:szCs w:val="26"/>
      <w:lang w:val="zh-TW" w:eastAsia="zh-TW" w:bidi="zh-TW"/>
    </w:rPr>
  </w:style>
  <w:style w:type="paragraph" w:styleId="1042" w:customStyle="1">
    <w:name w:val="Picture caption|1"/>
    <w:basedOn w:val="789"/>
    <w:link w:val="1041"/>
    <w:uiPriority w:val="0"/>
    <w:qFormat/>
    <w:pPr>
      <w:jc w:val="left"/>
    </w:pPr>
    <w:rPr>
      <w:rFonts w:ascii="宋体" w:hAnsi="宋体" w:eastAsia="宋体" w:cs="宋体"/>
      <w:color w:val="4e4a50"/>
      <w:szCs w:val="26"/>
      <w:lang w:val="zh-TW" w:eastAsia="zh-TW" w:bidi="zh-TW"/>
    </w:rPr>
  </w:style>
  <w:style w:type="character" w:styleId="1043" w:customStyle="1">
    <w:name w:val="标题 Char1"/>
    <w:link w:val="789"/>
    <w:uiPriority w:val="10"/>
    <w:qFormat/>
    <w:rPr>
      <w:rFonts w:ascii="Cambria" w:hAnsi="Cambria" w:cs="Times New Roman"/>
      <w:b/>
      <w:bCs/>
      <w:sz w:val="32"/>
      <w:szCs w:val="32"/>
    </w:rPr>
  </w:style>
  <w:style w:type="character" w:styleId="1044" w:customStyle="1">
    <w:name w:val="Char Char"/>
    <w:link w:val="789"/>
    <w:uiPriority w:val="0"/>
    <w:qFormat/>
    <w:rPr>
      <w:rFonts w:eastAsia="黑体"/>
      <w:bCs/>
      <w:sz w:val="28"/>
      <w:szCs w:val="32"/>
      <w:lang w:val="en-US" w:eastAsia="zh-CN" w:bidi="ar-SA"/>
    </w:rPr>
  </w:style>
  <w:style w:type="character" w:styleId="1045" w:customStyle="1">
    <w:name w:val="z-窗体底端 Char1"/>
    <w:link w:val="1046"/>
    <w:uiPriority w:val="0"/>
    <w:qFormat/>
    <w:rPr>
      <w:rFonts w:ascii="Arial" w:hAnsi="Arial" w:cs="Arial"/>
      <w:vanish/>
      <w:sz w:val="16"/>
      <w:szCs w:val="16"/>
    </w:rPr>
  </w:style>
  <w:style w:type="paragraph" w:styleId="1046" w:customStyle="1">
    <w:name w:val="z-窗体底端"/>
    <w:basedOn w:val="789"/>
    <w:next w:val="789"/>
    <w:link w:val="1045"/>
    <w:uiPriority w:val="0"/>
    <w:qFormat/>
    <w:pPr>
      <w:jc w:val="center"/>
      <w:pBdr>
        <w:top w:val="single" w:color="000000" w:sz="6" w:space="1"/>
      </w:pBdr>
    </w:pPr>
    <w:rPr>
      <w:rFonts w:ascii="Arial" w:hAnsi="Arial" w:eastAsia="宋体" w:cs="Arial"/>
      <w:vanish/>
      <w:sz w:val="16"/>
      <w:szCs w:val="16"/>
    </w:rPr>
  </w:style>
  <w:style w:type="character" w:styleId="1047" w:customStyle="1">
    <w:name w:val="Char Char5"/>
    <w:link w:val="789"/>
    <w:uiPriority w:val="0"/>
    <w:qFormat/>
    <w:rPr>
      <w:rFonts w:hint="eastAsia" w:ascii="黑体" w:hAnsi="黑体" w:eastAsia="黑体"/>
      <w:b/>
      <w:bCs/>
      <w:sz w:val="72"/>
      <w:szCs w:val="44"/>
      <w:lang w:val="en-US" w:eastAsia="zh-CN" w:bidi="ar-SA"/>
    </w:rPr>
  </w:style>
  <w:style w:type="character" w:styleId="1048" w:customStyle="1">
    <w:name w:val="Char Char3"/>
    <w:link w:val="789"/>
    <w:uiPriority w:val="0"/>
    <w:qFormat/>
    <w:rPr>
      <w:b/>
      <w:bCs/>
      <w:sz w:val="32"/>
      <w:szCs w:val="32"/>
    </w:rPr>
  </w:style>
  <w:style w:type="character" w:styleId="1049" w:customStyle="1">
    <w:name w:val="Header or footer|2_"/>
    <w:link w:val="1050"/>
    <w:uiPriority w:val="0"/>
    <w:qFormat/>
    <w:rPr>
      <w:lang w:val="zh-TW" w:eastAsia="zh-TW" w:bidi="zh-TW"/>
    </w:rPr>
  </w:style>
  <w:style w:type="paragraph" w:styleId="1050" w:customStyle="1">
    <w:name w:val="Header or footer|2"/>
    <w:basedOn w:val="789"/>
    <w:link w:val="1049"/>
    <w:uiPriority w:val="0"/>
    <w:qFormat/>
    <w:pPr>
      <w:jc w:val="left"/>
    </w:pPr>
    <w:rPr>
      <w:rFonts w:eastAsia="宋体"/>
      <w:sz w:val="20"/>
      <w:lang w:val="zh-TW" w:eastAsia="zh-TW" w:bidi="zh-TW"/>
    </w:rPr>
  </w:style>
  <w:style w:type="character" w:styleId="1051" w:customStyle="1">
    <w:name w:val="Body text|1_"/>
    <w:link w:val="1052"/>
    <w:uiPriority w:val="0"/>
    <w:qFormat/>
    <w:rPr>
      <w:rFonts w:ascii="宋体" w:hAnsi="宋体" w:eastAsia="宋体" w:cs="宋体"/>
      <w:color w:val="4e4a50"/>
      <w:sz w:val="26"/>
      <w:szCs w:val="26"/>
      <w:lang w:val="zh-TW" w:eastAsia="zh-TW" w:bidi="zh-TW"/>
    </w:rPr>
  </w:style>
  <w:style w:type="paragraph" w:styleId="1052" w:customStyle="1">
    <w:name w:val="Body text|1"/>
    <w:basedOn w:val="789"/>
    <w:link w:val="1051"/>
    <w:uiPriority w:val="0"/>
    <w:qFormat/>
    <w:pPr>
      <w:ind w:firstLine="400"/>
      <w:jc w:val="left"/>
      <w:spacing w:line="458" w:lineRule="auto"/>
    </w:pPr>
    <w:rPr>
      <w:rFonts w:ascii="宋体" w:hAnsi="宋体" w:eastAsia="宋体" w:cs="宋体"/>
      <w:color w:val="4e4a50"/>
      <w:szCs w:val="26"/>
      <w:lang w:val="zh-TW" w:eastAsia="zh-TW" w:bidi="zh-TW"/>
    </w:rPr>
  </w:style>
  <w:style w:type="character" w:styleId="1053" w:customStyle="1">
    <w:name w:val="font51"/>
    <w:link w:val="789"/>
    <w:uiPriority w:val="0"/>
    <w:qFormat/>
    <w:rPr>
      <w:rFonts w:hint="eastAsia" w:ascii="宋体" w:hAnsi="宋体" w:eastAsia="宋体" w:cs="宋体"/>
      <w:color w:val="000000"/>
      <w:sz w:val="20"/>
      <w:szCs w:val="20"/>
      <w:u w:val="none"/>
    </w:rPr>
  </w:style>
  <w:style w:type="character" w:styleId="1054" w:customStyle="1">
    <w:name w:val="grame"/>
    <w:link w:val="789"/>
    <w:uiPriority w:val="0"/>
    <w:qFormat/>
  </w:style>
  <w:style w:type="character" w:styleId="1055" w:customStyle="1">
    <w:name w:val="文档结构图 Char1"/>
    <w:link w:val="789"/>
    <w:uiPriority w:val="99"/>
    <w:semiHidden/>
    <w:qFormat/>
    <w:rPr>
      <w:rFonts w:ascii="宋体"/>
      <w:sz w:val="18"/>
      <w:szCs w:val="18"/>
    </w:rPr>
  </w:style>
  <w:style w:type="character" w:styleId="1056" w:customStyle="1">
    <w:name w:val="z-窗体顶端 Char1"/>
    <w:link w:val="1057"/>
    <w:uiPriority w:val="0"/>
    <w:rPr>
      <w:rFonts w:ascii="Arial" w:hAnsi="Arial" w:cs="Arial"/>
      <w:vanish/>
      <w:sz w:val="16"/>
      <w:szCs w:val="16"/>
    </w:rPr>
  </w:style>
  <w:style w:type="paragraph" w:styleId="1057" w:customStyle="1">
    <w:name w:val="z-窗体顶端"/>
    <w:basedOn w:val="789"/>
    <w:next w:val="789"/>
    <w:link w:val="1056"/>
    <w:uiPriority w:val="0"/>
    <w:qFormat/>
    <w:pPr>
      <w:jc w:val="center"/>
      <w:pBdr>
        <w:bottom w:val="single" w:color="000000" w:sz="6" w:space="1"/>
      </w:pBdr>
    </w:pPr>
    <w:rPr>
      <w:rFonts w:ascii="Arial" w:hAnsi="Arial" w:eastAsia="宋体" w:cs="Arial"/>
      <w:vanish/>
      <w:sz w:val="16"/>
      <w:szCs w:val="16"/>
    </w:rPr>
  </w:style>
  <w:style w:type="character" w:styleId="1058" w:customStyle="1">
    <w:name w:val="Blockquote Char Char"/>
    <w:link w:val="1059"/>
    <w:uiPriority w:val="0"/>
    <w:qFormat/>
    <w:rPr>
      <w:rFonts w:cs="宋体"/>
      <w:sz w:val="24"/>
      <w:szCs w:val="24"/>
    </w:rPr>
  </w:style>
  <w:style w:type="paragraph" w:styleId="1059" w:customStyle="1">
    <w:name w:val="Blockquote"/>
    <w:basedOn w:val="789"/>
    <w:link w:val="1058"/>
    <w:uiPriority w:val="0"/>
    <w:qFormat/>
    <w:pPr>
      <w:ind w:left="360" w:right="360"/>
      <w:jc w:val="left"/>
      <w:spacing w:before="100" w:after="100"/>
    </w:pPr>
    <w:rPr>
      <w:rFonts w:eastAsia="宋体" w:cs="宋体"/>
      <w:sz w:val="24"/>
      <w:szCs w:val="24"/>
    </w:rPr>
  </w:style>
  <w:style w:type="character" w:styleId="1060" w:customStyle="1">
    <w:name w:val="z-窗体顶端 Char"/>
    <w:link w:val="1061"/>
    <w:uiPriority w:val="0"/>
    <w:qFormat/>
    <w:rPr>
      <w:rFonts w:ascii="Arial" w:hAnsi="Arial" w:cs="Arial"/>
      <w:vanish/>
      <w:sz w:val="16"/>
      <w:szCs w:val="16"/>
    </w:rPr>
  </w:style>
  <w:style w:type="paragraph" w:styleId="1061" w:customStyle="1">
    <w:name w:val="z-窗体顶端1"/>
    <w:basedOn w:val="789"/>
    <w:next w:val="789"/>
    <w:link w:val="1060"/>
    <w:uiPriority w:val="0"/>
    <w:unhideWhenUsed/>
    <w:qFormat/>
    <w:pPr>
      <w:jc w:val="center"/>
      <w:pBdr>
        <w:bottom w:val="single" w:color="000000" w:sz="6" w:space="1"/>
      </w:pBdr>
    </w:pPr>
    <w:rPr>
      <w:rFonts w:ascii="Arial" w:hAnsi="Arial" w:eastAsia="宋体" w:cs="Arial"/>
      <w:vanish/>
      <w:sz w:val="16"/>
      <w:szCs w:val="16"/>
    </w:rPr>
  </w:style>
  <w:style w:type="character" w:styleId="1062" w:customStyle="1">
    <w:name w:val="样式 粉红"/>
    <w:link w:val="789"/>
    <w:uiPriority w:val="0"/>
    <w:qFormat/>
    <w:rPr>
      <w:color w:val="000000"/>
      <w:u w:val="none"/>
    </w:rPr>
  </w:style>
  <w:style w:type="character" w:styleId="1063" w:customStyle="1">
    <w:name w:val="正文首行缩进 Char1"/>
    <w:link w:val="789"/>
    <w:uiPriority w:val="0"/>
    <w:qFormat/>
  </w:style>
  <w:style w:type="character" w:styleId="1064" w:customStyle="1">
    <w:name w:val="Heading #1|1_"/>
    <w:link w:val="1065"/>
    <w:uiPriority w:val="0"/>
    <w:qFormat/>
    <w:rPr>
      <w:rFonts w:ascii="宋体" w:hAnsi="宋体" w:eastAsia="宋体" w:cs="宋体"/>
      <w:color w:val="fc5c77"/>
      <w:sz w:val="138"/>
      <w:szCs w:val="138"/>
      <w:lang w:val="zh-TW" w:eastAsia="zh-TW" w:bidi="zh-TW"/>
    </w:rPr>
  </w:style>
  <w:style w:type="paragraph" w:styleId="1065" w:customStyle="1">
    <w:name w:val="Heading #1|1"/>
    <w:basedOn w:val="789"/>
    <w:link w:val="1064"/>
    <w:uiPriority w:val="0"/>
    <w:qFormat/>
    <w:pPr>
      <w:jc w:val="left"/>
      <w:spacing w:before="1160" w:after="1020"/>
      <w:outlineLvl w:val="0"/>
    </w:pPr>
    <w:rPr>
      <w:rFonts w:ascii="宋体" w:hAnsi="宋体" w:eastAsia="宋体" w:cs="宋体"/>
      <w:color w:val="fc5c77"/>
      <w:sz w:val="138"/>
      <w:szCs w:val="138"/>
      <w:lang w:val="zh-TW" w:eastAsia="zh-TW" w:bidi="zh-TW"/>
    </w:rPr>
  </w:style>
  <w:style w:type="character" w:styleId="1066" w:customStyle="1">
    <w:name w:val="font01"/>
    <w:link w:val="789"/>
    <w:uiPriority w:val="0"/>
    <w:qFormat/>
    <w:rPr>
      <w:rFonts w:ascii="Calibri" w:hAnsi="Calibri" w:cs="Calibri"/>
      <w:color w:val="000000"/>
      <w:sz w:val="20"/>
      <w:szCs w:val="20"/>
      <w:u w:val="none"/>
    </w:rPr>
  </w:style>
  <w:style w:type="character" w:styleId="1067" w:customStyle="1">
    <w:name w:val="Char Char2"/>
    <w:link w:val="789"/>
    <w:uiPriority w:val="0"/>
    <w:qFormat/>
    <w:rPr>
      <w:rFonts w:ascii="Arial" w:hAnsi="Arial" w:eastAsia="黑体" w:cs="Arial"/>
      <w:b/>
      <w:bCs/>
      <w:sz w:val="32"/>
      <w:szCs w:val="32"/>
      <w:lang w:val="en-US" w:eastAsia="zh-CN" w:bidi="ar-SA"/>
    </w:rPr>
  </w:style>
  <w:style w:type="character" w:styleId="1068" w:customStyle="1">
    <w:name w:val="font112"/>
    <w:link w:val="789"/>
    <w:uiPriority w:val="0"/>
    <w:qFormat/>
    <w:rPr>
      <w:rFonts w:hint="eastAsia" w:ascii="宋体" w:hAnsi="宋体" w:eastAsia="宋体" w:cs="宋体"/>
      <w:color w:val="000000"/>
      <w:sz w:val="20"/>
      <w:szCs w:val="20"/>
      <w:u w:val="none"/>
    </w:rPr>
  </w:style>
  <w:style w:type="character" w:styleId="1069" w:customStyle="1">
    <w:name w:val="Plain Text Char Char"/>
    <w:link w:val="1070"/>
    <w:uiPriority w:val="0"/>
    <w:rPr>
      <w:rFonts w:ascii="宋体" w:hAnsi="Courier New" w:eastAsia="楷体_GB2312"/>
      <w:sz w:val="26"/>
      <w:lang w:val="en-US" w:eastAsia="zh-CN" w:bidi="ar-SA"/>
    </w:rPr>
  </w:style>
  <w:style w:type="paragraph" w:styleId="1070" w:customStyle="1">
    <w:name w:val="纯文本1"/>
    <w:basedOn w:val="789"/>
    <w:link w:val="1069"/>
    <w:uiPriority w:val="0"/>
    <w:qFormat/>
    <w:rPr>
      <w:rFonts w:ascii="宋体" w:hAnsi="Courier New"/>
    </w:rPr>
  </w:style>
  <w:style w:type="paragraph" w:styleId="1071" w:customStyle="1">
    <w:name w:val="正文缩进11"/>
    <w:basedOn w:val="789"/>
    <w:next w:val="789"/>
    <w:uiPriority w:val="0"/>
    <w:unhideWhenUsed/>
    <w:qFormat/>
    <w:pPr>
      <w:ind w:firstLine="420"/>
    </w:pPr>
  </w:style>
  <w:style w:type="character" w:styleId="1072" w:customStyle="1">
    <w:name w:val="font11"/>
    <w:link w:val="789"/>
    <w:uiPriority w:val="0"/>
    <w:qFormat/>
    <w:rPr>
      <w:rFonts w:hint="eastAsia" w:ascii="宋体" w:hAnsi="宋体" w:eastAsia="宋体" w:cs="宋体"/>
      <w:color w:val="000000"/>
      <w:sz w:val="20"/>
      <w:szCs w:val="20"/>
      <w:u w:val="none"/>
    </w:rPr>
  </w:style>
  <w:style w:type="character" w:styleId="1073" w:customStyle="1">
    <w:name w:val="尾注文本 Char1"/>
    <w:link w:val="789"/>
    <w:uiPriority w:val="99"/>
    <w:semiHidden/>
    <w:rPr>
      <w:rFonts w:eastAsia="楷体_GB2312"/>
      <w:sz w:val="26"/>
    </w:rPr>
  </w:style>
  <w:style w:type="character" w:styleId="1074" w:customStyle="1">
    <w:name w:val="Body text|3_"/>
    <w:link w:val="1075"/>
    <w:uiPriority w:val="0"/>
    <w:qFormat/>
    <w:rPr>
      <w:color w:val="5c575b"/>
      <w:sz w:val="26"/>
      <w:szCs w:val="26"/>
      <w:lang w:val="zh-TW" w:eastAsia="zh-TW" w:bidi="zh-TW"/>
    </w:rPr>
  </w:style>
  <w:style w:type="paragraph" w:styleId="1075" w:customStyle="1">
    <w:name w:val="Body text|3"/>
    <w:basedOn w:val="789"/>
    <w:link w:val="1074"/>
    <w:uiPriority w:val="0"/>
    <w:qFormat/>
    <w:pPr>
      <w:jc w:val="left"/>
    </w:pPr>
    <w:rPr>
      <w:rFonts w:eastAsia="宋体"/>
      <w:color w:val="5c575b"/>
      <w:szCs w:val="26"/>
      <w:lang w:val="zh-TW" w:eastAsia="zh-TW" w:bidi="zh-TW"/>
    </w:rPr>
  </w:style>
  <w:style w:type="character" w:styleId="1076" w:customStyle="1">
    <w:name w:val="Char Char1"/>
    <w:link w:val="789"/>
    <w:uiPriority w:val="0"/>
    <w:qFormat/>
    <w:rPr>
      <w:rFonts w:ascii="Arial" w:hAnsi="Arial" w:eastAsia="黑体"/>
      <w:b/>
      <w:bCs/>
      <w:sz w:val="32"/>
      <w:szCs w:val="32"/>
      <w:lang w:val="en-US" w:eastAsia="zh-CN" w:bidi="ar-SA"/>
    </w:rPr>
  </w:style>
  <w:style w:type="paragraph" w:styleId="1077" w:customStyle="1">
    <w:name w:val="样式 宋体"/>
    <w:basedOn w:val="789"/>
    <w:uiPriority w:val="0"/>
    <w:qFormat/>
    <w:pPr>
      <w:ind w:firstLine="100"/>
      <w:spacing w:line="360" w:lineRule="auto"/>
    </w:pPr>
    <w:rPr>
      <w:rFonts w:ascii="宋体" w:hAnsi="宋体" w:eastAsia="宋体" w:cs="宋体"/>
      <w:sz w:val="21"/>
    </w:rPr>
  </w:style>
  <w:style w:type="paragraph" w:styleId="1078">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9" w:customStyle="1">
    <w:name w:val="_Style 4"/>
    <w:basedOn w:val="789"/>
    <w:next w:val="789"/>
    <w:uiPriority w:val="0"/>
    <w:qFormat/>
    <w:pPr>
      <w:ind w:firstLine="420"/>
    </w:pPr>
    <w:rPr>
      <w:rFonts w:ascii="Calibri" w:hAnsi="Calibri" w:eastAsia="宋体"/>
      <w:sz w:val="21"/>
      <w:szCs w:val="22"/>
    </w:rPr>
  </w:style>
  <w:style w:type="paragraph" w:styleId="1080" w:customStyle="1">
    <w:name w:val="纯文本4"/>
    <w:basedOn w:val="789"/>
    <w:uiPriority w:val="0"/>
    <w:qFormat/>
    <w:rPr>
      <w:rFonts w:ascii="宋体" w:hAnsi="Courier New" w:eastAsia="宋体"/>
      <w:sz w:val="28"/>
      <w:szCs w:val="24"/>
    </w:rPr>
  </w:style>
  <w:style w:type="paragraph" w:styleId="1081" w:customStyle="1">
    <w:name w:val=" Char"/>
    <w:basedOn w:val="789"/>
    <w:uiPriority w:val="0"/>
    <w:qFormat/>
    <w:pPr>
      <w:tabs>
        <w:tab w:val="left" w:pos="360" w:leader="none"/>
      </w:tabs>
    </w:pPr>
    <w:rPr>
      <w:rFonts w:eastAsia="宋体"/>
      <w:sz w:val="24"/>
      <w:szCs w:val="24"/>
    </w:rPr>
  </w:style>
  <w:style w:type="paragraph" w:styleId="1082" w:customStyle="1">
    <w:name w:val="样式 样式 宋体 + 首行缩进:  1 字符"/>
    <w:basedOn w:val="1077"/>
    <w:uiPriority w:val="0"/>
    <w:qFormat/>
    <w:pPr>
      <w:spacing w:line="240" w:lineRule="auto"/>
    </w:pPr>
  </w:style>
  <w:style w:type="paragraph" w:styleId="1083" w:customStyle="1">
    <w:name w:val="公文正文"/>
    <w:uiPriority w:val="0"/>
    <w:qFormat/>
    <w:pPr>
      <w:ind w:firstLine="629"/>
      <w:jc w:val="both"/>
      <w:spacing w:line="360" w:lineRule="auto"/>
      <w:widowControl w:val="off"/>
    </w:pPr>
    <w:rPr>
      <w:rFonts w:hint="default" w:ascii="仿宋_GB2312" w:hAnsi="Calisto MT" w:eastAsia="仿宋_GB2312" w:cs="Times New Roman"/>
      <w:color w:val="000000"/>
      <w:sz w:val="32"/>
      <w:lang w:val="en-US" w:eastAsia="zh-CN" w:bidi="ar-SA"/>
    </w:rPr>
  </w:style>
  <w:style w:type="paragraph" w:styleId="1084" w:customStyle="1">
    <w:name w:val="列出段落"/>
    <w:basedOn w:val="789"/>
    <w:uiPriority w:val="0"/>
    <w:qFormat/>
    <w:pPr>
      <w:ind w:firstLine="420"/>
    </w:pPr>
  </w:style>
  <w:style w:type="paragraph" w:styleId="1085" w:customStyle="1">
    <w:name w:val="WPS Plain"/>
    <w:uiPriority w:val="0"/>
    <w:qFormat/>
    <w:rPr>
      <w:rFonts w:hint="default" w:ascii="Times New Roman" w:hAnsi="Times New Roman" w:eastAsia="宋体" w:cs="Times New Roman"/>
      <w:lang w:val="en-US" w:eastAsia="zh-CN" w:bidi="ar-SA"/>
    </w:rPr>
  </w:style>
  <w:style w:type="paragraph" w:styleId="1086" w:customStyle="1">
    <w:name w:val="修订1"/>
    <w:uiPriority w:val="99"/>
    <w:unhideWhenUsed/>
    <w:qFormat/>
    <w:rPr>
      <w:rFonts w:hint="default" w:ascii="Times New Roman" w:hAnsi="Times New Roman" w:eastAsia="楷体_GB2312" w:cs="Times New Roman"/>
      <w:sz w:val="26"/>
      <w:lang w:val="en-US" w:eastAsia="zh-CN" w:bidi="ar-SA"/>
    </w:rPr>
  </w:style>
  <w:style w:type="paragraph" w:styleId="1087" w:customStyle="1">
    <w:name w:val="列出段落1"/>
    <w:basedOn w:val="789"/>
    <w:uiPriority w:val="0"/>
    <w:qFormat/>
    <w:pPr>
      <w:ind w:firstLine="420"/>
    </w:pPr>
    <w:rPr>
      <w:rFonts w:ascii="Calibri" w:hAnsi="Calibri" w:eastAsia="宋体"/>
      <w:sz w:val="21"/>
      <w:szCs w:val="22"/>
    </w:rPr>
  </w:style>
  <w:style w:type="paragraph" w:styleId="1088" w:customStyle="1">
    <w:name w:val="样式 标题 3 + (中文) 黑体 小四 非加粗 段前: 7.8 磅 段后: 0 磅 行距: 固定值 20 磅"/>
    <w:basedOn w:val="971"/>
    <w:next w:val="789"/>
    <w:uiPriority w:val="0"/>
    <w:qFormat/>
    <w:pPr>
      <w:spacing w:before="0" w:after="0" w:line="400" w:lineRule="exact"/>
    </w:pPr>
    <w:rPr>
      <w:rFonts w:eastAsia="宋体"/>
      <w:sz w:val="24"/>
      <w:szCs w:val="20"/>
    </w:rPr>
  </w:style>
  <w:style w:type="paragraph" w:styleId="1089" w:customStyle="1">
    <w:name w:val="Char"/>
    <w:basedOn w:val="789"/>
    <w:uiPriority w:val="0"/>
    <w:qFormat/>
    <w:rPr>
      <w:rFonts w:ascii="Tahoma" w:hAnsi="Tahoma" w:eastAsia="宋体"/>
      <w:sz w:val="24"/>
    </w:rPr>
  </w:style>
  <w:style w:type="paragraph" w:styleId="1090" w:customStyle="1">
    <w:name w:val="正文1"/>
    <w:basedOn w:val="789"/>
    <w:uiPriority w:val="0"/>
    <w:qFormat/>
    <w:pPr>
      <w:ind w:left="855" w:hanging="420"/>
      <w:spacing w:before="100" w:beforeAutospacing="1" w:after="100" w:afterAutospacing="1" w:line="360" w:lineRule="auto"/>
    </w:pPr>
    <w:rPr>
      <w:rFonts w:ascii="宋体" w:hAnsi="宋体" w:eastAsia="宋体" w:cs="宋体"/>
      <w:sz w:val="24"/>
      <w:szCs w:val="24"/>
    </w:rPr>
  </w:style>
  <w:style w:type="paragraph" w:styleId="1091" w:customStyle="1">
    <w:name w:val="HTML Top of Form"/>
    <w:basedOn w:val="789"/>
    <w:next w:val="789"/>
    <w:uiPriority w:val="0"/>
    <w:unhideWhenUsed/>
    <w:qFormat/>
    <w:pPr>
      <w:jc w:val="center"/>
      <w:pBdr>
        <w:bottom w:val="single" w:color="000000" w:sz="6" w:space="1"/>
      </w:pBdr>
    </w:pPr>
    <w:rPr>
      <w:rFonts w:ascii="Arial" w:hAnsi="Arial" w:eastAsia="宋体" w:cs="Arial"/>
      <w:vanish/>
      <w:sz w:val="16"/>
      <w:szCs w:val="16"/>
    </w:rPr>
  </w:style>
  <w:style w:type="paragraph" w:styleId="1092">
    <w:name w:val="List Paragraph"/>
    <w:basedOn w:val="789"/>
    <w:uiPriority w:val="0"/>
    <w:qFormat/>
    <w:pPr>
      <w:ind w:firstLine="420"/>
    </w:pPr>
    <w:rPr>
      <w:rFonts w:ascii="Calibri" w:hAnsi="Calibri" w:eastAsia="宋体"/>
      <w:sz w:val="21"/>
      <w:szCs w:val="22"/>
    </w:rPr>
  </w:style>
  <w:style w:type="paragraph" w:styleId="1093" w:customStyle="1">
    <w:name w:val=" Char Char Char Char Char Char Char Char Char Char"/>
    <w:basedOn w:val="789"/>
    <w:uiPriority w:val="0"/>
    <w:qFormat/>
    <w:pPr>
      <w:ind w:hanging="425"/>
      <w:keepNext/>
      <w:spacing w:before="80" w:after="80"/>
      <w:widowControl/>
      <w:tabs>
        <w:tab w:val="left" w:pos="425" w:leader="none"/>
      </w:tabs>
    </w:pPr>
    <w:rPr>
      <w:rFonts w:eastAsia="宋体"/>
      <w:sz w:val="20"/>
    </w:rPr>
  </w:style>
  <w:style w:type="paragraph" w:styleId="1094" w:customStyle="1">
    <w:name w:val="red"/>
    <w:basedOn w:val="789"/>
    <w:uiPriority w:val="0"/>
    <w:qFormat/>
    <w:pPr>
      <w:jc w:val="left"/>
      <w:spacing w:before="100" w:beforeAutospacing="1" w:after="100" w:afterAutospacing="1"/>
      <w:widowControl/>
    </w:pPr>
    <w:rPr>
      <w:rFonts w:ascii="宋体" w:hAnsi="宋体" w:eastAsia="宋体" w:cs="宋体"/>
      <w:sz w:val="21"/>
      <w:szCs w:val="21"/>
    </w:rPr>
  </w:style>
  <w:style w:type="paragraph" w:styleId="1095" w:customStyle="1">
    <w:name w:val="Style1"/>
    <w:basedOn w:val="789"/>
    <w:uiPriority w:val="0"/>
    <w:qFormat/>
    <w:pPr>
      <w:spacing w:after="120"/>
      <w:widowControl/>
      <w:tabs>
        <w:tab w:val="left" w:pos="-720" w:leader="none"/>
      </w:tabs>
    </w:pPr>
    <w:rPr>
      <w:rFonts w:ascii="Times New Roman" w:hAnsi="Times New Roman" w:cs="Times New Roman"/>
      <w:spacing w:val="-3"/>
      <w:sz w:val="24"/>
      <w:szCs w:val="20"/>
      <w:lang w:val="en-AU" w:eastAsia="en-US"/>
    </w:rPr>
  </w:style>
  <w:style w:type="paragraph" w:styleId="1096" w:customStyle="1">
    <w:name w:val="正文 + 黑体"/>
    <w:basedOn w:val="789"/>
    <w:uiPriority w:val="0"/>
    <w:qFormat/>
    <w:pPr>
      <w:jc w:val="left"/>
    </w:pPr>
    <w:rPr>
      <w:rFonts w:ascii="黑体" w:hAnsi="宋体" w:eastAsia="黑体" w:cs="TimesNewRomanPSMT"/>
      <w:sz w:val="24"/>
      <w:szCs w:val="24"/>
    </w:rPr>
  </w:style>
  <w:style w:type="paragraph" w:styleId="1097"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8" w:customStyle="1">
    <w:name w:val="1"/>
    <w:basedOn w:val="789"/>
    <w:uiPriority w:val="0"/>
    <w:qFormat/>
    <w:rPr>
      <w:rFonts w:eastAsia="宋体"/>
      <w:sz w:val="21"/>
      <w:szCs w:val="24"/>
    </w:rPr>
  </w:style>
  <w:style w:type="paragraph" w:styleId="1099" w:customStyle="1">
    <w:name w:val="普通正文"/>
    <w:basedOn w:val="789"/>
    <w:uiPriority w:val="0"/>
    <w:qFormat/>
    <w:pPr>
      <w:ind w:firstLine="480"/>
      <w:jc w:val="left"/>
      <w:spacing w:before="120" w:after="120" w:line="360" w:lineRule="auto"/>
    </w:pPr>
    <w:rPr>
      <w:rFonts w:ascii="Arial" w:hAnsi="Arial"/>
      <w:sz w:val="24"/>
    </w:rPr>
  </w:style>
  <w:style w:type="paragraph" w:styleId="1100" w:customStyle="1">
    <w:name w:val="纯文本11"/>
    <w:basedOn w:val="789"/>
    <w:uiPriority w:val="99"/>
    <w:rPr>
      <w:rFonts w:ascii="宋体" w:hAnsi="Courier New"/>
    </w:rPr>
  </w:style>
  <w:style w:type="paragraph" w:styleId="1101" w:customStyle="1">
    <w:name w:val="金安桥正文"/>
    <w:basedOn w:val="993"/>
    <w:uiPriority w:val="0"/>
    <w:qFormat/>
    <w:pPr>
      <w:ind w:firstLine="200"/>
      <w:jc w:val="left"/>
      <w:spacing w:line="300" w:lineRule="auto"/>
    </w:pPr>
    <w:rPr>
      <w:rFonts w:ascii="Times New Roman"/>
      <w:sz w:val="24"/>
    </w:rPr>
  </w:style>
  <w:style w:type="paragraph" w:styleId="1102" w:customStyle="1">
    <w:name w:val="样式1"/>
    <w:basedOn w:val="973"/>
    <w:uiPriority w:val="0"/>
    <w:qFormat/>
    <w:pPr>
      <w:jc w:val="left"/>
      <w:spacing w:before="0" w:after="0" w:line="240" w:lineRule="auto"/>
    </w:pPr>
    <w:rPr>
      <w:rFonts w:ascii="黑体" w:hAnsi="宋体" w:eastAsia="黑体" w:cs="黑体"/>
      <w:b w:val="0"/>
      <w:color w:val="000000"/>
      <w:sz w:val="21"/>
    </w:rPr>
  </w:style>
  <w:style w:type="paragraph" w:styleId="1103" w:customStyle="1">
    <w:name w:val="纯文本3"/>
    <w:basedOn w:val="789"/>
    <w:uiPriority w:val="0"/>
    <w:qFormat/>
    <w:rPr>
      <w:rFonts w:hint="eastAsia" w:ascii="宋体" w:hAnsi="Courier New"/>
      <w:sz w:val="28"/>
    </w:rPr>
  </w:style>
  <w:style w:type="paragraph" w:styleId="1104" w:customStyle="1">
    <w:name w:val="正文首行缩进两字符"/>
    <w:basedOn w:val="789"/>
    <w:uiPriority w:val="0"/>
    <w:pPr>
      <w:ind w:firstLine="200"/>
      <w:spacing w:line="360" w:lineRule="auto"/>
    </w:pPr>
    <w:rPr>
      <w:rFonts w:eastAsia="宋体"/>
      <w:sz w:val="21"/>
      <w:szCs w:val="24"/>
    </w:rPr>
  </w:style>
  <w:style w:type="paragraph" w:styleId="1105" w:customStyle="1">
    <w:name w:val="HTML Bottom of Form"/>
    <w:basedOn w:val="789"/>
    <w:next w:val="789"/>
    <w:uiPriority w:val="0"/>
    <w:unhideWhenUsed/>
    <w:qFormat/>
    <w:pPr>
      <w:jc w:val="center"/>
      <w:pBdr>
        <w:top w:val="single" w:color="000000" w:sz="6" w:space="1"/>
      </w:pBdr>
    </w:pPr>
    <w:rPr>
      <w:rFonts w:ascii="Arial" w:hAnsi="Arial" w:eastAsia="宋体" w:cs="Arial"/>
      <w:vanish/>
      <w:sz w:val="16"/>
      <w:szCs w:val="16"/>
    </w:rPr>
  </w:style>
  <w:style w:type="paragraph" w:styleId="1106"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07" w:customStyle="1">
    <w:name w:val="Address"/>
    <w:basedOn w:val="789"/>
    <w:uiPriority w:val="0"/>
    <w:qFormat/>
    <w:pPr>
      <w:jc w:val="left"/>
      <w:spacing w:line="249" w:lineRule="auto"/>
      <w:widowControl/>
    </w:pPr>
    <w:rPr>
      <w:rFonts w:ascii="Centaur" w:hAnsi="Centaur"/>
      <w:sz w:val="20"/>
      <w:lang w:eastAsia="en-US"/>
    </w:rPr>
  </w:style>
  <w:style w:type="paragraph" w:styleId="1108" w:customStyle="1">
    <w:name w:val="默认段落字体 Para Char Char Char Char Char Char Char"/>
    <w:basedOn w:val="789"/>
    <w:uiPriority w:val="0"/>
    <w:qFormat/>
    <w:rPr>
      <w:rFonts w:ascii="Tahoma" w:hAnsi="Tahoma" w:eastAsia="宋体"/>
      <w:sz w:val="24"/>
    </w:rPr>
  </w:style>
  <w:style w:type="paragraph" w:styleId="1109" w:customStyle="1">
    <w:name w:val="p0"/>
    <w:basedOn w:val="789"/>
    <w:uiPriority w:val="0"/>
    <w:qFormat/>
    <w:pPr>
      <w:widowControl/>
    </w:pPr>
    <w:rPr>
      <w:rFonts w:ascii="黑体" w:hAnsi="黑体"/>
      <w:szCs w:val="21"/>
    </w:rPr>
  </w:style>
  <w:style w:type="paragraph" w:styleId="1110" w:customStyle="1">
    <w:name w:val="样式 标题 2 + Times New Roman 四号 非加粗 段前: 5 磅 段后: 0 磅 行距: 固定值 20..."/>
    <w:basedOn w:val="970"/>
    <w:uiPriority w:val="0"/>
    <w:qFormat/>
    <w:pPr>
      <w:jc w:val="center"/>
      <w:spacing w:before="100" w:after="0" w:line="400" w:lineRule="exact"/>
    </w:pPr>
    <w:rPr>
      <w:rFonts w:ascii="Times New Roman" w:hAnsi="Times New Roman" w:cs="宋体"/>
      <w:b w:val="0"/>
      <w:bCs w:val="0"/>
      <w:sz w:val="28"/>
      <w:szCs w:val="20"/>
    </w:rPr>
  </w:style>
  <w:style w:type="paragraph" w:styleId="1111"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样式2"/>
    <w:basedOn w:val="789"/>
    <w:next w:val="975"/>
    <w:uiPriority w:val="0"/>
    <w:qFormat/>
    <w:pPr>
      <w:jc w:val="center"/>
    </w:pPr>
    <w:rPr>
      <w:rFonts w:ascii="宋体" w:hAnsi="宋体" w:eastAsia="宋体" w:cs="Arial"/>
      <w:b/>
      <w:color w:val="000000"/>
      <w:sz w:val="21"/>
      <w:szCs w:val="21"/>
    </w:rPr>
  </w:style>
  <w:style w:type="paragraph" w:styleId="1113" w:customStyle="1">
    <w:name w:val="首行缩进"/>
    <w:basedOn w:val="789"/>
    <w:uiPriority w:val="0"/>
    <w:qFormat/>
    <w:pPr>
      <w:ind w:firstLine="480"/>
      <w:spacing w:line="360" w:lineRule="auto"/>
    </w:pPr>
    <w:rPr>
      <w:rFonts w:hAnsi="宋体" w:eastAsia="宋体" w:cs="宋体"/>
      <w:sz w:val="24"/>
      <w:szCs w:val="24"/>
    </w:rPr>
  </w:style>
  <w:style w:type="paragraph" w:styleId="1114" w:customStyle="1">
    <w:name w:val="[基本段落]"/>
    <w:basedOn w:val="789"/>
    <w:uiPriority w:val="99"/>
    <w:qFormat/>
    <w:pPr>
      <w:jc w:val="left"/>
      <w:spacing w:line="288" w:lineRule="auto"/>
    </w:pPr>
    <w:rPr>
      <w:rFonts w:ascii="Myriad Roman" w:hAnsi="Myriad Roman" w:cs="Myriad Roman"/>
      <w:color w:val="000000"/>
      <w:sz w:val="24"/>
    </w:rPr>
  </w:style>
  <w:style w:type="paragraph" w:styleId="1115" w:customStyle="1">
    <w:name w:val="Table Paragraph"/>
    <w:basedOn w:val="789"/>
    <w:uiPriority w:val="1"/>
    <w:qFormat/>
  </w:style>
  <w:style w:type="table" w:styleId="1116" w:customStyle="1">
    <w:name w:val="Table Normal"/>
    <w:uiPriority w:val="2"/>
    <w:unhideWhenUsed/>
    <w:qFormat/>
    <w:rPr>
      <w:lang w:val="en-US" w:eastAsia="zh-CN" w:bidi="ar-SA"/>
    </w:rPr>
    <w:tblPr/>
  </w:style>
  <w:style w:type="paragraph" w:styleId="1117" w:customStyle="1">
    <w:name w:val="普通文字"/>
    <w:basedOn w:val="789"/>
    <w:next w:val="789"/>
    <w:uiPriority w:val="99"/>
    <w:qFormat/>
    <w:rPr>
      <w:rFonts w:ascii="宋体" w:hAnsi="Calibri"/>
      <w:sz w:val="24"/>
    </w:rPr>
  </w:style>
  <w:style w:type="paragraph" w:styleId="1118" w:customStyle="1">
    <w:name w:val="二级目录"/>
    <w:next w:val="789"/>
    <w:uiPriority w:val="0"/>
    <w:qFormat/>
    <w:pPr>
      <w:ind w:left="567" w:hanging="567"/>
      <w:tabs>
        <w:tab w:val="left" w:pos="720" w:leader="none"/>
      </w:tabs>
    </w:pPr>
    <w:rPr>
      <w:rFonts w:hint="default" w:ascii="Times New Roman" w:hAnsi="Times New Roman" w:eastAsia="宋体" w:cs="Times New Roman"/>
      <w:b/>
      <w:sz w:val="30"/>
      <w:szCs w:val="28"/>
      <w:lang w:val="en-US" w:eastAsia="zh-CN" w:bidi="ar-SA"/>
    </w:rPr>
  </w:style>
  <w:style w:type="paragraph" w:styleId="1119" w:customStyle="1">
    <w:name w:val="BodyTextIndent1"/>
    <w:basedOn w:val="789"/>
    <w:next w:val="1120"/>
    <w:uiPriority w:val="0"/>
    <w:qFormat/>
    <w:pPr>
      <w:ind w:firstLine="645"/>
    </w:pPr>
    <w:rPr>
      <w:rFonts w:ascii="楷体_GB2312" w:eastAsia="楷体_GB2312"/>
      <w:sz w:val="32"/>
      <w:szCs w:val="20"/>
    </w:rPr>
  </w:style>
  <w:style w:type="paragraph" w:styleId="1120" w:customStyle="1">
    <w:name w:val="EnvelopeReturn1"/>
    <w:basedOn w:val="789"/>
    <w:uiPriority w:val="0"/>
    <w:qFormat/>
    <w:pPr>
      <w:ind w:firstLine="200"/>
      <w:spacing w:line="360" w:lineRule="auto"/>
    </w:pPr>
    <w:rPr>
      <w:rFonts w:ascii="Arial" w:hAnsi="Arial"/>
      <w:sz w:val="24"/>
    </w:rPr>
  </w:style>
  <w:style w:type="paragraph" w:styleId="1121" w:customStyle="1">
    <w:name w:val="xl25"/>
    <w:basedOn w:val="789"/>
    <w:uiPriority w:val="0"/>
    <w:qFormat/>
    <w:pPr>
      <w:jc w:val="center"/>
      <w:spacing w:before="100" w:beforeAutospacing="1" w:after="100" w:afterAutospacing="1"/>
      <w:widowControl/>
    </w:pPr>
    <w:rPr>
      <w:rFonts w:ascii="Arial Unicode MS" w:hAnsi="Arial Unicode MS" w:eastAsia="Arial Unicode MS" w:cs="Arial Unicode MS"/>
      <w:sz w:val="24"/>
    </w:rPr>
  </w:style>
  <w:style w:type="character" w:styleId="1122" w:customStyle="1">
    <w:name w:val="NormalCharacter1"/>
    <w:link w:val="789"/>
    <w:uiPriority w:val="0"/>
    <w:semiHidden/>
    <w:qFormat/>
  </w:style>
  <w:style w:type="paragraph" w:styleId="1123" w:customStyle="1">
    <w:name w:val="DAS正文"/>
    <w:basedOn w:val="789"/>
    <w:uiPriority w:val="0"/>
    <w:qFormat/>
    <w:pPr>
      <w:ind w:right="181" w:firstLine="480"/>
      <w:spacing w:line="360" w:lineRule="auto"/>
    </w:pPr>
    <w:rPr>
      <w:rFonts w:ascii="Verdana" w:hAnsi="Verdana" w:cs="Times New Roman"/>
      <w:szCs w:val="24"/>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  府 </dc:title>
  <dc:creator>we</dc:creator>
  <cp:lastModifiedBy>杜昊</cp:lastModifiedBy>
  <cp:revision>6</cp:revision>
  <dcterms:created xsi:type="dcterms:W3CDTF">2023-12-08T08:45:00Z</dcterms:created>
  <dcterms:modified xsi:type="dcterms:W3CDTF">2026-09-20T03:44:17Z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eyJoZGlkIjoiNDI3M2NjNjM2MWIyNDY3NGM3Mjc1MTRjYzA2ZDdkNGYiLCJ1c2VySWQiOiIyNTA1NzY1In0=</vt:lpwstr>
  </property>
  <property fmtid="{D5CDD505-2E9C-101B-9397-08002B2CF9AE}" pid="3" name="KSOProductBuildVer">
    <vt:lpwstr>2052-12.1.0.28505</vt:lpwstr>
  </property>
  <property fmtid="{D5CDD505-2E9C-101B-9397-08002B2CF9AE}" pid="4" name="ICV">
    <vt:lpwstr>A4932B7D94BC438A94C6ABFDFA8B40C4_12</vt:lpwstr>
  </property>
</Properties>
</file>