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contextualSpacing/>
        <w:ind w:firstLine="1446"/>
        <w:spacing w:line="480" w:lineRule="exact"/>
        <w:tabs>
          <w:tab w:val="left" w:pos="384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ab/>
      </w:r>
      <w:r/>
    </w:p>
    <w:p>
      <w:pPr>
        <w:contextualSpacing/>
        <w:ind w:firstLine="1446"/>
        <w:spacing w:line="480" w:lineRule="exact"/>
        <w:tabs>
          <w:tab w:val="left" w:pos="384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contextualSpacing/>
        <w:jc w:val="center"/>
        <w:spacing w:line="48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72"/>
        </w:rPr>
        <w:t xml:space="preserve">泰州市政府采购</w:t>
      </w:r>
      <w:r/>
    </w:p>
    <w:p>
      <w:pPr>
        <w:contextualSpacing/>
        <w:jc w:val="center"/>
        <w:spacing w:line="48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52"/>
        </w:rPr>
        <w:t xml:space="preserve">公开</w:t>
      </w:r>
      <w:r>
        <w:rPr>
          <w:rFonts w:ascii="宋体" w:hAnsi="宋体" w:eastAsia="宋体" w:cs="宋体"/>
          <w:b/>
          <w:color w:val="000000"/>
          <w:spacing w:val="20"/>
          <w:sz w:val="52"/>
        </w:rPr>
        <mc:AlternateContent>
          <mc:Choice Requires="wpg">
            <w:drawing>
              <wp:inline xmlns:wp="http://schemas.openxmlformats.org/drawingml/2006/wordprocessingDrawing" distT="0" distB="0" distL="0" distR="0">
                <wp:extent cx="9525" cy="95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0.8pt;height:0.8pt;mso-wrap-distance-left:0.0pt;mso-wrap-distance-top:0.0pt;mso-wrap-distance-right:0.0pt;mso-wrap-distance-bottom:0.0pt;" stroked="false">
                <v:path textboxrect="0,0,0,0"/>
              </v:shape>
            </w:pict>
          </mc:Fallback>
        </mc:AlternateContent>
      </w:r>
      <w:r>
        <w:rPr>
          <w:rFonts w:ascii="宋体" w:hAnsi="宋体" w:eastAsia="宋体" w:cs="宋体"/>
          <w:b/>
          <w:color w:val="000000"/>
          <w:spacing w:val="20"/>
          <w:sz w:val="52"/>
        </w:rPr>
        <w:t xml:space="preserve">招标文件</w:t>
      </w:r>
      <w:r/>
    </w:p>
    <w:p>
      <w:pPr>
        <w:contextualSpacing/>
        <w:jc w:val="center"/>
        <w:spacing w:line="48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（全流程电子化不见面开标）</w:t>
      </w:r>
      <w:r/>
    </w:p>
    <w:p>
      <w:pPr>
        <w:contextualSpacing/>
        <w:ind w:firstLine="1446"/>
        <w:jc w:val="both"/>
        <w:spacing w:line="48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contextualSpacing/>
        <w:ind w:firstLine="1446"/>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contextualSpacing/>
        <w:ind w:firstLine="56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contextualSpacing/>
        <w:ind w:firstLine="560"/>
        <w:jc w:val="center"/>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项目编号：</w:t>
      </w:r>
      <w:r>
        <w:rPr>
          <w:rFonts w:hint="eastAsia" w:ascii="宋体" w:hAnsi="宋体" w:eastAsia="宋体" w:cs="宋体"/>
          <w:b/>
          <w:color w:val="000000"/>
          <w:sz w:val="28"/>
        </w:rPr>
        <w:t xml:space="preserve">JSZC-321200-JXCG-G2026-0017</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项目名称：泰州市猪肉储备服务项目</w:t>
      </w:r>
      <w:r/>
    </w:p>
    <w:p>
      <w:pPr>
        <w:contextualSpacing/>
        <w:ind w:firstLine="56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contextualSpacing/>
        <w:ind w:firstLine="56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contextualSpacing/>
        <w:ind w:firstLine="56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contextualSpacing/>
        <w:ind w:firstLine="56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contextualSpacing/>
        <w:ind w:firstLine="56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采购人：泰州市发展和改革委员会</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采购代理机构：江苏建协全过程工程咨询有限公司</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202</w:t>
      </w:r>
      <w:r>
        <w:rPr>
          <w:rFonts w:hint="eastAsia" w:ascii="宋体" w:hAnsi="宋体" w:eastAsia="宋体" w:cs="宋体"/>
          <w:b/>
          <w:color w:val="000000"/>
          <w:sz w:val="30"/>
        </w:rPr>
        <w:t xml:space="preserve">6</w:t>
      </w:r>
      <w:r>
        <w:rPr>
          <w:rFonts w:ascii="宋体" w:hAnsi="宋体" w:eastAsia="宋体" w:cs="宋体"/>
          <w:b/>
          <w:color w:val="000000"/>
          <w:sz w:val="30"/>
        </w:rPr>
        <w:t xml:space="preserve">年</w:t>
      </w:r>
      <w:r>
        <w:rPr>
          <w:rFonts w:hint="eastAsia" w:ascii="宋体" w:hAnsi="宋体" w:eastAsia="宋体" w:cs="宋体"/>
          <w:b/>
          <w:color w:val="000000"/>
          <w:sz w:val="30"/>
          <w:lang w:val="en-US" w:eastAsia="zh-CN"/>
        </w:rPr>
        <w:t xml:space="preserve">5</w:t>
      </w:r>
      <w:r>
        <w:rPr>
          <w:rFonts w:ascii="宋体" w:hAnsi="宋体" w:eastAsia="宋体" w:cs="宋体"/>
          <w:b/>
          <w:color w:val="000000"/>
          <w:sz w:val="30"/>
        </w:rPr>
        <w:t xml:space="preserve">月</w:t>
      </w:r>
      <w:r/>
    </w:p>
    <w:p>
      <w:pPr>
        <w:contextualSpacing/>
        <w:ind w:right="840"/>
        <w:jc w:val="center"/>
        <w:spacing w:line="480" w:lineRule="exact"/>
        <w:pBdr>
          <w:top w:val="none" w:color="000000" w:sz="0" w:space="0"/>
          <w:left w:val="none" w:color="000000" w:sz="0" w:space="0"/>
          <w:bottom w:val="none" w:color="000000" w:sz="0" w:space="0"/>
          <w:right w:val="none" w:color="000000" w:sz="0" w:space="0"/>
        </w:pBdr>
      </w:pPr>
      <w:r>
        <w:br w:type="page" w:clear="all"/>
      </w:r>
      <w:r/>
    </w:p>
    <w:p>
      <w:pPr>
        <w:contextualSpacing/>
        <w:ind w:right="840"/>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目录</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2"/>
        <w:spacing w:before="240" w:after="240" w:line="480" w:lineRule="exact"/>
        <w:tabs>
          <w:tab w:val="left" w:pos="934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第一章 招标公告</w:t>
      </w:r>
      <w:r/>
    </w:p>
    <w:p>
      <w:pPr>
        <w:contextualSpacing/>
        <w:ind w:firstLine="482"/>
        <w:spacing w:before="240" w:after="240" w:line="480" w:lineRule="exact"/>
        <w:tabs>
          <w:tab w:val="left" w:pos="934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第二章 投标人须知</w:t>
      </w:r>
      <w:r/>
    </w:p>
    <w:p>
      <w:pPr>
        <w:contextualSpacing/>
        <w:ind w:firstLine="482"/>
        <w:spacing w:before="240" w:after="240" w:line="480" w:lineRule="exact"/>
        <w:tabs>
          <w:tab w:val="left" w:pos="934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第三章 采购需求</w:t>
      </w:r>
      <w:r/>
    </w:p>
    <w:p>
      <w:pPr>
        <w:contextualSpacing/>
        <w:ind w:firstLine="482"/>
        <w:spacing w:before="240" w:after="240" w:line="480" w:lineRule="exact"/>
        <w:tabs>
          <w:tab w:val="left" w:pos="934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第四章 评标办法及评标标准</w:t>
      </w:r>
      <w:r/>
    </w:p>
    <w:p>
      <w:pPr>
        <w:contextualSpacing/>
        <w:ind w:firstLine="482"/>
        <w:spacing w:before="240" w:after="240" w:line="480" w:lineRule="exact"/>
        <w:tabs>
          <w:tab w:val="left" w:pos="934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第五章 合同条款</w:t>
      </w:r>
      <w:r/>
    </w:p>
    <w:p>
      <w:pPr>
        <w:contextualSpacing/>
        <w:ind w:firstLine="482"/>
        <w:spacing w:before="240" w:after="240" w:line="480" w:lineRule="exact"/>
        <w:tabs>
          <w:tab w:val="left" w:pos="934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第六章 投标文件格式</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2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contextualSpacing/>
        <w:ind w:firstLine="42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contextualSpacing/>
        <w:ind w:firstLine="42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contextualSpacing/>
        <w:ind w:firstLine="42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contextualSpacing/>
        <w:jc w:val="center"/>
        <w:spacing w:line="480" w:lineRule="exact"/>
        <w:pBdr>
          <w:top w:val="none" w:color="000000" w:sz="0" w:space="0"/>
          <w:left w:val="none" w:color="000000" w:sz="0" w:space="0"/>
          <w:bottom w:val="none" w:color="000000" w:sz="0" w:space="0"/>
          <w:right w:val="none" w:color="000000" w:sz="0" w:space="0"/>
        </w:pBdr>
      </w:pPr>
      <w:r>
        <w:br w:type="page" w:clear="all"/>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5"/>
          <w:sz w:val="32"/>
        </w:rPr>
        <w:t xml:space="preserve">第一章</w:t>
      </w:r>
      <w:r>
        <w:rPr>
          <w:rFonts w:ascii="宋体" w:hAnsi="宋体" w:eastAsia="宋体" w:cs="宋体"/>
          <w:color w:val="000000"/>
          <w:sz w:val="24"/>
        </w:rPr>
        <w:t xml:space="preserve"> </w:t>
      </w:r>
      <w:r>
        <w:rPr>
          <w:rFonts w:ascii="宋体" w:hAnsi="宋体" w:eastAsia="宋体" w:cs="宋体"/>
          <w:b/>
          <w:color w:val="000000"/>
          <w:spacing w:val="15"/>
          <w:sz w:val="32"/>
        </w:rPr>
        <w:t xml:space="preserve">招标公告</w:t>
      </w:r>
      <w:r/>
    </w:p>
    <w:p>
      <w:pPr>
        <w:contextualSpacing/>
        <w:jc w:val="both"/>
        <w:spacing w:line="480" w:lineRule="exac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contextualSpacing/>
        <w:ind w:firstLine="480"/>
        <w:jc w:val="both"/>
        <w:spacing w:line="480" w:lineRule="exac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泰州市猪肉储备服务项目</w:t>
      </w:r>
      <w:r>
        <w:rPr>
          <w:rFonts w:ascii="宋体" w:hAnsi="宋体" w:eastAsia="宋体" w:cs="宋体"/>
          <w:color w:val="000000"/>
          <w:sz w:val="24"/>
        </w:rPr>
        <w:t xml:space="preserve">的潜在投标人应在江苏政府采购“苏采云”系统获取招标文件，并于</w:t>
      </w:r>
      <w:r>
        <w:rPr>
          <w:rFonts w:ascii="宋体" w:hAnsi="宋体" w:eastAsia="宋体" w:cs="宋体"/>
          <w:color w:val="000000"/>
          <w:sz w:val="24"/>
          <w:u w:val="single"/>
        </w:rPr>
        <w:t xml:space="preserve">202</w:t>
      </w:r>
      <w:r>
        <w:rPr>
          <w:rFonts w:hint="eastAsia" w:ascii="宋体" w:hAnsi="宋体" w:eastAsia="宋体" w:cs="宋体"/>
          <w:color w:val="000000"/>
          <w:sz w:val="24"/>
          <w:u w:val="single"/>
        </w:rPr>
        <w:t xml:space="preserve">6</w:t>
      </w:r>
      <w:r>
        <w:rPr>
          <w:rFonts w:ascii="宋体" w:hAnsi="宋体" w:eastAsia="宋体" w:cs="宋体"/>
          <w:color w:val="000000"/>
          <w:sz w:val="24"/>
          <w:u w:val="single"/>
        </w:rPr>
        <w:t xml:space="preserve">年0</w:t>
      </w:r>
      <w:r>
        <w:rPr>
          <w:rFonts w:hint="eastAsia" w:ascii="宋体" w:hAnsi="宋体" w:eastAsia="宋体" w:cs="宋体"/>
          <w:color w:val="000000"/>
          <w:sz w:val="24"/>
          <w:u w:val="single"/>
        </w:rPr>
        <w:t xml:space="preserve">6</w:t>
      </w:r>
      <w:r>
        <w:rPr>
          <w:rFonts w:ascii="宋体" w:hAnsi="宋体" w:eastAsia="宋体" w:cs="宋体"/>
          <w:color w:val="000000"/>
          <w:sz w:val="24"/>
          <w:u w:val="single"/>
        </w:rPr>
        <w:t xml:space="preserve">月18</w:t>
      </w:r>
      <w:r>
        <w:rPr>
          <w:rFonts w:ascii="宋体" w:hAnsi="宋体" w:eastAsia="宋体" w:cs="宋体"/>
          <w:color w:val="000000"/>
          <w:sz w:val="24"/>
          <w:u w:val="single"/>
        </w:rPr>
        <w:t xml:space="preserve">日09：00</w:t>
      </w:r>
      <w:r>
        <w:rPr>
          <w:rFonts w:ascii="宋体" w:hAnsi="宋体" w:eastAsia="宋体" w:cs="宋体"/>
          <w:color w:val="000000"/>
          <w:sz w:val="24"/>
        </w:rPr>
        <w:t xml:space="preserve">（北京时间）前递交投标文件。</w:t>
      </w:r>
      <w:r/>
    </w:p>
    <w:p>
      <w:pPr>
        <w:contextualSpacing/>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一、项目基本情况</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eastAsia="宋体" w:cs="宋体"/>
          <w:color w:val="000000"/>
          <w:sz w:val="24"/>
        </w:rPr>
        <w:t xml:space="preserve">JSZC-321200-JXCG-G2026-0017</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项目名称：泰州市猪肉储备服务项目</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预算金额：546万元/3年；182万元/年</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w:t>
      </w:r>
      <w:r>
        <w:rPr>
          <w:rFonts w:hint="eastAsia" w:ascii="宋体" w:hAnsi="宋体" w:eastAsia="宋体" w:cs="宋体"/>
          <w:color w:val="000000"/>
          <w:sz w:val="24"/>
        </w:rPr>
        <w:t xml:space="preserve">458.25</w:t>
      </w:r>
      <w:r>
        <w:rPr>
          <w:rFonts w:ascii="宋体" w:hAnsi="宋体" w:eastAsia="宋体" w:cs="宋体"/>
          <w:color w:val="000000"/>
          <w:sz w:val="24"/>
        </w:rPr>
        <w:t xml:space="preserve">万元/3年；</w:t>
      </w:r>
      <w:r>
        <w:rPr>
          <w:rFonts w:hint="eastAsia" w:ascii="宋体" w:hAnsi="宋体" w:eastAsia="宋体" w:cs="宋体"/>
          <w:color w:val="000000"/>
          <w:sz w:val="24"/>
        </w:rPr>
        <w:t xml:space="preserve">152.75</w:t>
      </w:r>
      <w:r>
        <w:rPr>
          <w:rFonts w:ascii="宋体" w:hAnsi="宋体" w:eastAsia="宋体" w:cs="宋体"/>
          <w:color w:val="000000"/>
          <w:sz w:val="24"/>
        </w:rPr>
        <w:t xml:space="preserve">万元/年；单价：</w:t>
      </w:r>
      <w:r>
        <w:rPr>
          <w:rFonts w:hint="eastAsia" w:ascii="宋体" w:hAnsi="宋体" w:eastAsia="宋体" w:cs="宋体"/>
          <w:color w:val="000000"/>
          <w:sz w:val="24"/>
        </w:rPr>
        <w:t xml:space="preserve">2350</w:t>
      </w:r>
      <w:r>
        <w:rPr>
          <w:rFonts w:ascii="宋体" w:hAnsi="宋体" w:eastAsia="宋体" w:cs="宋体"/>
          <w:color w:val="000000"/>
          <w:sz w:val="24"/>
        </w:rPr>
        <w:t xml:space="preserve">元/吨/年（投标报价不得超过采购项目最高限价金额，否则按无效投标处理）</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采购方式：公开招标</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采购需求：为稳定本市猪肉供应市场，保障民生，采购具备常年储备量为650吨分割猪肉冷冻储藏的企业，具体详见招标文件。</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合同履行期限：三年。</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本项目（是/否）接受联合体投标：否</w:t>
      </w:r>
      <w:r/>
    </w:p>
    <w:p>
      <w:pPr>
        <w:contextualSpacing/>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二、申请人的资格要求：</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（一）满足《中华人民共和国政府采购法》第二十二条规定：</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1.具有独立承担民事责任的能力；</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2.具有良好的商业信誉和健全的财务会计制度；</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3.具有履行合同所必需的设备和专业技术能力；</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4.有依法缴纳税收和社会保障资金的良好记录；</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5.参加政府采购活动前三年内，在经营活动中没有重大违法记录；</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6.法律、行政法规规定的其他条件。</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落实政府采购政策需满足的资格要求：本项目不专门面向中小企业采购，供应商为小微企业或监狱企业或残疾人福利性单位的，享受10%价格扣除。中小企业划分标准见《关于印发中小企业划型标准规定的通知》（工信部联企业[2011]300号）。</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（三）本项目的特定资格要求：具有有效的《食品经营许可证》。</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（四）未被列入“信用中国”网站（www.creditchina.gov.cn）失信被执行人名单、重大税收违法失信主体、政府采购严重违法失信行为记录名单。</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凡为本采购项目提供整体设计、规范编制或者项目管理、检测、招标代理、造价咨询、监理等服务的供应商，不得再参加本采购项目的其他采购活动；单位法定代表人/负责人为同一人或者存在直接控股、管理关系的不同供应商，不得参加同一合同项下的政府采购活动。</w:t>
      </w:r>
      <w:r/>
    </w:p>
    <w:p>
      <w:pPr>
        <w:contextualSpacing/>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三、获取招标文件：</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时间：自本公告发布之日起5个工作日</w:t>
      </w:r>
      <w:r/>
    </w:p>
    <w:p>
      <w:pPr>
        <w:contextualSpacing/>
        <w:ind w:firstLine="480"/>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地点：江苏政府采购“苏采云”系统</w:t>
      </w:r>
      <w:r/>
    </w:p>
    <w:p>
      <w:pPr>
        <w:contextualSpacing/>
        <w:ind w:firstLine="480"/>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方式：江苏政府采购“苏采云”系统下载本项目招标文件</w:t>
      </w:r>
      <w:r/>
    </w:p>
    <w:p>
      <w:pPr>
        <w:contextualSpacing/>
        <w:ind w:firstLine="480"/>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售价：0.00元</w:t>
      </w:r>
      <w:r/>
    </w:p>
    <w:p>
      <w:pPr>
        <w:contextualSpacing/>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四、提交投标文件截止时间、开标时间和地点</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时间：202</w:t>
      </w:r>
      <w:r>
        <w:rPr>
          <w:rFonts w:hint="eastAsia" w:ascii="宋体" w:hAnsi="宋体" w:eastAsia="宋体" w:cs="宋体"/>
          <w:color w:val="000000"/>
          <w:sz w:val="24"/>
        </w:rPr>
        <w:t xml:space="preserve">6</w:t>
      </w:r>
      <w:r>
        <w:rPr>
          <w:rFonts w:ascii="宋体" w:hAnsi="宋体" w:eastAsia="宋体" w:cs="宋体"/>
          <w:color w:val="000000"/>
          <w:sz w:val="24"/>
        </w:rPr>
        <w:t xml:space="preserve">年</w:t>
      </w:r>
      <w:r>
        <w:rPr>
          <w:rFonts w:hint="eastAsia" w:ascii="宋体" w:hAnsi="宋体" w:eastAsia="宋体" w:cs="宋体"/>
          <w:color w:val="000000"/>
          <w:sz w:val="24"/>
        </w:rPr>
        <w:t xml:space="preserve">6</w:t>
      </w:r>
      <w:r>
        <w:rPr>
          <w:rFonts w:ascii="宋体" w:hAnsi="宋体" w:eastAsia="宋体" w:cs="宋体"/>
          <w:color w:val="000000"/>
          <w:sz w:val="24"/>
        </w:rPr>
        <w:t xml:space="preserve">月</w:t>
      </w:r>
      <w:r>
        <w:rPr>
          <w:rFonts w:hint="eastAsia" w:ascii="宋体" w:hAnsi="宋体" w:eastAsia="宋体" w:cs="宋体"/>
          <w:color w:val="000000"/>
          <w:sz w:val="24"/>
          <w:lang w:val="en-US" w:eastAsia="zh-CN"/>
        </w:rPr>
        <w:t xml:space="preserve">18</w:t>
      </w:r>
      <w:r>
        <w:rPr>
          <w:rFonts w:hint="eastAsia" w:ascii="宋体" w:hAnsi="宋体" w:eastAsia="宋体" w:cs="宋体"/>
          <w:color w:val="000000"/>
          <w:sz w:val="24"/>
        </w:rPr>
        <w:t xml:space="preserve"> </w:t>
      </w:r>
      <w:r>
        <w:rPr>
          <w:rFonts w:ascii="宋体" w:hAnsi="宋体" w:eastAsia="宋体" w:cs="宋体"/>
          <w:color w:val="000000"/>
          <w:sz w:val="24"/>
        </w:rPr>
        <w:t xml:space="preserve">日9点00分（北京时间）</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地点：江苏政府采购“苏采云”系统不见面开标大厅</w:t>
      </w:r>
      <w:r/>
    </w:p>
    <w:p>
      <w:pPr>
        <w:contextualSpacing/>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五、公告期限</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contextualSpacing/>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六、其他补充事宜</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1.本项目采用网上注册登记方式。潜在投标人访问电子招标投标交易平台的网络地址和方法如下：</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（1）登录http://jszfcg.jsczt.cn/，点击“苏采云”进入系统。</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2.采购代理机构将数据电文形式的招标文件加载至电子招标投标交易平台，供潜在投标人下载或者查阅。</w:t>
      </w:r>
      <w:r/>
    </w:p>
    <w:p>
      <w:pPr>
        <w:contextualSpacing/>
        <w:ind w:firstLine="480"/>
        <w:jc w:val="both"/>
        <w:spacing w:line="480" w:lineRule="exac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3.有关本次招标的事项若存在变动或修改，敬请及时关注“江苏政府采购网”发布的更正公告。</w:t>
      </w:r>
      <w:r/>
    </w:p>
    <w:p>
      <w:pPr>
        <w:contextualSpacing/>
        <w:ind w:firstLine="480"/>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4.在评标结束前，各投标人授权代表应保持手机畅通，以便及时澄清答疑。</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5.如潜在投标人未按上述要求操作，将自行承担所产生的风险。</w:t>
      </w:r>
      <w:r/>
    </w:p>
    <w:p>
      <w:pPr>
        <w:contextualSpacing/>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七、对本次招标提出询问，请按以下方式联系。</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1.采购人信息</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单位名称：泰州市发展和改革委员会</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单位地址：泰州市海陵区凤凰东路58号</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联系人：刘先生 </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联系电话：19952538696</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2.采购代理机构信息</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单位名称：江苏建协全过程工程咨询有限公司</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单位地址：泰州市海陵区柳园文化商业街区B3栋</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eastAsia="宋体" w:cs="宋体"/>
          <w:color w:val="000000"/>
          <w:sz w:val="24"/>
        </w:rPr>
        <w:t xml:space="preserve">张女士</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hint="eastAsia" w:ascii="宋体" w:hAnsi="宋体" w:eastAsia="宋体" w:cs="宋体"/>
          <w:color w:val="000000"/>
          <w:sz w:val="24"/>
        </w:rPr>
        <w:t xml:space="preserve">18752622068</w:t>
      </w:r>
      <w:r>
        <w:rPr>
          <w:rFonts w:ascii="宋体" w:hAnsi="宋体" w:eastAsia="宋体" w:cs="宋体"/>
          <w:color w:val="000000"/>
          <w:sz w:val="24"/>
        </w:rPr>
        <w:t xml:space="preserve">　</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3.项目联系方式</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项目联系人：</w:t>
      </w:r>
      <w:r>
        <w:rPr>
          <w:rFonts w:hint="eastAsia" w:ascii="宋体" w:hAnsi="宋体" w:eastAsia="宋体" w:cs="宋体"/>
          <w:color w:val="000000"/>
          <w:sz w:val="24"/>
        </w:rPr>
        <w:t xml:space="preserve">张女士</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　话：</w:t>
      </w:r>
      <w:r>
        <w:rPr>
          <w:rFonts w:hint="eastAsia" w:ascii="宋体" w:hAnsi="宋体" w:eastAsia="宋体" w:cs="宋体"/>
          <w:color w:val="000000"/>
          <w:sz w:val="24"/>
        </w:rPr>
        <w:t xml:space="preserve">18752622068</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contextualSpacing/>
        <w:ind w:firstLine="56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eastAsia="Times New Roman"/>
          <w:color w:val="000000"/>
          <w:sz w:val="26"/>
        </w:rPr>
        <w:t xml:space="preserve"> </w:t>
      </w:r>
      <w:r/>
    </w:p>
    <w:p>
      <w:pPr>
        <w:contextualSpacing/>
        <w:spacing w:before="240" w:after="240" w:line="480" w:lineRule="exact"/>
        <w:pBdr>
          <w:top w:val="none" w:color="000000" w:sz="0" w:space="0"/>
          <w:left w:val="none" w:color="000000" w:sz="0" w:space="0"/>
          <w:bottom w:val="none" w:color="000000" w:sz="0" w:space="0"/>
          <w:right w:val="none" w:color="000000" w:sz="0" w:space="0"/>
        </w:pBdr>
      </w:pPr>
      <w:r>
        <w:rPr>
          <w:rFonts w:eastAsia="Times New Roman"/>
          <w:color w:val="000000"/>
          <w:sz w:val="26"/>
        </w:rPr>
        <w:t xml:space="preserve"> </w:t>
      </w:r>
      <w:r/>
    </w:p>
    <w:p>
      <w:pPr>
        <w:contextualSpacing/>
        <w:jc w:val="both"/>
        <w:spacing w:line="480" w:lineRule="exact"/>
        <w:rPr>
          <w:color w:val="000000"/>
          <w:sz w:val="26"/>
        </w:rPr>
        <w:pBdr>
          <w:top w:val="none" w:color="000000" w:sz="0" w:space="0"/>
          <w:left w:val="none" w:color="000000" w:sz="0" w:space="0"/>
          <w:bottom w:val="none" w:color="000000" w:sz="0" w:space="0"/>
          <w:right w:val="none" w:color="000000" w:sz="0" w:space="0"/>
        </w:pBdr>
      </w:pPr>
      <w:r>
        <w:rPr>
          <w:rFonts w:eastAsia="Times New Roman"/>
          <w:color w:val="000000"/>
          <w:sz w:val="26"/>
        </w:rPr>
        <w:t xml:space="preserve"> </w:t>
      </w:r>
      <w:r/>
    </w:p>
    <w:p>
      <w:pPr>
        <w:contextualSpacing/>
        <w:jc w:val="both"/>
        <w:spacing w:line="480" w:lineRule="exact"/>
        <w:rPr>
          <w:color w:val="000000"/>
          <w:sz w:val="26"/>
        </w:rPr>
        <w:pBdr>
          <w:top w:val="none" w:color="000000" w:sz="0" w:space="0"/>
          <w:left w:val="none" w:color="000000" w:sz="0" w:space="0"/>
          <w:bottom w:val="none" w:color="000000" w:sz="0" w:space="0"/>
          <w:right w:val="none" w:color="000000" w:sz="0" w:space="0"/>
        </w:pBdr>
      </w:pPr>
      <w:r>
        <w:rPr>
          <w:color w:val="000000"/>
          <w:sz w:val="26"/>
        </w:rPr>
      </w:r>
      <w:r/>
    </w:p>
    <w:p>
      <w:pPr>
        <w:contextualSpacing/>
        <w:jc w:val="both"/>
        <w:spacing w:line="480" w:lineRule="exact"/>
        <w:rPr>
          <w:color w:val="000000"/>
          <w:sz w:val="26"/>
        </w:rPr>
        <w:pBdr>
          <w:top w:val="none" w:color="000000" w:sz="0" w:space="0"/>
          <w:left w:val="none" w:color="000000" w:sz="0" w:space="0"/>
          <w:bottom w:val="none" w:color="000000" w:sz="0" w:space="0"/>
          <w:right w:val="none" w:color="000000" w:sz="0" w:space="0"/>
        </w:pBdr>
      </w:pPr>
      <w:r>
        <w:rPr>
          <w:color w:val="000000"/>
          <w:sz w:val="26"/>
        </w:rPr>
      </w:r>
      <w:r/>
    </w:p>
    <w:p>
      <w:pPr>
        <w:contextualSpacing/>
        <w:jc w:val="both"/>
        <w:spacing w:line="480" w:lineRule="exact"/>
        <w:rPr>
          <w:color w:val="000000"/>
          <w:sz w:val="26"/>
        </w:rPr>
        <w:pBdr>
          <w:top w:val="none" w:color="000000" w:sz="0" w:space="0"/>
          <w:left w:val="none" w:color="000000" w:sz="0" w:space="0"/>
          <w:bottom w:val="none" w:color="000000" w:sz="0" w:space="0"/>
          <w:right w:val="none" w:color="000000" w:sz="0" w:space="0"/>
        </w:pBdr>
      </w:pPr>
      <w:r>
        <w:rPr>
          <w:color w:val="000000"/>
          <w:sz w:val="26"/>
        </w:rPr>
      </w:r>
      <w:r/>
    </w:p>
    <w:p>
      <w:pPr>
        <w:contextualSpacing/>
        <w:jc w:val="both"/>
        <w:spacing w:line="480" w:lineRule="exact"/>
        <w:rPr>
          <w:color w:val="000000"/>
          <w:sz w:val="26"/>
        </w:rPr>
        <w:pBdr>
          <w:top w:val="none" w:color="000000" w:sz="0" w:space="0"/>
          <w:left w:val="none" w:color="000000" w:sz="0" w:space="0"/>
          <w:bottom w:val="none" w:color="000000" w:sz="0" w:space="0"/>
          <w:right w:val="none" w:color="000000" w:sz="0" w:space="0"/>
        </w:pBdr>
      </w:pPr>
      <w:r>
        <w:rPr>
          <w:color w:val="000000"/>
          <w:sz w:val="26"/>
        </w:rPr>
      </w:r>
      <w:r/>
    </w:p>
    <w:p>
      <w:pPr>
        <w:contextualSpacing/>
        <w:jc w:val="both"/>
        <w:spacing w:line="480" w:lineRule="exact"/>
        <w:rPr>
          <w:color w:val="000000"/>
          <w:sz w:val="26"/>
        </w:rPr>
        <w:pBdr>
          <w:top w:val="none" w:color="000000" w:sz="0" w:space="0"/>
          <w:left w:val="none" w:color="000000" w:sz="0" w:space="0"/>
          <w:bottom w:val="none" w:color="000000" w:sz="0" w:space="0"/>
          <w:right w:val="none" w:color="000000" w:sz="0" w:space="0"/>
        </w:pBdr>
      </w:pPr>
      <w:r>
        <w:rPr>
          <w:color w:val="000000"/>
          <w:sz w:val="26"/>
        </w:rPr>
      </w:r>
      <w:r/>
    </w:p>
    <w:p>
      <w:pPr>
        <w:contextualSpacing/>
        <w:jc w:val="both"/>
        <w:spacing w:line="480" w:lineRule="exact"/>
        <w:rPr>
          <w:color w:val="000000"/>
          <w:sz w:val="26"/>
        </w:rPr>
        <w:pBdr>
          <w:top w:val="none" w:color="000000" w:sz="0" w:space="0"/>
          <w:left w:val="none" w:color="000000" w:sz="0" w:space="0"/>
          <w:bottom w:val="none" w:color="000000" w:sz="0" w:space="0"/>
          <w:right w:val="none" w:color="000000" w:sz="0" w:space="0"/>
        </w:pBdr>
      </w:pPr>
      <w:r>
        <w:rPr>
          <w:color w:val="000000"/>
          <w:sz w:val="26"/>
        </w:rPr>
      </w:r>
      <w:r/>
    </w:p>
    <w:p>
      <w:r>
        <w:br w:type="page" w:clear="all"/>
      </w:r>
      <w:r/>
    </w:p>
    <w:p>
      <w:pPr>
        <w:contextualSpacing/>
        <w:jc w:val="both"/>
        <w:spacing w:line="480" w:lineRule="exact"/>
        <w:pBdr>
          <w:top w:val="none" w:color="000000" w:sz="0" w:space="0"/>
          <w:left w:val="none" w:color="000000" w:sz="0" w:space="0"/>
          <w:bottom w:val="none" w:color="000000" w:sz="0" w:space="0"/>
          <w:right w:val="none" w:color="000000" w:sz="0" w:space="0"/>
        </w:pBdr>
      </w:pPr>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5"/>
          <w:sz w:val="32"/>
        </w:rPr>
        <w:t xml:space="preserve">第二章 投标人须知</w:t>
      </w:r>
      <w:r/>
    </w:p>
    <w:p>
      <w:pPr>
        <w:contextualSpacing/>
        <w:ind w:right="840" w:firstLine="482"/>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投标人须知前附表</w:t>
      </w:r>
      <w:r/>
    </w:p>
    <w:tbl>
      <w:tblPr>
        <w:tblStyle w:val="6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555"/>
        <w:gridCol w:w="7041"/>
      </w:tblGrid>
      <w:tr>
        <w:trPr>
          <w:trHeight w:val="570"/>
        </w:trPr>
        <w:tc>
          <w:tcPr>
            <w:tcMar>
              <w:left w:w="108" w:type="dxa"/>
              <w:top w:w="0" w:type="dxa"/>
              <w:right w:w="108" w:type="dxa"/>
              <w:bottom w:w="0" w:type="dxa"/>
            </w:tcMar>
            <w:tcW w:w="75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Mar>
              <w:left w:w="108" w:type="dxa"/>
              <w:top w:w="0" w:type="dxa"/>
              <w:right w:w="108" w:type="dxa"/>
              <w:bottom w:w="0" w:type="dxa"/>
            </w:tcMar>
            <w:tcW w:w="155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w:t>
            </w:r>
            <w:r/>
          </w:p>
        </w:tc>
        <w:tc>
          <w:tcPr>
            <w:tcMar>
              <w:left w:w="108" w:type="dxa"/>
              <w:top w:w="0" w:type="dxa"/>
              <w:right w:w="108" w:type="dxa"/>
              <w:bottom w:w="0" w:type="dxa"/>
            </w:tcMar>
            <w:tcW w:w="7041"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内容</w:t>
            </w:r>
            <w:r/>
          </w:p>
        </w:tc>
      </w:tr>
      <w:tr>
        <w:trPr>
          <w:trHeight w:val="551"/>
        </w:trPr>
        <w:tc>
          <w:tcPr>
            <w:tcMar>
              <w:left w:w="108" w:type="dxa"/>
              <w:top w:w="0" w:type="dxa"/>
              <w:right w:w="108" w:type="dxa"/>
              <w:bottom w:w="0" w:type="dxa"/>
            </w:tcMar>
            <w:tcW w:w="75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Mar>
              <w:left w:w="108" w:type="dxa"/>
              <w:top w:w="0" w:type="dxa"/>
              <w:right w:w="108" w:type="dxa"/>
              <w:bottom w:w="0" w:type="dxa"/>
            </w:tcMar>
            <w:tcW w:w="155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Mar>
              <w:left w:w="108" w:type="dxa"/>
              <w:top w:w="0" w:type="dxa"/>
              <w:right w:w="108" w:type="dxa"/>
              <w:bottom w:w="0" w:type="dxa"/>
            </w:tcMar>
            <w:tcW w:w="7041" w:type="dxa"/>
            <w:vAlign w:val="center"/>
            <w:textDirection w:val="lrTb"/>
            <w:noWrap w:val="false"/>
          </w:tcPr>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泰州市猪肉储备服务项目</w:t>
            </w:r>
            <w:r/>
          </w:p>
        </w:tc>
      </w:tr>
      <w:tr>
        <w:trPr>
          <w:trHeight w:val="913"/>
        </w:trPr>
        <w:tc>
          <w:tcPr>
            <w:tcMar>
              <w:left w:w="108" w:type="dxa"/>
              <w:top w:w="0" w:type="dxa"/>
              <w:right w:w="108" w:type="dxa"/>
              <w:bottom w:w="0" w:type="dxa"/>
            </w:tcMar>
            <w:tcW w:w="75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Mar>
              <w:left w:w="108" w:type="dxa"/>
              <w:top w:w="0" w:type="dxa"/>
              <w:right w:w="108" w:type="dxa"/>
              <w:bottom w:w="0" w:type="dxa"/>
            </w:tcMar>
            <w:tcW w:w="155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招标内容</w:t>
            </w:r>
            <w:r/>
          </w:p>
        </w:tc>
        <w:tc>
          <w:tcPr>
            <w:tcMar>
              <w:left w:w="108" w:type="dxa"/>
              <w:top w:w="0" w:type="dxa"/>
              <w:right w:w="108" w:type="dxa"/>
              <w:bottom w:w="0" w:type="dxa"/>
            </w:tcMar>
            <w:tcW w:w="7041" w:type="dxa"/>
            <w:vAlign w:val="center"/>
            <w:textDirection w:val="lrTb"/>
            <w:noWrap w:val="false"/>
          </w:tcPr>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为稳定本市猪肉供应市场，保障民生，采购具备常年储备量为650吨分割猪肉冷冻储藏的企业。</w:t>
            </w:r>
            <w:r/>
          </w:p>
        </w:tc>
      </w:tr>
      <w:tr>
        <w:trPr>
          <w:trHeight w:val="848"/>
        </w:trPr>
        <w:tc>
          <w:tcPr>
            <w:tcMar>
              <w:left w:w="108" w:type="dxa"/>
              <w:top w:w="0" w:type="dxa"/>
              <w:right w:w="108" w:type="dxa"/>
              <w:bottom w:w="0" w:type="dxa"/>
            </w:tcMar>
            <w:tcW w:w="75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Mar>
              <w:left w:w="108" w:type="dxa"/>
              <w:top w:w="0" w:type="dxa"/>
              <w:right w:w="108" w:type="dxa"/>
              <w:bottom w:w="0" w:type="dxa"/>
            </w:tcMar>
            <w:tcW w:w="155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服务期限</w:t>
            </w:r>
            <w:r/>
          </w:p>
        </w:tc>
        <w:tc>
          <w:tcPr>
            <w:tcMar>
              <w:left w:w="108" w:type="dxa"/>
              <w:top w:w="0" w:type="dxa"/>
              <w:right w:w="108" w:type="dxa"/>
              <w:bottom w:w="0" w:type="dxa"/>
            </w:tcMar>
            <w:tcW w:w="7041" w:type="dxa"/>
            <w:vAlign w:val="center"/>
            <w:textDirection w:val="lrTb"/>
            <w:noWrap w:val="false"/>
          </w:tcPr>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三年。</w:t>
            </w:r>
            <w:r/>
          </w:p>
        </w:tc>
      </w:tr>
      <w:tr>
        <w:trPr>
          <w:trHeight w:val="1105"/>
        </w:trPr>
        <w:tc>
          <w:tcPr>
            <w:tcMar>
              <w:left w:w="108" w:type="dxa"/>
              <w:top w:w="0" w:type="dxa"/>
              <w:right w:w="108" w:type="dxa"/>
              <w:bottom w:w="0" w:type="dxa"/>
            </w:tcMar>
            <w:tcW w:w="75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Mar>
              <w:left w:w="108" w:type="dxa"/>
              <w:top w:w="0" w:type="dxa"/>
              <w:right w:w="108" w:type="dxa"/>
              <w:bottom w:w="0" w:type="dxa"/>
            </w:tcMar>
            <w:tcW w:w="155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最高投标限价</w:t>
            </w:r>
            <w:r/>
          </w:p>
        </w:tc>
        <w:tc>
          <w:tcPr>
            <w:tcMar>
              <w:left w:w="108" w:type="dxa"/>
              <w:top w:w="0" w:type="dxa"/>
              <w:right w:w="108" w:type="dxa"/>
              <w:bottom w:w="0" w:type="dxa"/>
            </w:tcMar>
            <w:tcW w:w="7041" w:type="dxa"/>
            <w:vAlign w:val="center"/>
            <w:textDirection w:val="lrTb"/>
            <w:noWrap w:val="false"/>
          </w:tcPr>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最高限价总价：</w:t>
            </w:r>
            <w:r>
              <w:rPr>
                <w:rFonts w:hint="eastAsia" w:ascii="宋体" w:hAnsi="宋体" w:eastAsia="宋体" w:cs="宋体"/>
                <w:color w:val="000000"/>
                <w:sz w:val="24"/>
              </w:rPr>
              <w:t xml:space="preserve">458.25</w:t>
            </w:r>
            <w:r>
              <w:rPr>
                <w:rFonts w:ascii="宋体" w:hAnsi="宋体" w:eastAsia="宋体" w:cs="宋体"/>
                <w:color w:val="000000"/>
                <w:sz w:val="24"/>
              </w:rPr>
              <w:t xml:space="preserve">万元/3年；</w:t>
            </w:r>
            <w:r>
              <w:rPr>
                <w:rFonts w:hint="eastAsia" w:ascii="宋体" w:hAnsi="宋体" w:eastAsia="宋体" w:cs="宋体"/>
                <w:color w:val="000000"/>
                <w:sz w:val="24"/>
              </w:rPr>
              <w:t xml:space="preserve">152.75</w:t>
            </w:r>
            <w:r>
              <w:rPr>
                <w:rFonts w:ascii="宋体" w:hAnsi="宋体" w:eastAsia="宋体" w:cs="宋体"/>
                <w:color w:val="000000"/>
                <w:sz w:val="24"/>
              </w:rPr>
              <w:t xml:space="preserve">万元/年；单价：</w:t>
            </w:r>
            <w:r>
              <w:rPr>
                <w:rFonts w:hint="eastAsia" w:ascii="宋体" w:hAnsi="宋体" w:eastAsia="宋体" w:cs="宋体"/>
                <w:color w:val="000000"/>
                <w:sz w:val="24"/>
              </w:rPr>
              <w:t xml:space="preserve">2350</w:t>
            </w:r>
            <w:r>
              <w:rPr>
                <w:rFonts w:ascii="宋体" w:hAnsi="宋体" w:eastAsia="宋体" w:cs="宋体"/>
                <w:color w:val="000000"/>
                <w:sz w:val="24"/>
              </w:rPr>
              <w:t xml:space="preserve">元/吨/年</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各投标人的投标报价不得超过招标文件规定的最高限价，否则按无效投标文件处理。</w:t>
            </w:r>
            <w:r/>
          </w:p>
        </w:tc>
      </w:tr>
      <w:tr>
        <w:trPr>
          <w:trHeight w:val="784"/>
        </w:trPr>
        <w:tc>
          <w:tcPr>
            <w:tcMar>
              <w:left w:w="108" w:type="dxa"/>
              <w:top w:w="0" w:type="dxa"/>
              <w:right w:w="108" w:type="dxa"/>
              <w:bottom w:w="0" w:type="dxa"/>
            </w:tcMar>
            <w:tcW w:w="75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Mar>
              <w:left w:w="108" w:type="dxa"/>
              <w:top w:w="0" w:type="dxa"/>
              <w:right w:w="108" w:type="dxa"/>
              <w:bottom w:w="0" w:type="dxa"/>
            </w:tcMar>
            <w:tcW w:w="155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合格投标人资格要求</w:t>
            </w:r>
            <w:r/>
          </w:p>
        </w:tc>
        <w:tc>
          <w:tcPr>
            <w:tcMar>
              <w:left w:w="108" w:type="dxa"/>
              <w:top w:w="0" w:type="dxa"/>
              <w:right w:w="108" w:type="dxa"/>
              <w:bottom w:w="0" w:type="dxa"/>
            </w:tcMar>
            <w:tcW w:w="7041" w:type="dxa"/>
            <w:vAlign w:val="center"/>
            <w:textDirection w:val="lrTb"/>
            <w:noWrap w:val="false"/>
          </w:tcPr>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详见招标公告</w:t>
            </w:r>
            <w:r/>
          </w:p>
        </w:tc>
      </w:tr>
      <w:tr>
        <w:trPr>
          <w:trHeight w:val="765"/>
        </w:trPr>
        <w:tc>
          <w:tcPr>
            <w:tcMar>
              <w:left w:w="108" w:type="dxa"/>
              <w:top w:w="0" w:type="dxa"/>
              <w:right w:w="108" w:type="dxa"/>
              <w:bottom w:w="0" w:type="dxa"/>
            </w:tcMar>
            <w:tcW w:w="75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Mar>
              <w:left w:w="108" w:type="dxa"/>
              <w:top w:w="0" w:type="dxa"/>
              <w:right w:w="108" w:type="dxa"/>
              <w:bottom w:w="0" w:type="dxa"/>
            </w:tcMar>
            <w:tcW w:w="155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联合体投标</w:t>
            </w:r>
            <w:r/>
          </w:p>
        </w:tc>
        <w:tc>
          <w:tcPr>
            <w:tcMar>
              <w:left w:w="108" w:type="dxa"/>
              <w:top w:w="0" w:type="dxa"/>
              <w:right w:w="108" w:type="dxa"/>
              <w:bottom w:w="0" w:type="dxa"/>
            </w:tcMar>
            <w:tcW w:w="7041" w:type="dxa"/>
            <w:vAlign w:val="center"/>
            <w:textDirection w:val="lrTb"/>
            <w:noWrap w:val="false"/>
          </w:tcPr>
          <w:p>
            <w:pPr>
              <w:contextualSpacing/>
              <w:jc w:val="both"/>
              <w:spacing w:line="480" w:lineRule="exact"/>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000000"/>
                <w:sz w:val="24"/>
              </w:rPr>
              <w:t xml:space="preserve">☑</w:t>
            </w:r>
            <w:r>
              <w:rPr>
                <w:rFonts w:ascii="宋体" w:hAnsi="宋体" w:eastAsia="宋体" w:cs="宋体"/>
                <w:color w:val="000000"/>
                <w:sz w:val="24"/>
              </w:rPr>
              <w:t xml:space="preserve">不接受，招标文件中有关联合体的规定均不适用。</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 </w:t>
            </w:r>
            <w:r/>
          </w:p>
        </w:tc>
      </w:tr>
      <w:tr>
        <w:trPr>
          <w:trHeight w:val="1385"/>
        </w:trPr>
        <w:tc>
          <w:tcPr>
            <w:tcMar>
              <w:left w:w="108" w:type="dxa"/>
              <w:top w:w="0" w:type="dxa"/>
              <w:right w:w="108" w:type="dxa"/>
              <w:bottom w:w="0" w:type="dxa"/>
            </w:tcMar>
            <w:tcW w:w="75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Mar>
              <w:left w:w="108" w:type="dxa"/>
              <w:top w:w="0" w:type="dxa"/>
              <w:right w:w="108" w:type="dxa"/>
              <w:bottom w:w="0" w:type="dxa"/>
            </w:tcMar>
            <w:tcW w:w="155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现场考察</w:t>
            </w:r>
            <w:r/>
          </w:p>
        </w:tc>
        <w:tc>
          <w:tcPr>
            <w:tcMar>
              <w:left w:w="108" w:type="dxa"/>
              <w:top w:w="0" w:type="dxa"/>
              <w:right w:w="108" w:type="dxa"/>
              <w:bottom w:w="0" w:type="dxa"/>
            </w:tcMar>
            <w:tcW w:w="7041" w:type="dxa"/>
            <w:vAlign w:val="center"/>
            <w:textDirection w:val="lrTb"/>
            <w:noWrap w:val="false"/>
          </w:tcPr>
          <w:p>
            <w:pPr>
              <w:contextualSpacing/>
              <w:jc w:val="both"/>
              <w:spacing w:line="480" w:lineRule="exact"/>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000000"/>
                <w:sz w:val="24"/>
              </w:rPr>
              <w:t xml:space="preserve">☑</w:t>
            </w:r>
            <w:r>
              <w:rPr>
                <w:rFonts w:ascii="宋体" w:hAnsi="宋体" w:eastAsia="宋体" w:cs="宋体"/>
                <w:color w:val="000000"/>
                <w:sz w:val="24"/>
              </w:rPr>
              <w:t xml:space="preserve">不组织，自行考察；如投标人需自行考察,费用自理。</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□组织，考察时间：/年/月/日/时</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集合地点：/</w:t>
            </w:r>
            <w:r/>
          </w:p>
          <w:p>
            <w:pPr>
              <w:contextualSpacing/>
              <w:ind w:firstLine="919"/>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联系人：/联系电话：/</w:t>
            </w:r>
            <w:r/>
          </w:p>
        </w:tc>
      </w:tr>
      <w:tr>
        <w:trPr>
          <w:trHeight w:val="993"/>
        </w:trPr>
        <w:tc>
          <w:tcPr>
            <w:tcMar>
              <w:left w:w="108" w:type="dxa"/>
              <w:top w:w="0" w:type="dxa"/>
              <w:right w:w="108" w:type="dxa"/>
              <w:bottom w:w="0" w:type="dxa"/>
            </w:tcMar>
            <w:tcW w:w="75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Mar>
              <w:left w:w="108" w:type="dxa"/>
              <w:top w:w="0" w:type="dxa"/>
              <w:right w:w="108" w:type="dxa"/>
              <w:bottom w:w="0" w:type="dxa"/>
            </w:tcMar>
            <w:tcW w:w="155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投标答疑会</w:t>
            </w:r>
            <w:r/>
          </w:p>
        </w:tc>
        <w:tc>
          <w:tcPr>
            <w:tcMar>
              <w:left w:w="108" w:type="dxa"/>
              <w:top w:w="0" w:type="dxa"/>
              <w:right w:w="108" w:type="dxa"/>
              <w:bottom w:w="0" w:type="dxa"/>
            </w:tcMar>
            <w:tcW w:w="7041" w:type="dxa"/>
            <w:vAlign w:val="center"/>
            <w:textDirection w:val="lrTb"/>
            <w:noWrap w:val="false"/>
          </w:tcPr>
          <w:p>
            <w:pPr>
              <w:contextualSpacing/>
              <w:jc w:val="both"/>
              <w:spacing w:line="480" w:lineRule="exact"/>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000000"/>
                <w:sz w:val="24"/>
              </w:rPr>
              <w:t xml:space="preserve">☑</w:t>
            </w:r>
            <w:r>
              <w:rPr>
                <w:rFonts w:ascii="宋体" w:hAnsi="宋体" w:eastAsia="宋体" w:cs="宋体"/>
                <w:color w:val="000000"/>
                <w:sz w:val="24"/>
              </w:rPr>
              <w:t xml:space="preserve">不召开</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口召开，召开时间：年月日时</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召开地点：/</w:t>
            </w:r>
            <w:r/>
          </w:p>
        </w:tc>
      </w:tr>
      <w:tr>
        <w:trPr>
          <w:trHeight w:val="506"/>
        </w:trPr>
        <w:tc>
          <w:tcPr>
            <w:tcMar>
              <w:left w:w="108" w:type="dxa"/>
              <w:top w:w="0" w:type="dxa"/>
              <w:right w:w="108" w:type="dxa"/>
              <w:bottom w:w="0" w:type="dxa"/>
            </w:tcMar>
            <w:tcW w:w="75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Mar>
              <w:left w:w="108" w:type="dxa"/>
              <w:top w:w="0" w:type="dxa"/>
              <w:right w:w="108" w:type="dxa"/>
              <w:bottom w:w="0" w:type="dxa"/>
            </w:tcMar>
            <w:tcW w:w="155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投标货币</w:t>
            </w:r>
            <w:r/>
          </w:p>
        </w:tc>
        <w:tc>
          <w:tcPr>
            <w:tcMar>
              <w:left w:w="108" w:type="dxa"/>
              <w:top w:w="0" w:type="dxa"/>
              <w:right w:w="108" w:type="dxa"/>
              <w:bottom w:w="0" w:type="dxa"/>
            </w:tcMar>
            <w:tcW w:w="7041" w:type="dxa"/>
            <w:vAlign w:val="center"/>
            <w:textDirection w:val="lrTb"/>
            <w:noWrap w:val="false"/>
          </w:tcPr>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w:t>
            </w:r>
            <w:r/>
          </w:p>
        </w:tc>
      </w:tr>
      <w:tr>
        <w:trPr>
          <w:trHeight w:val="1073"/>
        </w:trPr>
        <w:tc>
          <w:tcPr>
            <w:tcMar>
              <w:left w:w="108" w:type="dxa"/>
              <w:top w:w="0" w:type="dxa"/>
              <w:right w:w="108" w:type="dxa"/>
              <w:bottom w:w="0" w:type="dxa"/>
            </w:tcMar>
            <w:tcW w:w="75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Mar>
              <w:left w:w="108" w:type="dxa"/>
              <w:top w:w="0" w:type="dxa"/>
              <w:right w:w="108" w:type="dxa"/>
              <w:bottom w:w="0" w:type="dxa"/>
            </w:tcMar>
            <w:tcW w:w="155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合同方式</w:t>
            </w:r>
            <w:r/>
          </w:p>
        </w:tc>
        <w:tc>
          <w:tcPr>
            <w:tcMar>
              <w:left w:w="108" w:type="dxa"/>
              <w:top w:w="0" w:type="dxa"/>
              <w:right w:w="108" w:type="dxa"/>
              <w:bottom w:w="0" w:type="dxa"/>
            </w:tcMar>
            <w:tcW w:w="7041" w:type="dxa"/>
            <w:vAlign w:val="center"/>
            <w:textDirection w:val="lrTb"/>
            <w:noWrap w:val="false"/>
          </w:tcPr>
          <w:p>
            <w:pPr>
              <w:contextualSpacing/>
              <w:jc w:val="both"/>
              <w:spacing w:line="480" w:lineRule="exact"/>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000000"/>
                <w:sz w:val="24"/>
              </w:rPr>
              <w:t xml:space="preserve">☑</w:t>
            </w:r>
            <w:r>
              <w:rPr>
                <w:rFonts w:ascii="宋体" w:hAnsi="宋体" w:eastAsia="宋体" w:cs="宋体"/>
                <w:color w:val="000000"/>
                <w:sz w:val="24"/>
              </w:rPr>
              <w:t xml:space="preserve">固定单价合同</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□固定总价合同</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w:t>
            </w:r>
            <w:r/>
          </w:p>
        </w:tc>
      </w:tr>
      <w:tr>
        <w:trPr>
          <w:trHeight w:val="655"/>
        </w:trPr>
        <w:tc>
          <w:tcPr>
            <w:tcMar>
              <w:left w:w="108" w:type="dxa"/>
              <w:top w:w="0" w:type="dxa"/>
              <w:right w:w="108" w:type="dxa"/>
              <w:bottom w:w="0" w:type="dxa"/>
            </w:tcMar>
            <w:tcW w:w="75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c>
          <w:tcPr>
            <w:tcMar>
              <w:left w:w="108" w:type="dxa"/>
              <w:top w:w="0" w:type="dxa"/>
              <w:right w:w="108" w:type="dxa"/>
              <w:bottom w:w="0" w:type="dxa"/>
            </w:tcMar>
            <w:tcW w:w="155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投标保证金</w:t>
            </w:r>
            <w:r/>
          </w:p>
        </w:tc>
        <w:tc>
          <w:tcPr>
            <w:tcMar>
              <w:left w:w="108" w:type="dxa"/>
              <w:top w:w="0" w:type="dxa"/>
              <w:right w:w="108" w:type="dxa"/>
              <w:bottom w:w="0" w:type="dxa"/>
            </w:tcMar>
            <w:tcW w:w="7041" w:type="dxa"/>
            <w:vAlign w:val="center"/>
            <w:textDirection w:val="lrTb"/>
            <w:noWrap w:val="false"/>
          </w:tcPr>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依据苏财购〔2020〕52号文件精神，本项目免收投标保证金。</w:t>
            </w:r>
            <w:r/>
          </w:p>
        </w:tc>
      </w:tr>
      <w:tr>
        <w:trPr>
          <w:trHeight w:val="644"/>
        </w:trPr>
        <w:tc>
          <w:tcPr>
            <w:tcMar>
              <w:left w:w="108" w:type="dxa"/>
              <w:top w:w="0" w:type="dxa"/>
              <w:right w:w="108" w:type="dxa"/>
              <w:bottom w:w="0" w:type="dxa"/>
            </w:tcMar>
            <w:tcW w:w="75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p>
        </w:tc>
        <w:tc>
          <w:tcPr>
            <w:tcMar>
              <w:left w:w="108" w:type="dxa"/>
              <w:top w:w="0" w:type="dxa"/>
              <w:right w:w="108" w:type="dxa"/>
              <w:bottom w:w="0" w:type="dxa"/>
            </w:tcMar>
            <w:tcW w:w="155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投标文件有效期</w:t>
            </w:r>
            <w:r/>
          </w:p>
        </w:tc>
        <w:tc>
          <w:tcPr>
            <w:tcMar>
              <w:left w:w="108" w:type="dxa"/>
              <w:top w:w="0" w:type="dxa"/>
              <w:right w:w="108" w:type="dxa"/>
              <w:bottom w:w="0" w:type="dxa"/>
            </w:tcMar>
            <w:tcW w:w="7041" w:type="dxa"/>
            <w:vAlign w:val="center"/>
            <w:textDirection w:val="lrTb"/>
            <w:noWrap w:val="false"/>
          </w:tcPr>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60 </w:t>
            </w:r>
            <w:r>
              <w:rPr>
                <w:rFonts w:ascii="宋体" w:hAnsi="宋体" w:eastAsia="宋体" w:cs="宋体"/>
                <w:color w:val="000000"/>
                <w:sz w:val="24"/>
              </w:rPr>
              <w:t xml:space="preserve">日历天（从投标截止之日算起）</w:t>
            </w:r>
            <w:r/>
          </w:p>
        </w:tc>
      </w:tr>
      <w:tr>
        <w:trPr>
          <w:trHeight w:val="665"/>
        </w:trPr>
        <w:tc>
          <w:tcPr>
            <w:tcMar>
              <w:left w:w="108" w:type="dxa"/>
              <w:top w:w="0" w:type="dxa"/>
              <w:right w:w="108" w:type="dxa"/>
              <w:bottom w:w="0" w:type="dxa"/>
            </w:tcMar>
            <w:tcW w:w="758" w:type="dxa"/>
            <w:vAlign w:val="center"/>
            <w:vMerge w:val="restart"/>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w:t>
            </w:r>
            <w:r/>
          </w:p>
        </w:tc>
        <w:tc>
          <w:tcPr>
            <w:tcMar>
              <w:left w:w="108" w:type="dxa"/>
              <w:top w:w="0" w:type="dxa"/>
              <w:right w:w="108" w:type="dxa"/>
              <w:bottom w:w="0" w:type="dxa"/>
            </w:tcMar>
            <w:tcW w:w="155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投标截止时间</w:t>
            </w:r>
            <w:r/>
          </w:p>
        </w:tc>
        <w:tc>
          <w:tcPr>
            <w:tcMar>
              <w:left w:w="108" w:type="dxa"/>
              <w:top w:w="0" w:type="dxa"/>
              <w:right w:w="108" w:type="dxa"/>
              <w:bottom w:w="0" w:type="dxa"/>
            </w:tcMar>
            <w:tcW w:w="7041" w:type="dxa"/>
            <w:vAlign w:val="center"/>
            <w:textDirection w:val="lrTb"/>
            <w:noWrap w:val="false"/>
          </w:tcPr>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w:t>
            </w:r>
            <w:r>
              <w:rPr>
                <w:rFonts w:ascii="宋体" w:hAnsi="宋体" w:eastAsia="宋体" w:cs="宋体"/>
                <w:b/>
                <w:color w:val="000000"/>
                <w:sz w:val="24"/>
                <w:u w:val="single"/>
              </w:rPr>
              <w:t xml:space="preserve">202</w:t>
            </w:r>
            <w:r>
              <w:rPr>
                <w:rFonts w:hint="eastAsia" w:ascii="宋体" w:hAnsi="宋体" w:eastAsia="宋体" w:cs="宋体"/>
                <w:b/>
                <w:color w:val="000000"/>
                <w:sz w:val="24"/>
                <w:u w:val="single"/>
              </w:rPr>
              <w:t xml:space="preserve">6</w:t>
            </w:r>
            <w:r>
              <w:rPr>
                <w:rFonts w:ascii="宋体" w:hAnsi="宋体" w:eastAsia="宋体" w:cs="宋体"/>
                <w:b/>
                <w:color w:val="000000"/>
                <w:sz w:val="24"/>
                <w:u w:val="single"/>
              </w:rPr>
              <w:t xml:space="preserve"> </w:t>
            </w:r>
            <w:r>
              <w:rPr>
                <w:rFonts w:ascii="宋体" w:hAnsi="宋体" w:eastAsia="宋体" w:cs="宋体"/>
                <w:b/>
                <w:color w:val="000000"/>
                <w:sz w:val="24"/>
              </w:rPr>
              <w:t xml:space="preserve">年</w:t>
            </w:r>
            <w:r>
              <w:rPr>
                <w:rFonts w:ascii="宋体" w:hAnsi="宋体" w:eastAsia="宋体" w:cs="宋体"/>
                <w:b/>
                <w:color w:val="000000"/>
                <w:sz w:val="24"/>
                <w:u w:val="single"/>
              </w:rPr>
              <w:t xml:space="preserve"> </w:t>
            </w:r>
            <w:r>
              <w:rPr>
                <w:rFonts w:hint="eastAsia" w:ascii="宋体" w:hAnsi="宋体" w:eastAsia="宋体" w:cs="宋体"/>
                <w:b/>
                <w:color w:val="000000"/>
                <w:sz w:val="24"/>
                <w:u w:val="single"/>
              </w:rPr>
              <w:t xml:space="preserve">6</w:t>
            </w:r>
            <w:r>
              <w:rPr>
                <w:rFonts w:ascii="宋体" w:hAnsi="宋体" w:eastAsia="宋体" w:cs="宋体"/>
                <w:b/>
                <w:color w:val="000000"/>
                <w:sz w:val="24"/>
                <w:u w:val="single"/>
              </w:rPr>
              <w:t xml:space="preserve"> </w:t>
            </w:r>
            <w:r>
              <w:rPr>
                <w:rFonts w:ascii="宋体" w:hAnsi="宋体" w:eastAsia="宋体" w:cs="宋体"/>
                <w:b/>
                <w:color w:val="000000"/>
                <w:sz w:val="24"/>
              </w:rPr>
              <w:t xml:space="preserve">月</w:t>
            </w:r>
            <w:r>
              <w:rPr>
                <w:rFonts w:ascii="宋体" w:hAnsi="宋体" w:eastAsia="宋体" w:cs="宋体"/>
                <w:b/>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u w:val="single"/>
                <w:lang w:val="en-US" w:eastAsia="zh-CN"/>
              </w:rPr>
              <w:t xml:space="preserve">18</w:t>
            </w:r>
            <w:r>
              <w:rPr>
                <w:rFonts w:hint="eastAsia" w:ascii="宋体" w:hAnsi="宋体" w:eastAsia="宋体" w:cs="宋体"/>
                <w:b/>
                <w:color w:val="000000"/>
                <w:sz w:val="24"/>
                <w:u w:val="single"/>
              </w:rPr>
              <w:t xml:space="preserve"> </w:t>
            </w:r>
            <w:r>
              <w:rPr>
                <w:rFonts w:ascii="宋体" w:hAnsi="宋体" w:eastAsia="宋体" w:cs="宋体"/>
                <w:b/>
                <w:color w:val="000000"/>
                <w:sz w:val="24"/>
                <w:u w:val="single"/>
              </w:rPr>
              <w:t xml:space="preserve"> </w:t>
            </w:r>
            <w:r>
              <w:rPr>
                <w:rFonts w:ascii="宋体" w:hAnsi="宋体" w:eastAsia="宋体" w:cs="宋体"/>
                <w:b/>
                <w:color w:val="000000"/>
                <w:sz w:val="24"/>
              </w:rPr>
              <w:t xml:space="preserve">日</w:t>
            </w:r>
            <w:r>
              <w:rPr>
                <w:rFonts w:ascii="宋体" w:hAnsi="宋体" w:eastAsia="宋体" w:cs="宋体"/>
                <w:b/>
                <w:color w:val="000000"/>
                <w:sz w:val="24"/>
                <w:u w:val="single"/>
              </w:rPr>
              <w:t xml:space="preserve"> 9 </w:t>
            </w:r>
            <w:r>
              <w:rPr>
                <w:rFonts w:ascii="宋体" w:hAnsi="宋体" w:eastAsia="宋体" w:cs="宋体"/>
                <w:b/>
                <w:color w:val="000000"/>
                <w:sz w:val="24"/>
              </w:rPr>
              <w:t xml:space="preserve">时</w:t>
            </w:r>
            <w:r>
              <w:rPr>
                <w:rFonts w:ascii="宋体" w:hAnsi="宋体" w:eastAsia="宋体" w:cs="宋体"/>
                <w:b/>
                <w:color w:val="000000"/>
                <w:sz w:val="24"/>
                <w:u w:val="single"/>
              </w:rPr>
              <w:t xml:space="preserve"> 00 </w:t>
            </w:r>
            <w:r>
              <w:rPr>
                <w:rFonts w:ascii="宋体" w:hAnsi="宋体" w:eastAsia="宋体" w:cs="宋体"/>
                <w:b/>
                <w:color w:val="000000"/>
                <w:sz w:val="24"/>
              </w:rPr>
              <w:t xml:space="preserve">分</w:t>
            </w:r>
            <w:r/>
          </w:p>
        </w:tc>
      </w:tr>
      <w:tr>
        <w:trPr>
          <w:trHeight w:val="644"/>
        </w:trPr>
        <w:tc>
          <w:tcPr>
            <w:tcW w:w="0" w:type="auto"/>
            <w:vMerge w:val="continue"/>
            <w:textDirection w:val="lrTb"/>
            <w:noWrap w:val="false"/>
          </w:tcPr>
          <w:p>
            <w:pPr>
              <w:contextualSpacing/>
              <w:spacing w:line="480" w:lineRule="exact"/>
            </w:pPr>
            <w:r/>
            <w:r/>
          </w:p>
        </w:tc>
        <w:tc>
          <w:tcPr>
            <w:tcMar>
              <w:left w:w="108" w:type="dxa"/>
              <w:top w:w="0" w:type="dxa"/>
              <w:right w:w="108" w:type="dxa"/>
              <w:bottom w:w="0" w:type="dxa"/>
            </w:tcMar>
            <w:tcW w:w="155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投标地点</w:t>
            </w:r>
            <w:r/>
          </w:p>
        </w:tc>
        <w:tc>
          <w:tcPr>
            <w:tcMar>
              <w:left w:w="108" w:type="dxa"/>
              <w:top w:w="0" w:type="dxa"/>
              <w:right w:w="108" w:type="dxa"/>
              <w:bottom w:w="0" w:type="dxa"/>
            </w:tcMar>
            <w:tcW w:w="7041" w:type="dxa"/>
            <w:vAlign w:val="center"/>
            <w:textDirection w:val="lrTb"/>
            <w:noWrap w:val="false"/>
          </w:tcPr>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地点：江苏政府采购“苏采云”系统不见面开标大厅 </w:t>
            </w:r>
            <w:r/>
          </w:p>
        </w:tc>
      </w:tr>
      <w:tr>
        <w:trPr>
          <w:trHeight w:val="752"/>
        </w:trPr>
        <w:tc>
          <w:tcPr>
            <w:tcMar>
              <w:left w:w="108" w:type="dxa"/>
              <w:top w:w="0" w:type="dxa"/>
              <w:right w:w="108" w:type="dxa"/>
              <w:bottom w:w="0" w:type="dxa"/>
            </w:tcMar>
            <w:tcW w:w="75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w:t>
            </w:r>
            <w:r/>
          </w:p>
        </w:tc>
        <w:tc>
          <w:tcPr>
            <w:tcMar>
              <w:left w:w="108" w:type="dxa"/>
              <w:top w:w="0" w:type="dxa"/>
              <w:right w:w="108" w:type="dxa"/>
              <w:bottom w:w="0" w:type="dxa"/>
            </w:tcMar>
            <w:tcW w:w="155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开标时间和地点</w:t>
            </w:r>
            <w:r/>
          </w:p>
        </w:tc>
        <w:tc>
          <w:tcPr>
            <w:tcMar>
              <w:left w:w="108" w:type="dxa"/>
              <w:top w:w="0" w:type="dxa"/>
              <w:right w:w="108" w:type="dxa"/>
              <w:bottom w:w="0" w:type="dxa"/>
            </w:tcMar>
            <w:tcW w:w="7041" w:type="dxa"/>
            <w:vAlign w:val="center"/>
            <w:textDirection w:val="lrTb"/>
            <w:noWrap w:val="false"/>
          </w:tcPr>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w:t>
            </w:r>
            <w:r>
              <w:rPr>
                <w:rFonts w:ascii="宋体" w:hAnsi="宋体" w:eastAsia="宋体" w:cs="宋体"/>
                <w:b/>
                <w:color w:val="000000"/>
                <w:sz w:val="24"/>
                <w:u w:val="single"/>
              </w:rPr>
              <w:t xml:space="preserve">202</w:t>
            </w:r>
            <w:r>
              <w:rPr>
                <w:rFonts w:hint="eastAsia" w:ascii="宋体" w:hAnsi="宋体" w:eastAsia="宋体" w:cs="宋体"/>
                <w:b/>
                <w:color w:val="000000"/>
                <w:sz w:val="24"/>
                <w:u w:val="single"/>
              </w:rPr>
              <w:t xml:space="preserve">6</w:t>
            </w:r>
            <w:r>
              <w:rPr>
                <w:rFonts w:ascii="宋体" w:hAnsi="宋体" w:eastAsia="宋体" w:cs="宋体"/>
                <w:b/>
                <w:color w:val="000000"/>
                <w:sz w:val="24"/>
                <w:u w:val="single"/>
              </w:rPr>
              <w:t xml:space="preserve"> </w:t>
            </w:r>
            <w:r>
              <w:rPr>
                <w:rFonts w:ascii="宋体" w:hAnsi="宋体" w:eastAsia="宋体" w:cs="宋体"/>
                <w:b/>
                <w:color w:val="000000"/>
                <w:sz w:val="24"/>
              </w:rPr>
              <w:t xml:space="preserve">年</w:t>
            </w:r>
            <w:r>
              <w:rPr>
                <w:rFonts w:ascii="宋体" w:hAnsi="宋体" w:eastAsia="宋体" w:cs="宋体"/>
                <w:b/>
                <w:color w:val="000000"/>
                <w:sz w:val="24"/>
                <w:u w:val="single"/>
              </w:rPr>
              <w:t xml:space="preserve"> </w:t>
            </w:r>
            <w:r>
              <w:rPr>
                <w:rFonts w:hint="eastAsia" w:ascii="宋体" w:hAnsi="宋体" w:eastAsia="宋体" w:cs="宋体"/>
                <w:b/>
                <w:color w:val="000000"/>
                <w:sz w:val="24"/>
                <w:u w:val="single"/>
              </w:rPr>
              <w:t xml:space="preserve">6</w:t>
            </w:r>
            <w:r>
              <w:rPr>
                <w:rFonts w:ascii="宋体" w:hAnsi="宋体" w:eastAsia="宋体" w:cs="宋体"/>
                <w:b/>
                <w:color w:val="000000"/>
                <w:sz w:val="24"/>
                <w:u w:val="single"/>
              </w:rPr>
              <w:t xml:space="preserve"> </w:t>
            </w:r>
            <w:r>
              <w:rPr>
                <w:rFonts w:ascii="宋体" w:hAnsi="宋体" w:eastAsia="宋体" w:cs="宋体"/>
                <w:b/>
                <w:color w:val="000000"/>
                <w:sz w:val="24"/>
              </w:rPr>
              <w:t xml:space="preserve">月</w:t>
            </w:r>
            <w:r>
              <w:rPr>
                <w:rFonts w:ascii="宋体" w:hAnsi="宋体" w:eastAsia="宋体" w:cs="宋体"/>
                <w:b/>
                <w:color w:val="000000"/>
                <w:sz w:val="24"/>
                <w:u w:val="single"/>
              </w:rPr>
              <w:t xml:space="preserve"> </w:t>
            </w:r>
            <w:r>
              <w:rPr>
                <w:rFonts w:hint="eastAsia" w:ascii="宋体" w:hAnsi="宋体" w:eastAsia="宋体" w:cs="宋体"/>
                <w:b/>
                <w:color w:val="000000"/>
                <w:sz w:val="24"/>
                <w:u w:val="single"/>
              </w:rPr>
              <w:t xml:space="preserve"> </w:t>
            </w:r>
            <w:r>
              <w:rPr>
                <w:rFonts w:hint="eastAsia" w:ascii="宋体" w:hAnsi="宋体" w:eastAsia="宋体" w:cs="宋体"/>
                <w:b/>
                <w:color w:val="000000"/>
                <w:sz w:val="24"/>
                <w:u w:val="single"/>
                <w:lang w:val="en-US" w:eastAsia="zh-CN"/>
              </w:rPr>
              <w:t xml:space="preserve">18</w:t>
            </w:r>
            <w:r>
              <w:rPr>
                <w:rFonts w:ascii="宋体" w:hAnsi="宋体" w:eastAsia="宋体" w:cs="宋体"/>
                <w:b/>
                <w:color w:val="000000"/>
                <w:sz w:val="24"/>
                <w:u w:val="single"/>
              </w:rPr>
              <w:t xml:space="preserve"> </w:t>
            </w:r>
            <w:r>
              <w:rPr>
                <w:rFonts w:ascii="宋体" w:hAnsi="宋体" w:eastAsia="宋体" w:cs="宋体"/>
                <w:b/>
                <w:color w:val="000000"/>
                <w:sz w:val="24"/>
              </w:rPr>
              <w:t xml:space="preserve">日</w:t>
            </w:r>
            <w:r>
              <w:rPr>
                <w:rFonts w:ascii="宋体" w:hAnsi="宋体" w:eastAsia="宋体" w:cs="宋体"/>
                <w:b/>
                <w:color w:val="000000"/>
                <w:sz w:val="24"/>
                <w:u w:val="single"/>
              </w:rPr>
              <w:t xml:space="preserve"> 9 </w:t>
            </w:r>
            <w:r>
              <w:rPr>
                <w:rFonts w:ascii="宋体" w:hAnsi="宋体" w:eastAsia="宋体" w:cs="宋体"/>
                <w:b/>
                <w:color w:val="000000"/>
                <w:sz w:val="24"/>
              </w:rPr>
              <w:t xml:space="preserve">时</w:t>
            </w:r>
            <w:r>
              <w:rPr>
                <w:rFonts w:ascii="宋体" w:hAnsi="宋体" w:eastAsia="宋体" w:cs="宋体"/>
                <w:b/>
                <w:color w:val="000000"/>
                <w:sz w:val="24"/>
                <w:u w:val="single"/>
              </w:rPr>
              <w:t xml:space="preserve"> 00 </w:t>
            </w:r>
            <w:r>
              <w:rPr>
                <w:rFonts w:ascii="宋体" w:hAnsi="宋体" w:eastAsia="宋体" w:cs="宋体"/>
                <w:b/>
                <w:color w:val="000000"/>
                <w:sz w:val="24"/>
              </w:rPr>
              <w:t xml:space="preserve">分</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地点：江苏政府采购“苏采云”系统不见面开标大厅 </w:t>
            </w:r>
            <w:r/>
          </w:p>
        </w:tc>
      </w:tr>
      <w:tr>
        <w:trPr>
          <w:trHeight w:val="817"/>
        </w:trPr>
        <w:tc>
          <w:tcPr>
            <w:tcMar>
              <w:left w:w="108" w:type="dxa"/>
              <w:top w:w="0" w:type="dxa"/>
              <w:right w:w="108" w:type="dxa"/>
              <w:bottom w:w="0" w:type="dxa"/>
            </w:tcMar>
            <w:tcW w:w="75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p>
        </w:tc>
        <w:tc>
          <w:tcPr>
            <w:tcMar>
              <w:left w:w="108" w:type="dxa"/>
              <w:top w:w="0" w:type="dxa"/>
              <w:right w:w="108" w:type="dxa"/>
              <w:bottom w:w="0" w:type="dxa"/>
            </w:tcMar>
            <w:tcW w:w="155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评标办法</w:t>
            </w:r>
            <w:r/>
          </w:p>
        </w:tc>
        <w:tc>
          <w:tcPr>
            <w:tcMar>
              <w:left w:w="108" w:type="dxa"/>
              <w:top w:w="0" w:type="dxa"/>
              <w:right w:w="108" w:type="dxa"/>
              <w:bottom w:w="0" w:type="dxa"/>
            </w:tcMar>
            <w:tcW w:w="7041" w:type="dxa"/>
            <w:vAlign w:val="center"/>
            <w:textDirection w:val="lrTb"/>
            <w:noWrap w:val="false"/>
          </w:tcPr>
          <w:p>
            <w:pPr>
              <w:contextualSpacing/>
              <w:jc w:val="both"/>
              <w:spacing w:line="480" w:lineRule="exact"/>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000000"/>
                <w:sz w:val="24"/>
              </w:rPr>
              <w:t xml:space="preserve">☑</w:t>
            </w:r>
            <w:r>
              <w:rPr>
                <w:rFonts w:ascii="宋体" w:hAnsi="宋体" w:eastAsia="宋体" w:cs="宋体"/>
                <w:color w:val="000000"/>
                <w:sz w:val="24"/>
              </w:rPr>
              <w:t xml:space="preserve">综合评分法</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□最低评标价法  </w:t>
            </w:r>
            <w:r/>
          </w:p>
        </w:tc>
      </w:tr>
      <w:tr>
        <w:trPr>
          <w:trHeight w:val="663"/>
        </w:trPr>
        <w:tc>
          <w:tcPr>
            <w:tcMar>
              <w:left w:w="108" w:type="dxa"/>
              <w:top w:w="0" w:type="dxa"/>
              <w:right w:w="108" w:type="dxa"/>
              <w:bottom w:w="0" w:type="dxa"/>
            </w:tcMar>
            <w:tcW w:w="75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w:t>
            </w:r>
            <w:r/>
          </w:p>
        </w:tc>
        <w:tc>
          <w:tcPr>
            <w:tcMar>
              <w:left w:w="108" w:type="dxa"/>
              <w:top w:w="0" w:type="dxa"/>
              <w:right w:w="108" w:type="dxa"/>
              <w:bottom w:w="0" w:type="dxa"/>
            </w:tcMar>
            <w:tcW w:w="155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定标办法</w:t>
            </w:r>
            <w:r/>
          </w:p>
        </w:tc>
        <w:tc>
          <w:tcPr>
            <w:tcMar>
              <w:left w:w="108" w:type="dxa"/>
              <w:top w:w="0" w:type="dxa"/>
              <w:right w:w="108" w:type="dxa"/>
              <w:bottom w:w="0" w:type="dxa"/>
            </w:tcMar>
            <w:tcW w:w="7041" w:type="dxa"/>
            <w:vAlign w:val="center"/>
            <w:textDirection w:val="lrTb"/>
            <w:noWrap w:val="false"/>
          </w:tcPr>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采购人根据评标委员会推荐的中标候选投标人顺序确定中标人。</w:t>
            </w:r>
            <w:r/>
          </w:p>
        </w:tc>
      </w:tr>
      <w:tr>
        <w:trPr>
          <w:trHeight w:val="809"/>
        </w:trPr>
        <w:tc>
          <w:tcPr>
            <w:tcMar>
              <w:left w:w="108" w:type="dxa"/>
              <w:top w:w="0" w:type="dxa"/>
              <w:right w:w="108" w:type="dxa"/>
              <w:bottom w:w="0" w:type="dxa"/>
            </w:tcMar>
            <w:tcW w:w="75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w:t>
            </w:r>
            <w:r/>
          </w:p>
        </w:tc>
        <w:tc>
          <w:tcPr>
            <w:tcMar>
              <w:left w:w="108" w:type="dxa"/>
              <w:top w:w="0" w:type="dxa"/>
              <w:right w:w="108" w:type="dxa"/>
              <w:bottom w:w="0" w:type="dxa"/>
            </w:tcMar>
            <w:tcW w:w="155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履约保证金</w:t>
            </w:r>
            <w:r/>
          </w:p>
        </w:tc>
        <w:tc>
          <w:tcPr>
            <w:tcMar>
              <w:left w:w="108" w:type="dxa"/>
              <w:top w:w="0" w:type="dxa"/>
              <w:right w:w="108" w:type="dxa"/>
              <w:bottom w:w="0" w:type="dxa"/>
            </w:tcMar>
            <w:tcW w:w="7041" w:type="dxa"/>
            <w:vAlign w:val="center"/>
            <w:textDirection w:val="lrTb"/>
            <w:noWrap w:val="false"/>
          </w:tcPr>
          <w:p>
            <w:pPr>
              <w:contextualSpacing/>
              <w:jc w:val="both"/>
              <w:spacing w:line="480" w:lineRule="exact"/>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color w:val="000000"/>
                <w:sz w:val="24"/>
              </w:rPr>
              <w:t xml:space="preserve">☑</w:t>
            </w:r>
            <w:r>
              <w:rPr>
                <w:rFonts w:ascii="宋体" w:hAnsi="宋体" w:eastAsia="宋体" w:cs="宋体"/>
                <w:color w:val="000000"/>
                <w:sz w:val="24"/>
              </w:rPr>
              <w:t xml:space="preserve">不提交，</w:t>
            </w:r>
            <w:r>
              <w:rPr>
                <w:rFonts w:ascii="宋体" w:hAnsi="宋体" w:eastAsia="宋体" w:cs="宋体"/>
                <w:b/>
                <w:color w:val="000000"/>
                <w:sz w:val="24"/>
              </w:rPr>
              <w:t xml:space="preserve">招标文件中有关履约保证金的规定均不适用</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□提交</w:t>
            </w:r>
            <w:r/>
          </w:p>
        </w:tc>
      </w:tr>
      <w:tr>
        <w:trPr>
          <w:trHeight w:val="882"/>
        </w:trPr>
        <w:tc>
          <w:tcPr>
            <w:tcMar>
              <w:left w:w="108" w:type="dxa"/>
              <w:top w:w="0" w:type="dxa"/>
              <w:right w:w="108" w:type="dxa"/>
              <w:bottom w:w="0" w:type="dxa"/>
            </w:tcMar>
            <w:tcW w:w="75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w:t>
            </w:r>
            <w:r/>
          </w:p>
        </w:tc>
        <w:tc>
          <w:tcPr>
            <w:tcMar>
              <w:left w:w="108" w:type="dxa"/>
              <w:top w:w="0" w:type="dxa"/>
              <w:right w:w="108" w:type="dxa"/>
              <w:bottom w:w="0" w:type="dxa"/>
            </w:tcMar>
            <w:tcW w:w="155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签订合同</w:t>
            </w:r>
            <w:r/>
          </w:p>
        </w:tc>
        <w:tc>
          <w:tcPr>
            <w:tcMar>
              <w:left w:w="108" w:type="dxa"/>
              <w:top w:w="0" w:type="dxa"/>
              <w:right w:w="108" w:type="dxa"/>
              <w:bottom w:w="0" w:type="dxa"/>
            </w:tcMar>
            <w:tcW w:w="7041" w:type="dxa"/>
            <w:vAlign w:val="center"/>
            <w:textDirection w:val="lrTb"/>
            <w:noWrap w:val="false"/>
          </w:tcPr>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中标通知书发出之日起</w:t>
            </w:r>
            <w:r>
              <w:rPr>
                <w:rFonts w:ascii="宋体" w:hAnsi="宋体" w:eastAsia="宋体" w:cs="宋体"/>
                <w:color w:val="000000"/>
                <w:sz w:val="24"/>
                <w:u w:val="single"/>
              </w:rPr>
              <w:t xml:space="preserve"> 30 </w:t>
            </w:r>
            <w:r>
              <w:rPr>
                <w:rFonts w:ascii="宋体" w:hAnsi="宋体" w:eastAsia="宋体" w:cs="宋体"/>
                <w:color w:val="000000"/>
                <w:sz w:val="24"/>
              </w:rPr>
              <w:t xml:space="preserve">日内</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签订合同地点：泰州市发展和改革委员会</w:t>
            </w:r>
            <w:r/>
          </w:p>
        </w:tc>
      </w:tr>
      <w:tr>
        <w:trPr>
          <w:trHeight w:val="1384"/>
        </w:trPr>
        <w:tc>
          <w:tcPr>
            <w:tcMar>
              <w:left w:w="108" w:type="dxa"/>
              <w:top w:w="0" w:type="dxa"/>
              <w:right w:w="108" w:type="dxa"/>
              <w:bottom w:w="0" w:type="dxa"/>
            </w:tcMar>
            <w:tcW w:w="75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w:t>
            </w:r>
            <w:r/>
          </w:p>
        </w:tc>
        <w:tc>
          <w:tcPr>
            <w:tcMar>
              <w:left w:w="108" w:type="dxa"/>
              <w:top w:w="0" w:type="dxa"/>
              <w:right w:w="108" w:type="dxa"/>
              <w:bottom w:w="0" w:type="dxa"/>
            </w:tcMar>
            <w:tcW w:w="155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付款方式</w:t>
            </w:r>
            <w:r/>
          </w:p>
        </w:tc>
        <w:tc>
          <w:tcPr>
            <w:tcMar>
              <w:left w:w="108" w:type="dxa"/>
              <w:top w:w="0" w:type="dxa"/>
              <w:right w:w="108" w:type="dxa"/>
              <w:bottom w:w="0" w:type="dxa"/>
            </w:tcMar>
            <w:tcW w:w="7041" w:type="dxa"/>
            <w:vAlign w:val="center"/>
            <w:textDirection w:val="lrTb"/>
            <w:noWrap w:val="false"/>
          </w:tcPr>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合同签订后按年度支付，每个年度合同服务期满后</w:t>
            </w:r>
            <w:r>
              <w:rPr>
                <w:rFonts w:hint="eastAsia" w:ascii="宋体" w:hAnsi="宋体" w:eastAsia="宋体" w:cs="宋体"/>
                <w:color w:val="000000"/>
                <w:sz w:val="24"/>
              </w:rPr>
              <w:t xml:space="preserve">即支付年度</w:t>
            </w:r>
            <w:r>
              <w:rPr>
                <w:rFonts w:ascii="宋体" w:hAnsi="宋体" w:eastAsia="宋体" w:cs="宋体"/>
                <w:color w:val="000000"/>
                <w:sz w:val="24"/>
              </w:rPr>
              <w:t xml:space="preserve">费用</w:t>
            </w:r>
            <w:r>
              <w:rPr>
                <w:rFonts w:hint="eastAsia" w:ascii="宋体" w:hAnsi="宋体" w:eastAsia="宋体" w:cs="宋体"/>
                <w:color w:val="000000"/>
                <w:sz w:val="24"/>
              </w:rPr>
              <w:t xml:space="preserve">，</w:t>
            </w:r>
            <w:r>
              <w:rPr>
                <w:rFonts w:ascii="宋体" w:hAnsi="宋体" w:eastAsia="宋体" w:cs="宋体"/>
                <w:color w:val="000000"/>
                <w:sz w:val="24"/>
              </w:rPr>
              <w:t xml:space="preserve">发生调用或投放时待采购人委托的审计机构审计结束后下一年度支付。</w:t>
            </w:r>
            <w:r/>
          </w:p>
        </w:tc>
      </w:tr>
      <w:tr>
        <w:trPr>
          <w:trHeight w:val="1364"/>
        </w:trPr>
        <w:tc>
          <w:tcPr>
            <w:tcMar>
              <w:left w:w="108" w:type="dxa"/>
              <w:top w:w="0" w:type="dxa"/>
              <w:right w:w="108" w:type="dxa"/>
              <w:bottom w:w="0" w:type="dxa"/>
            </w:tcMar>
            <w:tcW w:w="75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w:t>
            </w:r>
            <w:r/>
          </w:p>
        </w:tc>
        <w:tc>
          <w:tcPr>
            <w:tcMar>
              <w:left w:w="108" w:type="dxa"/>
              <w:top w:w="0" w:type="dxa"/>
              <w:right w:w="108" w:type="dxa"/>
              <w:bottom w:w="0" w:type="dxa"/>
            </w:tcMar>
            <w:tcW w:w="155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中标服务费</w:t>
            </w:r>
            <w:r/>
          </w:p>
        </w:tc>
        <w:tc>
          <w:tcPr>
            <w:tcMar>
              <w:left w:w="108" w:type="dxa"/>
              <w:top w:w="0" w:type="dxa"/>
              <w:right w:w="108" w:type="dxa"/>
              <w:bottom w:w="0" w:type="dxa"/>
            </w:tcMar>
            <w:tcW w:w="7041" w:type="dxa"/>
            <w:vAlign w:val="center"/>
            <w:textDirection w:val="lrTb"/>
            <w:noWrap w:val="false"/>
          </w:tcPr>
          <w:p>
            <w:pPr>
              <w:contextualSpacing/>
              <w:ind w:firstLine="480"/>
              <w:jc w:val="both"/>
              <w:spacing w:before="200" w:after="20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招标代理费按照《关于印发&lt;江苏省政府采购代理服务收费指导意见&gt;的通知》（苏政采协〔2024〕20号）计取，上述费用考虑在本次投标报价中。</w:t>
            </w:r>
            <w:r/>
          </w:p>
        </w:tc>
      </w:tr>
      <w:tr>
        <w:trPr>
          <w:trHeight w:val="746"/>
        </w:trPr>
        <w:tc>
          <w:tcPr>
            <w:tcMar>
              <w:left w:w="108" w:type="dxa"/>
              <w:top w:w="0" w:type="dxa"/>
              <w:right w:w="108" w:type="dxa"/>
              <w:bottom w:w="0" w:type="dxa"/>
            </w:tcMar>
            <w:tcW w:w="75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w:t>
            </w:r>
            <w:r/>
          </w:p>
        </w:tc>
        <w:tc>
          <w:tcPr>
            <w:tcMar>
              <w:left w:w="108" w:type="dxa"/>
              <w:top w:w="0" w:type="dxa"/>
              <w:right w:w="108" w:type="dxa"/>
              <w:bottom w:w="0" w:type="dxa"/>
            </w:tcMar>
            <w:tcW w:w="155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w:t>
            </w:r>
            <w:r/>
          </w:p>
        </w:tc>
        <w:tc>
          <w:tcPr>
            <w:tcMar>
              <w:left w:w="108" w:type="dxa"/>
              <w:top w:w="0" w:type="dxa"/>
              <w:right w:w="108" w:type="dxa"/>
              <w:bottom w:w="0" w:type="dxa"/>
            </w:tcMar>
            <w:tcW w:w="7041" w:type="dxa"/>
            <w:vAlign w:val="center"/>
            <w:textDirection w:val="lrTb"/>
            <w:noWrap w:val="false"/>
          </w:tcPr>
          <w:p>
            <w:pPr>
              <w:contextualSpacing/>
              <w:jc w:val="both"/>
              <w:spacing w:before="200" w:after="20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解释：本文件的解释权属于采购人（或代理机构）。</w:t>
            </w:r>
            <w:r/>
          </w:p>
        </w:tc>
      </w:tr>
    </w:tbl>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一、说明和释义</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1.说明  </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1.1本招标文件仅适用于江苏建协全过程工程咨询有限公司组织的招标活动。</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1.2本次招标活动及因本次招标产生的合同受中国法律制约和保护。</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1.3本招标文件的解释权属于采购人（或代理机构）。</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2.词语释义</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2.1采购人：指依法进行采购的国家机关、事业单位、团体组织。</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2.2供应商、投标人：指向采购人提供货物、工程或服务的法人、其他组织或者自然人，不包括其分公司。</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2.3采购代理机构：指依法接受采购人委托，从事货物、工程和服务等采购招标代理业务的社会中介机构。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2.4招标采购单位：采购人及采购代理机构的统称。</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2.5评标委员会：是指在招标投标和采购活动中，依法由采购人代表和有关技术、经济等方面的专家组建，负责对投标文件进行评审并提出评审意见的临时性权威机构。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2.6响应：投标人根据采购人或采购代理机构发售的招标文件，编制投标文件并按规定投标的行为。</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2.7知识产权：指专利权、商标权、著作权等无形财产专有权的统称。</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2.8天：日历天。</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2.9服务地点：合同中明确约定的乙方履行服务的最终地点。</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2.10不可抗力：不能预见、不能避免并且不能克服的客观情况。</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2.11实质性响应：满足有关本次采购标的、数量、质量、价款或者报酬、履行期限、履行地点和方式、违约责任和解决争议方法等要求。</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2.12书面形式：指书面文字、合同书、信件等可以有形地表现所载内容的形式。</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二、投标人</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3.合格投标人资格要求</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3.1详见投标人须知前附表规定。</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4.投标人应在江苏政府采购“苏采云”系统（http://jszfcg.jsczt.cn/下同）下载招标文件及有关资料，按招标文件要求提交全部资料并对招标文件各项内容做出实质性响应。</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5.投标人代表</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5.1指全权代表投标人参加投标活动并签署投标文件的人，如果投标人代表不是法人代表，须持有《法人代表授权委托书》（详见统一格式）。</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6.不接受联合体投标。</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7.投标人有下列情形之一的不能参加本次投标：</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（1）因重大经济问题正在接受国家有关部门审查的；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（2）正在被其他企业兼并（或收购）或因重大经济纠纷正在进行诉讼或仲裁的；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（3）因腐败和欺诈行为而被有关部门处理的。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（4）被责令停业的； </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（5）被暂停或取消投标资格的； </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（6）财产被接管或冻结的；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（7）在最近三年内有骗取中标或严重违约或重大工程质量问题的；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（8）在投标过程中弄虚作假、行贿或有其他违法违规行为的；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（9）违反法律法规相关规定的。</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三、招标文件说明</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8.招标文件</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9.现场考察 </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9.1投标人应按招标文件中所述时间对有关现场和周围环境进行认真充分的考察，以获取编制投标文件和签署合同所需的信息。考察现场所发生的费用由投标人自己承担。</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9.2招标采购单位向投标人提供的有关现场的资料和数据，是招标采购单位现有的并认为能使投标人可利用的资料。招标采购单位对投标人由此而做出的推论、理解和结论概不负责。</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9.3经招标采购单位允许，投标人可为考察目的进入招标采购单位的项目现场，但投标人不得因此使招标采购单位承担有关的责任和蒙受损失。投标人应承担考察现场的责任和风险。</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10.招标文件的澄清和修改</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10.1投标人在购买招标文件后，若有问题需要询问和澄清，应于前附表规定的时间提出。</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10.2如需召开投标答疑会的，招标采购单位将按前附表规定的时间、地点召开招标答疑会。</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10.3迟于前附表规定时间的询问和提交的疑问，采购人和采购代理机构有权拒绝回答，也不承担由此带来的对投标人投标结果的影响。</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10.5为使投标人有足够的时间按招标文件的修改要求考虑修正投标文件，或出于其他原因，招标采购单位有权推迟投标截止日期和开标日期，将此变更通知所有招标文件的收受人。</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10.6招标文件的更正（含澄清、修改等）内容与原招标文件在同一内容上表述不一致时，以发出日期最接近开标时间的公告为准。</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10.7招标文件的更正（含澄清、修改等）内容将作为招标文件的组成部分，对投标人起约束作用。</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四、投标文件说明</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11.投标文件计量单位和使用文字</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11.1投标文件中所使用的计量单位，除招标文件中有特殊要求外，均应使用中华人民共和国法定计量单位。</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11.3投标人应当同时凭CA数字证书登录“江苏政府采购“苏采云”系统”，并在投标截止时间前上传电子投标文件。</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12.知识产权</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13.投标文件的组成</w:t>
      </w:r>
      <w:r/>
    </w:p>
    <w:p>
      <w:pPr>
        <w:contextualSpacing/>
        <w:ind w:firstLine="480"/>
        <w:jc w:val="both"/>
        <w:spacing w:line="480" w:lineRule="exact"/>
        <w:tabs>
          <w:tab w:val="left" w:pos="525" w:leader="none"/>
          <w:tab w:val="left" w:pos="94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1.投标函（格式见附件）</w:t>
      </w:r>
      <w:r/>
    </w:p>
    <w:p>
      <w:pPr>
        <w:contextualSpacing/>
        <w:ind w:firstLine="480"/>
        <w:jc w:val="both"/>
        <w:spacing w:line="480" w:lineRule="exact"/>
        <w:tabs>
          <w:tab w:val="left" w:pos="525" w:leader="none"/>
          <w:tab w:val="left" w:pos="94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2.资格、资信等证明文件：</w:t>
      </w:r>
      <w:r/>
    </w:p>
    <w:p>
      <w:pPr>
        <w:contextualSpacing/>
        <w:ind w:firstLine="480"/>
        <w:spacing w:before="240" w:after="240" w:line="480" w:lineRule="exact"/>
        <w:tabs>
          <w:tab w:val="left" w:pos="127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（1）关于资格的声明函（格式见附件）</w:t>
      </w:r>
      <w:r/>
    </w:p>
    <w:p>
      <w:pPr>
        <w:contextualSpacing/>
        <w:ind w:firstLine="480"/>
        <w:spacing w:before="240" w:after="240" w:line="480" w:lineRule="exact"/>
        <w:tabs>
          <w:tab w:val="left" w:pos="127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（2）具有独立承担民事责任的能力：法人或其他组织的营业执照或相关部门的登记证明文件扫描件； </w:t>
      </w:r>
      <w:r/>
    </w:p>
    <w:p>
      <w:pPr>
        <w:contextualSpacing/>
        <w:ind w:firstLine="480"/>
        <w:spacing w:before="240" w:after="240" w:line="480" w:lineRule="exact"/>
        <w:tabs>
          <w:tab w:val="left" w:pos="127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（3）投标人法定代表人授权委托书（格式见附件，法定代表人亲自参加投标的提供法定代表人身份证扫描件）、投标人法定代表人授权代表身份证扫描件（法定代表人亲自参加投标的除外）；</w:t>
      </w:r>
      <w:r/>
    </w:p>
    <w:p>
      <w:pPr>
        <w:contextualSpacing/>
        <w:ind w:firstLine="480"/>
        <w:spacing w:before="240" w:after="240" w:line="480" w:lineRule="exact"/>
        <w:tabs>
          <w:tab w:val="left" w:pos="127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有良好的商业信誉和健全的财务会计制度：提供投标人近六个月中任意一个月份（不含投标文件递交当月）的财务状况报告（资产负债表和利润表）或由会计师事务所出具的近两年中任意一个年度的审计报告扫描件；其他组织、自然人及成立未满一年的法人应提供银行出具的资信证明扫描件；</w:t>
      </w:r>
      <w:r/>
    </w:p>
    <w:p>
      <w:pPr>
        <w:contextualSpacing/>
        <w:ind w:firstLine="480"/>
        <w:spacing w:before="240" w:after="240" w:line="480" w:lineRule="exact"/>
        <w:tabs>
          <w:tab w:val="left" w:pos="127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有依法缴纳税收和社会保障资金的良好记录：提供投标人近六个月中任意一个月份（不含投标文件递交当月）依法缴纳税收及缴纳社会保障资金的证明材料扫描件。投标人依法享受缓缴、免缴税收、社会保障资金的提供证明材料扫描件；</w:t>
      </w:r>
      <w:r/>
    </w:p>
    <w:p>
      <w:pPr>
        <w:contextualSpacing/>
        <w:ind w:firstLine="480"/>
        <w:spacing w:before="240" w:after="240" w:line="480" w:lineRule="exact"/>
        <w:tabs>
          <w:tab w:val="left" w:pos="127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（6）承诺书（格式见附件）；</w:t>
      </w:r>
      <w:r/>
    </w:p>
    <w:p>
      <w:pPr>
        <w:contextualSpacing/>
        <w:ind w:firstLine="480"/>
        <w:spacing w:before="240" w:after="240" w:line="480" w:lineRule="exact"/>
        <w:tabs>
          <w:tab w:val="left" w:pos="127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（7）本项目的特定资格要求（详见招标公告，提供证明材料扫描件）。</w:t>
      </w:r>
      <w:r/>
    </w:p>
    <w:p>
      <w:pPr>
        <w:contextualSpacing/>
        <w:ind w:firstLine="480"/>
        <w:spacing w:before="240" w:after="240" w:line="480" w:lineRule="exact"/>
        <w:tabs>
          <w:tab w:val="left" w:pos="127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3.开标一览表（格式见附件）</w:t>
      </w:r>
      <w:r/>
    </w:p>
    <w:p>
      <w:pPr>
        <w:contextualSpacing/>
        <w:ind w:firstLine="480"/>
        <w:jc w:val="both"/>
        <w:spacing w:line="480" w:lineRule="exact"/>
        <w:tabs>
          <w:tab w:val="left" w:pos="525" w:leader="none"/>
          <w:tab w:val="left" w:pos="94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4.投标报价明细表（格式见附件）</w:t>
      </w:r>
      <w:r/>
    </w:p>
    <w:p>
      <w:pPr>
        <w:contextualSpacing/>
        <w:ind w:firstLine="480"/>
        <w:jc w:val="both"/>
        <w:spacing w:line="480" w:lineRule="exact"/>
        <w:tabs>
          <w:tab w:val="left" w:pos="525" w:leader="none"/>
          <w:tab w:val="left" w:pos="94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5.商务偏离表（格式见附件）</w:t>
      </w:r>
      <w:r/>
    </w:p>
    <w:p>
      <w:pPr>
        <w:contextualSpacing/>
        <w:ind w:firstLine="480"/>
        <w:jc w:val="both"/>
        <w:spacing w:line="480" w:lineRule="exact"/>
        <w:tabs>
          <w:tab w:val="left" w:pos="525" w:leader="none"/>
          <w:tab w:val="left" w:pos="94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6.技术偏离表（格式见附件）</w:t>
      </w:r>
      <w:r/>
    </w:p>
    <w:p>
      <w:pPr>
        <w:contextualSpacing/>
        <w:ind w:firstLine="480"/>
        <w:jc w:val="both"/>
        <w:spacing w:line="480" w:lineRule="exact"/>
        <w:tabs>
          <w:tab w:val="left" w:pos="525" w:leader="none"/>
          <w:tab w:val="left" w:pos="94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7.评分标准中对应的其他所需证明材料（如有自行添加）</w:t>
      </w:r>
      <w:r/>
    </w:p>
    <w:p>
      <w:pPr>
        <w:contextualSpacing/>
        <w:ind w:firstLine="480"/>
        <w:jc w:val="both"/>
        <w:spacing w:line="480" w:lineRule="exact"/>
        <w:tabs>
          <w:tab w:val="left" w:pos="525" w:leader="none"/>
          <w:tab w:val="left" w:pos="945"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8.其他（投标人认为有必要提供的声明和文件，如有自拟并自行添加</w:t>
      </w:r>
      <w:r>
        <w:rPr>
          <w:rFonts w:hint="eastAsia" w:ascii="宋体" w:hAnsi="宋体" w:eastAsia="宋体" w:cs="宋体"/>
          <w:color w:val="000000"/>
          <w:sz w:val="24"/>
        </w:rPr>
        <w:t xml:space="preserve">,</w:t>
      </w:r>
      <w:r>
        <w:rPr>
          <w:rFonts w:ascii="宋体" w:hAnsi="宋体" w:eastAsia="宋体"/>
          <w:color w:val="000000" w:themeColor="text1"/>
          <w:sz w:val="24"/>
          <w:szCs w:val="24"/>
        </w:rPr>
        <w:t xml:space="preserve">例如投标(响应)报价低于采购项目最高限价 45%的，即投标(响应)报价&lt;采购项目最高限价× 45%;提交相关书面说明及必要的证明材料，上传此处即可</w:t>
      </w:r>
      <w:r>
        <w:rPr>
          <w:rFonts w:hint="eastAsia" w:ascii="宋体" w:hAnsi="宋体" w:eastAsia="宋体"/>
          <w:color w:val="000000" w:themeColor="text1"/>
          <w:sz w:val="24"/>
          <w:szCs w:val="24"/>
        </w:rPr>
        <w:t xml:space="preserve">）。</w:t>
      </w:r>
      <w:r/>
    </w:p>
    <w:p>
      <w:pPr>
        <w:contextualSpacing/>
        <w:ind w:firstLine="480"/>
        <w:jc w:val="both"/>
        <w:spacing w:line="480" w:lineRule="exact"/>
        <w:tabs>
          <w:tab w:val="left" w:pos="2850" w:leader="none"/>
          <w:tab w:val="left" w:pos="415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上述1-6项投标人必须按要求全部提供并签章，否则投标文件无效。如上述资格证明文件遇年检、换证，则必须提供法定年检、换证单位出具的有效证明扫描件。如上述资格证明文件第（4）（5）两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14.投标文件编制及递交要求</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14.1所有文件、往来函件均应使用简体中文（规格、型号辅助符号例外）。</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14.2投标文件由投标人按要求参考给定格式如实填写（编写），须有投标人（盖章）、法定代表人或法定代表人授权代表签字或盖章，方为有效，未尽事宜可自行补充。</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14.3如无特别说明，投标人报价一律以人民币为投标结算货币，结算单位为“元”。</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14.4投标文件不应有涂改、增删和潦草之处，如有必须修改时，修改处必须有投标人盖章、法定代表人或法定代表人授权代表的签字。</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14.5投标费用自理。</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14.6投标人应当同时凭CA数字证书登录“江苏政府采购“苏采云”系统”，并在投标截止时间前上传电子投标文件。</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15.投标报价（编制）要求的说明</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人对《开标一览表》中的全部服务的报价应包括在本项目合同期内所需要的全部费用，包括但不限于所需要的人工费、材料费、施工机具使用费、各项保险费（含人员意外保险）、管理费、利润、规费、税金、有关文件规定的政策性调价等以及各种可能发生的风险费用以及招标文件约定的其他等各项费用。</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15.2投标人应对招标文件内所要采购的全部内容进行报价，只投其中部分内容者，其标书将被拒绝。</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15.3一项投标内容只允许一个报价，采购单位不接受任何有选择性的投标报价。</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15.4投标文件报价中的单价和总价全部采用人民币表示，除非合同的特殊条款另有规定。</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16.投标保证金</w:t>
      </w:r>
      <w:r/>
    </w:p>
    <w:p>
      <w:pPr>
        <w:contextualSpacing/>
        <w:ind w:firstLine="480"/>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依据苏财购〔2020〕52号文件精神，本项目免收投标保证金。 </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17.投标文件的有效期</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17.1在本招标文件前附表规定的投标文件有效期内，投标人所提交的投标文件应保持有效。有效期短于这个规定期限的投标文件，将被认定为未实质性响应招标文件要求。</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18.投标文件的拒收</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采购人拒绝接收在其规定的投标截止时间后上传的任何投标文件。</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五、投标文件的递交</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19.投标文件的递交</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19.1电子投标文件的递交</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投标人应当按照《江苏省政府采购管理交易系统（苏采云）供应商操作手册及政府采购客户端》规定，在投标截止时间前制作并上传电子投标文件。</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20.投标截止日期</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20.2采购人可以按照规定，通过修改招标文件酌情延长投标截止日期，在此情况下，投标人的所有权利和义务以及投标人受制的截止日期均应以延长后新的截止日期为准。</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21.投标文件的修改和撤回</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21.1投标文件的撤回</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投标人可在投标截止时间前，撤回其电子投标文件，具体操作方法见《江苏省政府采购管理交易系统（苏采云）供应商操作手册及政府采购客户端》。</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 投标文件的修改</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投标人可在投标截止时间前，对其电子投标文件进行修改，具体操作方法见《江苏省政府采购管理交易系统（苏采云）供应商操作手册及政府采购客户端》。</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21.3在投标截止时间之后，投标人不得对其电子投标文件作任何修改。</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六、开标和评标</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22.开标</w:t>
      </w:r>
      <w:r/>
    </w:p>
    <w:p>
      <w:pPr>
        <w:contextualSpacing/>
        <w:ind w:firstLine="480"/>
        <w:jc w:val="both"/>
        <w:spacing w:line="480" w:lineRule="exact"/>
        <w:tabs>
          <w:tab w:val="left" w:pos="4479"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22.1采购人将在招标公告中规定的时间和地点组织公开开标。投标人应当按照《江苏省政府采购管理交易系统（苏采云）供应商操作手册及政府采购客户端》规定，参加开标活动。</w:t>
      </w:r>
      <w:r/>
    </w:p>
    <w:p>
      <w:pPr>
        <w:contextualSpacing/>
        <w:ind w:firstLine="480"/>
        <w:jc w:val="both"/>
        <w:spacing w:line="480" w:lineRule="exact"/>
        <w:tabs>
          <w:tab w:val="left" w:pos="4479"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22.2开标仪式由采购代理机构组织。“江苏政府采购“苏采云”系统”将自动对项目进行开标，并宣读各投标人的《开标一览表》。</w:t>
      </w:r>
      <w:r/>
    </w:p>
    <w:p>
      <w:pPr>
        <w:contextualSpacing/>
        <w:ind w:firstLine="480"/>
        <w:jc w:val="both"/>
        <w:spacing w:line="480" w:lineRule="exact"/>
        <w:tabs>
          <w:tab w:val="left" w:pos="4479"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contextualSpacing/>
        <w:ind w:firstLine="480"/>
        <w:jc w:val="both"/>
        <w:spacing w:line="480" w:lineRule="exact"/>
        <w:tabs>
          <w:tab w:val="left" w:pos="4479"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contextualSpacing/>
        <w:ind w:firstLine="480"/>
        <w:jc w:val="both"/>
        <w:spacing w:line="480" w:lineRule="exact"/>
        <w:tabs>
          <w:tab w:val="left" w:pos="4479"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22.5开标时，投标文件中开标一览表内容与投标文件中明细表内容不一致的，以开标一览表为准。</w:t>
      </w:r>
      <w:r/>
    </w:p>
    <w:p>
      <w:pPr>
        <w:contextualSpacing/>
        <w:ind w:firstLine="480"/>
        <w:jc w:val="both"/>
        <w:spacing w:line="480" w:lineRule="exact"/>
        <w:tabs>
          <w:tab w:val="left" w:pos="4479"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contextualSpacing/>
        <w:ind w:firstLine="480"/>
        <w:jc w:val="both"/>
        <w:spacing w:line="480" w:lineRule="exact"/>
        <w:tabs>
          <w:tab w:val="left" w:pos="4479"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22.6投标人未参加开标的，视同认可开标结果。</w:t>
      </w:r>
      <w:r/>
    </w:p>
    <w:p>
      <w:pPr>
        <w:contextualSpacing/>
        <w:ind w:firstLine="482"/>
        <w:jc w:val="both"/>
        <w:spacing w:line="480" w:lineRule="exact"/>
        <w:tabs>
          <w:tab w:val="left" w:pos="4479"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23.评标委员会</w:t>
      </w:r>
      <w:r>
        <w:rPr>
          <w:rFonts w:ascii="宋体" w:hAnsi="宋体" w:eastAsia="宋体" w:cs="宋体"/>
          <w:b/>
          <w:color w:val="000000"/>
          <w:sz w:val="24"/>
        </w:rPr>
        <w:tab/>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23.1评标委员会由招标采购单位依法组建，负责本项目的评标事务。</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23.2评标委员会应当独立履行下列职责：</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23.2.1审查投标文件是否符合招标文件的要求，并作出评价；</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23.2.2可以要求投标供应商对投标文件有关事项作出解释或澄清；</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23.2.3推荐中标候选供应商名单，或者受采购人委托按照事先确定的办法直接确定中标供应商；</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23.2.4向招标采购单位或者有关部门报告非法干预评标工作的行为。</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23.3评标委员会成员应当履行下列义务：</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23.3.1遵纪守法，客观、公正、廉洁地履行职责；</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23.3.2按照招标文件规定的评标办法和评标标准进行评标，对评审意见承担个人责任；</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23.3.3对评标过程和结果，以及投标人的商业秘密保密；</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23.3.4参与评标报告的起草；</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23.3.5配合相关部门的投诉处理工作；</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23.3.6配合招标采购单位答复投标供应商提出的质疑。</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24.评标内容的保密</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24.1公开开标后，直到宣布授予中标人合同为止，凡属于审查、澄清、评价和比较投标的所有资料，有关授予合同的信息都不应向投标人或与评标无关的其他人泄露。</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24.2在投标文件的审查、澄清、评价和比较以及授予合同的过程中，投标人对招标采购单位和评标委员会成员施加影响的任何行为，都将取消其投标资格。</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24.3在评标期间，招标采购单位将通过指定联络人与投标人进行联系。</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25.对投标文件进行初审</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25.1投标文件初审分为资格性检查和符合性检查。</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25.1.1资格性检查。依据法律法规和招标文件的规定，对投标文件中的资格证明、投标保证金等进行审查，以确定投标供应商是否具备投标资格。</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25.1.2符合性检查。依据招标文件的规定，从投标文件的有效性、完整性和对招标文件的响应程度进行审查，以确定是否对招标文件的实质性要求作出响应。</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投标人有下列情况之一的，投标文件无效：</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1）投标人未在规定时间内成功解密电子投标文件的；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2）投标人未按照招标文件要求上传电子投标文件的；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3）投标文件未按照招标文件要求加盖电子签章或签署的；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4）投标人的法定代表人授权代表，无法定代表人授权委托书的；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5）不具备招标文件中规定的资格要求或未按招标文件规定的要求提供资格、资信证明文件的；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6）被“信用中国”网站（www.creditchina.gov.cn）列入失信被执行人、重大税收违法案件当事人名单、政府采购严重违法失信行为记录名单的；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7）投标文件未按招标文件规定的内容和要求填写的；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8）投标文件中有招标文件未允许提供的选择性内容的；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9）不同投标人的投标文件由同一单位或者个人编制的；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10）不同投标人委托同一单位或者个人办理投标事宜的（包含使用同一MAC地址的计算机提交或者解密电子投标文件的情形）；</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11）不同的投标人投标文件制作的MAC地址一致的；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12）不同投标人的投标文件载明的项目管理成员或者联系人员为同一人的；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13）不同投标人的投标文件异常一致或者投标报价呈规律性差异的；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14）不同投标人的单位负责人为同一人或者存在直接控股、管理关系的；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15）项目（标段）投标总价或单价超过本项目（标段）预算金额或最高限价的；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16）不同投标人的履约保证金从同一单位或者个人账户转出的、购买履约保证保险单的费用从同一单位转出或由同一个人账户支付的；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17）投标文件含有采购人不能接受的附加条件的；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评标委员会认定投标人的报价明显低于其他通过符合性审查的投标人的报价，有可能影响产品质量或者不能诚信履约，且投标人不能应评标委员会要求在合理的时间内提供书面说明（必要时评标委员会可要求投标人提交相关证明材料）证明其报价合理性的，具体可根据《关于推动解决政府采购异常低价问题相关工作的通知》（苏财购〔2025〕62号）文件精神执行。</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19）除单一来源采购项目外，为采购项目提供整体设计、规范编制或者项目管理、监理、检测等服务的；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20）投标文件内容不全或不符合招标文件中规定的其他实质性要求的；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21）改变招标文件中规定的应急措施处置费的；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22）改变招标文件清单给出的名称、实施范围、工作内容、计量单位、工程量、养护等级等；</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23）提供虚假材料的；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24）法律、法规和招标文件规定的其他无效情形。</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25.5招标采购单位对投标文件的判定，只依据投标内容本身，不依靠开标后的任何外来证明。</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25.6招标采购单位将拒绝被确定为非实质性响应的投标，投标人不能通过修正或撤销不符之处而使其投标成为实质性响应的投标。</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26.投标文件的澄清</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26.1对投标文件中含义不明确</w:t>
      </w:r>
      <w:r>
        <w:rPr>
          <w:rFonts w:ascii="宋体" w:hAnsi="宋体" w:eastAsia="宋体" w:cs="宋体"/>
          <w:color w:val="000000"/>
          <w:sz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27.废标</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在招标采购中，出现下列情形之一的，应予废标：</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1.符合专业条件的投标人或者对招标文件作出实质性响应的投标人不足三家；</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2.出现影响采购公正的违法、违规行为；</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3.投标人的报价均超过采购预算，采购人不能支付的；</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4.因重大变故，采购任务取消；</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5.因“江苏政府采购“苏采云”系统”系统重大故障原因无法继续开评标的。</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28.投标文件的评价和比较</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28.1评标委员会按招标文件规定的评标方法和标准，对符合性检查合格的投标文件进行商务和技术评估，综合比较与评价。</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28.2最低的投标报价或最高的折扣比例是中标的重要条件，但不是唯一条件。</w:t>
      </w:r>
      <w:r/>
    </w:p>
    <w:p>
      <w:pPr>
        <w:pStyle w:val="833"/>
        <w:ind w:left="260" w:firstLine="240"/>
        <w:spacing w:line="360" w:lineRule="auto"/>
        <w:rPr>
          <w:rFonts w:hint="eastAsia" w:ascii="宋体" w:hAnsi="宋体" w:eastAsia="宋体"/>
          <w:szCs w:val="24"/>
        </w:rPr>
      </w:pPr>
      <w:r>
        <w:rPr>
          <w:rFonts w:hint="eastAsia" w:ascii="宋体" w:hAnsi="宋体" w:eastAsia="宋体"/>
          <w:szCs w:val="24"/>
        </w:rPr>
        <w:t xml:space="preserve">28.3关于异常低价的审查：</w:t>
      </w:r>
      <w:r/>
    </w:p>
    <w:p>
      <w:pPr>
        <w:pStyle w:val="833"/>
        <w:ind w:firstLine="480"/>
        <w:spacing w:line="360" w:lineRule="auto"/>
        <w:rPr>
          <w:rFonts w:hint="eastAsia" w:ascii="宋体" w:hAnsi="宋体" w:eastAsia="宋体" w:cs="宋体"/>
          <w:szCs w:val="24"/>
        </w:rPr>
      </w:pPr>
      <w:r>
        <w:rPr>
          <w:rFonts w:hint="eastAsia" w:ascii="宋体" w:hAnsi="宋体" w:eastAsia="宋体"/>
          <w:szCs w:val="24"/>
        </w:rPr>
        <w:t xml:space="preserve">28.3.1</w:t>
      </w:r>
      <w:r>
        <w:rPr>
          <w:rFonts w:hint="eastAsia" w:ascii="宋体" w:hAnsi="宋体" w:eastAsia="宋体" w:cs="宋体"/>
          <w:szCs w:val="24"/>
        </w:rPr>
        <w:t xml:space="preserve">根据财库〔2026〕2号《财政部关于推动解决政府采购异常低价问题的通知》文件要求，政府采购评审中出现下列情形之一的，评审委员会应当启动异常低价投标（响应）审查程序：</w:t>
      </w:r>
      <w:r/>
    </w:p>
    <w:p>
      <w:pPr>
        <w:pStyle w:val="833"/>
        <w:ind w:firstLine="480"/>
        <w:spacing w:line="360" w:lineRule="auto"/>
        <w:rPr>
          <w:rFonts w:hint="eastAsia" w:ascii="宋体" w:hAnsi="宋体" w:eastAsia="宋体"/>
          <w:szCs w:val="24"/>
        </w:rPr>
      </w:pPr>
      <w:r>
        <w:rPr>
          <w:rFonts w:hint="eastAsia" w:ascii="宋体" w:hAnsi="宋体" w:eastAsia="宋体"/>
          <w:szCs w:val="24"/>
        </w:rPr>
        <w:t xml:space="preserve">①投标（响应）报价低于全部通过符合性审查供应商投标（响应）报价平均值50%的，即投标（响应）报价&lt;全部通过符合性审查供应商投标（响应）报价平均值×50%；</w:t>
      </w:r>
      <w:r/>
    </w:p>
    <w:p>
      <w:pPr>
        <w:pStyle w:val="833"/>
        <w:ind w:firstLine="480"/>
        <w:spacing w:line="360" w:lineRule="auto"/>
        <w:rPr>
          <w:rFonts w:hint="eastAsia" w:ascii="宋体" w:hAnsi="宋体" w:eastAsia="宋体"/>
          <w:szCs w:val="24"/>
        </w:rPr>
      </w:pPr>
      <w:r>
        <w:rPr>
          <w:rFonts w:hint="eastAsia" w:ascii="宋体" w:hAnsi="宋体" w:eastAsia="宋体"/>
          <w:szCs w:val="24"/>
        </w:rPr>
        <w:t xml:space="preserve">②投标（响应）报价低于通过符合性审查的次低报价供应商投标（响应）报的50%的，即投标（响应）报价&lt;通过符合性审查的次低报价供应商投标（响应）报价×50%；</w:t>
      </w:r>
      <w:r/>
    </w:p>
    <w:p>
      <w:pPr>
        <w:pStyle w:val="833"/>
        <w:ind w:firstLine="480"/>
        <w:spacing w:line="360" w:lineRule="auto"/>
        <w:rPr>
          <w:rFonts w:hint="eastAsia" w:ascii="宋体" w:hAnsi="宋体" w:eastAsia="宋体"/>
          <w:szCs w:val="24"/>
        </w:rPr>
      </w:pPr>
      <w:r>
        <w:rPr>
          <w:rFonts w:hint="eastAsia" w:ascii="宋体" w:hAnsi="宋体" w:eastAsia="宋体"/>
          <w:szCs w:val="24"/>
        </w:rPr>
        <w:t xml:space="preserve">③投标（响应）报价低于采购项目最高限价45%的，即投标（响应）报价&lt;采购项目最高限价×45%；</w:t>
      </w:r>
      <w:r/>
    </w:p>
    <w:p>
      <w:pPr>
        <w:pStyle w:val="833"/>
        <w:ind w:firstLine="480"/>
        <w:spacing w:line="360" w:lineRule="auto"/>
        <w:rPr>
          <w:rFonts w:hint="eastAsia" w:ascii="宋体" w:hAnsi="宋体" w:eastAsia="宋体"/>
          <w:szCs w:val="24"/>
        </w:rPr>
      </w:pPr>
      <w:r>
        <w:rPr>
          <w:rFonts w:hint="eastAsia" w:ascii="宋体" w:hAnsi="宋体" w:eastAsia="宋体"/>
          <w:szCs w:val="24"/>
        </w:rPr>
        <w:t xml:space="preserve">④评审委员会基于专业判断，认为供应商报价过低，有可能影响产品质量或者不能诚信履约的其他情形。</w:t>
      </w:r>
      <w:r/>
    </w:p>
    <w:p>
      <w:pPr>
        <w:pStyle w:val="833"/>
        <w:ind w:firstLine="480"/>
        <w:spacing w:line="360" w:lineRule="auto"/>
        <w:rPr>
          <w:rFonts w:hint="eastAsia" w:ascii="宋体" w:hAnsi="宋体" w:eastAsia="宋体"/>
          <w:szCs w:val="24"/>
        </w:rPr>
      </w:pPr>
      <w:r>
        <w:rPr>
          <w:rFonts w:hint="eastAsia" w:ascii="宋体" w:hAnsi="宋体" w:eastAsia="宋体"/>
          <w:szCs w:val="24"/>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pStyle w:val="833"/>
        <w:ind w:firstLine="480"/>
        <w:spacing w:line="360" w:lineRule="auto"/>
        <w:rPr>
          <w:rFonts w:hint="eastAsia" w:ascii="宋体" w:hAnsi="宋体" w:eastAsia="宋体"/>
          <w:szCs w:val="24"/>
        </w:rPr>
      </w:pPr>
      <w:r>
        <w:rPr>
          <w:rFonts w:hint="eastAsia" w:ascii="宋体" w:hAnsi="宋体" w:eastAsia="宋体"/>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29.质疑处理</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 提出质疑的投标人应当是参与所质疑项目采购活动的供应商。潜在供应商依法获取其可质疑的采购文件的，可以对采购文件提出质疑。</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29.2.1对可以质疑的采购文件提出质疑的，为收到采购文件之日或者采购文件公告期限届满之日；</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29.2.2对采购过程提出质疑的，为各采购程序环节结束之日；</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29.2.3对中标结果提出质疑的，为中标结果公告期限届满之日。</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质疑函必须按照江苏政府采购网中《质疑函范本》要求的格式和内容进行填写。供应商如组成联合体参加投标，在《质疑函范本》中要求签字、盖章、加盖公章之处，联合体各方均须按要求签字、盖章、加盖公章。</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29.4采购人及采购代理机构只接受以纸质原件形式送达的质疑。质疑接收人及联系方式见招标文件第一章。</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 以下情形的质疑不予受理</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29.5.1内容不符合《政府采购质疑和投诉办法》第十二条规定的质疑。</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29.5.2超出政府采购法定期限的质疑。</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29.5.3以传真、电子邮件等方式递交的非原件形式的质疑。</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29.5.4未参加投标活动的供应商或在投标活动中自身权益未受到损害的供应商所提出的质疑。</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29.5.5供应商组成联合体参加投标，联合体中任何一方或多方未按要求签字、盖章、加盖公章的质疑。</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七、授予合同</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30.中标人的确认</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30.1评标委员会按招标文件规定的评标方法和标准进行详细评审后，按招标采购单位的委托向招标采购单位推荐中标候选单位或根据采购人授权直接确定中标供应商。</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30.2中标无效的确认：</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（1）提供虚假材料谋取中标的；</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（2）采取不正当手段诋毁、排挤其他投标人的；</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（3）与招标采购单位、其他投标人恶意串通的；</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（4）向招标采购单位行贿或者提供其他不正当利益的；</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（5）在招标过程中与招标采购单位进行协商谈判、不按照招标文件和中标供应商的投标文件订立合同，或者与采购人另行订立背离合同实质性内容的协议的；</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（6）拒绝有关部门监督检查或者提供虚假情况的。</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30.3经评标委员</w:t>
      </w:r>
      <w:r>
        <w:rPr>
          <w:rFonts w:ascii="宋体" w:hAnsi="宋体" w:eastAsia="宋体" w:cs="宋体"/>
          <w:color w:val="000000"/>
          <w:sz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31.合同授予标准</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31.1招标采购单位将把合同授予其投标文件在实质上响应招标文件要求且综合评分得分最高的投标人。</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32.中标通知书</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32.2中标通知书将成为合同的组成部分。</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32.3招标采购单位对未中标供应商不承担解释未中标原因的义务。</w:t>
      </w:r>
      <w:r/>
    </w:p>
    <w:p>
      <w:pPr>
        <w:contextualSpacing/>
        <w:ind w:firstLine="482"/>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特别说明：中标供应商在接收成交通知书后须提供3套加盖红章的系统内打印的纸质响应文件给采购代理机构。</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33.履约保证金</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33.1中标人应按规定提交履约保证金。</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33.2中标人必须在合同签订前按规定向采购人缴纳履约保证金。中标人未按招标文件要求提交履约保证金的，采购人可取消其中标资格。</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33.3履约保证金（无息）将在合同期结束且经双方验收合格后无息退还给中标单位。</w:t>
      </w:r>
      <w:r/>
    </w:p>
    <w:p>
      <w:pPr>
        <w:contextualSpacing/>
        <w:ind w:firstLine="480"/>
        <w:jc w:val="both"/>
        <w:spacing w:line="480" w:lineRule="exac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33.3履约保证金用以约束供应商在合同履行中的行为，弥补合同执行中由于自身行为可能给采购人带来的各种损失。</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34.合同的签订</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34.1中标人应按中标通知书中规定的时间和地点，由法定代表人或委托代理人与采购人代表签订合同。</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34.2签订合同及合同条款应以招标文件和中标人的投标文件及其澄清文件为依据。</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34.3中标人无正当理由拒签合同的，或在签订合同时向采购人提出附加条件或者更改合同实质性内容的，采购人可取消其中标资格，同时由中标人承担相应的法律责任。</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35.政府采购政策</w:t>
      </w:r>
      <w:r/>
    </w:p>
    <w:p>
      <w:pPr>
        <w:contextualSpacing/>
        <w:ind w:firstLine="431"/>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35.1小微型企业价格扣除</w:t>
      </w:r>
      <w:r/>
    </w:p>
    <w:p>
      <w:pPr>
        <w:contextualSpacing/>
        <w:ind w:firstLine="431"/>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（1）本项目对小型和微型企业提供的服务（产品）给予</w:t>
      </w:r>
      <w:r>
        <w:rPr>
          <w:rFonts w:ascii="宋体" w:hAnsi="宋体" w:eastAsia="宋体" w:cs="宋体"/>
          <w:color w:val="000000"/>
          <w:sz w:val="24"/>
          <w:u w:val="single"/>
        </w:rPr>
        <w:t xml:space="preserve">10%</w:t>
      </w:r>
      <w:r>
        <w:rPr>
          <w:rFonts w:ascii="宋体" w:hAnsi="宋体" w:eastAsia="宋体" w:cs="宋体"/>
          <w:color w:val="000000"/>
          <w:sz w:val="24"/>
        </w:rPr>
        <w:t xml:space="preserve">的扣除价格，用扣除后的价格参与评审。</w:t>
      </w:r>
      <w:r/>
    </w:p>
    <w:p>
      <w:pPr>
        <w:contextualSpacing/>
        <w:ind w:firstLine="431"/>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contextualSpacing/>
        <w:ind w:firstLine="431"/>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contextualSpacing/>
        <w:ind w:firstLine="431"/>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35.2残疾人福利单位价格扣除</w:t>
      </w:r>
      <w:r/>
    </w:p>
    <w:p>
      <w:pPr>
        <w:contextualSpacing/>
        <w:ind w:firstLine="431"/>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ascii="宋体" w:hAnsi="宋体" w:eastAsia="宋体" w:cs="宋体"/>
          <w:color w:val="000000"/>
          <w:sz w:val="24"/>
          <w:u w:val="single"/>
        </w:rPr>
        <w:t xml:space="preserve">10%</w:t>
      </w:r>
      <w:r>
        <w:rPr>
          <w:rFonts w:ascii="宋体" w:hAnsi="宋体" w:eastAsia="宋体" w:cs="宋体"/>
          <w:color w:val="000000"/>
          <w:sz w:val="24"/>
        </w:rPr>
        <w:t xml:space="preserve">的价格扣除，用扣除后的价格参与评审。</w:t>
      </w:r>
      <w:r/>
    </w:p>
    <w:p>
      <w:pPr>
        <w:contextualSpacing/>
        <w:ind w:firstLine="431"/>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contextualSpacing/>
        <w:ind w:firstLine="431"/>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contextualSpacing/>
        <w:ind w:firstLine="431"/>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35.3监狱和戒毒企业价格扣除</w:t>
      </w:r>
      <w:r/>
    </w:p>
    <w:p>
      <w:pPr>
        <w:contextualSpacing/>
        <w:ind w:firstLine="431"/>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ascii="宋体" w:hAnsi="宋体" w:eastAsia="宋体" w:cs="宋体"/>
          <w:color w:val="000000"/>
          <w:sz w:val="24"/>
          <w:u w:val="single"/>
        </w:rPr>
        <w:t xml:space="preserve">10%</w:t>
      </w:r>
      <w:r>
        <w:rPr>
          <w:rFonts w:ascii="宋体" w:hAnsi="宋体" w:eastAsia="宋体" w:cs="宋体"/>
          <w:color w:val="000000"/>
          <w:sz w:val="24"/>
        </w:rPr>
        <w:t xml:space="preserve">的价格扣除，用扣除后的价格参与评审。</w:t>
      </w:r>
      <w:r/>
    </w:p>
    <w:p>
      <w:pPr>
        <w:contextualSpacing/>
        <w:ind w:firstLine="431"/>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contextualSpacing/>
        <w:ind w:firstLine="431"/>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contextualSpacing/>
        <w:ind w:firstLine="431"/>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35.4残疾人福利单位、监狱企业属于小型、微型企业的，不重复享受政策。</w:t>
      </w:r>
      <w:r/>
    </w:p>
    <w:p>
      <w:pPr>
        <w:contextualSpacing/>
        <w:ind w:firstLine="431"/>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contextualSpacing/>
        <w:ind w:firstLine="431"/>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35.6联合体各方均为小型、微型企业（残疾人福利单位、监狱企业）的，联合体享受10%价格扣除，用扣除后的价格参与评审。</w:t>
      </w:r>
      <w:r/>
    </w:p>
    <w:p>
      <w:pPr>
        <w:contextualSpacing/>
        <w:ind w:firstLine="431"/>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35.7需求标准</w:t>
      </w:r>
      <w:r/>
    </w:p>
    <w:p>
      <w:pPr>
        <w:contextualSpacing/>
        <w:ind w:firstLine="431"/>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本项目中如有涉及商品包装、快递包装的，应当按《关于印发〈商品包装政府采购需求标准（试行）〉、〈快递包装政府采购需求标准（试行）〉的通知》（财办库〔2020〕123号）文件执行。</w:t>
      </w:r>
      <w:r/>
    </w:p>
    <w:p>
      <w:pPr>
        <w:contextualSpacing/>
        <w:ind w:firstLine="431"/>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本项目中如有涉及采购数据中心相关设备、运维服务的，应当按《关于印发〈绿色数据中心政府采购需求标准（试行）〉的通知》（财办库〔2023〕7号）文件执行。</w:t>
      </w:r>
      <w:r/>
    </w:p>
    <w:p>
      <w:pPr>
        <w:contextualSpacing/>
        <w:ind w:firstLine="431"/>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中如有涉及数据库、操作系统、通用服务器、工作站、一体式计算机、便携式计算机、台式计算机等七种软硬件的，应当按财政部、工信部共同发布的数据库、操作系统、通用服务器、工作站、一体式计算机、便携式计算机、台式计算机等七种软硬件需求标准执行。</w:t>
      </w:r>
      <w:r/>
    </w:p>
    <w:p>
      <w:pPr>
        <w:contextualSpacing/>
        <w:ind w:firstLine="431"/>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35.8节能环保</w:t>
      </w:r>
      <w:r/>
    </w:p>
    <w:p>
      <w:pPr>
        <w:contextualSpacing/>
        <w:ind w:firstLine="431"/>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本项目中如有涉及节能环保产品要求的，应当按《财政部、发展改革委、生态环境部、市场监管总局关于调整优化节能产品、环境标志产品政府采购执行机制的通知》(财库〔2019〕9号)文件执行。</w:t>
      </w:r>
      <w:r/>
    </w:p>
    <w:p>
      <w:pPr>
        <w:contextualSpacing/>
        <w:ind w:firstLine="431"/>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35.9中标、成交供应商可以采用电子履约保函形式代替缴纳履约保证金，具体可登录江苏政府采购网的保险保函模块进行办理。</w:t>
      </w:r>
      <w:r/>
    </w:p>
    <w:p>
      <w:pPr>
        <w:contextualSpacing/>
        <w:ind w:firstLine="431"/>
        <w:jc w:val="both"/>
        <w:spacing w:before="240" w:after="240" w:line="48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35.10中标、成交供应商可凭政府采购合同办理融资贷款，详情请见泰州市政府采购网“政采贷”专栏。</w:t>
      </w:r>
      <w:r/>
    </w:p>
    <w:p>
      <w:pPr>
        <w:contextualSpacing/>
        <w:ind w:firstLine="482"/>
        <w:jc w:val="both"/>
        <w:spacing w:before="240" w:after="240" w:line="480" w:lineRule="exact"/>
        <w:pBdr>
          <w:top w:val="none" w:color="000000" w:sz="0" w:space="0"/>
          <w:left w:val="none" w:color="000000" w:sz="0" w:space="0"/>
          <w:bottom w:val="none" w:color="000000" w:sz="0" w:space="0"/>
          <w:right w:val="none" w:color="000000" w:sz="0" w:space="0"/>
        </w:pBdr>
      </w:pPr>
      <w:r/>
      <w:bookmarkStart w:id="0" w:name="_GoBack"/>
      <w:r/>
      <w:bookmarkEnd w:id="0"/>
      <w:r>
        <w:rPr>
          <w:rFonts w:ascii="宋体" w:hAnsi="宋体" w:eastAsia="宋体" w:cs="宋体"/>
          <w:b/>
          <w:color w:val="000000"/>
          <w:sz w:val="24"/>
        </w:rPr>
        <w:t xml:space="preserve">35.11本项目所属行业为</w:t>
      </w:r>
      <w:r>
        <w:rPr>
          <w:rFonts w:ascii="宋体" w:hAnsi="宋体" w:eastAsia="宋体" w:cs="宋体"/>
          <w:b/>
          <w:color w:val="000000"/>
          <w:sz w:val="24"/>
          <w:u w:val="single"/>
        </w:rPr>
        <w:t xml:space="preserve">其他未列明行业</w:t>
      </w:r>
      <w:r>
        <w:rPr>
          <w:rFonts w:ascii="宋体" w:hAnsi="宋体" w:eastAsia="宋体" w:cs="宋体"/>
          <w:b/>
          <w:color w:val="000000"/>
          <w:sz w:val="24"/>
        </w:rPr>
        <w:t xml:space="preserve">。</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36.特别提醒</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36.1投标单位如有提供不实评审材料，弄虚作假者，一律作废标处理，该不良行为将予以公示。</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contextualSpacing/>
        <w:ind w:firstLine="480"/>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36.3投标文件中需签字或盖章处均可以用电子签名或电子章代替。</w:t>
      </w:r>
      <w:r/>
    </w:p>
    <w:p>
      <w:pPr>
        <w:contextualSpacing/>
        <w:jc w:val="center"/>
        <w:spacing w:before="240" w:after="240" w:line="480" w:lineRule="exact"/>
        <w:pBdr>
          <w:top w:val="none" w:color="000000" w:sz="0" w:space="0"/>
          <w:left w:val="none" w:color="000000" w:sz="0" w:space="0"/>
          <w:bottom w:val="none" w:color="000000" w:sz="0" w:space="0"/>
          <w:right w:val="none" w:color="000000" w:sz="0" w:space="0"/>
        </w:pBdr>
      </w:pPr>
      <w:r>
        <w:br w:type="page" w:clear="all"/>
      </w:r>
      <w:r>
        <w:rPr>
          <w:rFonts w:ascii="宋体" w:hAnsi="宋体" w:eastAsia="宋体" w:cs="宋体"/>
          <w:b/>
          <w:color w:val="000000"/>
          <w:spacing w:val="15"/>
          <w:sz w:val="32"/>
        </w:rPr>
        <w:t xml:space="preserve">第三章 采购需求</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一、项目概况</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苏发改价格发(2020)283号)和(苏发改价格传(2021)268号)要求，我市此次采购猪肉储备650吨。采取“企业收储、动态平衡、适时投放、财政补贴”的原则，由泰州市发展改革委与储备企业签订合同，储备企业负责收储，实行动态平衡，自行承担轮库盈亏。</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二、服务及管理要求</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1、具有稳定的冷冻猪肉经销渠道或深加工能力以及延伸产品开发生产能力和对冻猪肉的企业自身经营性周转需求，便于储备冻猪肉的轮换管理。</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2、具有组织、管理冷冻猪肉和冷库的能力和完善的食品安全保障制度，能够承担储备肉的安全责任。</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3、投标供应商必须有能储备要求量的冷库，且储存冷库须为供应商自有（产权归属于供应商）或租赁（</w:t>
      </w:r>
      <w:r>
        <w:rPr>
          <w:rFonts w:ascii="Segoe UI" w:hAnsi="Segoe UI" w:eastAsia="Segoe UI" w:cs="Segoe UI"/>
          <w:sz w:val="24"/>
          <w:highlight w:val="white"/>
        </w:rPr>
        <w:t xml:space="preserve">租赁合同需在服务期内有效</w:t>
      </w:r>
      <w:r>
        <w:rPr>
          <w:rFonts w:ascii="宋体" w:hAnsi="宋体" w:eastAsia="宋体" w:cs="宋体"/>
          <w:sz w:val="24"/>
        </w:rPr>
        <w:t xml:space="preserve">）</w:t>
      </w:r>
      <w:r>
        <w:rPr>
          <w:rFonts w:hint="eastAsia" w:ascii="宋体" w:hAnsi="宋体" w:eastAsia="宋体" w:cs="宋体"/>
          <w:sz w:val="24"/>
        </w:rPr>
        <w:t xml:space="preserve">，</w:t>
      </w:r>
      <w:r>
        <w:rPr>
          <w:rFonts w:ascii="宋体" w:hAnsi="宋体" w:eastAsia="宋体" w:cs="宋体"/>
          <w:sz w:val="24"/>
        </w:rPr>
        <w:t xml:space="preserve">有视频动态监控系统。</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储备库（点）必须在泰州市范围内，远离污染源，管理符合《冷库管理规范》（GB/T30134-2013），有稳定的销售网络及有效的市场投放能力，具备完整的冷链物流配送体系，确保突发事件能完成紧急配送任务，起到保供作用。</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猪肉协议储备企业应保持库存猪肉储备不得低于协议储备总数量，除非当采购人要求调用时，猪肉协议储备企业要确保储备总数量在猪肉调出后48小时之内全部补充到位。所有冻猪肉的剩余保质期必须在半年以上。</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6、在库管理：猪肉协议储备企业要对储备猪肉实行专库存储、专人管理、专账记载、挂牌（泰州市政府储备肉）</w:t>
      </w:r>
      <w:r>
        <w:rPr>
          <w:rFonts w:hint="eastAsia" w:ascii="宋体" w:hAnsi="宋体" w:eastAsia="宋体" w:cs="宋体"/>
          <w:color w:val="000000"/>
          <w:sz w:val="24"/>
        </w:rPr>
        <w:t xml:space="preserve">标识</w:t>
      </w:r>
      <w:r>
        <w:rPr>
          <w:rFonts w:ascii="宋体" w:hAnsi="宋体" w:eastAsia="宋体" w:cs="宋体"/>
          <w:color w:val="000000"/>
          <w:sz w:val="24"/>
        </w:rPr>
        <w:t xml:space="preserve">，每批入库的猪肉须具备质量（检疫证、检验证或报关检验检疫证等）</w:t>
      </w:r>
      <w:r>
        <w:rPr>
          <w:rFonts w:hint="eastAsia" w:ascii="宋体" w:hAnsi="宋体" w:eastAsia="宋体" w:cs="宋体"/>
          <w:color w:val="000000"/>
          <w:sz w:val="24"/>
        </w:rPr>
        <w:t xml:space="preserve">抽检证明等，</w:t>
      </w:r>
      <w:r>
        <w:rPr>
          <w:rFonts w:ascii="宋体" w:hAnsi="宋体" w:eastAsia="宋体" w:cs="宋体"/>
          <w:color w:val="000000"/>
          <w:sz w:val="24"/>
        </w:rPr>
        <w:t xml:space="preserve">确保</w:t>
      </w:r>
      <w:r>
        <w:rPr>
          <w:rFonts w:hint="eastAsia" w:ascii="宋体" w:hAnsi="宋体" w:eastAsia="宋体" w:cs="宋体"/>
          <w:color w:val="000000"/>
          <w:sz w:val="24"/>
        </w:rPr>
        <w:t xml:space="preserve">实物台账与库存实物相吻合</w:t>
      </w:r>
      <w:r>
        <w:rPr>
          <w:rFonts w:ascii="宋体" w:hAnsi="宋体" w:eastAsia="宋体" w:cs="宋体"/>
          <w:color w:val="000000"/>
          <w:sz w:val="24"/>
        </w:rPr>
        <w:t xml:space="preserve">、质量良好和储存安全。猪肉协议储备企业不得虚报储备数量，不得自行变更储备猪肉冷藏专库。猪肉协议储备企业应于每个月前5个工作日内向采购人报送上月的统计报表。</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轮换管理：猪肉储备在有效期内合理安排分批次轮换，确保储备猪肉在保质期内，承储企业在满足储备计划要求的前提下，可以按正常更新轮换要求自行出售储备冻肉，自负盈亏且保持猪肉储存协议总量不变。</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质量管理：猪肉储备入库质量由承储企业依法取得国家法定检疫机构按批次出具的动物产品检疫合格证明，在库品质检验检测由承储企业委托具有法定检测资质的机构对储备商品进行在库质量检验检测并出具检测报告，确保储备肉质量与安全。政府相关部门不定期对储存</w:t>
      </w:r>
      <w:r>
        <w:rPr>
          <w:rFonts w:hint="eastAsia" w:ascii="宋体" w:hAnsi="宋体" w:eastAsia="宋体" w:cs="宋体"/>
          <w:color w:val="000000"/>
          <w:sz w:val="24"/>
        </w:rPr>
        <w:t xml:space="preserve">情况</w:t>
      </w:r>
      <w:r>
        <w:rPr>
          <w:rFonts w:ascii="宋体" w:hAnsi="宋体" w:eastAsia="宋体" w:cs="宋体"/>
          <w:color w:val="000000"/>
          <w:sz w:val="24"/>
        </w:rPr>
        <w:t xml:space="preserve">进行检查，猪肉协议储备企业必须积极配合，并提供冻猪肉储备台账及相关资料。</w:t>
      </w:r>
      <w:r/>
    </w:p>
    <w:p>
      <w:pPr>
        <w:contextualSpacing/>
        <w:ind w:firstLine="480"/>
        <w:jc w:val="both"/>
        <w:spacing w:line="480" w:lineRule="exact"/>
        <w:tabs>
          <w:tab w:val="left" w:pos="12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调用和投放。采购人根据国家、省相关部门和市政府保供稳价等相关要求，及时进行猪肉的市场投放，猪肉协议储备企业应按采购人的要求进行定点定向定量定价投放，采购人调用时，猪肉协议储备企业接到采购人调用通知后，应在24小时内组织人员做好调用货品的准备、出库，并负责相关的调用费用和猪肉的全过程卫生、质量安全。</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10、收储品种：原则上以6分体等热销单品为主。</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11、猪肉协议储备企业不得将在库储备冻猪肉对外进行质押、担保或者清偿债务。猪肉协议储备企业进入撤销、解散或者破产程序时，应提前书面告知采购人。</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12、在遭遇疫情及其他自然灾害时，承储企业应积极采取应对措施，所造成的损失由承储企业自行承担。</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三、报价要求</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1、报价按招标文件所要求的全部内容报价，含为完成本项目所需的全部费用。</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2、报价中应包含市场价格风险和政策风险在内的一切费用，中标后，储备企业由于考虑不周，漏报、少报而要求追加报价将不会被采购单位所接受。</w:t>
      </w:r>
      <w:r/>
    </w:p>
    <w:p>
      <w:pPr>
        <w:contextualSpacing/>
        <w:ind w:firstLine="482"/>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四、服务期限</w:t>
      </w:r>
      <w:r/>
    </w:p>
    <w:p>
      <w:pPr>
        <w:contextualSpacing/>
        <w:ind w:firstLine="480"/>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三年。</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五、付款方式</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合同签订后按年度支付，每个年度合同服务期满后</w:t>
      </w:r>
      <w:r>
        <w:rPr>
          <w:rFonts w:hint="eastAsia" w:ascii="宋体" w:hAnsi="宋体" w:eastAsia="宋体" w:cs="宋体"/>
          <w:color w:val="000000"/>
          <w:sz w:val="24"/>
        </w:rPr>
        <w:t xml:space="preserve">即支付年度费用，</w:t>
      </w:r>
      <w:r>
        <w:rPr>
          <w:rFonts w:ascii="宋体" w:hAnsi="宋体" w:eastAsia="宋体" w:cs="宋体"/>
          <w:color w:val="000000"/>
          <w:sz w:val="24"/>
        </w:rPr>
        <w:t xml:space="preserve">发生调用或投放时待采购人委托的审计机构审计结束后下一年度支付。</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六、违约责任及其他要求</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猪肉协议储备企业未经采购人同意，无权减少猪肉储备数量，采购人将根据实际情况，对协议储备企业猪肉储备情况进行严格检查。一经发现弄虚作假、账实不符、存储期限内品种数量短缺、公检不合格、不配合检查工作的，采购人将取消协议储备企业的猪肉储备资格，不再支付没有支付的本合同约定的剩余款项，采购人有权对猪肉协议储备企业追究相关责任。</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2、不能如期报送猪肉储备相关数据的，每少一次扣除500元。</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3、中标供应商必须高度重视安全生产。保管期间，由于管理不善或作业工人操作不规范等因素造成的安全事故，均由中标供应商承担一切责任和损失。</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4、中标供应商必须自觉接受采购单位的定期（每季度不少于1次）或不定期检查。采购方会不定期抽查中标供应商的储备情况，如中标供应商未达到合同储备标准，采购人有权责成中标供应商整改到位。</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w:t>
      </w:r>
      <w:r>
        <w:rPr>
          <w:rFonts w:ascii="宋体" w:hAnsi="宋体" w:eastAsia="宋体" w:cs="宋体"/>
          <w:color w:val="000000"/>
          <w:sz w:val="24"/>
        </w:rPr>
        <w:t xml:space="preserve">、采购单位与中标供应商服务人员不发生雇佣关系，中标供应商和用工人员应遵守采购单位的相关规章制度及安全操作规章制度，若发生人身伤害等工伤事故，由中标供应商自负，与采购单位无涉。</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eastAsia="Times New Roman"/>
          <w:color w:val="000000"/>
          <w:sz w:val="26"/>
        </w:rPr>
        <w:t xml:space="preserve"> </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eastAsia="Times New Roman"/>
          <w:color w:val="000000"/>
          <w:sz w:val="26"/>
        </w:rPr>
        <w:t xml:space="preserve"> </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eastAsia="Times New Roman"/>
          <w:color w:val="000000"/>
          <w:sz w:val="26"/>
        </w:rPr>
        <w:t xml:space="preserve"> </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eastAsia="Times New Roman"/>
          <w:color w:val="000000"/>
          <w:sz w:val="26"/>
        </w:rPr>
        <w:t xml:space="preserve"> </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eastAsia="Times New Roman"/>
          <w:color w:val="000000"/>
          <w:sz w:val="26"/>
        </w:rPr>
        <w:t xml:space="preserve"> </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eastAsia="Times New Roman"/>
          <w:color w:val="000000"/>
          <w:sz w:val="26"/>
        </w:rPr>
        <w:t xml:space="preserve"> </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eastAsia="Times New Roman"/>
          <w:color w:val="000000"/>
          <w:sz w:val="26"/>
        </w:rPr>
        <w:t xml:space="preserve"> </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eastAsia="Times New Roman"/>
          <w:color w:val="000000"/>
          <w:sz w:val="26"/>
        </w:rPr>
        <w:t xml:space="preserve"> </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eastAsia="Times New Roman"/>
          <w:color w:val="000000"/>
          <w:sz w:val="26"/>
        </w:rPr>
        <w:t xml:space="preserve"> </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eastAsia="Times New Roman"/>
          <w:color w:val="000000"/>
          <w:sz w:val="26"/>
        </w:rPr>
        <w:t xml:space="preserve"> </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eastAsia="Times New Roman"/>
          <w:color w:val="000000"/>
          <w:sz w:val="26"/>
        </w:rPr>
        <w:t xml:space="preserve"> </w:t>
      </w:r>
      <w:r/>
    </w:p>
    <w:p>
      <w:pPr>
        <w:contextualSpacing/>
        <w:jc w:val="both"/>
        <w:spacing w:line="480" w:lineRule="exact"/>
        <w:rPr>
          <w:color w:val="000000"/>
          <w:sz w:val="26"/>
        </w:rPr>
        <w:pBdr>
          <w:top w:val="none" w:color="000000" w:sz="0" w:space="0"/>
          <w:left w:val="none" w:color="000000" w:sz="0" w:space="0"/>
          <w:bottom w:val="none" w:color="000000" w:sz="0" w:space="0"/>
          <w:right w:val="none" w:color="000000" w:sz="0" w:space="0"/>
        </w:pBdr>
      </w:pPr>
      <w:r>
        <w:rPr>
          <w:rFonts w:eastAsia="Times New Roman"/>
          <w:color w:val="000000"/>
          <w:sz w:val="26"/>
        </w:rPr>
        <w:t xml:space="preserve"> </w:t>
      </w:r>
      <w:r/>
    </w:p>
    <w:p>
      <w:pPr>
        <w:contextualSpacing/>
        <w:jc w:val="both"/>
        <w:spacing w:line="480" w:lineRule="exact"/>
        <w:rPr>
          <w:color w:val="000000"/>
          <w:sz w:val="26"/>
        </w:rPr>
        <w:pBdr>
          <w:top w:val="none" w:color="000000" w:sz="0" w:space="0"/>
          <w:left w:val="none" w:color="000000" w:sz="0" w:space="0"/>
          <w:bottom w:val="none" w:color="000000" w:sz="0" w:space="0"/>
          <w:right w:val="none" w:color="000000" w:sz="0" w:space="0"/>
        </w:pBdr>
      </w:pPr>
      <w:r>
        <w:rPr>
          <w:color w:val="000000"/>
          <w:sz w:val="26"/>
        </w:rPr>
      </w:r>
      <w:r/>
    </w:p>
    <w:p>
      <w:pPr>
        <w:contextualSpacing/>
        <w:jc w:val="both"/>
        <w:spacing w:line="480" w:lineRule="exact"/>
        <w:rPr>
          <w:color w:val="000000"/>
          <w:sz w:val="26"/>
        </w:rPr>
        <w:pBdr>
          <w:top w:val="none" w:color="000000" w:sz="0" w:space="0"/>
          <w:left w:val="none" w:color="000000" w:sz="0" w:space="0"/>
          <w:bottom w:val="none" w:color="000000" w:sz="0" w:space="0"/>
          <w:right w:val="none" w:color="000000" w:sz="0" w:space="0"/>
        </w:pBdr>
      </w:pPr>
      <w:r>
        <w:rPr>
          <w:color w:val="000000"/>
          <w:sz w:val="26"/>
        </w:rPr>
      </w:r>
      <w:r/>
    </w:p>
    <w:p>
      <w:pPr>
        <w:contextualSpacing/>
        <w:jc w:val="both"/>
        <w:spacing w:line="480" w:lineRule="exact"/>
        <w:rPr>
          <w:color w:val="000000"/>
          <w:sz w:val="26"/>
        </w:rPr>
        <w:pBdr>
          <w:top w:val="none" w:color="000000" w:sz="0" w:space="0"/>
          <w:left w:val="none" w:color="000000" w:sz="0" w:space="0"/>
          <w:bottom w:val="none" w:color="000000" w:sz="0" w:space="0"/>
          <w:right w:val="none" w:color="000000" w:sz="0" w:space="0"/>
        </w:pBdr>
      </w:pPr>
      <w:r>
        <w:rPr>
          <w:color w:val="000000"/>
          <w:sz w:val="26"/>
        </w:rPr>
      </w:r>
      <w:r/>
    </w:p>
    <w:p>
      <w:pPr>
        <w:contextualSpacing/>
        <w:jc w:val="both"/>
        <w:spacing w:line="480" w:lineRule="exact"/>
        <w:rPr>
          <w:color w:val="000000"/>
          <w:sz w:val="26"/>
        </w:rPr>
        <w:pBdr>
          <w:top w:val="none" w:color="000000" w:sz="0" w:space="0"/>
          <w:left w:val="none" w:color="000000" w:sz="0" w:space="0"/>
          <w:bottom w:val="none" w:color="000000" w:sz="0" w:space="0"/>
          <w:right w:val="none" w:color="000000" w:sz="0" w:space="0"/>
        </w:pBdr>
      </w:pPr>
      <w:r>
        <w:rPr>
          <w:color w:val="000000"/>
          <w:sz w:val="26"/>
        </w:rPr>
      </w:r>
      <w:r/>
    </w:p>
    <w:p>
      <w:pPr>
        <w:contextualSpacing/>
        <w:jc w:val="both"/>
        <w:spacing w:line="480" w:lineRule="exact"/>
        <w:rPr>
          <w:color w:val="000000"/>
          <w:sz w:val="26"/>
        </w:rPr>
        <w:pBdr>
          <w:top w:val="none" w:color="000000" w:sz="0" w:space="0"/>
          <w:left w:val="none" w:color="000000" w:sz="0" w:space="0"/>
          <w:bottom w:val="none" w:color="000000" w:sz="0" w:space="0"/>
          <w:right w:val="none" w:color="000000" w:sz="0" w:space="0"/>
        </w:pBdr>
      </w:pPr>
      <w:r>
        <w:rPr>
          <w:color w:val="000000"/>
          <w:sz w:val="26"/>
        </w:rPr>
      </w:r>
      <w:r/>
    </w:p>
    <w:p>
      <w:pPr>
        <w:contextualSpacing/>
        <w:jc w:val="both"/>
        <w:spacing w:line="480" w:lineRule="exact"/>
        <w:rPr>
          <w:color w:val="000000"/>
          <w:sz w:val="26"/>
        </w:rPr>
        <w:pBdr>
          <w:top w:val="none" w:color="000000" w:sz="0" w:space="0"/>
          <w:left w:val="none" w:color="000000" w:sz="0" w:space="0"/>
          <w:bottom w:val="none" w:color="000000" w:sz="0" w:space="0"/>
          <w:right w:val="none" w:color="000000" w:sz="0" w:space="0"/>
        </w:pBdr>
      </w:pPr>
      <w:r>
        <w:rPr>
          <w:color w:val="000000"/>
          <w:sz w:val="26"/>
        </w:rPr>
      </w:r>
      <w:r/>
    </w:p>
    <w:p>
      <w:pPr>
        <w:contextualSpacing/>
        <w:jc w:val="both"/>
        <w:spacing w:line="480" w:lineRule="exact"/>
        <w:rPr>
          <w:color w:val="000000"/>
          <w:sz w:val="26"/>
        </w:rPr>
        <w:pBdr>
          <w:top w:val="none" w:color="000000" w:sz="0" w:space="0"/>
          <w:left w:val="none" w:color="000000" w:sz="0" w:space="0"/>
          <w:bottom w:val="none" w:color="000000" w:sz="0" w:space="0"/>
          <w:right w:val="none" w:color="000000" w:sz="0" w:space="0"/>
        </w:pBdr>
      </w:pPr>
      <w:r>
        <w:rPr>
          <w:color w:val="000000"/>
          <w:sz w:val="26"/>
        </w:rPr>
      </w:r>
      <w:r/>
    </w:p>
    <w:p>
      <w:pPr>
        <w:contextualSpacing/>
        <w:jc w:val="both"/>
        <w:spacing w:line="480" w:lineRule="exact"/>
        <w:rPr>
          <w:color w:val="000000"/>
          <w:sz w:val="26"/>
        </w:rPr>
        <w:pBdr>
          <w:top w:val="none" w:color="000000" w:sz="0" w:space="0"/>
          <w:left w:val="none" w:color="000000" w:sz="0" w:space="0"/>
          <w:bottom w:val="none" w:color="000000" w:sz="0" w:space="0"/>
          <w:right w:val="none" w:color="000000" w:sz="0" w:space="0"/>
        </w:pBdr>
      </w:pPr>
      <w:r>
        <w:rPr>
          <w:color w:val="000000"/>
          <w:sz w:val="26"/>
        </w:rPr>
      </w:r>
      <w:r/>
    </w:p>
    <w:p>
      <w:pPr>
        <w:contextualSpacing/>
        <w:jc w:val="both"/>
        <w:spacing w:line="480" w:lineRule="exact"/>
        <w:rPr>
          <w:color w:val="000000"/>
          <w:sz w:val="26"/>
        </w:rPr>
        <w:pBdr>
          <w:top w:val="none" w:color="000000" w:sz="0" w:space="0"/>
          <w:left w:val="none" w:color="000000" w:sz="0" w:space="0"/>
          <w:bottom w:val="none" w:color="000000" w:sz="0" w:space="0"/>
          <w:right w:val="none" w:color="000000" w:sz="0" w:space="0"/>
        </w:pBdr>
      </w:pPr>
      <w:r>
        <w:rPr>
          <w:color w:val="000000"/>
          <w:sz w:val="26"/>
        </w:rPr>
      </w:r>
      <w:r/>
    </w:p>
    <w:p>
      <w:pPr>
        <w:contextualSpacing/>
        <w:jc w:val="both"/>
        <w:spacing w:line="480" w:lineRule="exact"/>
        <w:rPr>
          <w:color w:val="000000"/>
          <w:sz w:val="26"/>
        </w:rPr>
        <w:pBdr>
          <w:top w:val="none" w:color="000000" w:sz="0" w:space="0"/>
          <w:left w:val="none" w:color="000000" w:sz="0" w:space="0"/>
          <w:bottom w:val="none" w:color="000000" w:sz="0" w:space="0"/>
          <w:right w:val="none" w:color="000000" w:sz="0" w:space="0"/>
        </w:pBdr>
      </w:pPr>
      <w:r>
        <w:rPr>
          <w:color w:val="000000"/>
          <w:sz w:val="26"/>
        </w:rPr>
      </w:r>
      <w:r/>
    </w:p>
    <w:p>
      <w:pPr>
        <w:contextualSpacing/>
        <w:jc w:val="both"/>
        <w:spacing w:line="480" w:lineRule="exact"/>
        <w:rPr>
          <w:color w:val="000000"/>
          <w:sz w:val="26"/>
        </w:rPr>
        <w:pBdr>
          <w:top w:val="none" w:color="000000" w:sz="0" w:space="0"/>
          <w:left w:val="none" w:color="000000" w:sz="0" w:space="0"/>
          <w:bottom w:val="none" w:color="000000" w:sz="0" w:space="0"/>
          <w:right w:val="none" w:color="000000" w:sz="0" w:space="0"/>
        </w:pBdr>
      </w:pPr>
      <w:r>
        <w:rPr>
          <w:color w:val="000000"/>
          <w:sz w:val="26"/>
        </w:rPr>
      </w:r>
      <w:r/>
    </w:p>
    <w:p>
      <w:pPr>
        <w:contextualSpacing/>
        <w:jc w:val="both"/>
        <w:spacing w:line="480" w:lineRule="exact"/>
        <w:pBdr>
          <w:top w:val="none" w:color="000000" w:sz="0" w:space="0"/>
          <w:left w:val="none" w:color="000000" w:sz="0" w:space="0"/>
          <w:bottom w:val="none" w:color="000000" w:sz="0" w:space="0"/>
          <w:right w:val="none" w:color="000000" w:sz="0" w:space="0"/>
        </w:pBdr>
      </w:pPr>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第四章评标办法及标准</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1、本次招标评标采用</w:t>
      </w:r>
      <w:r>
        <w:rPr>
          <w:rFonts w:ascii="宋体" w:hAnsi="宋体" w:eastAsia="宋体" w:cs="宋体"/>
          <w:color w:val="000000"/>
          <w:sz w:val="24"/>
          <w:u w:val="single"/>
        </w:rPr>
        <w:t xml:space="preserve">综合评分法</w:t>
      </w:r>
      <w:r>
        <w:rPr>
          <w:rFonts w:ascii="宋体" w:hAnsi="宋体" w:eastAsia="宋体" w:cs="宋体"/>
          <w:color w:val="000000"/>
          <w:sz w:val="24"/>
        </w:rPr>
        <w:t xml:space="preserve">。即在满足招标文件实质性要求前提下，按照招标文件中规定的评分标准和各项因素进行综合评审后，以评标总得分最高的投标人作为中标候选供应商。</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2、评标时，评标委员会成员按照招标文件规定的评分标准，独立对每个投标人的投标文件进行评价、打分。价格得分按相关规定的计算公式直接计算取得。评分过程中采用“四舍五入”法，并保留小数点后2位。</w:t>
      </w:r>
      <w:r/>
    </w:p>
    <w:p>
      <w:pPr>
        <w:ind w:firstLine="488"/>
        <w:spacing w:line="360" w:lineRule="auto"/>
        <w:rPr>
          <w:rFonts w:eastAsia="宋体"/>
          <w:sz w:val="24"/>
          <w:szCs w:val="24"/>
        </w:rPr>
      </w:pPr>
      <w:r>
        <w:rPr>
          <w:rFonts w:hint="eastAsia" w:eastAsia="宋体"/>
          <w:sz w:val="24"/>
          <w:szCs w:val="24"/>
        </w:rPr>
        <w:t xml:space="preserve">3、如出现评标总得分最高的投标人有两个或两个以上的，以投标报价较低者优先作为中标候选人，如果投标报价也相同的，则由采购人组织以抽签方式确定中标候选供应商或中标人。</w:t>
      </w:r>
      <w:r/>
    </w:p>
    <w:p>
      <w:pPr>
        <w:ind w:firstLine="420"/>
        <w:spacing w:line="360" w:lineRule="auto"/>
        <w:rPr>
          <w:rFonts w:hint="eastAsia" w:ascii="宋体" w:hAnsi="宋体" w:eastAsia="宋体"/>
          <w:sz w:val="24"/>
          <w:szCs w:val="24"/>
        </w:rPr>
      </w:pPr>
      <w:r>
        <w:rPr>
          <w:rFonts w:hint="eastAsia" w:ascii="宋体" w:hAnsi="宋体" w:eastAsia="宋体"/>
          <w:sz w:val="24"/>
          <w:szCs w:val="24"/>
        </w:rPr>
        <w:t xml:space="preserve">4、评分标准：</w:t>
      </w:r>
      <w:r/>
    </w:p>
    <w:p>
      <w:pPr>
        <w:ind w:firstLine="480"/>
        <w:spacing w:line="360" w:lineRule="auto"/>
        <w:rPr>
          <w:rFonts w:eastAsia="宋体"/>
          <w:sz w:val="24"/>
          <w:szCs w:val="24"/>
        </w:rPr>
      </w:pPr>
      <w:r>
        <w:rPr>
          <w:rFonts w:hint="eastAsia" w:eastAsia="宋体"/>
          <w:sz w:val="24"/>
          <w:szCs w:val="24"/>
        </w:rPr>
        <w:t xml:space="preserve">（1）评标采用综合评分法。</w:t>
      </w:r>
      <w:r/>
    </w:p>
    <w:p>
      <w:pPr>
        <w:ind w:firstLine="488"/>
        <w:spacing w:line="360" w:lineRule="auto"/>
        <w:rPr>
          <w:rFonts w:eastAsia="宋体"/>
          <w:sz w:val="24"/>
          <w:szCs w:val="24"/>
        </w:rPr>
      </w:pPr>
      <w:r>
        <w:rPr>
          <w:rFonts w:hint="eastAsia" w:eastAsia="宋体"/>
          <w:sz w:val="24"/>
          <w:szCs w:val="24"/>
        </w:rPr>
        <w:t xml:space="preserve">（2）评标考虑的主要因素及其权值：</w:t>
      </w:r>
      <w:r/>
    </w:p>
    <w:p>
      <w:pPr>
        <w:ind w:firstLine="488"/>
        <w:spacing w:line="360" w:lineRule="auto"/>
        <w:rPr>
          <w:rFonts w:hint="eastAsia" w:hAnsi="宋体" w:eastAsia="宋体"/>
          <w:sz w:val="24"/>
          <w:szCs w:val="24"/>
        </w:rPr>
      </w:pPr>
      <w:r>
        <w:rPr>
          <w:rFonts w:hint="eastAsia" w:eastAsia="宋体"/>
          <w:sz w:val="24"/>
          <w:szCs w:val="24"/>
        </w:rPr>
        <w:t xml:space="preserve">评委对投标文件的技术及商务响应情况进行评分。评分采用量化方法。</w:t>
      </w:r>
      <w:r/>
    </w:p>
    <w:p>
      <w:pPr>
        <w:ind w:firstLine="480"/>
        <w:spacing w:line="360" w:lineRule="auto"/>
        <w:tabs>
          <w:tab w:val="left" w:pos="945" w:leader="none"/>
        </w:tabs>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tabs>
          <w:tab w:val="left" w:pos="945" w:leader="none"/>
        </w:tabs>
        <w:rPr>
          <w:rFonts w:hint="eastAsia" w:ascii="宋体" w:hAnsi="宋体" w:eastAsia="宋体"/>
          <w:sz w:val="24"/>
          <w:szCs w:val="24"/>
        </w:rPr>
      </w:pPr>
      <w:r>
        <w:rPr>
          <w:rFonts w:hint="eastAsia" w:ascii="宋体" w:hAnsi="宋体" w:eastAsia="宋体"/>
          <w:sz w:val="24"/>
          <w:szCs w:val="24"/>
        </w:rPr>
        <w:t xml:space="preserve">6、属于启动异常低价投标（响应）审查的情形的，按招标文件第28.3条的相关规定执行。</w:t>
      </w:r>
      <w:r/>
    </w:p>
    <w:tbl>
      <w:tblPr>
        <w:tblStyle w:val="6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3"/>
        <w:gridCol w:w="1290"/>
        <w:gridCol w:w="717"/>
        <w:gridCol w:w="6214"/>
      </w:tblGrid>
      <w:tr>
        <w:trPr>
          <w:trHeight w:val="438"/>
        </w:trPr>
        <w:tc>
          <w:tcPr>
            <w:tcMar>
              <w:left w:w="108" w:type="dxa"/>
              <w:top w:w="0" w:type="dxa"/>
              <w:right w:w="108" w:type="dxa"/>
              <w:bottom w:w="0" w:type="dxa"/>
            </w:tcMar>
            <w:tcW w:w="1133"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Mar>
              <w:left w:w="108" w:type="dxa"/>
              <w:top w:w="0" w:type="dxa"/>
              <w:right w:w="108" w:type="dxa"/>
              <w:bottom w:w="0" w:type="dxa"/>
            </w:tcMar>
            <w:tcW w:w="1290"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评审因素</w:t>
            </w:r>
            <w:r/>
          </w:p>
        </w:tc>
        <w:tc>
          <w:tcPr>
            <w:tcMar>
              <w:left w:w="108" w:type="dxa"/>
              <w:top w:w="0" w:type="dxa"/>
              <w:right w:w="108" w:type="dxa"/>
              <w:bottom w:w="0" w:type="dxa"/>
            </w:tcMar>
            <w:tcW w:w="717"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权值</w:t>
            </w:r>
            <w:r/>
          </w:p>
        </w:tc>
        <w:tc>
          <w:tcPr>
            <w:tcMar>
              <w:left w:w="108" w:type="dxa"/>
              <w:top w:w="0" w:type="dxa"/>
              <w:right w:w="108" w:type="dxa"/>
              <w:bottom w:w="0" w:type="dxa"/>
            </w:tcMar>
            <w:tcW w:w="6214"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评分标准</w:t>
            </w:r>
            <w:r/>
          </w:p>
        </w:tc>
      </w:tr>
      <w:tr>
        <w:trPr>
          <w:trHeight w:val="438"/>
        </w:trPr>
        <w:tc>
          <w:tcPr>
            <w:tcMar>
              <w:left w:w="108" w:type="dxa"/>
              <w:top w:w="0" w:type="dxa"/>
              <w:right w:w="108" w:type="dxa"/>
              <w:bottom w:w="0" w:type="dxa"/>
            </w:tcMar>
            <w:tcW w:w="1133"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价格部分（20分）</w:t>
            </w:r>
            <w:r/>
          </w:p>
        </w:tc>
        <w:tc>
          <w:tcPr>
            <w:tcMar>
              <w:left w:w="108" w:type="dxa"/>
              <w:top w:w="0" w:type="dxa"/>
              <w:right w:w="108" w:type="dxa"/>
              <w:bottom w:w="0" w:type="dxa"/>
            </w:tcMar>
            <w:tcW w:w="1290"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价格分</w:t>
            </w:r>
            <w:r/>
          </w:p>
        </w:tc>
        <w:tc>
          <w:tcPr>
            <w:tcMar>
              <w:left w:w="108" w:type="dxa"/>
              <w:top w:w="0" w:type="dxa"/>
              <w:right w:w="108" w:type="dxa"/>
              <w:bottom w:w="0" w:type="dxa"/>
            </w:tcMar>
            <w:tcW w:w="717"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w:t>
            </w:r>
            <w:r/>
          </w:p>
        </w:tc>
        <w:tc>
          <w:tcPr>
            <w:tcMar>
              <w:left w:w="108" w:type="dxa"/>
              <w:top w:w="0" w:type="dxa"/>
              <w:right w:w="108" w:type="dxa"/>
              <w:bottom w:w="0" w:type="dxa"/>
            </w:tcMar>
            <w:tcW w:w="6214" w:type="dxa"/>
            <w:vAlign w:val="center"/>
            <w:textDirection w:val="lrTb"/>
            <w:noWrap w:val="false"/>
          </w:tcPr>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投标报价不超过最高限价的为有效投标报价。超出此范围的投标报价为无效投标报价。</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满足招标文件要求且投标价格最低的投标报价为评标基准价，其他供应商的价格分按照下列公式计算：</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投标报价得分=（评标基准价/投标报价）×20（保留两位小数）。 </w:t>
            </w:r>
            <w:r/>
          </w:p>
        </w:tc>
      </w:tr>
      <w:tr>
        <w:trPr>
          <w:trHeight w:val="2646"/>
        </w:trPr>
        <w:tc>
          <w:tcPr>
            <w:tcMar>
              <w:left w:w="108" w:type="dxa"/>
              <w:top w:w="0" w:type="dxa"/>
              <w:right w:w="108" w:type="dxa"/>
              <w:bottom w:w="0" w:type="dxa"/>
            </w:tcMar>
            <w:tcW w:w="1133" w:type="dxa"/>
            <w:vAlign w:val="center"/>
            <w:vMerge w:val="restart"/>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商务部分（3</w:t>
            </w:r>
            <w:r>
              <w:rPr>
                <w:rFonts w:hint="eastAsia" w:ascii="宋体" w:hAnsi="宋体" w:eastAsia="宋体" w:cs="宋体"/>
                <w:color w:val="000000"/>
                <w:sz w:val="24"/>
              </w:rPr>
              <w:t xml:space="preserve">0</w:t>
            </w:r>
            <w:r>
              <w:rPr>
                <w:rFonts w:ascii="宋体" w:hAnsi="宋体" w:eastAsia="宋体" w:cs="宋体"/>
                <w:color w:val="000000"/>
                <w:sz w:val="24"/>
              </w:rPr>
              <w:t xml:space="preserve">分）</w:t>
            </w:r>
            <w:r/>
          </w:p>
        </w:tc>
        <w:tc>
          <w:tcPr>
            <w:tcMar>
              <w:left w:w="108" w:type="dxa"/>
              <w:top w:w="0" w:type="dxa"/>
              <w:right w:w="108" w:type="dxa"/>
              <w:bottom w:w="0" w:type="dxa"/>
            </w:tcMar>
            <w:tcW w:w="1290"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综合实力</w:t>
            </w:r>
            <w:r/>
          </w:p>
        </w:tc>
        <w:tc>
          <w:tcPr>
            <w:tcMar>
              <w:left w:w="108" w:type="dxa"/>
              <w:top w:w="0" w:type="dxa"/>
              <w:right w:w="108" w:type="dxa"/>
              <w:bottom w:w="0" w:type="dxa"/>
            </w:tcMar>
            <w:tcW w:w="717"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w:t>
            </w:r>
            <w:r/>
          </w:p>
        </w:tc>
        <w:tc>
          <w:tcPr>
            <w:tcMar>
              <w:left w:w="108" w:type="dxa"/>
              <w:top w:w="0" w:type="dxa"/>
              <w:right w:w="108" w:type="dxa"/>
              <w:bottom w:w="0" w:type="dxa"/>
            </w:tcMar>
            <w:tcW w:w="6214" w:type="dxa"/>
            <w:vAlign w:val="center"/>
            <w:textDirection w:val="lrTb"/>
            <w:noWrap w:val="false"/>
          </w:tcPr>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1．供应商具有有效期内的食品安全管理体系认证、质量管理体系认证、职业健康安全管理体系认证、环境管理体系认证的，每提供一项得1分，最高得</w:t>
            </w:r>
            <w:r>
              <w:rPr>
                <w:rFonts w:hint="eastAsia" w:ascii="宋体" w:hAnsi="宋体" w:eastAsia="宋体" w:cs="宋体"/>
                <w:color w:val="000000"/>
                <w:sz w:val="24"/>
              </w:rPr>
              <w:t xml:space="preserve">4</w:t>
            </w:r>
            <w:r>
              <w:rPr>
                <w:rFonts w:ascii="宋体" w:hAnsi="宋体" w:eastAsia="宋体" w:cs="宋体"/>
                <w:color w:val="000000"/>
                <w:sz w:val="24"/>
              </w:rPr>
              <w:t xml:space="preserve">分。</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注：需在投标文件中提供有效证书扫描件</w:t>
            </w:r>
            <w:r>
              <w:rPr>
                <w:rFonts w:hint="eastAsia" w:ascii="宋体" w:hAnsi="宋体" w:eastAsia="宋体" w:cs="宋体"/>
                <w:color w:val="000000"/>
                <w:sz w:val="24"/>
              </w:rPr>
              <w:t xml:space="preserve">，</w:t>
            </w:r>
            <w:r>
              <w:rPr>
                <w:rFonts w:ascii="宋体" w:hAnsi="宋体" w:eastAsia="宋体" w:cs="宋体"/>
                <w:color w:val="000000"/>
                <w:sz w:val="24"/>
              </w:rPr>
              <w:t xml:space="preserve">否则不得分。</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rPr>
              <w:t xml:space="preserve">获</w:t>
            </w:r>
            <w:r>
              <w:rPr>
                <w:rFonts w:ascii="宋体" w:hAnsi="宋体" w:eastAsia="宋体" w:cs="宋体"/>
                <w:color w:val="000000"/>
                <w:sz w:val="24"/>
              </w:rPr>
              <w:t xml:space="preserve">得“省级重点龙头企业”</w:t>
            </w:r>
            <w:r>
              <w:rPr>
                <w:rFonts w:hint="eastAsia" w:ascii="宋体" w:hAnsi="宋体" w:eastAsia="宋体" w:cs="宋体"/>
                <w:color w:val="000000"/>
                <w:sz w:val="24"/>
              </w:rPr>
              <w:t xml:space="preserve">或</w:t>
            </w:r>
            <w:r>
              <w:rPr>
                <w:rFonts w:ascii="宋体" w:hAnsi="宋体" w:eastAsia="宋体" w:cs="宋体"/>
                <w:color w:val="000000"/>
                <w:sz w:val="24"/>
              </w:rPr>
              <w:t xml:space="preserve">“国家级重点龙头企业”称号，得3分</w:t>
            </w:r>
            <w:r>
              <w:rPr>
                <w:rFonts w:hint="eastAsia" w:ascii="宋体" w:hAnsi="宋体" w:eastAsia="宋体" w:cs="宋体"/>
                <w:color w:val="000000"/>
                <w:sz w:val="24"/>
              </w:rPr>
              <w:t xml:space="preserve">，最高得3分</w:t>
            </w:r>
            <w:r>
              <w:t xml:space="preserve"> </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注：需在投标文件中提供相关证明材料，否则不得分，同一称号不重复得分。</w:t>
            </w:r>
            <w:r/>
          </w:p>
        </w:tc>
      </w:tr>
      <w:tr>
        <w:trPr>
          <w:trHeight w:val="438"/>
        </w:trPr>
        <w:tc>
          <w:tcPr>
            <w:tcW w:w="0" w:type="auto"/>
            <w:vMerge w:val="continue"/>
            <w:textDirection w:val="lrTb"/>
            <w:noWrap w:val="false"/>
          </w:tcPr>
          <w:p>
            <w:pPr>
              <w:contextualSpacing/>
              <w:spacing w:line="480" w:lineRule="exact"/>
            </w:pPr>
            <w:r/>
            <w:r/>
          </w:p>
        </w:tc>
        <w:tc>
          <w:tcPr>
            <w:tcMar>
              <w:left w:w="108" w:type="dxa"/>
              <w:top w:w="0" w:type="dxa"/>
              <w:right w:w="108" w:type="dxa"/>
              <w:bottom w:w="0" w:type="dxa"/>
            </w:tcMar>
            <w:tcW w:w="1290"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履约能力</w:t>
            </w:r>
            <w:r/>
          </w:p>
        </w:tc>
        <w:tc>
          <w:tcPr>
            <w:tcMar>
              <w:left w:w="108" w:type="dxa"/>
              <w:top w:w="0" w:type="dxa"/>
              <w:right w:w="108" w:type="dxa"/>
              <w:bottom w:w="0" w:type="dxa"/>
            </w:tcMar>
            <w:tcW w:w="717"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w:t>
            </w:r>
            <w:r/>
          </w:p>
        </w:tc>
        <w:tc>
          <w:tcPr>
            <w:tcMar>
              <w:left w:w="108" w:type="dxa"/>
              <w:top w:w="0" w:type="dxa"/>
              <w:right w:w="108" w:type="dxa"/>
              <w:bottom w:w="0" w:type="dxa"/>
            </w:tcMar>
            <w:tcW w:w="6214" w:type="dxa"/>
            <w:vAlign w:val="center"/>
            <w:textDirection w:val="lrTb"/>
            <w:noWrap w:val="false"/>
          </w:tcPr>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1.响应供应商冷库储存能力在</w:t>
            </w:r>
            <w:r>
              <w:rPr>
                <w:rFonts w:hint="eastAsia" w:ascii="宋体" w:hAnsi="宋体" w:eastAsia="宋体" w:cs="宋体"/>
                <w:color w:val="000000"/>
                <w:sz w:val="24"/>
              </w:rPr>
              <w:t xml:space="preserve">20</w:t>
            </w:r>
            <w:r>
              <w:rPr>
                <w:rFonts w:ascii="宋体" w:hAnsi="宋体" w:eastAsia="宋体" w:cs="宋体"/>
                <w:color w:val="000000"/>
                <w:sz w:val="24"/>
              </w:rPr>
              <w:t xml:space="preserve">00立方米</w:t>
            </w:r>
            <w:r>
              <w:rPr>
                <w:rFonts w:hint="eastAsia" w:ascii="宋体" w:hAnsi="宋体" w:eastAsia="宋体" w:cs="宋体"/>
                <w:color w:val="000000"/>
                <w:sz w:val="24"/>
              </w:rPr>
              <w:t xml:space="preserve">（含）</w:t>
            </w:r>
            <w:r>
              <w:rPr>
                <w:rFonts w:ascii="宋体" w:hAnsi="宋体" w:eastAsia="宋体" w:cs="宋体"/>
                <w:color w:val="000000"/>
                <w:sz w:val="24"/>
              </w:rPr>
              <w:t xml:space="preserve">及以上的，得3分；冷库储存能力在1</w:t>
            </w:r>
            <w:r>
              <w:rPr>
                <w:rFonts w:hint="eastAsia" w:ascii="宋体" w:hAnsi="宋体" w:eastAsia="宋体" w:cs="宋体"/>
                <w:color w:val="000000"/>
                <w:sz w:val="24"/>
              </w:rPr>
              <w:t xml:space="preserve">5</w:t>
            </w:r>
            <w:r>
              <w:rPr>
                <w:rFonts w:ascii="宋体" w:hAnsi="宋体" w:eastAsia="宋体" w:cs="宋体"/>
                <w:color w:val="000000"/>
                <w:sz w:val="24"/>
              </w:rPr>
              <w:t xml:space="preserve">00立方米（含）-2</w:t>
            </w:r>
            <w:r>
              <w:rPr>
                <w:rFonts w:hint="eastAsia" w:ascii="宋体" w:hAnsi="宋体" w:eastAsia="宋体" w:cs="宋体"/>
                <w:color w:val="000000"/>
                <w:sz w:val="24"/>
              </w:rPr>
              <w:t xml:space="preserve">0</w:t>
            </w:r>
            <w:r>
              <w:rPr>
                <w:rFonts w:ascii="宋体" w:hAnsi="宋体" w:eastAsia="宋体" w:cs="宋体"/>
                <w:color w:val="000000"/>
                <w:sz w:val="24"/>
              </w:rPr>
              <w:t xml:space="preserve">00立方米（不含）的，得1分；其余不得分。</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2.响应供应商拟为本项目投入的自有或租赁储存冷库的温控能力进行评定。冷库温度可控范围在零下18度至零下25度的得2分；冷库温度可控范围在零下18度至零下20度的得1分；其余情况不得分。</w:t>
            </w:r>
            <w:r>
              <w:rPr>
                <w:rFonts w:ascii="宋体" w:hAnsi="宋体" w:eastAsia="宋体" w:cs="宋体"/>
                <w:color w:val="000000"/>
                <w:sz w:val="24"/>
              </w:rPr>
              <w:br/>
            </w:r>
            <w:r>
              <w:rPr>
                <w:rFonts w:ascii="宋体" w:hAnsi="宋体" w:eastAsia="宋体" w:cs="宋体"/>
                <w:color w:val="000000"/>
                <w:sz w:val="24"/>
              </w:rPr>
              <w:t xml:space="preserve">   </w:t>
            </w:r>
            <w:r>
              <w:rPr>
                <w:rFonts w:ascii="宋体" w:hAnsi="宋体" w:eastAsia="宋体" w:cs="宋体"/>
                <w:b/>
                <w:color w:val="000000"/>
                <w:sz w:val="24"/>
              </w:rPr>
              <w:t xml:space="preserve">注：以上1-2条需满足以下要求，否则不得分。</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①如供应商拟投入多个储存冷库的（需在同一地点），储存能力可累计计算，温控能力所有冷库均应达到对应评分标准，如不能同时达到的，以温控能力最差者计入评分。</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②供应商须同时提供储存冷库为供应商自有（产权归属于供应商）或租赁的证明材料、冷库所处地理位置证明材料。</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③冷库面积证明及温控能力需</w:t>
            </w:r>
            <w:r>
              <w:rPr>
                <w:rFonts w:ascii="宋体" w:hAnsi="宋体" w:eastAsia="宋体" w:cs="宋体"/>
                <w:color w:val="000000"/>
                <w:sz w:val="24"/>
              </w:rPr>
              <w:t xml:space="preserve">须提供</w:t>
            </w:r>
            <w:r>
              <w:rPr>
                <w:rFonts w:hint="eastAsia" w:ascii="宋体" w:hAnsi="宋体" w:eastAsia="宋体" w:cs="宋体"/>
                <w:color w:val="000000"/>
                <w:sz w:val="24"/>
              </w:rPr>
              <w:t xml:space="preserve">相关证明材料</w:t>
            </w:r>
            <w:r>
              <w:rPr>
                <w:rFonts w:ascii="宋体" w:hAnsi="宋体" w:eastAsia="宋体" w:cs="宋体"/>
                <w:b/>
                <w:color w:val="000000"/>
                <w:sz w:val="24"/>
              </w:rPr>
              <w:t xml:space="preserve">。</w:t>
            </w:r>
            <w:r/>
          </w:p>
          <w:p>
            <w:pPr>
              <w:contextualSpacing/>
              <w:ind w:firstLine="480"/>
              <w:jc w:val="both"/>
              <w:spacing w:line="48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3.响应供应商猪肉流通能力、市场投放能力比较，能确保突发事件发生时及时起到保障市场供应的作用，提供202</w:t>
            </w:r>
            <w:r>
              <w:rPr>
                <w:rFonts w:hint="eastAsia" w:ascii="宋体" w:hAnsi="宋体" w:eastAsia="宋体" w:cs="宋体"/>
                <w:color w:val="000000"/>
                <w:sz w:val="24"/>
              </w:rPr>
              <w:t xml:space="preserve">3</w:t>
            </w:r>
            <w:r>
              <w:rPr>
                <w:rFonts w:ascii="宋体" w:hAnsi="宋体" w:eastAsia="宋体" w:cs="宋体"/>
                <w:color w:val="000000"/>
                <w:sz w:val="24"/>
              </w:rPr>
              <w:t xml:space="preserve">年-202</w:t>
            </w:r>
            <w:r>
              <w:rPr>
                <w:rFonts w:hint="eastAsia" w:ascii="宋体" w:hAnsi="宋体" w:eastAsia="宋体" w:cs="宋体"/>
                <w:color w:val="000000"/>
                <w:sz w:val="24"/>
              </w:rPr>
              <w:t xml:space="preserve">5</w:t>
            </w:r>
            <w:r>
              <w:rPr>
                <w:rFonts w:ascii="宋体" w:hAnsi="宋体" w:eastAsia="宋体" w:cs="宋体"/>
                <w:color w:val="000000"/>
                <w:sz w:val="24"/>
              </w:rPr>
              <w:t xml:space="preserve">年任意一年度猪肉销售业绩，销售量达到800吨</w:t>
            </w:r>
            <w:r>
              <w:rPr>
                <w:rFonts w:hint="eastAsia" w:ascii="宋体" w:hAnsi="宋体" w:eastAsia="宋体" w:cs="宋体"/>
                <w:color w:val="000000"/>
                <w:sz w:val="24"/>
              </w:rPr>
              <w:t xml:space="preserve">（含）及以上</w:t>
            </w:r>
            <w:r>
              <w:rPr>
                <w:rFonts w:ascii="宋体" w:hAnsi="宋体" w:eastAsia="宋体" w:cs="宋体"/>
                <w:color w:val="000000"/>
                <w:sz w:val="24"/>
              </w:rPr>
              <w:t xml:space="preserve">的得6分，</w:t>
            </w:r>
            <w:r>
              <w:rPr>
                <w:rFonts w:hint="eastAsia" w:ascii="宋体" w:hAnsi="宋体" w:eastAsia="宋体" w:cs="宋体"/>
                <w:color w:val="000000"/>
                <w:sz w:val="24"/>
              </w:rPr>
              <w:t xml:space="preserve">销售量</w:t>
            </w:r>
            <w:r>
              <w:rPr>
                <w:rFonts w:ascii="宋体" w:hAnsi="宋体" w:eastAsia="宋体" w:cs="宋体"/>
                <w:color w:val="000000"/>
                <w:sz w:val="24"/>
              </w:rPr>
              <w:t xml:space="preserve"> 650吨（含）</w:t>
            </w:r>
            <w:r>
              <w:rPr>
                <w:rFonts w:hint="eastAsia" w:ascii="宋体" w:hAnsi="宋体" w:eastAsia="宋体" w:cs="宋体"/>
                <w:color w:val="000000"/>
                <w:sz w:val="24"/>
              </w:rPr>
              <w:t xml:space="preserve">-800吨（不含）的</w:t>
            </w:r>
            <w:r>
              <w:rPr>
                <w:rFonts w:ascii="宋体" w:hAnsi="宋体" w:eastAsia="宋体" w:cs="宋体"/>
                <w:color w:val="000000"/>
                <w:sz w:val="24"/>
              </w:rPr>
              <w:t xml:space="preserve">得4分，500吨（含）-650吨（不含）的得2分。</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须提供相关证明材料，未提供不得分。</w:t>
            </w:r>
            <w:r/>
          </w:p>
          <w:p>
            <w:pPr>
              <w:contextualSpacing/>
              <w:ind w:firstLine="480"/>
              <w:jc w:val="both"/>
              <w:spacing w:line="48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4.响应供应商202</w:t>
            </w:r>
            <w:r>
              <w:rPr>
                <w:rFonts w:hint="eastAsia" w:ascii="宋体" w:hAnsi="宋体" w:eastAsia="宋体" w:cs="宋体"/>
                <w:color w:val="000000"/>
                <w:sz w:val="24"/>
              </w:rPr>
              <w:t xml:space="preserve">3</w:t>
            </w:r>
            <w:r>
              <w:rPr>
                <w:rFonts w:ascii="宋体" w:hAnsi="宋体" w:eastAsia="宋体" w:cs="宋体"/>
                <w:color w:val="000000"/>
                <w:sz w:val="24"/>
              </w:rPr>
              <w:t xml:space="preserve">年-202</w:t>
            </w:r>
            <w:r>
              <w:rPr>
                <w:rFonts w:hint="eastAsia" w:ascii="宋体" w:hAnsi="宋体" w:eastAsia="宋体" w:cs="宋体"/>
                <w:color w:val="000000"/>
                <w:sz w:val="24"/>
              </w:rPr>
              <w:t xml:space="preserve">5</w:t>
            </w:r>
            <w:r>
              <w:rPr>
                <w:rFonts w:ascii="宋体" w:hAnsi="宋体" w:eastAsia="宋体" w:cs="宋体"/>
                <w:color w:val="000000"/>
                <w:sz w:val="24"/>
              </w:rPr>
              <w:t xml:space="preserve">年任意年度采购猪肉证明，其中年采购800</w:t>
            </w:r>
            <w:r>
              <w:rPr>
                <w:rFonts w:hint="eastAsia" w:ascii="宋体" w:hAnsi="宋体" w:eastAsia="宋体" w:cs="宋体"/>
                <w:color w:val="000000"/>
                <w:sz w:val="24"/>
              </w:rPr>
              <w:t xml:space="preserve">（含）</w:t>
            </w:r>
            <w:r>
              <w:rPr>
                <w:rFonts w:ascii="宋体" w:hAnsi="宋体" w:eastAsia="宋体" w:cs="宋体"/>
                <w:color w:val="000000"/>
                <w:sz w:val="24"/>
              </w:rPr>
              <w:t xml:space="preserve">吨及以上的得6分，650吨</w:t>
            </w:r>
            <w:r>
              <w:rPr>
                <w:rFonts w:hint="eastAsia" w:ascii="宋体" w:hAnsi="宋体" w:eastAsia="宋体" w:cs="宋体"/>
                <w:color w:val="000000"/>
                <w:sz w:val="24"/>
              </w:rPr>
              <w:t xml:space="preserve">（含）-800吨（不含）的</w:t>
            </w:r>
            <w:r>
              <w:rPr>
                <w:rFonts w:ascii="宋体" w:hAnsi="宋体" w:eastAsia="宋体" w:cs="宋体"/>
                <w:color w:val="000000"/>
                <w:sz w:val="24"/>
              </w:rPr>
              <w:t xml:space="preserve">得4分，500吨（含）-650吨（不含）的得2分。</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须提供相关证明材料，未提供不得分。</w:t>
            </w:r>
            <w:r/>
          </w:p>
        </w:tc>
      </w:tr>
      <w:tr>
        <w:trPr>
          <w:trHeight w:val="438"/>
        </w:trPr>
        <w:tc>
          <w:tcPr>
            <w:tcW w:w="0" w:type="auto"/>
            <w:vMerge w:val="continue"/>
            <w:textDirection w:val="lrTb"/>
            <w:noWrap w:val="false"/>
          </w:tcPr>
          <w:p>
            <w:pPr>
              <w:contextualSpacing/>
              <w:spacing w:line="480" w:lineRule="exact"/>
            </w:pPr>
            <w:r/>
            <w:r/>
          </w:p>
        </w:tc>
        <w:tc>
          <w:tcPr>
            <w:tcMar>
              <w:left w:w="108" w:type="dxa"/>
              <w:top w:w="0" w:type="dxa"/>
              <w:right w:w="108" w:type="dxa"/>
              <w:bottom w:w="0" w:type="dxa"/>
            </w:tcMar>
            <w:tcW w:w="1290"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运输能力</w:t>
            </w:r>
            <w:r/>
          </w:p>
        </w:tc>
        <w:tc>
          <w:tcPr>
            <w:tcMar>
              <w:left w:w="108" w:type="dxa"/>
              <w:top w:w="0" w:type="dxa"/>
              <w:right w:w="108" w:type="dxa"/>
              <w:bottom w:w="0" w:type="dxa"/>
            </w:tcMar>
            <w:tcW w:w="717"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w:t>
            </w:r>
            <w:r/>
          </w:p>
        </w:tc>
        <w:tc>
          <w:tcPr>
            <w:tcMar>
              <w:left w:w="108" w:type="dxa"/>
              <w:top w:w="0" w:type="dxa"/>
              <w:right w:w="108" w:type="dxa"/>
              <w:bottom w:w="0" w:type="dxa"/>
            </w:tcMar>
            <w:tcW w:w="6214" w:type="dxa"/>
            <w:vAlign w:val="center"/>
            <w:textDirection w:val="lrTb"/>
            <w:noWrap w:val="false"/>
          </w:tcPr>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供应商具有冷冻运输能力的自有或租赁车辆，每提供1辆得</w:t>
            </w:r>
            <w:r>
              <w:rPr>
                <w:rFonts w:hint="eastAsia" w:ascii="宋体" w:hAnsi="宋体" w:eastAsia="宋体" w:cs="宋体"/>
                <w:color w:val="000000"/>
                <w:sz w:val="24"/>
              </w:rPr>
              <w:t xml:space="preserve">2</w:t>
            </w:r>
            <w:r>
              <w:rPr>
                <w:rFonts w:ascii="宋体" w:hAnsi="宋体" w:eastAsia="宋体" w:cs="宋体"/>
                <w:color w:val="000000"/>
                <w:sz w:val="24"/>
              </w:rPr>
              <w:t xml:space="preserve">分，最高得</w:t>
            </w:r>
            <w:r>
              <w:rPr>
                <w:rFonts w:hint="eastAsia" w:ascii="宋体" w:hAnsi="宋体" w:eastAsia="宋体" w:cs="宋体"/>
                <w:color w:val="000000"/>
                <w:sz w:val="24"/>
              </w:rPr>
              <w:t xml:space="preserve">6</w:t>
            </w:r>
            <w:r>
              <w:rPr>
                <w:rFonts w:ascii="宋体" w:hAnsi="宋体" w:eastAsia="宋体" w:cs="宋体"/>
                <w:color w:val="000000"/>
                <w:sz w:val="24"/>
              </w:rPr>
              <w:t xml:space="preserve">分。</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注：自有车辆需需提供行驶证和车辆照片，提供的行驶证需与参加响应供应商名称一致，租赁车辆需提供租赁合同及行驶证和车辆照片，未提供或提供不全的，不得分。</w:t>
            </w:r>
            <w:r/>
          </w:p>
        </w:tc>
      </w:tr>
      <w:tr>
        <w:trPr>
          <w:trHeight w:val="373"/>
        </w:trPr>
        <w:tc>
          <w:tcPr>
            <w:tcMar>
              <w:left w:w="108" w:type="dxa"/>
              <w:top w:w="0" w:type="dxa"/>
              <w:right w:w="108" w:type="dxa"/>
              <w:bottom w:w="0" w:type="dxa"/>
            </w:tcMar>
            <w:tcW w:w="1133" w:type="dxa"/>
            <w:vAlign w:val="center"/>
            <w:vMerge w:val="restart"/>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技术部分（</w:t>
            </w:r>
            <w:r>
              <w:rPr>
                <w:rFonts w:hint="eastAsia" w:ascii="宋体" w:hAnsi="宋体" w:eastAsia="宋体" w:cs="宋体"/>
                <w:color w:val="000000"/>
                <w:sz w:val="24"/>
              </w:rPr>
              <w:t xml:space="preserve">50</w:t>
            </w:r>
            <w:r>
              <w:rPr>
                <w:rFonts w:ascii="宋体" w:hAnsi="宋体" w:eastAsia="宋体" w:cs="宋体"/>
                <w:color w:val="000000"/>
                <w:sz w:val="24"/>
              </w:rPr>
              <w:t xml:space="preserve">分）</w:t>
            </w:r>
            <w:r/>
          </w:p>
        </w:tc>
        <w:tc>
          <w:tcPr>
            <w:tcMar>
              <w:left w:w="108" w:type="dxa"/>
              <w:top w:w="0" w:type="dxa"/>
              <w:right w:w="108" w:type="dxa"/>
              <w:bottom w:w="0" w:type="dxa"/>
            </w:tcMar>
            <w:tcW w:w="1290"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源头及质量控制方案</w:t>
            </w:r>
            <w:r/>
          </w:p>
        </w:tc>
        <w:tc>
          <w:tcPr>
            <w:tcMar>
              <w:left w:w="108" w:type="dxa"/>
              <w:top w:w="0" w:type="dxa"/>
              <w:right w:w="108" w:type="dxa"/>
              <w:bottom w:w="0" w:type="dxa"/>
            </w:tcMar>
            <w:tcW w:w="717"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Mar>
              <w:left w:w="108" w:type="dxa"/>
              <w:top w:w="0" w:type="dxa"/>
              <w:right w:w="108" w:type="dxa"/>
              <w:bottom w:w="0" w:type="dxa"/>
            </w:tcMar>
            <w:tcW w:w="6214" w:type="dxa"/>
            <w:vAlign w:val="center"/>
            <w:textDirection w:val="lrTb"/>
            <w:noWrap w:val="false"/>
          </w:tcPr>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供应商提供冻猪肉源头及质量控制方案包括：（1）猪肉产地控制方案；（2）溯源管理方案；（3）质控检验方案；</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方案详细合理、控制性强、体系完善、有全面的保障，每有一项得3分；方案内容过于笼统没有针对性的，每有一项得2分；缺少内容，或内容明显错误，或内容非专门针对本项目，每有一项得1分；未提供不得分。</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注：提供货源保障说明及证明材料。</w:t>
            </w:r>
            <w:r/>
          </w:p>
        </w:tc>
      </w:tr>
      <w:tr>
        <w:trPr>
          <w:trHeight w:val="90"/>
        </w:trPr>
        <w:tc>
          <w:tcPr>
            <w:tcW w:w="0" w:type="auto"/>
            <w:vMerge w:val="continue"/>
            <w:textDirection w:val="lrTb"/>
            <w:noWrap w:val="false"/>
          </w:tcPr>
          <w:p>
            <w:pPr>
              <w:contextualSpacing/>
              <w:spacing w:line="480" w:lineRule="exact"/>
            </w:pPr>
            <w:r/>
            <w:r/>
          </w:p>
        </w:tc>
        <w:tc>
          <w:tcPr>
            <w:tcMar>
              <w:left w:w="108" w:type="dxa"/>
              <w:top w:w="0" w:type="dxa"/>
              <w:right w:w="108" w:type="dxa"/>
              <w:bottom w:w="0" w:type="dxa"/>
            </w:tcMar>
            <w:tcW w:w="1290"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应急投</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放方案</w:t>
            </w:r>
            <w:r/>
          </w:p>
        </w:tc>
        <w:tc>
          <w:tcPr>
            <w:tcMar>
              <w:left w:w="108" w:type="dxa"/>
              <w:top w:w="0" w:type="dxa"/>
              <w:right w:w="108" w:type="dxa"/>
              <w:bottom w:w="0" w:type="dxa"/>
            </w:tcMar>
            <w:tcW w:w="717"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Mar>
              <w:left w:w="108" w:type="dxa"/>
              <w:top w:w="0" w:type="dxa"/>
              <w:right w:w="108" w:type="dxa"/>
              <w:bottom w:w="0" w:type="dxa"/>
            </w:tcMar>
            <w:tcW w:w="6214" w:type="dxa"/>
            <w:vAlign w:val="center"/>
            <w:textDirection w:val="lrTb"/>
            <w:noWrap w:val="false"/>
          </w:tcPr>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应急投放方案考虑全面、应急速度快、可行性及针对性强的得8分；方案内容过于笼统没有针对性的得5分；缺少内容，或内容明显错误，或内容非专门针对本项目的得2分；未提供不得分。</w:t>
            </w:r>
            <w:r/>
          </w:p>
        </w:tc>
      </w:tr>
      <w:tr>
        <w:trPr>
          <w:trHeight w:val="90"/>
        </w:trPr>
        <w:tc>
          <w:tcPr>
            <w:tcW w:w="0" w:type="auto"/>
            <w:vMerge w:val="continue"/>
            <w:textDirection w:val="lrTb"/>
            <w:noWrap w:val="false"/>
          </w:tcPr>
          <w:p>
            <w:pPr>
              <w:contextualSpacing/>
              <w:spacing w:line="480" w:lineRule="exact"/>
            </w:pPr>
            <w:r/>
            <w:r/>
          </w:p>
        </w:tc>
        <w:tc>
          <w:tcPr>
            <w:tcMar>
              <w:left w:w="108" w:type="dxa"/>
              <w:top w:w="0" w:type="dxa"/>
              <w:right w:w="108" w:type="dxa"/>
              <w:bottom w:w="0" w:type="dxa"/>
            </w:tcMar>
            <w:tcW w:w="1290"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配送能力</w:t>
            </w:r>
            <w:r/>
          </w:p>
        </w:tc>
        <w:tc>
          <w:tcPr>
            <w:tcMar>
              <w:left w:w="108" w:type="dxa"/>
              <w:top w:w="0" w:type="dxa"/>
              <w:right w:w="108" w:type="dxa"/>
              <w:bottom w:w="0" w:type="dxa"/>
            </w:tcMar>
            <w:tcW w:w="717"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w:t>
            </w:r>
            <w:r/>
          </w:p>
        </w:tc>
        <w:tc>
          <w:tcPr>
            <w:tcMar>
              <w:left w:w="108" w:type="dxa"/>
              <w:top w:w="0" w:type="dxa"/>
              <w:right w:w="108" w:type="dxa"/>
              <w:bottom w:w="0" w:type="dxa"/>
            </w:tcMar>
            <w:tcW w:w="6214" w:type="dxa"/>
            <w:vAlign w:val="center"/>
            <w:textDirection w:val="lrTb"/>
            <w:noWrap w:val="false"/>
          </w:tcPr>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根据本项目的服务辐射范围，在采购人需要时，提供配送服务：</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供应商具备完善的配送团队、车辆完善且充足，能够对本项目覆盖范围内的商超、菜场等有完善的配送方案，制定的方案适配性强的得</w:t>
            </w:r>
            <w:r>
              <w:rPr>
                <w:rFonts w:hint="eastAsia" w:ascii="宋体" w:hAnsi="宋体" w:eastAsia="宋体" w:cs="宋体"/>
                <w:color w:val="000000"/>
                <w:sz w:val="24"/>
              </w:rPr>
              <w:t xml:space="preserve">5</w:t>
            </w:r>
            <w:r>
              <w:rPr>
                <w:rFonts w:ascii="宋体" w:hAnsi="宋体" w:eastAsia="宋体" w:cs="宋体"/>
                <w:color w:val="000000"/>
                <w:sz w:val="24"/>
              </w:rPr>
              <w:t xml:space="preserve">分；方案内容过于笼统没有针对性的得</w:t>
            </w:r>
            <w:r>
              <w:rPr>
                <w:rFonts w:hint="eastAsia" w:ascii="宋体" w:hAnsi="宋体" w:eastAsia="宋体" w:cs="宋体"/>
                <w:color w:val="000000"/>
                <w:sz w:val="24"/>
              </w:rPr>
              <w:t xml:space="preserve">3</w:t>
            </w:r>
            <w:r>
              <w:rPr>
                <w:rFonts w:ascii="宋体" w:hAnsi="宋体" w:eastAsia="宋体" w:cs="宋体"/>
                <w:color w:val="000000"/>
                <w:sz w:val="24"/>
              </w:rPr>
              <w:t xml:space="preserve">分；缺少内容，或内容明显错误，或内容非专门针对本项目的得1分；未提供不得分。</w:t>
            </w:r>
            <w:r/>
          </w:p>
        </w:tc>
      </w:tr>
      <w:tr>
        <w:trPr>
          <w:trHeight w:val="558"/>
        </w:trPr>
        <w:tc>
          <w:tcPr>
            <w:tcW w:w="0" w:type="auto"/>
            <w:vMerge w:val="continue"/>
            <w:textDirection w:val="lrTb"/>
            <w:noWrap w:val="false"/>
          </w:tcPr>
          <w:p>
            <w:pPr>
              <w:contextualSpacing/>
              <w:spacing w:line="480" w:lineRule="exact"/>
            </w:pPr>
            <w:r/>
            <w:r/>
          </w:p>
        </w:tc>
        <w:tc>
          <w:tcPr>
            <w:tcMar>
              <w:left w:w="108" w:type="dxa"/>
              <w:top w:w="0" w:type="dxa"/>
              <w:right w:w="108" w:type="dxa"/>
              <w:bottom w:w="0" w:type="dxa"/>
            </w:tcMar>
            <w:tcW w:w="1290"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在库管理方案</w:t>
            </w:r>
            <w:r/>
          </w:p>
        </w:tc>
        <w:tc>
          <w:tcPr>
            <w:tcMar>
              <w:left w:w="108" w:type="dxa"/>
              <w:top w:w="0" w:type="dxa"/>
              <w:right w:w="108" w:type="dxa"/>
              <w:bottom w:w="0" w:type="dxa"/>
            </w:tcMar>
            <w:tcW w:w="717"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Mar>
              <w:left w:w="108" w:type="dxa"/>
              <w:top w:w="0" w:type="dxa"/>
              <w:right w:w="108" w:type="dxa"/>
              <w:bottom w:w="0" w:type="dxa"/>
            </w:tcMar>
            <w:tcW w:w="6214" w:type="dxa"/>
            <w:vAlign w:val="center"/>
            <w:textDirection w:val="lrTb"/>
            <w:noWrap w:val="false"/>
          </w:tcPr>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供应商提供冻猪肉在库管理方案包括：（1）专仓/专垛和专栏承储方案；（2）专人管理、专账记载管理方案；（3）挂牌明示等在库管理方案；</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方案详细合理、控制性强、内容全面的，每有一项得3分；方案内容过于笼统没有针对性的，每有一项得2分；缺少内容，或内容明显错误，或内容非专门针对本项目，每有一项得1分；未提供不得分。</w:t>
            </w:r>
            <w:r/>
          </w:p>
        </w:tc>
      </w:tr>
      <w:tr>
        <w:trPr>
          <w:trHeight w:val="90"/>
        </w:trPr>
        <w:tc>
          <w:tcPr>
            <w:tcW w:w="0" w:type="auto"/>
            <w:vMerge w:val="continue"/>
            <w:textDirection w:val="lrTb"/>
            <w:noWrap w:val="false"/>
          </w:tcPr>
          <w:p>
            <w:pPr>
              <w:contextualSpacing/>
              <w:spacing w:line="480" w:lineRule="exact"/>
            </w:pPr>
            <w:r/>
            <w:r/>
          </w:p>
        </w:tc>
        <w:tc>
          <w:tcPr>
            <w:tcMar>
              <w:left w:w="108" w:type="dxa"/>
              <w:top w:w="0" w:type="dxa"/>
              <w:right w:w="108" w:type="dxa"/>
              <w:bottom w:w="0" w:type="dxa"/>
            </w:tcMar>
            <w:tcW w:w="1290"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安全卫生管控方案</w:t>
            </w:r>
            <w:r/>
          </w:p>
        </w:tc>
        <w:tc>
          <w:tcPr>
            <w:tcMar>
              <w:left w:w="108" w:type="dxa"/>
              <w:top w:w="0" w:type="dxa"/>
              <w:right w:w="108" w:type="dxa"/>
              <w:bottom w:w="0" w:type="dxa"/>
            </w:tcMar>
            <w:tcW w:w="717"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Mar>
              <w:left w:w="108" w:type="dxa"/>
              <w:top w:w="0" w:type="dxa"/>
              <w:right w:w="108" w:type="dxa"/>
              <w:bottom w:w="0" w:type="dxa"/>
            </w:tcMar>
            <w:tcW w:w="6214" w:type="dxa"/>
            <w:vAlign w:val="center"/>
            <w:textDirection w:val="lrTb"/>
            <w:noWrap w:val="false"/>
          </w:tcPr>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供应商提供冻猪肉安全卫生管控方案包括：（1）运输流程管控方案；（2）储存环境控制方案；（3）服务人员健康证配备等安全卫生管控方案；</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方案详细合理、控制性强、内容全面的，每有一项得3分；方案内容过于笼统没有针对性的，每有一项得2分；缺少内容，或内容明显错误，或内容非专门针对本项目，每有一项得1分；未提供不得分。</w:t>
            </w:r>
            <w:r/>
          </w:p>
        </w:tc>
      </w:tr>
      <w:tr>
        <w:trPr>
          <w:trHeight w:val="1445"/>
        </w:trPr>
        <w:tc>
          <w:tcPr>
            <w:tcW w:w="0" w:type="auto"/>
            <w:vMerge w:val="continue"/>
            <w:textDirection w:val="lrTb"/>
            <w:noWrap w:val="false"/>
          </w:tcPr>
          <w:p>
            <w:pPr>
              <w:contextualSpacing/>
              <w:spacing w:line="480" w:lineRule="exact"/>
            </w:pPr>
            <w:r/>
            <w:r/>
          </w:p>
        </w:tc>
        <w:tc>
          <w:tcPr>
            <w:tcMar>
              <w:left w:w="108" w:type="dxa"/>
              <w:top w:w="0" w:type="dxa"/>
              <w:right w:w="108" w:type="dxa"/>
              <w:bottom w:w="0" w:type="dxa"/>
            </w:tcMar>
            <w:tcW w:w="1290"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轮换管理方案</w:t>
            </w:r>
            <w:r/>
          </w:p>
        </w:tc>
        <w:tc>
          <w:tcPr>
            <w:tcMar>
              <w:left w:w="108" w:type="dxa"/>
              <w:top w:w="0" w:type="dxa"/>
              <w:right w:w="108" w:type="dxa"/>
              <w:bottom w:w="0" w:type="dxa"/>
            </w:tcMar>
            <w:tcW w:w="717"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Mar>
              <w:left w:w="108" w:type="dxa"/>
              <w:top w:w="0" w:type="dxa"/>
              <w:right w:w="108" w:type="dxa"/>
              <w:bottom w:w="0" w:type="dxa"/>
            </w:tcMar>
            <w:tcW w:w="6214" w:type="dxa"/>
            <w:vAlign w:val="center"/>
            <w:textDirection w:val="lrTb"/>
            <w:noWrap w:val="false"/>
          </w:tcPr>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供应商提供冻猪肉轮换管理方案：</w:t>
            </w:r>
            <w:r/>
          </w:p>
          <w:p>
            <w:pPr>
              <w:contextualSpacing/>
              <w:jc w:val="both"/>
              <w:spacing w:line="48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案详细合理、控制性强、内容全面的得10分；方案较详细合理、控制性较强、内容较全面的得8分；方案内容过于笼统没有针对性的得5分；缺少内容，或内容明显错误，或内容非专门针对本项目的得2分；未提供不得分。</w:t>
            </w:r>
            <w:r/>
          </w:p>
        </w:tc>
      </w:tr>
    </w:tbl>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注：提供的所有证明材料扫描件均需签章。</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投标人必须保证全部投标资料的真实性，如有虚假或对招标文件所要求说明的情况故意隐瞒或虚报，视为不实质性响应招标文件，为无效投标。</w:t>
      </w:r>
      <w:r/>
    </w:p>
    <w:p>
      <w:pPr>
        <w:contextualSpacing/>
        <w:ind w:firstLine="643"/>
        <w:jc w:val="both"/>
        <w:spacing w:line="480" w:lineRule="exact"/>
        <w:pBdr>
          <w:top w:val="none" w:color="000000" w:sz="0" w:space="0"/>
          <w:left w:val="none" w:color="000000" w:sz="0" w:space="0"/>
          <w:bottom w:val="none" w:color="000000" w:sz="0" w:space="0"/>
          <w:right w:val="none" w:color="000000" w:sz="0" w:space="0"/>
        </w:pBdr>
      </w:pPr>
      <w:r>
        <w:br w:type="page" w:clear="all"/>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第五章 合同条款</w:t>
      </w:r>
      <w:r/>
    </w:p>
    <w:p>
      <w:pPr>
        <w:contextualSpacing/>
        <w:ind w:firstLine="480"/>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以下为中标后签订本项目合同的通用条款，中标人不得提出实质性的修改，关于专用条款将由采购人与中标人结合本项目具体情况协商后签订。</w:t>
      </w:r>
      <w:r/>
    </w:p>
    <w:p>
      <w:pPr>
        <w:contextualSpacing/>
        <w:ind w:firstLine="482"/>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政府采购合同（参考文本）</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 </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 </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项目名称）项目（项目编号：）招标的结果，乙方被确定为泰州市猪肉储备服务供应商。甲方受市政府委托授权，与乙方协商有关政府冻猪肉储备相关事宜。双方经平等、自愿、协商一致，就泰州市猪肉储备服务项目有关事宜达成一致，签订本合同。</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第一条储备承储名称、品种、数量</w:t>
      </w:r>
      <w:r/>
    </w:p>
    <w:tbl>
      <w:tblPr>
        <w:tblStyle w:val="6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3257"/>
        <w:gridCol w:w="240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7"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   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储备总数量</w:t>
            </w:r>
            <w:r/>
          </w:p>
        </w:tc>
      </w:tr>
      <w:tr>
        <w:trPr>
          <w:trHeight w:val="8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冻猪肉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7"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以6分体等热销单品为主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650吨</w:t>
            </w:r>
            <w:r/>
          </w:p>
        </w:tc>
      </w:tr>
    </w:tbl>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第二条储备保障服务内容、质量、标准和要求</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乙方应保持库存猪肉储备不得低于协议储备总数量，除非当甲方要求调用时，乙方要确保储备总数量在猪肉调出后48小时之内全部补充到位。所有冻猪肉的剩余保质期必须在半年以上。合同签订后，承储单位应根据储备任务在15日内完成猪肉收储入库。</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（二）在库管理：乙方要对储备猪肉实行专库存储、专人管理、专账记载、挂牌（泰州市政府储备肉）标</w:t>
      </w:r>
      <w:r>
        <w:rPr>
          <w:rFonts w:hint="eastAsia" w:ascii="宋体" w:hAnsi="宋体" w:eastAsia="宋体" w:cs="宋体"/>
          <w:color w:val="000000"/>
          <w:sz w:val="24"/>
        </w:rPr>
        <w:t xml:space="preserve">识</w:t>
      </w:r>
      <w:r>
        <w:rPr>
          <w:rFonts w:ascii="宋体" w:hAnsi="宋体" w:eastAsia="宋体" w:cs="宋体"/>
          <w:color w:val="000000"/>
          <w:sz w:val="24"/>
        </w:rPr>
        <w:t xml:space="preserve">，每批入库的猪肉须具备质量（检疫证、检验证或报关检验检疫证等）</w:t>
      </w:r>
      <w:r>
        <w:rPr>
          <w:rFonts w:hint="eastAsia" w:ascii="宋体" w:hAnsi="宋体" w:eastAsia="宋体" w:cs="宋体"/>
          <w:color w:val="000000"/>
          <w:sz w:val="24"/>
        </w:rPr>
        <w:t xml:space="preserve">的抽检证明等</w:t>
      </w:r>
      <w:r>
        <w:rPr>
          <w:rFonts w:ascii="宋体" w:hAnsi="宋体" w:eastAsia="宋体" w:cs="宋体"/>
          <w:color w:val="000000"/>
          <w:sz w:val="24"/>
        </w:rPr>
        <w:t xml:space="preserve">，确保</w:t>
      </w:r>
      <w:r>
        <w:rPr>
          <w:rFonts w:hint="eastAsia" w:ascii="宋体" w:hAnsi="宋体" w:eastAsia="宋体" w:cs="宋体"/>
          <w:color w:val="000000"/>
          <w:sz w:val="24"/>
        </w:rPr>
        <w:t xml:space="preserve">实物台账与库存实物相吻合</w:t>
      </w:r>
      <w:r>
        <w:rPr>
          <w:rFonts w:ascii="宋体" w:hAnsi="宋体" w:eastAsia="宋体" w:cs="宋体"/>
          <w:color w:val="000000"/>
          <w:sz w:val="24"/>
        </w:rPr>
        <w:t xml:space="preserve">、质量良好和储存安全。乙方不得虚报储备数量，不得自行变更储备猪肉冷藏专库。乙方应于每个月前5个工作日内向甲方报送上月的统计报表。</w:t>
      </w:r>
      <w:r/>
    </w:p>
    <w:p>
      <w:pPr>
        <w:contextualSpacing/>
        <w:ind w:firstLine="480"/>
        <w:jc w:val="both"/>
        <w:spacing w:line="480" w:lineRule="exact"/>
        <w:tabs>
          <w:tab w:val="left" w:pos="12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量管理：猪肉储备入库质量由承储企业依法取得国家法定检疫机构按批次出具的动物产品检疫合格证明，在库品质检验检测由承储企业委托具有法定检测资质的机构对储备商品进行在库质量检验检测并出具检测报告，确保储备肉质量与安全。政府相关部门不定期对储存</w:t>
      </w:r>
      <w:r>
        <w:rPr>
          <w:rFonts w:hint="eastAsia" w:ascii="宋体" w:hAnsi="宋体" w:eastAsia="宋体" w:cs="宋体"/>
          <w:color w:val="000000"/>
          <w:sz w:val="24"/>
        </w:rPr>
        <w:t xml:space="preserve">情况</w:t>
      </w:r>
      <w:r>
        <w:rPr>
          <w:rFonts w:ascii="宋体" w:hAnsi="宋体" w:eastAsia="宋体" w:cs="宋体"/>
          <w:color w:val="000000"/>
          <w:sz w:val="24"/>
        </w:rPr>
        <w:t xml:space="preserve">进行检查，乙方必须积极配合，并提供冻猪肉储备台账及相关资料。</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第三条 储备冻猪肉的轮库和调用</w:t>
      </w:r>
      <w:r/>
    </w:p>
    <w:p>
      <w:pPr>
        <w:contextualSpacing/>
        <w:ind w:firstLine="480"/>
        <w:jc w:val="both"/>
        <w:spacing w:line="480" w:lineRule="exact"/>
        <w:tabs>
          <w:tab w:val="left" w:pos="12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轮库和出库。猪肉储备在有效期内合理安排分批次轮换，确保储备猪肉在保质期内，乙方在满足储备计划要求的前提下，可以按正常更新轮换要求自行出售储备冻肉，自负盈亏且保持猪肉储存协议总量不变。</w:t>
      </w:r>
      <w:r/>
    </w:p>
    <w:p>
      <w:pPr>
        <w:contextualSpacing/>
        <w:ind w:firstLine="480"/>
        <w:jc w:val="both"/>
        <w:spacing w:line="480" w:lineRule="exact"/>
        <w:tabs>
          <w:tab w:val="left" w:pos="12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调用和投放。采购人根据国家、省相关部门和市政府保供稳价等相关要求，及时进行猪肉的市场投放，乙方应按甲方的要求进行定点定向定量定价投放，甲方调用时，乙方接到采购人调用通知后，应在24小时内组织人员做好调用货品的准备、出库，并负责相关的调用费用和猪肉的全过程卫生、质量安全。</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第四条储备资金、储备费用及贷款费用</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（一）猪肉储备服务费用按照</w:t>
      </w:r>
      <w:r>
        <w:rPr>
          <w:rFonts w:ascii="宋体" w:hAnsi="宋体" w:eastAsia="宋体" w:cs="宋体"/>
          <w:color w:val="000000"/>
          <w:sz w:val="24"/>
          <w:u w:val="single"/>
        </w:rPr>
        <w:t xml:space="preserve">     </w:t>
      </w:r>
      <w:r>
        <w:rPr>
          <w:rFonts w:ascii="宋体" w:hAnsi="宋体" w:eastAsia="宋体" w:cs="宋体"/>
          <w:color w:val="000000"/>
          <w:sz w:val="24"/>
        </w:rPr>
        <w:t xml:space="preserve">元/吨•年的标准实行，650吨储备肉每年合计费用</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（二）乙方不得将在库储备冻猪肉对外进行质押、担保或者清偿债务。乙方进入撤销、解散或者破产程序时，应提前书面告知甲方。</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第五条合同期限</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储备任务自202</w:t>
      </w:r>
      <w:r>
        <w:rPr>
          <w:rFonts w:hint="eastAsia" w:ascii="宋体" w:hAnsi="宋体" w:eastAsia="宋体" w:cs="宋体"/>
          <w:color w:val="000000"/>
          <w:sz w:val="24"/>
        </w:rPr>
        <w:t xml:space="preserve">6</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日起，至202</w:t>
      </w:r>
      <w:r>
        <w:rPr>
          <w:rFonts w:hint="eastAsia" w:ascii="宋体" w:hAnsi="宋体" w:eastAsia="宋体" w:cs="宋体"/>
          <w:color w:val="000000"/>
          <w:sz w:val="24"/>
        </w:rPr>
        <w:t xml:space="preserve">9</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日止，时间36个月。</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如遇上级猪肉储备政策调整,甲方有权变更或中止合同。</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第六条付款及支付方式</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（一）合同签订后按年度支付，每个年度合同服务期满后</w:t>
      </w:r>
      <w:r>
        <w:rPr>
          <w:rFonts w:hint="eastAsia" w:ascii="宋体" w:hAnsi="宋体" w:eastAsia="宋体" w:cs="宋体"/>
          <w:color w:val="000000"/>
          <w:sz w:val="24"/>
        </w:rPr>
        <w:t xml:space="preserve">即支付年度费用，</w:t>
      </w:r>
      <w:r>
        <w:rPr>
          <w:rFonts w:ascii="宋体" w:hAnsi="宋体" w:eastAsia="宋体" w:cs="宋体"/>
          <w:color w:val="000000"/>
          <w:sz w:val="24"/>
        </w:rPr>
        <w:t xml:space="preserve">发生调用时待甲方委托的审计机构审计结束后下一年度支付；</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（二）支付方式：银行转账，乙方账户名称： ，开户银行: ，账号： 。</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第七条</w:t>
      </w:r>
      <w:r>
        <w:rPr>
          <w:rFonts w:ascii="宋体" w:hAnsi="宋体" w:eastAsia="宋体" w:cs="宋体"/>
          <w:b/>
          <w:color w:val="000000"/>
          <w:sz w:val="24"/>
        </w:rPr>
        <w:t xml:space="preserve">违约责任及其他要求</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未经甲方同意，无权减少猪肉储备数量，甲方将根据实际情况，对乙方储备情况进行严格检查。一经发现弄虚作假、账实不符、存储期限内品种数量短缺、公检不合格、不配合检查工作的，甲方将取消猪肉协议储备企业的储备资格，不再支付没有支付的本合同约定的剩余款项，采购人有权对猪肉协议储备企业追究相关责任。</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2、不能如期报送猪肉储备相关数据的，每少一次扣除500元。</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3、乙方必须高度重视安全生产。保管期间，由于管理不善或作业工人操作不规范等因素造成的安全事故，均由乙方承担一切责任和损失。</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4、乙方必须自觉接受采购单位的定期（每季度不少于1次）或不定期检查。甲方会不定期抽查中标供应商的储备情况，如乙方未达到合同储备标准，甲方有权责成乙方整改到位。</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ascii="Segoe UI" w:hAnsi="Segoe UI" w:eastAsia="Segoe UI" w:cs="Segoe UI"/>
          <w:color w:val="000000"/>
          <w:sz w:val="24"/>
          <w:highlight w:val="white"/>
        </w:rPr>
        <w:t xml:space="preserve">乙方需确保储备能力符合合同约定，如因其他业务影响储备任务，需提前30日书面通知甲方并协商解决方案</w:t>
      </w:r>
      <w:r>
        <w:rPr>
          <w:rFonts w:ascii="宋体" w:hAnsi="宋体" w:eastAsia="宋体" w:cs="宋体"/>
          <w:color w:val="000000"/>
          <w:sz w:val="24"/>
        </w:rPr>
        <w:t xml:space="preserve">。</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6、甲方与乙方服务人员不发生雇佣关系，乙方和用工人员应遵守甲方的相关规章制度及安全操作规章制度，若发生人身伤害等工伤事故，由乙方自负，与采购单位无涉。</w:t>
      </w:r>
      <w:r/>
    </w:p>
    <w:p>
      <w:pPr>
        <w:contextualSpacing/>
        <w:ind w:firstLine="3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7、甲方除按规定支付本合同约定的费用外，不承担因储备而产生的任何风险和责任。</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第八条 争议解决方式</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本合同相关及因合同履行引起的任何争议，双方协商解决，若协商不成，可以向甲方所在地人民法院提起诉讼。</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本合同一式</w:t>
      </w:r>
      <w:r>
        <w:rPr>
          <w:rFonts w:ascii="宋体" w:hAnsi="宋体" w:eastAsia="宋体" w:cs="宋体"/>
          <w:color w:val="000000"/>
          <w:sz w:val="24"/>
          <w:u w:val="single"/>
        </w:rPr>
        <w:t xml:space="preserve">两</w:t>
      </w:r>
      <w:r>
        <w:rPr>
          <w:rFonts w:ascii="宋体" w:hAnsi="宋体" w:eastAsia="宋体" w:cs="宋体"/>
          <w:color w:val="000000"/>
          <w:sz w:val="24"/>
        </w:rPr>
        <w:t xml:space="preserve">份，甲方、乙方各执一份。</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本合同经双方盖章并代表签字之日起生效。</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 方 （盖章）：乙方（盖章）:                       </w:t>
      </w:r>
      <w:r/>
    </w:p>
    <w:p>
      <w:pPr>
        <w:contextualSpacing/>
        <w:ind w:left="52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代表（签字）：代表（签字）：</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签约日期：年月日签约日期：年月日</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注：甲、乙双方通过苏采云政府采购一体化平台签订电子合同，并加盖电子签章，网址：http://jszfcg.jscz.gov.cn/jszc/login。</w:t>
      </w:r>
      <w:r/>
    </w:p>
    <w:p>
      <w:pPr>
        <w:contextualSpacing/>
        <w:ind w:firstLine="64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第六章 投标文件格式</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说明：对本章所有的投标书格式，除开标一览表外，投标方可根据自身情况进行补充和修改，但补充和修改不得造成与本格式内容有实质性的违背。</w:t>
      </w:r>
      <w:r/>
    </w:p>
    <w:p>
      <w:pPr>
        <w:contextualSpacing/>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24"/>
        </w:rPr>
        <w:br w:type="page" w:clear="all"/>
      </w:r>
      <w:r/>
    </w:p>
    <w:p>
      <w:pPr>
        <w:contextualSpacing/>
        <w:jc w:val="center"/>
        <w:spacing w:before="240" w:after="240" w:line="480" w:lineRule="auto"/>
        <w:rPr>
          <w:rFonts w:hint="eastAsia" w:ascii="宋体" w:hAnsi="宋体" w:eastAsia="宋体" w:cs="宋体"/>
          <w:b/>
          <w:color w:val="000000"/>
          <w:sz w:val="7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 </w:t>
      </w:r>
      <w:r/>
    </w:p>
    <w:p>
      <w:pPr>
        <w:contextualSpacing/>
        <w:jc w:val="center"/>
        <w:spacing w:before="240" w:after="240" w:line="48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  标  文  件</w:t>
      </w:r>
      <w:r/>
    </w:p>
    <w:p>
      <w:pPr>
        <w:contextualSpacing/>
        <w:jc w:val="center"/>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contextualSpacing/>
        <w:jc w:val="center"/>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contextualSpacing/>
        <w:jc w:val="center"/>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contextualSpacing/>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contextualSpacing/>
        <w:ind w:firstLine="1626"/>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项 目 名 称：</w:t>
      </w:r>
      <w:r>
        <w:rPr>
          <w:rFonts w:ascii="宋体" w:hAnsi="宋体" w:eastAsia="宋体" w:cs="宋体"/>
          <w:b/>
          <w:color w:val="000000"/>
          <w:sz w:val="28"/>
          <w:u w:val="single"/>
        </w:rPr>
        <w:t xml:space="preserve">             </w:t>
      </w:r>
      <w:r/>
    </w:p>
    <w:p>
      <w:pPr>
        <w:contextualSpacing/>
        <w:ind w:firstLine="1626"/>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招 标 编 号：</w:t>
      </w:r>
      <w:r>
        <w:rPr>
          <w:rFonts w:ascii="宋体" w:hAnsi="宋体" w:eastAsia="宋体" w:cs="宋体"/>
          <w:b/>
          <w:color w:val="000000"/>
          <w:sz w:val="28"/>
          <w:u w:val="single"/>
        </w:rPr>
        <w:t xml:space="preserve">             </w:t>
      </w:r>
      <w:r/>
    </w:p>
    <w:p>
      <w:pPr>
        <w:contextualSpacing/>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contextualSpacing/>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contextualSpacing/>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contextualSpacing/>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contextualSpacing/>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投标人名称 ：</w:t>
      </w:r>
      <w:r>
        <w:rPr>
          <w:rFonts w:ascii="宋体" w:hAnsi="宋体" w:eastAsia="宋体" w:cs="宋体"/>
          <w:b/>
          <w:color w:val="000000"/>
          <w:sz w:val="28"/>
          <w:u w:val="single"/>
        </w:rPr>
        <w:t xml:space="preserve">             </w:t>
      </w:r>
      <w:r/>
    </w:p>
    <w:p>
      <w:pPr>
        <w:contextualSpacing/>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日   期 ：</w:t>
      </w:r>
      <w:r>
        <w:rPr>
          <w:rFonts w:ascii="宋体" w:hAnsi="宋体" w:eastAsia="宋体" w:cs="宋体"/>
          <w:b/>
          <w:color w:val="000000"/>
          <w:sz w:val="28"/>
          <w:u w:val="single"/>
        </w:rPr>
        <w:t xml:space="preserve">    年  月  日      </w:t>
      </w:r>
      <w:r/>
    </w:p>
    <w:p>
      <w:pPr>
        <w:contextualSpacing/>
        <w:spacing w:line="480" w:lineRule="exac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contextualSpacing/>
        <w:spacing w:after="200" w:line="480" w:lineRule="exac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contextualSpacing/>
        <w:ind w:firstLine="640"/>
        <w:spacing w:line="480" w:lineRule="exact"/>
        <w:pBdr>
          <w:top w:val="none" w:color="000000" w:sz="0" w:space="0"/>
          <w:left w:val="none" w:color="000000" w:sz="0" w:space="0"/>
          <w:bottom w:val="none" w:color="000000" w:sz="0" w:space="0"/>
          <w:right w:val="none" w:color="000000" w:sz="0" w:space="0"/>
        </w:pBdr>
      </w:pPr>
      <w:r>
        <w:br w:type="page" w:clear="all"/>
      </w:r>
      <w:r/>
    </w:p>
    <w:p>
      <w:pPr>
        <w:contextualSpacing/>
        <w:jc w:val="center"/>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开标一览表</w:t>
      </w:r>
      <w:r/>
    </w:p>
    <w:p>
      <w:pPr>
        <w:contextualSpacing/>
        <w:ind w:firstLine="54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项目编号：</w:t>
      </w:r>
      <w:r/>
    </w:p>
    <w:p>
      <w:pPr>
        <w:contextualSpacing/>
        <w:ind w:firstLine="54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货币单位：人民币元</w:t>
      </w:r>
      <w:r/>
    </w:p>
    <w:tbl>
      <w:tblPr>
        <w:tblStyle w:val="6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67"/>
        <w:gridCol w:w="2551"/>
        <w:gridCol w:w="3779"/>
      </w:tblGrid>
      <w:tr>
        <w:trPr/>
        <w:tc>
          <w:tcPr>
            <w:tcBorders>
              <w:top w:val="single" w:color="CCCCCC" w:sz="8" w:space="0"/>
              <w:left w:val="single" w:color="CCCCCC" w:sz="8" w:space="0"/>
              <w:bottom w:val="single" w:color="CCCCCC" w:sz="8" w:space="0"/>
              <w:right w:val="single" w:color="CCCCCC" w:sz="8" w:space="0"/>
            </w:tcBorders>
            <w:tcMar>
              <w:left w:w="15" w:type="dxa"/>
              <w:top w:w="15" w:type="dxa"/>
              <w:right w:w="15" w:type="dxa"/>
              <w:bottom w:w="15" w:type="dxa"/>
            </w:tcMar>
            <w:tcW w:w="2567" w:type="dxa"/>
            <w:vAlign w:val="center"/>
            <w:textDirection w:val="lrTb"/>
            <w:noWrap w:val="false"/>
          </w:tcPr>
          <w:p>
            <w:pPr>
              <w:contextualSpacing/>
              <w:ind w:firstLine="540"/>
              <w:spacing w:before="200" w:after="20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项目名称</w:t>
            </w:r>
            <w:r/>
          </w:p>
        </w:tc>
        <w:tc>
          <w:tcPr>
            <w:tcBorders>
              <w:top w:val="single" w:color="CCCCCC" w:sz="8" w:space="0"/>
              <w:left w:val="none" w:color="000000" w:sz="4" w:space="0"/>
              <w:bottom w:val="single" w:color="CCCCCC" w:sz="8" w:space="0"/>
              <w:right w:val="single" w:color="CCCCCC" w:sz="8" w:space="0"/>
            </w:tcBorders>
            <w:tcMar>
              <w:left w:w="15" w:type="dxa"/>
              <w:top w:w="15" w:type="dxa"/>
              <w:right w:w="15" w:type="dxa"/>
              <w:bottom w:w="15" w:type="dxa"/>
            </w:tcMar>
            <w:tcW w:w="2551" w:type="dxa"/>
            <w:vAlign w:val="center"/>
            <w:textDirection w:val="lrTb"/>
            <w:noWrap w:val="false"/>
          </w:tcPr>
          <w:p>
            <w:pPr>
              <w:contextualSpacing/>
              <w:ind w:firstLine="540"/>
              <w:spacing w:before="200" w:after="20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项目内容</w:t>
            </w:r>
            <w:r/>
          </w:p>
        </w:tc>
        <w:tc>
          <w:tcPr>
            <w:tcBorders>
              <w:top w:val="single" w:color="CCCCCC" w:sz="8" w:space="0"/>
              <w:left w:val="none" w:color="000000" w:sz="4" w:space="0"/>
              <w:bottom w:val="single" w:color="CCCCCC" w:sz="8" w:space="0"/>
              <w:right w:val="single" w:color="CCCCCC" w:sz="8" w:space="0"/>
            </w:tcBorders>
            <w:tcMar>
              <w:left w:w="15" w:type="dxa"/>
              <w:top w:w="15" w:type="dxa"/>
              <w:right w:w="15" w:type="dxa"/>
              <w:bottom w:w="15" w:type="dxa"/>
            </w:tcMar>
            <w:tcW w:w="3779" w:type="dxa"/>
            <w:vAlign w:val="center"/>
            <w:textDirection w:val="lrTb"/>
            <w:noWrap w:val="false"/>
          </w:tcPr>
          <w:p>
            <w:pPr>
              <w:contextualSpacing/>
              <w:ind w:firstLine="540"/>
              <w:spacing w:before="200" w:after="20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 总价（小写）</w:t>
            </w:r>
            <w:r/>
          </w:p>
        </w:tc>
      </w:tr>
      <w:tr>
        <w:trPr>
          <w:trHeight w:val="1091"/>
        </w:trPr>
        <w:tc>
          <w:tcPr>
            <w:tcBorders>
              <w:top w:val="none" w:color="000000" w:sz="4" w:space="0"/>
              <w:left w:val="single" w:color="CCCCCC" w:sz="8" w:space="0"/>
              <w:bottom w:val="single" w:color="CCCCCC" w:sz="8" w:space="0"/>
              <w:right w:val="single" w:color="CCCCCC" w:sz="8" w:space="0"/>
            </w:tcBorders>
            <w:tcMar>
              <w:left w:w="15" w:type="dxa"/>
              <w:top w:w="15" w:type="dxa"/>
              <w:right w:w="15" w:type="dxa"/>
              <w:bottom w:w="15" w:type="dxa"/>
            </w:tcMar>
            <w:tcW w:w="2567" w:type="dxa"/>
            <w:vAlign w:val="center"/>
            <w:textDirection w:val="lrTb"/>
            <w:noWrap w:val="false"/>
          </w:tcPr>
          <w:p>
            <w:pPr>
              <w:contextualSpacing/>
              <w:ind w:firstLine="44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2551" w:type="dxa"/>
            <w:vAlign w:val="center"/>
            <w:textDirection w:val="lrTb"/>
            <w:noWrap w:val="false"/>
          </w:tcPr>
          <w:p>
            <w:pPr>
              <w:contextualSpacing/>
              <w:ind w:firstLine="440"/>
              <w:spacing w:before="200" w:after="20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详见投标文件</w:t>
            </w:r>
            <w:r/>
          </w:p>
        </w:tc>
        <w:tc>
          <w:tcPr>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3779" w:type="dxa"/>
            <w:vAlign w:val="center"/>
            <w:textDirection w:val="lrTb"/>
            <w:noWrap w:val="false"/>
          </w:tcPr>
          <w:p>
            <w:pPr>
              <w:contextualSpacing/>
              <w:ind w:firstLine="1350"/>
              <w:spacing w:before="200" w:after="20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 元 </w:t>
            </w:r>
            <w:r/>
          </w:p>
        </w:tc>
      </w:tr>
      <w:tr>
        <w:trPr/>
        <w:tc>
          <w:tcPr>
            <w:tcBorders>
              <w:top w:val="none" w:color="000000" w:sz="4" w:space="0"/>
              <w:left w:val="single" w:color="CCCCCC" w:sz="8" w:space="0"/>
              <w:bottom w:val="single" w:color="CCCCCC" w:sz="8" w:space="0"/>
              <w:right w:val="single" w:color="CCCCCC" w:sz="8" w:space="0"/>
            </w:tcBorders>
            <w:tcMar>
              <w:left w:w="15" w:type="dxa"/>
              <w:top w:w="15" w:type="dxa"/>
              <w:right w:w="15" w:type="dxa"/>
              <w:bottom w:w="15" w:type="dxa"/>
            </w:tcMar>
            <w:tcW w:w="2567" w:type="dxa"/>
            <w:vAlign w:val="center"/>
            <w:textDirection w:val="lrTb"/>
            <w:noWrap w:val="false"/>
          </w:tcPr>
          <w:p>
            <w:pPr>
              <w:contextualSpacing/>
              <w:ind w:firstLine="540"/>
              <w:spacing w:before="200" w:after="20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总价（大写）：</w:t>
            </w:r>
            <w:r/>
          </w:p>
        </w:tc>
        <w:tc>
          <w:tcPr>
            <w:gridSpan w:val="2"/>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6330" w:type="dxa"/>
            <w:vAlign w:val="center"/>
            <w:textDirection w:val="lrTb"/>
            <w:noWrap w:val="false"/>
          </w:tcPr>
          <w:p>
            <w:pPr>
              <w:contextualSpacing/>
              <w:ind w:firstLine="540"/>
              <w:spacing w:before="200" w:after="20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金额大写 </w:t>
            </w:r>
            <w:r/>
          </w:p>
        </w:tc>
      </w:tr>
    </w:tbl>
    <w:p>
      <w:pPr>
        <w:contextualSpacing/>
        <w:ind w:firstLine="54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 </w:t>
      </w:r>
      <w:r/>
    </w:p>
    <w:p>
      <w:pPr>
        <w:contextualSpacing/>
        <w:ind w:firstLine="54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 </w:t>
      </w:r>
      <w:r/>
    </w:p>
    <w:p>
      <w:pPr>
        <w:contextualSpacing/>
        <w:ind w:firstLine="54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 </w:t>
      </w:r>
      <w:r/>
    </w:p>
    <w:p>
      <w:pPr>
        <w:contextualSpacing/>
        <w:ind w:firstLine="540"/>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投标人公章： （电子签章）</w:t>
      </w:r>
      <w:r/>
    </w:p>
    <w:p>
      <w:pPr>
        <w:contextualSpacing/>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2"/>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投标报价明细表</w:t>
      </w:r>
      <w:r/>
    </w:p>
    <w:p>
      <w:pPr>
        <w:contextualSpacing/>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ascii="宋体" w:hAnsi="宋体" w:eastAsia="宋体" w:cs="宋体"/>
          <w:color w:val="000000"/>
          <w:sz w:val="24"/>
          <w:u w:val="single"/>
        </w:rPr>
        <w:t xml:space="preserve">                   </w:t>
      </w:r>
      <w:r/>
    </w:p>
    <w:p>
      <w:pPr>
        <w:contextualSpacing/>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ascii="宋体" w:hAnsi="宋体" w:eastAsia="宋体" w:cs="宋体"/>
          <w:color w:val="000000"/>
          <w:sz w:val="24"/>
          <w:u w:val="single"/>
        </w:rPr>
        <w:t xml:space="preserve">                   </w:t>
      </w:r>
      <w:r/>
    </w:p>
    <w:p>
      <w:pPr>
        <w:contextualSpacing/>
        <w:jc w:val="both"/>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b/>
          <w:color w:val="000000"/>
          <w:sz w:val="24"/>
        </w:rPr>
        <w:t xml:space="preserve">                                              </w:t>
      </w:r>
      <w:r>
        <w:rPr>
          <w:rFonts w:ascii="宋体" w:hAnsi="宋体" w:eastAsia="宋体" w:cs="宋体"/>
          <w:color w:val="000000"/>
          <w:sz w:val="24"/>
        </w:rPr>
        <w:t xml:space="preserve">货币单位：人民币元</w:t>
      </w:r>
      <w:r/>
    </w:p>
    <w:tbl>
      <w:tblPr>
        <w:tblStyle w:val="6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5"/>
        <w:gridCol w:w="2635"/>
        <w:gridCol w:w="884"/>
        <w:gridCol w:w="1097"/>
        <w:gridCol w:w="1866"/>
        <w:gridCol w:w="1867"/>
      </w:tblGrid>
      <w:tr>
        <w:trPr>
          <w:trHeight w:val="7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6"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单价（元）/年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6"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合价（元）/年</w:t>
            </w:r>
            <w:r/>
          </w:p>
        </w:tc>
      </w:tr>
      <w:tr>
        <w:trPr>
          <w:trHeight w:val="22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详见招标文件第三章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6"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6"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816"/>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contextualSpacing/>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总报价（3年）：人民币（大写）</w:t>
            </w:r>
            <w:r>
              <w:rPr>
                <w:rFonts w:ascii="宋体" w:hAnsi="宋体" w:eastAsia="宋体" w:cs="宋体"/>
                <w:color w:val="000000"/>
                <w:sz w:val="24"/>
                <w:u w:val="single"/>
              </w:rPr>
              <w:t xml:space="preserve">       </w:t>
            </w:r>
            <w:r>
              <w:rPr>
                <w:rFonts w:ascii="宋体" w:hAnsi="宋体" w:eastAsia="宋体" w:cs="宋体"/>
                <w:color w:val="000000"/>
                <w:sz w:val="24"/>
              </w:rPr>
              <w:t xml:space="preserve">；（小写）¥：</w:t>
            </w:r>
            <w:r>
              <w:rPr>
                <w:rFonts w:ascii="宋体" w:hAnsi="宋体" w:eastAsia="宋体" w:cs="宋体"/>
                <w:color w:val="000000"/>
                <w:sz w:val="24"/>
                <w:u w:val="single"/>
              </w:rPr>
              <w:t xml:space="preserve">        </w:t>
            </w:r>
            <w:r/>
          </w:p>
        </w:tc>
      </w:tr>
    </w:tbl>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0"/>
        <w:jc w:val="right"/>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单位名称：（加盖CA电子公章）</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57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投 标 函</w:t>
      </w:r>
      <w:r/>
    </w:p>
    <w:p>
      <w:pPr>
        <w:contextualSpacing/>
        <w:ind w:left="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spacing w:before="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泰州市发展和改革委员会</w:t>
      </w:r>
      <w:r>
        <w:rPr>
          <w:rFonts w:ascii="宋体" w:hAnsi="宋体" w:eastAsia="宋体" w:cs="宋体"/>
          <w:color w:val="000000"/>
          <w:sz w:val="24"/>
        </w:rPr>
        <w:t xml:space="preserve">：</w:t>
      </w:r>
      <w:r/>
    </w:p>
    <w:p>
      <w:pPr>
        <w:contextualSpacing/>
        <w:ind w:firstLine="480"/>
        <w:spacing w:before="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我方全面研究了</w:t>
      </w:r>
      <w:r>
        <w:rPr>
          <w:rFonts w:ascii="宋体" w:hAnsi="宋体" w:eastAsia="宋体" w:cs="宋体"/>
          <w:b/>
          <w:color w:val="000000"/>
          <w:sz w:val="24"/>
          <w:u w:val="single"/>
        </w:rPr>
        <w:t xml:space="preserve">                      </w:t>
      </w:r>
      <w:r>
        <w:rPr>
          <w:rFonts w:ascii="宋体" w:hAnsi="宋体" w:eastAsia="宋体" w:cs="宋体"/>
          <w:color w:val="000000"/>
          <w:sz w:val="24"/>
        </w:rPr>
        <w:t xml:space="preserve">项目招标文件，决定参加贵单位组织的本项目投标。</w:t>
      </w:r>
      <w:r/>
    </w:p>
    <w:p>
      <w:pPr>
        <w:contextualSpacing/>
        <w:ind w:firstLine="480"/>
        <w:spacing w:before="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1.我方自愿按照招标文件规定的各项要求向采购人提供所需货物及服务。</w:t>
      </w:r>
      <w:r/>
    </w:p>
    <w:p>
      <w:pPr>
        <w:contextualSpacing/>
        <w:ind w:firstLine="480"/>
        <w:spacing w:before="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2.一旦我方中标，我们将严格履行招标文件中规定的每一项要求，按期、按质、按量履行合同的义务。</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3.我们已详细审查全部招标文件，包括更正文件（如有），对招标文件及更正公告（如有）无任何异议。我们完全理解并同意放弃对这方面有不明及误解的权利。</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4.我们同意按照招标文件中的规定，本投标书的有效期限为自投标截止之日起60天。</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5.我们愿意提供招标采购单位在招标文件中要求的所有资料。</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6.我们愿意遵守招标文件中所列的收费标准。</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7.我们承诺该项投标在开标后的全过程中保持有效，不作任何更改和变动。</w:t>
      </w:r>
      <w:r/>
    </w:p>
    <w:p>
      <w:pPr>
        <w:contextualSpacing/>
        <w:ind w:firstLine="480"/>
        <w:spacing w:before="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8.我方愿意提供贵单位可能另外要求的，与投标有关的文件资料，并保证我方已提供和将要提供的文件资料是真实、准确的。</w:t>
      </w:r>
      <w:r/>
    </w:p>
    <w:p>
      <w:pPr>
        <w:contextualSpacing/>
        <w:ind w:firstLine="480"/>
        <w:spacing w:before="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spacing w:before="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 （加盖CA电子公章）</w:t>
      </w:r>
      <w:r/>
    </w:p>
    <w:p>
      <w:pPr>
        <w:contextualSpacing/>
        <w:ind w:firstLine="480"/>
        <w:spacing w:before="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法定代表人或授权代表（签字或盖章）：</w:t>
      </w:r>
      <w:r/>
    </w:p>
    <w:p>
      <w:pPr>
        <w:contextualSpacing/>
        <w:ind w:firstLine="480"/>
        <w:spacing w:before="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contextualSpacing/>
        <w:ind w:firstLine="480"/>
        <w:spacing w:before="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邮政编码：</w:t>
      </w:r>
      <w:r/>
    </w:p>
    <w:p>
      <w:pPr>
        <w:contextualSpacing/>
        <w:ind w:firstLine="480"/>
        <w:spacing w:before="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p>
    <w:p>
      <w:pPr>
        <w:contextualSpacing/>
        <w:ind w:firstLine="480"/>
        <w:spacing w:before="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contextualSpacing/>
        <w:jc w:val="center"/>
        <w:spacing w:line="480" w:lineRule="exact"/>
        <w:pBdr>
          <w:top w:val="none" w:color="000000" w:sz="0" w:space="0"/>
          <w:left w:val="none" w:color="000000" w:sz="0" w:space="0"/>
          <w:bottom w:val="none" w:color="000000" w:sz="0" w:space="0"/>
          <w:right w:val="none" w:color="000000" w:sz="0" w:space="0"/>
        </w:pBdr>
      </w:pPr>
      <w:r>
        <w:br w:type="page" w:clear="all"/>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关于资格的声明函</w:t>
      </w:r>
      <w:r/>
    </w:p>
    <w:p>
      <w:pPr>
        <w:contextualSpacing/>
        <w:ind w:firstLine="640"/>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泰州市发展和改革委员会</w:t>
      </w:r>
      <w:r>
        <w:rPr>
          <w:rFonts w:ascii="宋体" w:hAnsi="宋体" w:eastAsia="宋体" w:cs="宋体"/>
          <w:color w:val="000000"/>
          <w:sz w:val="24"/>
        </w:rPr>
        <w:t xml:space="preserve">：</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公司（单位）参加本次项目（项目编号：）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contextualSpacing/>
        <w:ind w:firstLine="56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contextualSpacing/>
        <w:ind w:firstLine="560"/>
        <w:jc w:val="right"/>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rFonts w:ascii="宋体" w:hAnsi="宋体" w:eastAsia="宋体" w:cs="宋体"/>
          <w:color w:val="000000"/>
          <w:sz w:val="24"/>
        </w:rPr>
        <w:t xml:space="preserve">法定代表人或授权代表（签字或盖章）：</w:t>
      </w:r>
      <w:r/>
    </w:p>
    <w:p>
      <w:pPr>
        <w:contextualSpacing/>
        <w:ind w:firstLine="480"/>
        <w:jc w:val="right"/>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单位名称：（加盖CA电子公章）</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rPr>
        <w:t xml:space="preserve">                           </w:t>
      </w:r>
      <w:r>
        <w:rPr>
          <w:rFonts w:ascii="宋体" w:hAnsi="宋体" w:eastAsia="宋体" w:cs="宋体"/>
          <w:color w:val="000000"/>
          <w:sz w:val="24"/>
        </w:rPr>
        <w:t xml:space="preserve"> 日期：</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法定代表人授权委托书</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泰州市发展和改革委员会</w:t>
      </w:r>
      <w:r>
        <w:rPr>
          <w:rFonts w:ascii="宋体" w:hAnsi="宋体" w:eastAsia="宋体" w:cs="宋体"/>
          <w:color w:val="000000"/>
          <w:sz w:val="24"/>
        </w:rPr>
        <w:t xml:space="preserve">：</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rPr>
          <w:rFonts w:ascii="宋体" w:hAnsi="宋体" w:eastAsia="宋体" w:cs="宋体"/>
          <w:color w:val="000000"/>
          <w:sz w:val="24"/>
        </w:rPr>
        <w:t xml:space="preserve">系中华人民共和国合法公司（单位），特授权</w:t>
      </w:r>
      <w:r>
        <w:rPr>
          <w:rFonts w:ascii="宋体" w:hAnsi="宋体" w:eastAsia="宋体" w:cs="宋体"/>
          <w:color w:val="000000"/>
          <w:sz w:val="24"/>
          <w:u w:val="single"/>
        </w:rPr>
        <w:t xml:space="preserve">        </w:t>
      </w:r>
      <w:r>
        <w:rPr>
          <w:rFonts w:ascii="宋体" w:hAnsi="宋体" w:eastAsia="宋体" w:cs="宋体"/>
          <w:color w:val="000000"/>
          <w:sz w:val="24"/>
        </w:rPr>
        <w:t xml:space="preserve">代表我公司（单位）全权办理针对本项目（项目编号：</w:t>
      </w:r>
      <w:r>
        <w:rPr>
          <w:rFonts w:hint="eastAsia" w:ascii="宋体" w:hAnsi="宋体" w:eastAsia="宋体" w:cs="宋体"/>
          <w:color w:val="000000"/>
          <w:sz w:val="24"/>
        </w:rPr>
        <w:t xml:space="preserve">    </w:t>
      </w:r>
      <w:r>
        <w:rPr>
          <w:rFonts w:ascii="宋体" w:hAnsi="宋体" w:eastAsia="宋体" w:cs="宋体"/>
          <w:color w:val="000000"/>
          <w:sz w:val="24"/>
        </w:rPr>
        <w:t xml:space="preserve">）的投标、参与开标、评标、签约等具体工作，并签署全部有关的文件、协议及合同。</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我公司（单位）对被授权代表的签名负全部责任。</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在撤销授权的书面通知送达你处以前，本授权书一直有效，被授权代表签署的所有文件（在授权书有效期内签署的）不因授权的撤销而失效。</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被授权代表情况：</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姓名：性别：电话：</w:t>
      </w:r>
      <w:r/>
    </w:p>
    <w:p>
      <w:pPr>
        <w:contextualSpacing/>
        <w:jc w:val="right"/>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contextualSpacing/>
        <w:ind w:firstLine="480"/>
        <w:jc w:val="right"/>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jc w:val="center"/>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jc w:val="center"/>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jc w:val="center"/>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jc w:val="right"/>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法定代表人或授权代表（签字或盖章）：</w:t>
      </w:r>
      <w:r/>
    </w:p>
    <w:p>
      <w:pPr>
        <w:contextualSpacing/>
        <w:ind w:firstLine="480"/>
        <w:jc w:val="right"/>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单位名称：（加盖CA电子公章）</w:t>
      </w:r>
      <w:r/>
    </w:p>
    <w:p>
      <w:pPr>
        <w:contextualSpacing/>
        <w:ind w:firstLine="480"/>
        <w:jc w:val="right"/>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contextualSpacing/>
        <w:ind w:firstLine="64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contextualSpacing/>
        <w:ind w:firstLine="560"/>
        <w:jc w:val="center"/>
        <w:spacing w:line="480" w:lineRule="exact"/>
        <w:rPr>
          <w:rFonts w:hint="eastAsia" w:ascii="宋体" w:hAnsi="宋体" w:eastAsia="宋体" w:cs="宋体"/>
          <w:color w:val="000000"/>
          <w:sz w:val="28"/>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u w:val="single"/>
        </w:rPr>
      </w:r>
      <w:r/>
    </w:p>
    <w:p>
      <w:pPr>
        <w:contextualSpacing/>
        <w:ind w:firstLine="560"/>
        <w:jc w:val="center"/>
        <w:spacing w:line="480" w:lineRule="exact"/>
        <w:pBdr>
          <w:top w:val="none" w:color="000000" w:sz="0" w:space="0"/>
          <w:left w:val="none" w:color="000000" w:sz="0" w:space="0"/>
          <w:bottom w:val="none" w:color="000000" w:sz="0" w:space="0"/>
          <w:right w:val="none" w:color="000000" w:sz="0" w:space="0"/>
        </w:pBdr>
      </w:pPr>
      <w:r>
        <w:br w:type="page" w:clear="all"/>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0"/>
        </w:rPr>
        <w:t xml:space="preserve">承诺书</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rPr>
          <w:rFonts w:ascii="宋体" w:hAnsi="宋体" w:eastAsia="宋体" w:cs="宋体"/>
          <w:color w:val="000000"/>
          <w:sz w:val="24"/>
        </w:rPr>
        <w:t xml:space="preserve">（招标人名称）：</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我单位郑重承诺以下事项：</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1.本公司（单位）对本项目（项目编号：              ）所提供的服务不低于采购文件要求的标准；</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2.本公司（单位）具备履行合同所必需的设备和专业技术能力；</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3.本公司（单位）承诺参加政府采购活动前三年内，在经营活动中没有因违法经营受到刑事处罚或者责令停产停业、吊销许可证或者执照的行政处罚；</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4.本公司未被“信用中国”网站（www.creditchina.gov.cn）列入失信被执行人、重大税收违法失信主体、政府采购严重违法失信行为记录名单；</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5.我单位承诺响应招标文件所有内容；</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6.我单位承诺如果服务过程中未按上述要求履行，我单位承担违约责任，双倍赔偿招标人损失，招标人可直接解除合同；</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7.如违背上述承诺，本公司（单位）将承担一切法律责任。  </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contextualSpacing/>
        <w:jc w:val="right"/>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w:t>
      </w:r>
      <w:r>
        <w:rPr>
          <w:rFonts w:ascii="宋体" w:hAnsi="宋体" w:eastAsia="宋体" w:cs="宋体"/>
          <w:color w:val="000000"/>
          <w:sz w:val="24"/>
          <w:u w:val="single"/>
        </w:rPr>
        <w:t xml:space="preserve">            </w:t>
      </w:r>
      <w:r>
        <w:rPr>
          <w:rFonts w:ascii="宋体" w:hAnsi="宋体" w:eastAsia="宋体" w:cs="宋体"/>
          <w:color w:val="000000"/>
          <w:sz w:val="24"/>
        </w:rPr>
        <w:t xml:space="preserve">（加盖CA电子公章）</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contextualSpacing/>
        <w:jc w:val="center"/>
        <w:spacing w:line="480" w:lineRule="exact"/>
        <w:pBdr>
          <w:top w:val="none" w:color="000000" w:sz="0" w:space="0"/>
          <w:left w:val="none" w:color="000000" w:sz="0" w:space="0"/>
          <w:bottom w:val="none" w:color="000000" w:sz="0" w:space="0"/>
          <w:right w:val="none" w:color="000000" w:sz="0" w:space="0"/>
        </w:pBdr>
      </w:pPr>
      <w:r>
        <w:br w:type="page" w:clear="all"/>
      </w:r>
      <w:r/>
    </w:p>
    <w:p>
      <w:pPr>
        <w:contextualSpacing/>
        <w:jc w:val="center"/>
        <w:spacing w:before="120" w:after="120"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商务偏离表</w:t>
      </w:r>
      <w:r/>
    </w:p>
    <w:tbl>
      <w:tblPr>
        <w:tblStyle w:val="68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招标文件中的商务条款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偏离内容及原因</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支付方式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w:t>
      </w:r>
      <w:r/>
    </w:p>
    <w:p>
      <w:pPr>
        <w:contextualSpacing/>
        <w:ind w:firstLine="482"/>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若无偏离，在“有无偏离”栏中填写“无”；若有偏离在“有无偏离”栏中填写“有”并在“偏离内容及原因”栏中作出说明。</w:t>
      </w:r>
      <w:r/>
    </w:p>
    <w:p>
      <w:pPr>
        <w:contextualSpacing/>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投标人（加盖CA电子公章）：</w:t>
      </w:r>
      <w:r/>
    </w:p>
    <w:p>
      <w:pPr>
        <w:contextualSpacing/>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法定代表人或法定代表人授权代表（签字或盖章）：</w:t>
      </w:r>
      <w:r/>
    </w:p>
    <w:p>
      <w:pPr>
        <w:contextualSpacing/>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contextualSpacing/>
        <w:ind w:firstLine="72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contextualSpacing/>
        <w:ind w:firstLine="72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contextualSpacing/>
        <w:ind w:firstLine="72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contextualSpacing/>
        <w:ind w:firstLine="72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contextualSpacing/>
        <w:ind w:firstLine="72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contextualSpacing/>
        <w:ind w:firstLine="72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contextualSpacing/>
        <w:ind w:firstLine="72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contextualSpacing/>
        <w:ind w:firstLine="72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contextualSpacing/>
        <w:ind w:firstLine="72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contextualSpacing/>
        <w:ind w:firstLine="72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contextualSpacing/>
        <w:ind w:firstLine="72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contextualSpacing/>
        <w:ind w:firstLine="72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contextualSpacing/>
        <w:ind w:firstLine="72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contextualSpacing/>
        <w:ind w:firstLine="72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contextualSpacing/>
        <w:ind w:firstLine="72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contextualSpacing/>
        <w:jc w:val="center"/>
        <w:spacing w:line="480" w:lineRule="exact"/>
        <w:tabs>
          <w:tab w:val="left" w:pos="2340" w:leader="none"/>
          <w:tab w:val="left" w:pos="2520" w:leader="none"/>
          <w:tab w:val="left" w:pos="2700" w:leader="none"/>
          <w:tab w:val="left" w:pos="306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技术偏离表</w:t>
      </w:r>
      <w:r/>
    </w:p>
    <w:p>
      <w:pPr>
        <w:contextualSpacing/>
        <w:ind w:firstLine="482"/>
        <w:jc w:val="center"/>
        <w:spacing w:line="480" w:lineRule="exact"/>
        <w:tabs>
          <w:tab w:val="left" w:pos="2340" w:leader="none"/>
          <w:tab w:val="left" w:pos="2520" w:leader="none"/>
          <w:tab w:val="left" w:pos="2700" w:leader="none"/>
          <w:tab w:val="left" w:pos="306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 </w:t>
      </w:r>
      <w:r/>
    </w:p>
    <w:tbl>
      <w:tblPr>
        <w:tblStyle w:val="6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327"/>
        <w:gridCol w:w="2558"/>
        <w:gridCol w:w="1590"/>
        <w:gridCol w:w="1962"/>
      </w:tblGrid>
      <w:tr>
        <w:trPr>
          <w:trHeight w:val="8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27"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偏离内容及原因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7" w:type="dxa"/>
            <w:vAlign w:val="center"/>
            <w:textDirection w:val="lrTb"/>
            <w:noWrap w:val="false"/>
          </w:tcPr>
          <w:p>
            <w:pPr>
              <w:contextualSpacing/>
              <w:ind w:firstLine="480"/>
              <w:spacing w:before="10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contextualSpacing/>
              <w:ind w:firstLine="480"/>
              <w:spacing w:before="10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7" w:type="dxa"/>
            <w:vAlign w:val="center"/>
            <w:textDirection w:val="lrTb"/>
            <w:noWrap w:val="false"/>
          </w:tcPr>
          <w:p>
            <w:pPr>
              <w:contextualSpacing/>
              <w:ind w:firstLine="480"/>
              <w:spacing w:before="10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7" w:type="dxa"/>
            <w:vAlign w:val="center"/>
            <w:textDirection w:val="lrTb"/>
            <w:noWrap w:val="false"/>
          </w:tcPr>
          <w:p>
            <w:pPr>
              <w:contextualSpacing/>
              <w:spacing w:before="10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contextualSpacing/>
              <w:spacing w:before="10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7" w:type="dxa"/>
            <w:vAlign w:val="center"/>
            <w:textDirection w:val="lrTb"/>
            <w:noWrap w:val="false"/>
          </w:tcPr>
          <w:p>
            <w:pPr>
              <w:contextualSpacing/>
              <w:spacing w:before="10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contextualSpacing/>
              <w:spacing w:before="10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7" w:type="dxa"/>
            <w:vAlign w:val="center"/>
            <w:textDirection w:val="lrTb"/>
            <w:noWrap w:val="false"/>
          </w:tcPr>
          <w:p>
            <w:pPr>
              <w:contextualSpacing/>
              <w:spacing w:before="10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contextualSpacing/>
              <w:spacing w:before="10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2" w:type="dxa"/>
            <w:vAlign w:val="center"/>
            <w:textDirection w:val="lrTb"/>
            <w:noWrap w:val="false"/>
          </w:tcPr>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contextualSpacing/>
        <w:ind w:firstLine="482"/>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w:t>
      </w:r>
      <w:r/>
    </w:p>
    <w:p>
      <w:pPr>
        <w:contextualSpacing/>
        <w:ind w:firstLine="482"/>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若无偏离，在“有无偏离”栏中填写“无”；若有偏离在“有无偏离”栏中填写“有”并在“偏离内容及原因”栏中作出说明。</w:t>
      </w:r>
      <w:r/>
    </w:p>
    <w:p>
      <w:pPr>
        <w:contextualSpacing/>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投标人（加盖CA电子公章）：</w:t>
      </w:r>
      <w:r/>
    </w:p>
    <w:p>
      <w:pPr>
        <w:contextualSpacing/>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法定代表人或法定代表人授权代表（签字或盖章）：</w:t>
      </w:r>
      <w:r/>
    </w:p>
    <w:p>
      <w:pPr>
        <w:contextualSpacing/>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contextualSpacing/>
        <w:ind w:firstLine="466"/>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4"/>
          <w:sz w:val="24"/>
        </w:rPr>
        <w:t xml:space="preserve"> </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contextualSpacing/>
        <w:ind w:firstLine="64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contextualSpacing/>
        <w:ind w:firstLine="64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contextualSpacing/>
        <w:ind w:firstLine="64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contextualSpacing/>
        <w:ind w:firstLine="64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contextualSpacing/>
        <w:ind w:firstLine="64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contextualSpacing/>
        <w:ind w:firstLine="64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contextualSpacing/>
        <w:ind w:firstLine="64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contextualSpacing/>
        <w:ind w:firstLine="64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contextualSpacing/>
        <w:ind w:firstLine="64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contextualSpacing/>
        <w:ind w:firstLine="64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中小企业声明函</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contextualSpacing/>
        <w:ind w:firstLine="480"/>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 号）的规定，本公司(联合体)参加</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的</w:t>
      </w:r>
      <w:r>
        <w:rPr>
          <w:rFonts w:ascii="宋体" w:hAnsi="宋体" w:eastAsia="宋体" w:cs="宋体"/>
          <w:color w:val="000000"/>
          <w:sz w:val="24"/>
          <w:u w:val="single"/>
        </w:rPr>
        <w:t xml:space="preserve">（项目名 称）</w:t>
      </w:r>
      <w:r>
        <w:rPr>
          <w:rFonts w:ascii="宋体" w:hAnsi="宋体" w:eastAsia="宋体" w:cs="宋体"/>
          <w:color w:val="000000"/>
          <w:sz w:val="24"/>
        </w:rPr>
        <w:t xml:space="preserve">采购活动，服务全部由符合政策要求的中小企业承接。相关企业（含联合体中的中小企业、签订分包意向协议的中小企业）的具体情况如下：</w:t>
      </w:r>
      <w:r/>
    </w:p>
    <w:p>
      <w:pPr>
        <w:contextualSpacing/>
        <w:ind w:firstLine="480"/>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 其他未列明行业 </w:t>
      </w:r>
      <w:r>
        <w:rPr>
          <w:rFonts w:ascii="宋体" w:hAnsi="宋体" w:eastAsia="宋体" w:cs="宋体"/>
          <w:color w:val="000000"/>
          <w:sz w:val="24"/>
        </w:rPr>
        <w:t xml:space="preserve">；承建（承接）企业为 </w:t>
      </w:r>
      <w:r>
        <w:rPr>
          <w:rFonts w:ascii="宋体" w:hAnsi="宋体" w:eastAsia="宋体" w:cs="宋体"/>
          <w:color w:val="000000"/>
          <w:sz w:val="24"/>
          <w:u w:val="single"/>
        </w:rPr>
        <w:t xml:space="preserve">（企业名称） </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           （中型企业、小型企业、微型企业）</w:t>
      </w:r>
      <w:r>
        <w:rPr>
          <w:rFonts w:ascii="宋体" w:hAnsi="宋体" w:eastAsia="宋体" w:cs="宋体"/>
          <w:color w:val="000000"/>
          <w:sz w:val="24"/>
        </w:rPr>
        <w:t xml:space="preserve">；</w:t>
      </w:r>
      <w:r/>
    </w:p>
    <w:p>
      <w:pPr>
        <w:contextualSpacing/>
        <w:ind w:firstLine="480"/>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contextualSpacing/>
        <w:ind w:firstLine="480"/>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contextualSpacing/>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contextualSpacing/>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（备注：1、参照《关于印发中小企业划型标准规定的通知》（工信部联企业【2011】300号）文件，本项目所属行业为</w:t>
      </w:r>
      <w:r>
        <w:rPr>
          <w:rFonts w:ascii="宋体" w:hAnsi="宋体" w:eastAsia="宋体" w:cs="宋体"/>
          <w:b/>
          <w:color w:val="000000"/>
          <w:sz w:val="24"/>
          <w:u w:val="single"/>
        </w:rPr>
        <w:t xml:space="preserve">其他未列明行业</w:t>
      </w:r>
      <w:r>
        <w:rPr>
          <w:rFonts w:ascii="宋体" w:hAnsi="宋体" w:eastAsia="宋体" w:cs="宋体"/>
          <w:color w:val="000000"/>
          <w:sz w:val="24"/>
        </w:rPr>
        <w:t xml:space="preserve">。2、请如实填写属于中型企业或小型企业或微型企业。3、</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从业人员、营业收入、资产总额填报上一年度数据，无上一年度数据的新成立企业可不填报。）</w:t>
      </w:r>
      <w:r>
        <w:rPr>
          <w:rFonts w:ascii="宋体" w:hAnsi="宋体" w:eastAsia="宋体" w:cs="宋体"/>
          <w:color w:val="000000"/>
          <w:sz w:val="24"/>
        </w:rPr>
        <w:br w:type="page" w:clear="all"/>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残疾人福利性单位声明函</w:t>
      </w:r>
      <w:r/>
    </w:p>
    <w:p>
      <w:pPr>
        <w:contextualSpacing/>
        <w:ind w:firstLine="624"/>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30"/>
        </w:rPr>
        <w:t xml:space="preserve"> </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项目采购活动提供本单位制造的货物（由本单位承担工程/提供服务），或者提供其他残疾人福利性单位制造的货物（不包括使用非残疾人福利性单位注册商标的货物）。</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（备注：中标供应商为残疾人福利单位的，此声明函将随中标结果同时公告，接受社会监督）</w:t>
      </w:r>
      <w:r/>
    </w:p>
    <w:p>
      <w:pPr>
        <w:contextualSpacing/>
        <w:ind w:firstLine="624"/>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30"/>
        </w:rPr>
        <w:t xml:space="preserve"> </w:t>
      </w:r>
      <w:r/>
    </w:p>
    <w:p>
      <w:pPr>
        <w:contextualSpacing/>
        <w:ind w:left="3380" w:firstLine="480"/>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contextualSpacing/>
        <w:ind w:right="1560" w:firstLine="480"/>
        <w:jc w:val="center"/>
        <w:spacing w:line="480" w:lineRule="exact"/>
        <w:tabs>
          <w:tab w:val="left" w:pos="48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480"/>
        <w:jc w:val="both"/>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属于监狱企业的证明文件</w:t>
      </w:r>
      <w:r/>
    </w:p>
    <w:p>
      <w:pPr>
        <w:contextualSpacing/>
        <w:ind w:firstLine="643"/>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（提供由省级以上监狱管理局、戒毒管理局(含新疆生产建设兵团)出具的属于监狱企业的证明文件）</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jc w:val="center"/>
        <w:spacing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contextualSpacing/>
        <w:ind w:firstLine="542"/>
        <w:jc w:val="center"/>
        <w:spacing w:before="240" w:after="240" w:line="48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7"/>
        </w:rPr>
        <w:t xml:space="preserve"> </w:t>
      </w:r>
      <w:r/>
    </w:p>
    <w:p>
      <w:pPr>
        <w:contextualSpacing/>
        <w:jc w:val="both"/>
        <w:spacing w:line="480" w:lineRule="exact"/>
        <w:pBdr>
          <w:top w:val="none" w:color="000000" w:sz="0" w:space="0"/>
          <w:left w:val="none" w:color="000000" w:sz="0" w:space="0"/>
          <w:bottom w:val="none" w:color="000000" w:sz="0" w:space="0"/>
          <w:right w:val="none" w:color="000000" w:sz="0" w:space="0"/>
        </w:pBdr>
      </w:pPr>
      <w:r>
        <w:rPr>
          <w:rFonts w:eastAsia="Times New Roman"/>
          <w:color w:val="000000"/>
          <w:sz w:val="26"/>
        </w:rPr>
        <w:t xml:space="preserve"> </w:t>
      </w:r>
      <w:r/>
    </w:p>
    <w:p>
      <w:pPr>
        <w:contextualSpacing/>
        <w:spacing w:line="480" w:lineRule="exact"/>
      </w:pPr>
      <w:r/>
      <w:r/>
    </w:p>
    <w:p>
      <w:pPr>
        <w:contextualSpacing/>
        <w:spacing w:line="480" w:lineRule="exact"/>
      </w:pPr>
      <w:r/>
      <w:r/>
    </w:p>
    <w:p>
      <w:pPr>
        <w:contextualSpacing/>
        <w:spacing w:line="480" w:lineRule="exact"/>
      </w:pPr>
      <w:r/>
      <w:r/>
    </w:p>
    <w:p>
      <w:pPr>
        <w:contextualSpacing/>
        <w:spacing w:line="480" w:lineRule="exact"/>
      </w:pPr>
      <w:r/>
      <w:r/>
    </w:p>
    <w:p>
      <w:pPr>
        <w:pStyle w:val="679"/>
        <w:jc w:val="center"/>
        <w:rPr>
          <w:rFonts w:hint="eastAsia"/>
          <w:b/>
          <w:bCs/>
          <w:sz w:val="30"/>
          <w:szCs w:val="30"/>
        </w:rPr>
      </w:pPr>
      <w:r>
        <w:rPr>
          <w:rFonts w:hint="eastAsia"/>
          <w:b/>
          <w:bCs/>
          <w:sz w:val="30"/>
          <w:szCs w:val="30"/>
        </w:rPr>
        <w:t xml:space="preserve">质疑函范本</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一、质疑供应商基本信息</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质疑供应商：</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地址：                       邮编：</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联系人：                     联系电话：</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授权代表：</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联系电话：</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地址：                       邮编：</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二、质疑项目基本情况</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质疑项目的名称：</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质疑项目的编号：             包号：</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采购人名称：</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采购文件获取日期：</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三、质疑事项具体内容</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质疑事项1：</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事实依据：</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法律依据：</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质疑事项2</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四、与质疑事项相关的质疑请求</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请求：</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签字(签字或盖章)：             公章：</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日期：</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质疑函制作说明：</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1.供应商质疑时，应提交质疑函和必要的证明材料。</w:t>
      </w:r>
      <w:r/>
    </w:p>
    <w:p>
      <w:pPr>
        <w:pStyle w:val="679"/>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3.质疑供应商若对项目的某一分包进行质疑，质疑函中应列明具体分包号。</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4.质疑函的质疑事项应具体、明确，并有必要的事实依据和法律依据。</w:t>
      </w:r>
      <w:r/>
    </w:p>
    <w:p>
      <w:pPr>
        <w:pStyle w:val="679"/>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5.质疑函的质疑请求应与质疑事项相关。</w:t>
      </w:r>
      <w:r/>
    </w:p>
    <w:p>
      <w:pPr>
        <w:pStyle w:val="679"/>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6.质疑供应商为自然人的，质疑函应由本人签字；质疑供应商为法人或者其他组织的，质疑函应由法定代表人、主要负责人，或者其授权代表签字或者盖章，并加盖公章。</w:t>
      </w:r>
      <w:r/>
    </w:p>
    <w:p>
      <w:pPr>
        <w:contextualSpacing/>
        <w:spacing w:line="480" w:lineRule="exact"/>
      </w:p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egoe UI">
    <w:panose1 w:val="020B0502040204020203"/>
  </w:font>
  <w:font w:name="Segoe UI Symbol">
    <w:panose1 w:val="020B0502040204020203"/>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34">
    <w:name w:val="Heading 1 Char"/>
    <w:basedOn w:val="661"/>
    <w:link w:val="652"/>
    <w:uiPriority w:val="9"/>
    <w:rPr>
      <w:rFonts w:ascii="Arial" w:hAnsi="Arial" w:eastAsia="Arial" w:cs="Arial"/>
      <w:sz w:val="40"/>
      <w:szCs w:val="40"/>
    </w:rPr>
  </w:style>
  <w:style w:type="character" w:styleId="635">
    <w:name w:val="Heading 2 Char"/>
    <w:basedOn w:val="661"/>
    <w:link w:val="653"/>
    <w:uiPriority w:val="9"/>
    <w:rPr>
      <w:rFonts w:ascii="Arial" w:hAnsi="Arial" w:eastAsia="Arial" w:cs="Arial"/>
      <w:sz w:val="34"/>
    </w:rPr>
  </w:style>
  <w:style w:type="character" w:styleId="636">
    <w:name w:val="Heading 3 Char"/>
    <w:basedOn w:val="661"/>
    <w:link w:val="654"/>
    <w:uiPriority w:val="9"/>
    <w:rPr>
      <w:rFonts w:ascii="Arial" w:hAnsi="Arial" w:eastAsia="Arial" w:cs="Arial"/>
      <w:sz w:val="30"/>
      <w:szCs w:val="30"/>
    </w:rPr>
  </w:style>
  <w:style w:type="character" w:styleId="637">
    <w:name w:val="Heading 4 Char"/>
    <w:basedOn w:val="661"/>
    <w:link w:val="655"/>
    <w:uiPriority w:val="9"/>
    <w:rPr>
      <w:rFonts w:ascii="Arial" w:hAnsi="Arial" w:eastAsia="Arial" w:cs="Arial"/>
      <w:b/>
      <w:bCs/>
      <w:sz w:val="26"/>
      <w:szCs w:val="26"/>
    </w:rPr>
  </w:style>
  <w:style w:type="character" w:styleId="638">
    <w:name w:val="Heading 5 Char"/>
    <w:basedOn w:val="661"/>
    <w:link w:val="656"/>
    <w:uiPriority w:val="9"/>
    <w:rPr>
      <w:rFonts w:ascii="Arial" w:hAnsi="Arial" w:eastAsia="Arial" w:cs="Arial"/>
      <w:b/>
      <w:bCs/>
      <w:sz w:val="24"/>
      <w:szCs w:val="24"/>
    </w:rPr>
  </w:style>
  <w:style w:type="character" w:styleId="639">
    <w:name w:val="Heading 6 Char"/>
    <w:basedOn w:val="661"/>
    <w:link w:val="657"/>
    <w:uiPriority w:val="9"/>
    <w:rPr>
      <w:rFonts w:ascii="Arial" w:hAnsi="Arial" w:eastAsia="Arial" w:cs="Arial"/>
      <w:b/>
      <w:bCs/>
      <w:sz w:val="22"/>
      <w:szCs w:val="22"/>
    </w:rPr>
  </w:style>
  <w:style w:type="character" w:styleId="640">
    <w:name w:val="Heading 7 Char"/>
    <w:basedOn w:val="661"/>
    <w:link w:val="658"/>
    <w:uiPriority w:val="9"/>
    <w:rPr>
      <w:rFonts w:ascii="Arial" w:hAnsi="Arial" w:eastAsia="Arial" w:cs="Arial"/>
      <w:b/>
      <w:bCs/>
      <w:i/>
      <w:iCs/>
      <w:sz w:val="22"/>
      <w:szCs w:val="22"/>
    </w:rPr>
  </w:style>
  <w:style w:type="character" w:styleId="641">
    <w:name w:val="Heading 8 Char"/>
    <w:basedOn w:val="661"/>
    <w:link w:val="659"/>
    <w:uiPriority w:val="9"/>
    <w:rPr>
      <w:rFonts w:ascii="Arial" w:hAnsi="Arial" w:eastAsia="Arial" w:cs="Arial"/>
      <w:i/>
      <w:iCs/>
      <w:sz w:val="22"/>
      <w:szCs w:val="22"/>
    </w:rPr>
  </w:style>
  <w:style w:type="character" w:styleId="642">
    <w:name w:val="Heading 9 Char"/>
    <w:basedOn w:val="661"/>
    <w:link w:val="660"/>
    <w:uiPriority w:val="9"/>
    <w:rPr>
      <w:rFonts w:ascii="Arial" w:hAnsi="Arial" w:eastAsia="Arial" w:cs="Arial"/>
      <w:i/>
      <w:iCs/>
      <w:sz w:val="21"/>
      <w:szCs w:val="21"/>
    </w:rPr>
  </w:style>
  <w:style w:type="character" w:styleId="643">
    <w:name w:val="Title Char"/>
    <w:basedOn w:val="661"/>
    <w:link w:val="680"/>
    <w:uiPriority w:val="10"/>
    <w:rPr>
      <w:sz w:val="48"/>
      <w:szCs w:val="48"/>
    </w:rPr>
  </w:style>
  <w:style w:type="character" w:styleId="644">
    <w:name w:val="Subtitle Char"/>
    <w:basedOn w:val="661"/>
    <w:link w:val="673"/>
    <w:uiPriority w:val="11"/>
    <w:rPr>
      <w:sz w:val="24"/>
      <w:szCs w:val="24"/>
    </w:rPr>
  </w:style>
  <w:style w:type="character" w:styleId="645">
    <w:name w:val="Quote Char"/>
    <w:link w:val="698"/>
    <w:uiPriority w:val="29"/>
    <w:rPr>
      <w:i/>
    </w:rPr>
  </w:style>
  <w:style w:type="character" w:styleId="646">
    <w:name w:val="Intense Quote Char"/>
    <w:link w:val="700"/>
    <w:uiPriority w:val="30"/>
    <w:rPr>
      <w:i/>
    </w:rPr>
  </w:style>
  <w:style w:type="character" w:styleId="647">
    <w:name w:val="Header Char"/>
    <w:basedOn w:val="661"/>
    <w:link w:val="670"/>
    <w:uiPriority w:val="99"/>
  </w:style>
  <w:style w:type="character" w:styleId="648">
    <w:name w:val="Caption Char"/>
    <w:basedOn w:val="664"/>
    <w:link w:val="669"/>
    <w:uiPriority w:val="99"/>
  </w:style>
  <w:style w:type="character" w:styleId="649">
    <w:name w:val="Footnote Text Char"/>
    <w:link w:val="674"/>
    <w:uiPriority w:val="99"/>
    <w:rPr>
      <w:sz w:val="18"/>
    </w:rPr>
  </w:style>
  <w:style w:type="character" w:styleId="650">
    <w:name w:val="Endnote Text Char"/>
    <w:link w:val="668"/>
    <w:uiPriority w:val="99"/>
    <w:rPr>
      <w:sz w:val="20"/>
    </w:rPr>
  </w:style>
  <w:style w:type="paragraph" w:styleId="651" w:default="1">
    <w:name w:val="Normal"/>
    <w:uiPriority w:val="0"/>
    <w:qFormat/>
    <w:rPr>
      <w:rFonts w:ascii="Times New Roman" w:hAnsi="Times New Roman" w:cs="Times New Roman" w:eastAsiaTheme="minorEastAsia"/>
      <w:lang w:val="en-US" w:eastAsia="zh-CN" w:bidi="ar-SA"/>
    </w:rPr>
  </w:style>
  <w:style w:type="paragraph" w:styleId="652">
    <w:name w:val="Heading 1"/>
    <w:link w:val="685"/>
    <w:uiPriority w:val="9"/>
    <w:qFormat/>
    <w:pPr>
      <w:keepLines/>
      <w:keepNext/>
      <w:spacing w:before="480" w:after="200"/>
      <w:outlineLvl w:val="0"/>
    </w:pPr>
    <w:rPr>
      <w:rFonts w:ascii="Arial" w:hAnsi="Arial" w:eastAsia="Arial" w:cs="Arial"/>
      <w:sz w:val="40"/>
      <w:szCs w:val="40"/>
      <w:lang w:val="en-US" w:eastAsia="zh-CN" w:bidi="ar-SA"/>
    </w:rPr>
  </w:style>
  <w:style w:type="paragraph" w:styleId="653">
    <w:name w:val="Heading 2"/>
    <w:link w:val="686"/>
    <w:uiPriority w:val="9"/>
    <w:unhideWhenUsed/>
    <w:qFormat/>
    <w:pPr>
      <w:keepLines/>
      <w:keepNext/>
      <w:spacing w:before="360" w:after="200"/>
      <w:outlineLvl w:val="1"/>
    </w:pPr>
    <w:rPr>
      <w:rFonts w:ascii="Arial" w:hAnsi="Arial" w:eastAsia="Arial" w:cs="Arial"/>
      <w:sz w:val="34"/>
      <w:lang w:val="en-US" w:eastAsia="zh-CN" w:bidi="ar-SA"/>
    </w:rPr>
  </w:style>
  <w:style w:type="paragraph" w:styleId="654">
    <w:name w:val="Heading 3"/>
    <w:link w:val="687"/>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655">
    <w:name w:val="Heading 4"/>
    <w:link w:val="688"/>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656">
    <w:name w:val="Heading 5"/>
    <w:link w:val="689"/>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657">
    <w:name w:val="Heading 6"/>
    <w:link w:val="690"/>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58">
    <w:name w:val="Heading 7"/>
    <w:link w:val="691"/>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659">
    <w:name w:val="Heading 8"/>
    <w:link w:val="692"/>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60">
    <w:name w:val="Heading 9"/>
    <w:link w:val="693"/>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61" w:default="1">
    <w:name w:val="Default Paragraph Font"/>
    <w:uiPriority w:val="1"/>
    <w:semiHidden/>
    <w:unhideWhenUsed/>
  </w:style>
  <w:style w:type="table" w:styleId="662" w:default="1">
    <w:name w:val="Normal Table"/>
    <w:uiPriority w:val="99"/>
    <w:semiHidden/>
    <w:unhideWhenUsed/>
    <w:tblPr>
      <w:tblCellMar>
        <w:left w:w="108" w:type="dxa"/>
        <w:top w:w="0" w:type="dxa"/>
        <w:right w:w="108" w:type="dxa"/>
        <w:bottom w:w="0" w:type="dxa"/>
      </w:tblCellMar>
    </w:tblPr>
  </w:style>
  <w:style w:type="paragraph" w:styleId="663">
    <w:name w:val="toc 7"/>
    <w:uiPriority w:val="39"/>
    <w:unhideWhenUsed/>
    <w:pPr>
      <w:ind w:left="1701"/>
      <w:spacing w:after="57"/>
    </w:pPr>
    <w:rPr>
      <w:rFonts w:ascii="Times New Roman" w:hAnsi="Times New Roman" w:cs="Times New Roman" w:eastAsiaTheme="minorEastAsia"/>
      <w:lang w:val="en-US" w:eastAsia="zh-CN" w:bidi="ar-SA"/>
    </w:rPr>
  </w:style>
  <w:style w:type="paragraph" w:styleId="664">
    <w:name w:val="Caption"/>
    <w:uiPriority w:val="35"/>
    <w:semiHidden/>
    <w:unhideWhenUsed/>
    <w:qFormat/>
    <w:pPr>
      <w:spacing w:line="276" w:lineRule="auto"/>
    </w:pPr>
    <w:rPr>
      <w:rFonts w:ascii="Times New Roman" w:hAnsi="Times New Roman" w:cs="Times New Roman" w:eastAsiaTheme="minorEastAsia"/>
      <w:b/>
      <w:bCs/>
      <w:color w:val="4f81bd" w:themeColor="accent1"/>
      <w:sz w:val="18"/>
      <w:szCs w:val="18"/>
      <w:lang w:val="en-US" w:eastAsia="zh-CN" w:bidi="ar-SA"/>
    </w:rPr>
  </w:style>
  <w:style w:type="paragraph" w:styleId="665">
    <w:name w:val="toc 5"/>
    <w:uiPriority w:val="39"/>
    <w:unhideWhenUsed/>
    <w:pPr>
      <w:ind w:left="1134"/>
      <w:spacing w:after="57"/>
    </w:pPr>
    <w:rPr>
      <w:rFonts w:ascii="Times New Roman" w:hAnsi="Times New Roman" w:cs="Times New Roman" w:eastAsiaTheme="minorEastAsia"/>
      <w:lang w:val="en-US" w:eastAsia="zh-CN" w:bidi="ar-SA"/>
    </w:rPr>
  </w:style>
  <w:style w:type="paragraph" w:styleId="666">
    <w:name w:val="toc 3"/>
    <w:uiPriority w:val="39"/>
    <w:unhideWhenUsed/>
    <w:pPr>
      <w:ind w:left="567"/>
      <w:spacing w:after="57"/>
    </w:pPr>
    <w:rPr>
      <w:rFonts w:ascii="Times New Roman" w:hAnsi="Times New Roman" w:cs="Times New Roman" w:eastAsiaTheme="minorEastAsia"/>
      <w:lang w:val="en-US" w:eastAsia="zh-CN" w:bidi="ar-SA"/>
    </w:rPr>
  </w:style>
  <w:style w:type="paragraph" w:styleId="667">
    <w:name w:val="toc 8"/>
    <w:uiPriority w:val="39"/>
    <w:unhideWhenUsed/>
    <w:pPr>
      <w:ind w:left="1984"/>
      <w:spacing w:after="57"/>
    </w:pPr>
    <w:rPr>
      <w:rFonts w:ascii="Times New Roman" w:hAnsi="Times New Roman" w:cs="Times New Roman" w:eastAsiaTheme="minorEastAsia"/>
      <w:lang w:val="en-US" w:eastAsia="zh-CN" w:bidi="ar-SA"/>
    </w:rPr>
  </w:style>
  <w:style w:type="paragraph" w:styleId="668">
    <w:name w:val="endnote text"/>
    <w:link w:val="831"/>
    <w:uiPriority w:val="99"/>
    <w:semiHidden/>
    <w:unhideWhenUsed/>
    <w:rPr>
      <w:rFonts w:ascii="Times New Roman" w:hAnsi="Times New Roman" w:cs="Times New Roman" w:eastAsiaTheme="minorEastAsia"/>
      <w:lang w:val="en-US" w:eastAsia="zh-CN" w:bidi="ar-SA"/>
    </w:rPr>
  </w:style>
  <w:style w:type="paragraph" w:styleId="669">
    <w:name w:val="Footer"/>
    <w:link w:val="704"/>
    <w:uiPriority w:val="99"/>
    <w:unhideWhenUsed/>
    <w:pPr>
      <w:tabs>
        <w:tab w:val="center" w:pos="7143" w:leader="none"/>
        <w:tab w:val="right" w:pos="14287" w:leader="none"/>
      </w:tabs>
    </w:pPr>
    <w:rPr>
      <w:rFonts w:ascii="Times New Roman" w:hAnsi="Times New Roman" w:cs="Times New Roman" w:eastAsiaTheme="minorEastAsia"/>
      <w:lang w:val="en-US" w:eastAsia="zh-CN" w:bidi="ar-SA"/>
    </w:rPr>
  </w:style>
  <w:style w:type="paragraph" w:styleId="670">
    <w:name w:val="Header"/>
    <w:link w:val="702"/>
    <w:uiPriority w:val="99"/>
    <w:unhideWhenUsed/>
    <w:pPr>
      <w:tabs>
        <w:tab w:val="center" w:pos="7143" w:leader="none"/>
        <w:tab w:val="right" w:pos="14287" w:leader="none"/>
      </w:tabs>
    </w:pPr>
    <w:rPr>
      <w:rFonts w:ascii="Times New Roman" w:hAnsi="Times New Roman" w:cs="Times New Roman" w:eastAsiaTheme="minorEastAsia"/>
      <w:lang w:val="en-US" w:eastAsia="zh-CN" w:bidi="ar-SA"/>
    </w:rPr>
  </w:style>
  <w:style w:type="paragraph" w:styleId="671">
    <w:name w:val="toc 1"/>
    <w:uiPriority w:val="39"/>
    <w:unhideWhenUsed/>
    <w:pPr>
      <w:spacing w:after="57"/>
    </w:pPr>
    <w:rPr>
      <w:rFonts w:ascii="Times New Roman" w:hAnsi="Times New Roman" w:cs="Times New Roman" w:eastAsiaTheme="minorEastAsia"/>
      <w:lang w:val="en-US" w:eastAsia="zh-CN" w:bidi="ar-SA"/>
    </w:rPr>
  </w:style>
  <w:style w:type="paragraph" w:styleId="672">
    <w:name w:val="toc 4"/>
    <w:uiPriority w:val="39"/>
    <w:unhideWhenUsed/>
    <w:pPr>
      <w:ind w:left="850"/>
      <w:spacing w:after="57"/>
    </w:pPr>
    <w:rPr>
      <w:rFonts w:ascii="Times New Roman" w:hAnsi="Times New Roman" w:cs="Times New Roman" w:eastAsiaTheme="minorEastAsia"/>
      <w:lang w:val="en-US" w:eastAsia="zh-CN" w:bidi="ar-SA"/>
    </w:rPr>
  </w:style>
  <w:style w:type="paragraph" w:styleId="673">
    <w:name w:val="Subtitle"/>
    <w:link w:val="697"/>
    <w:uiPriority w:val="11"/>
    <w:qFormat/>
    <w:pPr>
      <w:spacing w:before="200" w:after="200"/>
    </w:pPr>
    <w:rPr>
      <w:rFonts w:ascii="Times New Roman" w:hAnsi="Times New Roman" w:cs="Times New Roman" w:eastAsiaTheme="minorEastAsia"/>
      <w:sz w:val="24"/>
      <w:szCs w:val="24"/>
      <w:lang w:val="en-US" w:eastAsia="zh-CN" w:bidi="ar-SA"/>
    </w:rPr>
  </w:style>
  <w:style w:type="paragraph" w:styleId="674">
    <w:name w:val="footnote text"/>
    <w:link w:val="830"/>
    <w:uiPriority w:val="99"/>
    <w:semiHidden/>
    <w:unhideWhenUsed/>
    <w:pPr>
      <w:spacing w:after="40"/>
    </w:pPr>
    <w:rPr>
      <w:rFonts w:ascii="Times New Roman" w:hAnsi="Times New Roman" w:cs="Times New Roman" w:eastAsiaTheme="minorEastAsia"/>
      <w:sz w:val="18"/>
      <w:lang w:val="en-US" w:eastAsia="zh-CN" w:bidi="ar-SA"/>
    </w:rPr>
  </w:style>
  <w:style w:type="paragraph" w:styleId="675">
    <w:name w:val="toc 6"/>
    <w:uiPriority w:val="39"/>
    <w:unhideWhenUsed/>
    <w:qFormat/>
    <w:pPr>
      <w:ind w:left="1417"/>
      <w:spacing w:after="57"/>
    </w:pPr>
    <w:rPr>
      <w:rFonts w:ascii="Times New Roman" w:hAnsi="Times New Roman" w:cs="Times New Roman" w:eastAsiaTheme="minorEastAsia"/>
      <w:lang w:val="en-US" w:eastAsia="zh-CN" w:bidi="ar-SA"/>
    </w:rPr>
  </w:style>
  <w:style w:type="paragraph" w:styleId="676">
    <w:name w:val="table of figures"/>
    <w:uiPriority w:val="99"/>
    <w:unhideWhenUsed/>
    <w:rPr>
      <w:rFonts w:ascii="Times New Roman" w:hAnsi="Times New Roman" w:cs="Times New Roman" w:eastAsiaTheme="minorEastAsia"/>
      <w:lang w:val="en-US" w:eastAsia="zh-CN" w:bidi="ar-SA"/>
    </w:rPr>
  </w:style>
  <w:style w:type="paragraph" w:styleId="677">
    <w:name w:val="toc 2"/>
    <w:uiPriority w:val="39"/>
    <w:unhideWhenUsed/>
    <w:pPr>
      <w:ind w:left="283"/>
      <w:spacing w:after="57"/>
    </w:pPr>
    <w:rPr>
      <w:rFonts w:ascii="Times New Roman" w:hAnsi="Times New Roman" w:cs="Times New Roman" w:eastAsiaTheme="minorEastAsia"/>
      <w:lang w:val="en-US" w:eastAsia="zh-CN" w:bidi="ar-SA"/>
    </w:rPr>
  </w:style>
  <w:style w:type="paragraph" w:styleId="678">
    <w:name w:val="toc 9"/>
    <w:uiPriority w:val="39"/>
    <w:unhideWhenUsed/>
    <w:pPr>
      <w:ind w:left="2268"/>
      <w:spacing w:after="57"/>
    </w:pPr>
    <w:rPr>
      <w:rFonts w:ascii="Times New Roman" w:hAnsi="Times New Roman" w:cs="Times New Roman" w:eastAsiaTheme="minorEastAsia"/>
      <w:lang w:val="en-US" w:eastAsia="zh-CN" w:bidi="ar-SA"/>
    </w:rPr>
  </w:style>
  <w:style w:type="paragraph" w:styleId="679">
    <w:name w:val="Normal (Web)"/>
    <w:basedOn w:val="651"/>
    <w:uiPriority w:val="99"/>
    <w:semiHidden/>
    <w:unhideWhenUsed/>
    <w:qFormat/>
    <w:pPr>
      <w:spacing w:before="100" w:beforeAutospacing="1" w:after="100" w:afterAutospacing="1"/>
    </w:pPr>
    <w:rPr>
      <w:rFonts w:ascii="宋体" w:hAnsi="宋体" w:eastAsia="宋体" w:cs="宋体"/>
      <w:sz w:val="24"/>
      <w:szCs w:val="24"/>
    </w:rPr>
  </w:style>
  <w:style w:type="paragraph" w:styleId="680">
    <w:name w:val="Title"/>
    <w:link w:val="696"/>
    <w:uiPriority w:val="10"/>
    <w:qFormat/>
    <w:pPr>
      <w:contextualSpacing/>
      <w:spacing w:before="300" w:after="200"/>
    </w:pPr>
    <w:rPr>
      <w:rFonts w:ascii="Times New Roman" w:hAnsi="Times New Roman" w:cs="Times New Roman" w:eastAsiaTheme="minorEastAsia"/>
      <w:sz w:val="48"/>
      <w:szCs w:val="48"/>
      <w:lang w:val="en-US" w:eastAsia="zh-CN" w:bidi="ar-SA"/>
    </w:rPr>
  </w:style>
  <w:style w:type="table" w:styleId="681">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2">
    <w:name w:val="endnote reference"/>
    <w:uiPriority w:val="99"/>
    <w:semiHidden/>
    <w:unhideWhenUsed/>
    <w:qFormat/>
    <w:rPr>
      <w:vertAlign w:val="superscript"/>
    </w:rPr>
  </w:style>
  <w:style w:type="character" w:styleId="683">
    <w:name w:val="Hyperlink"/>
    <w:uiPriority w:val="99"/>
    <w:unhideWhenUsed/>
    <w:rPr>
      <w:color w:val="0000ff" w:themeColor="hyperlink"/>
      <w:u w:val="single"/>
    </w:rPr>
  </w:style>
  <w:style w:type="character" w:styleId="684">
    <w:name w:val="footnote reference"/>
    <w:uiPriority w:val="99"/>
    <w:unhideWhenUsed/>
    <w:rPr>
      <w:vertAlign w:val="superscript"/>
    </w:rPr>
  </w:style>
  <w:style w:type="character" w:styleId="685" w:customStyle="1">
    <w:name w:val="标题 1 字符"/>
    <w:link w:val="652"/>
    <w:uiPriority w:val="9"/>
    <w:rPr>
      <w:rFonts w:ascii="Arial" w:hAnsi="Arial" w:eastAsia="Arial" w:cs="Arial"/>
      <w:sz w:val="40"/>
      <w:szCs w:val="40"/>
    </w:rPr>
  </w:style>
  <w:style w:type="character" w:styleId="686" w:customStyle="1">
    <w:name w:val="标题 2 字符"/>
    <w:link w:val="653"/>
    <w:uiPriority w:val="9"/>
    <w:rPr>
      <w:rFonts w:ascii="Arial" w:hAnsi="Arial" w:eastAsia="Arial" w:cs="Arial"/>
      <w:sz w:val="34"/>
    </w:rPr>
  </w:style>
  <w:style w:type="character" w:styleId="687" w:customStyle="1">
    <w:name w:val="标题 3 字符"/>
    <w:link w:val="654"/>
    <w:uiPriority w:val="9"/>
    <w:rPr>
      <w:rFonts w:ascii="Arial" w:hAnsi="Arial" w:eastAsia="Arial" w:cs="Arial"/>
      <w:sz w:val="30"/>
      <w:szCs w:val="30"/>
    </w:rPr>
  </w:style>
  <w:style w:type="character" w:styleId="688" w:customStyle="1">
    <w:name w:val="标题 4 字符"/>
    <w:link w:val="655"/>
    <w:uiPriority w:val="9"/>
    <w:rPr>
      <w:rFonts w:ascii="Arial" w:hAnsi="Arial" w:eastAsia="Arial" w:cs="Arial"/>
      <w:b/>
      <w:bCs/>
      <w:sz w:val="26"/>
      <w:szCs w:val="26"/>
    </w:rPr>
  </w:style>
  <w:style w:type="character" w:styleId="689" w:customStyle="1">
    <w:name w:val="标题 5 字符"/>
    <w:link w:val="656"/>
    <w:uiPriority w:val="9"/>
    <w:rPr>
      <w:rFonts w:ascii="Arial" w:hAnsi="Arial" w:eastAsia="Arial" w:cs="Arial"/>
      <w:b/>
      <w:bCs/>
      <w:sz w:val="24"/>
      <w:szCs w:val="24"/>
    </w:rPr>
  </w:style>
  <w:style w:type="character" w:styleId="690" w:customStyle="1">
    <w:name w:val="标题 6 字符"/>
    <w:link w:val="657"/>
    <w:uiPriority w:val="9"/>
    <w:qFormat/>
    <w:rPr>
      <w:rFonts w:ascii="Arial" w:hAnsi="Arial" w:eastAsia="Arial" w:cs="Arial"/>
      <w:b/>
      <w:bCs/>
      <w:sz w:val="22"/>
      <w:szCs w:val="22"/>
    </w:rPr>
  </w:style>
  <w:style w:type="character" w:styleId="691" w:customStyle="1">
    <w:name w:val="标题 7 字符"/>
    <w:link w:val="658"/>
    <w:uiPriority w:val="9"/>
    <w:rPr>
      <w:rFonts w:ascii="Arial" w:hAnsi="Arial" w:eastAsia="Arial" w:cs="Arial"/>
      <w:b/>
      <w:bCs/>
      <w:i/>
      <w:iCs/>
      <w:sz w:val="22"/>
      <w:szCs w:val="22"/>
    </w:rPr>
  </w:style>
  <w:style w:type="character" w:styleId="692" w:customStyle="1">
    <w:name w:val="标题 8 字符"/>
    <w:link w:val="659"/>
    <w:uiPriority w:val="9"/>
    <w:qFormat/>
    <w:rPr>
      <w:rFonts w:ascii="Arial" w:hAnsi="Arial" w:eastAsia="Arial" w:cs="Arial"/>
      <w:i/>
      <w:iCs/>
      <w:sz w:val="22"/>
      <w:szCs w:val="22"/>
    </w:rPr>
  </w:style>
  <w:style w:type="character" w:styleId="693" w:customStyle="1">
    <w:name w:val="标题 9 字符"/>
    <w:link w:val="660"/>
    <w:uiPriority w:val="9"/>
    <w:rPr>
      <w:rFonts w:ascii="Arial" w:hAnsi="Arial" w:eastAsia="Arial" w:cs="Arial"/>
      <w:i/>
      <w:iCs/>
      <w:sz w:val="21"/>
      <w:szCs w:val="21"/>
    </w:rPr>
  </w:style>
  <w:style w:type="paragraph" w:styleId="694">
    <w:name w:val="List Paragraph"/>
    <w:uiPriority w:val="34"/>
    <w:qFormat/>
    <w:pPr>
      <w:contextualSpacing/>
      <w:ind w:left="720"/>
    </w:pPr>
    <w:rPr>
      <w:rFonts w:ascii="Times New Roman" w:hAnsi="Times New Roman" w:cs="Times New Roman" w:eastAsiaTheme="minorEastAsia"/>
      <w:lang w:val="en-US" w:eastAsia="zh-CN" w:bidi="ar-SA"/>
    </w:rPr>
  </w:style>
  <w:style w:type="paragraph" w:styleId="695">
    <w:name w:val="No Spacing"/>
    <w:uiPriority w:val="1"/>
    <w:qFormat/>
    <w:rPr>
      <w:rFonts w:ascii="Times New Roman" w:hAnsi="Times New Roman" w:cs="Times New Roman" w:eastAsiaTheme="minorEastAsia"/>
      <w:lang w:val="en-US" w:eastAsia="zh-CN" w:bidi="ar-SA"/>
    </w:rPr>
  </w:style>
  <w:style w:type="character" w:styleId="696" w:customStyle="1">
    <w:name w:val="标题 字符"/>
    <w:link w:val="680"/>
    <w:uiPriority w:val="10"/>
    <w:rPr>
      <w:sz w:val="48"/>
      <w:szCs w:val="48"/>
    </w:rPr>
  </w:style>
  <w:style w:type="character" w:styleId="697" w:customStyle="1">
    <w:name w:val="副标题 字符"/>
    <w:link w:val="673"/>
    <w:uiPriority w:val="11"/>
    <w:rPr>
      <w:sz w:val="24"/>
      <w:szCs w:val="24"/>
    </w:rPr>
  </w:style>
  <w:style w:type="paragraph" w:styleId="698">
    <w:name w:val="Quote"/>
    <w:link w:val="699"/>
    <w:uiPriority w:val="29"/>
    <w:qFormat/>
    <w:pPr>
      <w:ind w:left="720" w:right="720"/>
    </w:pPr>
    <w:rPr>
      <w:rFonts w:ascii="Times New Roman" w:hAnsi="Times New Roman" w:cs="Times New Roman" w:eastAsiaTheme="minorEastAsia"/>
      <w:i/>
      <w:lang w:val="en-US" w:eastAsia="zh-CN" w:bidi="ar-SA"/>
    </w:rPr>
  </w:style>
  <w:style w:type="character" w:styleId="699" w:customStyle="1">
    <w:name w:val="引用 字符"/>
    <w:link w:val="698"/>
    <w:uiPriority w:val="29"/>
    <w:rPr>
      <w:i/>
    </w:rPr>
  </w:style>
  <w:style w:type="paragraph" w:styleId="700">
    <w:name w:val="Intense Quote"/>
    <w:link w:val="7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cs="Times New Roman" w:eastAsiaTheme="minorEastAsia"/>
      <w:i/>
      <w:lang w:val="en-US" w:eastAsia="zh-CN" w:bidi="ar-SA"/>
    </w:rPr>
  </w:style>
  <w:style w:type="character" w:styleId="701" w:customStyle="1">
    <w:name w:val="明显引用 字符"/>
    <w:link w:val="700"/>
    <w:uiPriority w:val="30"/>
    <w:rPr>
      <w:i/>
    </w:rPr>
  </w:style>
  <w:style w:type="character" w:styleId="702" w:customStyle="1">
    <w:name w:val="页眉 字符"/>
    <w:link w:val="670"/>
    <w:uiPriority w:val="99"/>
  </w:style>
  <w:style w:type="character" w:styleId="703" w:customStyle="1">
    <w:name w:val="Footer Char"/>
    <w:uiPriority w:val="99"/>
  </w:style>
  <w:style w:type="character" w:styleId="704" w:customStyle="1">
    <w:name w:val="页脚 字符"/>
    <w:link w:val="669"/>
    <w:uiPriority w:val="99"/>
  </w:style>
  <w:style w:type="table" w:styleId="705" w:customStyle="1">
    <w:name w:val="Table Grid Ligh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6" w:customStyle="1">
    <w:name w:val="Plain Table 1"/>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3"/>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customStyle="1">
    <w:name w:val="Plain Table 4"/>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customStyle="1">
    <w:name w:val="Plain Table 5"/>
    <w:uiPriority w:val="99"/>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1" w:customStyle="1">
    <w:name w:val="Grid Table 1 Ligh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8" w:customStyle="1">
    <w:name w:val="Grid Table 2"/>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9" w:customStyle="1">
    <w:name w:val="Grid Table 2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0" w:customStyle="1">
    <w:name w:val="Grid Table 2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2"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3"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4"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5" w:customStyle="1">
    <w:name w:val="Grid Table 3"/>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3"/>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4"/>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4" w:customStyle="1">
    <w:name w:val="Grid Table 4 - Accent 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5"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6"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7"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8"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9" w:customStyle="1">
    <w:name w:val="Grid Table 5 Dark"/>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1"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2"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3"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4"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5"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6" w:customStyle="1">
    <w:name w:val="Grid Table 6 Colorful"/>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47"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48" w:customStyle="1">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49" w:customStyle="1">
    <w:name w:val="Grid Table 6 Colorful - Accent 3"/>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50"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51"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2"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3" w:customStyle="1">
    <w:name w:val="Grid Table 7 Colorful"/>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5" w:customStyle="1">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7 Colorful - Accent 3"/>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0" w:customStyle="1">
    <w:name w:val="List Table 1 Light"/>
    <w:uiPriority w:val="99"/>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2" w:customStyle="1">
    <w:name w:val="List Table 1 Light - Accent 2"/>
    <w:uiPriority w:val="99"/>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3" w:customStyle="1">
    <w:name w:val="List Table 1 Light - Accent 3"/>
    <w:uiPriority w:val="99"/>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4"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5"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List Table 1 Light - Accent 6"/>
    <w:uiPriority w:val="99"/>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List Table 2"/>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9" w:customStyle="1">
    <w:name w:val="List Table 2 - Accent 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0"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1"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2"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3"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4" w:customStyle="1">
    <w:name w:val="List Table 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6" w:customStyle="1">
    <w:name w:val="List Table 3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8"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9"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0"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1" w:customStyle="1">
    <w:name w:val="List Table 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4 - Accent 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4"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5"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6"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7"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8" w:customStyle="1">
    <w:name w:val="List Table 5 Dark"/>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8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0" w:customStyle="1">
    <w:name w:val="List Table 5 Dark - Accent 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1" w:customStyle="1">
    <w:name w:val="List Table 5 Dark - Accent 3"/>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92"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93"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94"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95" w:customStyle="1">
    <w:name w:val="List Table 6 Colorful"/>
    <w:uiPriority w:val="99"/>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6"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97" w:customStyle="1">
    <w:name w:val="List Table 6 Colorful - Accent 2"/>
    <w:uiPriority w:val="99"/>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98" w:customStyle="1">
    <w:name w:val="List Table 6 Colorful - Accent 3"/>
    <w:uiPriority w:val="99"/>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99"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00"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01"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02" w:customStyle="1">
    <w:name w:val="List Table 7 Colorful"/>
    <w:uiPriority w:val="99"/>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7 Colorful - Accent 2"/>
    <w:uiPriority w:val="99"/>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List Table 7 Colorful - Accent 3"/>
    <w:uiPriority w:val="99"/>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8"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9"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1"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3"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5"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6" w:customStyle="1">
    <w:name w:val="Bordered &amp; Lined - Accen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Bordered &amp; Lined - Accent 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4" w:customStyle="1">
    <w:name w:val="Bordered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5" w:customStyle="1">
    <w:name w:val="Bordered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6"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7"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8" w:customStyle="1">
    <w:name w:val="Bordered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9"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0" w:customStyle="1">
    <w:name w:val="脚注文本 字符"/>
    <w:link w:val="674"/>
    <w:uiPriority w:val="99"/>
    <w:rPr>
      <w:sz w:val="18"/>
    </w:rPr>
  </w:style>
  <w:style w:type="character" w:styleId="831" w:customStyle="1">
    <w:name w:val="尾注文本 字符"/>
    <w:link w:val="668"/>
    <w:uiPriority w:val="99"/>
    <w:qFormat/>
    <w:rPr>
      <w:sz w:val="20"/>
    </w:rPr>
  </w:style>
  <w:style w:type="paragraph" w:styleId="832" w:customStyle="1">
    <w:name w:val="TOC Heading"/>
    <w:uiPriority w:val="39"/>
    <w:unhideWhenUsed/>
    <w:rPr>
      <w:rFonts w:ascii="Times New Roman" w:hAnsi="Times New Roman" w:cs="Times New Roman" w:eastAsiaTheme="minorEastAsia"/>
      <w:lang w:val="en-US" w:eastAsia="zh-CN" w:bidi="ar-SA"/>
    </w:rPr>
  </w:style>
  <w:style w:type="paragraph" w:styleId="833" w:customStyle="1">
    <w:name w:val="正文缩进1"/>
    <w:basedOn w:val="651"/>
    <w:link w:val="834"/>
    <w:uiPriority w:val="0"/>
    <w:unhideWhenUsed/>
    <w:qFormat/>
    <w:pPr>
      <w:ind w:firstLine="420"/>
      <w:widowControl w:val="off"/>
    </w:pPr>
    <w:rPr>
      <w:rFonts w:eastAsia="楷体_GB2312"/>
      <w:sz w:val="24"/>
    </w:rPr>
  </w:style>
  <w:style w:type="character" w:styleId="834" w:customStyle="1">
    <w:name w:val="正文缩进 Char"/>
    <w:link w:val="833"/>
    <w:uiPriority w:val="0"/>
    <w:qFormat/>
    <w:rPr>
      <w:rFonts w:eastAsia="楷体_GB2312"/>
      <w:sz w:val="24"/>
    </w:rPr>
  </w:style>
  <w:style w:type="numbering" w:styleId="8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谢爱发</cp:lastModifiedBy>
  <cp:revision>79</cp:revision>
  <dcterms:created xsi:type="dcterms:W3CDTF">2025-09-05T08:11:00Z</dcterms:created>
  <dcterms:modified xsi:type="dcterms:W3CDTF">2026-05-28T07:10:27Z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eyJoZGlkIjoiMjYwNzgzYWRhZmIxY2Q4NDQ0OTBmMmJjYjJhNDllMTQiLCJ1c2VySWQiOiI4NTA5Mjg1OTIifQ==</vt:lpwstr>
  </property>
  <property fmtid="{D5CDD505-2E9C-101B-9397-08002B2CF9AE}" pid="3" name="KSOProductBuildVer">
    <vt:lpwstr>2052-12.1.0.26375</vt:lpwstr>
  </property>
  <property fmtid="{D5CDD505-2E9C-101B-9397-08002B2CF9AE}" pid="4" name="ICV">
    <vt:lpwstr>18BE01B97DDB40AD8ECDAA0A7F6CF63B_12</vt:lpwstr>
  </property>
</Properties>
</file>