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B4FDF6">
      <w:pPr>
        <w:rPr>
          <w:rFonts w:hint="eastAsia" w:ascii="宋体" w:hAnsi="宋体" w:eastAsia="宋体" w:cs="宋体"/>
          <w:color w:val="auto"/>
          <w:highlight w:val="none"/>
          <w:lang w:eastAsia="zh-CN"/>
        </w:rPr>
      </w:pPr>
    </w:p>
    <w:p w14:paraId="223A18A6">
      <w:pPr>
        <w:rPr>
          <w:rFonts w:hint="eastAsia" w:ascii="宋体" w:hAnsi="宋体" w:eastAsia="宋体" w:cs="宋体"/>
          <w:color w:val="auto"/>
          <w:highlight w:val="none"/>
        </w:rPr>
      </w:pPr>
    </w:p>
    <w:p w14:paraId="4B3394FE">
      <w:pPr>
        <w:rPr>
          <w:rFonts w:hint="eastAsia" w:ascii="宋体" w:hAnsi="宋体" w:eastAsia="宋体" w:cs="宋体"/>
          <w:color w:val="auto"/>
          <w:highlight w:val="none"/>
        </w:rPr>
      </w:pPr>
    </w:p>
    <w:p w14:paraId="0FF2D02E">
      <w:pPr>
        <w:rPr>
          <w:rFonts w:hint="eastAsia" w:ascii="宋体" w:hAnsi="宋体" w:eastAsia="宋体" w:cs="宋体"/>
          <w:color w:val="auto"/>
          <w:highlight w:val="none"/>
        </w:rPr>
      </w:pPr>
    </w:p>
    <w:p w14:paraId="3B462B3D">
      <w:pPr>
        <w:jc w:val="center"/>
        <w:rPr>
          <w:rFonts w:hint="eastAsia" w:ascii="宋体" w:hAnsi="宋体" w:eastAsia="宋体" w:cs="宋体"/>
          <w:color w:val="auto"/>
          <w:sz w:val="60"/>
          <w:szCs w:val="60"/>
          <w:highlight w:val="none"/>
        </w:rPr>
      </w:pPr>
      <w:bookmarkStart w:id="0" w:name="OLE_LINK2"/>
      <w:bookmarkStart w:id="1" w:name="OLE_LINK1"/>
      <w:r>
        <w:rPr>
          <w:rFonts w:hint="eastAsia" w:ascii="宋体" w:hAnsi="宋体" w:eastAsia="宋体" w:cs="宋体"/>
          <w:color w:val="auto"/>
          <w:sz w:val="60"/>
          <w:szCs w:val="60"/>
          <w:highlight w:val="none"/>
        </w:rPr>
        <w:t>泰州市政府采购项目</w:t>
      </w:r>
      <w:bookmarkEnd w:id="0"/>
      <w:bookmarkEnd w:id="1"/>
    </w:p>
    <w:p w14:paraId="00FCBFDA">
      <w:pPr>
        <w:jc w:val="center"/>
        <w:rPr>
          <w:rFonts w:hint="eastAsia" w:ascii="宋体" w:hAnsi="宋体" w:eastAsia="宋体" w:cs="宋体"/>
          <w:color w:val="auto"/>
          <w:sz w:val="32"/>
          <w:szCs w:val="32"/>
          <w:highlight w:val="none"/>
        </w:rPr>
      </w:pPr>
    </w:p>
    <w:p w14:paraId="28DC79BF">
      <w:pPr>
        <w:jc w:val="center"/>
        <w:rPr>
          <w:rFonts w:hint="eastAsia" w:ascii="宋体" w:hAnsi="宋体" w:eastAsia="宋体" w:cs="宋体"/>
          <w:color w:val="auto"/>
          <w:sz w:val="36"/>
          <w:szCs w:val="36"/>
          <w:highlight w:val="none"/>
        </w:rPr>
      </w:pPr>
      <w:bookmarkStart w:id="2" w:name="_Toc28993"/>
    </w:p>
    <w:p w14:paraId="2EE9CE73">
      <w:pPr>
        <w:jc w:val="center"/>
        <w:rPr>
          <w:rFonts w:hint="eastAsia" w:ascii="宋体" w:hAnsi="宋体" w:eastAsia="宋体" w:cs="宋体"/>
          <w:color w:val="auto"/>
          <w:sz w:val="36"/>
          <w:szCs w:val="36"/>
          <w:highlight w:val="none"/>
        </w:rPr>
      </w:pPr>
    </w:p>
    <w:p w14:paraId="3840A2F1">
      <w:pPr>
        <w:jc w:val="center"/>
        <w:rPr>
          <w:rFonts w:hint="eastAsia" w:ascii="宋体" w:hAnsi="宋体" w:eastAsia="宋体" w:cs="宋体"/>
          <w:color w:val="auto"/>
          <w:sz w:val="40"/>
          <w:szCs w:val="40"/>
          <w:highlight w:val="none"/>
        </w:rPr>
      </w:pPr>
      <w:r>
        <w:rPr>
          <w:rFonts w:hint="eastAsia" w:ascii="宋体" w:hAnsi="宋体" w:eastAsia="宋体" w:cs="宋体"/>
          <w:color w:val="auto"/>
          <w:sz w:val="40"/>
          <w:szCs w:val="40"/>
          <w:highlight w:val="none"/>
        </w:rPr>
        <w:t>竞争性磋商</w:t>
      </w:r>
      <w:r>
        <w:rPr>
          <w:rFonts w:hint="eastAsia" w:ascii="宋体" w:hAnsi="宋体" w:eastAsia="宋体" w:cs="宋体"/>
          <w:color w:val="auto"/>
          <w:sz w:val="40"/>
          <w:szCs w:val="40"/>
          <w:highlight w:val="none"/>
          <w:lang w:val="en-US" w:eastAsia="zh-CN"/>
        </w:rPr>
        <w:t>采购</w:t>
      </w:r>
      <w:r>
        <w:rPr>
          <w:rFonts w:hint="eastAsia" w:ascii="宋体" w:hAnsi="宋体" w:eastAsia="宋体" w:cs="宋体"/>
          <w:color w:val="auto"/>
          <w:sz w:val="40"/>
          <w:szCs w:val="40"/>
          <w:highlight w:val="none"/>
        </w:rPr>
        <w:t>文件</w:t>
      </w:r>
      <w:bookmarkEnd w:id="2"/>
    </w:p>
    <w:p w14:paraId="018D3869">
      <w:pPr>
        <w:jc w:val="cente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（全流程电子化不见面开标）</w:t>
      </w:r>
    </w:p>
    <w:p w14:paraId="2B40389B">
      <w:pPr>
        <w:jc w:val="center"/>
        <w:rPr>
          <w:rFonts w:hint="eastAsia" w:ascii="宋体" w:hAnsi="宋体" w:eastAsia="宋体" w:cs="宋体"/>
          <w:color w:val="auto"/>
          <w:sz w:val="32"/>
          <w:szCs w:val="32"/>
          <w:highlight w:val="none"/>
        </w:rPr>
      </w:pPr>
    </w:p>
    <w:p w14:paraId="17A5E1B1">
      <w:pPr>
        <w:jc w:val="center"/>
        <w:rPr>
          <w:rFonts w:hint="eastAsia" w:ascii="宋体" w:hAnsi="宋体" w:eastAsia="宋体" w:cs="宋体"/>
          <w:color w:val="auto"/>
          <w:sz w:val="32"/>
          <w:szCs w:val="32"/>
          <w:highlight w:val="none"/>
        </w:rPr>
      </w:pPr>
    </w:p>
    <w:p w14:paraId="5C59F514">
      <w:pPr>
        <w:jc w:val="center"/>
        <w:rPr>
          <w:rFonts w:hint="eastAsia" w:ascii="宋体" w:hAnsi="宋体" w:eastAsia="宋体" w:cs="宋体"/>
          <w:color w:val="auto"/>
          <w:sz w:val="32"/>
          <w:szCs w:val="32"/>
          <w:highlight w:val="none"/>
        </w:rPr>
      </w:pPr>
    </w:p>
    <w:p w14:paraId="797E052F">
      <w:pPr>
        <w:jc w:val="center"/>
        <w:rPr>
          <w:rFonts w:hint="eastAsia" w:ascii="宋体" w:hAnsi="宋体" w:eastAsia="宋体" w:cs="宋体"/>
          <w:color w:val="auto"/>
          <w:sz w:val="32"/>
          <w:szCs w:val="32"/>
          <w:highlight w:val="none"/>
        </w:rPr>
      </w:pPr>
    </w:p>
    <w:p w14:paraId="794F27AD">
      <w:pPr>
        <w:jc w:val="center"/>
        <w:rPr>
          <w:rFonts w:hint="eastAsia" w:ascii="宋体" w:hAnsi="宋体" w:eastAsia="宋体" w:cs="宋体"/>
          <w:color w:val="auto"/>
          <w:sz w:val="32"/>
          <w:szCs w:val="32"/>
          <w:highlight w:val="none"/>
        </w:rPr>
      </w:pPr>
    </w:p>
    <w:p w14:paraId="3199CFB1">
      <w:pPr>
        <w:jc w:val="center"/>
        <w:rPr>
          <w:rFonts w:hint="eastAsia" w:ascii="宋体" w:hAnsi="宋体" w:eastAsia="宋体" w:cs="宋体"/>
          <w:color w:val="auto"/>
          <w:sz w:val="32"/>
          <w:szCs w:val="32"/>
          <w:highlight w:val="none"/>
        </w:rPr>
      </w:pPr>
    </w:p>
    <w:p w14:paraId="063FE0C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rPr>
        <w:t>项目名称：</w:t>
      </w:r>
      <w:r>
        <w:rPr>
          <w:rFonts w:hint="eastAsia" w:ascii="宋体" w:hAnsi="宋体" w:eastAsia="宋体" w:cs="宋体"/>
          <w:color w:val="auto"/>
          <w:sz w:val="30"/>
          <w:szCs w:val="30"/>
          <w:highlight w:val="none"/>
          <w:lang w:eastAsia="zh-CN"/>
        </w:rPr>
        <w:t>泰州市公安局反诈骗和新型犯罪中心建设一体化专用操控调度工程</w:t>
      </w:r>
    </w:p>
    <w:p w14:paraId="5FE3449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rPr>
        <w:t>项目编号：</w:t>
      </w:r>
      <w:r>
        <w:rPr>
          <w:rFonts w:hint="eastAsia" w:ascii="宋体" w:hAnsi="宋体" w:eastAsia="宋体" w:cs="宋体"/>
          <w:color w:val="auto"/>
          <w:sz w:val="30"/>
          <w:szCs w:val="30"/>
          <w:highlight w:val="none"/>
          <w:lang w:eastAsia="zh-CN"/>
        </w:rPr>
        <w:t>JSZC-321200-NJGJ-C2026-0019</w:t>
      </w:r>
    </w:p>
    <w:p w14:paraId="6D3A3E9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rPr>
        <w:t>采购单位：</w:t>
      </w:r>
      <w:r>
        <w:rPr>
          <w:rFonts w:hint="eastAsia" w:ascii="宋体" w:hAnsi="宋体" w:eastAsia="宋体" w:cs="宋体"/>
          <w:color w:val="auto"/>
          <w:sz w:val="30"/>
          <w:szCs w:val="30"/>
          <w:highlight w:val="none"/>
          <w:lang w:eastAsia="zh-CN"/>
        </w:rPr>
        <w:t>泰州市公安局</w:t>
      </w:r>
    </w:p>
    <w:p w14:paraId="7D8D1E9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rPr>
        <w:t>代理机构：</w:t>
      </w:r>
      <w:r>
        <w:rPr>
          <w:rFonts w:hint="eastAsia" w:ascii="宋体" w:hAnsi="宋体" w:eastAsia="宋体" w:cs="宋体"/>
          <w:color w:val="auto"/>
          <w:sz w:val="30"/>
          <w:szCs w:val="30"/>
          <w:highlight w:val="none"/>
          <w:lang w:eastAsia="zh-CN"/>
        </w:rPr>
        <w:t>南京国景工程项目管理有限公司</w:t>
      </w:r>
    </w:p>
    <w:p w14:paraId="5024253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2026年</w:t>
      </w:r>
      <w:r>
        <w:rPr>
          <w:rFonts w:hint="eastAsia" w:ascii="宋体" w:hAnsi="宋体" w:cs="宋体"/>
          <w:color w:val="auto"/>
          <w:sz w:val="30"/>
          <w:szCs w:val="30"/>
          <w:highlight w:val="none"/>
          <w:lang w:val="en-US" w:eastAsia="zh-CN"/>
        </w:rPr>
        <w:t>8</w:t>
      </w:r>
      <w:r>
        <w:rPr>
          <w:rFonts w:hint="eastAsia" w:ascii="宋体" w:hAnsi="宋体" w:eastAsia="宋体" w:cs="宋体"/>
          <w:color w:val="auto"/>
          <w:sz w:val="30"/>
          <w:szCs w:val="30"/>
          <w:highlight w:val="none"/>
        </w:rPr>
        <w:t>月</w:t>
      </w:r>
    </w:p>
    <w:p w14:paraId="57424FD3">
      <w:pPr>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目  录</w:t>
      </w:r>
    </w:p>
    <w:p w14:paraId="03E5B48E">
      <w:pPr>
        <w:pStyle w:val="245"/>
        <w:ind w:firstLine="640"/>
        <w:rPr>
          <w:rFonts w:hint="eastAsia" w:ascii="宋体" w:hAnsi="宋体" w:eastAsia="宋体" w:cs="宋体"/>
          <w:color w:val="auto"/>
          <w:highlight w:val="none"/>
        </w:rPr>
      </w:pPr>
    </w:p>
    <w:p w14:paraId="46B385B4">
      <w:pPr>
        <w:ind w:firstLine="64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第一章  竞争性磋商采购公告</w:t>
      </w:r>
    </w:p>
    <w:p w14:paraId="3A02CF7A">
      <w:pPr>
        <w:pStyle w:val="245"/>
        <w:ind w:firstLine="64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第二章  参加磋商供应商须知</w:t>
      </w:r>
    </w:p>
    <w:p w14:paraId="20C19DED">
      <w:pPr>
        <w:pStyle w:val="245"/>
        <w:ind w:firstLine="64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第三章  合同条款及格式</w:t>
      </w:r>
    </w:p>
    <w:p w14:paraId="7792B2C9">
      <w:pPr>
        <w:pStyle w:val="245"/>
        <w:ind w:firstLine="64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第四章  项目需求</w:t>
      </w:r>
    </w:p>
    <w:p w14:paraId="64E4D78F">
      <w:pPr>
        <w:pStyle w:val="245"/>
        <w:ind w:firstLine="64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第五章  评审方法和评审标准</w:t>
      </w:r>
    </w:p>
    <w:p w14:paraId="6CB6A081">
      <w:pPr>
        <w:pStyle w:val="245"/>
        <w:ind w:firstLine="64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第六章  响应文件的组成和格式</w:t>
      </w:r>
    </w:p>
    <w:p w14:paraId="45EB0F7D">
      <w:pPr>
        <w:pStyle w:val="228"/>
        <w:keepNext w:val="0"/>
        <w:rPr>
          <w:rFonts w:hint="eastAsia" w:ascii="宋体" w:hAnsi="宋体" w:eastAsia="宋体" w:cs="宋体"/>
          <w:color w:val="auto"/>
          <w:sz w:val="32"/>
          <w:szCs w:val="32"/>
          <w:highlight w:val="none"/>
        </w:rPr>
        <w:sectPr>
          <w:footerReference r:id="rId5" w:type="default"/>
          <w:pgSz w:w="11906" w:h="16838"/>
          <w:pgMar w:top="1440" w:right="1463" w:bottom="1440" w:left="1463" w:header="851" w:footer="992" w:gutter="0"/>
          <w:pgNumType w:start="1"/>
          <w:cols w:space="720" w:num="1"/>
          <w:docGrid w:linePitch="360" w:charSpace="0"/>
        </w:sectPr>
      </w:pPr>
      <w:bookmarkStart w:id="3" w:name="_Toc32147"/>
      <w:bookmarkStart w:id="4" w:name="_Toc24405"/>
    </w:p>
    <w:p w14:paraId="500B7D0E">
      <w:pPr>
        <w:pStyle w:val="228"/>
        <w:keepNext w:val="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第一章 竞争性磋商</w:t>
      </w:r>
      <w:bookmarkStart w:id="5" w:name="二．报价方须知"/>
      <w:bookmarkEnd w:id="5"/>
      <w:r>
        <w:rPr>
          <w:rFonts w:hint="eastAsia" w:ascii="宋体" w:hAnsi="宋体" w:eastAsia="宋体" w:cs="宋体"/>
          <w:b/>
          <w:bCs/>
          <w:color w:val="auto"/>
          <w:sz w:val="32"/>
          <w:szCs w:val="32"/>
          <w:highlight w:val="none"/>
        </w:rPr>
        <w:t>采购公告</w:t>
      </w:r>
      <w:bookmarkEnd w:id="3"/>
      <w:bookmarkEnd w:id="4"/>
    </w:p>
    <w:p w14:paraId="76588823">
      <w:pPr>
        <w:keepNext w:val="0"/>
        <w:keepLines w:val="0"/>
        <w:pageBreakBefore w:val="0"/>
        <w:widowControl w:val="0"/>
        <w:pBdr>
          <w:top w:val="single" w:color="000000" w:sz="4" w:space="0"/>
          <w:left w:val="single" w:color="000000" w:sz="4" w:space="0"/>
          <w:bottom w:val="single" w:color="000000" w:sz="4" w:space="0"/>
          <w:right w:val="single" w:color="000000" w:sz="4" w:space="0"/>
        </w:pBd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bookmarkStart w:id="6" w:name="_Toc28359089"/>
      <w:bookmarkStart w:id="7" w:name="_Toc35393798"/>
      <w:bookmarkStart w:id="8" w:name="_Toc35393629"/>
      <w:bookmarkStart w:id="9" w:name="_Toc28359012"/>
      <w:r>
        <w:rPr>
          <w:rFonts w:hint="eastAsia" w:ascii="宋体" w:hAnsi="宋体" w:eastAsia="宋体" w:cs="宋体"/>
          <w:b/>
          <w:bCs/>
          <w:color w:val="auto"/>
          <w:sz w:val="24"/>
          <w:szCs w:val="24"/>
          <w:highlight w:val="none"/>
        </w:rPr>
        <w:t>项目概况</w:t>
      </w:r>
    </w:p>
    <w:p w14:paraId="68794F49">
      <w:pPr>
        <w:keepNext w:val="0"/>
        <w:keepLines w:val="0"/>
        <w:pageBreakBefore w:val="0"/>
        <w:widowControl w:val="0"/>
        <w:pBdr>
          <w:top w:val="single" w:color="000000" w:sz="4" w:space="0"/>
          <w:left w:val="single" w:color="000000" w:sz="4" w:space="0"/>
          <w:bottom w:val="single" w:color="000000" w:sz="4" w:space="0"/>
          <w:right w:val="single" w:color="000000" w:sz="4" w:space="0"/>
        </w:pBdr>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eastAsia="zh-CN"/>
        </w:rPr>
        <w:t>泰州市公安局反诈骗和新型犯罪中心建设一体化专用操控调度工程</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的潜在供应商可在</w:t>
      </w:r>
      <w:r>
        <w:rPr>
          <w:rFonts w:hint="eastAsia" w:ascii="宋体" w:hAnsi="宋体" w:eastAsia="宋体" w:cs="宋体"/>
          <w:color w:val="auto"/>
          <w:sz w:val="24"/>
          <w:szCs w:val="24"/>
          <w:highlight w:val="none"/>
          <w:u w:val="single"/>
        </w:rPr>
        <w:t>江苏省政府采购“苏采云”系统</w:t>
      </w:r>
      <w:r>
        <w:rPr>
          <w:rFonts w:hint="eastAsia" w:ascii="宋体" w:hAnsi="宋体" w:eastAsia="宋体" w:cs="宋体"/>
          <w:color w:val="auto"/>
          <w:sz w:val="24"/>
          <w:szCs w:val="24"/>
          <w:highlight w:val="none"/>
        </w:rPr>
        <w:t>自行免费下载</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，并于</w:t>
      </w:r>
      <w:r>
        <w:rPr>
          <w:rFonts w:hint="eastAsia" w:ascii="宋体" w:hAnsi="宋体" w:eastAsia="宋体" w:cs="宋体"/>
          <w:color w:val="auto"/>
          <w:sz w:val="24"/>
          <w:szCs w:val="24"/>
          <w:highlight w:val="none"/>
          <w:u w:val="single"/>
        </w:rPr>
        <w:t>2026</w:t>
      </w:r>
      <w:r>
        <w:rPr>
          <w:rFonts w:hint="eastAsia" w:ascii="宋体" w:hAnsi="宋体" w:eastAsia="宋体" w:cs="宋体"/>
          <w:bCs/>
          <w:color w:val="auto"/>
          <w:sz w:val="24"/>
          <w:szCs w:val="24"/>
          <w:highlight w:val="none"/>
          <w:u w:val="single"/>
        </w:rPr>
        <w:t>年</w:t>
      </w:r>
      <w:r>
        <w:rPr>
          <w:rFonts w:hint="eastAsia" w:ascii="宋体" w:hAnsi="宋体" w:cs="宋体"/>
          <w:bCs/>
          <w:color w:val="auto"/>
          <w:sz w:val="24"/>
          <w:szCs w:val="24"/>
          <w:highlight w:val="none"/>
          <w:u w:val="single"/>
          <w:lang w:val="en-US" w:eastAsia="zh-CN"/>
        </w:rPr>
        <w:t>9</w:t>
      </w:r>
      <w:r>
        <w:rPr>
          <w:rFonts w:hint="eastAsia" w:ascii="宋体" w:hAnsi="宋体" w:eastAsia="宋体" w:cs="宋体"/>
          <w:bCs/>
          <w:color w:val="auto"/>
          <w:sz w:val="24"/>
          <w:szCs w:val="24"/>
          <w:highlight w:val="none"/>
          <w:u w:val="single"/>
        </w:rPr>
        <w:t>月</w:t>
      </w:r>
      <w:r>
        <w:rPr>
          <w:rFonts w:hint="eastAsia" w:ascii="宋体" w:hAnsi="宋体" w:cs="宋体"/>
          <w:bCs/>
          <w:color w:val="auto"/>
          <w:sz w:val="24"/>
          <w:szCs w:val="24"/>
          <w:highlight w:val="none"/>
          <w:u w:val="single"/>
          <w:lang w:val="en-US" w:eastAsia="zh-CN"/>
        </w:rPr>
        <w:t>7</w:t>
      </w:r>
      <w:r>
        <w:rPr>
          <w:rFonts w:hint="eastAsia" w:ascii="宋体" w:hAnsi="宋体" w:eastAsia="宋体" w:cs="宋体"/>
          <w:bCs/>
          <w:color w:val="auto"/>
          <w:sz w:val="24"/>
          <w:szCs w:val="24"/>
          <w:highlight w:val="none"/>
          <w:u w:val="single"/>
        </w:rPr>
        <w:t>日</w:t>
      </w:r>
      <w:r>
        <w:rPr>
          <w:rFonts w:hint="eastAsia" w:ascii="宋体" w:hAnsi="宋体" w:eastAsia="宋体" w:cs="宋体"/>
          <w:bCs/>
          <w:color w:val="auto"/>
          <w:sz w:val="24"/>
          <w:szCs w:val="24"/>
          <w:highlight w:val="none"/>
          <w:u w:val="single"/>
          <w:lang w:val="en-US" w:eastAsia="zh-CN"/>
        </w:rPr>
        <w:t>14</w:t>
      </w:r>
      <w:r>
        <w:rPr>
          <w:rFonts w:hint="eastAsia" w:ascii="宋体" w:hAnsi="宋体" w:eastAsia="宋体" w:cs="宋体"/>
          <w:bCs/>
          <w:color w:val="auto"/>
          <w:sz w:val="24"/>
          <w:szCs w:val="24"/>
          <w:highlight w:val="none"/>
          <w:u w:val="single"/>
        </w:rPr>
        <w:t>点</w:t>
      </w:r>
      <w:r>
        <w:rPr>
          <w:rFonts w:hint="eastAsia" w:ascii="宋体" w:hAnsi="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lang w:val="en-US" w:eastAsia="zh-CN"/>
        </w:rPr>
        <w:t>0</w:t>
      </w:r>
      <w:r>
        <w:rPr>
          <w:rFonts w:hint="eastAsia" w:ascii="宋体" w:hAnsi="宋体" w:eastAsia="宋体" w:cs="宋体"/>
          <w:bCs/>
          <w:color w:val="auto"/>
          <w:sz w:val="24"/>
          <w:szCs w:val="24"/>
          <w:highlight w:val="none"/>
          <w:u w:val="single"/>
        </w:rPr>
        <w:t>分</w:t>
      </w:r>
      <w:r>
        <w:rPr>
          <w:rFonts w:hint="eastAsia" w:ascii="宋体" w:hAnsi="宋体" w:eastAsia="宋体" w:cs="宋体"/>
          <w:bCs/>
          <w:color w:val="auto"/>
          <w:sz w:val="24"/>
          <w:szCs w:val="24"/>
          <w:highlight w:val="none"/>
        </w:rPr>
        <w:t>（北京时间）前提交响应文件</w:t>
      </w:r>
      <w:r>
        <w:rPr>
          <w:rFonts w:hint="eastAsia" w:ascii="宋体" w:hAnsi="宋体" w:eastAsia="宋体" w:cs="宋体"/>
          <w:color w:val="auto"/>
          <w:sz w:val="24"/>
          <w:szCs w:val="24"/>
          <w:highlight w:val="none"/>
        </w:rPr>
        <w:t>。</w:t>
      </w:r>
    </w:p>
    <w:p w14:paraId="17EC9E9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一、项目基本情况</w:t>
      </w:r>
      <w:bookmarkEnd w:id="6"/>
      <w:bookmarkEnd w:id="7"/>
      <w:bookmarkEnd w:id="8"/>
      <w:bookmarkEnd w:id="9"/>
    </w:p>
    <w:p w14:paraId="20058F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lang w:eastAsia="zh-CN"/>
        </w:rPr>
        <w:t>JSZC-321200-NJGJ-C2026-0019</w:t>
      </w:r>
      <w:r>
        <w:rPr>
          <w:rFonts w:hint="eastAsia" w:ascii="宋体" w:hAnsi="宋体" w:eastAsia="宋体" w:cs="宋体"/>
          <w:color w:val="auto"/>
          <w:sz w:val="24"/>
          <w:szCs w:val="24"/>
          <w:highlight w:val="none"/>
          <w:lang w:val="en-US" w:eastAsia="zh-CN"/>
        </w:rPr>
        <w:t xml:space="preserve"> </w:t>
      </w:r>
    </w:p>
    <w:p w14:paraId="6DCC37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lang w:eastAsia="zh-CN"/>
        </w:rPr>
        <w:t>泰州市公安局反诈骗和新型犯罪中心建设一体化专用操控调度工程</w:t>
      </w:r>
    </w:p>
    <w:p w14:paraId="65B14B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采购方式：竞争性磋商</w:t>
      </w:r>
    </w:p>
    <w:p w14:paraId="7B5AFB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预算金额：</w:t>
      </w:r>
      <w:r>
        <w:rPr>
          <w:rFonts w:hint="eastAsia" w:ascii="宋体" w:hAnsi="宋体" w:eastAsia="宋体" w:cs="宋体"/>
          <w:color w:val="auto"/>
          <w:sz w:val="24"/>
          <w:szCs w:val="24"/>
          <w:highlight w:val="none"/>
          <w:lang w:val="en-US" w:eastAsia="zh-CN"/>
        </w:rPr>
        <w:t>111.9</w:t>
      </w:r>
      <w:r>
        <w:rPr>
          <w:rFonts w:hint="eastAsia" w:ascii="宋体" w:hAnsi="宋体" w:eastAsia="宋体" w:cs="宋体"/>
          <w:color w:val="auto"/>
          <w:sz w:val="24"/>
          <w:szCs w:val="24"/>
          <w:highlight w:val="none"/>
        </w:rPr>
        <w:t>万元</w:t>
      </w:r>
    </w:p>
    <w:p w14:paraId="008C75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最高限价：</w:t>
      </w:r>
      <w:r>
        <w:rPr>
          <w:rFonts w:hint="eastAsia" w:ascii="宋体" w:hAnsi="宋体" w:eastAsia="宋体" w:cs="宋体"/>
          <w:color w:val="auto"/>
          <w:sz w:val="24"/>
          <w:szCs w:val="24"/>
          <w:highlight w:val="none"/>
          <w:lang w:val="en-US" w:eastAsia="zh-CN"/>
        </w:rPr>
        <w:t>111.88736</w:t>
      </w:r>
      <w:r>
        <w:rPr>
          <w:rFonts w:hint="eastAsia" w:ascii="宋体" w:hAnsi="宋体" w:eastAsia="宋体" w:cs="宋体"/>
          <w:color w:val="auto"/>
          <w:sz w:val="24"/>
          <w:szCs w:val="24"/>
          <w:highlight w:val="none"/>
        </w:rPr>
        <w:t>万元，报价不得超过最高限价金额，否则按无效响应处理</w:t>
      </w:r>
    </w:p>
    <w:p w14:paraId="7B38D1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采购需求：为全面提升公安机关侦查破案能力，更好地打击新型犯罪，泰州市公安局拟建设反诈骗和新型犯罪侦查中心，中心通过整合信息和数据资源，把分散在各部门的力量融合起来，形成快速反应、专业研判、协同作战的中枢系统。具体要求详见竞争性磋商文件。</w:t>
      </w:r>
    </w:p>
    <w:p w14:paraId="0B04492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合同履行期限：合同签署后，</w:t>
      </w:r>
      <w:r>
        <w:rPr>
          <w:rFonts w:hint="eastAsia" w:ascii="宋体" w:hAnsi="宋体" w:eastAsia="宋体" w:cs="宋体"/>
          <w:color w:val="auto"/>
          <w:sz w:val="24"/>
          <w:szCs w:val="24"/>
          <w:highlight w:val="none"/>
          <w:lang w:val="en-US" w:eastAsia="zh-CN"/>
        </w:rPr>
        <w:t>90</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历天</w:t>
      </w:r>
      <w:r>
        <w:rPr>
          <w:rFonts w:hint="eastAsia" w:ascii="宋体" w:hAnsi="宋体" w:eastAsia="宋体" w:cs="宋体"/>
          <w:color w:val="auto"/>
          <w:sz w:val="24"/>
          <w:szCs w:val="24"/>
          <w:highlight w:val="none"/>
        </w:rPr>
        <w:t>内完成供货和安装。</w:t>
      </w:r>
    </w:p>
    <w:p w14:paraId="5AA0AD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本项目（是/否）接受联合体：否。</w:t>
      </w:r>
    </w:p>
    <w:p w14:paraId="04FF3AB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auto"/>
          <w:sz w:val="24"/>
          <w:szCs w:val="24"/>
          <w:highlight w:val="none"/>
        </w:rPr>
      </w:pPr>
      <w:bookmarkStart w:id="10" w:name="_Toc35393799"/>
      <w:bookmarkStart w:id="11" w:name="_Toc28359013"/>
      <w:bookmarkStart w:id="12" w:name="_Toc28359090"/>
      <w:bookmarkStart w:id="13" w:name="_Toc35393630"/>
      <w:r>
        <w:rPr>
          <w:rFonts w:hint="eastAsia" w:ascii="宋体" w:hAnsi="宋体" w:eastAsia="宋体" w:cs="宋体"/>
          <w:b/>
          <w:color w:val="auto"/>
          <w:sz w:val="24"/>
          <w:szCs w:val="24"/>
          <w:highlight w:val="none"/>
        </w:rPr>
        <w:t>二、申请人的资格要求</w:t>
      </w:r>
      <w:bookmarkEnd w:id="10"/>
      <w:bookmarkEnd w:id="11"/>
      <w:bookmarkEnd w:id="12"/>
      <w:bookmarkEnd w:id="13"/>
    </w:p>
    <w:p w14:paraId="5275E0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bookmarkStart w:id="14" w:name="_Toc35393631"/>
      <w:bookmarkStart w:id="15" w:name="_Toc28359014"/>
      <w:bookmarkStart w:id="16" w:name="_Toc28359091"/>
      <w:bookmarkStart w:id="17" w:name="_Toc35393800"/>
      <w:r>
        <w:rPr>
          <w:rFonts w:hint="eastAsia" w:ascii="宋体" w:hAnsi="宋体" w:eastAsia="宋体" w:cs="宋体"/>
          <w:color w:val="auto"/>
          <w:sz w:val="24"/>
          <w:szCs w:val="24"/>
          <w:highlight w:val="none"/>
        </w:rPr>
        <w:t>（一）满足《中华人民共和国政府采购法》第二十二条规定：</w:t>
      </w:r>
    </w:p>
    <w:p w14:paraId="680B1D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1.具有独立承担民事责任的能力；</w:t>
      </w:r>
    </w:p>
    <w:p w14:paraId="63CD9A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2.具有良好的商业信誉和健全的财务会计制度；</w:t>
      </w:r>
    </w:p>
    <w:p w14:paraId="19C59E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3.具有履行合同所必需的设备和专业技术能力；</w:t>
      </w:r>
    </w:p>
    <w:p w14:paraId="05DED0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4.有依法缴纳税收和社会保障资金的良好记录；</w:t>
      </w:r>
    </w:p>
    <w:p w14:paraId="55E05A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5.参加政府采购活动前三年内，在经营活动中没有重大违法记录。</w:t>
      </w:r>
    </w:p>
    <w:p w14:paraId="5D3AE51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（二）落实政府采购政策需满足的资格要求：</w:t>
      </w:r>
    </w:p>
    <w:p w14:paraId="3E90C9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本项目支持和适用支持中小微企业（财库〔2020〕46号）、（工信部联企业</w:t>
      </w:r>
      <w:r>
        <w:rPr>
          <w:rFonts w:hint="eastAsia" w:ascii="宋体" w:hAnsi="宋体" w:cs="宋体"/>
          <w:color w:val="auto"/>
          <w:sz w:val="24"/>
          <w:szCs w:val="24"/>
          <w:highlight w:val="none"/>
          <w:lang w:eastAsia="zh-CN"/>
        </w:rPr>
        <w:t>〔2011〕300号</w:t>
      </w:r>
      <w:r>
        <w:rPr>
          <w:rFonts w:hint="eastAsia" w:ascii="宋体" w:hAnsi="宋体" w:eastAsia="宋体" w:cs="宋体"/>
          <w:color w:val="auto"/>
          <w:sz w:val="24"/>
          <w:szCs w:val="24"/>
          <w:highlight w:val="none"/>
        </w:rPr>
        <w:t>）；支持监狱企业（财库〔2014〕68号）；促进残疾人就业（财库〔2017〕141号）等政策。本项目专门面向</w:t>
      </w:r>
      <w:r>
        <w:rPr>
          <w:rFonts w:hint="eastAsia" w:ascii="宋体" w:hAnsi="宋体" w:eastAsia="宋体" w:cs="宋体"/>
          <w:color w:val="auto"/>
          <w:sz w:val="24"/>
          <w:szCs w:val="24"/>
          <w:highlight w:val="none"/>
          <w:lang w:val="en-US" w:eastAsia="zh-CN"/>
        </w:rPr>
        <w:t>中小微企业采购，只接受中小微企业投标。中小企业划分标准见《关于印发中小企业划型标准规定的通知》（工信部联企业</w:t>
      </w:r>
      <w:r>
        <w:rPr>
          <w:rFonts w:hint="eastAsia" w:ascii="宋体" w:hAnsi="宋体" w:cs="宋体"/>
          <w:color w:val="auto"/>
          <w:sz w:val="24"/>
          <w:szCs w:val="24"/>
          <w:highlight w:val="none"/>
          <w:lang w:val="en-US" w:eastAsia="zh-CN"/>
        </w:rPr>
        <w:t>〔2011〕300号</w:t>
      </w:r>
      <w:r>
        <w:rPr>
          <w:rFonts w:hint="eastAsia" w:ascii="宋体" w:hAnsi="宋体" w:eastAsia="宋体" w:cs="宋体"/>
          <w:color w:val="auto"/>
          <w:sz w:val="24"/>
          <w:szCs w:val="24"/>
          <w:highlight w:val="none"/>
          <w:lang w:val="en-US" w:eastAsia="zh-CN"/>
        </w:rPr>
        <w:t>）。</w:t>
      </w:r>
    </w:p>
    <w:p w14:paraId="2174EF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（三）本项目的特定资格要求：</w:t>
      </w:r>
      <w:r>
        <w:rPr>
          <w:rFonts w:hint="eastAsia" w:ascii="宋体" w:hAnsi="宋体" w:eastAsia="宋体" w:cs="宋体"/>
          <w:color w:val="auto"/>
          <w:sz w:val="24"/>
          <w:szCs w:val="24"/>
          <w:highlight w:val="none"/>
          <w:lang w:val="en-US" w:eastAsia="zh-CN"/>
        </w:rPr>
        <w:t>无</w:t>
      </w:r>
      <w:r>
        <w:rPr>
          <w:rFonts w:hint="eastAsia" w:ascii="宋体" w:hAnsi="宋体" w:eastAsia="宋体" w:cs="宋体"/>
          <w:color w:val="auto"/>
          <w:sz w:val="24"/>
          <w:szCs w:val="24"/>
          <w:highlight w:val="none"/>
        </w:rPr>
        <w:t>。</w:t>
      </w:r>
    </w:p>
    <w:p w14:paraId="2D8210F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（四）其他要求：</w:t>
      </w:r>
    </w:p>
    <w:p w14:paraId="6CB56E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1.供应商未被“信用中国”网站（www.creditchina.gov.cn）列入失信被执行人、重大税收违法失信主体、政府采购严重失信行为记录名单；</w:t>
      </w:r>
    </w:p>
    <w:p w14:paraId="1DC748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bCs/>
          <w:color w:val="auto"/>
          <w:sz w:val="24"/>
          <w:szCs w:val="24"/>
          <w:highlight w:val="none"/>
          <w:lang w:val="en-US" w:eastAsia="zh-CN"/>
        </w:rPr>
        <w:t>除单一来源采购项目外，为采购项目提供整体设计、规范编制或者项目管理、监理、检测等服务的供应商，不得在该采购项目的其他采购活动；</w:t>
      </w:r>
    </w:p>
    <w:p w14:paraId="25333E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供应商单位负责人为同一人或者存在直接控股、管理关系的不同供应商，不得参加同一合同项下的采购活动。</w:t>
      </w:r>
    </w:p>
    <w:p w14:paraId="270175C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三、获取采购文件</w:t>
      </w:r>
      <w:bookmarkEnd w:id="14"/>
      <w:bookmarkEnd w:id="15"/>
      <w:bookmarkEnd w:id="16"/>
      <w:bookmarkEnd w:id="17"/>
    </w:p>
    <w:p w14:paraId="5673C4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szCs w:val="24"/>
          <w:highlight w:val="none"/>
          <w:lang w:val="en-US" w:eastAsia="zh-CN"/>
        </w:rPr>
      </w:pPr>
      <w:bookmarkStart w:id="18" w:name="_Toc35393801"/>
      <w:bookmarkStart w:id="19" w:name="_Toc35393632"/>
      <w:bookmarkStart w:id="20" w:name="_Toc28359015"/>
      <w:bookmarkStart w:id="21" w:name="_Toc28359092"/>
      <w:r>
        <w:rPr>
          <w:rFonts w:hint="eastAsia" w:ascii="宋体" w:hAnsi="宋体" w:eastAsia="宋体" w:cs="宋体"/>
          <w:bCs/>
          <w:color w:val="auto"/>
          <w:sz w:val="24"/>
          <w:szCs w:val="24"/>
          <w:highlight w:val="none"/>
          <w:lang w:val="en-US" w:eastAsia="zh-CN"/>
        </w:rPr>
        <w:t>时间：自磋商文件公告发布之日起5个工作日</w:t>
      </w:r>
    </w:p>
    <w:p w14:paraId="60D417A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地点：江苏政府采购“苏采云”系统</w:t>
      </w:r>
    </w:p>
    <w:p w14:paraId="7FF27B7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方式：江苏政府采购“苏采云”系统自行免费下载</w:t>
      </w:r>
    </w:p>
    <w:p w14:paraId="72A0D8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售价：0.00元</w:t>
      </w:r>
    </w:p>
    <w:p w14:paraId="1D2A31E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四、响应文件提交</w:t>
      </w:r>
      <w:bookmarkEnd w:id="18"/>
      <w:bookmarkEnd w:id="19"/>
      <w:bookmarkEnd w:id="20"/>
      <w:bookmarkEnd w:id="21"/>
    </w:p>
    <w:p w14:paraId="2234C8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szCs w:val="24"/>
          <w:highlight w:val="none"/>
          <w:lang w:val="en-US" w:eastAsia="zh-CN"/>
        </w:rPr>
      </w:pPr>
      <w:bookmarkStart w:id="22" w:name="_Toc28359093"/>
      <w:bookmarkStart w:id="23" w:name="_Toc28359016"/>
      <w:bookmarkStart w:id="24" w:name="_Toc35393802"/>
      <w:bookmarkStart w:id="25" w:name="_Toc35393633"/>
      <w:r>
        <w:rPr>
          <w:rFonts w:hint="eastAsia" w:ascii="宋体" w:hAnsi="宋体" w:eastAsia="宋体" w:cs="宋体"/>
          <w:bCs/>
          <w:color w:val="auto"/>
          <w:sz w:val="24"/>
          <w:szCs w:val="24"/>
          <w:highlight w:val="none"/>
          <w:lang w:val="en-US" w:eastAsia="zh-CN"/>
        </w:rPr>
        <w:t>截止时间：2026年</w:t>
      </w:r>
      <w:r>
        <w:rPr>
          <w:rFonts w:hint="eastAsia" w:ascii="宋体" w:hAnsi="宋体" w:cs="宋体"/>
          <w:bCs/>
          <w:color w:val="auto"/>
          <w:sz w:val="24"/>
          <w:szCs w:val="24"/>
          <w:highlight w:val="none"/>
          <w:lang w:val="en-US" w:eastAsia="zh-CN"/>
        </w:rPr>
        <w:t>9</w:t>
      </w:r>
      <w:r>
        <w:rPr>
          <w:rFonts w:hint="eastAsia" w:ascii="宋体" w:hAnsi="宋体" w:eastAsia="宋体" w:cs="宋体"/>
          <w:bCs/>
          <w:color w:val="auto"/>
          <w:sz w:val="24"/>
          <w:szCs w:val="24"/>
          <w:highlight w:val="none"/>
          <w:lang w:val="en-US" w:eastAsia="zh-CN"/>
        </w:rPr>
        <w:t>月</w:t>
      </w:r>
      <w:r>
        <w:rPr>
          <w:rFonts w:hint="eastAsia" w:ascii="宋体" w:hAnsi="宋体" w:cs="宋体"/>
          <w:bCs/>
          <w:color w:val="auto"/>
          <w:sz w:val="24"/>
          <w:szCs w:val="24"/>
          <w:highlight w:val="none"/>
          <w:lang w:val="en-US" w:eastAsia="zh-CN"/>
        </w:rPr>
        <w:t>7</w:t>
      </w:r>
      <w:r>
        <w:rPr>
          <w:rFonts w:hint="eastAsia" w:ascii="宋体" w:hAnsi="宋体" w:eastAsia="宋体" w:cs="宋体"/>
          <w:bCs/>
          <w:color w:val="auto"/>
          <w:sz w:val="24"/>
          <w:szCs w:val="24"/>
          <w:highlight w:val="none"/>
          <w:lang w:val="en-US" w:eastAsia="zh-CN"/>
        </w:rPr>
        <w:t>日14点30分（北京时间）</w:t>
      </w:r>
    </w:p>
    <w:p w14:paraId="39C17B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地点：江苏政府采购“苏采云”系统</w:t>
      </w:r>
    </w:p>
    <w:p w14:paraId="3B6AE86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五、开启</w:t>
      </w:r>
      <w:bookmarkEnd w:id="22"/>
      <w:bookmarkEnd w:id="23"/>
      <w:bookmarkEnd w:id="24"/>
      <w:bookmarkEnd w:id="25"/>
      <w:r>
        <w:rPr>
          <w:rFonts w:hint="eastAsia" w:ascii="宋体" w:hAnsi="宋体" w:eastAsia="宋体" w:cs="宋体"/>
          <w:b/>
          <w:color w:val="auto"/>
          <w:sz w:val="24"/>
          <w:szCs w:val="24"/>
          <w:highlight w:val="none"/>
        </w:rPr>
        <w:t>（开标时间）</w:t>
      </w:r>
    </w:p>
    <w:p w14:paraId="125475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szCs w:val="24"/>
          <w:highlight w:val="none"/>
          <w:lang w:val="en-US" w:eastAsia="zh-CN"/>
        </w:rPr>
      </w:pPr>
      <w:bookmarkStart w:id="26" w:name="_Toc28359094"/>
      <w:bookmarkStart w:id="27" w:name="_Toc28359017"/>
      <w:bookmarkStart w:id="28" w:name="_Toc35393803"/>
      <w:bookmarkStart w:id="29" w:name="_Toc35393634"/>
      <w:r>
        <w:rPr>
          <w:rFonts w:hint="eastAsia" w:ascii="宋体" w:hAnsi="宋体" w:eastAsia="宋体" w:cs="宋体"/>
          <w:bCs/>
          <w:color w:val="auto"/>
          <w:sz w:val="24"/>
          <w:szCs w:val="24"/>
          <w:highlight w:val="none"/>
          <w:lang w:val="en-US" w:eastAsia="zh-CN"/>
        </w:rPr>
        <w:t>时间：2026年</w:t>
      </w:r>
      <w:r>
        <w:rPr>
          <w:rFonts w:hint="eastAsia" w:ascii="宋体" w:hAnsi="宋体" w:cs="宋体"/>
          <w:bCs/>
          <w:color w:val="auto"/>
          <w:sz w:val="24"/>
          <w:szCs w:val="24"/>
          <w:highlight w:val="none"/>
          <w:lang w:val="en-US" w:eastAsia="zh-CN"/>
        </w:rPr>
        <w:t>9</w:t>
      </w:r>
      <w:r>
        <w:rPr>
          <w:rFonts w:hint="eastAsia" w:ascii="宋体" w:hAnsi="宋体" w:eastAsia="宋体" w:cs="宋体"/>
          <w:bCs/>
          <w:color w:val="auto"/>
          <w:sz w:val="24"/>
          <w:szCs w:val="24"/>
          <w:highlight w:val="none"/>
          <w:lang w:val="en-US" w:eastAsia="zh-CN"/>
        </w:rPr>
        <w:t>月</w:t>
      </w:r>
      <w:r>
        <w:rPr>
          <w:rFonts w:hint="eastAsia" w:ascii="宋体" w:hAnsi="宋体" w:cs="宋体"/>
          <w:bCs/>
          <w:color w:val="auto"/>
          <w:sz w:val="24"/>
          <w:szCs w:val="24"/>
          <w:highlight w:val="none"/>
          <w:lang w:val="en-US" w:eastAsia="zh-CN"/>
        </w:rPr>
        <w:t>7</w:t>
      </w:r>
      <w:r>
        <w:rPr>
          <w:rFonts w:hint="eastAsia" w:ascii="宋体" w:hAnsi="宋体" w:eastAsia="宋体" w:cs="宋体"/>
          <w:bCs/>
          <w:color w:val="auto"/>
          <w:sz w:val="24"/>
          <w:szCs w:val="24"/>
          <w:highlight w:val="none"/>
          <w:lang w:val="en-US" w:eastAsia="zh-CN"/>
        </w:rPr>
        <w:t>日14点30分（北京时间）</w:t>
      </w:r>
    </w:p>
    <w:p w14:paraId="2479A0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地点：江苏政府采购“苏采云”系统不见面开标大厅</w:t>
      </w:r>
    </w:p>
    <w:p w14:paraId="2FE94F5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六、公告期限</w:t>
      </w:r>
      <w:bookmarkEnd w:id="26"/>
      <w:bookmarkEnd w:id="27"/>
      <w:bookmarkEnd w:id="28"/>
      <w:bookmarkEnd w:id="29"/>
    </w:p>
    <w:p w14:paraId="6F14BF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自本公告发布之日起3个工作日。</w:t>
      </w:r>
    </w:p>
    <w:p w14:paraId="34342EF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auto"/>
          <w:sz w:val="24"/>
          <w:szCs w:val="24"/>
          <w:highlight w:val="none"/>
        </w:rPr>
      </w:pPr>
      <w:bookmarkStart w:id="30" w:name="_Toc35393804"/>
      <w:bookmarkStart w:id="31" w:name="_Toc35393635"/>
      <w:r>
        <w:rPr>
          <w:rFonts w:hint="eastAsia" w:ascii="宋体" w:hAnsi="宋体" w:eastAsia="宋体" w:cs="宋体"/>
          <w:b/>
          <w:color w:val="auto"/>
          <w:sz w:val="24"/>
          <w:szCs w:val="24"/>
          <w:highlight w:val="none"/>
        </w:rPr>
        <w:t>七、其他补充事宜</w:t>
      </w:r>
      <w:bookmarkEnd w:id="30"/>
      <w:bookmarkEnd w:id="31"/>
    </w:p>
    <w:p w14:paraId="7B78A04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bookmarkStart w:id="32" w:name="_Toc35393636"/>
      <w:bookmarkStart w:id="33" w:name="_Toc28359095"/>
      <w:bookmarkStart w:id="34" w:name="_Toc35393805"/>
      <w:bookmarkStart w:id="35" w:name="_Toc28359018"/>
      <w:r>
        <w:rPr>
          <w:rFonts w:hint="eastAsia" w:ascii="宋体" w:hAnsi="宋体" w:eastAsia="宋体" w:cs="宋体"/>
          <w:color w:val="000000"/>
          <w:sz w:val="24"/>
          <w:szCs w:val="24"/>
        </w:rPr>
        <w:t>1.本次采购采用“江苏省政府采购管理交易系统</w:t>
      </w:r>
      <w:r>
        <w:rPr>
          <w:rFonts w:hint="eastAsia" w:ascii="宋体" w:hAnsi="宋体" w:cs="宋体"/>
          <w:color w:val="000000"/>
          <w:sz w:val="24"/>
          <w:szCs w:val="24"/>
          <w:lang w:eastAsia="zh-CN"/>
        </w:rPr>
        <w:t>（</w:t>
      </w:r>
      <w:r>
        <w:rPr>
          <w:rFonts w:hint="eastAsia" w:ascii="宋体" w:hAnsi="宋体" w:eastAsia="宋体" w:cs="宋体"/>
          <w:color w:val="000000"/>
          <w:sz w:val="24"/>
          <w:szCs w:val="24"/>
        </w:rPr>
        <w:t>苏采云</w:t>
      </w:r>
      <w:r>
        <w:rPr>
          <w:rFonts w:hint="eastAsia" w:ascii="宋体" w:hAnsi="宋体" w:cs="宋体"/>
          <w:color w:val="000000"/>
          <w:sz w:val="24"/>
          <w:szCs w:val="24"/>
          <w:lang w:eastAsia="zh-CN"/>
        </w:rPr>
        <w:t>）</w:t>
      </w:r>
      <w:r>
        <w:rPr>
          <w:rFonts w:hint="eastAsia" w:ascii="宋体" w:hAnsi="宋体" w:eastAsia="宋体" w:cs="宋体"/>
          <w:color w:val="000000"/>
          <w:sz w:val="24"/>
          <w:szCs w:val="24"/>
        </w:rPr>
        <w:t>”，招标、投标、开标、评标、定标实现全程电子化。供应商应当按照</w:t>
      </w:r>
      <w:r>
        <w:rPr>
          <w:rFonts w:hint="eastAsia" w:ascii="宋体" w:hAnsi="宋体" w:cs="宋体"/>
          <w:color w:val="000000"/>
          <w:sz w:val="24"/>
          <w:szCs w:val="24"/>
          <w:lang w:eastAsia="zh-CN"/>
        </w:rPr>
        <w:t>《苏采云系统操作手册供应商》（以下简称“操作手册”）</w:t>
      </w:r>
      <w:r>
        <w:rPr>
          <w:rFonts w:hint="eastAsia" w:ascii="宋体" w:hAnsi="宋体" w:eastAsia="宋体" w:cs="宋体"/>
          <w:color w:val="000000"/>
          <w:sz w:val="24"/>
          <w:szCs w:val="24"/>
        </w:rPr>
        <w:t>参加投标活动，如供应商未按要求操作，由此所产生的风险由供应商自行承担。</w:t>
      </w:r>
    </w:p>
    <w:p w14:paraId="4CB8889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2.供应商应按照《操作手册》进行注册入库、办理CA及电子签章，并按《操作手册》要求进行网上投标参与、下载采购文件、标书制作、上传</w:t>
      </w:r>
      <w:r>
        <w:rPr>
          <w:rFonts w:hint="eastAsia" w:ascii="宋体" w:hAnsi="宋体" w:eastAsia="宋体" w:cs="宋体"/>
          <w:color w:val="000000"/>
          <w:sz w:val="24"/>
          <w:szCs w:val="24"/>
          <w:lang w:eastAsia="zh-CN"/>
        </w:rPr>
        <w:t>响应文件</w:t>
      </w:r>
      <w:r>
        <w:rPr>
          <w:rFonts w:hint="eastAsia" w:ascii="宋体" w:hAnsi="宋体" w:eastAsia="宋体" w:cs="宋体"/>
          <w:color w:val="000000"/>
          <w:sz w:val="24"/>
          <w:szCs w:val="24"/>
        </w:rPr>
        <w:t>、开评标。技术服务联系电话：0523-86897512，0523-87633965。</w:t>
      </w:r>
    </w:p>
    <w:p w14:paraId="7E88F6D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（1）登录 http://jszfcg.jsczt.cn/，点击“苏采云”进入系统。</w:t>
      </w:r>
    </w:p>
    <w:p w14:paraId="61BCA55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（2）“CA数字证书”的获取：供应商需办理CA锁（原国信CA</w:t>
      </w:r>
      <w:r>
        <w:rPr>
          <w:rFonts w:hint="eastAsia" w:ascii="宋体" w:hAnsi="宋体" w:cs="宋体"/>
          <w:color w:val="000000"/>
          <w:sz w:val="24"/>
          <w:szCs w:val="24"/>
          <w:lang w:eastAsia="zh-CN"/>
        </w:rPr>
        <w:t>需</w:t>
      </w:r>
      <w:r>
        <w:rPr>
          <w:rFonts w:hint="eastAsia" w:ascii="宋体" w:hAnsi="宋体" w:eastAsia="宋体" w:cs="宋体"/>
          <w:color w:val="000000"/>
          <w:sz w:val="24"/>
          <w:szCs w:val="24"/>
        </w:rPr>
        <w:t>更换新CA</w:t>
      </w:r>
      <w:r>
        <w:rPr>
          <w:rFonts w:hint="eastAsia" w:ascii="宋体" w:hAnsi="宋体" w:cs="宋体"/>
          <w:color w:val="000000"/>
          <w:sz w:val="24"/>
          <w:szCs w:val="24"/>
          <w:lang w:eastAsia="zh-CN"/>
        </w:rPr>
        <w:t>，</w:t>
      </w:r>
      <w:r>
        <w:rPr>
          <w:rFonts w:hint="eastAsia" w:ascii="宋体" w:hAnsi="宋体" w:eastAsia="宋体" w:cs="宋体"/>
          <w:color w:val="000000"/>
          <w:sz w:val="24"/>
          <w:szCs w:val="24"/>
        </w:rPr>
        <w:t>详见</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"http://jsxcmm.com/help/gys.html）。" </w:instrText>
      </w:r>
      <w:r>
        <w:rPr>
          <w:rFonts w:hint="eastAsia" w:ascii="宋体" w:hAnsi="宋体" w:eastAsia="宋体" w:cs="宋体"/>
          <w:sz w:val="24"/>
          <w:szCs w:val="24"/>
        </w:rPr>
        <w:fldChar w:fldCharType="separate"/>
      </w:r>
      <w:r>
        <w:rPr>
          <w:rStyle w:val="41"/>
          <w:rFonts w:hint="eastAsia" w:ascii="宋体" w:hAnsi="宋体" w:eastAsia="宋体" w:cs="宋体"/>
          <w:color w:val="000000"/>
          <w:sz w:val="24"/>
          <w:szCs w:val="24"/>
        </w:rPr>
        <w:t>http://jsxcmm.com/help/gys.html）。</w:t>
      </w:r>
      <w:r>
        <w:rPr>
          <w:rStyle w:val="41"/>
          <w:rFonts w:hint="eastAsia" w:ascii="宋体" w:hAnsi="宋体" w:eastAsia="宋体" w:cs="宋体"/>
          <w:color w:val="000000"/>
          <w:sz w:val="24"/>
          <w:szCs w:val="24"/>
        </w:rPr>
        <w:fldChar w:fldCharType="end"/>
      </w:r>
      <w:r>
        <w:rPr>
          <w:rFonts w:hint="eastAsia" w:ascii="宋体" w:hAnsi="宋体" w:eastAsia="宋体" w:cs="宋体"/>
          <w:color w:val="000000"/>
          <w:sz w:val="24"/>
          <w:szCs w:val="24"/>
        </w:rPr>
        <w:t>投标客户端工具及供应商操作手册可访问江苏政府采购网，“资料下载”进行下载《江苏省政府采购管理交易系统（苏采云）供应商操作手册》。</w:t>
      </w:r>
    </w:p>
    <w:p w14:paraId="2C8912D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本次采购采用不见面开标模式，竞争性磋商项目将与供应商就磋商文件进行线上磋商，请供应商按照操作手册进入不见面开标大厅，因供应商自身设备故障或自身原因导致无法完成投标的，由供应商自行承担后果。</w:t>
      </w:r>
    </w:p>
    <w:p w14:paraId="2A89F8C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有关本次采购的事项若存在变动或修改，敬请及时关注“江苏政府采购网”发布的更正公告。因供应商未尽注意义务，未及时全面地关注更正公告导致其递交的响应材料不符合采购文件要求而造成的损失及风险由供应商自行承担。</w:t>
      </w:r>
    </w:p>
    <w:p w14:paraId="1264554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5.在评标结束前，各供应商授权代表应保持手机畅通，以便及时澄清答疑。</w:t>
      </w:r>
    </w:p>
    <w:p w14:paraId="61FD2A7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6.如在开标时间发生系统故障等不可预见情况，导致开评标活动无法正常进行的，将延迟开评标时间，具体开评标时间另行通知。</w:t>
      </w:r>
    </w:p>
    <w:p w14:paraId="6E0BA8D5">
      <w:pPr>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注：各供应商请关注开标大厅交流区，在开标结束后，请勿离开开标大厅。采购人或采购代理机构通知最后报价填报后，</w:t>
      </w:r>
      <w:r>
        <w:rPr>
          <w:rFonts w:hint="eastAsia" w:ascii="宋体" w:hAnsi="宋体" w:cs="宋体"/>
          <w:b/>
          <w:color w:val="000000"/>
          <w:sz w:val="24"/>
          <w:szCs w:val="24"/>
          <w:lang w:eastAsia="zh-CN"/>
        </w:rPr>
        <w:t>所有</w:t>
      </w:r>
      <w:r>
        <w:rPr>
          <w:rFonts w:hint="eastAsia" w:ascii="宋体" w:hAnsi="宋体" w:eastAsia="宋体" w:cs="宋体"/>
          <w:b/>
          <w:color w:val="000000"/>
          <w:sz w:val="24"/>
          <w:szCs w:val="24"/>
        </w:rPr>
        <w:t>响应供应商须在</w:t>
      </w:r>
      <w:r>
        <w:rPr>
          <w:rFonts w:hint="eastAsia" w:ascii="宋体" w:hAnsi="宋体" w:eastAsia="宋体" w:cs="宋体"/>
          <w:b/>
          <w:color w:val="000000"/>
          <w:sz w:val="24"/>
          <w:szCs w:val="24"/>
          <w:lang w:val="en-US" w:eastAsia="zh-CN"/>
        </w:rPr>
        <w:t>规定的时间内</w:t>
      </w:r>
      <w:r>
        <w:rPr>
          <w:rFonts w:hint="eastAsia" w:ascii="宋体" w:hAnsi="宋体" w:eastAsia="宋体" w:cs="宋体"/>
          <w:b/>
          <w:color w:val="000000"/>
          <w:sz w:val="24"/>
          <w:szCs w:val="24"/>
        </w:rPr>
        <w:t>填写并提交最后报价，未在规定时间内提交最后报价的，视作无效响应处理。</w:t>
      </w:r>
    </w:p>
    <w:p w14:paraId="0167CF2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7.如认为上述公告中，有违反公平竞争审查标准的内容</w:t>
      </w:r>
      <w:r>
        <w:rPr>
          <w:rFonts w:hint="eastAsia" w:ascii="宋体" w:hAnsi="宋体" w:cs="宋体"/>
          <w:color w:val="000000"/>
          <w:sz w:val="24"/>
          <w:szCs w:val="24"/>
          <w:lang w:val="en-US" w:eastAsia="zh-CN"/>
        </w:rPr>
        <w:t>，可</w:t>
      </w:r>
      <w:r>
        <w:rPr>
          <w:rFonts w:hint="eastAsia" w:ascii="宋体" w:hAnsi="宋体" w:eastAsia="宋体" w:cs="宋体"/>
          <w:color w:val="000000"/>
          <w:sz w:val="24"/>
          <w:szCs w:val="24"/>
          <w:lang w:val="en-US" w:eastAsia="zh-CN"/>
        </w:rPr>
        <w:t>联系泰州市公安局或南京国景工程项目管理有限公司，联系人</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王女士，联系方式</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18252600401。</w:t>
      </w:r>
    </w:p>
    <w:p w14:paraId="521F474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八、凡对本次采购提出询问，请按以下方式联系</w:t>
      </w:r>
      <w:bookmarkEnd w:id="32"/>
      <w:bookmarkEnd w:id="33"/>
      <w:bookmarkEnd w:id="34"/>
      <w:bookmarkEnd w:id="35"/>
    </w:p>
    <w:p w14:paraId="2914CC9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1.采购单位：泰州市公安局</w:t>
      </w:r>
    </w:p>
    <w:p w14:paraId="122DD2D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名    称：泰州市公安局</w:t>
      </w:r>
    </w:p>
    <w:p w14:paraId="7EA9CBA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地    址：泰州市凤凰东路69号</w:t>
      </w:r>
    </w:p>
    <w:p w14:paraId="04F6C66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联系方式：</w:t>
      </w:r>
      <w:r>
        <w:rPr>
          <w:rFonts w:hint="eastAsia" w:ascii="宋体" w:hAnsi="宋体" w:cs="宋体"/>
          <w:color w:val="000000"/>
          <w:sz w:val="24"/>
          <w:szCs w:val="24"/>
          <w:lang w:val="en-US" w:eastAsia="zh-CN"/>
        </w:rPr>
        <w:t>周先生、</w:t>
      </w:r>
      <w:r>
        <w:rPr>
          <w:rFonts w:hint="eastAsia" w:ascii="宋体" w:hAnsi="宋体" w:eastAsia="宋体" w:cs="宋体"/>
          <w:color w:val="000000"/>
          <w:sz w:val="24"/>
          <w:szCs w:val="24"/>
          <w:lang w:val="en-US" w:eastAsia="zh-CN"/>
        </w:rPr>
        <w:t xml:space="preserve">陆先生，联系方式：18252601808 </w:t>
      </w:r>
    </w:p>
    <w:p w14:paraId="08EAA97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2.代理机构：南京国景工程项目管理有限公司</w:t>
      </w:r>
    </w:p>
    <w:p w14:paraId="2985AF2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lang w:val="en-US" w:eastAsia="zh-CN"/>
        </w:rPr>
      </w:pPr>
      <w:bookmarkStart w:id="36" w:name="_Toc35393808"/>
      <w:bookmarkStart w:id="37" w:name="_Toc35393639"/>
      <w:bookmarkStart w:id="38" w:name="_Toc28359021"/>
      <w:bookmarkStart w:id="39" w:name="_Toc28359098"/>
      <w:r>
        <w:rPr>
          <w:rFonts w:hint="eastAsia" w:ascii="宋体" w:hAnsi="宋体" w:eastAsia="宋体" w:cs="宋体"/>
          <w:color w:val="000000"/>
          <w:sz w:val="24"/>
          <w:szCs w:val="24"/>
          <w:lang w:val="en-US" w:eastAsia="zh-CN"/>
        </w:rPr>
        <w:t>名    称：南京国景工程项目管理有限公司</w:t>
      </w:r>
    </w:p>
    <w:p w14:paraId="09752EB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地　　址：泰州市海陵区中嘉装饰城北区24幢5楼</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北区西门第一个路口右拐金海洋瓷砖旁</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电梯上五楼</w:t>
      </w:r>
    </w:p>
    <w:p w14:paraId="0B6968A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联系方式：王女士，联系电话：18252600401</w:t>
      </w:r>
    </w:p>
    <w:p w14:paraId="0CF532E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3.项目联系方式</w:t>
      </w:r>
      <w:bookmarkEnd w:id="36"/>
      <w:bookmarkEnd w:id="37"/>
      <w:bookmarkEnd w:id="38"/>
      <w:bookmarkEnd w:id="39"/>
    </w:p>
    <w:p w14:paraId="1851B15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项目联系人：王女士</w:t>
      </w:r>
    </w:p>
    <w:p w14:paraId="4A61F68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电话：18252600401</w:t>
      </w:r>
    </w:p>
    <w:p w14:paraId="1062FD72">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highlight w:val="none"/>
        </w:rPr>
      </w:pPr>
    </w:p>
    <w:p w14:paraId="6321C4E2">
      <w:pPr>
        <w:pStyle w:val="228"/>
        <w:keepNext w:val="0"/>
        <w:jc w:val="center"/>
        <w:rPr>
          <w:rFonts w:hint="eastAsia" w:ascii="宋体" w:hAnsi="宋体" w:eastAsia="宋体" w:cs="宋体"/>
          <w:color w:val="auto"/>
          <w:sz w:val="32"/>
          <w:szCs w:val="32"/>
          <w:highlight w:val="none"/>
        </w:rPr>
      </w:pPr>
      <w:r>
        <w:rPr>
          <w:rFonts w:hint="eastAsia" w:ascii="宋体" w:hAnsi="宋体" w:eastAsia="宋体" w:cs="宋体"/>
          <w:color w:val="auto"/>
          <w:highlight w:val="none"/>
        </w:rPr>
        <w:br w:type="page" w:clear="all"/>
      </w:r>
      <w:bookmarkStart w:id="40" w:name="_Toc11632"/>
      <w:bookmarkStart w:id="41" w:name="_Toc13715"/>
      <w:r>
        <w:rPr>
          <w:rFonts w:hint="eastAsia" w:ascii="宋体" w:hAnsi="宋体" w:eastAsia="宋体" w:cs="宋体"/>
          <w:b/>
          <w:bCs/>
          <w:color w:val="auto"/>
          <w:sz w:val="32"/>
          <w:szCs w:val="32"/>
          <w:highlight w:val="none"/>
        </w:rPr>
        <w:t>第二章 参加磋商供应商须知</w:t>
      </w:r>
      <w:bookmarkEnd w:id="40"/>
      <w:bookmarkEnd w:id="41"/>
    </w:p>
    <w:p w14:paraId="1464538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（参加竞争性磋商的供应商以下简称“供应商”）</w:t>
      </w:r>
    </w:p>
    <w:p w14:paraId="16209A5F">
      <w:pPr>
        <w:keepNext w:val="0"/>
        <w:keepLines w:val="0"/>
        <w:pageBreakBefore w:val="0"/>
        <w:widowControl w:val="0"/>
        <w:kinsoku/>
        <w:wordWrap/>
        <w:overflowPunct/>
        <w:topLinePunct w:val="0"/>
        <w:autoSpaceDE/>
        <w:autoSpaceDN/>
        <w:bidi w:val="0"/>
        <w:adjustRightInd/>
        <w:snapToGrid/>
        <w:spacing w:line="360" w:lineRule="auto"/>
        <w:ind w:firstLine="422"/>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一、总则</w:t>
      </w:r>
    </w:p>
    <w:p w14:paraId="39809F11">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1.适用范围</w:t>
      </w:r>
      <w:r>
        <w:rPr>
          <w:rFonts w:hint="eastAsia" w:ascii="宋体" w:hAnsi="宋体" w:eastAsia="宋体" w:cs="宋体"/>
          <w:color w:val="auto"/>
          <w:sz w:val="24"/>
          <w:szCs w:val="24"/>
          <w:highlight w:val="none"/>
        </w:rPr>
        <w:tab/>
      </w:r>
    </w:p>
    <w:p w14:paraId="47C93AD8">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仅适用于</w:t>
      </w:r>
      <w:r>
        <w:rPr>
          <w:rFonts w:hint="eastAsia" w:ascii="宋体" w:hAnsi="宋体" w:eastAsia="宋体" w:cs="宋体"/>
          <w:color w:val="auto"/>
          <w:sz w:val="24"/>
          <w:szCs w:val="24"/>
          <w:highlight w:val="none"/>
          <w:lang w:eastAsia="zh-CN"/>
        </w:rPr>
        <w:t>泰州市公安局反诈骗和新型犯罪中心建设一体化专用操控调度工程</w:t>
      </w:r>
      <w:r>
        <w:rPr>
          <w:rFonts w:hint="eastAsia" w:ascii="宋体" w:hAnsi="宋体" w:eastAsia="宋体" w:cs="宋体"/>
          <w:color w:val="auto"/>
          <w:sz w:val="24"/>
          <w:szCs w:val="24"/>
          <w:highlight w:val="none"/>
        </w:rPr>
        <w:t>。</w:t>
      </w:r>
    </w:p>
    <w:p w14:paraId="18B0F1A6">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2.项目采购方式</w:t>
      </w:r>
    </w:p>
    <w:p w14:paraId="1F99FE76">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本次采购采取竞争性磋商的方式。</w:t>
      </w:r>
    </w:p>
    <w:p w14:paraId="40BD6613">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3.合格的</w:t>
      </w:r>
      <w:r>
        <w:rPr>
          <w:rFonts w:hint="eastAsia" w:ascii="宋体" w:hAnsi="宋体" w:eastAsia="宋体" w:cs="宋体"/>
          <w:color w:val="auto"/>
          <w:sz w:val="24"/>
          <w:szCs w:val="24"/>
          <w:highlight w:val="none"/>
          <w:lang w:eastAsia="zh-CN"/>
        </w:rPr>
        <w:t>供应商</w:t>
      </w:r>
    </w:p>
    <w:p w14:paraId="5DE5D442">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3.1满足本</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“竞争性磋商采购公告”中申请人的资格要求的规定。</w:t>
      </w:r>
    </w:p>
    <w:p w14:paraId="7A38585D">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3.2满足本</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实质性要求和条件的规定。</w:t>
      </w:r>
    </w:p>
    <w:p w14:paraId="1A1A2DBC">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4.参加磋商费用</w:t>
      </w:r>
    </w:p>
    <w:p w14:paraId="5A325524">
      <w:pPr>
        <w:keepLines w:val="0"/>
        <w:pageBreakBefore w:val="0"/>
        <w:tabs>
          <w:tab w:val="left" w:pos="900"/>
        </w:tabs>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4.1本项目招标代理费</w:t>
      </w:r>
      <w:r>
        <w:rPr>
          <w:rFonts w:hint="eastAsia" w:ascii="宋体" w:hAnsi="宋体" w:eastAsia="宋体" w:cs="宋体"/>
          <w:color w:val="000000"/>
          <w:sz w:val="24"/>
          <w:szCs w:val="24"/>
          <w:highlight w:val="none"/>
          <w:lang w:val="en-US" w:eastAsia="zh-CN"/>
        </w:rPr>
        <w:t>按照《江苏省政府采购代理服务收费指导意见》苏政采协〔2024〕20号文件收费标准的50%计取，</w:t>
      </w:r>
      <w:r>
        <w:rPr>
          <w:rFonts w:hint="eastAsia" w:ascii="宋体" w:hAnsi="宋体" w:eastAsia="宋体" w:cs="宋体"/>
          <w:color w:val="000000"/>
          <w:sz w:val="24"/>
          <w:szCs w:val="24"/>
          <w:highlight w:val="none"/>
        </w:rPr>
        <w:t>由采购人支付。</w:t>
      </w:r>
    </w:p>
    <w:p w14:paraId="5557C782">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4.2参加磋商供应商应自行承担所有与参加磋商有关的费用。不论最终的成交结果如何，</w:t>
      </w:r>
      <w:r>
        <w:rPr>
          <w:rFonts w:hint="eastAsia" w:ascii="宋体" w:hAnsi="宋体" w:eastAsia="宋体" w:cs="宋体"/>
          <w:color w:val="auto"/>
          <w:sz w:val="24"/>
          <w:szCs w:val="24"/>
          <w:highlight w:val="none"/>
          <w:lang w:val="en-US" w:eastAsia="zh-CN"/>
        </w:rPr>
        <w:t>采购人和</w:t>
      </w:r>
      <w:r>
        <w:rPr>
          <w:rFonts w:hint="eastAsia" w:ascii="宋体" w:hAnsi="宋体" w:eastAsia="宋体" w:cs="宋体"/>
          <w:color w:val="auto"/>
          <w:sz w:val="24"/>
          <w:szCs w:val="24"/>
          <w:highlight w:val="none"/>
        </w:rPr>
        <w:t>代理机构在任何情况下均无义务和责任承担这些费用。</w:t>
      </w:r>
    </w:p>
    <w:p w14:paraId="6183B513">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的约束力</w:t>
      </w:r>
    </w:p>
    <w:p w14:paraId="5B98BF85">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供应商一旦领取了本</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并决定参加磋商，即被视为接受了本</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的规定和约束，并且视为自竞争性磋商公告期限届满之日起已经知道或应当知道自身权益是否受到了损害。</w:t>
      </w:r>
    </w:p>
    <w:p w14:paraId="09649076">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bookmarkStart w:id="42" w:name="_Toc20823283"/>
      <w:bookmarkStart w:id="43" w:name="_Toc513029211"/>
      <w:bookmarkStart w:id="44" w:name="_Toc16938527"/>
      <w:bookmarkStart w:id="45" w:name="_Toc462564070"/>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的澄清</w:t>
      </w:r>
      <w:bookmarkEnd w:id="42"/>
      <w:bookmarkEnd w:id="43"/>
      <w:bookmarkEnd w:id="44"/>
      <w:bookmarkEnd w:id="45"/>
      <w:r>
        <w:rPr>
          <w:rFonts w:hint="eastAsia" w:ascii="宋体" w:hAnsi="宋体" w:eastAsia="宋体" w:cs="宋体"/>
          <w:color w:val="auto"/>
          <w:sz w:val="24"/>
          <w:szCs w:val="24"/>
          <w:highlight w:val="none"/>
        </w:rPr>
        <w:t>及修改</w:t>
      </w:r>
    </w:p>
    <w:p w14:paraId="7843D216">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6.1任何要求对</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进行澄清的供应商，均应在法律法规规定的质疑时效内按竞争性磋商采购公告中的通讯地址，以书面形式通知代理机构，（以代理机构实际收到供应商相关文件为准）。提交首次响应文件截止之日前，代理机构可以对已发出的</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进行必要的澄清或者修改，澄清或者修改的内容作为</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的组成部分。澄清或者修改的内容可能影响响应文件编制的，代理机构将在提交首次响应文件截止时间至少5日前，以书面形式通知所有获取</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的供应商。不足5日的，代理机构顺延提交首次响应文件截止时间。</w:t>
      </w:r>
    </w:p>
    <w:p w14:paraId="2F8126A1">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6.2代理机构不组织供应商进行现场考察或召开磋商前答疑会。</w:t>
      </w:r>
    </w:p>
    <w:p w14:paraId="6EB6C1AB">
      <w:pPr>
        <w:keepNext w:val="0"/>
        <w:keepLines w:val="0"/>
        <w:pageBreakBefore w:val="0"/>
        <w:widowControl w:val="0"/>
        <w:kinsoku/>
        <w:wordWrap/>
        <w:overflowPunct/>
        <w:topLinePunct w:val="0"/>
        <w:autoSpaceDE/>
        <w:autoSpaceDN/>
        <w:bidi w:val="0"/>
        <w:adjustRightInd/>
        <w:snapToGrid/>
        <w:spacing w:line="360" w:lineRule="auto"/>
        <w:ind w:firstLine="422"/>
        <w:textAlignment w:val="auto"/>
        <w:rPr>
          <w:rFonts w:hint="eastAsia" w:ascii="宋体" w:hAnsi="宋体" w:eastAsia="宋体" w:cs="宋体"/>
          <w:b/>
          <w:bCs/>
          <w:color w:val="auto"/>
          <w:sz w:val="24"/>
          <w:szCs w:val="24"/>
          <w:highlight w:val="none"/>
        </w:rPr>
      </w:pPr>
      <w:bookmarkStart w:id="46" w:name="_Toc462564072"/>
      <w:bookmarkStart w:id="47" w:name="_Toc14577351"/>
      <w:bookmarkStart w:id="48" w:name="_Toc513029213"/>
      <w:bookmarkStart w:id="49" w:name="_Toc61149553"/>
      <w:r>
        <w:rPr>
          <w:rFonts w:hint="eastAsia" w:ascii="宋体" w:hAnsi="宋体" w:eastAsia="宋体" w:cs="宋体"/>
          <w:b/>
          <w:bCs/>
          <w:color w:val="auto"/>
          <w:sz w:val="24"/>
          <w:szCs w:val="24"/>
          <w:highlight w:val="none"/>
        </w:rPr>
        <w:t>二、磋商响应文件的编制</w:t>
      </w:r>
      <w:bookmarkEnd w:id="46"/>
      <w:bookmarkEnd w:id="47"/>
      <w:bookmarkEnd w:id="48"/>
      <w:bookmarkEnd w:id="49"/>
      <w:r>
        <w:rPr>
          <w:rFonts w:hint="eastAsia" w:ascii="宋体" w:hAnsi="宋体" w:eastAsia="宋体" w:cs="宋体"/>
          <w:b/>
          <w:bCs/>
          <w:color w:val="auto"/>
          <w:sz w:val="24"/>
          <w:szCs w:val="24"/>
          <w:highlight w:val="none"/>
        </w:rPr>
        <w:t>及保证金收取</w:t>
      </w:r>
    </w:p>
    <w:p w14:paraId="19D885E6">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bookmarkStart w:id="50" w:name="_Hlt26954834"/>
      <w:bookmarkEnd w:id="50"/>
      <w:bookmarkStart w:id="51" w:name="_Toc513029215"/>
      <w:bookmarkStart w:id="52" w:name="_Toc61149555"/>
      <w:bookmarkStart w:id="53" w:name="_Toc14577353"/>
      <w:bookmarkStart w:id="54" w:name="_Toc462564074"/>
      <w:bookmarkStart w:id="55" w:name="_Toc513029214"/>
      <w:bookmarkStart w:id="56" w:name="_Toc462564073"/>
      <w:bookmarkStart w:id="57" w:name="_Toc61149554"/>
      <w:bookmarkStart w:id="58" w:name="_Toc14577352"/>
      <w:r>
        <w:rPr>
          <w:rFonts w:hint="eastAsia" w:ascii="宋体" w:hAnsi="宋体" w:eastAsia="宋体" w:cs="宋体"/>
          <w:color w:val="auto"/>
          <w:sz w:val="24"/>
          <w:szCs w:val="24"/>
          <w:highlight w:val="none"/>
        </w:rPr>
        <w:t>1.响应文件</w:t>
      </w:r>
      <w:bookmarkEnd w:id="51"/>
      <w:bookmarkEnd w:id="52"/>
      <w:bookmarkEnd w:id="53"/>
      <w:bookmarkEnd w:id="54"/>
      <w:r>
        <w:rPr>
          <w:rFonts w:hint="eastAsia" w:ascii="宋体" w:hAnsi="宋体" w:eastAsia="宋体" w:cs="宋体"/>
          <w:color w:val="auto"/>
          <w:sz w:val="24"/>
          <w:szCs w:val="24"/>
          <w:highlight w:val="none"/>
        </w:rPr>
        <w:t>编制要求</w:t>
      </w:r>
    </w:p>
    <w:p w14:paraId="78909BB7">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1.1供应商提交的响应文件以及其与代理机构及采购人就有关磋商的所有来往函电均应使用简体中文。</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中既有中文也有外文的，以中文意义为准。</w:t>
      </w:r>
    </w:p>
    <w:p w14:paraId="280C19EF">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1.2除技术性能另有规定外，响应文件所使用的度量衡单位，均须采用国家法定计量单位。</w:t>
      </w:r>
      <w:bookmarkEnd w:id="55"/>
      <w:bookmarkEnd w:id="56"/>
      <w:bookmarkEnd w:id="57"/>
      <w:bookmarkEnd w:id="58"/>
    </w:p>
    <w:p w14:paraId="61CEB18A">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bookmarkStart w:id="59" w:name="_Hlt26670357"/>
      <w:bookmarkEnd w:id="59"/>
      <w:bookmarkStart w:id="60" w:name="_Hlt26954836"/>
      <w:bookmarkEnd w:id="60"/>
      <w:bookmarkStart w:id="61" w:name="_Toc61149558"/>
      <w:bookmarkStart w:id="62" w:name="_Toc14577357"/>
      <w:bookmarkStart w:id="63" w:name="_Toc513029219"/>
      <w:bookmarkStart w:id="64" w:name="_Toc14577355"/>
      <w:bookmarkStart w:id="65" w:name="_Toc513029217"/>
      <w:bookmarkStart w:id="66" w:name="_Toc61149557"/>
      <w:r>
        <w:rPr>
          <w:rFonts w:hint="eastAsia" w:ascii="宋体" w:hAnsi="宋体" w:eastAsia="宋体" w:cs="宋体"/>
          <w:color w:val="auto"/>
          <w:sz w:val="24"/>
          <w:szCs w:val="24"/>
          <w:highlight w:val="none"/>
        </w:rPr>
        <w:t>1.3响应文件构成</w:t>
      </w:r>
    </w:p>
    <w:p w14:paraId="6B7DF9B3">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供应商应认真阅读和理解</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，并按</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的要求编制响应文件；响应文件应对</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作实质性响应，并保证所提供资料的真实性。</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编写的响应文件应包括下列部分：</w:t>
      </w:r>
    </w:p>
    <w:p w14:paraId="514BCA0C">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加★项目若有缺失或无效，将导致该响应文件作无效响应文件评定，且不允许在磋商截止时间后补正。</w:t>
      </w:r>
    </w:p>
    <w:p w14:paraId="4BBD1FCF">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 资格证明文件</w:t>
      </w:r>
    </w:p>
    <w:p w14:paraId="3D8ECDA4">
      <w:pPr>
        <w:keepLines w:val="0"/>
        <w:pageBreakBefore w:val="0"/>
        <w:spacing w:line="360" w:lineRule="auto"/>
        <w:ind w:firstLine="482"/>
        <w:rPr>
          <w:rFonts w:hint="eastAsia" w:ascii="宋体" w:hAnsi="宋体" w:eastAsia="宋体" w:cs="宋体"/>
          <w:b w:val="0"/>
          <w:bCs w:val="0"/>
          <w:color w:val="000000"/>
          <w:sz w:val="24"/>
          <w:szCs w:val="24"/>
          <w:highlight w:val="none"/>
          <w:lang w:val="zh-CN"/>
        </w:rPr>
      </w:pPr>
      <w:r>
        <w:rPr>
          <w:rFonts w:hint="eastAsia" w:ascii="宋体" w:hAnsi="宋体" w:eastAsia="宋体" w:cs="宋体"/>
          <w:b w:val="0"/>
          <w:bCs w:val="0"/>
          <w:color w:val="000000"/>
          <w:sz w:val="24"/>
          <w:szCs w:val="24"/>
          <w:highlight w:val="none"/>
          <w:lang w:val="zh-CN"/>
        </w:rPr>
        <w:t>★（1）具有独立承担民事责任的能力（提供法人或者其他组织的营业执照，自然人的身份证明）；</w:t>
      </w:r>
    </w:p>
    <w:p w14:paraId="79037150">
      <w:pPr>
        <w:keepLines w:val="0"/>
        <w:pageBreakBefore w:val="0"/>
        <w:spacing w:line="360" w:lineRule="auto"/>
        <w:ind w:firstLine="482"/>
        <w:rPr>
          <w:rFonts w:hint="eastAsia" w:ascii="宋体" w:hAnsi="宋体" w:eastAsia="宋体" w:cs="宋体"/>
          <w:b w:val="0"/>
          <w:bCs w:val="0"/>
          <w:color w:val="000000"/>
          <w:sz w:val="24"/>
          <w:szCs w:val="24"/>
          <w:highlight w:val="none"/>
          <w:lang w:val="zh-CN"/>
        </w:rPr>
      </w:pPr>
      <w:r>
        <w:rPr>
          <w:rFonts w:hint="eastAsia" w:ascii="宋体" w:hAnsi="宋体" w:eastAsia="宋体" w:cs="宋体"/>
          <w:b w:val="0"/>
          <w:bCs w:val="0"/>
          <w:color w:val="000000"/>
          <w:sz w:val="24"/>
          <w:szCs w:val="24"/>
          <w:highlight w:val="none"/>
          <w:lang w:val="zh-CN"/>
        </w:rPr>
        <w:t>★（2）具有良好的商业信誉和健全的财务会计制度（提供近</w:t>
      </w:r>
      <w:r>
        <w:rPr>
          <w:rFonts w:hint="eastAsia" w:ascii="宋体" w:hAnsi="宋体" w:eastAsia="宋体" w:cs="宋体"/>
          <w:b w:val="0"/>
          <w:bCs w:val="0"/>
          <w:color w:val="000000"/>
          <w:sz w:val="24"/>
          <w:szCs w:val="24"/>
          <w:highlight w:val="none"/>
          <w:lang w:val="en-US" w:eastAsia="zh-CN"/>
        </w:rPr>
        <w:t>六</w:t>
      </w:r>
      <w:r>
        <w:rPr>
          <w:rFonts w:hint="eastAsia" w:ascii="宋体" w:hAnsi="宋体" w:eastAsia="宋体" w:cs="宋体"/>
          <w:b w:val="0"/>
          <w:bCs w:val="0"/>
          <w:color w:val="000000"/>
          <w:sz w:val="24"/>
          <w:szCs w:val="24"/>
          <w:highlight w:val="none"/>
          <w:lang w:val="zh-CN"/>
        </w:rPr>
        <w:t>个月中任意一个月份（不含</w:t>
      </w:r>
      <w:r>
        <w:rPr>
          <w:rFonts w:hint="eastAsia" w:ascii="宋体" w:hAnsi="宋体" w:eastAsia="宋体" w:cs="宋体"/>
          <w:b w:val="0"/>
          <w:bCs w:val="0"/>
          <w:color w:val="000000"/>
          <w:sz w:val="24"/>
          <w:szCs w:val="24"/>
          <w:highlight w:val="none"/>
          <w:lang w:val="en-US" w:eastAsia="zh-CN"/>
        </w:rPr>
        <w:t>磋商</w:t>
      </w:r>
      <w:r>
        <w:rPr>
          <w:rFonts w:hint="eastAsia" w:ascii="宋体" w:hAnsi="宋体" w:eastAsia="宋体" w:cs="宋体"/>
          <w:b w:val="0"/>
          <w:bCs w:val="0"/>
          <w:color w:val="000000"/>
          <w:sz w:val="24"/>
          <w:szCs w:val="24"/>
          <w:highlight w:val="none"/>
          <w:lang w:val="zh-CN"/>
        </w:rPr>
        <w:t>当月）的财务状况报告（含资产负债表和利润表）或会计师事务所出具的近两年中任意一个年度的财务审计报告）；</w:t>
      </w:r>
    </w:p>
    <w:p w14:paraId="642D21EE">
      <w:pPr>
        <w:keepLines w:val="0"/>
        <w:pageBreakBefore w:val="0"/>
        <w:spacing w:line="360" w:lineRule="auto"/>
        <w:ind w:firstLine="482"/>
        <w:rPr>
          <w:rFonts w:hint="eastAsia" w:ascii="宋体" w:hAnsi="宋体" w:eastAsia="宋体" w:cs="宋体"/>
          <w:b w:val="0"/>
          <w:bCs w:val="0"/>
          <w:color w:val="000000"/>
          <w:sz w:val="24"/>
          <w:szCs w:val="24"/>
          <w:highlight w:val="none"/>
          <w:lang w:val="zh-CN"/>
        </w:rPr>
      </w:pPr>
      <w:r>
        <w:rPr>
          <w:rFonts w:hint="eastAsia" w:ascii="宋体" w:hAnsi="宋体" w:eastAsia="宋体" w:cs="宋体"/>
          <w:b w:val="0"/>
          <w:bCs w:val="0"/>
          <w:color w:val="000000"/>
          <w:sz w:val="24"/>
          <w:szCs w:val="24"/>
          <w:highlight w:val="none"/>
          <w:lang w:val="zh-CN"/>
        </w:rPr>
        <w:t>★（</w:t>
      </w:r>
      <w:r>
        <w:rPr>
          <w:rFonts w:hint="eastAsia" w:ascii="宋体" w:hAnsi="宋体" w:eastAsia="宋体" w:cs="宋体"/>
          <w:b w:val="0"/>
          <w:bCs w:val="0"/>
          <w:color w:val="000000"/>
          <w:sz w:val="24"/>
          <w:szCs w:val="24"/>
          <w:highlight w:val="none"/>
          <w:lang w:val="en-US" w:eastAsia="zh-CN"/>
        </w:rPr>
        <w:t>3</w:t>
      </w:r>
      <w:r>
        <w:rPr>
          <w:rFonts w:hint="eastAsia" w:ascii="宋体" w:hAnsi="宋体" w:eastAsia="宋体" w:cs="宋体"/>
          <w:b w:val="0"/>
          <w:bCs w:val="0"/>
          <w:color w:val="000000"/>
          <w:sz w:val="24"/>
          <w:szCs w:val="24"/>
          <w:highlight w:val="none"/>
          <w:lang w:val="zh-CN"/>
        </w:rPr>
        <w:t>）有依法缴纳税收和社会保障资金的良好记录（提供近</w:t>
      </w:r>
      <w:r>
        <w:rPr>
          <w:rFonts w:hint="eastAsia" w:ascii="宋体" w:hAnsi="宋体" w:eastAsia="宋体" w:cs="宋体"/>
          <w:b w:val="0"/>
          <w:bCs w:val="0"/>
          <w:color w:val="000000"/>
          <w:sz w:val="24"/>
          <w:szCs w:val="24"/>
          <w:highlight w:val="none"/>
          <w:lang w:val="en-US" w:eastAsia="zh-CN"/>
        </w:rPr>
        <w:t>六</w:t>
      </w:r>
      <w:r>
        <w:rPr>
          <w:rFonts w:hint="eastAsia" w:ascii="宋体" w:hAnsi="宋体" w:eastAsia="宋体" w:cs="宋体"/>
          <w:b w:val="0"/>
          <w:bCs w:val="0"/>
          <w:color w:val="000000"/>
          <w:sz w:val="24"/>
          <w:szCs w:val="24"/>
          <w:highlight w:val="none"/>
          <w:lang w:val="zh-CN"/>
        </w:rPr>
        <w:t>个月中任意一个月份（不含</w:t>
      </w:r>
      <w:r>
        <w:rPr>
          <w:rFonts w:hint="eastAsia" w:ascii="宋体" w:hAnsi="宋体" w:eastAsia="宋体" w:cs="宋体"/>
          <w:b w:val="0"/>
          <w:bCs w:val="0"/>
          <w:color w:val="000000"/>
          <w:sz w:val="24"/>
          <w:szCs w:val="24"/>
          <w:highlight w:val="none"/>
          <w:lang w:val="en-US" w:eastAsia="zh-CN"/>
        </w:rPr>
        <w:t>磋商</w:t>
      </w:r>
      <w:r>
        <w:rPr>
          <w:rFonts w:hint="eastAsia" w:ascii="宋体" w:hAnsi="宋体" w:eastAsia="宋体" w:cs="宋体"/>
          <w:b w:val="0"/>
          <w:bCs w:val="0"/>
          <w:color w:val="000000"/>
          <w:sz w:val="24"/>
          <w:szCs w:val="24"/>
          <w:highlight w:val="none"/>
          <w:lang w:val="zh-CN"/>
        </w:rPr>
        <w:t>当月）的依法缴纳税收和社会保障资金的相关材料）；</w:t>
      </w:r>
    </w:p>
    <w:p w14:paraId="0B506E97">
      <w:pPr>
        <w:keepLines w:val="0"/>
        <w:pageBreakBefore w:val="0"/>
        <w:spacing w:line="360" w:lineRule="auto"/>
        <w:ind w:firstLine="482"/>
        <w:rPr>
          <w:rFonts w:hint="eastAsia" w:ascii="宋体" w:hAnsi="宋体" w:eastAsia="宋体" w:cs="宋体"/>
          <w:b w:val="0"/>
          <w:bCs w:val="0"/>
          <w:color w:val="000000"/>
          <w:sz w:val="24"/>
          <w:szCs w:val="24"/>
          <w:highlight w:val="none"/>
          <w:lang w:val="zh-CN"/>
        </w:rPr>
      </w:pPr>
      <w:r>
        <w:rPr>
          <w:rFonts w:hint="eastAsia" w:ascii="宋体" w:hAnsi="宋体" w:eastAsia="宋体" w:cs="宋体"/>
          <w:b w:val="0"/>
          <w:bCs w:val="0"/>
          <w:color w:val="000000"/>
          <w:sz w:val="24"/>
          <w:szCs w:val="24"/>
          <w:highlight w:val="none"/>
          <w:lang w:val="zh-CN"/>
        </w:rPr>
        <w:t>★（</w:t>
      </w:r>
      <w:r>
        <w:rPr>
          <w:rFonts w:hint="eastAsia" w:ascii="宋体" w:hAnsi="宋体" w:eastAsia="宋体" w:cs="宋体"/>
          <w:b w:val="0"/>
          <w:bCs w:val="0"/>
          <w:color w:val="000000"/>
          <w:sz w:val="24"/>
          <w:szCs w:val="24"/>
          <w:highlight w:val="none"/>
          <w:lang w:val="en-US" w:eastAsia="zh-CN"/>
        </w:rPr>
        <w:t>4</w:t>
      </w:r>
      <w:r>
        <w:rPr>
          <w:rFonts w:hint="eastAsia" w:ascii="宋体" w:hAnsi="宋体" w:eastAsia="宋体" w:cs="宋体"/>
          <w:b w:val="0"/>
          <w:bCs w:val="0"/>
          <w:color w:val="000000"/>
          <w:sz w:val="24"/>
          <w:szCs w:val="24"/>
          <w:highlight w:val="none"/>
          <w:lang w:val="zh-CN"/>
        </w:rPr>
        <w:t>）参加政府采购活动前三年内，在经营活动中没有重大违法记录（详见响应文件格式）；</w:t>
      </w:r>
    </w:p>
    <w:p w14:paraId="15BF3EF4">
      <w:pPr>
        <w:keepLines w:val="0"/>
        <w:pageBreakBefore w:val="0"/>
        <w:spacing w:line="360" w:lineRule="auto"/>
        <w:ind w:firstLine="482"/>
        <w:rPr>
          <w:rFonts w:hint="eastAsia" w:ascii="宋体" w:hAnsi="宋体" w:eastAsia="宋体" w:cs="宋体"/>
          <w:b w:val="0"/>
          <w:bCs w:val="0"/>
          <w:color w:val="000000"/>
          <w:sz w:val="24"/>
          <w:szCs w:val="24"/>
          <w:highlight w:val="none"/>
          <w:lang w:val="zh-CN"/>
        </w:rPr>
      </w:pPr>
      <w:r>
        <w:rPr>
          <w:rFonts w:hint="eastAsia" w:ascii="宋体" w:hAnsi="宋体" w:eastAsia="宋体" w:cs="宋体"/>
          <w:b w:val="0"/>
          <w:bCs w:val="0"/>
          <w:color w:val="000000"/>
          <w:sz w:val="24"/>
          <w:szCs w:val="24"/>
          <w:highlight w:val="none"/>
          <w:lang w:val="zh-CN"/>
        </w:rPr>
        <w:t>★（</w:t>
      </w:r>
      <w:r>
        <w:rPr>
          <w:rFonts w:hint="eastAsia" w:ascii="宋体" w:hAnsi="宋体" w:eastAsia="宋体" w:cs="宋体"/>
          <w:b w:val="0"/>
          <w:bCs w:val="0"/>
          <w:color w:val="000000"/>
          <w:sz w:val="24"/>
          <w:szCs w:val="24"/>
          <w:highlight w:val="none"/>
          <w:lang w:val="en-US" w:eastAsia="zh-CN"/>
        </w:rPr>
        <w:t>5</w:t>
      </w:r>
      <w:r>
        <w:rPr>
          <w:rFonts w:hint="eastAsia" w:ascii="宋体" w:hAnsi="宋体" w:eastAsia="宋体" w:cs="宋体"/>
          <w:b w:val="0"/>
          <w:bCs w:val="0"/>
          <w:color w:val="000000"/>
          <w:sz w:val="24"/>
          <w:szCs w:val="24"/>
          <w:highlight w:val="none"/>
          <w:lang w:val="zh-CN"/>
        </w:rPr>
        <w:t>）具有履行合同所必需的设备和专业技术能力（详见响应文件格式）；</w:t>
      </w:r>
    </w:p>
    <w:p w14:paraId="02321E50">
      <w:pPr>
        <w:keepLines w:val="0"/>
        <w:pageBreakBefore w:val="0"/>
        <w:widowControl/>
        <w:spacing w:line="360" w:lineRule="auto"/>
        <w:ind w:firstLine="482"/>
        <w:jc w:val="left"/>
        <w:rPr>
          <w:rFonts w:hint="eastAsia" w:ascii="宋体" w:hAnsi="宋体" w:eastAsia="宋体" w:cs="宋体"/>
          <w:b w:val="0"/>
          <w:bCs w:val="0"/>
          <w:color w:val="000000"/>
          <w:sz w:val="24"/>
          <w:szCs w:val="24"/>
          <w:highlight w:val="none"/>
          <w:lang w:val="zh-CN"/>
        </w:rPr>
      </w:pPr>
      <w:r>
        <w:rPr>
          <w:rFonts w:hint="eastAsia" w:ascii="宋体" w:hAnsi="宋体" w:eastAsia="宋体" w:cs="宋体"/>
          <w:b w:val="0"/>
          <w:bCs w:val="0"/>
          <w:color w:val="000000"/>
          <w:sz w:val="24"/>
          <w:szCs w:val="24"/>
          <w:highlight w:val="none"/>
          <w:lang w:val="zh-CN"/>
        </w:rPr>
        <w:t>★（</w:t>
      </w:r>
      <w:r>
        <w:rPr>
          <w:rFonts w:hint="eastAsia" w:ascii="宋体" w:hAnsi="宋体" w:eastAsia="宋体" w:cs="宋体"/>
          <w:b w:val="0"/>
          <w:bCs w:val="0"/>
          <w:color w:val="000000"/>
          <w:sz w:val="24"/>
          <w:szCs w:val="24"/>
          <w:highlight w:val="none"/>
          <w:lang w:val="en-US" w:eastAsia="zh-CN"/>
        </w:rPr>
        <w:t>6</w:t>
      </w:r>
      <w:r>
        <w:rPr>
          <w:rFonts w:hint="eastAsia" w:ascii="宋体" w:hAnsi="宋体" w:eastAsia="宋体" w:cs="宋体"/>
          <w:b w:val="0"/>
          <w:bCs w:val="0"/>
          <w:color w:val="000000"/>
          <w:sz w:val="24"/>
          <w:szCs w:val="24"/>
          <w:highlight w:val="none"/>
          <w:lang w:val="zh-CN"/>
        </w:rPr>
        <w:t>）拒绝下述供应商参加本次采购活动</w:t>
      </w:r>
      <w:r>
        <w:rPr>
          <w:rFonts w:hint="eastAsia" w:ascii="宋体" w:hAnsi="宋体" w:cs="宋体"/>
          <w:b w:val="0"/>
          <w:bCs w:val="0"/>
          <w:color w:val="000000"/>
          <w:sz w:val="24"/>
          <w:szCs w:val="24"/>
          <w:highlight w:val="none"/>
          <w:lang w:val="zh-CN"/>
        </w:rPr>
        <w:t>：</w:t>
      </w:r>
      <w:r>
        <w:rPr>
          <w:rFonts w:hint="eastAsia" w:ascii="宋体" w:hAnsi="宋体" w:eastAsia="宋体" w:cs="宋体"/>
          <w:b w:val="0"/>
          <w:bCs w:val="0"/>
          <w:color w:val="000000"/>
          <w:sz w:val="24"/>
          <w:szCs w:val="24"/>
          <w:highlight w:val="none"/>
          <w:lang w:val="zh-CN"/>
        </w:rPr>
        <w:t>（符合</w:t>
      </w:r>
      <w:r>
        <w:rPr>
          <w:rFonts w:hint="eastAsia" w:ascii="宋体" w:hAnsi="宋体" w:cs="宋体"/>
          <w:b w:val="0"/>
          <w:bCs w:val="0"/>
          <w:color w:val="000000"/>
          <w:sz w:val="24"/>
          <w:szCs w:val="24"/>
          <w:highlight w:val="none"/>
          <w:lang w:val="zh-CN"/>
        </w:rPr>
        <w:t>要求并</w:t>
      </w:r>
      <w:r>
        <w:rPr>
          <w:rFonts w:hint="eastAsia" w:ascii="宋体" w:hAnsi="宋体" w:eastAsia="宋体" w:cs="宋体"/>
          <w:b w:val="0"/>
          <w:bCs w:val="0"/>
          <w:color w:val="000000"/>
          <w:sz w:val="24"/>
          <w:szCs w:val="24"/>
          <w:highlight w:val="none"/>
          <w:lang w:val="zh-CN"/>
        </w:rPr>
        <w:t>提供承诺书，详见响应文件格式）</w:t>
      </w:r>
    </w:p>
    <w:p w14:paraId="771553CA">
      <w:pPr>
        <w:keepLines w:val="0"/>
        <w:pageBreakBefore w:val="0"/>
        <w:widowControl/>
        <w:spacing w:line="360" w:lineRule="auto"/>
        <w:ind w:firstLine="482"/>
        <w:jc w:val="left"/>
        <w:rPr>
          <w:rFonts w:hint="eastAsia" w:ascii="宋体" w:hAnsi="宋体" w:eastAsia="宋体" w:cs="宋体"/>
          <w:b w:val="0"/>
          <w:bCs w:val="0"/>
          <w:color w:val="000000"/>
          <w:sz w:val="24"/>
          <w:szCs w:val="24"/>
          <w:highlight w:val="none"/>
          <w:lang w:val="zh-CN"/>
        </w:rPr>
      </w:pPr>
      <w:r>
        <w:rPr>
          <w:rFonts w:hint="eastAsia" w:ascii="宋体" w:hAnsi="宋体" w:eastAsia="宋体" w:cs="宋体"/>
          <w:b w:val="0"/>
          <w:bCs w:val="0"/>
          <w:color w:val="000000"/>
          <w:sz w:val="24"/>
          <w:szCs w:val="24"/>
          <w:highlight w:val="none"/>
          <w:lang w:val="zh-CN"/>
        </w:rPr>
        <w:t>1）被“信用中国”网站</w:t>
      </w:r>
      <w:r>
        <w:rPr>
          <w:rFonts w:hint="eastAsia" w:ascii="宋体" w:hAnsi="宋体" w:cs="宋体"/>
          <w:b w:val="0"/>
          <w:bCs w:val="0"/>
          <w:color w:val="000000"/>
          <w:sz w:val="24"/>
          <w:szCs w:val="24"/>
          <w:highlight w:val="none"/>
          <w:lang w:val="zh-CN"/>
        </w:rPr>
        <w:t>（</w:t>
      </w:r>
      <w:r>
        <w:rPr>
          <w:rFonts w:hint="eastAsia" w:ascii="宋体" w:hAnsi="宋体" w:eastAsia="宋体" w:cs="宋体"/>
          <w:b w:val="0"/>
          <w:bCs w:val="0"/>
          <w:color w:val="000000"/>
          <w:sz w:val="24"/>
          <w:szCs w:val="24"/>
          <w:highlight w:val="none"/>
          <w:lang w:val="zh-CN"/>
        </w:rPr>
        <w:t>www.creditchina.gov.cn</w:t>
      </w:r>
      <w:r>
        <w:rPr>
          <w:rFonts w:hint="eastAsia" w:ascii="宋体" w:hAnsi="宋体" w:cs="宋体"/>
          <w:b w:val="0"/>
          <w:bCs w:val="0"/>
          <w:color w:val="000000"/>
          <w:sz w:val="24"/>
          <w:szCs w:val="24"/>
          <w:highlight w:val="none"/>
          <w:lang w:val="zh-CN"/>
        </w:rPr>
        <w:t>）</w:t>
      </w:r>
      <w:r>
        <w:rPr>
          <w:rFonts w:hint="eastAsia" w:ascii="宋体" w:hAnsi="宋体" w:eastAsia="宋体" w:cs="宋体"/>
          <w:b w:val="0"/>
          <w:bCs w:val="0"/>
          <w:color w:val="000000"/>
          <w:sz w:val="24"/>
          <w:szCs w:val="24"/>
          <w:highlight w:val="none"/>
          <w:lang w:val="zh-CN"/>
        </w:rPr>
        <w:t>列入失信被执行人，重大税收违法失信主体、政府采购严重违法失信行为记录名单的；</w:t>
      </w:r>
    </w:p>
    <w:p w14:paraId="36A5364C">
      <w:pPr>
        <w:keepLines w:val="0"/>
        <w:pageBreakBefore w:val="0"/>
        <w:widowControl/>
        <w:spacing w:line="360" w:lineRule="auto"/>
        <w:ind w:firstLine="482"/>
        <w:jc w:val="left"/>
        <w:rPr>
          <w:rFonts w:hint="eastAsia" w:ascii="宋体" w:hAnsi="宋体" w:eastAsia="宋体" w:cs="宋体"/>
          <w:b w:val="0"/>
          <w:bCs w:val="0"/>
          <w:color w:val="000000"/>
          <w:sz w:val="24"/>
          <w:szCs w:val="24"/>
          <w:highlight w:val="none"/>
          <w:lang w:val="zh-CN"/>
        </w:rPr>
      </w:pPr>
      <w:r>
        <w:rPr>
          <w:rFonts w:hint="eastAsia" w:ascii="宋体" w:hAnsi="宋体" w:eastAsia="宋体" w:cs="宋体"/>
          <w:b w:val="0"/>
          <w:bCs w:val="0"/>
          <w:color w:val="000000"/>
          <w:sz w:val="24"/>
          <w:szCs w:val="24"/>
          <w:highlight w:val="none"/>
          <w:lang w:val="zh-CN"/>
        </w:rPr>
        <w:t>2）供应商单位负责人为同一人或者存在直接控股、管理关系的不同供应商，不得参加同一合同项下的政府采购活动；</w:t>
      </w:r>
    </w:p>
    <w:p w14:paraId="3AB102F5">
      <w:pPr>
        <w:keepLines w:val="0"/>
        <w:pageBreakBefore w:val="0"/>
        <w:widowControl/>
        <w:spacing w:line="360" w:lineRule="auto"/>
        <w:ind w:firstLine="482"/>
        <w:jc w:val="left"/>
        <w:rPr>
          <w:rFonts w:hint="eastAsia" w:ascii="宋体" w:hAnsi="宋体" w:eastAsia="宋体" w:cs="宋体"/>
          <w:b w:val="0"/>
          <w:bCs w:val="0"/>
          <w:color w:val="000000"/>
          <w:sz w:val="24"/>
          <w:szCs w:val="24"/>
          <w:highlight w:val="none"/>
          <w:lang w:val="zh-CN"/>
        </w:rPr>
      </w:pPr>
      <w:r>
        <w:rPr>
          <w:rFonts w:hint="eastAsia" w:ascii="宋体" w:hAnsi="宋体" w:eastAsia="宋体" w:cs="宋体"/>
          <w:b w:val="0"/>
          <w:bCs w:val="0"/>
          <w:color w:val="000000"/>
          <w:sz w:val="24"/>
          <w:szCs w:val="24"/>
          <w:highlight w:val="none"/>
          <w:lang w:val="zh-CN"/>
        </w:rPr>
        <w:t>3）为采购项目提供整体设计、规范编制或者项目管理、监理、检测等服务的供应商，不得再参加该采购项目的其他采购活动。</w:t>
      </w:r>
    </w:p>
    <w:p w14:paraId="1FA8C789">
      <w:pPr>
        <w:keepLines w:val="0"/>
        <w:pageBreakBefore w:val="0"/>
        <w:widowControl/>
        <w:spacing w:line="360" w:lineRule="auto"/>
        <w:ind w:firstLine="482"/>
        <w:jc w:val="left"/>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zh-CN"/>
        </w:rPr>
        <w:t>★（</w:t>
      </w:r>
      <w:r>
        <w:rPr>
          <w:rFonts w:hint="eastAsia" w:ascii="宋体" w:hAnsi="宋体" w:eastAsia="宋体" w:cs="宋体"/>
          <w:b w:val="0"/>
          <w:bCs w:val="0"/>
          <w:color w:val="000000"/>
          <w:sz w:val="24"/>
          <w:szCs w:val="24"/>
          <w:highlight w:val="none"/>
          <w:lang w:val="en-US" w:eastAsia="zh-CN"/>
        </w:rPr>
        <w:t>7</w:t>
      </w:r>
      <w:r>
        <w:rPr>
          <w:rFonts w:hint="eastAsia" w:ascii="宋体" w:hAnsi="宋体" w:eastAsia="宋体" w:cs="宋体"/>
          <w:b w:val="0"/>
          <w:bCs w:val="0"/>
          <w:color w:val="000000"/>
          <w:sz w:val="24"/>
          <w:szCs w:val="24"/>
          <w:highlight w:val="none"/>
          <w:lang w:val="zh-CN"/>
        </w:rPr>
        <w:t>）</w:t>
      </w:r>
      <w:r>
        <w:rPr>
          <w:rFonts w:hint="eastAsia" w:ascii="宋体" w:hAnsi="宋体" w:eastAsia="宋体" w:cs="宋体"/>
          <w:b w:val="0"/>
          <w:bCs w:val="0"/>
          <w:color w:val="000000"/>
          <w:sz w:val="24"/>
          <w:szCs w:val="24"/>
          <w:highlight w:val="none"/>
          <w:lang w:val="en-US" w:eastAsia="zh-CN"/>
        </w:rPr>
        <w:t>中小企业声明函。</w:t>
      </w:r>
    </w:p>
    <w:p w14:paraId="7CC6CF93">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如上述资格证明文件第（</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两</w:t>
      </w:r>
      <w:r>
        <w:rPr>
          <w:rFonts w:hint="eastAsia" w:ascii="宋体" w:hAnsi="宋体" w:eastAsia="宋体" w:cs="宋体"/>
          <w:color w:val="auto"/>
          <w:sz w:val="24"/>
          <w:szCs w:val="24"/>
          <w:highlight w:val="none"/>
        </w:rPr>
        <w:t>项遇有国家相关政策规定可不具备的，必须提供相关政策规定或相关单位出具的有效证明。</w:t>
      </w:r>
    </w:p>
    <w:p w14:paraId="7B4B83A3">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1.3.2商务技术文件（按照本文件第六章统一提供的规范表式填写）</w:t>
      </w:r>
    </w:p>
    <w:p w14:paraId="0F7E0679">
      <w:pPr>
        <w:keepLines w:val="0"/>
        <w:pageBreakBefore w:val="0"/>
        <w:widowControl/>
        <w:spacing w:line="360" w:lineRule="auto"/>
        <w:ind w:firstLine="482"/>
        <w:jc w:val="left"/>
        <w:rPr>
          <w:rFonts w:hint="eastAsia" w:ascii="宋体" w:hAnsi="宋体" w:eastAsia="宋体" w:cs="宋体"/>
          <w:b w:val="0"/>
          <w:bCs w:val="0"/>
          <w:color w:val="000000"/>
          <w:sz w:val="24"/>
          <w:szCs w:val="24"/>
          <w:highlight w:val="none"/>
          <w:lang w:val="zh-CN"/>
        </w:rPr>
      </w:pPr>
      <w:r>
        <w:rPr>
          <w:rFonts w:hint="eastAsia" w:ascii="宋体" w:hAnsi="宋体" w:eastAsia="宋体" w:cs="宋体"/>
          <w:b w:val="0"/>
          <w:bCs w:val="0"/>
          <w:color w:val="000000"/>
          <w:sz w:val="24"/>
          <w:szCs w:val="24"/>
          <w:highlight w:val="none"/>
          <w:lang w:val="zh-CN"/>
        </w:rPr>
        <w:t>（1）★磋商响应函；</w:t>
      </w:r>
    </w:p>
    <w:p w14:paraId="6F53AAE7">
      <w:pPr>
        <w:keepLines w:val="0"/>
        <w:pageBreakBefore w:val="0"/>
        <w:widowControl/>
        <w:spacing w:line="360" w:lineRule="auto"/>
        <w:ind w:firstLine="482"/>
        <w:jc w:val="left"/>
        <w:rPr>
          <w:rFonts w:hint="eastAsia" w:ascii="宋体" w:hAnsi="宋体" w:eastAsia="宋体" w:cs="宋体"/>
          <w:b w:val="0"/>
          <w:bCs w:val="0"/>
          <w:color w:val="000000"/>
          <w:sz w:val="24"/>
          <w:szCs w:val="24"/>
          <w:highlight w:val="none"/>
          <w:lang w:val="zh-CN"/>
        </w:rPr>
      </w:pPr>
      <w:r>
        <w:rPr>
          <w:rFonts w:hint="eastAsia" w:ascii="宋体" w:hAnsi="宋体" w:eastAsia="宋体" w:cs="宋体"/>
          <w:b w:val="0"/>
          <w:bCs w:val="0"/>
          <w:color w:val="000000"/>
          <w:sz w:val="24"/>
          <w:szCs w:val="24"/>
          <w:highlight w:val="none"/>
          <w:lang w:val="zh-CN"/>
        </w:rPr>
        <w:t>（2）★磋商报价表；</w:t>
      </w:r>
    </w:p>
    <w:p w14:paraId="2AE0207B">
      <w:pPr>
        <w:keepLines w:val="0"/>
        <w:pageBreakBefore w:val="0"/>
        <w:widowControl/>
        <w:spacing w:line="360" w:lineRule="auto"/>
        <w:ind w:firstLine="482"/>
        <w:jc w:val="left"/>
        <w:rPr>
          <w:rFonts w:hint="eastAsia" w:ascii="宋体" w:hAnsi="宋体" w:eastAsia="宋体" w:cs="宋体"/>
          <w:b w:val="0"/>
          <w:bCs w:val="0"/>
          <w:color w:val="000000"/>
          <w:sz w:val="24"/>
          <w:szCs w:val="24"/>
          <w:highlight w:val="none"/>
          <w:lang w:val="zh-CN"/>
        </w:rPr>
      </w:pPr>
      <w:r>
        <w:rPr>
          <w:rFonts w:hint="eastAsia" w:ascii="宋体" w:hAnsi="宋体" w:eastAsia="宋体" w:cs="宋体"/>
          <w:b w:val="0"/>
          <w:bCs w:val="0"/>
          <w:color w:val="000000"/>
          <w:sz w:val="24"/>
          <w:szCs w:val="24"/>
          <w:highlight w:val="none"/>
          <w:lang w:val="zh-CN"/>
        </w:rPr>
        <w:t>（3）★法定代表人资格证明；</w:t>
      </w:r>
    </w:p>
    <w:p w14:paraId="007C05EE">
      <w:pPr>
        <w:keepLines w:val="0"/>
        <w:pageBreakBefore w:val="0"/>
        <w:widowControl/>
        <w:spacing w:line="360" w:lineRule="auto"/>
        <w:ind w:firstLine="482"/>
        <w:jc w:val="left"/>
        <w:rPr>
          <w:rFonts w:hint="eastAsia" w:ascii="宋体" w:hAnsi="宋体" w:eastAsia="宋体" w:cs="宋体"/>
          <w:b w:val="0"/>
          <w:bCs w:val="0"/>
          <w:color w:val="000000"/>
          <w:sz w:val="24"/>
          <w:szCs w:val="24"/>
          <w:highlight w:val="none"/>
          <w:lang w:val="zh-CN"/>
        </w:rPr>
      </w:pPr>
      <w:r>
        <w:rPr>
          <w:rFonts w:hint="eastAsia" w:ascii="宋体" w:hAnsi="宋体" w:eastAsia="宋体" w:cs="宋体"/>
          <w:b w:val="0"/>
          <w:bCs w:val="0"/>
          <w:color w:val="000000"/>
          <w:sz w:val="24"/>
          <w:szCs w:val="24"/>
          <w:highlight w:val="none"/>
          <w:lang w:val="zh-CN"/>
        </w:rPr>
        <w:t>（4）★授权委托书；</w:t>
      </w:r>
    </w:p>
    <w:p w14:paraId="440946E2">
      <w:pPr>
        <w:keepLines w:val="0"/>
        <w:pageBreakBefore w:val="0"/>
        <w:widowControl/>
        <w:spacing w:line="360" w:lineRule="auto"/>
        <w:ind w:firstLine="482"/>
        <w:jc w:val="left"/>
        <w:rPr>
          <w:rFonts w:hint="eastAsia" w:ascii="宋体" w:hAnsi="宋体" w:eastAsia="宋体" w:cs="宋体"/>
          <w:b w:val="0"/>
          <w:bCs w:val="0"/>
          <w:color w:val="000000"/>
          <w:sz w:val="24"/>
          <w:szCs w:val="24"/>
          <w:highlight w:val="none"/>
          <w:lang w:val="zh-CN"/>
        </w:rPr>
      </w:pPr>
      <w:r>
        <w:rPr>
          <w:rFonts w:hint="eastAsia" w:ascii="宋体" w:hAnsi="宋体" w:eastAsia="宋体" w:cs="宋体"/>
          <w:b w:val="0"/>
          <w:bCs w:val="0"/>
          <w:color w:val="000000"/>
          <w:sz w:val="24"/>
          <w:szCs w:val="24"/>
          <w:highlight w:val="none"/>
          <w:lang w:val="zh-CN"/>
        </w:rPr>
        <w:t>（</w:t>
      </w:r>
      <w:r>
        <w:rPr>
          <w:rFonts w:hint="eastAsia" w:ascii="宋体" w:hAnsi="宋体" w:eastAsia="宋体" w:cs="宋体"/>
          <w:b w:val="0"/>
          <w:bCs w:val="0"/>
          <w:color w:val="000000"/>
          <w:sz w:val="24"/>
          <w:szCs w:val="24"/>
          <w:highlight w:val="none"/>
          <w:lang w:val="en-US" w:eastAsia="zh-CN"/>
        </w:rPr>
        <w:t>5</w:t>
      </w:r>
      <w:r>
        <w:rPr>
          <w:rFonts w:hint="eastAsia" w:ascii="宋体" w:hAnsi="宋体" w:eastAsia="宋体" w:cs="宋体"/>
          <w:b w:val="0"/>
          <w:bCs w:val="0"/>
          <w:color w:val="000000"/>
          <w:sz w:val="24"/>
          <w:szCs w:val="24"/>
          <w:highlight w:val="none"/>
          <w:lang w:val="zh-CN"/>
        </w:rPr>
        <w:t>）★技术偏离表；</w:t>
      </w:r>
    </w:p>
    <w:p w14:paraId="1338C447">
      <w:pPr>
        <w:keepLines w:val="0"/>
        <w:pageBreakBefore w:val="0"/>
        <w:widowControl/>
        <w:spacing w:line="360" w:lineRule="auto"/>
        <w:ind w:firstLine="482"/>
        <w:jc w:val="left"/>
        <w:rPr>
          <w:rFonts w:hint="eastAsia" w:ascii="宋体" w:hAnsi="宋体" w:eastAsia="宋体" w:cs="宋体"/>
          <w:b w:val="0"/>
          <w:bCs w:val="0"/>
          <w:color w:val="000000"/>
          <w:sz w:val="24"/>
          <w:szCs w:val="24"/>
          <w:highlight w:val="none"/>
          <w:lang w:val="zh-CN"/>
        </w:rPr>
      </w:pPr>
      <w:r>
        <w:rPr>
          <w:rFonts w:hint="eastAsia" w:ascii="宋体" w:hAnsi="宋体" w:eastAsia="宋体" w:cs="宋体"/>
          <w:b w:val="0"/>
          <w:bCs w:val="0"/>
          <w:color w:val="000000"/>
          <w:sz w:val="24"/>
          <w:szCs w:val="24"/>
          <w:highlight w:val="none"/>
          <w:lang w:val="zh-CN"/>
        </w:rPr>
        <w:t>（</w:t>
      </w:r>
      <w:r>
        <w:rPr>
          <w:rFonts w:hint="eastAsia" w:ascii="宋体" w:hAnsi="宋体" w:eastAsia="宋体" w:cs="宋体"/>
          <w:b w:val="0"/>
          <w:bCs w:val="0"/>
          <w:color w:val="000000"/>
          <w:sz w:val="24"/>
          <w:szCs w:val="24"/>
          <w:highlight w:val="none"/>
          <w:lang w:val="en-US" w:eastAsia="zh-CN"/>
        </w:rPr>
        <w:t>6</w:t>
      </w:r>
      <w:r>
        <w:rPr>
          <w:rFonts w:hint="eastAsia" w:ascii="宋体" w:hAnsi="宋体" w:eastAsia="宋体" w:cs="宋体"/>
          <w:b w:val="0"/>
          <w:bCs w:val="0"/>
          <w:color w:val="000000"/>
          <w:sz w:val="24"/>
          <w:szCs w:val="24"/>
          <w:highlight w:val="none"/>
          <w:lang w:val="zh-CN"/>
        </w:rPr>
        <w:t>）★商务偏离表；</w:t>
      </w:r>
    </w:p>
    <w:p w14:paraId="4C399815">
      <w:pPr>
        <w:keepLines w:val="0"/>
        <w:pageBreakBefore w:val="0"/>
        <w:widowControl/>
        <w:spacing w:line="360" w:lineRule="auto"/>
        <w:ind w:firstLine="482"/>
        <w:jc w:val="left"/>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zh-CN"/>
        </w:rPr>
        <w:t>（</w:t>
      </w:r>
      <w:r>
        <w:rPr>
          <w:rFonts w:hint="eastAsia" w:ascii="宋体" w:hAnsi="宋体" w:eastAsia="宋体" w:cs="宋体"/>
          <w:b w:val="0"/>
          <w:bCs w:val="0"/>
          <w:color w:val="000000"/>
          <w:sz w:val="24"/>
          <w:szCs w:val="24"/>
          <w:highlight w:val="none"/>
          <w:lang w:val="en-US" w:eastAsia="zh-CN"/>
        </w:rPr>
        <w:t>7</w:t>
      </w:r>
      <w:r>
        <w:rPr>
          <w:rFonts w:hint="eastAsia" w:ascii="宋体" w:hAnsi="宋体" w:eastAsia="宋体" w:cs="宋体"/>
          <w:b w:val="0"/>
          <w:bCs w:val="0"/>
          <w:color w:val="000000"/>
          <w:sz w:val="24"/>
          <w:szCs w:val="24"/>
          <w:highlight w:val="none"/>
          <w:lang w:val="zh-CN"/>
        </w:rPr>
        <w:t>）★</w:t>
      </w:r>
      <w:r>
        <w:rPr>
          <w:rFonts w:hint="eastAsia" w:ascii="宋体" w:hAnsi="宋体" w:eastAsia="宋体" w:cs="宋体"/>
          <w:b w:val="0"/>
          <w:bCs w:val="0"/>
          <w:color w:val="000000"/>
          <w:sz w:val="24"/>
          <w:szCs w:val="24"/>
          <w:highlight w:val="none"/>
          <w:lang w:val="en-US" w:eastAsia="zh-CN"/>
        </w:rPr>
        <w:t>报价</w:t>
      </w:r>
      <w:r>
        <w:rPr>
          <w:rFonts w:hint="eastAsia" w:ascii="宋体" w:hAnsi="宋体" w:cs="宋体"/>
          <w:b w:val="0"/>
          <w:bCs w:val="0"/>
          <w:color w:val="000000"/>
          <w:sz w:val="24"/>
          <w:szCs w:val="24"/>
          <w:highlight w:val="none"/>
          <w:lang w:val="en-US" w:eastAsia="zh-CN"/>
        </w:rPr>
        <w:t>明细表</w:t>
      </w:r>
      <w:r>
        <w:rPr>
          <w:rFonts w:hint="eastAsia" w:ascii="宋体" w:hAnsi="宋体" w:eastAsia="宋体" w:cs="宋体"/>
          <w:b w:val="0"/>
          <w:bCs w:val="0"/>
          <w:color w:val="000000"/>
          <w:sz w:val="24"/>
          <w:szCs w:val="24"/>
          <w:highlight w:val="none"/>
          <w:lang w:val="en-US" w:eastAsia="zh-CN"/>
        </w:rPr>
        <w:t>（格式见</w:t>
      </w:r>
      <w:r>
        <w:rPr>
          <w:rFonts w:hint="eastAsia" w:ascii="宋体" w:hAnsi="宋体" w:cs="宋体"/>
          <w:b w:val="0"/>
          <w:bCs w:val="0"/>
          <w:color w:val="000000"/>
          <w:sz w:val="24"/>
          <w:szCs w:val="24"/>
          <w:highlight w:val="none"/>
          <w:lang w:val="en-US" w:eastAsia="zh-CN"/>
        </w:rPr>
        <w:t>最高限价清单</w:t>
      </w:r>
      <w:r>
        <w:rPr>
          <w:rFonts w:hint="eastAsia" w:ascii="宋体" w:hAnsi="宋体" w:eastAsia="宋体" w:cs="宋体"/>
          <w:b w:val="0"/>
          <w:bCs w:val="0"/>
          <w:color w:val="000000"/>
          <w:sz w:val="24"/>
          <w:szCs w:val="24"/>
          <w:highlight w:val="none"/>
          <w:lang w:val="en-US" w:eastAsia="zh-CN"/>
        </w:rPr>
        <w:t>）；</w:t>
      </w:r>
    </w:p>
    <w:p w14:paraId="646AC938">
      <w:pPr>
        <w:keepLines w:val="0"/>
        <w:pageBreakBefore w:val="0"/>
        <w:widowControl/>
        <w:spacing w:line="360" w:lineRule="auto"/>
        <w:ind w:firstLine="48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）根据项目需求和评审方法以及评审标准，供应商为使自身处于有利评审地位，应当提交的其他文件和证明资料；</w:t>
      </w:r>
      <w:bookmarkEnd w:id="61"/>
      <w:bookmarkEnd w:id="62"/>
      <w:bookmarkEnd w:id="63"/>
    </w:p>
    <w:p w14:paraId="630391D5">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1.3.3如标书制作工具中的格式和内容与“</w:t>
      </w:r>
      <w:r>
        <w:rPr>
          <w:rFonts w:hint="eastAsia" w:ascii="宋体" w:hAnsi="宋体" w:eastAsia="宋体" w:cs="宋体"/>
          <w:color w:val="auto"/>
          <w:sz w:val="24"/>
          <w:szCs w:val="24"/>
          <w:highlight w:val="none"/>
          <w:lang w:val="en-US" w:eastAsia="zh-CN"/>
        </w:rPr>
        <w:t>江苏政府采购网</w:t>
      </w:r>
      <w:r>
        <w:rPr>
          <w:rFonts w:hint="eastAsia" w:ascii="宋体" w:hAnsi="宋体" w:eastAsia="宋体" w:cs="宋体"/>
          <w:color w:val="auto"/>
          <w:sz w:val="24"/>
          <w:szCs w:val="24"/>
          <w:highlight w:val="none"/>
        </w:rPr>
        <w:t>”发布的</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不一致，请以“</w:t>
      </w:r>
      <w:r>
        <w:rPr>
          <w:rFonts w:hint="eastAsia" w:ascii="宋体" w:hAnsi="宋体" w:eastAsia="宋体" w:cs="宋体"/>
          <w:color w:val="auto"/>
          <w:sz w:val="24"/>
          <w:szCs w:val="24"/>
          <w:highlight w:val="none"/>
          <w:lang w:val="en-US" w:eastAsia="zh-CN"/>
        </w:rPr>
        <w:t>江苏政府采购网</w:t>
      </w:r>
      <w:r>
        <w:rPr>
          <w:rFonts w:hint="eastAsia" w:ascii="宋体" w:hAnsi="宋体" w:eastAsia="宋体" w:cs="宋体"/>
          <w:color w:val="auto"/>
          <w:sz w:val="24"/>
          <w:szCs w:val="24"/>
          <w:highlight w:val="none"/>
        </w:rPr>
        <w:t>”发布的</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为准。</w:t>
      </w:r>
    </w:p>
    <w:p w14:paraId="5FCFEBF2">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bookmarkStart w:id="67" w:name="_Hlt26668999"/>
      <w:bookmarkEnd w:id="67"/>
      <w:r>
        <w:rPr>
          <w:rFonts w:hint="eastAsia" w:ascii="宋体" w:hAnsi="宋体" w:eastAsia="宋体" w:cs="宋体"/>
          <w:color w:val="auto"/>
          <w:sz w:val="24"/>
          <w:szCs w:val="24"/>
          <w:highlight w:val="none"/>
        </w:rPr>
        <w:t>2.磋商响应报价</w:t>
      </w:r>
      <w:bookmarkEnd w:id="64"/>
      <w:bookmarkEnd w:id="65"/>
      <w:bookmarkStart w:id="68" w:name="_Hlt26670373"/>
      <w:bookmarkEnd w:id="68"/>
      <w:r>
        <w:rPr>
          <w:rFonts w:hint="eastAsia" w:ascii="宋体" w:hAnsi="宋体" w:eastAsia="宋体" w:cs="宋体"/>
          <w:color w:val="auto"/>
          <w:sz w:val="24"/>
          <w:szCs w:val="24"/>
          <w:highlight w:val="none"/>
        </w:rPr>
        <w:t>表</w:t>
      </w:r>
      <w:bookmarkEnd w:id="66"/>
    </w:p>
    <w:p w14:paraId="3905502A">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应按照</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规定格式填报磋商响应报价表。每项产品或服务只允许有一个报价，任何有选择的报价将不予接受，</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中另有规定的按规定执行。</w:t>
      </w:r>
    </w:p>
    <w:p w14:paraId="5244F07B">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2.2标的物</w:t>
      </w:r>
    </w:p>
    <w:p w14:paraId="5E060594">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详见项目需求。</w:t>
      </w:r>
    </w:p>
    <w:p w14:paraId="56A7D9FF">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2.3有关费用的处理</w:t>
      </w:r>
    </w:p>
    <w:p w14:paraId="2D400838">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的总报价应包括为完成本项目发生的所有费用，本</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中另有规定的除外。</w:t>
      </w:r>
    </w:p>
    <w:p w14:paraId="133CD83C">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未列明，而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认为必需的费用也须列入报价。</w:t>
      </w:r>
    </w:p>
    <w:p w14:paraId="6FBC9E78">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2.4报价采用的货币及方式</w:t>
      </w:r>
    </w:p>
    <w:p w14:paraId="52A655B0">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响应文件中的单价和总价，无特殊规定的采用人民币报价，以元为单位标注。</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中另有规定的按规定执行。</w:t>
      </w:r>
    </w:p>
    <w:p w14:paraId="0B72ED1C">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 响应报价表上的价格应按</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规定填写。</w:t>
      </w:r>
    </w:p>
    <w:p w14:paraId="76055915">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2.6最高限价</w:t>
      </w:r>
    </w:p>
    <w:p w14:paraId="21F64C0D">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报价超过最高限价的，作为无效标处理。</w:t>
      </w:r>
    </w:p>
    <w:p w14:paraId="59E37EAF">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bookmarkStart w:id="69" w:name="_Hlt26954852"/>
      <w:bookmarkEnd w:id="69"/>
      <w:bookmarkStart w:id="70" w:name="_Hlt26954844"/>
      <w:bookmarkEnd w:id="70"/>
      <w:bookmarkStart w:id="71" w:name="_Hlt26670493"/>
      <w:bookmarkEnd w:id="71"/>
      <w:bookmarkStart w:id="72" w:name="_Hlt26670489"/>
      <w:bookmarkEnd w:id="72"/>
      <w:bookmarkStart w:id="73" w:name="_Hlt26954749"/>
      <w:bookmarkEnd w:id="73"/>
      <w:bookmarkStart w:id="74" w:name="_Hlt26954854"/>
      <w:bookmarkEnd w:id="74"/>
      <w:bookmarkStart w:id="75" w:name="_Hlt26954850"/>
      <w:bookmarkEnd w:id="75"/>
      <w:bookmarkStart w:id="76" w:name="_Hlt26954848"/>
      <w:bookmarkEnd w:id="76"/>
      <w:bookmarkStart w:id="77" w:name="_Hlt26954846"/>
      <w:bookmarkEnd w:id="77"/>
      <w:bookmarkStart w:id="78" w:name="_Hlt26954731"/>
      <w:bookmarkEnd w:id="78"/>
      <w:bookmarkStart w:id="79" w:name="_Hlt26670403"/>
      <w:bookmarkEnd w:id="79"/>
      <w:bookmarkStart w:id="80" w:name="_Hlt26668983"/>
      <w:bookmarkEnd w:id="80"/>
      <w:bookmarkStart w:id="81" w:name="_Hlt26670425"/>
      <w:bookmarkEnd w:id="81"/>
      <w:bookmarkStart w:id="82" w:name="_Hlt26670482"/>
      <w:bookmarkEnd w:id="82"/>
      <w:bookmarkStart w:id="83" w:name="_Hlt26670486"/>
      <w:bookmarkEnd w:id="83"/>
      <w:bookmarkStart w:id="84" w:name="_Hlt26954734"/>
      <w:bookmarkEnd w:id="84"/>
      <w:bookmarkStart w:id="85" w:name="_Hlt26954842"/>
      <w:bookmarkEnd w:id="85"/>
      <w:bookmarkStart w:id="86" w:name="_Hlt26954739"/>
      <w:bookmarkEnd w:id="86"/>
      <w:bookmarkStart w:id="87" w:name="_Toc14577362"/>
      <w:bookmarkStart w:id="88" w:name="_Toc61149562"/>
      <w:bookmarkStart w:id="89" w:name="_Toc513029224"/>
      <w:r>
        <w:rPr>
          <w:rFonts w:hint="eastAsia" w:ascii="宋体" w:hAnsi="宋体" w:eastAsia="宋体" w:cs="宋体"/>
          <w:color w:val="auto"/>
          <w:sz w:val="24"/>
          <w:szCs w:val="24"/>
          <w:highlight w:val="none"/>
        </w:rPr>
        <w:t>3.磋商保证金</w:t>
      </w:r>
    </w:p>
    <w:p w14:paraId="628033D6">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依据《关于做好政府采购支持企业发展有关事项的通知》（苏财购〔2020〕52号）文件规定精神，本项目免收磋商保证金。</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中有关磋商保证金的条款均取消。</w:t>
      </w:r>
    </w:p>
    <w:p w14:paraId="37A7FECF">
      <w:pPr>
        <w:keepNext w:val="0"/>
        <w:keepLines w:val="0"/>
        <w:pageBreakBefore w:val="0"/>
        <w:widowControl w:val="0"/>
        <w:kinsoku/>
        <w:wordWrap/>
        <w:overflowPunct/>
        <w:topLinePunct w:val="0"/>
        <w:autoSpaceDE/>
        <w:autoSpaceDN/>
        <w:bidi w:val="0"/>
        <w:adjustRightInd/>
        <w:snapToGrid/>
        <w:spacing w:line="360" w:lineRule="auto"/>
        <w:ind w:firstLine="422"/>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三、响应文件的递交</w:t>
      </w:r>
      <w:bookmarkEnd w:id="87"/>
      <w:bookmarkEnd w:id="88"/>
      <w:bookmarkEnd w:id="89"/>
    </w:p>
    <w:p w14:paraId="4A5D87F7">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bookmarkStart w:id="90" w:name="_Hlt26954856"/>
      <w:bookmarkEnd w:id="90"/>
      <w:bookmarkStart w:id="91" w:name="_Toc513029225"/>
      <w:bookmarkStart w:id="92" w:name="_Toc61149563"/>
      <w:bookmarkStart w:id="93" w:name="_Toc14577363"/>
      <w:bookmarkStart w:id="94" w:name="_Toc462564084"/>
      <w:r>
        <w:rPr>
          <w:rFonts w:hint="eastAsia" w:ascii="宋体" w:hAnsi="宋体" w:eastAsia="宋体" w:cs="宋体"/>
          <w:color w:val="auto"/>
          <w:sz w:val="24"/>
          <w:szCs w:val="24"/>
          <w:highlight w:val="none"/>
        </w:rPr>
        <w:t>1.</w:t>
      </w:r>
      <w:bookmarkEnd w:id="91"/>
      <w:bookmarkEnd w:id="92"/>
      <w:bookmarkEnd w:id="93"/>
      <w:bookmarkEnd w:id="94"/>
      <w:r>
        <w:rPr>
          <w:rFonts w:hint="eastAsia" w:ascii="宋体" w:hAnsi="宋体" w:eastAsia="宋体" w:cs="宋体"/>
          <w:color w:val="auto"/>
          <w:sz w:val="24"/>
          <w:szCs w:val="24"/>
          <w:highlight w:val="none"/>
        </w:rPr>
        <w:t>电子响应文件的递交</w:t>
      </w:r>
    </w:p>
    <w:p w14:paraId="757B65A5">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1.1供应商应当按照《操作手册》规定，在提交响应文件截止时间前制作并上传电子响应文件。</w:t>
      </w:r>
    </w:p>
    <w:p w14:paraId="15C87840">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2提交响应文件的截止时间</w:t>
      </w:r>
    </w:p>
    <w:p w14:paraId="3292296C">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2.1供应商上传电子响应文件的时间不得迟于</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公告中规定的提交响应文件截止时间。</w:t>
      </w:r>
    </w:p>
    <w:p w14:paraId="20C0728B">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供应商应充分考虑到网络环境、网络带宽等风险因素，如因供应商自身原因造成的电子响应文件上传不成功的按照本</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第二章第5.3.2条规定作无效响应处理。</w:t>
      </w:r>
    </w:p>
    <w:p w14:paraId="232D42EC">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2.2采购人和代理机构可以按照规定，通过修改</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酌情延长提交响应文件截止日期，在此情况下，供应商的所有权利和义务以及供应商受制的截止日期均应以延长后新的截止日期为准。</w:t>
      </w:r>
    </w:p>
    <w:p w14:paraId="2DC7229B">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bookmarkStart w:id="95" w:name="_Hlt26954752"/>
      <w:bookmarkEnd w:id="95"/>
      <w:bookmarkStart w:id="96" w:name="_Hlt26954858"/>
      <w:bookmarkEnd w:id="96"/>
      <w:bookmarkStart w:id="97" w:name="_Hlt26670496"/>
      <w:bookmarkEnd w:id="97"/>
      <w:bookmarkStart w:id="98" w:name="_Toc513029226"/>
      <w:bookmarkStart w:id="99" w:name="_Toc14577364"/>
      <w:bookmarkStart w:id="100" w:name="_Toc61149564"/>
      <w:r>
        <w:rPr>
          <w:rFonts w:hint="eastAsia" w:ascii="宋体" w:hAnsi="宋体" w:eastAsia="宋体" w:cs="宋体"/>
          <w:color w:val="auto"/>
          <w:sz w:val="24"/>
          <w:szCs w:val="24"/>
          <w:highlight w:val="none"/>
        </w:rPr>
        <w:t>3.响应文件的拒收</w:t>
      </w:r>
    </w:p>
    <w:p w14:paraId="6BEFF3B9">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3.1采购人拒绝接收在规定的提交响应文件截止时间后上传的任何电子响应文件。</w:t>
      </w:r>
    </w:p>
    <w:p w14:paraId="0EDADF2C">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4.响应文件的撤回和修改</w:t>
      </w:r>
    </w:p>
    <w:p w14:paraId="695A3DAE">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4.1响应文件的撤回</w:t>
      </w:r>
    </w:p>
    <w:p w14:paraId="7F55DBAC">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4.1.1电子响应文件的撤回</w:t>
      </w:r>
    </w:p>
    <w:p w14:paraId="425CFC69">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供应商可在提交响应文件截止时间前，撤回其电子响应文件，具体操作方法见《操作手册》。</w:t>
      </w:r>
    </w:p>
    <w:p w14:paraId="6E4BACB1">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4.1.2供应商撤回电子响应文件，则视为其不再参与本项目磋商活动。</w:t>
      </w:r>
    </w:p>
    <w:p w14:paraId="4E511A0E">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4.2响应文件的修改</w:t>
      </w:r>
    </w:p>
    <w:p w14:paraId="66545964">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供应商可在提交响应文件截止时间前，对其电子响应文件进行修改，具体操作方法见《操作手册》。</w:t>
      </w:r>
    </w:p>
    <w:p w14:paraId="2C78597E">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4.3在提交响应文件截止时间之后，供应商不得对其电子响应文件作任何修改。</w:t>
      </w:r>
    </w:p>
    <w:p w14:paraId="6341CCBE">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4.4在提交响应文件截止时间至</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中规定的磋商有效期满之间的这段时间内，供应商不得撤回其响应文件。</w:t>
      </w:r>
    </w:p>
    <w:p w14:paraId="2A7D2B61">
      <w:pPr>
        <w:keepNext w:val="0"/>
        <w:keepLines w:val="0"/>
        <w:pageBreakBefore w:val="0"/>
        <w:widowControl w:val="0"/>
        <w:kinsoku/>
        <w:wordWrap/>
        <w:overflowPunct/>
        <w:topLinePunct w:val="0"/>
        <w:autoSpaceDE/>
        <w:autoSpaceDN/>
        <w:bidi w:val="0"/>
        <w:adjustRightInd/>
        <w:snapToGrid/>
        <w:spacing w:line="360" w:lineRule="auto"/>
        <w:ind w:firstLine="422"/>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四、响应文件的解密与评审</w:t>
      </w:r>
    </w:p>
    <w:p w14:paraId="22AD21FD">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1.响应文件解密</w:t>
      </w:r>
    </w:p>
    <w:p w14:paraId="7488563F">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1.1供应商应当按照《操作手册》规定，在苏采云系统规定的时间内对响应文件进行解密。</w:t>
      </w:r>
    </w:p>
    <w:p w14:paraId="28D17646">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2.磋商小组</w:t>
      </w:r>
    </w:p>
    <w:p w14:paraId="2CDBC1B0">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2.1采购代理机构将组织磋商小组对响应文件进行评审。</w:t>
      </w:r>
    </w:p>
    <w:p w14:paraId="7394077E">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2.2磋商小组独立工作，负责评审所有响应文件并确定成交候选人。</w:t>
      </w:r>
    </w:p>
    <w:p w14:paraId="6CE1D537">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3.评审过程的保密与公正</w:t>
      </w:r>
    </w:p>
    <w:p w14:paraId="5F1B5D59">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3.1磋商小组、采购人和采购代理机构工作人员、相关监督人员等与评审工作有关的人员，对评审情况以及在评审过程中获悉的国家秘密、商业秘密负有保密责任。</w:t>
      </w:r>
    </w:p>
    <w:p w14:paraId="23B36DC9">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3.2在评审过程中，供应商不得以任何行为影响磋商评审过程，否则其响应文件将被作为无效响应文件。</w:t>
      </w:r>
    </w:p>
    <w:p w14:paraId="5EA65C55">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3.3在项目评审期间，采购代理机构将设专门人员与供应商联系。</w:t>
      </w:r>
    </w:p>
    <w:p w14:paraId="75BE1476">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3.4采购人、代理机构和磋商小组不向未成交的供应商解释未成交原因，也不公布评审过程中的相关细节。</w:t>
      </w:r>
    </w:p>
    <w:p w14:paraId="1FA08F20">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4.评审过程中的澄清</w:t>
      </w:r>
    </w:p>
    <w:p w14:paraId="6D54115D">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项目评审期间，磋商小组有权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007A9CC">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磋商小组并非对每个供应商都作澄清要求。</w:t>
      </w:r>
    </w:p>
    <w:p w14:paraId="1446E3D3">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需要供应商进行澄清、说明和更正的，磋商小组将通过苏采云系统向供应商发布“澄清要求函”，接到“澄清要求函”的供应商应当按照要求在苏采云系统中提交“澄清响应函”并加盖CA电子公章。澄清、说明和更正的内容作为响应文件的补充部分，具体操作方式见《操作手册》。</w:t>
      </w:r>
    </w:p>
    <w:p w14:paraId="239D7944">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4.3接到磋商小组澄清、说明和更正要求的供应商如未按规定作出澄清、说明和更正，其风险由供应商自行承担。</w:t>
      </w:r>
    </w:p>
    <w:p w14:paraId="5F91561F">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5.对响应文件的审查</w:t>
      </w:r>
    </w:p>
    <w:p w14:paraId="736217A2">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5.1响应文件审查分为资格审查和符合性审查。</w:t>
      </w:r>
    </w:p>
    <w:p w14:paraId="2F0D7D37">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5.1.1资格审查：由磋商小组依据法律法规和</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的规定，对响应文件中的资格证明文件进行审查，以确定供应商是否具备参加磋商的资格。</w:t>
      </w:r>
    </w:p>
    <w:p w14:paraId="456C7D7B">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磋商小组在进行资格审查的同时，将在“信用中国”网站（www.creditchina.gov.cn）查询供应商的信用记录，以确定供应商是否具备磋商资格。</w:t>
      </w:r>
    </w:p>
    <w:p w14:paraId="56124F12">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接受联合体的项目，两个以上的自然人、法人或者其他组织组成一个联合体，以一个供应商的身份共同参加政府采购活动的，联合体成员中任何一方存在不良信用记录的，视同联合体存在不良信用记录。</w:t>
      </w:r>
    </w:p>
    <w:p w14:paraId="2D0FDE73">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5.1.2符合性审查：依据</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的规定，由磋商小组从响应文件的有效性、完整性和对</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的响应程度进行审查，以确定是否对</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的实质性要求作出响应。</w:t>
      </w:r>
    </w:p>
    <w:p w14:paraId="0A099818">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5.1.3未通过资格审查或符合性审查的供应商，磋商小组将在苏采云系统中告知未通过资格审查或符合性审查的原因，评审结束后，磋商小组将不再告知未通过资格审查或符合性审查的原因。</w:t>
      </w:r>
    </w:p>
    <w:p w14:paraId="06BB1CA9">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5.2在详细评审之前，磋商小组将首先审查每份响应文件是否实质性响应了</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的要求。实质性响应的响应文件应该是与</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要求的条款、条件和规格相符，没有重大偏离或保留。</w:t>
      </w:r>
    </w:p>
    <w:p w14:paraId="12DB0106">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所谓重大偏离或保留是指与</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规定的实质性要求存在负偏离，或者在实质上与</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不一致，并且限制了合同中买方的权利或供应商的义务，纠正这些偏离或保留将会对其他实质性响应要求的供应商的竞争地位产生不公正的影响。重大偏离由磋商小组按照少数服从多数的原则认定。磋商小组决定响应文件的响应性只根据响应文件本身的内容，而不寻求外部的证据。</w:t>
      </w:r>
    </w:p>
    <w:p w14:paraId="1DED837F">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5.3未实质性响应</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的情形</w:t>
      </w:r>
    </w:p>
    <w:p w14:paraId="068ED40E">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5.3.1供应商在苏采云系统规定的时间内未成功解密电子响应文件的；</w:t>
      </w:r>
    </w:p>
    <w:p w14:paraId="764E8417">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5.3.2供应商未按照</w:t>
      </w:r>
      <w:r>
        <w:rPr>
          <w:rFonts w:hint="eastAsia" w:ascii="宋体" w:hAnsi="宋体" w:eastAsia="宋体" w:cs="宋体"/>
          <w:b/>
          <w:bCs/>
          <w:color w:val="auto"/>
          <w:sz w:val="24"/>
          <w:szCs w:val="24"/>
          <w:highlight w:val="none"/>
          <w:lang w:eastAsia="zh-CN"/>
        </w:rPr>
        <w:t>采购文件</w:t>
      </w:r>
      <w:r>
        <w:rPr>
          <w:rFonts w:hint="eastAsia" w:ascii="宋体" w:hAnsi="宋体" w:eastAsia="宋体" w:cs="宋体"/>
          <w:b/>
          <w:bCs/>
          <w:color w:val="auto"/>
          <w:sz w:val="24"/>
          <w:szCs w:val="24"/>
          <w:highlight w:val="none"/>
        </w:rPr>
        <w:t>要求上传电子响应文件的；</w:t>
      </w:r>
    </w:p>
    <w:p w14:paraId="3773DD0D">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5.3.3同一供应商提交两个（含两个）以上不同的响应文件或者最后报价的；</w:t>
      </w:r>
    </w:p>
    <w:p w14:paraId="7A406E12">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5.3.4</w:t>
      </w:r>
      <w:r>
        <w:rPr>
          <w:rFonts w:hint="eastAsia" w:ascii="宋体" w:hAnsi="宋体"/>
          <w:b/>
          <w:bCs w:val="0"/>
          <w:color w:val="auto"/>
          <w:sz w:val="24"/>
          <w:highlight w:val="none"/>
        </w:rPr>
        <w:t>不具备采购文件中规定的资格要求或未按采购文件规定的要求提供资格、资信证明文件的</w:t>
      </w:r>
      <w:r>
        <w:rPr>
          <w:rFonts w:hint="eastAsia" w:ascii="宋体" w:hAnsi="宋体" w:eastAsia="宋体" w:cs="宋体"/>
          <w:b/>
          <w:bCs/>
          <w:color w:val="auto"/>
          <w:sz w:val="24"/>
          <w:szCs w:val="24"/>
          <w:highlight w:val="none"/>
        </w:rPr>
        <w:t>；</w:t>
      </w:r>
    </w:p>
    <w:p w14:paraId="03D0B994">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5.3.5</w:t>
      </w:r>
      <w:r>
        <w:rPr>
          <w:rFonts w:hint="eastAsia" w:ascii="宋体" w:hAnsi="宋体"/>
          <w:b/>
          <w:bCs w:val="0"/>
          <w:color w:val="auto"/>
          <w:sz w:val="24"/>
          <w:highlight w:val="none"/>
        </w:rPr>
        <w:t>项目（标段）总报价超过本项目（标段）预算或最高限价的，最终报价高于首次报价</w:t>
      </w:r>
      <w:r>
        <w:rPr>
          <w:rFonts w:hint="eastAsia" w:ascii="宋体" w:hAnsi="宋体"/>
          <w:b/>
          <w:bCs w:val="0"/>
          <w:color w:val="auto"/>
          <w:sz w:val="24"/>
          <w:highlight w:val="none"/>
          <w:lang w:eastAsia="zh-CN"/>
        </w:rPr>
        <w:t>；</w:t>
      </w:r>
    </w:p>
    <w:p w14:paraId="28740CC4">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5.3.6不符合</w:t>
      </w:r>
      <w:r>
        <w:rPr>
          <w:rFonts w:hint="eastAsia" w:ascii="宋体" w:hAnsi="宋体" w:eastAsia="宋体" w:cs="宋体"/>
          <w:b/>
          <w:bCs/>
          <w:color w:val="auto"/>
          <w:sz w:val="24"/>
          <w:szCs w:val="24"/>
          <w:highlight w:val="none"/>
          <w:lang w:eastAsia="zh-CN"/>
        </w:rPr>
        <w:t>采购文件</w:t>
      </w:r>
      <w:r>
        <w:rPr>
          <w:rFonts w:hint="eastAsia" w:ascii="宋体" w:hAnsi="宋体" w:eastAsia="宋体" w:cs="宋体"/>
          <w:b/>
          <w:bCs/>
          <w:color w:val="auto"/>
          <w:sz w:val="24"/>
          <w:szCs w:val="24"/>
          <w:highlight w:val="none"/>
        </w:rPr>
        <w:t>中规定的实质性要求和条件的；</w:t>
      </w:r>
    </w:p>
    <w:p w14:paraId="05FC0B3D">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5.3.7供应商被“信用中国”网站（www.creditchina.gov.cn）列入失信被执行人、重大税收违法失信主体、政府采购严重违法失信行为记录名单</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或查询“信用中国”网站后发现供应商存在其他不符合《中华人民共和国政府采购法》第二十二条规定条件的信用记录；</w:t>
      </w:r>
    </w:p>
    <w:p w14:paraId="2CFC2348">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5.3.8响应文件中含有采购人不能接受的附加条件的；</w:t>
      </w:r>
    </w:p>
    <w:p w14:paraId="54BDE65C">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5.3.9磋商小组认定供应商的报价明显低于其他通过符合性审查供应商的报价，有可能影响服务质量或者不能诚信履约，且供应商不能应磋商小组要求在合理的时间内提供书面说明，并加盖CA电子公章（必要时磋商小组可要求供应商提交相关证明材料）证明其报价合理性的；</w:t>
      </w:r>
    </w:p>
    <w:p w14:paraId="48151668">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5.3.10</w:t>
      </w:r>
      <w:r>
        <w:rPr>
          <w:rFonts w:hint="eastAsia" w:ascii="宋体" w:hAnsi="宋体"/>
          <w:b/>
          <w:bCs w:val="0"/>
          <w:color w:val="auto"/>
          <w:sz w:val="24"/>
          <w:highlight w:val="none"/>
        </w:rPr>
        <w:t>响应文件未按采购文件规定的内容和要求填写的</w:t>
      </w:r>
      <w:r>
        <w:rPr>
          <w:rFonts w:hint="eastAsia" w:ascii="宋体" w:hAnsi="宋体" w:eastAsia="宋体" w:cs="宋体"/>
          <w:b/>
          <w:bCs/>
          <w:color w:val="auto"/>
          <w:sz w:val="24"/>
          <w:szCs w:val="24"/>
          <w:highlight w:val="none"/>
        </w:rPr>
        <w:t>；</w:t>
      </w:r>
    </w:p>
    <w:p w14:paraId="5883A7F0">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5.3.11</w:t>
      </w:r>
      <w:r>
        <w:rPr>
          <w:rFonts w:hint="eastAsia" w:ascii="宋体" w:hAnsi="宋体"/>
          <w:b/>
          <w:bCs w:val="0"/>
          <w:color w:val="auto"/>
          <w:sz w:val="24"/>
          <w:highlight w:val="none"/>
        </w:rPr>
        <w:t>响应文件未按要求签署、盖章的</w:t>
      </w:r>
      <w:r>
        <w:rPr>
          <w:rFonts w:hint="eastAsia" w:ascii="宋体" w:hAnsi="宋体"/>
          <w:b/>
          <w:bCs w:val="0"/>
          <w:color w:val="auto"/>
          <w:sz w:val="24"/>
          <w:highlight w:val="none"/>
          <w:lang w:eastAsia="zh-CN"/>
        </w:rPr>
        <w:t>。</w:t>
      </w:r>
    </w:p>
    <w:p w14:paraId="0463B754">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5.4未实质性响应</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的响应文件按无效响应处理。</w:t>
      </w:r>
    </w:p>
    <w:p w14:paraId="59DCAB2F">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5.5如果响应文件实质上没有响应</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的要求，磋商小组将予以拒绝，供应商不得通过修改或撤销不符合要求的偏离或保留而使其成为实质性响应的文件。</w:t>
      </w:r>
    </w:p>
    <w:p w14:paraId="368F118A">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5.6供应商在项目评审全过程中应</w:t>
      </w:r>
      <w:r>
        <w:rPr>
          <w:rFonts w:hint="eastAsia" w:ascii="宋体" w:hAnsi="宋体" w:eastAsia="宋体" w:cs="宋体"/>
          <w:color w:val="auto"/>
          <w:sz w:val="24"/>
          <w:szCs w:val="24"/>
          <w:highlight w:val="none"/>
          <w:lang w:eastAsia="zh-CN"/>
        </w:rPr>
        <w:t>保持通信畅通</w:t>
      </w:r>
      <w:r>
        <w:rPr>
          <w:rFonts w:hint="eastAsia" w:ascii="宋体" w:hAnsi="宋体" w:eastAsia="宋体" w:cs="宋体"/>
          <w:color w:val="auto"/>
          <w:sz w:val="24"/>
          <w:szCs w:val="24"/>
          <w:highlight w:val="none"/>
        </w:rPr>
        <w:t>，并安排专人与采购代理机构及磋商小组联系。</w:t>
      </w:r>
    </w:p>
    <w:p w14:paraId="6D08BAE5">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6.磋商程序及评审方法和评审标准</w:t>
      </w:r>
    </w:p>
    <w:p w14:paraId="167EE039">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6.1磋商程序</w:t>
      </w:r>
    </w:p>
    <w:p w14:paraId="6685AAEC">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6.1.1对于通过资格审查和符合性审查的供应商，磋商小组将集中与单一供应商分别进行磋商。</w:t>
      </w:r>
    </w:p>
    <w:p w14:paraId="409D3173">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在磋商过程中，磋商小组可能根据</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和磋商情况实质性变动的内容有：采购需求中的技术、服务要求以及合同草案条款。对</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作出的实质性变动是</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的有效组成部分，磋商小组将在苏采云系统中通知所有参加磋商的供应商。供应商应当按照</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的变动情况和磋商小组的要求在苏采云系统中重新提交响应文件，并加盖CA电子公章。</w:t>
      </w:r>
    </w:p>
    <w:p w14:paraId="2EA14D8F">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6.1.2</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能够详细列明采购标的的技术、服务要求的，磋商结束后，磋商小组将在苏采云系统要求所有实质性响应的供应商在规定时间内提交最后报价。本项目最后报价仅报总价，最后各项单价计算方法为：（最后报价总价/首次报价总价）*首次各项报价的单价。</w:t>
      </w:r>
    </w:p>
    <w:p w14:paraId="26D3387E">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不能详细列明采购标的的技术、服务要求，需经磋商由供应商提供最终设计方案或解决方案的，磋商结束后，磋商小组将按照少数服从多数的原则投票推荐3家以上供应商的设计方案或者解决方案，在苏采云系统中要求其在规定时间内提交最后报价。</w:t>
      </w:r>
    </w:p>
    <w:p w14:paraId="3509B732">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后报价是供应商响应文件的有效组成部分。符合《政府采购竞争性磋商采购方式管理暂行办法》第三条第一款第四项及《财政部关于竞争性磋商采购方式管理暂行办法有关问题的补充通知》（财库〔2015〕124号）规定情形的，提交最后报价的供应商可以为2家。</w:t>
      </w:r>
    </w:p>
    <w:p w14:paraId="0C0AE0CA">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6.1.3供应商未在磋商小组规定的时间内在苏采云系统中提交最后报价的视为放弃磋商，其响应文件按无效响应处理；最后报价格式表须加盖CA电子公章，否则视为未提交最后报价。已提交响应文件的供应商，在提交最后报价之前，可以根据磋商情况退出磋商。</w:t>
      </w:r>
    </w:p>
    <w:p w14:paraId="4E5B650E">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6.2评审方法和评审标准</w:t>
      </w:r>
    </w:p>
    <w:p w14:paraId="50681862">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6.2.1评审方法。经磋商确定最终采购需求和提交最后报价的供应商后，由磋商小组采用综合评分法对提交最后报价的供应商的响应文件和最后报价进行综合评分。</w:t>
      </w:r>
    </w:p>
    <w:p w14:paraId="3F4B728B">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所述综合评分法，是指响应文件满足</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全部实质性要求且按评审因素的量化指标评审得分最高的供应商为成交候选供应商的评审方法。评审时，磋商小组各成员独立对每个有效响应的文件进行评价、打分，然后汇总每个供应商每项评分因素的得分。</w:t>
      </w:r>
    </w:p>
    <w:p w14:paraId="162EF75D">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6.2.2相同品牌产品的处理方法</w:t>
      </w:r>
    </w:p>
    <w:p w14:paraId="0D5F29DD">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采用最低评标价法的采购项目，提供相同品牌产品的不同投标供应商参加同一合同项下投标的，以其中通过资格审查、符合性审查且报价最低的参加评标；报价相同的，由采购人采取随机抽取方式确定，其他投标无效。</w:t>
      </w:r>
    </w:p>
    <w:p w14:paraId="3F70064D">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val="en-US" w:eastAsia="zh-CN"/>
        </w:rPr>
        <w:t>使用综合评分法的采购项目，提供相同品牌产品且通过资格审查、符合性审查的不同投标供应商参加同一合同项下投标的，按一家投标供应商计算，评审后得分最高的同品牌投标供应商获得成交供应商推荐资格；评审得分相同的，</w:t>
      </w:r>
      <w:r>
        <w:rPr>
          <w:rFonts w:hint="eastAsia" w:ascii="宋体" w:hAnsi="宋体" w:eastAsia="宋体" w:cs="宋体"/>
          <w:color w:val="auto"/>
          <w:spacing w:val="0"/>
          <w:sz w:val="24"/>
          <w:szCs w:val="24"/>
          <w:highlight w:val="none"/>
          <w:lang w:bidi="ar-SA"/>
        </w:rPr>
        <w:t>采取随机抽取方式</w:t>
      </w:r>
      <w:r>
        <w:rPr>
          <w:rFonts w:hint="eastAsia" w:ascii="宋体" w:hAnsi="宋体" w:eastAsia="宋体" w:cs="宋体"/>
          <w:color w:val="auto"/>
          <w:spacing w:val="0"/>
          <w:sz w:val="24"/>
          <w:szCs w:val="24"/>
          <w:lang w:val="en-US" w:eastAsia="zh-CN"/>
        </w:rPr>
        <w:t>确定，其他同品牌投标供应商不作为中标候选人。</w:t>
      </w:r>
    </w:p>
    <w:p w14:paraId="3B26EA58">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lang w:val="en-US" w:eastAsia="zh-CN"/>
        </w:rPr>
        <w:t>非单一产品采购项目，磋商文件中将载明其中的核心产品。多家投标供应商提供的核心产品品牌相同的，按前两款规定处理。</w:t>
      </w:r>
    </w:p>
    <w:p w14:paraId="2543D7FA">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评审标准</w:t>
      </w:r>
    </w:p>
    <w:p w14:paraId="0D17C40C">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详见本</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第五章规定。</w:t>
      </w:r>
    </w:p>
    <w:p w14:paraId="36DCA557">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6.3采购活动终止的情况</w:t>
      </w:r>
    </w:p>
    <w:p w14:paraId="1A184D0C">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出现下列情形之一的，本次竞争性磋商采购活动将被终止：</w:t>
      </w:r>
    </w:p>
    <w:p w14:paraId="08BFAB32">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6.3.1因情况变化，不再符合规定的竞争性磋商采购方式适用情形的。</w:t>
      </w:r>
    </w:p>
    <w:p w14:paraId="793CDEE3">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6.3.2出现影响采购公正性的违法、违规行为的。</w:t>
      </w:r>
    </w:p>
    <w:p w14:paraId="5040994A">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6.3.3除本</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第二章第6.1.2条第三款规定的情形外，在采购过程中符合要求的供应商或者最后报价未超过采购预算的供应商不足3家的。</w:t>
      </w:r>
    </w:p>
    <w:p w14:paraId="22574C33">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6.3.4在苏采云系统规定时间内成功解密电子响应文件的供应商不足3家的。</w:t>
      </w:r>
    </w:p>
    <w:p w14:paraId="41F55BC2">
      <w:pPr>
        <w:keepNext w:val="0"/>
        <w:keepLines w:val="0"/>
        <w:pageBreakBefore w:val="0"/>
        <w:widowControl w:val="0"/>
        <w:kinsoku/>
        <w:wordWrap/>
        <w:overflowPunct/>
        <w:topLinePunct w:val="0"/>
        <w:autoSpaceDE/>
        <w:autoSpaceDN/>
        <w:bidi w:val="0"/>
        <w:adjustRightInd/>
        <w:snapToGrid/>
        <w:spacing w:line="360" w:lineRule="auto"/>
        <w:ind w:firstLine="422"/>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五、成交</w:t>
      </w:r>
    </w:p>
    <w:p w14:paraId="1A9632E6">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1.确定成交单位</w:t>
      </w:r>
    </w:p>
    <w:p w14:paraId="046E3DE8">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磋商小组根据综合评分情况，按照评审得分由高到低顺序推荐3名成交候选供应商，并编写评审报告。评审得分相同的，按照最后报价由低到高的顺序推荐。评审得分且最后报价相同的，按照技术指标优劣顺序推荐。</w:t>
      </w:r>
    </w:p>
    <w:p w14:paraId="7E498782">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1.2采购人从评审报告提出的成交候选供应商中，按照排序由高到低的原则确定成交供应商。采购</w:t>
      </w:r>
      <w:r>
        <w:rPr>
          <w:rFonts w:hint="eastAsia" w:ascii="宋体" w:hAnsi="宋体" w:eastAsia="宋体" w:cs="宋体"/>
          <w:color w:val="auto"/>
          <w:sz w:val="24"/>
          <w:szCs w:val="24"/>
          <w:highlight w:val="none"/>
          <w:lang w:eastAsia="zh-CN"/>
        </w:rPr>
        <w:t>人在确定成交供应商</w:t>
      </w:r>
      <w:r>
        <w:rPr>
          <w:rFonts w:hint="eastAsia" w:ascii="宋体" w:hAnsi="宋体" w:eastAsia="宋体" w:cs="宋体"/>
          <w:color w:val="auto"/>
          <w:sz w:val="24"/>
          <w:szCs w:val="24"/>
          <w:highlight w:val="none"/>
        </w:rPr>
        <w:t>后，采购人将在“</w:t>
      </w:r>
      <w:r>
        <w:rPr>
          <w:rFonts w:hint="eastAsia" w:ascii="宋体" w:hAnsi="宋体" w:eastAsia="宋体" w:cs="宋体"/>
          <w:color w:val="auto"/>
          <w:sz w:val="24"/>
          <w:szCs w:val="24"/>
          <w:highlight w:val="none"/>
          <w:lang w:val="en-US" w:eastAsia="zh-CN"/>
        </w:rPr>
        <w:t>江苏政府采购网</w:t>
      </w:r>
      <w:r>
        <w:rPr>
          <w:rFonts w:hint="eastAsia" w:ascii="宋体" w:hAnsi="宋体" w:eastAsia="宋体" w:cs="宋体"/>
          <w:color w:val="auto"/>
          <w:sz w:val="24"/>
          <w:szCs w:val="24"/>
          <w:highlight w:val="none"/>
        </w:rPr>
        <w:t>”发布成交结果公告，公告期限为1个工作日。</w:t>
      </w:r>
    </w:p>
    <w:p w14:paraId="64C67088">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1.3若有充分证据证明，成交供应商出现下列情况之一的，一经查实，将被取消成交资格：</w:t>
      </w:r>
    </w:p>
    <w:p w14:paraId="052E79C4">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1.3.1提供虚假材料牟取成交的。</w:t>
      </w:r>
    </w:p>
    <w:p w14:paraId="040E79C0">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1.3.2与评审专家、采购人、其他供应商或者采购代理机构工作人员恶意串通的。</w:t>
      </w:r>
    </w:p>
    <w:p w14:paraId="77DC04D9">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1.3.3向评审专家、采购人或采购代理机构工作人员行贿或者提供其他不正当利益的。</w:t>
      </w:r>
    </w:p>
    <w:p w14:paraId="2C415CA8">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1.3.4磋商小组认定供应商的报价明显低于其他通过符合性审查供应商的报价，有可能影响产品质量或者不能诚信履约，且供应商不能应磋商小组要求在合理的时间内提供书面说明（必要时磋商小组可要求供应商提交相关证明材料）证明其报价合理性的；</w:t>
      </w:r>
    </w:p>
    <w:p w14:paraId="6C6FFFCD">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1.3.5不满足本</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规定的实质性要求，但在评审过程中又未被磋商小组发现的。</w:t>
      </w:r>
    </w:p>
    <w:p w14:paraId="5BBE6AB9">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1.3.6成交后无正当理由拒不与采购人签订政府采购合同或者未按照</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确定的事项签订政府采购合同的。</w:t>
      </w:r>
    </w:p>
    <w:p w14:paraId="4F178A66">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2.质疑处理</w:t>
      </w:r>
    </w:p>
    <w:p w14:paraId="2C6DF096">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2.1提出质疑的供应商应当是参与所质疑项目采购活动的供应商。潜在供应商依法获取其可质疑的采购文件的，可以对采购文件提出质疑。</w:t>
      </w:r>
    </w:p>
    <w:p w14:paraId="0593694A">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供应商认为采购文件、采购过程和采购结果使自己的权益受到损害的，可以在知道或应知其权益受到损害之日起七个工作日内，以书面形式根据下述条款的规定向采购人和采购代理机构提出质疑。上述应知其权益受到损害之日，是指：</w:t>
      </w:r>
    </w:p>
    <w:p w14:paraId="0EE0DD42">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2.2.1对可以质疑的采购文件提出质疑的，为收到采购文件之日或者采购文件公告期限届满之日。</w:t>
      </w:r>
    </w:p>
    <w:p w14:paraId="2156FD2C">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2.2.2对采购过程提出质疑的，为各采购程序环节结束之日。</w:t>
      </w:r>
    </w:p>
    <w:p w14:paraId="68CE6EF1">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2.2.3对成交结果提出质疑的，为成交结果公告期限届满之日。</w:t>
      </w:r>
    </w:p>
    <w:p w14:paraId="4229AFB1">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供应商应当在法定质疑期内一次性提出针对同一采购程序环节的质疑。供应商如在法定期限内对同一采购程序环节提出多次质疑的，采购人将只对供应商第一次质疑作出答复。</w:t>
      </w:r>
    </w:p>
    <w:p w14:paraId="21DECF3F">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2.3质疑函必须按照本</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中《质疑函范本》要求的格式和内容进行填写。</w:t>
      </w:r>
    </w:p>
    <w:p w14:paraId="08C41F02">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供应商（含潜在供应商）对采购方式、采购需求、供应商资格条件、评审方法与评审标准、合同文本的询问、质疑请向采购人提出，由采购人负责答复。供应商对其他事项的询问、质疑请向采购代理机构提出，由采购代理机构负责答复。</w:t>
      </w:r>
    </w:p>
    <w:p w14:paraId="07FCBE30">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采购人及采购代理机构只接收以纸质原件形式送达的质疑。</w:t>
      </w:r>
    </w:p>
    <w:p w14:paraId="1994D99B">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采购人质疑接收人及联系方式见本</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第一章。</w:t>
      </w:r>
    </w:p>
    <w:p w14:paraId="18D4DE30">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2.5以下情形的质疑不予受理</w:t>
      </w:r>
    </w:p>
    <w:p w14:paraId="04A265C5">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2.5.1内容不符合《政府采购质疑和投诉办法》第十二条规定的质疑。</w:t>
      </w:r>
    </w:p>
    <w:p w14:paraId="3E79A45D">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2.5.2超出政府采购法定期限的质疑。</w:t>
      </w:r>
    </w:p>
    <w:p w14:paraId="799A797E">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2.5.3以传真、电子邮件等方式递交的非原件形式的质疑。</w:t>
      </w:r>
    </w:p>
    <w:p w14:paraId="3833A4ED">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2.5.4未参加磋商活动的供应商或在磋商活动中自身权益未受到损害的供应商所提出的质疑。</w:t>
      </w:r>
    </w:p>
    <w:p w14:paraId="4682A8A3">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2.5.5供应商组成联合体参加磋商，联合体中任何一方或多方未按要求签字、盖章、加盖公章的质疑。</w:t>
      </w:r>
    </w:p>
    <w:p w14:paraId="0936138D">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供应商提出书面质疑必须有理、有据，不得捏造事实、提供虚假材料进行恶意质疑。否则，一经查实，采购人有权依据政府采购的有关规定，报请政府采购监管部门对该供应商进行相应的行政处罚和记录该供应商的失信信息。</w:t>
      </w:r>
    </w:p>
    <w:p w14:paraId="2306417E">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3.成交通知书</w:t>
      </w:r>
    </w:p>
    <w:p w14:paraId="292F9995">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成交结果确定后，采购人将向成交供应商发出成交通知书。请成交供应商在成交结果公告届满之日起30日内，使用CA数字证书登录苏采云系统及时下载成交通知书。因系统存储空间有限，自成交结果公告届满之日起30日后，苏采云系统不再保证提供下载成交通知书服务，因未及时下载而造成的不利后果由成交供应商自行承担。</w:t>
      </w:r>
    </w:p>
    <w:p w14:paraId="313185C1">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3.2成交通知书将是合同的一个组成部分。对采购人和成交供应商均具有法律效力。成交通知书发出后，采购人改变成交结果的，或者成交供应商放弃成交项目的，应当依法承担法律责任。</w:t>
      </w:r>
      <w:bookmarkEnd w:id="98"/>
      <w:bookmarkEnd w:id="99"/>
      <w:bookmarkEnd w:id="100"/>
    </w:p>
    <w:p w14:paraId="66AE2DCF">
      <w:pPr>
        <w:keepNext w:val="0"/>
        <w:keepLines w:val="0"/>
        <w:pageBreakBefore w:val="0"/>
        <w:widowControl w:val="0"/>
        <w:kinsoku/>
        <w:wordWrap/>
        <w:overflowPunct/>
        <w:topLinePunct w:val="0"/>
        <w:autoSpaceDE/>
        <w:autoSpaceDN/>
        <w:bidi w:val="0"/>
        <w:adjustRightInd/>
        <w:snapToGrid/>
        <w:spacing w:line="360" w:lineRule="auto"/>
        <w:ind w:firstLine="422"/>
        <w:textAlignment w:val="auto"/>
        <w:rPr>
          <w:rFonts w:hint="eastAsia" w:ascii="宋体" w:hAnsi="宋体" w:eastAsia="宋体" w:cs="宋体"/>
          <w:b/>
          <w:bCs/>
          <w:color w:val="auto"/>
          <w:sz w:val="24"/>
          <w:szCs w:val="24"/>
          <w:highlight w:val="none"/>
        </w:rPr>
      </w:pPr>
      <w:bookmarkStart w:id="101" w:name="_Toc16938553"/>
      <w:bookmarkStart w:id="102" w:name="_Toc20823309"/>
      <w:bookmarkStart w:id="103" w:name="_Toc513029237"/>
      <w:r>
        <w:rPr>
          <w:rFonts w:hint="eastAsia" w:ascii="宋体" w:hAnsi="宋体" w:eastAsia="宋体" w:cs="宋体"/>
          <w:b/>
          <w:bCs/>
          <w:color w:val="auto"/>
          <w:sz w:val="24"/>
          <w:szCs w:val="24"/>
          <w:highlight w:val="none"/>
        </w:rPr>
        <w:t>六、签订、履行合同</w:t>
      </w:r>
    </w:p>
    <w:p w14:paraId="30D44E4B">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.履约保证金：</w:t>
      </w:r>
    </w:p>
    <w:p w14:paraId="44549EF8">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.1签订合同前，成交供应商应按竞争性磋商文件规定向采购人提交履约保证金。</w:t>
      </w:r>
    </w:p>
    <w:p w14:paraId="367A8C97">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.2签订合同后，如成交供应商不按合同履行约定的，则其全部履约保证金不予退还，履约保证金不足以赔偿损失的，按实际损失赔偿。</w:t>
      </w:r>
    </w:p>
    <w:p w14:paraId="4F4C5819">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.3履约保证金金额：成交金额的</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w:t>
      </w:r>
    </w:p>
    <w:p w14:paraId="3C630087">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履约保证金的递交：签订合同时递交，采用支票、汇票、本票或者金融机构、担保机构出具的保函、保证保险等非现金形式；</w:t>
      </w:r>
    </w:p>
    <w:p w14:paraId="3DD44396">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履约保证金退还时间：履约保证金在</w:t>
      </w:r>
      <w:r>
        <w:rPr>
          <w:rFonts w:hint="eastAsia" w:ascii="宋体" w:hAnsi="宋体" w:eastAsia="宋体" w:cs="宋体"/>
          <w:color w:val="auto"/>
          <w:sz w:val="24"/>
          <w:szCs w:val="24"/>
          <w:highlight w:val="none"/>
          <w:lang w:val="en-US" w:eastAsia="zh-CN"/>
        </w:rPr>
        <w:t>项目验收合格</w:t>
      </w:r>
      <w:r>
        <w:rPr>
          <w:rFonts w:hint="eastAsia" w:ascii="宋体" w:hAnsi="宋体" w:eastAsia="宋体" w:cs="宋体"/>
          <w:color w:val="auto"/>
          <w:sz w:val="24"/>
          <w:szCs w:val="24"/>
          <w:highlight w:val="none"/>
        </w:rPr>
        <w:t>扣除成交供应商违约金罚金等费用后，无息返还剩余的履约保证金</w:t>
      </w:r>
      <w:r>
        <w:rPr>
          <w:rFonts w:hint="eastAsia" w:ascii="宋体" w:hAnsi="宋体" w:eastAsia="宋体" w:cs="宋体"/>
          <w:color w:val="auto"/>
          <w:sz w:val="24"/>
          <w:szCs w:val="24"/>
          <w:highlight w:val="none"/>
          <w:lang w:eastAsia="zh-CN"/>
        </w:rPr>
        <w:t>。</w:t>
      </w:r>
    </w:p>
    <w:p w14:paraId="49ADF035">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2.签订合同</w:t>
      </w:r>
    </w:p>
    <w:p w14:paraId="3912DC80">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2.l成交供应商应当在成交通知书发出之日起30日内，按照</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确定的事项与采购人签订政府采购合同。</w:t>
      </w:r>
    </w:p>
    <w:p w14:paraId="717DE751">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、成交供应商的响应文件及磋商过程中有关澄清、承诺文件均应作为合同附件。</w:t>
      </w:r>
    </w:p>
    <w:p w14:paraId="1A142A19">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3.标的物的追加</w:t>
      </w:r>
    </w:p>
    <w:p w14:paraId="0654D1CB">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政府采购合同履行中，采购人需追加与合同标的相同的货物、服务（包含与货物相关的服务及与服务相关的货物）的，在不改变合同其他条款的前提下，可以与成交供应商协商签订补充合同，但所有补充合同的采购金额不超过原合同金额的10%。</w:t>
      </w:r>
    </w:p>
    <w:p w14:paraId="0C49EA7F">
      <w:pPr>
        <w:keepNext w:val="0"/>
        <w:keepLines w:val="0"/>
        <w:pageBreakBefore w:val="0"/>
        <w:widowControl w:val="0"/>
        <w:kinsoku/>
        <w:wordWrap/>
        <w:overflowPunct/>
        <w:topLinePunct w:val="0"/>
        <w:autoSpaceDE/>
        <w:autoSpaceDN/>
        <w:bidi w:val="0"/>
        <w:adjustRightInd/>
        <w:snapToGrid/>
        <w:spacing w:line="360" w:lineRule="auto"/>
        <w:ind w:firstLine="422"/>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七、其他事项说明：（落实的相关政策）</w:t>
      </w:r>
      <w:bookmarkEnd w:id="101"/>
      <w:bookmarkEnd w:id="102"/>
      <w:bookmarkEnd w:id="103"/>
    </w:p>
    <w:p w14:paraId="352D8A47">
      <w:pPr>
        <w:keepNext w:val="0"/>
        <w:keepLines w:val="0"/>
        <w:pageBreakBefore w:val="0"/>
        <w:widowControl w:val="0"/>
        <w:kinsoku/>
        <w:wordWrap/>
        <w:overflowPunct/>
        <w:topLinePunct w:val="0"/>
        <w:autoSpaceDE/>
        <w:autoSpaceDN/>
        <w:bidi w:val="0"/>
        <w:adjustRightInd/>
        <w:snapToGrid/>
        <w:spacing w:line="360" w:lineRule="auto"/>
        <w:ind w:firstLine="422"/>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采购项目需要落实的政府采购政策：依据《中华人民共和国政府采购法》《中华人民共和国政府采购法实施条例》和《政府采购竞争性磋商采购方式管理办法》的有关规定，落实政府采购政策。</w:t>
      </w:r>
    </w:p>
    <w:p w14:paraId="11636667">
      <w:pPr>
        <w:keepNext w:val="0"/>
        <w:keepLines w:val="0"/>
        <w:pageBreakBefore w:val="0"/>
        <w:widowControl w:val="0"/>
        <w:tabs>
          <w:tab w:val="left" w:pos="900"/>
        </w:tabs>
        <w:spacing w:line="360" w:lineRule="auto"/>
        <w:ind w:firstLine="480"/>
        <w:rPr>
          <w:rFonts w:hint="eastAsia"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1.</w:t>
      </w:r>
      <w:r>
        <w:rPr>
          <w:rFonts w:hint="eastAsia" w:ascii="宋体" w:hAnsi="宋体" w:eastAsia="宋体" w:cs="宋体"/>
          <w:color w:val="000000"/>
          <w:sz w:val="24"/>
          <w:szCs w:val="24"/>
          <w:highlight w:val="none"/>
          <w:lang w:val="en-US" w:eastAsia="zh-CN"/>
        </w:rPr>
        <w:t>参加报价的中小企业，应当按照《政府采购促进中小企业发展管理办法》（财库〔2020〕46号）的规定提供《中小企业声明函》（中小企业划型标准详见《工业和信息化部、国家统计局、国家发展和改革委员会、财政部关于印发中小企业划型标准规定的通知》工信部联企业〔2011〕300号），格式见附件。若不提供，视为资格审查不合格。</w:t>
      </w:r>
    </w:p>
    <w:p w14:paraId="6B50826B">
      <w:pPr>
        <w:keepNext w:val="0"/>
        <w:keepLines w:val="0"/>
        <w:pageBreakBefore w:val="0"/>
        <w:widowControl w:val="0"/>
        <w:tabs>
          <w:tab w:val="left" w:pos="900"/>
        </w:tabs>
        <w:spacing w:line="360" w:lineRule="auto"/>
        <w:ind w:firstLine="480"/>
        <w:rPr>
          <w:rFonts w:hint="eastAsia"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2.</w:t>
      </w:r>
      <w:r>
        <w:rPr>
          <w:rFonts w:hint="eastAsia" w:ascii="宋体" w:hAnsi="宋体" w:eastAsia="宋体" w:cs="宋体"/>
          <w:color w:val="000000"/>
          <w:sz w:val="24"/>
          <w:szCs w:val="24"/>
          <w:highlight w:val="none"/>
          <w:lang w:val="en-US" w:eastAsia="zh-CN"/>
        </w:rPr>
        <w:t>根据《财政部 司法部关于政府采购支持监狱企业发展有关问题的通知》（财库〔2014〕68号）要求，监狱和戒毒企业视同小型、微型企业，享受与小型、微型企业产品价格同比例扣除的优惠政策，不重复享受政策。监狱和戒毒企业应当提供由省级以上监狱管理局、戒毒管理局（含新疆生产建设兵团）出具的属于监狱企业的证明文件。若不提供，视为资格审查不合格。（如有，非监狱和戒毒企业不需提供）</w:t>
      </w:r>
    </w:p>
    <w:p w14:paraId="093C2A1A">
      <w:pPr>
        <w:keepNext w:val="0"/>
        <w:keepLines w:val="0"/>
        <w:pageBreakBefore w:val="0"/>
        <w:widowControl w:val="0"/>
        <w:tabs>
          <w:tab w:val="left" w:pos="900"/>
        </w:tabs>
        <w:spacing w:line="360" w:lineRule="auto"/>
        <w:ind w:firstLine="480"/>
        <w:rPr>
          <w:rFonts w:hint="eastAsia" w:ascii="宋体" w:hAnsi="宋体" w:eastAsia="宋体" w:cs="宋体"/>
          <w:color w:val="auto"/>
          <w:sz w:val="24"/>
          <w:szCs w:val="24"/>
          <w:highlight w:val="none"/>
        </w:rPr>
      </w:pPr>
      <w:r>
        <w:rPr>
          <w:rFonts w:hint="eastAsia" w:ascii="宋体" w:hAnsi="宋体" w:cs="宋体"/>
          <w:color w:val="000000"/>
          <w:sz w:val="24"/>
          <w:szCs w:val="24"/>
          <w:highlight w:val="none"/>
          <w:lang w:val="en-US" w:eastAsia="zh-CN"/>
        </w:rPr>
        <w:t>3.</w:t>
      </w:r>
      <w:r>
        <w:rPr>
          <w:rFonts w:hint="eastAsia" w:ascii="宋体" w:hAnsi="宋体" w:eastAsia="宋体" w:cs="宋体"/>
          <w:color w:val="000000"/>
          <w:sz w:val="24"/>
          <w:szCs w:val="24"/>
          <w:highlight w:val="none"/>
          <w:lang w:val="en-US" w:eastAsia="zh-CN"/>
        </w:rPr>
        <w:t>根据《关于促进残疾人就业政府采购政策的通知》（财库〔2017〕141号）要求，残疾人福利性单位视同小型、微型企业，享受与小型、微型企业产品价格同比例扣除的优惠政策。残疾人福利性单位属于小型、微型企业的，不重复享受政策。符合条件的残疾人福利性单位应当提供《残疾人福利性单位声明函》，格式见附件。若不提供，视为资格审查不合格。（如有，非残疾人福利性单位不需提供）</w:t>
      </w:r>
    </w:p>
    <w:p w14:paraId="493F92FA">
      <w:pPr>
        <w:keepNext w:val="0"/>
        <w:keepLines w:val="0"/>
        <w:pageBreakBefore w:val="0"/>
        <w:widowControl w:val="0"/>
        <w:kinsoku/>
        <w:wordWrap/>
        <w:overflowPunct/>
        <w:topLinePunct w:val="0"/>
        <w:autoSpaceDE/>
        <w:autoSpaceDN/>
        <w:bidi w:val="0"/>
        <w:adjustRightInd/>
        <w:snapToGrid/>
        <w:spacing w:line="360" w:lineRule="auto"/>
        <w:ind w:firstLine="422"/>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采购本国产品的支持政策</w:t>
      </w:r>
    </w:p>
    <w:p w14:paraId="51830ED3">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61142CA">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1CAD3E04">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本项目政府采购活动中既有本国产品又有非本国产品参与竞争的，依法对本国产品给予价格评审优惠，对本国产品的报价给予</w:t>
      </w:r>
      <w:r>
        <w:rPr>
          <w:rFonts w:hint="eastAsia" w:ascii="宋体" w:hAnsi="宋体" w:eastAsia="宋体" w:cs="宋体"/>
          <w:b/>
          <w:bCs/>
          <w:color w:val="auto"/>
          <w:sz w:val="24"/>
          <w:szCs w:val="24"/>
          <w:highlight w:val="none"/>
        </w:rPr>
        <w:t>20%</w:t>
      </w:r>
      <w:r>
        <w:rPr>
          <w:rFonts w:hint="eastAsia" w:ascii="宋体" w:hAnsi="宋体" w:eastAsia="宋体" w:cs="宋体"/>
          <w:color w:val="auto"/>
          <w:sz w:val="24"/>
          <w:szCs w:val="24"/>
          <w:highlight w:val="none"/>
        </w:rPr>
        <w:t>的价格扣除，用扣除后的价格参与评审。</w:t>
      </w:r>
    </w:p>
    <w:p w14:paraId="744C1735">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当采购项目或者采购包中含有多种产品，供应商为该采购项目或者采购包提供的符合本国产品标准的产品成本之和占该供应商提供的全部产品成本之和的比例达到80%以上时（供应商需在“投标分项报价表”中填写比例数值），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7A1B8523">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供应商需按照</w:t>
      </w:r>
      <w:r>
        <w:rPr>
          <w:rFonts w:hint="eastAsia" w:ascii="宋体" w:hAnsi="宋体" w:eastAsia="宋体" w:cs="宋体"/>
          <w:color w:val="auto"/>
          <w:sz w:val="24"/>
          <w:szCs w:val="24"/>
          <w:highlight w:val="none"/>
          <w:lang w:eastAsia="zh-CN"/>
        </w:rPr>
        <w:t>磋商文件</w:t>
      </w:r>
      <w:r>
        <w:rPr>
          <w:rFonts w:hint="eastAsia" w:ascii="宋体" w:hAnsi="宋体" w:eastAsia="宋体" w:cs="宋体"/>
          <w:color w:val="auto"/>
          <w:sz w:val="24"/>
          <w:szCs w:val="24"/>
          <w:highlight w:val="none"/>
        </w:rPr>
        <w:t>的要求提供《关于符合本国产品标准的声明函》（以下简称《声明函》），如不提供将不享受本国产品价格评审优惠。</w:t>
      </w:r>
    </w:p>
    <w:p w14:paraId="428A1D31">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供应商需在《声明函》中逐一、准确填写产品名称、厂名、生产厂址三项信息（《声明函》中用斜线划除的地方无需填写），三项信息中任意一项未填写的视为该项产品不符合本国产品标准，不享受本国产品价格评审优惠。</w:t>
      </w:r>
    </w:p>
    <w:p w14:paraId="7893E5E6">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评标过程中，如发现供应商在《声明函》内容含义不明确、同类事项与投标（响应）文件表述不一致或者有明显文字错误等情况的，评标委员会应当以书面形式要求供应商作出必要的澄清、说明或者补正。经澄清、说明或者补正的《声明函》仍然不符合《国务院办公厅关于在政府采购中实施本国产品标准及相关政策的通知》（国办发〔2025〕34号）和</w:t>
      </w:r>
      <w:r>
        <w:rPr>
          <w:rFonts w:hint="eastAsia" w:ascii="宋体" w:hAnsi="宋体" w:eastAsia="宋体" w:cs="宋体"/>
          <w:color w:val="auto"/>
          <w:sz w:val="24"/>
          <w:szCs w:val="24"/>
          <w:highlight w:val="none"/>
          <w:lang w:eastAsia="zh-CN"/>
        </w:rPr>
        <w:t>磋商文件</w:t>
      </w:r>
      <w:r>
        <w:rPr>
          <w:rFonts w:hint="eastAsia" w:ascii="宋体" w:hAnsi="宋体" w:eastAsia="宋体" w:cs="宋体"/>
          <w:color w:val="auto"/>
          <w:sz w:val="24"/>
          <w:szCs w:val="24"/>
          <w:highlight w:val="none"/>
        </w:rPr>
        <w:t>规定的，供应商提供的相关产品视为不符合本国产品标准。</w:t>
      </w:r>
    </w:p>
    <w:p w14:paraId="4F54E01A">
      <w:pPr>
        <w:keepNext w:val="0"/>
        <w:keepLines w:val="0"/>
        <w:pageBreakBefore w:val="0"/>
        <w:widowControl w:val="0"/>
        <w:spacing w:line="440" w:lineRule="exact"/>
        <w:ind w:firstLine="480"/>
        <w:rPr>
          <w:rFonts w:hint="eastAsia" w:ascii="宋体" w:hAnsi="宋体" w:eastAsia="宋体" w:cs="宋体"/>
          <w:b/>
          <w:bCs/>
          <w:color w:val="auto"/>
          <w:spacing w:val="0"/>
          <w:sz w:val="24"/>
          <w:szCs w:val="24"/>
          <w:highlight w:val="none"/>
          <w:lang w:bidi="ar-SA"/>
        </w:rPr>
      </w:pPr>
      <w:r>
        <w:rPr>
          <w:rFonts w:hint="eastAsia" w:ascii="宋体" w:hAnsi="宋体" w:eastAsia="宋体" w:cs="宋体"/>
          <w:b/>
          <w:bCs/>
          <w:color w:val="auto"/>
          <w:sz w:val="24"/>
          <w:szCs w:val="24"/>
          <w:highlight w:val="none"/>
          <w:lang w:val="en-US" w:eastAsia="zh-CN"/>
        </w:rPr>
        <w:t>（三）</w:t>
      </w:r>
      <w:r>
        <w:rPr>
          <w:rFonts w:hint="eastAsia" w:ascii="宋体" w:hAnsi="宋体" w:eastAsia="宋体" w:cs="宋体"/>
          <w:b/>
          <w:bCs/>
          <w:color w:val="auto"/>
          <w:spacing w:val="0"/>
          <w:sz w:val="24"/>
          <w:szCs w:val="24"/>
          <w:highlight w:val="none"/>
          <w:lang w:bidi="ar-SA"/>
        </w:rPr>
        <w:t>节能产品、环境标志产品</w:t>
      </w:r>
    </w:p>
    <w:p w14:paraId="7D83700A">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按照《关于调整优化节能产品、环境标志产品政府采购执行机制的通知》（财库〔2019〕9号）、《关于印发环境标志产品政府采购品目清单的通知》（财库〔2019〕18号）、《市场监管总局关于发布参与实施政府采购节能产品、环境标志产品认证机构名录的公告》（2019年第16号）等文件要求，对政府采购环境标志品目清单内的产品实施优先采购的评标方法。</w:t>
      </w:r>
    </w:p>
    <w:p w14:paraId="665A9818">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拟采购的产品属于品目清单范围的，采购人将依据国家确定的认证机构出具的、处于有效期之内的节能产品、环境标志产品认证证书，对获得证书的产品实施政府优先采购或强制采购。</w:t>
      </w:r>
    </w:p>
    <w:p w14:paraId="5897DCBC">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拟采购的产品属于政府强制采购的节能产品品目清单范围的，</w:t>
      </w:r>
      <w:r>
        <w:rPr>
          <w:rFonts w:hint="eastAsia" w:ascii="宋体" w:hAnsi="宋体" w:eastAsia="宋体" w:cs="宋体"/>
          <w:color w:val="auto"/>
          <w:sz w:val="24"/>
          <w:szCs w:val="24"/>
          <w:highlight w:val="none"/>
          <w:lang w:eastAsia="zh-CN"/>
        </w:rPr>
        <w:t>投标供应商</w:t>
      </w:r>
      <w:r>
        <w:rPr>
          <w:rFonts w:hint="eastAsia" w:ascii="宋体" w:hAnsi="宋体" w:eastAsia="宋体" w:cs="宋体"/>
          <w:color w:val="auto"/>
          <w:sz w:val="24"/>
          <w:szCs w:val="24"/>
          <w:highlight w:val="none"/>
        </w:rPr>
        <w:t>须提供国家确定的认证机构出具的、处于有效期之内的节能产品认证证书，否则其</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作无效标处理。</w:t>
      </w:r>
    </w:p>
    <w:p w14:paraId="7B989A76">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采购人拟采购的产品属于优先采购的节能环保品目清单范围的，</w:t>
      </w:r>
      <w:r>
        <w:rPr>
          <w:rFonts w:hint="eastAsia" w:ascii="宋体" w:hAnsi="宋体" w:eastAsia="宋体" w:cs="宋体"/>
          <w:color w:val="auto"/>
          <w:sz w:val="24"/>
          <w:szCs w:val="24"/>
          <w:highlight w:val="none"/>
          <w:lang w:val="en-US" w:eastAsia="zh-CN"/>
        </w:rPr>
        <w:t>优先采购的具体规定见第五章《评标方法与评标标准》</w:t>
      </w:r>
      <w:r>
        <w:rPr>
          <w:rFonts w:hint="eastAsia" w:ascii="宋体" w:hAnsi="宋体" w:eastAsia="宋体" w:cs="宋体"/>
          <w:color w:val="auto"/>
          <w:sz w:val="24"/>
          <w:szCs w:val="24"/>
          <w:highlight w:val="none"/>
          <w:lang w:eastAsia="zh-CN"/>
        </w:rPr>
        <w:t>（如涉及）</w:t>
      </w:r>
      <w:r>
        <w:rPr>
          <w:rFonts w:hint="eastAsia" w:ascii="宋体" w:hAnsi="宋体" w:eastAsia="宋体" w:cs="宋体"/>
          <w:color w:val="auto"/>
          <w:sz w:val="24"/>
          <w:szCs w:val="24"/>
          <w:highlight w:val="none"/>
          <w:lang w:val="en-US" w:eastAsia="zh-CN"/>
        </w:rPr>
        <w:t>。</w:t>
      </w:r>
    </w:p>
    <w:p w14:paraId="7438FC7D">
      <w:pPr>
        <w:keepNext w:val="0"/>
        <w:keepLines w:val="0"/>
        <w:pageBreakBefore w:val="0"/>
        <w:widowControl w:val="0"/>
        <w:spacing w:line="360" w:lineRule="auto"/>
        <w:ind w:firstLine="480"/>
        <w:rPr>
          <w:rFonts w:hint="eastAsia" w:ascii="宋体" w:hAnsi="宋体" w:eastAsia="宋体" w:cs="宋体"/>
          <w:color w:val="auto"/>
          <w:spacing w:val="0"/>
          <w:sz w:val="24"/>
          <w:szCs w:val="24"/>
          <w:highlight w:val="none"/>
          <w:lang w:bidi="ar-SA"/>
        </w:rPr>
      </w:pPr>
      <w:r>
        <w:rPr>
          <w:rFonts w:hint="eastAsia" w:ascii="宋体" w:hAnsi="宋体" w:eastAsia="宋体" w:cs="宋体"/>
          <w:b/>
          <w:bCs/>
          <w:color w:val="auto"/>
          <w:spacing w:val="0"/>
          <w:sz w:val="24"/>
          <w:szCs w:val="24"/>
          <w:highlight w:val="none"/>
          <w:lang w:eastAsia="zh-CN" w:bidi="ar-SA"/>
        </w:rPr>
        <w:t>（</w:t>
      </w:r>
      <w:r>
        <w:rPr>
          <w:rFonts w:hint="eastAsia" w:ascii="宋体" w:hAnsi="宋体" w:eastAsia="宋体" w:cs="宋体"/>
          <w:b/>
          <w:bCs/>
          <w:color w:val="auto"/>
          <w:spacing w:val="0"/>
          <w:sz w:val="24"/>
          <w:szCs w:val="24"/>
          <w:highlight w:val="none"/>
          <w:lang w:val="en-US" w:eastAsia="zh-CN" w:bidi="ar-SA"/>
        </w:rPr>
        <w:t>四</w:t>
      </w:r>
      <w:r>
        <w:rPr>
          <w:rFonts w:hint="eastAsia" w:ascii="宋体" w:hAnsi="宋体" w:eastAsia="宋体" w:cs="宋体"/>
          <w:b/>
          <w:bCs/>
          <w:color w:val="auto"/>
          <w:spacing w:val="0"/>
          <w:sz w:val="24"/>
          <w:szCs w:val="24"/>
          <w:highlight w:val="none"/>
          <w:lang w:eastAsia="zh-CN" w:bidi="ar-SA"/>
        </w:rPr>
        <w:t>）</w:t>
      </w:r>
      <w:r>
        <w:rPr>
          <w:rFonts w:hint="eastAsia" w:ascii="宋体" w:hAnsi="宋体" w:eastAsia="宋体" w:cs="宋体"/>
          <w:b/>
          <w:bCs/>
          <w:color w:val="auto"/>
          <w:spacing w:val="0"/>
          <w:sz w:val="24"/>
          <w:szCs w:val="24"/>
          <w:highlight w:val="none"/>
          <w:lang w:bidi="ar-SA"/>
        </w:rPr>
        <w:t>政府采购需求标准</w:t>
      </w:r>
    </w:p>
    <w:p w14:paraId="2C85AB15">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1.绿色数据中心政府采购需求标准（试行）</w:t>
      </w:r>
    </w:p>
    <w:p w14:paraId="05F00A7F">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按照财政部生态环境部工业和信息化部关于印发《绿色数据中心政府采购需求标准（试行）》的通知）要求执行。</w:t>
      </w:r>
    </w:p>
    <w:p w14:paraId="1FFD14D6">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2.根据《商品包装政府采购需求标准</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试行</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快递包装政府采购需求标准</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试行</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》的通知</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财办库</w:t>
      </w:r>
      <w:r>
        <w:rPr>
          <w:rFonts w:hint="eastAsia" w:ascii="宋体" w:hAnsi="宋体" w:cs="宋体"/>
          <w:color w:val="auto"/>
          <w:sz w:val="24"/>
          <w:szCs w:val="24"/>
          <w:highlight w:val="none"/>
          <w:lang w:val="en-US" w:eastAsia="zh-CN"/>
        </w:rPr>
        <w:t>〔2020〕123号）</w:t>
      </w:r>
      <w:r>
        <w:rPr>
          <w:rFonts w:hint="eastAsia" w:ascii="宋体" w:hAnsi="宋体" w:eastAsia="宋体" w:cs="宋体"/>
          <w:color w:val="auto"/>
          <w:sz w:val="24"/>
          <w:szCs w:val="24"/>
          <w:highlight w:val="none"/>
          <w:lang w:val="en-US" w:eastAsia="zh-CN"/>
        </w:rPr>
        <w:t>要求，商品使用的塑料、纸质、木材等包装需达到环保要求。</w:t>
      </w:r>
    </w:p>
    <w:p w14:paraId="68E6FBA9">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（五）根据泰财购</w:t>
      </w:r>
      <w:r>
        <w:rPr>
          <w:rFonts w:hint="eastAsia" w:ascii="宋体" w:hAnsi="宋体" w:cs="宋体"/>
          <w:color w:val="auto"/>
          <w:sz w:val="24"/>
          <w:szCs w:val="24"/>
          <w:highlight w:val="none"/>
          <w:lang w:val="en-US" w:eastAsia="zh-CN"/>
        </w:rPr>
        <w:t>〔2023〕33号</w:t>
      </w:r>
      <w:r>
        <w:rPr>
          <w:rFonts w:hint="eastAsia" w:ascii="宋体" w:hAnsi="宋体" w:eastAsia="宋体" w:cs="宋体"/>
          <w:color w:val="auto"/>
          <w:sz w:val="24"/>
          <w:szCs w:val="24"/>
          <w:highlight w:val="none"/>
          <w:lang w:val="en-US" w:eastAsia="zh-CN"/>
        </w:rPr>
        <w:t>文 市财政局国家金融监督管理总局泰州监管分局市地方金融监督管理局关于转发《江苏省财政厅国家金融监督管理总局江苏监管局江苏省地方金融监督管理局关于在全省政府采购领域推行电子履约保函</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保险</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的通知》，履约保证金（如有）接收电子履约保函</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保险</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w:t>
      </w:r>
    </w:p>
    <w:p w14:paraId="0333B540">
      <w:pPr>
        <w:keepNext w:val="0"/>
        <w:keepLines w:val="0"/>
        <w:pageBreakBefore w:val="0"/>
        <w:widowControl w:val="0"/>
        <w:kinsoku/>
        <w:wordWrap/>
        <w:overflowPunct/>
        <w:topLinePunct w:val="0"/>
        <w:autoSpaceDE/>
        <w:autoSpaceDN/>
        <w:bidi w:val="0"/>
        <w:adjustRightInd/>
        <w:snapToGrid/>
        <w:spacing w:line="360" w:lineRule="auto"/>
        <w:ind w:firstLine="422"/>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八</w:t>
      </w:r>
      <w:r>
        <w:rPr>
          <w:rFonts w:hint="eastAsia" w:ascii="宋体" w:hAnsi="宋体" w:eastAsia="宋体" w:cs="宋体"/>
          <w:b/>
          <w:bCs/>
          <w:color w:val="auto"/>
          <w:sz w:val="24"/>
          <w:szCs w:val="24"/>
          <w:highlight w:val="none"/>
        </w:rPr>
        <w:t>、关于异常低价的审查</w:t>
      </w:r>
    </w:p>
    <w:p w14:paraId="0332FA7C">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根据财库〔2026〕2号文《财政部关于推动解决政府采购异常低价问题的通知》：</w:t>
      </w:r>
    </w:p>
    <w:p w14:paraId="51C4B1EA">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1.政府采购评审中出现下列情形之一的，评审委员会应当启动异常低价投标（响应）审查程序：</w:t>
      </w:r>
    </w:p>
    <w:p w14:paraId="5B8AC6D6">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1.1投标（响应）报价低于全部通过符合性审查供应商投标（响应）报价平均值50%的，即投标（响应）报价</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全部通过符合性审查供应商投标（响应）报价平均值×50%；</w:t>
      </w:r>
    </w:p>
    <w:p w14:paraId="462C39F0">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1.2投标（响应）报价低于通过符合性审查的次低报价供应商投标（响应）报价50%的，即投标（响应）报价</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通过符合性审查的次低报价供应商投标（响应）报价×50%；</w:t>
      </w:r>
    </w:p>
    <w:p w14:paraId="491615EE">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1.3投标（响应）报价低于采购项目最高限价45%的，即投标（响应）报价</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采购项目最高限价×45%；</w:t>
      </w:r>
    </w:p>
    <w:p w14:paraId="41E88CF5">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1.4评审委员会基于专业判断，认为供应商报价过低，有可能影响产品质量或者不能诚信履约的其他情形。</w:t>
      </w:r>
    </w:p>
    <w:p w14:paraId="08743352">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2.评审委员会启动异常低价投标（响应）审查后，属于前述第1项至第4项情形的，应当要求相关供应商在评审现场合理的时间内对投标（响应）价格作出解释</w:t>
      </w:r>
      <w:r>
        <w:rPr>
          <w:rFonts w:hint="eastAsia" w:ascii="宋体" w:hAnsi="宋体" w:eastAsia="宋体" w:cs="宋体"/>
          <w:color w:val="auto"/>
          <w:sz w:val="24"/>
          <w:szCs w:val="24"/>
          <w:highlight w:val="none"/>
          <w:lang w:eastAsia="zh-CN"/>
        </w:rPr>
        <w:t>，并</w:t>
      </w:r>
      <w:r>
        <w:rPr>
          <w:rFonts w:hint="eastAsia" w:ascii="宋体" w:hAnsi="宋体" w:eastAsia="宋体" w:cs="宋体"/>
          <w:color w:val="auto"/>
          <w:sz w:val="24"/>
          <w:szCs w:val="24"/>
          <w:highlight w:val="none"/>
        </w:rPr>
        <w:t>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8121637">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218450D">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057FB624">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异常低价投标（响应）审查的启动原因、审查意见和审查结果应当在评审报告中记录，并随供应商提供的相关书面说明及证明材料，以及评审委员会有关互联网浏览、查询历史一并归档。</w:t>
      </w:r>
    </w:p>
    <w:p w14:paraId="09FD3C13">
      <w:pPr>
        <w:keepNext w:val="0"/>
        <w:keepLines w:val="0"/>
        <w:pageBreakBefore w:val="0"/>
        <w:widowControl w:val="0"/>
        <w:numPr>
          <w:ilvl w:val="0"/>
          <w:numId w:val="1"/>
        </w:numPr>
        <w:tabs>
          <w:tab w:val="left" w:pos="900"/>
        </w:tabs>
        <w:spacing w:line="360" w:lineRule="auto"/>
        <w:ind w:firstLine="480"/>
        <w:rPr>
          <w:rFonts w:hint="eastAsia" w:ascii="宋体" w:hAnsi="宋体" w:eastAsia="宋体" w:cs="宋体"/>
          <w:b/>
          <w:bCs/>
          <w:color w:val="000000"/>
          <w:sz w:val="24"/>
          <w:szCs w:val="24"/>
          <w:highlight w:val="none"/>
          <w:u w:val="single"/>
          <w:lang w:val="en-US" w:eastAsia="zh-CN"/>
        </w:rPr>
      </w:pPr>
      <w:r>
        <w:rPr>
          <w:rFonts w:hint="eastAsia" w:ascii="宋体" w:hAnsi="宋体" w:eastAsia="宋体" w:cs="宋体"/>
          <w:b/>
          <w:bCs/>
          <w:color w:val="000000"/>
          <w:sz w:val="24"/>
          <w:szCs w:val="24"/>
          <w:highlight w:val="none"/>
          <w:lang w:val="en-US" w:eastAsia="zh-CN"/>
        </w:rPr>
        <w:t>本次采购核心产品为：</w:t>
      </w:r>
      <w:r>
        <w:rPr>
          <w:rFonts w:hint="eastAsia" w:ascii="宋体" w:hAnsi="宋体" w:eastAsia="宋体" w:cs="宋体"/>
          <w:b/>
          <w:bCs/>
          <w:color w:val="000000"/>
          <w:sz w:val="24"/>
          <w:szCs w:val="24"/>
          <w:highlight w:val="none"/>
          <w:u w:val="single"/>
          <w:lang w:val="en-US" w:eastAsia="zh-CN"/>
        </w:rPr>
        <w:t>控制台。</w:t>
      </w:r>
    </w:p>
    <w:p w14:paraId="581E23CF">
      <w:pPr>
        <w:keepNext w:val="0"/>
        <w:keepLines w:val="0"/>
        <w:pageBreakBefore w:val="0"/>
        <w:widowControl w:val="0"/>
        <w:tabs>
          <w:tab w:val="left" w:pos="900"/>
        </w:tabs>
        <w:spacing w:line="360" w:lineRule="auto"/>
        <w:ind w:firstLine="480"/>
        <w:rPr>
          <w:rFonts w:hint="eastAsia" w:ascii="宋体" w:hAnsi="宋体" w:eastAsia="宋体" w:cs="宋体"/>
          <w:b/>
          <w:bCs/>
          <w:color w:val="000000"/>
          <w:sz w:val="24"/>
          <w:szCs w:val="24"/>
          <w:highlight w:val="none"/>
          <w:lang w:val="en-US" w:eastAsia="zh-CN"/>
        </w:rPr>
      </w:pPr>
      <w:r>
        <w:rPr>
          <w:rFonts w:hint="eastAsia" w:ascii="宋体" w:hAnsi="宋体" w:cs="宋体"/>
          <w:b/>
          <w:bCs/>
          <w:color w:val="000000"/>
          <w:sz w:val="24"/>
          <w:szCs w:val="24"/>
          <w:highlight w:val="none"/>
          <w:lang w:val="en-US" w:eastAsia="zh-CN"/>
        </w:rPr>
        <w:t>十</w:t>
      </w:r>
      <w:r>
        <w:rPr>
          <w:rFonts w:hint="eastAsia" w:ascii="宋体" w:hAnsi="宋体" w:eastAsia="宋体" w:cs="宋体"/>
          <w:b/>
          <w:bCs/>
          <w:color w:val="000000"/>
          <w:sz w:val="24"/>
          <w:szCs w:val="24"/>
          <w:highlight w:val="none"/>
          <w:lang w:val="en-US" w:eastAsia="zh-CN"/>
        </w:rPr>
        <w:t>、采购标的所属行业</w:t>
      </w:r>
    </w:p>
    <w:p w14:paraId="66032374">
      <w:pPr>
        <w:keepNext w:val="0"/>
        <w:keepLines w:val="0"/>
        <w:pageBreakBefore w:val="0"/>
        <w:widowControl w:val="0"/>
        <w:numPr>
          <w:ilvl w:val="0"/>
          <w:numId w:val="0"/>
        </w:numPr>
        <w:tabs>
          <w:tab w:val="left" w:pos="900"/>
        </w:tabs>
        <w:spacing w:line="360" w:lineRule="auto"/>
        <w:ind w:firstLine="480" w:firstLineChars="200"/>
        <w:rPr>
          <w:rFonts w:hint="eastAsia" w:ascii="宋体" w:hAnsi="宋体" w:eastAsia="宋体" w:cs="宋体"/>
          <w:b/>
          <w:bCs/>
          <w:color w:val="000000"/>
          <w:sz w:val="24"/>
          <w:szCs w:val="24"/>
          <w:highlight w:val="none"/>
          <w:u w:val="single"/>
          <w:lang w:val="en-US" w:eastAsia="zh-CN"/>
        </w:rPr>
      </w:pPr>
      <w:r>
        <w:rPr>
          <w:rFonts w:hint="eastAsia" w:ascii="宋体" w:hAnsi="宋体" w:eastAsia="宋体" w:cs="宋体"/>
          <w:color w:val="000000"/>
          <w:sz w:val="24"/>
          <w:szCs w:val="24"/>
          <w:highlight w:val="none"/>
          <w:lang w:val="en-US" w:eastAsia="zh-CN"/>
        </w:rPr>
        <w:t>参照《关于印发中小企业划型标准规定的通知》（工信部联企业〔2011〕300号）文件，本项目采购标的所属行业为</w:t>
      </w:r>
      <w:r>
        <w:rPr>
          <w:rFonts w:hint="eastAsia" w:ascii="宋体" w:hAnsi="宋体" w:cs="宋体"/>
          <w:b/>
          <w:bCs/>
          <w:color w:val="000000"/>
          <w:sz w:val="24"/>
          <w:szCs w:val="24"/>
          <w:highlight w:val="none"/>
          <w:u w:val="single"/>
          <w:lang w:val="en-US" w:eastAsia="zh-CN"/>
        </w:rPr>
        <w:t>工业</w:t>
      </w:r>
      <w:r>
        <w:rPr>
          <w:rFonts w:hint="eastAsia" w:ascii="宋体" w:hAnsi="宋体" w:eastAsia="宋体" w:cs="宋体"/>
          <w:color w:val="000000"/>
          <w:sz w:val="24"/>
          <w:szCs w:val="24"/>
          <w:highlight w:val="none"/>
          <w:u w:val="none"/>
          <w:lang w:val="en-US" w:eastAsia="zh-CN"/>
        </w:rPr>
        <w:t>。</w:t>
      </w:r>
    </w:p>
    <w:p w14:paraId="6E227601">
      <w:pPr>
        <w:pStyle w:val="228"/>
        <w:keepNext w:val="0"/>
        <w:jc w:val="center"/>
        <w:rPr>
          <w:rFonts w:hint="eastAsia" w:ascii="宋体" w:hAnsi="宋体" w:eastAsia="宋体" w:cs="宋体"/>
          <w:color w:val="auto"/>
          <w:highlight w:val="none"/>
        </w:rPr>
      </w:pPr>
      <w:r>
        <w:rPr>
          <w:rFonts w:hint="eastAsia" w:ascii="宋体" w:hAnsi="宋体" w:eastAsia="宋体" w:cs="宋体"/>
          <w:color w:val="auto"/>
          <w:highlight w:val="none"/>
        </w:rPr>
        <w:br w:type="page" w:clear="all"/>
      </w:r>
      <w:r>
        <w:rPr>
          <w:rFonts w:hint="eastAsia" w:ascii="宋体" w:hAnsi="宋体" w:eastAsia="宋体" w:cs="宋体"/>
          <w:b/>
          <w:bCs/>
          <w:color w:val="auto"/>
          <w:sz w:val="32"/>
          <w:szCs w:val="32"/>
          <w:highlight w:val="none"/>
        </w:rPr>
        <w:t>第三章  合同条款及格式（参考）</w:t>
      </w:r>
    </w:p>
    <w:p w14:paraId="24B435FE">
      <w:pPr>
        <w:pStyle w:val="229"/>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val="0"/>
          <w:bCs/>
          <w:color w:val="auto"/>
          <w:sz w:val="24"/>
          <w:szCs w:val="24"/>
          <w:highlight w:val="none"/>
        </w:rPr>
      </w:pPr>
      <w:bookmarkStart w:id="104" w:name="_Toc434410155"/>
      <w:bookmarkStart w:id="105" w:name="_Toc518041191"/>
      <w:r>
        <w:rPr>
          <w:rFonts w:hint="eastAsia" w:ascii="宋体" w:hAnsi="宋体" w:eastAsia="宋体" w:cs="宋体"/>
          <w:b w:val="0"/>
          <w:bCs/>
          <w:color w:val="auto"/>
          <w:sz w:val="24"/>
          <w:szCs w:val="24"/>
          <w:highlight w:val="none"/>
        </w:rPr>
        <w:t>（以实际签订合同为准 合同的签订内容以采购文件的具体内容为准）</w:t>
      </w:r>
      <w:bookmarkEnd w:id="104"/>
      <w:bookmarkEnd w:id="105"/>
    </w:p>
    <w:p w14:paraId="11A1DA07">
      <w:pPr>
        <w:spacing w:line="520" w:lineRule="exact"/>
        <w:ind w:firstLine="480"/>
        <w:rPr>
          <w:rFonts w:hint="eastAsia" w:ascii="宋体" w:hAnsi="宋体" w:eastAsia="宋体" w:cs="宋体"/>
          <w:bCs/>
          <w:color w:val="auto"/>
          <w:spacing w:val="0"/>
          <w:sz w:val="24"/>
          <w:szCs w:val="24"/>
          <w:highlight w:val="none"/>
        </w:rPr>
      </w:pPr>
      <w:bookmarkStart w:id="106" w:name="hetongStart"/>
      <w:bookmarkEnd w:id="106"/>
      <w:r>
        <w:rPr>
          <w:rFonts w:hint="eastAsia" w:ascii="宋体" w:hAnsi="宋体" w:eastAsia="宋体" w:cs="宋体"/>
          <w:bCs/>
          <w:color w:val="auto"/>
          <w:spacing w:val="0"/>
          <w:sz w:val="24"/>
          <w:szCs w:val="24"/>
          <w:highlight w:val="none"/>
        </w:rPr>
        <w:t>以下为采购人与</w:t>
      </w:r>
      <w:r>
        <w:rPr>
          <w:rFonts w:hint="eastAsia" w:ascii="宋体" w:hAnsi="宋体" w:eastAsia="宋体" w:cs="宋体"/>
          <w:bCs/>
          <w:color w:val="auto"/>
          <w:spacing w:val="0"/>
          <w:sz w:val="24"/>
          <w:szCs w:val="24"/>
          <w:highlight w:val="none"/>
          <w:lang w:eastAsia="zh-CN"/>
        </w:rPr>
        <w:t>成交供应商</w:t>
      </w:r>
      <w:r>
        <w:rPr>
          <w:rFonts w:hint="eastAsia" w:ascii="宋体" w:hAnsi="宋体" w:eastAsia="宋体" w:cs="宋体"/>
          <w:bCs/>
          <w:color w:val="auto"/>
          <w:spacing w:val="0"/>
          <w:sz w:val="24"/>
          <w:szCs w:val="24"/>
          <w:highlight w:val="none"/>
        </w:rPr>
        <w:t>签订本项目合同的通用条款，</w:t>
      </w:r>
      <w:r>
        <w:rPr>
          <w:rFonts w:hint="eastAsia" w:ascii="宋体" w:hAnsi="宋体" w:eastAsia="宋体" w:cs="宋体"/>
          <w:bCs/>
          <w:color w:val="auto"/>
          <w:spacing w:val="0"/>
          <w:sz w:val="24"/>
          <w:szCs w:val="24"/>
          <w:highlight w:val="none"/>
          <w:lang w:eastAsia="zh-CN"/>
        </w:rPr>
        <w:t>成交供应商</w:t>
      </w:r>
      <w:r>
        <w:rPr>
          <w:rFonts w:hint="eastAsia" w:ascii="宋体" w:hAnsi="宋体" w:eastAsia="宋体" w:cs="宋体"/>
          <w:bCs/>
          <w:color w:val="auto"/>
          <w:spacing w:val="0"/>
          <w:sz w:val="24"/>
          <w:szCs w:val="24"/>
          <w:highlight w:val="none"/>
        </w:rPr>
        <w:t>不得提出实质性的修改，关于专用条款将由采购人与</w:t>
      </w:r>
      <w:r>
        <w:rPr>
          <w:rFonts w:hint="eastAsia" w:ascii="宋体" w:hAnsi="宋体" w:eastAsia="宋体" w:cs="宋体"/>
          <w:bCs/>
          <w:color w:val="auto"/>
          <w:spacing w:val="0"/>
          <w:sz w:val="24"/>
          <w:szCs w:val="24"/>
          <w:highlight w:val="none"/>
          <w:lang w:eastAsia="zh-CN"/>
        </w:rPr>
        <w:t>成交供应商</w:t>
      </w:r>
      <w:r>
        <w:rPr>
          <w:rFonts w:hint="eastAsia" w:ascii="宋体" w:hAnsi="宋体" w:eastAsia="宋体" w:cs="宋体"/>
          <w:bCs/>
          <w:color w:val="auto"/>
          <w:spacing w:val="0"/>
          <w:sz w:val="24"/>
          <w:szCs w:val="24"/>
          <w:highlight w:val="none"/>
        </w:rPr>
        <w:t>结合本项目具体情况协商后签订。</w:t>
      </w:r>
    </w:p>
    <w:p w14:paraId="36EE2EF4">
      <w:pPr>
        <w:spacing w:line="360" w:lineRule="exact"/>
        <w:ind w:firstLine="480"/>
        <w:rPr>
          <w:rFonts w:hint="eastAsia" w:ascii="宋体" w:hAnsi="宋体" w:eastAsia="宋体" w:cs="宋体"/>
          <w:bCs/>
          <w:color w:val="auto"/>
          <w:spacing w:val="0"/>
          <w:sz w:val="24"/>
          <w:szCs w:val="24"/>
          <w:highlight w:val="none"/>
        </w:rPr>
      </w:pPr>
    </w:p>
    <w:p w14:paraId="7940690C">
      <w:pPr>
        <w:spacing w:line="400" w:lineRule="exact"/>
        <w:jc w:val="left"/>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项目名称：                                       项目编号：</w:t>
      </w:r>
    </w:p>
    <w:p w14:paraId="70309473">
      <w:pPr>
        <w:spacing w:line="400" w:lineRule="exact"/>
        <w:jc w:val="left"/>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甲方：（买方）</w:t>
      </w:r>
      <w:r>
        <w:rPr>
          <w:rFonts w:hint="eastAsia" w:ascii="宋体" w:hAnsi="宋体" w:eastAsia="宋体" w:cs="宋体"/>
          <w:color w:val="auto"/>
          <w:sz w:val="24"/>
          <w:szCs w:val="24"/>
          <w:highlight w:val="none"/>
          <w:u w:val="single"/>
          <w:shd w:val="clear" w:color="auto" w:fill="FFFFFF"/>
        </w:rPr>
        <w:t>　　　　　　　　　　　</w:t>
      </w:r>
    </w:p>
    <w:p w14:paraId="280F6B8C">
      <w:pPr>
        <w:spacing w:line="400" w:lineRule="exact"/>
        <w:jc w:val="left"/>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乙方：（卖方）</w:t>
      </w:r>
      <w:r>
        <w:rPr>
          <w:rFonts w:hint="eastAsia" w:ascii="宋体" w:hAnsi="宋体" w:eastAsia="宋体" w:cs="宋体"/>
          <w:color w:val="auto"/>
          <w:sz w:val="24"/>
          <w:szCs w:val="24"/>
          <w:highlight w:val="none"/>
          <w:u w:val="single"/>
          <w:shd w:val="clear" w:color="auto" w:fill="FFFFFF"/>
        </w:rPr>
        <w:t>　　　　　　</w:t>
      </w:r>
      <w:r>
        <w:rPr>
          <w:rFonts w:hint="eastAsia" w:ascii="宋体" w:hAnsi="宋体" w:eastAsia="宋体" w:cs="宋体"/>
          <w:color w:val="auto"/>
          <w:sz w:val="24"/>
          <w:szCs w:val="24"/>
          <w:highlight w:val="none"/>
          <w:u w:val="single"/>
          <w:shd w:val="clear" w:color="auto" w:fill="FFFFFF"/>
          <w:lang w:val="en-US" w:eastAsia="zh-CN"/>
        </w:rPr>
        <w:t xml:space="preserve">      </w:t>
      </w:r>
      <w:r>
        <w:rPr>
          <w:rFonts w:hint="eastAsia" w:ascii="宋体" w:hAnsi="宋体" w:eastAsia="宋体" w:cs="宋体"/>
          <w:color w:val="auto"/>
          <w:sz w:val="24"/>
          <w:szCs w:val="24"/>
          <w:highlight w:val="none"/>
          <w:u w:val="single"/>
          <w:shd w:val="clear" w:color="auto" w:fill="FFFFFF"/>
        </w:rPr>
        <w:t>　　</w:t>
      </w:r>
    </w:p>
    <w:p w14:paraId="559D994F">
      <w:pPr>
        <w:spacing w:line="400" w:lineRule="exact"/>
        <w:jc w:val="left"/>
        <w:rPr>
          <w:rFonts w:hint="eastAsia" w:ascii="宋体" w:hAnsi="宋体" w:eastAsia="宋体" w:cs="宋体"/>
          <w:b/>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甲、乙双方根据项目</w:t>
      </w:r>
      <w:r>
        <w:rPr>
          <w:rFonts w:hint="eastAsia" w:ascii="宋体" w:hAnsi="宋体" w:eastAsia="宋体" w:cs="宋体"/>
          <w:color w:val="auto"/>
          <w:sz w:val="24"/>
          <w:szCs w:val="24"/>
          <w:highlight w:val="none"/>
          <w:shd w:val="clear" w:color="auto" w:fill="FFFFFF"/>
          <w:lang w:val="en-US" w:eastAsia="zh-CN"/>
        </w:rPr>
        <w:t>招标</w:t>
      </w:r>
      <w:r>
        <w:rPr>
          <w:rFonts w:hint="eastAsia" w:ascii="宋体" w:hAnsi="宋体" w:eastAsia="宋体" w:cs="宋体"/>
          <w:color w:val="auto"/>
          <w:sz w:val="24"/>
          <w:szCs w:val="24"/>
          <w:highlight w:val="none"/>
          <w:shd w:val="clear" w:color="auto" w:fill="FFFFFF"/>
        </w:rPr>
        <w:t>的结果，签署本合同。</w:t>
      </w:r>
    </w:p>
    <w:p w14:paraId="3CD5A667">
      <w:pPr>
        <w:numPr>
          <w:ilvl w:val="0"/>
          <w:numId w:val="2"/>
        </w:numPr>
        <w:spacing w:line="400" w:lineRule="exact"/>
        <w:ind w:left="-420" w:firstLine="420"/>
        <w:jc w:val="left"/>
        <w:rPr>
          <w:rFonts w:hint="eastAsia" w:ascii="宋体" w:hAnsi="宋体" w:eastAsia="宋体" w:cs="宋体"/>
          <w:b/>
          <w:color w:val="auto"/>
          <w:sz w:val="24"/>
          <w:szCs w:val="24"/>
          <w:highlight w:val="none"/>
          <w:shd w:val="clear" w:color="auto" w:fill="FFFFFF"/>
        </w:rPr>
      </w:pPr>
      <w:r>
        <w:rPr>
          <w:rFonts w:hint="eastAsia" w:ascii="宋体" w:hAnsi="宋体" w:eastAsia="宋体" w:cs="宋体"/>
          <w:b/>
          <w:color w:val="auto"/>
          <w:sz w:val="24"/>
          <w:szCs w:val="24"/>
          <w:highlight w:val="none"/>
          <w:shd w:val="clear" w:color="auto" w:fill="FFFFFF"/>
        </w:rPr>
        <w:t>货物内容</w:t>
      </w:r>
    </w:p>
    <w:tbl>
      <w:tblPr>
        <w:tblStyle w:val="36"/>
        <w:tblW w:w="911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1890"/>
        <w:gridCol w:w="2056"/>
        <w:gridCol w:w="1565"/>
        <w:gridCol w:w="892"/>
        <w:gridCol w:w="938"/>
        <w:gridCol w:w="1000"/>
      </w:tblGrid>
      <w:tr w14:paraId="7AE66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77" w:type="dxa"/>
            <w:noWrap/>
            <w:vAlign w:val="center"/>
          </w:tcPr>
          <w:p w14:paraId="3353810F">
            <w:pPr>
              <w:spacing w:line="400" w:lineRule="exact"/>
              <w:jc w:val="left"/>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编号</w:t>
            </w:r>
          </w:p>
        </w:tc>
        <w:tc>
          <w:tcPr>
            <w:tcW w:w="1890" w:type="dxa"/>
            <w:noWrap/>
            <w:vAlign w:val="center"/>
          </w:tcPr>
          <w:p w14:paraId="359C6204">
            <w:pPr>
              <w:spacing w:line="400" w:lineRule="exact"/>
              <w:jc w:val="left"/>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lang w:val="en-US" w:eastAsia="zh-CN"/>
              </w:rPr>
              <w:t>货物</w:t>
            </w:r>
            <w:r>
              <w:rPr>
                <w:rFonts w:hint="eastAsia" w:ascii="宋体" w:hAnsi="宋体" w:eastAsia="宋体" w:cs="宋体"/>
                <w:color w:val="auto"/>
                <w:sz w:val="24"/>
                <w:szCs w:val="24"/>
                <w:highlight w:val="none"/>
                <w:shd w:val="clear" w:color="auto" w:fill="FFFFFF"/>
              </w:rPr>
              <w:t>（或费用）名称</w:t>
            </w:r>
          </w:p>
        </w:tc>
        <w:tc>
          <w:tcPr>
            <w:tcW w:w="2056" w:type="dxa"/>
            <w:noWrap/>
            <w:vAlign w:val="center"/>
          </w:tcPr>
          <w:p w14:paraId="2F6A4E6F">
            <w:pPr>
              <w:spacing w:line="400" w:lineRule="exact"/>
              <w:jc w:val="left"/>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品牌、</w:t>
            </w:r>
            <w:r>
              <w:rPr>
                <w:rFonts w:hint="eastAsia" w:ascii="宋体" w:hAnsi="宋体" w:eastAsia="宋体" w:cs="宋体"/>
                <w:color w:val="auto"/>
                <w:sz w:val="24"/>
                <w:szCs w:val="24"/>
                <w:highlight w:val="none"/>
                <w:shd w:val="clear" w:color="auto" w:fill="FFFFFF"/>
              </w:rPr>
              <w:t>型号</w:t>
            </w:r>
            <w:r>
              <w:rPr>
                <w:rFonts w:hint="eastAsia" w:ascii="宋体" w:hAnsi="宋体" w:eastAsia="宋体" w:cs="宋体"/>
                <w:color w:val="auto"/>
                <w:sz w:val="24"/>
                <w:szCs w:val="24"/>
                <w:highlight w:val="none"/>
                <w:shd w:val="clear" w:color="auto" w:fill="FFFFFF"/>
                <w:lang w:eastAsia="zh-CN"/>
              </w:rPr>
              <w:t>、</w:t>
            </w:r>
            <w:r>
              <w:rPr>
                <w:rFonts w:hint="eastAsia" w:ascii="宋体" w:hAnsi="宋体" w:eastAsia="宋体" w:cs="宋体"/>
                <w:color w:val="auto"/>
                <w:sz w:val="24"/>
                <w:szCs w:val="24"/>
                <w:highlight w:val="none"/>
                <w:shd w:val="clear" w:color="auto" w:fill="FFFFFF"/>
                <w:lang w:val="en-US" w:eastAsia="zh-CN"/>
              </w:rPr>
              <w:t>规格</w:t>
            </w:r>
          </w:p>
        </w:tc>
        <w:tc>
          <w:tcPr>
            <w:tcW w:w="1565" w:type="dxa"/>
            <w:shd w:val="clear" w:color="auto" w:fill="auto"/>
            <w:noWrap/>
            <w:vAlign w:val="center"/>
          </w:tcPr>
          <w:p w14:paraId="6FE011D1">
            <w:pPr>
              <w:spacing w:line="400" w:lineRule="exact"/>
              <w:jc w:val="center"/>
              <w:rPr>
                <w:rFonts w:hint="eastAsia" w:ascii="宋体" w:hAnsi="宋体" w:eastAsia="宋体" w:cs="宋体"/>
                <w:color w:val="auto"/>
                <w:sz w:val="24"/>
                <w:szCs w:val="24"/>
                <w:highlight w:val="none"/>
                <w:shd w:val="clear" w:color="auto" w:fill="FFFFFF"/>
                <w:lang w:val="en-US" w:eastAsia="zh-CN" w:bidi="ar-SA"/>
              </w:rPr>
            </w:pPr>
            <w:r>
              <w:rPr>
                <w:rFonts w:hint="eastAsia" w:ascii="宋体" w:hAnsi="宋体" w:eastAsia="宋体" w:cs="宋体"/>
                <w:color w:val="auto"/>
                <w:sz w:val="24"/>
                <w:szCs w:val="24"/>
                <w:highlight w:val="none"/>
                <w:shd w:val="clear" w:color="auto" w:fill="FFFFFF"/>
                <w:lang w:val="en-US" w:eastAsia="zh-CN" w:bidi="ar-SA"/>
              </w:rPr>
              <w:t>原产地及</w:t>
            </w:r>
          </w:p>
          <w:p w14:paraId="4B1CDA72">
            <w:pPr>
              <w:spacing w:line="400" w:lineRule="exact"/>
              <w:jc w:val="center"/>
              <w:rPr>
                <w:rFonts w:hint="eastAsia" w:ascii="宋体" w:hAnsi="宋体" w:eastAsia="宋体" w:cs="宋体"/>
                <w:color w:val="auto"/>
                <w:sz w:val="24"/>
                <w:szCs w:val="24"/>
                <w:highlight w:val="none"/>
                <w:shd w:val="clear" w:color="auto" w:fill="FFFFFF"/>
                <w:lang w:val="en-US" w:eastAsia="zh-CN" w:bidi="ar-SA"/>
              </w:rPr>
            </w:pPr>
            <w:r>
              <w:rPr>
                <w:rFonts w:hint="eastAsia" w:ascii="宋体" w:hAnsi="宋体" w:eastAsia="宋体" w:cs="宋体"/>
                <w:color w:val="auto"/>
                <w:sz w:val="24"/>
                <w:szCs w:val="24"/>
                <w:highlight w:val="none"/>
                <w:shd w:val="clear" w:color="auto" w:fill="FFFFFF"/>
                <w:lang w:val="en-US" w:eastAsia="zh-CN" w:bidi="ar-SA"/>
              </w:rPr>
              <w:t>生产厂商</w:t>
            </w:r>
          </w:p>
        </w:tc>
        <w:tc>
          <w:tcPr>
            <w:tcW w:w="892" w:type="dxa"/>
            <w:noWrap/>
            <w:vAlign w:val="center"/>
          </w:tcPr>
          <w:p w14:paraId="249F27CE">
            <w:pPr>
              <w:spacing w:line="400" w:lineRule="exact"/>
              <w:jc w:val="left"/>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数量</w:t>
            </w:r>
          </w:p>
        </w:tc>
        <w:tc>
          <w:tcPr>
            <w:tcW w:w="938" w:type="dxa"/>
            <w:noWrap/>
            <w:vAlign w:val="center"/>
          </w:tcPr>
          <w:p w14:paraId="74275A98">
            <w:pPr>
              <w:spacing w:line="400" w:lineRule="exact"/>
              <w:jc w:val="center"/>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单价</w:t>
            </w:r>
          </w:p>
        </w:tc>
        <w:tc>
          <w:tcPr>
            <w:tcW w:w="1000" w:type="dxa"/>
            <w:noWrap/>
            <w:vAlign w:val="center"/>
          </w:tcPr>
          <w:p w14:paraId="415D150C">
            <w:pPr>
              <w:spacing w:line="400" w:lineRule="exact"/>
              <w:jc w:val="left"/>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备注</w:t>
            </w:r>
          </w:p>
        </w:tc>
      </w:tr>
      <w:tr w14:paraId="34D12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777" w:type="dxa"/>
            <w:noWrap/>
          </w:tcPr>
          <w:p w14:paraId="663FCD54">
            <w:pPr>
              <w:spacing w:line="400" w:lineRule="exact"/>
              <w:jc w:val="left"/>
              <w:rPr>
                <w:rFonts w:hint="eastAsia" w:ascii="宋体" w:hAnsi="宋体" w:eastAsia="宋体" w:cs="宋体"/>
                <w:color w:val="auto"/>
                <w:sz w:val="24"/>
                <w:szCs w:val="24"/>
                <w:highlight w:val="none"/>
                <w:shd w:val="clear" w:color="auto" w:fill="FFFFFF"/>
              </w:rPr>
            </w:pPr>
          </w:p>
        </w:tc>
        <w:tc>
          <w:tcPr>
            <w:tcW w:w="1890" w:type="dxa"/>
            <w:noWrap/>
          </w:tcPr>
          <w:p w14:paraId="6E12CE17">
            <w:pPr>
              <w:spacing w:line="400" w:lineRule="exact"/>
              <w:jc w:val="left"/>
              <w:rPr>
                <w:rFonts w:hint="eastAsia" w:ascii="宋体" w:hAnsi="宋体" w:eastAsia="宋体" w:cs="宋体"/>
                <w:color w:val="auto"/>
                <w:sz w:val="24"/>
                <w:szCs w:val="24"/>
                <w:highlight w:val="none"/>
                <w:shd w:val="clear" w:color="auto" w:fill="FFFFFF"/>
              </w:rPr>
            </w:pPr>
          </w:p>
        </w:tc>
        <w:tc>
          <w:tcPr>
            <w:tcW w:w="2056" w:type="dxa"/>
            <w:noWrap/>
          </w:tcPr>
          <w:p w14:paraId="3AC81D9A">
            <w:pPr>
              <w:spacing w:line="400" w:lineRule="exact"/>
              <w:jc w:val="left"/>
              <w:rPr>
                <w:rFonts w:hint="eastAsia" w:ascii="宋体" w:hAnsi="宋体" w:eastAsia="宋体" w:cs="宋体"/>
                <w:color w:val="auto"/>
                <w:sz w:val="24"/>
                <w:szCs w:val="24"/>
                <w:highlight w:val="none"/>
                <w:shd w:val="clear" w:color="auto" w:fill="FFFFFF"/>
              </w:rPr>
            </w:pPr>
          </w:p>
        </w:tc>
        <w:tc>
          <w:tcPr>
            <w:tcW w:w="1565" w:type="dxa"/>
            <w:shd w:val="clear" w:color="auto" w:fill="auto"/>
            <w:noWrap/>
            <w:vAlign w:val="top"/>
          </w:tcPr>
          <w:p w14:paraId="0041DE2A">
            <w:pPr>
              <w:spacing w:line="400" w:lineRule="exact"/>
              <w:jc w:val="left"/>
              <w:rPr>
                <w:rFonts w:hint="eastAsia" w:ascii="宋体" w:hAnsi="宋体" w:eastAsia="宋体" w:cs="宋体"/>
                <w:color w:val="auto"/>
                <w:sz w:val="24"/>
                <w:szCs w:val="24"/>
                <w:highlight w:val="none"/>
                <w:shd w:val="clear" w:color="auto" w:fill="FFFFFF"/>
                <w:lang w:val="en-US" w:eastAsia="zh-CN" w:bidi="ar-SA"/>
              </w:rPr>
            </w:pPr>
          </w:p>
        </w:tc>
        <w:tc>
          <w:tcPr>
            <w:tcW w:w="892" w:type="dxa"/>
            <w:noWrap/>
          </w:tcPr>
          <w:p w14:paraId="6CC7BAE5">
            <w:pPr>
              <w:spacing w:line="400" w:lineRule="exact"/>
              <w:jc w:val="left"/>
              <w:rPr>
                <w:rFonts w:hint="eastAsia" w:ascii="宋体" w:hAnsi="宋体" w:eastAsia="宋体" w:cs="宋体"/>
                <w:color w:val="auto"/>
                <w:sz w:val="24"/>
                <w:szCs w:val="24"/>
                <w:highlight w:val="none"/>
                <w:shd w:val="clear" w:color="auto" w:fill="FFFFFF"/>
              </w:rPr>
            </w:pPr>
          </w:p>
        </w:tc>
        <w:tc>
          <w:tcPr>
            <w:tcW w:w="938" w:type="dxa"/>
            <w:noWrap/>
          </w:tcPr>
          <w:p w14:paraId="0936BFB5">
            <w:pPr>
              <w:spacing w:line="400" w:lineRule="exact"/>
              <w:jc w:val="left"/>
              <w:rPr>
                <w:rFonts w:hint="eastAsia" w:ascii="宋体" w:hAnsi="宋体" w:eastAsia="宋体" w:cs="宋体"/>
                <w:color w:val="auto"/>
                <w:sz w:val="24"/>
                <w:szCs w:val="24"/>
                <w:highlight w:val="none"/>
                <w:shd w:val="clear" w:color="auto" w:fill="FFFFFF"/>
              </w:rPr>
            </w:pPr>
          </w:p>
        </w:tc>
        <w:tc>
          <w:tcPr>
            <w:tcW w:w="1000" w:type="dxa"/>
            <w:noWrap/>
          </w:tcPr>
          <w:p w14:paraId="62CACF22">
            <w:pPr>
              <w:spacing w:line="400" w:lineRule="exact"/>
              <w:jc w:val="left"/>
              <w:rPr>
                <w:rFonts w:hint="eastAsia" w:ascii="宋体" w:hAnsi="宋体" w:eastAsia="宋体" w:cs="宋体"/>
                <w:color w:val="auto"/>
                <w:sz w:val="24"/>
                <w:szCs w:val="24"/>
                <w:highlight w:val="none"/>
                <w:shd w:val="clear" w:color="auto" w:fill="FFFFFF"/>
              </w:rPr>
            </w:pPr>
          </w:p>
        </w:tc>
      </w:tr>
      <w:tr w14:paraId="1D68A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777" w:type="dxa"/>
            <w:noWrap/>
          </w:tcPr>
          <w:p w14:paraId="4D21DA19">
            <w:pPr>
              <w:spacing w:line="400" w:lineRule="exact"/>
              <w:jc w:val="left"/>
              <w:rPr>
                <w:rFonts w:hint="eastAsia" w:ascii="宋体" w:hAnsi="宋体" w:eastAsia="宋体" w:cs="宋体"/>
                <w:color w:val="auto"/>
                <w:sz w:val="24"/>
                <w:szCs w:val="24"/>
                <w:highlight w:val="none"/>
                <w:shd w:val="clear" w:color="auto" w:fill="FFFFFF"/>
              </w:rPr>
            </w:pPr>
          </w:p>
        </w:tc>
        <w:tc>
          <w:tcPr>
            <w:tcW w:w="1890" w:type="dxa"/>
            <w:noWrap/>
          </w:tcPr>
          <w:p w14:paraId="50329EC5">
            <w:pPr>
              <w:spacing w:line="400" w:lineRule="exact"/>
              <w:jc w:val="left"/>
              <w:rPr>
                <w:rFonts w:hint="eastAsia" w:ascii="宋体" w:hAnsi="宋体" w:eastAsia="宋体" w:cs="宋体"/>
                <w:color w:val="auto"/>
                <w:sz w:val="24"/>
                <w:szCs w:val="24"/>
                <w:highlight w:val="none"/>
                <w:shd w:val="clear" w:color="auto" w:fill="FFFFFF"/>
              </w:rPr>
            </w:pPr>
          </w:p>
        </w:tc>
        <w:tc>
          <w:tcPr>
            <w:tcW w:w="2056" w:type="dxa"/>
            <w:noWrap/>
          </w:tcPr>
          <w:p w14:paraId="4A771525">
            <w:pPr>
              <w:spacing w:line="400" w:lineRule="exact"/>
              <w:jc w:val="left"/>
              <w:rPr>
                <w:rFonts w:hint="eastAsia" w:ascii="宋体" w:hAnsi="宋体" w:eastAsia="宋体" w:cs="宋体"/>
                <w:color w:val="auto"/>
                <w:sz w:val="24"/>
                <w:szCs w:val="24"/>
                <w:highlight w:val="none"/>
                <w:shd w:val="clear" w:color="auto" w:fill="FFFFFF"/>
              </w:rPr>
            </w:pPr>
          </w:p>
        </w:tc>
        <w:tc>
          <w:tcPr>
            <w:tcW w:w="1565" w:type="dxa"/>
            <w:shd w:val="clear" w:color="auto" w:fill="auto"/>
            <w:noWrap/>
            <w:vAlign w:val="top"/>
          </w:tcPr>
          <w:p w14:paraId="4E7826C1">
            <w:pPr>
              <w:spacing w:line="400" w:lineRule="exact"/>
              <w:jc w:val="left"/>
              <w:rPr>
                <w:rFonts w:hint="eastAsia" w:ascii="宋体" w:hAnsi="宋体" w:eastAsia="宋体" w:cs="宋体"/>
                <w:color w:val="auto"/>
                <w:sz w:val="24"/>
                <w:szCs w:val="24"/>
                <w:highlight w:val="none"/>
                <w:shd w:val="clear" w:color="auto" w:fill="FFFFFF"/>
                <w:lang w:val="en-US" w:eastAsia="zh-CN" w:bidi="ar-SA"/>
              </w:rPr>
            </w:pPr>
          </w:p>
        </w:tc>
        <w:tc>
          <w:tcPr>
            <w:tcW w:w="892" w:type="dxa"/>
            <w:noWrap/>
          </w:tcPr>
          <w:p w14:paraId="6C70B638">
            <w:pPr>
              <w:spacing w:line="400" w:lineRule="exact"/>
              <w:jc w:val="left"/>
              <w:rPr>
                <w:rFonts w:hint="eastAsia" w:ascii="宋体" w:hAnsi="宋体" w:eastAsia="宋体" w:cs="宋体"/>
                <w:color w:val="auto"/>
                <w:sz w:val="24"/>
                <w:szCs w:val="24"/>
                <w:highlight w:val="none"/>
                <w:shd w:val="clear" w:color="auto" w:fill="FFFFFF"/>
              </w:rPr>
            </w:pPr>
          </w:p>
        </w:tc>
        <w:tc>
          <w:tcPr>
            <w:tcW w:w="938" w:type="dxa"/>
            <w:noWrap/>
          </w:tcPr>
          <w:p w14:paraId="503658AD">
            <w:pPr>
              <w:spacing w:line="400" w:lineRule="exact"/>
              <w:jc w:val="left"/>
              <w:rPr>
                <w:rFonts w:hint="eastAsia" w:ascii="宋体" w:hAnsi="宋体" w:eastAsia="宋体" w:cs="宋体"/>
                <w:color w:val="auto"/>
                <w:sz w:val="24"/>
                <w:szCs w:val="24"/>
                <w:highlight w:val="none"/>
                <w:shd w:val="clear" w:color="auto" w:fill="FFFFFF"/>
              </w:rPr>
            </w:pPr>
          </w:p>
        </w:tc>
        <w:tc>
          <w:tcPr>
            <w:tcW w:w="1000" w:type="dxa"/>
            <w:noWrap/>
          </w:tcPr>
          <w:p w14:paraId="5877DC8E">
            <w:pPr>
              <w:spacing w:line="400" w:lineRule="exact"/>
              <w:jc w:val="left"/>
              <w:rPr>
                <w:rFonts w:hint="eastAsia" w:ascii="宋体" w:hAnsi="宋体" w:eastAsia="宋体" w:cs="宋体"/>
                <w:color w:val="auto"/>
                <w:sz w:val="24"/>
                <w:szCs w:val="24"/>
                <w:highlight w:val="none"/>
                <w:shd w:val="clear" w:color="auto" w:fill="FFFFFF"/>
              </w:rPr>
            </w:pPr>
          </w:p>
        </w:tc>
      </w:tr>
      <w:tr w14:paraId="0E1F8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777" w:type="dxa"/>
            <w:noWrap/>
          </w:tcPr>
          <w:p w14:paraId="0CCD7498">
            <w:pPr>
              <w:spacing w:line="400" w:lineRule="exact"/>
              <w:jc w:val="left"/>
              <w:rPr>
                <w:rFonts w:hint="eastAsia" w:ascii="宋体" w:hAnsi="宋体" w:eastAsia="宋体" w:cs="宋体"/>
                <w:color w:val="auto"/>
                <w:sz w:val="24"/>
                <w:szCs w:val="24"/>
                <w:highlight w:val="none"/>
                <w:shd w:val="clear" w:color="auto" w:fill="FFFFFF"/>
              </w:rPr>
            </w:pPr>
          </w:p>
        </w:tc>
        <w:tc>
          <w:tcPr>
            <w:tcW w:w="1890" w:type="dxa"/>
            <w:noWrap/>
          </w:tcPr>
          <w:p w14:paraId="4540238A">
            <w:pPr>
              <w:spacing w:line="400" w:lineRule="exact"/>
              <w:jc w:val="left"/>
              <w:rPr>
                <w:rFonts w:hint="eastAsia" w:ascii="宋体" w:hAnsi="宋体" w:eastAsia="宋体" w:cs="宋体"/>
                <w:color w:val="auto"/>
                <w:sz w:val="24"/>
                <w:szCs w:val="24"/>
                <w:highlight w:val="none"/>
                <w:shd w:val="clear" w:color="auto" w:fill="FFFFFF"/>
              </w:rPr>
            </w:pPr>
          </w:p>
        </w:tc>
        <w:tc>
          <w:tcPr>
            <w:tcW w:w="2056" w:type="dxa"/>
            <w:noWrap/>
          </w:tcPr>
          <w:p w14:paraId="4A0AFB4B">
            <w:pPr>
              <w:spacing w:line="400" w:lineRule="exact"/>
              <w:jc w:val="left"/>
              <w:rPr>
                <w:rFonts w:hint="eastAsia" w:ascii="宋体" w:hAnsi="宋体" w:eastAsia="宋体" w:cs="宋体"/>
                <w:color w:val="auto"/>
                <w:sz w:val="24"/>
                <w:szCs w:val="24"/>
                <w:highlight w:val="none"/>
                <w:shd w:val="clear" w:color="auto" w:fill="FFFFFF"/>
              </w:rPr>
            </w:pPr>
          </w:p>
        </w:tc>
        <w:tc>
          <w:tcPr>
            <w:tcW w:w="1565" w:type="dxa"/>
            <w:shd w:val="clear" w:color="auto" w:fill="auto"/>
            <w:noWrap/>
            <w:vAlign w:val="top"/>
          </w:tcPr>
          <w:p w14:paraId="7A64DC43">
            <w:pPr>
              <w:spacing w:line="400" w:lineRule="exact"/>
              <w:jc w:val="left"/>
              <w:rPr>
                <w:rFonts w:hint="eastAsia" w:ascii="宋体" w:hAnsi="宋体" w:eastAsia="宋体" w:cs="宋体"/>
                <w:color w:val="auto"/>
                <w:sz w:val="24"/>
                <w:szCs w:val="24"/>
                <w:highlight w:val="none"/>
                <w:shd w:val="clear" w:color="auto" w:fill="FFFFFF"/>
                <w:lang w:val="en-US" w:eastAsia="zh-CN" w:bidi="ar-SA"/>
              </w:rPr>
            </w:pPr>
          </w:p>
        </w:tc>
        <w:tc>
          <w:tcPr>
            <w:tcW w:w="892" w:type="dxa"/>
            <w:noWrap/>
          </w:tcPr>
          <w:p w14:paraId="23E31FCD">
            <w:pPr>
              <w:spacing w:line="400" w:lineRule="exact"/>
              <w:jc w:val="left"/>
              <w:rPr>
                <w:rFonts w:hint="eastAsia" w:ascii="宋体" w:hAnsi="宋体" w:eastAsia="宋体" w:cs="宋体"/>
                <w:color w:val="auto"/>
                <w:sz w:val="24"/>
                <w:szCs w:val="24"/>
                <w:highlight w:val="none"/>
                <w:shd w:val="clear" w:color="auto" w:fill="FFFFFF"/>
              </w:rPr>
            </w:pPr>
          </w:p>
        </w:tc>
        <w:tc>
          <w:tcPr>
            <w:tcW w:w="938" w:type="dxa"/>
            <w:noWrap/>
          </w:tcPr>
          <w:p w14:paraId="7352B1C4">
            <w:pPr>
              <w:spacing w:line="400" w:lineRule="exact"/>
              <w:jc w:val="left"/>
              <w:rPr>
                <w:rFonts w:hint="eastAsia" w:ascii="宋体" w:hAnsi="宋体" w:eastAsia="宋体" w:cs="宋体"/>
                <w:color w:val="auto"/>
                <w:sz w:val="24"/>
                <w:szCs w:val="24"/>
                <w:highlight w:val="none"/>
                <w:shd w:val="clear" w:color="auto" w:fill="FFFFFF"/>
              </w:rPr>
            </w:pPr>
          </w:p>
        </w:tc>
        <w:tc>
          <w:tcPr>
            <w:tcW w:w="1000" w:type="dxa"/>
            <w:noWrap/>
          </w:tcPr>
          <w:p w14:paraId="1458DCA7">
            <w:pPr>
              <w:spacing w:line="400" w:lineRule="exact"/>
              <w:jc w:val="left"/>
              <w:rPr>
                <w:rFonts w:hint="eastAsia" w:ascii="宋体" w:hAnsi="宋体" w:eastAsia="宋体" w:cs="宋体"/>
                <w:color w:val="auto"/>
                <w:sz w:val="24"/>
                <w:szCs w:val="24"/>
                <w:highlight w:val="none"/>
                <w:shd w:val="clear" w:color="auto" w:fill="FFFFFF"/>
              </w:rPr>
            </w:pPr>
          </w:p>
        </w:tc>
      </w:tr>
      <w:tr w14:paraId="163F3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777" w:type="dxa"/>
            <w:noWrap/>
          </w:tcPr>
          <w:p w14:paraId="4C6B23EE">
            <w:pPr>
              <w:spacing w:line="400" w:lineRule="exact"/>
              <w:jc w:val="left"/>
              <w:rPr>
                <w:rFonts w:hint="eastAsia" w:ascii="宋体" w:hAnsi="宋体" w:eastAsia="宋体" w:cs="宋体"/>
                <w:color w:val="auto"/>
                <w:sz w:val="24"/>
                <w:szCs w:val="24"/>
                <w:highlight w:val="none"/>
                <w:shd w:val="clear" w:color="auto" w:fill="FFFFFF"/>
              </w:rPr>
            </w:pPr>
          </w:p>
        </w:tc>
        <w:tc>
          <w:tcPr>
            <w:tcW w:w="1890" w:type="dxa"/>
            <w:noWrap/>
          </w:tcPr>
          <w:p w14:paraId="09B0AE78">
            <w:pPr>
              <w:spacing w:line="400" w:lineRule="exact"/>
              <w:jc w:val="left"/>
              <w:rPr>
                <w:rFonts w:hint="eastAsia" w:ascii="宋体" w:hAnsi="宋体" w:eastAsia="宋体" w:cs="宋体"/>
                <w:color w:val="auto"/>
                <w:sz w:val="24"/>
                <w:szCs w:val="24"/>
                <w:highlight w:val="none"/>
                <w:shd w:val="clear" w:color="auto" w:fill="FFFFFF"/>
              </w:rPr>
            </w:pPr>
          </w:p>
        </w:tc>
        <w:tc>
          <w:tcPr>
            <w:tcW w:w="2056" w:type="dxa"/>
            <w:noWrap/>
          </w:tcPr>
          <w:p w14:paraId="74D07CB9">
            <w:pPr>
              <w:spacing w:line="400" w:lineRule="exact"/>
              <w:jc w:val="left"/>
              <w:rPr>
                <w:rFonts w:hint="eastAsia" w:ascii="宋体" w:hAnsi="宋体" w:eastAsia="宋体" w:cs="宋体"/>
                <w:color w:val="auto"/>
                <w:sz w:val="24"/>
                <w:szCs w:val="24"/>
                <w:highlight w:val="none"/>
                <w:shd w:val="clear" w:color="auto" w:fill="FFFFFF"/>
              </w:rPr>
            </w:pPr>
          </w:p>
        </w:tc>
        <w:tc>
          <w:tcPr>
            <w:tcW w:w="1565" w:type="dxa"/>
            <w:shd w:val="clear" w:color="auto" w:fill="auto"/>
            <w:noWrap/>
            <w:vAlign w:val="top"/>
          </w:tcPr>
          <w:p w14:paraId="0C8FEBE8">
            <w:pPr>
              <w:spacing w:line="400" w:lineRule="exact"/>
              <w:jc w:val="left"/>
              <w:rPr>
                <w:rFonts w:hint="eastAsia" w:ascii="宋体" w:hAnsi="宋体" w:eastAsia="宋体" w:cs="宋体"/>
                <w:color w:val="auto"/>
                <w:sz w:val="24"/>
                <w:szCs w:val="24"/>
                <w:highlight w:val="none"/>
                <w:shd w:val="clear" w:color="auto" w:fill="FFFFFF"/>
                <w:lang w:val="en-US" w:eastAsia="zh-CN" w:bidi="ar-SA"/>
              </w:rPr>
            </w:pPr>
          </w:p>
        </w:tc>
        <w:tc>
          <w:tcPr>
            <w:tcW w:w="892" w:type="dxa"/>
            <w:noWrap/>
          </w:tcPr>
          <w:p w14:paraId="7537C17B">
            <w:pPr>
              <w:spacing w:line="400" w:lineRule="exact"/>
              <w:jc w:val="left"/>
              <w:rPr>
                <w:rFonts w:hint="eastAsia" w:ascii="宋体" w:hAnsi="宋体" w:eastAsia="宋体" w:cs="宋体"/>
                <w:color w:val="auto"/>
                <w:sz w:val="24"/>
                <w:szCs w:val="24"/>
                <w:highlight w:val="none"/>
                <w:shd w:val="clear" w:color="auto" w:fill="FFFFFF"/>
              </w:rPr>
            </w:pPr>
          </w:p>
        </w:tc>
        <w:tc>
          <w:tcPr>
            <w:tcW w:w="938" w:type="dxa"/>
            <w:noWrap/>
          </w:tcPr>
          <w:p w14:paraId="4AB27852">
            <w:pPr>
              <w:spacing w:line="400" w:lineRule="exact"/>
              <w:jc w:val="left"/>
              <w:rPr>
                <w:rFonts w:hint="eastAsia" w:ascii="宋体" w:hAnsi="宋体" w:eastAsia="宋体" w:cs="宋体"/>
                <w:color w:val="auto"/>
                <w:sz w:val="24"/>
                <w:szCs w:val="24"/>
                <w:highlight w:val="none"/>
                <w:shd w:val="clear" w:color="auto" w:fill="FFFFFF"/>
              </w:rPr>
            </w:pPr>
          </w:p>
        </w:tc>
        <w:tc>
          <w:tcPr>
            <w:tcW w:w="1000" w:type="dxa"/>
            <w:noWrap/>
          </w:tcPr>
          <w:p w14:paraId="53E1BAE8">
            <w:pPr>
              <w:spacing w:line="400" w:lineRule="exact"/>
              <w:jc w:val="left"/>
              <w:rPr>
                <w:rFonts w:hint="eastAsia" w:ascii="宋体" w:hAnsi="宋体" w:eastAsia="宋体" w:cs="宋体"/>
                <w:color w:val="auto"/>
                <w:sz w:val="24"/>
                <w:szCs w:val="24"/>
                <w:highlight w:val="none"/>
                <w:shd w:val="clear" w:color="auto" w:fill="FFFFFF"/>
              </w:rPr>
            </w:pPr>
          </w:p>
        </w:tc>
      </w:tr>
      <w:tr w14:paraId="6F53C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777" w:type="dxa"/>
            <w:noWrap/>
          </w:tcPr>
          <w:p w14:paraId="0413DAF2">
            <w:pPr>
              <w:spacing w:line="400" w:lineRule="exact"/>
              <w:jc w:val="left"/>
              <w:rPr>
                <w:rFonts w:hint="eastAsia" w:ascii="宋体" w:hAnsi="宋体" w:eastAsia="宋体" w:cs="宋体"/>
                <w:color w:val="auto"/>
                <w:sz w:val="24"/>
                <w:szCs w:val="24"/>
                <w:highlight w:val="none"/>
                <w:shd w:val="clear" w:color="auto" w:fill="FFFFFF"/>
              </w:rPr>
            </w:pPr>
          </w:p>
        </w:tc>
        <w:tc>
          <w:tcPr>
            <w:tcW w:w="1890" w:type="dxa"/>
            <w:noWrap/>
          </w:tcPr>
          <w:p w14:paraId="4B029ED1">
            <w:pPr>
              <w:spacing w:line="400" w:lineRule="exact"/>
              <w:jc w:val="left"/>
              <w:rPr>
                <w:rFonts w:hint="eastAsia" w:ascii="宋体" w:hAnsi="宋体" w:eastAsia="宋体" w:cs="宋体"/>
                <w:color w:val="auto"/>
                <w:sz w:val="24"/>
                <w:szCs w:val="24"/>
                <w:highlight w:val="none"/>
                <w:shd w:val="clear" w:color="auto" w:fill="FFFFFF"/>
              </w:rPr>
            </w:pPr>
          </w:p>
        </w:tc>
        <w:tc>
          <w:tcPr>
            <w:tcW w:w="2056" w:type="dxa"/>
            <w:noWrap/>
          </w:tcPr>
          <w:p w14:paraId="08DD3049">
            <w:pPr>
              <w:spacing w:line="400" w:lineRule="exact"/>
              <w:jc w:val="left"/>
              <w:rPr>
                <w:rFonts w:hint="eastAsia" w:ascii="宋体" w:hAnsi="宋体" w:eastAsia="宋体" w:cs="宋体"/>
                <w:color w:val="auto"/>
                <w:sz w:val="24"/>
                <w:szCs w:val="24"/>
                <w:highlight w:val="none"/>
                <w:shd w:val="clear" w:color="auto" w:fill="FFFFFF"/>
              </w:rPr>
            </w:pPr>
          </w:p>
        </w:tc>
        <w:tc>
          <w:tcPr>
            <w:tcW w:w="1565" w:type="dxa"/>
            <w:shd w:val="clear" w:color="auto" w:fill="auto"/>
            <w:noWrap/>
            <w:vAlign w:val="top"/>
          </w:tcPr>
          <w:p w14:paraId="617D289C">
            <w:pPr>
              <w:spacing w:line="400" w:lineRule="exact"/>
              <w:jc w:val="left"/>
              <w:rPr>
                <w:rFonts w:hint="eastAsia" w:ascii="宋体" w:hAnsi="宋体" w:eastAsia="宋体" w:cs="宋体"/>
                <w:color w:val="auto"/>
                <w:sz w:val="24"/>
                <w:szCs w:val="24"/>
                <w:highlight w:val="none"/>
                <w:shd w:val="clear" w:color="auto" w:fill="FFFFFF"/>
                <w:lang w:val="en-US" w:eastAsia="zh-CN" w:bidi="ar-SA"/>
              </w:rPr>
            </w:pPr>
          </w:p>
        </w:tc>
        <w:tc>
          <w:tcPr>
            <w:tcW w:w="892" w:type="dxa"/>
            <w:noWrap/>
          </w:tcPr>
          <w:p w14:paraId="5D521CF4">
            <w:pPr>
              <w:spacing w:line="400" w:lineRule="exact"/>
              <w:jc w:val="left"/>
              <w:rPr>
                <w:rFonts w:hint="eastAsia" w:ascii="宋体" w:hAnsi="宋体" w:eastAsia="宋体" w:cs="宋体"/>
                <w:color w:val="auto"/>
                <w:sz w:val="24"/>
                <w:szCs w:val="24"/>
                <w:highlight w:val="none"/>
                <w:shd w:val="clear" w:color="auto" w:fill="FFFFFF"/>
              </w:rPr>
            </w:pPr>
          </w:p>
        </w:tc>
        <w:tc>
          <w:tcPr>
            <w:tcW w:w="938" w:type="dxa"/>
            <w:noWrap/>
          </w:tcPr>
          <w:p w14:paraId="683B2E62">
            <w:pPr>
              <w:spacing w:line="400" w:lineRule="exact"/>
              <w:jc w:val="left"/>
              <w:rPr>
                <w:rFonts w:hint="eastAsia" w:ascii="宋体" w:hAnsi="宋体" w:eastAsia="宋体" w:cs="宋体"/>
                <w:color w:val="auto"/>
                <w:sz w:val="24"/>
                <w:szCs w:val="24"/>
                <w:highlight w:val="none"/>
                <w:shd w:val="clear" w:color="auto" w:fill="FFFFFF"/>
              </w:rPr>
            </w:pPr>
          </w:p>
        </w:tc>
        <w:tc>
          <w:tcPr>
            <w:tcW w:w="1000" w:type="dxa"/>
            <w:noWrap/>
          </w:tcPr>
          <w:p w14:paraId="236238CF">
            <w:pPr>
              <w:spacing w:line="400" w:lineRule="exact"/>
              <w:jc w:val="left"/>
              <w:rPr>
                <w:rFonts w:hint="eastAsia" w:ascii="宋体" w:hAnsi="宋体" w:eastAsia="宋体" w:cs="宋体"/>
                <w:color w:val="auto"/>
                <w:sz w:val="24"/>
                <w:szCs w:val="24"/>
                <w:highlight w:val="none"/>
                <w:shd w:val="clear" w:color="auto" w:fill="FFFFFF"/>
              </w:rPr>
            </w:pPr>
          </w:p>
        </w:tc>
      </w:tr>
    </w:tbl>
    <w:p w14:paraId="12F2FE5B">
      <w:pPr>
        <w:numPr>
          <w:ilvl w:val="0"/>
          <w:numId w:val="2"/>
        </w:numPr>
        <w:spacing w:line="400" w:lineRule="exact"/>
        <w:ind w:left="-420" w:firstLine="420"/>
        <w:jc w:val="left"/>
        <w:rPr>
          <w:rFonts w:hint="eastAsia" w:ascii="宋体" w:hAnsi="宋体" w:eastAsia="宋体" w:cs="宋体"/>
          <w:b/>
          <w:color w:val="auto"/>
          <w:sz w:val="24"/>
          <w:szCs w:val="24"/>
          <w:highlight w:val="none"/>
          <w:shd w:val="clear" w:color="auto" w:fill="FFFFFF"/>
        </w:rPr>
      </w:pPr>
      <w:r>
        <w:rPr>
          <w:rFonts w:hint="eastAsia" w:ascii="宋体" w:hAnsi="宋体" w:eastAsia="宋体" w:cs="宋体"/>
          <w:b/>
          <w:color w:val="auto"/>
          <w:sz w:val="24"/>
          <w:szCs w:val="24"/>
          <w:highlight w:val="none"/>
          <w:shd w:val="clear" w:color="auto" w:fill="FFFFFF"/>
        </w:rPr>
        <w:t>合同金额</w:t>
      </w:r>
    </w:p>
    <w:p w14:paraId="4FE827AD">
      <w:pPr>
        <w:spacing w:line="400" w:lineRule="exact"/>
        <w:ind w:left="315" w:firstLine="240" w:firstLineChars="100"/>
        <w:jc w:val="left"/>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本合同金额为（大写）：</w:t>
      </w:r>
      <w:r>
        <w:rPr>
          <w:rFonts w:hint="eastAsia" w:ascii="宋体" w:hAnsi="宋体" w:eastAsia="宋体" w:cs="宋体"/>
          <w:color w:val="auto"/>
          <w:sz w:val="24"/>
          <w:szCs w:val="24"/>
          <w:highlight w:val="none"/>
          <w:u w:val="single"/>
          <w:shd w:val="clear" w:color="auto" w:fill="FFFFFF"/>
          <w:lang w:val="en-US" w:eastAsia="zh-CN"/>
        </w:rPr>
        <w:t xml:space="preserve">                    </w:t>
      </w:r>
      <w:r>
        <w:rPr>
          <w:rFonts w:hint="eastAsia" w:ascii="宋体" w:hAnsi="宋体" w:eastAsia="宋体" w:cs="宋体"/>
          <w:color w:val="auto"/>
          <w:sz w:val="24"/>
          <w:szCs w:val="24"/>
          <w:highlight w:val="none"/>
          <w:shd w:val="clear" w:color="auto" w:fill="FFFFFF"/>
        </w:rPr>
        <w:t>元（_______________元）人民币。</w:t>
      </w:r>
    </w:p>
    <w:p w14:paraId="6CB09521">
      <w:pPr>
        <w:numPr>
          <w:ilvl w:val="0"/>
          <w:numId w:val="2"/>
        </w:numPr>
        <w:spacing w:line="400" w:lineRule="exact"/>
        <w:ind w:left="-420" w:firstLine="420"/>
        <w:jc w:val="left"/>
        <w:rPr>
          <w:rFonts w:hint="eastAsia" w:ascii="宋体" w:hAnsi="宋体" w:eastAsia="宋体" w:cs="宋体"/>
          <w:b/>
          <w:color w:val="auto"/>
          <w:sz w:val="24"/>
          <w:szCs w:val="24"/>
          <w:highlight w:val="none"/>
          <w:shd w:val="clear" w:color="auto" w:fill="FFFFFF"/>
        </w:rPr>
      </w:pPr>
      <w:r>
        <w:rPr>
          <w:rFonts w:hint="eastAsia" w:ascii="宋体" w:hAnsi="宋体" w:eastAsia="宋体" w:cs="宋体"/>
          <w:b/>
          <w:color w:val="auto"/>
          <w:sz w:val="24"/>
          <w:szCs w:val="24"/>
          <w:highlight w:val="none"/>
          <w:shd w:val="clear" w:color="auto" w:fill="FFFFFF"/>
        </w:rPr>
        <w:t>技术资料</w:t>
      </w:r>
    </w:p>
    <w:p w14:paraId="0F7B5635">
      <w:pPr>
        <w:spacing w:line="400" w:lineRule="exact"/>
        <w:ind w:left="420" w:firstLine="52"/>
        <w:jc w:val="left"/>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乙方应向甲方提供使用货物的有关技术资料。</w:t>
      </w:r>
    </w:p>
    <w:p w14:paraId="361EDC8F">
      <w:pPr>
        <w:numPr>
          <w:ilvl w:val="0"/>
          <w:numId w:val="2"/>
        </w:numPr>
        <w:spacing w:line="400" w:lineRule="exact"/>
        <w:ind w:left="-420" w:firstLine="420"/>
        <w:jc w:val="left"/>
        <w:rPr>
          <w:rFonts w:hint="eastAsia" w:ascii="宋体" w:hAnsi="宋体" w:eastAsia="宋体" w:cs="宋体"/>
          <w:b/>
          <w:color w:val="auto"/>
          <w:sz w:val="24"/>
          <w:szCs w:val="24"/>
          <w:highlight w:val="none"/>
          <w:shd w:val="clear" w:color="auto" w:fill="FFFFFF"/>
        </w:rPr>
      </w:pPr>
      <w:r>
        <w:rPr>
          <w:rFonts w:hint="eastAsia" w:ascii="宋体" w:hAnsi="宋体" w:eastAsia="宋体" w:cs="宋体"/>
          <w:b/>
          <w:color w:val="auto"/>
          <w:sz w:val="24"/>
          <w:szCs w:val="24"/>
          <w:highlight w:val="none"/>
          <w:shd w:val="clear" w:color="auto" w:fill="FFFFFF"/>
        </w:rPr>
        <w:t>知识产权</w:t>
      </w:r>
    </w:p>
    <w:p w14:paraId="3025558D">
      <w:pPr>
        <w:spacing w:line="400" w:lineRule="exact"/>
        <w:ind w:firstLine="440"/>
        <w:jc w:val="left"/>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乙方应保证甲方在使用、接受本合同货物和服务或其任何一部分时不受第三方提出侵犯其专利权、版权、商标权和工业设计权等知识产权的起诉。一旦出现侵权，由乙方负全部责任。</w:t>
      </w:r>
    </w:p>
    <w:p w14:paraId="1D8F3B89">
      <w:pPr>
        <w:numPr>
          <w:ilvl w:val="0"/>
          <w:numId w:val="2"/>
        </w:numPr>
        <w:spacing w:line="400" w:lineRule="exact"/>
        <w:ind w:left="-420" w:firstLine="420"/>
        <w:jc w:val="left"/>
        <w:rPr>
          <w:rFonts w:hint="eastAsia" w:ascii="宋体" w:hAnsi="宋体" w:eastAsia="宋体" w:cs="宋体"/>
          <w:color w:val="auto"/>
          <w:sz w:val="24"/>
          <w:szCs w:val="24"/>
          <w:highlight w:val="none"/>
          <w:u w:val="single"/>
          <w:shd w:val="clear" w:color="auto" w:fill="FFFFFF"/>
        </w:rPr>
      </w:pPr>
      <w:r>
        <w:rPr>
          <w:rFonts w:hint="eastAsia" w:ascii="宋体" w:hAnsi="宋体" w:eastAsia="宋体" w:cs="宋体"/>
          <w:b/>
          <w:color w:val="auto"/>
          <w:sz w:val="24"/>
          <w:szCs w:val="24"/>
          <w:highlight w:val="none"/>
          <w:shd w:val="clear" w:color="auto" w:fill="FFFFFF"/>
        </w:rPr>
        <w:t>产权担保</w:t>
      </w:r>
    </w:p>
    <w:p w14:paraId="6F065174">
      <w:pPr>
        <w:spacing w:line="400" w:lineRule="exact"/>
        <w:ind w:left="420" w:leftChars="200" w:firstLine="62" w:firstLineChars="26"/>
        <w:jc w:val="left"/>
        <w:rPr>
          <w:rFonts w:hint="eastAsia" w:ascii="宋体" w:hAnsi="宋体" w:eastAsia="宋体" w:cs="宋体"/>
          <w:color w:val="auto"/>
          <w:sz w:val="24"/>
          <w:szCs w:val="24"/>
          <w:highlight w:val="none"/>
          <w:u w:val="single"/>
          <w:shd w:val="clear" w:color="auto" w:fill="FFFFFF"/>
        </w:rPr>
      </w:pPr>
      <w:r>
        <w:rPr>
          <w:rFonts w:hint="eastAsia" w:ascii="宋体" w:hAnsi="宋体" w:eastAsia="宋体" w:cs="宋体"/>
          <w:color w:val="auto"/>
          <w:sz w:val="24"/>
          <w:szCs w:val="24"/>
          <w:highlight w:val="none"/>
          <w:shd w:val="clear" w:color="auto" w:fill="FFFFFF"/>
        </w:rPr>
        <w:t>乙方保证所交付的货物的所有权完全属于乙方且无任何抵押、查封等产权瑕疵。</w:t>
      </w:r>
    </w:p>
    <w:p w14:paraId="2E7A6B58">
      <w:pPr>
        <w:numPr>
          <w:ilvl w:val="0"/>
          <w:numId w:val="2"/>
        </w:numPr>
        <w:spacing w:line="400" w:lineRule="exact"/>
        <w:ind w:left="-420" w:firstLine="420"/>
        <w:jc w:val="left"/>
        <w:rPr>
          <w:rFonts w:hint="eastAsia" w:ascii="宋体" w:hAnsi="宋体" w:eastAsia="宋体" w:cs="宋体"/>
          <w:b/>
          <w:color w:val="auto"/>
          <w:sz w:val="24"/>
          <w:szCs w:val="24"/>
          <w:highlight w:val="none"/>
          <w:shd w:val="clear" w:color="auto" w:fill="FFFFFF"/>
        </w:rPr>
      </w:pPr>
      <w:r>
        <w:rPr>
          <w:rFonts w:hint="eastAsia" w:ascii="宋体" w:hAnsi="宋体" w:eastAsia="宋体" w:cs="宋体"/>
          <w:b/>
          <w:color w:val="auto"/>
          <w:sz w:val="24"/>
          <w:szCs w:val="24"/>
          <w:highlight w:val="none"/>
          <w:shd w:val="clear" w:color="auto" w:fill="FFFFFF"/>
        </w:rPr>
        <w:t>履约保证金</w:t>
      </w:r>
    </w:p>
    <w:p w14:paraId="3258E59F">
      <w:pPr>
        <w:spacing w:line="400" w:lineRule="exact"/>
        <w:ind w:firstLine="513" w:firstLineChars="214"/>
        <w:jc w:val="left"/>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详见磋商文件</w:t>
      </w:r>
    </w:p>
    <w:p w14:paraId="47EA2813">
      <w:pPr>
        <w:numPr>
          <w:ilvl w:val="0"/>
          <w:numId w:val="2"/>
        </w:numPr>
        <w:spacing w:line="400" w:lineRule="exact"/>
        <w:ind w:left="-420" w:firstLine="420"/>
        <w:jc w:val="left"/>
        <w:rPr>
          <w:rFonts w:hint="eastAsia" w:ascii="宋体" w:hAnsi="宋体" w:eastAsia="宋体" w:cs="宋体"/>
          <w:b/>
          <w:bCs/>
          <w:color w:val="auto"/>
          <w:sz w:val="24"/>
          <w:szCs w:val="24"/>
          <w:highlight w:val="none"/>
          <w:shd w:val="clear" w:color="auto" w:fill="FFFFFF"/>
        </w:rPr>
      </w:pPr>
      <w:r>
        <w:rPr>
          <w:rFonts w:hint="eastAsia" w:ascii="宋体" w:hAnsi="宋体" w:eastAsia="宋体" w:cs="宋体"/>
          <w:b/>
          <w:bCs/>
          <w:color w:val="auto"/>
          <w:sz w:val="24"/>
          <w:szCs w:val="24"/>
          <w:highlight w:val="none"/>
          <w:shd w:val="clear" w:color="auto" w:fill="FFFFFF"/>
        </w:rPr>
        <w:t>转包或分包</w:t>
      </w:r>
    </w:p>
    <w:p w14:paraId="0B6D861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lang w:eastAsia="zh-CN"/>
        </w:rPr>
        <w:t>1.</w:t>
      </w:r>
      <w:r>
        <w:rPr>
          <w:rFonts w:hint="eastAsia" w:ascii="宋体" w:hAnsi="宋体" w:eastAsia="宋体" w:cs="宋体"/>
          <w:color w:val="auto"/>
          <w:sz w:val="24"/>
          <w:szCs w:val="24"/>
          <w:highlight w:val="none"/>
          <w:shd w:val="clear" w:color="auto" w:fill="FFFFFF"/>
        </w:rPr>
        <w:t>本合同范</w:t>
      </w:r>
      <w:r>
        <w:rPr>
          <w:rFonts w:hint="eastAsia" w:ascii="宋体" w:hAnsi="宋体" w:eastAsia="宋体" w:cs="宋体"/>
          <w:color w:val="auto"/>
          <w:sz w:val="24"/>
          <w:szCs w:val="24"/>
          <w:highlight w:val="none"/>
          <w:shd w:val="clear" w:color="auto" w:fill="FFFFFF"/>
          <w:lang w:eastAsia="zh-CN"/>
        </w:rPr>
        <w:t>围内</w:t>
      </w:r>
      <w:r>
        <w:rPr>
          <w:rFonts w:hint="eastAsia" w:ascii="宋体" w:hAnsi="宋体" w:eastAsia="宋体" w:cs="宋体"/>
          <w:color w:val="auto"/>
          <w:sz w:val="24"/>
          <w:szCs w:val="24"/>
          <w:highlight w:val="none"/>
          <w:shd w:val="clear" w:color="auto" w:fill="FFFFFF"/>
        </w:rPr>
        <w:t>的货物，应由乙方直接供应，不得转让他人供应；</w:t>
      </w:r>
    </w:p>
    <w:p w14:paraId="18E4DF3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lang w:eastAsia="zh-CN"/>
        </w:rPr>
        <w:t>2.</w:t>
      </w:r>
      <w:r>
        <w:rPr>
          <w:rFonts w:hint="eastAsia" w:ascii="宋体" w:hAnsi="宋体" w:eastAsia="宋体" w:cs="宋体"/>
          <w:color w:val="auto"/>
          <w:sz w:val="24"/>
          <w:szCs w:val="24"/>
          <w:highlight w:val="none"/>
          <w:shd w:val="clear" w:color="auto" w:fill="FFFFFF"/>
        </w:rPr>
        <w:t>除非得到甲方的书面同意，乙方不得部分分包给他人供应。</w:t>
      </w:r>
    </w:p>
    <w:p w14:paraId="3539110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lang w:eastAsia="zh-CN"/>
        </w:rPr>
        <w:t>3.</w:t>
      </w:r>
      <w:r>
        <w:rPr>
          <w:rFonts w:hint="eastAsia" w:ascii="宋体" w:hAnsi="宋体" w:eastAsia="宋体" w:cs="宋体"/>
          <w:color w:val="auto"/>
          <w:sz w:val="24"/>
          <w:szCs w:val="24"/>
          <w:highlight w:val="none"/>
          <w:shd w:val="clear" w:color="auto" w:fill="FFFFFF"/>
        </w:rPr>
        <w:t>如有转让和未经甲方同意的分包行为，甲方有权给予终止合同。</w:t>
      </w:r>
    </w:p>
    <w:p w14:paraId="1A7D2249">
      <w:pPr>
        <w:numPr>
          <w:ilvl w:val="0"/>
          <w:numId w:val="2"/>
        </w:numPr>
        <w:spacing w:line="400" w:lineRule="exact"/>
        <w:ind w:left="-420" w:firstLine="420"/>
        <w:jc w:val="left"/>
        <w:rPr>
          <w:rFonts w:hint="eastAsia" w:ascii="宋体" w:hAnsi="宋体" w:eastAsia="宋体" w:cs="宋体"/>
          <w:b/>
          <w:color w:val="auto"/>
          <w:sz w:val="24"/>
          <w:szCs w:val="24"/>
          <w:highlight w:val="none"/>
          <w:shd w:val="clear" w:color="auto" w:fill="FFFFFF"/>
        </w:rPr>
      </w:pPr>
      <w:r>
        <w:rPr>
          <w:rFonts w:hint="eastAsia" w:ascii="宋体" w:hAnsi="宋体" w:eastAsia="宋体" w:cs="宋体"/>
          <w:b/>
          <w:color w:val="auto"/>
          <w:sz w:val="24"/>
          <w:szCs w:val="24"/>
          <w:highlight w:val="none"/>
          <w:shd w:val="clear" w:color="auto" w:fill="FFFFFF"/>
        </w:rPr>
        <w:t>交货期、交货方式及交货地点</w:t>
      </w:r>
    </w:p>
    <w:p w14:paraId="39DF01D4">
      <w:pPr>
        <w:spacing w:line="400" w:lineRule="exact"/>
        <w:ind w:firstLine="480" w:firstLineChars="200"/>
        <w:jc w:val="left"/>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详见磋商文件</w:t>
      </w:r>
    </w:p>
    <w:p w14:paraId="3F7864EB">
      <w:pPr>
        <w:numPr>
          <w:ilvl w:val="0"/>
          <w:numId w:val="2"/>
        </w:numPr>
        <w:spacing w:line="400" w:lineRule="exact"/>
        <w:ind w:left="-420" w:firstLine="420"/>
        <w:jc w:val="left"/>
        <w:rPr>
          <w:rFonts w:hint="eastAsia" w:ascii="宋体" w:hAnsi="宋体" w:eastAsia="宋体" w:cs="宋体"/>
          <w:b/>
          <w:color w:val="auto"/>
          <w:sz w:val="24"/>
          <w:szCs w:val="24"/>
          <w:highlight w:val="none"/>
          <w:u w:val="single"/>
          <w:shd w:val="clear" w:color="auto" w:fill="FFFFFF"/>
        </w:rPr>
      </w:pPr>
      <w:r>
        <w:rPr>
          <w:rFonts w:hint="eastAsia" w:ascii="宋体" w:hAnsi="宋体" w:eastAsia="宋体" w:cs="宋体"/>
          <w:b/>
          <w:color w:val="auto"/>
          <w:sz w:val="24"/>
          <w:szCs w:val="24"/>
          <w:highlight w:val="none"/>
          <w:shd w:val="clear" w:color="auto" w:fill="FFFFFF"/>
        </w:rPr>
        <w:t>合同款支付</w:t>
      </w:r>
    </w:p>
    <w:p w14:paraId="7D0374A2">
      <w:pPr>
        <w:spacing w:line="400" w:lineRule="exact"/>
        <w:ind w:firstLine="480" w:firstLineChars="200"/>
        <w:jc w:val="left"/>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详见磋商文件</w:t>
      </w:r>
    </w:p>
    <w:p w14:paraId="3669C85C">
      <w:pPr>
        <w:numPr>
          <w:ilvl w:val="0"/>
          <w:numId w:val="2"/>
        </w:numPr>
        <w:spacing w:line="400" w:lineRule="exact"/>
        <w:ind w:left="-420" w:firstLine="420"/>
        <w:jc w:val="left"/>
        <w:rPr>
          <w:rFonts w:hint="eastAsia" w:ascii="宋体" w:hAnsi="宋体" w:eastAsia="宋体" w:cs="宋体"/>
          <w:b/>
          <w:color w:val="auto"/>
          <w:sz w:val="24"/>
          <w:szCs w:val="24"/>
          <w:highlight w:val="none"/>
          <w:shd w:val="clear" w:color="auto" w:fill="FFFFFF"/>
        </w:rPr>
      </w:pPr>
      <w:r>
        <w:rPr>
          <w:rFonts w:hint="eastAsia" w:ascii="宋体" w:hAnsi="宋体" w:eastAsia="宋体" w:cs="宋体"/>
          <w:b/>
          <w:color w:val="auto"/>
          <w:sz w:val="24"/>
          <w:szCs w:val="24"/>
          <w:highlight w:val="none"/>
          <w:shd w:val="clear" w:color="auto" w:fill="FFFFFF"/>
        </w:rPr>
        <w:t>税</w:t>
      </w:r>
    </w:p>
    <w:p w14:paraId="44764F1B">
      <w:pPr>
        <w:spacing w:line="400" w:lineRule="exact"/>
        <w:ind w:firstLine="480" w:firstLineChars="200"/>
        <w:jc w:val="left"/>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本合同执行中相关的一切税费均由乙方负担。</w:t>
      </w:r>
    </w:p>
    <w:p w14:paraId="507B54C6">
      <w:pPr>
        <w:numPr>
          <w:ilvl w:val="0"/>
          <w:numId w:val="2"/>
        </w:numPr>
        <w:spacing w:line="400" w:lineRule="exact"/>
        <w:ind w:left="-420" w:firstLine="420"/>
        <w:jc w:val="left"/>
        <w:rPr>
          <w:rFonts w:hint="eastAsia" w:ascii="宋体" w:hAnsi="宋体" w:eastAsia="宋体" w:cs="宋体"/>
          <w:color w:val="auto"/>
          <w:sz w:val="24"/>
          <w:szCs w:val="24"/>
          <w:highlight w:val="none"/>
          <w:shd w:val="clear" w:color="auto" w:fill="FFFFFF"/>
        </w:rPr>
      </w:pPr>
      <w:r>
        <w:rPr>
          <w:rFonts w:hint="eastAsia" w:ascii="宋体" w:hAnsi="宋体" w:eastAsia="宋体" w:cs="宋体"/>
          <w:b/>
          <w:color w:val="auto"/>
          <w:sz w:val="24"/>
          <w:szCs w:val="24"/>
          <w:highlight w:val="none"/>
          <w:shd w:val="clear" w:color="auto" w:fill="FFFFFF"/>
        </w:rPr>
        <w:t>质量保证及售后服务</w:t>
      </w:r>
    </w:p>
    <w:p w14:paraId="5E168928">
      <w:pPr>
        <w:numPr>
          <w:ilvl w:val="0"/>
          <w:numId w:val="0"/>
        </w:numPr>
        <w:spacing w:line="400" w:lineRule="exact"/>
        <w:ind w:firstLine="480" w:firstLineChars="200"/>
        <w:jc w:val="left"/>
        <w:rPr>
          <w:rFonts w:hint="eastAsia" w:ascii="宋体" w:hAnsi="宋体" w:eastAsia="宋体" w:cs="宋体"/>
          <w:b/>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lang w:val="en-US" w:eastAsia="zh-CN"/>
        </w:rPr>
        <w:t>详见磋商文件及响应文件（响应文件优于磋商文件的，以响应文件为准）</w:t>
      </w:r>
    </w:p>
    <w:p w14:paraId="3079834E">
      <w:pPr>
        <w:numPr>
          <w:ilvl w:val="0"/>
          <w:numId w:val="2"/>
        </w:numPr>
        <w:spacing w:line="400" w:lineRule="exact"/>
        <w:ind w:left="-420" w:firstLine="420"/>
        <w:jc w:val="left"/>
        <w:rPr>
          <w:rFonts w:hint="eastAsia" w:ascii="宋体" w:hAnsi="宋体" w:eastAsia="宋体" w:cs="宋体"/>
          <w:b/>
          <w:color w:val="auto"/>
          <w:sz w:val="24"/>
          <w:szCs w:val="24"/>
          <w:highlight w:val="none"/>
          <w:shd w:val="clear" w:color="auto" w:fill="FFFFFF"/>
        </w:rPr>
      </w:pPr>
      <w:r>
        <w:rPr>
          <w:rFonts w:hint="eastAsia" w:ascii="宋体" w:hAnsi="宋体" w:eastAsia="宋体" w:cs="宋体"/>
          <w:b/>
          <w:color w:val="auto"/>
          <w:sz w:val="24"/>
          <w:szCs w:val="24"/>
          <w:highlight w:val="none"/>
          <w:shd w:val="clear" w:color="auto" w:fill="FFFFFF"/>
        </w:rPr>
        <w:t>验收</w:t>
      </w:r>
    </w:p>
    <w:p w14:paraId="219FA5CD">
      <w:pPr>
        <w:numPr>
          <w:ilvl w:val="0"/>
          <w:numId w:val="0"/>
        </w:numPr>
        <w:spacing w:line="400" w:lineRule="exact"/>
        <w:ind w:firstLine="480" w:firstLineChars="200"/>
        <w:jc w:val="left"/>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详见磋商文件及响应文件（响应文件优于磋商文件的，以响应文件为准）</w:t>
      </w:r>
    </w:p>
    <w:p w14:paraId="3FD68053">
      <w:pPr>
        <w:numPr>
          <w:ilvl w:val="0"/>
          <w:numId w:val="2"/>
        </w:numPr>
        <w:spacing w:line="400" w:lineRule="exact"/>
        <w:ind w:left="-420" w:firstLine="420"/>
        <w:jc w:val="left"/>
        <w:rPr>
          <w:rFonts w:hint="eastAsia" w:ascii="宋体" w:hAnsi="宋体" w:eastAsia="宋体" w:cs="宋体"/>
          <w:b/>
          <w:color w:val="auto"/>
          <w:sz w:val="24"/>
          <w:szCs w:val="24"/>
          <w:highlight w:val="none"/>
          <w:shd w:val="clear" w:color="auto" w:fill="FFFFFF"/>
        </w:rPr>
      </w:pPr>
      <w:r>
        <w:rPr>
          <w:rFonts w:hint="eastAsia" w:ascii="宋体" w:hAnsi="宋体" w:eastAsia="宋体" w:cs="宋体"/>
          <w:b/>
          <w:color w:val="auto"/>
          <w:sz w:val="24"/>
          <w:szCs w:val="24"/>
          <w:highlight w:val="none"/>
          <w:shd w:val="clear" w:color="auto" w:fill="FFFFFF"/>
        </w:rPr>
        <w:t>货物包装、发运及运输</w:t>
      </w:r>
    </w:p>
    <w:p w14:paraId="46F3E19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lang w:eastAsia="zh-CN"/>
        </w:rPr>
        <w:t>1.</w:t>
      </w:r>
      <w:r>
        <w:rPr>
          <w:rFonts w:hint="eastAsia" w:ascii="宋体" w:hAnsi="宋体" w:eastAsia="宋体" w:cs="宋体"/>
          <w:color w:val="auto"/>
          <w:sz w:val="24"/>
          <w:szCs w:val="24"/>
          <w:highlight w:val="none"/>
          <w:shd w:val="clear" w:color="auto" w:fill="FFFFFF"/>
        </w:rPr>
        <w:t>乙方应在货物发运前对其进行满足运输距离、防潮、防震、防锈和防破损装卸等要求包装，以保证货物安全运达甲方指定地点。</w:t>
      </w:r>
    </w:p>
    <w:p w14:paraId="2DEF7FC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lang w:eastAsia="zh-CN"/>
        </w:rPr>
        <w:t>2.</w:t>
      </w:r>
      <w:r>
        <w:rPr>
          <w:rFonts w:hint="eastAsia" w:ascii="宋体" w:hAnsi="宋体" w:eastAsia="宋体" w:cs="宋体"/>
          <w:color w:val="auto"/>
          <w:sz w:val="24"/>
          <w:szCs w:val="24"/>
          <w:highlight w:val="none"/>
          <w:shd w:val="clear" w:color="auto" w:fill="FFFFFF"/>
        </w:rPr>
        <w:t>使用说明书、质量检验证明书、随配附件和工具以及清单一并附于货物内。</w:t>
      </w:r>
    </w:p>
    <w:p w14:paraId="7117C26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lang w:eastAsia="zh-CN"/>
        </w:rPr>
        <w:t>3.</w:t>
      </w:r>
      <w:r>
        <w:rPr>
          <w:rFonts w:hint="eastAsia" w:ascii="宋体" w:hAnsi="宋体" w:eastAsia="宋体" w:cs="宋体"/>
          <w:color w:val="auto"/>
          <w:sz w:val="24"/>
          <w:szCs w:val="24"/>
          <w:highlight w:val="none"/>
          <w:shd w:val="clear" w:color="auto" w:fill="FFFFFF"/>
        </w:rPr>
        <w:t>乙方在货物发运手续办理完毕后24小时内或货到甲方48小时前通知甲方，以准备接货。</w:t>
      </w:r>
    </w:p>
    <w:p w14:paraId="27B604D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lang w:eastAsia="zh-CN"/>
        </w:rPr>
        <w:t>4.</w:t>
      </w:r>
      <w:r>
        <w:rPr>
          <w:rFonts w:hint="eastAsia" w:ascii="宋体" w:hAnsi="宋体" w:eastAsia="宋体" w:cs="宋体"/>
          <w:color w:val="auto"/>
          <w:sz w:val="24"/>
          <w:szCs w:val="24"/>
          <w:highlight w:val="none"/>
          <w:shd w:val="clear" w:color="auto" w:fill="FFFFFF"/>
        </w:rPr>
        <w:t>货物在交付甲方前发生的风险均由乙方负责。</w:t>
      </w:r>
    </w:p>
    <w:p w14:paraId="7FEC46D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lang w:eastAsia="zh-CN"/>
        </w:rPr>
        <w:t>5.</w:t>
      </w:r>
      <w:r>
        <w:rPr>
          <w:rFonts w:hint="eastAsia" w:ascii="宋体" w:hAnsi="宋体" w:eastAsia="宋体" w:cs="宋体"/>
          <w:color w:val="auto"/>
          <w:sz w:val="24"/>
          <w:szCs w:val="24"/>
          <w:highlight w:val="none"/>
          <w:shd w:val="clear" w:color="auto" w:fill="FFFFFF"/>
        </w:rPr>
        <w:t>货物在规定的交付期限内由乙方送达甲方指定的地点视为交付，乙方同时需通知甲方货物已送达。</w:t>
      </w:r>
    </w:p>
    <w:p w14:paraId="0E80A13A">
      <w:pPr>
        <w:numPr>
          <w:ilvl w:val="0"/>
          <w:numId w:val="2"/>
        </w:numPr>
        <w:spacing w:line="400" w:lineRule="exact"/>
        <w:ind w:left="-420" w:firstLine="420"/>
        <w:jc w:val="left"/>
        <w:rPr>
          <w:rFonts w:hint="eastAsia" w:ascii="宋体" w:hAnsi="宋体" w:eastAsia="宋体" w:cs="宋体"/>
          <w:b/>
          <w:color w:val="auto"/>
          <w:sz w:val="24"/>
          <w:szCs w:val="24"/>
          <w:highlight w:val="none"/>
          <w:shd w:val="clear" w:color="auto" w:fill="FFFFFF"/>
        </w:rPr>
      </w:pPr>
      <w:r>
        <w:rPr>
          <w:rFonts w:hint="eastAsia" w:ascii="宋体" w:hAnsi="宋体" w:eastAsia="宋体" w:cs="宋体"/>
          <w:b/>
          <w:color w:val="auto"/>
          <w:sz w:val="24"/>
          <w:szCs w:val="24"/>
          <w:highlight w:val="none"/>
          <w:shd w:val="clear" w:color="auto" w:fill="FFFFFF"/>
        </w:rPr>
        <w:t>违约责任</w:t>
      </w:r>
    </w:p>
    <w:p w14:paraId="55F70B5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lang w:val="en-US" w:eastAsia="zh-CN"/>
        </w:rPr>
        <w:t>1.</w:t>
      </w:r>
      <w:r>
        <w:rPr>
          <w:rFonts w:hint="eastAsia" w:ascii="宋体" w:hAnsi="宋体" w:eastAsia="宋体" w:cs="宋体"/>
          <w:color w:val="auto"/>
          <w:sz w:val="24"/>
          <w:szCs w:val="24"/>
          <w:highlight w:val="none"/>
          <w:shd w:val="clear" w:color="auto" w:fill="FFFFFF"/>
        </w:rPr>
        <w:t>乙方逾期交付货物的，乙方应按逾期交货总额每日千分之五向甲方支付违约金，由甲方从待付货款中扣除。逾期超过约定日期10个工作日不能交货的，甲方可解除本合同。乙方因逾期交货或因其他违约行为导致甲方解除合同的，其履约保证金不予退还，如造成甲方损失超过履约保证金的，超出部分由乙方继续承担赔偿责任。</w:t>
      </w:r>
    </w:p>
    <w:p w14:paraId="417FA52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lang w:val="en-US" w:eastAsia="zh-CN"/>
        </w:rPr>
        <w:t>2.</w:t>
      </w:r>
      <w:r>
        <w:rPr>
          <w:rFonts w:hint="eastAsia" w:ascii="宋体" w:hAnsi="宋体" w:eastAsia="宋体" w:cs="宋体"/>
          <w:color w:val="auto"/>
          <w:sz w:val="24"/>
          <w:szCs w:val="24"/>
          <w:highlight w:val="none"/>
          <w:shd w:val="clear" w:color="auto" w:fill="FFFFFF"/>
        </w:rPr>
        <w:t>乙方所交的货物品种、型号、规格、技术参数、质量不符合合同规定及</w:t>
      </w:r>
      <w:r>
        <w:rPr>
          <w:rFonts w:hint="eastAsia" w:ascii="宋体" w:hAnsi="宋体" w:eastAsia="宋体" w:cs="宋体"/>
          <w:color w:val="auto"/>
          <w:sz w:val="24"/>
          <w:szCs w:val="24"/>
          <w:highlight w:val="none"/>
          <w:shd w:val="clear" w:color="auto" w:fill="FFFFFF"/>
          <w:lang w:val="en-US" w:eastAsia="zh-CN"/>
        </w:rPr>
        <w:t>磋商文件</w:t>
      </w:r>
      <w:r>
        <w:rPr>
          <w:rFonts w:hint="eastAsia" w:ascii="宋体" w:hAnsi="宋体" w:eastAsia="宋体" w:cs="宋体"/>
          <w:color w:val="auto"/>
          <w:sz w:val="24"/>
          <w:szCs w:val="24"/>
          <w:highlight w:val="none"/>
          <w:shd w:val="clear" w:color="auto" w:fill="FFFFFF"/>
        </w:rPr>
        <w:t>规定标准的，甲方有权拒收该货物，乙方愿意更换货物但逾期交货的，按乙方逾期交货处理。乙方拒绝更换货物的，甲方可单方面解除合同。</w:t>
      </w:r>
    </w:p>
    <w:p w14:paraId="18D78D5E">
      <w:pPr>
        <w:numPr>
          <w:ilvl w:val="0"/>
          <w:numId w:val="2"/>
        </w:numPr>
        <w:spacing w:line="400" w:lineRule="exact"/>
        <w:ind w:left="-420" w:firstLine="420"/>
        <w:jc w:val="left"/>
        <w:rPr>
          <w:rFonts w:hint="eastAsia" w:ascii="宋体" w:hAnsi="宋体" w:eastAsia="宋体" w:cs="宋体"/>
          <w:b/>
          <w:color w:val="auto"/>
          <w:sz w:val="24"/>
          <w:szCs w:val="24"/>
          <w:highlight w:val="none"/>
          <w:shd w:val="clear" w:color="auto" w:fill="FFFFFF"/>
        </w:rPr>
      </w:pPr>
      <w:r>
        <w:rPr>
          <w:rFonts w:hint="eastAsia" w:ascii="宋体" w:hAnsi="宋体" w:eastAsia="宋体" w:cs="宋体"/>
          <w:b/>
          <w:color w:val="auto"/>
          <w:sz w:val="24"/>
          <w:szCs w:val="24"/>
          <w:highlight w:val="none"/>
          <w:shd w:val="clear" w:color="auto" w:fill="FFFFFF"/>
        </w:rPr>
        <w:t>不可抗力事件处理</w:t>
      </w:r>
    </w:p>
    <w:p w14:paraId="40C0B30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lang w:eastAsia="zh-CN"/>
        </w:rPr>
        <w:t>1.在合同有效期内，任何一方因不可抗力事件导致不能履行合同，则合同履行期可延长，其延长期与不可抗力影响期相同。</w:t>
      </w:r>
    </w:p>
    <w:p w14:paraId="3952359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lang w:eastAsia="zh-CN"/>
        </w:rPr>
        <w:t>2.不可抗力事件发生后，应立即通知对方，并寄送有关权威机构出具的证明。</w:t>
      </w:r>
    </w:p>
    <w:p w14:paraId="3ABB973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lang w:eastAsia="zh-CN"/>
        </w:rPr>
        <w:t>3.不可抗力事件延续120天以上，双方应通过友好协商，确定是否继续履行合同。</w:t>
      </w:r>
    </w:p>
    <w:p w14:paraId="1EA476DD">
      <w:pPr>
        <w:numPr>
          <w:ilvl w:val="0"/>
          <w:numId w:val="2"/>
        </w:numPr>
        <w:spacing w:line="400" w:lineRule="exact"/>
        <w:ind w:left="-420" w:firstLine="420"/>
        <w:jc w:val="left"/>
        <w:rPr>
          <w:rFonts w:hint="eastAsia" w:ascii="宋体" w:hAnsi="宋体" w:eastAsia="宋体" w:cs="宋体"/>
          <w:b/>
          <w:color w:val="auto"/>
          <w:sz w:val="24"/>
          <w:szCs w:val="24"/>
          <w:highlight w:val="none"/>
          <w:shd w:val="clear" w:color="auto" w:fill="FFFFFF"/>
        </w:rPr>
      </w:pPr>
      <w:r>
        <w:rPr>
          <w:rFonts w:hint="eastAsia" w:ascii="宋体" w:hAnsi="宋体" w:eastAsia="宋体" w:cs="宋体"/>
          <w:b/>
          <w:color w:val="auto"/>
          <w:sz w:val="24"/>
          <w:szCs w:val="24"/>
          <w:highlight w:val="none"/>
          <w:shd w:val="clear" w:color="auto" w:fill="FFFFFF"/>
        </w:rPr>
        <w:t>诉讼</w:t>
      </w:r>
    </w:p>
    <w:p w14:paraId="46D25A6A">
      <w:pPr>
        <w:spacing w:line="400" w:lineRule="exact"/>
        <w:ind w:firstLine="330"/>
        <w:jc w:val="left"/>
        <w:rPr>
          <w:rFonts w:hint="eastAsia" w:ascii="宋体" w:hAnsi="宋体" w:eastAsia="宋体" w:cs="宋体"/>
          <w:b/>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双方在执行合同中所发生的一切争议，应通过协商解决。如协商不成，可向合同签订地法院起诉，合同签订地在此约定为泰州市。</w:t>
      </w:r>
    </w:p>
    <w:p w14:paraId="7BA9AA0B">
      <w:pPr>
        <w:numPr>
          <w:ilvl w:val="0"/>
          <w:numId w:val="2"/>
        </w:numPr>
        <w:spacing w:line="400" w:lineRule="exact"/>
        <w:ind w:left="-420" w:firstLine="42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组成本合同的文件包括：</w:t>
      </w:r>
    </w:p>
    <w:p w14:paraId="7C17A286">
      <w:pPr>
        <w:keepNext w:val="0"/>
        <w:keepLines w:val="0"/>
        <w:pageBreakBefore w:val="0"/>
        <w:widowControl/>
        <w:numPr>
          <w:ilvl w:val="0"/>
          <w:numId w:val="3"/>
        </w:numPr>
        <w:spacing w:line="400" w:lineRule="exact"/>
        <w:ind w:left="845" w:hanging="4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本项目的</w:t>
      </w:r>
      <w:r>
        <w:rPr>
          <w:rFonts w:hint="eastAsia" w:ascii="宋体" w:hAnsi="宋体" w:eastAsia="宋体" w:cs="宋体"/>
          <w:color w:val="auto"/>
          <w:sz w:val="24"/>
          <w:szCs w:val="24"/>
          <w:highlight w:val="none"/>
          <w:lang w:val="en-US" w:eastAsia="zh-CN"/>
        </w:rPr>
        <w:t>磋商文件</w:t>
      </w:r>
    </w:p>
    <w:p w14:paraId="6750EF9D">
      <w:pPr>
        <w:keepNext w:val="0"/>
        <w:keepLines w:val="0"/>
        <w:pageBreakBefore w:val="0"/>
        <w:widowControl/>
        <w:numPr>
          <w:ilvl w:val="0"/>
          <w:numId w:val="3"/>
        </w:numPr>
        <w:spacing w:line="400" w:lineRule="exact"/>
        <w:ind w:left="845" w:hanging="4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乙方提供的</w:t>
      </w:r>
      <w:r>
        <w:rPr>
          <w:rFonts w:hint="eastAsia" w:ascii="宋体" w:hAnsi="宋体" w:eastAsia="宋体" w:cs="宋体"/>
          <w:color w:val="auto"/>
          <w:sz w:val="24"/>
          <w:szCs w:val="24"/>
          <w:highlight w:val="none"/>
          <w:lang w:val="en-US" w:eastAsia="zh-CN"/>
        </w:rPr>
        <w:t>响应文件</w:t>
      </w:r>
    </w:p>
    <w:p w14:paraId="422D7E00">
      <w:pPr>
        <w:keepNext w:val="0"/>
        <w:keepLines w:val="0"/>
        <w:pageBreakBefore w:val="0"/>
        <w:widowControl/>
        <w:numPr>
          <w:ilvl w:val="0"/>
          <w:numId w:val="3"/>
        </w:numPr>
        <w:spacing w:line="400" w:lineRule="exact"/>
        <w:ind w:left="845" w:hanging="4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投标</w:t>
      </w:r>
      <w:r>
        <w:rPr>
          <w:rFonts w:hint="eastAsia" w:ascii="宋体" w:hAnsi="宋体" w:eastAsia="宋体" w:cs="宋体"/>
          <w:color w:val="auto"/>
          <w:sz w:val="24"/>
          <w:szCs w:val="24"/>
          <w:highlight w:val="none"/>
        </w:rPr>
        <w:t>承诺/服务承诺</w:t>
      </w:r>
    </w:p>
    <w:p w14:paraId="7730981D">
      <w:pPr>
        <w:keepNext w:val="0"/>
        <w:keepLines w:val="0"/>
        <w:pageBreakBefore w:val="0"/>
        <w:widowControl/>
        <w:numPr>
          <w:ilvl w:val="0"/>
          <w:numId w:val="3"/>
        </w:numPr>
        <w:spacing w:line="400" w:lineRule="exact"/>
        <w:ind w:left="845" w:hanging="4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成交</w:t>
      </w:r>
      <w:r>
        <w:rPr>
          <w:rFonts w:hint="eastAsia" w:ascii="宋体" w:hAnsi="宋体" w:eastAsia="宋体" w:cs="宋体"/>
          <w:color w:val="auto"/>
          <w:sz w:val="24"/>
          <w:szCs w:val="24"/>
          <w:highlight w:val="none"/>
        </w:rPr>
        <w:t>通知书</w:t>
      </w:r>
    </w:p>
    <w:p w14:paraId="46E85B47">
      <w:pPr>
        <w:keepNext w:val="0"/>
        <w:keepLines w:val="0"/>
        <w:pageBreakBefore w:val="0"/>
        <w:widowControl/>
        <w:numPr>
          <w:ilvl w:val="0"/>
          <w:numId w:val="3"/>
        </w:numPr>
        <w:spacing w:line="400" w:lineRule="exact"/>
        <w:ind w:left="845" w:hanging="4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甲乙双方商定的其他文件等</w:t>
      </w:r>
    </w:p>
    <w:p w14:paraId="4CE9DFC1">
      <w:pPr>
        <w:numPr>
          <w:ilvl w:val="0"/>
          <w:numId w:val="2"/>
        </w:numPr>
        <w:spacing w:line="400" w:lineRule="exact"/>
        <w:ind w:left="-420" w:firstLine="42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合同生效及其他</w:t>
      </w:r>
    </w:p>
    <w:p w14:paraId="62D091B9">
      <w:pPr>
        <w:keepNext w:val="0"/>
        <w:keepLines w:val="0"/>
        <w:pageBreakBefore w:val="0"/>
        <w:widowControl/>
        <w:spacing w:line="400" w:lineRule="exact"/>
        <w:ind w:firstLine="48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1.</w:t>
      </w:r>
      <w:r>
        <w:rPr>
          <w:rFonts w:hint="eastAsia" w:ascii="宋体" w:hAnsi="宋体" w:eastAsia="宋体" w:cs="宋体"/>
          <w:color w:val="auto"/>
          <w:sz w:val="24"/>
          <w:szCs w:val="24"/>
          <w:highlight w:val="none"/>
        </w:rPr>
        <w:t>本合同自签订之日起生效。</w:t>
      </w:r>
    </w:p>
    <w:p w14:paraId="72B4600C">
      <w:pPr>
        <w:keepNext w:val="0"/>
        <w:keepLines w:val="0"/>
        <w:pageBreakBefore w:val="0"/>
        <w:widowControl/>
        <w:shd w:val="clear" w:color="auto" w:fill="FFFFFF"/>
        <w:spacing w:line="400" w:lineRule="exact"/>
        <w:ind w:firstLine="48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2.</w:t>
      </w:r>
      <w:r>
        <w:rPr>
          <w:rFonts w:hint="eastAsia" w:ascii="宋体" w:hAnsi="宋体" w:eastAsia="宋体" w:cs="宋体"/>
          <w:color w:val="auto"/>
          <w:sz w:val="24"/>
          <w:szCs w:val="24"/>
          <w:highlight w:val="none"/>
        </w:rPr>
        <w:t>本合同未尽事宜，双方可另签补充协议，补充协议具有同等法律效力。</w:t>
      </w:r>
    </w:p>
    <w:p w14:paraId="3BC72013">
      <w:pPr>
        <w:keepNext w:val="0"/>
        <w:keepLines w:val="0"/>
        <w:pageBreakBefore w:val="0"/>
        <w:widowControl/>
        <w:shd w:val="clear" w:color="auto" w:fill="FFFFFF"/>
        <w:spacing w:line="400" w:lineRule="exact"/>
        <w:ind w:firstLine="48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3.</w:t>
      </w:r>
      <w:r>
        <w:rPr>
          <w:rFonts w:hint="eastAsia" w:ascii="宋体" w:hAnsi="宋体" w:eastAsia="宋体" w:cs="宋体"/>
          <w:color w:val="auto"/>
          <w:sz w:val="24"/>
          <w:szCs w:val="24"/>
          <w:highlight w:val="none"/>
        </w:rPr>
        <w:t>本合同一式</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份，具有同等法律效力，甲方、乙方各执</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采购代理机构贰份。</w:t>
      </w:r>
    </w:p>
    <w:p w14:paraId="5E8CBF25">
      <w:pPr>
        <w:keepNext w:val="0"/>
        <w:keepLines w:val="0"/>
        <w:pageBreakBefore w:val="0"/>
        <w:widowControl/>
        <w:spacing w:line="400" w:lineRule="exact"/>
        <w:ind w:firstLine="48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w:t>
      </w:r>
    </w:p>
    <w:p w14:paraId="4070F3CA">
      <w:pPr>
        <w:keepNext w:val="0"/>
        <w:keepLines w:val="0"/>
        <w:pageBreakBefore w:val="0"/>
        <w:widowControl/>
        <w:spacing w:line="400" w:lineRule="exact"/>
        <w:ind w:firstLine="480"/>
        <w:rPr>
          <w:rFonts w:hint="eastAsia" w:ascii="宋体" w:hAnsi="宋体" w:eastAsia="宋体" w:cs="宋体"/>
          <w:color w:val="auto"/>
          <w:sz w:val="24"/>
          <w:szCs w:val="24"/>
          <w:highlight w:val="none"/>
          <w:lang w:val="en-US" w:eastAsia="zh-CN"/>
        </w:rPr>
      </w:pPr>
    </w:p>
    <w:p w14:paraId="172CEC8B">
      <w:pPr>
        <w:keepNext w:val="0"/>
        <w:keepLines w:val="0"/>
        <w:pageBreakBefore w:val="0"/>
        <w:widowControl/>
        <w:spacing w:line="400" w:lineRule="exact"/>
        <w:ind w:firstLine="480"/>
        <w:rPr>
          <w:rFonts w:hint="eastAsia" w:ascii="宋体" w:hAnsi="宋体" w:eastAsia="宋体" w:cs="宋体"/>
          <w:color w:val="auto"/>
          <w:sz w:val="24"/>
          <w:szCs w:val="24"/>
          <w:highlight w:val="none"/>
          <w:lang w:val="en-US" w:eastAsia="zh-CN"/>
        </w:rPr>
      </w:pPr>
    </w:p>
    <w:p w14:paraId="53D15787">
      <w:pPr>
        <w:keepNext w:val="0"/>
        <w:keepLines w:val="0"/>
        <w:pageBreakBefore w:val="0"/>
        <w:widowControl/>
        <w:spacing w:line="400" w:lineRule="exact"/>
        <w:ind w:firstLine="480"/>
        <w:rPr>
          <w:rFonts w:hint="eastAsia" w:ascii="宋体" w:hAnsi="宋体" w:eastAsia="宋体" w:cs="宋体"/>
          <w:color w:val="auto"/>
          <w:sz w:val="24"/>
          <w:szCs w:val="24"/>
          <w:highlight w:val="none"/>
          <w:lang w:val="en-US" w:eastAsia="zh-CN"/>
        </w:rPr>
      </w:pPr>
    </w:p>
    <w:p w14:paraId="04038E44">
      <w:pPr>
        <w:keepNext w:val="0"/>
        <w:keepLines w:val="0"/>
        <w:pageBreakBefore w:val="0"/>
        <w:widowControl/>
        <w:spacing w:line="40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甲方</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CN"/>
        </w:rPr>
        <w:t>乙方</w:t>
      </w:r>
      <w:r>
        <w:rPr>
          <w:rFonts w:hint="eastAsia" w:ascii="宋体" w:hAnsi="宋体" w:eastAsia="宋体" w:cs="宋体"/>
          <w:color w:val="auto"/>
          <w:sz w:val="24"/>
          <w:szCs w:val="24"/>
          <w:highlight w:val="none"/>
        </w:rPr>
        <w:t xml:space="preserve">： </w:t>
      </w:r>
    </w:p>
    <w:p w14:paraId="6B223BA0">
      <w:pPr>
        <w:keepNext w:val="0"/>
        <w:keepLines w:val="0"/>
        <w:pageBreakBefore w:val="0"/>
        <w:widowControl/>
        <w:spacing w:line="400" w:lineRule="exact"/>
        <w:ind w:firstLine="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（公章或合同专用章）                   （公章或合同专用章）</w:t>
      </w:r>
    </w:p>
    <w:p w14:paraId="68F78D1C">
      <w:pPr>
        <w:keepNext w:val="0"/>
        <w:keepLines w:val="0"/>
        <w:pageBreakBefore w:val="0"/>
        <w:widowControl/>
        <w:spacing w:line="400" w:lineRule="exact"/>
        <w:ind w:firstLine="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 xml:space="preserve">法定代表人（授权代表）签字：            法定代表人（授权代表）签字：  </w:t>
      </w:r>
    </w:p>
    <w:p w14:paraId="45C3C86B">
      <w:pPr>
        <w:keepNext w:val="0"/>
        <w:keepLines w:val="0"/>
        <w:pageBreakBefore w:val="0"/>
        <w:widowControl/>
        <w:spacing w:line="400" w:lineRule="exact"/>
        <w:ind w:firstLine="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 xml:space="preserve">签订日期：                              签订日期：                 </w:t>
      </w:r>
      <w:r>
        <w:rPr>
          <w:rFonts w:hint="eastAsia" w:ascii="宋体" w:hAnsi="宋体" w:eastAsia="宋体" w:cs="宋体"/>
          <w:color w:val="auto"/>
          <w:sz w:val="24"/>
          <w:szCs w:val="24"/>
          <w:highlight w:val="none"/>
          <w:lang w:val="zh-CN"/>
        </w:rPr>
        <w:tab/>
      </w:r>
      <w:r>
        <w:rPr>
          <w:rFonts w:hint="eastAsia" w:ascii="宋体" w:hAnsi="宋体" w:eastAsia="宋体" w:cs="宋体"/>
          <w:color w:val="auto"/>
          <w:sz w:val="24"/>
          <w:szCs w:val="24"/>
          <w:highlight w:val="none"/>
          <w:lang w:val="zh-CN"/>
        </w:rPr>
        <w:tab/>
      </w:r>
    </w:p>
    <w:p w14:paraId="706B6B9E">
      <w:pPr>
        <w:keepNext w:val="0"/>
        <w:keepLines w:val="0"/>
        <w:pageBreakBefore w:val="0"/>
        <w:widowControl/>
        <w:spacing w:line="400" w:lineRule="exact"/>
        <w:ind w:firstLine="480"/>
        <w:rPr>
          <w:rFonts w:hint="eastAsia" w:ascii="宋体" w:hAnsi="宋体" w:eastAsia="宋体" w:cs="宋体"/>
          <w:color w:val="auto"/>
          <w:sz w:val="21"/>
          <w:szCs w:val="21"/>
          <w:highlight w:val="none"/>
          <w:lang w:val="zh-CN"/>
        </w:rPr>
      </w:pPr>
    </w:p>
    <w:p w14:paraId="4F44EF1B">
      <w:pPr>
        <w:spacing w:line="360" w:lineRule="auto"/>
        <w:rPr>
          <w:rFonts w:hint="eastAsia" w:ascii="Times New Roman" w:hAnsi="Times New Roman" w:eastAsia="黑体" w:cstheme="minorBidi"/>
          <w:b/>
          <w:bCs/>
          <w:color w:val="auto"/>
          <w:spacing w:val="0"/>
          <w:sz w:val="21"/>
          <w:szCs w:val="21"/>
          <w:highlight w:val="none"/>
          <w:lang w:val="en-US" w:eastAsia="zh-CN" w:bidi="ar-SA"/>
        </w:rPr>
        <w:sectPr>
          <w:footerReference r:id="rId6" w:type="default"/>
          <w:pgSz w:w="11906" w:h="16838"/>
          <w:pgMar w:top="1440" w:right="1080" w:bottom="1440" w:left="1080" w:header="851" w:footer="992" w:gutter="0"/>
          <w:pgNumType w:start="1"/>
          <w:cols w:space="1701" w:num="1"/>
          <w:docGrid w:linePitch="360" w:charSpace="0"/>
        </w:sectPr>
      </w:pPr>
      <w:r>
        <w:rPr>
          <w:rFonts w:hint="eastAsia" w:ascii="宋体" w:hAnsi="宋体" w:eastAsia="宋体" w:cs="宋体"/>
          <w:b/>
          <w:color w:val="auto"/>
          <w:spacing w:val="0"/>
          <w:sz w:val="21"/>
          <w:szCs w:val="21"/>
          <w:highlight w:val="none"/>
        </w:rPr>
        <w:br w:type="page" w:clear="all"/>
      </w:r>
    </w:p>
    <w:p w14:paraId="2FB104A7">
      <w:pPr>
        <w:pStyle w:val="228"/>
        <w:keepNext w:val="0"/>
        <w:jc w:val="center"/>
        <w:rPr>
          <w:rFonts w:hint="eastAsia" w:ascii="宋体" w:hAnsi="宋体" w:eastAsia="宋体" w:cs="宋体"/>
          <w:b/>
          <w:bCs/>
          <w:color w:val="auto"/>
          <w:sz w:val="32"/>
          <w:szCs w:val="32"/>
          <w:highlight w:val="none"/>
        </w:rPr>
      </w:pPr>
      <w:bookmarkStart w:id="107" w:name="_Toc22763"/>
      <w:r>
        <w:rPr>
          <w:rFonts w:hint="eastAsia" w:ascii="宋体" w:hAnsi="宋体" w:eastAsia="宋体" w:cs="宋体"/>
          <w:b/>
          <w:bCs/>
          <w:color w:val="auto"/>
          <w:sz w:val="32"/>
          <w:szCs w:val="32"/>
          <w:highlight w:val="none"/>
        </w:rPr>
        <w:t>第四章  项目需求</w:t>
      </w:r>
      <w:bookmarkEnd w:id="107"/>
    </w:p>
    <w:p w14:paraId="471125F6">
      <w:pPr>
        <w:pStyle w:val="259"/>
        <w:keepNext w:val="0"/>
        <w:keepLines w:val="0"/>
        <w:pageBreakBefore w:val="0"/>
        <w:kinsoku/>
        <w:wordWrap/>
        <w:overflowPunct/>
        <w:topLinePunct w:val="0"/>
        <w:autoSpaceDE/>
        <w:autoSpaceDN/>
        <w:bidi w:val="0"/>
        <w:adjustRightInd/>
        <w:snapToGrid/>
        <w:spacing w:line="360" w:lineRule="auto"/>
        <w:ind w:firstLine="422"/>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一、项目概况</w:t>
      </w:r>
    </w:p>
    <w:p w14:paraId="17ED6A77">
      <w:pPr>
        <w:pStyle w:val="3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right="0" w:firstLine="480" w:firstLineChars="200"/>
        <w:jc w:val="both"/>
        <w:rPr>
          <w:rFonts w:hint="eastAsia"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为全面提升公安机关侦查破案能力，更好地打击新型犯罪，泰州市公安局拟建设反诈骗和新型犯罪侦查中心，中心通过整合信息和数据资源，把分散在各部门的力量融合起来，形成快速反应、专业研判、协同作战的中枢系统。本项目为反诈骗和新型犯罪侦查中心一体化专用操控调度工程。</w:t>
      </w:r>
      <w:r>
        <w:rPr>
          <w:rFonts w:hint="eastAsia" w:eastAsia="宋体" w:cs="宋体"/>
          <w:color w:val="auto"/>
          <w:sz w:val="24"/>
          <w:szCs w:val="24"/>
          <w:highlight w:val="none"/>
          <w:lang w:val="en-US" w:eastAsia="zh-CN" w:bidi="ar-SA"/>
        </w:rPr>
        <w:t>具体清单详见</w:t>
      </w:r>
      <w:r>
        <w:rPr>
          <w:rFonts w:hint="eastAsia" w:cs="宋体"/>
          <w:color w:val="auto"/>
          <w:sz w:val="24"/>
          <w:szCs w:val="24"/>
          <w:highlight w:val="none"/>
          <w:lang w:val="en-US" w:eastAsia="zh-CN" w:bidi="ar-SA"/>
        </w:rPr>
        <w:t>最高限价清单</w:t>
      </w:r>
      <w:r>
        <w:rPr>
          <w:rFonts w:hint="eastAsia" w:eastAsia="宋体" w:cs="宋体"/>
          <w:color w:val="auto"/>
          <w:sz w:val="24"/>
          <w:szCs w:val="24"/>
          <w:highlight w:val="none"/>
          <w:lang w:val="en-US" w:eastAsia="zh-CN" w:bidi="ar-SA"/>
        </w:rPr>
        <w:t>。</w:t>
      </w:r>
    </w:p>
    <w:p w14:paraId="24D615C7">
      <w:pPr>
        <w:pStyle w:val="259"/>
        <w:keepNext w:val="0"/>
        <w:keepLines w:val="0"/>
        <w:pageBreakBefore w:val="0"/>
        <w:kinsoku/>
        <w:wordWrap/>
        <w:overflowPunct/>
        <w:topLinePunct w:val="0"/>
        <w:autoSpaceDE/>
        <w:autoSpaceDN/>
        <w:bidi w:val="0"/>
        <w:adjustRightInd/>
        <w:snapToGrid/>
        <w:spacing w:line="360" w:lineRule="auto"/>
        <w:ind w:firstLine="422"/>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lang w:val="zh-CN"/>
        </w:rPr>
        <w:t>、</w:t>
      </w:r>
      <w:r>
        <w:rPr>
          <w:rFonts w:hint="eastAsia" w:ascii="宋体" w:hAnsi="宋体" w:eastAsia="宋体" w:cs="宋体"/>
          <w:b/>
          <w:bCs/>
          <w:color w:val="auto"/>
          <w:sz w:val="24"/>
          <w:szCs w:val="24"/>
          <w:highlight w:val="none"/>
        </w:rPr>
        <w:t>商务要求</w:t>
      </w:r>
    </w:p>
    <w:p w14:paraId="7452AA90">
      <w:pPr>
        <w:pStyle w:val="259"/>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.合同履行期限：合同签署后，</w:t>
      </w:r>
      <w:r>
        <w:rPr>
          <w:rFonts w:hint="eastAsia" w:ascii="宋体" w:hAnsi="宋体" w:eastAsia="宋体" w:cs="宋体"/>
          <w:color w:val="auto"/>
          <w:sz w:val="24"/>
          <w:szCs w:val="24"/>
          <w:highlight w:val="none"/>
          <w:lang w:val="en-US" w:eastAsia="zh-CN"/>
        </w:rPr>
        <w:t>90</w:t>
      </w:r>
      <w:r>
        <w:rPr>
          <w:rFonts w:hint="eastAsia" w:ascii="宋体" w:hAnsi="宋体" w:eastAsia="宋体" w:cs="宋体"/>
          <w:color w:val="auto"/>
          <w:sz w:val="24"/>
          <w:szCs w:val="24"/>
          <w:highlight w:val="none"/>
        </w:rPr>
        <w:t>日内完成供货和安装。</w:t>
      </w:r>
    </w:p>
    <w:p w14:paraId="4675EAF7">
      <w:pPr>
        <w:pStyle w:val="259"/>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.合同形式：固定</w:t>
      </w:r>
      <w:r>
        <w:rPr>
          <w:rFonts w:hint="eastAsia" w:ascii="宋体" w:hAnsi="宋体" w:eastAsia="宋体" w:cs="宋体"/>
          <w:color w:val="auto"/>
          <w:sz w:val="24"/>
          <w:szCs w:val="24"/>
          <w:highlight w:val="none"/>
          <w:lang w:val="en-US" w:eastAsia="zh-CN"/>
        </w:rPr>
        <w:t>单</w:t>
      </w:r>
      <w:r>
        <w:rPr>
          <w:rFonts w:hint="eastAsia" w:ascii="宋体" w:hAnsi="宋体" w:eastAsia="宋体" w:cs="宋体"/>
          <w:color w:val="auto"/>
          <w:sz w:val="24"/>
          <w:szCs w:val="24"/>
          <w:highlight w:val="none"/>
        </w:rPr>
        <w:t>价合同。</w:t>
      </w:r>
    </w:p>
    <w:p w14:paraId="38208872">
      <w:pPr>
        <w:pageBreakBefore w:val="0"/>
        <w:widowControl w:val="0"/>
        <w:spacing w:line="360" w:lineRule="auto"/>
        <w:ind w:left="0" w:firstLine="420"/>
        <w:rPr>
          <w:rFonts w:hint="eastAsia" w:ascii="宋体" w:hAnsi="宋体" w:eastAsia="宋体" w:cs="宋体"/>
          <w:color w:val="auto"/>
          <w:spacing w:val="15"/>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.付款方式：</w:t>
      </w:r>
      <w:r>
        <w:rPr>
          <w:rFonts w:hint="eastAsia" w:ascii="宋体" w:hAnsi="宋体" w:eastAsia="宋体" w:cs="宋体"/>
          <w:color w:val="auto"/>
          <w:sz w:val="24"/>
          <w:szCs w:val="24"/>
          <w:highlight w:val="none"/>
          <w:lang w:val="en-US" w:eastAsia="zh-CN"/>
        </w:rPr>
        <w:t>合同签订后支付合同价的30%，</w:t>
      </w:r>
      <w:r>
        <w:rPr>
          <w:rFonts w:hint="eastAsia" w:ascii="宋体" w:hAnsi="宋体" w:eastAsia="宋体" w:cs="宋体"/>
          <w:color w:val="auto"/>
          <w:sz w:val="24"/>
          <w:szCs w:val="24"/>
          <w:highlight w:val="none"/>
        </w:rPr>
        <w:t>货到安装</w:t>
      </w:r>
      <w:r>
        <w:rPr>
          <w:rFonts w:hint="eastAsia" w:ascii="宋体" w:hAnsi="宋体" w:eastAsia="宋体" w:cs="宋体"/>
          <w:color w:val="auto"/>
          <w:sz w:val="24"/>
          <w:szCs w:val="24"/>
          <w:highlight w:val="none"/>
          <w:lang w:val="en-US" w:eastAsia="zh-CN"/>
        </w:rPr>
        <w:t>完成</w:t>
      </w:r>
      <w:r>
        <w:rPr>
          <w:rFonts w:hint="eastAsia" w:ascii="宋体" w:hAnsi="宋体" w:eastAsia="宋体" w:cs="宋体"/>
          <w:color w:val="auto"/>
          <w:sz w:val="24"/>
          <w:szCs w:val="24"/>
          <w:highlight w:val="none"/>
        </w:rPr>
        <w:t>验收合格后</w:t>
      </w:r>
      <w:r>
        <w:rPr>
          <w:rFonts w:hint="eastAsia" w:ascii="宋体" w:hAnsi="宋体" w:eastAsia="宋体" w:cs="宋体"/>
          <w:color w:val="auto"/>
          <w:sz w:val="24"/>
          <w:szCs w:val="24"/>
          <w:highlight w:val="none"/>
          <w:lang w:val="en-US" w:eastAsia="zh-CN"/>
        </w:rPr>
        <w:t>付至合同价的80%，竣工结算核对并双方确认签字后结清余款（扣除相关违约金、赔偿费用等）。</w:t>
      </w:r>
    </w:p>
    <w:p w14:paraId="2DC67D2F">
      <w:pPr>
        <w:keepLines w:val="0"/>
        <w:pageBreakBefore w:val="0"/>
        <w:spacing w:line="360" w:lineRule="auto"/>
        <w:ind w:firstLine="48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4.履约保证金：</w:t>
      </w:r>
    </w:p>
    <w:p w14:paraId="43C7DA3A">
      <w:pPr>
        <w:keepLines w:val="0"/>
        <w:pageBreakBefore w:val="0"/>
        <w:spacing w:line="360" w:lineRule="auto"/>
        <w:ind w:firstLine="48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4.1签订合同前，成交供应商应按竞争性磋商文件规定向采购人提交履约保证金。</w:t>
      </w:r>
    </w:p>
    <w:p w14:paraId="66A62769">
      <w:pPr>
        <w:keepLines w:val="0"/>
        <w:pageBreakBefore w:val="0"/>
        <w:spacing w:line="360" w:lineRule="auto"/>
        <w:ind w:firstLine="48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4.2签订合同后，如成交供应商不按合同履行约定的，则其全部履约保证金不予退还，履约保证金不足以赔偿损失的，按实际损失赔偿。</w:t>
      </w:r>
    </w:p>
    <w:p w14:paraId="03DF8024">
      <w:pPr>
        <w:keepLines w:val="0"/>
        <w:pageBreakBefore w:val="0"/>
        <w:spacing w:line="360" w:lineRule="auto"/>
        <w:ind w:firstLine="48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4.3履约保证金金额：成交金额的10%；</w:t>
      </w:r>
    </w:p>
    <w:p w14:paraId="3BBBE75B">
      <w:pPr>
        <w:keepLines w:val="0"/>
        <w:pageBreakBefore w:val="0"/>
        <w:spacing w:line="360" w:lineRule="auto"/>
        <w:ind w:firstLine="48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履约保证金的递交：签订合同时递交，采用支票、汇票、本票或者金融机构、担保机构出具的保函、保证保险等非现金形式；</w:t>
      </w:r>
    </w:p>
    <w:p w14:paraId="361C0E69">
      <w:pPr>
        <w:keepLines w:val="0"/>
        <w:pageBreakBefore w:val="0"/>
        <w:spacing w:line="360" w:lineRule="auto"/>
        <w:ind w:firstLine="48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履约保证金退还时间：履约保证金</w:t>
      </w:r>
      <w:r>
        <w:rPr>
          <w:rFonts w:hint="eastAsia" w:ascii="宋体" w:hAnsi="宋体" w:cs="宋体"/>
          <w:color w:val="auto"/>
          <w:sz w:val="24"/>
          <w:szCs w:val="24"/>
          <w:highlight w:val="none"/>
          <w:lang w:val="en-US" w:eastAsia="zh-CN" w:bidi="ar-SA"/>
        </w:rPr>
        <w:t>项目验收合格</w:t>
      </w:r>
      <w:r>
        <w:rPr>
          <w:rFonts w:hint="eastAsia" w:ascii="宋体" w:hAnsi="宋体" w:eastAsia="宋体" w:cs="宋体"/>
          <w:color w:val="auto"/>
          <w:sz w:val="24"/>
          <w:szCs w:val="24"/>
          <w:highlight w:val="none"/>
          <w:lang w:val="en-US" w:eastAsia="zh-CN" w:bidi="ar-SA"/>
        </w:rPr>
        <w:t>扣除成交供应商违约金罚金等费用后，无息返还剩余的履约保证金。</w:t>
      </w:r>
    </w:p>
    <w:p w14:paraId="0F63C104">
      <w:pPr>
        <w:keepLines w:val="0"/>
        <w:pageBreakBefore w:val="0"/>
        <w:spacing w:line="360" w:lineRule="auto"/>
        <w:ind w:firstLine="48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如采用电子履约保函，则相关要求执行市财政局 国家金融监督管理总局泰州监管分局 市地方金融监督管理局转发《江苏省财政厅 国家金融监督管理总局江苏监管局 江苏省地方金融监督</w:t>
      </w:r>
      <w:r>
        <w:rPr>
          <w:rFonts w:hint="eastAsia" w:ascii="宋体" w:hAnsi="宋体" w:eastAsia="宋体" w:cs="宋体"/>
          <w:color w:val="auto"/>
          <w:sz w:val="24"/>
          <w:szCs w:val="24"/>
          <w:highlight w:val="none"/>
          <w:lang w:val="en-US" w:eastAsia="zh-CN" w:bidi="ar-SA"/>
        </w:rPr>
        <w:t>管理局关于在全省政府采购领域推行电子履约保函（保险）的通知》。</w:t>
      </w:r>
    </w:p>
    <w:p w14:paraId="26AC6EC1">
      <w:pPr>
        <w:keepLines w:val="0"/>
        <w:pageBreakBefore w:val="0"/>
        <w:spacing w:line="360" w:lineRule="auto"/>
        <w:ind w:firstLine="48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5.报价要求：此次报价应综合考量供应商提供全部货物及其安装所需的辅材、备品、备件、专用工具、包装、运输、吊装、安装、损耗、调试、培训、检测、验收、人工、机械、仓储、保险、劳保、各种税费、专利技术、技术支持与培训、质保、售后服务与维护及相关劳务支出等所发生的全部费用以及供应商企业利润和政策性文件规定及合同包含的所有风险、责任等各项应有费用以及供应商认为应纳入的其它一切费用。供应商报价如有漏项或少计，视为对采购人的优惠。</w:t>
      </w:r>
    </w:p>
    <w:p w14:paraId="175EAC2D">
      <w:pPr>
        <w:pStyle w:val="259"/>
        <w:keepNext w:val="0"/>
        <w:keepLines w:val="0"/>
        <w:pageBreakBefore w:val="0"/>
        <w:kinsoku/>
        <w:wordWrap/>
        <w:overflowPunct/>
        <w:topLinePunct w:val="0"/>
        <w:autoSpaceDE/>
        <w:autoSpaceDN/>
        <w:bidi w:val="0"/>
        <w:adjustRightInd/>
        <w:snapToGrid/>
        <w:spacing w:line="360" w:lineRule="auto"/>
        <w:ind w:firstLine="422"/>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三、技术要求</w:t>
      </w:r>
    </w:p>
    <w:p w14:paraId="782DF262">
      <w:pPr>
        <w:keepLines w:val="0"/>
        <w:pageBreakBefore w:val="0"/>
        <w:spacing w:line="360" w:lineRule="auto"/>
        <w:ind w:firstLine="48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投标供应商应保证所供货物的安全性、可靠性、先进性、经济性和实用性，并为全新、未使用过的原装合格正品，完全符合采购文件规定的质量、规格和性能的要求，所有货物的生产、制造、安装等，各项技术标准应当符合国家标准和各项规范要求；国家没有相应标准、规范的，可</w:t>
      </w:r>
      <w:r>
        <w:rPr>
          <w:rFonts w:hint="eastAsia" w:ascii="宋体" w:hAnsi="宋体" w:cs="宋体"/>
          <w:color w:val="auto"/>
          <w:sz w:val="24"/>
          <w:szCs w:val="24"/>
          <w:highlight w:val="none"/>
          <w:lang w:val="en-US" w:eastAsia="zh-CN" w:bidi="ar-SA"/>
        </w:rPr>
        <w:t>适用</w:t>
      </w:r>
      <w:r>
        <w:rPr>
          <w:rFonts w:hint="eastAsia" w:ascii="宋体" w:hAnsi="宋体" w:eastAsia="宋体" w:cs="宋体"/>
          <w:color w:val="auto"/>
          <w:sz w:val="24"/>
          <w:szCs w:val="24"/>
          <w:highlight w:val="none"/>
          <w:lang w:val="en-US" w:eastAsia="zh-CN" w:bidi="ar-SA"/>
        </w:rPr>
        <w:t>行业标准、规定；且应符合采购约定的技术要求和规范。保证能通过采购人的质量验收、竣工验收等各类验收。</w:t>
      </w:r>
    </w:p>
    <w:p w14:paraId="48353BB2">
      <w:pPr>
        <w:keepLines w:val="0"/>
        <w:pageBreakBefore w:val="0"/>
        <w:spacing w:line="360" w:lineRule="auto"/>
        <w:ind w:firstLine="48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投标供应商应保证采购人在使用其所供货物时不受第三方提出侵犯其专利权、著作权和工业产权等知识产权的起诉。一旦出现侵权，一律由投标供应商承担全部责任。同时，投标供应商对采购人采购的货物所涉及的技术、产能等信息负有保密义务。</w:t>
      </w:r>
    </w:p>
    <w:p w14:paraId="46934D2D">
      <w:pPr>
        <w:keepLines w:val="0"/>
        <w:pageBreakBefore w:val="0"/>
        <w:spacing w:line="360" w:lineRule="auto"/>
        <w:ind w:firstLine="48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3.投标供应商中标后须与采购人在投标产品的“功能配置、技术要求等”方面及时进行技术交流，与采购人进行技术确认；成交供应商开始制造产品之前，采购人有权要求成交供应商对产品进行微调，最终的产品须经采购人确认同意。</w:t>
      </w:r>
    </w:p>
    <w:p w14:paraId="3409B00D">
      <w:pPr>
        <w:keepLines w:val="0"/>
        <w:pageBreakBefore w:val="0"/>
        <w:spacing w:line="360" w:lineRule="auto"/>
        <w:ind w:firstLine="480"/>
        <w:rPr>
          <w:rFonts w:hint="eastAsia" w:ascii="宋体" w:hAnsi="宋体" w:cs="宋体"/>
          <w:sz w:val="24"/>
          <w:highlight w:val="none"/>
        </w:rPr>
      </w:pPr>
      <w:r>
        <w:rPr>
          <w:rFonts w:hint="eastAsia" w:ascii="宋体" w:hAnsi="宋体" w:eastAsia="宋体" w:cs="宋体"/>
          <w:color w:val="auto"/>
          <w:sz w:val="24"/>
          <w:szCs w:val="24"/>
          <w:highlight w:val="none"/>
          <w:lang w:val="en-US" w:eastAsia="zh-CN" w:bidi="ar-SA"/>
        </w:rPr>
        <w:t>4.</w:t>
      </w:r>
      <w:r>
        <w:rPr>
          <w:rFonts w:hint="eastAsia" w:ascii="宋体" w:hAnsi="宋体" w:cs="宋体"/>
          <w:color w:val="auto"/>
          <w:sz w:val="24"/>
          <w:szCs w:val="24"/>
          <w:highlight w:val="none"/>
          <w:lang w:val="en-US" w:eastAsia="zh-CN" w:bidi="ar-SA"/>
        </w:rPr>
        <w:t>采购文件中控制台尺寸为初步设计尺寸，投标供应商中标后须</w:t>
      </w:r>
      <w:r>
        <w:rPr>
          <w:rFonts w:hint="eastAsia" w:ascii="宋体" w:hAnsi="宋体" w:cs="宋体"/>
          <w:sz w:val="24"/>
          <w:highlight w:val="none"/>
        </w:rPr>
        <w:t>复核现场实际尺寸，</w:t>
      </w:r>
      <w:r>
        <w:rPr>
          <w:rFonts w:hint="eastAsia" w:ascii="宋体" w:hAnsi="宋体" w:cs="宋体"/>
          <w:color w:val="auto"/>
          <w:sz w:val="24"/>
          <w:szCs w:val="24"/>
          <w:highlight w:val="none"/>
          <w:lang w:val="en-US" w:eastAsia="zh-CN" w:bidi="ar-SA"/>
        </w:rPr>
        <w:t>进行深化设计，</w:t>
      </w:r>
      <w:r>
        <w:rPr>
          <w:rFonts w:hint="eastAsia" w:ascii="宋体" w:hAnsi="宋体" w:cs="宋体"/>
          <w:sz w:val="24"/>
          <w:highlight w:val="none"/>
        </w:rPr>
        <w:t>深化设计方案须通过采购人确认。所涉及的相关费用</w:t>
      </w:r>
      <w:r>
        <w:rPr>
          <w:rFonts w:hint="eastAsia" w:ascii="宋体" w:hAnsi="宋体" w:cs="宋体"/>
          <w:sz w:val="24"/>
          <w:highlight w:val="none"/>
          <w:lang w:eastAsia="zh-CN"/>
        </w:rPr>
        <w:t>投标供应商</w:t>
      </w:r>
      <w:r>
        <w:rPr>
          <w:rFonts w:hint="eastAsia" w:ascii="宋体" w:hAnsi="宋体" w:cs="宋体"/>
          <w:sz w:val="24"/>
          <w:highlight w:val="none"/>
        </w:rPr>
        <w:t>在投标总报价中综合考虑，采购人不再另</w:t>
      </w:r>
      <w:r>
        <w:rPr>
          <w:rFonts w:hint="eastAsia" w:ascii="宋体" w:hAnsi="宋体" w:cs="宋体"/>
          <w:sz w:val="24"/>
          <w:highlight w:val="none"/>
          <w:lang w:val="en-US" w:eastAsia="zh-CN"/>
        </w:rPr>
        <w:t>行</w:t>
      </w:r>
      <w:r>
        <w:rPr>
          <w:rFonts w:hint="eastAsia" w:ascii="宋体" w:hAnsi="宋体" w:cs="宋体"/>
          <w:sz w:val="24"/>
          <w:highlight w:val="none"/>
        </w:rPr>
        <w:t>支付，深化设计后的方案经采购人确认后，方可实施，</w:t>
      </w:r>
      <w:r>
        <w:rPr>
          <w:rFonts w:hint="eastAsia" w:ascii="宋体" w:hAnsi="宋体" w:cs="宋体"/>
          <w:sz w:val="24"/>
          <w:highlight w:val="none"/>
          <w:lang w:val="en-US" w:eastAsia="zh-CN"/>
        </w:rPr>
        <w:t>成交供应商</w:t>
      </w:r>
      <w:r>
        <w:rPr>
          <w:rFonts w:hint="eastAsia" w:ascii="宋体" w:hAnsi="宋体" w:cs="宋体"/>
          <w:sz w:val="24"/>
          <w:highlight w:val="none"/>
        </w:rPr>
        <w:t>按照最终确定的方案进行施工，合同总价不因此而调整。</w:t>
      </w:r>
    </w:p>
    <w:p w14:paraId="6EEA215A">
      <w:pPr>
        <w:keepLines w:val="0"/>
        <w:pageBreakBefore w:val="0"/>
        <w:spacing w:line="360" w:lineRule="auto"/>
        <w:ind w:firstLine="480"/>
        <w:rPr>
          <w:rFonts w:hint="eastAsia" w:ascii="宋体" w:hAnsi="宋体" w:eastAsia="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5.</w:t>
      </w:r>
      <w:r>
        <w:rPr>
          <w:rFonts w:hint="eastAsia" w:ascii="宋体" w:hAnsi="宋体" w:eastAsia="宋体" w:cs="宋体"/>
          <w:color w:val="auto"/>
          <w:sz w:val="24"/>
          <w:szCs w:val="24"/>
          <w:highlight w:val="none"/>
          <w:lang w:val="en-US" w:eastAsia="zh-CN" w:bidi="ar-SA"/>
        </w:rPr>
        <w:t>布局及产品颜色由成交供应商与采购人确认，成交供应商不得擅自作出修改和变更。</w:t>
      </w:r>
    </w:p>
    <w:p w14:paraId="5EFF25CD">
      <w:pPr>
        <w:keepLines w:val="0"/>
        <w:pageBreakBefore w:val="0"/>
        <w:spacing w:line="360" w:lineRule="auto"/>
        <w:ind w:firstLine="480"/>
        <w:rPr>
          <w:rFonts w:hint="eastAsia" w:ascii="宋体" w:hAnsi="宋体" w:eastAsia="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6.成交供应商中标后签订合同前须提供由</w:t>
      </w:r>
      <w:r>
        <w:rPr>
          <w:rFonts w:hint="eastAsia" w:ascii="宋体" w:hAnsi="宋体" w:eastAsia="宋体" w:cs="宋体"/>
          <w:color w:val="auto"/>
          <w:sz w:val="24"/>
          <w:szCs w:val="24"/>
          <w:highlight w:val="none"/>
          <w:lang w:eastAsia="zh-CN"/>
        </w:rPr>
        <w:t>国家认可的检测机构</w:t>
      </w:r>
      <w:r>
        <w:rPr>
          <w:rFonts w:hint="eastAsia" w:ascii="宋体" w:hAnsi="宋体" w:eastAsia="宋体" w:cs="宋体"/>
          <w:color w:val="auto"/>
          <w:sz w:val="24"/>
          <w:szCs w:val="24"/>
          <w:highlight w:val="none"/>
        </w:rPr>
        <w:t>出具</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lang w:val="en-US" w:eastAsia="zh-CN"/>
        </w:rPr>
        <w:t>检测报告复印件，</w:t>
      </w:r>
      <w:r>
        <w:rPr>
          <w:rFonts w:hint="eastAsia" w:ascii="宋体" w:hAnsi="宋体" w:eastAsia="宋体" w:cs="宋体"/>
          <w:color w:val="auto"/>
          <w:sz w:val="24"/>
          <w:szCs w:val="24"/>
          <w:highlight w:val="none"/>
        </w:rPr>
        <w:t>检测报告</w:t>
      </w:r>
      <w:r>
        <w:rPr>
          <w:rFonts w:hint="eastAsia" w:ascii="宋体" w:hAnsi="宋体" w:cs="宋体"/>
          <w:color w:val="auto"/>
          <w:sz w:val="24"/>
          <w:szCs w:val="24"/>
          <w:highlight w:val="none"/>
          <w:lang w:val="en-US" w:eastAsia="zh-CN"/>
        </w:rPr>
        <w:t>没有不合格项，</w:t>
      </w:r>
      <w:r>
        <w:rPr>
          <w:rFonts w:hint="eastAsia" w:ascii="宋体" w:hAnsi="宋体" w:eastAsia="宋体" w:cs="宋体"/>
          <w:color w:val="auto"/>
          <w:sz w:val="24"/>
          <w:szCs w:val="24"/>
          <w:highlight w:val="none"/>
        </w:rPr>
        <w:t>有二维码或电话可查询，</w:t>
      </w:r>
      <w:r>
        <w:rPr>
          <w:rFonts w:hint="eastAsia" w:ascii="宋体" w:hAnsi="宋体" w:eastAsia="宋体" w:cs="宋体"/>
          <w:color w:val="auto"/>
          <w:sz w:val="24"/>
          <w:szCs w:val="24"/>
          <w:highlight w:val="none"/>
          <w:lang w:val="en-US" w:eastAsia="zh-CN" w:bidi="ar-SA"/>
        </w:rPr>
        <w:t>如未在规定的时间内提供的，采购人有权取消其中标资格。</w:t>
      </w:r>
    </w:p>
    <w:p w14:paraId="0AAE11CB">
      <w:pPr>
        <w:keepLines w:val="0"/>
        <w:pageBreakBefore w:val="0"/>
        <w:spacing w:line="360" w:lineRule="auto"/>
        <w:ind w:firstLine="48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（1）控制台整体检测报告，检测内容至少包含控制台理化性能、力学性能、安全性能；</w:t>
      </w:r>
    </w:p>
    <w:p w14:paraId="2A8A19C2">
      <w:pPr>
        <w:keepLines w:val="0"/>
        <w:pageBreakBefore w:val="0"/>
        <w:spacing w:line="360" w:lineRule="auto"/>
        <w:ind w:firstLine="48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（2）铝型材检测报告，检测内容至少包含抗拉强度、屈服强度；</w:t>
      </w:r>
    </w:p>
    <w:p w14:paraId="5A285363">
      <w:pPr>
        <w:keepLines w:val="0"/>
        <w:pageBreakBefore w:val="0"/>
        <w:spacing w:line="360" w:lineRule="auto"/>
        <w:ind w:firstLine="48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（3）人体工学办公椅检测报告，检测内容至少包含力学性能、有害物质。</w:t>
      </w:r>
    </w:p>
    <w:p w14:paraId="09356063">
      <w:pPr>
        <w:keepLines w:val="0"/>
        <w:pageBreakBefore w:val="0"/>
        <w:spacing w:line="360" w:lineRule="auto"/>
        <w:ind w:firstLine="48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7.成交供应商中标后签订合同前须向采购人提供部分样品（样品要求详见清单）：</w:t>
      </w:r>
    </w:p>
    <w:p w14:paraId="73187B3A">
      <w:pPr>
        <w:keepLines w:val="0"/>
        <w:pageBreakBefore w:val="0"/>
        <w:spacing w:line="360" w:lineRule="auto"/>
        <w:ind w:firstLine="48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（1）控制台提供材质小样，包括铝合金型材框架、门板、台板、五金件；</w:t>
      </w:r>
    </w:p>
    <w:p w14:paraId="7EAD5230">
      <w:pPr>
        <w:keepLines w:val="0"/>
        <w:pageBreakBefore w:val="0"/>
        <w:spacing w:line="360" w:lineRule="auto"/>
        <w:ind w:firstLine="48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（2）人体工学办公椅(带腿托）提供一个成品样品。</w:t>
      </w:r>
    </w:p>
    <w:p w14:paraId="73157BC8">
      <w:pPr>
        <w:keepLines w:val="0"/>
        <w:pageBreakBefore w:val="0"/>
        <w:spacing w:line="360" w:lineRule="auto"/>
        <w:ind w:firstLine="48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采购人对合格的样品进行封存，作为履约验收的依据。</w:t>
      </w:r>
    </w:p>
    <w:p w14:paraId="4DBBDB14">
      <w:pPr>
        <w:keepLines w:val="0"/>
        <w:pageBreakBefore w:val="0"/>
        <w:spacing w:line="360" w:lineRule="auto"/>
        <w:ind w:firstLine="480"/>
        <w:rPr>
          <w:rFonts w:hint="eastAsia" w:ascii="宋体" w:hAnsi="宋体" w:eastAsia="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8</w:t>
      </w:r>
      <w:r>
        <w:rPr>
          <w:rFonts w:hint="eastAsia" w:ascii="宋体" w:hAnsi="宋体" w:eastAsia="宋体" w:cs="宋体"/>
          <w:color w:val="auto"/>
          <w:sz w:val="24"/>
          <w:szCs w:val="24"/>
          <w:highlight w:val="none"/>
          <w:lang w:val="en-US" w:eastAsia="zh-CN" w:bidi="ar-SA"/>
        </w:rPr>
        <w:t>.在未验收前，请成交供应商自行负责保管好施工材料、工具等。采购人不为施工期间材料丢失、被盗、损坏及与</w:t>
      </w:r>
      <w:r>
        <w:rPr>
          <w:rFonts w:hint="eastAsia" w:ascii="宋体" w:hAnsi="宋体" w:cs="宋体"/>
          <w:color w:val="auto"/>
          <w:sz w:val="24"/>
          <w:szCs w:val="24"/>
          <w:highlight w:val="none"/>
          <w:lang w:val="en-US" w:eastAsia="zh-CN" w:bidi="ar-SA"/>
        </w:rPr>
        <w:t>其他</w:t>
      </w:r>
      <w:r>
        <w:rPr>
          <w:rFonts w:hint="eastAsia" w:ascii="宋体" w:hAnsi="宋体" w:eastAsia="宋体" w:cs="宋体"/>
          <w:color w:val="auto"/>
          <w:sz w:val="24"/>
          <w:szCs w:val="24"/>
          <w:highlight w:val="none"/>
          <w:lang w:val="en-US" w:eastAsia="zh-CN" w:bidi="ar-SA"/>
        </w:rPr>
        <w:t>施工单位产生的纠纷等事项承担责任，直至验收合格。</w:t>
      </w:r>
    </w:p>
    <w:p w14:paraId="0C43CF26">
      <w:pPr>
        <w:keepLines w:val="0"/>
        <w:pageBreakBefore w:val="0"/>
        <w:spacing w:line="360" w:lineRule="auto"/>
        <w:ind w:firstLine="480"/>
        <w:rPr>
          <w:rFonts w:hint="eastAsia" w:ascii="宋体" w:hAnsi="宋体" w:eastAsia="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9</w:t>
      </w:r>
      <w:r>
        <w:rPr>
          <w:rFonts w:hint="eastAsia" w:ascii="宋体" w:hAnsi="宋体" w:eastAsia="宋体" w:cs="宋体"/>
          <w:color w:val="auto"/>
          <w:sz w:val="24"/>
          <w:szCs w:val="24"/>
          <w:highlight w:val="none"/>
          <w:lang w:val="en-US" w:eastAsia="zh-CN" w:bidi="ar-SA"/>
        </w:rPr>
        <w:t>.在安装过程中要委派有经验的专业技术人员进行安装调试，确保正常使用。</w:t>
      </w:r>
    </w:p>
    <w:p w14:paraId="74D1DC12">
      <w:pPr>
        <w:keepLines w:val="0"/>
        <w:pageBreakBefore w:val="0"/>
        <w:spacing w:line="360" w:lineRule="auto"/>
        <w:ind w:firstLine="480"/>
        <w:rPr>
          <w:rFonts w:hint="eastAsia" w:ascii="宋体" w:hAnsi="宋体" w:eastAsia="宋体" w:cs="宋体"/>
          <w:b/>
          <w:color w:val="000000"/>
          <w:sz w:val="24"/>
          <w:szCs w:val="24"/>
          <w:lang w:val="en-US" w:eastAsia="zh-CN" w:bidi="ar-SA"/>
        </w:rPr>
      </w:pPr>
      <w:r>
        <w:rPr>
          <w:rFonts w:hint="eastAsia" w:ascii="宋体" w:hAnsi="宋体" w:eastAsia="宋体" w:cs="宋体"/>
          <w:b/>
          <w:color w:val="000000"/>
          <w:sz w:val="24"/>
          <w:szCs w:val="24"/>
          <w:lang w:val="en-US" w:eastAsia="zh-CN" w:bidi="ar-SA"/>
        </w:rPr>
        <w:t>四、清单及功能要求</w:t>
      </w:r>
    </w:p>
    <w:tbl>
      <w:tblPr>
        <w:tblStyle w:val="36"/>
        <w:tblW w:w="9869" w:type="dxa"/>
        <w:tblInd w:w="-56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2"/>
        <w:gridCol w:w="835"/>
        <w:gridCol w:w="6989"/>
        <w:gridCol w:w="648"/>
        <w:gridCol w:w="715"/>
      </w:tblGrid>
      <w:tr w14:paraId="4A1F0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682" w:type="dxa"/>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14:paraId="4671FCEC">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835"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27ACD7AE">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项目名称</w:t>
            </w:r>
          </w:p>
        </w:tc>
        <w:tc>
          <w:tcPr>
            <w:tcW w:w="6989"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64C35286">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项目特征描述</w:t>
            </w:r>
          </w:p>
        </w:tc>
        <w:tc>
          <w:tcPr>
            <w:tcW w:w="648"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2F604573">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单位</w:t>
            </w:r>
          </w:p>
        </w:tc>
        <w:tc>
          <w:tcPr>
            <w:tcW w:w="715"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5D1B2943">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数量</w:t>
            </w:r>
          </w:p>
        </w:tc>
      </w:tr>
      <w:tr w14:paraId="1ACDC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82"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53873210">
            <w:pPr>
              <w:jc w:val="center"/>
              <w:rPr>
                <w:rFonts w:hint="eastAsia" w:ascii="宋体" w:hAnsi="宋体" w:eastAsia="宋体" w:cs="宋体"/>
                <w:b/>
                <w:bCs/>
                <w:i w:val="0"/>
                <w:iCs w:val="0"/>
                <w:color w:val="auto"/>
                <w:sz w:val="21"/>
                <w:szCs w:val="21"/>
                <w:u w:val="none"/>
              </w:rPr>
            </w:pPr>
          </w:p>
        </w:tc>
        <w:tc>
          <w:tcPr>
            <w:tcW w:w="83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326BA27">
            <w:pPr>
              <w:jc w:val="center"/>
              <w:rPr>
                <w:rFonts w:hint="eastAsia" w:ascii="宋体" w:hAnsi="宋体" w:eastAsia="宋体" w:cs="宋体"/>
                <w:b/>
                <w:bCs/>
                <w:i w:val="0"/>
                <w:iCs w:val="0"/>
                <w:color w:val="auto"/>
                <w:sz w:val="21"/>
                <w:szCs w:val="21"/>
                <w:u w:val="none"/>
              </w:rPr>
            </w:pPr>
          </w:p>
        </w:tc>
        <w:tc>
          <w:tcPr>
            <w:tcW w:w="6989"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52016CC2">
            <w:pPr>
              <w:jc w:val="center"/>
              <w:rPr>
                <w:rFonts w:hint="eastAsia" w:ascii="宋体" w:hAnsi="宋体" w:eastAsia="宋体" w:cs="宋体"/>
                <w:b/>
                <w:bCs/>
                <w:i w:val="0"/>
                <w:iCs w:val="0"/>
                <w:color w:val="auto"/>
                <w:sz w:val="21"/>
                <w:szCs w:val="21"/>
                <w:u w:val="none"/>
              </w:rPr>
            </w:pPr>
          </w:p>
        </w:tc>
        <w:tc>
          <w:tcPr>
            <w:tcW w:w="648"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4151ECC">
            <w:pPr>
              <w:jc w:val="center"/>
              <w:rPr>
                <w:rFonts w:hint="eastAsia" w:ascii="宋体" w:hAnsi="宋体" w:eastAsia="宋体" w:cs="宋体"/>
                <w:b/>
                <w:bCs/>
                <w:i w:val="0"/>
                <w:iCs w:val="0"/>
                <w:color w:val="auto"/>
                <w:sz w:val="21"/>
                <w:szCs w:val="21"/>
                <w:u w:val="none"/>
              </w:rPr>
            </w:pPr>
          </w:p>
        </w:tc>
        <w:tc>
          <w:tcPr>
            <w:tcW w:w="71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547AFCB">
            <w:pPr>
              <w:jc w:val="center"/>
              <w:rPr>
                <w:rFonts w:hint="eastAsia" w:ascii="宋体" w:hAnsi="宋体" w:eastAsia="宋体" w:cs="宋体"/>
                <w:b/>
                <w:bCs/>
                <w:i w:val="0"/>
                <w:iCs w:val="0"/>
                <w:color w:val="auto"/>
                <w:sz w:val="21"/>
                <w:szCs w:val="21"/>
                <w:u w:val="none"/>
              </w:rPr>
            </w:pPr>
          </w:p>
        </w:tc>
      </w:tr>
      <w:tr w14:paraId="28687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6" w:hRule="atLeast"/>
        </w:trPr>
        <w:tc>
          <w:tcPr>
            <w:tcW w:w="68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494ED7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 </w:t>
            </w:r>
          </w:p>
        </w:tc>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378E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控制台</w:t>
            </w:r>
          </w:p>
        </w:tc>
        <w:tc>
          <w:tcPr>
            <w:tcW w:w="6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CB18E">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1.13席U型定制专用研判控制台</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控制台尺寸：11400*900*750mm(桌面到地面高度为750mm)；控制席柜体：主框架整体采用钢铝混合结构，控制台每个席位由集成模块拼接成长度不小于1200mm，高度735mm，深度不小于1000mm，容膝深度不小于480mm，主体集成模块框架采用钢铝混合结构，主承重钢板采用Q235碳素结构钢,厚度不小于2.0mm，表面静电喷涂，包含上下横梁以及其他承重部分结构件，承重框架采用铝型材截面不小于40mm*40mm铝合金型材框架，铝合金型材四周需圆弧处理，通过专用链接构件进行连接，包含左右侧窗。通过通用连接件拼装再组成一个独立模块，各个模块之间通用部件一致可互换，整体连接后的各个模块间内部贯通，各种线缆在指挥调度控制设备内可以实现自由贯通。铝型材抗拉强度200Mpa以上，屈服强度150Mpa以上，每个舱体静态载荷可达100KG。控制台前台500mm每单元可承载40kg无变形，同时使设备柜内不会有刮手的利口，并且便于进行改造和扩充、而无需钻孔作业。门板采用不小于1.2mm结构钢成型，门板下方设有通风散热矩阵，门板采用304不锈钢静音阻尼铰链，通过特制连接模块悬挂于主框架上，使操作台外观更具有现代感，并且具备质量轻、结构力强、耐热、使设备散热更快的优点，解决了木质门板的通风散热及阻燃问题。台板：采用进口原材料SPC抗倍特板。采用不小于18mm抗倍特板，经过CNC精密加工成型，表面经过耐磨处理，防火阻燃，防潮耐刻划。抗倍特台板边沿手枕黑色鸭嘴型一次成型，手枕采用台板一体化延伸的台板边缘，非二次加装聚氨酯等封边材料。后屏风背墙：后屏风背墙固定结构件采用不小于10.0mmQ235碳素结构钢，钣金制成通用连接件，具有高强度，抗变形等性能。具有高承载，后期悬挂显示器之后，无侧倾。后屏风采用横截面不小于50mm*150mm拉铝合金型材，表面经过静电喷涂着色，后屏风高度（不含有机玻璃）不小于230mm，后屏风固定在后梁上，后屏风型材与后梁结构件通过特制连接模块可实现快速紧固连接，安装完毕后形成一体。台面设有毛刷出线槽，出现槽整体采用铝合金型材，宽度不小于80mm，表面经过喷涂，满足日常工作设备走线需求，电子设备舱内左右联通贯穿，上方设有走线桥架。侧板：采用优质冷轧钢板制作成型，表面金属喷涂黑色+白色亚克力</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 xml:space="preserve">屏风上部采用10mm高透亚克力，四周经CNC切割成型，四周钻石抛光处理，可以根据客户席位功能进行DVT精雕立体字，内嵌蓝光LED灯带。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3.最终尺寸及方案经甲方确认后实施。</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5B42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A209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 </w:t>
            </w:r>
          </w:p>
        </w:tc>
      </w:tr>
      <w:tr w14:paraId="6DE12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74" w:hRule="atLeast"/>
        </w:trPr>
        <w:tc>
          <w:tcPr>
            <w:tcW w:w="68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267C40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2 </w:t>
            </w:r>
          </w:p>
        </w:tc>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F1D7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控制台</w:t>
            </w:r>
          </w:p>
        </w:tc>
        <w:tc>
          <w:tcPr>
            <w:tcW w:w="6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8BCF8">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1.6席直型定制专用研判控制台                                                     2.控制台尺寸：7200*800*750mm(桌面到地面高度为750mm)；控制席柜体：主框架整体采用钢铝混合结构，控制台每个席位由集成模块拼接成长度不小于1200mm，高度735mm，深度不小于1000mm，容膝深度不小于480mm，主体集成模块框架采用钢铝混合结构，主承重钢板采用Q235碳素结构钢,厚度不小于2.0mm，表面静电喷涂，包含上下横梁以及其他承重部分结构件，承重框架采用铝型材截面不小于40mm*40mm铝合金型材框架，铝合金型材四周需圆弧处理，通过专用链接构件进行连接，包含左右侧窗。通过通用连接件拼装再组成一个独立模块，各个模块之间通用部件一致可互换，整体连接后的各个模块间内部贯通，各种线缆在指挥调度控制设备内可以实现自由贯通。铝型材抗拉强度200Mpa以上，屈服强度150Mpa以上，每个舱体静态载荷可达100KG。控制台前台500mm每单元可承载40kg无变形，同时使设备柜内不会有刮手的利口，并且便于进行改造和扩充、而无需钻孔作业。门板采用不小于1.2mm结构钢成型，门板下方设有通风散热矩阵，门板采用304不锈钢静音阻尼铰链，通过特制连接模块悬挂于主框架上，使操作台外观更具有现代感，并且具备质量轻、结构力强、耐热、使设备散热更快的优点，解决了木质门板的通风散热及阻燃问题。台板：采用进口原材料SPC抗倍特板。采用不小于18mm抗倍特板，经过CNC精密加工成型，表面经过耐磨处理，防火阻燃，防潮耐刻划。抗倍特台板边沿手枕黑色鸭嘴型一次成型，手枕采用台板一体化延伸的台板边缘，非二次加装聚氨酯等封边材料。后屏风背墙：后屏风背墙固定结构件采用不小于10.0mmQ235碳素结构钢，钣金制成通用连接件，具有高强度，抗变形等性能。具有高承载，后期悬挂显示器之后，无侧倾。后屏风采用横截面不小于50mm*150mm拉铝合金型材，表面经过静电喷涂着色，后屏风高度（不含有机玻璃）不小于230mm，后屏风固定在后梁上，后屏风型材与后梁结构件通过特制连接模块可实现快速紧固连接，安装完毕后形成一体。台面设有毛刷出线槽，出现槽整体采用铝合金型材，宽度不小于80mm，表面经过喷涂，满足日常工作设备走线需求，电子设备舱内左右联通贯穿，上方设有走线桥架。侧板：采用优质冷轧钢板制作成型，表面金属喷涂黑色+白色亚克力</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 xml:space="preserve">屏风上部采用10mm高透亚克力，四周经CNC切割成型，四周钻石抛光处理，可以根据客户席位功能进行DVT精雕立体字，内嵌蓝光LED灯带。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3.最终尺寸及方案经甲方确认后实施。</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F3E0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230E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 </w:t>
            </w:r>
          </w:p>
        </w:tc>
      </w:tr>
      <w:tr w14:paraId="09A47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72" w:hRule="atLeast"/>
        </w:trPr>
        <w:tc>
          <w:tcPr>
            <w:tcW w:w="68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11EB01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3 </w:t>
            </w:r>
          </w:p>
        </w:tc>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FA0F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控制台</w:t>
            </w:r>
          </w:p>
        </w:tc>
        <w:tc>
          <w:tcPr>
            <w:tcW w:w="6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53694">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1.异形3人定制专用研判控制台</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控制台尺寸：2850*2350*1180mm(桌面到地面高度为750mm)；控制席柜体：主框架整体采用钢铝混合结构，控制台每个席位由集成模块拼接成长度不小于1200mm，高度735mm，深度不小于1000mm，容膝深度不小于480mm，主体集成模块框架采用钢铝混合结构，主承重钢板采用Q235碳素结构钢,厚度不小于2.0mm，表面静电喷涂，包含上下横梁以及其他承重部分结构件，承重框架采用铝型材截面不小于40mm*40mm铝合金型材框架，铝合金型材四周需圆弧处理，通过专用链接构件进行连接，包含左右侧窗。通过通用连接件拼装再组成一个独立模块，各个模块之间通用部件一致可互换，整体连接后的各个模块间内部贯通，各种线缆在指挥调度控制设备内可以实现自由贯通。铝型材抗拉强度200Mpa以上，屈服强度150Mpa以上，每个舱体静态载荷可达100KG。控制台前台500mm每单元可承载40kg无变形，同时使设备柜内不会有刮手的利口，并且便于进行改造和扩充、而无需钻孔作业。门板采用不小于1.2mm结构钢成型，门板下方设有通风散热矩阵，门板采用304不锈钢静音阻尼铰链，通过特制连接模块悬挂于主框架上，使操作台外观更具有现代感，并且具备质量轻、结构力强、耐热、使设备散热更快的优点，解决了木质门板的通风散热及阻燃问题。台板：采用进口原材料SPC抗倍特板。采用不小于18mm抗倍特板，经过CNC精密加工成型，表面经过耐磨处理，防火阻燃，防潮耐刻划。抗倍特台板边沿手枕黑色鸭嘴型一次成型，手枕采用台板一体化延伸的台板边缘，非二次加装聚氨酯等封边材料。后屏风背墙：后屏风背墙固定结构件采用不小于10.0mmQ235 碳素结构钢，钣金制成通用连接件，具有高强度，抗变形等性能。具有高承载，后期悬挂显示器之后，无侧倾。后屏风采用横截面不小于50mm*150mm拉铝合金型材，表面经过静电喷涂着色，后屏风高度（不含有机玻璃）不小于230mm，后屏风固定在后梁上，后屏风型材与后梁结构件通过特制连接模块可实现快速紧固连接，安装完毕后形成一体。台面设有毛刷出线槽，出现槽整体采用铝合金型材，宽度不小于80mm，表面经过喷涂，满足日常工作设备走线需求，电子设备舱内左右联通贯穿，上方设有走线桥架。侧板：采用优质冷轧钢板制作成型，表面金属喷涂黑色+白色亚克力</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 xml:space="preserve">屏风上部采用10mm高透亚克力，四周经CNC切割成型，四周钻石抛光处理，可以根据客户席位功能进行DVT精雕立体字，内嵌蓝光LED灯带。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3.最终尺寸及方案经甲方确认后实施。</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87D7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C264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3 </w:t>
            </w:r>
          </w:p>
        </w:tc>
      </w:tr>
      <w:tr w14:paraId="7A609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4" w:hRule="atLeast"/>
        </w:trPr>
        <w:tc>
          <w:tcPr>
            <w:tcW w:w="68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D5AFB4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4 </w:t>
            </w:r>
          </w:p>
        </w:tc>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4A6C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控制台</w:t>
            </w:r>
          </w:p>
        </w:tc>
        <w:tc>
          <w:tcPr>
            <w:tcW w:w="6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BE69E">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1.异形6人定制专用研判控制台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控制台尺寸：4670*2930*1300mm(桌面到地面高度为750mm)；控制席柜体：主框架整体采用钢铝混合结构，控制台每个席位由集成模块拼接成长度不小于1200mm，高度735mm，深度不小于1000mm，容膝深度不小于480mm，主体集成模块框架采用钢铝混合结构，主承重钢板采用Q235碳素结构钢,厚度不小于2.0mm，表面静电喷涂，包含上下横梁以及其他承重部分结构件，承重框架采用铝型材截面不小于40mm*40mm铝合金型材框架，铝合金型材四周需圆弧处理，通过专用链接构件进行连接，包含左右侧窗。通过通用连接件拼装再组成一个独立模块，各个模块之间通用部件一致可互换，整体连接后的各个模块间内部贯通，各种线缆在指挥调度控制设备内可以实现自由贯通。铝型材抗拉强度200Mpa以上，屈服强度150Mpa以上，每个舱体静态载荷可达100KG。控制台前台500mm每单元可承载40kg无变形，同时使设备柜内不会有刮手的利口，并且便于进行改造和扩充、而无需钻孔作业。门板采用不小于1.2mm结构钢成型，门板下方设有通风散热矩阵，门板采用304不锈钢静音阻尼铰链，通过特制连接模块悬挂于主框架上，使操作台外观更具有现代感，并且具备质量轻、结构力强、耐热、使设备散热更快的优点，解决了木质门板的通风散热及阻燃问题。台板：采用进口原材料SPC抗倍特板。采用不小于18mm抗倍特板，经过CNC精密加工成型，表面经过耐磨处理，防火阻燃，防潮耐刻划。抗倍特台板边沿手枕黑色鸭嘴型一次成型，手枕采用台板一体化延伸的台板边缘，非二次加装聚氨酯等封边材料。后屏风背墙：后屏风背墙固定结构件采用不小于10.0mmQ235碳素结构钢，钣金制成通用连接件，具有高强度，抗变形等性能。具有高承载，后期悬挂显示器之后，无侧倾。后屏风采用横截面不小于50mm*150mm拉铝合金型材，表面经过静电喷涂着色，后屏风高度（不含有机玻璃）不小于230mm，后屏风固定在后梁上，后屏风型材与后梁结构件通过特制连接模块可实现快速紧固连接，安装完毕后形成一体。台面设有毛刷出线槽，出现槽整体采用铝合金型材，宽度不小于80mm，表面经过喷涂，满足日常工作设备走线需求，电子设备舱内左右联通贯穿，上方设有走线桥架。侧板：采用优质冷轧钢板制作成型，表面金属喷涂黑色+白色亚克力</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 xml:space="preserve">屏风上部采用10mm高透亚克力，四周经CNC切割成型，四周钻石抛光处理，可以根据客户席位功能进行DVT精雕立体字，内嵌蓝光LED灯带。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3.最终尺寸及方案经甲方确认后实施。</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0122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982A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2 </w:t>
            </w:r>
          </w:p>
        </w:tc>
      </w:tr>
      <w:tr w14:paraId="2EAEE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7" w:hRule="atLeast"/>
        </w:trPr>
        <w:tc>
          <w:tcPr>
            <w:tcW w:w="68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F2D795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5 </w:t>
            </w:r>
          </w:p>
        </w:tc>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501D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控制台</w:t>
            </w:r>
          </w:p>
        </w:tc>
        <w:tc>
          <w:tcPr>
            <w:tcW w:w="6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DE831">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1.4席位定制专用研判控制台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控制台尺寸：4400*900*750mm(桌面到地面高度为750mm)控制席柜体：主框架整体采用钢铝混合结构，控制台每个席位由集成模块拼接成长度不小于1200mm，高度735mm，深度不小于1000mm，容膝深度不小于480mm，主体集成模块框架采用钢铝混合结构，主承重钢板采用Q235碳素结构钢,厚度不小于2.0mm，表面静电喷涂，包含上下横梁以及其他承重部分结构件，承重框架采用铝型材截面不小于40mm*40mm铝合金型材框架，铝合金型材四周需圆弧处理，通过专用链接构件进行连接，包含左右侧窗。通过通用连接件拼装再组成一个独立模块，各个模块之间通用部件一致可互换，整体连接后的各个模块间内部贯通，各种线缆在指挥调度控制设备内可以实现自由贯通。铝型材抗拉强度200Mpa以上，屈服强度150Mpa以上，每个舱体静态载荷可达100KG。控制台前台500mm每单元可承载40kg无变形，同时使设备柜内不会有刮手的利口，并且便于进行改造和扩充、而无需钻孔作业。门板采用不小于1.2mm结构钢成型，门板下方设有通风散热矩阵，门板采用304不锈钢静音阻尼铰链，通过特制连接模块悬挂于主框架上，使操作台外观更具有现代感，并且具备质量轻、结构力强、耐热、使设备散热更快的优点，解决了木质门板的通风散热及阻燃问题。台板：采用进口原材料SPC抗倍特板。采用不小于18mm抗倍特板，经过CNC精密加工成型，表面经过耐磨处理，防火阻燃，防潮耐刻划。抗倍特台板边沿手枕黑色鸭嘴型一次成型，手枕采用台板一体化延伸的台板边缘，非二次加装聚氨酯等封边材料。后屏风背墙：后屏风背墙固定结构件采用不小于10.0mmQ235碳素结构钢，钣金制成通用连接件，具有高强度，抗变形等性能。具有高承载，后期悬挂显示器之后，无侧倾。后屏风采用横截面不小于50mm*150mm拉铝合金型材，表面经过静电喷涂着色，后屏风高度（不含有机玻璃）不小于230mm，后屏风固定在后梁上，后屏风型材与后梁结构件通过特制连接模块可实现快速紧固连接，安装完毕后形成一体。台面设有毛刷出线槽，出现槽整体采用铝合金型材，宽度不小于80mm，表面经过喷涂，满足日常工作设备走线需求，电子设备舱内左右联通贯穿，上方设有走线桥架。侧板：采用优质冷轧钢板制作成型，表面金属喷涂黑色+白色亚克力</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 xml:space="preserve">屏风上部采用10mm高透亚克力，四周经CNC切割成型，四周钻石抛光处理，可以根据客户席位功能进行DVT精雕立体字，内嵌蓝光LED灯带。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3.最终尺寸及方案经甲方确认后实施。</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26C1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D5CA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4 </w:t>
            </w:r>
          </w:p>
        </w:tc>
      </w:tr>
      <w:tr w14:paraId="64072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6" w:hRule="atLeast"/>
        </w:trPr>
        <w:tc>
          <w:tcPr>
            <w:tcW w:w="68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3F5813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6 </w:t>
            </w:r>
          </w:p>
        </w:tc>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78A5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控制台</w:t>
            </w:r>
          </w:p>
        </w:tc>
        <w:tc>
          <w:tcPr>
            <w:tcW w:w="6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2B5BE">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1.3席位定制专用研判控制台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控制台尺寸：3000*900*750mm(桌面到地面高度为750mm)控制席柜体：主框架整体采用钢铝混合结构，控制台每个席位由集成模块拼接成长度不小于1200mm，高度735mm，深度不小于1000mm，容膝深度不小于480mm，主体集成模块框架采用钢铝混合结构，主承重钢板采用Q235碳素结构钢,厚度不小于2.0mm，表面静电喷涂，包含上下横梁以及其他承重部分结构件，承重框架采用铝型材截面不小于40mm*40mm铝合金型材框架，铝合金型材四周需圆弧处理，通过专用链接构件进行连接，包含左右侧窗。通过通用连接件拼装再组成一个独立模块，各个模块之间通用部件一致可互换，整体连接后的各个模块间内部贯通，各种线缆在指挥调度控制设备内可以实现自由贯通。铝型材抗拉强度200Mpa以上，屈服强度150Mpa以上，每个舱体静态载荷可达100KG。控制台前台500mm每单元可承载40kg无变形，同时使设备柜内不会有刮手的利口，并且便于进行改造和扩充、而无需钻孔作业。门板采用不小于1.2mm结构钢成型，门板下方设有通风散热矩阵，门板采用304不锈钢静音阻尼铰链，通过特制连接模块悬挂于主框架上，使操作台外观更具有现代感，并且具备质量轻、结构力强、耐热、使设备散热更快的优点，解决了木质门板的通风散热及阻燃问题。台板：采用进口原材料SPC抗倍特板。采用不小于18mm抗倍特板，经过CNC精密加工成型，表面经过耐磨处理，防火阻燃，防潮耐刻划。抗倍特台板边沿手枕黑色鸭嘴型一次成型，手枕采用台板一体化延伸的台板边缘，非二次加装聚氨酯等封边材料。后屏风背墙：后屏风背墙固定结构件采用不小于10.0mmQ235 碳素结构钢，钣金制成通用连接件，具有高强度，抗变形等性能。具有高承载，后期悬挂显示器之后，无侧倾。后屏风采用横截面不小于50mm*150mm拉铝合金型材，表面经过静电喷涂着色，后屏风高度（不含有机玻璃）不小于230mm，后屏风固定在后梁上，后屏风型材与后梁结构件通过特制连接模块可实现快速紧固连接，安装完毕后形成一体。台面设有毛刷出线槽，出现槽整体采用铝合金型材，宽度不小于80mm，表面经过喷涂，满足日常工作设备走线需求，电子设备舱内左右联通贯穿，上方设有走线桥架。侧板：采用优质冷轧钢板制作成型，表面金属喷涂黑色+白色亚克力</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 xml:space="preserve">屏风上部采用10mm高透亚克力，四周经CNC切割成型，四周钻石抛光处理，可以根据客户席位功能进行DVT精雕立体字，内嵌蓝光LED灯带。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3.最终尺寸及方案经甲方确认后实施。</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85FE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22E2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5 </w:t>
            </w:r>
          </w:p>
        </w:tc>
      </w:tr>
      <w:tr w14:paraId="338D6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8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E51907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7 </w:t>
            </w:r>
          </w:p>
        </w:tc>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A1F7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控制台</w:t>
            </w:r>
          </w:p>
        </w:tc>
        <w:tc>
          <w:tcPr>
            <w:tcW w:w="6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55897">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1.2席位定制专用研判控制台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控制台尺寸：2400*900*750mm(桌面到地面高度为750mm)控制席柜体：主框架整体采用钢铝混合结构，控制台每个席位由集成模块拼接成长度不小于1200mm，高度735mm，深度不小于1000mm，容膝深度不小于480mm，主体集成模块框架采用钢铝混合结构，主承重钢板采用Q235碳素结构钢,厚度不小于2.0mm，表面静电喷涂，包含上下横梁以及其他承重部分结构件，承重框架采用铝型材截面不小于40mm*40mm铝合金型材框架，铝合金型材四周需圆弧处理，通过专用链接构件进行连接，包含左右侧窗。通过通用连接件拼装再组成一个独立模块，各个模块之间通用部件一致可互换，整体连接后的各个模块间内部贯通，各种线缆在指挥调度控制设备内可以实现自由贯通。铝型材抗拉强度200Mpa以上，屈服强度150Mpa以上，每个舱体静态载荷可达100KG。控制台前台500mm每单元可承载40kg无变形，同时使设备柜内不会有刮手的利口，并且便于进行改造和扩充、而无需钻孔作业。门板采用不小于1.2mm结构钢成型，门板下方设有通风散热矩阵，门板采用304不锈钢静音阻尼铰链，通过特制连接模块悬挂于主框架上，使操作台外观更具有现代感，并且具备质量轻、结构力强、耐热、使设备散热更快的优点，解决了木质门板的通风散热及阻燃问题。台板：采用进口原材料SPC抗倍特板。采用不小于18mm抗倍特板，经过CNC精密加工成型，表面经过耐磨处理，防火阻燃，防潮耐刻划。抗倍特台板边沿手枕黑色鸭嘴型一次成型，手枕采用台板一体化延伸的台板边缘，非二次加装聚氨酯等封边材料。后屏风背墙：后屏风背墙固定结构件采用不小于10.0mmQ235碳素结构钢，钣金制成通用连接件，具有高强度，抗变形等性能。具有高承载，后期悬挂显示器之后，无侧倾。后屏风采用横截面不小于50mm*150mm拉铝合金型材，表面经过静电喷涂着色，后屏风高度（不含有机玻璃）不小于230mm，后屏风固定在后梁上，后屏风型材与后梁结构件通过特制连接模块可实现快速紧固连接，安装完毕后形成一体。台面设有毛刷出线槽，出现槽整体采用铝合金型材，宽度不小于80mm，表面经过喷涂，满足日常工作设备走线需求，电子设备舱内左右联通贯穿，上方设有走线桥架。侧板：采用优质冷轧钢板制作成型  ，表面金属喷涂黑色+白色亚克力</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 xml:space="preserve">屏风上部采用10mm高透亚克力，四周经CNC切割成型，四周钻石抛光处理，可以根据客户席位功能进行DVT精雕立体字，内嵌蓝光LED灯带。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3.最终尺寸及方案经甲方确认后实施。</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DBA5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22BA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2 </w:t>
            </w:r>
          </w:p>
        </w:tc>
      </w:tr>
      <w:tr w14:paraId="56141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5" w:hRule="atLeast"/>
        </w:trPr>
        <w:tc>
          <w:tcPr>
            <w:tcW w:w="68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027F1D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8 </w:t>
            </w:r>
          </w:p>
        </w:tc>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5F9D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控制台</w:t>
            </w:r>
          </w:p>
        </w:tc>
        <w:tc>
          <w:tcPr>
            <w:tcW w:w="6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84469">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1.1席位定制专用研判控制台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控制台尺寸：1500*900*750mm(桌面到地面高度为750mm)控制席柜体：主框架整体采用钢铝混合结构，控制台每个席位由集成模块拼接成长度不小于1200mm，高度735mm，深度不小于1000mm，容膝深度不小于480mm，主体集成模块框架采用钢铝混合结构，主承重钢板采用Q235碳素结构钢,厚度不小于2.0mm，表面静电喷涂，包含上下横梁以及其他承重部分结构件，承重框架采用铝型材截面不小于40mm*40mm铝合金型材框架，铝合金型材四周需圆弧处理，通过专用链接构件进行连接，包含左右侧窗。通过通用连接件拼装再组成一个独立模块，各个模块之间通用部件一致可互换，整体连接后的各个模块间内部贯通，各种线缆在指挥调度控制设备内可以实现自由贯通。铝型材抗拉强度200Mpa以上，屈服强度150Mpa以上，每个舱体静态载荷可达100KG。控制台前台500mm每单元可承载40kg无变形，同时使设备柜内不会有刮手的利口，并且便于进行改造和扩充、而无需钻孔作业。门板采用不小于1.2mm结构钢成型，门板下方设有通风散热矩阵，门板采用304不锈钢静音阻尼铰链，通过特制连接模块悬挂于主框架上，使操作台外观更具有现代感，并且具备质量轻、结构力强、耐热、使设备散热更快的优点，解决了木质门板的通风散热及阻燃问题。台板：采用进口原材料SPC抗倍特板。采用不小于18mm抗倍特板，经过CNC精密加工成型，表面经过耐磨处理，防火阻燃，防潮耐刻划。抗倍特台板边沿手枕黑色鸭嘴型一次成型，手枕采用台板一体化延伸的台板边缘，非二次加装聚氨酯等封边材料。后屏风背墙：后屏风背墙固定结构件采用不小于10.0mmQ235 碳素结构钢，钣金制成通用连接件，具有高强度，抗变形等性能。具有高承载，后期悬挂显示器之后，无侧倾。后屏风采用横截面不小于50mm*150mm拉铝合金型材，表面经过静电喷涂着色，后屏风高度（不含有机玻璃）不小于230mm，后屏风固定在后梁上，后屏风型材与后梁结构件通过特制连接模块可实现快速紧固连接，安装完毕后形成一体。台面设有毛刷出线槽，出现槽整体采用铝合金型材，宽度不小于80mm，表面经过喷涂，满足日常工作设备走线需求，电子设备舱内左右联通贯穿，上方设有走线桥架。侧板：采用优质冷轧钢板制作成型，表面金属喷涂黑色+白色亚克力</w:t>
            </w:r>
            <w:r>
              <w:rPr>
                <w:rFonts w:hint="eastAsia" w:ascii="宋体" w:hAnsi="宋体" w:cs="宋体"/>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 xml:space="preserve">屏风上部采用10mm高透亚克力，四周经CNC切割成型，四周钻石抛光处理，可以根据客户席位功能进行DVT精雕立体字，内嵌蓝光LED灯带。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3.最终尺寸及方案经甲方确认后实施。</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BE35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0DFA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8 </w:t>
            </w:r>
          </w:p>
        </w:tc>
      </w:tr>
      <w:tr w14:paraId="0BF53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68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8606EC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9 </w:t>
            </w:r>
          </w:p>
        </w:tc>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36D8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会议桌</w:t>
            </w:r>
          </w:p>
        </w:tc>
        <w:tc>
          <w:tcPr>
            <w:tcW w:w="6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9310E">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1.会议桌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控制台尺寸：4500*1600*750mm(桌面到地面高度为750mm)；控制席柜体：主框架整体采用钢铝混合结构，控制台每个席位由集成模块拼接成长度不小于1200mm，高度735mm，深度不小于1000mm，容膝深度不小于480mm，主体集成模块框架采用钢铝混合结构，主承重钢板采用Q235碳素结构钢,厚度不小于2.0mm，表面静电喷涂，包含上下横梁以及其他承重部分结构件，承重框架采用铝型材截面不小于40mm*40mm铝合金型材框架，铝合金型材四周需圆弧处理，通过专用链接构件进行连接，包含左右侧窗。通过通用连接件拼装再组成一个独立模块，各个模块之间通用部件一致可互换，整体连接后的各个模块间内部贯通，各种线缆在指挥调度控制设备内可以实现自由贯通。铝型材抗拉强度200Mpa以上，屈服强度150Mpa以上，每个舱体静态载荷可达100KG。控制台前台500mm每单元可承载40kg无变形，同时使设备柜内不会有刮手的利口，并且便于进行改造和扩充、而无需钻孔作业。门板采用不小于1.2mm结构钢成型，门板下方设有通风散热矩阵，门板采用304不锈钢静音阻尼铰链，通过特制连接模块悬挂于主框架上，使操作台外观更具有现代感，并且具备质量轻、结构力强、耐热、使设备散热更快的优点，解决了木质门板的通风散热及阻燃问题。台板：采用进口原材料SPC抗倍特板。采用不小于18mm抗倍特板，经过CNC精密加工成型，表面经过耐磨处理，防火阻燃，防潮耐刻划。抗倍特台板边沿手枕黑色鸭嘴型一次成型，手枕采用台板一体化延伸的台板边缘，非二次加装聚氨酯等封边材料。</w:t>
            </w:r>
            <w:bookmarkStart w:id="144" w:name="_GoBack"/>
            <w:bookmarkEnd w:id="144"/>
            <w:r>
              <w:rPr>
                <w:rFonts w:hint="eastAsia" w:ascii="宋体" w:hAnsi="宋体" w:eastAsia="宋体" w:cs="宋体"/>
                <w:i w:val="0"/>
                <w:iCs w:val="0"/>
                <w:color w:val="auto"/>
                <w:kern w:val="0"/>
                <w:sz w:val="21"/>
                <w:szCs w:val="21"/>
                <w:u w:val="none"/>
                <w:lang w:val="en-US" w:eastAsia="zh-CN" w:bidi="ar"/>
              </w:rPr>
              <w:t xml:space="preserve">台面设有毛刷出线槽，出现槽整体采用铝合金型材，宽度不小于80mm，表面经过喷涂，满足日常工作设备走线需求，电子设备舱内左右联通贯穿，上方设有走线桥架。侧板：采用优质冷轧钢板制作成型，表面金属喷涂黑色+白色亚克力。    </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3.最终尺寸</w:t>
            </w:r>
            <w:r>
              <w:rPr>
                <w:rFonts w:hint="eastAsia" w:ascii="宋体" w:hAnsi="宋体" w:cs="宋体"/>
                <w:i w:val="0"/>
                <w:iCs w:val="0"/>
                <w:color w:val="auto"/>
                <w:kern w:val="0"/>
                <w:sz w:val="21"/>
                <w:szCs w:val="21"/>
                <w:u w:val="none"/>
                <w:lang w:val="en-US" w:eastAsia="zh-CN" w:bidi="ar"/>
              </w:rPr>
              <w:t>及方案</w:t>
            </w:r>
            <w:r>
              <w:rPr>
                <w:rFonts w:hint="eastAsia" w:ascii="宋体" w:hAnsi="宋体" w:eastAsia="宋体" w:cs="宋体"/>
                <w:i w:val="0"/>
                <w:iCs w:val="0"/>
                <w:color w:val="auto"/>
                <w:kern w:val="0"/>
                <w:sz w:val="21"/>
                <w:szCs w:val="21"/>
                <w:u w:val="none"/>
                <w:lang w:val="en-US" w:eastAsia="zh-CN" w:bidi="ar"/>
              </w:rPr>
              <w:t>经甲方确认后实施。</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5DDC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9C72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 </w:t>
            </w:r>
          </w:p>
        </w:tc>
      </w:tr>
      <w:tr w14:paraId="0F745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8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FF8CAD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10 </w:t>
            </w:r>
          </w:p>
        </w:tc>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0931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设备支架</w:t>
            </w:r>
          </w:p>
        </w:tc>
        <w:tc>
          <w:tcPr>
            <w:tcW w:w="6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79C16">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1.材质:控制台专用显示器支架</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2.形式:定制</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7168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686F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130 </w:t>
            </w:r>
          </w:p>
        </w:tc>
      </w:tr>
      <w:tr w14:paraId="5E7DB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8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32D479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11 </w:t>
            </w:r>
          </w:p>
        </w:tc>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31DA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标志牌</w:t>
            </w:r>
          </w:p>
        </w:tc>
        <w:tc>
          <w:tcPr>
            <w:tcW w:w="6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F7875">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1.材料种类、规格:控制台专用警徽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2.锌合金模具成型，表面电镀处理</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1209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6682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61 </w:t>
            </w:r>
          </w:p>
        </w:tc>
      </w:tr>
      <w:tr w14:paraId="2BA0E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68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E4E8CC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12 </w:t>
            </w:r>
          </w:p>
        </w:tc>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93E6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会议椅</w:t>
            </w:r>
          </w:p>
        </w:tc>
        <w:tc>
          <w:tcPr>
            <w:tcW w:w="6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973C5">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1.名称：会议椅</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2.规格：宽大厚实靠背头枕，表面进口皮革包裹，环保无甲醛、座配高回弹定型棉，包裹式靠背贴合腰椎设计，缓冲腰部压力，可以开启逍遥功能，最大可支持145°后仰范围，升降滑板多功能底盘</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2646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5C18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11 </w:t>
            </w:r>
          </w:p>
        </w:tc>
      </w:tr>
      <w:tr w14:paraId="5574C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68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ADC686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13 </w:t>
            </w:r>
          </w:p>
        </w:tc>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AB80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人体工学办公椅</w:t>
            </w:r>
          </w:p>
        </w:tc>
        <w:tc>
          <w:tcPr>
            <w:tcW w:w="6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4D9E6">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1.名称：人体工学办公椅</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2.规格：头背配高弹性特网、座配高回弹定型棉，黑色工程塑料背框，背配升降功能电镀连接杆，扶手配PU扶手面，3个定位带滑板多功能底盘，350MM聚氨酯五星脚，50MMPU 轮子</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5D70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8C18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13 </w:t>
            </w:r>
          </w:p>
        </w:tc>
      </w:tr>
      <w:tr w14:paraId="1521B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68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47A72B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14 </w:t>
            </w:r>
          </w:p>
        </w:tc>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787A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人体工学办公椅</w:t>
            </w:r>
          </w:p>
        </w:tc>
        <w:tc>
          <w:tcPr>
            <w:tcW w:w="6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051D5">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1.名称：人体工学办公椅(带腿托）</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2.规格：头背配高弹性特网、座配高回弹定型棉，黑色工程塑料背框，背配升降功能电镀连接杆，扶手配PU扶手面，3个定位带滑板多功能底盘，350MM聚氨酯五星脚，50MMPU 轮子</w:t>
            </w: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F2EC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2F2A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70 </w:t>
            </w:r>
          </w:p>
        </w:tc>
      </w:tr>
    </w:tbl>
    <w:p w14:paraId="72A6F3F9">
      <w:pPr>
        <w:pStyle w:val="284"/>
        <w:spacing w:line="360" w:lineRule="auto"/>
        <w:ind w:firstLine="482"/>
        <w:contextualSpacing/>
        <w:rPr>
          <w:rFonts w:hint="default" w:ascii="宋体" w:hAnsi="宋体" w:cs="宋体"/>
          <w:b/>
          <w:color w:val="000000"/>
          <w:sz w:val="24"/>
          <w:szCs w:val="24"/>
          <w:lang w:val="en-US" w:eastAsia="zh-CN"/>
        </w:rPr>
      </w:pPr>
      <w:r>
        <w:rPr>
          <w:rFonts w:hint="eastAsia" w:ascii="宋体" w:hAnsi="宋体" w:cs="宋体"/>
          <w:b/>
          <w:color w:val="000000"/>
          <w:sz w:val="24"/>
          <w:szCs w:val="24"/>
          <w:lang w:val="en-US" w:eastAsia="zh-CN"/>
        </w:rPr>
        <w:t>注：图纸未示意尺寸的最终以甲方确认的尺寸为准。</w:t>
      </w:r>
    </w:p>
    <w:p w14:paraId="32998041">
      <w:pPr>
        <w:pStyle w:val="284"/>
        <w:spacing w:line="360" w:lineRule="auto"/>
        <w:ind w:firstLine="482"/>
        <w:contextualSpacing/>
        <w:rPr>
          <w:rFonts w:hint="eastAsia" w:ascii="宋体" w:hAnsi="宋体" w:cs="宋体"/>
          <w:b/>
          <w:color w:val="000000"/>
          <w:sz w:val="24"/>
          <w:szCs w:val="24"/>
        </w:rPr>
      </w:pPr>
      <w:r>
        <w:rPr>
          <w:rFonts w:hint="eastAsia" w:ascii="宋体" w:hAnsi="宋体" w:cs="宋体"/>
          <w:b/>
          <w:color w:val="000000"/>
          <w:sz w:val="24"/>
          <w:szCs w:val="24"/>
          <w:lang w:val="en-US" w:eastAsia="zh-CN"/>
        </w:rPr>
        <w:t>五</w:t>
      </w:r>
      <w:r>
        <w:rPr>
          <w:rFonts w:hint="eastAsia" w:ascii="宋体" w:hAnsi="宋体" w:cs="宋体"/>
          <w:b/>
          <w:color w:val="000000"/>
          <w:sz w:val="24"/>
          <w:szCs w:val="24"/>
        </w:rPr>
        <w:t>、验收标准</w:t>
      </w:r>
    </w:p>
    <w:p w14:paraId="5DF43EE6">
      <w:pPr>
        <w:keepLines w:val="0"/>
        <w:pageBreakBefore w:val="0"/>
        <w:spacing w:line="360" w:lineRule="auto"/>
        <w:ind w:firstLine="48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1.成交供应商在交货时，需向采购人提供装箱清单和</w:t>
      </w:r>
      <w:r>
        <w:rPr>
          <w:rFonts w:hint="eastAsia" w:ascii="宋体" w:hAnsi="宋体" w:cs="宋体"/>
          <w:color w:val="auto"/>
          <w:sz w:val="24"/>
          <w:szCs w:val="24"/>
          <w:highlight w:val="none"/>
          <w:lang w:val="en-US" w:eastAsia="zh-CN" w:bidi="ar-SA"/>
        </w:rPr>
        <w:t>产品</w:t>
      </w:r>
      <w:r>
        <w:rPr>
          <w:rFonts w:hint="eastAsia" w:ascii="宋体" w:hAnsi="宋体" w:eastAsia="宋体" w:cs="宋体"/>
          <w:color w:val="auto"/>
          <w:sz w:val="24"/>
          <w:szCs w:val="24"/>
          <w:highlight w:val="none"/>
          <w:lang w:val="en-US" w:eastAsia="zh-CN" w:bidi="ar-SA"/>
        </w:rPr>
        <w:t>合格证。</w:t>
      </w:r>
    </w:p>
    <w:p w14:paraId="211060A3">
      <w:pPr>
        <w:keepLines w:val="0"/>
        <w:pageBreakBefore w:val="0"/>
        <w:spacing w:line="360" w:lineRule="auto"/>
        <w:ind w:firstLine="48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投标产品所选用主材、辅材须达到或超过本采购文件和国家相关规定的要求。采购人在认为有必要时可对中标产品相应主材、辅材进行检测，如检测不符合国家相应标准或采购文件中设定的标准，将判定所供设备不合格，同时成交供应商必须承担由此给采购人造成的损失；如检测符合国家相应标准或招标文件中设定的标准，其检测</w:t>
      </w:r>
      <w:r>
        <w:rPr>
          <w:rFonts w:hint="eastAsia" w:ascii="宋体" w:hAnsi="宋体" w:cs="宋体"/>
          <w:color w:val="auto"/>
          <w:sz w:val="24"/>
          <w:szCs w:val="24"/>
          <w:highlight w:val="none"/>
          <w:lang w:val="en-US" w:eastAsia="zh-CN" w:bidi="ar-SA"/>
        </w:rPr>
        <w:t>费用</w:t>
      </w:r>
      <w:r>
        <w:rPr>
          <w:rFonts w:hint="eastAsia" w:ascii="宋体" w:hAnsi="宋体" w:eastAsia="宋体" w:cs="宋体"/>
          <w:color w:val="auto"/>
          <w:sz w:val="24"/>
          <w:szCs w:val="24"/>
          <w:highlight w:val="none"/>
          <w:lang w:val="en-US" w:eastAsia="zh-CN" w:bidi="ar-SA"/>
        </w:rPr>
        <w:t>由采购人承担。</w:t>
      </w:r>
    </w:p>
    <w:p w14:paraId="7C70AA70">
      <w:pPr>
        <w:keepLines w:val="0"/>
        <w:pageBreakBefore w:val="0"/>
        <w:spacing w:line="360" w:lineRule="auto"/>
        <w:ind w:firstLine="48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3.对货物安装验收不合格时，成交供应商应予以免费调换，直至符合规定，采购人不承担因调退货而发生的任何费用和责任，如因货物质量给采购人带来的损失，成交供应商还应赔偿采购人直接损失费用。</w:t>
      </w:r>
    </w:p>
    <w:p w14:paraId="0BDDCE55">
      <w:pPr>
        <w:keepLines w:val="0"/>
        <w:pageBreakBefore w:val="0"/>
        <w:spacing w:line="360" w:lineRule="auto"/>
        <w:ind w:firstLine="48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4.经履约验收，产品性能参数达不到采购合同要求的，采购人可以拒收，并可以解除合同。</w:t>
      </w:r>
    </w:p>
    <w:p w14:paraId="40370C32">
      <w:pPr>
        <w:pStyle w:val="284"/>
        <w:spacing w:line="360" w:lineRule="auto"/>
        <w:ind w:firstLine="482"/>
        <w:contextualSpacing/>
        <w:rPr>
          <w:rFonts w:hint="eastAsia" w:ascii="宋体" w:hAnsi="宋体" w:cs="宋体"/>
          <w:b/>
          <w:color w:val="000000"/>
          <w:sz w:val="24"/>
          <w:szCs w:val="24"/>
        </w:rPr>
      </w:pPr>
      <w:r>
        <w:rPr>
          <w:rFonts w:hint="eastAsia" w:ascii="宋体" w:hAnsi="宋体" w:cs="宋体"/>
          <w:b/>
          <w:color w:val="000000"/>
          <w:sz w:val="24"/>
          <w:szCs w:val="24"/>
          <w:lang w:val="en-US" w:eastAsia="zh-CN"/>
        </w:rPr>
        <w:t>六</w:t>
      </w:r>
      <w:r>
        <w:rPr>
          <w:rFonts w:hint="eastAsia" w:ascii="宋体" w:hAnsi="宋体" w:cs="宋体"/>
          <w:b/>
          <w:color w:val="000000"/>
          <w:sz w:val="24"/>
          <w:szCs w:val="24"/>
        </w:rPr>
        <w:t>、质保及售后服务要求</w:t>
      </w:r>
    </w:p>
    <w:p w14:paraId="00EAAE88">
      <w:pPr>
        <w:keepLines w:val="0"/>
        <w:pageBreakBefore w:val="0"/>
        <w:spacing w:line="360" w:lineRule="auto"/>
        <w:ind w:firstLine="480"/>
        <w:rPr>
          <w:rFonts w:hint="eastAsia" w:ascii="宋体" w:hAnsi="宋体" w:eastAsia="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1.</w:t>
      </w:r>
      <w:r>
        <w:rPr>
          <w:rFonts w:hint="eastAsia" w:ascii="宋体" w:hAnsi="宋体" w:eastAsia="宋体" w:cs="宋体"/>
          <w:color w:val="auto"/>
          <w:sz w:val="24"/>
          <w:szCs w:val="24"/>
          <w:highlight w:val="none"/>
          <w:lang w:val="en-US" w:eastAsia="zh-CN" w:bidi="ar-SA"/>
        </w:rPr>
        <w:t>质保期：本项目免费质量保修保养期2年，计算期自货物安装并验收合格、正式交付使用之日起计算。质保期内的日常维护及保养工作免费。成交供应商须委派指定的技术人员定期进行维护保养。</w:t>
      </w:r>
    </w:p>
    <w:p w14:paraId="1D4727BD">
      <w:pPr>
        <w:keepLines w:val="0"/>
        <w:pageBreakBefore w:val="0"/>
        <w:spacing w:line="360" w:lineRule="auto"/>
        <w:ind w:firstLine="480"/>
        <w:rPr>
          <w:rFonts w:hint="eastAsia" w:ascii="宋体" w:hAnsi="宋体" w:eastAsia="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2.</w:t>
      </w:r>
      <w:r>
        <w:rPr>
          <w:rFonts w:hint="eastAsia" w:ascii="宋体" w:hAnsi="宋体" w:eastAsia="宋体" w:cs="宋体"/>
          <w:color w:val="auto"/>
          <w:sz w:val="24"/>
          <w:szCs w:val="24"/>
          <w:highlight w:val="none"/>
          <w:lang w:val="en-US" w:eastAsia="zh-CN" w:bidi="ar-SA"/>
        </w:rPr>
        <w:t>所有货物在使用期限内由于其本身的缺陷或质量问题造成的任何故障或损坏，不管是否在质保期内，成交供应商必须及时维修或更换，一切费用由成交供应商承担。</w:t>
      </w:r>
    </w:p>
    <w:p w14:paraId="225FF225">
      <w:pPr>
        <w:keepLines w:val="0"/>
        <w:pageBreakBefore w:val="0"/>
        <w:spacing w:line="360" w:lineRule="auto"/>
        <w:ind w:firstLine="480"/>
        <w:rPr>
          <w:rFonts w:hint="eastAsia" w:ascii="宋体" w:hAnsi="宋体" w:eastAsia="宋体" w:cs="宋体"/>
          <w:b/>
          <w:bCs/>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3.</w:t>
      </w:r>
      <w:r>
        <w:rPr>
          <w:rFonts w:hint="eastAsia" w:ascii="宋体" w:hAnsi="宋体" w:eastAsia="宋体" w:cs="宋体"/>
          <w:color w:val="auto"/>
          <w:sz w:val="24"/>
          <w:szCs w:val="24"/>
          <w:highlight w:val="none"/>
          <w:lang w:val="en-US" w:eastAsia="zh-CN" w:bidi="ar-SA"/>
        </w:rPr>
        <w:t>维修服务要求1小时响应。在接到报修通知后12小时内到现场服务并连续进行，直至故障排除完全恢复正常使用为止。无特殊情况下，所有维修要求必须在48小时内完全得到解决。维修机构必须备有足够的备品备件，以满足采购人对维修的要求。质保期内应免费提供，在免费质保期满后三年内价格不变。</w:t>
      </w:r>
      <w:r>
        <w:rPr>
          <w:rFonts w:hint="eastAsia" w:ascii="宋体" w:hAnsi="宋体" w:cs="宋体"/>
          <w:b/>
          <w:bCs/>
          <w:color w:val="auto"/>
          <w:sz w:val="24"/>
          <w:szCs w:val="24"/>
          <w:highlight w:val="none"/>
          <w:lang w:val="en-US" w:eastAsia="zh-CN" w:bidi="ar-SA"/>
        </w:rPr>
        <w:t>（提供承诺书加盖供应商公章）</w:t>
      </w:r>
    </w:p>
    <w:p w14:paraId="172C816A">
      <w:pPr>
        <w:keepLines w:val="0"/>
        <w:pageBreakBefore w:val="0"/>
        <w:spacing w:line="360" w:lineRule="auto"/>
        <w:ind w:firstLine="480"/>
        <w:rPr>
          <w:rFonts w:hint="eastAsia" w:ascii="宋体" w:hAnsi="宋体" w:eastAsia="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4.</w:t>
      </w:r>
      <w:r>
        <w:rPr>
          <w:rFonts w:hint="eastAsia" w:ascii="宋体" w:hAnsi="宋体" w:eastAsia="宋体" w:cs="宋体"/>
          <w:color w:val="auto"/>
          <w:sz w:val="24"/>
          <w:szCs w:val="24"/>
          <w:highlight w:val="none"/>
          <w:lang w:val="en-US" w:eastAsia="zh-CN" w:bidi="ar-SA"/>
        </w:rPr>
        <w:t>在质保期满后，货物出现故障时，成交供应商仍需做好售后服务，并在上述时限内赶到现场，及时处理解决。</w:t>
      </w:r>
    </w:p>
    <w:p w14:paraId="44E3E7AD">
      <w:pPr>
        <w:keepLines w:val="0"/>
        <w:pageBreakBefore w:val="0"/>
        <w:spacing w:line="360" w:lineRule="auto"/>
        <w:ind w:firstLine="480"/>
        <w:rPr>
          <w:rFonts w:hint="eastAsia" w:ascii="宋体" w:hAnsi="宋体" w:eastAsia="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5.</w:t>
      </w:r>
      <w:r>
        <w:rPr>
          <w:rFonts w:hint="eastAsia" w:ascii="宋体" w:hAnsi="宋体" w:eastAsia="宋体" w:cs="宋体"/>
          <w:color w:val="auto"/>
          <w:sz w:val="24"/>
          <w:szCs w:val="24"/>
          <w:highlight w:val="none"/>
          <w:lang w:val="en-US" w:eastAsia="zh-CN" w:bidi="ar-SA"/>
        </w:rPr>
        <w:t>成交供应商在实施项目过程</w:t>
      </w:r>
      <w:r>
        <w:rPr>
          <w:rFonts w:hint="eastAsia" w:ascii="宋体" w:hAnsi="宋体" w:cs="宋体"/>
          <w:color w:val="auto"/>
          <w:sz w:val="24"/>
          <w:szCs w:val="24"/>
          <w:highlight w:val="none"/>
          <w:lang w:val="en-US" w:eastAsia="zh-CN" w:bidi="ar-SA"/>
        </w:rPr>
        <w:t>中</w:t>
      </w:r>
      <w:r>
        <w:rPr>
          <w:rFonts w:hint="eastAsia" w:ascii="宋体" w:hAnsi="宋体" w:eastAsia="宋体" w:cs="宋体"/>
          <w:color w:val="auto"/>
          <w:sz w:val="24"/>
          <w:szCs w:val="24"/>
          <w:highlight w:val="none"/>
          <w:lang w:val="en-US" w:eastAsia="zh-CN" w:bidi="ar-SA"/>
        </w:rPr>
        <w:t>出现的安全事故由成交供应商自行负责。</w:t>
      </w:r>
    </w:p>
    <w:p w14:paraId="2AAA2347">
      <w:pPr>
        <w:keepLines w:val="0"/>
        <w:pageBreakBefore w:val="0"/>
        <w:spacing w:line="360" w:lineRule="auto"/>
        <w:ind w:firstLine="480"/>
        <w:rPr>
          <w:rFonts w:hint="default" w:ascii="宋体" w:hAnsi="宋体" w:eastAsia="宋体" w:cs="宋体"/>
          <w:b/>
          <w:color w:val="000000"/>
          <w:sz w:val="24"/>
          <w:szCs w:val="24"/>
          <w:lang w:val="en-US" w:eastAsia="zh-CN" w:bidi="ar-SA"/>
        </w:rPr>
      </w:pPr>
      <w:r>
        <w:rPr>
          <w:rFonts w:hint="eastAsia" w:ascii="宋体" w:hAnsi="宋体" w:eastAsia="宋体" w:cs="宋体"/>
          <w:b/>
          <w:color w:val="000000"/>
          <w:sz w:val="24"/>
          <w:szCs w:val="24"/>
          <w:lang w:val="en-US" w:eastAsia="zh-CN" w:bidi="ar-SA"/>
        </w:rPr>
        <w:t>七、技术评审要求（服务方案）</w:t>
      </w:r>
    </w:p>
    <w:p w14:paraId="537531D1">
      <w:pPr>
        <w:keepLines w:val="0"/>
        <w:pageBreakBefore w:val="0"/>
        <w:spacing w:line="360" w:lineRule="auto"/>
        <w:ind w:firstLine="48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bidi="ar-SA"/>
        </w:rPr>
        <w:t>1.</w:t>
      </w:r>
      <w:r>
        <w:rPr>
          <w:rFonts w:hint="eastAsia" w:ascii="宋体" w:hAnsi="宋体" w:cs="宋体"/>
          <w:color w:val="auto"/>
          <w:sz w:val="24"/>
          <w:szCs w:val="24"/>
          <w:highlight w:val="none"/>
          <w:lang w:val="en-US" w:eastAsia="zh-CN"/>
        </w:rPr>
        <w:t>项目总体</w:t>
      </w:r>
      <w:r>
        <w:rPr>
          <w:rFonts w:hint="eastAsia" w:ascii="宋体" w:hAnsi="宋体" w:eastAsia="宋体" w:cs="宋体"/>
          <w:color w:val="auto"/>
          <w:sz w:val="24"/>
          <w:szCs w:val="24"/>
          <w:highlight w:val="none"/>
          <w:lang w:val="en-US" w:eastAsia="zh-CN"/>
        </w:rPr>
        <w:t>实施供货方案</w:t>
      </w:r>
    </w:p>
    <w:p w14:paraId="28259B42">
      <w:pPr>
        <w:keepLines w:val="0"/>
        <w:pageBreakBefore w:val="0"/>
        <w:spacing w:line="360" w:lineRule="auto"/>
        <w:ind w:firstLine="48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根据采购需求和本项目实际，制定相应的项目实施方案，方案至少包含以下几点：</w:t>
      </w:r>
    </w:p>
    <w:p w14:paraId="2BD56E08">
      <w:pPr>
        <w:keepLines w:val="0"/>
        <w:pageBreakBefore w:val="0"/>
        <w:spacing w:line="360" w:lineRule="auto"/>
        <w:ind w:firstLine="48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（1）项目需求理解与项目概况分析</w:t>
      </w:r>
    </w:p>
    <w:p w14:paraId="3C003EF7">
      <w:pPr>
        <w:keepLines w:val="0"/>
        <w:pageBreakBefore w:val="0"/>
        <w:spacing w:line="360" w:lineRule="auto"/>
        <w:ind w:firstLine="48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精准阐述反诈中心调度操控场景功能需求、场地适配需求、公安反诈工作使用特性，结合控制台、会议桌椅使用场景详细分析。</w:t>
      </w:r>
    </w:p>
    <w:p w14:paraId="40556C9E">
      <w:pPr>
        <w:keepLines w:val="0"/>
        <w:pageBreakBefore w:val="0"/>
        <w:numPr>
          <w:ilvl w:val="0"/>
          <w:numId w:val="0"/>
        </w:numPr>
        <w:spacing w:line="360" w:lineRule="auto"/>
        <w:ind w:leftChars="0" w:firstLine="480" w:firstLineChars="20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（2）项目整体实施架构与总体思路</w:t>
      </w:r>
    </w:p>
    <w:p w14:paraId="0689330C">
      <w:pPr>
        <w:keepLines w:val="0"/>
        <w:pageBreakBefore w:val="0"/>
        <w:numPr>
          <w:ilvl w:val="0"/>
          <w:numId w:val="0"/>
        </w:numPr>
        <w:spacing w:line="360" w:lineRule="auto"/>
        <w:ind w:leftChars="0" w:firstLine="480" w:firstLineChars="20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方案明确项目设计、生产、供货、运输、安装、调试、验收全流程架构，实施逻辑清晰、分工明确、贴合指挥室标准化建设要求。</w:t>
      </w:r>
    </w:p>
    <w:p w14:paraId="2EFFDFF6">
      <w:pPr>
        <w:keepLines w:val="0"/>
        <w:pageBreakBefore w:val="0"/>
        <w:numPr>
          <w:ilvl w:val="0"/>
          <w:numId w:val="4"/>
        </w:numPr>
        <w:spacing w:line="360" w:lineRule="auto"/>
        <w:ind w:firstLine="48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项目重难点分析及专项应对方案</w:t>
      </w:r>
    </w:p>
    <w:p w14:paraId="4F770231">
      <w:pPr>
        <w:keepLines w:val="0"/>
        <w:pageBreakBefore w:val="0"/>
        <w:numPr>
          <w:ilvl w:val="0"/>
          <w:numId w:val="0"/>
        </w:numPr>
        <w:spacing w:line="360" w:lineRule="auto"/>
        <w:ind w:firstLine="480" w:firstLineChars="20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精准识别反诈指挥调度室场地布局、设备适配、静音施工、工期紧张、成品保护、系统适配等重难点，每一项重难点均配有具体、可落地的专项解决措施，方案专业完善。</w:t>
      </w:r>
    </w:p>
    <w:p w14:paraId="42A8A50F">
      <w:pPr>
        <w:keepLines w:val="0"/>
        <w:pageBreakBefore w:val="0"/>
        <w:numPr>
          <w:ilvl w:val="0"/>
          <w:numId w:val="0"/>
        </w:numPr>
        <w:spacing w:line="360" w:lineRule="auto"/>
        <w:ind w:leftChars="0"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产品</w:t>
      </w:r>
      <w:r>
        <w:rPr>
          <w:rFonts w:hint="eastAsia" w:ascii="宋体" w:hAnsi="宋体" w:eastAsia="宋体" w:cs="宋体"/>
          <w:color w:val="auto"/>
          <w:sz w:val="24"/>
          <w:szCs w:val="24"/>
          <w:highlight w:val="none"/>
        </w:rPr>
        <w:t>质量保证措施</w:t>
      </w:r>
    </w:p>
    <w:p w14:paraId="5CD7070B">
      <w:pPr>
        <w:keepLines w:val="0"/>
        <w:pageBreakBefore w:val="0"/>
        <w:spacing w:line="360" w:lineRule="auto"/>
        <w:ind w:firstLine="48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根据采购需求和本项目实际，制定相应的</w:t>
      </w:r>
      <w:r>
        <w:rPr>
          <w:rFonts w:hint="eastAsia" w:ascii="宋体" w:hAnsi="宋体" w:eastAsia="宋体" w:cs="宋体"/>
          <w:color w:val="auto"/>
          <w:sz w:val="24"/>
          <w:szCs w:val="24"/>
          <w:highlight w:val="none"/>
          <w:lang w:val="en-US" w:eastAsia="zh-CN"/>
        </w:rPr>
        <w:t>产品</w:t>
      </w:r>
      <w:r>
        <w:rPr>
          <w:rFonts w:hint="eastAsia" w:ascii="宋体" w:hAnsi="宋体" w:eastAsia="宋体" w:cs="宋体"/>
          <w:color w:val="auto"/>
          <w:sz w:val="24"/>
          <w:szCs w:val="24"/>
          <w:highlight w:val="none"/>
        </w:rPr>
        <w:t>质量保证措施</w:t>
      </w:r>
      <w:r>
        <w:rPr>
          <w:rFonts w:hint="eastAsia" w:ascii="宋体" w:hAnsi="宋体" w:cs="宋体"/>
          <w:color w:val="auto"/>
          <w:sz w:val="24"/>
          <w:szCs w:val="24"/>
          <w:highlight w:val="none"/>
          <w:lang w:val="en-US" w:eastAsia="zh-CN" w:bidi="ar-SA"/>
        </w:rPr>
        <w:t>，方案至少包含以下几点：</w:t>
      </w:r>
    </w:p>
    <w:p w14:paraId="66232020">
      <w:pPr>
        <w:keepLines w:val="0"/>
        <w:pageBreakBefore w:val="0"/>
        <w:numPr>
          <w:ilvl w:val="0"/>
          <w:numId w:val="0"/>
        </w:numPr>
        <w:spacing w:line="360" w:lineRule="auto"/>
        <w:ind w:firstLine="480" w:firstLineChars="20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（1）质量管理体系认证及制度保障</w:t>
      </w:r>
    </w:p>
    <w:p w14:paraId="5A5164F8">
      <w:pPr>
        <w:keepLines w:val="0"/>
        <w:pageBreakBefore w:val="0"/>
        <w:numPr>
          <w:ilvl w:val="0"/>
          <w:numId w:val="0"/>
        </w:numPr>
        <w:spacing w:line="360" w:lineRule="auto"/>
        <w:ind w:firstLine="480" w:firstLineChars="200"/>
        <w:rPr>
          <w:rFonts w:hint="default"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具备有效的ISO9001质量管理体系、ISO14001环境管理体系、ISO45001职业健康安全管理体系证书，且在有效期内，同时提供完善的工厂质量管控制度。</w:t>
      </w:r>
    </w:p>
    <w:p w14:paraId="258E1141">
      <w:pPr>
        <w:keepLines w:val="0"/>
        <w:pageBreakBefore w:val="0"/>
        <w:numPr>
          <w:ilvl w:val="0"/>
          <w:numId w:val="5"/>
        </w:numPr>
        <w:spacing w:line="360" w:lineRule="auto"/>
        <w:ind w:firstLine="480" w:firstLineChars="20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原材料选材质量管控措施</w:t>
      </w:r>
    </w:p>
    <w:p w14:paraId="5366CA53">
      <w:pPr>
        <w:keepLines w:val="0"/>
        <w:pageBreakBefore w:val="0"/>
        <w:numPr>
          <w:ilvl w:val="0"/>
          <w:numId w:val="0"/>
        </w:numPr>
        <w:spacing w:line="360" w:lineRule="auto"/>
        <w:ind w:firstLine="480" w:firstLineChars="20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明确控制台主框架、台面板材、五金配件、会议椅海绵、皮革、五金等所有主材、辅材的原材料进场验收、抽检、溯源机制完善。</w:t>
      </w:r>
    </w:p>
    <w:p w14:paraId="63BE088F">
      <w:pPr>
        <w:keepLines w:val="0"/>
        <w:pageBreakBefore w:val="0"/>
        <w:numPr>
          <w:ilvl w:val="0"/>
          <w:numId w:val="5"/>
        </w:numPr>
        <w:spacing w:line="360" w:lineRule="auto"/>
        <w:ind w:left="0" w:leftChars="0" w:firstLine="480" w:firstLineChars="20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生产过程质量把控措施</w:t>
      </w:r>
    </w:p>
    <w:p w14:paraId="78FD2A01">
      <w:pPr>
        <w:keepLines w:val="0"/>
        <w:pageBreakBefore w:val="0"/>
        <w:numPr>
          <w:ilvl w:val="0"/>
          <w:numId w:val="0"/>
        </w:numPr>
        <w:spacing w:line="360" w:lineRule="auto"/>
        <w:ind w:firstLine="480" w:firstLineChars="20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详细公示生产工序质控节点，设置多级质检岗位、工序自检、互检、专检机制，生产全过程可追溯，针对控制台承重、防静电、防变形、桌椅稳固性有专项质控方案。</w:t>
      </w:r>
    </w:p>
    <w:p w14:paraId="0DCFCD46">
      <w:pPr>
        <w:keepLines w:val="0"/>
        <w:pageBreakBefore w:val="0"/>
        <w:numPr>
          <w:ilvl w:val="0"/>
          <w:numId w:val="0"/>
        </w:numPr>
        <w:spacing w:line="360" w:lineRule="auto"/>
        <w:ind w:firstLine="480" w:firstLineChars="20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（4）出厂检测及成品验收标准</w:t>
      </w:r>
    </w:p>
    <w:p w14:paraId="1093756B">
      <w:pPr>
        <w:keepLines w:val="0"/>
        <w:pageBreakBefore w:val="0"/>
        <w:numPr>
          <w:ilvl w:val="0"/>
          <w:numId w:val="0"/>
        </w:numPr>
        <w:spacing w:line="360" w:lineRule="auto"/>
        <w:ind w:firstLine="480" w:firstLineChars="20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提供完整的产品出厂检测项目清单，附带成品出厂验收标准、检测记录模板。</w:t>
      </w:r>
    </w:p>
    <w:p w14:paraId="65950D98">
      <w:pPr>
        <w:keepLines w:val="0"/>
        <w:pageBreakBefore w:val="0"/>
        <w:numPr>
          <w:ilvl w:val="0"/>
          <w:numId w:val="0"/>
        </w:numPr>
        <w:spacing w:line="360" w:lineRule="auto"/>
        <w:ind w:leftChars="20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（5）运输及现场成品保护质量措施</w:t>
      </w:r>
    </w:p>
    <w:p w14:paraId="493022C3">
      <w:pPr>
        <w:keepLines w:val="0"/>
        <w:pageBreakBefore w:val="0"/>
        <w:numPr>
          <w:ilvl w:val="0"/>
          <w:numId w:val="0"/>
        </w:num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bidi="ar-SA"/>
        </w:rPr>
        <w:t>针对大件控制台、会议桌椅定制防震、防刮、防潮包装方案，明确运输防护、现场堆放、二次搬运、安装期间成品保护措施，杜绝磕碰、变形、划痕污染的措施。</w:t>
      </w:r>
    </w:p>
    <w:p w14:paraId="5543DB8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进度计划</w:t>
      </w:r>
      <w:r>
        <w:rPr>
          <w:rFonts w:hint="eastAsia" w:ascii="宋体" w:hAnsi="宋体" w:eastAsia="宋体" w:cs="宋体"/>
          <w:color w:val="auto"/>
          <w:sz w:val="24"/>
          <w:szCs w:val="24"/>
          <w:highlight w:val="none"/>
          <w:lang w:val="en-US" w:eastAsia="zh-CN"/>
        </w:rPr>
        <w:t>实施方案</w:t>
      </w:r>
    </w:p>
    <w:p w14:paraId="0804FE6E">
      <w:pPr>
        <w:keepLines w:val="0"/>
        <w:pageBreakBefore w:val="0"/>
        <w:spacing w:line="360" w:lineRule="auto"/>
        <w:ind w:firstLine="48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根据采购需求和本项目实际，制定相应的</w:t>
      </w:r>
      <w:r>
        <w:rPr>
          <w:rFonts w:hint="eastAsia" w:ascii="宋体" w:hAnsi="宋体" w:eastAsia="宋体" w:cs="宋体"/>
          <w:color w:val="auto"/>
          <w:sz w:val="24"/>
          <w:szCs w:val="24"/>
          <w:highlight w:val="none"/>
        </w:rPr>
        <w:t>进度计划</w:t>
      </w:r>
      <w:r>
        <w:rPr>
          <w:rFonts w:hint="eastAsia" w:ascii="宋体" w:hAnsi="宋体" w:eastAsia="宋体" w:cs="宋体"/>
          <w:color w:val="auto"/>
          <w:sz w:val="24"/>
          <w:szCs w:val="24"/>
          <w:highlight w:val="none"/>
          <w:lang w:val="en-US" w:eastAsia="zh-CN"/>
        </w:rPr>
        <w:t>实施方案</w:t>
      </w:r>
      <w:r>
        <w:rPr>
          <w:rFonts w:hint="eastAsia" w:ascii="宋体" w:hAnsi="宋体" w:cs="宋体"/>
          <w:color w:val="auto"/>
          <w:sz w:val="24"/>
          <w:szCs w:val="24"/>
          <w:highlight w:val="none"/>
          <w:lang w:val="en-US" w:eastAsia="zh-CN" w:bidi="ar-SA"/>
        </w:rPr>
        <w:t>，方案至少包含以下几点：</w:t>
      </w:r>
    </w:p>
    <w:p w14:paraId="2DCF85CE">
      <w:pPr>
        <w:keepLines w:val="0"/>
        <w:pageBreakBefore w:val="0"/>
        <w:numPr>
          <w:ilvl w:val="0"/>
          <w:numId w:val="0"/>
        </w:numPr>
        <w:spacing w:line="360" w:lineRule="auto"/>
        <w:ind w:firstLine="480" w:firstLineChars="20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（1）整体工期规划与分段节点细化</w:t>
      </w:r>
    </w:p>
    <w:p w14:paraId="7FC04BA2">
      <w:pPr>
        <w:keepLines w:val="0"/>
        <w:pageBreakBefore w:val="0"/>
        <w:numPr>
          <w:ilvl w:val="0"/>
          <w:numId w:val="0"/>
        </w:numPr>
        <w:spacing w:line="360" w:lineRule="auto"/>
        <w:ind w:firstLine="480" w:firstLineChars="20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结合项目需求制定总工期计划表，精准拆分深化设计、原料采购、工厂生产、物流运输、进场施工、安装调试、清洁收尾、竣工验收8个关键节点，明确每个节点起止时间、交付成果。</w:t>
      </w:r>
    </w:p>
    <w:p w14:paraId="70AA914F">
      <w:pPr>
        <w:keepLines w:val="0"/>
        <w:pageBreakBefore w:val="0"/>
        <w:numPr>
          <w:ilvl w:val="0"/>
          <w:numId w:val="6"/>
        </w:numPr>
        <w:spacing w:line="360" w:lineRule="auto"/>
        <w:ind w:firstLine="480" w:firstLineChars="20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人力、设备、物资进度保障措施</w:t>
      </w:r>
    </w:p>
    <w:p w14:paraId="45C976AF">
      <w:pPr>
        <w:keepLines w:val="0"/>
        <w:pageBreakBefore w:val="0"/>
        <w:numPr>
          <w:ilvl w:val="0"/>
          <w:numId w:val="0"/>
        </w:numPr>
        <w:spacing w:line="360" w:lineRule="auto"/>
        <w:ind w:firstLine="480" w:firstLineChars="20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根据施工工期配置专项项目负责人、技术人员、安装班组、售后人员，明确人员岗位职责、到场时间，配套施工工具、运输设备、备货计划齐全，可保障工期稳步推进。</w:t>
      </w:r>
    </w:p>
    <w:p w14:paraId="2D1DAACF">
      <w:pPr>
        <w:keepLines w:val="0"/>
        <w:pageBreakBefore w:val="0"/>
        <w:numPr>
          <w:ilvl w:val="0"/>
          <w:numId w:val="6"/>
        </w:numPr>
        <w:spacing w:line="360" w:lineRule="auto"/>
        <w:ind w:left="0" w:leftChars="0" w:firstLine="480" w:firstLineChars="20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进度动态管控与日常调度机制</w:t>
      </w:r>
    </w:p>
    <w:p w14:paraId="62465D62">
      <w:pPr>
        <w:keepLines w:val="0"/>
        <w:pageBreakBefore w:val="0"/>
        <w:numPr>
          <w:ilvl w:val="0"/>
          <w:numId w:val="0"/>
        </w:numPr>
        <w:spacing w:line="360" w:lineRule="auto"/>
        <w:ind w:leftChars="200" w:firstLine="480" w:firstLineChars="20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建立每日施工报备、每周进度复盘制度，设置进度滞后预警机制，可实时跟踪生产、进场、安装进度，具备进度纠偏、工序调整方案。</w:t>
      </w:r>
    </w:p>
    <w:p w14:paraId="5BEF3E25">
      <w:pPr>
        <w:keepLines w:val="0"/>
        <w:pageBreakBefore w:val="0"/>
        <w:numPr>
          <w:ilvl w:val="0"/>
          <w:numId w:val="6"/>
        </w:numPr>
        <w:spacing w:line="360" w:lineRule="auto"/>
        <w:ind w:left="0" w:leftChars="0" w:firstLine="480" w:firstLineChars="20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工期延误应急保障预案</w:t>
      </w:r>
    </w:p>
    <w:p w14:paraId="4191DED3">
      <w:pPr>
        <w:keepLines w:val="0"/>
        <w:pageBreakBefore w:val="0"/>
        <w:numPr>
          <w:ilvl w:val="0"/>
          <w:numId w:val="0"/>
        </w:numPr>
        <w:spacing w:line="360" w:lineRule="auto"/>
        <w:ind w:leftChars="200" w:firstLine="480" w:firstLineChars="20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针对天气、场地条件、物流、配件短缺等突发情况制定专项工期应急预案，明确赶工措施、备用货源、替补施工班组方案，可有效化解工期风险。</w:t>
      </w:r>
    </w:p>
    <w:p w14:paraId="1E4F2E90">
      <w:pPr>
        <w:keepNext w:val="0"/>
        <w:keepLines w:val="0"/>
        <w:pageBreakBefore w:val="0"/>
        <w:widowControl w:val="0"/>
        <w:numPr>
          <w:ilvl w:val="0"/>
          <w:numId w:val="7"/>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现场安装技术方案</w:t>
      </w:r>
    </w:p>
    <w:p w14:paraId="208EE61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bidi="ar-SA"/>
        </w:rPr>
        <w:t>根据采购需求和本项目实际，制定相应的</w:t>
      </w:r>
      <w:r>
        <w:rPr>
          <w:rFonts w:hint="eastAsia" w:ascii="宋体" w:hAnsi="宋体" w:eastAsia="宋体" w:cs="宋体"/>
          <w:color w:val="auto"/>
          <w:sz w:val="24"/>
          <w:szCs w:val="24"/>
          <w:highlight w:val="none"/>
          <w:lang w:val="en-US" w:eastAsia="zh-CN"/>
        </w:rPr>
        <w:t>现场安装技术方案</w:t>
      </w:r>
      <w:r>
        <w:rPr>
          <w:rFonts w:hint="eastAsia" w:ascii="宋体" w:hAnsi="宋体" w:cs="宋体"/>
          <w:color w:val="auto"/>
          <w:sz w:val="24"/>
          <w:szCs w:val="24"/>
          <w:highlight w:val="none"/>
          <w:lang w:val="en-US" w:eastAsia="zh-CN" w:bidi="ar-SA"/>
        </w:rPr>
        <w:t>，方案至少包含以下几点：</w:t>
      </w:r>
    </w:p>
    <w:p w14:paraId="2BD9CE4D">
      <w:pPr>
        <w:keepLines w:val="0"/>
        <w:pageBreakBefore w:val="0"/>
        <w:numPr>
          <w:ilvl w:val="0"/>
          <w:numId w:val="0"/>
        </w:numPr>
        <w:spacing w:line="360" w:lineRule="auto"/>
        <w:ind w:firstLine="480" w:firstLineChars="20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（1）前期现场勘测与适配优化方案</w:t>
      </w:r>
    </w:p>
    <w:p w14:paraId="4F1FEF70">
      <w:pPr>
        <w:keepLines w:val="0"/>
        <w:pageBreakBefore w:val="0"/>
        <w:numPr>
          <w:ilvl w:val="0"/>
          <w:numId w:val="0"/>
        </w:numPr>
        <w:spacing w:line="360" w:lineRule="auto"/>
        <w:ind w:firstLine="480" w:firstLineChars="20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明确进场前场地尺寸复测、地面找平、墙体点位、场地动线勘测流程，根据现场实际尺寸对控制台、会议桌椅布局进行优化微调。</w:t>
      </w:r>
    </w:p>
    <w:p w14:paraId="7D0DF9B6">
      <w:pPr>
        <w:keepLines w:val="0"/>
        <w:pageBreakBefore w:val="0"/>
        <w:numPr>
          <w:ilvl w:val="0"/>
          <w:numId w:val="0"/>
        </w:numPr>
        <w:spacing w:line="360" w:lineRule="auto"/>
        <w:ind w:firstLine="480" w:firstLineChars="20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（2）标准化安装施工工艺流程</w:t>
      </w:r>
    </w:p>
    <w:p w14:paraId="2DDF9316">
      <w:pPr>
        <w:keepLines w:val="0"/>
        <w:pageBreakBefore w:val="0"/>
        <w:numPr>
          <w:ilvl w:val="0"/>
          <w:numId w:val="0"/>
        </w:numPr>
        <w:spacing w:line="360" w:lineRule="auto"/>
        <w:ind w:firstLine="480" w:firstLineChars="20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详细编写完整施工工序，每道工序明确工艺标准、精度要求、施工规范。</w:t>
      </w:r>
    </w:p>
    <w:p w14:paraId="750560A1">
      <w:pPr>
        <w:keepLines w:val="0"/>
        <w:pageBreakBefore w:val="0"/>
        <w:numPr>
          <w:ilvl w:val="0"/>
          <w:numId w:val="0"/>
        </w:numPr>
        <w:spacing w:line="360" w:lineRule="auto"/>
        <w:ind w:firstLine="480" w:firstLineChars="20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（3）现场安全及文明施工措施</w:t>
      </w:r>
    </w:p>
    <w:p w14:paraId="7B980944">
      <w:pPr>
        <w:keepLines w:val="0"/>
        <w:pageBreakBefore w:val="0"/>
        <w:numPr>
          <w:ilvl w:val="0"/>
          <w:numId w:val="0"/>
        </w:numPr>
        <w:spacing w:line="360" w:lineRule="auto"/>
        <w:ind w:firstLine="480" w:firstLineChars="20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制定室内施工安全规范，包含用电安全、场地防护、防尘降噪、封闭施工措施，落实办公区域文明施工要求，无噪音扰民、无建筑垃圾堆积、不影响单位正常办公。</w:t>
      </w:r>
    </w:p>
    <w:p w14:paraId="7F3A3294">
      <w:pPr>
        <w:keepLines w:val="0"/>
        <w:pageBreakBefore w:val="0"/>
        <w:numPr>
          <w:ilvl w:val="0"/>
          <w:numId w:val="0"/>
        </w:numPr>
        <w:spacing w:line="360" w:lineRule="auto"/>
        <w:ind w:firstLine="480" w:firstLineChars="20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（4）现场调试、校准及自检方案</w:t>
      </w:r>
    </w:p>
    <w:p w14:paraId="2CF4342E">
      <w:pPr>
        <w:keepLines w:val="0"/>
        <w:pageBreakBefore w:val="0"/>
        <w:numPr>
          <w:ilvl w:val="0"/>
          <w:numId w:val="0"/>
        </w:numPr>
        <w:spacing w:line="360" w:lineRule="auto"/>
        <w:ind w:firstLine="480" w:firstLineChars="20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安装完成后开展整体水平度、稳固性、平整度、缝隙一致性专项调试自检，对控制台操作舒适度、桌椅使用稳定性全面核验，出具现场自检报告，合格后方可提请甲方验收。</w:t>
      </w:r>
    </w:p>
    <w:p w14:paraId="2F9B0D30">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售后服务方案</w:t>
      </w:r>
    </w:p>
    <w:p w14:paraId="5CC5EF4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both"/>
        <w:textAlignment w:val="auto"/>
        <w:rPr>
          <w:rFonts w:hint="default"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根据采购需求和本项目实际，制定相应的</w:t>
      </w:r>
      <w:r>
        <w:rPr>
          <w:rFonts w:hint="eastAsia" w:ascii="宋体" w:hAnsi="宋体" w:eastAsia="宋体" w:cs="宋体"/>
          <w:color w:val="auto"/>
          <w:sz w:val="24"/>
          <w:szCs w:val="24"/>
          <w:highlight w:val="none"/>
        </w:rPr>
        <w:t>售后服务方案</w:t>
      </w:r>
      <w:r>
        <w:rPr>
          <w:rFonts w:hint="eastAsia" w:ascii="宋体" w:hAnsi="宋体" w:cs="宋体"/>
          <w:color w:val="auto"/>
          <w:sz w:val="24"/>
          <w:szCs w:val="24"/>
          <w:highlight w:val="none"/>
          <w:lang w:val="en-US" w:eastAsia="zh-CN" w:bidi="ar-SA"/>
        </w:rPr>
        <w:t>，方案至少包含以下几点：</w:t>
      </w:r>
    </w:p>
    <w:p w14:paraId="34D739AE">
      <w:pPr>
        <w:keepLines w:val="0"/>
        <w:pageBreakBefore w:val="0"/>
        <w:numPr>
          <w:ilvl w:val="0"/>
          <w:numId w:val="0"/>
        </w:numPr>
        <w:spacing w:line="360" w:lineRule="auto"/>
        <w:ind w:firstLine="480" w:firstLineChars="20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（1）质保期服务标准</w:t>
      </w:r>
    </w:p>
    <w:p w14:paraId="1C706B9A">
      <w:pPr>
        <w:keepLines w:val="0"/>
        <w:pageBreakBefore w:val="0"/>
        <w:numPr>
          <w:ilvl w:val="0"/>
          <w:numId w:val="0"/>
        </w:numPr>
        <w:spacing w:line="360" w:lineRule="auto"/>
        <w:ind w:firstLine="480" w:firstLineChars="20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承诺整体项目≥2年免费质保，核心框架结构终身维护，质保期内非人为损坏免费更换配件、免费维修，明确质保范围、质保责任。</w:t>
      </w:r>
    </w:p>
    <w:p w14:paraId="26A796CE">
      <w:pPr>
        <w:keepLines w:val="0"/>
        <w:pageBreakBefore w:val="0"/>
        <w:numPr>
          <w:ilvl w:val="0"/>
          <w:numId w:val="0"/>
        </w:numPr>
        <w:spacing w:line="360" w:lineRule="auto"/>
        <w:ind w:firstLine="480" w:firstLineChars="20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（2）故障响应及维修时效</w:t>
      </w:r>
    </w:p>
    <w:p w14:paraId="1EC2D568">
      <w:pPr>
        <w:keepLines w:val="0"/>
        <w:pageBreakBefore w:val="0"/>
        <w:numPr>
          <w:ilvl w:val="0"/>
          <w:numId w:val="0"/>
        </w:numPr>
        <w:spacing w:line="360" w:lineRule="auto"/>
        <w:ind w:firstLine="480" w:firstLineChars="20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 xml:space="preserve"> 承诺7×24小时技术咨询服务，本地驻场服务，故障报修1小时内响应、12小时内到场、48小时内修复，重大故障提供备用设备保障工作正常开展。</w:t>
      </w:r>
    </w:p>
    <w:p w14:paraId="1C0E5493">
      <w:pPr>
        <w:keepLines w:val="0"/>
        <w:pageBreakBefore w:val="0"/>
        <w:numPr>
          <w:ilvl w:val="0"/>
          <w:numId w:val="0"/>
        </w:numPr>
        <w:spacing w:line="360" w:lineRule="auto"/>
        <w:ind w:firstLine="480" w:firstLineChars="20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（3）定期巡检维护服务</w:t>
      </w:r>
    </w:p>
    <w:p w14:paraId="0B9B029E">
      <w:pPr>
        <w:keepLines w:val="0"/>
        <w:pageBreakBefore w:val="0"/>
        <w:numPr>
          <w:ilvl w:val="0"/>
          <w:numId w:val="0"/>
        </w:numPr>
        <w:spacing w:line="360" w:lineRule="auto"/>
        <w:ind w:firstLine="480" w:firstLineChars="20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质保期内每季度1次上门巡检、清洁、紧固、调试保养，出具巡检报告，质保期结束提供整体设备检测评估报告。</w:t>
      </w:r>
    </w:p>
    <w:p w14:paraId="085B9BD0">
      <w:pPr>
        <w:keepLines w:val="0"/>
        <w:pageBreakBefore w:val="0"/>
        <w:numPr>
          <w:ilvl w:val="0"/>
          <w:numId w:val="0"/>
        </w:numPr>
        <w:spacing w:line="360" w:lineRule="auto"/>
        <w:ind w:leftChars="20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（4）用户培训及技术交底服务</w:t>
      </w:r>
    </w:p>
    <w:p w14:paraId="59393D7B">
      <w:pPr>
        <w:keepLines w:val="0"/>
        <w:pageBreakBefore w:val="0"/>
        <w:numPr>
          <w:ilvl w:val="0"/>
          <w:numId w:val="0"/>
        </w:numPr>
        <w:spacing w:line="360" w:lineRule="auto"/>
        <w:ind w:firstLine="480" w:firstLineChars="20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免费为使用单位提供现场操作、日常维护、清洁保养、简单故障排查专项培训，提供纸质+电子使用说明书、技术交底资料。</w:t>
      </w:r>
    </w:p>
    <w:p w14:paraId="734173A4">
      <w:pPr>
        <w:keepLines w:val="0"/>
        <w:pageBreakBefore w:val="0"/>
        <w:numPr>
          <w:ilvl w:val="0"/>
          <w:numId w:val="6"/>
        </w:numPr>
        <w:spacing w:line="360" w:lineRule="auto"/>
        <w:ind w:left="0" w:leftChars="0" w:firstLine="480" w:firstLineChars="20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备品备件及终身售后保障</w:t>
      </w:r>
    </w:p>
    <w:p w14:paraId="55AD3F42">
      <w:pPr>
        <w:keepLines w:val="0"/>
        <w:pageBreakBefore w:val="0"/>
        <w:numPr>
          <w:ilvl w:val="0"/>
          <w:numId w:val="0"/>
        </w:numPr>
        <w:spacing w:line="360" w:lineRule="auto"/>
        <w:ind w:firstLine="480" w:firstLineChars="200"/>
        <w:rPr>
          <w:rFonts w:hint="eastAsia" w:ascii="宋体" w:hAnsi="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bidi="ar-SA"/>
        </w:rPr>
        <w:t>承诺长期提供原厂备品备件，质保期外终身成本价维修、配件更换，建立项目专属售后档案，全程跟踪服务。</w:t>
      </w:r>
    </w:p>
    <w:p w14:paraId="0278D730">
      <w:pPr>
        <w:keepLines w:val="0"/>
        <w:pageBreakBefore w:val="0"/>
        <w:numPr>
          <w:ilvl w:val="0"/>
          <w:numId w:val="0"/>
        </w:numPr>
        <w:spacing w:line="360" w:lineRule="auto"/>
        <w:ind w:firstLine="480" w:firstLineChars="200"/>
        <w:rPr>
          <w:rFonts w:hint="eastAsia" w:ascii="宋体" w:hAnsi="宋体" w:cs="宋体"/>
          <w:color w:val="auto"/>
          <w:sz w:val="24"/>
          <w:szCs w:val="24"/>
          <w:highlight w:val="none"/>
          <w:lang w:val="en-US" w:eastAsia="zh-CN" w:bidi="ar-SA"/>
        </w:rPr>
      </w:pPr>
    </w:p>
    <w:p w14:paraId="5C93395A">
      <w:pPr>
        <w:pStyle w:val="228"/>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第五章  评审方法和评审标准</w:t>
      </w:r>
    </w:p>
    <w:p w14:paraId="520CD58B">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本次采购采用百分制综合评分法，即</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在最大限度地满足</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实质性要求的基础上，按照采购文件的各项因素进行综合评审后，总分设定为100分。磋商小组遵循公平、公正、择优原则，独立按照评分标准分别评定供应商的分值；各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的最终得分为各评委所评定分值的平均值，并按从高到低顺序排列，评审得分相同的，按照最后报价由低到高的顺序推荐；</w:t>
      </w:r>
      <w:r>
        <w:rPr>
          <w:rFonts w:hint="eastAsia" w:ascii="宋体" w:hAnsi="宋体" w:eastAsia="宋体" w:cs="宋体"/>
          <w:b/>
          <w:bCs/>
          <w:color w:val="auto"/>
          <w:sz w:val="24"/>
          <w:szCs w:val="24"/>
          <w:highlight w:val="none"/>
        </w:rPr>
        <w:t>评审得分且最后报价相同的，按照技术指标优劣顺序推荐；技术指标得分仍相同的，通过抽签方式确定排序。</w:t>
      </w:r>
      <w:r>
        <w:rPr>
          <w:rFonts w:hint="eastAsia" w:ascii="宋体" w:hAnsi="宋体" w:eastAsia="宋体" w:cs="宋体"/>
          <w:color w:val="auto"/>
          <w:sz w:val="24"/>
          <w:szCs w:val="24"/>
          <w:highlight w:val="none"/>
        </w:rPr>
        <w:t>因</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自身原因，在磋商期间，不能及时、完整、有效提供相关原件以供磋商小组查询，由此导致不利于响应文件的磋商后果由</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承担。</w:t>
      </w:r>
    </w:p>
    <w:p w14:paraId="4E902D28">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评分细则详见下表：</w:t>
      </w:r>
    </w:p>
    <w:tbl>
      <w:tblPr>
        <w:tblStyle w:val="36"/>
        <w:tblW w:w="900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8"/>
        <w:gridCol w:w="1172"/>
        <w:gridCol w:w="764"/>
        <w:gridCol w:w="6339"/>
      </w:tblGrid>
      <w:tr w14:paraId="543703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2" w:hRule="atLeast"/>
          <w:jc w:val="center"/>
        </w:trPr>
        <w:tc>
          <w:tcPr>
            <w:tcW w:w="728" w:type="dxa"/>
            <w:noWrap w:val="0"/>
            <w:vAlign w:val="center"/>
          </w:tcPr>
          <w:p w14:paraId="52E90B5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172" w:type="dxa"/>
            <w:noWrap w:val="0"/>
            <w:vAlign w:val="center"/>
          </w:tcPr>
          <w:p w14:paraId="65F828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w:t>
            </w:r>
          </w:p>
          <w:p w14:paraId="01719E1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因素</w:t>
            </w:r>
          </w:p>
        </w:tc>
        <w:tc>
          <w:tcPr>
            <w:tcW w:w="764" w:type="dxa"/>
            <w:noWrap w:val="0"/>
            <w:vAlign w:val="center"/>
          </w:tcPr>
          <w:p w14:paraId="7AD0A15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分值</w:t>
            </w:r>
          </w:p>
        </w:tc>
        <w:tc>
          <w:tcPr>
            <w:tcW w:w="6339" w:type="dxa"/>
            <w:noWrap w:val="0"/>
            <w:vAlign w:val="center"/>
          </w:tcPr>
          <w:p w14:paraId="42195185">
            <w:pPr>
              <w:keepNext w:val="0"/>
              <w:keepLines w:val="0"/>
              <w:pageBreakBefore w:val="0"/>
              <w:widowControl w:val="0"/>
              <w:kinsoku/>
              <w:wordWrap/>
              <w:overflowPunct/>
              <w:topLinePunct w:val="0"/>
              <w:autoSpaceDE/>
              <w:autoSpaceDN/>
              <w:bidi w:val="0"/>
              <w:adjustRightInd/>
              <w:snapToGrid/>
              <w:spacing w:line="360" w:lineRule="auto"/>
              <w:ind w:firstLine="48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评分内容</w:t>
            </w:r>
          </w:p>
        </w:tc>
      </w:tr>
      <w:tr w14:paraId="79F879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003" w:type="dxa"/>
            <w:gridSpan w:val="4"/>
            <w:noWrap w:val="0"/>
            <w:vAlign w:val="center"/>
          </w:tcPr>
          <w:p w14:paraId="089168B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一、报价评审（</w:t>
            </w:r>
            <w:r>
              <w:rPr>
                <w:rFonts w:hint="eastAsia" w:ascii="宋体" w:hAnsi="宋体" w:eastAsia="宋体" w:cs="宋体"/>
                <w:color w:val="auto"/>
                <w:sz w:val="24"/>
                <w:szCs w:val="24"/>
                <w:highlight w:val="none"/>
                <w:lang w:val="en-US" w:eastAsia="zh-CN"/>
              </w:rPr>
              <w:t>40</w:t>
            </w:r>
            <w:r>
              <w:rPr>
                <w:rFonts w:hint="eastAsia" w:ascii="宋体" w:hAnsi="宋体" w:eastAsia="宋体" w:cs="宋体"/>
                <w:color w:val="auto"/>
                <w:sz w:val="24"/>
                <w:szCs w:val="24"/>
                <w:highlight w:val="none"/>
              </w:rPr>
              <w:t>分）</w:t>
            </w:r>
          </w:p>
        </w:tc>
      </w:tr>
      <w:tr w14:paraId="48296B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0" w:hRule="atLeast"/>
          <w:jc w:val="center"/>
        </w:trPr>
        <w:tc>
          <w:tcPr>
            <w:tcW w:w="728" w:type="dxa"/>
            <w:noWrap w:val="0"/>
            <w:vAlign w:val="center"/>
          </w:tcPr>
          <w:p w14:paraId="1B70A7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1172" w:type="dxa"/>
            <w:noWrap w:val="0"/>
            <w:vAlign w:val="center"/>
          </w:tcPr>
          <w:p w14:paraId="0361FC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w:t>
            </w:r>
          </w:p>
        </w:tc>
        <w:tc>
          <w:tcPr>
            <w:tcW w:w="764" w:type="dxa"/>
            <w:noWrap w:val="0"/>
            <w:vAlign w:val="center"/>
          </w:tcPr>
          <w:p w14:paraId="17A4D19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0分</w:t>
            </w:r>
          </w:p>
        </w:tc>
        <w:tc>
          <w:tcPr>
            <w:tcW w:w="6339" w:type="dxa"/>
            <w:noWrap w:val="0"/>
            <w:vAlign w:val="center"/>
          </w:tcPr>
          <w:p w14:paraId="2AF62BA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满足</w:t>
            </w:r>
            <w:r>
              <w:rPr>
                <w:rFonts w:hint="eastAsia" w:ascii="宋体" w:hAnsi="宋体" w:eastAsia="宋体" w:cs="宋体"/>
                <w:color w:val="auto"/>
                <w:sz w:val="24"/>
                <w:szCs w:val="24"/>
                <w:highlight w:val="none"/>
                <w:lang w:eastAsia="zh-CN"/>
              </w:rPr>
              <w:t>采购文件</w:t>
            </w:r>
            <w:r>
              <w:rPr>
                <w:rFonts w:hint="eastAsia" w:ascii="宋体" w:hAnsi="宋体" w:eastAsia="宋体" w:cs="宋体"/>
                <w:color w:val="auto"/>
                <w:sz w:val="24"/>
                <w:szCs w:val="24"/>
                <w:highlight w:val="none"/>
              </w:rPr>
              <w:t>要求且最后报价最低的供应商的价格为磋商基准价，其价格分为满分</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0分。其他供应商的价格分统一按照下列公式计算：磋商报价得分＝（磋商基准价/最后磋商报价）×</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0分（保留两位小数，四舍五入）。</w:t>
            </w:r>
          </w:p>
        </w:tc>
      </w:tr>
      <w:tr w14:paraId="225B3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7" w:hRule="atLeast"/>
          <w:jc w:val="center"/>
        </w:trPr>
        <w:tc>
          <w:tcPr>
            <w:tcW w:w="9003" w:type="dxa"/>
            <w:gridSpan w:val="4"/>
            <w:noWrap w:val="0"/>
            <w:vAlign w:val="center"/>
          </w:tcPr>
          <w:p w14:paraId="7712B9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二、商务评审（</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rPr>
              <w:t>分）</w:t>
            </w:r>
          </w:p>
        </w:tc>
      </w:tr>
      <w:tr w14:paraId="01B69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7" w:hRule="atLeast"/>
          <w:jc w:val="center"/>
        </w:trPr>
        <w:tc>
          <w:tcPr>
            <w:tcW w:w="728" w:type="dxa"/>
            <w:noWrap w:val="0"/>
            <w:vAlign w:val="center"/>
          </w:tcPr>
          <w:p w14:paraId="41C6210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1172" w:type="dxa"/>
            <w:noWrap w:val="0"/>
            <w:vAlign w:val="center"/>
          </w:tcPr>
          <w:p w14:paraId="4D24EB2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业绩</w:t>
            </w:r>
          </w:p>
        </w:tc>
        <w:tc>
          <w:tcPr>
            <w:tcW w:w="764" w:type="dxa"/>
            <w:noWrap w:val="0"/>
            <w:vAlign w:val="center"/>
          </w:tcPr>
          <w:p w14:paraId="6E8F14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分</w:t>
            </w:r>
          </w:p>
        </w:tc>
        <w:tc>
          <w:tcPr>
            <w:tcW w:w="6339" w:type="dxa"/>
            <w:noWrap w:val="0"/>
            <w:vAlign w:val="center"/>
          </w:tcPr>
          <w:p w14:paraId="025FB8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自2023年1月1日以来（时间以合同签订日期为准）</w:t>
            </w:r>
            <w:r>
              <w:rPr>
                <w:rFonts w:hint="eastAsia" w:ascii="宋体" w:hAnsi="宋体" w:eastAsia="宋体" w:cs="宋体"/>
                <w:color w:val="auto"/>
                <w:sz w:val="24"/>
                <w:szCs w:val="24"/>
                <w:highlight w:val="none"/>
                <w:lang w:val="en-US" w:eastAsia="zh-CN"/>
              </w:rPr>
              <w:t>供应商或产品制造商</w:t>
            </w:r>
            <w:r>
              <w:rPr>
                <w:rFonts w:hint="eastAsia" w:ascii="宋体" w:hAnsi="宋体" w:eastAsia="宋体" w:cs="宋体"/>
                <w:color w:val="auto"/>
                <w:sz w:val="24"/>
                <w:szCs w:val="24"/>
                <w:highlight w:val="none"/>
              </w:rPr>
              <w:t>承接过同类型项目业绩的（合同清单里</w:t>
            </w:r>
            <w:r>
              <w:rPr>
                <w:rFonts w:hint="eastAsia" w:ascii="宋体" w:hAnsi="宋体" w:eastAsia="宋体" w:cs="宋体"/>
                <w:color w:val="auto"/>
                <w:sz w:val="24"/>
                <w:szCs w:val="24"/>
                <w:highlight w:val="none"/>
                <w:lang w:val="en-US" w:eastAsia="zh-CN"/>
              </w:rPr>
              <w:t>至少</w:t>
            </w:r>
            <w:r>
              <w:rPr>
                <w:rFonts w:hint="eastAsia" w:ascii="宋体" w:hAnsi="宋体" w:eastAsia="宋体" w:cs="宋体"/>
                <w:color w:val="auto"/>
                <w:sz w:val="24"/>
                <w:szCs w:val="24"/>
                <w:highlight w:val="none"/>
              </w:rPr>
              <w:t>包含控制台），每提供1个得</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分，本项最高得</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分。</w:t>
            </w:r>
          </w:p>
          <w:p w14:paraId="5E7425B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注：</w:t>
            </w:r>
            <w:r>
              <w:rPr>
                <w:rFonts w:hint="eastAsia" w:ascii="宋体" w:hAnsi="宋体" w:eastAsia="宋体" w:cs="宋体"/>
                <w:color w:val="auto"/>
                <w:sz w:val="24"/>
                <w:szCs w:val="24"/>
                <w:highlight w:val="none"/>
                <w:lang w:val="en-US" w:eastAsia="zh-CN"/>
              </w:rPr>
              <w:t>提供合同原件</w:t>
            </w:r>
            <w:r>
              <w:rPr>
                <w:rFonts w:hint="eastAsia" w:ascii="宋体" w:hAnsi="宋体" w:eastAsia="宋体" w:cs="宋体"/>
                <w:color w:val="auto"/>
                <w:sz w:val="24"/>
                <w:szCs w:val="24"/>
                <w:highlight w:val="none"/>
              </w:rPr>
              <w:t>扫描件</w:t>
            </w:r>
            <w:r>
              <w:rPr>
                <w:rFonts w:hint="eastAsia" w:ascii="宋体" w:hAnsi="宋体" w:eastAsia="宋体" w:cs="宋体"/>
                <w:color w:val="auto"/>
                <w:sz w:val="24"/>
                <w:szCs w:val="24"/>
                <w:highlight w:val="none"/>
                <w:lang w:val="en-US" w:eastAsia="zh-CN"/>
              </w:rPr>
              <w:t>及对应合同任意一次结算发票原件扫描件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合同中须能体现供货内容、合同签订时间等信息，未</w:t>
            </w:r>
            <w:r>
              <w:rPr>
                <w:rFonts w:hint="eastAsia" w:ascii="宋体" w:hAnsi="宋体" w:eastAsia="宋体" w:cs="宋体"/>
                <w:color w:val="auto"/>
                <w:sz w:val="24"/>
                <w:szCs w:val="24"/>
                <w:highlight w:val="none"/>
              </w:rPr>
              <w:t>提供或提供</w:t>
            </w:r>
            <w:r>
              <w:rPr>
                <w:rFonts w:hint="eastAsia" w:ascii="宋体" w:hAnsi="宋体" w:eastAsia="宋体" w:cs="宋体"/>
                <w:color w:val="auto"/>
                <w:sz w:val="24"/>
                <w:szCs w:val="24"/>
                <w:highlight w:val="none"/>
                <w:lang w:val="en-US" w:eastAsia="zh-CN"/>
              </w:rPr>
              <w:t>不全的</w:t>
            </w:r>
            <w:r>
              <w:rPr>
                <w:rFonts w:hint="eastAsia" w:ascii="宋体" w:hAnsi="宋体" w:eastAsia="宋体" w:cs="宋体"/>
                <w:color w:val="auto"/>
                <w:sz w:val="24"/>
                <w:szCs w:val="24"/>
                <w:highlight w:val="none"/>
              </w:rPr>
              <w:t>不得分。</w:t>
            </w:r>
            <w:r>
              <w:rPr>
                <w:rFonts w:hint="eastAsia" w:ascii="宋体" w:hAnsi="宋体" w:eastAsia="宋体" w:cs="宋体"/>
                <w:color w:val="auto"/>
                <w:sz w:val="24"/>
                <w:szCs w:val="24"/>
                <w:highlight w:val="none"/>
                <w:lang w:val="en-US" w:eastAsia="zh-CN"/>
              </w:rPr>
              <w:t>如供应商提供的业绩为产品制造商的业绩还另</w:t>
            </w:r>
            <w:r>
              <w:rPr>
                <w:rFonts w:hint="eastAsia" w:ascii="宋体" w:hAnsi="宋体" w:cs="宋体"/>
                <w:color w:val="auto"/>
                <w:sz w:val="24"/>
                <w:szCs w:val="24"/>
                <w:highlight w:val="none"/>
                <w:lang w:val="en-US" w:eastAsia="zh-CN"/>
              </w:rPr>
              <w:t>需</w:t>
            </w:r>
            <w:r>
              <w:rPr>
                <w:rFonts w:hint="eastAsia" w:ascii="宋体" w:hAnsi="宋体" w:eastAsia="宋体" w:cs="宋体"/>
                <w:color w:val="auto"/>
                <w:sz w:val="24"/>
                <w:szCs w:val="24"/>
                <w:highlight w:val="none"/>
                <w:lang w:val="en-US" w:eastAsia="zh-CN"/>
              </w:rPr>
              <w:t>提供</w:t>
            </w:r>
            <w:r>
              <w:rPr>
                <w:rFonts w:hint="eastAsia" w:ascii="宋体" w:hAnsi="宋体" w:cs="宋体"/>
                <w:color w:val="auto"/>
                <w:sz w:val="24"/>
                <w:szCs w:val="24"/>
                <w:highlight w:val="none"/>
                <w:lang w:val="en-US" w:eastAsia="zh-CN"/>
              </w:rPr>
              <w:t>制造商</w:t>
            </w:r>
            <w:r>
              <w:rPr>
                <w:rFonts w:hint="eastAsia" w:ascii="宋体" w:hAnsi="宋体" w:eastAsia="宋体" w:cs="宋体"/>
                <w:color w:val="auto"/>
                <w:sz w:val="24"/>
                <w:szCs w:val="24"/>
                <w:highlight w:val="none"/>
                <w:lang w:val="en-US" w:eastAsia="zh-CN"/>
              </w:rPr>
              <w:t>针对本项目的授权书</w:t>
            </w:r>
            <w:r>
              <w:rPr>
                <w:rFonts w:hint="eastAsia" w:ascii="宋体" w:hAnsi="宋体" w:cs="宋体"/>
                <w:color w:val="auto"/>
                <w:sz w:val="24"/>
                <w:szCs w:val="24"/>
                <w:highlight w:val="none"/>
                <w:lang w:val="en-US" w:eastAsia="zh-CN"/>
              </w:rPr>
              <w:t>复印件并加盖供应商公章</w:t>
            </w:r>
            <w:r>
              <w:rPr>
                <w:rFonts w:hint="eastAsia" w:ascii="宋体" w:hAnsi="宋体" w:eastAsia="宋体" w:cs="宋体"/>
                <w:color w:val="auto"/>
                <w:sz w:val="24"/>
                <w:szCs w:val="24"/>
                <w:highlight w:val="none"/>
                <w:lang w:val="en-US" w:eastAsia="zh-CN"/>
              </w:rPr>
              <w:t>。</w:t>
            </w:r>
          </w:p>
        </w:tc>
      </w:tr>
      <w:tr w14:paraId="246F1E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7" w:hRule="atLeast"/>
          <w:jc w:val="center"/>
        </w:trPr>
        <w:tc>
          <w:tcPr>
            <w:tcW w:w="728" w:type="dxa"/>
            <w:noWrap w:val="0"/>
            <w:vAlign w:val="center"/>
          </w:tcPr>
          <w:p w14:paraId="52742CC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w:t>
            </w:r>
          </w:p>
        </w:tc>
        <w:tc>
          <w:tcPr>
            <w:tcW w:w="1172" w:type="dxa"/>
            <w:noWrap w:val="0"/>
            <w:vAlign w:val="center"/>
          </w:tcPr>
          <w:p w14:paraId="1B50A4F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企业实力</w:t>
            </w:r>
          </w:p>
        </w:tc>
        <w:tc>
          <w:tcPr>
            <w:tcW w:w="764" w:type="dxa"/>
            <w:noWrap w:val="0"/>
            <w:vAlign w:val="center"/>
          </w:tcPr>
          <w:p w14:paraId="5675C7A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3分</w:t>
            </w:r>
          </w:p>
        </w:tc>
        <w:tc>
          <w:tcPr>
            <w:tcW w:w="6339" w:type="dxa"/>
            <w:noWrap w:val="0"/>
            <w:vAlign w:val="center"/>
          </w:tcPr>
          <w:p w14:paraId="5367BACC">
            <w:pPr>
              <w:widowControl/>
              <w:spacing w:before="48" w:after="48" w:line="360" w:lineRule="auto"/>
              <w:ind w:firstLine="420"/>
              <w:rPr>
                <w:rFonts w:hint="eastAsia" w:ascii="宋体" w:hAnsi="宋体" w:eastAsia="宋体" w:cs="宋体"/>
                <w:color w:val="000000"/>
                <w:sz w:val="24"/>
                <w:szCs w:val="24"/>
                <w:highlight w:val="none"/>
              </w:rPr>
            </w:pPr>
            <w:bookmarkStart w:id="108" w:name="OLE_LINK57"/>
            <w:r>
              <w:rPr>
                <w:rFonts w:hint="eastAsia" w:ascii="宋体" w:hAnsi="宋体" w:eastAsia="宋体" w:cs="宋体"/>
                <w:color w:val="000000"/>
                <w:sz w:val="24"/>
                <w:szCs w:val="24"/>
                <w:highlight w:val="none"/>
              </w:rPr>
              <w:t>供应商</w:t>
            </w:r>
            <w:r>
              <w:rPr>
                <w:rFonts w:hint="eastAsia" w:ascii="宋体" w:hAnsi="宋体" w:eastAsia="宋体" w:cs="宋体"/>
                <w:color w:val="auto"/>
                <w:sz w:val="24"/>
                <w:szCs w:val="24"/>
                <w:highlight w:val="none"/>
                <w:lang w:val="en-US" w:eastAsia="zh-CN"/>
              </w:rPr>
              <w:t>或产品制造商</w:t>
            </w:r>
            <w:r>
              <w:rPr>
                <w:rFonts w:hint="eastAsia" w:ascii="宋体" w:hAnsi="宋体" w:eastAsia="宋体" w:cs="宋体"/>
                <w:color w:val="000000"/>
                <w:sz w:val="24"/>
                <w:szCs w:val="24"/>
                <w:highlight w:val="none"/>
              </w:rPr>
              <w:t>具有有效的质量管理体系认证证书、环境管理体系认证证书、职业健康安全管理体系认证证书，有一个得</w:t>
            </w:r>
            <w:r>
              <w:rPr>
                <w:rFonts w:hint="eastAsia" w:ascii="宋体" w:hAnsi="宋体" w:eastAsia="宋体" w:cs="宋体"/>
                <w:color w:val="000000"/>
                <w:sz w:val="24"/>
                <w:szCs w:val="24"/>
                <w:highlight w:val="none"/>
                <w:lang w:val="en-US" w:eastAsia="zh-CN"/>
              </w:rPr>
              <w:t>1</w:t>
            </w:r>
            <w:r>
              <w:rPr>
                <w:rFonts w:hint="eastAsia" w:ascii="宋体" w:hAnsi="宋体" w:eastAsia="宋体" w:cs="宋体"/>
                <w:color w:val="000000"/>
                <w:sz w:val="24"/>
                <w:szCs w:val="24"/>
                <w:highlight w:val="none"/>
              </w:rPr>
              <w:t>分，最多得</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分。</w:t>
            </w:r>
          </w:p>
          <w:p w14:paraId="16009549">
            <w:pPr>
              <w:widowControl/>
              <w:spacing w:before="48" w:after="48" w:line="360" w:lineRule="auto"/>
              <w:ind w:firstLine="42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注：证书均必须在有效期内并能够在国家认证认可监督管理委员会网址可查询且查询状态为有效。查询网址：</w:t>
            </w:r>
          </w:p>
          <w:p w14:paraId="7D616C6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bookmarkStart w:id="109" w:name="OLE_LINK29"/>
            <w:r>
              <w:rPr>
                <w:rFonts w:hint="eastAsia" w:ascii="宋体" w:hAnsi="宋体" w:eastAsia="宋体" w:cs="宋体"/>
                <w:color w:val="000000"/>
                <w:sz w:val="24"/>
                <w:szCs w:val="24"/>
                <w:highlight w:val="none"/>
              </w:rPr>
              <w:t>http://cx.cnca.cn/CertECloud/index/index/page</w:t>
            </w:r>
            <w:bookmarkEnd w:id="109"/>
            <w:r>
              <w:rPr>
                <w:rFonts w:hint="eastAsia" w:ascii="宋体" w:hAnsi="宋体" w:eastAsia="宋体" w:cs="宋体"/>
                <w:color w:val="000000"/>
                <w:sz w:val="24"/>
                <w:szCs w:val="24"/>
                <w:highlight w:val="none"/>
              </w:rPr>
              <w:t>，并提供相应证书</w:t>
            </w:r>
            <w:r>
              <w:rPr>
                <w:rFonts w:hint="eastAsia" w:ascii="宋体" w:hAnsi="宋体" w:eastAsia="宋体" w:cs="宋体"/>
                <w:color w:val="000000"/>
                <w:sz w:val="24"/>
                <w:szCs w:val="24"/>
                <w:highlight w:val="none"/>
                <w:lang w:val="en-US" w:eastAsia="zh-CN"/>
              </w:rPr>
              <w:t>原件</w:t>
            </w:r>
            <w:r>
              <w:rPr>
                <w:rFonts w:hint="eastAsia" w:ascii="宋体" w:hAnsi="宋体" w:eastAsia="宋体" w:cs="宋体"/>
                <w:color w:val="000000"/>
                <w:sz w:val="24"/>
                <w:szCs w:val="24"/>
                <w:highlight w:val="none"/>
              </w:rPr>
              <w:t>扫描件</w:t>
            </w:r>
            <w:r>
              <w:rPr>
                <w:rFonts w:hint="eastAsia" w:ascii="宋体" w:hAnsi="宋体" w:eastAsia="宋体" w:cs="宋体"/>
                <w:color w:val="000000"/>
                <w:sz w:val="24"/>
                <w:szCs w:val="24"/>
                <w:highlight w:val="none"/>
                <w:lang w:val="en-US" w:eastAsia="zh-CN"/>
              </w:rPr>
              <w:t>及网上查询截图</w:t>
            </w:r>
            <w:r>
              <w:rPr>
                <w:rFonts w:hint="eastAsia" w:ascii="宋体" w:hAnsi="宋体" w:eastAsia="宋体" w:cs="宋体"/>
                <w:color w:val="000000"/>
                <w:sz w:val="24"/>
                <w:szCs w:val="24"/>
                <w:highlight w:val="none"/>
              </w:rPr>
              <w:t>加盖</w:t>
            </w:r>
            <w:bookmarkStart w:id="110" w:name="OLE_LINK5"/>
            <w:r>
              <w:rPr>
                <w:rFonts w:hint="eastAsia" w:ascii="宋体" w:hAnsi="宋体" w:eastAsia="宋体" w:cs="宋体"/>
                <w:color w:val="000000"/>
                <w:sz w:val="24"/>
                <w:szCs w:val="24"/>
                <w:highlight w:val="none"/>
              </w:rPr>
              <w:t>供应商</w:t>
            </w:r>
            <w:bookmarkEnd w:id="110"/>
            <w:r>
              <w:rPr>
                <w:rFonts w:hint="eastAsia" w:ascii="宋体" w:hAnsi="宋体" w:eastAsia="宋体" w:cs="宋体"/>
                <w:color w:val="000000"/>
                <w:sz w:val="24"/>
                <w:szCs w:val="24"/>
                <w:highlight w:val="none"/>
              </w:rPr>
              <w:t>公章，</w:t>
            </w:r>
            <w:bookmarkEnd w:id="108"/>
            <w:r>
              <w:rPr>
                <w:rFonts w:hint="eastAsia" w:ascii="宋体" w:hAnsi="宋体" w:eastAsia="宋体" w:cs="宋体"/>
                <w:color w:val="000000"/>
                <w:sz w:val="24"/>
                <w:szCs w:val="24"/>
                <w:highlight w:val="none"/>
              </w:rPr>
              <w:t>未提供或提供不全的不得分。</w:t>
            </w:r>
            <w:r>
              <w:rPr>
                <w:rFonts w:hint="eastAsia" w:ascii="宋体" w:hAnsi="宋体" w:eastAsia="宋体" w:cs="宋体"/>
                <w:color w:val="auto"/>
                <w:sz w:val="24"/>
                <w:szCs w:val="24"/>
                <w:highlight w:val="none"/>
                <w:lang w:val="en-US" w:eastAsia="zh-CN"/>
              </w:rPr>
              <w:t>如供应商提供的证书为产品制造商的证书还另</w:t>
            </w:r>
            <w:r>
              <w:rPr>
                <w:rFonts w:hint="eastAsia" w:ascii="宋体" w:hAnsi="宋体" w:cs="宋体"/>
                <w:color w:val="auto"/>
                <w:sz w:val="24"/>
                <w:szCs w:val="24"/>
                <w:highlight w:val="none"/>
                <w:lang w:val="en-US" w:eastAsia="zh-CN"/>
              </w:rPr>
              <w:t>需</w:t>
            </w:r>
            <w:r>
              <w:rPr>
                <w:rFonts w:hint="eastAsia" w:ascii="宋体" w:hAnsi="宋体" w:eastAsia="宋体" w:cs="宋体"/>
                <w:color w:val="auto"/>
                <w:sz w:val="24"/>
                <w:szCs w:val="24"/>
                <w:highlight w:val="none"/>
                <w:lang w:val="en-US" w:eastAsia="zh-CN"/>
              </w:rPr>
              <w:t>提供</w:t>
            </w:r>
            <w:r>
              <w:rPr>
                <w:rFonts w:hint="eastAsia" w:ascii="宋体" w:hAnsi="宋体" w:cs="宋体"/>
                <w:color w:val="auto"/>
                <w:sz w:val="24"/>
                <w:szCs w:val="24"/>
                <w:highlight w:val="none"/>
                <w:lang w:val="en-US" w:eastAsia="zh-CN"/>
              </w:rPr>
              <w:t>制造商</w:t>
            </w:r>
            <w:r>
              <w:rPr>
                <w:rFonts w:hint="eastAsia" w:ascii="宋体" w:hAnsi="宋体" w:eastAsia="宋体" w:cs="宋体"/>
                <w:color w:val="auto"/>
                <w:sz w:val="24"/>
                <w:szCs w:val="24"/>
                <w:highlight w:val="none"/>
                <w:lang w:val="en-US" w:eastAsia="zh-CN"/>
              </w:rPr>
              <w:t>针对本项目的授权书</w:t>
            </w:r>
            <w:r>
              <w:rPr>
                <w:rFonts w:hint="eastAsia" w:ascii="宋体" w:hAnsi="宋体" w:cs="宋体"/>
                <w:color w:val="auto"/>
                <w:sz w:val="24"/>
                <w:szCs w:val="24"/>
                <w:highlight w:val="none"/>
                <w:lang w:val="en-US" w:eastAsia="zh-CN"/>
              </w:rPr>
              <w:t>复印件并加盖供应商公章</w:t>
            </w:r>
            <w:r>
              <w:rPr>
                <w:rFonts w:hint="eastAsia" w:ascii="宋体" w:hAnsi="宋体" w:eastAsia="宋体" w:cs="宋体"/>
                <w:color w:val="auto"/>
                <w:sz w:val="24"/>
                <w:szCs w:val="24"/>
                <w:highlight w:val="none"/>
                <w:lang w:val="en-US" w:eastAsia="zh-CN"/>
              </w:rPr>
              <w:t>。</w:t>
            </w:r>
          </w:p>
        </w:tc>
      </w:tr>
      <w:tr w14:paraId="23D6C0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7" w:hRule="atLeast"/>
          <w:jc w:val="center"/>
        </w:trPr>
        <w:tc>
          <w:tcPr>
            <w:tcW w:w="728" w:type="dxa"/>
            <w:noWrap w:val="0"/>
            <w:vAlign w:val="center"/>
          </w:tcPr>
          <w:p w14:paraId="6354A61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w:t>
            </w:r>
          </w:p>
        </w:tc>
        <w:tc>
          <w:tcPr>
            <w:tcW w:w="1172" w:type="dxa"/>
            <w:shd w:val="clear" w:color="auto" w:fill="auto"/>
            <w:noWrap w:val="0"/>
            <w:vAlign w:val="center"/>
          </w:tcPr>
          <w:p w14:paraId="51097D8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质保期</w:t>
            </w:r>
          </w:p>
        </w:tc>
        <w:tc>
          <w:tcPr>
            <w:tcW w:w="764" w:type="dxa"/>
            <w:shd w:val="clear" w:color="auto" w:fill="auto"/>
            <w:noWrap w:val="0"/>
            <w:vAlign w:val="center"/>
          </w:tcPr>
          <w:p w14:paraId="0949CBC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3分</w:t>
            </w:r>
          </w:p>
        </w:tc>
        <w:tc>
          <w:tcPr>
            <w:tcW w:w="6339" w:type="dxa"/>
            <w:shd w:val="clear" w:color="auto" w:fill="auto"/>
            <w:noWrap w:val="0"/>
            <w:vAlign w:val="center"/>
          </w:tcPr>
          <w:p w14:paraId="6EEB141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在采购文件要求的免费质保期（</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年）的基础上，供应商承诺每增加1年免费质保期得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分，本项最高得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分。提供承诺书加盖</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公章，格式自拟。</w:t>
            </w:r>
          </w:p>
        </w:tc>
      </w:tr>
      <w:tr w14:paraId="021DCF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003" w:type="dxa"/>
            <w:gridSpan w:val="4"/>
            <w:noWrap w:val="0"/>
            <w:vAlign w:val="center"/>
          </w:tcPr>
          <w:p w14:paraId="19CE206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三、技术评审（</w:t>
            </w:r>
            <w:r>
              <w:rPr>
                <w:rFonts w:hint="eastAsia" w:ascii="宋体" w:hAnsi="宋体" w:cs="宋体"/>
                <w:color w:val="auto"/>
                <w:sz w:val="24"/>
                <w:szCs w:val="24"/>
                <w:highlight w:val="none"/>
                <w:lang w:val="en-US" w:eastAsia="zh-CN"/>
              </w:rPr>
              <w:t>48</w:t>
            </w:r>
            <w:r>
              <w:rPr>
                <w:rFonts w:hint="eastAsia" w:ascii="宋体" w:hAnsi="宋体" w:eastAsia="宋体" w:cs="宋体"/>
                <w:color w:val="auto"/>
                <w:sz w:val="24"/>
                <w:szCs w:val="24"/>
                <w:highlight w:val="none"/>
              </w:rPr>
              <w:t>分）</w:t>
            </w:r>
          </w:p>
        </w:tc>
      </w:tr>
      <w:tr w14:paraId="24CDD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4" w:hRule="atLeast"/>
          <w:jc w:val="center"/>
        </w:trPr>
        <w:tc>
          <w:tcPr>
            <w:tcW w:w="728" w:type="dxa"/>
            <w:noWrap w:val="0"/>
            <w:vAlign w:val="center"/>
          </w:tcPr>
          <w:p w14:paraId="1E55F47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w:t>
            </w:r>
          </w:p>
        </w:tc>
        <w:tc>
          <w:tcPr>
            <w:tcW w:w="1172" w:type="dxa"/>
            <w:noWrap w:val="0"/>
            <w:vAlign w:val="center"/>
          </w:tcPr>
          <w:p w14:paraId="2B92397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项目总体</w:t>
            </w:r>
            <w:r>
              <w:rPr>
                <w:rFonts w:hint="eastAsia" w:ascii="宋体" w:hAnsi="宋体" w:eastAsia="宋体" w:cs="宋体"/>
                <w:color w:val="auto"/>
                <w:sz w:val="24"/>
                <w:szCs w:val="24"/>
                <w:highlight w:val="none"/>
                <w:lang w:val="en-US" w:eastAsia="zh-CN"/>
              </w:rPr>
              <w:t>实施供货方案</w:t>
            </w:r>
          </w:p>
        </w:tc>
        <w:tc>
          <w:tcPr>
            <w:tcW w:w="764" w:type="dxa"/>
            <w:noWrap w:val="0"/>
            <w:vAlign w:val="center"/>
          </w:tcPr>
          <w:p w14:paraId="16C64FC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12分</w:t>
            </w:r>
          </w:p>
        </w:tc>
        <w:tc>
          <w:tcPr>
            <w:tcW w:w="6339" w:type="dxa"/>
            <w:noWrap w:val="0"/>
            <w:vAlign w:val="center"/>
          </w:tcPr>
          <w:p w14:paraId="751C79D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1</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方案全面具体、内容与要点相符，优于采购需求的，得</w:t>
            </w:r>
            <w:r>
              <w:rPr>
                <w:rFonts w:hint="eastAsia" w:ascii="宋体" w:hAnsi="宋体" w:eastAsia="宋体" w:cs="宋体"/>
                <w:color w:val="000000"/>
                <w:sz w:val="24"/>
                <w:szCs w:val="24"/>
                <w:highlight w:val="none"/>
                <w:lang w:val="en-US" w:eastAsia="zh-CN"/>
              </w:rPr>
              <w:t>12</w:t>
            </w:r>
            <w:r>
              <w:rPr>
                <w:rFonts w:hint="eastAsia" w:ascii="宋体" w:hAnsi="宋体" w:eastAsia="宋体" w:cs="宋体"/>
                <w:color w:val="000000"/>
                <w:sz w:val="24"/>
                <w:szCs w:val="24"/>
                <w:highlight w:val="none"/>
              </w:rPr>
              <w:t>分；</w:t>
            </w:r>
          </w:p>
          <w:p w14:paraId="25C5555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方案完整、内容与要点基本相符，满足采购需求的，得</w:t>
            </w:r>
            <w:r>
              <w:rPr>
                <w:rFonts w:hint="eastAsia" w:ascii="宋体" w:hAnsi="宋体" w:eastAsia="宋体" w:cs="宋体"/>
                <w:color w:val="000000"/>
                <w:sz w:val="24"/>
                <w:szCs w:val="24"/>
                <w:highlight w:val="none"/>
                <w:lang w:val="en-US" w:eastAsia="zh-CN"/>
              </w:rPr>
              <w:t>9</w:t>
            </w:r>
            <w:r>
              <w:rPr>
                <w:rFonts w:hint="eastAsia" w:ascii="宋体" w:hAnsi="宋体" w:eastAsia="宋体" w:cs="宋体"/>
                <w:color w:val="000000"/>
                <w:sz w:val="24"/>
                <w:szCs w:val="24"/>
                <w:highlight w:val="none"/>
              </w:rPr>
              <w:t xml:space="preserve">分； </w:t>
            </w:r>
          </w:p>
          <w:p w14:paraId="0340243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方案</w:t>
            </w:r>
            <w:r>
              <w:rPr>
                <w:rFonts w:hint="eastAsia" w:ascii="宋体" w:hAnsi="宋体" w:eastAsia="宋体" w:cs="宋体"/>
                <w:color w:val="000000"/>
                <w:sz w:val="24"/>
                <w:szCs w:val="24"/>
                <w:highlight w:val="none"/>
                <w:lang w:val="en-US" w:eastAsia="zh-CN"/>
              </w:rPr>
              <w:t>有遗漏</w:t>
            </w:r>
            <w:r>
              <w:rPr>
                <w:rFonts w:hint="eastAsia" w:ascii="宋体" w:hAnsi="宋体" w:eastAsia="宋体" w:cs="宋体"/>
                <w:color w:val="000000"/>
                <w:sz w:val="24"/>
                <w:szCs w:val="24"/>
                <w:highlight w:val="none"/>
              </w:rPr>
              <w:t>、内容</w:t>
            </w:r>
            <w:r>
              <w:rPr>
                <w:rFonts w:hint="eastAsia" w:ascii="宋体" w:hAnsi="宋体" w:eastAsia="宋体" w:cs="宋体"/>
                <w:color w:val="000000"/>
                <w:sz w:val="24"/>
                <w:szCs w:val="24"/>
                <w:highlight w:val="none"/>
                <w:lang w:val="en-US" w:eastAsia="zh-CN"/>
              </w:rPr>
              <w:t>不丰富</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低于</w:t>
            </w:r>
            <w:r>
              <w:rPr>
                <w:rFonts w:hint="eastAsia" w:ascii="宋体" w:hAnsi="宋体" w:eastAsia="宋体" w:cs="宋体"/>
                <w:color w:val="000000"/>
                <w:sz w:val="24"/>
                <w:szCs w:val="24"/>
                <w:highlight w:val="none"/>
              </w:rPr>
              <w:t>采购</w:t>
            </w:r>
            <w:r>
              <w:rPr>
                <w:rFonts w:hint="eastAsia" w:ascii="宋体" w:hAnsi="宋体" w:eastAsia="宋体" w:cs="宋体"/>
                <w:color w:val="000000"/>
                <w:sz w:val="24"/>
                <w:szCs w:val="24"/>
                <w:highlight w:val="none"/>
                <w:lang w:val="en-US" w:eastAsia="zh-CN"/>
              </w:rPr>
              <w:t>需</w:t>
            </w:r>
            <w:r>
              <w:rPr>
                <w:rFonts w:hint="eastAsia" w:ascii="宋体" w:hAnsi="宋体" w:eastAsia="宋体" w:cs="宋体"/>
                <w:color w:val="000000"/>
                <w:sz w:val="24"/>
                <w:szCs w:val="24"/>
                <w:highlight w:val="none"/>
              </w:rPr>
              <w:t>求</w:t>
            </w:r>
            <w:r>
              <w:rPr>
                <w:rFonts w:hint="eastAsia" w:ascii="宋体" w:hAnsi="宋体" w:eastAsia="宋体" w:cs="宋体"/>
                <w:color w:val="000000"/>
                <w:sz w:val="24"/>
                <w:szCs w:val="24"/>
                <w:highlight w:val="none"/>
                <w:lang w:val="en-US" w:eastAsia="zh-CN"/>
              </w:rPr>
              <w:t>要求</w:t>
            </w:r>
            <w:r>
              <w:rPr>
                <w:rFonts w:hint="eastAsia" w:ascii="宋体" w:hAnsi="宋体" w:eastAsia="宋体" w:cs="宋体"/>
                <w:color w:val="000000"/>
                <w:sz w:val="24"/>
                <w:szCs w:val="24"/>
                <w:highlight w:val="none"/>
              </w:rPr>
              <w:t>的，得</w:t>
            </w:r>
            <w:r>
              <w:rPr>
                <w:rFonts w:hint="eastAsia" w:ascii="宋体" w:hAnsi="宋体" w:eastAsia="宋体" w:cs="宋体"/>
                <w:color w:val="000000"/>
                <w:sz w:val="24"/>
                <w:szCs w:val="24"/>
                <w:highlight w:val="none"/>
                <w:lang w:val="en-US" w:eastAsia="zh-CN"/>
              </w:rPr>
              <w:t>6</w:t>
            </w:r>
            <w:r>
              <w:rPr>
                <w:rFonts w:hint="eastAsia" w:ascii="宋体" w:hAnsi="宋体" w:eastAsia="宋体" w:cs="宋体"/>
                <w:color w:val="000000"/>
                <w:sz w:val="24"/>
                <w:szCs w:val="24"/>
                <w:highlight w:val="none"/>
              </w:rPr>
              <w:t xml:space="preserve">分； </w:t>
            </w:r>
          </w:p>
          <w:p w14:paraId="69261C6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方案粗糙、内容简单，不完全满足采购需求的，得3分；</w:t>
            </w:r>
          </w:p>
          <w:p w14:paraId="4CB0DA8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5</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未按要求提供的</w:t>
            </w:r>
            <w:r>
              <w:rPr>
                <w:rFonts w:hint="eastAsia" w:ascii="宋体" w:hAnsi="宋体" w:eastAsia="宋体" w:cs="宋体"/>
                <w:color w:val="000000"/>
                <w:sz w:val="24"/>
                <w:szCs w:val="24"/>
                <w:highlight w:val="none"/>
                <w:lang w:val="en-US" w:eastAsia="zh-CN"/>
              </w:rPr>
              <w:t>不得分</w:t>
            </w:r>
            <w:r>
              <w:rPr>
                <w:rFonts w:hint="eastAsia" w:ascii="宋体" w:hAnsi="宋体" w:eastAsia="宋体" w:cs="宋体"/>
                <w:color w:val="000000"/>
                <w:sz w:val="24"/>
                <w:szCs w:val="24"/>
                <w:highlight w:val="none"/>
              </w:rPr>
              <w:t>。</w:t>
            </w:r>
          </w:p>
        </w:tc>
      </w:tr>
      <w:tr w14:paraId="500055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jc w:val="center"/>
        </w:trPr>
        <w:tc>
          <w:tcPr>
            <w:tcW w:w="728" w:type="dxa"/>
            <w:noWrap w:val="0"/>
            <w:vAlign w:val="center"/>
          </w:tcPr>
          <w:p w14:paraId="1CE41CF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w:t>
            </w:r>
          </w:p>
        </w:tc>
        <w:tc>
          <w:tcPr>
            <w:tcW w:w="1172" w:type="dxa"/>
            <w:noWrap w:val="0"/>
            <w:vAlign w:val="center"/>
          </w:tcPr>
          <w:p w14:paraId="299B5EA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产品</w:t>
            </w:r>
            <w:r>
              <w:rPr>
                <w:rFonts w:hint="eastAsia" w:ascii="宋体" w:hAnsi="宋体" w:eastAsia="宋体" w:cs="宋体"/>
                <w:color w:val="auto"/>
                <w:sz w:val="24"/>
                <w:szCs w:val="24"/>
                <w:highlight w:val="none"/>
              </w:rPr>
              <w:t>质量保证措施</w:t>
            </w:r>
          </w:p>
        </w:tc>
        <w:tc>
          <w:tcPr>
            <w:tcW w:w="764" w:type="dxa"/>
            <w:noWrap w:val="0"/>
            <w:vAlign w:val="center"/>
          </w:tcPr>
          <w:p w14:paraId="1DBF0C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w:t>
            </w:r>
            <w:r>
              <w:rPr>
                <w:rFonts w:hint="eastAsia" w:ascii="宋体" w:hAnsi="宋体" w:cs="宋体"/>
                <w:color w:val="auto"/>
                <w:sz w:val="24"/>
                <w:szCs w:val="24"/>
                <w:highlight w:val="none"/>
                <w:lang w:val="en-US" w:eastAsia="zh-CN"/>
              </w:rPr>
              <w:t>分</w:t>
            </w:r>
          </w:p>
        </w:tc>
        <w:tc>
          <w:tcPr>
            <w:tcW w:w="6339" w:type="dxa"/>
            <w:noWrap w:val="0"/>
            <w:vAlign w:val="center"/>
          </w:tcPr>
          <w:p w14:paraId="40B8D59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1</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方案全面具体、内容与要点相符，优于采购需求的，得</w:t>
            </w:r>
            <w:r>
              <w:rPr>
                <w:rFonts w:hint="eastAsia" w:ascii="宋体" w:hAnsi="宋体" w:eastAsia="宋体" w:cs="宋体"/>
                <w:color w:val="000000"/>
                <w:sz w:val="24"/>
                <w:szCs w:val="24"/>
                <w:highlight w:val="none"/>
                <w:lang w:val="en-US" w:eastAsia="zh-CN"/>
              </w:rPr>
              <w:t>12</w:t>
            </w:r>
            <w:r>
              <w:rPr>
                <w:rFonts w:hint="eastAsia" w:ascii="宋体" w:hAnsi="宋体" w:eastAsia="宋体" w:cs="宋体"/>
                <w:color w:val="000000"/>
                <w:sz w:val="24"/>
                <w:szCs w:val="24"/>
                <w:highlight w:val="none"/>
              </w:rPr>
              <w:t>分；</w:t>
            </w:r>
          </w:p>
          <w:p w14:paraId="797A301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方案完整、内容与要点基本相符，满足采购需求的，得</w:t>
            </w:r>
            <w:r>
              <w:rPr>
                <w:rFonts w:hint="eastAsia" w:ascii="宋体" w:hAnsi="宋体" w:eastAsia="宋体" w:cs="宋体"/>
                <w:color w:val="000000"/>
                <w:sz w:val="24"/>
                <w:szCs w:val="24"/>
                <w:highlight w:val="none"/>
                <w:lang w:val="en-US" w:eastAsia="zh-CN"/>
              </w:rPr>
              <w:t>9</w:t>
            </w:r>
            <w:r>
              <w:rPr>
                <w:rFonts w:hint="eastAsia" w:ascii="宋体" w:hAnsi="宋体" w:eastAsia="宋体" w:cs="宋体"/>
                <w:color w:val="000000"/>
                <w:sz w:val="24"/>
                <w:szCs w:val="24"/>
                <w:highlight w:val="none"/>
              </w:rPr>
              <w:t xml:space="preserve">分； </w:t>
            </w:r>
          </w:p>
          <w:p w14:paraId="6D3453A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方案</w:t>
            </w:r>
            <w:r>
              <w:rPr>
                <w:rFonts w:hint="eastAsia" w:ascii="宋体" w:hAnsi="宋体" w:eastAsia="宋体" w:cs="宋体"/>
                <w:color w:val="000000"/>
                <w:sz w:val="24"/>
                <w:szCs w:val="24"/>
                <w:highlight w:val="none"/>
                <w:lang w:val="en-US" w:eastAsia="zh-CN"/>
              </w:rPr>
              <w:t>有遗漏</w:t>
            </w:r>
            <w:r>
              <w:rPr>
                <w:rFonts w:hint="eastAsia" w:ascii="宋体" w:hAnsi="宋体" w:eastAsia="宋体" w:cs="宋体"/>
                <w:color w:val="000000"/>
                <w:sz w:val="24"/>
                <w:szCs w:val="24"/>
                <w:highlight w:val="none"/>
              </w:rPr>
              <w:t>、内容</w:t>
            </w:r>
            <w:r>
              <w:rPr>
                <w:rFonts w:hint="eastAsia" w:ascii="宋体" w:hAnsi="宋体" w:eastAsia="宋体" w:cs="宋体"/>
                <w:color w:val="000000"/>
                <w:sz w:val="24"/>
                <w:szCs w:val="24"/>
                <w:highlight w:val="none"/>
                <w:lang w:val="en-US" w:eastAsia="zh-CN"/>
              </w:rPr>
              <w:t>不丰富</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低于</w:t>
            </w:r>
            <w:r>
              <w:rPr>
                <w:rFonts w:hint="eastAsia" w:ascii="宋体" w:hAnsi="宋体" w:eastAsia="宋体" w:cs="宋体"/>
                <w:color w:val="000000"/>
                <w:sz w:val="24"/>
                <w:szCs w:val="24"/>
                <w:highlight w:val="none"/>
              </w:rPr>
              <w:t>采购</w:t>
            </w:r>
            <w:r>
              <w:rPr>
                <w:rFonts w:hint="eastAsia" w:ascii="宋体" w:hAnsi="宋体" w:eastAsia="宋体" w:cs="宋体"/>
                <w:color w:val="000000"/>
                <w:sz w:val="24"/>
                <w:szCs w:val="24"/>
                <w:highlight w:val="none"/>
                <w:lang w:val="en-US" w:eastAsia="zh-CN"/>
              </w:rPr>
              <w:t>需</w:t>
            </w:r>
            <w:r>
              <w:rPr>
                <w:rFonts w:hint="eastAsia" w:ascii="宋体" w:hAnsi="宋体" w:eastAsia="宋体" w:cs="宋体"/>
                <w:color w:val="000000"/>
                <w:sz w:val="24"/>
                <w:szCs w:val="24"/>
                <w:highlight w:val="none"/>
              </w:rPr>
              <w:t>求</w:t>
            </w:r>
            <w:r>
              <w:rPr>
                <w:rFonts w:hint="eastAsia" w:ascii="宋体" w:hAnsi="宋体" w:eastAsia="宋体" w:cs="宋体"/>
                <w:color w:val="000000"/>
                <w:sz w:val="24"/>
                <w:szCs w:val="24"/>
                <w:highlight w:val="none"/>
                <w:lang w:val="en-US" w:eastAsia="zh-CN"/>
              </w:rPr>
              <w:t>要求</w:t>
            </w:r>
            <w:r>
              <w:rPr>
                <w:rFonts w:hint="eastAsia" w:ascii="宋体" w:hAnsi="宋体" w:eastAsia="宋体" w:cs="宋体"/>
                <w:color w:val="000000"/>
                <w:sz w:val="24"/>
                <w:szCs w:val="24"/>
                <w:highlight w:val="none"/>
              </w:rPr>
              <w:t>的，得</w:t>
            </w:r>
            <w:r>
              <w:rPr>
                <w:rFonts w:hint="eastAsia" w:ascii="宋体" w:hAnsi="宋体" w:eastAsia="宋体" w:cs="宋体"/>
                <w:color w:val="000000"/>
                <w:sz w:val="24"/>
                <w:szCs w:val="24"/>
                <w:highlight w:val="none"/>
                <w:lang w:val="en-US" w:eastAsia="zh-CN"/>
              </w:rPr>
              <w:t>6</w:t>
            </w:r>
            <w:r>
              <w:rPr>
                <w:rFonts w:hint="eastAsia" w:ascii="宋体" w:hAnsi="宋体" w:eastAsia="宋体" w:cs="宋体"/>
                <w:color w:val="000000"/>
                <w:sz w:val="24"/>
                <w:szCs w:val="24"/>
                <w:highlight w:val="none"/>
              </w:rPr>
              <w:t xml:space="preserve">分； </w:t>
            </w:r>
          </w:p>
          <w:p w14:paraId="243E4A3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方案粗糙、内容简单，不完全满足采购需求的，得3分；</w:t>
            </w:r>
          </w:p>
          <w:p w14:paraId="42DFAE3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5</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未按要求提供的</w:t>
            </w:r>
            <w:r>
              <w:rPr>
                <w:rFonts w:hint="eastAsia" w:ascii="宋体" w:hAnsi="宋体" w:eastAsia="宋体" w:cs="宋体"/>
                <w:color w:val="000000"/>
                <w:sz w:val="24"/>
                <w:szCs w:val="24"/>
                <w:highlight w:val="none"/>
                <w:lang w:val="en-US" w:eastAsia="zh-CN"/>
              </w:rPr>
              <w:t>不得分</w:t>
            </w:r>
            <w:r>
              <w:rPr>
                <w:rFonts w:hint="eastAsia" w:ascii="宋体" w:hAnsi="宋体" w:eastAsia="宋体" w:cs="宋体"/>
                <w:color w:val="000000"/>
                <w:sz w:val="24"/>
                <w:szCs w:val="24"/>
                <w:highlight w:val="none"/>
              </w:rPr>
              <w:t>。</w:t>
            </w:r>
          </w:p>
        </w:tc>
      </w:tr>
      <w:tr w14:paraId="50E88B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28" w:type="dxa"/>
            <w:noWrap w:val="0"/>
            <w:vAlign w:val="center"/>
          </w:tcPr>
          <w:p w14:paraId="6D7840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w:t>
            </w:r>
          </w:p>
        </w:tc>
        <w:tc>
          <w:tcPr>
            <w:tcW w:w="1172" w:type="dxa"/>
            <w:noWrap w:val="0"/>
            <w:vAlign w:val="center"/>
          </w:tcPr>
          <w:p w14:paraId="14F761D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进度计划</w:t>
            </w:r>
            <w:r>
              <w:rPr>
                <w:rFonts w:hint="eastAsia" w:ascii="宋体" w:hAnsi="宋体" w:eastAsia="宋体" w:cs="宋体"/>
                <w:color w:val="auto"/>
                <w:sz w:val="24"/>
                <w:szCs w:val="24"/>
                <w:highlight w:val="none"/>
                <w:lang w:val="en-US" w:eastAsia="zh-CN"/>
              </w:rPr>
              <w:t>实施方案</w:t>
            </w:r>
          </w:p>
          <w:p w14:paraId="7DDC6C0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764" w:type="dxa"/>
            <w:noWrap w:val="0"/>
            <w:vAlign w:val="center"/>
          </w:tcPr>
          <w:p w14:paraId="64C09F5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r>
              <w:rPr>
                <w:rFonts w:hint="eastAsia" w:ascii="宋体" w:hAnsi="宋体" w:cs="宋体"/>
                <w:color w:val="auto"/>
                <w:sz w:val="24"/>
                <w:szCs w:val="24"/>
                <w:highlight w:val="none"/>
                <w:lang w:val="en-US" w:eastAsia="zh-CN"/>
              </w:rPr>
              <w:t>分</w:t>
            </w:r>
          </w:p>
        </w:tc>
        <w:tc>
          <w:tcPr>
            <w:tcW w:w="6339" w:type="dxa"/>
            <w:noWrap w:val="0"/>
            <w:vAlign w:val="center"/>
          </w:tcPr>
          <w:p w14:paraId="0B3558F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1</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方案全面具体、内容与要点相符，优于采购需求的，得</w:t>
            </w:r>
            <w:r>
              <w:rPr>
                <w:rFonts w:hint="eastAsia" w:ascii="宋体" w:hAnsi="宋体" w:eastAsia="宋体" w:cs="宋体"/>
                <w:color w:val="000000"/>
                <w:sz w:val="24"/>
                <w:szCs w:val="24"/>
                <w:highlight w:val="none"/>
                <w:lang w:val="en-US" w:eastAsia="zh-CN"/>
              </w:rPr>
              <w:t>1</w:t>
            </w:r>
            <w:r>
              <w:rPr>
                <w:rFonts w:hint="eastAsia" w:ascii="宋体" w:hAnsi="宋体" w:cs="宋体"/>
                <w:color w:val="000000"/>
                <w:sz w:val="24"/>
                <w:szCs w:val="24"/>
                <w:highlight w:val="none"/>
                <w:lang w:val="en-US" w:eastAsia="zh-CN"/>
              </w:rPr>
              <w:t>0</w:t>
            </w:r>
            <w:r>
              <w:rPr>
                <w:rFonts w:hint="eastAsia" w:ascii="宋体" w:hAnsi="宋体" w:eastAsia="宋体" w:cs="宋体"/>
                <w:color w:val="000000"/>
                <w:sz w:val="24"/>
                <w:szCs w:val="24"/>
                <w:highlight w:val="none"/>
              </w:rPr>
              <w:t>分；</w:t>
            </w:r>
          </w:p>
          <w:p w14:paraId="14A1867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方案完整、内容与要点基本相符，满足采购需求的，得</w:t>
            </w:r>
            <w:r>
              <w:rPr>
                <w:rFonts w:hint="eastAsia" w:ascii="宋体" w:hAnsi="宋体" w:cs="宋体"/>
                <w:color w:val="000000"/>
                <w:sz w:val="24"/>
                <w:szCs w:val="24"/>
                <w:highlight w:val="none"/>
                <w:lang w:val="en-US" w:eastAsia="zh-CN"/>
              </w:rPr>
              <w:t>7</w:t>
            </w:r>
            <w:r>
              <w:rPr>
                <w:rFonts w:hint="eastAsia" w:ascii="宋体" w:hAnsi="宋体" w:eastAsia="宋体" w:cs="宋体"/>
                <w:color w:val="000000"/>
                <w:sz w:val="24"/>
                <w:szCs w:val="24"/>
                <w:highlight w:val="none"/>
              </w:rPr>
              <w:t xml:space="preserve">分； </w:t>
            </w:r>
          </w:p>
          <w:p w14:paraId="04D4E7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方案</w:t>
            </w:r>
            <w:r>
              <w:rPr>
                <w:rFonts w:hint="eastAsia" w:ascii="宋体" w:hAnsi="宋体" w:eastAsia="宋体" w:cs="宋体"/>
                <w:color w:val="000000"/>
                <w:sz w:val="24"/>
                <w:szCs w:val="24"/>
                <w:highlight w:val="none"/>
                <w:lang w:val="en-US" w:eastAsia="zh-CN"/>
              </w:rPr>
              <w:t>有遗漏</w:t>
            </w:r>
            <w:r>
              <w:rPr>
                <w:rFonts w:hint="eastAsia" w:ascii="宋体" w:hAnsi="宋体" w:eastAsia="宋体" w:cs="宋体"/>
                <w:color w:val="000000"/>
                <w:sz w:val="24"/>
                <w:szCs w:val="24"/>
                <w:highlight w:val="none"/>
              </w:rPr>
              <w:t>、内容</w:t>
            </w:r>
            <w:r>
              <w:rPr>
                <w:rFonts w:hint="eastAsia" w:ascii="宋体" w:hAnsi="宋体" w:eastAsia="宋体" w:cs="宋体"/>
                <w:color w:val="000000"/>
                <w:sz w:val="24"/>
                <w:szCs w:val="24"/>
                <w:highlight w:val="none"/>
                <w:lang w:val="en-US" w:eastAsia="zh-CN"/>
              </w:rPr>
              <w:t>不丰富</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低于</w:t>
            </w:r>
            <w:r>
              <w:rPr>
                <w:rFonts w:hint="eastAsia" w:ascii="宋体" w:hAnsi="宋体" w:eastAsia="宋体" w:cs="宋体"/>
                <w:color w:val="000000"/>
                <w:sz w:val="24"/>
                <w:szCs w:val="24"/>
                <w:highlight w:val="none"/>
              </w:rPr>
              <w:t>采购</w:t>
            </w:r>
            <w:r>
              <w:rPr>
                <w:rFonts w:hint="eastAsia" w:ascii="宋体" w:hAnsi="宋体" w:eastAsia="宋体" w:cs="宋体"/>
                <w:color w:val="000000"/>
                <w:sz w:val="24"/>
                <w:szCs w:val="24"/>
                <w:highlight w:val="none"/>
                <w:lang w:val="en-US" w:eastAsia="zh-CN"/>
              </w:rPr>
              <w:t>需</w:t>
            </w:r>
            <w:r>
              <w:rPr>
                <w:rFonts w:hint="eastAsia" w:ascii="宋体" w:hAnsi="宋体" w:eastAsia="宋体" w:cs="宋体"/>
                <w:color w:val="000000"/>
                <w:sz w:val="24"/>
                <w:szCs w:val="24"/>
                <w:highlight w:val="none"/>
              </w:rPr>
              <w:t>求</w:t>
            </w:r>
            <w:r>
              <w:rPr>
                <w:rFonts w:hint="eastAsia" w:ascii="宋体" w:hAnsi="宋体" w:eastAsia="宋体" w:cs="宋体"/>
                <w:color w:val="000000"/>
                <w:sz w:val="24"/>
                <w:szCs w:val="24"/>
                <w:highlight w:val="none"/>
                <w:lang w:val="en-US" w:eastAsia="zh-CN"/>
              </w:rPr>
              <w:t>要求</w:t>
            </w:r>
            <w:r>
              <w:rPr>
                <w:rFonts w:hint="eastAsia" w:ascii="宋体" w:hAnsi="宋体" w:eastAsia="宋体" w:cs="宋体"/>
                <w:color w:val="000000"/>
                <w:sz w:val="24"/>
                <w:szCs w:val="24"/>
                <w:highlight w:val="none"/>
              </w:rPr>
              <w:t>的，得</w:t>
            </w:r>
            <w:r>
              <w:rPr>
                <w:rFonts w:hint="eastAsia" w:ascii="宋体" w:hAnsi="宋体" w:cs="宋体"/>
                <w:color w:val="000000"/>
                <w:sz w:val="24"/>
                <w:szCs w:val="24"/>
                <w:highlight w:val="none"/>
                <w:lang w:val="en-US" w:eastAsia="zh-CN"/>
              </w:rPr>
              <w:t>4</w:t>
            </w:r>
            <w:r>
              <w:rPr>
                <w:rFonts w:hint="eastAsia" w:ascii="宋体" w:hAnsi="宋体" w:eastAsia="宋体" w:cs="宋体"/>
                <w:color w:val="000000"/>
                <w:sz w:val="24"/>
                <w:szCs w:val="24"/>
                <w:highlight w:val="none"/>
              </w:rPr>
              <w:t xml:space="preserve">分； </w:t>
            </w:r>
          </w:p>
          <w:p w14:paraId="79C0E6A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方案粗糙、内容简单，不完全满足采购需求的，得</w:t>
            </w:r>
            <w:r>
              <w:rPr>
                <w:rFonts w:hint="eastAsia" w:ascii="宋体" w:hAnsi="宋体" w:cs="宋体"/>
                <w:color w:val="000000"/>
                <w:sz w:val="24"/>
                <w:szCs w:val="24"/>
                <w:highlight w:val="none"/>
                <w:lang w:val="en-US" w:eastAsia="zh-CN"/>
              </w:rPr>
              <w:t>1</w:t>
            </w:r>
            <w:r>
              <w:rPr>
                <w:rFonts w:hint="eastAsia" w:ascii="宋体" w:hAnsi="宋体" w:eastAsia="宋体" w:cs="宋体"/>
                <w:color w:val="000000"/>
                <w:sz w:val="24"/>
                <w:szCs w:val="24"/>
                <w:highlight w:val="none"/>
                <w:lang w:val="en-US" w:eastAsia="zh-CN"/>
              </w:rPr>
              <w:t>分；</w:t>
            </w:r>
          </w:p>
          <w:p w14:paraId="175BF5D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5</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未按要求提供的</w:t>
            </w:r>
            <w:r>
              <w:rPr>
                <w:rFonts w:hint="eastAsia" w:ascii="宋体" w:hAnsi="宋体" w:eastAsia="宋体" w:cs="宋体"/>
                <w:color w:val="000000"/>
                <w:sz w:val="24"/>
                <w:szCs w:val="24"/>
                <w:highlight w:val="none"/>
                <w:lang w:val="en-US" w:eastAsia="zh-CN"/>
              </w:rPr>
              <w:t>不得分</w:t>
            </w:r>
            <w:r>
              <w:rPr>
                <w:rFonts w:hint="eastAsia" w:ascii="宋体" w:hAnsi="宋体" w:eastAsia="宋体" w:cs="宋体"/>
                <w:color w:val="000000"/>
                <w:sz w:val="24"/>
                <w:szCs w:val="24"/>
                <w:highlight w:val="none"/>
              </w:rPr>
              <w:t>。</w:t>
            </w:r>
          </w:p>
        </w:tc>
      </w:tr>
      <w:tr w14:paraId="2D4D0A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3" w:hRule="atLeast"/>
          <w:jc w:val="center"/>
        </w:trPr>
        <w:tc>
          <w:tcPr>
            <w:tcW w:w="728" w:type="dxa"/>
            <w:noWrap w:val="0"/>
            <w:vAlign w:val="center"/>
          </w:tcPr>
          <w:p w14:paraId="06786E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w:t>
            </w:r>
          </w:p>
        </w:tc>
        <w:tc>
          <w:tcPr>
            <w:tcW w:w="1172" w:type="dxa"/>
            <w:noWrap w:val="0"/>
            <w:vAlign w:val="center"/>
          </w:tcPr>
          <w:p w14:paraId="51582B1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现场安装技术方案</w:t>
            </w:r>
          </w:p>
        </w:tc>
        <w:tc>
          <w:tcPr>
            <w:tcW w:w="764" w:type="dxa"/>
            <w:noWrap w:val="0"/>
            <w:vAlign w:val="center"/>
          </w:tcPr>
          <w:p w14:paraId="75B4C28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r>
              <w:rPr>
                <w:rFonts w:hint="eastAsia" w:ascii="宋体" w:hAnsi="宋体" w:cs="宋体"/>
                <w:color w:val="auto"/>
                <w:sz w:val="24"/>
                <w:szCs w:val="24"/>
                <w:highlight w:val="none"/>
                <w:lang w:val="en-US" w:eastAsia="zh-CN"/>
              </w:rPr>
              <w:t>分</w:t>
            </w:r>
          </w:p>
        </w:tc>
        <w:tc>
          <w:tcPr>
            <w:tcW w:w="6339" w:type="dxa"/>
            <w:noWrap w:val="0"/>
            <w:vAlign w:val="center"/>
          </w:tcPr>
          <w:p w14:paraId="0517745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1</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方案全面具体、内容与要点相符，优于采购需求的，得</w:t>
            </w:r>
            <w:r>
              <w:rPr>
                <w:rFonts w:hint="eastAsia" w:ascii="宋体" w:hAnsi="宋体" w:eastAsia="宋体" w:cs="宋体"/>
                <w:color w:val="000000"/>
                <w:sz w:val="24"/>
                <w:szCs w:val="24"/>
                <w:highlight w:val="none"/>
                <w:lang w:val="en-US" w:eastAsia="zh-CN"/>
              </w:rPr>
              <w:t>1</w:t>
            </w:r>
            <w:r>
              <w:rPr>
                <w:rFonts w:hint="eastAsia" w:ascii="宋体" w:hAnsi="宋体" w:cs="宋体"/>
                <w:color w:val="000000"/>
                <w:sz w:val="24"/>
                <w:szCs w:val="24"/>
                <w:highlight w:val="none"/>
                <w:lang w:val="en-US" w:eastAsia="zh-CN"/>
              </w:rPr>
              <w:t>0</w:t>
            </w:r>
            <w:r>
              <w:rPr>
                <w:rFonts w:hint="eastAsia" w:ascii="宋体" w:hAnsi="宋体" w:eastAsia="宋体" w:cs="宋体"/>
                <w:color w:val="000000"/>
                <w:sz w:val="24"/>
                <w:szCs w:val="24"/>
                <w:highlight w:val="none"/>
              </w:rPr>
              <w:t>分；</w:t>
            </w:r>
          </w:p>
          <w:p w14:paraId="54F69A8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方案完整、内容与要点基本相符，满足采购需求的，得</w:t>
            </w:r>
            <w:r>
              <w:rPr>
                <w:rFonts w:hint="eastAsia" w:ascii="宋体" w:hAnsi="宋体" w:cs="宋体"/>
                <w:color w:val="000000"/>
                <w:sz w:val="24"/>
                <w:szCs w:val="24"/>
                <w:highlight w:val="none"/>
                <w:lang w:val="en-US" w:eastAsia="zh-CN"/>
              </w:rPr>
              <w:t>7</w:t>
            </w:r>
            <w:r>
              <w:rPr>
                <w:rFonts w:hint="eastAsia" w:ascii="宋体" w:hAnsi="宋体" w:eastAsia="宋体" w:cs="宋体"/>
                <w:color w:val="000000"/>
                <w:sz w:val="24"/>
                <w:szCs w:val="24"/>
                <w:highlight w:val="none"/>
              </w:rPr>
              <w:t xml:space="preserve">分； </w:t>
            </w:r>
          </w:p>
          <w:p w14:paraId="2EFA3C5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方案</w:t>
            </w:r>
            <w:r>
              <w:rPr>
                <w:rFonts w:hint="eastAsia" w:ascii="宋体" w:hAnsi="宋体" w:eastAsia="宋体" w:cs="宋体"/>
                <w:color w:val="000000"/>
                <w:sz w:val="24"/>
                <w:szCs w:val="24"/>
                <w:highlight w:val="none"/>
                <w:lang w:val="en-US" w:eastAsia="zh-CN"/>
              </w:rPr>
              <w:t>有遗漏</w:t>
            </w:r>
            <w:r>
              <w:rPr>
                <w:rFonts w:hint="eastAsia" w:ascii="宋体" w:hAnsi="宋体" w:eastAsia="宋体" w:cs="宋体"/>
                <w:color w:val="000000"/>
                <w:sz w:val="24"/>
                <w:szCs w:val="24"/>
                <w:highlight w:val="none"/>
              </w:rPr>
              <w:t>、内容</w:t>
            </w:r>
            <w:r>
              <w:rPr>
                <w:rFonts w:hint="eastAsia" w:ascii="宋体" w:hAnsi="宋体" w:eastAsia="宋体" w:cs="宋体"/>
                <w:color w:val="000000"/>
                <w:sz w:val="24"/>
                <w:szCs w:val="24"/>
                <w:highlight w:val="none"/>
                <w:lang w:val="en-US" w:eastAsia="zh-CN"/>
              </w:rPr>
              <w:t>不丰富</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低于</w:t>
            </w:r>
            <w:r>
              <w:rPr>
                <w:rFonts w:hint="eastAsia" w:ascii="宋体" w:hAnsi="宋体" w:eastAsia="宋体" w:cs="宋体"/>
                <w:color w:val="000000"/>
                <w:sz w:val="24"/>
                <w:szCs w:val="24"/>
                <w:highlight w:val="none"/>
              </w:rPr>
              <w:t>采购</w:t>
            </w:r>
            <w:r>
              <w:rPr>
                <w:rFonts w:hint="eastAsia" w:ascii="宋体" w:hAnsi="宋体" w:eastAsia="宋体" w:cs="宋体"/>
                <w:color w:val="000000"/>
                <w:sz w:val="24"/>
                <w:szCs w:val="24"/>
                <w:highlight w:val="none"/>
                <w:lang w:val="en-US" w:eastAsia="zh-CN"/>
              </w:rPr>
              <w:t>需</w:t>
            </w:r>
            <w:r>
              <w:rPr>
                <w:rFonts w:hint="eastAsia" w:ascii="宋体" w:hAnsi="宋体" w:eastAsia="宋体" w:cs="宋体"/>
                <w:color w:val="000000"/>
                <w:sz w:val="24"/>
                <w:szCs w:val="24"/>
                <w:highlight w:val="none"/>
              </w:rPr>
              <w:t>求</w:t>
            </w:r>
            <w:r>
              <w:rPr>
                <w:rFonts w:hint="eastAsia" w:ascii="宋体" w:hAnsi="宋体" w:eastAsia="宋体" w:cs="宋体"/>
                <w:color w:val="000000"/>
                <w:sz w:val="24"/>
                <w:szCs w:val="24"/>
                <w:highlight w:val="none"/>
                <w:lang w:val="en-US" w:eastAsia="zh-CN"/>
              </w:rPr>
              <w:t>要求</w:t>
            </w:r>
            <w:r>
              <w:rPr>
                <w:rFonts w:hint="eastAsia" w:ascii="宋体" w:hAnsi="宋体" w:eastAsia="宋体" w:cs="宋体"/>
                <w:color w:val="000000"/>
                <w:sz w:val="24"/>
                <w:szCs w:val="24"/>
                <w:highlight w:val="none"/>
              </w:rPr>
              <w:t>的，得</w:t>
            </w:r>
            <w:r>
              <w:rPr>
                <w:rFonts w:hint="eastAsia" w:ascii="宋体" w:hAnsi="宋体" w:cs="宋体"/>
                <w:color w:val="000000"/>
                <w:sz w:val="24"/>
                <w:szCs w:val="24"/>
                <w:highlight w:val="none"/>
                <w:lang w:val="en-US" w:eastAsia="zh-CN"/>
              </w:rPr>
              <w:t>4</w:t>
            </w:r>
            <w:r>
              <w:rPr>
                <w:rFonts w:hint="eastAsia" w:ascii="宋体" w:hAnsi="宋体" w:eastAsia="宋体" w:cs="宋体"/>
                <w:color w:val="000000"/>
                <w:sz w:val="24"/>
                <w:szCs w:val="24"/>
                <w:highlight w:val="none"/>
              </w:rPr>
              <w:t xml:space="preserve">分； </w:t>
            </w:r>
          </w:p>
          <w:p w14:paraId="69251F3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方案粗糙、内容简单，不完全满足采购需求的，得</w:t>
            </w:r>
            <w:r>
              <w:rPr>
                <w:rFonts w:hint="eastAsia" w:ascii="宋体" w:hAnsi="宋体" w:cs="宋体"/>
                <w:color w:val="000000"/>
                <w:sz w:val="24"/>
                <w:szCs w:val="24"/>
                <w:highlight w:val="none"/>
                <w:lang w:val="en-US" w:eastAsia="zh-CN"/>
              </w:rPr>
              <w:t>1</w:t>
            </w:r>
            <w:r>
              <w:rPr>
                <w:rFonts w:hint="eastAsia" w:ascii="宋体" w:hAnsi="宋体" w:eastAsia="宋体" w:cs="宋体"/>
                <w:color w:val="000000"/>
                <w:sz w:val="24"/>
                <w:szCs w:val="24"/>
                <w:highlight w:val="none"/>
                <w:lang w:val="en-US" w:eastAsia="zh-CN"/>
              </w:rPr>
              <w:t>分；</w:t>
            </w:r>
          </w:p>
          <w:p w14:paraId="30EF1D4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5</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未按要求提供的</w:t>
            </w:r>
            <w:r>
              <w:rPr>
                <w:rFonts w:hint="eastAsia" w:ascii="宋体" w:hAnsi="宋体" w:eastAsia="宋体" w:cs="宋体"/>
                <w:color w:val="000000"/>
                <w:sz w:val="24"/>
                <w:szCs w:val="24"/>
                <w:highlight w:val="none"/>
                <w:lang w:val="en-US" w:eastAsia="zh-CN"/>
              </w:rPr>
              <w:t>不得分</w:t>
            </w:r>
            <w:r>
              <w:rPr>
                <w:rFonts w:hint="eastAsia" w:ascii="宋体" w:hAnsi="宋体" w:eastAsia="宋体" w:cs="宋体"/>
                <w:color w:val="000000"/>
                <w:sz w:val="24"/>
                <w:szCs w:val="24"/>
                <w:highlight w:val="none"/>
              </w:rPr>
              <w:t>。</w:t>
            </w:r>
          </w:p>
        </w:tc>
      </w:tr>
      <w:tr w14:paraId="24045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3" w:hRule="atLeast"/>
          <w:jc w:val="center"/>
        </w:trPr>
        <w:tc>
          <w:tcPr>
            <w:tcW w:w="728" w:type="dxa"/>
            <w:noWrap w:val="0"/>
            <w:vAlign w:val="center"/>
          </w:tcPr>
          <w:p w14:paraId="19A9CB1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w:t>
            </w:r>
          </w:p>
        </w:tc>
        <w:tc>
          <w:tcPr>
            <w:tcW w:w="1172" w:type="dxa"/>
            <w:noWrap w:val="0"/>
            <w:vAlign w:val="center"/>
          </w:tcPr>
          <w:p w14:paraId="5BE5E73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售后服务方案</w:t>
            </w:r>
          </w:p>
        </w:tc>
        <w:tc>
          <w:tcPr>
            <w:tcW w:w="764" w:type="dxa"/>
            <w:noWrap w:val="0"/>
            <w:vAlign w:val="center"/>
          </w:tcPr>
          <w:p w14:paraId="370B4C0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r>
              <w:rPr>
                <w:rFonts w:hint="eastAsia" w:ascii="宋体" w:hAnsi="宋体" w:cs="宋体"/>
                <w:color w:val="auto"/>
                <w:sz w:val="24"/>
                <w:szCs w:val="24"/>
                <w:highlight w:val="none"/>
                <w:lang w:val="en-US" w:eastAsia="zh-CN"/>
              </w:rPr>
              <w:t>分</w:t>
            </w:r>
          </w:p>
        </w:tc>
        <w:tc>
          <w:tcPr>
            <w:tcW w:w="6339" w:type="dxa"/>
            <w:noWrap w:val="0"/>
            <w:vAlign w:val="center"/>
          </w:tcPr>
          <w:p w14:paraId="0A383AB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1</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方案全面具体、内容与要点相符，优于采购需求的，得</w:t>
            </w:r>
            <w:r>
              <w:rPr>
                <w:rFonts w:hint="eastAsia" w:ascii="宋体" w:hAnsi="宋体" w:cs="宋体"/>
                <w:color w:val="000000"/>
                <w:sz w:val="24"/>
                <w:szCs w:val="24"/>
                <w:highlight w:val="none"/>
                <w:lang w:val="en-US" w:eastAsia="zh-CN"/>
              </w:rPr>
              <w:t>4</w:t>
            </w:r>
            <w:r>
              <w:rPr>
                <w:rFonts w:hint="eastAsia" w:ascii="宋体" w:hAnsi="宋体" w:eastAsia="宋体" w:cs="宋体"/>
                <w:color w:val="000000"/>
                <w:sz w:val="24"/>
                <w:szCs w:val="24"/>
                <w:highlight w:val="none"/>
              </w:rPr>
              <w:t>分；</w:t>
            </w:r>
          </w:p>
          <w:p w14:paraId="079278F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方案完整、内容与要点基本相符，满足采购需求的，得</w:t>
            </w:r>
            <w:r>
              <w:rPr>
                <w:rFonts w:hint="eastAsia" w:ascii="宋体" w:hAnsi="宋体" w:cs="宋体"/>
                <w:color w:val="000000"/>
                <w:sz w:val="24"/>
                <w:szCs w:val="24"/>
                <w:highlight w:val="none"/>
                <w:lang w:val="en-US" w:eastAsia="zh-CN"/>
              </w:rPr>
              <w:t>3</w:t>
            </w:r>
            <w:r>
              <w:rPr>
                <w:rFonts w:hint="eastAsia" w:ascii="宋体" w:hAnsi="宋体" w:eastAsia="宋体" w:cs="宋体"/>
                <w:color w:val="000000"/>
                <w:sz w:val="24"/>
                <w:szCs w:val="24"/>
                <w:highlight w:val="none"/>
              </w:rPr>
              <w:t xml:space="preserve">分； </w:t>
            </w:r>
          </w:p>
          <w:p w14:paraId="6592E9A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方案</w:t>
            </w:r>
            <w:r>
              <w:rPr>
                <w:rFonts w:hint="eastAsia" w:ascii="宋体" w:hAnsi="宋体" w:eastAsia="宋体" w:cs="宋体"/>
                <w:color w:val="000000"/>
                <w:sz w:val="24"/>
                <w:szCs w:val="24"/>
                <w:highlight w:val="none"/>
                <w:lang w:val="en-US" w:eastAsia="zh-CN"/>
              </w:rPr>
              <w:t>有遗漏</w:t>
            </w:r>
            <w:r>
              <w:rPr>
                <w:rFonts w:hint="eastAsia" w:ascii="宋体" w:hAnsi="宋体" w:eastAsia="宋体" w:cs="宋体"/>
                <w:color w:val="000000"/>
                <w:sz w:val="24"/>
                <w:szCs w:val="24"/>
                <w:highlight w:val="none"/>
              </w:rPr>
              <w:t>、内容</w:t>
            </w:r>
            <w:r>
              <w:rPr>
                <w:rFonts w:hint="eastAsia" w:ascii="宋体" w:hAnsi="宋体" w:eastAsia="宋体" w:cs="宋体"/>
                <w:color w:val="000000"/>
                <w:sz w:val="24"/>
                <w:szCs w:val="24"/>
                <w:highlight w:val="none"/>
                <w:lang w:val="en-US" w:eastAsia="zh-CN"/>
              </w:rPr>
              <w:t>不丰富</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低于</w:t>
            </w:r>
            <w:r>
              <w:rPr>
                <w:rFonts w:hint="eastAsia" w:ascii="宋体" w:hAnsi="宋体" w:eastAsia="宋体" w:cs="宋体"/>
                <w:color w:val="000000"/>
                <w:sz w:val="24"/>
                <w:szCs w:val="24"/>
                <w:highlight w:val="none"/>
              </w:rPr>
              <w:t>采购</w:t>
            </w:r>
            <w:r>
              <w:rPr>
                <w:rFonts w:hint="eastAsia" w:ascii="宋体" w:hAnsi="宋体" w:eastAsia="宋体" w:cs="宋体"/>
                <w:color w:val="000000"/>
                <w:sz w:val="24"/>
                <w:szCs w:val="24"/>
                <w:highlight w:val="none"/>
                <w:lang w:val="en-US" w:eastAsia="zh-CN"/>
              </w:rPr>
              <w:t>需</w:t>
            </w:r>
            <w:r>
              <w:rPr>
                <w:rFonts w:hint="eastAsia" w:ascii="宋体" w:hAnsi="宋体" w:eastAsia="宋体" w:cs="宋体"/>
                <w:color w:val="000000"/>
                <w:sz w:val="24"/>
                <w:szCs w:val="24"/>
                <w:highlight w:val="none"/>
              </w:rPr>
              <w:t>求</w:t>
            </w:r>
            <w:r>
              <w:rPr>
                <w:rFonts w:hint="eastAsia" w:ascii="宋体" w:hAnsi="宋体" w:eastAsia="宋体" w:cs="宋体"/>
                <w:color w:val="000000"/>
                <w:sz w:val="24"/>
                <w:szCs w:val="24"/>
                <w:highlight w:val="none"/>
                <w:lang w:val="en-US" w:eastAsia="zh-CN"/>
              </w:rPr>
              <w:t>要求</w:t>
            </w:r>
            <w:r>
              <w:rPr>
                <w:rFonts w:hint="eastAsia" w:ascii="宋体" w:hAnsi="宋体" w:eastAsia="宋体" w:cs="宋体"/>
                <w:color w:val="000000"/>
                <w:sz w:val="24"/>
                <w:szCs w:val="24"/>
                <w:highlight w:val="none"/>
              </w:rPr>
              <w:t>的，得</w:t>
            </w:r>
            <w:r>
              <w:rPr>
                <w:rFonts w:hint="eastAsia" w:ascii="宋体" w:hAnsi="宋体" w:cs="宋体"/>
                <w:color w:val="000000"/>
                <w:sz w:val="24"/>
                <w:szCs w:val="24"/>
                <w:highlight w:val="none"/>
                <w:lang w:val="en-US" w:eastAsia="zh-CN"/>
              </w:rPr>
              <w:t>2</w:t>
            </w:r>
            <w:r>
              <w:rPr>
                <w:rFonts w:hint="eastAsia" w:ascii="宋体" w:hAnsi="宋体" w:eastAsia="宋体" w:cs="宋体"/>
                <w:color w:val="000000"/>
                <w:sz w:val="24"/>
                <w:szCs w:val="24"/>
                <w:highlight w:val="none"/>
              </w:rPr>
              <w:t xml:space="preserve">分； </w:t>
            </w:r>
          </w:p>
          <w:p w14:paraId="2A69511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方案粗糙、内容简单，不完全满足采购需求的，得</w:t>
            </w:r>
            <w:r>
              <w:rPr>
                <w:rFonts w:hint="eastAsia" w:ascii="宋体" w:hAnsi="宋体" w:cs="宋体"/>
                <w:color w:val="000000"/>
                <w:sz w:val="24"/>
                <w:szCs w:val="24"/>
                <w:highlight w:val="none"/>
                <w:lang w:val="en-US" w:eastAsia="zh-CN"/>
              </w:rPr>
              <w:t>1</w:t>
            </w:r>
            <w:r>
              <w:rPr>
                <w:rFonts w:hint="eastAsia" w:ascii="宋体" w:hAnsi="宋体" w:eastAsia="宋体" w:cs="宋体"/>
                <w:color w:val="000000"/>
                <w:sz w:val="24"/>
                <w:szCs w:val="24"/>
                <w:highlight w:val="none"/>
                <w:lang w:val="en-US" w:eastAsia="zh-CN"/>
              </w:rPr>
              <w:t>分；</w:t>
            </w:r>
          </w:p>
          <w:p w14:paraId="5D9D7AC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5</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未按要求提供的</w:t>
            </w:r>
            <w:r>
              <w:rPr>
                <w:rFonts w:hint="eastAsia" w:ascii="宋体" w:hAnsi="宋体" w:eastAsia="宋体" w:cs="宋体"/>
                <w:color w:val="000000"/>
                <w:sz w:val="24"/>
                <w:szCs w:val="24"/>
                <w:highlight w:val="none"/>
                <w:lang w:val="en-US" w:eastAsia="zh-CN"/>
              </w:rPr>
              <w:t>不得分</w:t>
            </w:r>
            <w:r>
              <w:rPr>
                <w:rFonts w:hint="eastAsia" w:ascii="宋体" w:hAnsi="宋体" w:eastAsia="宋体" w:cs="宋体"/>
                <w:color w:val="000000"/>
                <w:sz w:val="24"/>
                <w:szCs w:val="24"/>
                <w:highlight w:val="none"/>
              </w:rPr>
              <w:t>。</w:t>
            </w:r>
          </w:p>
        </w:tc>
      </w:tr>
    </w:tbl>
    <w:p w14:paraId="6B77988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注：</w:t>
      </w:r>
    </w:p>
    <w:p w14:paraId="391CCD0D">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1.以上评分标准中每一条，各供应商均应提供相关的资料并作出相应的对比供评分评判。</w:t>
      </w:r>
    </w:p>
    <w:p w14:paraId="4DAAEAE3">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2.响应文件中如出现前后不一致时，磋商小组有权请</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澄清说明，澄清说明事项涉及评分时，该项不得分。</w:t>
      </w:r>
    </w:p>
    <w:p w14:paraId="50B8345F">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承诺所提供的商务、技术、业绩资料全部真实，如有伪造，视作</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自动放弃投标及成交资格，并视作</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自愿接受相关处罚。</w:t>
      </w:r>
    </w:p>
    <w:p w14:paraId="56FA4A00">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4.供应商应根据国家政策调整规律进行报价，充分考虑服务期内的市场因素和成本变化状况的风险。</w:t>
      </w:r>
    </w:p>
    <w:p w14:paraId="3E1CD91B">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.响应供应商应认真进行现场勘察工作，场地现状及限制性因素由响应供应商向采购人查询并自行勘察核实，供应商的响应行为视为已充分调查、了解、核实场地现状，并同意接受准备履约合同。</w:t>
      </w:r>
    </w:p>
    <w:p w14:paraId="4DC91F90">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.本办法未尽事宜，由磋商小组依据有关法规研究解决。</w:t>
      </w:r>
    </w:p>
    <w:p w14:paraId="419DA79C">
      <w:pPr>
        <w:rPr>
          <w:rFonts w:hint="eastAsia" w:ascii="宋体" w:hAnsi="宋体" w:eastAsia="宋体" w:cs="宋体"/>
          <w:color w:val="auto"/>
          <w:highlight w:val="none"/>
        </w:rPr>
      </w:pPr>
      <w:r>
        <w:rPr>
          <w:rFonts w:hint="eastAsia" w:ascii="宋体" w:hAnsi="宋体" w:eastAsia="宋体" w:cs="宋体"/>
          <w:color w:val="auto"/>
          <w:highlight w:val="none"/>
        </w:rPr>
        <w:br w:type="page" w:clear="all"/>
      </w:r>
    </w:p>
    <w:p w14:paraId="33B51D71">
      <w:pPr>
        <w:pStyle w:val="228"/>
        <w:keepNext w:val="0"/>
        <w:jc w:val="center"/>
        <w:rPr>
          <w:rFonts w:hint="eastAsia" w:ascii="宋体" w:hAnsi="宋体" w:eastAsia="宋体" w:cs="宋体"/>
          <w:color w:val="auto"/>
          <w:sz w:val="32"/>
          <w:szCs w:val="32"/>
          <w:highlight w:val="none"/>
        </w:rPr>
      </w:pPr>
      <w:bookmarkStart w:id="111" w:name="_Toc29253"/>
    </w:p>
    <w:p w14:paraId="3BFA7D99">
      <w:pPr>
        <w:pStyle w:val="228"/>
        <w:keepNext w:val="0"/>
        <w:jc w:val="center"/>
        <w:rPr>
          <w:rFonts w:hint="eastAsia" w:ascii="宋体" w:hAnsi="宋体" w:eastAsia="宋体" w:cs="宋体"/>
          <w:color w:val="auto"/>
          <w:sz w:val="32"/>
          <w:szCs w:val="32"/>
          <w:highlight w:val="none"/>
        </w:rPr>
      </w:pPr>
    </w:p>
    <w:p w14:paraId="26D3B367">
      <w:pPr>
        <w:pStyle w:val="228"/>
        <w:keepNext w:val="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第六章 响应文件的组成和格式</w:t>
      </w:r>
      <w:bookmarkEnd w:id="111"/>
    </w:p>
    <w:p w14:paraId="4E8E93E9">
      <w:pPr>
        <w:rPr>
          <w:rFonts w:hint="eastAsia" w:ascii="宋体" w:hAnsi="宋体" w:eastAsia="宋体" w:cs="宋体"/>
          <w:color w:val="auto"/>
          <w:highlight w:val="none"/>
        </w:rPr>
      </w:pPr>
    </w:p>
    <w:p w14:paraId="20E8A73A">
      <w:pPr>
        <w:pStyle w:val="260"/>
        <w:rPr>
          <w:rFonts w:hint="eastAsia" w:ascii="宋体" w:hAnsi="宋体" w:eastAsia="宋体" w:cs="宋体"/>
          <w:color w:val="auto"/>
          <w:highlight w:val="none"/>
        </w:rPr>
      </w:pPr>
    </w:p>
    <w:p w14:paraId="471A855F">
      <w:pPr>
        <w:pStyle w:val="260"/>
        <w:rPr>
          <w:rFonts w:hint="eastAsia" w:ascii="宋体" w:hAnsi="宋体" w:eastAsia="宋体" w:cs="宋体"/>
          <w:color w:val="auto"/>
          <w:highlight w:val="none"/>
        </w:rPr>
      </w:pPr>
    </w:p>
    <w:p w14:paraId="6E89C910">
      <w:pPr>
        <w:pStyle w:val="260"/>
        <w:rPr>
          <w:rFonts w:hint="eastAsia" w:ascii="宋体" w:hAnsi="宋体" w:eastAsia="宋体" w:cs="宋体"/>
          <w:color w:val="auto"/>
          <w:highlight w:val="none"/>
        </w:rPr>
      </w:pPr>
    </w:p>
    <w:p w14:paraId="06F3D359">
      <w:pPr>
        <w:pStyle w:val="260"/>
        <w:rPr>
          <w:rFonts w:hint="eastAsia" w:ascii="宋体" w:hAnsi="宋体" w:eastAsia="宋体" w:cs="宋体"/>
          <w:color w:val="auto"/>
          <w:highlight w:val="none"/>
        </w:rPr>
      </w:pPr>
    </w:p>
    <w:p w14:paraId="5CBA00AD">
      <w:pPr>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响 应 文 件</w:t>
      </w:r>
    </w:p>
    <w:p w14:paraId="156B9B36">
      <w:pPr>
        <w:pStyle w:val="252"/>
        <w:rPr>
          <w:rFonts w:hint="eastAsia" w:ascii="宋体" w:hAnsi="宋体" w:eastAsia="宋体" w:cs="宋体"/>
          <w:color w:val="auto"/>
          <w:highlight w:val="none"/>
        </w:rPr>
      </w:pPr>
    </w:p>
    <w:p w14:paraId="557C5C5B">
      <w:pPr>
        <w:rPr>
          <w:rFonts w:hint="eastAsia" w:ascii="宋体" w:hAnsi="宋体" w:eastAsia="宋体" w:cs="宋体"/>
          <w:color w:val="auto"/>
          <w:highlight w:val="none"/>
        </w:rPr>
      </w:pPr>
    </w:p>
    <w:p w14:paraId="57163D3B">
      <w:pPr>
        <w:pStyle w:val="235"/>
        <w:rPr>
          <w:rFonts w:hint="eastAsia" w:ascii="宋体" w:hAnsi="宋体" w:eastAsia="宋体" w:cs="宋体"/>
          <w:color w:val="auto"/>
          <w:highlight w:val="none"/>
        </w:rPr>
      </w:pPr>
    </w:p>
    <w:p w14:paraId="12C1F28E">
      <w:pPr>
        <w:rPr>
          <w:rFonts w:hint="eastAsia" w:ascii="宋体" w:hAnsi="宋体" w:eastAsia="宋体" w:cs="宋体"/>
          <w:color w:val="auto"/>
          <w:highlight w:val="none"/>
        </w:rPr>
      </w:pPr>
    </w:p>
    <w:p w14:paraId="7B4704BA">
      <w:pPr>
        <w:pStyle w:val="25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p w14:paraId="5D92C4CC">
      <w:pPr>
        <w:pStyle w:val="25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项目编号： </w:t>
      </w:r>
    </w:p>
    <w:p w14:paraId="6179E8CA">
      <w:pPr>
        <w:pStyle w:val="25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 ：（加盖CA电子公章）</w:t>
      </w:r>
    </w:p>
    <w:p w14:paraId="428ABD66">
      <w:pPr>
        <w:pStyle w:val="25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 ：</w:t>
      </w:r>
    </w:p>
    <w:p w14:paraId="7CCB002E">
      <w:pPr>
        <w:pStyle w:val="252"/>
        <w:rPr>
          <w:rFonts w:hint="eastAsia" w:ascii="宋体" w:hAnsi="宋体" w:eastAsia="宋体" w:cs="宋体"/>
          <w:color w:val="auto"/>
          <w:highlight w:val="none"/>
        </w:rPr>
      </w:pPr>
    </w:p>
    <w:p w14:paraId="341AC8BB">
      <w:pPr>
        <w:pStyle w:val="12"/>
        <w:pageBreakBefore w:val="0"/>
        <w:spacing w:line="360" w:lineRule="auto"/>
        <w:jc w:val="center"/>
        <w:outlineLvl w:val="1"/>
        <w:rPr>
          <w:rFonts w:hint="eastAsia" w:ascii="宋体" w:hAnsi="宋体" w:eastAsia="宋体" w:cs="宋体"/>
          <w:b/>
          <w:bCs/>
          <w:color w:val="000000"/>
          <w:sz w:val="30"/>
          <w:szCs w:val="30"/>
        </w:rPr>
      </w:pPr>
      <w:r>
        <w:rPr>
          <w:rFonts w:hint="eastAsia" w:ascii="宋体" w:hAnsi="宋体" w:eastAsia="宋体" w:cs="宋体"/>
          <w:color w:val="auto"/>
          <w:highlight w:val="none"/>
        </w:rPr>
        <w:br w:type="page" w:clear="all"/>
      </w:r>
      <w:r>
        <w:rPr>
          <w:rFonts w:hint="eastAsia" w:ascii="宋体" w:hAnsi="宋体" w:eastAsia="宋体" w:cs="宋体"/>
          <w:b/>
          <w:bCs/>
          <w:color w:val="000000"/>
          <w:sz w:val="30"/>
          <w:szCs w:val="30"/>
        </w:rPr>
        <w:t>一、磋商响应函</w:t>
      </w:r>
    </w:p>
    <w:p w14:paraId="431487E9">
      <w:pPr>
        <w:pStyle w:val="252"/>
        <w:pageBreakBefore w:val="0"/>
        <w:spacing w:before="0" w:after="0" w:line="360" w:lineRule="auto"/>
        <w:ind w:firstLine="0"/>
        <w:rPr>
          <w:rFonts w:hint="eastAsia" w:ascii="宋体" w:hAnsi="宋体" w:eastAsia="宋体" w:cs="宋体"/>
          <w:color w:val="000000"/>
          <w:sz w:val="24"/>
          <w:szCs w:val="24"/>
        </w:rPr>
      </w:pPr>
      <w:r>
        <w:rPr>
          <w:rFonts w:hint="eastAsia" w:ascii="宋体" w:hAnsi="宋体" w:eastAsia="宋体" w:cs="宋体"/>
          <w:color w:val="000000"/>
          <w:sz w:val="24"/>
          <w:szCs w:val="24"/>
        </w:rPr>
        <w:t>致：</w:t>
      </w:r>
    </w:p>
    <w:p w14:paraId="32B4A5DC">
      <w:pPr>
        <w:pStyle w:val="252"/>
        <w:pageBreakBefore w:val="0"/>
        <w:spacing w:before="0" w:after="0"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根据贵方的</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号磋商文件，正式授权下述签字人</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  （姓名和职务）代表我方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（供应商名称），全权处理本次项目磋商采购的有关事宜。</w:t>
      </w:r>
    </w:p>
    <w:p w14:paraId="711813C0">
      <w:pPr>
        <w:pStyle w:val="252"/>
        <w:pageBreakBefore w:val="0"/>
        <w:spacing w:before="0" w:after="0"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据此函，</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签字人兹宣布同意如下：</w:t>
      </w:r>
    </w:p>
    <w:p w14:paraId="2511EF49">
      <w:pPr>
        <w:pStyle w:val="252"/>
        <w:pageBreakBefore w:val="0"/>
        <w:spacing w:before="0" w:after="0" w:line="360" w:lineRule="auto"/>
        <w:rPr>
          <w:rFonts w:hint="eastAsia" w:ascii="宋体" w:hAnsi="宋体" w:eastAsia="宋体" w:cs="宋体"/>
          <w:color w:val="000000"/>
          <w:sz w:val="24"/>
          <w:szCs w:val="24"/>
        </w:rPr>
      </w:pPr>
      <w:r>
        <w:rPr>
          <w:rFonts w:hint="eastAsia" w:ascii="宋体" w:hAnsi="宋体" w:cs="宋体"/>
          <w:color w:val="000000"/>
          <w:sz w:val="24"/>
          <w:szCs w:val="24"/>
          <w:lang w:eastAsia="zh-CN"/>
        </w:rPr>
        <w:t>1.</w:t>
      </w:r>
      <w:r>
        <w:rPr>
          <w:rFonts w:hint="eastAsia" w:ascii="宋体" w:hAnsi="宋体" w:eastAsia="宋体" w:cs="宋体"/>
          <w:color w:val="000000"/>
          <w:sz w:val="24"/>
          <w:szCs w:val="24"/>
        </w:rPr>
        <w:t>按磋商文件规定的各项要求，向采购人提供所需工程。</w:t>
      </w:r>
    </w:p>
    <w:p w14:paraId="34CCD1AE">
      <w:pPr>
        <w:pStyle w:val="252"/>
        <w:pageBreakBefore w:val="0"/>
        <w:spacing w:before="0" w:after="0" w:line="360" w:lineRule="auto"/>
        <w:rPr>
          <w:rFonts w:hint="eastAsia" w:ascii="宋体" w:hAnsi="宋体" w:eastAsia="宋体" w:cs="宋体"/>
          <w:color w:val="000000"/>
          <w:sz w:val="24"/>
          <w:szCs w:val="24"/>
        </w:rPr>
      </w:pPr>
      <w:r>
        <w:rPr>
          <w:rFonts w:hint="eastAsia" w:ascii="宋体" w:hAnsi="宋体" w:cs="宋体"/>
          <w:color w:val="000000"/>
          <w:sz w:val="24"/>
          <w:szCs w:val="24"/>
          <w:lang w:eastAsia="zh-CN"/>
        </w:rPr>
        <w:t>2.</w:t>
      </w:r>
      <w:r>
        <w:rPr>
          <w:rFonts w:hint="eastAsia" w:ascii="宋体" w:hAnsi="宋体" w:eastAsia="宋体" w:cs="宋体"/>
          <w:color w:val="000000"/>
          <w:sz w:val="24"/>
          <w:szCs w:val="24"/>
        </w:rPr>
        <w:t>我们同意向贵方提供贵方可能要求的与本次项目采购有关的任何证据或资料，并保证我方已提供和将要提供的文件是真实的、准确的。</w:t>
      </w:r>
    </w:p>
    <w:p w14:paraId="01CDAA79">
      <w:pPr>
        <w:pStyle w:val="252"/>
        <w:pageBreakBefore w:val="0"/>
        <w:spacing w:before="0" w:after="0" w:line="360" w:lineRule="auto"/>
        <w:rPr>
          <w:rFonts w:hint="eastAsia" w:ascii="宋体" w:hAnsi="宋体" w:eastAsia="宋体" w:cs="宋体"/>
          <w:color w:val="000000"/>
          <w:sz w:val="24"/>
          <w:szCs w:val="24"/>
        </w:rPr>
      </w:pPr>
      <w:r>
        <w:rPr>
          <w:rFonts w:hint="eastAsia" w:ascii="宋体" w:hAnsi="宋体" w:cs="宋体"/>
          <w:color w:val="000000"/>
          <w:sz w:val="24"/>
          <w:szCs w:val="24"/>
          <w:lang w:eastAsia="zh-CN"/>
        </w:rPr>
        <w:t>3.</w:t>
      </w:r>
      <w:r>
        <w:rPr>
          <w:rFonts w:hint="eastAsia" w:ascii="宋体" w:hAnsi="宋体" w:eastAsia="宋体" w:cs="宋体"/>
          <w:color w:val="000000"/>
          <w:sz w:val="24"/>
          <w:szCs w:val="24"/>
        </w:rPr>
        <w:t>我们完全理解贵方不一定将合同授予最低报价的供应商。</w:t>
      </w:r>
    </w:p>
    <w:p w14:paraId="6718267A">
      <w:pPr>
        <w:pStyle w:val="252"/>
        <w:pageBreakBefore w:val="0"/>
        <w:spacing w:before="0" w:after="0" w:line="360" w:lineRule="auto"/>
        <w:rPr>
          <w:rFonts w:hint="eastAsia" w:ascii="宋体" w:hAnsi="宋体" w:eastAsia="宋体" w:cs="宋体"/>
          <w:color w:val="000000"/>
          <w:sz w:val="24"/>
          <w:szCs w:val="24"/>
        </w:rPr>
      </w:pPr>
      <w:r>
        <w:rPr>
          <w:rFonts w:hint="eastAsia" w:ascii="宋体" w:hAnsi="宋体" w:cs="宋体"/>
          <w:color w:val="000000"/>
          <w:sz w:val="24"/>
          <w:szCs w:val="24"/>
          <w:lang w:eastAsia="zh-CN"/>
        </w:rPr>
        <w:t>4.</w:t>
      </w:r>
      <w:r>
        <w:rPr>
          <w:rFonts w:hint="eastAsia" w:ascii="宋体" w:hAnsi="宋体" w:eastAsia="宋体" w:cs="宋体"/>
          <w:color w:val="000000"/>
          <w:sz w:val="24"/>
          <w:szCs w:val="24"/>
        </w:rPr>
        <w:t>我们已详细审核全部磋商文件及其有效补充文件，我们知道必须放弃提出含糊不清或误解问题的权利。</w:t>
      </w:r>
    </w:p>
    <w:p w14:paraId="5847ED24">
      <w:pPr>
        <w:pStyle w:val="252"/>
        <w:pageBreakBefore w:val="0"/>
        <w:spacing w:before="0" w:after="0" w:line="360" w:lineRule="auto"/>
        <w:rPr>
          <w:rFonts w:hint="eastAsia" w:ascii="宋体" w:hAnsi="宋体" w:eastAsia="宋体" w:cs="宋体"/>
          <w:color w:val="000000"/>
          <w:sz w:val="24"/>
          <w:szCs w:val="24"/>
        </w:rPr>
      </w:pPr>
      <w:r>
        <w:rPr>
          <w:rFonts w:hint="eastAsia" w:ascii="宋体" w:hAnsi="宋体" w:cs="宋体"/>
          <w:color w:val="000000"/>
          <w:sz w:val="24"/>
          <w:szCs w:val="24"/>
          <w:lang w:eastAsia="zh-CN"/>
        </w:rPr>
        <w:t>5.</w:t>
      </w:r>
      <w:r>
        <w:rPr>
          <w:rFonts w:hint="eastAsia" w:ascii="宋体" w:hAnsi="宋体" w:eastAsia="宋体" w:cs="宋体"/>
          <w:color w:val="000000"/>
          <w:sz w:val="24"/>
          <w:szCs w:val="24"/>
        </w:rPr>
        <w:t>我们同意从规定的开标日期起遵循本响应文件，并在规定的投标有效期期满之前均具有约束力。</w:t>
      </w:r>
    </w:p>
    <w:p w14:paraId="2FE12F2B">
      <w:pPr>
        <w:pStyle w:val="252"/>
        <w:pageBreakBefore w:val="0"/>
        <w:spacing w:before="0" w:after="0" w:line="360" w:lineRule="auto"/>
        <w:rPr>
          <w:rFonts w:hint="eastAsia" w:ascii="宋体" w:hAnsi="宋体" w:eastAsia="宋体" w:cs="宋体"/>
          <w:color w:val="000000"/>
          <w:sz w:val="24"/>
          <w:szCs w:val="24"/>
        </w:rPr>
      </w:pPr>
      <w:r>
        <w:rPr>
          <w:rFonts w:hint="eastAsia" w:ascii="宋体" w:hAnsi="宋体" w:cs="宋体"/>
          <w:color w:val="000000"/>
          <w:sz w:val="24"/>
          <w:szCs w:val="24"/>
          <w:lang w:eastAsia="zh-CN"/>
        </w:rPr>
        <w:t>6.</w:t>
      </w:r>
      <w:r>
        <w:rPr>
          <w:rFonts w:hint="eastAsia" w:ascii="宋体" w:hAnsi="宋体" w:eastAsia="宋体" w:cs="宋体"/>
          <w:color w:val="000000"/>
          <w:sz w:val="24"/>
          <w:szCs w:val="24"/>
        </w:rPr>
        <w:t>如果在开标后规定的投标有效期内撤回响应文件或中标后拒绝签订合同，我方将接受采购人相关处罚。</w:t>
      </w:r>
    </w:p>
    <w:p w14:paraId="17177A41">
      <w:pPr>
        <w:pStyle w:val="252"/>
        <w:pageBreakBefore w:val="0"/>
        <w:spacing w:before="0" w:after="0" w:line="360" w:lineRule="auto"/>
        <w:rPr>
          <w:rFonts w:hint="eastAsia" w:ascii="宋体" w:hAnsi="宋体" w:eastAsia="宋体" w:cs="宋体"/>
          <w:color w:val="000000"/>
          <w:sz w:val="24"/>
          <w:szCs w:val="24"/>
        </w:rPr>
      </w:pPr>
      <w:r>
        <w:rPr>
          <w:rFonts w:hint="eastAsia" w:ascii="宋体" w:hAnsi="宋体" w:cs="宋体"/>
          <w:color w:val="000000"/>
          <w:sz w:val="24"/>
          <w:szCs w:val="24"/>
          <w:lang w:eastAsia="zh-CN"/>
        </w:rPr>
        <w:t>7.</w:t>
      </w:r>
      <w:r>
        <w:rPr>
          <w:rFonts w:hint="eastAsia" w:ascii="宋体" w:hAnsi="宋体" w:eastAsia="宋体" w:cs="宋体"/>
          <w:color w:val="000000"/>
          <w:sz w:val="24"/>
          <w:szCs w:val="24"/>
        </w:rPr>
        <w:t>一旦我方成交，我方将根据磋商文件的规定，严格履行合同的责任和义务，并保证在承诺的时间内完成项目，交付买方验收、使用。</w:t>
      </w:r>
    </w:p>
    <w:p w14:paraId="298F2D2E">
      <w:pPr>
        <w:pStyle w:val="252"/>
        <w:pageBreakBefore w:val="0"/>
        <w:spacing w:before="0" w:after="0" w:line="360" w:lineRule="auto"/>
        <w:rPr>
          <w:rFonts w:hint="eastAsia" w:ascii="宋体" w:hAnsi="宋体" w:eastAsia="宋体" w:cs="宋体"/>
          <w:color w:val="000000"/>
          <w:sz w:val="24"/>
          <w:szCs w:val="24"/>
        </w:rPr>
      </w:pPr>
      <w:r>
        <w:rPr>
          <w:rFonts w:hint="eastAsia" w:ascii="宋体" w:hAnsi="宋体" w:cs="宋体"/>
          <w:color w:val="000000"/>
          <w:sz w:val="24"/>
          <w:szCs w:val="24"/>
          <w:lang w:eastAsia="zh-CN"/>
        </w:rPr>
        <w:t>8.</w:t>
      </w:r>
      <w:r>
        <w:rPr>
          <w:rFonts w:hint="eastAsia" w:ascii="宋体" w:hAnsi="宋体" w:eastAsia="宋体" w:cs="宋体"/>
          <w:color w:val="000000"/>
          <w:sz w:val="24"/>
          <w:szCs w:val="24"/>
        </w:rPr>
        <w:t>与本次磋商有关的正式通讯地址为：</w:t>
      </w:r>
    </w:p>
    <w:p w14:paraId="2E5CD207">
      <w:pPr>
        <w:pStyle w:val="252"/>
        <w:pageBreakBefore w:val="0"/>
        <w:spacing w:before="0" w:after="0" w:line="360" w:lineRule="auto"/>
        <w:rPr>
          <w:rFonts w:hint="eastAsia" w:ascii="宋体" w:hAnsi="宋体" w:eastAsia="宋体" w:cs="宋体"/>
          <w:color w:val="000000"/>
          <w:sz w:val="24"/>
          <w:szCs w:val="24"/>
          <w:u w:val="single"/>
        </w:rPr>
      </w:pPr>
      <w:r>
        <w:rPr>
          <w:rFonts w:hint="eastAsia" w:ascii="宋体" w:hAnsi="宋体" w:eastAsia="宋体" w:cs="宋体"/>
          <w:color w:val="000000"/>
          <w:sz w:val="24"/>
          <w:szCs w:val="24"/>
        </w:rPr>
        <w:t>地        址：</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电        话：</w:t>
      </w:r>
      <w:r>
        <w:rPr>
          <w:rFonts w:hint="eastAsia" w:ascii="宋体" w:hAnsi="宋体" w:eastAsia="宋体" w:cs="宋体"/>
          <w:color w:val="000000"/>
          <w:sz w:val="24"/>
          <w:szCs w:val="24"/>
          <w:u w:val="single"/>
        </w:rPr>
        <w:t xml:space="preserve">                  </w:t>
      </w:r>
    </w:p>
    <w:p w14:paraId="52C4B62A">
      <w:pPr>
        <w:pStyle w:val="252"/>
        <w:pageBreakBefore w:val="0"/>
        <w:spacing w:before="0" w:after="0"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传        真：</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邮        箱： </w:t>
      </w:r>
      <w:r>
        <w:rPr>
          <w:rFonts w:hint="eastAsia" w:ascii="宋体" w:hAnsi="宋体" w:eastAsia="宋体" w:cs="宋体"/>
          <w:color w:val="000000"/>
          <w:sz w:val="24"/>
          <w:szCs w:val="24"/>
          <w:u w:val="single"/>
        </w:rPr>
        <w:t xml:space="preserve">                 </w:t>
      </w:r>
    </w:p>
    <w:p w14:paraId="1F180233">
      <w:pPr>
        <w:pStyle w:val="252"/>
        <w:pageBreakBefore w:val="0"/>
        <w:spacing w:before="0" w:after="0"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供应商开户行：</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lang w:val="en-US" w:eastAsia="zh-CN"/>
        </w:rPr>
        <w:t>账</w:t>
      </w:r>
      <w:r>
        <w:rPr>
          <w:rFonts w:hint="eastAsia" w:ascii="宋体" w:hAnsi="宋体" w:eastAsia="宋体" w:cs="宋体"/>
          <w:color w:val="000000"/>
          <w:sz w:val="24"/>
          <w:szCs w:val="24"/>
        </w:rPr>
        <w:t xml:space="preserve">        户：</w:t>
      </w:r>
      <w:r>
        <w:rPr>
          <w:rFonts w:hint="eastAsia" w:ascii="宋体" w:hAnsi="宋体" w:eastAsia="宋体" w:cs="宋体"/>
          <w:color w:val="000000"/>
          <w:sz w:val="24"/>
          <w:szCs w:val="24"/>
          <w:u w:val="single"/>
        </w:rPr>
        <w:t xml:space="preserve">                  </w:t>
      </w:r>
    </w:p>
    <w:p w14:paraId="2BB3ED7C">
      <w:pPr>
        <w:pStyle w:val="252"/>
        <w:pageBreakBefore w:val="0"/>
        <w:spacing w:before="0" w:after="0"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法定代表人或授权代表（签字或盖章）：</w:t>
      </w:r>
      <w:r>
        <w:rPr>
          <w:rFonts w:hint="eastAsia" w:ascii="宋体" w:hAnsi="宋体" w:eastAsia="宋体" w:cs="宋体"/>
          <w:color w:val="000000"/>
          <w:sz w:val="24"/>
          <w:szCs w:val="24"/>
          <w:u w:val="single"/>
        </w:rPr>
        <w:t xml:space="preserve">               </w:t>
      </w:r>
    </w:p>
    <w:p w14:paraId="0D0A6F17">
      <w:pPr>
        <w:pStyle w:val="252"/>
        <w:pageBreakBefore w:val="0"/>
        <w:spacing w:before="0" w:after="0"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供应商名称（加盖CA电子公章）：</w:t>
      </w:r>
      <w:r>
        <w:rPr>
          <w:rFonts w:hint="eastAsia" w:ascii="宋体" w:hAnsi="宋体" w:eastAsia="宋体" w:cs="宋体"/>
          <w:color w:val="000000"/>
          <w:sz w:val="24"/>
          <w:szCs w:val="24"/>
          <w:u w:val="single"/>
        </w:rPr>
        <w:t xml:space="preserve">                         </w:t>
      </w:r>
    </w:p>
    <w:p w14:paraId="5DC112C0">
      <w:pPr>
        <w:pageBreakBefore w:val="0"/>
        <w:spacing w:line="360" w:lineRule="auto"/>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日        期：       年    月    日</w:t>
      </w:r>
    </w:p>
    <w:p w14:paraId="109B0C28">
      <w:pPr>
        <w:rPr>
          <w:rFonts w:hint="eastAsia" w:ascii="宋体" w:hAnsi="宋体" w:eastAsia="宋体" w:cs="宋体"/>
          <w:color w:val="auto"/>
          <w:highlight w:val="none"/>
        </w:rPr>
      </w:pPr>
    </w:p>
    <w:p w14:paraId="27E0EC1E">
      <w:pPr>
        <w:rPr>
          <w:rFonts w:hint="eastAsia" w:ascii="宋体" w:hAnsi="宋体" w:eastAsia="宋体" w:cs="宋体"/>
          <w:color w:val="auto"/>
          <w:highlight w:val="none"/>
        </w:rPr>
      </w:pPr>
    </w:p>
    <w:p w14:paraId="3A3F07F0">
      <w:pPr>
        <w:rPr>
          <w:rFonts w:hint="eastAsia" w:ascii="宋体" w:hAnsi="宋体" w:eastAsia="宋体" w:cs="宋体"/>
          <w:color w:val="auto"/>
          <w:highlight w:val="none"/>
        </w:rPr>
      </w:pPr>
    </w:p>
    <w:p w14:paraId="3A367E26">
      <w:pPr>
        <w:rPr>
          <w:rFonts w:hint="eastAsia" w:ascii="宋体" w:hAnsi="宋体" w:eastAsia="宋体" w:cs="宋体"/>
          <w:color w:val="auto"/>
          <w:highlight w:val="none"/>
        </w:rPr>
      </w:pPr>
    </w:p>
    <w:p w14:paraId="2222BEEA">
      <w:pPr>
        <w:rPr>
          <w:rFonts w:hint="eastAsia" w:ascii="宋体" w:hAnsi="宋体" w:eastAsia="宋体" w:cs="宋体"/>
          <w:color w:val="auto"/>
          <w:highlight w:val="none"/>
        </w:rPr>
      </w:pPr>
    </w:p>
    <w:p w14:paraId="7A330DC9">
      <w:pPr>
        <w:pStyle w:val="3"/>
        <w:keepLines w:val="0"/>
        <w:pageBreakBefore w:val="0"/>
        <w:widowControl/>
        <w:spacing w:before="0" w:beforeAutospacing="0" w:after="0" w:afterAutospacing="0" w:line="360" w:lineRule="auto"/>
        <w:jc w:val="center"/>
        <w:rPr>
          <w:rFonts w:hint="eastAsia" w:ascii="宋体" w:hAnsi="宋体" w:eastAsia="宋体" w:cs="宋体"/>
          <w:sz w:val="30"/>
          <w:szCs w:val="30"/>
        </w:rPr>
      </w:pPr>
      <w:r>
        <w:rPr>
          <w:rFonts w:hint="eastAsia" w:ascii="宋体" w:hAnsi="宋体" w:eastAsia="宋体" w:cs="宋体"/>
          <w:b/>
          <w:bCs/>
          <w:color w:val="000000"/>
          <w:sz w:val="30"/>
          <w:szCs w:val="30"/>
        </w:rPr>
        <w:t>二、</w:t>
      </w:r>
      <w:r>
        <w:rPr>
          <w:rStyle w:val="39"/>
          <w:rFonts w:hint="eastAsia" w:ascii="宋体" w:hAnsi="宋体" w:eastAsia="宋体" w:cs="宋体"/>
          <w:b/>
          <w:bCs w:val="0"/>
          <w:sz w:val="30"/>
          <w:szCs w:val="30"/>
        </w:rPr>
        <w:t>磋商报价表</w:t>
      </w:r>
    </w:p>
    <w:p w14:paraId="4F2E2CC0">
      <w:pPr>
        <w:pStyle w:val="33"/>
        <w:keepLines w:val="0"/>
        <w:pageBreakBefore w:val="0"/>
        <w:widowControl/>
        <w:spacing w:before="0" w:beforeAutospacing="0" w:after="0" w:afterAutospacing="0" w:line="360" w:lineRule="auto"/>
        <w:rPr>
          <w:rFonts w:hint="eastAsia" w:ascii="宋体" w:hAnsi="宋体" w:eastAsia="宋体" w:cs="宋体"/>
          <w:sz w:val="24"/>
          <w:szCs w:val="24"/>
        </w:rPr>
      </w:pPr>
      <w:r>
        <w:rPr>
          <w:rFonts w:hint="eastAsia" w:ascii="宋体" w:hAnsi="宋体" w:eastAsia="宋体" w:cs="宋体"/>
          <w:sz w:val="24"/>
          <w:szCs w:val="24"/>
        </w:rPr>
        <w:t>本次为首次价                   货币单位：人民币元</w:t>
      </w:r>
    </w:p>
    <w:p w14:paraId="76E64805">
      <w:pPr>
        <w:pStyle w:val="33"/>
        <w:keepLines w:val="0"/>
        <w:pageBreakBefore w:val="0"/>
        <w:widowControl/>
        <w:spacing w:before="0" w:beforeAutospacing="0" w:after="0" w:afterAutospacing="0" w:line="360" w:lineRule="auto"/>
        <w:rPr>
          <w:rFonts w:hint="eastAsia" w:ascii="宋体" w:hAnsi="宋体" w:eastAsia="宋体" w:cs="宋体"/>
          <w:sz w:val="24"/>
          <w:szCs w:val="24"/>
        </w:rPr>
      </w:pPr>
      <w:r>
        <w:rPr>
          <w:rFonts w:hint="eastAsia" w:ascii="宋体" w:hAnsi="宋体" w:eastAsia="宋体" w:cs="宋体"/>
          <w:sz w:val="24"/>
          <w:szCs w:val="24"/>
        </w:rPr>
        <w:t>项目编号：  </w:t>
      </w:r>
    </w:p>
    <w:tbl>
      <w:tblPr>
        <w:tblStyle w:val="36"/>
        <w:tblW w:w="0" w:type="auto"/>
        <w:tblCellSpacing w:w="15"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15" w:type="dxa"/>
          <w:left w:w="15" w:type="dxa"/>
          <w:bottom w:w="15" w:type="dxa"/>
          <w:right w:w="15" w:type="dxa"/>
        </w:tblCellMar>
      </w:tblPr>
      <w:tblGrid>
        <w:gridCol w:w="2586"/>
        <w:gridCol w:w="2433"/>
        <w:gridCol w:w="3948"/>
      </w:tblGrid>
      <w:tr w14:paraId="7145F0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15" w:type="dxa"/>
        </w:trPr>
        <w:tc>
          <w:tcPr>
            <w:tcW w:w="3330" w:type="dxa"/>
            <w:noWrap w:val="0"/>
            <w:vAlign w:val="center"/>
          </w:tcPr>
          <w:p w14:paraId="199491C3">
            <w:pPr>
              <w:pStyle w:val="33"/>
              <w:keepLines w:val="0"/>
              <w:pageBreakBefore w:val="0"/>
              <w:widowControl/>
              <w:spacing w:before="0" w:beforeAutospacing="0" w:after="0" w:afterAutospacing="0" w:line="360" w:lineRule="auto"/>
              <w:rPr>
                <w:rFonts w:hint="eastAsia" w:ascii="宋体" w:hAnsi="宋体" w:eastAsia="宋体" w:cs="宋体"/>
                <w:sz w:val="24"/>
                <w:szCs w:val="24"/>
              </w:rPr>
            </w:pPr>
            <w:r>
              <w:rPr>
                <w:rFonts w:hint="eastAsia" w:ascii="宋体" w:hAnsi="宋体" w:eastAsia="宋体" w:cs="宋体"/>
                <w:sz w:val="24"/>
                <w:szCs w:val="24"/>
              </w:rPr>
              <w:t>项目名称</w:t>
            </w:r>
          </w:p>
        </w:tc>
        <w:tc>
          <w:tcPr>
            <w:tcW w:w="3345" w:type="dxa"/>
            <w:noWrap w:val="0"/>
            <w:vAlign w:val="center"/>
          </w:tcPr>
          <w:p w14:paraId="54696D3E">
            <w:pPr>
              <w:pStyle w:val="33"/>
              <w:keepLines w:val="0"/>
              <w:pageBreakBefore w:val="0"/>
              <w:widowControl/>
              <w:spacing w:before="0" w:beforeAutospacing="0" w:after="0" w:afterAutospacing="0" w:line="360" w:lineRule="auto"/>
              <w:rPr>
                <w:rFonts w:hint="eastAsia" w:ascii="宋体" w:hAnsi="宋体" w:eastAsia="宋体" w:cs="宋体"/>
                <w:sz w:val="24"/>
                <w:szCs w:val="24"/>
              </w:rPr>
            </w:pPr>
            <w:r>
              <w:rPr>
                <w:rFonts w:hint="eastAsia" w:ascii="宋体" w:hAnsi="宋体" w:eastAsia="宋体" w:cs="宋体"/>
                <w:sz w:val="24"/>
                <w:szCs w:val="24"/>
              </w:rPr>
              <w:t>项目内容</w:t>
            </w:r>
          </w:p>
        </w:tc>
        <w:tc>
          <w:tcPr>
            <w:tcW w:w="4980" w:type="dxa"/>
            <w:noWrap w:val="0"/>
            <w:vAlign w:val="center"/>
          </w:tcPr>
          <w:p w14:paraId="74DADDCA">
            <w:pPr>
              <w:pStyle w:val="33"/>
              <w:keepLines w:val="0"/>
              <w:pageBreakBefore w:val="0"/>
              <w:widowControl/>
              <w:spacing w:before="0" w:beforeAutospacing="0" w:after="0" w:afterAutospacing="0" w:line="360" w:lineRule="auto"/>
              <w:rPr>
                <w:rFonts w:hint="eastAsia" w:ascii="宋体" w:hAnsi="宋体" w:eastAsia="宋体" w:cs="宋体"/>
                <w:sz w:val="24"/>
                <w:szCs w:val="24"/>
              </w:rPr>
            </w:pPr>
            <w:r>
              <w:rPr>
                <w:rFonts w:hint="eastAsia" w:ascii="宋体" w:hAnsi="宋体" w:eastAsia="宋体" w:cs="宋体"/>
                <w:sz w:val="24"/>
                <w:szCs w:val="24"/>
              </w:rPr>
              <w:t>总价（小写）</w:t>
            </w:r>
          </w:p>
        </w:tc>
      </w:tr>
      <w:tr w14:paraId="3BB94A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15" w:type="dxa"/>
        </w:trPr>
        <w:tc>
          <w:tcPr>
            <w:tcW w:w="3330" w:type="dxa"/>
            <w:noWrap w:val="0"/>
            <w:vAlign w:val="center"/>
          </w:tcPr>
          <w:p w14:paraId="320FAF61">
            <w:pPr>
              <w:pStyle w:val="33"/>
              <w:keepLines w:val="0"/>
              <w:pageBreakBefore w:val="0"/>
              <w:widowControl/>
              <w:spacing w:before="0" w:beforeAutospacing="0" w:after="0" w:afterAutospacing="0" w:line="360" w:lineRule="auto"/>
              <w:rPr>
                <w:rFonts w:hint="eastAsia" w:ascii="宋体" w:hAnsi="宋体" w:eastAsia="宋体" w:cs="宋体"/>
                <w:sz w:val="24"/>
                <w:szCs w:val="24"/>
              </w:rPr>
            </w:pPr>
            <w:r>
              <w:rPr>
                <w:rFonts w:hint="eastAsia" w:ascii="宋体" w:hAnsi="宋体" w:eastAsia="宋体" w:cs="宋体"/>
                <w:sz w:val="24"/>
                <w:szCs w:val="24"/>
              </w:rPr>
              <w:t>项目名称 </w:t>
            </w:r>
          </w:p>
        </w:tc>
        <w:tc>
          <w:tcPr>
            <w:tcW w:w="3345" w:type="dxa"/>
            <w:noWrap w:val="0"/>
            <w:vAlign w:val="center"/>
          </w:tcPr>
          <w:p w14:paraId="7C1CA8C3">
            <w:pPr>
              <w:pStyle w:val="33"/>
              <w:keepLines w:val="0"/>
              <w:pageBreakBefore w:val="0"/>
              <w:widowControl/>
              <w:spacing w:before="0" w:beforeAutospacing="0" w:after="0" w:afterAutospacing="0" w:line="360" w:lineRule="auto"/>
              <w:rPr>
                <w:rFonts w:hint="eastAsia" w:ascii="宋体" w:hAnsi="宋体" w:eastAsia="宋体" w:cs="宋体"/>
                <w:sz w:val="24"/>
                <w:szCs w:val="24"/>
              </w:rPr>
            </w:pPr>
            <w:r>
              <w:rPr>
                <w:rFonts w:hint="eastAsia" w:ascii="宋体" w:hAnsi="宋体" w:eastAsia="宋体" w:cs="宋体"/>
                <w:sz w:val="24"/>
                <w:szCs w:val="24"/>
              </w:rPr>
              <w:t>详见响应文件</w:t>
            </w:r>
          </w:p>
        </w:tc>
        <w:tc>
          <w:tcPr>
            <w:tcW w:w="4980" w:type="dxa"/>
            <w:noWrap w:val="0"/>
            <w:vAlign w:val="center"/>
          </w:tcPr>
          <w:p w14:paraId="7C1651EE">
            <w:pPr>
              <w:pStyle w:val="33"/>
              <w:keepLines w:val="0"/>
              <w:pageBreakBefore w:val="0"/>
              <w:widowControl/>
              <w:spacing w:before="0" w:beforeAutospacing="0" w:after="0" w:afterAutospacing="0" w:line="360" w:lineRule="auto"/>
              <w:rPr>
                <w:rFonts w:hint="eastAsia" w:ascii="宋体" w:hAnsi="宋体" w:eastAsia="宋体" w:cs="宋体"/>
                <w:sz w:val="24"/>
                <w:szCs w:val="24"/>
              </w:rPr>
            </w:pPr>
            <w:r>
              <w:rPr>
                <w:rFonts w:hint="eastAsia" w:ascii="宋体" w:hAnsi="宋体" w:eastAsia="宋体" w:cs="宋体"/>
                <w:sz w:val="24"/>
                <w:szCs w:val="24"/>
              </w:rPr>
              <w:t> </w:t>
            </w:r>
            <w:r>
              <w:rPr>
                <w:rFonts w:hint="eastAsia" w:ascii="宋体" w:hAnsi="宋体" w:eastAsia="宋体" w:cs="宋体"/>
                <w:sz w:val="24"/>
                <w:szCs w:val="24"/>
              </w:rPr>
              <mc:AlternateContent>
                <mc:Choice Requires="wps">
                  <w:drawing>
                    <wp:anchor distT="0" distB="0" distL="114300" distR="114300" simplePos="0" relativeHeight="251662336" behindDoc="0" locked="0" layoutInCell="0" allowOverlap="1">
                      <wp:simplePos x="0" y="0"/>
                      <wp:positionH relativeFrom="column">
                        <wp:posOffset>0</wp:posOffset>
                      </wp:positionH>
                      <wp:positionV relativeFrom="paragraph">
                        <wp:posOffset>0</wp:posOffset>
                      </wp:positionV>
                      <wp:extent cx="635" cy="0"/>
                      <wp:effectExtent l="0" t="0" r="0" b="0"/>
                      <wp:wrapNone/>
                      <wp:docPr id="8" name="矩形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635" cy="0"/>
                              </a:xfrm>
                              <a:prstGeom prst="rect">
                                <a:avLst/>
                              </a:prstGeom>
                              <a:noFill/>
                              <a:ln>
                                <a:noFill/>
                              </a:ln>
                            </wps:spPr>
                            <wps:bodyPr rot="0">
                              <a:noAutofit/>
                            </wps:bodyPr>
                          </wps:wsp>
                        </a:graphicData>
                      </a:graphic>
                    </wp:anchor>
                  </w:drawing>
                </mc:Choice>
                <mc:Fallback>
                  <w:pict>
                    <v:rect id="矩形 10" o:spid="_x0000_s1026" o:spt="1" style="position:absolute;left:0pt;margin-left:0pt;margin-top:0pt;height:0pt;width:0.05pt;z-index:251662336;mso-width-relative:page;mso-height-relative:page;" filled="f" stroked="f" coordsize="21600,21600" o:allowincell="f"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D4cJf3PAAAA/wAAAA8AAAAAAAAAAQAgAAAAIgAAAGRycy9kb3ducmV2LnhtbFBLAQIUABQAAAAI&#10;AIdO4kBuDOSrvQEAAH4DAAAOAAAAAAAAAAEAIAAAAB4BAABkcnMvZTJvRG9jLnhtbFBLBQYAAAAA&#10;BgAGAFkBAABNBQAAAAA=&#10;">
                      <v:fill on="f" focussize="0,0"/>
                      <v:stroke on="f"/>
                      <v:imagedata o:title=""/>
                      <o:lock v:ext="edit" aspectratio="t"/>
                    </v:rect>
                  </w:pict>
                </mc:Fallback>
              </mc:AlternateContent>
            </w:r>
            <w:r>
              <w:rPr>
                <w:rFonts w:hint="eastAsia" w:ascii="宋体" w:hAnsi="宋体" w:eastAsia="宋体" w:cs="宋体"/>
                <w:sz w:val="24"/>
                <w:szCs w:val="24"/>
              </w:rPr>
              <mc:AlternateContent>
                <mc:Choice Requires="wps">
                  <w:drawing>
                    <wp:inline distT="0" distB="0" distL="0" distR="0">
                      <wp:extent cx="635" cy="0"/>
                      <wp:effectExtent l="0" t="0" r="0" b="0"/>
                      <wp:docPr id="9" name="矩形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635" cy="0"/>
                              </a:xfrm>
                              <a:prstGeom prst="rect">
                                <a:avLst/>
                              </a:prstGeom>
                              <a:noFill/>
                              <a:ln>
                                <a:noFill/>
                              </a:ln>
                            </wps:spPr>
                            <wps:bodyPr rot="0">
                              <a:noAutofit/>
                            </wps:bodyPr>
                          </wps:wsp>
                        </a:graphicData>
                      </a:graphic>
                    </wp:inline>
                  </w:drawing>
                </mc:Choice>
                <mc:Fallback>
                  <w:pict>
                    <v:rect id="矩形 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D4cJf3PAAAA/wAAAA8AAAAAAAAAAQAgAAAAIgAAAGRycy9kb3ducmV2LnhtbFBLAQIUABQAAAAI&#10;AIdO4kDzE3oxvQEAAH0DAAAOAAAAAAAAAAEAIAAAAB4BAABkcnMvZTJvRG9jLnhtbFBLBQYAAAAA&#10;BgAGAFkBAABNBQAAAAA=&#10;">
                      <v:fill on="f" focussize="0,0"/>
                      <v:stroke on="f"/>
                      <v:imagedata o:title=""/>
                      <o:lock v:ext="edit" aspectratio="t"/>
                      <w10:wrap type="none"/>
                      <w10:anchorlock/>
                    </v:rect>
                  </w:pict>
                </mc:Fallback>
              </mc:AlternateContent>
            </w:r>
            <w:r>
              <w:rPr>
                <w:rFonts w:hint="eastAsia" w:ascii="宋体" w:hAnsi="宋体" w:eastAsia="宋体" w:cs="宋体"/>
                <w:sz w:val="24"/>
                <w:szCs w:val="24"/>
              </w:rPr>
              <w:t xml:space="preserve">  </w:t>
            </w:r>
            <w:r>
              <w:rPr>
                <w:rFonts w:hint="eastAsia" w:cs="宋体"/>
                <w:sz w:val="24"/>
                <w:szCs w:val="24"/>
                <w:lang w:val="en-US" w:eastAsia="zh-CN"/>
              </w:rPr>
              <w:t xml:space="preserve">     </w:t>
            </w:r>
            <w:r>
              <w:rPr>
                <w:rFonts w:hint="eastAsia" w:ascii="宋体" w:hAnsi="宋体" w:eastAsia="宋体" w:cs="宋体"/>
                <w:sz w:val="24"/>
                <w:szCs w:val="24"/>
              </w:rPr>
              <w:t>元</w:t>
            </w:r>
          </w:p>
        </w:tc>
      </w:tr>
      <w:tr w14:paraId="091494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15" w:type="dxa"/>
        </w:trPr>
        <w:tc>
          <w:tcPr>
            <w:tcW w:w="3330" w:type="dxa"/>
            <w:noWrap w:val="0"/>
            <w:vAlign w:val="center"/>
          </w:tcPr>
          <w:p w14:paraId="7D4702A3">
            <w:pPr>
              <w:pStyle w:val="33"/>
              <w:keepLines w:val="0"/>
              <w:pageBreakBefore w:val="0"/>
              <w:widowControl/>
              <w:spacing w:before="0" w:beforeAutospacing="0" w:after="0" w:afterAutospacing="0" w:line="360" w:lineRule="auto"/>
              <w:rPr>
                <w:rFonts w:hint="eastAsia" w:ascii="宋体" w:hAnsi="宋体" w:eastAsia="宋体" w:cs="宋体"/>
                <w:sz w:val="24"/>
                <w:szCs w:val="24"/>
              </w:rPr>
            </w:pPr>
            <w:r>
              <w:rPr>
                <w:rFonts w:hint="eastAsia" w:ascii="宋体" w:hAnsi="宋体" w:eastAsia="宋体" w:cs="宋体"/>
                <w:sz w:val="24"/>
                <w:szCs w:val="24"/>
              </w:rPr>
              <w:t>总价（大写）：</w:t>
            </w:r>
          </w:p>
        </w:tc>
        <w:tc>
          <w:tcPr>
            <w:tcW w:w="8340" w:type="dxa"/>
            <w:gridSpan w:val="2"/>
            <w:noWrap w:val="0"/>
            <w:vAlign w:val="center"/>
          </w:tcPr>
          <w:p w14:paraId="1F272960">
            <w:pPr>
              <w:pStyle w:val="33"/>
              <w:keepLines w:val="0"/>
              <w:pageBreakBefore w:val="0"/>
              <w:widowControl/>
              <w:spacing w:before="0" w:beforeAutospacing="0" w:after="0" w:afterAutospacing="0" w:line="360" w:lineRule="auto"/>
              <w:rPr>
                <w:rFonts w:hint="eastAsia" w:ascii="宋体" w:hAnsi="宋体" w:eastAsia="宋体" w:cs="宋体"/>
                <w:sz w:val="24"/>
                <w:szCs w:val="24"/>
              </w:rPr>
            </w:pPr>
            <w:r>
              <w:rPr>
                <w:rFonts w:hint="eastAsia" w:ascii="宋体" w:hAnsi="宋体" w:eastAsia="宋体" w:cs="宋体"/>
                <w:sz w:val="24"/>
                <w:szCs w:val="24"/>
              </w:rPr>
              <w:t>金额大写 </w:t>
            </w:r>
          </w:p>
        </w:tc>
      </w:tr>
    </w:tbl>
    <w:p w14:paraId="13B582B1">
      <w:pPr>
        <w:pStyle w:val="33"/>
        <w:keepLines w:val="0"/>
        <w:pageBreakBefore w:val="0"/>
        <w:widowControl/>
        <w:spacing w:before="0" w:beforeAutospacing="0" w:after="0" w:afterAutospacing="0" w:line="360" w:lineRule="auto"/>
        <w:rPr>
          <w:rFonts w:hint="eastAsia" w:ascii="宋体" w:hAnsi="宋体" w:eastAsia="宋体" w:cs="宋体"/>
          <w:sz w:val="24"/>
          <w:szCs w:val="24"/>
        </w:rPr>
      </w:pPr>
      <w:r>
        <w:rPr>
          <w:rFonts w:hint="eastAsia" w:ascii="宋体" w:hAnsi="宋体" w:eastAsia="宋体" w:cs="宋体"/>
          <w:sz w:val="24"/>
          <w:szCs w:val="24"/>
        </w:rPr>
        <w:t>报价说明：</w:t>
      </w:r>
    </w:p>
    <w:p w14:paraId="40B9AC43">
      <w:pPr>
        <w:pStyle w:val="33"/>
        <w:keepLines w:val="0"/>
        <w:pageBreakBefore w:val="0"/>
        <w:widowControl/>
        <w:spacing w:before="0" w:beforeAutospacing="0" w:after="0" w:afterAutospacing="0" w:line="360" w:lineRule="auto"/>
        <w:rPr>
          <w:rFonts w:hint="eastAsia" w:ascii="宋体" w:hAnsi="宋体" w:eastAsia="宋体" w:cs="宋体"/>
          <w:sz w:val="24"/>
          <w:szCs w:val="24"/>
        </w:rPr>
      </w:pPr>
      <w:r>
        <w:rPr>
          <w:rFonts w:hint="eastAsia" w:cs="宋体"/>
          <w:sz w:val="24"/>
          <w:szCs w:val="24"/>
          <w:lang w:eastAsia="zh-CN"/>
        </w:rPr>
        <w:t>1.</w:t>
      </w:r>
      <w:r>
        <w:rPr>
          <w:rFonts w:hint="eastAsia" w:ascii="宋体" w:hAnsi="宋体" w:eastAsia="宋体" w:cs="宋体"/>
          <w:sz w:val="24"/>
          <w:szCs w:val="24"/>
        </w:rPr>
        <w:t>报价包括完成项目的所有费用。采购人不再支付报价以外的任何费用。</w:t>
      </w:r>
    </w:p>
    <w:p w14:paraId="53689988">
      <w:pPr>
        <w:pStyle w:val="33"/>
        <w:keepLines w:val="0"/>
        <w:pageBreakBefore w:val="0"/>
        <w:widowControl/>
        <w:spacing w:before="0" w:beforeAutospacing="0" w:after="0" w:afterAutospacing="0" w:line="360" w:lineRule="auto"/>
        <w:rPr>
          <w:rFonts w:hint="eastAsia" w:ascii="宋体" w:hAnsi="宋体" w:eastAsia="宋体" w:cs="宋体"/>
          <w:sz w:val="24"/>
          <w:szCs w:val="24"/>
        </w:rPr>
      </w:pPr>
      <w:r>
        <w:rPr>
          <w:rFonts w:hint="eastAsia" w:cs="宋体"/>
          <w:sz w:val="24"/>
          <w:szCs w:val="24"/>
          <w:lang w:eastAsia="zh-CN"/>
        </w:rPr>
        <w:t>2.</w:t>
      </w:r>
      <w:r>
        <w:rPr>
          <w:rFonts w:hint="eastAsia" w:ascii="宋体" w:hAnsi="宋体" w:eastAsia="宋体" w:cs="宋体"/>
          <w:sz w:val="24"/>
          <w:szCs w:val="24"/>
        </w:rPr>
        <w:t>报价以总价为准，大小写不一致以大写为准；</w:t>
      </w:r>
    </w:p>
    <w:p w14:paraId="0BF41978">
      <w:pPr>
        <w:pStyle w:val="33"/>
        <w:keepLines w:val="0"/>
        <w:pageBreakBefore w:val="0"/>
        <w:widowControl/>
        <w:spacing w:before="0" w:beforeAutospacing="0" w:after="0" w:afterAutospacing="0" w:line="360" w:lineRule="auto"/>
        <w:rPr>
          <w:rFonts w:hint="eastAsia" w:ascii="宋体" w:hAnsi="宋体" w:eastAsia="宋体" w:cs="宋体"/>
          <w:sz w:val="24"/>
          <w:szCs w:val="24"/>
        </w:rPr>
      </w:pPr>
      <w:r>
        <w:rPr>
          <w:rFonts w:hint="eastAsia" w:cs="宋体"/>
          <w:sz w:val="24"/>
          <w:szCs w:val="24"/>
          <w:lang w:eastAsia="zh-CN"/>
        </w:rPr>
        <w:t>3.</w:t>
      </w:r>
      <w:r>
        <w:rPr>
          <w:rFonts w:hint="eastAsia" w:ascii="宋体" w:hAnsi="宋体" w:eastAsia="宋体" w:cs="宋体"/>
          <w:sz w:val="24"/>
          <w:szCs w:val="24"/>
        </w:rPr>
        <w:t>偏离说明：详见《偏离表》；</w:t>
      </w:r>
    </w:p>
    <w:p w14:paraId="548EB170">
      <w:pPr>
        <w:pStyle w:val="33"/>
        <w:keepLines w:val="0"/>
        <w:pageBreakBefore w:val="0"/>
        <w:widowControl/>
        <w:spacing w:before="0" w:beforeAutospacing="0" w:after="0" w:afterAutospacing="0" w:line="360" w:lineRule="auto"/>
        <w:rPr>
          <w:rFonts w:hint="eastAsia" w:ascii="宋体" w:hAnsi="宋体" w:eastAsia="宋体" w:cs="宋体"/>
          <w:sz w:val="24"/>
          <w:szCs w:val="24"/>
        </w:rPr>
      </w:pPr>
      <w:r>
        <w:rPr>
          <w:rFonts w:hint="eastAsia" w:cs="宋体"/>
          <w:sz w:val="24"/>
          <w:szCs w:val="24"/>
          <w:lang w:eastAsia="zh-CN"/>
        </w:rPr>
        <w:t>4.</w:t>
      </w:r>
      <w:r>
        <w:rPr>
          <w:rFonts w:hint="eastAsia" w:ascii="宋体" w:hAnsi="宋体" w:eastAsia="宋体" w:cs="宋体"/>
          <w:sz w:val="24"/>
          <w:szCs w:val="24"/>
        </w:rPr>
        <w:t>如最后报价未列明单价，则最后所报各项单价计算方法为：（最后报价/ 最初报价）* 各项最初报价的单价。</w:t>
      </w:r>
    </w:p>
    <w:p w14:paraId="755B474C">
      <w:pPr>
        <w:pStyle w:val="33"/>
        <w:keepLines w:val="0"/>
        <w:pageBreakBefore w:val="0"/>
        <w:widowControl/>
        <w:spacing w:before="0" w:beforeAutospacing="0" w:after="0" w:afterAutospacing="0" w:line="360" w:lineRule="auto"/>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color w:val="000000"/>
          <w:sz w:val="24"/>
          <w:szCs w:val="24"/>
        </w:rPr>
        <w:t>加盖CA电子公章</w:t>
      </w:r>
      <w:r>
        <w:rPr>
          <w:rFonts w:hint="eastAsia" w:ascii="宋体" w:hAnsi="宋体" w:eastAsia="宋体" w:cs="宋体"/>
          <w:sz w:val="24"/>
          <w:szCs w:val="24"/>
        </w:rPr>
        <w:t>）：</w:t>
      </w:r>
    </w:p>
    <w:p w14:paraId="7A12442E">
      <w:pPr>
        <w:pStyle w:val="33"/>
        <w:keepLines w:val="0"/>
        <w:pageBreakBefore w:val="0"/>
        <w:widowControl/>
        <w:spacing w:before="0" w:beforeAutospacing="0" w:after="0" w:afterAutospacing="0" w:line="360" w:lineRule="auto"/>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rPr>
        <mc:AlternateContent>
          <mc:Choice Requires="wps">
            <w:drawing>
              <wp:anchor distT="0" distB="0" distL="114300" distR="114300" simplePos="0" relativeHeight="251663360" behindDoc="0" locked="0" layoutInCell="0" allowOverlap="1">
                <wp:simplePos x="0" y="0"/>
                <wp:positionH relativeFrom="column">
                  <wp:posOffset>0</wp:posOffset>
                </wp:positionH>
                <wp:positionV relativeFrom="paragraph">
                  <wp:posOffset>0</wp:posOffset>
                </wp:positionV>
                <wp:extent cx="635" cy="0"/>
                <wp:effectExtent l="0" t="0" r="0" b="0"/>
                <wp:wrapNone/>
                <wp:docPr id="10" name="矩形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635" cy="0"/>
                        </a:xfrm>
                        <a:prstGeom prst="rect">
                          <a:avLst/>
                        </a:prstGeom>
                        <a:noFill/>
                        <a:ln>
                          <a:noFill/>
                        </a:ln>
                      </wps:spPr>
                      <wps:bodyPr rot="0">
                        <a:noAutofit/>
                      </wps:bodyPr>
                    </wps:wsp>
                  </a:graphicData>
                </a:graphic>
              </wp:anchor>
            </w:drawing>
          </mc:Choice>
          <mc:Fallback>
            <w:pict>
              <v:rect id="矩形 7" o:spid="_x0000_s1026" o:spt="1" style="position:absolute;left:0pt;margin-left:0pt;margin-top:0pt;height:0pt;width:0.05pt;z-index:251663360;mso-width-relative:page;mso-height-relative:page;" filled="f" stroked="f" coordsize="21600,21600" o:allowincell="f"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D4cJf3PAAAA/wAAAA8AAAAAAAAAAQAgAAAAIgAAAGRycy9kb3ducmV2LnhtbFBLAQIUABQAAAAI&#10;AIdO4kDraTa8vQEAAH4DAAAOAAAAAAAAAAEAIAAAAB4BAABkcnMvZTJvRG9jLnhtbFBLBQYAAAAA&#10;BgAGAFkBAABNBQAAAAA=&#10;">
                <v:fill on="f" focussize="0,0"/>
                <v:stroke on="f"/>
                <v:imagedata o:title=""/>
                <o:lock v:ext="edit" aspectratio="t"/>
              </v:rect>
            </w:pict>
          </mc:Fallback>
        </mc:AlternateContent>
      </w:r>
      <w:r>
        <w:rPr>
          <w:rFonts w:hint="eastAsia" w:ascii="宋体" w:hAnsi="宋体" w:eastAsia="宋体" w:cs="宋体"/>
          <w:sz w:val="24"/>
          <w:szCs w:val="24"/>
        </w:rPr>
        <mc:AlternateContent>
          <mc:Choice Requires="wps">
            <w:drawing>
              <wp:inline distT="0" distB="0" distL="0" distR="0">
                <wp:extent cx="635" cy="0"/>
                <wp:effectExtent l="0" t="0" r="0" b="0"/>
                <wp:docPr id="11" name="矩形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635" cy="0"/>
                        </a:xfrm>
                        <a:prstGeom prst="rect">
                          <a:avLst/>
                        </a:prstGeom>
                        <a:noFill/>
                        <a:ln>
                          <a:noFill/>
                        </a:ln>
                      </wps:spPr>
                      <wps:bodyPr rot="0">
                        <a:noAutofit/>
                      </wps:bodyPr>
                    </wps:wsp>
                  </a:graphicData>
                </a:graphic>
              </wp:inline>
            </w:drawing>
          </mc:Choice>
          <mc:Fallback>
            <w:pict>
              <v:rect id="矩形 8"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D4cJf3PAAAA/wAAAA8AAAAAAAAAAQAgAAAAIgAAAGRycy9kb3ducmV2LnhtbFBLAQIUABQAAAAI&#10;AIdO4kAbCPLevQEAAH4DAAAOAAAAAAAAAAEAIAAAAB4BAABkcnMvZTJvRG9jLnhtbFBLBQYAAAAA&#10;BgAGAFkBAABNBQAAAAA=&#10;">
                <v:fill on="f" focussize="0,0"/>
                <v:stroke on="f"/>
                <v:imagedata o:title=""/>
                <o:lock v:ext="edit" aspectratio="t"/>
                <w10:wrap type="none"/>
                <w10:anchorlock/>
              </v:rect>
            </w:pict>
          </mc:Fallback>
        </mc:AlternateContent>
      </w:r>
      <w:r>
        <w:rPr>
          <w:rFonts w:hint="eastAsia" w:ascii="宋体" w:hAnsi="宋体" w:eastAsia="宋体" w:cs="宋体"/>
          <w:sz w:val="24"/>
          <w:szCs w:val="24"/>
        </w:rPr>
        <w:t>  年</w:t>
      </w:r>
      <w:r>
        <w:rPr>
          <w:rFonts w:hint="eastAsia" w:ascii="宋体" w:hAnsi="宋体" w:eastAsia="宋体" w:cs="宋体"/>
          <w:sz w:val="24"/>
          <w:szCs w:val="24"/>
        </w:rPr>
        <mc:AlternateContent>
          <mc:Choice Requires="wps">
            <w:drawing>
              <wp:anchor distT="0" distB="0" distL="114300" distR="114300" simplePos="0" relativeHeight="251664384" behindDoc="0" locked="0" layoutInCell="0" allowOverlap="1">
                <wp:simplePos x="0" y="0"/>
                <wp:positionH relativeFrom="column">
                  <wp:posOffset>0</wp:posOffset>
                </wp:positionH>
                <wp:positionV relativeFrom="paragraph">
                  <wp:posOffset>0</wp:posOffset>
                </wp:positionV>
                <wp:extent cx="635" cy="0"/>
                <wp:effectExtent l="0" t="0" r="0" b="0"/>
                <wp:wrapNone/>
                <wp:docPr id="12" name="矩形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635" cy="0"/>
                        </a:xfrm>
                        <a:prstGeom prst="rect">
                          <a:avLst/>
                        </a:prstGeom>
                        <a:noFill/>
                        <a:ln>
                          <a:noFill/>
                        </a:ln>
                      </wps:spPr>
                      <wps:bodyPr rot="0">
                        <a:noAutofit/>
                      </wps:bodyPr>
                    </wps:wsp>
                  </a:graphicData>
                </a:graphic>
              </wp:anchor>
            </w:drawing>
          </mc:Choice>
          <mc:Fallback>
            <w:pict>
              <v:rect id="矩形 9" o:spid="_x0000_s1026" o:spt="1" style="position:absolute;left:0pt;margin-left:0pt;margin-top:0pt;height:0pt;width:0.05pt;z-index:251664384;mso-width-relative:page;mso-height-relative:page;" filled="f" stroked="f" coordsize="21600,21600" o:allowincell="f"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D4cJf3PAAAA/wAAAA8AAAAAAAAAAQAgAAAAIgAAAGRycy9kb3ducmV2LnhtbFBLAQIUABQAAAAI&#10;AIdO4kANWM4fvQEAAH4DAAAOAAAAAAAAAAEAIAAAAB4BAABkcnMvZTJvRG9jLnhtbFBLBQYAAAAA&#10;BgAGAFkBAABNBQAAAAA=&#10;">
                <v:fill on="f" focussize="0,0"/>
                <v:stroke on="f"/>
                <v:imagedata o:title=""/>
                <o:lock v:ext="edit" aspectratio="t"/>
              </v:rect>
            </w:pict>
          </mc:Fallback>
        </mc:AlternateContent>
      </w:r>
      <w:r>
        <w:rPr>
          <w:rFonts w:hint="eastAsia" w:ascii="宋体" w:hAnsi="宋体" w:eastAsia="宋体" w:cs="宋体"/>
          <w:sz w:val="24"/>
          <w:szCs w:val="24"/>
        </w:rPr>
        <mc:AlternateContent>
          <mc:Choice Requires="wps">
            <w:drawing>
              <wp:inline distT="0" distB="0" distL="0" distR="0">
                <wp:extent cx="635" cy="0"/>
                <wp:effectExtent l="0" t="0" r="0" b="0"/>
                <wp:docPr id="13" name="矩形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635" cy="0"/>
                        </a:xfrm>
                        <a:prstGeom prst="rect">
                          <a:avLst/>
                        </a:prstGeom>
                        <a:noFill/>
                        <a:ln>
                          <a:noFill/>
                        </a:ln>
                      </wps:spPr>
                      <wps:bodyPr rot="0">
                        <a:noAutofit/>
                      </wps:bodyPr>
                    </wps:wsp>
                  </a:graphicData>
                </a:graphic>
              </wp:inline>
            </w:drawing>
          </mc:Choice>
          <mc:Fallback>
            <w:pict>
              <v:rect id="矩形 12"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HCX9zwAAAP8AAAAPAAAAAAAAAAEAIAAAACIAAABkcnMvZG93bnJldi54bWxQSwECFAAUAAAA&#10;CACHTuJAbBHFvb4BAAB/AwAADgAAAAAAAAABACAAAAAeAQAAZHJzL2Uyb0RvYy54bWxQSwUGAAAA&#10;AAYABgBZAQAATgUAAAAA&#10;">
                <v:fill on="f" focussize="0,0"/>
                <v:stroke on="f"/>
                <v:imagedata o:title=""/>
                <o:lock v:ext="edit" aspectratio="t"/>
                <w10:wrap type="none"/>
                <w10:anchorlock/>
              </v:rect>
            </w:pict>
          </mc:Fallback>
        </mc:AlternateContent>
      </w:r>
      <w:r>
        <w:rPr>
          <w:rFonts w:hint="eastAsia" w:ascii="宋体" w:hAnsi="宋体" w:eastAsia="宋体" w:cs="宋体"/>
          <w:sz w:val="24"/>
          <w:szCs w:val="24"/>
        </w:rPr>
        <w:t xml:space="preserve">  月 </w:t>
      </w:r>
      <w:r>
        <w:rPr>
          <w:rFonts w:hint="eastAsia" w:ascii="宋体" w:hAnsi="宋体" w:eastAsia="宋体" w:cs="宋体"/>
          <w:sz w:val="24"/>
          <w:szCs w:val="24"/>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0</wp:posOffset>
                </wp:positionV>
                <wp:extent cx="635" cy="0"/>
                <wp:effectExtent l="0" t="0" r="0" b="0"/>
                <wp:wrapNone/>
                <wp:docPr id="14" name="矩形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635" cy="0"/>
                        </a:xfrm>
                        <a:prstGeom prst="rect">
                          <a:avLst/>
                        </a:prstGeom>
                        <a:noFill/>
                        <a:ln>
                          <a:noFill/>
                        </a:ln>
                      </wps:spPr>
                      <wps:bodyPr rot="0">
                        <a:noAutofit/>
                      </wps:bodyPr>
                    </wps:wsp>
                  </a:graphicData>
                </a:graphic>
              </wp:anchor>
            </w:drawing>
          </mc:Choice>
          <mc:Fallback>
            <w:pict>
              <v:rect id="矩形 11" o:spid="_x0000_s1026" o:spt="1" style="position:absolute;left:0pt;margin-left:0pt;margin-top:0pt;height:0pt;width:0.05pt;z-index:251665408;mso-width-relative:page;mso-height-relative:page;" filled="f" stroked="f" coordsize="21600,21600" o:allowincell="f"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HCX9zwAAAP8AAAAPAAAAAAAAAAEAIAAAACIAAABkcnMvZG93bnJldi54bWxQSwECFAAUAAAA&#10;CACHTuJAuHO1ib4BAAB/AwAADgAAAAAAAAABACAAAAAeAQAAZHJzL2Uyb0RvYy54bWxQSwUGAAAA&#10;AAYABgBZAQAATgUAAAAA&#10;">
                <v:fill on="f" focussize="0,0"/>
                <v:stroke on="f"/>
                <v:imagedata o:title=""/>
                <o:lock v:ext="edit" aspectratio="t"/>
              </v:rect>
            </w:pict>
          </mc:Fallback>
        </mc:AlternateContent>
      </w:r>
      <w:r>
        <w:rPr>
          <w:rFonts w:hint="eastAsia" w:ascii="宋体" w:hAnsi="宋体" w:eastAsia="宋体" w:cs="宋体"/>
          <w:sz w:val="24"/>
          <w:szCs w:val="24"/>
        </w:rPr>
        <mc:AlternateContent>
          <mc:Choice Requires="wps">
            <w:drawing>
              <wp:inline distT="0" distB="0" distL="0" distR="0">
                <wp:extent cx="635" cy="0"/>
                <wp:effectExtent l="0" t="0" r="0" b="0"/>
                <wp:docPr id="15" name="矩形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635" cy="0"/>
                        </a:xfrm>
                        <a:prstGeom prst="rect">
                          <a:avLst/>
                        </a:prstGeom>
                        <a:noFill/>
                        <a:ln>
                          <a:noFill/>
                        </a:ln>
                      </wps:spPr>
                      <wps:bodyPr rot="0">
                        <a:noAutofit/>
                      </wps:bodyPr>
                    </wps:wsp>
                  </a:graphicData>
                </a:graphic>
              </wp:inline>
            </w:drawing>
          </mc:Choice>
          <mc:Fallback>
            <w:pict>
              <v:rect id="矩形 13"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D4cJf3PAAAA/wAAAA8AAAAAAAAAAQAgAAAAIgAAAGRycy9kb3ducmV2LnhtbFBLAQIUABQAAAAI&#10;AIdO4kCXM2B4vQEAAH8DAAAOAAAAAAAAAAEAIAAAAB4BAABkcnMvZTJvRG9jLnhtbFBLBQYAAAAA&#10;BgAGAFkBAABNBQAAAAA=&#10;">
                <v:fill on="f" focussize="0,0"/>
                <v:stroke on="f"/>
                <v:imagedata o:title=""/>
                <o:lock v:ext="edit" aspectratio="t"/>
                <w10:wrap type="none"/>
                <w10:anchorlock/>
              </v:rect>
            </w:pict>
          </mc:Fallback>
        </mc:AlternateContent>
      </w:r>
      <w:r>
        <w:rPr>
          <w:rFonts w:hint="eastAsia" w:ascii="宋体" w:hAnsi="宋体" w:eastAsia="宋体" w:cs="宋体"/>
          <w:sz w:val="24"/>
          <w:szCs w:val="24"/>
        </w:rPr>
        <w:t>  日</w:t>
      </w:r>
    </w:p>
    <w:p w14:paraId="47726053">
      <w:pPr>
        <w:rPr>
          <w:rFonts w:hint="eastAsia" w:ascii="宋体" w:hAnsi="宋体" w:eastAsia="宋体" w:cs="宋体"/>
          <w:color w:val="auto"/>
          <w:highlight w:val="none"/>
        </w:rPr>
      </w:pPr>
    </w:p>
    <w:p w14:paraId="7B97CDF3">
      <w:pPr>
        <w:rPr>
          <w:rFonts w:hint="eastAsia" w:ascii="宋体" w:hAnsi="宋体" w:eastAsia="宋体" w:cs="宋体"/>
          <w:color w:val="auto"/>
          <w:highlight w:val="none"/>
        </w:rPr>
      </w:pPr>
    </w:p>
    <w:p w14:paraId="330B5EC8">
      <w:pPr>
        <w:rPr>
          <w:rFonts w:hint="eastAsia" w:ascii="宋体" w:hAnsi="宋体" w:eastAsia="宋体" w:cs="宋体"/>
          <w:color w:val="auto"/>
          <w:highlight w:val="none"/>
        </w:rPr>
      </w:pPr>
    </w:p>
    <w:p w14:paraId="47E1BB4F">
      <w:pPr>
        <w:rPr>
          <w:rFonts w:hint="eastAsia" w:ascii="宋体" w:hAnsi="宋体" w:eastAsia="宋体" w:cs="宋体"/>
          <w:color w:val="auto"/>
          <w:highlight w:val="none"/>
        </w:rPr>
      </w:pPr>
    </w:p>
    <w:p w14:paraId="463327E4">
      <w:pPr>
        <w:rPr>
          <w:rFonts w:hint="eastAsia" w:ascii="宋体" w:hAnsi="宋体" w:eastAsia="宋体" w:cs="宋体"/>
          <w:color w:val="auto"/>
          <w:highlight w:val="none"/>
        </w:rPr>
      </w:pPr>
    </w:p>
    <w:p w14:paraId="399D58DB">
      <w:pPr>
        <w:rPr>
          <w:rFonts w:hint="eastAsia" w:ascii="宋体" w:hAnsi="宋体" w:eastAsia="宋体" w:cs="宋体"/>
          <w:color w:val="auto"/>
          <w:highlight w:val="none"/>
        </w:rPr>
      </w:pPr>
    </w:p>
    <w:p w14:paraId="7FB05D17">
      <w:pPr>
        <w:rPr>
          <w:rFonts w:hint="eastAsia" w:ascii="宋体" w:hAnsi="宋体" w:eastAsia="宋体" w:cs="宋体"/>
          <w:color w:val="auto"/>
          <w:highlight w:val="none"/>
        </w:rPr>
      </w:pPr>
    </w:p>
    <w:p w14:paraId="782B0DD1">
      <w:pPr>
        <w:rPr>
          <w:rFonts w:hint="eastAsia" w:ascii="宋体" w:hAnsi="宋体" w:eastAsia="宋体" w:cs="宋体"/>
          <w:color w:val="auto"/>
          <w:highlight w:val="none"/>
        </w:rPr>
      </w:pPr>
    </w:p>
    <w:p w14:paraId="18791563">
      <w:pPr>
        <w:rPr>
          <w:rFonts w:hint="eastAsia" w:ascii="宋体" w:hAnsi="宋体" w:eastAsia="宋体" w:cs="宋体"/>
          <w:color w:val="auto"/>
          <w:highlight w:val="none"/>
        </w:rPr>
      </w:pPr>
    </w:p>
    <w:p w14:paraId="42A442A9">
      <w:pPr>
        <w:rPr>
          <w:rFonts w:hint="eastAsia" w:ascii="宋体" w:hAnsi="宋体" w:eastAsia="宋体" w:cs="宋体"/>
          <w:color w:val="auto"/>
          <w:highlight w:val="none"/>
        </w:rPr>
      </w:pPr>
    </w:p>
    <w:p w14:paraId="1B15C93E">
      <w:pPr>
        <w:rPr>
          <w:rFonts w:hint="eastAsia" w:ascii="宋体" w:hAnsi="宋体" w:eastAsia="宋体" w:cs="宋体"/>
          <w:color w:val="auto"/>
          <w:highlight w:val="none"/>
        </w:rPr>
      </w:pPr>
    </w:p>
    <w:p w14:paraId="0815CDB4">
      <w:pPr>
        <w:rPr>
          <w:rFonts w:hint="eastAsia" w:ascii="宋体" w:hAnsi="宋体" w:eastAsia="宋体" w:cs="宋体"/>
          <w:color w:val="auto"/>
          <w:highlight w:val="none"/>
        </w:rPr>
      </w:pPr>
    </w:p>
    <w:p w14:paraId="2DBFC506">
      <w:pPr>
        <w:rPr>
          <w:rFonts w:hint="eastAsia" w:ascii="宋体" w:hAnsi="宋体" w:eastAsia="宋体" w:cs="宋体"/>
          <w:color w:val="auto"/>
          <w:highlight w:val="none"/>
        </w:rPr>
      </w:pPr>
    </w:p>
    <w:p w14:paraId="250CC40A">
      <w:pPr>
        <w:rPr>
          <w:rFonts w:hint="eastAsia" w:ascii="宋体" w:hAnsi="宋体" w:eastAsia="宋体" w:cs="宋体"/>
          <w:color w:val="auto"/>
          <w:highlight w:val="none"/>
        </w:rPr>
      </w:pPr>
    </w:p>
    <w:p w14:paraId="43DEFA1F">
      <w:pPr>
        <w:rPr>
          <w:rFonts w:hint="eastAsia" w:ascii="宋体" w:hAnsi="宋体" w:eastAsia="宋体" w:cs="宋体"/>
          <w:color w:val="auto"/>
          <w:highlight w:val="none"/>
        </w:rPr>
      </w:pPr>
    </w:p>
    <w:p w14:paraId="15AD8C6D">
      <w:pPr>
        <w:rPr>
          <w:rFonts w:hint="eastAsia" w:ascii="宋体" w:hAnsi="宋体" w:eastAsia="宋体" w:cs="宋体"/>
          <w:color w:val="auto"/>
          <w:highlight w:val="none"/>
        </w:rPr>
      </w:pPr>
    </w:p>
    <w:p w14:paraId="6A20187A">
      <w:pPr>
        <w:rPr>
          <w:rFonts w:hint="eastAsia" w:ascii="宋体" w:hAnsi="宋体" w:eastAsia="宋体" w:cs="宋体"/>
          <w:color w:val="auto"/>
          <w:highlight w:val="none"/>
        </w:rPr>
      </w:pPr>
    </w:p>
    <w:p w14:paraId="3A3FDAC4">
      <w:pPr>
        <w:pageBreakBefore w:val="0"/>
        <w:spacing w:line="360" w:lineRule="auto"/>
        <w:jc w:val="center"/>
        <w:outlineLvl w:val="1"/>
        <w:rPr>
          <w:rFonts w:hint="eastAsia" w:ascii="宋体" w:hAnsi="宋体" w:eastAsia="宋体" w:cs="宋体"/>
          <w:b/>
          <w:bCs/>
          <w:color w:val="000000"/>
          <w:sz w:val="30"/>
          <w:szCs w:val="30"/>
        </w:rPr>
      </w:pPr>
      <w:bookmarkStart w:id="112" w:name="_Toc3595"/>
      <w:bookmarkStart w:id="113" w:name="_Toc28534"/>
      <w:bookmarkStart w:id="114" w:name="_Toc20864"/>
      <w:bookmarkStart w:id="115" w:name="_Toc14753"/>
      <w:r>
        <w:rPr>
          <w:rFonts w:hint="eastAsia" w:ascii="宋体" w:hAnsi="宋体" w:eastAsia="宋体" w:cs="宋体"/>
          <w:b/>
          <w:bCs/>
          <w:color w:val="000000"/>
          <w:sz w:val="30"/>
          <w:szCs w:val="30"/>
        </w:rPr>
        <w:t>三、法定代表人资格证明</w:t>
      </w:r>
    </w:p>
    <w:p w14:paraId="1D526B04">
      <w:pPr>
        <w:pageBreakBefore w:val="0"/>
        <w:spacing w:line="360" w:lineRule="auto"/>
        <w:ind w:firstLine="560"/>
        <w:rPr>
          <w:rFonts w:hint="eastAsia" w:ascii="宋体" w:hAnsi="宋体" w:eastAsia="宋体" w:cs="宋体"/>
          <w:color w:val="000000"/>
          <w:sz w:val="24"/>
          <w:szCs w:val="24"/>
        </w:rPr>
      </w:pPr>
    </w:p>
    <w:p w14:paraId="789E8993">
      <w:pPr>
        <w:pStyle w:val="252"/>
        <w:pageBreakBefore w:val="0"/>
        <w:spacing w:before="0" w:after="0"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单位名称：</w:t>
      </w:r>
      <w:r>
        <w:rPr>
          <w:rFonts w:hint="eastAsia" w:ascii="宋体" w:hAnsi="宋体" w:eastAsia="宋体" w:cs="宋体"/>
          <w:b/>
          <w:color w:val="000000"/>
          <w:sz w:val="24"/>
          <w:szCs w:val="24"/>
          <w:u w:val="single"/>
        </w:rPr>
        <w:t xml:space="preserve">                              </w:t>
      </w:r>
    </w:p>
    <w:p w14:paraId="659F5820">
      <w:pPr>
        <w:pStyle w:val="252"/>
        <w:pageBreakBefore w:val="0"/>
        <w:spacing w:before="0" w:after="0"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地址：</w:t>
      </w:r>
      <w:r>
        <w:rPr>
          <w:rFonts w:hint="eastAsia" w:ascii="宋体" w:hAnsi="宋体" w:eastAsia="宋体" w:cs="宋体"/>
          <w:b/>
          <w:color w:val="000000"/>
          <w:sz w:val="24"/>
          <w:szCs w:val="24"/>
          <w:u w:val="single"/>
        </w:rPr>
        <w:t xml:space="preserve">                              </w:t>
      </w:r>
    </w:p>
    <w:p w14:paraId="7E3C240D">
      <w:pPr>
        <w:pStyle w:val="252"/>
        <w:pageBreakBefore w:val="0"/>
        <w:spacing w:before="0" w:after="0"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姓名：</w:t>
      </w:r>
      <w:r>
        <w:rPr>
          <w:rFonts w:hint="eastAsia" w:ascii="宋体" w:hAnsi="宋体" w:eastAsia="宋体" w:cs="宋体"/>
          <w:b/>
          <w:color w:val="000000"/>
          <w:sz w:val="24"/>
          <w:szCs w:val="24"/>
          <w:u w:val="single"/>
        </w:rPr>
        <w:t xml:space="preserve">          </w:t>
      </w:r>
      <w:r>
        <w:rPr>
          <w:rFonts w:hint="eastAsia" w:ascii="宋体" w:hAnsi="宋体" w:eastAsia="宋体" w:cs="宋体"/>
          <w:color w:val="000000"/>
          <w:sz w:val="24"/>
          <w:szCs w:val="24"/>
        </w:rPr>
        <w:t xml:space="preserve"> 性别：</w:t>
      </w:r>
      <w:r>
        <w:rPr>
          <w:rFonts w:hint="eastAsia" w:ascii="宋体" w:hAnsi="宋体" w:eastAsia="宋体" w:cs="宋体"/>
          <w:b/>
          <w:color w:val="000000"/>
          <w:sz w:val="24"/>
          <w:szCs w:val="24"/>
          <w:u w:val="single"/>
        </w:rPr>
        <w:t xml:space="preserve">          </w:t>
      </w:r>
      <w:r>
        <w:rPr>
          <w:rFonts w:hint="eastAsia" w:ascii="宋体" w:hAnsi="宋体" w:eastAsia="宋体" w:cs="宋体"/>
          <w:color w:val="000000"/>
          <w:sz w:val="24"/>
          <w:szCs w:val="24"/>
        </w:rPr>
        <w:t>年龄：</w:t>
      </w:r>
      <w:r>
        <w:rPr>
          <w:rFonts w:hint="eastAsia" w:ascii="宋体" w:hAnsi="宋体" w:eastAsia="宋体" w:cs="宋体"/>
          <w:b/>
          <w:color w:val="000000"/>
          <w:sz w:val="24"/>
          <w:szCs w:val="24"/>
          <w:u w:val="single"/>
        </w:rPr>
        <w:t xml:space="preserve">          </w:t>
      </w:r>
      <w:r>
        <w:rPr>
          <w:rFonts w:hint="eastAsia" w:ascii="宋体" w:hAnsi="宋体" w:eastAsia="宋体" w:cs="宋体"/>
          <w:color w:val="000000"/>
          <w:sz w:val="24"/>
          <w:szCs w:val="24"/>
        </w:rPr>
        <w:t>职务：</w:t>
      </w:r>
      <w:r>
        <w:rPr>
          <w:rFonts w:hint="eastAsia" w:ascii="宋体" w:hAnsi="宋体" w:eastAsia="宋体" w:cs="宋体"/>
          <w:b/>
          <w:color w:val="000000"/>
          <w:sz w:val="24"/>
          <w:szCs w:val="24"/>
          <w:u w:val="single"/>
        </w:rPr>
        <w:t xml:space="preserve">          </w:t>
      </w:r>
    </w:p>
    <w:p w14:paraId="17B6D8B2">
      <w:pPr>
        <w:pStyle w:val="252"/>
        <w:pageBreakBefore w:val="0"/>
        <w:spacing w:before="0" w:after="0"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系</w:t>
      </w:r>
      <w:r>
        <w:rPr>
          <w:rFonts w:hint="eastAsia" w:ascii="宋体" w:hAnsi="宋体" w:eastAsia="宋体" w:cs="宋体"/>
          <w:color w:val="000000"/>
          <w:sz w:val="24"/>
          <w:szCs w:val="24"/>
          <w:u w:val="single"/>
        </w:rPr>
        <w:t xml:space="preserve"> （供应商名称）</w:t>
      </w:r>
      <w:r>
        <w:rPr>
          <w:rFonts w:hint="eastAsia" w:ascii="宋体" w:hAnsi="宋体" w:eastAsia="宋体" w:cs="宋体"/>
          <w:color w:val="000000"/>
          <w:sz w:val="24"/>
          <w:szCs w:val="24"/>
        </w:rPr>
        <w:t>的法定代表人。为参与</w:t>
      </w:r>
      <w:r>
        <w:rPr>
          <w:rFonts w:hint="eastAsia" w:ascii="宋体" w:hAnsi="宋体" w:eastAsia="宋体" w:cs="宋体"/>
          <w:b/>
          <w:color w:val="000000"/>
          <w:sz w:val="24"/>
          <w:szCs w:val="24"/>
          <w:u w:val="single"/>
        </w:rPr>
        <w:t xml:space="preserve">          </w:t>
      </w:r>
      <w:r>
        <w:rPr>
          <w:rFonts w:hint="eastAsia" w:ascii="宋体" w:hAnsi="宋体" w:eastAsia="宋体" w:cs="宋体"/>
          <w:color w:val="000000"/>
          <w:sz w:val="24"/>
          <w:szCs w:val="24"/>
        </w:rPr>
        <w:t>项目，签署上述项目的响应文件、进行投标、签署合同和处理与之有关的一切事务。</w:t>
      </w:r>
    </w:p>
    <w:p w14:paraId="32765F6F">
      <w:pPr>
        <w:pageBreakBefore w:val="0"/>
        <w:spacing w:line="360" w:lineRule="auto"/>
        <w:rPr>
          <w:rFonts w:hint="eastAsia" w:ascii="宋体" w:hAnsi="宋体" w:eastAsia="宋体" w:cs="宋体"/>
          <w:color w:val="000000"/>
          <w:sz w:val="24"/>
          <w:szCs w:val="24"/>
          <w:lang w:val="zh-CN"/>
        </w:rPr>
      </w:pPr>
    </w:p>
    <w:p w14:paraId="5620D02E">
      <w:pPr>
        <w:pStyle w:val="252"/>
        <w:pageBreakBefore w:val="0"/>
        <w:spacing w:before="0" w:after="0"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特此证明。</w:t>
      </w:r>
    </w:p>
    <w:p w14:paraId="5929CE26">
      <w:pPr>
        <w:pageBreakBefore w:val="0"/>
        <w:spacing w:line="360" w:lineRule="auto"/>
        <w:ind w:firstLine="5600"/>
        <w:rPr>
          <w:rFonts w:hint="eastAsia" w:ascii="宋体" w:hAnsi="宋体" w:eastAsia="宋体" w:cs="宋体"/>
          <w:color w:val="000000"/>
          <w:sz w:val="24"/>
          <w:szCs w:val="24"/>
        </w:rPr>
      </w:pPr>
    </w:p>
    <w:p w14:paraId="2D7D769D">
      <w:pPr>
        <w:pStyle w:val="252"/>
        <w:pageBreakBefore w:val="0"/>
        <w:spacing w:before="0" w:after="0" w:line="360" w:lineRule="auto"/>
        <w:ind w:firstLine="0"/>
        <w:jc w:val="both"/>
        <w:rPr>
          <w:rFonts w:hint="eastAsia" w:ascii="宋体" w:hAnsi="宋体" w:eastAsia="宋体" w:cs="宋体"/>
          <w:color w:val="000000"/>
          <w:sz w:val="24"/>
          <w:szCs w:val="24"/>
        </w:rPr>
      </w:pPr>
      <w:r>
        <w:rPr>
          <w:rFonts w:hint="eastAsia" w:ascii="宋体" w:hAnsi="宋体" w:eastAsia="宋体" w:cs="宋体"/>
          <w:color w:val="000000"/>
          <w:sz w:val="24"/>
          <w:szCs w:val="24"/>
        </w:rPr>
        <w:t>供应商名称（加盖CA电子公章）：</w:t>
      </w:r>
    </w:p>
    <w:p w14:paraId="137E0CB7">
      <w:pPr>
        <w:pStyle w:val="252"/>
        <w:pageBreakBefore w:val="0"/>
        <w:spacing w:before="0" w:after="0" w:line="360" w:lineRule="auto"/>
        <w:ind w:firstLine="0"/>
        <w:jc w:val="center"/>
        <w:rPr>
          <w:rFonts w:hint="eastAsia" w:ascii="宋体" w:hAnsi="宋体" w:eastAsia="宋体" w:cs="宋体"/>
          <w:color w:val="000000"/>
          <w:sz w:val="24"/>
          <w:szCs w:val="24"/>
        </w:rPr>
      </w:pPr>
    </w:p>
    <w:p w14:paraId="7C87712A">
      <w:pPr>
        <w:pStyle w:val="252"/>
        <w:pageBreakBefore w:val="0"/>
        <w:spacing w:before="0" w:after="0" w:line="360" w:lineRule="auto"/>
        <w:ind w:firstLine="0"/>
        <w:jc w:val="both"/>
        <w:rPr>
          <w:rFonts w:hint="eastAsia" w:ascii="宋体" w:hAnsi="宋体" w:eastAsia="宋体" w:cs="宋体"/>
          <w:color w:val="000000"/>
          <w:sz w:val="24"/>
          <w:szCs w:val="24"/>
        </w:rPr>
      </w:pPr>
      <w:r>
        <w:rPr>
          <w:rFonts w:hint="eastAsia" w:ascii="宋体" w:hAnsi="宋体" w:eastAsia="宋体" w:cs="宋体"/>
          <w:color w:val="000000"/>
          <w:sz w:val="24"/>
          <w:szCs w:val="24"/>
        </w:rPr>
        <w:t>日    期：</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年</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月</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日                        </w:t>
      </w:r>
    </w:p>
    <w:p w14:paraId="66DD1820">
      <w:pPr>
        <w:pageBreakBefore w:val="0"/>
        <w:spacing w:line="360" w:lineRule="auto"/>
        <w:ind w:firstLine="5320"/>
        <w:rPr>
          <w:rFonts w:hint="eastAsia" w:ascii="宋体" w:hAnsi="宋体" w:eastAsia="宋体" w:cs="宋体"/>
          <w:color w:val="000000"/>
          <w:sz w:val="24"/>
          <w:szCs w:val="24"/>
        </w:rPr>
      </w:pPr>
    </w:p>
    <w:p w14:paraId="30BF6D22">
      <w:pPr>
        <w:pageBreakBefore w:val="0"/>
        <w:spacing w:line="360" w:lineRule="auto"/>
        <w:ind w:firstLine="3204"/>
        <w:rPr>
          <w:rFonts w:hint="eastAsia" w:ascii="宋体" w:hAnsi="宋体" w:eastAsia="宋体" w:cs="宋体"/>
          <w:b/>
          <w:bCs/>
          <w:color w:val="000000"/>
          <w:sz w:val="24"/>
          <w:szCs w:val="24"/>
        </w:rPr>
      </w:pPr>
    </w:p>
    <w:p w14:paraId="0613A2A4">
      <w:pPr>
        <w:pageBreakBefore w:val="0"/>
        <w:spacing w:line="360" w:lineRule="auto"/>
        <w:jc w:val="center"/>
        <w:outlineLvl w:val="1"/>
        <w:rPr>
          <w:rFonts w:hint="eastAsia" w:ascii="宋体" w:hAnsi="宋体" w:eastAsia="宋体" w:cs="宋体"/>
          <w:b/>
          <w:bCs/>
          <w:color w:val="000000"/>
          <w:sz w:val="30"/>
          <w:szCs w:val="30"/>
        </w:rPr>
      </w:pPr>
      <w:r>
        <w:rPr>
          <w:rFonts w:hint="eastAsia" w:ascii="宋体" w:hAnsi="宋体" w:eastAsia="宋体" w:cs="宋体"/>
          <w:b/>
          <w:bCs/>
          <w:color w:val="000000"/>
          <w:sz w:val="24"/>
          <w:szCs w:val="24"/>
        </w:rPr>
        <w:br w:type="page" w:clear="all"/>
      </w:r>
      <w:r>
        <w:rPr>
          <w:rFonts w:hint="eastAsia" w:ascii="宋体" w:hAnsi="宋体" w:eastAsia="宋体" w:cs="宋体"/>
          <w:b/>
          <w:bCs/>
          <w:color w:val="000000"/>
          <w:sz w:val="30"/>
          <w:szCs w:val="30"/>
        </w:rPr>
        <w:t>四、授权委托书</w:t>
      </w:r>
    </w:p>
    <w:p w14:paraId="46A835D7">
      <w:pPr>
        <w:pStyle w:val="252"/>
        <w:pageBreakBefore w:val="0"/>
        <w:spacing w:before="0" w:after="0" w:line="360" w:lineRule="auto"/>
        <w:rPr>
          <w:rFonts w:hint="eastAsia" w:ascii="宋体" w:hAnsi="宋体" w:eastAsia="宋体" w:cs="宋体"/>
          <w:color w:val="000000"/>
          <w:sz w:val="24"/>
          <w:szCs w:val="24"/>
        </w:rPr>
      </w:pPr>
    </w:p>
    <w:p w14:paraId="330191FC">
      <w:pPr>
        <w:pStyle w:val="252"/>
        <w:pageBreakBefore w:val="0"/>
        <w:spacing w:before="0" w:after="0"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本授权书声明：</w:t>
      </w:r>
      <w:r>
        <w:rPr>
          <w:rFonts w:hint="eastAsia" w:ascii="宋体" w:hAnsi="宋体" w:eastAsia="宋体" w:cs="宋体"/>
          <w:color w:val="000000"/>
          <w:sz w:val="24"/>
          <w:szCs w:val="24"/>
          <w:u w:val="single"/>
        </w:rPr>
        <w:t>（供应商名称）</w:t>
      </w:r>
      <w:r>
        <w:rPr>
          <w:rFonts w:hint="eastAsia" w:ascii="宋体" w:hAnsi="宋体" w:eastAsia="宋体" w:cs="宋体"/>
          <w:color w:val="000000"/>
          <w:sz w:val="24"/>
          <w:szCs w:val="24"/>
        </w:rPr>
        <w:t>授权</w:t>
      </w:r>
      <w:r>
        <w:rPr>
          <w:rFonts w:hint="eastAsia" w:ascii="宋体" w:hAnsi="宋体" w:eastAsia="宋体" w:cs="宋体"/>
          <w:color w:val="000000"/>
          <w:sz w:val="24"/>
          <w:szCs w:val="24"/>
          <w:u w:val="single"/>
        </w:rPr>
        <w:t>（被授权人的姓名）</w:t>
      </w:r>
      <w:r>
        <w:rPr>
          <w:rFonts w:hint="eastAsia" w:ascii="宋体" w:hAnsi="宋体" w:eastAsia="宋体" w:cs="宋体"/>
          <w:color w:val="000000"/>
          <w:sz w:val="24"/>
          <w:szCs w:val="24"/>
        </w:rPr>
        <w:t>为</w:t>
      </w:r>
      <w:r>
        <w:rPr>
          <w:rFonts w:hint="eastAsia" w:ascii="宋体" w:hAnsi="宋体" w:eastAsia="宋体" w:cs="宋体"/>
          <w:b/>
          <w:color w:val="000000"/>
          <w:sz w:val="24"/>
          <w:szCs w:val="24"/>
          <w:u w:val="single"/>
        </w:rPr>
        <w:t xml:space="preserve"> </w:t>
      </w:r>
      <w:r>
        <w:rPr>
          <w:rFonts w:hint="eastAsia" w:ascii="宋体" w:hAnsi="宋体" w:eastAsia="宋体" w:cs="宋体"/>
          <w:bCs/>
          <w:color w:val="000000"/>
          <w:sz w:val="24"/>
          <w:szCs w:val="24"/>
          <w:u w:val="single"/>
        </w:rPr>
        <w:t xml:space="preserve">      </w:t>
      </w:r>
      <w:r>
        <w:rPr>
          <w:rFonts w:hint="eastAsia" w:ascii="宋体" w:hAnsi="宋体" w:eastAsia="宋体" w:cs="宋体"/>
          <w:color w:val="000000"/>
          <w:sz w:val="24"/>
          <w:szCs w:val="24"/>
        </w:rPr>
        <w:t>（项目编号</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）的采购活动的合法代理人，以我单位名义签署上述项目的响应文件、进行投标、签署合同和处理与之有关的一切事务。</w:t>
      </w:r>
    </w:p>
    <w:p w14:paraId="637A3B54">
      <w:pPr>
        <w:pageBreakBefore w:val="0"/>
        <w:spacing w:line="360" w:lineRule="auto"/>
        <w:ind w:firstLine="480"/>
        <w:rPr>
          <w:rFonts w:hint="eastAsia" w:ascii="宋体" w:hAnsi="宋体" w:eastAsia="宋体" w:cs="宋体"/>
          <w:bCs/>
          <w:color w:val="000000"/>
          <w:sz w:val="24"/>
          <w:szCs w:val="24"/>
        </w:rPr>
      </w:pPr>
      <w:r>
        <w:rPr>
          <w:rFonts w:hint="eastAsia" w:ascii="宋体" w:hAnsi="宋体" w:eastAsia="宋体" w:cs="宋体"/>
          <w:bCs/>
          <w:color w:val="000000"/>
          <w:sz w:val="24"/>
          <w:szCs w:val="24"/>
        </w:rPr>
        <w:t>受托人在办理上述事宜过程中以其自己的名义所签署的所有文件我单位均予以承认。受托人无转委托权。</w:t>
      </w:r>
    </w:p>
    <w:p w14:paraId="69D4EECE">
      <w:pPr>
        <w:pageBreakBefore w:val="0"/>
        <w:spacing w:line="360" w:lineRule="auto"/>
        <w:ind w:firstLine="480"/>
        <w:rPr>
          <w:rFonts w:hint="eastAsia" w:ascii="宋体" w:hAnsi="宋体" w:eastAsia="宋体" w:cs="宋体"/>
          <w:bCs/>
          <w:color w:val="000000"/>
          <w:sz w:val="24"/>
          <w:szCs w:val="24"/>
        </w:rPr>
      </w:pPr>
      <w:r>
        <w:rPr>
          <w:rFonts w:hint="eastAsia" w:ascii="宋体" w:hAnsi="宋体" w:eastAsia="宋体" w:cs="宋体"/>
          <w:bCs/>
          <w:color w:val="000000"/>
          <w:sz w:val="24"/>
          <w:szCs w:val="24"/>
        </w:rPr>
        <w:t>委托期限：至上述事宜处理完毕止。</w:t>
      </w:r>
    </w:p>
    <w:p w14:paraId="3AEF9308">
      <w:pPr>
        <w:pageBreakBefore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被授权代表情况：</w:t>
      </w:r>
    </w:p>
    <w:p w14:paraId="292D450E">
      <w:pPr>
        <w:pageBreakBefore w:val="0"/>
        <w:pBdr>
          <w:top w:val="none" w:color="000000" w:sz="0" w:space="0"/>
          <w:left w:val="none" w:color="000000" w:sz="0" w:space="0"/>
          <w:bottom w:val="none" w:color="000000" w:sz="0" w:space="0"/>
          <w:right w:val="none" w:color="000000" w:sz="0" w:space="0"/>
        </w:pBdr>
        <w:spacing w:line="360" w:lineRule="auto"/>
        <w:ind w:firstLine="525"/>
        <w:rPr>
          <w:rFonts w:hint="eastAsia" w:ascii="宋体" w:hAnsi="宋体" w:eastAsia="宋体" w:cs="宋体"/>
          <w:color w:val="000000"/>
          <w:sz w:val="24"/>
          <w:szCs w:val="24"/>
        </w:rPr>
      </w:pPr>
      <w:r>
        <w:rPr>
          <w:rFonts w:hint="eastAsia" w:ascii="宋体" w:hAnsi="宋体" w:eastAsia="宋体" w:cs="宋体"/>
          <w:color w:val="000000"/>
          <w:sz w:val="24"/>
          <w:szCs w:val="24"/>
        </w:rPr>
        <w:t>姓名：         性别：       电话：</w:t>
      </w:r>
    </w:p>
    <w:p w14:paraId="100BA565">
      <w:pPr>
        <w:pStyle w:val="252"/>
        <w:pageBreakBefore w:val="0"/>
        <w:spacing w:before="0" w:after="0" w:line="360" w:lineRule="auto"/>
        <w:ind w:firstLine="0"/>
        <w:jc w:val="both"/>
        <w:rPr>
          <w:rFonts w:hint="eastAsia" w:ascii="宋体" w:hAnsi="宋体" w:eastAsia="宋体" w:cs="宋体"/>
          <w:color w:val="000000"/>
          <w:sz w:val="24"/>
          <w:szCs w:val="24"/>
        </w:rPr>
      </w:pPr>
    </w:p>
    <w:p w14:paraId="39F323BF">
      <w:pPr>
        <w:pStyle w:val="252"/>
        <w:pageBreakBefore w:val="0"/>
        <w:spacing w:before="0" w:after="0" w:line="360" w:lineRule="auto"/>
        <w:ind w:firstLine="0"/>
        <w:jc w:val="both"/>
        <w:rPr>
          <w:rFonts w:hint="eastAsia" w:ascii="宋体" w:hAnsi="宋体" w:eastAsia="宋体" w:cs="宋体"/>
          <w:color w:val="000000"/>
          <w:sz w:val="24"/>
          <w:szCs w:val="24"/>
        </w:rPr>
      </w:pPr>
      <w:r>
        <w:rPr>
          <w:rFonts w:hint="eastAsia" w:ascii="宋体" w:hAnsi="宋体" w:eastAsia="宋体" w:cs="宋体"/>
          <w:color w:val="000000"/>
          <w:sz w:val="24"/>
          <w:szCs w:val="24"/>
        </w:rPr>
        <w:t>供应商名称（加盖CA电子公章）：</w:t>
      </w:r>
    </w:p>
    <w:p w14:paraId="32405B4E">
      <w:pPr>
        <w:pageBreakBefore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法定代表人（签字或盖章）：</w:t>
      </w:r>
    </w:p>
    <w:p w14:paraId="651D83B3">
      <w:pPr>
        <w:pageBreakBefore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日  期：</w:t>
      </w:r>
    </w:p>
    <w:tbl>
      <w:tblPr>
        <w:tblStyle w:val="36"/>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1"/>
        <w:gridCol w:w="4261"/>
      </w:tblGrid>
      <w:tr w14:paraId="2C9247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37" w:hRule="atLeast"/>
        </w:trPr>
        <w:tc>
          <w:tcPr>
            <w:tcW w:w="4261" w:type="dxa"/>
            <w:noWrap w:val="0"/>
          </w:tcPr>
          <w:p w14:paraId="50BA8A68">
            <w:pPr>
              <w:pageBreakBefore w:val="0"/>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法人身份证：</w:t>
            </w:r>
          </w:p>
        </w:tc>
        <w:tc>
          <w:tcPr>
            <w:tcW w:w="4261" w:type="dxa"/>
            <w:noWrap w:val="0"/>
          </w:tcPr>
          <w:p w14:paraId="1F1B6507">
            <w:pPr>
              <w:pageBreakBefore w:val="0"/>
              <w:spacing w:line="360" w:lineRule="auto"/>
              <w:rPr>
                <w:rFonts w:hint="eastAsia" w:ascii="宋体" w:hAnsi="宋体" w:eastAsia="宋体" w:cs="宋体"/>
                <w:b/>
                <w:bCs/>
                <w:color w:val="000000"/>
                <w:sz w:val="24"/>
                <w:szCs w:val="24"/>
              </w:rPr>
            </w:pPr>
          </w:p>
        </w:tc>
      </w:tr>
      <w:tr w14:paraId="730821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8" w:hRule="atLeast"/>
        </w:trPr>
        <w:tc>
          <w:tcPr>
            <w:tcW w:w="4261" w:type="dxa"/>
            <w:noWrap w:val="0"/>
          </w:tcPr>
          <w:p w14:paraId="70F08EE2">
            <w:pPr>
              <w:pageBreakBefore w:val="0"/>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授权委托人身份证：</w:t>
            </w:r>
          </w:p>
        </w:tc>
        <w:tc>
          <w:tcPr>
            <w:tcW w:w="4261" w:type="dxa"/>
            <w:noWrap w:val="0"/>
          </w:tcPr>
          <w:p w14:paraId="10E014DB">
            <w:pPr>
              <w:pageBreakBefore w:val="0"/>
              <w:spacing w:line="360" w:lineRule="auto"/>
              <w:rPr>
                <w:rFonts w:hint="eastAsia" w:ascii="宋体" w:hAnsi="宋体" w:eastAsia="宋体" w:cs="宋体"/>
                <w:b/>
                <w:bCs/>
                <w:color w:val="000000"/>
                <w:sz w:val="24"/>
                <w:szCs w:val="24"/>
              </w:rPr>
            </w:pPr>
          </w:p>
        </w:tc>
      </w:tr>
    </w:tbl>
    <w:p w14:paraId="0E6D31BE">
      <w:pPr>
        <w:pStyle w:val="252"/>
        <w:pageBreakBefore w:val="0"/>
        <w:spacing w:before="0" w:after="0" w:line="360" w:lineRule="auto"/>
        <w:rPr>
          <w:rFonts w:hint="eastAsia" w:ascii="宋体" w:hAnsi="宋体" w:eastAsia="宋体" w:cs="宋体"/>
          <w:color w:val="000000"/>
          <w:sz w:val="24"/>
          <w:szCs w:val="24"/>
        </w:rPr>
      </w:pPr>
    </w:p>
    <w:p w14:paraId="63CAB100">
      <w:pPr>
        <w:pageBreakBefore w:val="0"/>
        <w:spacing w:line="360" w:lineRule="auto"/>
        <w:jc w:val="left"/>
        <w:outlineLvl w:val="1"/>
        <w:rPr>
          <w:rFonts w:hint="eastAsia" w:ascii="宋体" w:hAnsi="宋体" w:eastAsia="宋体" w:cs="宋体"/>
          <w:b/>
          <w:bCs/>
          <w:color w:val="000000"/>
          <w:sz w:val="30"/>
          <w:szCs w:val="30"/>
        </w:rPr>
      </w:pPr>
      <w:r>
        <w:rPr>
          <w:rFonts w:hint="eastAsia" w:ascii="宋体" w:hAnsi="宋体" w:eastAsia="宋体" w:cs="宋体"/>
          <w:b/>
          <w:bCs/>
          <w:color w:val="000000"/>
          <w:sz w:val="24"/>
          <w:szCs w:val="24"/>
        </w:rPr>
        <w:br w:type="page" w:clear="all"/>
      </w:r>
      <w:r>
        <w:rPr>
          <w:rFonts w:hint="eastAsia" w:ascii="宋体" w:hAnsi="宋体" w:eastAsia="宋体" w:cs="宋体"/>
          <w:b/>
          <w:bCs/>
          <w:color w:val="000000"/>
          <w:sz w:val="30"/>
          <w:szCs w:val="30"/>
        </w:rPr>
        <w:t>五、具备履行合同所必需的设备和专业技术能力的书面声明</w:t>
      </w:r>
    </w:p>
    <w:p w14:paraId="723FD736">
      <w:pPr>
        <w:pageBreakBefore w:val="0"/>
        <w:spacing w:line="360" w:lineRule="auto"/>
        <w:ind w:firstLine="492"/>
        <w:rPr>
          <w:rFonts w:hint="eastAsia" w:ascii="宋体" w:hAnsi="宋体" w:eastAsia="宋体" w:cs="宋体"/>
          <w:bCs/>
          <w:color w:val="000000"/>
          <w:sz w:val="24"/>
          <w:szCs w:val="24"/>
        </w:rPr>
      </w:pPr>
    </w:p>
    <w:p w14:paraId="4DE22AE9">
      <w:pPr>
        <w:pageBreakBefore w:val="0"/>
        <w:spacing w:line="360" w:lineRule="auto"/>
        <w:ind w:firstLine="492"/>
        <w:rPr>
          <w:rFonts w:hint="eastAsia" w:ascii="宋体" w:hAnsi="宋体" w:eastAsia="宋体" w:cs="宋体"/>
          <w:bCs/>
          <w:color w:val="000000"/>
          <w:sz w:val="24"/>
          <w:szCs w:val="24"/>
        </w:rPr>
      </w:pPr>
      <w:r>
        <w:rPr>
          <w:rFonts w:hint="eastAsia" w:ascii="宋体" w:hAnsi="宋体" w:eastAsia="宋体" w:cs="宋体"/>
          <w:bCs/>
          <w:color w:val="000000"/>
          <w:sz w:val="24"/>
          <w:szCs w:val="24"/>
        </w:rPr>
        <w:t>我单位郑重声明：我单位具备履行本项采购合同所必需的设备和专业技术能力，为履行本项采购合同我单位具备如下主要设备和主要专业技术能力：</w:t>
      </w:r>
    </w:p>
    <w:p w14:paraId="513EF62B">
      <w:pPr>
        <w:pageBreakBefore w:val="0"/>
        <w:spacing w:line="360" w:lineRule="auto"/>
        <w:ind w:firstLine="492"/>
        <w:rPr>
          <w:rFonts w:hint="eastAsia" w:ascii="宋体" w:hAnsi="宋体" w:eastAsia="宋体" w:cs="宋体"/>
          <w:bCs/>
          <w:color w:val="000000"/>
          <w:sz w:val="24"/>
          <w:szCs w:val="24"/>
        </w:rPr>
      </w:pPr>
      <w:r>
        <w:rPr>
          <w:rFonts w:hint="eastAsia" w:ascii="宋体" w:hAnsi="宋体" w:eastAsia="宋体" w:cs="宋体"/>
          <w:bCs/>
          <w:color w:val="000000"/>
          <w:sz w:val="24"/>
          <w:szCs w:val="24"/>
        </w:rPr>
        <w:t>主要设备有：</w:t>
      </w:r>
      <w:r>
        <w:rPr>
          <w:rFonts w:hint="eastAsia" w:ascii="宋体" w:hAnsi="宋体" w:eastAsia="宋体" w:cs="宋体"/>
          <w:bCs/>
          <w:color w:val="000000"/>
          <w:sz w:val="24"/>
          <w:szCs w:val="24"/>
          <w:u w:val="single"/>
        </w:rPr>
        <w:t xml:space="preserve">     </w:t>
      </w:r>
      <w:r>
        <w:rPr>
          <w:rFonts w:hint="eastAsia" w:ascii="宋体" w:hAnsi="宋体" w:eastAsia="宋体" w:cs="宋体"/>
          <w:bCs/>
          <w:color w:val="000000"/>
          <w:sz w:val="24"/>
          <w:szCs w:val="24"/>
        </w:rPr>
        <w:t>。</w:t>
      </w:r>
    </w:p>
    <w:p w14:paraId="7FD04A79">
      <w:pPr>
        <w:pageBreakBefore w:val="0"/>
        <w:spacing w:line="360" w:lineRule="auto"/>
        <w:ind w:firstLine="492"/>
        <w:rPr>
          <w:rFonts w:hint="eastAsia" w:ascii="宋体" w:hAnsi="宋体" w:eastAsia="宋体" w:cs="宋体"/>
          <w:bCs/>
          <w:color w:val="000000"/>
          <w:sz w:val="24"/>
          <w:szCs w:val="24"/>
        </w:rPr>
      </w:pPr>
      <w:r>
        <w:rPr>
          <w:rFonts w:hint="eastAsia" w:ascii="宋体" w:hAnsi="宋体" w:eastAsia="宋体" w:cs="宋体"/>
          <w:bCs/>
          <w:color w:val="000000"/>
          <w:sz w:val="24"/>
          <w:szCs w:val="24"/>
        </w:rPr>
        <w:t>主要专业技术能力有：</w:t>
      </w:r>
      <w:r>
        <w:rPr>
          <w:rFonts w:hint="eastAsia" w:ascii="宋体" w:hAnsi="宋体" w:eastAsia="宋体" w:cs="宋体"/>
          <w:bCs/>
          <w:color w:val="000000"/>
          <w:sz w:val="24"/>
          <w:szCs w:val="24"/>
          <w:u w:val="single"/>
        </w:rPr>
        <w:t xml:space="preserve">    </w:t>
      </w:r>
      <w:r>
        <w:rPr>
          <w:rFonts w:hint="eastAsia" w:ascii="宋体" w:hAnsi="宋体" w:eastAsia="宋体" w:cs="宋体"/>
          <w:bCs/>
          <w:color w:val="000000"/>
          <w:sz w:val="24"/>
          <w:szCs w:val="24"/>
        </w:rPr>
        <w:t xml:space="preserve"> 。</w:t>
      </w:r>
    </w:p>
    <w:p w14:paraId="75017A31">
      <w:pPr>
        <w:pStyle w:val="252"/>
        <w:pageBreakBefore w:val="0"/>
        <w:spacing w:before="0" w:after="0" w:line="360" w:lineRule="auto"/>
        <w:ind w:firstLine="0"/>
        <w:jc w:val="both"/>
        <w:rPr>
          <w:rFonts w:hint="eastAsia" w:ascii="宋体" w:hAnsi="宋体" w:eastAsia="宋体" w:cs="宋体"/>
          <w:color w:val="000000"/>
          <w:sz w:val="24"/>
          <w:szCs w:val="24"/>
        </w:rPr>
      </w:pPr>
    </w:p>
    <w:p w14:paraId="60C4DDDE">
      <w:pPr>
        <w:pStyle w:val="252"/>
        <w:pageBreakBefore w:val="0"/>
        <w:spacing w:before="0" w:after="0" w:line="360" w:lineRule="auto"/>
        <w:ind w:firstLine="0"/>
        <w:jc w:val="both"/>
        <w:rPr>
          <w:rFonts w:hint="eastAsia" w:ascii="宋体" w:hAnsi="宋体" w:eastAsia="宋体" w:cs="宋体"/>
          <w:color w:val="000000"/>
          <w:sz w:val="24"/>
          <w:szCs w:val="24"/>
        </w:rPr>
      </w:pPr>
    </w:p>
    <w:p w14:paraId="442F3733">
      <w:pPr>
        <w:pStyle w:val="252"/>
        <w:pageBreakBefore w:val="0"/>
        <w:spacing w:before="0" w:after="0" w:line="360" w:lineRule="auto"/>
        <w:ind w:firstLine="0"/>
        <w:jc w:val="both"/>
        <w:rPr>
          <w:rFonts w:hint="eastAsia" w:ascii="宋体" w:hAnsi="宋体" w:eastAsia="宋体" w:cs="宋体"/>
          <w:color w:val="000000"/>
          <w:sz w:val="24"/>
          <w:szCs w:val="24"/>
        </w:rPr>
      </w:pPr>
    </w:p>
    <w:p w14:paraId="539842AB">
      <w:pPr>
        <w:pStyle w:val="252"/>
        <w:pageBreakBefore w:val="0"/>
        <w:spacing w:before="0" w:after="0" w:line="360" w:lineRule="auto"/>
        <w:ind w:firstLine="0"/>
        <w:jc w:val="both"/>
        <w:rPr>
          <w:rFonts w:hint="eastAsia" w:ascii="宋体" w:hAnsi="宋体" w:eastAsia="宋体" w:cs="宋体"/>
          <w:color w:val="000000"/>
          <w:sz w:val="24"/>
          <w:szCs w:val="24"/>
        </w:rPr>
      </w:pPr>
      <w:r>
        <w:rPr>
          <w:rFonts w:hint="eastAsia" w:ascii="宋体" w:hAnsi="宋体" w:eastAsia="宋体" w:cs="宋体"/>
          <w:color w:val="000000"/>
          <w:sz w:val="24"/>
          <w:szCs w:val="24"/>
        </w:rPr>
        <w:t>供应商名称（加盖CA电子公章）：</w:t>
      </w:r>
    </w:p>
    <w:p w14:paraId="12C7A5C6">
      <w:pPr>
        <w:pageBreakBefore w:val="0"/>
        <w:spacing w:line="360" w:lineRule="auto"/>
        <w:rPr>
          <w:rFonts w:hint="eastAsia" w:ascii="宋体" w:hAnsi="宋体" w:eastAsia="宋体" w:cs="宋体"/>
          <w:bCs/>
          <w:color w:val="000000"/>
          <w:sz w:val="24"/>
          <w:szCs w:val="24"/>
        </w:rPr>
      </w:pPr>
      <w:r>
        <w:rPr>
          <w:rFonts w:hint="eastAsia" w:ascii="宋体" w:hAnsi="宋体" w:eastAsia="宋体" w:cs="宋体"/>
          <w:bCs/>
          <w:color w:val="000000"/>
          <w:sz w:val="24"/>
          <w:szCs w:val="24"/>
        </w:rPr>
        <w:t xml:space="preserve">                                     </w:t>
      </w:r>
    </w:p>
    <w:p w14:paraId="22BFE63C">
      <w:pPr>
        <w:pageBreakBefore w:val="0"/>
        <w:spacing w:line="360" w:lineRule="auto"/>
        <w:rPr>
          <w:rFonts w:hint="eastAsia" w:ascii="宋体" w:hAnsi="宋体" w:eastAsia="宋体" w:cs="宋体"/>
          <w:bCs/>
          <w:color w:val="000000"/>
          <w:sz w:val="24"/>
          <w:szCs w:val="24"/>
        </w:rPr>
      </w:pPr>
      <w:r>
        <w:rPr>
          <w:rFonts w:hint="eastAsia" w:ascii="宋体" w:hAnsi="宋体" w:eastAsia="宋体" w:cs="宋体"/>
          <w:bCs/>
          <w:color w:val="000000"/>
          <w:sz w:val="24"/>
          <w:szCs w:val="24"/>
        </w:rPr>
        <w:t>日期：</w:t>
      </w:r>
      <w:r>
        <w:rPr>
          <w:rFonts w:hint="eastAsia" w:ascii="宋体" w:hAnsi="宋体" w:eastAsia="宋体" w:cs="宋体"/>
          <w:bCs/>
          <w:color w:val="000000"/>
          <w:sz w:val="24"/>
          <w:szCs w:val="24"/>
          <w:u w:val="single"/>
        </w:rPr>
        <w:t xml:space="preserve">     </w:t>
      </w:r>
      <w:r>
        <w:rPr>
          <w:rFonts w:hint="eastAsia" w:ascii="宋体" w:hAnsi="宋体" w:eastAsia="宋体" w:cs="宋体"/>
          <w:bCs/>
          <w:color w:val="000000"/>
          <w:sz w:val="24"/>
          <w:szCs w:val="24"/>
        </w:rPr>
        <w:t>年</w:t>
      </w:r>
      <w:r>
        <w:rPr>
          <w:rFonts w:hint="eastAsia" w:ascii="宋体" w:hAnsi="宋体" w:eastAsia="宋体" w:cs="宋体"/>
          <w:bCs/>
          <w:color w:val="000000"/>
          <w:sz w:val="24"/>
          <w:szCs w:val="24"/>
          <w:u w:val="single"/>
        </w:rPr>
        <w:t xml:space="preserve">    </w:t>
      </w:r>
      <w:r>
        <w:rPr>
          <w:rFonts w:hint="eastAsia" w:ascii="宋体" w:hAnsi="宋体" w:eastAsia="宋体" w:cs="宋体"/>
          <w:bCs/>
          <w:color w:val="000000"/>
          <w:sz w:val="24"/>
          <w:szCs w:val="24"/>
        </w:rPr>
        <w:t>月</w:t>
      </w:r>
      <w:r>
        <w:rPr>
          <w:rFonts w:hint="eastAsia" w:ascii="宋体" w:hAnsi="宋体" w:eastAsia="宋体" w:cs="宋体"/>
          <w:bCs/>
          <w:color w:val="000000"/>
          <w:sz w:val="24"/>
          <w:szCs w:val="24"/>
          <w:u w:val="single"/>
        </w:rPr>
        <w:t xml:space="preserve">    </w:t>
      </w:r>
      <w:r>
        <w:rPr>
          <w:rFonts w:hint="eastAsia" w:ascii="宋体" w:hAnsi="宋体" w:eastAsia="宋体" w:cs="宋体"/>
          <w:bCs/>
          <w:color w:val="000000"/>
          <w:sz w:val="24"/>
          <w:szCs w:val="24"/>
        </w:rPr>
        <w:t>日</w:t>
      </w:r>
    </w:p>
    <w:p w14:paraId="17C3DB64">
      <w:pPr>
        <w:pageBreakBefore w:val="0"/>
        <w:spacing w:line="360" w:lineRule="auto"/>
        <w:jc w:val="center"/>
        <w:outlineLvl w:val="1"/>
        <w:rPr>
          <w:rFonts w:hint="eastAsia" w:ascii="宋体" w:hAnsi="宋体" w:eastAsia="宋体" w:cs="宋体"/>
          <w:bCs/>
          <w:color w:val="000000"/>
          <w:sz w:val="24"/>
          <w:szCs w:val="24"/>
        </w:rPr>
      </w:pPr>
      <w:r>
        <w:rPr>
          <w:rFonts w:hint="eastAsia" w:ascii="宋体" w:hAnsi="宋体" w:eastAsia="宋体" w:cs="宋体"/>
          <w:bCs/>
          <w:color w:val="000000"/>
          <w:sz w:val="24"/>
          <w:szCs w:val="24"/>
        </w:rPr>
        <w:br w:type="page" w:clear="all"/>
      </w:r>
    </w:p>
    <w:p w14:paraId="256B6E4E">
      <w:pPr>
        <w:pageBreakBefore w:val="0"/>
        <w:spacing w:line="360" w:lineRule="auto"/>
        <w:jc w:val="center"/>
        <w:outlineLvl w:val="1"/>
        <w:rPr>
          <w:rFonts w:hint="eastAsia" w:ascii="宋体" w:hAnsi="宋体" w:eastAsia="宋体" w:cs="宋体"/>
          <w:b/>
          <w:bCs/>
          <w:color w:val="000000"/>
          <w:sz w:val="30"/>
          <w:szCs w:val="30"/>
        </w:rPr>
      </w:pPr>
      <w:r>
        <w:rPr>
          <w:rFonts w:hint="eastAsia" w:ascii="宋体" w:hAnsi="宋体" w:eastAsia="宋体" w:cs="宋体"/>
          <w:b/>
          <w:bCs/>
          <w:color w:val="000000"/>
          <w:sz w:val="30"/>
          <w:szCs w:val="30"/>
          <w:lang w:val="en-US" w:eastAsia="zh-CN"/>
        </w:rPr>
        <w:t>六、</w:t>
      </w:r>
      <w:r>
        <w:rPr>
          <w:rFonts w:hint="eastAsia" w:ascii="宋体" w:hAnsi="宋体" w:eastAsia="宋体" w:cs="宋体"/>
          <w:b/>
          <w:bCs/>
          <w:color w:val="000000"/>
          <w:sz w:val="30"/>
          <w:szCs w:val="30"/>
        </w:rPr>
        <w:t>参加政府采购活动前3年内在经营活动中没有重大违法记录的书面声明</w:t>
      </w:r>
    </w:p>
    <w:p w14:paraId="20E471CA">
      <w:pPr>
        <w:widowControl/>
        <w:tabs>
          <w:tab w:val="left" w:pos="720"/>
        </w:tabs>
        <w:spacing w:line="360" w:lineRule="auto"/>
        <w:jc w:val="center"/>
        <w:rPr>
          <w:b/>
          <w:color w:val="000000"/>
          <w:sz w:val="24"/>
          <w:szCs w:val="24"/>
          <w:highlight w:val="none"/>
        </w:rPr>
      </w:pPr>
      <w:r>
        <w:rPr>
          <w:rFonts w:hint="eastAsia" w:ascii="宋体" w:hAnsi="宋体" w:cs="宋体"/>
          <w:color w:val="000000"/>
          <w:sz w:val="24"/>
          <w:szCs w:val="24"/>
          <w:highlight w:val="none"/>
        </w:rPr>
        <w:t xml:space="preserve">（参考格式） </w:t>
      </w:r>
    </w:p>
    <w:p w14:paraId="26005D29">
      <w:pPr>
        <w:spacing w:line="360" w:lineRule="auto"/>
        <w:jc w:val="left"/>
        <w:rPr>
          <w:rFonts w:ascii="宋体" w:hAnsi="宋体" w:cs="宋体"/>
          <w:b/>
          <w:color w:val="000000"/>
          <w:sz w:val="24"/>
          <w:szCs w:val="24"/>
          <w:highlight w:val="none"/>
        </w:rPr>
      </w:pPr>
    </w:p>
    <w:p w14:paraId="0247C3D3">
      <w:pPr>
        <w:spacing w:line="360" w:lineRule="auto"/>
        <w:jc w:val="center"/>
        <w:rPr>
          <w:rFonts w:hint="eastAsia" w:ascii="Arial" w:hAnsi="Arial" w:cs="Arial"/>
          <w:color w:val="000000"/>
          <w:sz w:val="24"/>
          <w:szCs w:val="24"/>
          <w:highlight w:val="none"/>
        </w:rPr>
      </w:pPr>
      <w:r>
        <w:rPr>
          <w:rFonts w:hint="eastAsia" w:ascii="宋体" w:hAnsi="宋体" w:cs="宋体"/>
          <w:color w:val="000000"/>
          <w:sz w:val="24"/>
          <w:szCs w:val="24"/>
          <w:highlight w:val="none"/>
        </w:rPr>
        <w:t>声 明</w:t>
      </w:r>
    </w:p>
    <w:p w14:paraId="63143C41">
      <w:pPr>
        <w:spacing w:line="360" w:lineRule="auto"/>
        <w:ind w:firstLine="475"/>
        <w:jc w:val="left"/>
        <w:rPr>
          <w:rFonts w:ascii="Arial" w:hAnsi="Arial" w:cs="Arial"/>
          <w:color w:val="000000"/>
          <w:sz w:val="24"/>
          <w:szCs w:val="24"/>
          <w:highlight w:val="none"/>
        </w:rPr>
      </w:pPr>
      <w:r>
        <w:rPr>
          <w:rFonts w:hint="eastAsia" w:ascii="宋体" w:hAnsi="宋体" w:cs="宋体"/>
          <w:color w:val="000000"/>
          <w:sz w:val="24"/>
          <w:szCs w:val="24"/>
          <w:highlight w:val="none"/>
        </w:rPr>
        <w:t xml:space="preserve">我公司郑重声明：参加本次政府采购活动前3年内，我公司在经营活动中没有因违法经营受到刑事处罚或者责令停产停业、吊销许可证或者执照、较大数额罚款等行政处罚。 </w:t>
      </w:r>
    </w:p>
    <w:p w14:paraId="31BE2AE6">
      <w:pPr>
        <w:spacing w:line="360" w:lineRule="auto"/>
        <w:jc w:val="right"/>
        <w:rPr>
          <w:rFonts w:ascii="宋体" w:hAnsi="宋体" w:cs="宋体"/>
          <w:color w:val="000000"/>
          <w:sz w:val="24"/>
          <w:szCs w:val="24"/>
          <w:highlight w:val="none"/>
        </w:rPr>
      </w:pPr>
    </w:p>
    <w:p w14:paraId="3EF30155">
      <w:pPr>
        <w:spacing w:line="360" w:lineRule="auto"/>
        <w:jc w:val="right"/>
        <w:rPr>
          <w:rFonts w:hint="eastAsia" w:ascii="宋体" w:hAnsi="宋体" w:cs="宋体"/>
          <w:color w:val="000000"/>
          <w:sz w:val="24"/>
          <w:szCs w:val="24"/>
          <w:highlight w:val="none"/>
        </w:rPr>
      </w:pPr>
    </w:p>
    <w:p w14:paraId="27CE0ECE">
      <w:pPr>
        <w:pStyle w:val="252"/>
        <w:pageBreakBefore w:val="0"/>
        <w:spacing w:before="0" w:after="0" w:line="360" w:lineRule="auto"/>
        <w:ind w:firstLine="0"/>
        <w:jc w:val="both"/>
        <w:rPr>
          <w:rFonts w:hint="eastAsia" w:ascii="宋体" w:hAnsi="宋体" w:eastAsia="宋体" w:cs="宋体"/>
          <w:color w:val="000000"/>
          <w:sz w:val="24"/>
          <w:szCs w:val="24"/>
        </w:rPr>
      </w:pPr>
      <w:r>
        <w:rPr>
          <w:rFonts w:hint="eastAsia" w:ascii="宋体" w:hAnsi="宋体" w:eastAsia="宋体" w:cs="宋体"/>
          <w:color w:val="000000"/>
          <w:sz w:val="24"/>
          <w:szCs w:val="24"/>
        </w:rPr>
        <w:t>供应商名称（加盖CA电子公章）：</w:t>
      </w:r>
    </w:p>
    <w:p w14:paraId="5D8D1386">
      <w:pPr>
        <w:pageBreakBefore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日期：</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 年</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月</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日</w:t>
      </w:r>
    </w:p>
    <w:p w14:paraId="61426053">
      <w:pPr>
        <w:pageBreakBefore w:val="0"/>
        <w:spacing w:line="360" w:lineRule="auto"/>
        <w:jc w:val="center"/>
        <w:outlineLvl w:val="1"/>
        <w:rPr>
          <w:rFonts w:hint="eastAsia" w:ascii="宋体" w:hAnsi="宋体" w:eastAsia="宋体" w:cs="宋体"/>
          <w:bCs/>
          <w:color w:val="000000"/>
          <w:sz w:val="24"/>
          <w:szCs w:val="24"/>
        </w:rPr>
      </w:pPr>
    </w:p>
    <w:p w14:paraId="6E10C09D">
      <w:pPr>
        <w:pageBreakBefore w:val="0"/>
        <w:spacing w:line="360" w:lineRule="auto"/>
        <w:jc w:val="center"/>
        <w:outlineLvl w:val="1"/>
        <w:rPr>
          <w:rFonts w:hint="eastAsia" w:ascii="宋体" w:hAnsi="宋体" w:eastAsia="宋体" w:cs="宋体"/>
          <w:bCs/>
          <w:color w:val="000000"/>
          <w:sz w:val="24"/>
          <w:szCs w:val="24"/>
        </w:rPr>
      </w:pPr>
    </w:p>
    <w:p w14:paraId="4DBD12B1">
      <w:pPr>
        <w:pageBreakBefore w:val="0"/>
        <w:spacing w:line="360" w:lineRule="auto"/>
        <w:jc w:val="center"/>
        <w:outlineLvl w:val="1"/>
        <w:rPr>
          <w:rFonts w:hint="eastAsia" w:ascii="宋体" w:hAnsi="宋体" w:eastAsia="宋体" w:cs="宋体"/>
          <w:bCs/>
          <w:color w:val="000000"/>
          <w:sz w:val="24"/>
          <w:szCs w:val="24"/>
        </w:rPr>
      </w:pPr>
    </w:p>
    <w:p w14:paraId="7C9BFE17">
      <w:pPr>
        <w:pageBreakBefore w:val="0"/>
        <w:spacing w:line="360" w:lineRule="auto"/>
        <w:jc w:val="center"/>
        <w:outlineLvl w:val="1"/>
        <w:rPr>
          <w:rFonts w:hint="eastAsia" w:ascii="宋体" w:hAnsi="宋体" w:eastAsia="宋体" w:cs="宋体"/>
          <w:bCs/>
          <w:color w:val="000000"/>
          <w:sz w:val="24"/>
          <w:szCs w:val="24"/>
        </w:rPr>
      </w:pPr>
    </w:p>
    <w:p w14:paraId="385A42A0">
      <w:pPr>
        <w:pageBreakBefore w:val="0"/>
        <w:spacing w:line="360" w:lineRule="auto"/>
        <w:jc w:val="center"/>
        <w:outlineLvl w:val="1"/>
        <w:rPr>
          <w:rFonts w:hint="eastAsia" w:ascii="宋体" w:hAnsi="宋体" w:eastAsia="宋体" w:cs="宋体"/>
          <w:bCs/>
          <w:color w:val="000000"/>
          <w:sz w:val="24"/>
          <w:szCs w:val="24"/>
        </w:rPr>
      </w:pPr>
    </w:p>
    <w:p w14:paraId="6D5A7E54">
      <w:pPr>
        <w:pageBreakBefore w:val="0"/>
        <w:spacing w:line="360" w:lineRule="auto"/>
        <w:jc w:val="center"/>
        <w:outlineLvl w:val="1"/>
        <w:rPr>
          <w:rFonts w:hint="eastAsia" w:ascii="宋体" w:hAnsi="宋体" w:eastAsia="宋体" w:cs="宋体"/>
          <w:bCs/>
          <w:color w:val="000000"/>
          <w:sz w:val="24"/>
          <w:szCs w:val="24"/>
        </w:rPr>
      </w:pPr>
    </w:p>
    <w:p w14:paraId="2FF7FD89">
      <w:pPr>
        <w:pageBreakBefore w:val="0"/>
        <w:spacing w:line="360" w:lineRule="auto"/>
        <w:jc w:val="center"/>
        <w:outlineLvl w:val="1"/>
        <w:rPr>
          <w:rFonts w:hint="eastAsia" w:ascii="宋体" w:hAnsi="宋体" w:eastAsia="宋体" w:cs="宋体"/>
          <w:bCs/>
          <w:color w:val="000000"/>
          <w:sz w:val="24"/>
          <w:szCs w:val="24"/>
        </w:rPr>
      </w:pPr>
    </w:p>
    <w:p w14:paraId="7727E9A0">
      <w:pPr>
        <w:pageBreakBefore w:val="0"/>
        <w:spacing w:line="360" w:lineRule="auto"/>
        <w:jc w:val="center"/>
        <w:outlineLvl w:val="1"/>
        <w:rPr>
          <w:rFonts w:hint="eastAsia" w:ascii="宋体" w:hAnsi="宋体" w:eastAsia="宋体" w:cs="宋体"/>
          <w:bCs/>
          <w:color w:val="000000"/>
          <w:sz w:val="24"/>
          <w:szCs w:val="24"/>
        </w:rPr>
      </w:pPr>
    </w:p>
    <w:p w14:paraId="3AAFEDF5">
      <w:pPr>
        <w:pageBreakBefore w:val="0"/>
        <w:spacing w:line="360" w:lineRule="auto"/>
        <w:jc w:val="center"/>
        <w:outlineLvl w:val="1"/>
        <w:rPr>
          <w:rFonts w:hint="eastAsia" w:ascii="宋体" w:hAnsi="宋体" w:eastAsia="宋体" w:cs="宋体"/>
          <w:bCs/>
          <w:color w:val="000000"/>
          <w:sz w:val="24"/>
          <w:szCs w:val="24"/>
        </w:rPr>
      </w:pPr>
    </w:p>
    <w:p w14:paraId="2A882041">
      <w:pPr>
        <w:pageBreakBefore w:val="0"/>
        <w:spacing w:line="360" w:lineRule="auto"/>
        <w:jc w:val="center"/>
        <w:outlineLvl w:val="1"/>
        <w:rPr>
          <w:rFonts w:hint="eastAsia" w:ascii="宋体" w:hAnsi="宋体" w:eastAsia="宋体" w:cs="宋体"/>
          <w:bCs/>
          <w:color w:val="000000"/>
          <w:sz w:val="24"/>
          <w:szCs w:val="24"/>
        </w:rPr>
      </w:pPr>
    </w:p>
    <w:p w14:paraId="14F42BDA">
      <w:pPr>
        <w:pageBreakBefore w:val="0"/>
        <w:spacing w:line="360" w:lineRule="auto"/>
        <w:jc w:val="center"/>
        <w:outlineLvl w:val="1"/>
        <w:rPr>
          <w:rFonts w:hint="eastAsia" w:ascii="宋体" w:hAnsi="宋体" w:eastAsia="宋体" w:cs="宋体"/>
          <w:bCs/>
          <w:color w:val="000000"/>
          <w:sz w:val="24"/>
          <w:szCs w:val="24"/>
        </w:rPr>
      </w:pPr>
    </w:p>
    <w:p w14:paraId="2BCF957F">
      <w:pPr>
        <w:pageBreakBefore w:val="0"/>
        <w:spacing w:line="360" w:lineRule="auto"/>
        <w:jc w:val="center"/>
        <w:outlineLvl w:val="1"/>
        <w:rPr>
          <w:rFonts w:hint="eastAsia" w:ascii="宋体" w:hAnsi="宋体" w:eastAsia="宋体" w:cs="宋体"/>
          <w:bCs/>
          <w:color w:val="000000"/>
          <w:sz w:val="24"/>
          <w:szCs w:val="24"/>
        </w:rPr>
      </w:pPr>
    </w:p>
    <w:p w14:paraId="6AF2545D">
      <w:pPr>
        <w:pageBreakBefore w:val="0"/>
        <w:spacing w:line="360" w:lineRule="auto"/>
        <w:jc w:val="center"/>
        <w:outlineLvl w:val="1"/>
        <w:rPr>
          <w:rFonts w:hint="eastAsia" w:ascii="宋体" w:hAnsi="宋体" w:eastAsia="宋体" w:cs="宋体"/>
          <w:bCs/>
          <w:color w:val="000000"/>
          <w:sz w:val="24"/>
          <w:szCs w:val="24"/>
        </w:rPr>
      </w:pPr>
    </w:p>
    <w:p w14:paraId="03B890BE">
      <w:pPr>
        <w:pageBreakBefore w:val="0"/>
        <w:spacing w:line="360" w:lineRule="auto"/>
        <w:jc w:val="center"/>
        <w:outlineLvl w:val="1"/>
        <w:rPr>
          <w:rFonts w:hint="eastAsia" w:ascii="宋体" w:hAnsi="宋体" w:eastAsia="宋体" w:cs="宋体"/>
          <w:bCs/>
          <w:color w:val="000000"/>
          <w:sz w:val="24"/>
          <w:szCs w:val="24"/>
        </w:rPr>
      </w:pPr>
    </w:p>
    <w:p w14:paraId="362D5978">
      <w:pPr>
        <w:pageBreakBefore w:val="0"/>
        <w:spacing w:line="360" w:lineRule="auto"/>
        <w:jc w:val="center"/>
        <w:outlineLvl w:val="1"/>
        <w:rPr>
          <w:rFonts w:hint="eastAsia" w:ascii="宋体" w:hAnsi="宋体" w:eastAsia="宋体" w:cs="宋体"/>
          <w:bCs/>
          <w:color w:val="000000"/>
          <w:sz w:val="24"/>
          <w:szCs w:val="24"/>
        </w:rPr>
      </w:pPr>
    </w:p>
    <w:p w14:paraId="14885D65">
      <w:pPr>
        <w:pageBreakBefore w:val="0"/>
        <w:spacing w:line="360" w:lineRule="auto"/>
        <w:jc w:val="center"/>
        <w:outlineLvl w:val="1"/>
        <w:rPr>
          <w:rFonts w:hint="eastAsia" w:ascii="宋体" w:hAnsi="宋体" w:eastAsia="宋体" w:cs="宋体"/>
          <w:bCs/>
          <w:color w:val="000000"/>
          <w:sz w:val="24"/>
          <w:szCs w:val="24"/>
        </w:rPr>
      </w:pPr>
    </w:p>
    <w:p w14:paraId="33359316">
      <w:pPr>
        <w:pageBreakBefore w:val="0"/>
        <w:spacing w:line="360" w:lineRule="auto"/>
        <w:jc w:val="center"/>
        <w:outlineLvl w:val="1"/>
        <w:rPr>
          <w:rFonts w:hint="eastAsia" w:ascii="宋体" w:hAnsi="宋体" w:eastAsia="宋体" w:cs="宋体"/>
          <w:bCs/>
          <w:color w:val="000000"/>
          <w:sz w:val="24"/>
          <w:szCs w:val="24"/>
        </w:rPr>
      </w:pPr>
    </w:p>
    <w:p w14:paraId="27868D13">
      <w:pPr>
        <w:pageBreakBefore w:val="0"/>
        <w:numPr>
          <w:ilvl w:val="0"/>
          <w:numId w:val="8"/>
        </w:numPr>
        <w:spacing w:line="360" w:lineRule="auto"/>
        <w:jc w:val="center"/>
        <w:outlineLvl w:val="1"/>
        <w:rPr>
          <w:rFonts w:hint="eastAsia" w:ascii="宋体" w:hAnsi="宋体" w:eastAsia="宋体" w:cs="宋体"/>
          <w:b/>
          <w:bCs/>
          <w:color w:val="000000"/>
          <w:sz w:val="30"/>
          <w:szCs w:val="30"/>
          <w:lang w:val="en-US" w:eastAsia="zh-CN" w:bidi="ar-SA"/>
        </w:rPr>
      </w:pPr>
      <w:r>
        <w:rPr>
          <w:rFonts w:hint="eastAsia" w:ascii="宋体" w:hAnsi="宋体" w:eastAsia="宋体" w:cs="宋体"/>
          <w:b/>
          <w:bCs/>
          <w:color w:val="000000"/>
          <w:sz w:val="30"/>
          <w:szCs w:val="30"/>
          <w:lang w:val="en-US" w:eastAsia="zh-CN" w:bidi="ar-SA"/>
        </w:rPr>
        <w:t>承诺书</w:t>
      </w:r>
    </w:p>
    <w:p w14:paraId="31DB6104">
      <w:pPr>
        <w:pageBreakBefore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致 ：</w:t>
      </w:r>
      <w:r>
        <w:rPr>
          <w:rFonts w:hint="eastAsia" w:ascii="宋体" w:hAnsi="宋体" w:eastAsia="宋体" w:cs="宋体"/>
          <w:color w:val="000000"/>
          <w:sz w:val="24"/>
          <w:szCs w:val="24"/>
          <w:u w:val="single"/>
        </w:rPr>
        <w:t xml:space="preserve">                </w:t>
      </w:r>
    </w:p>
    <w:p w14:paraId="2B8F8610">
      <w:pPr>
        <w:pageBreakBefore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本单位</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单位名称）参加 </w:t>
      </w:r>
      <w:r>
        <w:rPr>
          <w:rFonts w:hint="eastAsia" w:ascii="宋体" w:hAnsi="宋体" w:eastAsia="宋体" w:cs="宋体"/>
          <w:color w:val="000000"/>
          <w:sz w:val="24"/>
          <w:szCs w:val="24"/>
          <w:u w:val="single"/>
        </w:rPr>
        <w:t xml:space="preserve">   （项目名称和项目编号）</w:t>
      </w:r>
      <w:r>
        <w:rPr>
          <w:rFonts w:hint="eastAsia" w:ascii="宋体" w:hAnsi="宋体" w:eastAsia="宋体" w:cs="宋体"/>
          <w:color w:val="000000"/>
          <w:sz w:val="24"/>
          <w:szCs w:val="24"/>
        </w:rPr>
        <w:t>的政府采购活动，郑重承诺具备以下条件：</w:t>
      </w:r>
    </w:p>
    <w:p w14:paraId="375658D3">
      <w:pPr>
        <w:pageBreakBefore w:val="0"/>
        <w:widowControl/>
        <w:spacing w:line="360" w:lineRule="auto"/>
        <w:ind w:firstLine="480"/>
        <w:jc w:val="left"/>
        <w:rPr>
          <w:rFonts w:hint="eastAsia" w:ascii="宋体" w:hAnsi="宋体" w:eastAsia="宋体" w:cs="宋体"/>
          <w:color w:val="000000"/>
          <w:sz w:val="24"/>
          <w:szCs w:val="24"/>
        </w:rPr>
      </w:pPr>
      <w:r>
        <w:rPr>
          <w:rFonts w:hint="eastAsia" w:ascii="宋体" w:hAnsi="宋体" w:eastAsia="宋体" w:cs="宋体"/>
          <w:color w:val="000000"/>
          <w:sz w:val="24"/>
          <w:szCs w:val="24"/>
        </w:rPr>
        <w:t>（</w:t>
      </w:r>
      <w:r>
        <w:rPr>
          <w:rFonts w:hint="eastAsia" w:ascii="宋体" w:hAnsi="宋体" w:cs="宋体"/>
          <w:color w:val="000000"/>
          <w:sz w:val="24"/>
          <w:szCs w:val="24"/>
          <w:lang w:val="en-US" w:eastAsia="zh-CN"/>
        </w:rPr>
        <w:t>一</w:t>
      </w:r>
      <w:r>
        <w:rPr>
          <w:rFonts w:hint="eastAsia" w:ascii="宋体" w:hAnsi="宋体" w:eastAsia="宋体" w:cs="宋体"/>
          <w:color w:val="000000"/>
          <w:sz w:val="24"/>
          <w:szCs w:val="24"/>
        </w:rPr>
        <w:t>）未被“信用中国”网站（</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"http://www.creditchina.gov.cn" </w:instrText>
      </w:r>
      <w:r>
        <w:rPr>
          <w:rFonts w:hint="eastAsia" w:ascii="宋体" w:hAnsi="宋体" w:eastAsia="宋体" w:cs="宋体"/>
          <w:sz w:val="24"/>
          <w:szCs w:val="24"/>
        </w:rPr>
        <w:fldChar w:fldCharType="separate"/>
      </w:r>
      <w:r>
        <w:rPr>
          <w:rFonts w:hint="eastAsia" w:ascii="宋体" w:hAnsi="宋体" w:eastAsia="宋体" w:cs="宋体"/>
          <w:color w:val="000000"/>
          <w:sz w:val="24"/>
          <w:szCs w:val="24"/>
        </w:rPr>
        <w:t>www.creditchina.gov.cn</w:t>
      </w:r>
      <w:r>
        <w:rPr>
          <w:rFonts w:hint="eastAsia" w:ascii="宋体" w:hAnsi="宋体" w:eastAsia="宋体" w:cs="宋体"/>
          <w:color w:val="000000"/>
          <w:sz w:val="24"/>
          <w:szCs w:val="24"/>
        </w:rPr>
        <w:fldChar w:fldCharType="end"/>
      </w:r>
      <w:r>
        <w:rPr>
          <w:rFonts w:hint="eastAsia" w:ascii="宋体" w:hAnsi="宋体" w:eastAsia="宋体" w:cs="宋体"/>
          <w:color w:val="000000"/>
          <w:sz w:val="24"/>
          <w:szCs w:val="24"/>
        </w:rPr>
        <w:t>）列入失</w:t>
      </w:r>
      <w:r>
        <w:rPr>
          <w:rFonts w:hint="eastAsia" w:ascii="宋体" w:hAnsi="宋体" w:cs="宋体"/>
          <w:color w:val="000000"/>
          <w:sz w:val="24"/>
          <w:szCs w:val="24"/>
          <w:lang w:eastAsia="zh-CN"/>
        </w:rPr>
        <w:t>信被</w:t>
      </w:r>
      <w:r>
        <w:rPr>
          <w:rFonts w:hint="eastAsia" w:ascii="宋体" w:hAnsi="宋体" w:eastAsia="宋体" w:cs="宋体"/>
          <w:color w:val="000000"/>
          <w:sz w:val="24"/>
          <w:szCs w:val="24"/>
        </w:rPr>
        <w:t>执行人、</w:t>
      </w:r>
      <w:r>
        <w:rPr>
          <w:rFonts w:hint="eastAsia" w:ascii="宋体" w:hAnsi="宋体" w:eastAsia="宋体" w:cs="宋体"/>
          <w:b w:val="0"/>
          <w:bCs w:val="0"/>
          <w:color w:val="000000"/>
          <w:sz w:val="24"/>
          <w:szCs w:val="24"/>
          <w:highlight w:val="none"/>
          <w:lang w:val="zh-CN"/>
        </w:rPr>
        <w:t>重大税收违法失信主体</w:t>
      </w:r>
      <w:r>
        <w:rPr>
          <w:rFonts w:hint="eastAsia" w:ascii="宋体" w:hAnsi="宋体" w:eastAsia="宋体" w:cs="宋体"/>
          <w:color w:val="000000"/>
          <w:sz w:val="24"/>
          <w:szCs w:val="24"/>
        </w:rPr>
        <w:t>、政府采购严重违法失信行为记录名单。</w:t>
      </w:r>
    </w:p>
    <w:p w14:paraId="7AE8AC05">
      <w:pPr>
        <w:pageBreakBefore w:val="0"/>
        <w:widowControl/>
        <w:spacing w:line="360" w:lineRule="auto"/>
        <w:ind w:firstLine="480"/>
        <w:jc w:val="left"/>
        <w:rPr>
          <w:rFonts w:hint="eastAsia" w:ascii="宋体" w:hAnsi="宋体" w:eastAsia="宋体" w:cs="宋体"/>
          <w:color w:val="000000"/>
          <w:sz w:val="24"/>
          <w:szCs w:val="24"/>
        </w:rPr>
      </w:pPr>
      <w:r>
        <w:rPr>
          <w:rFonts w:hint="eastAsia" w:ascii="宋体" w:hAnsi="宋体" w:eastAsia="宋体" w:cs="宋体"/>
          <w:color w:val="000000"/>
          <w:sz w:val="24"/>
          <w:szCs w:val="24"/>
        </w:rPr>
        <w:t>（</w:t>
      </w:r>
      <w:r>
        <w:rPr>
          <w:rFonts w:hint="eastAsia" w:ascii="宋体" w:hAnsi="宋体" w:cs="宋体"/>
          <w:color w:val="000000"/>
          <w:sz w:val="24"/>
          <w:szCs w:val="24"/>
          <w:lang w:val="en-US" w:eastAsia="zh-CN"/>
        </w:rPr>
        <w:t>二</w:t>
      </w:r>
      <w:r>
        <w:rPr>
          <w:rFonts w:hint="eastAsia" w:ascii="宋体" w:hAnsi="宋体" w:eastAsia="宋体" w:cs="宋体"/>
          <w:color w:val="000000"/>
          <w:sz w:val="24"/>
          <w:szCs w:val="24"/>
        </w:rPr>
        <w:t>）供应商单位负责人为同一人或者存在直接控股、管理关系的不同供应商，不得参加同一合同项下的政府采购活动。</w:t>
      </w:r>
    </w:p>
    <w:p w14:paraId="5E4FB9A0">
      <w:pPr>
        <w:pageBreakBefore w:val="0"/>
        <w:widowControl/>
        <w:spacing w:line="360" w:lineRule="auto"/>
        <w:ind w:firstLine="480"/>
        <w:jc w:val="left"/>
        <w:rPr>
          <w:rFonts w:hint="eastAsia" w:ascii="宋体" w:hAnsi="宋体" w:eastAsia="宋体" w:cs="宋体"/>
          <w:color w:val="000000"/>
          <w:sz w:val="24"/>
          <w:szCs w:val="24"/>
        </w:rPr>
      </w:pPr>
      <w:r>
        <w:rPr>
          <w:rFonts w:hint="eastAsia" w:ascii="宋体" w:hAnsi="宋体" w:eastAsia="宋体" w:cs="宋体"/>
          <w:color w:val="000000"/>
          <w:sz w:val="24"/>
          <w:szCs w:val="24"/>
        </w:rPr>
        <w:t>（</w:t>
      </w:r>
      <w:r>
        <w:rPr>
          <w:rFonts w:hint="eastAsia" w:ascii="宋体" w:hAnsi="宋体" w:cs="宋体"/>
          <w:color w:val="000000"/>
          <w:sz w:val="24"/>
          <w:szCs w:val="24"/>
          <w:lang w:val="en-US" w:eastAsia="zh-CN"/>
        </w:rPr>
        <w:t>三</w:t>
      </w:r>
      <w:r>
        <w:rPr>
          <w:rFonts w:hint="eastAsia" w:ascii="宋体" w:hAnsi="宋体" w:eastAsia="宋体" w:cs="宋体"/>
          <w:color w:val="000000"/>
          <w:sz w:val="24"/>
          <w:szCs w:val="24"/>
        </w:rPr>
        <w:t>）为采购项目提供整体设计、规范编制或者项目管理、监理、检测等服务的供应商，不得再参加该采购项目的其他采购活动。</w:t>
      </w:r>
    </w:p>
    <w:p w14:paraId="12325E97">
      <w:pPr>
        <w:pageBreakBefore w:val="0"/>
        <w:widowControl/>
        <w:spacing w:line="360" w:lineRule="auto"/>
        <w:ind w:firstLine="480"/>
        <w:jc w:val="left"/>
        <w:rPr>
          <w:rFonts w:hint="eastAsia" w:ascii="宋体" w:hAnsi="宋体" w:eastAsia="宋体" w:cs="宋体"/>
          <w:color w:val="000000"/>
          <w:sz w:val="24"/>
          <w:szCs w:val="24"/>
        </w:rPr>
      </w:pPr>
      <w:r>
        <w:rPr>
          <w:rFonts w:hint="eastAsia" w:ascii="宋体" w:hAnsi="宋体" w:eastAsia="宋体" w:cs="宋体"/>
          <w:color w:val="000000"/>
          <w:sz w:val="24"/>
          <w:szCs w:val="24"/>
        </w:rPr>
        <w:t>本单位对上述承诺的真实性负责。如有虚假，将依法承担相应责任。同时我们同意如贵方要求，可以出示相关证明文件。</w:t>
      </w:r>
    </w:p>
    <w:p w14:paraId="68A38E4C">
      <w:pPr>
        <w:pageBreakBefore w:val="0"/>
        <w:widowControl/>
        <w:spacing w:line="360" w:lineRule="auto"/>
        <w:ind w:firstLine="480"/>
        <w:jc w:val="left"/>
        <w:rPr>
          <w:rFonts w:hint="eastAsia" w:ascii="宋体" w:hAnsi="宋体" w:eastAsia="宋体" w:cs="宋体"/>
          <w:color w:val="000000"/>
          <w:sz w:val="24"/>
          <w:szCs w:val="24"/>
        </w:rPr>
      </w:pPr>
    </w:p>
    <w:p w14:paraId="3F056A8F">
      <w:pPr>
        <w:pageBreakBefore w:val="0"/>
        <w:widowControl/>
        <w:spacing w:line="360" w:lineRule="auto"/>
        <w:ind w:firstLine="480"/>
        <w:jc w:val="left"/>
        <w:rPr>
          <w:rFonts w:hint="eastAsia" w:ascii="宋体" w:hAnsi="宋体" w:eastAsia="宋体" w:cs="宋体"/>
          <w:color w:val="000000"/>
          <w:sz w:val="24"/>
          <w:szCs w:val="24"/>
        </w:rPr>
      </w:pPr>
    </w:p>
    <w:p w14:paraId="27988867">
      <w:pPr>
        <w:pageBreakBefore w:val="0"/>
        <w:widowControl/>
        <w:spacing w:line="360" w:lineRule="auto"/>
        <w:ind w:firstLine="480"/>
        <w:jc w:val="left"/>
        <w:rPr>
          <w:rFonts w:hint="eastAsia" w:ascii="宋体" w:hAnsi="宋体" w:eastAsia="宋体" w:cs="宋体"/>
          <w:color w:val="000000"/>
          <w:sz w:val="24"/>
          <w:szCs w:val="24"/>
        </w:rPr>
      </w:pPr>
    </w:p>
    <w:p w14:paraId="4642DE46">
      <w:pPr>
        <w:pStyle w:val="252"/>
        <w:pageBreakBefore w:val="0"/>
        <w:spacing w:before="0" w:after="0" w:line="360" w:lineRule="auto"/>
        <w:ind w:firstLine="0"/>
        <w:jc w:val="both"/>
        <w:rPr>
          <w:rFonts w:hint="eastAsia" w:ascii="宋体" w:hAnsi="宋体" w:eastAsia="宋体" w:cs="宋体"/>
          <w:color w:val="000000"/>
          <w:sz w:val="24"/>
          <w:szCs w:val="24"/>
        </w:rPr>
      </w:pPr>
      <w:r>
        <w:rPr>
          <w:rFonts w:hint="eastAsia" w:ascii="宋体" w:hAnsi="宋体" w:eastAsia="宋体" w:cs="宋体"/>
          <w:color w:val="000000"/>
          <w:sz w:val="24"/>
          <w:szCs w:val="24"/>
        </w:rPr>
        <w:t>供应商名称（加盖CA电子公章）：</w:t>
      </w:r>
    </w:p>
    <w:p w14:paraId="3F2F7F5B">
      <w:pPr>
        <w:pageBreakBefore w:val="0"/>
        <w:spacing w:line="360" w:lineRule="auto"/>
        <w:jc w:val="both"/>
        <w:rPr>
          <w:rFonts w:hint="eastAsia" w:ascii="宋体" w:hAnsi="宋体" w:eastAsia="宋体" w:cs="宋体"/>
          <w:color w:val="000000"/>
          <w:sz w:val="24"/>
          <w:szCs w:val="24"/>
        </w:rPr>
      </w:pPr>
      <w:r>
        <w:rPr>
          <w:rFonts w:hint="eastAsia" w:ascii="宋体" w:hAnsi="宋体" w:eastAsia="宋体" w:cs="宋体"/>
          <w:color w:val="000000"/>
          <w:sz w:val="24"/>
          <w:szCs w:val="24"/>
        </w:rPr>
        <w:t>日期：</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 年</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月</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日</w:t>
      </w:r>
    </w:p>
    <w:p w14:paraId="43F0F61E">
      <w:pPr>
        <w:pageBreakBefore w:val="0"/>
        <w:spacing w:line="360" w:lineRule="auto"/>
        <w:jc w:val="right"/>
        <w:outlineLvl w:val="1"/>
        <w:rPr>
          <w:rFonts w:hint="eastAsia" w:ascii="宋体" w:hAnsi="宋体" w:eastAsia="宋体" w:cs="宋体"/>
          <w:bCs/>
          <w:color w:val="000000"/>
          <w:sz w:val="24"/>
          <w:szCs w:val="24"/>
        </w:rPr>
      </w:pPr>
    </w:p>
    <w:p w14:paraId="5912EA78">
      <w:pPr>
        <w:pageBreakBefore w:val="0"/>
        <w:widowControl/>
        <w:spacing w:line="360" w:lineRule="auto"/>
        <w:ind w:firstLine="480"/>
        <w:jc w:val="left"/>
        <w:rPr>
          <w:rFonts w:hint="eastAsia" w:ascii="宋体" w:hAnsi="宋体" w:eastAsia="宋体" w:cs="宋体"/>
          <w:color w:val="000000"/>
          <w:sz w:val="24"/>
          <w:szCs w:val="24"/>
        </w:rPr>
      </w:pPr>
    </w:p>
    <w:p w14:paraId="5B0A3C12">
      <w:pPr>
        <w:pageBreakBefore w:val="0"/>
        <w:widowControl/>
        <w:spacing w:line="360" w:lineRule="auto"/>
        <w:ind w:firstLine="480"/>
        <w:jc w:val="left"/>
        <w:rPr>
          <w:rFonts w:hint="eastAsia" w:ascii="宋体" w:hAnsi="宋体" w:eastAsia="宋体" w:cs="宋体"/>
          <w:color w:val="000000"/>
          <w:sz w:val="24"/>
          <w:szCs w:val="24"/>
        </w:rPr>
      </w:pPr>
    </w:p>
    <w:p w14:paraId="746D0334">
      <w:pPr>
        <w:pageBreakBefore w:val="0"/>
        <w:widowControl/>
        <w:spacing w:line="360" w:lineRule="auto"/>
        <w:ind w:firstLine="480"/>
        <w:jc w:val="left"/>
        <w:rPr>
          <w:rFonts w:hint="eastAsia" w:ascii="宋体" w:hAnsi="宋体" w:eastAsia="宋体" w:cs="宋体"/>
          <w:color w:val="000000"/>
          <w:sz w:val="24"/>
          <w:szCs w:val="24"/>
        </w:rPr>
      </w:pPr>
    </w:p>
    <w:p w14:paraId="764CEEFF">
      <w:pPr>
        <w:pageBreakBefore w:val="0"/>
        <w:widowControl/>
        <w:spacing w:line="360" w:lineRule="auto"/>
        <w:ind w:firstLine="480"/>
        <w:jc w:val="left"/>
        <w:rPr>
          <w:rFonts w:hint="eastAsia" w:ascii="宋体" w:hAnsi="宋体" w:eastAsia="宋体" w:cs="宋体"/>
          <w:color w:val="000000"/>
          <w:sz w:val="24"/>
          <w:szCs w:val="24"/>
        </w:rPr>
      </w:pPr>
    </w:p>
    <w:p w14:paraId="67AF7848">
      <w:pPr>
        <w:pageBreakBefore w:val="0"/>
        <w:widowControl/>
        <w:spacing w:line="360" w:lineRule="auto"/>
        <w:ind w:firstLine="480"/>
        <w:jc w:val="left"/>
        <w:rPr>
          <w:rFonts w:hint="eastAsia" w:ascii="宋体" w:hAnsi="宋体" w:eastAsia="宋体" w:cs="宋体"/>
          <w:color w:val="000000"/>
          <w:sz w:val="24"/>
          <w:szCs w:val="24"/>
        </w:rPr>
      </w:pPr>
    </w:p>
    <w:p w14:paraId="6DB88A05">
      <w:pPr>
        <w:pageBreakBefore w:val="0"/>
        <w:widowControl/>
        <w:spacing w:line="360" w:lineRule="auto"/>
        <w:ind w:firstLine="480"/>
        <w:jc w:val="left"/>
        <w:rPr>
          <w:rFonts w:hint="eastAsia" w:ascii="宋体" w:hAnsi="宋体" w:eastAsia="宋体" w:cs="宋体"/>
          <w:color w:val="000000"/>
          <w:sz w:val="24"/>
          <w:szCs w:val="24"/>
        </w:rPr>
      </w:pPr>
    </w:p>
    <w:p w14:paraId="221ECF6A">
      <w:pPr>
        <w:pageBreakBefore w:val="0"/>
        <w:widowControl/>
        <w:spacing w:line="360" w:lineRule="auto"/>
        <w:ind w:firstLine="480"/>
        <w:jc w:val="left"/>
        <w:rPr>
          <w:rFonts w:hint="eastAsia" w:ascii="宋体" w:hAnsi="宋体" w:eastAsia="宋体" w:cs="宋体"/>
          <w:color w:val="000000"/>
          <w:sz w:val="24"/>
          <w:szCs w:val="24"/>
        </w:rPr>
      </w:pPr>
    </w:p>
    <w:p w14:paraId="2857DEE9">
      <w:pPr>
        <w:pageBreakBefore w:val="0"/>
        <w:widowControl/>
        <w:spacing w:line="360" w:lineRule="auto"/>
        <w:ind w:firstLine="480"/>
        <w:jc w:val="left"/>
        <w:rPr>
          <w:rFonts w:hint="eastAsia" w:ascii="宋体" w:hAnsi="宋体" w:eastAsia="宋体" w:cs="宋体"/>
          <w:color w:val="000000"/>
          <w:sz w:val="24"/>
          <w:szCs w:val="24"/>
        </w:rPr>
      </w:pPr>
    </w:p>
    <w:p w14:paraId="1B247D38">
      <w:pPr>
        <w:pageBreakBefore w:val="0"/>
        <w:widowControl/>
        <w:spacing w:line="360" w:lineRule="auto"/>
        <w:ind w:firstLine="480"/>
        <w:jc w:val="left"/>
        <w:rPr>
          <w:rFonts w:hint="eastAsia" w:ascii="宋体" w:hAnsi="宋体" w:eastAsia="宋体" w:cs="宋体"/>
          <w:color w:val="000000"/>
          <w:sz w:val="24"/>
          <w:szCs w:val="24"/>
        </w:rPr>
      </w:pPr>
    </w:p>
    <w:p w14:paraId="78126555">
      <w:pPr>
        <w:pageBreakBefore w:val="0"/>
        <w:widowControl/>
        <w:spacing w:line="360" w:lineRule="auto"/>
        <w:ind w:firstLine="480"/>
        <w:jc w:val="left"/>
        <w:rPr>
          <w:rFonts w:hint="eastAsia" w:ascii="宋体" w:hAnsi="宋体" w:eastAsia="宋体" w:cs="宋体"/>
          <w:color w:val="000000"/>
          <w:sz w:val="24"/>
          <w:szCs w:val="24"/>
        </w:rPr>
      </w:pPr>
    </w:p>
    <w:p w14:paraId="609B61CE">
      <w:pPr>
        <w:pageBreakBefore w:val="0"/>
        <w:numPr>
          <w:ilvl w:val="0"/>
          <w:numId w:val="0"/>
        </w:numPr>
        <w:spacing w:line="360" w:lineRule="auto"/>
        <w:jc w:val="both"/>
        <w:outlineLvl w:val="1"/>
        <w:rPr>
          <w:rFonts w:hint="default" w:ascii="宋体" w:hAnsi="宋体" w:eastAsia="宋体" w:cs="宋体"/>
          <w:b/>
          <w:bCs/>
          <w:color w:val="000000"/>
          <w:sz w:val="30"/>
          <w:szCs w:val="30"/>
          <w:lang w:val="en-US" w:eastAsia="zh-CN" w:bidi="ar-SA"/>
        </w:rPr>
      </w:pPr>
    </w:p>
    <w:bookmarkEnd w:id="112"/>
    <w:bookmarkEnd w:id="113"/>
    <w:bookmarkEnd w:id="114"/>
    <w:bookmarkEnd w:id="115"/>
    <w:p w14:paraId="1001A93D">
      <w:pPr>
        <w:pStyle w:val="243"/>
        <w:widowControl w:val="0"/>
        <w:jc w:val="center"/>
        <w:rPr>
          <w:rFonts w:hint="eastAsia" w:ascii="宋体" w:hAnsi="宋体" w:eastAsia="宋体" w:cs="宋体"/>
          <w:b/>
          <w:bCs/>
          <w:color w:val="000000"/>
          <w:sz w:val="30"/>
          <w:szCs w:val="30"/>
          <w:lang w:val="en-US" w:eastAsia="zh-CN" w:bidi="ar-SA"/>
        </w:rPr>
      </w:pPr>
      <w:r>
        <w:rPr>
          <w:rFonts w:hint="eastAsia" w:cs="宋体"/>
          <w:b/>
          <w:bCs/>
          <w:color w:val="000000"/>
          <w:sz w:val="30"/>
          <w:szCs w:val="30"/>
          <w:lang w:val="en-US" w:eastAsia="zh-CN" w:bidi="ar-SA"/>
        </w:rPr>
        <w:t>八</w:t>
      </w:r>
      <w:r>
        <w:rPr>
          <w:rFonts w:hint="eastAsia" w:ascii="宋体" w:hAnsi="宋体" w:eastAsia="宋体" w:cs="宋体"/>
          <w:b/>
          <w:bCs/>
          <w:color w:val="000000"/>
          <w:sz w:val="30"/>
          <w:szCs w:val="30"/>
          <w:lang w:val="en-US" w:eastAsia="zh-CN" w:bidi="ar-SA"/>
        </w:rPr>
        <w:t xml:space="preserve">、中小企业声明函 </w:t>
      </w:r>
    </w:p>
    <w:p w14:paraId="3D0BE0BE">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本公司郑重声明，根据《政府采购促进中小企业发展管理办法》（财库﹝2020﹞46号）的规定，本公司参加</w:t>
      </w:r>
      <w:r>
        <w:rPr>
          <w:rFonts w:hint="eastAsia" w:ascii="宋体" w:hAnsi="宋体" w:eastAsia="宋体" w:cs="宋体"/>
          <w:bCs/>
          <w:color w:val="auto"/>
          <w:sz w:val="24"/>
          <w:szCs w:val="24"/>
          <w:highlight w:val="none"/>
          <w:lang w:val="en-US" w:eastAsia="zh-CN"/>
        </w:rPr>
        <w:t>泰州市公安局</w:t>
      </w:r>
      <w:r>
        <w:rPr>
          <w:rFonts w:hint="eastAsia" w:ascii="宋体" w:hAnsi="宋体" w:eastAsia="宋体" w:cs="宋体"/>
          <w:bCs/>
          <w:color w:val="auto"/>
          <w:sz w:val="24"/>
          <w:szCs w:val="24"/>
          <w:highlight w:val="none"/>
        </w:rPr>
        <w:t>的</w:t>
      </w:r>
      <w:r>
        <w:rPr>
          <w:rFonts w:hint="eastAsia" w:ascii="宋体" w:hAnsi="宋体" w:eastAsia="宋体" w:cs="宋体"/>
          <w:bCs/>
          <w:color w:val="auto"/>
          <w:sz w:val="24"/>
          <w:szCs w:val="24"/>
          <w:highlight w:val="none"/>
          <w:u w:val="single"/>
        </w:rPr>
        <w:t>（项目名称）</w:t>
      </w:r>
      <w:r>
        <w:rPr>
          <w:rFonts w:hint="eastAsia" w:ascii="宋体" w:hAnsi="宋体" w:eastAsia="宋体" w:cs="宋体"/>
          <w:bCs/>
          <w:color w:val="auto"/>
          <w:sz w:val="24"/>
          <w:szCs w:val="24"/>
          <w:highlight w:val="none"/>
        </w:rPr>
        <w:t>采购活动，</w:t>
      </w:r>
      <w:r>
        <w:rPr>
          <w:rFonts w:hint="eastAsia" w:ascii="宋体" w:hAnsi="宋体" w:eastAsia="宋体" w:cs="宋体"/>
          <w:bCs/>
          <w:color w:val="auto"/>
          <w:sz w:val="24"/>
          <w:szCs w:val="24"/>
          <w:highlight w:val="none"/>
          <w:lang w:val="en-US" w:eastAsia="zh-CN"/>
        </w:rPr>
        <w:t>提供的货物</w:t>
      </w:r>
      <w:r>
        <w:rPr>
          <w:rFonts w:hint="eastAsia" w:ascii="宋体" w:hAnsi="宋体" w:eastAsia="宋体" w:cs="宋体"/>
          <w:bCs/>
          <w:color w:val="auto"/>
          <w:sz w:val="24"/>
          <w:szCs w:val="24"/>
          <w:highlight w:val="none"/>
        </w:rPr>
        <w:t>全部由符合政策要求的中小企业</w:t>
      </w:r>
      <w:r>
        <w:rPr>
          <w:rFonts w:hint="eastAsia" w:ascii="宋体" w:hAnsi="宋体" w:eastAsia="宋体" w:cs="宋体"/>
          <w:bCs/>
          <w:color w:val="auto"/>
          <w:sz w:val="24"/>
          <w:szCs w:val="24"/>
          <w:highlight w:val="none"/>
          <w:lang w:val="en-US" w:eastAsia="zh-CN"/>
        </w:rPr>
        <w:t>制造</w:t>
      </w:r>
      <w:r>
        <w:rPr>
          <w:rFonts w:hint="eastAsia" w:ascii="宋体" w:hAnsi="宋体" w:eastAsia="宋体" w:cs="宋体"/>
          <w:bCs/>
          <w:color w:val="auto"/>
          <w:sz w:val="24"/>
          <w:szCs w:val="24"/>
          <w:highlight w:val="none"/>
        </w:rPr>
        <w:t>。相关企业（含联合体中的中小企业、签订分包意向协议的中小企业）的具体情况如下：</w:t>
      </w:r>
    </w:p>
    <w:p w14:paraId="4CF90B15">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u w:val="single"/>
        </w:rPr>
        <w:t>（标的名称）</w:t>
      </w:r>
      <w:r>
        <w:rPr>
          <w:rFonts w:hint="eastAsia" w:ascii="宋体" w:hAnsi="宋体" w:eastAsia="宋体" w:cs="宋体"/>
          <w:bCs/>
          <w:color w:val="auto"/>
          <w:sz w:val="24"/>
          <w:szCs w:val="24"/>
          <w:highlight w:val="none"/>
        </w:rPr>
        <w:t>，属于</w:t>
      </w:r>
      <w:r>
        <w:rPr>
          <w:rFonts w:hint="eastAsia" w:ascii="宋体" w:hAnsi="宋体" w:eastAsia="宋体" w:cs="宋体"/>
          <w:bCs/>
          <w:color w:val="auto"/>
          <w:sz w:val="24"/>
          <w:szCs w:val="24"/>
          <w:highlight w:val="none"/>
          <w:u w:val="single"/>
          <w:lang w:val="en-US" w:eastAsia="zh-CN"/>
        </w:rPr>
        <w:t>工业</w:t>
      </w:r>
      <w:r>
        <w:rPr>
          <w:rFonts w:hint="eastAsia" w:ascii="宋体" w:hAnsi="宋体" w:eastAsia="宋体" w:cs="宋体"/>
          <w:bCs/>
          <w:color w:val="auto"/>
          <w:sz w:val="24"/>
          <w:szCs w:val="24"/>
          <w:highlight w:val="none"/>
          <w:u w:val="none"/>
          <w:lang w:val="en-US" w:eastAsia="zh-CN"/>
        </w:rPr>
        <w:t>行业</w:t>
      </w:r>
      <w:r>
        <w:rPr>
          <w:rFonts w:hint="eastAsia" w:ascii="宋体" w:hAnsi="宋体" w:eastAsia="宋体" w:cs="宋体"/>
          <w:bCs/>
          <w:color w:val="auto"/>
          <w:sz w:val="24"/>
          <w:szCs w:val="24"/>
          <w:highlight w:val="none"/>
        </w:rPr>
        <w:t>；</w:t>
      </w:r>
      <w:r>
        <w:rPr>
          <w:rFonts w:hint="eastAsia" w:ascii="宋体" w:hAnsi="宋体" w:eastAsia="宋体" w:cs="宋体"/>
          <w:b w:val="0"/>
          <w:bCs/>
          <w:color w:val="auto"/>
          <w:sz w:val="24"/>
          <w:szCs w:val="24"/>
          <w:highlight w:val="none"/>
          <w:lang w:val="en-US" w:eastAsia="zh-CN"/>
        </w:rPr>
        <w:t>制造商</w:t>
      </w:r>
      <w:r>
        <w:rPr>
          <w:rFonts w:hint="eastAsia" w:ascii="宋体" w:hAnsi="宋体" w:eastAsia="宋体" w:cs="宋体"/>
          <w:bCs/>
          <w:color w:val="auto"/>
          <w:sz w:val="24"/>
          <w:szCs w:val="24"/>
          <w:highlight w:val="none"/>
        </w:rPr>
        <w:t>为</w:t>
      </w:r>
      <w:r>
        <w:rPr>
          <w:rFonts w:hint="eastAsia" w:ascii="宋体" w:hAnsi="宋体" w:eastAsia="宋体" w:cs="宋体"/>
          <w:bCs/>
          <w:color w:val="auto"/>
          <w:sz w:val="24"/>
          <w:szCs w:val="24"/>
          <w:highlight w:val="none"/>
          <w:u w:val="single"/>
        </w:rPr>
        <w:t>（企业名称）</w:t>
      </w:r>
      <w:r>
        <w:rPr>
          <w:rFonts w:hint="eastAsia" w:ascii="宋体" w:hAnsi="宋体" w:eastAsia="宋体" w:cs="宋体"/>
          <w:bCs/>
          <w:color w:val="auto"/>
          <w:sz w:val="24"/>
          <w:szCs w:val="24"/>
          <w:highlight w:val="none"/>
        </w:rPr>
        <w:t>，从业人员</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人，营业收入为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万元，资产总额为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万元，属于</w:t>
      </w:r>
      <w:r>
        <w:rPr>
          <w:rFonts w:hint="eastAsia" w:ascii="宋体" w:hAnsi="宋体" w:eastAsia="宋体" w:cs="宋体"/>
          <w:bCs/>
          <w:color w:val="auto"/>
          <w:sz w:val="24"/>
          <w:szCs w:val="24"/>
          <w:highlight w:val="none"/>
          <w:u w:val="single"/>
        </w:rPr>
        <w:t>（中型企业、小型企业、微型企业）</w:t>
      </w:r>
      <w:r>
        <w:rPr>
          <w:rFonts w:hint="eastAsia" w:ascii="宋体" w:hAnsi="宋体" w:eastAsia="宋体" w:cs="宋体"/>
          <w:bCs/>
          <w:color w:val="auto"/>
          <w:sz w:val="24"/>
          <w:szCs w:val="24"/>
          <w:highlight w:val="none"/>
        </w:rPr>
        <w:t>；</w:t>
      </w:r>
    </w:p>
    <w:p w14:paraId="06876634">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u w:val="single"/>
        </w:rPr>
        <w:t>（标的名称）</w:t>
      </w:r>
      <w:r>
        <w:rPr>
          <w:rFonts w:hint="eastAsia" w:ascii="宋体" w:hAnsi="宋体" w:eastAsia="宋体" w:cs="宋体"/>
          <w:bCs/>
          <w:color w:val="auto"/>
          <w:sz w:val="24"/>
          <w:szCs w:val="24"/>
          <w:highlight w:val="none"/>
        </w:rPr>
        <w:t>，属于</w:t>
      </w:r>
      <w:r>
        <w:rPr>
          <w:rFonts w:hint="eastAsia" w:ascii="宋体" w:hAnsi="宋体" w:eastAsia="宋体" w:cs="宋体"/>
          <w:bCs/>
          <w:color w:val="auto"/>
          <w:sz w:val="24"/>
          <w:szCs w:val="24"/>
          <w:highlight w:val="none"/>
          <w:u w:val="single"/>
          <w:lang w:val="en-US" w:eastAsia="zh-CN"/>
        </w:rPr>
        <w:t>工业</w:t>
      </w:r>
      <w:r>
        <w:rPr>
          <w:rFonts w:hint="eastAsia" w:ascii="宋体" w:hAnsi="宋体" w:eastAsia="宋体" w:cs="宋体"/>
          <w:bCs/>
          <w:color w:val="auto"/>
          <w:sz w:val="24"/>
          <w:szCs w:val="24"/>
          <w:highlight w:val="none"/>
          <w:u w:val="none"/>
          <w:lang w:val="en-US" w:eastAsia="zh-CN"/>
        </w:rPr>
        <w:t>行业</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制造商</w:t>
      </w:r>
      <w:r>
        <w:rPr>
          <w:rFonts w:hint="eastAsia" w:ascii="宋体" w:hAnsi="宋体" w:eastAsia="宋体" w:cs="宋体"/>
          <w:bCs/>
          <w:color w:val="auto"/>
          <w:sz w:val="24"/>
          <w:szCs w:val="24"/>
          <w:highlight w:val="none"/>
        </w:rPr>
        <w:t>为</w:t>
      </w:r>
      <w:r>
        <w:rPr>
          <w:rFonts w:hint="eastAsia" w:ascii="宋体" w:hAnsi="宋体" w:eastAsia="宋体" w:cs="宋体"/>
          <w:bCs/>
          <w:color w:val="auto"/>
          <w:sz w:val="24"/>
          <w:szCs w:val="24"/>
          <w:highlight w:val="none"/>
          <w:u w:val="single"/>
        </w:rPr>
        <w:t>（企业名称）</w:t>
      </w:r>
      <w:r>
        <w:rPr>
          <w:rFonts w:hint="eastAsia" w:ascii="宋体" w:hAnsi="宋体" w:eastAsia="宋体" w:cs="宋体"/>
          <w:bCs/>
          <w:color w:val="auto"/>
          <w:sz w:val="24"/>
          <w:szCs w:val="24"/>
          <w:highlight w:val="none"/>
        </w:rPr>
        <w:t>，从业人员</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人，营业收入为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万元，资产总额为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万元，属于</w:t>
      </w:r>
      <w:r>
        <w:rPr>
          <w:rFonts w:hint="eastAsia" w:ascii="宋体" w:hAnsi="宋体" w:eastAsia="宋体" w:cs="宋体"/>
          <w:bCs/>
          <w:color w:val="auto"/>
          <w:sz w:val="24"/>
          <w:szCs w:val="24"/>
          <w:highlight w:val="none"/>
          <w:u w:val="single"/>
        </w:rPr>
        <w:t>（中型企业、小型企业、微型企业）</w:t>
      </w:r>
      <w:r>
        <w:rPr>
          <w:rFonts w:hint="eastAsia" w:ascii="宋体" w:hAnsi="宋体" w:eastAsia="宋体" w:cs="宋体"/>
          <w:bCs/>
          <w:color w:val="auto"/>
          <w:sz w:val="24"/>
          <w:szCs w:val="24"/>
          <w:highlight w:val="none"/>
        </w:rPr>
        <w:t>；</w:t>
      </w:r>
    </w:p>
    <w:p w14:paraId="7F4F6E1A">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w:t>
      </w:r>
    </w:p>
    <w:p w14:paraId="2931656D">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以上企业，不属于大企业的分支机构，不存在控股股东为大企业的情形，也不存在与大企业的负责人为同一人的情形。</w:t>
      </w:r>
    </w:p>
    <w:p w14:paraId="0D437420">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本企业对上述声明</w:t>
      </w:r>
      <w:r>
        <w:rPr>
          <w:rFonts w:hint="eastAsia" w:ascii="宋体" w:hAnsi="宋体" w:eastAsia="宋体" w:cs="宋体"/>
          <w:bCs/>
          <w:color w:val="auto"/>
          <w:sz w:val="24"/>
          <w:szCs w:val="24"/>
          <w:highlight w:val="none"/>
          <w:lang w:val="en-US" w:eastAsia="zh-CN"/>
        </w:rPr>
        <w:t>内容</w:t>
      </w:r>
      <w:r>
        <w:rPr>
          <w:rFonts w:hint="eastAsia" w:ascii="宋体" w:hAnsi="宋体" w:eastAsia="宋体" w:cs="宋体"/>
          <w:bCs/>
          <w:color w:val="auto"/>
          <w:sz w:val="24"/>
          <w:szCs w:val="24"/>
          <w:highlight w:val="none"/>
        </w:rPr>
        <w:t>的真实性负责。如有虚假，将依法承担相应责任。</w:t>
      </w:r>
    </w:p>
    <w:p w14:paraId="2271E0D2">
      <w:pPr>
        <w:keepNext w:val="0"/>
        <w:keepLines w:val="0"/>
        <w:pageBreakBefore w:val="0"/>
        <w:widowControl w:val="0"/>
        <w:kinsoku/>
        <w:wordWrap/>
        <w:overflowPunct/>
        <w:topLinePunct w:val="0"/>
        <w:autoSpaceDE/>
        <w:autoSpaceDN/>
        <w:bidi w:val="0"/>
        <w:adjustRightInd/>
        <w:snapToGrid/>
        <w:spacing w:line="360" w:lineRule="auto"/>
        <w:ind w:right="480" w:firstLine="480"/>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 xml:space="preserve"> </w:t>
      </w:r>
    </w:p>
    <w:p w14:paraId="720FED7B">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企业名称：                  （加盖CA电子</w:t>
      </w:r>
      <w:r>
        <w:rPr>
          <w:rFonts w:hint="eastAsia" w:ascii="宋体" w:hAnsi="宋体" w:cs="宋体"/>
          <w:color w:val="auto"/>
          <w:sz w:val="24"/>
          <w:szCs w:val="24"/>
          <w:highlight w:val="none"/>
          <w:lang w:val="en-US" w:eastAsia="zh-CN"/>
        </w:rPr>
        <w:t>公</w:t>
      </w:r>
      <w:r>
        <w:rPr>
          <w:rFonts w:hint="eastAsia" w:ascii="宋体" w:hAnsi="宋体" w:eastAsia="宋体" w:cs="宋体"/>
          <w:color w:val="auto"/>
          <w:sz w:val="24"/>
          <w:szCs w:val="24"/>
          <w:highlight w:val="none"/>
        </w:rPr>
        <w:t>章）</w:t>
      </w:r>
    </w:p>
    <w:p w14:paraId="5DEDB36B">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 期：</w:t>
      </w:r>
    </w:p>
    <w:p w14:paraId="15282F9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14:paraId="3FC65DE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p w14:paraId="5B5CCF73">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1.从业人员、营业收入、资产总额填报上一年度数据，无上一年度数据的新成立企业可不填报。</w:t>
      </w:r>
    </w:p>
    <w:p w14:paraId="68DDE545">
      <w:pPr>
        <w:keepNext w:val="0"/>
        <w:keepLines w:val="0"/>
        <w:pageBreakBefore w:val="0"/>
        <w:widowControl w:val="0"/>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2.中小微企业划型标准</w:t>
      </w:r>
      <w:r>
        <w:rPr>
          <w:rFonts w:hint="eastAsia" w:ascii="宋体" w:hAnsi="宋体" w:eastAsia="宋体" w:cs="宋体"/>
          <w:color w:val="auto"/>
          <w:sz w:val="24"/>
          <w:szCs w:val="24"/>
          <w:highlight w:val="none"/>
          <w:lang w:val="en-US" w:eastAsia="zh-CN"/>
        </w:rPr>
        <w:t>按《</w:t>
      </w:r>
      <w:r>
        <w:rPr>
          <w:rFonts w:hint="eastAsia" w:ascii="宋体" w:hAnsi="宋体" w:eastAsia="宋体" w:cs="宋体"/>
          <w:color w:val="auto"/>
          <w:sz w:val="24"/>
          <w:szCs w:val="24"/>
          <w:highlight w:val="none"/>
        </w:rPr>
        <w:t>关于印发中小企业划型标准规定的通知》（工信部联企业〔2011〕300号），文件网址如下：https://www.miit.gov.cn/jgsj/qyj/wjfb/art/2011/art_235af1ade45c4865957adeed23f9d949.html。本项目采购标的所属行业为</w:t>
      </w:r>
      <w:r>
        <w:rPr>
          <w:rFonts w:hint="eastAsia" w:ascii="宋体" w:hAnsi="宋体" w:eastAsia="宋体" w:cs="宋体"/>
          <w:color w:val="auto"/>
          <w:sz w:val="24"/>
          <w:szCs w:val="24"/>
          <w:highlight w:val="none"/>
          <w:u w:val="single"/>
          <w:lang w:val="en-US" w:eastAsia="zh-CN"/>
        </w:rPr>
        <w:t>工</w:t>
      </w:r>
      <w:r>
        <w:rPr>
          <w:rFonts w:hint="eastAsia" w:ascii="宋体" w:hAnsi="宋体" w:eastAsia="宋体" w:cs="宋体"/>
          <w:color w:val="auto"/>
          <w:sz w:val="24"/>
          <w:szCs w:val="24"/>
          <w:highlight w:val="none"/>
          <w:u w:val="single"/>
        </w:rPr>
        <w:t xml:space="preserve">业 </w:t>
      </w:r>
      <w:r>
        <w:rPr>
          <w:rFonts w:hint="eastAsia" w:ascii="宋体" w:hAnsi="宋体" w:eastAsia="宋体" w:cs="宋体"/>
          <w:color w:val="auto"/>
          <w:sz w:val="24"/>
          <w:szCs w:val="24"/>
          <w:highlight w:val="none"/>
        </w:rPr>
        <w:t>。</w:t>
      </w:r>
    </w:p>
    <w:p w14:paraId="5C4E5113">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3.成交供应商的中小企业声明函将在结果公告中对外公示，声明函内容不实的，属于提供虚假材料谋取成交，将依照《中华人民共和国政府采购法》等国家有关规定追究相应责任。</w:t>
      </w:r>
    </w:p>
    <w:p w14:paraId="01C90DCE">
      <w:pPr>
        <w:pStyle w:val="243"/>
        <w:widowControl w:val="0"/>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残疾人福利性单位声明函</w:t>
      </w:r>
    </w:p>
    <w:p w14:paraId="41C11DCB">
      <w:pPr>
        <w:pStyle w:val="237"/>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单位的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项目采购活动提供服务。</w:t>
      </w:r>
    </w:p>
    <w:p w14:paraId="748AD42F">
      <w:pPr>
        <w:pStyle w:val="237"/>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本单位对上述声明的真实性负责。如有虚假，将依法承担相应责任。</w:t>
      </w:r>
    </w:p>
    <w:p w14:paraId="0A2616B4">
      <w:pPr>
        <w:rPr>
          <w:rFonts w:hint="eastAsia" w:ascii="宋体" w:hAnsi="宋体" w:eastAsia="宋体" w:cs="宋体"/>
          <w:color w:val="auto"/>
          <w:sz w:val="24"/>
          <w:szCs w:val="24"/>
          <w:highlight w:val="none"/>
        </w:rPr>
      </w:pPr>
    </w:p>
    <w:p w14:paraId="4BE9E5CB">
      <w:pPr>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企业名称：                  （加盖CA电子</w:t>
      </w:r>
      <w:r>
        <w:rPr>
          <w:rFonts w:hint="eastAsia" w:ascii="宋体" w:hAnsi="宋体" w:cs="宋体"/>
          <w:color w:val="auto"/>
          <w:sz w:val="24"/>
          <w:szCs w:val="24"/>
          <w:highlight w:val="none"/>
          <w:lang w:val="en-US" w:eastAsia="zh-CN"/>
        </w:rPr>
        <w:t>公</w:t>
      </w:r>
      <w:r>
        <w:rPr>
          <w:rFonts w:hint="eastAsia" w:ascii="宋体" w:hAnsi="宋体" w:eastAsia="宋体" w:cs="宋体"/>
          <w:color w:val="auto"/>
          <w:sz w:val="24"/>
          <w:szCs w:val="24"/>
          <w:highlight w:val="none"/>
        </w:rPr>
        <w:t>章）</w:t>
      </w:r>
    </w:p>
    <w:p w14:paraId="10BD188B">
      <w:pPr>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 期：</w:t>
      </w:r>
    </w:p>
    <w:p w14:paraId="1ACD3B9E">
      <w:pPr>
        <w:rPr>
          <w:rFonts w:hint="eastAsia" w:ascii="宋体" w:hAnsi="宋体" w:eastAsia="宋体" w:cs="宋体"/>
          <w:color w:val="auto"/>
          <w:sz w:val="24"/>
          <w:szCs w:val="24"/>
          <w:highlight w:val="none"/>
        </w:rPr>
      </w:pPr>
    </w:p>
    <w:p w14:paraId="408F4D28">
      <w:pPr>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p w14:paraId="5B131F52">
      <w:pPr>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1.非残疾人福利性单位不需提供此声明函。</w:t>
      </w:r>
    </w:p>
    <w:p w14:paraId="34C91EE7">
      <w:pPr>
        <w:pStyle w:val="237"/>
        <w:rPr>
          <w:rFonts w:hint="eastAsia" w:ascii="宋体" w:hAnsi="宋体" w:eastAsia="宋体" w:cs="宋体"/>
          <w:color w:val="auto"/>
          <w:sz w:val="24"/>
          <w:szCs w:val="24"/>
          <w:highlight w:val="none"/>
        </w:rPr>
      </w:pPr>
    </w:p>
    <w:p w14:paraId="4397EC73">
      <w:pPr>
        <w:pStyle w:val="237"/>
        <w:rPr>
          <w:rFonts w:hint="eastAsia" w:ascii="宋体" w:hAnsi="宋体" w:eastAsia="宋体" w:cs="宋体"/>
          <w:color w:val="auto"/>
          <w:highlight w:val="none"/>
        </w:rPr>
      </w:pPr>
    </w:p>
    <w:p w14:paraId="58EA611C">
      <w:pPr>
        <w:pStyle w:val="243"/>
        <w:widowControl w:val="0"/>
        <w:rPr>
          <w:rFonts w:hint="eastAsia" w:ascii="宋体" w:hAnsi="宋体" w:eastAsia="宋体" w:cs="宋体"/>
          <w:color w:val="auto"/>
          <w:highlight w:val="none"/>
        </w:rPr>
      </w:pPr>
      <w:r>
        <w:rPr>
          <w:rFonts w:hint="eastAsia" w:ascii="宋体" w:hAnsi="宋体" w:eastAsia="宋体" w:cs="宋体"/>
          <w:color w:val="auto"/>
          <w:highlight w:val="none"/>
        </w:rPr>
        <w:br w:type="page" w:clear="all"/>
      </w:r>
    </w:p>
    <w:p w14:paraId="56778B81">
      <w:pPr>
        <w:pStyle w:val="237"/>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监狱企业声明函</w:t>
      </w:r>
    </w:p>
    <w:p w14:paraId="64458CE3">
      <w:pPr>
        <w:pStyle w:val="237"/>
        <w:rPr>
          <w:rFonts w:hint="eastAsia" w:ascii="宋体" w:hAnsi="宋体" w:eastAsia="宋体" w:cs="宋体"/>
          <w:color w:val="auto"/>
          <w:highlight w:val="none"/>
        </w:rPr>
      </w:pPr>
    </w:p>
    <w:p w14:paraId="7B0276B2">
      <w:pPr>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本单位郑重声明，根据《关于政府采购支持监狱企业发展有关问题的通知》（财库〔2014〕68号）的规定，本单位为监狱企业。</w:t>
      </w:r>
    </w:p>
    <w:p w14:paraId="705E845F">
      <w:pPr>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根据上述标准，我单位属于监狱企业的理由为：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62AEE2E2">
      <w:pPr>
        <w:pStyle w:val="237"/>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本单位参加</w:t>
      </w:r>
      <w:r>
        <w:rPr>
          <w:rFonts w:hint="eastAsia" w:ascii="宋体" w:hAnsi="宋体" w:eastAsia="宋体" w:cs="宋体"/>
          <w:color w:val="auto"/>
          <w:sz w:val="24"/>
          <w:szCs w:val="24"/>
          <w:highlight w:val="none"/>
          <w:u w:val="single"/>
        </w:rPr>
        <w:t xml:space="preserve">（采购人名称）       </w:t>
      </w:r>
      <w:r>
        <w:rPr>
          <w:rFonts w:hint="eastAsia" w:ascii="宋体" w:hAnsi="宋体" w:eastAsia="宋体" w:cs="宋体"/>
          <w:color w:val="auto"/>
          <w:sz w:val="24"/>
          <w:szCs w:val="24"/>
          <w:highlight w:val="none"/>
        </w:rPr>
        <w:t>单位的</w:t>
      </w:r>
      <w:r>
        <w:rPr>
          <w:rFonts w:hint="eastAsia" w:ascii="宋体" w:hAnsi="宋体" w:eastAsia="宋体" w:cs="宋体"/>
          <w:color w:val="auto"/>
          <w:sz w:val="24"/>
          <w:szCs w:val="24"/>
          <w:highlight w:val="none"/>
          <w:u w:val="single"/>
        </w:rPr>
        <w:t xml:space="preserve">（项目名称）         </w:t>
      </w:r>
      <w:r>
        <w:rPr>
          <w:rFonts w:hint="eastAsia" w:ascii="宋体" w:hAnsi="宋体" w:eastAsia="宋体" w:cs="宋体"/>
          <w:color w:val="auto"/>
          <w:sz w:val="24"/>
          <w:szCs w:val="24"/>
          <w:highlight w:val="none"/>
        </w:rPr>
        <w:t>项目的采购活动，并由本单位为本项目提供服务。</w:t>
      </w:r>
    </w:p>
    <w:p w14:paraId="3A37A2C7">
      <w:pPr>
        <w:pStyle w:val="237"/>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本单位对上述声明的真实性负责。如有虚假，将依法承担相应责任。</w:t>
      </w:r>
    </w:p>
    <w:p w14:paraId="3F8F596E">
      <w:pPr>
        <w:pStyle w:val="237"/>
        <w:rPr>
          <w:rFonts w:hint="eastAsia" w:ascii="宋体" w:hAnsi="宋体" w:eastAsia="宋体" w:cs="宋体"/>
          <w:color w:val="auto"/>
          <w:sz w:val="24"/>
          <w:szCs w:val="24"/>
          <w:highlight w:val="none"/>
        </w:rPr>
      </w:pPr>
    </w:p>
    <w:p w14:paraId="4F46A556">
      <w:pPr>
        <w:pStyle w:val="237"/>
        <w:rPr>
          <w:rFonts w:hint="eastAsia" w:ascii="宋体" w:hAnsi="宋体" w:eastAsia="宋体" w:cs="宋体"/>
          <w:color w:val="auto"/>
          <w:sz w:val="24"/>
          <w:szCs w:val="24"/>
          <w:highlight w:val="none"/>
        </w:rPr>
      </w:pPr>
    </w:p>
    <w:p w14:paraId="33EF5C29">
      <w:pPr>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企业名称：                  （加盖CA电子</w:t>
      </w:r>
      <w:r>
        <w:rPr>
          <w:rFonts w:hint="eastAsia" w:ascii="宋体" w:hAnsi="宋体" w:cs="宋体"/>
          <w:color w:val="auto"/>
          <w:sz w:val="24"/>
          <w:szCs w:val="24"/>
          <w:highlight w:val="none"/>
          <w:lang w:val="en-US" w:eastAsia="zh-CN"/>
        </w:rPr>
        <w:t>公</w:t>
      </w:r>
      <w:r>
        <w:rPr>
          <w:rFonts w:hint="eastAsia" w:ascii="宋体" w:hAnsi="宋体" w:eastAsia="宋体" w:cs="宋体"/>
          <w:color w:val="auto"/>
          <w:sz w:val="24"/>
          <w:szCs w:val="24"/>
          <w:highlight w:val="none"/>
        </w:rPr>
        <w:t>章）</w:t>
      </w:r>
    </w:p>
    <w:p w14:paraId="1B8FCC65">
      <w:pPr>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 期：</w:t>
      </w:r>
    </w:p>
    <w:p w14:paraId="7A849EC1">
      <w:pPr>
        <w:pStyle w:val="237"/>
        <w:rPr>
          <w:rFonts w:hint="eastAsia" w:ascii="宋体" w:hAnsi="宋体" w:eastAsia="宋体" w:cs="宋体"/>
          <w:color w:val="auto"/>
          <w:sz w:val="24"/>
          <w:szCs w:val="24"/>
          <w:highlight w:val="none"/>
        </w:rPr>
      </w:pPr>
    </w:p>
    <w:p w14:paraId="4B080661">
      <w:pPr>
        <w:pStyle w:val="237"/>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p w14:paraId="07488850">
      <w:pPr>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1.监狱企业参加采购活动时，应当提供由省级以上监狱管理局、戒毒管理局（含新疆生产建设兵团）出具的属于监狱企业的证明文件。</w:t>
      </w:r>
    </w:p>
    <w:p w14:paraId="45F29C3C">
      <w:pPr>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430B77FC">
      <w:pPr>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3.非监狱企业不需提供此声明函。</w:t>
      </w:r>
    </w:p>
    <w:p w14:paraId="61CE7918">
      <w:pPr>
        <w:rPr>
          <w:rFonts w:hint="eastAsia" w:ascii="宋体" w:hAnsi="宋体" w:eastAsia="宋体" w:cs="宋体"/>
          <w:color w:val="auto"/>
          <w:highlight w:val="none"/>
        </w:rPr>
      </w:pPr>
    </w:p>
    <w:p w14:paraId="0A477644">
      <w:pPr>
        <w:pStyle w:val="243"/>
        <w:widowControl w:val="0"/>
        <w:rPr>
          <w:rFonts w:hint="eastAsia" w:ascii="宋体" w:hAnsi="宋体" w:eastAsia="宋体" w:cs="宋体"/>
          <w:color w:val="auto"/>
          <w:sz w:val="32"/>
          <w:szCs w:val="32"/>
          <w:highlight w:val="none"/>
          <w:lang w:val="zh-CN" w:eastAsia="zh-CN" w:bidi="ar-SA"/>
        </w:rPr>
      </w:pPr>
      <w:r>
        <w:rPr>
          <w:rFonts w:hint="eastAsia" w:ascii="宋体" w:hAnsi="宋体" w:eastAsia="宋体" w:cs="宋体"/>
          <w:color w:val="auto"/>
          <w:highlight w:val="none"/>
        </w:rPr>
        <w:br w:type="page" w:clear="all"/>
      </w:r>
      <w:bookmarkStart w:id="116" w:name="_Toc440442375"/>
      <w:bookmarkStart w:id="117" w:name="_Toc59896715"/>
      <w:bookmarkStart w:id="118" w:name="_Toc56139088"/>
      <w:bookmarkStart w:id="119" w:name="_Toc55654540"/>
      <w:bookmarkStart w:id="120" w:name="_Toc56153862"/>
      <w:bookmarkStart w:id="121" w:name="_Toc439777159"/>
      <w:bookmarkStart w:id="122" w:name="_Toc54372237"/>
      <w:bookmarkStart w:id="123" w:name="_Toc56141898"/>
      <w:bookmarkStart w:id="124" w:name="_Toc434481560"/>
      <w:bookmarkStart w:id="125" w:name="_Toc54372655"/>
      <w:bookmarkStart w:id="126" w:name="_Toc55707673"/>
      <w:bookmarkStart w:id="127" w:name="_Toc54372071"/>
      <w:bookmarkStart w:id="128" w:name="_Toc439777351"/>
      <w:bookmarkStart w:id="129" w:name="_Toc59900983"/>
      <w:bookmarkStart w:id="130" w:name="_Toc56409114"/>
      <w:bookmarkStart w:id="131" w:name="_Toc55639393"/>
      <w:bookmarkStart w:id="132" w:name="_Toc55705168"/>
    </w:p>
    <w:p w14:paraId="0FFCF72D">
      <w:pPr>
        <w:pStyle w:val="243"/>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center"/>
        <w:rPr>
          <w:rFonts w:hint="eastAsia" w:ascii="宋体" w:hAnsi="宋体" w:eastAsia="宋体" w:cs="宋体"/>
          <w:b/>
          <w:bCs/>
          <w:color w:val="auto"/>
          <w:sz w:val="32"/>
          <w:szCs w:val="32"/>
          <w:highlight w:val="none"/>
          <w:lang w:val="en-US" w:eastAsia="zh-CN" w:bidi="ar-SA"/>
        </w:rPr>
      </w:pPr>
      <w:r>
        <w:rPr>
          <w:rFonts w:hint="eastAsia" w:ascii="宋体" w:hAnsi="宋体" w:eastAsia="宋体" w:cs="宋体"/>
          <w:color w:val="auto"/>
          <w:sz w:val="32"/>
          <w:szCs w:val="32"/>
          <w:highlight w:val="none"/>
          <w:lang w:val="en-US" w:eastAsia="zh-CN" w:bidi="ar-SA"/>
        </w:rPr>
        <w:t>关于符合本国产品标准的声明函</w:t>
      </w:r>
    </w:p>
    <w:p w14:paraId="7EFEAE7C">
      <w:pPr>
        <w:pStyle w:val="243"/>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auto"/>
          <w:spacing w:val="0"/>
          <w:sz w:val="24"/>
          <w:szCs w:val="24"/>
          <w:highlight w:val="none"/>
        </w:rPr>
      </w:pPr>
    </w:p>
    <w:p w14:paraId="166CA6DB">
      <w:pPr>
        <w:pStyle w:val="243"/>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478871D3">
      <w:pPr>
        <w:pStyle w:val="243"/>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1.</w:t>
      </w:r>
      <w:r>
        <w:rPr>
          <w:rStyle w:val="281"/>
          <w:rFonts w:hint="eastAsia" w:ascii="宋体" w:hAnsi="宋体" w:eastAsia="宋体" w:cs="宋体"/>
          <w:i w:val="0"/>
          <w:iCs w:val="0"/>
          <w:caps w:val="0"/>
          <w:color w:val="auto"/>
          <w:spacing w:val="0"/>
          <w:sz w:val="24"/>
          <w:szCs w:val="24"/>
          <w:highlight w:val="none"/>
          <w:u w:val="single"/>
          <w:shd w:val="clear" w:color="auto" w:fill="FFFFFF"/>
        </w:rPr>
        <w:t>（产品名称1）</w:t>
      </w:r>
      <w:r>
        <w:rPr>
          <w:rStyle w:val="281"/>
          <w:rFonts w:hint="eastAsia" w:ascii="宋体" w:hAnsi="宋体" w:eastAsia="宋体" w:cs="宋体"/>
          <w:i w:val="0"/>
          <w:iCs w:val="0"/>
          <w:caps w:val="0"/>
          <w:color w:val="auto"/>
          <w:spacing w:val="0"/>
          <w:sz w:val="24"/>
          <w:szCs w:val="24"/>
          <w:highlight w:val="none"/>
          <w:u w:val="single"/>
          <w:shd w:val="clear" w:color="auto" w:fill="FFFFFF"/>
          <w:vertAlign w:val="superscript"/>
        </w:rPr>
        <w:t>1</w:t>
      </w:r>
      <w:r>
        <w:rPr>
          <w:rFonts w:hint="eastAsia" w:ascii="宋体" w:hAnsi="宋体" w:eastAsia="宋体" w:cs="宋体"/>
          <w:i w:val="0"/>
          <w:iCs w:val="0"/>
          <w:caps w:val="0"/>
          <w:color w:val="auto"/>
          <w:spacing w:val="0"/>
          <w:sz w:val="24"/>
          <w:szCs w:val="24"/>
          <w:highlight w:val="none"/>
          <w:shd w:val="clear" w:color="auto" w:fill="FFFFFF"/>
        </w:rPr>
        <w:t>，生产厂为</w:t>
      </w:r>
      <w:r>
        <w:rPr>
          <w:rStyle w:val="281"/>
          <w:rFonts w:hint="eastAsia" w:ascii="宋体" w:hAnsi="宋体" w:eastAsia="宋体" w:cs="宋体"/>
          <w:i w:val="0"/>
          <w:iCs w:val="0"/>
          <w:caps w:val="0"/>
          <w:color w:val="auto"/>
          <w:spacing w:val="0"/>
          <w:sz w:val="24"/>
          <w:szCs w:val="24"/>
          <w:highlight w:val="none"/>
          <w:u w:val="single"/>
          <w:shd w:val="clear" w:color="auto" w:fill="FFFFFF"/>
        </w:rPr>
        <w:t>（厂名）</w:t>
      </w:r>
      <w:r>
        <w:rPr>
          <w:rStyle w:val="281"/>
          <w:rFonts w:hint="eastAsia" w:ascii="宋体" w:hAnsi="宋体" w:eastAsia="宋体" w:cs="宋体"/>
          <w:i w:val="0"/>
          <w:iCs w:val="0"/>
          <w:caps w:val="0"/>
          <w:color w:val="auto"/>
          <w:spacing w:val="0"/>
          <w:sz w:val="24"/>
          <w:szCs w:val="24"/>
          <w:highlight w:val="none"/>
          <w:u w:val="single"/>
          <w:shd w:val="clear" w:color="auto" w:fill="FFFFFF"/>
          <w:vertAlign w:val="superscript"/>
        </w:rPr>
        <w:t>2</w:t>
      </w:r>
      <w:r>
        <w:rPr>
          <w:rFonts w:hint="eastAsia" w:ascii="宋体" w:hAnsi="宋体" w:eastAsia="宋体" w:cs="宋体"/>
          <w:i w:val="0"/>
          <w:iCs w:val="0"/>
          <w:caps w:val="0"/>
          <w:color w:val="auto"/>
          <w:spacing w:val="0"/>
          <w:sz w:val="24"/>
          <w:szCs w:val="24"/>
          <w:highlight w:val="none"/>
          <w:shd w:val="clear" w:color="auto" w:fill="FFFFFF"/>
        </w:rPr>
        <w:t>，厂址为</w:t>
      </w:r>
      <w:r>
        <w:rPr>
          <w:rStyle w:val="281"/>
          <w:rFonts w:hint="eastAsia" w:ascii="宋体" w:hAnsi="宋体" w:eastAsia="宋体" w:cs="宋体"/>
          <w:i w:val="0"/>
          <w:iCs w:val="0"/>
          <w:caps w:val="0"/>
          <w:color w:val="auto"/>
          <w:spacing w:val="0"/>
          <w:sz w:val="24"/>
          <w:szCs w:val="24"/>
          <w:highlight w:val="none"/>
          <w:u w:val="single"/>
          <w:shd w:val="clear" w:color="auto" w:fill="FFFFFF"/>
        </w:rPr>
        <w:t>（生产厂址）</w:t>
      </w:r>
      <w:r>
        <w:rPr>
          <w:rFonts w:hint="eastAsia" w:ascii="宋体" w:hAnsi="宋体" w:eastAsia="宋体" w:cs="宋体"/>
          <w:i w:val="0"/>
          <w:iCs w:val="0"/>
          <w:caps w:val="0"/>
          <w:color w:val="auto"/>
          <w:spacing w:val="0"/>
          <w:sz w:val="24"/>
          <w:szCs w:val="24"/>
          <w:highlight w:val="none"/>
          <w:shd w:val="clear" w:color="auto" w:fill="FFFFFF"/>
        </w:rPr>
        <w:t>。</w:t>
      </w:r>
      <w:r>
        <w:rPr>
          <w:rStyle w:val="281"/>
          <w:rFonts w:hint="eastAsia" w:ascii="宋体" w:hAnsi="宋体" w:eastAsia="宋体" w:cs="宋体"/>
          <w:i w:val="0"/>
          <w:iCs w:val="0"/>
          <w:caps w:val="0"/>
          <w:color w:val="auto"/>
          <w:spacing w:val="0"/>
          <w:sz w:val="24"/>
          <w:szCs w:val="24"/>
          <w:highlight w:val="none"/>
          <w:u w:val="single"/>
          <w:shd w:val="clear" w:color="auto" w:fill="FFFFFF"/>
        </w:rPr>
        <w:t>（产品名称1）</w:t>
      </w:r>
      <w:r>
        <w:rPr>
          <w:rFonts w:hint="eastAsia" w:ascii="宋体" w:hAnsi="宋体" w:eastAsia="宋体" w:cs="宋体"/>
          <w:i w:val="0"/>
          <w:iCs w:val="0"/>
          <w:caps w:val="0"/>
          <w:color w:val="auto"/>
          <w:spacing w:val="0"/>
          <w:sz w:val="24"/>
          <w:szCs w:val="24"/>
          <w:highlight w:val="none"/>
          <w:shd w:val="clear" w:color="auto" w:fill="FFFFFF"/>
        </w:rPr>
        <w:t>的中国境内生产的组件成本占比≥</w:t>
      </w:r>
      <w:r>
        <w:rPr>
          <w:rStyle w:val="281"/>
          <w:rFonts w:hint="eastAsia" w:ascii="宋体" w:hAnsi="宋体" w:eastAsia="宋体" w:cs="宋体"/>
          <w:i w:val="0"/>
          <w:iCs w:val="0"/>
          <w:caps w:val="0"/>
          <w:color w:val="auto"/>
          <w:spacing w:val="0"/>
          <w:sz w:val="24"/>
          <w:szCs w:val="24"/>
          <w:highlight w:val="none"/>
          <w:u w:val="single"/>
          <w:shd w:val="clear" w:color="auto" w:fill="FFFFFF"/>
        </w:rPr>
        <w:t>（规定比例）</w:t>
      </w:r>
      <w:r>
        <w:rPr>
          <w:rStyle w:val="281"/>
          <w:rFonts w:hint="eastAsia" w:ascii="宋体" w:hAnsi="宋体" w:eastAsia="宋体" w:cs="宋体"/>
          <w:i w:val="0"/>
          <w:iCs w:val="0"/>
          <w:caps w:val="0"/>
          <w:color w:val="auto"/>
          <w:spacing w:val="0"/>
          <w:sz w:val="24"/>
          <w:szCs w:val="24"/>
          <w:highlight w:val="none"/>
          <w:u w:val="single"/>
          <w:shd w:val="clear" w:color="auto" w:fill="FFFFFF"/>
          <w:vertAlign w:val="superscript"/>
        </w:rPr>
        <w:t>3</w:t>
      </w:r>
      <w:r>
        <w:rPr>
          <w:rFonts w:hint="eastAsia" w:ascii="宋体" w:hAnsi="宋体" w:eastAsia="宋体" w:cs="宋体"/>
          <w:i w:val="0"/>
          <w:iCs w:val="0"/>
          <w:caps w:val="0"/>
          <w:color w:val="auto"/>
          <w:spacing w:val="0"/>
          <w:sz w:val="24"/>
          <w:szCs w:val="24"/>
          <w:highlight w:val="none"/>
          <w:shd w:val="clear" w:color="auto" w:fill="FFFFFF"/>
        </w:rPr>
        <w:t>。</w:t>
      </w:r>
      <w:r>
        <w:rPr>
          <w:rStyle w:val="281"/>
          <w:rFonts w:hint="eastAsia" w:ascii="宋体" w:hAnsi="宋体" w:eastAsia="宋体" w:cs="宋体"/>
          <w:i w:val="0"/>
          <w:iCs w:val="0"/>
          <w:caps w:val="0"/>
          <w:color w:val="auto"/>
          <w:spacing w:val="0"/>
          <w:sz w:val="24"/>
          <w:szCs w:val="24"/>
          <w:highlight w:val="none"/>
          <w:u w:val="single"/>
          <w:shd w:val="clear" w:color="auto" w:fill="FFFFFF"/>
        </w:rPr>
        <w:t>（产品名称1）</w:t>
      </w:r>
      <w:r>
        <w:rPr>
          <w:rFonts w:hint="eastAsia" w:ascii="宋体" w:hAnsi="宋体" w:eastAsia="宋体" w:cs="宋体"/>
          <w:i w:val="0"/>
          <w:iCs w:val="0"/>
          <w:caps w:val="0"/>
          <w:color w:val="auto"/>
          <w:spacing w:val="0"/>
          <w:sz w:val="24"/>
          <w:szCs w:val="24"/>
          <w:highlight w:val="none"/>
          <w:shd w:val="clear" w:color="auto" w:fill="FFFFFF"/>
        </w:rPr>
        <w:t>的</w:t>
      </w:r>
      <w:r>
        <w:rPr>
          <w:rStyle w:val="281"/>
          <w:rFonts w:hint="eastAsia" w:ascii="宋体" w:hAnsi="宋体" w:eastAsia="宋体" w:cs="宋体"/>
          <w:i w:val="0"/>
          <w:iCs w:val="0"/>
          <w:caps w:val="0"/>
          <w:color w:val="auto"/>
          <w:spacing w:val="0"/>
          <w:sz w:val="24"/>
          <w:szCs w:val="24"/>
          <w:highlight w:val="none"/>
          <w:u w:val="single"/>
          <w:shd w:val="clear" w:color="auto" w:fill="FFFFFF"/>
        </w:rPr>
        <w:t>（关键组件）</w:t>
      </w:r>
      <w:r>
        <w:rPr>
          <w:rStyle w:val="281"/>
          <w:rFonts w:hint="eastAsia" w:ascii="宋体" w:hAnsi="宋体" w:eastAsia="宋体" w:cs="宋体"/>
          <w:i w:val="0"/>
          <w:iCs w:val="0"/>
          <w:caps w:val="0"/>
          <w:color w:val="auto"/>
          <w:spacing w:val="0"/>
          <w:sz w:val="24"/>
          <w:szCs w:val="24"/>
          <w:highlight w:val="none"/>
          <w:u w:val="single"/>
          <w:shd w:val="clear" w:color="auto" w:fill="FFFFFF"/>
          <w:vertAlign w:val="superscript"/>
        </w:rPr>
        <w:t>4</w:t>
      </w:r>
      <w:r>
        <w:rPr>
          <w:rFonts w:hint="eastAsia" w:ascii="宋体" w:hAnsi="宋体" w:eastAsia="宋体" w:cs="宋体"/>
          <w:i w:val="0"/>
          <w:iCs w:val="0"/>
          <w:caps w:val="0"/>
          <w:color w:val="auto"/>
          <w:spacing w:val="0"/>
          <w:sz w:val="24"/>
          <w:szCs w:val="24"/>
          <w:highlight w:val="none"/>
          <w:shd w:val="clear" w:color="auto" w:fill="FFFFFF"/>
        </w:rPr>
        <w:t>在中国境内生产。</w:t>
      </w:r>
      <w:r>
        <w:rPr>
          <w:rStyle w:val="281"/>
          <w:rFonts w:hint="eastAsia" w:ascii="宋体" w:hAnsi="宋体" w:eastAsia="宋体" w:cs="宋体"/>
          <w:i w:val="0"/>
          <w:iCs w:val="0"/>
          <w:caps w:val="0"/>
          <w:color w:val="auto"/>
          <w:spacing w:val="0"/>
          <w:sz w:val="24"/>
          <w:szCs w:val="24"/>
          <w:highlight w:val="none"/>
          <w:u w:val="single"/>
          <w:shd w:val="clear" w:color="auto" w:fill="FFFFFF"/>
        </w:rPr>
        <w:t>（产品名称1）</w:t>
      </w:r>
      <w:r>
        <w:rPr>
          <w:rFonts w:hint="eastAsia" w:ascii="宋体" w:hAnsi="宋体" w:eastAsia="宋体" w:cs="宋体"/>
          <w:i w:val="0"/>
          <w:iCs w:val="0"/>
          <w:caps w:val="0"/>
          <w:color w:val="auto"/>
          <w:spacing w:val="0"/>
          <w:sz w:val="24"/>
          <w:szCs w:val="24"/>
          <w:highlight w:val="none"/>
          <w:shd w:val="clear" w:color="auto" w:fill="FFFFFF"/>
        </w:rPr>
        <w:t>的</w:t>
      </w:r>
      <w:r>
        <w:rPr>
          <w:rStyle w:val="281"/>
          <w:rFonts w:hint="eastAsia" w:ascii="宋体" w:hAnsi="宋体" w:eastAsia="宋体" w:cs="宋体"/>
          <w:i w:val="0"/>
          <w:iCs w:val="0"/>
          <w:caps w:val="0"/>
          <w:color w:val="auto"/>
          <w:spacing w:val="0"/>
          <w:sz w:val="24"/>
          <w:szCs w:val="24"/>
          <w:highlight w:val="none"/>
          <w:u w:val="single"/>
          <w:shd w:val="clear" w:color="auto" w:fill="FFFFFF"/>
        </w:rPr>
        <w:t>（关键工序）</w:t>
      </w:r>
      <w:r>
        <w:rPr>
          <w:rStyle w:val="281"/>
          <w:rFonts w:hint="eastAsia" w:ascii="宋体" w:hAnsi="宋体" w:eastAsia="宋体" w:cs="宋体"/>
          <w:i w:val="0"/>
          <w:iCs w:val="0"/>
          <w:caps w:val="0"/>
          <w:color w:val="auto"/>
          <w:spacing w:val="0"/>
          <w:sz w:val="24"/>
          <w:szCs w:val="24"/>
          <w:highlight w:val="none"/>
          <w:u w:val="single"/>
          <w:shd w:val="clear" w:color="auto" w:fill="FFFFFF"/>
          <w:vertAlign w:val="superscript"/>
        </w:rPr>
        <w:t>5</w:t>
      </w:r>
      <w:r>
        <w:rPr>
          <w:rFonts w:hint="eastAsia" w:ascii="宋体" w:hAnsi="宋体" w:eastAsia="宋体" w:cs="宋体"/>
          <w:i w:val="0"/>
          <w:iCs w:val="0"/>
          <w:caps w:val="0"/>
          <w:color w:val="auto"/>
          <w:spacing w:val="0"/>
          <w:sz w:val="24"/>
          <w:szCs w:val="24"/>
          <w:highlight w:val="none"/>
          <w:shd w:val="clear" w:color="auto" w:fill="FFFFFF"/>
        </w:rPr>
        <w:t>在中国境内完成。</w:t>
      </w:r>
    </w:p>
    <w:p w14:paraId="03DB3CD4">
      <w:pPr>
        <w:pStyle w:val="243"/>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2.</w:t>
      </w:r>
      <w:r>
        <w:rPr>
          <w:rStyle w:val="281"/>
          <w:rFonts w:hint="eastAsia" w:ascii="宋体" w:hAnsi="宋体" w:eastAsia="宋体" w:cs="宋体"/>
          <w:i w:val="0"/>
          <w:iCs w:val="0"/>
          <w:caps w:val="0"/>
          <w:color w:val="auto"/>
          <w:spacing w:val="0"/>
          <w:sz w:val="24"/>
          <w:szCs w:val="24"/>
          <w:highlight w:val="none"/>
          <w:u w:val="single"/>
          <w:shd w:val="clear" w:color="auto" w:fill="FFFFFF"/>
        </w:rPr>
        <w:t>（产品名称2）</w:t>
      </w:r>
      <w:r>
        <w:rPr>
          <w:rFonts w:hint="eastAsia" w:ascii="宋体" w:hAnsi="宋体" w:eastAsia="宋体" w:cs="宋体"/>
          <w:i w:val="0"/>
          <w:iCs w:val="0"/>
          <w:caps w:val="0"/>
          <w:color w:val="auto"/>
          <w:spacing w:val="0"/>
          <w:sz w:val="24"/>
          <w:szCs w:val="24"/>
          <w:highlight w:val="none"/>
          <w:shd w:val="clear" w:color="auto" w:fill="FFFFFF"/>
        </w:rPr>
        <w:t>，生产厂为</w:t>
      </w:r>
      <w:r>
        <w:rPr>
          <w:rStyle w:val="281"/>
          <w:rFonts w:hint="eastAsia" w:ascii="宋体" w:hAnsi="宋体" w:eastAsia="宋体" w:cs="宋体"/>
          <w:i w:val="0"/>
          <w:iCs w:val="0"/>
          <w:caps w:val="0"/>
          <w:color w:val="auto"/>
          <w:spacing w:val="0"/>
          <w:sz w:val="24"/>
          <w:szCs w:val="24"/>
          <w:highlight w:val="none"/>
          <w:u w:val="single"/>
          <w:shd w:val="clear" w:color="auto" w:fill="FFFFFF"/>
        </w:rPr>
        <w:t>（厂名）</w:t>
      </w:r>
      <w:r>
        <w:rPr>
          <w:rFonts w:hint="eastAsia" w:ascii="宋体" w:hAnsi="宋体" w:eastAsia="宋体" w:cs="宋体"/>
          <w:i w:val="0"/>
          <w:iCs w:val="0"/>
          <w:caps w:val="0"/>
          <w:color w:val="auto"/>
          <w:spacing w:val="0"/>
          <w:sz w:val="24"/>
          <w:szCs w:val="24"/>
          <w:highlight w:val="none"/>
          <w:shd w:val="clear" w:color="auto" w:fill="FFFFFF"/>
        </w:rPr>
        <w:t>，厂址为</w:t>
      </w:r>
      <w:r>
        <w:rPr>
          <w:rStyle w:val="281"/>
          <w:rFonts w:hint="eastAsia" w:ascii="宋体" w:hAnsi="宋体" w:eastAsia="宋体" w:cs="宋体"/>
          <w:i w:val="0"/>
          <w:iCs w:val="0"/>
          <w:caps w:val="0"/>
          <w:color w:val="auto"/>
          <w:spacing w:val="0"/>
          <w:sz w:val="24"/>
          <w:szCs w:val="24"/>
          <w:highlight w:val="none"/>
          <w:u w:val="single"/>
          <w:shd w:val="clear" w:color="auto" w:fill="FFFFFF"/>
        </w:rPr>
        <w:t>（生产厂址）</w:t>
      </w:r>
      <w:r>
        <w:rPr>
          <w:rFonts w:hint="eastAsia" w:ascii="宋体" w:hAnsi="宋体" w:eastAsia="宋体" w:cs="宋体"/>
          <w:i w:val="0"/>
          <w:iCs w:val="0"/>
          <w:caps w:val="0"/>
          <w:color w:val="auto"/>
          <w:spacing w:val="0"/>
          <w:sz w:val="24"/>
          <w:szCs w:val="24"/>
          <w:highlight w:val="none"/>
          <w:shd w:val="clear" w:color="auto" w:fill="FFFFFF"/>
        </w:rPr>
        <w:t>。</w:t>
      </w:r>
      <w:r>
        <w:rPr>
          <w:rStyle w:val="281"/>
          <w:rFonts w:hint="eastAsia" w:ascii="宋体" w:hAnsi="宋体" w:eastAsia="宋体" w:cs="宋体"/>
          <w:i w:val="0"/>
          <w:iCs w:val="0"/>
          <w:caps w:val="0"/>
          <w:color w:val="auto"/>
          <w:spacing w:val="0"/>
          <w:sz w:val="24"/>
          <w:szCs w:val="24"/>
          <w:highlight w:val="none"/>
          <w:u w:val="single"/>
          <w:shd w:val="clear" w:color="auto" w:fill="FFFFFF"/>
        </w:rPr>
        <w:t>（产品名称2）</w:t>
      </w:r>
      <w:r>
        <w:rPr>
          <w:rFonts w:hint="eastAsia" w:ascii="宋体" w:hAnsi="宋体" w:eastAsia="宋体" w:cs="宋体"/>
          <w:i w:val="0"/>
          <w:iCs w:val="0"/>
          <w:caps w:val="0"/>
          <w:color w:val="auto"/>
          <w:spacing w:val="0"/>
          <w:sz w:val="24"/>
          <w:szCs w:val="24"/>
          <w:highlight w:val="none"/>
          <w:shd w:val="clear" w:color="auto" w:fill="FFFFFF"/>
        </w:rPr>
        <w:t>的中国境内生产的组件成本占比≥</w:t>
      </w:r>
      <w:r>
        <w:rPr>
          <w:rStyle w:val="281"/>
          <w:rFonts w:hint="eastAsia" w:ascii="宋体" w:hAnsi="宋体" w:eastAsia="宋体" w:cs="宋体"/>
          <w:i w:val="0"/>
          <w:iCs w:val="0"/>
          <w:caps w:val="0"/>
          <w:color w:val="auto"/>
          <w:spacing w:val="0"/>
          <w:sz w:val="24"/>
          <w:szCs w:val="24"/>
          <w:highlight w:val="none"/>
          <w:u w:val="single"/>
          <w:shd w:val="clear" w:color="auto" w:fill="FFFFFF"/>
        </w:rPr>
        <w:t>（规定比例）</w:t>
      </w:r>
      <w:r>
        <w:rPr>
          <w:rFonts w:hint="eastAsia" w:ascii="宋体" w:hAnsi="宋体" w:eastAsia="宋体" w:cs="宋体"/>
          <w:i w:val="0"/>
          <w:iCs w:val="0"/>
          <w:caps w:val="0"/>
          <w:color w:val="auto"/>
          <w:spacing w:val="0"/>
          <w:sz w:val="24"/>
          <w:szCs w:val="24"/>
          <w:highlight w:val="none"/>
          <w:shd w:val="clear" w:color="auto" w:fill="FFFFFF"/>
        </w:rPr>
        <w:t>。</w:t>
      </w:r>
      <w:r>
        <w:rPr>
          <w:rStyle w:val="281"/>
          <w:rFonts w:hint="eastAsia" w:ascii="宋体" w:hAnsi="宋体" w:eastAsia="宋体" w:cs="宋体"/>
          <w:i w:val="0"/>
          <w:iCs w:val="0"/>
          <w:caps w:val="0"/>
          <w:color w:val="auto"/>
          <w:spacing w:val="0"/>
          <w:sz w:val="24"/>
          <w:szCs w:val="24"/>
          <w:highlight w:val="none"/>
          <w:u w:val="single"/>
          <w:shd w:val="clear" w:color="auto" w:fill="FFFFFF"/>
        </w:rPr>
        <w:t>（产品名称2）</w:t>
      </w:r>
      <w:r>
        <w:rPr>
          <w:rFonts w:hint="eastAsia" w:ascii="宋体" w:hAnsi="宋体" w:eastAsia="宋体" w:cs="宋体"/>
          <w:i w:val="0"/>
          <w:iCs w:val="0"/>
          <w:caps w:val="0"/>
          <w:color w:val="auto"/>
          <w:spacing w:val="0"/>
          <w:sz w:val="24"/>
          <w:szCs w:val="24"/>
          <w:highlight w:val="none"/>
          <w:shd w:val="clear" w:color="auto" w:fill="FFFFFF"/>
        </w:rPr>
        <w:t>的</w:t>
      </w:r>
      <w:r>
        <w:rPr>
          <w:rStyle w:val="281"/>
          <w:rFonts w:hint="eastAsia" w:ascii="宋体" w:hAnsi="宋体" w:eastAsia="宋体" w:cs="宋体"/>
          <w:i w:val="0"/>
          <w:iCs w:val="0"/>
          <w:caps w:val="0"/>
          <w:color w:val="auto"/>
          <w:spacing w:val="0"/>
          <w:sz w:val="24"/>
          <w:szCs w:val="24"/>
          <w:highlight w:val="none"/>
          <w:u w:val="single"/>
          <w:shd w:val="clear" w:color="auto" w:fill="FFFFFF"/>
        </w:rPr>
        <w:t>（关键组件）</w:t>
      </w:r>
      <w:r>
        <w:rPr>
          <w:rFonts w:hint="eastAsia" w:ascii="宋体" w:hAnsi="宋体" w:eastAsia="宋体" w:cs="宋体"/>
          <w:i w:val="0"/>
          <w:iCs w:val="0"/>
          <w:caps w:val="0"/>
          <w:color w:val="auto"/>
          <w:spacing w:val="0"/>
          <w:sz w:val="24"/>
          <w:szCs w:val="24"/>
          <w:highlight w:val="none"/>
          <w:shd w:val="clear" w:color="auto" w:fill="FFFFFF"/>
        </w:rPr>
        <w:t>在中国境内生产。</w:t>
      </w:r>
      <w:r>
        <w:rPr>
          <w:rStyle w:val="281"/>
          <w:rFonts w:hint="eastAsia" w:ascii="宋体" w:hAnsi="宋体" w:eastAsia="宋体" w:cs="宋体"/>
          <w:i w:val="0"/>
          <w:iCs w:val="0"/>
          <w:caps w:val="0"/>
          <w:color w:val="auto"/>
          <w:spacing w:val="0"/>
          <w:sz w:val="24"/>
          <w:szCs w:val="24"/>
          <w:highlight w:val="none"/>
          <w:u w:val="single"/>
          <w:shd w:val="clear" w:color="auto" w:fill="FFFFFF"/>
        </w:rPr>
        <w:t>（产品名称2）</w:t>
      </w:r>
      <w:r>
        <w:rPr>
          <w:rFonts w:hint="eastAsia" w:ascii="宋体" w:hAnsi="宋体" w:eastAsia="宋体" w:cs="宋体"/>
          <w:i w:val="0"/>
          <w:iCs w:val="0"/>
          <w:caps w:val="0"/>
          <w:color w:val="auto"/>
          <w:spacing w:val="0"/>
          <w:sz w:val="24"/>
          <w:szCs w:val="24"/>
          <w:highlight w:val="none"/>
          <w:shd w:val="clear" w:color="auto" w:fill="FFFFFF"/>
        </w:rPr>
        <w:t>的</w:t>
      </w:r>
      <w:r>
        <w:rPr>
          <w:rStyle w:val="281"/>
          <w:rFonts w:hint="eastAsia" w:ascii="宋体" w:hAnsi="宋体" w:eastAsia="宋体" w:cs="宋体"/>
          <w:i w:val="0"/>
          <w:iCs w:val="0"/>
          <w:caps w:val="0"/>
          <w:color w:val="auto"/>
          <w:spacing w:val="0"/>
          <w:sz w:val="24"/>
          <w:szCs w:val="24"/>
          <w:highlight w:val="none"/>
          <w:u w:val="single"/>
          <w:shd w:val="clear" w:color="auto" w:fill="FFFFFF"/>
        </w:rPr>
        <w:t>（关键工序）</w:t>
      </w:r>
      <w:r>
        <w:rPr>
          <w:rFonts w:hint="eastAsia" w:ascii="宋体" w:hAnsi="宋体" w:eastAsia="宋体" w:cs="宋体"/>
          <w:i w:val="0"/>
          <w:iCs w:val="0"/>
          <w:caps w:val="0"/>
          <w:color w:val="auto"/>
          <w:spacing w:val="0"/>
          <w:sz w:val="24"/>
          <w:szCs w:val="24"/>
          <w:highlight w:val="none"/>
          <w:shd w:val="clear" w:color="auto" w:fill="FFFFFF"/>
        </w:rPr>
        <w:t>在中国境内完成。</w:t>
      </w:r>
    </w:p>
    <w:p w14:paraId="0D5BD37D">
      <w:pPr>
        <w:pStyle w:val="243"/>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w:t>
      </w:r>
    </w:p>
    <w:p w14:paraId="45D9DD43">
      <w:pPr>
        <w:pStyle w:val="243"/>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本公司（单位）对上述声明内容的真实性负责。如有虚假，愿承担相应法律责任。</w:t>
      </w:r>
    </w:p>
    <w:p w14:paraId="7349E453">
      <w:pPr>
        <w:pStyle w:val="243"/>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jc w:val="right"/>
        <w:rPr>
          <w:rFonts w:hint="eastAsia" w:ascii="宋体" w:hAnsi="宋体" w:eastAsia="宋体" w:cs="宋体"/>
          <w:i w:val="0"/>
          <w:iCs w:val="0"/>
          <w:caps w:val="0"/>
          <w:color w:val="auto"/>
          <w:spacing w:val="0"/>
          <w:sz w:val="24"/>
          <w:szCs w:val="24"/>
          <w:highlight w:val="none"/>
          <w:shd w:val="clear" w:color="auto" w:fill="FFFFFF"/>
        </w:rPr>
      </w:pPr>
    </w:p>
    <w:p w14:paraId="32BE888C">
      <w:pPr>
        <w:pStyle w:val="243"/>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jc w:val="right"/>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color w:val="auto"/>
          <w:sz w:val="24"/>
          <w:szCs w:val="24"/>
          <w:highlight w:val="none"/>
        </w:rPr>
        <w:t>供应商全称（加盖CA电子公章）：</w:t>
      </w:r>
      <w:r>
        <w:rPr>
          <w:rFonts w:hint="eastAsia" w:ascii="宋体" w:hAnsi="宋体" w:eastAsia="宋体" w:cs="宋体"/>
          <w:i w:val="0"/>
          <w:iCs w:val="0"/>
          <w:caps w:val="0"/>
          <w:color w:val="auto"/>
          <w:spacing w:val="0"/>
          <w:sz w:val="24"/>
          <w:szCs w:val="24"/>
          <w:highlight w:val="none"/>
          <w:shd w:val="clear" w:color="auto" w:fill="FFFFFF"/>
        </w:rPr>
        <w:t>      </w:t>
      </w:r>
    </w:p>
    <w:p w14:paraId="052AA1DD">
      <w:pPr>
        <w:pStyle w:val="243"/>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jc w:val="right"/>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日期：　　　　　年　　月　日    </w:t>
      </w:r>
    </w:p>
    <w:p w14:paraId="6CBBBFF7">
      <w:pPr>
        <w:pStyle w:val="243"/>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4"/>
          <w:szCs w:val="24"/>
          <w:highlight w:val="none"/>
        </w:rPr>
      </w:pPr>
    </w:p>
    <w:p w14:paraId="1892315B">
      <w:pPr>
        <w:pStyle w:val="243"/>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4"/>
          <w:szCs w:val="24"/>
          <w:highlight w:val="none"/>
        </w:rPr>
      </w:pPr>
    </w:p>
    <w:p w14:paraId="3CBA467D">
      <w:pPr>
        <w:pStyle w:val="243"/>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right="0"/>
        <w:jc w:val="both"/>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_____________________________</w:t>
      </w:r>
    </w:p>
    <w:p w14:paraId="16C459F5">
      <w:pPr>
        <w:pStyle w:val="243"/>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1.产品如有型号，请在“产品名称”栏一并填写。</w:t>
      </w:r>
    </w:p>
    <w:p w14:paraId="78F0DCDB">
      <w:pPr>
        <w:pStyle w:val="243"/>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2.生产厂名与厂址应与生产厂营业执照载明的相关信息保持一致。</w:t>
      </w:r>
    </w:p>
    <w:p w14:paraId="32F961E0">
      <w:pPr>
        <w:pStyle w:val="243"/>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3.该产品的中国境内生产的组件成本占比相关要求实施前，“规定比例”栏可不填，下同。</w:t>
      </w:r>
    </w:p>
    <w:p w14:paraId="5165D615">
      <w:pPr>
        <w:pStyle w:val="243"/>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4.该产品的关键组件要求实施前，“关键组件”栏可不填，下同。</w:t>
      </w:r>
    </w:p>
    <w:p w14:paraId="4271F2C1">
      <w:pPr>
        <w:pStyle w:val="243"/>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rPr>
        <w:t>5.该产品的关键工序要求实施前，“关键工序”栏可不填，下同。</w:t>
      </w:r>
    </w:p>
    <w:p w14:paraId="55001AFA">
      <w:pPr>
        <w:pStyle w:val="235"/>
        <w:keepNext w:val="0"/>
        <w:keepLines w:val="0"/>
        <w:pageBreakBefore w:val="0"/>
        <w:spacing w:line="360" w:lineRule="auto"/>
        <w:rPr>
          <w:rFonts w:hint="eastAsia" w:ascii="宋体" w:hAnsi="宋体" w:eastAsia="宋体" w:cs="宋体"/>
          <w:color w:val="auto"/>
          <w:sz w:val="21"/>
          <w:szCs w:val="21"/>
          <w:highlight w:val="none"/>
          <w:lang w:val="en-US" w:eastAsia="zh-CN" w:bidi="ar"/>
        </w:rPr>
        <w:sectPr>
          <w:footerReference r:id="rId7" w:type="default"/>
          <w:pgSz w:w="11907" w:h="16840"/>
          <w:pgMar w:top="1440" w:right="1463" w:bottom="1440" w:left="1463" w:header="851" w:footer="851" w:gutter="0"/>
          <w:cols w:space="1701" w:num="1"/>
          <w:docGrid w:linePitch="360" w:charSpace="0"/>
        </w:sectPr>
      </w:pPr>
    </w:p>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14:paraId="55FE6984">
      <w:pPr>
        <w:pageBreakBefore w:val="0"/>
        <w:spacing w:line="360" w:lineRule="auto"/>
        <w:jc w:val="center"/>
        <w:outlineLvl w:val="1"/>
        <w:rPr>
          <w:rFonts w:hint="eastAsia" w:ascii="宋体" w:hAnsi="宋体" w:eastAsia="宋体" w:cs="宋体"/>
          <w:b/>
          <w:bCs/>
          <w:color w:val="000000"/>
          <w:sz w:val="30"/>
          <w:szCs w:val="30"/>
        </w:rPr>
      </w:pPr>
      <w:r>
        <w:rPr>
          <w:rFonts w:hint="eastAsia" w:ascii="宋体" w:hAnsi="宋体" w:cs="宋体"/>
          <w:b/>
          <w:bCs/>
          <w:color w:val="000000"/>
          <w:sz w:val="30"/>
          <w:szCs w:val="30"/>
          <w:lang w:val="en-US" w:eastAsia="zh-CN"/>
        </w:rPr>
        <w:t>九</w:t>
      </w:r>
      <w:r>
        <w:rPr>
          <w:rFonts w:hint="eastAsia" w:ascii="宋体" w:hAnsi="宋体" w:eastAsia="宋体" w:cs="宋体"/>
          <w:b/>
          <w:bCs/>
          <w:color w:val="000000"/>
          <w:sz w:val="30"/>
          <w:szCs w:val="30"/>
        </w:rPr>
        <w:t>、技术偏离表</w:t>
      </w:r>
    </w:p>
    <w:p w14:paraId="4E3A1724">
      <w:pPr>
        <w:pageBreakBefore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p>
    <w:tbl>
      <w:tblPr>
        <w:tblStyle w:val="36"/>
        <w:tblW w:w="9111" w:type="dxa"/>
        <w:tblInd w:w="-4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28"/>
        <w:gridCol w:w="2903"/>
        <w:gridCol w:w="2706"/>
        <w:gridCol w:w="1241"/>
        <w:gridCol w:w="1233"/>
      </w:tblGrid>
      <w:tr w14:paraId="4818A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1028" w:type="dxa"/>
            <w:noWrap w:val="0"/>
            <w:vAlign w:val="center"/>
          </w:tcPr>
          <w:p w14:paraId="78140ABA">
            <w:pPr>
              <w:pageBreakBefore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序号</w:t>
            </w:r>
          </w:p>
        </w:tc>
        <w:tc>
          <w:tcPr>
            <w:tcW w:w="2903" w:type="dxa"/>
            <w:noWrap w:val="0"/>
            <w:vAlign w:val="center"/>
          </w:tcPr>
          <w:p w14:paraId="644DC799">
            <w:pPr>
              <w:pageBreakBefore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招标要求</w:t>
            </w:r>
          </w:p>
        </w:tc>
        <w:tc>
          <w:tcPr>
            <w:tcW w:w="2706" w:type="dxa"/>
            <w:noWrap w:val="0"/>
            <w:vAlign w:val="center"/>
          </w:tcPr>
          <w:p w14:paraId="7CB01DA6">
            <w:pPr>
              <w:pageBreakBefore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投标响应</w:t>
            </w:r>
          </w:p>
        </w:tc>
        <w:tc>
          <w:tcPr>
            <w:tcW w:w="1241" w:type="dxa"/>
            <w:noWrap w:val="0"/>
            <w:vAlign w:val="center"/>
          </w:tcPr>
          <w:p w14:paraId="723C2D21">
            <w:pPr>
              <w:pageBreakBefore w:val="0"/>
              <w:spacing w:line="360" w:lineRule="auto"/>
              <w:rPr>
                <w:rFonts w:hint="eastAsia" w:ascii="宋体" w:hAnsi="宋体" w:eastAsia="宋体" w:cs="宋体"/>
                <w:color w:val="000000"/>
                <w:sz w:val="24"/>
                <w:szCs w:val="24"/>
              </w:rPr>
            </w:pPr>
            <w:r>
              <w:rPr>
                <w:rFonts w:hint="eastAsia" w:ascii="宋体" w:hAnsi="宋体" w:eastAsia="宋体" w:cs="宋体"/>
                <w:bCs/>
                <w:color w:val="000000"/>
                <w:sz w:val="24"/>
                <w:szCs w:val="24"/>
              </w:rPr>
              <w:t>有无偏离</w:t>
            </w:r>
          </w:p>
        </w:tc>
        <w:tc>
          <w:tcPr>
            <w:tcW w:w="1233" w:type="dxa"/>
            <w:noWrap w:val="0"/>
            <w:vAlign w:val="center"/>
          </w:tcPr>
          <w:p w14:paraId="16F2352C">
            <w:pPr>
              <w:pageBreakBefore w:val="0"/>
              <w:spacing w:line="360" w:lineRule="auto"/>
              <w:jc w:val="center"/>
              <w:rPr>
                <w:rFonts w:hint="eastAsia" w:ascii="宋体" w:hAnsi="宋体" w:eastAsia="宋体" w:cs="宋体"/>
                <w:color w:val="000000"/>
                <w:sz w:val="24"/>
                <w:szCs w:val="24"/>
              </w:rPr>
            </w:pPr>
            <w:r>
              <w:rPr>
                <w:rFonts w:hint="eastAsia" w:ascii="宋体" w:hAnsi="宋体" w:eastAsia="宋体" w:cs="宋体"/>
                <w:bCs/>
                <w:color w:val="000000"/>
                <w:sz w:val="24"/>
                <w:szCs w:val="24"/>
              </w:rPr>
              <w:t>偏离内容及原因</w:t>
            </w:r>
          </w:p>
        </w:tc>
      </w:tr>
      <w:tr w14:paraId="64DAE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1028" w:type="dxa"/>
            <w:noWrap w:val="0"/>
          </w:tcPr>
          <w:p w14:paraId="273EBE11">
            <w:pPr>
              <w:pageBreakBefore w:val="0"/>
              <w:spacing w:line="360" w:lineRule="auto"/>
              <w:jc w:val="center"/>
              <w:rPr>
                <w:rFonts w:hint="eastAsia" w:ascii="宋体" w:hAnsi="宋体" w:eastAsia="宋体" w:cs="宋体"/>
                <w:color w:val="000000"/>
                <w:sz w:val="24"/>
                <w:szCs w:val="24"/>
              </w:rPr>
            </w:pPr>
          </w:p>
        </w:tc>
        <w:tc>
          <w:tcPr>
            <w:tcW w:w="2903" w:type="dxa"/>
            <w:noWrap w:val="0"/>
          </w:tcPr>
          <w:p w14:paraId="13ADC3A2">
            <w:pPr>
              <w:pageBreakBefore w:val="0"/>
              <w:spacing w:line="360" w:lineRule="auto"/>
              <w:jc w:val="center"/>
              <w:rPr>
                <w:rFonts w:hint="eastAsia" w:ascii="宋体" w:hAnsi="宋体" w:eastAsia="宋体" w:cs="宋体"/>
                <w:color w:val="000000"/>
                <w:sz w:val="24"/>
                <w:szCs w:val="24"/>
              </w:rPr>
            </w:pPr>
          </w:p>
        </w:tc>
        <w:tc>
          <w:tcPr>
            <w:tcW w:w="2706" w:type="dxa"/>
            <w:noWrap w:val="0"/>
          </w:tcPr>
          <w:p w14:paraId="366A3397">
            <w:pPr>
              <w:pageBreakBefore w:val="0"/>
              <w:spacing w:line="360" w:lineRule="auto"/>
              <w:jc w:val="center"/>
              <w:rPr>
                <w:rFonts w:hint="eastAsia" w:ascii="宋体" w:hAnsi="宋体" w:eastAsia="宋体" w:cs="宋体"/>
                <w:color w:val="000000"/>
                <w:sz w:val="24"/>
                <w:szCs w:val="24"/>
              </w:rPr>
            </w:pPr>
          </w:p>
        </w:tc>
        <w:tc>
          <w:tcPr>
            <w:tcW w:w="1241" w:type="dxa"/>
            <w:noWrap w:val="0"/>
          </w:tcPr>
          <w:p w14:paraId="029D4F56">
            <w:pPr>
              <w:pageBreakBefore w:val="0"/>
              <w:spacing w:line="360" w:lineRule="auto"/>
              <w:jc w:val="center"/>
              <w:rPr>
                <w:rFonts w:hint="eastAsia" w:ascii="宋体" w:hAnsi="宋体" w:eastAsia="宋体" w:cs="宋体"/>
                <w:color w:val="000000"/>
                <w:sz w:val="24"/>
                <w:szCs w:val="24"/>
              </w:rPr>
            </w:pPr>
          </w:p>
        </w:tc>
        <w:tc>
          <w:tcPr>
            <w:tcW w:w="1233" w:type="dxa"/>
            <w:noWrap w:val="0"/>
          </w:tcPr>
          <w:p w14:paraId="79748991">
            <w:pPr>
              <w:pageBreakBefore w:val="0"/>
              <w:spacing w:line="360" w:lineRule="auto"/>
              <w:jc w:val="center"/>
              <w:rPr>
                <w:rFonts w:hint="eastAsia" w:ascii="宋体" w:hAnsi="宋体" w:eastAsia="宋体" w:cs="宋体"/>
                <w:color w:val="000000"/>
                <w:sz w:val="24"/>
                <w:szCs w:val="24"/>
              </w:rPr>
            </w:pPr>
          </w:p>
        </w:tc>
      </w:tr>
      <w:tr w14:paraId="43A97E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1028" w:type="dxa"/>
            <w:noWrap w:val="0"/>
          </w:tcPr>
          <w:p w14:paraId="7752B3C3">
            <w:pPr>
              <w:pageBreakBefore w:val="0"/>
              <w:spacing w:line="360" w:lineRule="auto"/>
              <w:jc w:val="center"/>
              <w:rPr>
                <w:rFonts w:hint="eastAsia" w:ascii="宋体" w:hAnsi="宋体" w:eastAsia="宋体" w:cs="宋体"/>
                <w:color w:val="000000"/>
                <w:sz w:val="24"/>
                <w:szCs w:val="24"/>
              </w:rPr>
            </w:pPr>
          </w:p>
        </w:tc>
        <w:tc>
          <w:tcPr>
            <w:tcW w:w="2903" w:type="dxa"/>
            <w:noWrap w:val="0"/>
          </w:tcPr>
          <w:p w14:paraId="3BD5C7B8">
            <w:pPr>
              <w:pageBreakBefore w:val="0"/>
              <w:spacing w:line="360" w:lineRule="auto"/>
              <w:jc w:val="center"/>
              <w:rPr>
                <w:rFonts w:hint="eastAsia" w:ascii="宋体" w:hAnsi="宋体" w:eastAsia="宋体" w:cs="宋体"/>
                <w:color w:val="000000"/>
                <w:sz w:val="24"/>
                <w:szCs w:val="24"/>
              </w:rPr>
            </w:pPr>
          </w:p>
        </w:tc>
        <w:tc>
          <w:tcPr>
            <w:tcW w:w="2706" w:type="dxa"/>
            <w:noWrap w:val="0"/>
          </w:tcPr>
          <w:p w14:paraId="19E104B3">
            <w:pPr>
              <w:pageBreakBefore w:val="0"/>
              <w:spacing w:line="360" w:lineRule="auto"/>
              <w:jc w:val="center"/>
              <w:rPr>
                <w:rFonts w:hint="eastAsia" w:ascii="宋体" w:hAnsi="宋体" w:eastAsia="宋体" w:cs="宋体"/>
                <w:color w:val="000000"/>
                <w:sz w:val="24"/>
                <w:szCs w:val="24"/>
              </w:rPr>
            </w:pPr>
          </w:p>
        </w:tc>
        <w:tc>
          <w:tcPr>
            <w:tcW w:w="1241" w:type="dxa"/>
            <w:noWrap w:val="0"/>
          </w:tcPr>
          <w:p w14:paraId="278E8DEE">
            <w:pPr>
              <w:pageBreakBefore w:val="0"/>
              <w:spacing w:line="360" w:lineRule="auto"/>
              <w:jc w:val="center"/>
              <w:rPr>
                <w:rFonts w:hint="eastAsia" w:ascii="宋体" w:hAnsi="宋体" w:eastAsia="宋体" w:cs="宋体"/>
                <w:color w:val="000000"/>
                <w:sz w:val="24"/>
                <w:szCs w:val="24"/>
              </w:rPr>
            </w:pPr>
          </w:p>
        </w:tc>
        <w:tc>
          <w:tcPr>
            <w:tcW w:w="1233" w:type="dxa"/>
            <w:noWrap w:val="0"/>
          </w:tcPr>
          <w:p w14:paraId="7976FD81">
            <w:pPr>
              <w:pageBreakBefore w:val="0"/>
              <w:spacing w:line="360" w:lineRule="auto"/>
              <w:jc w:val="center"/>
              <w:rPr>
                <w:rFonts w:hint="eastAsia" w:ascii="宋体" w:hAnsi="宋体" w:eastAsia="宋体" w:cs="宋体"/>
                <w:color w:val="000000"/>
                <w:sz w:val="24"/>
                <w:szCs w:val="24"/>
              </w:rPr>
            </w:pPr>
          </w:p>
        </w:tc>
      </w:tr>
      <w:tr w14:paraId="650D96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1028" w:type="dxa"/>
            <w:noWrap w:val="0"/>
          </w:tcPr>
          <w:p w14:paraId="0695C09D">
            <w:pPr>
              <w:pageBreakBefore w:val="0"/>
              <w:spacing w:line="360" w:lineRule="auto"/>
              <w:jc w:val="center"/>
              <w:rPr>
                <w:rFonts w:hint="eastAsia" w:ascii="宋体" w:hAnsi="宋体" w:eastAsia="宋体" w:cs="宋体"/>
                <w:color w:val="000000"/>
                <w:sz w:val="24"/>
                <w:szCs w:val="24"/>
              </w:rPr>
            </w:pPr>
          </w:p>
        </w:tc>
        <w:tc>
          <w:tcPr>
            <w:tcW w:w="2903" w:type="dxa"/>
            <w:noWrap w:val="0"/>
          </w:tcPr>
          <w:p w14:paraId="4B7D2EAC">
            <w:pPr>
              <w:pageBreakBefore w:val="0"/>
              <w:spacing w:line="360" w:lineRule="auto"/>
              <w:jc w:val="center"/>
              <w:rPr>
                <w:rFonts w:hint="eastAsia" w:ascii="宋体" w:hAnsi="宋体" w:eastAsia="宋体" w:cs="宋体"/>
                <w:color w:val="000000"/>
                <w:sz w:val="24"/>
                <w:szCs w:val="24"/>
              </w:rPr>
            </w:pPr>
          </w:p>
        </w:tc>
        <w:tc>
          <w:tcPr>
            <w:tcW w:w="2706" w:type="dxa"/>
            <w:noWrap w:val="0"/>
          </w:tcPr>
          <w:p w14:paraId="2FBCA560">
            <w:pPr>
              <w:pageBreakBefore w:val="0"/>
              <w:spacing w:line="360" w:lineRule="auto"/>
              <w:jc w:val="center"/>
              <w:rPr>
                <w:rFonts w:hint="eastAsia" w:ascii="宋体" w:hAnsi="宋体" w:eastAsia="宋体" w:cs="宋体"/>
                <w:color w:val="000000"/>
                <w:sz w:val="24"/>
                <w:szCs w:val="24"/>
              </w:rPr>
            </w:pPr>
          </w:p>
        </w:tc>
        <w:tc>
          <w:tcPr>
            <w:tcW w:w="1241" w:type="dxa"/>
            <w:noWrap w:val="0"/>
          </w:tcPr>
          <w:p w14:paraId="26261DCE">
            <w:pPr>
              <w:pageBreakBefore w:val="0"/>
              <w:spacing w:line="360" w:lineRule="auto"/>
              <w:jc w:val="center"/>
              <w:rPr>
                <w:rFonts w:hint="eastAsia" w:ascii="宋体" w:hAnsi="宋体" w:eastAsia="宋体" w:cs="宋体"/>
                <w:color w:val="000000"/>
                <w:sz w:val="24"/>
                <w:szCs w:val="24"/>
              </w:rPr>
            </w:pPr>
          </w:p>
        </w:tc>
        <w:tc>
          <w:tcPr>
            <w:tcW w:w="1233" w:type="dxa"/>
            <w:noWrap w:val="0"/>
          </w:tcPr>
          <w:p w14:paraId="3D1544B8">
            <w:pPr>
              <w:pageBreakBefore w:val="0"/>
              <w:spacing w:line="360" w:lineRule="auto"/>
              <w:jc w:val="center"/>
              <w:rPr>
                <w:rFonts w:hint="eastAsia" w:ascii="宋体" w:hAnsi="宋体" w:eastAsia="宋体" w:cs="宋体"/>
                <w:color w:val="000000"/>
                <w:sz w:val="24"/>
                <w:szCs w:val="24"/>
              </w:rPr>
            </w:pPr>
          </w:p>
        </w:tc>
      </w:tr>
      <w:tr w14:paraId="5CFA5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1028" w:type="dxa"/>
            <w:noWrap w:val="0"/>
          </w:tcPr>
          <w:p w14:paraId="3D285DC0">
            <w:pPr>
              <w:pageBreakBefore w:val="0"/>
              <w:spacing w:line="360" w:lineRule="auto"/>
              <w:jc w:val="center"/>
              <w:rPr>
                <w:rFonts w:hint="eastAsia" w:ascii="宋体" w:hAnsi="宋体" w:eastAsia="宋体" w:cs="宋体"/>
                <w:color w:val="000000"/>
                <w:sz w:val="24"/>
                <w:szCs w:val="24"/>
              </w:rPr>
            </w:pPr>
          </w:p>
        </w:tc>
        <w:tc>
          <w:tcPr>
            <w:tcW w:w="2903" w:type="dxa"/>
            <w:noWrap w:val="0"/>
          </w:tcPr>
          <w:p w14:paraId="7A90B647">
            <w:pPr>
              <w:pageBreakBefore w:val="0"/>
              <w:spacing w:line="360" w:lineRule="auto"/>
              <w:jc w:val="center"/>
              <w:rPr>
                <w:rFonts w:hint="eastAsia" w:ascii="宋体" w:hAnsi="宋体" w:eastAsia="宋体" w:cs="宋体"/>
                <w:color w:val="000000"/>
                <w:sz w:val="24"/>
                <w:szCs w:val="24"/>
              </w:rPr>
            </w:pPr>
          </w:p>
        </w:tc>
        <w:tc>
          <w:tcPr>
            <w:tcW w:w="2706" w:type="dxa"/>
            <w:noWrap w:val="0"/>
          </w:tcPr>
          <w:p w14:paraId="3A1DAFDB">
            <w:pPr>
              <w:pageBreakBefore w:val="0"/>
              <w:spacing w:line="360" w:lineRule="auto"/>
              <w:jc w:val="center"/>
              <w:rPr>
                <w:rFonts w:hint="eastAsia" w:ascii="宋体" w:hAnsi="宋体" w:eastAsia="宋体" w:cs="宋体"/>
                <w:color w:val="000000"/>
                <w:sz w:val="24"/>
                <w:szCs w:val="24"/>
              </w:rPr>
            </w:pPr>
          </w:p>
        </w:tc>
        <w:tc>
          <w:tcPr>
            <w:tcW w:w="1241" w:type="dxa"/>
            <w:noWrap w:val="0"/>
          </w:tcPr>
          <w:p w14:paraId="141E89EF">
            <w:pPr>
              <w:pageBreakBefore w:val="0"/>
              <w:spacing w:line="360" w:lineRule="auto"/>
              <w:jc w:val="center"/>
              <w:rPr>
                <w:rFonts w:hint="eastAsia" w:ascii="宋体" w:hAnsi="宋体" w:eastAsia="宋体" w:cs="宋体"/>
                <w:color w:val="000000"/>
                <w:sz w:val="24"/>
                <w:szCs w:val="24"/>
              </w:rPr>
            </w:pPr>
          </w:p>
        </w:tc>
        <w:tc>
          <w:tcPr>
            <w:tcW w:w="1233" w:type="dxa"/>
            <w:noWrap w:val="0"/>
          </w:tcPr>
          <w:p w14:paraId="0B5DE0F1">
            <w:pPr>
              <w:pageBreakBefore w:val="0"/>
              <w:spacing w:line="360" w:lineRule="auto"/>
              <w:jc w:val="center"/>
              <w:rPr>
                <w:rFonts w:hint="eastAsia" w:ascii="宋体" w:hAnsi="宋体" w:eastAsia="宋体" w:cs="宋体"/>
                <w:color w:val="000000"/>
                <w:sz w:val="24"/>
                <w:szCs w:val="24"/>
              </w:rPr>
            </w:pPr>
          </w:p>
        </w:tc>
      </w:tr>
      <w:tr w14:paraId="13D2F0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1028" w:type="dxa"/>
            <w:noWrap w:val="0"/>
          </w:tcPr>
          <w:p w14:paraId="48F14C67">
            <w:pPr>
              <w:pageBreakBefore w:val="0"/>
              <w:spacing w:line="360" w:lineRule="auto"/>
              <w:jc w:val="center"/>
              <w:rPr>
                <w:rFonts w:hint="eastAsia" w:ascii="宋体" w:hAnsi="宋体" w:eastAsia="宋体" w:cs="宋体"/>
                <w:color w:val="000000"/>
                <w:sz w:val="24"/>
                <w:szCs w:val="24"/>
              </w:rPr>
            </w:pPr>
          </w:p>
        </w:tc>
        <w:tc>
          <w:tcPr>
            <w:tcW w:w="2903" w:type="dxa"/>
            <w:noWrap w:val="0"/>
          </w:tcPr>
          <w:p w14:paraId="2F18586B">
            <w:pPr>
              <w:pageBreakBefore w:val="0"/>
              <w:spacing w:line="360" w:lineRule="auto"/>
              <w:jc w:val="center"/>
              <w:rPr>
                <w:rFonts w:hint="eastAsia" w:ascii="宋体" w:hAnsi="宋体" w:eastAsia="宋体" w:cs="宋体"/>
                <w:color w:val="000000"/>
                <w:sz w:val="24"/>
                <w:szCs w:val="24"/>
              </w:rPr>
            </w:pPr>
          </w:p>
        </w:tc>
        <w:tc>
          <w:tcPr>
            <w:tcW w:w="2706" w:type="dxa"/>
            <w:noWrap w:val="0"/>
          </w:tcPr>
          <w:p w14:paraId="5DF9EDE6">
            <w:pPr>
              <w:pageBreakBefore w:val="0"/>
              <w:spacing w:line="360" w:lineRule="auto"/>
              <w:jc w:val="center"/>
              <w:rPr>
                <w:rFonts w:hint="eastAsia" w:ascii="宋体" w:hAnsi="宋体" w:eastAsia="宋体" w:cs="宋体"/>
                <w:color w:val="000000"/>
                <w:sz w:val="24"/>
                <w:szCs w:val="24"/>
              </w:rPr>
            </w:pPr>
          </w:p>
        </w:tc>
        <w:tc>
          <w:tcPr>
            <w:tcW w:w="1241" w:type="dxa"/>
            <w:noWrap w:val="0"/>
          </w:tcPr>
          <w:p w14:paraId="01CA4D42">
            <w:pPr>
              <w:pageBreakBefore w:val="0"/>
              <w:spacing w:line="360" w:lineRule="auto"/>
              <w:jc w:val="center"/>
              <w:rPr>
                <w:rFonts w:hint="eastAsia" w:ascii="宋体" w:hAnsi="宋体" w:eastAsia="宋体" w:cs="宋体"/>
                <w:color w:val="000000"/>
                <w:sz w:val="24"/>
                <w:szCs w:val="24"/>
              </w:rPr>
            </w:pPr>
          </w:p>
        </w:tc>
        <w:tc>
          <w:tcPr>
            <w:tcW w:w="1233" w:type="dxa"/>
            <w:noWrap w:val="0"/>
          </w:tcPr>
          <w:p w14:paraId="2C79AF3D">
            <w:pPr>
              <w:pageBreakBefore w:val="0"/>
              <w:spacing w:line="360" w:lineRule="auto"/>
              <w:jc w:val="center"/>
              <w:rPr>
                <w:rFonts w:hint="eastAsia" w:ascii="宋体" w:hAnsi="宋体" w:eastAsia="宋体" w:cs="宋体"/>
                <w:color w:val="000000"/>
                <w:sz w:val="24"/>
                <w:szCs w:val="24"/>
              </w:rPr>
            </w:pPr>
          </w:p>
        </w:tc>
      </w:tr>
      <w:tr w14:paraId="10A48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1028" w:type="dxa"/>
            <w:noWrap w:val="0"/>
          </w:tcPr>
          <w:p w14:paraId="3E971050">
            <w:pPr>
              <w:pageBreakBefore w:val="0"/>
              <w:spacing w:line="360" w:lineRule="auto"/>
              <w:jc w:val="center"/>
              <w:rPr>
                <w:rFonts w:hint="eastAsia" w:ascii="宋体" w:hAnsi="宋体" w:eastAsia="宋体" w:cs="宋体"/>
                <w:color w:val="000000"/>
                <w:sz w:val="24"/>
                <w:szCs w:val="24"/>
              </w:rPr>
            </w:pPr>
          </w:p>
        </w:tc>
        <w:tc>
          <w:tcPr>
            <w:tcW w:w="2903" w:type="dxa"/>
            <w:noWrap w:val="0"/>
          </w:tcPr>
          <w:p w14:paraId="758213B5">
            <w:pPr>
              <w:pageBreakBefore w:val="0"/>
              <w:spacing w:line="360" w:lineRule="auto"/>
              <w:jc w:val="center"/>
              <w:rPr>
                <w:rFonts w:hint="eastAsia" w:ascii="宋体" w:hAnsi="宋体" w:eastAsia="宋体" w:cs="宋体"/>
                <w:color w:val="000000"/>
                <w:sz w:val="24"/>
                <w:szCs w:val="24"/>
              </w:rPr>
            </w:pPr>
          </w:p>
        </w:tc>
        <w:tc>
          <w:tcPr>
            <w:tcW w:w="2706" w:type="dxa"/>
            <w:noWrap w:val="0"/>
          </w:tcPr>
          <w:p w14:paraId="2CB97130">
            <w:pPr>
              <w:pageBreakBefore w:val="0"/>
              <w:spacing w:line="360" w:lineRule="auto"/>
              <w:jc w:val="center"/>
              <w:rPr>
                <w:rFonts w:hint="eastAsia" w:ascii="宋体" w:hAnsi="宋体" w:eastAsia="宋体" w:cs="宋体"/>
                <w:color w:val="000000"/>
                <w:sz w:val="24"/>
                <w:szCs w:val="24"/>
              </w:rPr>
            </w:pPr>
          </w:p>
        </w:tc>
        <w:tc>
          <w:tcPr>
            <w:tcW w:w="1241" w:type="dxa"/>
            <w:noWrap w:val="0"/>
          </w:tcPr>
          <w:p w14:paraId="73A062AF">
            <w:pPr>
              <w:pageBreakBefore w:val="0"/>
              <w:spacing w:line="360" w:lineRule="auto"/>
              <w:jc w:val="center"/>
              <w:rPr>
                <w:rFonts w:hint="eastAsia" w:ascii="宋体" w:hAnsi="宋体" w:eastAsia="宋体" w:cs="宋体"/>
                <w:color w:val="000000"/>
                <w:sz w:val="24"/>
                <w:szCs w:val="24"/>
              </w:rPr>
            </w:pPr>
          </w:p>
        </w:tc>
        <w:tc>
          <w:tcPr>
            <w:tcW w:w="1233" w:type="dxa"/>
            <w:noWrap w:val="0"/>
          </w:tcPr>
          <w:p w14:paraId="071A4EED">
            <w:pPr>
              <w:pageBreakBefore w:val="0"/>
              <w:spacing w:line="360" w:lineRule="auto"/>
              <w:jc w:val="center"/>
              <w:rPr>
                <w:rFonts w:hint="eastAsia" w:ascii="宋体" w:hAnsi="宋体" w:eastAsia="宋体" w:cs="宋体"/>
                <w:color w:val="000000"/>
                <w:sz w:val="24"/>
                <w:szCs w:val="24"/>
              </w:rPr>
            </w:pPr>
          </w:p>
        </w:tc>
      </w:tr>
      <w:tr w14:paraId="4A227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1028" w:type="dxa"/>
            <w:noWrap w:val="0"/>
          </w:tcPr>
          <w:p w14:paraId="0250F492">
            <w:pPr>
              <w:pageBreakBefore w:val="0"/>
              <w:spacing w:line="360" w:lineRule="auto"/>
              <w:jc w:val="center"/>
              <w:rPr>
                <w:rFonts w:hint="eastAsia" w:ascii="宋体" w:hAnsi="宋体" w:eastAsia="宋体" w:cs="宋体"/>
                <w:color w:val="000000"/>
                <w:sz w:val="24"/>
                <w:szCs w:val="24"/>
              </w:rPr>
            </w:pPr>
          </w:p>
        </w:tc>
        <w:tc>
          <w:tcPr>
            <w:tcW w:w="2903" w:type="dxa"/>
            <w:noWrap w:val="0"/>
          </w:tcPr>
          <w:p w14:paraId="09FBA1CE">
            <w:pPr>
              <w:pageBreakBefore w:val="0"/>
              <w:spacing w:line="360" w:lineRule="auto"/>
              <w:jc w:val="center"/>
              <w:rPr>
                <w:rFonts w:hint="eastAsia" w:ascii="宋体" w:hAnsi="宋体" w:eastAsia="宋体" w:cs="宋体"/>
                <w:color w:val="000000"/>
                <w:sz w:val="24"/>
                <w:szCs w:val="24"/>
              </w:rPr>
            </w:pPr>
          </w:p>
        </w:tc>
        <w:tc>
          <w:tcPr>
            <w:tcW w:w="2706" w:type="dxa"/>
            <w:noWrap w:val="0"/>
          </w:tcPr>
          <w:p w14:paraId="070FAD67">
            <w:pPr>
              <w:pageBreakBefore w:val="0"/>
              <w:spacing w:line="360" w:lineRule="auto"/>
              <w:jc w:val="center"/>
              <w:rPr>
                <w:rFonts w:hint="eastAsia" w:ascii="宋体" w:hAnsi="宋体" w:eastAsia="宋体" w:cs="宋体"/>
                <w:color w:val="000000"/>
                <w:sz w:val="24"/>
                <w:szCs w:val="24"/>
              </w:rPr>
            </w:pPr>
          </w:p>
        </w:tc>
        <w:tc>
          <w:tcPr>
            <w:tcW w:w="1241" w:type="dxa"/>
            <w:noWrap w:val="0"/>
          </w:tcPr>
          <w:p w14:paraId="45CA5152">
            <w:pPr>
              <w:pageBreakBefore w:val="0"/>
              <w:spacing w:line="360" w:lineRule="auto"/>
              <w:jc w:val="center"/>
              <w:rPr>
                <w:rFonts w:hint="eastAsia" w:ascii="宋体" w:hAnsi="宋体" w:eastAsia="宋体" w:cs="宋体"/>
                <w:color w:val="000000"/>
                <w:sz w:val="24"/>
                <w:szCs w:val="24"/>
              </w:rPr>
            </w:pPr>
          </w:p>
        </w:tc>
        <w:tc>
          <w:tcPr>
            <w:tcW w:w="1233" w:type="dxa"/>
            <w:noWrap w:val="0"/>
          </w:tcPr>
          <w:p w14:paraId="10CF1E6C">
            <w:pPr>
              <w:pageBreakBefore w:val="0"/>
              <w:spacing w:line="360" w:lineRule="auto"/>
              <w:jc w:val="center"/>
              <w:rPr>
                <w:rFonts w:hint="eastAsia" w:ascii="宋体" w:hAnsi="宋体" w:eastAsia="宋体" w:cs="宋体"/>
                <w:color w:val="000000"/>
                <w:sz w:val="24"/>
                <w:szCs w:val="24"/>
              </w:rPr>
            </w:pPr>
          </w:p>
        </w:tc>
      </w:tr>
      <w:tr w14:paraId="55D533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1028" w:type="dxa"/>
            <w:noWrap w:val="0"/>
          </w:tcPr>
          <w:p w14:paraId="275D5770">
            <w:pPr>
              <w:pageBreakBefore w:val="0"/>
              <w:spacing w:line="360" w:lineRule="auto"/>
              <w:jc w:val="center"/>
              <w:rPr>
                <w:rFonts w:hint="eastAsia" w:ascii="宋体" w:hAnsi="宋体" w:eastAsia="宋体" w:cs="宋体"/>
                <w:color w:val="000000"/>
                <w:sz w:val="24"/>
                <w:szCs w:val="24"/>
              </w:rPr>
            </w:pPr>
          </w:p>
        </w:tc>
        <w:tc>
          <w:tcPr>
            <w:tcW w:w="2903" w:type="dxa"/>
            <w:noWrap w:val="0"/>
          </w:tcPr>
          <w:p w14:paraId="6CF84311">
            <w:pPr>
              <w:pageBreakBefore w:val="0"/>
              <w:spacing w:line="360" w:lineRule="auto"/>
              <w:jc w:val="center"/>
              <w:rPr>
                <w:rFonts w:hint="eastAsia" w:ascii="宋体" w:hAnsi="宋体" w:eastAsia="宋体" w:cs="宋体"/>
                <w:color w:val="000000"/>
                <w:sz w:val="24"/>
                <w:szCs w:val="24"/>
              </w:rPr>
            </w:pPr>
          </w:p>
        </w:tc>
        <w:tc>
          <w:tcPr>
            <w:tcW w:w="2706" w:type="dxa"/>
            <w:noWrap w:val="0"/>
          </w:tcPr>
          <w:p w14:paraId="0ABFBE76">
            <w:pPr>
              <w:pageBreakBefore w:val="0"/>
              <w:spacing w:line="360" w:lineRule="auto"/>
              <w:jc w:val="center"/>
              <w:rPr>
                <w:rFonts w:hint="eastAsia" w:ascii="宋体" w:hAnsi="宋体" w:eastAsia="宋体" w:cs="宋体"/>
                <w:color w:val="000000"/>
                <w:sz w:val="24"/>
                <w:szCs w:val="24"/>
              </w:rPr>
            </w:pPr>
          </w:p>
        </w:tc>
        <w:tc>
          <w:tcPr>
            <w:tcW w:w="1241" w:type="dxa"/>
            <w:noWrap w:val="0"/>
          </w:tcPr>
          <w:p w14:paraId="500FB7DB">
            <w:pPr>
              <w:pageBreakBefore w:val="0"/>
              <w:spacing w:line="360" w:lineRule="auto"/>
              <w:jc w:val="center"/>
              <w:rPr>
                <w:rFonts w:hint="eastAsia" w:ascii="宋体" w:hAnsi="宋体" w:eastAsia="宋体" w:cs="宋体"/>
                <w:color w:val="000000"/>
                <w:sz w:val="24"/>
                <w:szCs w:val="24"/>
              </w:rPr>
            </w:pPr>
          </w:p>
        </w:tc>
        <w:tc>
          <w:tcPr>
            <w:tcW w:w="1233" w:type="dxa"/>
            <w:noWrap w:val="0"/>
          </w:tcPr>
          <w:p w14:paraId="148B315F">
            <w:pPr>
              <w:pageBreakBefore w:val="0"/>
              <w:spacing w:line="360" w:lineRule="auto"/>
              <w:jc w:val="center"/>
              <w:rPr>
                <w:rFonts w:hint="eastAsia" w:ascii="宋体" w:hAnsi="宋体" w:eastAsia="宋体" w:cs="宋体"/>
                <w:color w:val="000000"/>
                <w:sz w:val="24"/>
                <w:szCs w:val="24"/>
              </w:rPr>
            </w:pPr>
          </w:p>
        </w:tc>
      </w:tr>
    </w:tbl>
    <w:p w14:paraId="50452211">
      <w:pPr>
        <w:pStyle w:val="252"/>
        <w:pageBreakBefore w:val="0"/>
        <w:spacing w:before="0" w:after="0" w:line="360" w:lineRule="auto"/>
        <w:ind w:firstLine="0"/>
        <w:jc w:val="both"/>
        <w:rPr>
          <w:rFonts w:hint="eastAsia" w:ascii="宋体" w:hAnsi="宋体" w:eastAsia="宋体" w:cs="宋体"/>
          <w:color w:val="000000"/>
          <w:sz w:val="24"/>
          <w:szCs w:val="24"/>
        </w:rPr>
      </w:pPr>
    </w:p>
    <w:p w14:paraId="1BA0586E">
      <w:pPr>
        <w:pStyle w:val="252"/>
        <w:pageBreakBefore w:val="0"/>
        <w:spacing w:before="0" w:after="0" w:line="360" w:lineRule="auto"/>
        <w:ind w:firstLine="0"/>
        <w:jc w:val="both"/>
        <w:rPr>
          <w:rFonts w:hint="eastAsia" w:ascii="宋体" w:hAnsi="宋体" w:eastAsia="宋体" w:cs="宋体"/>
          <w:color w:val="000000"/>
          <w:sz w:val="24"/>
          <w:szCs w:val="24"/>
        </w:rPr>
      </w:pPr>
      <w:r>
        <w:rPr>
          <w:rFonts w:hint="eastAsia" w:ascii="宋体" w:hAnsi="宋体" w:eastAsia="宋体" w:cs="宋体"/>
          <w:color w:val="000000"/>
          <w:sz w:val="24"/>
          <w:szCs w:val="24"/>
        </w:rPr>
        <w:t>供应商名称（加盖CA电子公章）：</w:t>
      </w:r>
    </w:p>
    <w:p w14:paraId="6FD8DBAC">
      <w:pPr>
        <w:pStyle w:val="252"/>
        <w:pageBreakBefore w:val="0"/>
        <w:spacing w:before="0" w:after="0" w:line="360" w:lineRule="auto"/>
        <w:ind w:firstLine="0"/>
        <w:jc w:val="both"/>
        <w:rPr>
          <w:rFonts w:hint="eastAsia" w:ascii="宋体" w:hAnsi="宋体" w:eastAsia="宋体" w:cs="宋体"/>
          <w:color w:val="000000"/>
          <w:sz w:val="24"/>
          <w:szCs w:val="24"/>
        </w:rPr>
      </w:pPr>
    </w:p>
    <w:p w14:paraId="5E0A3030">
      <w:pPr>
        <w:pStyle w:val="252"/>
        <w:pageBreakBefore w:val="0"/>
        <w:spacing w:before="0" w:after="0" w:line="360" w:lineRule="auto"/>
        <w:ind w:firstLine="0"/>
        <w:jc w:val="both"/>
        <w:rPr>
          <w:rFonts w:hint="eastAsia" w:ascii="宋体" w:hAnsi="宋体" w:eastAsia="宋体" w:cs="宋体"/>
          <w:color w:val="000000"/>
          <w:sz w:val="24"/>
          <w:szCs w:val="24"/>
        </w:rPr>
      </w:pPr>
      <w:r>
        <w:rPr>
          <w:rFonts w:hint="eastAsia" w:ascii="宋体" w:hAnsi="宋体" w:eastAsia="宋体" w:cs="宋体"/>
          <w:color w:val="000000"/>
          <w:sz w:val="24"/>
          <w:szCs w:val="24"/>
        </w:rPr>
        <w:t>法定代表人或授权委托人：</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（签字或盖章）</w:t>
      </w:r>
    </w:p>
    <w:p w14:paraId="547400D3">
      <w:pPr>
        <w:pStyle w:val="252"/>
        <w:pageBreakBefore w:val="0"/>
        <w:spacing w:before="0" w:after="0" w:line="360" w:lineRule="auto"/>
        <w:ind w:firstLine="0"/>
        <w:jc w:val="both"/>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日期：</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 年</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月</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日</w:t>
      </w:r>
    </w:p>
    <w:p w14:paraId="2D89CF46">
      <w:pPr>
        <w:pageBreakBefore w:val="0"/>
        <w:spacing w:line="360" w:lineRule="auto"/>
        <w:rPr>
          <w:rFonts w:hint="eastAsia" w:ascii="宋体" w:hAnsi="宋体" w:eastAsia="宋体" w:cs="宋体"/>
          <w:color w:val="000000"/>
          <w:sz w:val="24"/>
          <w:szCs w:val="24"/>
        </w:rPr>
      </w:pPr>
    </w:p>
    <w:p w14:paraId="573A2F31">
      <w:pPr>
        <w:pageBreakBefore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填写说明：</w:t>
      </w:r>
    </w:p>
    <w:p w14:paraId="3D8752DF">
      <w:pPr>
        <w:pageBreakBefore w:val="0"/>
        <w:spacing w:line="360" w:lineRule="auto"/>
        <w:ind w:firstLine="480"/>
        <w:rPr>
          <w:rFonts w:hint="eastAsia" w:ascii="宋体" w:hAnsi="宋体" w:eastAsia="宋体" w:cs="宋体"/>
          <w:color w:val="000000"/>
          <w:sz w:val="24"/>
          <w:szCs w:val="24"/>
        </w:rPr>
      </w:pPr>
      <w:r>
        <w:rPr>
          <w:rFonts w:hint="eastAsia" w:ascii="宋体" w:hAnsi="宋体" w:cs="宋体"/>
          <w:color w:val="000000"/>
          <w:sz w:val="24"/>
          <w:szCs w:val="24"/>
          <w:lang w:eastAsia="zh-CN"/>
        </w:rPr>
        <w:t>1.</w:t>
      </w:r>
      <w:r>
        <w:rPr>
          <w:rFonts w:hint="eastAsia" w:ascii="宋体" w:hAnsi="宋体" w:eastAsia="宋体" w:cs="宋体"/>
          <w:color w:val="000000"/>
          <w:sz w:val="24"/>
          <w:szCs w:val="24"/>
        </w:rPr>
        <w:t>行数不够，可自行添加。</w:t>
      </w:r>
    </w:p>
    <w:p w14:paraId="2145B09E">
      <w:pPr>
        <w:pageBreakBefore w:val="0"/>
        <w:spacing w:line="360" w:lineRule="auto"/>
        <w:rPr>
          <w:rFonts w:hint="eastAsia" w:ascii="宋体" w:hAnsi="宋体" w:eastAsia="宋体" w:cs="宋体"/>
          <w:color w:val="000000"/>
          <w:sz w:val="24"/>
          <w:szCs w:val="24"/>
        </w:rPr>
        <w:sectPr>
          <w:footerReference r:id="rId8" w:type="default"/>
          <w:pgSz w:w="11906" w:h="16838"/>
          <w:pgMar w:top="1440" w:right="1800" w:bottom="1440" w:left="1800" w:header="851" w:footer="992" w:gutter="0"/>
          <w:pgNumType w:start="42"/>
          <w:cols w:space="1701" w:num="1"/>
          <w:docGrid w:linePitch="360" w:charSpace="0"/>
        </w:sectPr>
      </w:pPr>
    </w:p>
    <w:p w14:paraId="6CFF1BF0">
      <w:pPr>
        <w:pStyle w:val="285"/>
        <w:pageBreakBefore w:val="0"/>
        <w:spacing w:line="360" w:lineRule="auto"/>
        <w:ind w:left="0" w:firstLine="0"/>
        <w:jc w:val="center"/>
        <w:rPr>
          <w:rFonts w:hint="eastAsia" w:ascii="宋体" w:hAnsi="宋体" w:eastAsia="宋体" w:cs="宋体"/>
          <w:color w:val="000000"/>
          <w:sz w:val="30"/>
          <w:szCs w:val="30"/>
        </w:rPr>
      </w:pPr>
      <w:bookmarkStart w:id="133" w:name="_Hlt26955054"/>
      <w:bookmarkEnd w:id="133"/>
      <w:bookmarkStart w:id="134" w:name="_Hlt26955070"/>
      <w:bookmarkEnd w:id="134"/>
      <w:bookmarkStart w:id="135" w:name="_Hlt26955066"/>
      <w:bookmarkEnd w:id="135"/>
      <w:bookmarkStart w:id="136" w:name="_Hlt26609389"/>
      <w:bookmarkEnd w:id="136"/>
      <w:bookmarkStart w:id="137" w:name="_Hlt26671380"/>
      <w:bookmarkEnd w:id="137"/>
      <w:bookmarkStart w:id="138" w:name="_格式3__银行出具的资信证明"/>
      <w:bookmarkEnd w:id="138"/>
      <w:bookmarkStart w:id="139" w:name="_Hlt26671374"/>
      <w:bookmarkEnd w:id="139"/>
      <w:bookmarkStart w:id="140" w:name="_Toc481072028"/>
      <w:bookmarkStart w:id="141" w:name="_Toc511899525"/>
      <w:bookmarkStart w:id="142" w:name="_Toc481071982"/>
      <w:bookmarkStart w:id="143" w:name="_Toc475009312"/>
      <w:r>
        <w:rPr>
          <w:rFonts w:hint="eastAsia" w:ascii="宋体" w:hAnsi="宋体" w:eastAsia="宋体" w:cs="宋体"/>
          <w:color w:val="000000"/>
          <w:sz w:val="30"/>
          <w:szCs w:val="30"/>
          <w:lang w:val="en-US" w:eastAsia="zh-CN"/>
        </w:rPr>
        <w:t>十</w:t>
      </w:r>
      <w:r>
        <w:rPr>
          <w:rFonts w:hint="eastAsia" w:ascii="宋体" w:hAnsi="宋体" w:eastAsia="宋体" w:cs="宋体"/>
          <w:color w:val="000000"/>
          <w:sz w:val="30"/>
          <w:szCs w:val="30"/>
        </w:rPr>
        <w:t>、商务偏离表</w:t>
      </w:r>
      <w:bookmarkEnd w:id="140"/>
      <w:bookmarkEnd w:id="141"/>
      <w:bookmarkEnd w:id="142"/>
      <w:bookmarkEnd w:id="143"/>
    </w:p>
    <w:tbl>
      <w:tblPr>
        <w:tblStyle w:val="36"/>
        <w:tblW w:w="8847" w:type="dxa"/>
        <w:tblInd w:w="-3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29"/>
        <w:gridCol w:w="2668"/>
        <w:gridCol w:w="2063"/>
        <w:gridCol w:w="1404"/>
        <w:gridCol w:w="1583"/>
      </w:tblGrid>
      <w:tr w14:paraId="0AAF93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601" w:hRule="atLeast"/>
        </w:trPr>
        <w:tc>
          <w:tcPr>
            <w:tcW w:w="1129" w:type="dxa"/>
            <w:noWrap w:val="0"/>
            <w:vAlign w:val="center"/>
          </w:tcPr>
          <w:p w14:paraId="4DBA6A2A">
            <w:pPr>
              <w:pageBreakBefore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序号</w:t>
            </w:r>
          </w:p>
        </w:tc>
        <w:tc>
          <w:tcPr>
            <w:tcW w:w="2668" w:type="dxa"/>
            <w:noWrap w:val="0"/>
            <w:vAlign w:val="center"/>
          </w:tcPr>
          <w:p w14:paraId="36326DC4">
            <w:pPr>
              <w:pageBreakBefore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招标要求</w:t>
            </w:r>
          </w:p>
        </w:tc>
        <w:tc>
          <w:tcPr>
            <w:tcW w:w="2063" w:type="dxa"/>
            <w:noWrap w:val="0"/>
            <w:vAlign w:val="center"/>
          </w:tcPr>
          <w:p w14:paraId="3101DAFD">
            <w:pPr>
              <w:pageBreakBefore w:val="0"/>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投标响应</w:t>
            </w:r>
          </w:p>
        </w:tc>
        <w:tc>
          <w:tcPr>
            <w:tcW w:w="1404" w:type="dxa"/>
            <w:noWrap w:val="0"/>
            <w:vAlign w:val="center"/>
          </w:tcPr>
          <w:p w14:paraId="51A5153F">
            <w:pPr>
              <w:pageBreakBefore w:val="0"/>
              <w:spacing w:line="360" w:lineRule="auto"/>
              <w:rPr>
                <w:rFonts w:hint="eastAsia" w:ascii="宋体" w:hAnsi="宋体" w:eastAsia="宋体" w:cs="宋体"/>
                <w:color w:val="000000"/>
                <w:sz w:val="24"/>
                <w:szCs w:val="24"/>
              </w:rPr>
            </w:pPr>
            <w:r>
              <w:rPr>
                <w:rFonts w:hint="eastAsia" w:ascii="宋体" w:hAnsi="宋体" w:eastAsia="宋体" w:cs="宋体"/>
                <w:bCs/>
                <w:color w:val="000000"/>
                <w:sz w:val="24"/>
                <w:szCs w:val="24"/>
              </w:rPr>
              <w:t>有无偏离</w:t>
            </w:r>
          </w:p>
        </w:tc>
        <w:tc>
          <w:tcPr>
            <w:tcW w:w="1583" w:type="dxa"/>
            <w:noWrap w:val="0"/>
            <w:vAlign w:val="center"/>
          </w:tcPr>
          <w:p w14:paraId="386CF4E2">
            <w:pPr>
              <w:pageBreakBefore w:val="0"/>
              <w:spacing w:line="360" w:lineRule="auto"/>
              <w:jc w:val="center"/>
              <w:rPr>
                <w:rFonts w:hint="eastAsia" w:ascii="宋体" w:hAnsi="宋体" w:eastAsia="宋体" w:cs="宋体"/>
                <w:color w:val="000000"/>
                <w:sz w:val="24"/>
                <w:szCs w:val="24"/>
              </w:rPr>
            </w:pPr>
            <w:r>
              <w:rPr>
                <w:rFonts w:hint="eastAsia" w:ascii="宋体" w:hAnsi="宋体" w:eastAsia="宋体" w:cs="宋体"/>
                <w:bCs/>
                <w:color w:val="000000"/>
                <w:sz w:val="24"/>
                <w:szCs w:val="24"/>
              </w:rPr>
              <w:t>偏离内容及原因</w:t>
            </w:r>
          </w:p>
        </w:tc>
      </w:tr>
      <w:tr w14:paraId="4AF8CF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3" w:hRule="atLeast"/>
        </w:trPr>
        <w:tc>
          <w:tcPr>
            <w:tcW w:w="1129" w:type="dxa"/>
            <w:noWrap w:val="0"/>
          </w:tcPr>
          <w:p w14:paraId="1ED37773">
            <w:pPr>
              <w:pageBreakBefore w:val="0"/>
              <w:spacing w:line="360" w:lineRule="auto"/>
              <w:jc w:val="center"/>
              <w:rPr>
                <w:rFonts w:hint="eastAsia" w:ascii="宋体" w:hAnsi="宋体" w:eastAsia="宋体" w:cs="宋体"/>
                <w:color w:val="000000"/>
                <w:sz w:val="24"/>
                <w:szCs w:val="24"/>
              </w:rPr>
            </w:pPr>
          </w:p>
        </w:tc>
        <w:tc>
          <w:tcPr>
            <w:tcW w:w="2668" w:type="dxa"/>
            <w:noWrap w:val="0"/>
          </w:tcPr>
          <w:p w14:paraId="19807254">
            <w:pPr>
              <w:pageBreakBefore w:val="0"/>
              <w:spacing w:line="360" w:lineRule="auto"/>
              <w:jc w:val="center"/>
              <w:rPr>
                <w:rFonts w:hint="eastAsia" w:ascii="宋体" w:hAnsi="宋体" w:eastAsia="宋体" w:cs="宋体"/>
                <w:color w:val="000000"/>
                <w:sz w:val="24"/>
                <w:szCs w:val="24"/>
              </w:rPr>
            </w:pPr>
          </w:p>
        </w:tc>
        <w:tc>
          <w:tcPr>
            <w:tcW w:w="2063" w:type="dxa"/>
            <w:noWrap w:val="0"/>
          </w:tcPr>
          <w:p w14:paraId="291EEF3D">
            <w:pPr>
              <w:pageBreakBefore w:val="0"/>
              <w:spacing w:line="360" w:lineRule="auto"/>
              <w:jc w:val="center"/>
              <w:rPr>
                <w:rFonts w:hint="eastAsia" w:ascii="宋体" w:hAnsi="宋体" w:eastAsia="宋体" w:cs="宋体"/>
                <w:color w:val="000000"/>
                <w:sz w:val="24"/>
                <w:szCs w:val="24"/>
              </w:rPr>
            </w:pPr>
          </w:p>
        </w:tc>
        <w:tc>
          <w:tcPr>
            <w:tcW w:w="1404" w:type="dxa"/>
            <w:noWrap w:val="0"/>
          </w:tcPr>
          <w:p w14:paraId="0B4F8C68">
            <w:pPr>
              <w:pageBreakBefore w:val="0"/>
              <w:spacing w:line="360" w:lineRule="auto"/>
              <w:jc w:val="center"/>
              <w:rPr>
                <w:rFonts w:hint="eastAsia" w:ascii="宋体" w:hAnsi="宋体" w:eastAsia="宋体" w:cs="宋体"/>
                <w:color w:val="000000"/>
                <w:sz w:val="24"/>
                <w:szCs w:val="24"/>
              </w:rPr>
            </w:pPr>
          </w:p>
        </w:tc>
        <w:tc>
          <w:tcPr>
            <w:tcW w:w="1583" w:type="dxa"/>
            <w:noWrap w:val="0"/>
          </w:tcPr>
          <w:p w14:paraId="09988C63">
            <w:pPr>
              <w:pageBreakBefore w:val="0"/>
              <w:spacing w:line="360" w:lineRule="auto"/>
              <w:jc w:val="center"/>
              <w:rPr>
                <w:rFonts w:hint="eastAsia" w:ascii="宋体" w:hAnsi="宋体" w:eastAsia="宋体" w:cs="宋体"/>
                <w:color w:val="000000"/>
                <w:sz w:val="24"/>
                <w:szCs w:val="24"/>
              </w:rPr>
            </w:pPr>
          </w:p>
        </w:tc>
      </w:tr>
      <w:tr w14:paraId="48AD67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3" w:hRule="atLeast"/>
        </w:trPr>
        <w:tc>
          <w:tcPr>
            <w:tcW w:w="1129" w:type="dxa"/>
            <w:noWrap w:val="0"/>
          </w:tcPr>
          <w:p w14:paraId="2715FB1A">
            <w:pPr>
              <w:pageBreakBefore w:val="0"/>
              <w:spacing w:line="360" w:lineRule="auto"/>
              <w:jc w:val="center"/>
              <w:rPr>
                <w:rFonts w:hint="eastAsia" w:ascii="宋体" w:hAnsi="宋体" w:eastAsia="宋体" w:cs="宋体"/>
                <w:color w:val="000000"/>
                <w:sz w:val="24"/>
                <w:szCs w:val="24"/>
              </w:rPr>
            </w:pPr>
          </w:p>
        </w:tc>
        <w:tc>
          <w:tcPr>
            <w:tcW w:w="2668" w:type="dxa"/>
            <w:noWrap w:val="0"/>
          </w:tcPr>
          <w:p w14:paraId="4A4A2DD1">
            <w:pPr>
              <w:pageBreakBefore w:val="0"/>
              <w:spacing w:line="360" w:lineRule="auto"/>
              <w:jc w:val="center"/>
              <w:rPr>
                <w:rFonts w:hint="eastAsia" w:ascii="宋体" w:hAnsi="宋体" w:eastAsia="宋体" w:cs="宋体"/>
                <w:color w:val="000000"/>
                <w:sz w:val="24"/>
                <w:szCs w:val="24"/>
              </w:rPr>
            </w:pPr>
          </w:p>
        </w:tc>
        <w:tc>
          <w:tcPr>
            <w:tcW w:w="2063" w:type="dxa"/>
            <w:noWrap w:val="0"/>
          </w:tcPr>
          <w:p w14:paraId="16974A8C">
            <w:pPr>
              <w:pageBreakBefore w:val="0"/>
              <w:spacing w:line="360" w:lineRule="auto"/>
              <w:jc w:val="center"/>
              <w:rPr>
                <w:rFonts w:hint="eastAsia" w:ascii="宋体" w:hAnsi="宋体" w:eastAsia="宋体" w:cs="宋体"/>
                <w:color w:val="000000"/>
                <w:sz w:val="24"/>
                <w:szCs w:val="24"/>
              </w:rPr>
            </w:pPr>
          </w:p>
        </w:tc>
        <w:tc>
          <w:tcPr>
            <w:tcW w:w="1404" w:type="dxa"/>
            <w:noWrap w:val="0"/>
          </w:tcPr>
          <w:p w14:paraId="0BB7D54D">
            <w:pPr>
              <w:pageBreakBefore w:val="0"/>
              <w:spacing w:line="360" w:lineRule="auto"/>
              <w:jc w:val="center"/>
              <w:rPr>
                <w:rFonts w:hint="eastAsia" w:ascii="宋体" w:hAnsi="宋体" w:eastAsia="宋体" w:cs="宋体"/>
                <w:color w:val="000000"/>
                <w:sz w:val="24"/>
                <w:szCs w:val="24"/>
              </w:rPr>
            </w:pPr>
          </w:p>
        </w:tc>
        <w:tc>
          <w:tcPr>
            <w:tcW w:w="1583" w:type="dxa"/>
            <w:noWrap w:val="0"/>
          </w:tcPr>
          <w:p w14:paraId="0FA48C7E">
            <w:pPr>
              <w:pageBreakBefore w:val="0"/>
              <w:spacing w:line="360" w:lineRule="auto"/>
              <w:jc w:val="center"/>
              <w:rPr>
                <w:rFonts w:hint="eastAsia" w:ascii="宋体" w:hAnsi="宋体" w:eastAsia="宋体" w:cs="宋体"/>
                <w:color w:val="000000"/>
                <w:sz w:val="24"/>
                <w:szCs w:val="24"/>
              </w:rPr>
            </w:pPr>
          </w:p>
        </w:tc>
      </w:tr>
      <w:tr w14:paraId="5D5426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3" w:hRule="atLeast"/>
        </w:trPr>
        <w:tc>
          <w:tcPr>
            <w:tcW w:w="1129" w:type="dxa"/>
            <w:noWrap w:val="0"/>
          </w:tcPr>
          <w:p w14:paraId="36BBD845">
            <w:pPr>
              <w:pageBreakBefore w:val="0"/>
              <w:spacing w:line="360" w:lineRule="auto"/>
              <w:jc w:val="center"/>
              <w:rPr>
                <w:rFonts w:hint="eastAsia" w:ascii="宋体" w:hAnsi="宋体" w:eastAsia="宋体" w:cs="宋体"/>
                <w:color w:val="000000"/>
                <w:sz w:val="24"/>
                <w:szCs w:val="24"/>
              </w:rPr>
            </w:pPr>
          </w:p>
        </w:tc>
        <w:tc>
          <w:tcPr>
            <w:tcW w:w="2668" w:type="dxa"/>
            <w:noWrap w:val="0"/>
          </w:tcPr>
          <w:p w14:paraId="66DA6CE3">
            <w:pPr>
              <w:pageBreakBefore w:val="0"/>
              <w:spacing w:line="360" w:lineRule="auto"/>
              <w:jc w:val="center"/>
              <w:rPr>
                <w:rFonts w:hint="eastAsia" w:ascii="宋体" w:hAnsi="宋体" w:eastAsia="宋体" w:cs="宋体"/>
                <w:color w:val="000000"/>
                <w:sz w:val="24"/>
                <w:szCs w:val="24"/>
              </w:rPr>
            </w:pPr>
          </w:p>
        </w:tc>
        <w:tc>
          <w:tcPr>
            <w:tcW w:w="2063" w:type="dxa"/>
            <w:noWrap w:val="0"/>
          </w:tcPr>
          <w:p w14:paraId="2F2E6DAA">
            <w:pPr>
              <w:pageBreakBefore w:val="0"/>
              <w:spacing w:line="360" w:lineRule="auto"/>
              <w:jc w:val="center"/>
              <w:rPr>
                <w:rFonts w:hint="eastAsia" w:ascii="宋体" w:hAnsi="宋体" w:eastAsia="宋体" w:cs="宋体"/>
                <w:color w:val="000000"/>
                <w:sz w:val="24"/>
                <w:szCs w:val="24"/>
              </w:rPr>
            </w:pPr>
          </w:p>
        </w:tc>
        <w:tc>
          <w:tcPr>
            <w:tcW w:w="1404" w:type="dxa"/>
            <w:noWrap w:val="0"/>
          </w:tcPr>
          <w:p w14:paraId="16C62B52">
            <w:pPr>
              <w:pageBreakBefore w:val="0"/>
              <w:spacing w:line="360" w:lineRule="auto"/>
              <w:jc w:val="center"/>
              <w:rPr>
                <w:rFonts w:hint="eastAsia" w:ascii="宋体" w:hAnsi="宋体" w:eastAsia="宋体" w:cs="宋体"/>
                <w:color w:val="000000"/>
                <w:sz w:val="24"/>
                <w:szCs w:val="24"/>
              </w:rPr>
            </w:pPr>
          </w:p>
        </w:tc>
        <w:tc>
          <w:tcPr>
            <w:tcW w:w="1583" w:type="dxa"/>
            <w:noWrap w:val="0"/>
          </w:tcPr>
          <w:p w14:paraId="166C2178">
            <w:pPr>
              <w:pageBreakBefore w:val="0"/>
              <w:spacing w:line="360" w:lineRule="auto"/>
              <w:jc w:val="center"/>
              <w:rPr>
                <w:rFonts w:hint="eastAsia" w:ascii="宋体" w:hAnsi="宋体" w:eastAsia="宋体" w:cs="宋体"/>
                <w:color w:val="000000"/>
                <w:sz w:val="24"/>
                <w:szCs w:val="24"/>
              </w:rPr>
            </w:pPr>
          </w:p>
        </w:tc>
      </w:tr>
      <w:tr w14:paraId="751AFD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3" w:hRule="atLeast"/>
        </w:trPr>
        <w:tc>
          <w:tcPr>
            <w:tcW w:w="1129" w:type="dxa"/>
            <w:noWrap w:val="0"/>
          </w:tcPr>
          <w:p w14:paraId="581F1CDC">
            <w:pPr>
              <w:pageBreakBefore w:val="0"/>
              <w:spacing w:line="360" w:lineRule="auto"/>
              <w:jc w:val="center"/>
              <w:rPr>
                <w:rFonts w:hint="eastAsia" w:ascii="宋体" w:hAnsi="宋体" w:eastAsia="宋体" w:cs="宋体"/>
                <w:color w:val="000000"/>
                <w:sz w:val="24"/>
                <w:szCs w:val="24"/>
              </w:rPr>
            </w:pPr>
          </w:p>
        </w:tc>
        <w:tc>
          <w:tcPr>
            <w:tcW w:w="2668" w:type="dxa"/>
            <w:noWrap w:val="0"/>
          </w:tcPr>
          <w:p w14:paraId="491A4496">
            <w:pPr>
              <w:pageBreakBefore w:val="0"/>
              <w:spacing w:line="360" w:lineRule="auto"/>
              <w:jc w:val="center"/>
              <w:rPr>
                <w:rFonts w:hint="eastAsia" w:ascii="宋体" w:hAnsi="宋体" w:eastAsia="宋体" w:cs="宋体"/>
                <w:color w:val="000000"/>
                <w:sz w:val="24"/>
                <w:szCs w:val="24"/>
              </w:rPr>
            </w:pPr>
          </w:p>
        </w:tc>
        <w:tc>
          <w:tcPr>
            <w:tcW w:w="2063" w:type="dxa"/>
            <w:noWrap w:val="0"/>
          </w:tcPr>
          <w:p w14:paraId="0105FD3E">
            <w:pPr>
              <w:pageBreakBefore w:val="0"/>
              <w:spacing w:line="360" w:lineRule="auto"/>
              <w:jc w:val="center"/>
              <w:rPr>
                <w:rFonts w:hint="eastAsia" w:ascii="宋体" w:hAnsi="宋体" w:eastAsia="宋体" w:cs="宋体"/>
                <w:color w:val="000000"/>
                <w:sz w:val="24"/>
                <w:szCs w:val="24"/>
              </w:rPr>
            </w:pPr>
          </w:p>
        </w:tc>
        <w:tc>
          <w:tcPr>
            <w:tcW w:w="1404" w:type="dxa"/>
            <w:noWrap w:val="0"/>
          </w:tcPr>
          <w:p w14:paraId="74210FD4">
            <w:pPr>
              <w:pageBreakBefore w:val="0"/>
              <w:spacing w:line="360" w:lineRule="auto"/>
              <w:jc w:val="center"/>
              <w:rPr>
                <w:rFonts w:hint="eastAsia" w:ascii="宋体" w:hAnsi="宋体" w:eastAsia="宋体" w:cs="宋体"/>
                <w:color w:val="000000"/>
                <w:sz w:val="24"/>
                <w:szCs w:val="24"/>
              </w:rPr>
            </w:pPr>
          </w:p>
        </w:tc>
        <w:tc>
          <w:tcPr>
            <w:tcW w:w="1583" w:type="dxa"/>
            <w:noWrap w:val="0"/>
          </w:tcPr>
          <w:p w14:paraId="29276FE6">
            <w:pPr>
              <w:pageBreakBefore w:val="0"/>
              <w:spacing w:line="360" w:lineRule="auto"/>
              <w:jc w:val="center"/>
              <w:rPr>
                <w:rFonts w:hint="eastAsia" w:ascii="宋体" w:hAnsi="宋体" w:eastAsia="宋体" w:cs="宋体"/>
                <w:color w:val="000000"/>
                <w:sz w:val="24"/>
                <w:szCs w:val="24"/>
              </w:rPr>
            </w:pPr>
          </w:p>
        </w:tc>
      </w:tr>
      <w:tr w14:paraId="55768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3" w:hRule="atLeast"/>
        </w:trPr>
        <w:tc>
          <w:tcPr>
            <w:tcW w:w="1129" w:type="dxa"/>
            <w:noWrap w:val="0"/>
          </w:tcPr>
          <w:p w14:paraId="429D325C">
            <w:pPr>
              <w:pageBreakBefore w:val="0"/>
              <w:spacing w:line="360" w:lineRule="auto"/>
              <w:jc w:val="center"/>
              <w:rPr>
                <w:rFonts w:hint="eastAsia" w:ascii="宋体" w:hAnsi="宋体" w:eastAsia="宋体" w:cs="宋体"/>
                <w:color w:val="000000"/>
                <w:sz w:val="24"/>
                <w:szCs w:val="24"/>
              </w:rPr>
            </w:pPr>
          </w:p>
        </w:tc>
        <w:tc>
          <w:tcPr>
            <w:tcW w:w="2668" w:type="dxa"/>
            <w:noWrap w:val="0"/>
          </w:tcPr>
          <w:p w14:paraId="388C8CBB">
            <w:pPr>
              <w:pageBreakBefore w:val="0"/>
              <w:spacing w:line="360" w:lineRule="auto"/>
              <w:jc w:val="center"/>
              <w:rPr>
                <w:rFonts w:hint="eastAsia" w:ascii="宋体" w:hAnsi="宋体" w:eastAsia="宋体" w:cs="宋体"/>
                <w:color w:val="000000"/>
                <w:sz w:val="24"/>
                <w:szCs w:val="24"/>
              </w:rPr>
            </w:pPr>
          </w:p>
        </w:tc>
        <w:tc>
          <w:tcPr>
            <w:tcW w:w="2063" w:type="dxa"/>
            <w:noWrap w:val="0"/>
          </w:tcPr>
          <w:p w14:paraId="3DC577E3">
            <w:pPr>
              <w:pageBreakBefore w:val="0"/>
              <w:spacing w:line="360" w:lineRule="auto"/>
              <w:jc w:val="center"/>
              <w:rPr>
                <w:rFonts w:hint="eastAsia" w:ascii="宋体" w:hAnsi="宋体" w:eastAsia="宋体" w:cs="宋体"/>
                <w:color w:val="000000"/>
                <w:sz w:val="24"/>
                <w:szCs w:val="24"/>
              </w:rPr>
            </w:pPr>
          </w:p>
        </w:tc>
        <w:tc>
          <w:tcPr>
            <w:tcW w:w="1404" w:type="dxa"/>
            <w:noWrap w:val="0"/>
          </w:tcPr>
          <w:p w14:paraId="5FC2A0C5">
            <w:pPr>
              <w:pageBreakBefore w:val="0"/>
              <w:spacing w:line="360" w:lineRule="auto"/>
              <w:jc w:val="center"/>
              <w:rPr>
                <w:rFonts w:hint="eastAsia" w:ascii="宋体" w:hAnsi="宋体" w:eastAsia="宋体" w:cs="宋体"/>
                <w:color w:val="000000"/>
                <w:sz w:val="24"/>
                <w:szCs w:val="24"/>
              </w:rPr>
            </w:pPr>
          </w:p>
        </w:tc>
        <w:tc>
          <w:tcPr>
            <w:tcW w:w="1583" w:type="dxa"/>
            <w:noWrap w:val="0"/>
          </w:tcPr>
          <w:p w14:paraId="07EF47EB">
            <w:pPr>
              <w:pageBreakBefore w:val="0"/>
              <w:spacing w:line="360" w:lineRule="auto"/>
              <w:jc w:val="center"/>
              <w:rPr>
                <w:rFonts w:hint="eastAsia" w:ascii="宋体" w:hAnsi="宋体" w:eastAsia="宋体" w:cs="宋体"/>
                <w:color w:val="000000"/>
                <w:sz w:val="24"/>
                <w:szCs w:val="24"/>
              </w:rPr>
            </w:pPr>
          </w:p>
        </w:tc>
      </w:tr>
      <w:tr w14:paraId="521D40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3" w:hRule="atLeast"/>
        </w:trPr>
        <w:tc>
          <w:tcPr>
            <w:tcW w:w="1129" w:type="dxa"/>
            <w:noWrap w:val="0"/>
          </w:tcPr>
          <w:p w14:paraId="47A5BB1F">
            <w:pPr>
              <w:pageBreakBefore w:val="0"/>
              <w:spacing w:line="360" w:lineRule="auto"/>
              <w:jc w:val="center"/>
              <w:rPr>
                <w:rFonts w:hint="eastAsia" w:ascii="宋体" w:hAnsi="宋体" w:eastAsia="宋体" w:cs="宋体"/>
                <w:color w:val="000000"/>
                <w:sz w:val="24"/>
                <w:szCs w:val="24"/>
              </w:rPr>
            </w:pPr>
          </w:p>
        </w:tc>
        <w:tc>
          <w:tcPr>
            <w:tcW w:w="2668" w:type="dxa"/>
            <w:noWrap w:val="0"/>
          </w:tcPr>
          <w:p w14:paraId="5E351ACD">
            <w:pPr>
              <w:pageBreakBefore w:val="0"/>
              <w:spacing w:line="360" w:lineRule="auto"/>
              <w:jc w:val="center"/>
              <w:rPr>
                <w:rFonts w:hint="eastAsia" w:ascii="宋体" w:hAnsi="宋体" w:eastAsia="宋体" w:cs="宋体"/>
                <w:color w:val="000000"/>
                <w:sz w:val="24"/>
                <w:szCs w:val="24"/>
              </w:rPr>
            </w:pPr>
          </w:p>
        </w:tc>
        <w:tc>
          <w:tcPr>
            <w:tcW w:w="2063" w:type="dxa"/>
            <w:noWrap w:val="0"/>
          </w:tcPr>
          <w:p w14:paraId="55C3D864">
            <w:pPr>
              <w:pageBreakBefore w:val="0"/>
              <w:spacing w:line="360" w:lineRule="auto"/>
              <w:jc w:val="center"/>
              <w:rPr>
                <w:rFonts w:hint="eastAsia" w:ascii="宋体" w:hAnsi="宋体" w:eastAsia="宋体" w:cs="宋体"/>
                <w:color w:val="000000"/>
                <w:sz w:val="24"/>
                <w:szCs w:val="24"/>
              </w:rPr>
            </w:pPr>
          </w:p>
        </w:tc>
        <w:tc>
          <w:tcPr>
            <w:tcW w:w="1404" w:type="dxa"/>
            <w:noWrap w:val="0"/>
          </w:tcPr>
          <w:p w14:paraId="3FCFAE8E">
            <w:pPr>
              <w:pageBreakBefore w:val="0"/>
              <w:spacing w:line="360" w:lineRule="auto"/>
              <w:jc w:val="center"/>
              <w:rPr>
                <w:rFonts w:hint="eastAsia" w:ascii="宋体" w:hAnsi="宋体" w:eastAsia="宋体" w:cs="宋体"/>
                <w:color w:val="000000"/>
                <w:sz w:val="24"/>
                <w:szCs w:val="24"/>
              </w:rPr>
            </w:pPr>
          </w:p>
        </w:tc>
        <w:tc>
          <w:tcPr>
            <w:tcW w:w="1583" w:type="dxa"/>
            <w:noWrap w:val="0"/>
          </w:tcPr>
          <w:p w14:paraId="504727CE">
            <w:pPr>
              <w:pageBreakBefore w:val="0"/>
              <w:spacing w:line="360" w:lineRule="auto"/>
              <w:jc w:val="center"/>
              <w:rPr>
                <w:rFonts w:hint="eastAsia" w:ascii="宋体" w:hAnsi="宋体" w:eastAsia="宋体" w:cs="宋体"/>
                <w:color w:val="000000"/>
                <w:sz w:val="24"/>
                <w:szCs w:val="24"/>
              </w:rPr>
            </w:pPr>
          </w:p>
        </w:tc>
      </w:tr>
      <w:tr w14:paraId="3FE940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3" w:hRule="atLeast"/>
        </w:trPr>
        <w:tc>
          <w:tcPr>
            <w:tcW w:w="1129" w:type="dxa"/>
            <w:noWrap w:val="0"/>
          </w:tcPr>
          <w:p w14:paraId="57829E09">
            <w:pPr>
              <w:pageBreakBefore w:val="0"/>
              <w:spacing w:line="360" w:lineRule="auto"/>
              <w:jc w:val="center"/>
              <w:rPr>
                <w:rFonts w:hint="eastAsia" w:ascii="宋体" w:hAnsi="宋体" w:eastAsia="宋体" w:cs="宋体"/>
                <w:color w:val="000000"/>
                <w:sz w:val="24"/>
                <w:szCs w:val="24"/>
              </w:rPr>
            </w:pPr>
          </w:p>
        </w:tc>
        <w:tc>
          <w:tcPr>
            <w:tcW w:w="2668" w:type="dxa"/>
            <w:noWrap w:val="0"/>
          </w:tcPr>
          <w:p w14:paraId="05D0233C">
            <w:pPr>
              <w:pageBreakBefore w:val="0"/>
              <w:spacing w:line="360" w:lineRule="auto"/>
              <w:jc w:val="center"/>
              <w:rPr>
                <w:rFonts w:hint="eastAsia" w:ascii="宋体" w:hAnsi="宋体" w:eastAsia="宋体" w:cs="宋体"/>
                <w:color w:val="000000"/>
                <w:sz w:val="24"/>
                <w:szCs w:val="24"/>
              </w:rPr>
            </w:pPr>
          </w:p>
        </w:tc>
        <w:tc>
          <w:tcPr>
            <w:tcW w:w="2063" w:type="dxa"/>
            <w:noWrap w:val="0"/>
          </w:tcPr>
          <w:p w14:paraId="0C30CA6D">
            <w:pPr>
              <w:pageBreakBefore w:val="0"/>
              <w:spacing w:line="360" w:lineRule="auto"/>
              <w:jc w:val="center"/>
              <w:rPr>
                <w:rFonts w:hint="eastAsia" w:ascii="宋体" w:hAnsi="宋体" w:eastAsia="宋体" w:cs="宋体"/>
                <w:color w:val="000000"/>
                <w:sz w:val="24"/>
                <w:szCs w:val="24"/>
              </w:rPr>
            </w:pPr>
          </w:p>
        </w:tc>
        <w:tc>
          <w:tcPr>
            <w:tcW w:w="1404" w:type="dxa"/>
            <w:noWrap w:val="0"/>
          </w:tcPr>
          <w:p w14:paraId="2741B95F">
            <w:pPr>
              <w:pageBreakBefore w:val="0"/>
              <w:spacing w:line="360" w:lineRule="auto"/>
              <w:jc w:val="center"/>
              <w:rPr>
                <w:rFonts w:hint="eastAsia" w:ascii="宋体" w:hAnsi="宋体" w:eastAsia="宋体" w:cs="宋体"/>
                <w:color w:val="000000"/>
                <w:sz w:val="24"/>
                <w:szCs w:val="24"/>
              </w:rPr>
            </w:pPr>
          </w:p>
        </w:tc>
        <w:tc>
          <w:tcPr>
            <w:tcW w:w="1583" w:type="dxa"/>
            <w:noWrap w:val="0"/>
          </w:tcPr>
          <w:p w14:paraId="31816474">
            <w:pPr>
              <w:pageBreakBefore w:val="0"/>
              <w:spacing w:line="360" w:lineRule="auto"/>
              <w:jc w:val="center"/>
              <w:rPr>
                <w:rFonts w:hint="eastAsia" w:ascii="宋体" w:hAnsi="宋体" w:eastAsia="宋体" w:cs="宋体"/>
                <w:color w:val="000000"/>
                <w:sz w:val="24"/>
                <w:szCs w:val="24"/>
              </w:rPr>
            </w:pPr>
          </w:p>
        </w:tc>
      </w:tr>
      <w:tr w14:paraId="1180A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73" w:hRule="atLeast"/>
        </w:trPr>
        <w:tc>
          <w:tcPr>
            <w:tcW w:w="1129" w:type="dxa"/>
            <w:noWrap w:val="0"/>
          </w:tcPr>
          <w:p w14:paraId="5725A147">
            <w:pPr>
              <w:pageBreakBefore w:val="0"/>
              <w:spacing w:line="360" w:lineRule="auto"/>
              <w:jc w:val="center"/>
              <w:rPr>
                <w:rFonts w:hint="eastAsia" w:ascii="宋体" w:hAnsi="宋体" w:eastAsia="宋体" w:cs="宋体"/>
                <w:color w:val="000000"/>
                <w:sz w:val="24"/>
                <w:szCs w:val="24"/>
              </w:rPr>
            </w:pPr>
          </w:p>
        </w:tc>
        <w:tc>
          <w:tcPr>
            <w:tcW w:w="2668" w:type="dxa"/>
            <w:noWrap w:val="0"/>
          </w:tcPr>
          <w:p w14:paraId="3AAE6236">
            <w:pPr>
              <w:pageBreakBefore w:val="0"/>
              <w:spacing w:line="360" w:lineRule="auto"/>
              <w:jc w:val="center"/>
              <w:rPr>
                <w:rFonts w:hint="eastAsia" w:ascii="宋体" w:hAnsi="宋体" w:eastAsia="宋体" w:cs="宋体"/>
                <w:color w:val="000000"/>
                <w:sz w:val="24"/>
                <w:szCs w:val="24"/>
              </w:rPr>
            </w:pPr>
          </w:p>
        </w:tc>
        <w:tc>
          <w:tcPr>
            <w:tcW w:w="2063" w:type="dxa"/>
            <w:noWrap w:val="0"/>
          </w:tcPr>
          <w:p w14:paraId="55BF2BE4">
            <w:pPr>
              <w:pageBreakBefore w:val="0"/>
              <w:spacing w:line="360" w:lineRule="auto"/>
              <w:jc w:val="center"/>
              <w:rPr>
                <w:rFonts w:hint="eastAsia" w:ascii="宋体" w:hAnsi="宋体" w:eastAsia="宋体" w:cs="宋体"/>
                <w:color w:val="000000"/>
                <w:sz w:val="24"/>
                <w:szCs w:val="24"/>
              </w:rPr>
            </w:pPr>
          </w:p>
        </w:tc>
        <w:tc>
          <w:tcPr>
            <w:tcW w:w="1404" w:type="dxa"/>
            <w:noWrap w:val="0"/>
          </w:tcPr>
          <w:p w14:paraId="4F7DF821">
            <w:pPr>
              <w:pageBreakBefore w:val="0"/>
              <w:spacing w:line="360" w:lineRule="auto"/>
              <w:jc w:val="center"/>
              <w:rPr>
                <w:rFonts w:hint="eastAsia" w:ascii="宋体" w:hAnsi="宋体" w:eastAsia="宋体" w:cs="宋体"/>
                <w:color w:val="000000"/>
                <w:sz w:val="24"/>
                <w:szCs w:val="24"/>
              </w:rPr>
            </w:pPr>
          </w:p>
        </w:tc>
        <w:tc>
          <w:tcPr>
            <w:tcW w:w="1583" w:type="dxa"/>
            <w:noWrap w:val="0"/>
          </w:tcPr>
          <w:p w14:paraId="02611B49">
            <w:pPr>
              <w:pageBreakBefore w:val="0"/>
              <w:spacing w:line="360" w:lineRule="auto"/>
              <w:jc w:val="center"/>
              <w:rPr>
                <w:rFonts w:hint="eastAsia" w:ascii="宋体" w:hAnsi="宋体" w:eastAsia="宋体" w:cs="宋体"/>
                <w:color w:val="000000"/>
                <w:sz w:val="24"/>
                <w:szCs w:val="24"/>
              </w:rPr>
            </w:pPr>
          </w:p>
        </w:tc>
      </w:tr>
    </w:tbl>
    <w:p w14:paraId="5830FBD9">
      <w:pPr>
        <w:pStyle w:val="252"/>
        <w:pageBreakBefore w:val="0"/>
        <w:spacing w:before="0" w:after="0" w:line="360" w:lineRule="auto"/>
        <w:ind w:firstLine="0"/>
        <w:jc w:val="both"/>
        <w:rPr>
          <w:rFonts w:hint="eastAsia" w:ascii="宋体" w:hAnsi="宋体" w:eastAsia="宋体" w:cs="宋体"/>
          <w:color w:val="000000"/>
          <w:sz w:val="24"/>
          <w:szCs w:val="24"/>
        </w:rPr>
      </w:pPr>
      <w:r>
        <w:rPr>
          <w:rFonts w:hint="eastAsia" w:ascii="宋体" w:hAnsi="宋体" w:eastAsia="宋体" w:cs="宋体"/>
          <w:color w:val="000000"/>
          <w:sz w:val="24"/>
          <w:szCs w:val="24"/>
        </w:rPr>
        <w:t>供应商名称（加盖CA电子公章）：</w:t>
      </w:r>
    </w:p>
    <w:p w14:paraId="2F045A27">
      <w:pPr>
        <w:pStyle w:val="12"/>
        <w:pageBreakBefore w:val="0"/>
        <w:spacing w:line="360" w:lineRule="auto"/>
        <w:ind w:left="15" w:hanging="120"/>
        <w:rPr>
          <w:rFonts w:hint="eastAsia" w:ascii="宋体" w:hAnsi="宋体" w:eastAsia="宋体" w:cs="宋体"/>
          <w:color w:val="000000"/>
          <w:sz w:val="24"/>
          <w:szCs w:val="24"/>
        </w:rPr>
      </w:pPr>
    </w:p>
    <w:p w14:paraId="07B180D9">
      <w:pPr>
        <w:pageBreakBefore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法定代表人或授权委托人：</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（签字或盖章）</w:t>
      </w:r>
    </w:p>
    <w:p w14:paraId="482CF378">
      <w:pPr>
        <w:pageBreakBefore w:val="0"/>
        <w:spacing w:line="360" w:lineRule="auto"/>
        <w:ind w:hanging="315"/>
        <w:rPr>
          <w:rFonts w:hint="eastAsia" w:ascii="宋体" w:hAnsi="宋体" w:eastAsia="宋体" w:cs="宋体"/>
          <w:color w:val="000000"/>
          <w:sz w:val="24"/>
          <w:szCs w:val="24"/>
        </w:rPr>
      </w:pPr>
    </w:p>
    <w:p w14:paraId="5D45F2E1">
      <w:pPr>
        <w:pageBreakBefore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日期：</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 年</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月</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日</w:t>
      </w:r>
    </w:p>
    <w:p w14:paraId="456BCCB2">
      <w:pPr>
        <w:pageBreakBefore w:val="0"/>
        <w:spacing w:line="360" w:lineRule="auto"/>
        <w:rPr>
          <w:rFonts w:hint="eastAsia" w:ascii="宋体" w:hAnsi="宋体" w:eastAsia="宋体" w:cs="宋体"/>
          <w:color w:val="000000"/>
          <w:sz w:val="24"/>
          <w:szCs w:val="24"/>
        </w:rPr>
      </w:pPr>
    </w:p>
    <w:p w14:paraId="2F4177AD">
      <w:pPr>
        <w:pageBreakBefore w:val="0"/>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填写说明：</w:t>
      </w:r>
    </w:p>
    <w:p w14:paraId="68288380">
      <w:pPr>
        <w:pageBreakBefore w:val="0"/>
        <w:numPr>
          <w:ilvl w:val="0"/>
          <w:numId w:val="9"/>
        </w:numPr>
        <w:spacing w:line="360" w:lineRule="auto"/>
        <w:ind w:firstLine="480"/>
        <w:rPr>
          <w:rFonts w:hint="eastAsia" w:ascii="宋体" w:hAnsi="宋体" w:eastAsia="宋体" w:cs="宋体"/>
          <w:color w:val="auto"/>
          <w:highlight w:val="none"/>
        </w:rPr>
      </w:pPr>
      <w:r>
        <w:rPr>
          <w:rFonts w:hint="eastAsia" w:ascii="宋体" w:hAnsi="宋体" w:eastAsia="宋体" w:cs="宋体"/>
          <w:color w:val="000000"/>
          <w:sz w:val="24"/>
          <w:szCs w:val="24"/>
        </w:rPr>
        <w:t>行数不够，可自行添加</w:t>
      </w:r>
      <w:r>
        <w:rPr>
          <w:rFonts w:hint="eastAsia" w:ascii="宋体" w:hAnsi="宋体" w:cs="宋体"/>
          <w:color w:val="000000"/>
          <w:sz w:val="24"/>
          <w:szCs w:val="24"/>
          <w:lang w:eastAsia="zh-CN"/>
        </w:rPr>
        <w:t>。</w:t>
      </w:r>
    </w:p>
    <w:sectPr>
      <w:footerReference r:id="rId9" w:type="default"/>
      <w:pgSz w:w="11906" w:h="16838"/>
      <w:pgMar w:top="1440" w:right="1587" w:bottom="1440" w:left="1587" w:header="851" w:footer="992" w:gutter="0"/>
      <w:cols w:space="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60101010101"/>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幼圆">
    <w:panose1 w:val="0201050906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Tahoma">
    <w:panose1 w:val="020B0604030504040204"/>
    <w:charset w:val="00"/>
    <w:family w:val="auto"/>
    <w:pitch w:val="default"/>
    <w:sig w:usb0="E1002EFF" w:usb1="C000605B" w:usb2="00000029" w:usb3="00000000" w:csb0="200101FF" w:csb1="20280000"/>
  </w:font>
  <w:font w:name="Verdana">
    <w:panose1 w:val="020B0604030504040204"/>
    <w:charset w:val="00"/>
    <w:family w:val="auto"/>
    <w:pitch w:val="default"/>
    <w:sig w:usb0="A00006FF" w:usb1="4000205B" w:usb2="00000010" w:usb3="00000000" w:csb0="2000019F" w:csb1="00000000"/>
  </w:font>
  <w:font w:name="Adobe 仿宋 Std R">
    <w:altName w:val="仿宋"/>
    <w:panose1 w:val="020B0503020202020204"/>
    <w:charset w:val="00"/>
    <w:family w:val="auto"/>
    <w:pitch w:val="default"/>
    <w:sig w:usb0="00000000" w:usb1="00000000" w:usb2="00000000" w:usb3="00000000" w:csb0="00000000" w:csb1="00000000"/>
  </w:font>
  <w:font w:name="方正黑体_GBK">
    <w:panose1 w:val="02010600010101010101"/>
    <w:charset w:val="86"/>
    <w:family w:val="auto"/>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5C3BD">
    <w:pPr>
      <w:pStyle w:val="21"/>
      <w:tabs>
        <w:tab w:val="center" w:pos="4490"/>
        <w:tab w:val="clear" w:pos="7143"/>
      </w:tabs>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F51CC">
    <w:pPr>
      <w:pStyle w:val="21"/>
      <w:tabs>
        <w:tab w:val="center" w:pos="4153"/>
        <w:tab w:val="right" w:pos="8306"/>
        <w:tab w:val="clear" w:pos="7143"/>
        <w:tab w:val="clear" w:pos="14287"/>
      </w:tabs>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7"/>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E52B03">
                          <w:pPr>
                            <w:pStyle w:val="21"/>
                            <w:tabs>
                              <w:tab w:val="center" w:pos="4153"/>
                              <w:tab w:val="right" w:pos="8306"/>
                              <w:tab w:val="clear" w:pos="7143"/>
                              <w:tab w:val="clear" w:pos="14287"/>
                            </w:tabs>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NJWO7QAAAABQEAAA8AAAAAAAAAAQAgAAAAIgAAAGRycy9kb3ducmV2&#10;LnhtbFBLAQIUABQAAAAIAIdO4kDiTCcpPQIAAG8EAAAOAAAAAAAAAAEAIAAAAB8BAABkcnMvZTJv&#10;RG9jLnhtbFBLBQYAAAAABgAGAFkBAADOBQAAAAA=&#10;">
              <v:fill on="f" focussize="0,0"/>
              <v:stroke on="f" weight="0.5pt"/>
              <v:imagedata o:title=""/>
              <o:lock v:ext="edit" aspectratio="f"/>
              <v:textbox inset="0mm,0mm,0mm,0mm" style="mso-fit-shape-to-text:t;">
                <w:txbxContent>
                  <w:p w14:paraId="67E52B03">
                    <w:pPr>
                      <w:pStyle w:val="21"/>
                      <w:tabs>
                        <w:tab w:val="center" w:pos="4153"/>
                        <w:tab w:val="right" w:pos="8306"/>
                        <w:tab w:val="clear" w:pos="7143"/>
                        <w:tab w:val="clear" w:pos="14287"/>
                      </w:tabs>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A86B6">
    <w:pPr>
      <w:pStyle w:val="21"/>
      <w:tabs>
        <w:tab w:val="center" w:pos="4490"/>
        <w:tab w:val="clear" w:pos="7143"/>
      </w:tabs>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A061FE">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s0lY7tAAAAAFAQAADwAAAAAAAAABACAAAAAiAAAAZHJzL2Rvd25yZXYu&#10;eG1sUEsBAhQAFAAAAAgAh07iQKnQ/YU8AgAAbwQAAA4AAAAAAAAAAQAgAAAAHwEAAGRycy9lMm9E&#10;b2MueG1sUEsFBgAAAAAGAAYAWQEAAM0FAAAAAA==&#10;">
              <v:fill on="f" focussize="0,0"/>
              <v:stroke on="f" weight="0.5pt"/>
              <v:imagedata o:title=""/>
              <o:lock v:ext="edit" aspectratio="f"/>
              <v:textbox inset="0mm,0mm,0mm,0mm" style="mso-fit-shape-to-text:t;">
                <w:txbxContent>
                  <w:p w14:paraId="19A061FE">
                    <w:pPr>
                      <w:pStyle w:val="21"/>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42C2D">
    <w:pPr>
      <w:pStyle w:val="21"/>
      <w:tabs>
        <w:tab w:val="center" w:pos="4153"/>
        <w:tab w:val="right" w:pos="8306"/>
        <w:tab w:val="clear" w:pos="7143"/>
        <w:tab w:val="clear" w:pos="14287"/>
      </w:tabs>
      <w:jc w:val="center"/>
      <w:rPr>
        <w:rFonts w:eastAsia="仿宋_GB2312"/>
        <w:b/>
        <w:sz w:val="22"/>
        <w:szCs w:val="21"/>
      </w:rPr>
    </w:pPr>
    <w:r>
      <w:rPr>
        <w:sz w:val="22"/>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15875">
                        <a:noFill/>
                      </a:ln>
                    </wps:spPr>
                    <wps:txbx>
                      <w:txbxContent>
                        <w:p w14:paraId="46A21147">
                          <w:pPr>
                            <w:pStyle w:val="21"/>
                            <w:tabs>
                              <w:tab w:val="clear" w:pos="7143"/>
                              <w:tab w:val="clear" w:pos="14287"/>
                            </w:tabs>
                          </w:pPr>
                          <w:r>
                            <w:fldChar w:fldCharType="begin"/>
                          </w:r>
                          <w:r>
                            <w:instrText xml:space="preserve"> PAGE  \* MERGEFORMAT </w:instrText>
                          </w:r>
                          <w:r>
                            <w:fldChar w:fldCharType="separate"/>
                          </w:r>
                          <w:r>
                            <w:t>12</w:t>
                          </w:r>
                          <w:r>
                            <w:fldChar w:fldCharType="end"/>
                          </w:r>
                        </w:p>
                        <w:p w14:paraId="683D0704"/>
                      </w:txbxContent>
                    </wps:txbx>
                    <wps:bodyPr wrap="none" lIns="0" tIns="0" rIns="0" bIns="0" upright="1">
                      <a:spAutoFit/>
                    </wps:bodyPr>
                  </wps:wsp>
                </a:graphicData>
              </a:graphic>
            </wp:anchor>
          </w:drawing>
        </mc:Choice>
        <mc:Fallback>
          <w:pict>
            <v:shape id="文本框 15"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GhpgkvTAAAABQEAAA8AAAAAAAAA&#10;AQAgAAAAIgAAAGRycy9kb3ducmV2LnhtbFBLAQIUABQAAAAIAIdO4kC8Tw2W3QEAALIDAAAOAAAA&#10;AAAAAAEAIAAAACIBAABkcnMvZTJvRG9jLnhtbFBLBQYAAAAABgAGAFkBAABxBQAAAAA=&#10;">
              <v:fill on="f" focussize="0,0"/>
              <v:stroke on="f" weight="1.25pt"/>
              <v:imagedata o:title=""/>
              <o:lock v:ext="edit" aspectratio="f"/>
              <v:textbox inset="0mm,0mm,0mm,0mm" style="mso-fit-shape-to-text:t;">
                <w:txbxContent>
                  <w:p w14:paraId="46A21147">
                    <w:pPr>
                      <w:pStyle w:val="21"/>
                      <w:tabs>
                        <w:tab w:val="clear" w:pos="7143"/>
                        <w:tab w:val="clear" w:pos="14287"/>
                      </w:tabs>
                    </w:pPr>
                    <w:r>
                      <w:fldChar w:fldCharType="begin"/>
                    </w:r>
                    <w:r>
                      <w:instrText xml:space="preserve"> PAGE  \* MERGEFORMAT </w:instrText>
                    </w:r>
                    <w:r>
                      <w:fldChar w:fldCharType="separate"/>
                    </w:r>
                    <w:r>
                      <w:t>12</w:t>
                    </w:r>
                    <w:r>
                      <w:fldChar w:fldCharType="end"/>
                    </w:r>
                  </w:p>
                  <w:p w14:paraId="683D0704"/>
                </w:txbxContent>
              </v:textbox>
            </v:shape>
          </w:pict>
        </mc:Fallback>
      </mc:AlternateContent>
    </w:r>
  </w:p>
  <w:p w14:paraId="2EA8827C">
    <w:pPr>
      <w:pStyle w:val="21"/>
      <w:tabs>
        <w:tab w:val="center" w:pos="4153"/>
        <w:tab w:val="right" w:pos="8306"/>
        <w:tab w:val="clear" w:pos="7143"/>
        <w:tab w:val="clear" w:pos="14287"/>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3505D">
    <w:pPr>
      <w:pStyle w:val="24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96850"/>
              <wp:effectExtent l="0" t="0" r="0" b="0"/>
              <wp:wrapNone/>
              <wp:docPr id="2" name="文本框 1"/>
              <wp:cNvGraphicFramePr/>
              <a:graphic xmlns:a="http://schemas.openxmlformats.org/drawingml/2006/main">
                <a:graphicData uri="http://schemas.microsoft.com/office/word/2010/wordprocessingShape">
                  <wps:wsp>
                    <wps:cNvSpPr txBox="1"/>
                    <wps:spPr bwMode="auto">
                      <a:xfrm>
                        <a:off x="0" y="0"/>
                        <a:ext cx="114935" cy="196850"/>
                      </a:xfrm>
                      <a:prstGeom prst="rect">
                        <a:avLst/>
                      </a:prstGeom>
                      <a:noFill/>
                      <a:ln w="6350">
                        <a:noFill/>
                      </a:ln>
                    </wps:spPr>
                    <wps:txbx>
                      <w:txbxContent>
                        <w:p w14:paraId="5488BC45">
                          <w:pPr>
                            <w:pStyle w:val="240"/>
                          </w:pPr>
                          <w:r>
                            <w:fldChar w:fldCharType="begin"/>
                          </w:r>
                          <w:r>
                            <w:instrText xml:space="preserve"> PAGE  \* MERGEFORMAT </w:instrText>
                          </w:r>
                          <w:r>
                            <w:fldChar w:fldCharType="separate"/>
                          </w:r>
                          <w:r>
                            <w:t>5</w:t>
                          </w:r>
                          <w:r>
                            <w:fldChar w:fldCharType="end"/>
                          </w:r>
                        </w:p>
                        <w:p w14:paraId="787A007B"/>
                      </w:txbxContent>
                    </wps:txbx>
                    <wps:bodyPr wrap="none" lIns="0" tIns="0" rIns="0" bIns="0" upright="1">
                      <a:spAutoFit/>
                    </wps:bodyPr>
                  </wps:wsp>
                </a:graphicData>
              </a:graphic>
            </wp:anchor>
          </w:drawing>
        </mc:Choice>
        <mc:Fallback>
          <w:pict>
            <v:shape id="文本框 1" o:spid="_x0000_s1026" o:spt="202" type="#_x0000_t202" style="position:absolute;left:0pt;margin-top:0pt;height:15.5pt;width:9.05pt;mso-position-horizontal:center;mso-position-horizontal-relative:margin;mso-wrap-style:none;z-index:251660288;mso-width-relative:page;mso-height-relative:page;" filled="f" stroked="f" coordsize="21600,21600" o:gfxdata="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Nu/ixdEAAAADAQAADwAAAAAA&#10;AAABACAAAAAiAAAAZHJzL2Rvd25yZXYueG1sUEsBAhQAFAAAAAgAh07iQOd3L+DhAQAArgMAAA4A&#10;AAAAAAAAAQAgAAAAIAEAAGRycy9lMm9Eb2MueG1sUEsFBgAAAAAGAAYAWQEAAHMFAAAAAA==&#10;">
              <v:fill on="f" focussize="0,0"/>
              <v:stroke on="f" weight="0.5pt"/>
              <v:imagedata o:title=""/>
              <o:lock v:ext="edit" aspectratio="f"/>
              <v:textbox inset="0mm,0mm,0mm,0mm" style="mso-fit-shape-to-text:t;">
                <w:txbxContent>
                  <w:p w14:paraId="5488BC45">
                    <w:pPr>
                      <w:pStyle w:val="240"/>
                    </w:pPr>
                    <w:r>
                      <w:fldChar w:fldCharType="begin"/>
                    </w:r>
                    <w:r>
                      <w:instrText xml:space="preserve"> PAGE  \* MERGEFORMAT </w:instrText>
                    </w:r>
                    <w:r>
                      <w:fldChar w:fldCharType="separate"/>
                    </w:r>
                    <w:r>
                      <w:t>5</w:t>
                    </w:r>
                    <w:r>
                      <w:fldChar w:fldCharType="end"/>
                    </w:r>
                  </w:p>
                  <w:p w14:paraId="787A007B"/>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0E2482"/>
    <w:multiLevelType w:val="singleLevel"/>
    <w:tmpl w:val="B90E2482"/>
    <w:lvl w:ilvl="0" w:tentative="0">
      <w:start w:val="9"/>
      <w:numFmt w:val="chineseCounting"/>
      <w:suff w:val="nothing"/>
      <w:lvlText w:val="%1、"/>
      <w:lvlJc w:val="left"/>
      <w:rPr>
        <w:rFonts w:hint="eastAsia"/>
      </w:rPr>
    </w:lvl>
  </w:abstractNum>
  <w:abstractNum w:abstractNumId="1">
    <w:nsid w:val="D80290F1"/>
    <w:multiLevelType w:val="singleLevel"/>
    <w:tmpl w:val="D80290F1"/>
    <w:lvl w:ilvl="0" w:tentative="0">
      <w:start w:val="3"/>
      <w:numFmt w:val="decimal"/>
      <w:suff w:val="nothing"/>
      <w:lvlText w:val="（%1）"/>
      <w:lvlJc w:val="left"/>
    </w:lvl>
  </w:abstractNum>
  <w:abstractNum w:abstractNumId="2">
    <w:nsid w:val="F0E67659"/>
    <w:multiLevelType w:val="multilevel"/>
    <w:tmpl w:val="F0E67659"/>
    <w:lvl w:ilvl="0" w:tentative="0">
      <w:start w:val="1"/>
      <w:numFmt w:val="chineseCounting"/>
      <w:suff w:val="nothing"/>
      <w:lvlText w:val="%1、"/>
      <w:lvlJc w:val="left"/>
      <w:pPr>
        <w:ind w:left="-420" w:firstLine="420"/>
      </w:pPr>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3">
    <w:nsid w:val="FB66C57C"/>
    <w:multiLevelType w:val="multilevel"/>
    <w:tmpl w:val="FB66C57C"/>
    <w:lvl w:ilvl="0" w:tentative="0">
      <w:start w:val="1"/>
      <w:numFmt w:val="decimal"/>
      <w:lvlText w:val="%1."/>
      <w:lvlJc w:val="left"/>
      <w:pPr>
        <w:ind w:left="845" w:hanging="425"/>
      </w:pPr>
      <w:rPr>
        <w:rFonts w:hint="default"/>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4">
    <w:nsid w:val="1624D911"/>
    <w:multiLevelType w:val="singleLevel"/>
    <w:tmpl w:val="1624D911"/>
    <w:lvl w:ilvl="0" w:tentative="0">
      <w:start w:val="2"/>
      <w:numFmt w:val="decimal"/>
      <w:suff w:val="nothing"/>
      <w:lvlText w:val="（%1）"/>
      <w:lvlJc w:val="left"/>
    </w:lvl>
  </w:abstractNum>
  <w:abstractNum w:abstractNumId="5">
    <w:nsid w:val="25B654F3"/>
    <w:multiLevelType w:val="multilevel"/>
    <w:tmpl w:val="25B654F3"/>
    <w:lvl w:ilvl="0" w:tentative="0">
      <w:start w:val="1"/>
      <w:numFmt w:val="decimal"/>
      <w:suff w:val="nothing"/>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6">
    <w:nsid w:val="36C91DD5"/>
    <w:multiLevelType w:val="singleLevel"/>
    <w:tmpl w:val="36C91DD5"/>
    <w:lvl w:ilvl="0" w:tentative="0">
      <w:start w:val="4"/>
      <w:numFmt w:val="decimal"/>
      <w:lvlText w:val="%1."/>
      <w:lvlJc w:val="left"/>
      <w:pPr>
        <w:tabs>
          <w:tab w:val="left" w:pos="312"/>
        </w:tabs>
      </w:pPr>
    </w:lvl>
  </w:abstractNum>
  <w:abstractNum w:abstractNumId="7">
    <w:nsid w:val="4455E732"/>
    <w:multiLevelType w:val="singleLevel"/>
    <w:tmpl w:val="4455E732"/>
    <w:lvl w:ilvl="0" w:tentative="0">
      <w:start w:val="7"/>
      <w:numFmt w:val="chineseCounting"/>
      <w:suff w:val="nothing"/>
      <w:lvlText w:val="%1、"/>
      <w:lvlJc w:val="left"/>
      <w:rPr>
        <w:rFonts w:hint="eastAsia"/>
      </w:rPr>
    </w:lvl>
  </w:abstractNum>
  <w:abstractNum w:abstractNumId="8">
    <w:nsid w:val="606AFCA9"/>
    <w:multiLevelType w:val="singleLevel"/>
    <w:tmpl w:val="606AFCA9"/>
    <w:lvl w:ilvl="0" w:tentative="0">
      <w:start w:val="2"/>
      <w:numFmt w:val="decimal"/>
      <w:suff w:val="nothing"/>
      <w:lvlText w:val="（%1）"/>
      <w:lvlJc w:val="left"/>
    </w:lvl>
  </w:abstractNum>
  <w:num w:numId="1">
    <w:abstractNumId w:val="0"/>
  </w:num>
  <w:num w:numId="2">
    <w:abstractNumId w:val="2"/>
  </w:num>
  <w:num w:numId="3">
    <w:abstractNumId w:val="3"/>
  </w:num>
  <w:num w:numId="4">
    <w:abstractNumId w:val="1"/>
  </w:num>
  <w:num w:numId="5">
    <w:abstractNumId w:val="4"/>
  </w:num>
  <w:num w:numId="6">
    <w:abstractNumId w:val="8"/>
  </w:num>
  <w:num w:numId="7">
    <w:abstractNumId w:val="6"/>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0"/>
    <w:footnote w:id="1"/>
  </w:footnotePr>
  <w:endnotePr>
    <w:endnote w:id="0"/>
    <w:endnote w:id="1"/>
  </w:endnotePr>
  <w:compat>
    <w:balanceSingleByteDoubleByteWidth/>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8768E"/>
    <w:rsid w:val="02154910"/>
    <w:rsid w:val="02E60CEF"/>
    <w:rsid w:val="02E610CF"/>
    <w:rsid w:val="03CE7CF1"/>
    <w:rsid w:val="04E2674A"/>
    <w:rsid w:val="05B60A3D"/>
    <w:rsid w:val="08EC64B1"/>
    <w:rsid w:val="096D6F2D"/>
    <w:rsid w:val="0A197798"/>
    <w:rsid w:val="0B6C7DF0"/>
    <w:rsid w:val="0C4D7C21"/>
    <w:rsid w:val="108F4B64"/>
    <w:rsid w:val="10E365C2"/>
    <w:rsid w:val="113D0264"/>
    <w:rsid w:val="11C165AA"/>
    <w:rsid w:val="129C0FBA"/>
    <w:rsid w:val="12A20B21"/>
    <w:rsid w:val="12E34E3B"/>
    <w:rsid w:val="157C7033"/>
    <w:rsid w:val="15AF54A9"/>
    <w:rsid w:val="16953F1A"/>
    <w:rsid w:val="17AF2403"/>
    <w:rsid w:val="187C5B16"/>
    <w:rsid w:val="18ED5D4E"/>
    <w:rsid w:val="18F41B50"/>
    <w:rsid w:val="18FB7F0C"/>
    <w:rsid w:val="192432CE"/>
    <w:rsid w:val="198F297E"/>
    <w:rsid w:val="1BB03C7D"/>
    <w:rsid w:val="1C0A3439"/>
    <w:rsid w:val="1E0D5462"/>
    <w:rsid w:val="1E185C5E"/>
    <w:rsid w:val="1F8232BD"/>
    <w:rsid w:val="215E2BCE"/>
    <w:rsid w:val="21C35326"/>
    <w:rsid w:val="22A279BF"/>
    <w:rsid w:val="235D4796"/>
    <w:rsid w:val="25480F3B"/>
    <w:rsid w:val="25641E0C"/>
    <w:rsid w:val="26C348A7"/>
    <w:rsid w:val="27651E6B"/>
    <w:rsid w:val="2C610E53"/>
    <w:rsid w:val="2CE850D0"/>
    <w:rsid w:val="2E6455AA"/>
    <w:rsid w:val="2F61116A"/>
    <w:rsid w:val="2FDE39BE"/>
    <w:rsid w:val="2FE8530E"/>
    <w:rsid w:val="30E107B4"/>
    <w:rsid w:val="317B29B7"/>
    <w:rsid w:val="32C1089D"/>
    <w:rsid w:val="32FC18D5"/>
    <w:rsid w:val="335A484E"/>
    <w:rsid w:val="343C56C0"/>
    <w:rsid w:val="34C51722"/>
    <w:rsid w:val="35586B6B"/>
    <w:rsid w:val="35B320FF"/>
    <w:rsid w:val="3627610C"/>
    <w:rsid w:val="3752099C"/>
    <w:rsid w:val="3A836DC0"/>
    <w:rsid w:val="3ABF0EC0"/>
    <w:rsid w:val="3ACA7503"/>
    <w:rsid w:val="3ADE61A4"/>
    <w:rsid w:val="3D9C2824"/>
    <w:rsid w:val="3DE77728"/>
    <w:rsid w:val="42243F12"/>
    <w:rsid w:val="42E36FD3"/>
    <w:rsid w:val="43AD2778"/>
    <w:rsid w:val="43DD305D"/>
    <w:rsid w:val="459A22C0"/>
    <w:rsid w:val="46726720"/>
    <w:rsid w:val="472F2356"/>
    <w:rsid w:val="47FE7947"/>
    <w:rsid w:val="48083058"/>
    <w:rsid w:val="48BC72E5"/>
    <w:rsid w:val="49921B40"/>
    <w:rsid w:val="4ADB7BCB"/>
    <w:rsid w:val="4B9A036A"/>
    <w:rsid w:val="4D941A2A"/>
    <w:rsid w:val="4E946A0E"/>
    <w:rsid w:val="4F383685"/>
    <w:rsid w:val="4F722BA3"/>
    <w:rsid w:val="50ED6049"/>
    <w:rsid w:val="5338412F"/>
    <w:rsid w:val="549A5EE9"/>
    <w:rsid w:val="54B5148C"/>
    <w:rsid w:val="558E5C95"/>
    <w:rsid w:val="57996189"/>
    <w:rsid w:val="58FF70EA"/>
    <w:rsid w:val="5A114B53"/>
    <w:rsid w:val="5AC8016B"/>
    <w:rsid w:val="5C106817"/>
    <w:rsid w:val="5C277E80"/>
    <w:rsid w:val="5C83706B"/>
    <w:rsid w:val="5CA02A22"/>
    <w:rsid w:val="5F3A715E"/>
    <w:rsid w:val="60184133"/>
    <w:rsid w:val="60E27AAD"/>
    <w:rsid w:val="6247406C"/>
    <w:rsid w:val="630261E5"/>
    <w:rsid w:val="64B37A71"/>
    <w:rsid w:val="64D96C80"/>
    <w:rsid w:val="666B22F3"/>
    <w:rsid w:val="680622D3"/>
    <w:rsid w:val="682B3AE8"/>
    <w:rsid w:val="69D72B28"/>
    <w:rsid w:val="6B99448D"/>
    <w:rsid w:val="6C397D53"/>
    <w:rsid w:val="6CAB36D8"/>
    <w:rsid w:val="6E7D35D3"/>
    <w:rsid w:val="6E804558"/>
    <w:rsid w:val="6F3A720A"/>
    <w:rsid w:val="70416737"/>
    <w:rsid w:val="717B086B"/>
    <w:rsid w:val="72021D5D"/>
    <w:rsid w:val="724627C1"/>
    <w:rsid w:val="72734A09"/>
    <w:rsid w:val="72D354A8"/>
    <w:rsid w:val="730531B9"/>
    <w:rsid w:val="73252FF8"/>
    <w:rsid w:val="74034574"/>
    <w:rsid w:val="740622E5"/>
    <w:rsid w:val="7407365B"/>
    <w:rsid w:val="75D166E3"/>
    <w:rsid w:val="7734249D"/>
    <w:rsid w:val="774614BE"/>
    <w:rsid w:val="78915BE9"/>
    <w:rsid w:val="7A102B3D"/>
    <w:rsid w:val="7A9D67A7"/>
    <w:rsid w:val="7B21178E"/>
    <w:rsid w:val="7CA27E87"/>
    <w:rsid w:val="7DB47549"/>
    <w:rsid w:val="7F4853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82"/>
    <w:qFormat/>
    <w:uiPriority w:val="0"/>
    <w:pPr>
      <w:widowControl w:val="0"/>
      <w:spacing w:line="360" w:lineRule="auto"/>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81"/>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1"/>
    <w:link w:val="82"/>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link w:val="43"/>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83"/>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84"/>
    <w:unhideWhenUsed/>
    <w:qFormat/>
    <w:uiPriority w:val="9"/>
    <w:pPr>
      <w:keepNext/>
      <w:keepLines/>
      <w:spacing w:before="320" w:after="200"/>
      <w:outlineLvl w:val="4"/>
    </w:pPr>
    <w:rPr>
      <w:rFonts w:ascii="Arial" w:hAnsi="Arial" w:eastAsia="Arial" w:cs="Arial"/>
      <w:b/>
      <w:bCs/>
      <w:sz w:val="24"/>
    </w:rPr>
  </w:style>
  <w:style w:type="paragraph" w:styleId="7">
    <w:name w:val="heading 6"/>
    <w:basedOn w:val="1"/>
    <w:next w:val="1"/>
    <w:link w:val="85"/>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86"/>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87"/>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88"/>
    <w:unhideWhenUsed/>
    <w:qFormat/>
    <w:uiPriority w:val="9"/>
    <w:pPr>
      <w:keepNext/>
      <w:keepLines/>
      <w:spacing w:before="320" w:after="200"/>
      <w:outlineLvl w:val="8"/>
    </w:pPr>
    <w:rPr>
      <w:rFonts w:ascii="Arial" w:hAnsi="Arial" w:eastAsia="Arial" w:cs="Arial"/>
      <w:i/>
      <w:iCs/>
      <w:szCs w:val="21"/>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pPr>
  </w:style>
  <w:style w:type="paragraph" w:styleId="12">
    <w:name w:val="Normal Indent"/>
    <w:basedOn w:val="1"/>
    <w:link w:val="277"/>
    <w:qFormat/>
    <w:uiPriority w:val="0"/>
    <w:pPr>
      <w:spacing w:line="240" w:lineRule="auto"/>
      <w:ind w:firstLine="420"/>
    </w:pPr>
    <w:rPr>
      <w:szCs w:val="20"/>
    </w:rPr>
  </w:style>
  <w:style w:type="paragraph" w:styleId="13">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4">
    <w:name w:val="annotation text"/>
    <w:basedOn w:val="1"/>
    <w:qFormat/>
    <w:uiPriority w:val="0"/>
    <w:pPr>
      <w:jc w:val="left"/>
    </w:pPr>
  </w:style>
  <w:style w:type="paragraph" w:styleId="15">
    <w:name w:val="Body Text"/>
    <w:basedOn w:val="1"/>
    <w:qFormat/>
    <w:uiPriority w:val="0"/>
    <w:pPr>
      <w:spacing w:after="120"/>
    </w:pPr>
  </w:style>
  <w:style w:type="paragraph" w:styleId="16">
    <w:name w:val="toc 5"/>
    <w:basedOn w:val="1"/>
    <w:next w:val="1"/>
    <w:unhideWhenUsed/>
    <w:qFormat/>
    <w:uiPriority w:val="39"/>
    <w:pPr>
      <w:spacing w:after="57"/>
      <w:ind w:left="1134"/>
    </w:pPr>
  </w:style>
  <w:style w:type="paragraph" w:styleId="17">
    <w:name w:val="toc 3"/>
    <w:basedOn w:val="1"/>
    <w:next w:val="1"/>
    <w:unhideWhenUsed/>
    <w:qFormat/>
    <w:uiPriority w:val="39"/>
    <w:pPr>
      <w:spacing w:after="57"/>
      <w:ind w:left="567"/>
    </w:pPr>
  </w:style>
  <w:style w:type="paragraph" w:styleId="18">
    <w:name w:val="Plain Text"/>
    <w:basedOn w:val="1"/>
    <w:next w:val="12"/>
    <w:qFormat/>
    <w:uiPriority w:val="0"/>
    <w:rPr>
      <w:rFonts w:ascii="宋体" w:hAnsi="Courier New" w:cs="Courier New"/>
      <w:sz w:val="20"/>
      <w:szCs w:val="21"/>
    </w:rPr>
  </w:style>
  <w:style w:type="paragraph" w:styleId="19">
    <w:name w:val="toc 8"/>
    <w:basedOn w:val="1"/>
    <w:next w:val="1"/>
    <w:unhideWhenUsed/>
    <w:qFormat/>
    <w:uiPriority w:val="39"/>
    <w:pPr>
      <w:spacing w:after="57"/>
      <w:ind w:left="1984"/>
    </w:pPr>
  </w:style>
  <w:style w:type="paragraph" w:styleId="20">
    <w:name w:val="endnote text"/>
    <w:basedOn w:val="1"/>
    <w:link w:val="226"/>
    <w:semiHidden/>
    <w:unhideWhenUsed/>
    <w:qFormat/>
    <w:uiPriority w:val="99"/>
    <w:pPr>
      <w:spacing w:line="240" w:lineRule="auto"/>
    </w:pPr>
    <w:rPr>
      <w:sz w:val="20"/>
    </w:rPr>
  </w:style>
  <w:style w:type="paragraph" w:styleId="21">
    <w:name w:val="footer"/>
    <w:basedOn w:val="1"/>
    <w:link w:val="99"/>
    <w:unhideWhenUsed/>
    <w:qFormat/>
    <w:uiPriority w:val="99"/>
    <w:pPr>
      <w:tabs>
        <w:tab w:val="center" w:pos="7143"/>
        <w:tab w:val="right" w:pos="14287"/>
      </w:tabs>
      <w:spacing w:line="240" w:lineRule="auto"/>
    </w:pPr>
  </w:style>
  <w:style w:type="paragraph" w:styleId="22">
    <w:name w:val="header"/>
    <w:basedOn w:val="1"/>
    <w:link w:val="97"/>
    <w:unhideWhenUsed/>
    <w:qFormat/>
    <w:uiPriority w:val="99"/>
    <w:pPr>
      <w:tabs>
        <w:tab w:val="center" w:pos="7143"/>
        <w:tab w:val="right" w:pos="14287"/>
      </w:tabs>
      <w:spacing w:line="240" w:lineRule="auto"/>
    </w:pPr>
  </w:style>
  <w:style w:type="paragraph" w:styleId="23">
    <w:name w:val="toc 1"/>
    <w:basedOn w:val="1"/>
    <w:next w:val="1"/>
    <w:unhideWhenUsed/>
    <w:qFormat/>
    <w:uiPriority w:val="39"/>
    <w:pPr>
      <w:spacing w:after="57"/>
    </w:pPr>
  </w:style>
  <w:style w:type="paragraph" w:styleId="24">
    <w:name w:val="toc 4"/>
    <w:basedOn w:val="1"/>
    <w:next w:val="1"/>
    <w:unhideWhenUsed/>
    <w:qFormat/>
    <w:uiPriority w:val="39"/>
    <w:pPr>
      <w:spacing w:after="57"/>
      <w:ind w:left="850"/>
    </w:pPr>
  </w:style>
  <w:style w:type="paragraph" w:styleId="25">
    <w:name w:val="Subtitle"/>
    <w:basedOn w:val="1"/>
    <w:next w:val="1"/>
    <w:link w:val="92"/>
    <w:qFormat/>
    <w:uiPriority w:val="11"/>
    <w:pPr>
      <w:spacing w:before="200" w:after="200"/>
    </w:pPr>
    <w:rPr>
      <w:sz w:val="24"/>
    </w:rPr>
  </w:style>
  <w:style w:type="paragraph" w:styleId="26">
    <w:name w:val="footnote text"/>
    <w:basedOn w:val="1"/>
    <w:link w:val="225"/>
    <w:semiHidden/>
    <w:unhideWhenUsed/>
    <w:qFormat/>
    <w:uiPriority w:val="99"/>
    <w:pPr>
      <w:spacing w:after="40" w:line="240" w:lineRule="auto"/>
    </w:pPr>
    <w:rPr>
      <w:sz w:val="18"/>
    </w:rPr>
  </w:style>
  <w:style w:type="paragraph" w:styleId="27">
    <w:name w:val="toc 6"/>
    <w:basedOn w:val="1"/>
    <w:next w:val="1"/>
    <w:unhideWhenUsed/>
    <w:qFormat/>
    <w:uiPriority w:val="39"/>
    <w:pPr>
      <w:spacing w:after="57"/>
      <w:ind w:left="1417"/>
    </w:pPr>
  </w:style>
  <w:style w:type="paragraph" w:styleId="28">
    <w:name w:val="table of figures"/>
    <w:basedOn w:val="1"/>
    <w:next w:val="1"/>
    <w:unhideWhenUsed/>
    <w:qFormat/>
    <w:uiPriority w:val="99"/>
  </w:style>
  <w:style w:type="paragraph" w:styleId="29">
    <w:name w:val="toc 2"/>
    <w:basedOn w:val="1"/>
    <w:next w:val="1"/>
    <w:unhideWhenUsed/>
    <w:qFormat/>
    <w:uiPriority w:val="39"/>
    <w:pPr>
      <w:spacing w:after="57"/>
      <w:ind w:left="283"/>
    </w:pPr>
  </w:style>
  <w:style w:type="paragraph" w:styleId="30">
    <w:name w:val="toc 9"/>
    <w:basedOn w:val="1"/>
    <w:next w:val="1"/>
    <w:unhideWhenUsed/>
    <w:qFormat/>
    <w:uiPriority w:val="39"/>
    <w:pPr>
      <w:spacing w:after="57"/>
      <w:ind w:left="2268"/>
    </w:pPr>
  </w:style>
  <w:style w:type="paragraph" w:styleId="31">
    <w:name w:val="Body Text 2"/>
    <w:qFormat/>
    <w:uiPriority w:val="0"/>
    <w:pPr>
      <w:spacing w:after="120" w:line="480" w:lineRule="auto"/>
    </w:pPr>
    <w:rPr>
      <w:rFonts w:hint="default" w:ascii="Arial" w:hAnsi="Arial" w:eastAsia="Arial" w:cs="Arial"/>
      <w:color w:val="000000"/>
      <w:sz w:val="21"/>
      <w:szCs w:val="21"/>
      <w:lang w:val="en-US" w:eastAsia="en-US" w:bidi="ar-SA"/>
    </w:rPr>
  </w:style>
  <w:style w:type="paragraph" w:styleId="32">
    <w:name w:val="HTML Preformatted"/>
    <w:basedOn w:val="1"/>
    <w:link w:val="278"/>
    <w:semiHidden/>
    <w:unhideWhenUsed/>
    <w:qFormat/>
    <w:uiPriority w:val="99"/>
    <w:rPr>
      <w:rFonts w:ascii="Courier New" w:hAnsi="Courier New" w:cs="Courier New"/>
      <w:sz w:val="20"/>
      <w:szCs w:val="20"/>
    </w:rPr>
  </w:style>
  <w:style w:type="paragraph" w:styleId="33">
    <w:name w:val="Normal (Web)"/>
    <w:basedOn w:val="1"/>
    <w:qFormat/>
    <w:uiPriority w:val="0"/>
    <w:pPr>
      <w:widowControl/>
      <w:spacing w:before="100" w:beforeAutospacing="1" w:after="100" w:afterAutospacing="1"/>
      <w:jc w:val="left"/>
    </w:pPr>
    <w:rPr>
      <w:rFonts w:ascii="宋体" w:hAnsi="宋体" w:cs="宋体"/>
      <w:sz w:val="24"/>
      <w:szCs w:val="24"/>
    </w:rPr>
  </w:style>
  <w:style w:type="paragraph" w:styleId="34">
    <w:name w:val="Title"/>
    <w:basedOn w:val="1"/>
    <w:next w:val="1"/>
    <w:link w:val="91"/>
    <w:qFormat/>
    <w:uiPriority w:val="10"/>
    <w:pPr>
      <w:spacing w:before="300" w:after="200"/>
      <w:contextualSpacing/>
    </w:pPr>
    <w:rPr>
      <w:sz w:val="48"/>
      <w:szCs w:val="48"/>
    </w:rPr>
  </w:style>
  <w:style w:type="paragraph" w:styleId="35">
    <w:name w:val="Body Text First Indent"/>
    <w:basedOn w:val="15"/>
    <w:unhideWhenUsed/>
    <w:qFormat/>
    <w:uiPriority w:val="99"/>
    <w:pPr>
      <w:spacing w:line="360" w:lineRule="auto"/>
      <w:ind w:firstLine="200"/>
    </w:pPr>
    <w:rPr>
      <w:rFonts w:ascii="仿宋_GB2312" w:hAnsi="Times New Roman" w:eastAsia="仿宋_GB2312"/>
      <w:sz w:val="30"/>
      <w:szCs w:val="30"/>
    </w:rPr>
  </w:style>
  <w:style w:type="table" w:styleId="37">
    <w:name w:val="Table Grid"/>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9">
    <w:name w:val="Strong"/>
    <w:qFormat/>
    <w:uiPriority w:val="0"/>
    <w:rPr>
      <w:b/>
      <w:bCs/>
    </w:rPr>
  </w:style>
  <w:style w:type="character" w:styleId="40">
    <w:name w:val="endnote reference"/>
    <w:semiHidden/>
    <w:unhideWhenUsed/>
    <w:qFormat/>
    <w:uiPriority w:val="99"/>
    <w:rPr>
      <w:vertAlign w:val="superscript"/>
    </w:rPr>
  </w:style>
  <w:style w:type="character" w:styleId="41">
    <w:name w:val="Hyperlink"/>
    <w:basedOn w:val="38"/>
    <w:unhideWhenUsed/>
    <w:qFormat/>
    <w:uiPriority w:val="99"/>
    <w:rPr>
      <w:color w:val="0000FF" w:themeColor="hyperlink"/>
      <w:u w:val="single"/>
      <w14:textFill>
        <w14:solidFill>
          <w14:schemeClr w14:val="hlink"/>
        </w14:solidFill>
      </w14:textFill>
    </w:rPr>
  </w:style>
  <w:style w:type="character" w:styleId="42">
    <w:name w:val="footnote reference"/>
    <w:unhideWhenUsed/>
    <w:qFormat/>
    <w:uiPriority w:val="99"/>
    <w:rPr>
      <w:vertAlign w:val="superscript"/>
    </w:rPr>
  </w:style>
  <w:style w:type="character" w:customStyle="1" w:styleId="43">
    <w:name w:val="标题 3 字符"/>
    <w:link w:val="4"/>
    <w:qFormat/>
    <w:uiPriority w:val="9"/>
    <w:rPr>
      <w:rFonts w:ascii="Arial" w:hAnsi="Arial" w:eastAsia="Arial" w:cs="Arial"/>
      <w:sz w:val="30"/>
      <w:szCs w:val="30"/>
    </w:rPr>
  </w:style>
  <w:style w:type="character" w:customStyle="1" w:styleId="44">
    <w:name w:val="Heading 1 Char"/>
    <w:basedOn w:val="38"/>
    <w:qFormat/>
    <w:uiPriority w:val="9"/>
    <w:rPr>
      <w:rFonts w:ascii="Arial" w:hAnsi="Arial" w:eastAsia="Arial" w:cs="Arial"/>
      <w:sz w:val="40"/>
      <w:szCs w:val="40"/>
    </w:rPr>
  </w:style>
  <w:style w:type="character" w:customStyle="1" w:styleId="45">
    <w:name w:val="Heading 2 Char"/>
    <w:basedOn w:val="38"/>
    <w:qFormat/>
    <w:uiPriority w:val="9"/>
    <w:rPr>
      <w:rFonts w:ascii="Arial" w:hAnsi="Arial" w:eastAsia="Arial" w:cs="Arial"/>
      <w:sz w:val="34"/>
    </w:rPr>
  </w:style>
  <w:style w:type="character" w:customStyle="1" w:styleId="46">
    <w:name w:val="Heading 3 Char"/>
    <w:basedOn w:val="38"/>
    <w:qFormat/>
    <w:uiPriority w:val="9"/>
    <w:rPr>
      <w:rFonts w:ascii="Arial" w:hAnsi="Arial" w:eastAsia="Arial" w:cs="Arial"/>
      <w:sz w:val="30"/>
      <w:szCs w:val="30"/>
    </w:rPr>
  </w:style>
  <w:style w:type="character" w:customStyle="1" w:styleId="47">
    <w:name w:val="Heading 4 Char"/>
    <w:basedOn w:val="38"/>
    <w:qFormat/>
    <w:uiPriority w:val="9"/>
    <w:rPr>
      <w:rFonts w:ascii="Arial" w:hAnsi="Arial" w:eastAsia="Arial" w:cs="Arial"/>
      <w:b/>
      <w:bCs/>
      <w:sz w:val="26"/>
      <w:szCs w:val="26"/>
    </w:rPr>
  </w:style>
  <w:style w:type="character" w:customStyle="1" w:styleId="48">
    <w:name w:val="Heading 5 Char"/>
    <w:basedOn w:val="38"/>
    <w:qFormat/>
    <w:uiPriority w:val="9"/>
    <w:rPr>
      <w:rFonts w:ascii="Arial" w:hAnsi="Arial" w:eastAsia="Arial" w:cs="Arial"/>
      <w:b/>
      <w:bCs/>
      <w:sz w:val="24"/>
      <w:szCs w:val="24"/>
    </w:rPr>
  </w:style>
  <w:style w:type="character" w:customStyle="1" w:styleId="49">
    <w:name w:val="Heading 6 Char"/>
    <w:basedOn w:val="38"/>
    <w:qFormat/>
    <w:uiPriority w:val="9"/>
    <w:rPr>
      <w:rFonts w:ascii="Arial" w:hAnsi="Arial" w:eastAsia="Arial" w:cs="Arial"/>
      <w:b/>
      <w:bCs/>
      <w:sz w:val="22"/>
      <w:szCs w:val="22"/>
    </w:rPr>
  </w:style>
  <w:style w:type="character" w:customStyle="1" w:styleId="50">
    <w:name w:val="Heading 7 Char"/>
    <w:basedOn w:val="38"/>
    <w:qFormat/>
    <w:uiPriority w:val="9"/>
    <w:rPr>
      <w:rFonts w:ascii="Arial" w:hAnsi="Arial" w:eastAsia="Arial" w:cs="Arial"/>
      <w:b/>
      <w:bCs/>
      <w:i/>
      <w:iCs/>
      <w:sz w:val="22"/>
      <w:szCs w:val="22"/>
    </w:rPr>
  </w:style>
  <w:style w:type="character" w:customStyle="1" w:styleId="51">
    <w:name w:val="Heading 8 Char"/>
    <w:basedOn w:val="38"/>
    <w:qFormat/>
    <w:uiPriority w:val="9"/>
    <w:rPr>
      <w:rFonts w:ascii="Arial" w:hAnsi="Arial" w:eastAsia="Arial" w:cs="Arial"/>
      <w:i/>
      <w:iCs/>
      <w:sz w:val="22"/>
      <w:szCs w:val="22"/>
    </w:rPr>
  </w:style>
  <w:style w:type="character" w:customStyle="1" w:styleId="52">
    <w:name w:val="Heading 9 Char"/>
    <w:basedOn w:val="38"/>
    <w:qFormat/>
    <w:uiPriority w:val="9"/>
    <w:rPr>
      <w:rFonts w:ascii="Arial" w:hAnsi="Arial" w:eastAsia="Arial" w:cs="Arial"/>
      <w:i/>
      <w:iCs/>
      <w:sz w:val="21"/>
      <w:szCs w:val="21"/>
    </w:rPr>
  </w:style>
  <w:style w:type="character" w:customStyle="1" w:styleId="53">
    <w:name w:val="Title Char"/>
    <w:basedOn w:val="38"/>
    <w:qFormat/>
    <w:uiPriority w:val="10"/>
    <w:rPr>
      <w:sz w:val="48"/>
      <w:szCs w:val="48"/>
    </w:rPr>
  </w:style>
  <w:style w:type="character" w:customStyle="1" w:styleId="54">
    <w:name w:val="Subtitle Char"/>
    <w:basedOn w:val="38"/>
    <w:qFormat/>
    <w:uiPriority w:val="11"/>
    <w:rPr>
      <w:sz w:val="24"/>
      <w:szCs w:val="24"/>
    </w:rPr>
  </w:style>
  <w:style w:type="character" w:customStyle="1" w:styleId="55">
    <w:name w:val="Quote Char"/>
    <w:qFormat/>
    <w:uiPriority w:val="29"/>
    <w:rPr>
      <w:i/>
    </w:rPr>
  </w:style>
  <w:style w:type="character" w:customStyle="1" w:styleId="56">
    <w:name w:val="Intense Quote Char"/>
    <w:qFormat/>
    <w:uiPriority w:val="30"/>
    <w:rPr>
      <w:i/>
    </w:rPr>
  </w:style>
  <w:style w:type="character" w:customStyle="1" w:styleId="57">
    <w:name w:val="Header Char"/>
    <w:basedOn w:val="38"/>
    <w:qFormat/>
    <w:uiPriority w:val="99"/>
  </w:style>
  <w:style w:type="character" w:customStyle="1" w:styleId="58">
    <w:name w:val="Caption Char"/>
    <w:qFormat/>
    <w:uiPriority w:val="99"/>
  </w:style>
  <w:style w:type="table" w:customStyle="1" w:styleId="59">
    <w:name w:val="Plain Table 1"/>
    <w:basedOn w:val="36"/>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60">
    <w:name w:val="Plain Table 2"/>
    <w:basedOn w:val="36"/>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61">
    <w:name w:val="Plain Table 3"/>
    <w:basedOn w:val="36"/>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2">
    <w:name w:val="Plain Table 4"/>
    <w:basedOn w:val="36"/>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3">
    <w:name w:val="Plain Table 5"/>
    <w:basedOn w:val="36"/>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4">
    <w:name w:val="Grid Table 1 Light"/>
    <w:basedOn w:val="36"/>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5">
    <w:name w:val="Grid Table 2"/>
    <w:basedOn w:val="36"/>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6">
    <w:name w:val="Grid Table 3"/>
    <w:basedOn w:val="36"/>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7">
    <w:name w:val="Grid Table 4"/>
    <w:basedOn w:val="36"/>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8">
    <w:name w:val="Grid Table 5 Dark"/>
    <w:basedOn w:val="3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69">
    <w:name w:val="Grid Table 6 Colorful"/>
    <w:basedOn w:val="36"/>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70">
    <w:name w:val="Grid Table 7 Colorful"/>
    <w:basedOn w:val="36"/>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71">
    <w:name w:val="List Table 1 Light"/>
    <w:basedOn w:val="36"/>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72">
    <w:name w:val="List Table 2"/>
    <w:basedOn w:val="36"/>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73">
    <w:name w:val="List Table 3"/>
    <w:basedOn w:val="36"/>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74">
    <w:name w:val="List Table 4"/>
    <w:basedOn w:val="36"/>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75">
    <w:name w:val="List Table 5 Dark"/>
    <w:basedOn w:val="36"/>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76">
    <w:name w:val="List Table 6 Colorful"/>
    <w:basedOn w:val="36"/>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77">
    <w:name w:val="List Table 7 Colorful"/>
    <w:basedOn w:val="36"/>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character" w:customStyle="1" w:styleId="78">
    <w:name w:val="Footnote Text Char"/>
    <w:qFormat/>
    <w:uiPriority w:val="99"/>
    <w:rPr>
      <w:sz w:val="18"/>
    </w:rPr>
  </w:style>
  <w:style w:type="character" w:customStyle="1" w:styleId="79">
    <w:name w:val="Endnote Text Char"/>
    <w:qFormat/>
    <w:uiPriority w:val="99"/>
    <w:rPr>
      <w:sz w:val="20"/>
    </w:rPr>
  </w:style>
  <w:style w:type="paragraph" w:customStyle="1" w:styleId="80">
    <w:name w:val="TOC Heading"/>
    <w:unhideWhenUsed/>
    <w:qFormat/>
    <w:uiPriority w:val="39"/>
    <w:rPr>
      <w:rFonts w:hint="default" w:ascii="Times New Roman" w:hAnsi="Times New Roman" w:eastAsia="宋体" w:cs="Times New Roman"/>
    </w:rPr>
  </w:style>
  <w:style w:type="character" w:customStyle="1" w:styleId="81">
    <w:name w:val="标题 1 字符"/>
    <w:link w:val="2"/>
    <w:qFormat/>
    <w:uiPriority w:val="9"/>
    <w:rPr>
      <w:rFonts w:ascii="Arial" w:hAnsi="Arial" w:eastAsia="Arial" w:cs="Arial"/>
      <w:sz w:val="40"/>
      <w:szCs w:val="40"/>
    </w:rPr>
  </w:style>
  <w:style w:type="character" w:customStyle="1" w:styleId="82">
    <w:name w:val="标题 2 字符"/>
    <w:link w:val="3"/>
    <w:qFormat/>
    <w:uiPriority w:val="9"/>
    <w:rPr>
      <w:rFonts w:ascii="Arial" w:hAnsi="Arial" w:eastAsia="Arial" w:cs="Arial"/>
      <w:sz w:val="34"/>
    </w:rPr>
  </w:style>
  <w:style w:type="character" w:customStyle="1" w:styleId="83">
    <w:name w:val="标题 4 字符"/>
    <w:link w:val="5"/>
    <w:qFormat/>
    <w:uiPriority w:val="9"/>
    <w:rPr>
      <w:rFonts w:ascii="Arial" w:hAnsi="Arial" w:eastAsia="Arial" w:cs="Arial"/>
      <w:b/>
      <w:bCs/>
      <w:sz w:val="26"/>
      <w:szCs w:val="26"/>
    </w:rPr>
  </w:style>
  <w:style w:type="character" w:customStyle="1" w:styleId="84">
    <w:name w:val="标题 5 字符"/>
    <w:link w:val="6"/>
    <w:qFormat/>
    <w:uiPriority w:val="9"/>
    <w:rPr>
      <w:rFonts w:ascii="Arial" w:hAnsi="Arial" w:eastAsia="Arial" w:cs="Arial"/>
      <w:b/>
      <w:bCs/>
      <w:sz w:val="24"/>
      <w:szCs w:val="24"/>
    </w:rPr>
  </w:style>
  <w:style w:type="character" w:customStyle="1" w:styleId="85">
    <w:name w:val="标题 6 字符"/>
    <w:link w:val="7"/>
    <w:qFormat/>
    <w:uiPriority w:val="9"/>
    <w:rPr>
      <w:rFonts w:ascii="Arial" w:hAnsi="Arial" w:eastAsia="Arial" w:cs="Arial"/>
      <w:b/>
      <w:bCs/>
      <w:sz w:val="22"/>
      <w:szCs w:val="22"/>
    </w:rPr>
  </w:style>
  <w:style w:type="character" w:customStyle="1" w:styleId="86">
    <w:name w:val="标题 7 字符"/>
    <w:link w:val="8"/>
    <w:qFormat/>
    <w:uiPriority w:val="9"/>
    <w:rPr>
      <w:rFonts w:ascii="Arial" w:hAnsi="Arial" w:eastAsia="Arial" w:cs="Arial"/>
      <w:b/>
      <w:bCs/>
      <w:i/>
      <w:iCs/>
      <w:sz w:val="22"/>
      <w:szCs w:val="22"/>
    </w:rPr>
  </w:style>
  <w:style w:type="character" w:customStyle="1" w:styleId="87">
    <w:name w:val="标题 8 字符"/>
    <w:link w:val="9"/>
    <w:qFormat/>
    <w:uiPriority w:val="9"/>
    <w:rPr>
      <w:rFonts w:ascii="Arial" w:hAnsi="Arial" w:eastAsia="Arial" w:cs="Arial"/>
      <w:i/>
      <w:iCs/>
      <w:sz w:val="22"/>
      <w:szCs w:val="22"/>
    </w:rPr>
  </w:style>
  <w:style w:type="character" w:customStyle="1" w:styleId="88">
    <w:name w:val="标题 9 字符"/>
    <w:link w:val="10"/>
    <w:qFormat/>
    <w:uiPriority w:val="9"/>
    <w:rPr>
      <w:rFonts w:ascii="Arial" w:hAnsi="Arial" w:eastAsia="Arial" w:cs="Arial"/>
      <w:i/>
      <w:iCs/>
      <w:sz w:val="21"/>
      <w:szCs w:val="21"/>
    </w:rPr>
  </w:style>
  <w:style w:type="paragraph" w:styleId="89">
    <w:name w:val="List Paragraph"/>
    <w:basedOn w:val="1"/>
    <w:qFormat/>
    <w:uiPriority w:val="34"/>
    <w:pPr>
      <w:ind w:left="720"/>
      <w:contextualSpacing/>
    </w:pPr>
  </w:style>
  <w:style w:type="paragraph" w:styleId="90">
    <w:name w:val="No Spacing"/>
    <w:qFormat/>
    <w:uiPriority w:val="1"/>
    <w:rPr>
      <w:rFonts w:hint="default" w:ascii="Times New Roman" w:hAnsi="Times New Roman" w:eastAsia="宋体" w:cs="Times New Roman"/>
      <w:lang w:val="en-US" w:eastAsia="zh-CN" w:bidi="ar-SA"/>
    </w:rPr>
  </w:style>
  <w:style w:type="character" w:customStyle="1" w:styleId="91">
    <w:name w:val="标题 字符"/>
    <w:link w:val="34"/>
    <w:qFormat/>
    <w:uiPriority w:val="10"/>
    <w:rPr>
      <w:sz w:val="48"/>
      <w:szCs w:val="48"/>
    </w:rPr>
  </w:style>
  <w:style w:type="character" w:customStyle="1" w:styleId="92">
    <w:name w:val="副标题 字符"/>
    <w:link w:val="25"/>
    <w:qFormat/>
    <w:uiPriority w:val="11"/>
    <w:rPr>
      <w:sz w:val="24"/>
      <w:szCs w:val="24"/>
    </w:rPr>
  </w:style>
  <w:style w:type="paragraph" w:styleId="93">
    <w:name w:val="Quote"/>
    <w:basedOn w:val="1"/>
    <w:next w:val="1"/>
    <w:link w:val="94"/>
    <w:qFormat/>
    <w:uiPriority w:val="29"/>
    <w:pPr>
      <w:ind w:left="720" w:right="720"/>
    </w:pPr>
    <w:rPr>
      <w:i/>
    </w:rPr>
  </w:style>
  <w:style w:type="character" w:customStyle="1" w:styleId="94">
    <w:name w:val="引用 字符"/>
    <w:link w:val="93"/>
    <w:qFormat/>
    <w:uiPriority w:val="29"/>
    <w:rPr>
      <w:i/>
    </w:rPr>
  </w:style>
  <w:style w:type="paragraph" w:styleId="95">
    <w:name w:val="Intense Quote"/>
    <w:basedOn w:val="1"/>
    <w:next w:val="1"/>
    <w:link w:val="96"/>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96">
    <w:name w:val="明显引用 字符"/>
    <w:link w:val="95"/>
    <w:qFormat/>
    <w:uiPriority w:val="30"/>
    <w:rPr>
      <w:i/>
    </w:rPr>
  </w:style>
  <w:style w:type="character" w:customStyle="1" w:styleId="97">
    <w:name w:val="页眉 字符"/>
    <w:link w:val="22"/>
    <w:qFormat/>
    <w:uiPriority w:val="99"/>
  </w:style>
  <w:style w:type="character" w:customStyle="1" w:styleId="98">
    <w:name w:val="Footer Char"/>
    <w:qFormat/>
    <w:uiPriority w:val="99"/>
  </w:style>
  <w:style w:type="character" w:customStyle="1" w:styleId="99">
    <w:name w:val="页脚 字符"/>
    <w:link w:val="21"/>
    <w:qFormat/>
    <w:uiPriority w:val="99"/>
  </w:style>
  <w:style w:type="table" w:customStyle="1" w:styleId="100">
    <w:name w:val="Table Grid Light"/>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101">
    <w:name w:val="无格式表格 11"/>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102">
    <w:name w:val="无格式表格 21"/>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103">
    <w:name w:val="无格式表格 31"/>
    <w:qFormat/>
    <w:uiPriority w:val="99"/>
    <w:tblPr>
      <w:tblCellMar>
        <w:top w:w="0" w:type="dxa"/>
        <w:left w:w="0" w:type="dxa"/>
        <w:bottom w:w="0" w:type="dxa"/>
        <w:right w:w="0"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104">
    <w:name w:val="无格式表格 41"/>
    <w:qFormat/>
    <w:uiPriority w:val="99"/>
    <w:tblPr>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105">
    <w:name w:val="无格式表格 51"/>
    <w:qFormat/>
    <w:uiPriority w:val="99"/>
    <w:tblPr>
      <w:tblCellMar>
        <w:top w:w="0" w:type="dxa"/>
        <w:left w:w="0" w:type="dxa"/>
        <w:bottom w:w="0" w:type="dxa"/>
        <w:right w:w="0"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106">
    <w:name w:val="网格表 1 浅色1"/>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top w:w="0" w:type="dxa"/>
        <w:left w:w="0" w:type="dxa"/>
        <w:bottom w:w="0" w:type="dxa"/>
        <w:right w:w="0" w:type="dxa"/>
      </w:tblCellMar>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107">
    <w:name w:val="Grid Table 1 Light - Accent 1"/>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0" w:type="dxa"/>
        <w:bottom w:w="0" w:type="dxa"/>
        <w:right w:w="0" w:type="dxa"/>
      </w:tblCellMar>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08">
    <w:name w:val="Grid Table 1 Light - Accent 2"/>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0" w:type="dxa"/>
        <w:bottom w:w="0" w:type="dxa"/>
        <w:right w:w="0" w:type="dxa"/>
      </w:tblCellMar>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09">
    <w:name w:val="Grid Table 1 Light - Accent 3"/>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0" w:type="dxa"/>
        <w:bottom w:w="0" w:type="dxa"/>
        <w:right w:w="0" w:type="dxa"/>
      </w:tblCellMar>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10">
    <w:name w:val="Grid Table 1 Light - Accent 4"/>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0" w:type="dxa"/>
        <w:bottom w:w="0" w:type="dxa"/>
        <w:right w:w="0" w:type="dxa"/>
      </w:tblCellMar>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11">
    <w:name w:val="Grid Table 1 Light - Accent 5"/>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0" w:type="dxa"/>
        <w:bottom w:w="0" w:type="dxa"/>
        <w:right w:w="0" w:type="dxa"/>
      </w:tblCellMar>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12">
    <w:name w:val="Grid Table 1 Light - Accent 6"/>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0" w:type="dxa"/>
        <w:bottom w:w="0" w:type="dxa"/>
        <w:right w:w="0" w:type="dxa"/>
      </w:tblCellMar>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113">
    <w:name w:val="网格表 21"/>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0" w:type="dxa"/>
        <w:bottom w:w="0" w:type="dxa"/>
        <w:right w:w="0" w:type="dxa"/>
      </w:tblCellMar>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14">
    <w:name w:val="Grid Table 2 - Accent 1"/>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0" w:type="dxa"/>
        <w:bottom w:w="0" w:type="dxa"/>
        <w:right w:w="0" w:type="dxa"/>
      </w:tblCellMar>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115">
    <w:name w:val="Grid Table 2 - Accent 2"/>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16">
    <w:name w:val="Grid Table 2 - Accent 3"/>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17">
    <w:name w:val="Grid Table 2 - Accent 4"/>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18">
    <w:name w:val="Grid Table 2 - Accent 5"/>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19">
    <w:name w:val="Grid Table 2 - Accent 6"/>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20">
    <w:name w:val="网格表 31"/>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21">
    <w:name w:val="Grid Table 3 - Accent 1"/>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122">
    <w:name w:val="Grid Table 3 - Accent 2"/>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23">
    <w:name w:val="Grid Table 3 - Accent 3"/>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24">
    <w:name w:val="Grid Table 3 - Accent 4"/>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25">
    <w:name w:val="Grid Table 3 - Accent 5"/>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26">
    <w:name w:val="Grid Table 3 - Accent 6"/>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27">
    <w:name w:val="网格表 41"/>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28">
    <w:name w:val="Grid Table 4 - Accent 1"/>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129">
    <w:name w:val="Grid Table 4 - Accent 2"/>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30">
    <w:name w:val="Grid Table 4 - Accent 3"/>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31">
    <w:name w:val="Grid Table 4 - Accent 4"/>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32">
    <w:name w:val="Grid Table 4 - Accent 5"/>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33">
    <w:name w:val="Grid Table 4 - Accent 6"/>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34">
    <w:name w:val="网格表 5 深色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135">
    <w:name w:val="Grid Table 5 Dark- Accent 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136">
    <w:name w:val="Grid Table 5 Dark - Accent 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137">
    <w:name w:val="Grid Table 5 Dark - Accent 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138">
    <w:name w:val="Grid Table 5 Dark- Accent 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139">
    <w:name w:val="Grid Table 5 Dark - Accent 5"/>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140">
    <w:name w:val="Grid Table 5 Dark - Accent 6"/>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141">
    <w:name w:val="网格表 6 彩色1"/>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0" w:type="dxa"/>
        <w:bottom w:w="0" w:type="dxa"/>
        <w:right w:w="0" w:type="dxa"/>
      </w:tblCellMar>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42">
    <w:name w:val="Grid Table 6 Colorful - Accent 1"/>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0" w:type="dxa"/>
        <w:bottom w:w="0" w:type="dxa"/>
        <w:right w:w="0" w:type="dxa"/>
      </w:tblCellMar>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43">
    <w:name w:val="Grid Table 6 Colorful - Accent 2"/>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44">
    <w:name w:val="Grid Table 6 Colorful - Accent 3"/>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Row">
      <w:rPr>
        <w:b/>
        <w:color w:val="9BBB59" w:themeColor="accent3"/>
        <w14:textFill>
          <w14:solidFill>
            <w14:schemeClr w14:val="accent3"/>
          </w14:solidFill>
        </w14:textFill>
      </w:rPr>
    </w:tblStylePr>
    <w:tblStylePr w:type="firstCol">
      <w:rPr>
        <w:b/>
        <w:color w:val="9BBB59" w:themeColor="accent3"/>
        <w14:textFill>
          <w14:solidFill>
            <w14:schemeClr w14:val="accent3"/>
          </w14:solidFill>
        </w14:textFill>
      </w:rPr>
    </w:tblStylePr>
    <w:tblStylePr w:type="lastCol">
      <w:rPr>
        <w:b/>
        <w:color w:val="9BBB59" w:themeColor="accent3"/>
        <w14:textFill>
          <w14:solidFill>
            <w14:schemeClr w14:val="accent3"/>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45">
    <w:name w:val="Grid Table 6 Colorful - Accent 4"/>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46">
    <w:name w:val="Grid Table 6 Colorful - Accent 5"/>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47">
    <w:name w:val="Grid Table 6 Colorful - Accent 6"/>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48">
    <w:name w:val="网格表 7 彩色1"/>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0" w:type="dxa"/>
        <w:bottom w:w="0" w:type="dxa"/>
        <w:right w:w="0" w:type="dxa"/>
      </w:tblCellMar>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49">
    <w:name w:val="Grid Table 7 Colorful - Accent 1"/>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0" w:type="dxa"/>
        <w:bottom w:w="0" w:type="dxa"/>
        <w:right w:w="0" w:type="dxa"/>
      </w:tblCellMar>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50">
    <w:name w:val="Grid Table 7 Colorful - Accent 2"/>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1">
    <w:name w:val="Grid Table 7 Colorful - Accent 3"/>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52">
    <w:name w:val="Grid Table 7 Colorful - Accent 4"/>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3">
    <w:name w:val="Grid Table 7 Colorful - Accent 5"/>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0" w:type="dxa"/>
        <w:bottom w:w="0" w:type="dxa"/>
        <w:right w:w="0" w:type="dxa"/>
      </w:tblCellMar>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54">
    <w:name w:val="Grid Table 7 Colorful - Accent 6"/>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0" w:type="dxa"/>
        <w:bottom w:w="0" w:type="dxa"/>
        <w:right w:w="0" w:type="dxa"/>
      </w:tblCellMar>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55">
    <w:name w:val="清单表 1 浅色1"/>
    <w:qFormat/>
    <w:uiPriority w:val="99"/>
    <w:tblPr>
      <w:tblCellMar>
        <w:top w:w="0" w:type="dxa"/>
        <w:left w:w="0" w:type="dxa"/>
        <w:bottom w:w="0" w:type="dxa"/>
        <w:right w:w="0" w:type="dxa"/>
      </w:tblCellMa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56">
    <w:name w:val="List Table 1 Light - Accent 1"/>
    <w:qFormat/>
    <w:uiPriority w:val="99"/>
    <w:tblPr>
      <w:tblCellMar>
        <w:top w:w="0" w:type="dxa"/>
        <w:left w:w="0" w:type="dxa"/>
        <w:bottom w:w="0" w:type="dxa"/>
        <w:right w:w="0" w:type="dxa"/>
      </w:tblCellMar>
    </w:tbl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57">
    <w:name w:val="List Table 1 Light - Accent 2"/>
    <w:qFormat/>
    <w:uiPriority w:val="99"/>
    <w:tblPr>
      <w:tblCellMar>
        <w:top w:w="0" w:type="dxa"/>
        <w:left w:w="0" w:type="dxa"/>
        <w:bottom w:w="0" w:type="dxa"/>
        <w:right w:w="0" w:type="dxa"/>
      </w:tblCellMar>
    </w:tbl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58">
    <w:name w:val="List Table 1 Light - Accent 3"/>
    <w:qFormat/>
    <w:uiPriority w:val="99"/>
    <w:tblPr>
      <w:tblCellMar>
        <w:top w:w="0" w:type="dxa"/>
        <w:left w:w="0" w:type="dxa"/>
        <w:bottom w:w="0" w:type="dxa"/>
        <w:right w:w="0" w:type="dxa"/>
      </w:tblCellMar>
    </w:tbl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59">
    <w:name w:val="List Table 1 Light - Accent 4"/>
    <w:qFormat/>
    <w:uiPriority w:val="99"/>
    <w:tblPr>
      <w:tblCellMar>
        <w:top w:w="0" w:type="dxa"/>
        <w:left w:w="0" w:type="dxa"/>
        <w:bottom w:w="0" w:type="dxa"/>
        <w:right w:w="0" w:type="dxa"/>
      </w:tblCellMar>
    </w:tbl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60">
    <w:name w:val="List Table 1 Light - Accent 5"/>
    <w:qFormat/>
    <w:uiPriority w:val="99"/>
    <w:tblPr>
      <w:tblCellMar>
        <w:top w:w="0" w:type="dxa"/>
        <w:left w:w="0" w:type="dxa"/>
        <w:bottom w:w="0" w:type="dxa"/>
        <w:right w:w="0" w:type="dxa"/>
      </w:tblCellMar>
    </w:tbl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61">
    <w:name w:val="List Table 1 Light - Accent 6"/>
    <w:qFormat/>
    <w:uiPriority w:val="99"/>
    <w:tblPr>
      <w:tblCellMar>
        <w:top w:w="0" w:type="dxa"/>
        <w:left w:w="0" w:type="dxa"/>
        <w:bottom w:w="0" w:type="dxa"/>
        <w:right w:w="0" w:type="dxa"/>
      </w:tblCellMar>
    </w:tbl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62">
    <w:name w:val="清单表 21"/>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63">
    <w:name w:val="List Table 2 - Accent 1"/>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64">
    <w:name w:val="List Table 2 - Accent 2"/>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65">
    <w:name w:val="List Table 2 - Accent 3"/>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66">
    <w:name w:val="List Table 2 - Accent 4"/>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67">
    <w:name w:val="List Table 2 - Accent 5"/>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68">
    <w:name w:val="List Table 2 - Accent 6"/>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69">
    <w:name w:val="清单表 31"/>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0" w:type="dxa"/>
        <w:bottom w:w="0" w:type="dxa"/>
        <w:right w:w="0"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70">
    <w:name w:val="List Table 3 - Accent 1"/>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0" w:type="dxa"/>
        <w:bottom w:w="0" w:type="dxa"/>
        <w:right w:w="0"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71">
    <w:name w:val="List Table 3 - Accent 2"/>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CellMar>
        <w:top w:w="0" w:type="dxa"/>
        <w:left w:w="0" w:type="dxa"/>
        <w:bottom w:w="0" w:type="dxa"/>
        <w:right w:w="0" w:type="dxa"/>
      </w:tblCellMar>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72">
    <w:name w:val="List Table 3 - Accent 3"/>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CellMar>
        <w:top w:w="0" w:type="dxa"/>
        <w:left w:w="0" w:type="dxa"/>
        <w:bottom w:w="0" w:type="dxa"/>
        <w:right w:w="0" w:type="dxa"/>
      </w:tblCellMar>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73">
    <w:name w:val="List Table 3 - Accent 4"/>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0" w:type="dxa"/>
        <w:bottom w:w="0" w:type="dxa"/>
        <w:right w:w="0" w:type="dxa"/>
      </w:tblCellMar>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74">
    <w:name w:val="List Table 3 - Accent 5"/>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0" w:type="dxa"/>
        <w:bottom w:w="0" w:type="dxa"/>
        <w:right w:w="0" w:type="dxa"/>
      </w:tblCellMar>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75">
    <w:name w:val="List Table 3 - Accent 6"/>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0" w:type="dxa"/>
        <w:bottom w:w="0" w:type="dxa"/>
        <w:right w:w="0" w:type="dxa"/>
      </w:tblCellMar>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76">
    <w:name w:val="清单表 41"/>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0" w:type="dxa"/>
        <w:bottom w:w="0" w:type="dxa"/>
        <w:right w:w="0"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77">
    <w:name w:val="List Table 4 - Accent 1"/>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0" w:type="dxa"/>
        <w:bottom w:w="0" w:type="dxa"/>
        <w:right w:w="0"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78">
    <w:name w:val="List Table 4 - Accent 2"/>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CellMar>
        <w:top w:w="0" w:type="dxa"/>
        <w:left w:w="0" w:type="dxa"/>
        <w:bottom w:w="0" w:type="dxa"/>
        <w:right w:w="0" w:type="dxa"/>
      </w:tblCellMar>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79">
    <w:name w:val="List Table 4 - Accent 3"/>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0" w:type="dxa"/>
        <w:bottom w:w="0" w:type="dxa"/>
        <w:right w:w="0" w:type="dxa"/>
      </w:tblCellMar>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80">
    <w:name w:val="List Table 4 - Accent 4"/>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0" w:type="dxa"/>
        <w:bottom w:w="0" w:type="dxa"/>
        <w:right w:w="0" w:type="dxa"/>
      </w:tblCellMar>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81">
    <w:name w:val="List Table 4 - Accent 5"/>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0" w:type="dxa"/>
        <w:bottom w:w="0" w:type="dxa"/>
        <w:right w:w="0" w:type="dxa"/>
      </w:tblCellMar>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82">
    <w:name w:val="List Table 4 - Accent 6"/>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0" w:type="dxa"/>
        <w:bottom w:w="0" w:type="dxa"/>
        <w:right w:w="0" w:type="dxa"/>
      </w:tblCellMar>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83">
    <w:name w:val="清单表 5 深色1"/>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84">
    <w:name w:val="List Table 5 Dark - Accent 1"/>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85">
    <w:name w:val="List Table 5 Dark - Accent 2"/>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86">
    <w:name w:val="List Table 5 Dark - Accent 3"/>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87">
    <w:name w:val="List Table 5 Dark - Accent 4"/>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88">
    <w:name w:val="List Table 5 Dark - Accent 5"/>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89">
    <w:name w:val="List Table 5 Dark - Accent 6"/>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90">
    <w:name w:val="清单表 6 彩色1"/>
    <w:qFormat/>
    <w:uiPriority w:val="99"/>
    <w:tblPr>
      <w:tblBorders>
        <w:top w:val="single" w:color="7E7E7E" w:themeColor="text1" w:themeTint="80" w:sz="4" w:space="0"/>
        <w:bottom w:val="single" w:color="7E7E7E" w:themeColor="text1" w:themeTint="80" w:sz="4" w:space="0"/>
      </w:tblBorders>
      <w:tblCellMar>
        <w:top w:w="0" w:type="dxa"/>
        <w:left w:w="0" w:type="dxa"/>
        <w:bottom w:w="0" w:type="dxa"/>
        <w:right w:w="0" w:type="dxa"/>
      </w:tblCellMar>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91">
    <w:name w:val="List Table 6 Colorful - Accent 1"/>
    <w:qFormat/>
    <w:uiPriority w:val="99"/>
    <w:tblPr>
      <w:tblBorders>
        <w:top w:val="single" w:color="4F81BD" w:themeColor="accent1" w:sz="4" w:space="0"/>
        <w:bottom w:val="single" w:color="4F81BD" w:themeColor="accent1" w:sz="4" w:space="0"/>
      </w:tblBorders>
      <w:tblCellMar>
        <w:top w:w="0" w:type="dxa"/>
        <w:left w:w="0" w:type="dxa"/>
        <w:bottom w:w="0" w:type="dxa"/>
        <w:right w:w="0" w:type="dxa"/>
      </w:tblCellMar>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92">
    <w:name w:val="List Table 6 Colorful - Accent 2"/>
    <w:qFormat/>
    <w:uiPriority w:val="99"/>
    <w:tblPr>
      <w:tblBorders>
        <w:top w:val="single" w:color="D99795" w:themeColor="accent2" w:themeTint="97" w:sz="4" w:space="0"/>
        <w:bottom w:val="single" w:color="D99795" w:themeColor="accent2" w:themeTint="97" w:sz="4" w:space="0"/>
      </w:tblBorders>
      <w:tblCellMar>
        <w:top w:w="0" w:type="dxa"/>
        <w:left w:w="0" w:type="dxa"/>
        <w:bottom w:w="0" w:type="dxa"/>
        <w:right w:w="0"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93">
    <w:name w:val="List Table 6 Colorful - Accent 3"/>
    <w:qFormat/>
    <w:uiPriority w:val="99"/>
    <w:tblPr>
      <w:tblBorders>
        <w:top w:val="single" w:color="C3D69C" w:themeColor="accent3" w:themeTint="98" w:sz="4" w:space="0"/>
        <w:bottom w:val="single" w:color="C3D69C" w:themeColor="accent3" w:themeTint="98" w:sz="4" w:space="0"/>
      </w:tblBorders>
      <w:tblCellMar>
        <w:top w:w="0" w:type="dxa"/>
        <w:left w:w="0" w:type="dxa"/>
        <w:bottom w:w="0" w:type="dxa"/>
        <w:right w:w="0" w:type="dxa"/>
      </w:tblCellMar>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94">
    <w:name w:val="List Table 6 Colorful - Accent 4"/>
    <w:qFormat/>
    <w:uiPriority w:val="99"/>
    <w:tblPr>
      <w:tblBorders>
        <w:top w:val="single" w:color="B2A1C6" w:themeColor="accent4" w:themeTint="9A" w:sz="4" w:space="0"/>
        <w:bottom w:val="single" w:color="B2A1C6" w:themeColor="accent4" w:themeTint="9A" w:sz="4" w:space="0"/>
      </w:tblBorders>
      <w:tblCellMar>
        <w:top w:w="0" w:type="dxa"/>
        <w:left w:w="0" w:type="dxa"/>
        <w:bottom w:w="0" w:type="dxa"/>
        <w:right w:w="0"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95">
    <w:name w:val="List Table 6 Colorful - Accent 5"/>
    <w:qFormat/>
    <w:uiPriority w:val="99"/>
    <w:tblPr>
      <w:tblBorders>
        <w:top w:val="single" w:color="92CCDC" w:themeColor="accent5" w:themeTint="9A" w:sz="4" w:space="0"/>
        <w:bottom w:val="single" w:color="92CCDC" w:themeColor="accent5" w:themeTint="9A" w:sz="4" w:space="0"/>
      </w:tblBorders>
      <w:tblCellMar>
        <w:top w:w="0" w:type="dxa"/>
        <w:left w:w="0" w:type="dxa"/>
        <w:bottom w:w="0" w:type="dxa"/>
        <w:right w:w="0" w:type="dxa"/>
      </w:tblCellMar>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96">
    <w:name w:val="List Table 6 Colorful - Accent 6"/>
    <w:qFormat/>
    <w:uiPriority w:val="99"/>
    <w:tblPr>
      <w:tblBorders>
        <w:top w:val="single" w:color="FAC090" w:themeColor="accent6" w:themeTint="98" w:sz="4" w:space="0"/>
        <w:bottom w:val="single" w:color="FAC090" w:themeColor="accent6" w:themeTint="98" w:sz="4" w:space="0"/>
      </w:tblBorders>
      <w:tblCellMar>
        <w:top w:w="0" w:type="dxa"/>
        <w:left w:w="0" w:type="dxa"/>
        <w:bottom w:w="0" w:type="dxa"/>
        <w:right w:w="0" w:type="dxa"/>
      </w:tblCellMar>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97">
    <w:name w:val="清单表 7 彩色1"/>
    <w:qFormat/>
    <w:uiPriority w:val="99"/>
    <w:tblPr>
      <w:tblBorders>
        <w:right w:val="single" w:color="7E7E7E" w:themeColor="text1" w:themeTint="80" w:sz="4" w:space="0"/>
      </w:tblBorders>
      <w:tblCellMar>
        <w:top w:w="0" w:type="dxa"/>
        <w:left w:w="0" w:type="dxa"/>
        <w:bottom w:w="0" w:type="dxa"/>
        <w:right w:w="0" w:type="dxa"/>
      </w:tblCellMar>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98">
    <w:name w:val="List Table 7 Colorful - Accent 1"/>
    <w:qFormat/>
    <w:uiPriority w:val="99"/>
    <w:tblPr>
      <w:tblBorders>
        <w:right w:val="single" w:color="4F81BD" w:themeColor="accent1" w:sz="4" w:space="0"/>
      </w:tblBorders>
      <w:tblCellMar>
        <w:top w:w="0" w:type="dxa"/>
        <w:left w:w="0" w:type="dxa"/>
        <w:bottom w:w="0" w:type="dxa"/>
        <w:right w:w="0" w:type="dxa"/>
      </w:tblCellMar>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99">
    <w:name w:val="List Table 7 Colorful - Accent 2"/>
    <w:qFormat/>
    <w:uiPriority w:val="99"/>
    <w:tblPr>
      <w:tblBorders>
        <w:right w:val="single" w:color="D99795" w:themeColor="accent2" w:themeTint="97" w:sz="4" w:space="0"/>
      </w:tblBorders>
      <w:tblCellMar>
        <w:top w:w="0" w:type="dxa"/>
        <w:left w:w="0" w:type="dxa"/>
        <w:bottom w:w="0" w:type="dxa"/>
        <w:right w:w="0" w:type="dxa"/>
      </w:tblCellMar>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200">
    <w:name w:val="List Table 7 Colorful - Accent 3"/>
    <w:qFormat/>
    <w:uiPriority w:val="99"/>
    <w:tblPr>
      <w:tblBorders>
        <w:right w:val="single" w:color="C3D69C" w:themeColor="accent3" w:themeTint="98" w:sz="4" w:space="0"/>
      </w:tblBorders>
      <w:tblCellMar>
        <w:top w:w="0" w:type="dxa"/>
        <w:left w:w="0" w:type="dxa"/>
        <w:bottom w:w="0" w:type="dxa"/>
        <w:right w:w="0" w:type="dxa"/>
      </w:tblCellMar>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201">
    <w:name w:val="List Table 7 Colorful - Accent 4"/>
    <w:qFormat/>
    <w:uiPriority w:val="99"/>
    <w:tblPr>
      <w:tblBorders>
        <w:right w:val="single" w:color="B2A1C6" w:themeColor="accent4" w:themeTint="9A" w:sz="4" w:space="0"/>
      </w:tblBorders>
      <w:tblCellMar>
        <w:top w:w="0" w:type="dxa"/>
        <w:left w:w="0" w:type="dxa"/>
        <w:bottom w:w="0" w:type="dxa"/>
        <w:right w:w="0" w:type="dxa"/>
      </w:tblCellMar>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202">
    <w:name w:val="List Table 7 Colorful - Accent 5"/>
    <w:qFormat/>
    <w:uiPriority w:val="99"/>
    <w:tblPr>
      <w:tblBorders>
        <w:right w:val="single" w:color="92CCDC" w:themeColor="accent5" w:themeTint="9A" w:sz="4" w:space="0"/>
      </w:tblBorders>
      <w:tblCellMar>
        <w:top w:w="0" w:type="dxa"/>
        <w:left w:w="0" w:type="dxa"/>
        <w:bottom w:w="0" w:type="dxa"/>
        <w:right w:w="0" w:type="dxa"/>
      </w:tblCellMar>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203">
    <w:name w:val="List Table 7 Colorful - Accent 6"/>
    <w:qFormat/>
    <w:uiPriority w:val="99"/>
    <w:tblPr>
      <w:tblBorders>
        <w:right w:val="single" w:color="FAC090" w:themeColor="accent6" w:themeTint="98" w:sz="4" w:space="0"/>
      </w:tblBorders>
      <w:tblCellMar>
        <w:top w:w="0" w:type="dxa"/>
        <w:left w:w="0" w:type="dxa"/>
        <w:bottom w:w="0" w:type="dxa"/>
        <w:right w:w="0" w:type="dxa"/>
      </w:tblCellMar>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204">
    <w:name w:val="Lined - Accent"/>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205">
    <w:name w:val="Lined - Accent 1"/>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206">
    <w:name w:val="Lined - Accent 2"/>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207">
    <w:name w:val="Lined - Accent 3"/>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208">
    <w:name w:val="Lined - Accent 4"/>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209">
    <w:name w:val="Lined - Accent 5"/>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210">
    <w:name w:val="Lined - Accent 6"/>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211">
    <w:name w:val="Bordered &amp; Lined - Accent"/>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top w:w="0" w:type="dxa"/>
        <w:left w:w="0" w:type="dxa"/>
        <w:bottom w:w="0" w:type="dxa"/>
        <w:right w:w="0"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212">
    <w:name w:val="Bordered &amp; Lined - Accent 1"/>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CellMar>
        <w:top w:w="0" w:type="dxa"/>
        <w:left w:w="0" w:type="dxa"/>
        <w:bottom w:w="0" w:type="dxa"/>
        <w:right w:w="0"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213">
    <w:name w:val="Bordered &amp; Lined - Accent 2"/>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CellMar>
        <w:top w:w="0" w:type="dxa"/>
        <w:left w:w="0" w:type="dxa"/>
        <w:bottom w:w="0" w:type="dxa"/>
        <w:right w:w="0"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214">
    <w:name w:val="Bordered &amp; Lined - Accent 3"/>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CellMar>
        <w:top w:w="0" w:type="dxa"/>
        <w:left w:w="0" w:type="dxa"/>
        <w:bottom w:w="0" w:type="dxa"/>
        <w:right w:w="0"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215">
    <w:name w:val="Bordered &amp; Lined - Accent 4"/>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top w:w="0" w:type="dxa"/>
        <w:left w:w="0" w:type="dxa"/>
        <w:bottom w:w="0" w:type="dxa"/>
        <w:right w:w="0"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216">
    <w:name w:val="Bordered &amp; Lined - Accent 5"/>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top w:w="0" w:type="dxa"/>
        <w:left w:w="0" w:type="dxa"/>
        <w:bottom w:w="0" w:type="dxa"/>
        <w:right w:w="0"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217">
    <w:name w:val="Bordered &amp; Lined - Accent 6"/>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top w:w="0" w:type="dxa"/>
        <w:left w:w="0" w:type="dxa"/>
        <w:bottom w:w="0" w:type="dxa"/>
        <w:right w:w="0"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218">
    <w:name w:val="Bordered"/>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top w:w="0" w:type="dxa"/>
        <w:left w:w="0" w:type="dxa"/>
        <w:bottom w:w="0" w:type="dxa"/>
        <w:right w:w="0" w:type="dxa"/>
      </w:tblCellMar>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219">
    <w:name w:val="Bordered - Accent 1"/>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220">
    <w:name w:val="Bordered - Accent 2"/>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221">
    <w:name w:val="Bordered - Accent 3"/>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222">
    <w:name w:val="Bordered - Accent 4"/>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223">
    <w:name w:val="Bordered - Accent 5"/>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224">
    <w:name w:val="Bordered - Accent 6"/>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225">
    <w:name w:val="脚注文本 字符"/>
    <w:link w:val="26"/>
    <w:qFormat/>
    <w:uiPriority w:val="99"/>
    <w:rPr>
      <w:sz w:val="18"/>
    </w:rPr>
  </w:style>
  <w:style w:type="character" w:customStyle="1" w:styleId="226">
    <w:name w:val="尾注文本 字符"/>
    <w:link w:val="20"/>
    <w:qFormat/>
    <w:uiPriority w:val="99"/>
    <w:rPr>
      <w:sz w:val="20"/>
    </w:rPr>
  </w:style>
  <w:style w:type="paragraph" w:customStyle="1" w:styleId="227">
    <w:name w:val="TOC 标题1"/>
    <w:unhideWhenUsed/>
    <w:qFormat/>
    <w:uiPriority w:val="39"/>
    <w:rPr>
      <w:rFonts w:hint="default" w:ascii="Times New Roman" w:hAnsi="Times New Roman" w:eastAsia="宋体" w:cs="Times New Roman"/>
      <w:lang w:val="en-US" w:eastAsia="zh-CN" w:bidi="ar-SA"/>
    </w:rPr>
  </w:style>
  <w:style w:type="paragraph" w:customStyle="1" w:styleId="228">
    <w:name w:val="标题 11"/>
    <w:basedOn w:val="1"/>
    <w:next w:val="1"/>
    <w:qFormat/>
    <w:uiPriority w:val="0"/>
    <w:pPr>
      <w:keepNext/>
      <w:outlineLvl w:val="0"/>
    </w:pPr>
    <w:rPr>
      <w:rFonts w:ascii="楷体_GB2312" w:eastAsia="楷体_GB2312"/>
      <w:sz w:val="28"/>
      <w:szCs w:val="20"/>
    </w:rPr>
  </w:style>
  <w:style w:type="paragraph" w:customStyle="1" w:styleId="229">
    <w:name w:val="标题 21"/>
    <w:basedOn w:val="1"/>
    <w:next w:val="1"/>
    <w:qFormat/>
    <w:uiPriority w:val="0"/>
    <w:pPr>
      <w:keepNext/>
      <w:keepLines/>
      <w:spacing w:before="260" w:after="260" w:line="416" w:lineRule="auto"/>
      <w:jc w:val="center"/>
      <w:outlineLvl w:val="1"/>
    </w:pPr>
    <w:rPr>
      <w:rFonts w:ascii="Arial" w:hAnsi="Arial" w:eastAsia="幼圆"/>
      <w:b/>
      <w:sz w:val="44"/>
      <w:szCs w:val="20"/>
    </w:rPr>
  </w:style>
  <w:style w:type="paragraph" w:customStyle="1" w:styleId="230">
    <w:name w:val="正文缩进1"/>
    <w:basedOn w:val="1"/>
    <w:next w:val="1"/>
    <w:qFormat/>
    <w:uiPriority w:val="0"/>
    <w:pPr>
      <w:ind w:firstLine="420"/>
    </w:pPr>
    <w:rPr>
      <w:szCs w:val="21"/>
    </w:rPr>
  </w:style>
  <w:style w:type="paragraph" w:customStyle="1" w:styleId="231">
    <w:name w:val="标题 41"/>
    <w:basedOn w:val="1"/>
    <w:next w:val="1"/>
    <w:qFormat/>
    <w:uiPriority w:val="0"/>
    <w:pPr>
      <w:keepNext/>
      <w:keepLines/>
      <w:spacing w:before="120" w:after="120"/>
      <w:outlineLvl w:val="3"/>
    </w:pPr>
    <w:rPr>
      <w:rFonts w:ascii="Arial" w:hAnsi="Arial" w:eastAsia="黑体"/>
      <w:b/>
      <w:sz w:val="28"/>
    </w:rPr>
  </w:style>
  <w:style w:type="character" w:customStyle="1" w:styleId="232">
    <w:name w:val="默认段落字体1"/>
    <w:semiHidden/>
    <w:qFormat/>
    <w:uiPriority w:val="0"/>
  </w:style>
  <w:style w:type="table" w:customStyle="1" w:styleId="233">
    <w:name w:val="普通表格1"/>
    <w:semiHidden/>
    <w:qFormat/>
    <w:uiPriority w:val="0"/>
    <w:tblPr>
      <w:tblCellMar>
        <w:top w:w="0" w:type="dxa"/>
        <w:left w:w="0" w:type="dxa"/>
        <w:bottom w:w="0" w:type="dxa"/>
        <w:right w:w="0" w:type="dxa"/>
      </w:tblCellMar>
    </w:tblPr>
  </w:style>
  <w:style w:type="paragraph" w:customStyle="1" w:styleId="234">
    <w:name w:val="批注文字1"/>
    <w:basedOn w:val="1"/>
    <w:qFormat/>
    <w:uiPriority w:val="0"/>
    <w:pPr>
      <w:jc w:val="left"/>
    </w:pPr>
  </w:style>
  <w:style w:type="paragraph" w:customStyle="1" w:styleId="235">
    <w:name w:val="正文文本1"/>
    <w:basedOn w:val="1"/>
    <w:qFormat/>
    <w:uiPriority w:val="0"/>
    <w:rPr>
      <w:rFonts w:ascii="楷体_GB2312" w:hAnsi="Arial" w:eastAsia="楷体_GB2312"/>
      <w:sz w:val="28"/>
      <w:szCs w:val="20"/>
    </w:rPr>
  </w:style>
  <w:style w:type="paragraph" w:customStyle="1" w:styleId="236">
    <w:name w:val="正文文本缩进1"/>
    <w:basedOn w:val="1"/>
    <w:qFormat/>
    <w:uiPriority w:val="0"/>
    <w:pPr>
      <w:ind w:firstLine="645"/>
    </w:pPr>
    <w:rPr>
      <w:rFonts w:ascii="楷体_GB2312" w:eastAsia="楷体_GB2312"/>
      <w:sz w:val="32"/>
      <w:szCs w:val="20"/>
    </w:rPr>
  </w:style>
  <w:style w:type="paragraph" w:customStyle="1" w:styleId="237">
    <w:name w:val="纯文本11"/>
    <w:basedOn w:val="1"/>
    <w:qFormat/>
    <w:uiPriority w:val="0"/>
    <w:rPr>
      <w:rFonts w:ascii="宋体" w:hAnsi="Courier New"/>
      <w:szCs w:val="21"/>
      <w:lang w:val="zh-CN"/>
    </w:rPr>
  </w:style>
  <w:style w:type="paragraph" w:customStyle="1" w:styleId="238">
    <w:name w:val="批注框文本1"/>
    <w:basedOn w:val="1"/>
    <w:link w:val="239"/>
    <w:qFormat/>
    <w:uiPriority w:val="0"/>
    <w:pPr>
      <w:spacing w:line="240" w:lineRule="auto"/>
    </w:pPr>
    <w:rPr>
      <w:sz w:val="18"/>
      <w:szCs w:val="18"/>
    </w:rPr>
  </w:style>
  <w:style w:type="character" w:customStyle="1" w:styleId="239">
    <w:name w:val="批注框文本 Char"/>
    <w:link w:val="238"/>
    <w:qFormat/>
    <w:uiPriority w:val="0"/>
    <w:rPr>
      <w:sz w:val="18"/>
      <w:szCs w:val="18"/>
    </w:rPr>
  </w:style>
  <w:style w:type="paragraph" w:customStyle="1" w:styleId="240">
    <w:name w:val="页脚1"/>
    <w:basedOn w:val="1"/>
    <w:qFormat/>
    <w:uiPriority w:val="0"/>
    <w:pPr>
      <w:tabs>
        <w:tab w:val="center" w:pos="4153"/>
        <w:tab w:val="right" w:pos="8306"/>
      </w:tabs>
      <w:jc w:val="left"/>
    </w:pPr>
    <w:rPr>
      <w:sz w:val="18"/>
      <w:szCs w:val="20"/>
    </w:rPr>
  </w:style>
  <w:style w:type="paragraph" w:customStyle="1" w:styleId="241">
    <w:name w:val="页眉1"/>
    <w:basedOn w:val="1"/>
    <w:qFormat/>
    <w:uiPriority w:val="0"/>
    <w:pPr>
      <w:pBdr>
        <w:bottom w:val="single" w:color="000000" w:sz="6" w:space="1"/>
      </w:pBdr>
      <w:tabs>
        <w:tab w:val="center" w:pos="4153"/>
        <w:tab w:val="right" w:pos="8306"/>
      </w:tabs>
      <w:jc w:val="center"/>
    </w:pPr>
    <w:rPr>
      <w:sz w:val="18"/>
      <w:szCs w:val="18"/>
    </w:rPr>
  </w:style>
  <w:style w:type="paragraph" w:customStyle="1" w:styleId="242">
    <w:name w:val="副标题1"/>
    <w:basedOn w:val="1"/>
    <w:next w:val="1"/>
    <w:qFormat/>
    <w:uiPriority w:val="0"/>
    <w:pPr>
      <w:spacing w:before="240" w:after="60" w:line="312" w:lineRule="auto"/>
      <w:jc w:val="center"/>
      <w:outlineLvl w:val="1"/>
    </w:pPr>
    <w:rPr>
      <w:rFonts w:ascii="Cambria" w:hAnsi="Cambria"/>
      <w:b/>
      <w:sz w:val="32"/>
    </w:rPr>
  </w:style>
  <w:style w:type="paragraph" w:customStyle="1" w:styleId="243">
    <w:name w:val="普通(网站)1"/>
    <w:basedOn w:val="1"/>
    <w:qFormat/>
    <w:uiPriority w:val="0"/>
    <w:pPr>
      <w:widowControl/>
      <w:spacing w:before="100" w:beforeAutospacing="1" w:after="100" w:afterAutospacing="1"/>
      <w:jc w:val="left"/>
    </w:pPr>
    <w:rPr>
      <w:rFonts w:ascii="宋体" w:hAnsi="宋体" w:cs="宋体"/>
      <w:sz w:val="24"/>
    </w:rPr>
  </w:style>
  <w:style w:type="paragraph" w:customStyle="1" w:styleId="244">
    <w:name w:val="正文首行缩进1"/>
    <w:basedOn w:val="235"/>
    <w:qFormat/>
    <w:uiPriority w:val="0"/>
    <w:pPr>
      <w:spacing w:after="120"/>
      <w:ind w:firstLine="420"/>
    </w:pPr>
    <w:rPr>
      <w:szCs w:val="24"/>
    </w:rPr>
  </w:style>
  <w:style w:type="paragraph" w:customStyle="1" w:styleId="245">
    <w:name w:val="正文首行缩进 21"/>
    <w:basedOn w:val="236"/>
    <w:semiHidden/>
    <w:qFormat/>
    <w:uiPriority w:val="0"/>
    <w:pPr>
      <w:ind w:firstLine="420"/>
    </w:pPr>
  </w:style>
  <w:style w:type="table" w:customStyle="1" w:styleId="246">
    <w:name w:val="网格型1"/>
    <w:basedOn w:val="233"/>
    <w:qFormat/>
    <w:uiPriority w:val="0"/>
    <w:pPr>
      <w:widowControl w:val="0"/>
      <w:jc w:val="both"/>
    </w:pPr>
  </w:style>
  <w:style w:type="character" w:customStyle="1" w:styleId="247">
    <w:name w:val="页码1"/>
    <w:qFormat/>
    <w:uiPriority w:val="0"/>
    <w:rPr>
      <w:rFonts w:ascii="Times New Roman" w:hAnsi="Times New Roman" w:eastAsia="宋体"/>
    </w:rPr>
  </w:style>
  <w:style w:type="paragraph" w:customStyle="1" w:styleId="248">
    <w:name w:val="段"/>
    <w:next w:val="249"/>
    <w:qFormat/>
    <w:uiPriority w:val="0"/>
    <w:pPr>
      <w:ind w:firstLine="200"/>
      <w:jc w:val="both"/>
    </w:pPr>
    <w:rPr>
      <w:rFonts w:hint="default" w:ascii="宋体" w:hAnsi="Times New Roman" w:eastAsia="宋体" w:cs="Times New Roman"/>
      <w:sz w:val="21"/>
      <w:lang w:val="en-US" w:eastAsia="zh-CN" w:bidi="ar-SA"/>
    </w:rPr>
  </w:style>
  <w:style w:type="paragraph" w:customStyle="1" w:styleId="249">
    <w:name w:val="正文11"/>
    <w:next w:val="248"/>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250">
    <w:name w:val="Default"/>
    <w:basedOn w:val="1"/>
    <w:qFormat/>
    <w:uiPriority w:val="0"/>
    <w:pPr>
      <w:jc w:val="left"/>
    </w:pPr>
    <w:rPr>
      <w:rFonts w:ascii="仿宋" w:hAnsi="仿宋" w:eastAsia="仿宋" w:cs="宋体"/>
      <w:color w:val="000000"/>
      <w:sz w:val="24"/>
    </w:rPr>
  </w:style>
  <w:style w:type="paragraph" w:customStyle="1" w:styleId="251">
    <w:name w:val="TOC 71"/>
    <w:basedOn w:val="1"/>
    <w:next w:val="1"/>
    <w:qFormat/>
    <w:uiPriority w:val="0"/>
    <w:pPr>
      <w:widowControl/>
      <w:spacing w:before="100" w:beforeAutospacing="1" w:after="100" w:afterAutospacing="1"/>
      <w:ind w:left="2550"/>
    </w:pPr>
    <w:rPr>
      <w:szCs w:val="21"/>
    </w:rPr>
  </w:style>
  <w:style w:type="paragraph" w:customStyle="1" w:styleId="252">
    <w:name w:val="普通正文"/>
    <w:basedOn w:val="1"/>
    <w:qFormat/>
    <w:uiPriority w:val="0"/>
    <w:pPr>
      <w:spacing w:before="120" w:after="120"/>
      <w:ind w:firstLine="480"/>
      <w:jc w:val="left"/>
    </w:pPr>
    <w:rPr>
      <w:rFonts w:ascii="Arial" w:hAnsi="Arial"/>
      <w:sz w:val="24"/>
    </w:rPr>
  </w:style>
  <w:style w:type="paragraph" w:customStyle="1" w:styleId="253">
    <w:name w:val="WPSOffice手动目录 1"/>
    <w:qFormat/>
    <w:uiPriority w:val="0"/>
    <w:rPr>
      <w:rFonts w:hint="default" w:ascii="Times New Roman" w:hAnsi="Times New Roman" w:eastAsia="宋体" w:cs="Times New Roman"/>
      <w:lang w:val="en-US" w:eastAsia="zh-CN" w:bidi="ar-SA"/>
    </w:rPr>
  </w:style>
  <w:style w:type="paragraph" w:customStyle="1" w:styleId="254">
    <w:name w:val="List Paragraph1"/>
    <w:basedOn w:val="1"/>
    <w:qFormat/>
    <w:uiPriority w:val="0"/>
    <w:pPr>
      <w:ind w:firstLine="420"/>
    </w:pPr>
    <w:rPr>
      <w:szCs w:val="22"/>
    </w:rPr>
  </w:style>
  <w:style w:type="paragraph" w:customStyle="1" w:styleId="255">
    <w:name w:val="_Style 21"/>
    <w:basedOn w:val="1"/>
    <w:next w:val="254"/>
    <w:qFormat/>
    <w:uiPriority w:val="0"/>
    <w:pPr>
      <w:ind w:left="890" w:firstLine="420"/>
      <w:jc w:val="left"/>
    </w:pPr>
    <w:rPr>
      <w:rFonts w:ascii="Calibri" w:hAnsi="Calibri"/>
      <w:szCs w:val="22"/>
    </w:rPr>
  </w:style>
  <w:style w:type="paragraph" w:customStyle="1" w:styleId="256">
    <w:name w:val="列出段落1"/>
    <w:basedOn w:val="1"/>
    <w:qFormat/>
    <w:uiPriority w:val="0"/>
    <w:pPr>
      <w:ind w:firstLine="420"/>
    </w:pPr>
    <w:rPr>
      <w:rFonts w:ascii="Calibri" w:hAnsi="Calibri"/>
      <w:szCs w:val="22"/>
    </w:rPr>
  </w:style>
  <w:style w:type="paragraph" w:customStyle="1" w:styleId="257">
    <w:name w:val="正文空2格  1."/>
    <w:basedOn w:val="1"/>
    <w:qFormat/>
    <w:uiPriority w:val="0"/>
    <w:pPr>
      <w:ind w:firstLine="480"/>
    </w:pPr>
    <w:rPr>
      <w:rFonts w:cs="宋体"/>
      <w:sz w:val="28"/>
      <w:szCs w:val="20"/>
    </w:rPr>
  </w:style>
  <w:style w:type="paragraph" w:customStyle="1" w:styleId="258">
    <w:name w:val="_Style 1"/>
    <w:qFormat/>
    <w:uiPriority w:val="0"/>
    <w:rPr>
      <w:rFonts w:hint="default" w:ascii="Tahoma" w:hAnsi="Tahoma" w:eastAsia="宋体" w:cs="Times New Roman"/>
      <w:sz w:val="22"/>
      <w:szCs w:val="22"/>
      <w:lang w:val="en-US" w:eastAsia="zh-CN" w:bidi="ar-SA"/>
    </w:rPr>
  </w:style>
  <w:style w:type="paragraph" w:customStyle="1" w:styleId="259">
    <w:name w:val="注释标题1"/>
    <w:basedOn w:val="1"/>
    <w:next w:val="1"/>
    <w:qFormat/>
    <w:uiPriority w:val="0"/>
    <w:rPr>
      <w:rFonts w:ascii="Verdana" w:hAnsi="Verdana"/>
      <w:szCs w:val="20"/>
    </w:rPr>
  </w:style>
  <w:style w:type="paragraph" w:customStyle="1" w:styleId="260">
    <w:name w:val="纯文本1"/>
    <w:basedOn w:val="1"/>
    <w:qFormat/>
    <w:uiPriority w:val="0"/>
    <w:rPr>
      <w:rFonts w:ascii="宋体" w:hAnsi="Courier New" w:eastAsia="楷体_GB2312" w:cs="宋体"/>
      <w:sz w:val="28"/>
      <w:szCs w:val="21"/>
    </w:rPr>
  </w:style>
  <w:style w:type="paragraph" w:customStyle="1" w:styleId="261">
    <w:name w:val="正文1"/>
    <w:qFormat/>
    <w:uiPriority w:val="0"/>
    <w:pPr>
      <w:spacing w:before="120" w:after="120" w:line="180" w:lineRule="auto"/>
      <w:ind w:firstLine="200"/>
      <w:contextualSpacing/>
    </w:pPr>
    <w:rPr>
      <w:rFonts w:hint="default" w:ascii="Times New Roman" w:hAnsi="Times New Roman" w:eastAsia="Adobe 仿宋 Std R" w:cs="Times New Roman"/>
      <w:sz w:val="21"/>
      <w:szCs w:val="21"/>
      <w:lang w:val="en-US" w:eastAsia="zh-CN" w:bidi="ar-SA"/>
    </w:rPr>
  </w:style>
  <w:style w:type="paragraph" w:customStyle="1" w:styleId="262">
    <w:name w:val="目录 11"/>
    <w:basedOn w:val="249"/>
    <w:next w:val="249"/>
    <w:qFormat/>
    <w:uiPriority w:val="0"/>
    <w:pPr>
      <w:widowControl/>
      <w:tabs>
        <w:tab w:val="left" w:pos="142"/>
        <w:tab w:val="right" w:leader="dot" w:pos="9617"/>
      </w:tabs>
      <w:spacing w:after="100" w:line="276" w:lineRule="auto"/>
      <w:jc w:val="left"/>
    </w:pPr>
    <w:rPr>
      <w:rFonts w:eastAsia="黑体"/>
      <w:sz w:val="24"/>
      <w:szCs w:val="22"/>
    </w:rPr>
  </w:style>
  <w:style w:type="paragraph" w:customStyle="1" w:styleId="263">
    <w:name w:val="Char"/>
    <w:basedOn w:val="1"/>
    <w:qFormat/>
    <w:uiPriority w:val="0"/>
    <w:pPr>
      <w:tabs>
        <w:tab w:val="left" w:pos="360"/>
      </w:tabs>
    </w:pPr>
    <w:rPr>
      <w:sz w:val="24"/>
    </w:rPr>
  </w:style>
  <w:style w:type="character" w:customStyle="1" w:styleId="264">
    <w:name w:val="font21"/>
    <w:qFormat/>
    <w:uiPriority w:val="0"/>
    <w:rPr>
      <w:rFonts w:hint="eastAsia" w:ascii="宋体" w:hAnsi="宋体" w:eastAsia="宋体" w:cs="宋体"/>
      <w:color w:val="FF0000"/>
      <w:sz w:val="22"/>
      <w:szCs w:val="22"/>
      <w:u w:val="none"/>
    </w:rPr>
  </w:style>
  <w:style w:type="paragraph" w:customStyle="1" w:styleId="265">
    <w:name w:val="列出段落"/>
    <w:basedOn w:val="1"/>
    <w:qFormat/>
    <w:uiPriority w:val="34"/>
    <w:pPr>
      <w:ind w:firstLine="420"/>
    </w:pPr>
  </w:style>
  <w:style w:type="table" w:customStyle="1" w:styleId="266">
    <w:name w:val="Table Normal"/>
    <w:unhideWhenUsed/>
    <w:qFormat/>
    <w:uiPriority w:val="0"/>
    <w:tblPr>
      <w:tblCellMar>
        <w:top w:w="0" w:type="dxa"/>
        <w:left w:w="0" w:type="dxa"/>
        <w:bottom w:w="0" w:type="dxa"/>
        <w:right w:w="0" w:type="dxa"/>
      </w:tblCellMar>
    </w:tblPr>
  </w:style>
  <w:style w:type="paragraph" w:customStyle="1" w:styleId="267">
    <w:name w:val="Table Text"/>
    <w:basedOn w:val="1"/>
    <w:semiHidden/>
    <w:qFormat/>
    <w:uiPriority w:val="0"/>
    <w:rPr>
      <w:rFonts w:ascii="Arial" w:hAnsi="Arial" w:eastAsia="Arial" w:cs="Arial"/>
      <w:szCs w:val="21"/>
      <w:lang w:eastAsia="en-US"/>
    </w:rPr>
  </w:style>
  <w:style w:type="paragraph" w:customStyle="1" w:styleId="268">
    <w:name w:val="DAS正文"/>
    <w:basedOn w:val="1"/>
    <w:qFormat/>
    <w:uiPriority w:val="0"/>
    <w:pPr>
      <w:ind w:right="181" w:firstLine="480"/>
    </w:pPr>
    <w:rPr>
      <w:rFonts w:ascii="Verdana" w:hAnsi="Verdana"/>
    </w:rPr>
  </w:style>
  <w:style w:type="character" w:customStyle="1" w:styleId="269">
    <w:name w:val="apple-style-span"/>
    <w:basedOn w:val="38"/>
    <w:qFormat/>
    <w:uiPriority w:val="0"/>
  </w:style>
  <w:style w:type="character" w:customStyle="1" w:styleId="270">
    <w:name w:val="font41"/>
    <w:basedOn w:val="38"/>
    <w:qFormat/>
    <w:uiPriority w:val="0"/>
    <w:rPr>
      <w:rFonts w:hint="default" w:ascii="方正黑体_GBK" w:hAnsi="方正黑体_GBK" w:eastAsia="方正黑体_GBK" w:cs="方正黑体_GBK"/>
      <w:color w:val="000000"/>
      <w:sz w:val="24"/>
      <w:szCs w:val="24"/>
      <w:u w:val="none"/>
    </w:rPr>
  </w:style>
  <w:style w:type="character" w:customStyle="1" w:styleId="271">
    <w:name w:val="font71"/>
    <w:basedOn w:val="38"/>
    <w:qFormat/>
    <w:uiPriority w:val="0"/>
    <w:rPr>
      <w:rFonts w:hint="default" w:ascii="方正黑体_GBK" w:hAnsi="方正黑体_GBK" w:eastAsia="方正黑体_GBK" w:cs="方正黑体_GBK"/>
      <w:color w:val="000000"/>
      <w:sz w:val="22"/>
      <w:szCs w:val="22"/>
      <w:u w:val="none"/>
    </w:rPr>
  </w:style>
  <w:style w:type="character" w:customStyle="1" w:styleId="272">
    <w:name w:val="font51"/>
    <w:basedOn w:val="38"/>
    <w:qFormat/>
    <w:uiPriority w:val="0"/>
    <w:rPr>
      <w:rFonts w:hint="eastAsia" w:ascii="宋体" w:hAnsi="宋体" w:eastAsia="宋体" w:cs="宋体"/>
      <w:color w:val="000000"/>
      <w:sz w:val="24"/>
      <w:szCs w:val="24"/>
      <w:u w:val="none"/>
    </w:rPr>
  </w:style>
  <w:style w:type="character" w:customStyle="1" w:styleId="273">
    <w:name w:val="font81"/>
    <w:basedOn w:val="38"/>
    <w:qFormat/>
    <w:uiPriority w:val="0"/>
    <w:rPr>
      <w:rFonts w:hint="eastAsia" w:ascii="宋体" w:hAnsi="宋体" w:eastAsia="宋体" w:cs="宋体"/>
      <w:color w:val="000000"/>
      <w:sz w:val="20"/>
      <w:szCs w:val="20"/>
      <w:u w:val="none"/>
    </w:rPr>
  </w:style>
  <w:style w:type="character" w:customStyle="1" w:styleId="274">
    <w:name w:val="font61"/>
    <w:basedOn w:val="38"/>
    <w:qFormat/>
    <w:uiPriority w:val="0"/>
    <w:rPr>
      <w:rFonts w:hint="eastAsia" w:ascii="宋体" w:hAnsi="宋体" w:eastAsia="宋体" w:cs="宋体"/>
      <w:color w:val="000000"/>
      <w:sz w:val="20"/>
      <w:szCs w:val="20"/>
      <w:u w:val="none"/>
    </w:rPr>
  </w:style>
  <w:style w:type="character" w:customStyle="1" w:styleId="275">
    <w:name w:val="font01"/>
    <w:basedOn w:val="38"/>
    <w:qFormat/>
    <w:uiPriority w:val="0"/>
    <w:rPr>
      <w:rFonts w:hint="eastAsia" w:ascii="宋体" w:hAnsi="宋体" w:eastAsia="宋体" w:cs="宋体"/>
      <w:color w:val="000000"/>
      <w:sz w:val="22"/>
      <w:szCs w:val="22"/>
      <w:u w:val="none"/>
    </w:rPr>
  </w:style>
  <w:style w:type="paragraph" w:customStyle="1" w:styleId="276">
    <w:name w:val="文档结构图1"/>
    <w:basedOn w:val="1"/>
    <w:qFormat/>
    <w:uiPriority w:val="0"/>
    <w:pPr>
      <w:shd w:val="clear" w:color="auto" w:fill="000080"/>
    </w:pPr>
  </w:style>
  <w:style w:type="character" w:customStyle="1" w:styleId="277">
    <w:name w:val="正文缩进 字符"/>
    <w:link w:val="12"/>
    <w:qFormat/>
    <w:uiPriority w:val="0"/>
    <w:rPr>
      <w:sz w:val="21"/>
    </w:rPr>
  </w:style>
  <w:style w:type="character" w:customStyle="1" w:styleId="278">
    <w:name w:val="HTML 预设格式 字符"/>
    <w:basedOn w:val="38"/>
    <w:link w:val="32"/>
    <w:semiHidden/>
    <w:qFormat/>
    <w:uiPriority w:val="99"/>
    <w:rPr>
      <w:rFonts w:ascii="Courier New" w:hAnsi="Courier New" w:cs="Courier New"/>
    </w:rPr>
  </w:style>
  <w:style w:type="paragraph" w:customStyle="1" w:styleId="279">
    <w:name w:val="p16"/>
    <w:basedOn w:val="1"/>
    <w:qFormat/>
    <w:uiPriority w:val="0"/>
    <w:pPr>
      <w:widowControl/>
      <w:jc w:val="left"/>
    </w:pPr>
    <w:rPr>
      <w:sz w:val="24"/>
      <w:szCs w:val="24"/>
    </w:rPr>
  </w:style>
  <w:style w:type="paragraph" w:customStyle="1" w:styleId="280">
    <w:name w:val="null3"/>
    <w:qFormat/>
    <w:uiPriority w:val="0"/>
    <w:rPr>
      <w:rFonts w:hint="default" w:asciiTheme="minorHAnsi" w:hAnsiTheme="minorHAnsi" w:eastAsiaTheme="minorEastAsia" w:cstheme="minorBidi"/>
      <w:lang w:val="en-US" w:eastAsia="zh-Hans" w:bidi="ar-SA"/>
    </w:rPr>
  </w:style>
  <w:style w:type="character" w:customStyle="1" w:styleId="281">
    <w:name w:val="强调1"/>
    <w:basedOn w:val="282"/>
    <w:link w:val="1"/>
    <w:qFormat/>
    <w:uiPriority w:val="20"/>
    <w:rPr>
      <w:rFonts w:ascii="Times New Roman" w:hAnsi="Times New Roman" w:eastAsia="宋体" w:cs="Times New Roman"/>
      <w:sz w:val="21"/>
      <w:szCs w:val="24"/>
      <w:lang w:val="en-US" w:eastAsia="zh-CN" w:bidi="ar-SA"/>
    </w:rPr>
  </w:style>
  <w:style w:type="character" w:customStyle="1" w:styleId="282">
    <w:name w:val="默认段落字体11"/>
    <w:link w:val="1"/>
    <w:semiHidden/>
    <w:qFormat/>
    <w:uiPriority w:val="0"/>
  </w:style>
  <w:style w:type="table" w:customStyle="1" w:styleId="283">
    <w:name w:val="table"/>
    <w:basedOn w:val="36"/>
    <w:qFormat/>
    <w:uiPriority w:val="0"/>
  </w:style>
  <w:style w:type="paragraph" w:customStyle="1" w:styleId="284">
    <w:name w:val="列表段落2"/>
    <w:basedOn w:val="1"/>
    <w:qFormat/>
    <w:uiPriority w:val="34"/>
    <w:pPr>
      <w:ind w:firstLine="420"/>
    </w:pPr>
    <w:rPr>
      <w:rFonts w:ascii="Calibri" w:hAnsi="Calibri"/>
      <w:szCs w:val="22"/>
    </w:rPr>
  </w:style>
  <w:style w:type="paragraph" w:customStyle="1" w:styleId="285">
    <w:name w:val="二级目录"/>
    <w:next w:val="1"/>
    <w:qFormat/>
    <w:uiPriority w:val="0"/>
    <w:pPr>
      <w:tabs>
        <w:tab w:val="left" w:pos="720"/>
      </w:tabs>
      <w:ind w:left="567" w:hanging="567"/>
      <w:outlineLvl w:val="1"/>
    </w:pPr>
    <w:rPr>
      <w:rFonts w:hint="default" w:ascii="Times New Roman" w:hAnsi="Times New Roman" w:eastAsia="Times New Roman" w:cs="Times New Roman"/>
      <w:b/>
      <w:sz w:val="30"/>
      <w:szCs w:val="28"/>
      <w:lang w:val="en-US" w:eastAsia="zh-CN" w:bidi="ar-SA"/>
    </w:rPr>
  </w:style>
  <w:style w:type="paragraph" w:customStyle="1" w:styleId="286">
    <w:name w:val="表格文字"/>
    <w:basedOn w:val="1"/>
    <w:next w:val="15"/>
    <w:qFormat/>
    <w:uiPriority w:val="0"/>
    <w:pPr>
      <w:spacing w:line="420" w:lineRule="atLeast"/>
      <w:jc w:val="left"/>
    </w:pPr>
    <w:rPr>
      <w:rFonts w:ascii="Times New Roman" w:hAnsi="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819d2dd2-3659-45bf-a795-3b4b7d61c944</errorID>
      <errorWord>（</errorWord>
      <group>L1_Punc</group>
      <groupName>标点问题</groupName>
      <ability>L2_Punc_CN</ability>
      <abilityName>标点符号问题</abilityName>
      <candidateList/>
      <explain>同一形式括号套用。</explain>
      <paraID>79037150</paraID>
      <start>37</start>
      <end>38</end>
      <status>unmodified</status>
      <modifiedWord/>
      <trackRevisions>false</trackRevisions>
    </reviewItem>
    <reviewItem>
      <errorID>a778462c-f9a3-4719-ae52-fbe88b13db87</errorID>
      <errorWord>）</errorWord>
      <group>L1_Punc</group>
      <groupName>标点问题</groupName>
      <ability>L2_Punc_CN</ability>
      <abilityName>标点符号问题</abilityName>
      <candidateList/>
      <explain>同一形式括号套用。</explain>
      <paraID>79037150</paraID>
      <start>44</start>
      <end>45</end>
      <status>unmodified</status>
      <modifiedWord/>
      <trackRevisions>false</trackRevisions>
    </reviewItem>
    <reviewItem>
      <errorID>bbbf2728-43ff-4bff-ac6b-d9fcbd6d8863</errorID>
      <errorWord>（</errorWord>
      <group>L1_Punc</group>
      <groupName>标点问题</groupName>
      <ability>L2_Punc_CN</ability>
      <abilityName>标点符号问题</abilityName>
      <candidateList/>
      <explain>同一形式括号套用。</explain>
      <paraID>79037150</paraID>
      <start>52</start>
      <end>53</end>
      <status>unmodified</status>
      <modifiedWord/>
      <trackRevisions>false</trackRevisions>
    </reviewItem>
    <reviewItem>
      <errorID>19f76bf5-4964-4741-bee6-9cb25ad0962c</errorID>
      <errorWord>）</errorWord>
      <group>L1_Punc</group>
      <groupName>标点问题</groupName>
      <ability>L2_Punc_CN</ability>
      <abilityName>标点符号问题</abilityName>
      <candidateList/>
      <explain>同一形式括号套用。</explain>
      <paraID>79037150</paraID>
      <start>63</start>
      <end>64</end>
      <status>unmodified</status>
      <modifiedWord/>
      <trackRevisions>false</trackRevisions>
    </reviewItem>
    <reviewItem>
      <errorID>db99a22a-bd8c-457f-bf13-ec154188515d</errorID>
      <errorWord>（</errorWord>
      <group>L1_Punc</group>
      <groupName>标点问题</groupName>
      <ability>L2_Punc_CN</ability>
      <abilityName>标点符号问题</abilityName>
      <candidateList/>
      <explain>同一形式括号套用。</explain>
      <paraID>642D21EE</paraID>
      <start>37</start>
      <end>38</end>
      <status>unmodified</status>
      <modifiedWord/>
      <trackRevisions>false</trackRevisions>
    </reviewItem>
    <reviewItem>
      <errorID>d4761ee4-5735-4b83-820e-53baad97ceee</errorID>
      <errorWord>）</errorWord>
      <group>L1_Punc</group>
      <groupName>标点问题</groupName>
      <ability>L2_Punc_CN</ability>
      <abilityName>标点符号问题</abilityName>
      <candidateList/>
      <explain>同一形式括号套用。</explain>
      <paraID>642D21EE</paraID>
      <start>44</start>
      <end>45</end>
      <status>unmodified</status>
      <modifiedWord/>
      <trackRevisions>false</trackRevisions>
    </reviewItem>
    <reviewItem>
      <errorID>81a6ee3b-ed89-43f0-b1e5-c1bb47770d37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5F00A7F</paraID>
      <start>44</start>
      <end>45</end>
      <status>unmodified</status>
      <modifiedWord/>
      <trackRevisions>false</trackRevisions>
    </reviewItem>
    <reviewItem>
      <errorID>8d978db8-da91-442f-932f-5f2a65dbcce7</errorID>
      <errorWord>》</errorWord>
      <group>L1_Word</group>
      <groupName>字词问题</groupName>
      <ability>L2_Typo</ability>
      <abilityName>字词错误</abilityName>
      <candidateList>
        <item>》和</item>
      </candidateList>
      <explain/>
      <paraID>1FFD14D6</paraID>
      <start>21</start>
      <end>22</end>
      <status>unmodified</status>
      <modifiedWord/>
      <trackRevisions>false</trackRevisions>
    </reviewItem>
    <reviewItem>
      <errorID>a8de2d29-e24d-4d94-994e-1f69d7941ae1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5B8AC6D6</paraID>
      <start>50</start>
      <end>51</end>
      <status>unmodified</status>
      <modifiedWord/>
      <trackRevisions>false</trackRevisions>
    </reviewItem>
    <reviewItem>
      <errorID>a1594574-c26d-47d8-a499-494a29ef75ab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462C39F0</paraID>
      <start>50</start>
      <end>51</end>
      <status>unmodified</status>
      <modifiedWord/>
      <trackRevisions>false</trackRevisions>
    </reviewItem>
    <reviewItem>
      <errorID>ff69a107-ea1e-40dc-b84a-2c4a3decd7b6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491615EE</paraID>
      <start>35</start>
      <end>36</end>
      <status>unmodified</status>
      <modifiedWord/>
      <trackRevisions>false</trackRevisions>
    </reviewItem>
    <reviewItem>
      <errorID>b2b85c1f-4732-43f7-b5d0-10524b4822db</errorID>
      <errorWord>；</errorWord>
      <group>L1_Word</group>
      <groupName>字词问题</groupName>
      <ability>L2_Typo</ability>
      <abilityName>字词错误</abilityName>
      <candidateList>
        <item>；在</item>
      </candidateList>
      <explain/>
      <paraID>46934D2D</paraID>
      <start>54</start>
      <end>55</end>
      <status>unmodified</status>
      <modifiedWord/>
      <trackRevisions>false</trackRevisions>
    </reviewItem>
    <reviewItem>
      <errorID>0c02d516-8e8a-4221-9826-048a348b63f7</errorID>
      <errorWord>(</errorWord>
      <group>L1_Format</group>
      <groupName>格式问题</groupName>
      <ability>L2_HalfPunc_CN</ability>
      <abilityName>全半角问题</abilityName>
      <candidateList>
        <item>（</item>
      </candidateList>
      <explain>文本全半角错误。</explain>
      <paraID>7EAD5230</paraID>
      <start>10</start>
      <end>11</end>
      <status>unmodified</status>
      <modifiedWord/>
      <trackRevisions>false</trackRevisions>
    </reviewItem>
    <reviewItem>
      <errorID>6f18811d-f1a4-41bd-933a-7f985a8d69d1</errorID>
      <errorWord>(</errorWord>
      <group>L1_Format</group>
      <groupName>格式问题</groupName>
      <ability>L2_HalfPunc_CN</ability>
      <abilityName>全半角问题</abilityName>
      <candidateList>
        <item>（</item>
      </candidateList>
      <explain>文本全半角错误。</explain>
      <paraID>6A5E94AD</paraID>
      <start>41</start>
      <end>42</end>
      <status>unmodified</status>
      <modifiedWord/>
      <trackRevisions>false</trackRevisions>
    </reviewItem>
    <reviewItem>
      <errorID>709d5423-5ec4-4ee9-a0d5-514a21fbca34</errorID>
      <errorWord>)</errorWord>
      <group>L1_Format</group>
      <groupName>格式问题</groupName>
      <ability>L2_HalfPunc_CN</ability>
      <abilityName>全半角问题</abilityName>
      <candidateList>
        <item>）</item>
      </candidateList>
      <explain>文本全半角错误。</explain>
      <paraID>6A5E94AD</paraID>
      <start>55</start>
      <end>56</end>
      <status>unmodified</status>
      <modifiedWord/>
      <trackRevisions>false</trackRevisions>
    </reviewItem>
    <reviewItem>
      <errorID>12e604ac-520c-49b1-9062-8435d2c54cd6</errorID>
      <errorWord>,</errorWord>
      <group>L1_Format</group>
      <groupName>格式问题</groupName>
      <ability>L2_HalfPunc_CN</ability>
      <abilityName>全半角问题</abilityName>
      <candidateList>
        <item>，</item>
      </candidateList>
      <explain>文本全半角错误。</explain>
      <paraID>6A5E94AD</paraID>
      <start>170</start>
      <end>171</end>
      <status>unmodified</status>
      <modifiedWord/>
      <trackRevisions>false</trackRevisions>
    </reviewItem>
    <reviewItem>
      <errorID>33aad261-ee7f-4860-8e3f-58a798b750ea</errorID>
      <errorWord>链接</errorWord>
      <group>L1_Word</group>
      <groupName>字词问题</groupName>
      <ability>L2_Typo</ability>
      <abilityName>字词错误</abilityName>
      <candidateList>
        <item>连接</item>
      </candidateList>
      <explain/>
      <paraID>6A5E94AD</paraID>
      <start>255</start>
      <end>257</end>
      <status>unmodified</status>
      <modifiedWord/>
      <trackRevisions>false</trackRevisions>
    </reviewItem>
    <reviewItem>
      <errorID>88926545-9001-4ac7-89d7-dbf9c2b06247</errorID>
      <errorWord>Mpa</errorWord>
      <group>L1_English</group>
      <groupName>英文问题</groupName>
      <ability>L2_Case</ability>
      <abilityName>大小写问题</abilityName>
      <candidateList>
        <item>MPa</item>
      </candidateList>
      <explain>疑似单词大小写错误，建议将Mpa修改为MPa</explain>
      <paraID>6A5E94AD</paraID>
      <start>356</start>
      <end>359</end>
      <status>unmodified</status>
      <modifiedWord/>
      <trackRevisions>false</trackRevisions>
    </reviewItem>
    <reviewItem>
      <errorID>7dd87751-15c1-4bc5-99ba-8da766bba011</errorID>
      <errorWord>、而</errorWord>
      <group>L1_Punc</group>
      <groupName>标点问题</groupName>
      <ability>L2_Punc_CN</ability>
      <abilityName>标点符号问题</abilityName>
      <candidateList>
        <item>，而</item>
      </candidateList>
      <explain>连接词前后不宜使用顿号，建议使用逗号。</explain>
      <paraID>6A5E94AD</paraID>
      <start>443</start>
      <end>445</end>
      <status>unmodified</status>
      <modifiedWord/>
      <trackRevisions>false</trackRevisions>
    </reviewItem>
    <reviewItem>
      <errorID>122f4830-4340-41d7-a2bb-c7468f9f80e9</errorID>
      <errorWord>刻划</errorWord>
      <group>L1_Word</group>
      <groupName>字词问题</groupName>
      <ability>L2_Variant</ability>
      <abilityName>异形词</abilityName>
      <candidateList>
        <item>刻画</item>
      </candidateList>
      <explain>词汇[刻划]的规范词形写作[刻画]。</explain>
      <paraID>6A5E94AD</paraID>
      <start>637</start>
      <end>639</end>
      <status>unmodified</status>
      <modifiedWord/>
      <trackRevisions>false</trackRevisions>
    </reviewItem>
    <reviewItem>
      <errorID>49f746d9-3618-417c-9915-ac4496f015e6</errorID>
      <errorWord>联通</errorWord>
      <group>L1_Word</group>
      <groupName>字词问题</groupName>
      <ability>L2_Typo</ability>
      <abilityName>字词错误</abilityName>
      <candidateList>
        <item>连通</item>
      </candidateList>
      <explain>存在发音相同字词的误用。</explain>
      <paraID>6A5E94AD</paraID>
      <start>943</start>
      <end>945</end>
      <status>unmodified</status>
      <modifiedWord/>
      <trackRevisions>false</trackRevisions>
    </reviewItem>
    <reviewItem>
      <errorID>64ce22ef-3a48-4674-96b4-ea5351eb5e83</errorID>
      <errorWord>(</errorWord>
      <group>L1_Format</group>
      <groupName>格式问题</groupName>
      <ability>L2_HalfPunc_CN</ability>
      <abilityName>全半角问题</abilityName>
      <candidateList>
        <item>（</item>
      </candidateList>
      <explain>文本全半角错误。</explain>
      <paraID>3A081279</paraID>
      <start>22</start>
      <end>23</end>
      <status>unmodified</status>
      <modifiedWord/>
      <trackRevisions>false</trackRevisions>
    </reviewItem>
    <reviewItem>
      <errorID>001ea3ee-9b23-4aeb-9ddf-176adeb9d280</errorID>
      <errorWord>)</errorWord>
      <group>L1_Format</group>
      <groupName>格式问题</groupName>
      <ability>L2_HalfPunc_CN</ability>
      <abilityName>全半角问题</abilityName>
      <candidateList>
        <item>）</item>
      </candidateList>
      <explain>文本全半角错误。</explain>
      <paraID>3A081279</paraID>
      <start>36</start>
      <end>37</end>
      <status>unmodified</status>
      <modifiedWord/>
      <trackRevisions>false</trackRevisions>
    </reviewItem>
    <reviewItem>
      <errorID>1f99f6b0-f8ff-4cd5-ab81-717322698cf3</errorID>
      <errorWord>,</errorWord>
      <group>L1_Format</group>
      <groupName>格式问题</groupName>
      <ability>L2_HalfPunc_CN</ability>
      <abilityName>全半角问题</abilityName>
      <candidateList>
        <item>，</item>
      </candidateList>
      <explain>文本全半角错误。</explain>
      <paraID>3A081279</paraID>
      <start>151</start>
      <end>152</end>
      <status>unmodified</status>
      <modifiedWord/>
      <trackRevisions>false</trackRevisions>
    </reviewItem>
    <reviewItem>
      <errorID>01a5113a-eeda-4e3d-ae0c-f232c00b5764</errorID>
      <errorWord>链接</errorWord>
      <group>L1_Word</group>
      <groupName>字词问题</groupName>
      <ability>L2_Typo</ability>
      <abilityName>字词错误</abilityName>
      <candidateList>
        <item>连接</item>
      </candidateList>
      <explain>存在发音相同字词的误用。</explain>
      <paraID>3A081279</paraID>
      <start>236</start>
      <end>238</end>
      <status>unmodified</status>
      <modifiedWord/>
      <trackRevisions>false</trackRevisions>
    </reviewItem>
    <reviewItem>
      <errorID>fafaee08-d25e-45ef-af01-bf58febdc555</errorID>
      <errorWord>Mpa</errorWord>
      <group>L1_English</group>
      <groupName>英文问题</groupName>
      <ability>L2_Case</ability>
      <abilityName>大小写问题</abilityName>
      <candidateList>
        <item>MPa</item>
      </candidateList>
      <explain>疑似单词大小写错误，建议将Mpa修改为MPa</explain>
      <paraID>3A081279</paraID>
      <start>337</start>
      <end>340</end>
      <status>unmodified</status>
      <modifiedWord/>
      <trackRevisions>false</trackRevisions>
    </reviewItem>
    <reviewItem>
      <errorID>dc6c643b-6a15-4079-8c98-132d65c8c548</errorID>
      <errorWord>、而</errorWord>
      <group>L1_Punc</group>
      <groupName>标点问题</groupName>
      <ability>L2_Punc_CN</ability>
      <abilityName>标点符号问题</abilityName>
      <candidateList>
        <item>，而</item>
      </candidateList>
      <explain>连接词前后不宜使用顿号，建议使用逗号。</explain>
      <paraID>3A081279</paraID>
      <start>424</start>
      <end>426</end>
      <status>unmodified</status>
      <modifiedWord/>
      <trackRevisions>false</trackRevisions>
    </reviewItem>
    <reviewItem>
      <errorID>1eb10522-75a0-476e-8e9d-0f371ed5d97b</errorID>
      <errorWord>刻划</errorWord>
      <group>L1_Word</group>
      <groupName>字词问题</groupName>
      <ability>L2_Variant</ability>
      <abilityName>异形词</abilityName>
      <candidateList>
        <item>刻画</item>
      </candidateList>
      <explain>词汇[刻划]的规范词形写作[刻画]。</explain>
      <paraID>3A081279</paraID>
      <start>617</start>
      <end>619</end>
      <status>unmodified</status>
      <modifiedWord/>
      <trackRevisions>false</trackRevisions>
    </reviewItem>
    <reviewItem>
      <errorID>74215d40-37fa-44e7-bf35-1ece63e36434</errorID>
      <errorWord>现槽</errorWord>
      <group>L1_Word</group>
      <groupName>字词问题</groupName>
      <ability>L2_Typo</ability>
      <abilityName>字词错误</abilityName>
      <candidateList>
        <item>线槽</item>
      </candidateList>
      <explain/>
      <paraID>3A081279</paraID>
      <start>871</start>
      <end>873</end>
      <status>unmodified</status>
      <modifiedWord/>
      <trackRevisions>false</trackRevisions>
    </reviewItem>
    <reviewItem>
      <errorID>e86f4c8c-8a55-4aad-bf60-b2efdc8cdbf8</errorID>
      <errorWord>联通</errorWord>
      <group>L1_Word</group>
      <groupName>字词问题</groupName>
      <ability>L2_Typo</ability>
      <abilityName>字词错误</abilityName>
      <candidateList>
        <item>连通</item>
      </candidateList>
      <explain>存在发音相同字词的误用。</explain>
      <paraID>3A081279</paraID>
      <start>921</start>
      <end>923</end>
      <status>unmodified</status>
      <modifiedWord/>
      <trackRevisions>false</trackRevisions>
    </reviewItem>
    <reviewItem>
      <errorID>baacea0d-90fb-4d4b-82e9-7f8e626b1ede</errorID>
      <errorWord>(</errorWord>
      <group>L1_Format</group>
      <groupName>格式问题</groupName>
      <ability>L2_HalfPunc_CN</ability>
      <abilityName>全半角问题</abilityName>
      <candidateList>
        <item>（</item>
      </candidateList>
      <explain>文本全半角错误。</explain>
      <paraID>5100ABEA</paraID>
      <start>40</start>
      <end>41</end>
      <status>unmodified</status>
      <modifiedWord/>
      <trackRevisions>false</trackRevisions>
    </reviewItem>
    <reviewItem>
      <errorID>d86a097b-b142-4299-9df7-a4561da889f8</errorID>
      <errorWord>)</errorWord>
      <group>L1_Format</group>
      <groupName>格式问题</groupName>
      <ability>L2_HalfPunc_CN</ability>
      <abilityName>全半角问题</abilityName>
      <candidateList>
        <item>）</item>
      </candidateList>
      <explain>文本全半角错误。</explain>
      <paraID>5100ABEA</paraID>
      <start>54</start>
      <end>55</end>
      <status>unmodified</status>
      <modifiedWord/>
      <trackRevisions>false</trackRevisions>
    </reviewItem>
    <reviewItem>
      <errorID>838dcd80-4c12-45d1-8230-552a047eb0f0</errorID>
      <errorWord>,</errorWord>
      <group>L1_Format</group>
      <groupName>格式问题</groupName>
      <ability>L2_HalfPunc_CN</ability>
      <abilityName>全半角问题</abilityName>
      <candidateList>
        <item>，</item>
      </candidateList>
      <explain>文本全半角错误。</explain>
      <paraID>5100ABEA</paraID>
      <start>169</start>
      <end>170</end>
      <status>unmodified</status>
      <modifiedWord/>
      <trackRevisions>false</trackRevisions>
    </reviewItem>
    <reviewItem>
      <errorID>91e69369-6678-4efd-ad71-d3cd6971822d</errorID>
      <errorWord>链接</errorWord>
      <group>L1_Word</group>
      <groupName>字词问题</groupName>
      <ability>L2_Typo</ability>
      <abilityName>字词错误</abilityName>
      <candidateList>
        <item>连接</item>
      </candidateList>
      <explain/>
      <paraID>5100ABEA</paraID>
      <start>254</start>
      <end>256</end>
      <status>unmodified</status>
      <modifiedWord/>
      <trackRevisions>false</trackRevisions>
    </reviewItem>
    <reviewItem>
      <errorID>5e0df6c4-d1a4-4b42-96d6-96ef10d17bab</errorID>
      <errorWord>Mpa</errorWord>
      <group>L1_English</group>
      <groupName>英文问题</groupName>
      <ability>L2_Case</ability>
      <abilityName>大小写问题</abilityName>
      <candidateList>
        <item>MPa</item>
      </candidateList>
      <explain>疑似单词大小写错误，建议将Mpa修改为MPa</explain>
      <paraID>5100ABEA</paraID>
      <start>355</start>
      <end>358</end>
      <status>unmodified</status>
      <modifiedWord/>
      <trackRevisions>false</trackRevisions>
    </reviewItem>
    <reviewItem>
      <errorID>047f2902-bac9-415b-b6ec-2eacdcbc7607</errorID>
      <errorWord>、而</errorWord>
      <group>L1_Punc</group>
      <groupName>标点问题</groupName>
      <ability>L2_Punc_CN</ability>
      <abilityName>标点符号问题</abilityName>
      <candidateList>
        <item>，而</item>
      </candidateList>
      <explain>连接词前后不宜使用顿号，建议使用逗号。</explain>
      <paraID>5100ABEA</paraID>
      <start>442</start>
      <end>444</end>
      <status>unmodified</status>
      <modifiedWord/>
      <trackRevisions>false</trackRevisions>
    </reviewItem>
    <reviewItem>
      <errorID>e26acd19-8115-440c-97c3-68bc20fdb1f6</errorID>
      <errorWord>刻划</errorWord>
      <group>L1_Word</group>
      <groupName>字词问题</groupName>
      <ability>L2_Variant</ability>
      <abilityName>异形词</abilityName>
      <candidateList>
        <item>刻画</item>
      </candidateList>
      <explain>词汇[刻划]的规范词形写作[刻画]。</explain>
      <paraID>5100ABEA</paraID>
      <start>636</start>
      <end>638</end>
      <status>unmodified</status>
      <modifiedWord/>
      <trackRevisions>false</trackRevisions>
    </reviewItem>
    <reviewItem>
      <errorID>ba760364-448c-47f1-8fae-14ce7bcc7166</errorID>
      <errorWord>现槽</errorWord>
      <group>L1_Word</group>
      <groupName>字词问题</groupName>
      <ability>L2_Typo</ability>
      <abilityName>字词错误</abilityName>
      <candidateList>
        <item>线槽</item>
      </candidateList>
      <explain/>
      <paraID>5100ABEA</paraID>
      <start>893</start>
      <end>895</end>
      <status>unmodified</status>
      <modifiedWord/>
      <trackRevisions>false</trackRevisions>
    </reviewItem>
    <reviewItem>
      <errorID>877dfe74-d0bc-4d05-a614-48b7544deb45</errorID>
      <errorWord>联通</errorWord>
      <group>L1_Word</group>
      <groupName>字词问题</groupName>
      <ability>L2_Typo</ability>
      <abilityName>字词错误</abilityName>
      <candidateList>
        <item>连通</item>
      </candidateList>
      <explain>存在发音相同字词的误用。</explain>
      <paraID>5100ABEA</paraID>
      <start>943</start>
      <end>945</end>
      <status>unmodified</status>
      <modifiedWord/>
      <trackRevisions>false</trackRevisions>
    </reviewItem>
    <reviewItem>
      <errorID>a9668ee5-05b6-4fac-bea5-77033dfd39c0</errorID>
      <errorWord>(</errorWord>
      <group>L1_Format</group>
      <groupName>格式问题</groupName>
      <ability>L2_HalfPunc_CN</ability>
      <abilityName>全半角问题</abilityName>
      <candidateList>
        <item>（</item>
      </candidateList>
      <explain>文本全半角错误。</explain>
      <paraID>6D431235</paraID>
      <start>24</start>
      <end>25</end>
      <status>unmodified</status>
      <modifiedWord/>
      <trackRevisions>false</trackRevisions>
    </reviewItem>
    <reviewItem>
      <errorID>0e136853-2cf8-45cd-ade7-b5345d76249b</errorID>
      <errorWord>)</errorWord>
      <group>L1_Format</group>
      <groupName>格式问题</groupName>
      <ability>L2_HalfPunc_CN</ability>
      <abilityName>全半角问题</abilityName>
      <candidateList>
        <item>）</item>
      </candidateList>
      <explain>文本全半角错误。</explain>
      <paraID>6D431235</paraID>
      <start>38</start>
      <end>39</end>
      <status>unmodified</status>
      <modifiedWord/>
      <trackRevisions>false</trackRevisions>
    </reviewItem>
    <reviewItem>
      <errorID>7549c3e0-d518-4aae-8e9c-2c6e11d7ab0a</errorID>
      <errorWord>,</errorWord>
      <group>L1_Format</group>
      <groupName>格式问题</groupName>
      <ability>L2_HalfPunc_CN</ability>
      <abilityName>全半角问题</abilityName>
      <candidateList>
        <item>，</item>
      </candidateList>
      <explain>文本全半角错误。</explain>
      <paraID>6D431235</paraID>
      <start>153</start>
      <end>154</end>
      <status>unmodified</status>
      <modifiedWord/>
      <trackRevisions>false</trackRevisions>
    </reviewItem>
    <reviewItem>
      <errorID>bcd5f37e-b7b0-4702-a5f3-65461d7b5595</errorID>
      <errorWord>链接</errorWord>
      <group>L1_Word</group>
      <groupName>字词问题</groupName>
      <ability>L2_Typo</ability>
      <abilityName>字词错误</abilityName>
      <candidateList>
        <item>连接</item>
      </candidateList>
      <explain>存在发音相同字词的误用。</explain>
      <paraID>6D431235</paraID>
      <start>238</start>
      <end>240</end>
      <status>unmodified</status>
      <modifiedWord/>
      <trackRevisions>false</trackRevisions>
    </reviewItem>
    <reviewItem>
      <errorID>8dcb8de5-367a-45b7-9501-917340cd402d</errorID>
      <errorWord>Mpa</errorWord>
      <group>L1_English</group>
      <groupName>英文问题</groupName>
      <ability>L2_Case</ability>
      <abilityName>大小写问题</abilityName>
      <candidateList>
        <item>MPa</item>
      </candidateList>
      <explain>疑似单词大小写错误，建议将Mpa修改为MPa</explain>
      <paraID>6D431235</paraID>
      <start>339</start>
      <end>342</end>
      <status>unmodified</status>
      <modifiedWord/>
      <trackRevisions>false</trackRevisions>
    </reviewItem>
    <reviewItem>
      <errorID>fe610255-729d-44c7-9d5b-30a59d020f9b</errorID>
      <errorWord>、而</errorWord>
      <group>L1_Punc</group>
      <groupName>标点问题</groupName>
      <ability>L2_Punc_CN</ability>
      <abilityName>标点符号问题</abilityName>
      <candidateList>
        <item>，而</item>
      </candidateList>
      <explain>连接词前后不宜使用顿号，建议使用逗号。</explain>
      <paraID>6D431235</paraID>
      <start>426</start>
      <end>428</end>
      <status>unmodified</status>
      <modifiedWord/>
      <trackRevisions>false</trackRevisions>
    </reviewItem>
    <reviewItem>
      <errorID>c5e0af76-bc58-4ca2-8a20-5a8d85ea7600</errorID>
      <errorWord>刻划</errorWord>
      <group>L1_Word</group>
      <groupName>字词问题</groupName>
      <ability>L2_Variant</ability>
      <abilityName>异形词</abilityName>
      <candidateList>
        <item>刻画</item>
      </candidateList>
      <explain>词汇[刻划]的规范词形写作[刻画]。</explain>
      <paraID>6D431235</paraID>
      <start>620</start>
      <end>622</end>
      <status>unmodified</status>
      <modifiedWord/>
      <trackRevisions>false</trackRevisions>
    </reviewItem>
    <reviewItem>
      <errorID>fba2649c-b8f1-436e-9abb-12f3ae30be60</errorID>
      <errorWord>现槽</errorWord>
      <group>L1_Word</group>
      <groupName>字词问题</groupName>
      <ability>L2_Typo</ability>
      <abilityName>字词错误</abilityName>
      <candidateList>
        <item>线槽</item>
      </candidateList>
      <explain/>
      <paraID>6D431235</paraID>
      <start>874</start>
      <end>876</end>
      <status>unmodified</status>
      <modifiedWord/>
      <trackRevisions>false</trackRevisions>
    </reviewItem>
    <reviewItem>
      <errorID>4b46bda9-f27e-42ff-a80f-2465c46ee348</errorID>
      <errorWord>联通</errorWord>
      <group>L1_Word</group>
      <groupName>字词问题</groupName>
      <ability>L2_Typo</ability>
      <abilityName>字词错误</abilityName>
      <candidateList>
        <item>连通</item>
      </candidateList>
      <explain>存在发音相同字词的误用。</explain>
      <paraID>6D431235</paraID>
      <start>924</start>
      <end>926</end>
      <status>unmodified</status>
      <modifiedWord/>
      <trackRevisions>false</trackRevisions>
    </reviewItem>
    <reviewItem>
      <errorID>9bb66412-f0f1-49fe-b831-3d7d662fe243</errorID>
      <errorWord>(</errorWord>
      <group>L1_Format</group>
      <groupName>格式问题</groupName>
      <ability>L2_HalfPunc_CN</ability>
      <abilityName>全半角问题</abilityName>
      <candidateList>
        <item>（</item>
      </candidateList>
      <explain>文本全半角错误。</explain>
      <paraID>1C64DFE6</paraID>
      <start>23</start>
      <end>24</end>
      <status>unmodified</status>
      <modifiedWord/>
      <trackRevisions>false</trackRevisions>
    </reviewItem>
    <reviewItem>
      <errorID>7b62a0a5-76d5-47f1-b07d-a7054a0d88ec</errorID>
      <errorWord>)</errorWord>
      <group>L1_Format</group>
      <groupName>格式问题</groupName>
      <ability>L2_HalfPunc_CN</ability>
      <abilityName>全半角问题</abilityName>
      <candidateList>
        <item>）</item>
      </candidateList>
      <explain>文本全半角错误。</explain>
      <paraID>1C64DFE6</paraID>
      <start>37</start>
      <end>38</end>
      <status>unmodified</status>
      <modifiedWord/>
      <trackRevisions>false</trackRevisions>
    </reviewItem>
    <reviewItem>
      <errorID>6ca2cf75-4189-450f-a806-c2aaaafa1ab5</errorID>
      <errorWord>,</errorWord>
      <group>L1_Format</group>
      <groupName>格式问题</groupName>
      <ability>L2_HalfPunc_CN</ability>
      <abilityName>全半角问题</abilityName>
      <candidateList>
        <item>，</item>
      </candidateList>
      <explain>文本全半角错误。</explain>
      <paraID>1C64DFE6</paraID>
      <start>151</start>
      <end>152</end>
      <status>unmodified</status>
      <modifiedWord/>
      <trackRevisions>false</trackRevisions>
    </reviewItem>
    <reviewItem>
      <errorID>c5e2a359-7e9e-4fea-b621-d79ccb82f030</errorID>
      <errorWord>链接</errorWord>
      <group>L1_Word</group>
      <groupName>字词问题</groupName>
      <ability>L2_Typo</ability>
      <abilityName>字词错误</abilityName>
      <candidateList>
        <item>连接</item>
      </candidateList>
      <explain>存在发音相同字词的误用。</explain>
      <paraID>1C64DFE6</paraID>
      <start>236</start>
      <end>238</end>
      <status>unmodified</status>
      <modifiedWord/>
      <trackRevisions>false</trackRevisions>
    </reviewItem>
    <reviewItem>
      <errorID>7a80395f-fa6e-486a-9c34-c3bdb5984a94</errorID>
      <errorWord>Mpa</errorWord>
      <group>L1_English</group>
      <groupName>英文问题</groupName>
      <ability>L2_Case</ability>
      <abilityName>大小写问题</abilityName>
      <candidateList>
        <item>MPa</item>
      </candidateList>
      <explain>疑似单词大小写错误，建议将Mpa修改为MPa</explain>
      <paraID>1C64DFE6</paraID>
      <start>337</start>
      <end>340</end>
      <status>unmodified</status>
      <modifiedWord/>
      <trackRevisions>false</trackRevisions>
    </reviewItem>
    <reviewItem>
      <errorID>a3d396f4-72bd-4e88-93d1-7fe703bed196</errorID>
      <errorWord>、而</errorWord>
      <group>L1_Punc</group>
      <groupName>标点问题</groupName>
      <ability>L2_Punc_CN</ability>
      <abilityName>标点符号问题</abilityName>
      <candidateList>
        <item>，而</item>
      </candidateList>
      <explain>连接词前后不宜使用顿号，建议使用逗号。</explain>
      <paraID>1C64DFE6</paraID>
      <start>424</start>
      <end>426</end>
      <status>unmodified</status>
      <modifiedWord/>
      <trackRevisions>false</trackRevisions>
    </reviewItem>
    <reviewItem>
      <errorID>080e5d1a-db18-4e79-81e5-f64147001267</errorID>
      <errorWord>刻划</errorWord>
      <group>L1_Word</group>
      <groupName>字词问题</groupName>
      <ability>L2_Variant</ability>
      <abilityName>异形词</abilityName>
      <candidateList>
        <item>刻画</item>
      </candidateList>
      <explain>词汇[刻划]的规范词形写作[刻画]。</explain>
      <paraID>1C64DFE6</paraID>
      <start>616</start>
      <end>618</end>
      <status>unmodified</status>
      <modifiedWord/>
      <trackRevisions>false</trackRevisions>
    </reviewItem>
    <reviewItem>
      <errorID>6125627a-548f-4195-86cc-d6d2e0a4e7cd</errorID>
      <errorWord>现槽</errorWord>
      <group>L1_Word</group>
      <groupName>字词问题</groupName>
      <ability>L2_Typo</ability>
      <abilityName>字词错误</abilityName>
      <candidateList>
        <item>线槽</item>
      </candidateList>
      <explain/>
      <paraID>1C64DFE6</paraID>
      <start>872</start>
      <end>874</end>
      <status>unmodified</status>
      <modifiedWord/>
      <trackRevisions>false</trackRevisions>
    </reviewItem>
    <reviewItem>
      <errorID>bd7308b1-137e-45a7-bf92-e5eda666a850</errorID>
      <errorWord>联通</errorWord>
      <group>L1_Word</group>
      <groupName>字词问题</groupName>
      <ability>L2_Typo</ability>
      <abilityName>字词错误</abilityName>
      <candidateList>
        <item>连通</item>
      </candidateList>
      <explain>存在发音相同字词的误用。</explain>
      <paraID>1C64DFE6</paraID>
      <start>922</start>
      <end>924</end>
      <status>unmodified</status>
      <modifiedWord/>
      <trackRevisions>false</trackRevisions>
    </reviewItem>
    <reviewItem>
      <errorID>dd33adbf-15f5-4e79-9958-8bf05ad99817</errorID>
      <errorWord>(</errorWord>
      <group>L1_Format</group>
      <groupName>格式问题</groupName>
      <ability>L2_HalfPunc_CN</ability>
      <abilityName>全半角问题</abilityName>
      <candidateList>
        <item>（</item>
      </candidateList>
      <explain>文本全半角错误。</explain>
      <paraID>4FEB52F3</paraID>
      <start>23</start>
      <end>24</end>
      <status>unmodified</status>
      <modifiedWord/>
      <trackRevisions>false</trackRevisions>
    </reviewItem>
    <reviewItem>
      <errorID>ccf4e31d-6a4d-488b-8cd7-3930854059df</errorID>
      <errorWord>)</errorWord>
      <group>L1_Format</group>
      <groupName>格式问题</groupName>
      <ability>L2_HalfPunc_CN</ability>
      <abilityName>全半角问题</abilityName>
      <candidateList>
        <item>）</item>
      </candidateList>
      <explain>文本全半角错误。</explain>
      <paraID>4FEB52F3</paraID>
      <start>37</start>
      <end>38</end>
      <status>unmodified</status>
      <modifiedWord/>
      <trackRevisions>false</trackRevisions>
    </reviewItem>
    <reviewItem>
      <errorID>22e136b6-6887-450d-b3d2-e9440a1c7c26</errorID>
      <errorWord>,</errorWord>
      <group>L1_Format</group>
      <groupName>格式问题</groupName>
      <ability>L2_HalfPunc_CN</ability>
      <abilityName>全半角问题</abilityName>
      <candidateList>
        <item>，</item>
      </candidateList>
      <explain>文本全半角错误。</explain>
      <paraID>4FEB52F3</paraID>
      <start>151</start>
      <end>152</end>
      <status>unmodified</status>
      <modifiedWord/>
      <trackRevisions>false</trackRevisions>
    </reviewItem>
    <reviewItem>
      <errorID>f78a6415-d446-4a22-92ca-d78265bac983</errorID>
      <errorWord>链接</errorWord>
      <group>L1_Word</group>
      <groupName>字词问题</groupName>
      <ability>L2_Typo</ability>
      <abilityName>字词错误</abilityName>
      <candidateList>
        <item>连接</item>
      </candidateList>
      <explain>存在发音相同字词的误用。</explain>
      <paraID>4FEB52F3</paraID>
      <start>236</start>
      <end>238</end>
      <status>unmodified</status>
      <modifiedWord/>
      <trackRevisions>false</trackRevisions>
    </reviewItem>
    <reviewItem>
      <errorID>1aa3037a-5e5f-465b-9a3d-3d944fd16395</errorID>
      <errorWord>Mpa</errorWord>
      <group>L1_English</group>
      <groupName>英文问题</groupName>
      <ability>L2_Case</ability>
      <abilityName>大小写问题</abilityName>
      <candidateList>
        <item>MPa</item>
      </candidateList>
      <explain>疑似单词大小写错误，建议将Mpa修改为MPa</explain>
      <paraID>4FEB52F3</paraID>
      <start>337</start>
      <end>340</end>
      <status>unmodified</status>
      <modifiedWord/>
      <trackRevisions>false</trackRevisions>
    </reviewItem>
    <reviewItem>
      <errorID>e290cfa3-8705-492d-8258-9c2c5edbdbec</errorID>
      <errorWord>、而</errorWord>
      <group>L1_Punc</group>
      <groupName>标点问题</groupName>
      <ability>L2_Punc_CN</ability>
      <abilityName>标点符号问题</abilityName>
      <candidateList>
        <item>，而</item>
      </candidateList>
      <explain>连接词前后不宜使用顿号，建议使用逗号。</explain>
      <paraID>4FEB52F3</paraID>
      <start>424</start>
      <end>426</end>
      <status>unmodified</status>
      <modifiedWord/>
      <trackRevisions>false</trackRevisions>
    </reviewItem>
    <reviewItem>
      <errorID>8b2cd9da-4d21-4ecf-b160-ab90da1aa423</errorID>
      <errorWord>刻划</errorWord>
      <group>L1_Word</group>
      <groupName>字词问题</groupName>
      <ability>L2_Variant</ability>
      <abilityName>异形词</abilityName>
      <candidateList>
        <item>刻画</item>
      </candidateList>
      <explain>词汇[刻划]的规范词形写作[刻画]。</explain>
      <paraID>4FEB52F3</paraID>
      <start>616</start>
      <end>618</end>
      <status>unmodified</status>
      <modifiedWord/>
      <trackRevisions>false</trackRevisions>
    </reviewItem>
    <reviewItem>
      <errorID>167f6499-6dc2-40f5-9de1-1e2feea90103</errorID>
      <errorWord>现槽</errorWord>
      <group>L1_Word</group>
      <groupName>字词问题</groupName>
      <ability>L2_Typo</ability>
      <abilityName>字词错误</abilityName>
      <candidateList>
        <item>线槽</item>
      </candidateList>
      <explain/>
      <paraID>4FEB52F3</paraID>
      <start>873</start>
      <end>875</end>
      <status>unmodified</status>
      <modifiedWord/>
      <trackRevisions>false</trackRevisions>
    </reviewItem>
    <reviewItem>
      <errorID>584de046-f370-476c-bbdb-101c98acc29d</errorID>
      <errorWord>联通</errorWord>
      <group>L1_Word</group>
      <groupName>字词问题</groupName>
      <ability>L2_Typo</ability>
      <abilityName>字词错误</abilityName>
      <candidateList>
        <item>连通</item>
      </candidateList>
      <explain>存在发音相同字词的误用。</explain>
      <paraID>4FEB52F3</paraID>
      <start>923</start>
      <end>925</end>
      <status>unmodified</status>
      <modifiedWord/>
      <trackRevisions>false</trackRevisions>
    </reviewItem>
    <reviewItem>
      <errorID>3eb87f32-3630-469e-ab71-25ebf422119c</errorID>
      <errorWord>(</errorWord>
      <group>L1_Format</group>
      <groupName>格式问题</groupName>
      <ability>L2_HalfPunc_CN</ability>
      <abilityName>全半角问题</abilityName>
      <candidateList>
        <item>（</item>
      </candidateList>
      <explain>文本全半角错误。</explain>
      <paraID>485412D6</paraID>
      <start>23</start>
      <end>24</end>
      <status>unmodified</status>
      <modifiedWord/>
      <trackRevisions>false</trackRevisions>
    </reviewItem>
    <reviewItem>
      <errorID>d7b44e20-8c2d-4de5-8927-fade251da407</errorID>
      <errorWord>)</errorWord>
      <group>L1_Format</group>
      <groupName>格式问题</groupName>
      <ability>L2_HalfPunc_CN</ability>
      <abilityName>全半角问题</abilityName>
      <candidateList>
        <item>）</item>
      </candidateList>
      <explain>文本全半角错误。</explain>
      <paraID>485412D6</paraID>
      <start>37</start>
      <end>38</end>
      <status>unmodified</status>
      <modifiedWord/>
      <trackRevisions>false</trackRevisions>
    </reviewItem>
    <reviewItem>
      <errorID>19db3a05-a520-4326-84f8-aecb9cabb84e</errorID>
      <errorWord>,</errorWord>
      <group>L1_Format</group>
      <groupName>格式问题</groupName>
      <ability>L2_HalfPunc_CN</ability>
      <abilityName>全半角问题</abilityName>
      <candidateList>
        <item>，</item>
      </candidateList>
      <explain>文本全半角错误。</explain>
      <paraID>485412D6</paraID>
      <start>151</start>
      <end>152</end>
      <status>unmodified</status>
      <modifiedWord/>
      <trackRevisions>false</trackRevisions>
    </reviewItem>
    <reviewItem>
      <errorID>e07b79c5-0555-4848-b16e-e2bacade64c0</errorID>
      <errorWord>链接</errorWord>
      <group>L1_Word</group>
      <groupName>字词问题</groupName>
      <ability>L2_Typo</ability>
      <abilityName>字词错误</abilityName>
      <candidateList>
        <item>连接</item>
      </candidateList>
      <explain>存在发音相同字词的误用。</explain>
      <paraID>485412D6</paraID>
      <start>236</start>
      <end>238</end>
      <status>unmodified</status>
      <modifiedWord/>
      <trackRevisions>false</trackRevisions>
    </reviewItem>
    <reviewItem>
      <errorID>7bc90101-9b7c-4f47-b5a0-7e4bdd75fd26</errorID>
      <errorWord>Mpa</errorWord>
      <group>L1_English</group>
      <groupName>英文问题</groupName>
      <ability>L2_Case</ability>
      <abilityName>大小写问题</abilityName>
      <candidateList>
        <item>MPa</item>
      </candidateList>
      <explain>疑似单词大小写错误，建议将Mpa修改为MPa</explain>
      <paraID>485412D6</paraID>
      <start>337</start>
      <end>340</end>
      <status>unmodified</status>
      <modifiedWord/>
      <trackRevisions>false</trackRevisions>
    </reviewItem>
    <reviewItem>
      <errorID>5c43fc14-7a56-46ad-bc1e-4bbfbb5c89a3</errorID>
      <errorWord>、而</errorWord>
      <group>L1_Punc</group>
      <groupName>标点问题</groupName>
      <ability>L2_Punc_CN</ability>
      <abilityName>标点符号问题</abilityName>
      <candidateList>
        <item>，而</item>
      </candidateList>
      <explain>连接词前后不宜使用顿号，建议使用逗号。</explain>
      <paraID>485412D6</paraID>
      <start>424</start>
      <end>426</end>
      <status>unmodified</status>
      <modifiedWord/>
      <trackRevisions>false</trackRevisions>
    </reviewItem>
    <reviewItem>
      <errorID>a359f416-2445-45c7-b520-ef0ccb49c29a</errorID>
      <errorWord>刻划</errorWord>
      <group>L1_Word</group>
      <groupName>字词问题</groupName>
      <ability>L2_Variant</ability>
      <abilityName>异形词</abilityName>
      <candidateList>
        <item>刻画</item>
      </candidateList>
      <explain>词汇[刻划]的规范词形写作[刻画]。</explain>
      <paraID>485412D6</paraID>
      <start>617</start>
      <end>619</end>
      <status>unmodified</status>
      <modifiedWord/>
      <trackRevisions>false</trackRevisions>
    </reviewItem>
    <reviewItem>
      <errorID>2b8ffd83-b4fb-43e0-879d-a4545fb2fc23</errorID>
      <errorWord>现槽</errorWord>
      <group>L1_Word</group>
      <groupName>字词问题</groupName>
      <ability>L2_Typo</ability>
      <abilityName>字词错误</abilityName>
      <candidateList>
        <item>线槽</item>
      </candidateList>
      <explain/>
      <paraID>485412D6</paraID>
      <start>871</start>
      <end>873</end>
      <status>unmodified</status>
      <modifiedWord/>
      <trackRevisions>false</trackRevisions>
    </reviewItem>
    <reviewItem>
      <errorID>04f0fd94-0ff2-43b9-bd48-37e572076c0c</errorID>
      <errorWord>联通</errorWord>
      <group>L1_Word</group>
      <groupName>字词问题</groupName>
      <ability>L2_Typo</ability>
      <abilityName>字词错误</abilityName>
      <candidateList>
        <item>连通</item>
      </candidateList>
      <explain>存在发音相同字词的误用。</explain>
      <paraID>485412D6</paraID>
      <start>921</start>
      <end>923</end>
      <status>unmodified</status>
      <modifiedWord/>
      <trackRevisions>false</trackRevisions>
    </reviewItem>
    <reviewItem>
      <errorID>7ddca055-d2f7-4e34-8fac-511757253799</errorID>
      <errorWord>,</errorWord>
      <group>L1_Format</group>
      <groupName>格式问题</groupName>
      <ability>L2_HalfPunc_CN</ability>
      <abilityName>全半角问题</abilityName>
      <candidateList>
        <item>，</item>
      </candidateList>
      <explain>文本全半角错误。</explain>
      <paraID>4E3ABADD</paraID>
      <start>136</start>
      <end>137</end>
      <status>unmodified</status>
      <modifiedWord/>
      <trackRevisions>false</trackRevisions>
    </reviewItem>
    <reviewItem>
      <errorID>d7c0c39d-0e21-4d5b-89aa-6afc88922431</errorID>
      <errorWord>链接</errorWord>
      <group>L1_Word</group>
      <groupName>字词问题</groupName>
      <ability>L2_Typo</ability>
      <abilityName>字词错误</abilityName>
      <candidateList>
        <item>连接</item>
      </candidateList>
      <explain>存在发音相同字词的误用。</explain>
      <paraID>4E3ABADD</paraID>
      <start>221</start>
      <end>223</end>
      <status>unmodified</status>
      <modifiedWord/>
      <trackRevisions>false</trackRevisions>
    </reviewItem>
    <reviewItem>
      <errorID>8cf85218-d4ab-41f6-8a2d-cd73379ba9b0</errorID>
      <errorWord>Mpa</errorWord>
      <group>L1_English</group>
      <groupName>英文问题</groupName>
      <ability>L2_Case</ability>
      <abilityName>大小写问题</abilityName>
      <candidateList>
        <item>MPa</item>
      </candidateList>
      <explain>疑似单词大小写错误，建议将Mpa修改为MPa</explain>
      <paraID>4E3ABADD</paraID>
      <start>322</start>
      <end>325</end>
      <status>unmodified</status>
      <modifiedWord/>
      <trackRevisions>false</trackRevisions>
    </reviewItem>
    <reviewItem>
      <errorID>1d30aa65-7144-4f6b-bf2d-590d04600695</errorID>
      <errorWord>、而</errorWord>
      <group>L1_Punc</group>
      <groupName>标点问题</groupName>
      <ability>L2_Punc_CN</ability>
      <abilityName>标点符号问题</abilityName>
      <candidateList>
        <item>，而</item>
      </candidateList>
      <explain>连接词前后不宜使用顿号，建议使用逗号。</explain>
      <paraID>4E3ABADD</paraID>
      <start>409</start>
      <end>411</end>
      <status>unmodified</status>
      <modifiedWord/>
      <trackRevisions>false</trackRevisions>
    </reviewItem>
    <reviewItem>
      <errorID>35be29f0-1ce0-47d7-bc38-160556c8efda</errorID>
      <errorWord>刻划</errorWord>
      <group>L1_Word</group>
      <groupName>字词问题</groupName>
      <ability>L2_Variant</ability>
      <abilityName>异形词</abilityName>
      <candidateList>
        <item>刻画</item>
      </candidateList>
      <explain>词汇[刻划]的规范词形写作[刻画]。</explain>
      <paraID>4E3ABADD</paraID>
      <start>601</start>
      <end>603</end>
      <status>unmodified</status>
      <modifiedWord/>
      <trackRevisions>false</trackRevisions>
    </reviewItem>
    <reviewItem>
      <errorID>bf16bcb8-1030-4997-9a36-dd75c2e1aee7</errorID>
      <errorWord>现槽</errorWord>
      <group>L1_Word</group>
      <groupName>字词问题</groupName>
      <ability>L2_Typo</ability>
      <abilityName>字词错误</abilityName>
      <candidateList>
        <item>线槽</item>
      </candidateList>
      <explain/>
      <paraID>4E3ABADD</paraID>
      <start>856</start>
      <end>858</end>
      <status>unmodified</status>
      <modifiedWord/>
      <trackRevisions>false</trackRevisions>
    </reviewItem>
    <reviewItem>
      <errorID>4b5eb45a-1c21-45a1-b6a4-d1e07a1375e6</errorID>
      <errorWord>联通</errorWord>
      <group>L1_Word</group>
      <groupName>字词问题</groupName>
      <ability>L2_Typo</ability>
      <abilityName>字词错误</abilityName>
      <candidateList>
        <item>连通</item>
      </candidateList>
      <explain>存在发音相同字词的误用。</explain>
      <paraID>4E3ABADD</paraID>
      <start>906</start>
      <end>908</end>
      <status>unmodified</status>
      <modifiedWord/>
      <trackRevisions>false</trackRevisions>
    </reviewItem>
    <reviewItem>
      <errorID>75103cb5-d7c7-4fc0-83eb-745c8cb63a0e</errorID>
      <errorWord>(</errorWord>
      <group>L1_Format</group>
      <groupName>格式问题</groupName>
      <ability>L2_HalfPunc_CN</ability>
      <abilityName>全半角问题</abilityName>
      <candidateList>
        <item>（</item>
      </candidateList>
      <explain>文本全半角错误。</explain>
      <paraID>317C125C</paraID>
      <start>23</start>
      <end>24</end>
      <status>unmodified</status>
      <modifiedWord/>
      <trackRevisions>false</trackRevisions>
    </reviewItem>
    <reviewItem>
      <errorID>30e7ab15-dd2b-41d9-8763-bb2ce498795a</errorID>
      <errorWord>)</errorWord>
      <group>L1_Format</group>
      <groupName>格式问题</groupName>
      <ability>L2_HalfPunc_CN</ability>
      <abilityName>全半角问题</abilityName>
      <candidateList>
        <item>）</item>
      </candidateList>
      <explain>文本全半角错误。</explain>
      <paraID>317C125C</paraID>
      <start>37</start>
      <end>38</end>
      <status>unmodified</status>
      <modifiedWord/>
      <trackRevisions>false</trackRevisions>
    </reviewItem>
    <reviewItem>
      <errorID>2d7495c6-7623-4040-803a-61ba3053c752</errorID>
      <errorWord>,</errorWord>
      <group>L1_Format</group>
      <groupName>格式问题</groupName>
      <ability>L2_HalfPunc_CN</ability>
      <abilityName>全半角问题</abilityName>
      <candidateList>
        <item>，</item>
      </candidateList>
      <explain>文本全半角错误。</explain>
      <paraID>317C125C</paraID>
      <start>152</start>
      <end>153</end>
      <status>unmodified</status>
      <modifiedWord/>
      <trackRevisions>false</trackRevisions>
    </reviewItem>
    <reviewItem>
      <errorID>ed4f6c26-b92d-42e8-86cd-3d5f265f7a06</errorID>
      <errorWord>链接</errorWord>
      <group>L1_Word</group>
      <groupName>字词问题</groupName>
      <ability>L2_Typo</ability>
      <abilityName>字词错误</abilityName>
      <candidateList>
        <item>连接</item>
      </candidateList>
      <explain>存在发音相同字词的误用。</explain>
      <paraID>317C125C</paraID>
      <start>237</start>
      <end>239</end>
      <status>unmodified</status>
      <modifiedWord/>
      <trackRevisions>false</trackRevisions>
    </reviewItem>
    <reviewItem>
      <errorID>b047afca-adc6-4566-96b5-4490d0a38616</errorID>
      <errorWord>Mpa</errorWord>
      <group>L1_English</group>
      <groupName>英文问题</groupName>
      <ability>L2_Case</ability>
      <abilityName>大小写问题</abilityName>
      <candidateList>
        <item>MPa</item>
      </candidateList>
      <explain>疑似单词大小写错误，建议将Mpa修改为MPa</explain>
      <paraID>317C125C</paraID>
      <start>338</start>
      <end>341</end>
      <status>unmodified</status>
      <modifiedWord/>
      <trackRevisions>false</trackRevisions>
    </reviewItem>
    <reviewItem>
      <errorID>46be2ba8-4129-49e7-ad4d-33b3e9f62483</errorID>
      <errorWord>、而</errorWord>
      <group>L1_Punc</group>
      <groupName>标点问题</groupName>
      <ability>L2_Punc_CN</ability>
      <abilityName>标点符号问题</abilityName>
      <candidateList>
        <item>，而</item>
      </candidateList>
      <explain>连接词前后不宜使用顿号，建议使用逗号。</explain>
      <paraID>317C125C</paraID>
      <start>425</start>
      <end>427</end>
      <status>unmodified</status>
      <modifiedWord/>
      <trackRevisions>false</trackRevisions>
    </reviewItem>
    <reviewItem>
      <errorID>33bf380d-5407-41f3-aad2-f0887482487d</errorID>
      <errorWord>刻划</errorWord>
      <group>L1_Word</group>
      <groupName>字词问题</groupName>
      <ability>L2_Variant</ability>
      <abilityName>异形词</abilityName>
      <candidateList>
        <item>刻画</item>
      </candidateList>
      <explain>词汇[刻划]的规范词形写作[刻画]。</explain>
      <paraID>317C125C</paraID>
      <start>617</start>
      <end>619</end>
      <status>unmodified</status>
      <modifiedWord/>
      <trackRevisions>false</trackRevisions>
    </reviewItem>
    <reviewItem>
      <errorID>e222afd0-834b-4f90-a850-e59221d7357f</errorID>
      <errorWord>现槽</errorWord>
      <group>L1_Word</group>
      <groupName>字词问题</groupName>
      <ability>L2_Typo</ability>
      <abilityName>字词错误</abilityName>
      <candidateList>
        <item>线槽</item>
      </candidateList>
      <explain/>
      <paraID>317C125C</paraID>
      <start>871</start>
      <end>873</end>
      <status>unmodified</status>
      <modifiedWord/>
      <trackRevisions>false</trackRevisions>
    </reviewItem>
    <reviewItem>
      <errorID>45fecd37-0a9d-4e4a-ae1d-f1db40e5b74d</errorID>
      <errorWord>联通</errorWord>
      <group>L1_Word</group>
      <groupName>字词问题</groupName>
      <ability>L2_Typo</ability>
      <abilityName>字词错误</abilityName>
      <candidateList>
        <item>连通</item>
      </candidateList>
      <explain>存在发音相同字词的误用。</explain>
      <paraID>317C125C</paraID>
      <start>921</start>
      <end>923</end>
      <status>unmodified</status>
      <modifiedWord/>
      <trackRevisions>false</trackRevisions>
    </reviewItem>
    <reviewItem>
      <errorID>432fea0f-f0ce-4ac1-946b-3d7f9411cc02</errorID>
      <errorWord>:</errorWord>
      <group>L1_Format</group>
      <groupName>格式问题</groupName>
      <ability>L2_HalfPunc_CN</ability>
      <abilityName>全半角问题</abilityName>
      <candidateList>
        <item>：</item>
      </candidateList>
      <explain>文本全半角错误。</explain>
      <paraID> 9E50897</paraID>
      <start>4</start>
      <end>5</end>
      <status>unmodified</status>
      <modifiedWord/>
      <trackRevisions>false</trackRevisions>
    </reviewItem>
    <reviewItem>
      <errorID>6a9f0e19-621e-4b05-bb94-068cbeaa0a1a</errorID>
      <errorWord>:</errorWord>
      <group>L1_Format</group>
      <groupName>格式问题</groupName>
      <ability>L2_HalfPunc_CN</ability>
      <abilityName>全半角问题</abilityName>
      <candidateList>
        <item>：</item>
      </candidateList>
      <explain>文本全半角错误。</explain>
      <paraID> 9E50897</paraID>
      <start>20</start>
      <end>21</end>
      <status>unmodified</status>
      <modifiedWord/>
      <trackRevisions>false</trackRevisions>
    </reviewItem>
    <reviewItem>
      <errorID>ab32a7c6-7f1c-4abb-a7db-63309eca99ff</errorID>
      <errorWord>:</errorWord>
      <group>L1_Format</group>
      <groupName>格式问题</groupName>
      <ability>L2_HalfPunc_CN</ability>
      <abilityName>全半角问题</abilityName>
      <candidateList>
        <item>：</item>
      </candidateList>
      <explain>文本全半角错误。</explain>
      <paraID> AC4049B</paraID>
      <start>9</start>
      <end>10</end>
      <status>unmodified</status>
      <modifiedWord/>
      <trackRevisions>false</trackRevisions>
    </reviewItem>
    <reviewItem>
      <errorID>6d512cc5-d26d-46c0-af44-557c60a07869</errorID>
      <errorWord>特网</errorWord>
      <group>L1_Word</group>
      <groupName>字词问题</groupName>
      <ability>L2_Typo</ability>
      <abilityName>字词错误</abilityName>
      <candidateList>
        <item>铁网</item>
      </candidateList>
      <explain>存在发音相近字词的误用。</explain>
      <paraID>1276A709</paraID>
      <start>24</start>
      <end>26</end>
      <status>unmodified</status>
      <modifiedWord/>
      <trackRevisions>false</trackRevisions>
    </reviewItem>
    <reviewItem>
      <errorID>4be6c970-ad50-4147-8ab1-5d39dd3ddfa7</errorID>
      <errorWord>(</errorWord>
      <group>L1_Format</group>
      <groupName>格式问题</groupName>
      <ability>L2_HalfPunc_CN</ability>
      <abilityName>全半角问题</abilityName>
      <candidateList>
        <item>（</item>
      </candidateList>
      <explain>文本全半角错误。</explain>
      <paraID>586F63F5</paraID>
      <start>12</start>
      <end>13</end>
      <status>unmodified</status>
      <modifiedWord/>
      <trackRevisions>false</trackRevisions>
    </reviewItem>
    <reviewItem>
      <errorID>cbd54d66-c6c5-4cd9-a44f-76c9dcec9bc2</errorID>
      <errorWord>特网</errorWord>
      <group>L1_Word</group>
      <groupName>字词问题</groupName>
      <ability>L2_Typo</ability>
      <abilityName>字词错误</abilityName>
      <candidateList>
        <item>铁网</item>
      </candidateList>
      <explain>存在发音相近字词的误用。</explain>
      <paraID>586F63F5</paraID>
      <start>29</start>
      <end>31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5ca41f-bc05-4993-885c-3392af19d27e}">
  <ds:schemaRefs/>
</ds:datastoreItem>
</file>

<file path=docProps/app.xml><?xml version="1.0" encoding="utf-8"?>
<Properties xmlns="http://schemas.openxmlformats.org/officeDocument/2006/extended-properties" xmlns:vt="http://schemas.openxmlformats.org/officeDocument/2006/docPropsVTypes">
  <Template>Normal.dotm</Template>
  <Pages>55</Pages>
  <Words>16451</Words>
  <Characters>17295</Characters>
  <TotalTime>65</TotalTime>
  <ScaleCrop>false</ScaleCrop>
  <LinksUpToDate>false</LinksUpToDate>
  <CharactersWithSpaces>17556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2026-05-18T09:31:00Z</dcterms:created>
  <dc:creator>焦进芳</dc:creator>
  <cp:lastModifiedBy>用户</cp:lastModifiedBy>
  <cp:lastPrinted>2026-07-13T03:01:00Z</cp:lastPrinted>
  <dcterms:modified xsi:type="dcterms:W3CDTF">2026-08-28T08:21:59Z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E547747586E84213AA04457B97B15A47_13</vt:lpwstr>
  </property>
  <property fmtid="{D5CDD505-2E9C-101B-9397-08002B2CF9AE}" pid="4" name="KSOTemplateDocerSaveRecord">
    <vt:lpwstr>eyJoZGlkIjoiZTlkNDdjNDk0ZDliNTI0NjJhMmRkNjk4YTZhNDQ0MzIiLCJ1c2VySWQiOiI0MTY0NjE5MzgifQ==</vt:lpwstr>
  </property>
</Properties>
</file>