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2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JSZC-321200-HWZX-G2026-0583</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0675-266JOC003946</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腹腔镜</w:t>
      </w:r>
      <w:r>
        <w:rPr>
          <w:rFonts w:hint="eastAsia" w:cs="仿宋" w:asciiTheme="minorEastAsia" w:hAnsiTheme="minorEastAsia" w:eastAsiaTheme="minorEastAsia"/>
          <w:b/>
          <w:bCs/>
          <w:color w:val="000000" w:themeColor="text1"/>
          <w:sz w:val="28"/>
          <w:szCs w:val="28"/>
        </w:rPr>
        <w:t xml:space="preserve">采购项目</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62"/>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hint="eastAsia" w:cs="仿宋" w:asciiTheme="minorEastAsia" w:hAnsiTheme="minorEastAsia" w:eastAsiaTheme="minorEastAsia"/>
          <w:b/>
          <w:color w:val="000000" w:themeColor="text1"/>
          <w:sz w:val="28"/>
          <w:szCs w:val="28"/>
        </w:rPr>
        <w:t xml:space="preserve">10</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腹腔镜</w:t>
      </w:r>
      <w:r>
        <w:rPr>
          <w:rFonts w:hint="eastAsia" w:cs="仿宋" w:asciiTheme="minorEastAsia" w:hAnsiTheme="minorEastAsia" w:eastAsiaTheme="minorEastAsia"/>
          <w:color w:val="000000" w:themeColor="text1"/>
          <w:sz w:val="24"/>
          <w:szCs w:val="24"/>
          <w:u w:val="single"/>
        </w:rPr>
        <w:t xml:space="preserve">采购项目</w:t>
      </w:r>
      <w:r>
        <w:rPr>
          <w:rFonts w:hint="eastAsia" w:cs="仿宋" w:asciiTheme="minorEastAsia" w:hAnsiTheme="minorEastAsia" w:eastAsiaTheme="minorEastAsia"/>
          <w:color w:val="000000" w:themeColor="text1"/>
          <w:sz w:val="24"/>
          <w:szCs w:val="24"/>
        </w:rPr>
        <w:t xml:space="preserve">招标项目的潜在</w:t>
      </w:r>
      <w:r>
        <w:rPr>
          <w:rFonts w:hint="eastAsia" w:cs="仿宋" w:asciiTheme="minorEastAsia" w:hAnsiTheme="minorEastAsia" w:eastAsiaTheme="minorEastAsia"/>
          <w:color w:val="000000" w:themeColor="text1"/>
          <w:sz w:val="24"/>
          <w:szCs w:val="24"/>
        </w:rPr>
        <w:t xml:space="preserve">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6"/>
            <w:rFonts w:hint="eastAsia" w:cs="仿宋" w:asciiTheme="minorEastAsia" w:hAnsiTheme="minorEastAsia" w:eastAsiaTheme="minorEastAsia"/>
            <w:color w:val="000000" w:themeColor="text1"/>
            <w:sz w:val="24"/>
            <w:szCs w:val="24"/>
            <w:u w:val="none"/>
          </w:rPr>
          <w:t xml:space="preserve">，并于</w:t>
        </w:r>
        <w:r>
          <w:rPr>
            <w:rStyle w:val="866"/>
            <w:rFonts w:hint="eastAsia" w:cs="仿宋" w:asciiTheme="minorEastAsia" w:hAnsiTheme="minorEastAsia" w:eastAsiaTheme="minorEastAsia"/>
            <w:color w:val="000000" w:themeColor="text1"/>
            <w:sz w:val="24"/>
            <w:szCs w:val="24"/>
          </w:rPr>
          <w:t xml:space="preserve">2026年</w:t>
        </w:r>
        <w:r>
          <w:rPr>
            <w:rStyle w:val="866"/>
            <w:rFonts w:cs="仿宋" w:asciiTheme="minorEastAsia" w:hAnsiTheme="minorEastAsia" w:eastAsiaTheme="minorEastAsia"/>
            <w:color w:val="000000" w:themeColor="text1"/>
            <w:sz w:val="24"/>
            <w:szCs w:val="24"/>
          </w:rPr>
          <w:t xml:space="preserve">10</w:t>
        </w:r>
        <w:r>
          <w:rPr>
            <w:rStyle w:val="866"/>
            <w:rFonts w:hint="eastAsia" w:cs="仿宋" w:asciiTheme="minorEastAsia" w:hAnsiTheme="minorEastAsia" w:eastAsiaTheme="minorEastAsia"/>
            <w:color w:val="000000" w:themeColor="text1"/>
            <w:sz w:val="24"/>
            <w:szCs w:val="24"/>
          </w:rPr>
          <w:t xml:space="preserve">月</w:t>
        </w:r>
      </w:hyperlink>
      <w:r>
        <w:rPr>
          <w:rStyle w:val="866"/>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u w:val="single"/>
        </w:rPr>
        <w:t xml:space="preserve">日14时</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JSZC-321200-HWZX-G2026-0583</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0675-266JOC003946</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腹腔镜</w:t>
      </w:r>
      <w:r>
        <w:rPr>
          <w:rFonts w:hint="eastAsia" w:cs="仿宋" w:asciiTheme="minorEastAsia" w:hAnsiTheme="minorEastAsia" w:eastAsiaTheme="minorEastAsia"/>
          <w:color w:val="000000" w:themeColor="text1"/>
          <w:sz w:val="24"/>
          <w:szCs w:val="24"/>
        </w:rPr>
        <w:t xml:space="preserve">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200万元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200万元</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9"/>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5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hint="eastAsia"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腹腔镜</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200</w:t>
            </w:r>
            <w:r/>
          </w:p>
        </w:tc>
        <w:tc>
          <w:tcPr>
            <w:shd w:val="clear" w:color="auto" w:fill="ffffff"/>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w:t>
            </w:r>
            <w:r/>
          </w:p>
        </w:tc>
      </w:tr>
    </w:tbl>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bCs/>
          <w:sz w:val="24"/>
          <w:szCs w:val="24"/>
        </w:rPr>
      </w:pPr>
      <w:r/>
      <w:bookmarkStart w:id="19" w:name="_Hlk240613521"/>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20" w:name="OLE_LINK1"/>
      <w:r>
        <w:rPr>
          <w:rFonts w:hint="eastAsia" w:ascii="宋体" w:hAnsi="宋体" w:eastAsia="宋体"/>
          <w:bCs/>
          <w:sz w:val="24"/>
          <w:szCs w:val="24"/>
        </w:rPr>
        <w:t xml:space="preserve">/</w:t>
      </w:r>
      <w:bookmarkEnd w:id="20"/>
      <w:r>
        <w:rPr>
          <w:rFonts w:hint="eastAsia" w:ascii="宋体" w:hAnsi="宋体" w:eastAsia="宋体"/>
          <w:bCs/>
          <w:sz w:val="24"/>
          <w:szCs w:val="24"/>
        </w:rPr>
        <w:t xml:space="preserve">医疗器械备案凭证；</w:t>
      </w:r>
      <w:bookmarkEnd w:id="19"/>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w:t>
      </w:r>
      <w:r>
        <w:rPr>
          <w:rFonts w:hint="eastAsia" w:cs="仿宋" w:asciiTheme="minorEastAsia" w:hAnsiTheme="minorEastAsia" w:eastAsiaTheme="minorEastAsia"/>
          <w:color w:val="000000" w:themeColor="text1"/>
          <w:sz w:val="24"/>
          <w:szCs w:val="24"/>
        </w:rPr>
        <w:t xml:space="preserve">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1" w:name="_Toc28359005"/>
      <w:r/>
      <w:bookmarkStart w:id="22" w:name="_Toc28359082"/>
      <w:r/>
      <w:bookmarkStart w:id="23" w:name="_Toc35393793"/>
      <w:r/>
      <w:bookmarkStart w:id="24" w:name="_Toc35393624"/>
      <w:r>
        <w:rPr>
          <w:rFonts w:hint="eastAsia" w:cs="仿宋" w:asciiTheme="minorEastAsia" w:hAnsiTheme="minorEastAsia" w:eastAsiaTheme="minorEastAsia"/>
          <w:bCs w:val="0"/>
          <w:color w:val="000000" w:themeColor="text1"/>
          <w:sz w:val="24"/>
          <w:szCs w:val="24"/>
        </w:rPr>
        <w:t xml:space="preserve">四、提交投标文件</w:t>
      </w:r>
      <w:bookmarkEnd w:id="21"/>
      <w:r/>
      <w:bookmarkEnd w:id="22"/>
      <w:r>
        <w:rPr>
          <w:rFonts w:hint="eastAsia" w:cs="仿宋" w:asciiTheme="minorEastAsia" w:hAnsiTheme="minorEastAsia" w:eastAsiaTheme="minorEastAsia"/>
          <w:bCs w:val="0"/>
          <w:color w:val="000000" w:themeColor="text1"/>
          <w:sz w:val="24"/>
          <w:szCs w:val="24"/>
        </w:rPr>
        <w:t xml:space="preserve">截止时间、开标时间和地点</w:t>
      </w:r>
      <w:bookmarkEnd w:id="23"/>
      <w:r/>
      <w:bookmarkEnd w:id="24"/>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rPr>
        <w:t xml:space="preserve">2026年10月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w:t>
      </w:r>
      <w:r>
        <w:rPr>
          <w:rFonts w:hint="eastAsia" w:cs="仿宋" w:asciiTheme="minorEastAsia" w:hAnsiTheme="minorEastAsia" w:eastAsiaTheme="minorEastAsia"/>
          <w:color w:val="000000" w:themeColor="text1"/>
          <w:sz w:val="24"/>
          <w:szCs w:val="24"/>
        </w:rPr>
        <w:t xml:space="preserve">14时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5" w:name="_Toc28359084"/>
      <w:r/>
      <w:bookmarkStart w:id="26" w:name="_Toc35393625"/>
      <w:r/>
      <w:bookmarkStart w:id="27" w:name="_Toc28359007"/>
      <w:r/>
      <w:bookmarkStart w:id="28" w:name="_Toc35393794"/>
      <w:r>
        <w:rPr>
          <w:rFonts w:hint="eastAsia" w:cs="仿宋" w:asciiTheme="minorEastAsia" w:hAnsiTheme="minorEastAsia" w:eastAsiaTheme="minorEastAsia"/>
          <w:bCs w:val="0"/>
          <w:color w:val="000000" w:themeColor="text1"/>
          <w:sz w:val="24"/>
          <w:szCs w:val="24"/>
        </w:rPr>
        <w:t xml:space="preserve">五、公告期限</w:t>
      </w:r>
      <w:bookmarkEnd w:id="25"/>
      <w:r/>
      <w:bookmarkEnd w:id="26"/>
      <w:r/>
      <w:bookmarkEnd w:id="27"/>
      <w:r/>
      <w:bookmarkEnd w:id="28"/>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2"/>
        <w:spacing w:before="0" w:after="0" w:line="360" w:lineRule="auto"/>
        <w:rPr>
          <w:rFonts w:hint="eastAsia" w:cs="仿宋" w:asciiTheme="minorEastAsia" w:hAnsiTheme="minorEastAsia" w:eastAsiaTheme="minorEastAsia"/>
          <w:bCs w:val="0"/>
          <w:color w:val="000000" w:themeColor="text1"/>
          <w:sz w:val="24"/>
          <w:szCs w:val="24"/>
        </w:rPr>
      </w:pPr>
      <w:r/>
      <w:bookmarkStart w:id="29" w:name="_Toc35393626"/>
      <w:r/>
      <w:bookmarkStart w:id="30" w:name="_Toc35393795"/>
      <w:r>
        <w:rPr>
          <w:rFonts w:hint="eastAsia" w:cs="仿宋" w:asciiTheme="minorEastAsia" w:hAnsiTheme="minorEastAsia" w:eastAsiaTheme="minorEastAsia"/>
          <w:bCs w:val="0"/>
          <w:color w:val="000000" w:themeColor="text1"/>
          <w:sz w:val="24"/>
          <w:szCs w:val="24"/>
        </w:rPr>
        <w:t xml:space="preserve">六、其他补充事宜</w:t>
      </w:r>
      <w:bookmarkEnd w:id="29"/>
      <w:r/>
      <w:bookmarkEnd w:id="30"/>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1" w:name="_Toc35393627"/>
      <w:r/>
      <w:bookmarkStart w:id="32" w:name="_Toc35393796"/>
      <w:r/>
      <w:bookmarkStart w:id="33" w:name="_Toc28359008"/>
      <w:r/>
      <w:bookmarkStart w:id="34"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5" w:name="_Hlk142317669"/>
      <w:r>
        <w:rPr>
          <w:rFonts w:hint="eastAsia" w:ascii="宋体" w:hAnsi="宋体" w:eastAsia="宋体" w:cs="宋体"/>
          <w:bCs/>
          <w:sz w:val="24"/>
          <w:szCs w:val="24"/>
        </w:rPr>
        <w:t xml:space="preserve">本项目支持</w:t>
      </w:r>
      <w:bookmarkEnd w:id="35"/>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22"/>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1"/>
      <w:r/>
      <w:bookmarkEnd w:id="32"/>
      <w:r/>
      <w:bookmarkEnd w:id="33"/>
      <w:r/>
      <w:bookmarkEnd w:id="34"/>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bookmarkStart w:id="36" w:name="_Hlk239925947"/>
      <w:r>
        <w:rPr>
          <w:rFonts w:hint="eastAsia" w:asciiTheme="minorEastAsia" w:hAnsiTheme="minorEastAsia" w:eastAsiaTheme="minorEastAsia"/>
          <w:spacing w:val="8"/>
          <w:sz w:val="24"/>
          <w:szCs w:val="24"/>
          <w:lang w:val="zh-CN"/>
        </w:rPr>
        <w:t xml:space="preserve">胡女士</w:t>
      </w:r>
      <w:bookmarkEnd w:id="36"/>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w:t>
      </w:r>
      <w:r>
        <w:rPr>
          <w:rFonts w:asciiTheme="minorEastAsia" w:hAnsiTheme="minorEastAsia" w:eastAsiaTheme="minorEastAsia"/>
          <w:spacing w:val="8"/>
          <w:sz w:val="24"/>
          <w:szCs w:val="24"/>
          <w:lang w:val="zh-CN"/>
        </w:rPr>
        <w:t xml:space="preserve">-86898382</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腹腔镜</w:t>
            </w:r>
            <w:r>
              <w:rPr>
                <w:rFonts w:hint="eastAsia" w:cs="仿宋" w:asciiTheme="minorEastAsia" w:hAnsiTheme="minorEastAsia" w:eastAsiaTheme="minorEastAsia"/>
                <w:color w:val="000000" w:themeColor="text1"/>
                <w:sz w:val="24"/>
                <w:szCs w:val="24"/>
              </w:rPr>
              <w:t xml:space="preserve">采购项目</w:t>
            </w:r>
            <w:r/>
          </w:p>
        </w:tc>
      </w:tr>
      <w:tr>
        <w:trPr>
          <w:jc w:val="center"/>
          <w:trHeight w:val="543"/>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w:t>
            </w:r>
            <w:r>
              <w:rPr>
                <w:rFonts w:hint="eastAsia" w:ascii="宋体" w:hAnsi="宋体" w:eastAsia="宋体" w:cs="仿宋"/>
                <w:sz w:val="24"/>
                <w:szCs w:val="24"/>
              </w:rPr>
              <w:t xml:space="preserve">60</w:t>
            </w:r>
            <w:r>
              <w:rPr>
                <w:rFonts w:ascii="宋体" w:hAnsi="宋体" w:eastAsia="宋体" w:cs="仿宋"/>
                <w:sz w:val="24"/>
                <w:szCs w:val="24"/>
              </w:rPr>
              <w:t xml:space="preserve">个</w:t>
            </w:r>
            <w:r>
              <w:rPr>
                <w:rFonts w:hint="eastAsia" w:ascii="宋体" w:hAnsi="宋体" w:eastAsia="宋体" w:cs="仿宋"/>
                <w:sz w:val="24"/>
                <w:szCs w:val="24"/>
              </w:rPr>
              <w:t xml:space="preserve">日历日</w:t>
            </w:r>
            <w:r>
              <w:rPr>
                <w:rFonts w:ascii="宋体" w:hAnsi="宋体" w:eastAsia="宋体" w:cs="仿宋"/>
                <w:sz w:val="24"/>
                <w:szCs w:val="24"/>
              </w:rPr>
              <w:t xml:space="preserve">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w:t>
            </w:r>
            <w:r>
              <w:rPr>
                <w:rFonts w:hint="eastAsia" w:cs="仿宋" w:asciiTheme="minorEastAsia" w:hAnsiTheme="minorEastAsia" w:eastAsiaTheme="minorEastAsia"/>
                <w:color w:val="000000" w:themeColor="text1"/>
                <w:sz w:val="24"/>
                <w:szCs w:val="24"/>
              </w:rPr>
              <w:t xml:space="preserve">投标人</w:t>
            </w:r>
            <w:r>
              <w:rPr>
                <w:rFonts w:hint="eastAsia" w:cs="仿宋" w:asciiTheme="minorEastAsia" w:hAnsiTheme="minorEastAsia" w:eastAsiaTheme="minorEastAsia"/>
                <w:color w:val="000000" w:themeColor="text1"/>
                <w:sz w:val="24"/>
                <w:szCs w:val="24"/>
              </w:rPr>
              <w:t xml:space="preserve">负责将货物运到采购人指定地点，由</w:t>
            </w:r>
            <w:r>
              <w:rPr>
                <w:rFonts w:hint="eastAsia" w:cs="仿宋" w:asciiTheme="minorEastAsia" w:hAnsiTheme="minorEastAsia" w:eastAsiaTheme="minorEastAsia"/>
                <w:color w:val="000000" w:themeColor="text1"/>
                <w:sz w:val="24"/>
                <w:szCs w:val="24"/>
              </w:rPr>
              <w:t xml:space="preserve">投标人</w:t>
            </w:r>
            <w:r>
              <w:rPr>
                <w:rFonts w:hint="eastAsia" w:cs="仿宋" w:asciiTheme="minorEastAsia" w:hAnsiTheme="minorEastAsia" w:eastAsiaTheme="minorEastAsia"/>
                <w:color w:val="000000" w:themeColor="text1"/>
                <w:sz w:val="24"/>
                <w:szCs w:val="24"/>
              </w:rPr>
              <w:t xml:space="preserve">负责办理运输和装卸等，费用由</w:t>
            </w:r>
            <w:r>
              <w:rPr>
                <w:rFonts w:hint="eastAsia" w:cs="仿宋" w:asciiTheme="minorEastAsia" w:hAnsiTheme="minorEastAsia" w:eastAsiaTheme="minorEastAsia"/>
                <w:color w:val="000000" w:themeColor="text1"/>
                <w:sz w:val="24"/>
                <w:szCs w:val="24"/>
              </w:rPr>
              <w:t xml:space="preserve">投标人</w:t>
            </w:r>
            <w:r>
              <w:rPr>
                <w:rFonts w:hint="eastAsia" w:cs="仿宋" w:asciiTheme="minorEastAsia" w:hAnsiTheme="minorEastAsia" w:eastAsiaTheme="minorEastAsia"/>
                <w:color w:val="000000" w:themeColor="text1"/>
                <w:sz w:val="24"/>
                <w:szCs w:val="24"/>
              </w:rPr>
              <w:t xml:space="preserve">负责，由采购人组织验收，检验不合格或不符合质量要求，</w:t>
            </w:r>
            <w:r>
              <w:rPr>
                <w:rFonts w:hint="eastAsia" w:cs="仿宋" w:asciiTheme="minorEastAsia" w:hAnsiTheme="minorEastAsia" w:eastAsiaTheme="minorEastAsia"/>
                <w:color w:val="000000" w:themeColor="text1"/>
                <w:sz w:val="24"/>
                <w:szCs w:val="24"/>
              </w:rPr>
              <w:t xml:space="preserve">投标人</w:t>
            </w:r>
            <w:r>
              <w:rPr>
                <w:rFonts w:hint="eastAsia" w:cs="仿宋" w:asciiTheme="minorEastAsia" w:hAnsiTheme="minorEastAsia" w:eastAsiaTheme="minorEastAsia"/>
                <w:color w:val="000000" w:themeColor="text1"/>
                <w:sz w:val="24"/>
                <w:szCs w:val="24"/>
              </w:rPr>
              <w:t xml:space="preserve">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200万元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200万元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u w:val="single"/>
              </w:rPr>
              <w:t xml:space="preserve">2026年10月</w:t>
            </w:r>
            <w:r>
              <w:rPr>
                <w:rFonts w:hint="eastAsia" w:cs="仿宋" w:asciiTheme="minorEastAsia" w:hAnsiTheme="minorEastAsia" w:eastAsiaTheme="minorEastAsia"/>
                <w:color w:val="000000" w:themeColor="text1"/>
                <w:sz w:val="24"/>
                <w:szCs w:val="24"/>
                <w:u w:val="single"/>
              </w:rPr>
              <w:t xml:space="preserve">20</w:t>
            </w:r>
            <w:r>
              <w:rPr>
                <w:rFonts w:hint="eastAsia" w:cs="仿宋" w:asciiTheme="minorEastAsia" w:hAnsiTheme="minorEastAsia" w:eastAsiaTheme="minorEastAsia"/>
                <w:color w:val="000000" w:themeColor="text1"/>
                <w:sz w:val="24"/>
                <w:szCs w:val="24"/>
                <w:u w:val="single"/>
              </w:rPr>
              <w:t xml:space="preserve">日</w:t>
            </w:r>
            <w:r>
              <w:rPr>
                <w:rFonts w:hint="eastAsia" w:cs="仿宋" w:asciiTheme="minorEastAsia" w:hAnsiTheme="minorEastAsia" w:eastAsiaTheme="minorEastAsia"/>
                <w:color w:val="000000" w:themeColor="text1"/>
                <w:sz w:val="24"/>
                <w:szCs w:val="24"/>
              </w:rPr>
              <w:t xml:space="preserve">14时</w:t>
            </w:r>
            <w:r>
              <w:rPr>
                <w:rFonts w:hint="eastAsia"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w:t>
            </w:r>
            <w:r/>
          </w:p>
        </w:tc>
      </w:tr>
      <w:tr>
        <w:trPr>
          <w:cantSplit/>
          <w:jc w:val="center"/>
          <w:trHeight w:val="535"/>
        </w:trPr>
        <w:tc>
          <w:tcPr>
            <w:tcW w:w="735"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20</w:t>
            </w:r>
            <w:r>
              <w:rPr>
                <w:rFonts w:hint="eastAsia" w:cs="仿宋" w:asciiTheme="minorEastAsia" w:hAnsiTheme="minorEastAsia" w:eastAsiaTheme="minorEastAsia"/>
                <w:color w:val="000000" w:themeColor="text1"/>
                <w:sz w:val="24"/>
                <w:szCs w:val="24"/>
              </w:rPr>
              <w:t xml:space="preserve">日14时</w:t>
            </w:r>
            <w:r>
              <w:rPr>
                <w:rFonts w:hint="eastAsia"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w:t>
            </w:r>
            <w:r>
              <w:rPr>
                <w:rFonts w:hint="eastAsia" w:cs="仿宋" w:asciiTheme="minorEastAsia" w:hAnsiTheme="minorEastAsia" w:eastAsiaTheme="minorEastAsia"/>
                <w:color w:val="000000" w:themeColor="text1"/>
                <w:sz w:val="24"/>
                <w:szCs w:val="24"/>
              </w:rPr>
              <w:t xml:space="preserve">人</w:t>
            </w:r>
            <w:r>
              <w:rPr>
                <w:rFonts w:hint="eastAsia" w:cs="仿宋" w:asciiTheme="minorEastAsia" w:hAnsiTheme="minorEastAsia" w:eastAsiaTheme="minorEastAsia"/>
                <w:color w:val="000000" w:themeColor="text1"/>
                <w:sz w:val="24"/>
                <w:szCs w:val="24"/>
              </w:rPr>
              <w:t xml:space="preserve">顺序确定中标人。</w:t>
            </w:r>
            <w:r/>
          </w:p>
        </w:tc>
      </w:tr>
      <w:tr>
        <w:trPr>
          <w:jc w:val="center"/>
          <w:trHeight w:val="2065"/>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9"/>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5"/>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166" w:type="dxa"/>
            <w:textDirection w:val="lrTb"/>
            <w:noWrap w:val="false"/>
          </w:tcPr>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本项目由泰州市卫健委组织实施集中统一采购，最终用户为各县域医共体单位，资金支付方为</w:t>
            </w:r>
            <w:r>
              <w:rPr>
                <w:rFonts w:hint="eastAsia" w:cs="仿宋" w:asciiTheme="minorEastAsia" w:hAnsiTheme="minorEastAsia" w:eastAsiaTheme="minorEastAsia"/>
                <w:bCs/>
                <w:color w:val="000000" w:themeColor="text1"/>
                <w:szCs w:val="24"/>
              </w:rPr>
              <w:t xml:space="preserve">各县域医共体单位</w:t>
            </w:r>
            <w:r>
              <w:rPr>
                <w:rFonts w:hint="eastAsia" w:cs="仿宋" w:asciiTheme="minorEastAsia" w:hAnsiTheme="minorEastAsia" w:eastAsiaTheme="minorEastAsia"/>
                <w:bCs/>
                <w:color w:val="000000" w:themeColor="text1"/>
                <w:szCs w:val="24"/>
              </w:rPr>
              <w:t xml:space="preserve">，因此本项目不适宜由采购人支付代理服务费。</w:t>
            </w:r>
            <w:r>
              <w:rPr>
                <w:rFonts w:hint="eastAsia" w:cs="仿宋" w:asciiTheme="minorEastAsia" w:hAnsiTheme="minorEastAsia" w:eastAsiaTheme="minorEastAsia"/>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由</w:t>
            </w:r>
            <w:r>
              <w:rPr>
                <w:rFonts w:hint="eastAsia" w:cs="仿宋" w:asciiTheme="minorEastAsia" w:hAnsiTheme="minorEastAsia" w:eastAsiaTheme="minorEastAsia"/>
                <w:bCs/>
                <w:color w:val="000000" w:themeColor="text1"/>
                <w:szCs w:val="24"/>
              </w:rPr>
              <w:t xml:space="preserve">中标供应商需</w:t>
            </w:r>
            <w:bookmarkStart w:id="37"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7"/>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946</w:t>
            </w:r>
            <w:r>
              <w:rPr>
                <w:rFonts w:hint="eastAsia" w:cs="仿宋" w:asciiTheme="minorEastAsia" w:hAnsiTheme="minorEastAsia" w:eastAsiaTheme="minorEastAsia"/>
                <w:bCs/>
                <w:color w:val="000000" w:themeColor="text1"/>
                <w:szCs w:val="24"/>
              </w:rPr>
              <w:t xml:space="preserve">代理服务费。</w:t>
            </w:r>
            <w:r/>
          </w:p>
          <w:p>
            <w:pPr>
              <w:pStyle w:val="1025"/>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w:t>
            </w:r>
            <w:r>
              <w:rPr>
                <w:rFonts w:hint="eastAsia" w:cs="仿宋" w:asciiTheme="minorEastAsia" w:hAnsiTheme="minorEastAsia" w:eastAsiaTheme="minorEastAsia"/>
                <w:b/>
                <w:bCs/>
                <w:color w:val="000000" w:themeColor="text1"/>
                <w:szCs w:val="24"/>
              </w:rPr>
              <w:t xml:space="preserve">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w:t>
            </w:r>
            <w:r/>
          </w:p>
        </w:tc>
        <w:tc>
          <w:tcPr>
            <w:tcW w:w="138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5"/>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2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w:t>
            </w:r>
            <w:r>
              <w:rPr>
                <w:rFonts w:hint="eastAsia" w:cs="仿宋" w:asciiTheme="minorEastAsia" w:hAnsiTheme="minorEastAsia" w:eastAsiaTheme="minorEastAsia"/>
                <w:color w:val="000000" w:themeColor="text1"/>
                <w:szCs w:val="24"/>
              </w:rPr>
              <w:t xml:space="preserve">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5"/>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4"/>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102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5"/>
        <w:ind w:firstLine="505"/>
        <w:jc w:val="both"/>
        <w:spacing w:line="360" w:lineRule="auto"/>
        <w:rPr>
          <w:rFonts w:hint="eastAsia" w:cs="仿宋" w:asciiTheme="minorEastAsia" w:hAnsiTheme="minorEastAsia" w:eastAsiaTheme="minorEastAsia"/>
          <w:b/>
          <w:bCs/>
          <w:color w:val="000000" w:themeColor="text1"/>
          <w:szCs w:val="24"/>
        </w:rPr>
      </w:pPr>
      <w:r/>
      <w:bookmarkStart w:id="39" w:name="_Hlk240382291"/>
      <w:r>
        <w:rPr>
          <w:rFonts w:hint="eastAsia" w:cs="仿宋" w:asciiTheme="minorEastAsia" w:hAnsiTheme="minorEastAsia" w:eastAsiaTheme="minorEastAsia"/>
          <w:color w:val="000000" w:themeColor="text1"/>
          <w:szCs w:val="24"/>
        </w:rPr>
        <w:t xml:space="preserve">15.1投标人对《开标一览表》中的全部</w:t>
      </w:r>
      <w:r>
        <w:rPr>
          <w:rFonts w:hint="eastAsia" w:cs="仿宋" w:asciiTheme="minorEastAsia" w:hAnsiTheme="minorEastAsia" w:eastAsiaTheme="minorEastAsia"/>
          <w:color w:val="000000" w:themeColor="text1"/>
          <w:szCs w:val="24"/>
        </w:rPr>
        <w:t xml:space="preserve">货物</w:t>
      </w:r>
      <w:r>
        <w:rPr>
          <w:rFonts w:hint="eastAsia" w:cs="仿宋" w:asciiTheme="minorEastAsia" w:hAnsiTheme="minorEastAsia" w:eastAsiaTheme="minorEastAsia"/>
          <w:color w:val="000000" w:themeColor="text1"/>
          <w:szCs w:val="24"/>
        </w:rPr>
        <w:t xml:space="preserve">的报价应包括</w:t>
      </w:r>
      <w:r>
        <w:rPr>
          <w:rFonts w:hint="eastAsia" w:cs="仿宋" w:asciiTheme="minorEastAsia" w:hAnsiTheme="minorEastAsia" w:eastAsiaTheme="minorEastAsia"/>
          <w:color w:val="000000" w:themeColor="text1"/>
          <w:szCs w:val="24"/>
        </w:rPr>
        <w:t xml:space="preserve">包装</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运输装卸、就位安装调试、第三方检测、防护评价、计量检定、培训、税费、售后等全部</w:t>
      </w:r>
      <w:r>
        <w:rPr>
          <w:rFonts w:hint="eastAsia" w:cs="仿宋" w:asciiTheme="minorEastAsia" w:hAnsiTheme="minorEastAsia" w:eastAsiaTheme="minorEastAsia"/>
          <w:color w:val="000000" w:themeColor="text1"/>
          <w:szCs w:val="24"/>
        </w:rPr>
        <w:t xml:space="preserve">报价</w:t>
      </w:r>
      <w:r>
        <w:rPr>
          <w:rFonts w:hint="eastAsia" w:cs="仿宋" w:asciiTheme="minorEastAsia" w:hAnsiTheme="minorEastAsia" w:eastAsiaTheme="minorEastAsia"/>
          <w:color w:val="000000" w:themeColor="text1"/>
          <w:szCs w:val="24"/>
        </w:rPr>
        <w:t xml:space="preserve">。</w:t>
      </w:r>
      <w:bookmarkEnd w:id="39"/>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2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9"/>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w:t>
      </w:r>
      <w:r>
        <w:rPr>
          <w:rFonts w:hint="eastAsia" w:cs="仿宋" w:asciiTheme="minorEastAsia" w:hAnsiTheme="minorEastAsia" w:eastAsiaTheme="minorEastAsia"/>
          <w:color w:val="000000" w:themeColor="text1"/>
          <w:sz w:val="24"/>
          <w:szCs w:val="24"/>
        </w:rPr>
        <w:t xml:space="preserve">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w:t>
      </w:r>
      <w:r>
        <w:rPr>
          <w:rFonts w:hint="eastAsia" w:cs="仿宋" w:asciiTheme="minorEastAsia" w:hAnsiTheme="minorEastAsia" w:eastAsiaTheme="minorEastAsia"/>
          <w:color w:val="000000" w:themeColor="text1"/>
          <w:sz w:val="24"/>
          <w:szCs w:val="24"/>
        </w:rPr>
        <w:t xml:space="preserve">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b/>
          <w:bCs/>
          <w:color w:val="000000" w:themeColor="text1"/>
          <w:sz w:val="24"/>
          <w:szCs w:val="24"/>
        </w:rPr>
      </w:pPr>
      <w:r/>
      <w:bookmarkStart w:id="40" w:name="_Hlk240382006"/>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bookmarkEnd w:id="40"/>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hint="eastAsia" w:cs="仿宋" w:asciiTheme="minorEastAsia" w:hAnsiTheme="minorEastAsia" w:eastAsiaTheme="minorEastAsia"/>
          <w:b/>
          <w:color w:val="000000" w:themeColor="text1"/>
          <w:sz w:val="24"/>
          <w:szCs w:val="24"/>
        </w:rPr>
        <w:outlineLvl w:val="0"/>
      </w:pPr>
      <w:r/>
      <w:bookmarkStart w:id="41" w:name="_Hlk240382040"/>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w:t>
      </w:r>
      <w:r>
        <w:rPr>
          <w:rFonts w:hint="eastAsia" w:cs="仿宋" w:asciiTheme="minorEastAsia" w:hAnsiTheme="minorEastAsia" w:eastAsiaTheme="minorEastAsia"/>
          <w:color w:val="000000" w:themeColor="text1"/>
          <w:szCs w:val="24"/>
        </w:rPr>
        <w:t xml:space="preserve">中标人应按规定提交履约保证金。</w:t>
      </w:r>
      <w:r/>
    </w:p>
    <w:p>
      <w:pPr>
        <w:pStyle w:val="1025"/>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w:t>
      </w:r>
      <w:r>
        <w:rPr>
          <w:rFonts w:hint="eastAsia" w:cs="仿宋" w:asciiTheme="minorEastAsia" w:hAnsiTheme="minorEastAsia" w:eastAsiaTheme="minorEastAsia"/>
          <w:color w:val="000000" w:themeColor="text1"/>
          <w:szCs w:val="24"/>
        </w:rPr>
        <w:t xml:space="preserve">中标人必须在合同签订前按规定将履约保证金交至采购人指定账户。中标人未按上述要求提交履约保证金的,采购人可取消其中标资格。</w:t>
      </w:r>
      <w:r/>
    </w:p>
    <w:p>
      <w:pPr>
        <w:pStyle w:val="1025"/>
        <w:ind w:firstLine="96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w:t>
      </w:r>
      <w:r>
        <w:rPr>
          <w:rFonts w:hint="eastAsia" w:cs="仿宋" w:asciiTheme="minorEastAsia" w:hAnsiTheme="minorEastAsia" w:eastAsiaTheme="minorEastAsia"/>
          <w:color w:val="000000" w:themeColor="text1"/>
          <w:szCs w:val="24"/>
        </w:rPr>
        <w:t xml:space="preserve">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履约保证金用以约束供应商在合同履行中的行为，弥补合同执行中由于自身行为可能给采购人带来的各种损失。</w:t>
      </w:r>
      <w:bookmarkEnd w:id="41"/>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5"/>
        <w:ind w:firstLine="431"/>
        <w:jc w:val="both"/>
        <w:spacing w:line="360" w:lineRule="auto"/>
        <w:rPr>
          <w:rFonts w:hint="eastAsia" w:cs="仿宋" w:asciiTheme="minorEastAsia" w:hAnsiTheme="minorEastAsia" w:eastAsiaTheme="minorEastAsia"/>
          <w:color w:val="000000" w:themeColor="text1"/>
          <w:szCs w:val="24"/>
        </w:rPr>
      </w:pPr>
      <w:r/>
      <w:bookmarkStart w:id="42"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w:t>
      </w:r>
      <w:r>
        <w:rPr>
          <w:rFonts w:hint="eastAsia" w:cs="仿宋" w:asciiTheme="minorEastAsia" w:hAnsiTheme="minorEastAsia" w:eastAsiaTheme="minorEastAsia"/>
          <w:color w:val="000000" w:themeColor="text1"/>
          <w:szCs w:val="24"/>
        </w:rPr>
        <w:t xml:space="preserve">已正式启用“苏采云”系统，目前已全面开通政府采购线上合同信用融资（以下简称“政采贷”）功能。成交供应商可凭政府采购合同在中征平台发起贷款申请贷款。</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5"/>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5"/>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3" w:name="_Toc388026586"/>
      <w:r/>
      <w:bookmarkEnd w:id="42"/>
      <w:r/>
      <w:r/>
    </w:p>
    <w:p>
      <w:pPr>
        <w:pStyle w:val="1025"/>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5"/>
        <w:numPr>
          <w:ilvl w:val="0"/>
          <w:numId w:val="4"/>
        </w:numPr>
        <w:ind w:firstLine="0"/>
        <w:jc w:val="center"/>
        <w:spacing w:line="360" w:lineRule="auto"/>
        <w:rPr>
          <w:rFonts w:hint="eastAsia" w:cs="仿宋" w:asciiTheme="minorEastAsia" w:hAnsiTheme="minorEastAsia" w:eastAsiaTheme="minorEastAsia"/>
          <w:color w:val="000000" w:themeColor="text1"/>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Cs w:val="24"/>
        </w:rPr>
      </w:r>
      <w:r/>
    </w:p>
    <w:p>
      <w:pPr>
        <w:pStyle w:val="1025"/>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43"/>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hint="eastAsia" w:ascii="宋体" w:hAnsi="宋体" w:eastAsia="宋体"/>
          <w:b/>
          <w:sz w:val="28"/>
          <w:szCs w:val="28"/>
        </w:rPr>
      </w:pPr>
      <w:r/>
      <w:bookmarkStart w:id="44" w:name="_Toc388026588"/>
      <w:r/>
      <w:bookmarkStart w:id="45"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9"/>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6"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腹腔镜</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一套</w:t>
            </w:r>
            <w:r/>
          </w:p>
        </w:tc>
        <w:tc>
          <w:tcPr>
            <w:shd w:val="clear" w:color="auto" w:fill="ffffff"/>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各县域医共体医院，具体名单见下表</w:t>
            </w:r>
            <w:bookmarkEnd w:id="46"/>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97"/>
        <w:gridCol w:w="3029"/>
        <w:gridCol w:w="1864"/>
      </w:tblGrid>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医共体名称</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2049"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泰州市中西医结合医院医共体</w:t>
            </w:r>
            <w:r/>
          </w:p>
        </w:tc>
        <w:tc>
          <w:tcPr>
            <w:tcW w:w="1827"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泰州市中西医结合医院</w:t>
            </w:r>
            <w:r/>
          </w:p>
        </w:tc>
        <w:tc>
          <w:tcPr>
            <w:tcW w:w="112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r>
    </w:tbl>
    <w:p>
      <w:pPr>
        <w:spacing w:line="360" w:lineRule="auto"/>
        <w:tabs>
          <w:tab w:val="left" w:pos="1260" w:leader="none"/>
        </w:tabs>
        <w:rPr>
          <w:rFonts w:hint="eastAsia" w:ascii="宋体" w:hAnsi="宋体" w:eastAsia="宋体"/>
          <w:b/>
          <w:sz w:val="24"/>
          <w:szCs w:val="24"/>
        </w:rPr>
      </w:pPr>
      <w:r>
        <w:rPr>
          <w:rFonts w:hint="eastAsia" w:ascii="宋体" w:hAnsi="宋体" w:eastAsia="宋体"/>
          <w:b/>
          <w:sz w:val="24"/>
          <w:szCs w:val="24"/>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3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3D4K荧光腹腔镜</w:t>
      </w:r>
      <w:r>
        <w:rPr>
          <w:rFonts w:hint="eastAsia" w:ascii="宋体" w:hAnsi="宋体" w:eastAsia="宋体" w:cs="宋体"/>
          <w:b/>
          <w:sz w:val="24"/>
          <w:szCs w:val="24"/>
        </w:rPr>
        <w:t xml:space="preserve">技术</w:t>
      </w:r>
      <w:r>
        <w:rPr>
          <w:rFonts w:hint="eastAsia" w:ascii="宋体" w:hAnsi="宋体" w:eastAsia="宋体" w:cs="宋体"/>
          <w:b/>
          <w:sz w:val="24"/>
          <w:szCs w:val="24"/>
        </w:rPr>
        <w:t xml:space="preserve">参数</w:t>
      </w:r>
      <w:r>
        <w:rPr>
          <w:rFonts w:hint="eastAsia" w:ascii="宋体" w:hAnsi="宋体" w:eastAsia="宋体" w:cs="宋体"/>
          <w:b/>
          <w:sz w:val="24"/>
          <w:szCs w:val="24"/>
        </w:rPr>
        <w:t xml:space="preserve">及</w:t>
      </w:r>
      <w:r>
        <w:rPr>
          <w:rFonts w:hint="eastAsia" w:ascii="宋体" w:hAnsi="宋体" w:eastAsia="宋体" w:cs="宋体"/>
          <w:b/>
          <w:sz w:val="24"/>
          <w:szCs w:val="24"/>
        </w:rPr>
        <w:t xml:space="preserve">配置</w:t>
      </w:r>
      <w:r>
        <w:rPr>
          <w:rFonts w:hint="eastAsia" w:ascii="宋体" w:hAnsi="宋体" w:eastAsia="宋体" w:cs="宋体"/>
          <w:b/>
          <w:sz w:val="24"/>
          <w:szCs w:val="24"/>
        </w:rPr>
        <w:t xml:space="preserve">要求</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一、总体要求</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1.1 设备为高端4K3D荧光腹腔镜系统，具备4K成像、3D立体视觉、荧光显影三大核心功能，适用于普外科、妇科、泌尿外科等科室微创手术。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★1.2 摄像主机、摄像头、内窥镜、冷光源、导光束、气腹机等核心部件为同一品牌，确保系统兼容性和成像质量。</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1.3 如投标产品为进口品牌，须提供制造商或总经销商针对本项目的专项授权书（完整授权链）。</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二、4K荧光3D摄像系统主机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 具备4K图像处理性能，输出≥3840×2160P超高清像素影像，支持16:9图像比例，逐行扫描，像素≥800万。</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2.2 可同时处理3D和2D画面信号，支持双路4K采集与处理，分辨率≥3840×2160P，逐行扫描。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2.3 支持≥5种图像模式（白光、重叠荧光、黑白荧光、蓝色绿色荧光、强度导航荧光等），可多模式分屏显示，实时动态同步观察对比。</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2.4</w:t>
      </w:r>
      <w:r>
        <w:rPr>
          <w:rFonts w:hint="eastAsia" w:ascii="宋体" w:hAnsi="宋体" w:eastAsia="宋体" w:cs="宋体"/>
          <w:sz w:val="24"/>
          <w:szCs w:val="24"/>
          <w:lang w:val="de-DE"/>
        </w:rPr>
        <w:t xml:space="preserve"> </w:t>
      </w:r>
      <w:r>
        <w:rPr>
          <w:rFonts w:hint="eastAsia" w:ascii="宋体" w:hAnsi="宋体" w:eastAsia="宋体" w:cs="宋体"/>
          <w:sz w:val="24"/>
          <w:szCs w:val="24"/>
          <w:lang w:val="de-DE"/>
        </w:rPr>
        <w:t xml:space="preserve">可实现单平台双镜联合功能，单台主机同时处理两个镜体信号，摄像系统主机须内置两个独立图像处理器，可同时处理两路内镜图像信号。支持在同一台监视器上以分屏或画中画模式显示两幅不同内镜（如腹腔镜、胆道镜、输尿管镜、宫腔镜）的手术画面，满足双镜联合手术需求（提供证明材料，</w:t>
      </w:r>
      <w:r>
        <w:rPr>
          <w:rFonts w:hint="eastAsia" w:ascii="宋体" w:hAnsi="宋体" w:eastAsia="宋体" w:cs="宋体"/>
          <w:sz w:val="24"/>
          <w:szCs w:val="24"/>
        </w:rPr>
        <w:t xml:space="preserve">如“双镜联合”功能的产品操作界面截图、产品彩页或医疗器械注册证复印件，并加盖公章，以证明所投型号确实具备此功能</w:t>
      </w:r>
      <w:r>
        <w:rPr>
          <w:rFonts w:hint="eastAsia" w:ascii="宋体" w:hAnsi="宋体" w:eastAsia="宋体" w:cs="宋体"/>
          <w:sz w:val="24"/>
          <w:szCs w:val="24"/>
          <w:lang w:val="de-DE"/>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t xml:space="preserve"> </w:t>
      </w:r>
      <w:r>
        <w:rPr>
          <w:rFonts w:hint="eastAsia" w:ascii="宋体" w:hAnsi="宋体" w:eastAsia="宋体" w:cs="宋体"/>
          <w:sz w:val="24"/>
          <w:szCs w:val="24"/>
        </w:rPr>
        <w:t xml:space="preserve">具备内置4K刻录功能，可通过USB接口直接存储，主机具备</w:t>
      </w: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de-DE"/>
        </w:rPr>
        <w:t xml:space="preserve">个</w:t>
      </w:r>
      <w:r>
        <w:rPr>
          <w:rFonts w:hint="eastAsia" w:ascii="宋体" w:hAnsi="宋体" w:eastAsia="宋体" w:cs="宋体"/>
          <w:sz w:val="24"/>
          <w:szCs w:val="24"/>
        </w:rPr>
        <w:t xml:space="preserve">原装内置</w:t>
      </w:r>
      <w:r>
        <w:rPr>
          <w:rFonts w:hint="eastAsia" w:ascii="宋体" w:hAnsi="宋体" w:eastAsia="宋体" w:cs="宋体"/>
          <w:sz w:val="24"/>
          <w:szCs w:val="24"/>
          <w:lang w:val="de-DE"/>
        </w:rPr>
        <w:t xml:space="preserve">USB接口，</w:t>
      </w:r>
      <w:r>
        <w:rPr>
          <w:rFonts w:hint="eastAsia" w:ascii="宋体" w:hAnsi="宋体" w:eastAsia="宋体" w:cs="宋体"/>
          <w:sz w:val="24"/>
          <w:szCs w:val="24"/>
        </w:rPr>
        <w:t xml:space="preserve">方便录像，转播，拓展及升级使用。</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2.6具有细节增强、颜色增强、亮度均匀、去雾优化等多种智能图像算法。</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▲2.7 </w:t>
      </w:r>
      <w:r>
        <w:rPr>
          <w:rFonts w:hint="eastAsia" w:ascii="宋体" w:hAnsi="宋体" w:eastAsia="宋体" w:cs="宋体"/>
          <w:sz w:val="24"/>
          <w:szCs w:val="24"/>
          <w:lang w:val="de-DE"/>
        </w:rPr>
        <w:t xml:space="preserve">主机模块化设计可搭载硬镜</w:t>
      </w:r>
      <w:r>
        <w:rPr>
          <w:rFonts w:hint="eastAsia" w:ascii="宋体" w:hAnsi="宋体" w:eastAsia="宋体" w:cs="宋体"/>
          <w:sz w:val="24"/>
          <w:szCs w:val="24"/>
        </w:rPr>
        <w:t xml:space="preserve">及电子</w:t>
      </w:r>
      <w:r>
        <w:rPr>
          <w:rFonts w:hint="eastAsia" w:ascii="宋体" w:hAnsi="宋体" w:eastAsia="宋体" w:cs="宋体"/>
          <w:sz w:val="24"/>
          <w:szCs w:val="24"/>
          <w:lang w:val="de-DE"/>
        </w:rPr>
        <w:t xml:space="preserve">软镜</w:t>
      </w:r>
      <w:r>
        <w:rPr>
          <w:rFonts w:hint="eastAsia" w:ascii="宋体" w:hAnsi="宋体" w:eastAsia="宋体" w:cs="宋体"/>
          <w:sz w:val="24"/>
          <w:szCs w:val="24"/>
        </w:rPr>
        <w:t xml:space="preserve">模块</w:t>
      </w: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或主机</w:t>
      </w:r>
      <w:r>
        <w:rPr>
          <w:rFonts w:hint="eastAsia" w:ascii="宋体" w:hAnsi="宋体" w:eastAsia="宋体" w:cs="宋体"/>
          <w:sz w:val="24"/>
          <w:szCs w:val="24"/>
          <w:lang w:val="de-DE"/>
        </w:rPr>
        <w:t xml:space="preserve">可同时连接≥3种</w:t>
      </w:r>
      <w:r>
        <w:rPr>
          <w:rFonts w:hint="eastAsia" w:ascii="宋体" w:hAnsi="宋体" w:eastAsia="宋体" w:cs="宋体"/>
          <w:sz w:val="24"/>
          <w:szCs w:val="24"/>
        </w:rPr>
        <w:t xml:space="preserve">硬镜及软镜</w:t>
      </w: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可兼容≥2种电子软镜，便于升级及售后服务</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2.8</w:t>
      </w:r>
      <w:r>
        <w:rPr>
          <w:rFonts w:hint="eastAsia" w:ascii="宋体" w:hAnsi="宋体" w:eastAsia="宋体" w:cs="宋体"/>
          <w:sz w:val="24"/>
          <w:szCs w:val="24"/>
          <w:lang w:val="de-DE"/>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de-DE"/>
        </w:rPr>
        <w:t xml:space="preserve">至少包括2个DP口，1个12G/3G-SDI,1个DVI口，</w:t>
      </w:r>
      <w:r>
        <w:rPr>
          <w:rFonts w:hint="eastAsia" w:ascii="宋体" w:hAnsi="宋体" w:eastAsia="宋体" w:cs="宋体"/>
          <w:sz w:val="24"/>
          <w:szCs w:val="24"/>
        </w:rPr>
        <w:t xml:space="preserve">具备同类集总控制</w:t>
      </w:r>
      <w:r>
        <w:rPr>
          <w:rFonts w:hint="eastAsia" w:ascii="宋体" w:hAnsi="宋体" w:eastAsia="宋体" w:cs="宋体"/>
          <w:sz w:val="24"/>
          <w:szCs w:val="24"/>
        </w:rPr>
        <w:t xml:space="preserve">功能</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2.9 具有用户配置功能，医生可自定义≥5种参数保存并直接调用。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2.10 主机可兼容3D镜和外视镜，支持通过摄像头按键、控制手柄或键盘等方式操控气腹机及电子调光冷光源。投标人应在投标文件中提供满足此项功能要求的证明材料，证明材料包括但不限于产品注册证、技术白皮书、公开发行的彩页、第三方检测报告或软件界面截图等，以证明所投产品具备开放的控制协议或成熟的第三方控制方案。</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▲2.11</w:t>
      </w:r>
      <w:r>
        <w:rPr>
          <w:rFonts w:hint="eastAsia" w:ascii="宋体" w:hAnsi="宋体" w:eastAsia="宋体" w:cs="宋体"/>
          <w:sz w:val="24"/>
          <w:szCs w:val="24"/>
          <w:lang w:val="de-DE"/>
        </w:rPr>
        <w:t xml:space="preserve"> </w:t>
      </w:r>
      <w:r>
        <w:rPr>
          <w:rFonts w:hint="eastAsia" w:ascii="宋体" w:hAnsi="宋体" w:eastAsia="宋体" w:cs="宋体"/>
          <w:sz w:val="24"/>
          <w:szCs w:val="24"/>
          <w:lang w:val="de-DE"/>
        </w:rPr>
        <w:t xml:space="preserve">配备该机型可兼容</w:t>
      </w:r>
      <w:r>
        <w:rPr>
          <w:rFonts w:hint="eastAsia" w:ascii="宋体" w:hAnsi="宋体" w:eastAsia="宋体" w:cs="宋体"/>
          <w:sz w:val="24"/>
          <w:szCs w:val="24"/>
        </w:rPr>
        <w:t xml:space="preserve">主流</w:t>
      </w:r>
      <w:r>
        <w:rPr>
          <w:rFonts w:hint="eastAsia" w:ascii="宋体" w:hAnsi="宋体" w:eastAsia="宋体" w:cs="宋体"/>
          <w:sz w:val="24"/>
          <w:szCs w:val="24"/>
          <w:lang w:val="de-DE"/>
        </w:rPr>
        <w:t xml:space="preserve">品牌可复用软镜，</w:t>
      </w:r>
      <w:r>
        <w:rPr>
          <w:rFonts w:hint="eastAsia" w:ascii="宋体" w:hAnsi="宋体" w:eastAsia="宋体" w:cs="宋体"/>
          <w:sz w:val="24"/>
          <w:szCs w:val="24"/>
        </w:rPr>
        <w:t xml:space="preserve">提高设备使用率</w:t>
      </w:r>
      <w:r>
        <w:rPr>
          <w:rFonts w:hint="eastAsia" w:ascii="宋体" w:hAnsi="宋体" w:eastAsia="宋体" w:cs="宋体"/>
          <w:sz w:val="24"/>
          <w:szCs w:val="24"/>
          <w:lang w:val="de-DE"/>
        </w:rPr>
        <w:t xml:space="preserve">（提供医疗器械注册证或说明书证明材料）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lang w:val="de-DE"/>
        </w:rPr>
        <w:t xml:space="preserve">2.</w:t>
      </w:r>
      <w:r>
        <w:rPr>
          <w:rFonts w:hint="eastAsia" w:ascii="宋体" w:hAnsi="宋体" w:eastAsia="宋体" w:cs="宋体"/>
          <w:sz w:val="24"/>
          <w:szCs w:val="24"/>
        </w:rPr>
        <w:t xml:space="preserve">12</w:t>
      </w:r>
      <w:r>
        <w:rPr>
          <w:rFonts w:hint="eastAsia" w:ascii="宋体" w:hAnsi="宋体" w:eastAsia="宋体" w:cs="宋体"/>
          <w:sz w:val="24"/>
          <w:szCs w:val="24"/>
          <w:lang w:val="de-DE"/>
        </w:rPr>
        <w:t xml:space="preserve">主机≥5种影像增强功能，可根据手术需要，动态调节画面亮度，暗处增亮并降低反光；可实现图像色彩增益；≥2种腔镜光谱分析处理模式，可提高对血管及组织的辨识度</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w:t>
      </w:r>
      <w:r>
        <w:rPr>
          <w:rFonts w:hint="eastAsia" w:ascii="宋体" w:hAnsi="宋体" w:eastAsia="宋体" w:cs="宋体"/>
          <w:sz w:val="24"/>
          <w:szCs w:val="24"/>
          <w:lang w:val="de-DE"/>
        </w:rPr>
        <w:t xml:space="preserve">2.</w:t>
      </w:r>
      <w:r>
        <w:rPr>
          <w:rFonts w:hint="eastAsia" w:ascii="宋体" w:hAnsi="宋体" w:eastAsia="宋体" w:cs="宋体"/>
          <w:sz w:val="24"/>
          <w:szCs w:val="24"/>
        </w:rPr>
        <w:t xml:space="preserve">13</w:t>
      </w:r>
      <w:r>
        <w:rPr>
          <w:rFonts w:hint="eastAsia" w:ascii="宋体" w:hAnsi="宋体" w:eastAsia="宋体" w:cs="宋体"/>
          <w:sz w:val="24"/>
          <w:szCs w:val="24"/>
        </w:rPr>
        <w:t xml:space="preserve"> </w:t>
      </w:r>
      <w:r>
        <w:rPr>
          <w:rFonts w:hint="eastAsia" w:ascii="宋体" w:hAnsi="宋体" w:eastAsia="宋体" w:cs="宋体"/>
          <w:sz w:val="24"/>
          <w:szCs w:val="24"/>
          <w:lang w:val="de-DE"/>
        </w:rPr>
        <w:t xml:space="preserve">电气安全：医用设备电气安全CF级别I类防护，可应用于心脏设备。（提供产品说明书作为证明材料并标注在投标文件中）。</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w:t>
      </w:r>
      <w:r>
        <w:rPr>
          <w:rFonts w:hint="eastAsia" w:ascii="宋体" w:hAnsi="宋体" w:eastAsia="宋体" w:cs="宋体"/>
          <w:sz w:val="24"/>
          <w:szCs w:val="24"/>
          <w:lang w:val="de-DE"/>
        </w:rPr>
        <w:t xml:space="preserve">2.</w:t>
      </w:r>
      <w:r>
        <w:rPr>
          <w:rFonts w:hint="eastAsia" w:ascii="宋体" w:hAnsi="宋体" w:eastAsia="宋体" w:cs="宋体"/>
          <w:sz w:val="24"/>
          <w:szCs w:val="24"/>
        </w:rPr>
        <w:t xml:space="preserve">14</w:t>
      </w:r>
      <w:r>
        <w:rPr>
          <w:rFonts w:hint="eastAsia" w:ascii="宋体" w:hAnsi="宋体" w:eastAsia="宋体" w:cs="宋体"/>
          <w:sz w:val="24"/>
          <w:szCs w:val="24"/>
        </w:rPr>
        <w:t xml:space="preserve"> </w:t>
      </w:r>
      <w:r>
        <w:rPr>
          <w:rFonts w:hint="eastAsia" w:ascii="宋体" w:hAnsi="宋体" w:eastAsia="宋体" w:cs="宋体"/>
          <w:sz w:val="24"/>
          <w:szCs w:val="24"/>
          <w:lang w:val="de-DE"/>
        </w:rPr>
        <w:t xml:space="preserve">主机系统应具备前瞻性设计，支持后续升级兼容≤5mm 3D电子镜等新技术。投标人须提供产品技术白皮书或制造商出具的升级可行性方案说明，详细阐述实现该兼容性的技术路径，并承诺在相关镜种取得注册证后及时提供兼容升级服务。</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lang w:val="de-DE"/>
        </w:rPr>
        <w:t xml:space="preserve">2.</w:t>
      </w:r>
      <w:r>
        <w:rPr>
          <w:rFonts w:hint="eastAsia" w:ascii="宋体" w:hAnsi="宋体" w:eastAsia="宋体" w:cs="宋体"/>
          <w:sz w:val="24"/>
          <w:szCs w:val="24"/>
        </w:rPr>
        <w:t xml:space="preserve">15 </w:t>
      </w:r>
      <w:r>
        <w:rPr>
          <w:rFonts w:hint="eastAsia" w:ascii="宋体" w:hAnsi="宋体" w:eastAsia="宋体" w:cs="宋体"/>
          <w:sz w:val="24"/>
          <w:szCs w:val="24"/>
          <w:lang w:val="de-DE"/>
        </w:rPr>
        <w:t xml:space="preserve">摄像系统主机须可同时兼容招标配置的3D荧光电子镜与2D 4K荧光摄像头，实现即插即用，无需额外配置模块。</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lang w:val="de-DE"/>
        </w:rPr>
        <w:t xml:space="preserve">2.16 可连接≥2种不同品牌的2D光学硬镜（提供兼容品牌列表及证明）。</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三、3D电子腹腔镜</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lang w:val="de-DE"/>
        </w:rPr>
        <w:t xml:space="preserve">★</w:t>
      </w:r>
      <w:r>
        <w:rPr>
          <w:rFonts w:hint="eastAsia" w:ascii="宋体" w:hAnsi="宋体" w:eastAsia="宋体" w:cs="宋体"/>
          <w:sz w:val="24"/>
          <w:szCs w:val="24"/>
        </w:rPr>
        <w:t xml:space="preserve">3.1</w:t>
      </w:r>
      <w:r>
        <w:rPr>
          <w:rFonts w:hint="eastAsia" w:ascii="宋体" w:hAnsi="宋体" w:eastAsia="宋体" w:cs="宋体"/>
          <w:sz w:val="24"/>
          <w:szCs w:val="24"/>
          <w:lang w:val="de-DE"/>
        </w:rPr>
        <w:t xml:space="preserve"> </w:t>
      </w:r>
      <w:r>
        <w:rPr>
          <w:rFonts w:hint="eastAsia" w:ascii="宋体" w:hAnsi="宋体" w:eastAsia="宋体" w:cs="宋体"/>
          <w:sz w:val="24"/>
          <w:szCs w:val="24"/>
        </w:rPr>
        <w:t xml:space="preserve">一体化4K-3D荧光电子内窥镜，双路4K CMOS设计，支持2D 白光和荧光、3D 白光和荧光成像，支持≥3840*2160 像素高清视频显示。 （非光学镜+摄像头分体式）。</w:t>
      </w:r>
      <w:r>
        <w:rPr>
          <w:rFonts w:hint="eastAsia" w:ascii="宋体" w:hAnsi="宋体" w:eastAsia="宋体" w:cs="宋体"/>
          <w:sz w:val="24"/>
          <w:szCs w:val="24"/>
          <w:lang w:val="de-DE"/>
        </w:rPr>
        <w:t xml:space="preserve">（提供对应产品的医疗器械注册证或检验报告作</w:t>
      </w:r>
      <w:r>
        <w:rPr>
          <w:rFonts w:hint="eastAsia" w:ascii="宋体" w:hAnsi="宋体" w:eastAsia="宋体" w:cs="宋体"/>
          <w:sz w:val="24"/>
          <w:szCs w:val="24"/>
        </w:rPr>
        <w:t xml:space="preserve">等</w:t>
      </w:r>
      <w:r>
        <w:rPr>
          <w:rFonts w:hint="eastAsia" w:ascii="宋体" w:hAnsi="宋体" w:eastAsia="宋体" w:cs="宋体"/>
          <w:sz w:val="24"/>
          <w:szCs w:val="24"/>
          <w:lang w:val="de-DE"/>
        </w:rPr>
        <w:t xml:space="preserve">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lang w:val="de-DE"/>
        </w:rPr>
        <w:t xml:space="preserve">3.2 镜体规格：直径≥10mm，视向角30°，工作长度≥320mm。</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lang w:val="de-DE"/>
        </w:rPr>
        <w:t xml:space="preserve">大景深技术，景深范围</w:t>
      </w:r>
      <w:r>
        <w:rPr>
          <w:rFonts w:hint="eastAsia" w:ascii="宋体" w:hAnsi="宋体" w:eastAsia="宋体" w:cs="宋体"/>
          <w:sz w:val="24"/>
          <w:szCs w:val="24"/>
        </w:rPr>
        <w:t xml:space="preserve">下限≤3</w:t>
      </w:r>
      <w:r>
        <w:rPr>
          <w:rFonts w:hint="eastAsia" w:ascii="宋体" w:hAnsi="宋体" w:eastAsia="宋体" w:cs="宋体"/>
          <w:sz w:val="24"/>
          <w:szCs w:val="24"/>
          <w:lang w:val="de-DE"/>
        </w:rPr>
        <w:t xml:space="preserve">0mm，</w:t>
      </w:r>
      <w:r>
        <w:rPr>
          <w:rFonts w:hint="eastAsia" w:ascii="宋体" w:hAnsi="宋体" w:eastAsia="宋体" w:cs="宋体"/>
          <w:sz w:val="24"/>
          <w:szCs w:val="24"/>
        </w:rPr>
        <w:t xml:space="preserve">上限≥</w:t>
      </w:r>
      <w:r>
        <w:rPr>
          <w:rFonts w:hint="eastAsia" w:ascii="宋体" w:hAnsi="宋体" w:eastAsia="宋体" w:cs="宋体"/>
          <w:sz w:val="24"/>
          <w:szCs w:val="24"/>
          <w:lang w:val="de-DE"/>
        </w:rPr>
        <w:t xml:space="preserve">200mm，免调焦或自动对焦设计。（提供证明材料）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3.4  3</w:t>
      </w:r>
      <w:r>
        <w:rPr>
          <w:rFonts w:hint="eastAsia" w:ascii="宋体" w:hAnsi="宋体" w:eastAsia="宋体" w:cs="宋体"/>
          <w:sz w:val="24"/>
          <w:szCs w:val="24"/>
        </w:rPr>
        <w:t xml:space="preserve">D/2D图像自动旋转回正功能：3D模式下镜体旋转时图像自动回正。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3.5  镜头前端具备主动加热防雾功能。</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▲3.6防水防尘，支持高温高压灭菌（≥500次）、低温等离子、环氧乙烷灭菌。</w:t>
      </w:r>
      <w:r>
        <w:rPr>
          <w:rFonts w:hint="eastAsia" w:ascii="宋体" w:hAnsi="宋体" w:eastAsia="宋体" w:cs="宋体"/>
          <w:sz w:val="24"/>
          <w:szCs w:val="24"/>
          <w:lang w:val="de-DE"/>
        </w:rPr>
        <w:t xml:space="preserve">（提供</w:t>
      </w:r>
      <w:r>
        <w:rPr>
          <w:rFonts w:hint="eastAsia" w:ascii="宋体" w:hAnsi="宋体" w:eastAsia="宋体" w:cs="宋体"/>
          <w:sz w:val="24"/>
          <w:szCs w:val="24"/>
        </w:rPr>
        <w:t xml:space="preserve">原版说明书或彩页等相关佐证</w:t>
      </w:r>
      <w:r>
        <w:rPr>
          <w:rFonts w:hint="eastAsia" w:ascii="宋体" w:hAnsi="宋体" w:eastAsia="宋体" w:cs="宋体"/>
          <w:sz w:val="24"/>
          <w:szCs w:val="24"/>
          <w:lang w:val="de-DE"/>
        </w:rPr>
        <w:t xml:space="preserve">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3.7 摄像头按键：≥3个自定义按键，可设置≥20种快捷功能（白平衡、拍照、录像、一键切换2D/3D、亮度调节等）。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3.8 前端镜头+握持手柄整体重量≤420g。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▲3.9主机兼容不同粗细规格的3D电子硬镜（须提供产品彩页及注册证等证明材料）</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四、荧光成像性能</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4.1支持多种荧光显示模式，实时动态同步观察对比。</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4.2</w:t>
      </w:r>
      <w:r>
        <w:rPr>
          <w:rFonts w:hint="eastAsia" w:ascii="宋体" w:hAnsi="宋体" w:eastAsia="宋体" w:cs="宋体"/>
          <w:sz w:val="24"/>
          <w:szCs w:val="24"/>
          <w:lang w:val="de-DE"/>
        </w:rPr>
        <w:t xml:space="preserve">具备电子染色功能：至少包含两种光谱分析处理模式，增强不同组织色差，增加淋巴组织的辨识度，突出细微血管的显像。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五、医用冷光源</w:t>
      </w:r>
      <w:r/>
    </w:p>
    <w:p>
      <w:pPr>
        <w:jc w:val="left"/>
        <w:spacing w:line="360" w:lineRule="auto"/>
        <w:tabs>
          <w:tab w:val="left" w:pos="1260" w:leader="none"/>
        </w:tabs>
        <w:rPr>
          <w:rFonts w:hint="eastAsia" w:ascii="宋体" w:hAnsi="宋体" w:eastAsia="宋体" w:cs="宋体"/>
          <w:sz w:val="24"/>
          <w:szCs w:val="24"/>
          <w:lang w:val="de-DE"/>
        </w:rPr>
      </w:pPr>
      <w:r>
        <w:rPr>
          <w:rFonts w:hint="eastAsia" w:ascii="宋体" w:hAnsi="宋体" w:eastAsia="宋体" w:cs="宋体"/>
          <w:sz w:val="24"/>
          <w:szCs w:val="24"/>
        </w:rPr>
        <w:t xml:space="preserve">5.1</w:t>
      </w:r>
      <w:r>
        <w:rPr>
          <w:rFonts w:ascii="宋体" w:hAnsi="宋体" w:eastAsia="宋体" w:cs="宋体"/>
          <w:sz w:val="24"/>
          <w:szCs w:val="24"/>
        </w:rPr>
        <w:t xml:space="preserve"> </w:t>
      </w:r>
      <w:r>
        <w:rPr>
          <w:rFonts w:hint="eastAsia" w:ascii="宋体" w:hAnsi="宋体" w:eastAsia="宋体" w:cs="宋体"/>
          <w:sz w:val="24"/>
          <w:szCs w:val="24"/>
          <w:lang w:val="de-DE"/>
        </w:rPr>
        <w:t xml:space="preserve">冷光源采用LED技术实现白光照明，支持近红外荧光成像功能（如配合ICG使用），光源安全等级应符合GB 9706.1及相关医用激光安全标准（需提供第三方检测报告）。</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5.2  LED灯泡工作寿命≥30000小时。</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5.3 具备主机光源联动功能，可根据手术视野自动智能调节亮度，响应时间＜10ms，自动/手动切换顺畅，防瞬间过曝与眩光。</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▲5.4</w:t>
      </w:r>
      <w:r>
        <w:rPr>
          <w:rFonts w:hint="eastAsia" w:ascii="宋体" w:hAnsi="宋体" w:eastAsia="宋体" w:cs="宋体"/>
          <w:sz w:val="24"/>
          <w:szCs w:val="24"/>
        </w:rPr>
        <w:t xml:space="preserve"> </w:t>
      </w:r>
      <w:r>
        <w:rPr>
          <w:rFonts w:hint="eastAsia" w:ascii="宋体" w:hAnsi="宋体" w:eastAsia="宋体" w:cs="宋体"/>
          <w:sz w:val="24"/>
          <w:szCs w:val="24"/>
        </w:rPr>
        <w:t xml:space="preserve">冷光源调光功能要求：</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hint="eastAsia" w:ascii="宋体" w:hAnsi="宋体" w:eastAsia="宋体" w:cs="宋体"/>
          <w:sz w:val="24"/>
          <w:szCs w:val="24"/>
        </w:rPr>
        <w:t xml:space="preserve">1. 支持手动与自动调光，自动调光可根据画面亮度实时调节光输出。</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hint="eastAsia" w:ascii="宋体" w:hAnsi="宋体" w:eastAsia="宋体" w:cs="宋体"/>
          <w:sz w:val="24"/>
          <w:szCs w:val="24"/>
        </w:rPr>
        <w:t xml:space="preserve">2. 手动调光亮度0-100%连续可调，调节精度≤5%，触摸屏实时显示亮度百分比。</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t xml:space="preserve">3</w:t>
      </w:r>
      <w:r>
        <w:rPr>
          <w:rFonts w:hint="eastAsia" w:ascii="宋体" w:hAnsi="宋体" w:eastAsia="宋体" w:cs="宋体"/>
          <w:sz w:val="24"/>
          <w:szCs w:val="24"/>
        </w:rPr>
        <w:t xml:space="preserve">. 色温≥5600K，调光过程色温恒定不变。</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t xml:space="preserve">4</w:t>
      </w:r>
      <w:r>
        <w:rPr>
          <w:rFonts w:hint="eastAsia" w:ascii="宋体" w:hAnsi="宋体" w:eastAsia="宋体" w:cs="宋体"/>
          <w:sz w:val="24"/>
          <w:szCs w:val="24"/>
        </w:rPr>
        <w:t xml:space="preserve">. 可通过摄像头按键或主机面板调节亮度，无需手动操作冷光源主机。</w:t>
      </w:r>
      <w:r/>
    </w:p>
    <w:p>
      <w:pPr>
        <w:ind w:firstLine="480"/>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5.4.</w:t>
      </w:r>
      <w:r>
        <w:rPr>
          <w:rFonts w:ascii="宋体" w:hAnsi="宋体" w:eastAsia="宋体" w:cs="宋体"/>
          <w:sz w:val="24"/>
          <w:szCs w:val="24"/>
        </w:rPr>
        <w:t xml:space="preserve">5</w:t>
      </w:r>
      <w:r>
        <w:rPr>
          <w:rFonts w:hint="eastAsia" w:ascii="宋体" w:hAnsi="宋体" w:eastAsia="宋体" w:cs="宋体"/>
          <w:sz w:val="24"/>
          <w:szCs w:val="24"/>
        </w:rPr>
        <w:t xml:space="preserve">. 设备关机后自动记忆上次亮度设定值。</w:t>
      </w:r>
      <w:r/>
    </w:p>
    <w:p>
      <w:pPr>
        <w:ind w:firstLine="480"/>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（证明材料要求：提供产品技术白皮书或第三方检测报告）</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5.5 导光束：配备≥2根，长度≥3米。</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六、医用监视器</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6.1 4K医用监视器，屏幕尺寸≥32英寸，分辨率≥3840×2160，支持2D/3D兼容显示。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▲6.2</w:t>
      </w:r>
      <w:r>
        <w:rPr>
          <w:rFonts w:ascii="宋体" w:hAnsi="宋体" w:eastAsia="宋体" w:cs="宋体"/>
          <w:sz w:val="24"/>
          <w:szCs w:val="24"/>
        </w:rPr>
        <w:t xml:space="preserve">  </w:t>
      </w:r>
      <w:r>
        <w:rPr>
          <w:rFonts w:hint="eastAsia" w:ascii="宋体" w:hAnsi="宋体" w:eastAsia="宋体" w:cs="宋体"/>
          <w:sz w:val="24"/>
          <w:szCs w:val="24"/>
        </w:rPr>
        <w:t xml:space="preserve">信号输入\输出方式不少于:3G-SDI、DVI、DVI、模拟信号等多规格标准的图像输入输出接口。</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▲6.3</w:t>
      </w:r>
      <w:r>
        <w:rPr>
          <w:rFonts w:ascii="宋体" w:hAnsi="宋体" w:eastAsia="宋体" w:cs="宋体"/>
          <w:sz w:val="24"/>
          <w:szCs w:val="24"/>
        </w:rPr>
        <w:t xml:space="preserve">  </w:t>
      </w:r>
      <w:r>
        <w:rPr>
          <w:rFonts w:hint="eastAsia" w:ascii="宋体" w:hAnsi="宋体" w:eastAsia="宋体" w:cs="宋体"/>
          <w:sz w:val="24"/>
          <w:szCs w:val="24"/>
        </w:rPr>
        <w:t xml:space="preserve">4K3D专业显示器，尺寸≥32英寸，分辨率≥3840x2160，最大亮度≥850cd/㎡，对比度≥1500:1，可视角度≥178°，带有3C或CQC认证。（提供证明材料）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6.4 配备3D偏振眼镜≥10副。</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七、气腹机</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★7.1 灌流速度最高达40L/min；流速调节范围:1-40L/min</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7.2 压力范围1-30mmHg可调，气压显示准确性≤±2mmHg。</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7.3 具备小儿模式、成人模式等多种手术模式。</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7.4 具备≥7 寸触摸式图文显示屏设备，在整个气腹过程中显示准确的监测数据，可随时通过触摸屏准确调节设定值。</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▲7.5电器安全要求为等级CF级，使用安全可靠；具备同类集总控制功能，可一键开启控制。</w:t>
      </w:r>
      <w:r>
        <w:rPr>
          <w:rFonts w:hint="eastAsia" w:ascii="宋体" w:hAnsi="宋体" w:eastAsia="宋体" w:cs="宋体"/>
          <w:sz w:val="24"/>
          <w:szCs w:val="24"/>
          <w:lang w:val="de-DE"/>
        </w:rPr>
        <w:t xml:space="preserve">（提供证明材料）</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7.6 使用寿命不少于10年</w:t>
      </w:r>
      <w:r>
        <w:rPr>
          <w:rFonts w:hint="eastAsia" w:ascii="宋体" w:hAnsi="宋体" w:eastAsia="宋体" w:cs="宋体"/>
          <w:sz w:val="24"/>
          <w:szCs w:val="24"/>
          <w:lang w:val="de-DE"/>
        </w:rPr>
        <w:t xml:space="preserve">（提供证明材料）</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八、2D摄像头1套（选配项，不参与评分）</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8.1摄像头具有双CMOS成像芯片，分别针对白光和荧光独立成像，互不干扰。</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8.2摄像头可接收可见光和近红外荧光，支持可见光和荧光成像。具有手自一体化对焦功能，可短按AF键实现一键自动对焦，也可通过旋转转轮实现手动对焦。</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8.3 摄像头可以控制光源开关，调整白光、荧光亮度；摄像头具有开关计时器功能，控制计时器开始/停止记录手术时间。具有≥3个自定义摄像头按键，可</w:t>
      </w:r>
      <w:r>
        <w:rPr>
          <w:rFonts w:hint="eastAsia" w:ascii="宋体" w:hAnsi="宋体" w:eastAsia="宋体" w:cs="宋体"/>
          <w:sz w:val="24"/>
          <w:szCs w:val="24"/>
        </w:rPr>
        <w:t xml:space="preserve">设置≥20种快捷功能，可实现光源开关、亮度调整、计时器、白平衡、拍照、录像、电子放大、切换图像模式等功能设置。</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8.4摄像头重量≤260g精巧轻便，减少握持压力，可适配31.75mm直径标准目镜卡口的各类光学视管。</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说明：此项作为选配项，要求选配最佳配置进行单项报价，质保期内泰州市中西医结合医院若有需求可直接进行配套采购，供应商及生产厂家报价不得高于此价。</w:t>
      </w:r>
      <w:r/>
    </w:p>
    <w:p>
      <w:pPr>
        <w:jc w:val="left"/>
        <w:spacing w:line="360" w:lineRule="auto"/>
        <w:tabs>
          <w:tab w:val="left" w:pos="1260" w:leader="none"/>
        </w:tabs>
        <w:rPr>
          <w:rFonts w:hint="eastAsia" w:ascii="宋体" w:hAnsi="宋体" w:eastAsia="宋体" w:cs="宋体"/>
          <w:b/>
          <w:sz w:val="24"/>
          <w:szCs w:val="24"/>
        </w:rPr>
      </w:pPr>
      <w:r>
        <w:rPr>
          <w:rFonts w:hint="eastAsia" w:ascii="宋体" w:hAnsi="宋体" w:eastAsia="宋体" w:cs="宋体"/>
          <w:b/>
          <w:sz w:val="24"/>
          <w:szCs w:val="24"/>
        </w:rPr>
        <w:t xml:space="preserve">九、2D光学镜2套（选配项，不参与评分）</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9.1与摄像主机为同一制造商，以确保成像链的匹配程度高。</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9.2支持压力蒸汽灭菌、环氧乙烷灭菌和低温等离子灭菌。</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9.3大景深光学视管，有效景深3mm-200mm；直径10mm， 30度视野方向，视野角度≥80°，工作长度≥310mm，视场中心角分辨力≥2.0C/(°)。</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9.4显色指数≥90，更好的色差分辨能力和色彩还原性。</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说明：此项作为选配项，要求选配最佳配置进行单项报价，质保期内</w:t>
      </w:r>
      <w:r>
        <w:rPr>
          <w:rFonts w:hint="eastAsia" w:ascii="宋体" w:hAnsi="宋体" w:eastAsia="宋体" w:cs="宋体"/>
          <w:sz w:val="24"/>
          <w:szCs w:val="24"/>
        </w:rPr>
        <w:t xml:space="preserve">最终用户如</w:t>
      </w:r>
      <w:r>
        <w:rPr>
          <w:rFonts w:hint="eastAsia" w:ascii="宋体" w:hAnsi="宋体" w:eastAsia="宋体" w:cs="宋体"/>
          <w:sz w:val="24"/>
          <w:szCs w:val="24"/>
        </w:rPr>
        <w:t xml:space="preserve">需采购，</w:t>
      </w:r>
      <w:r>
        <w:rPr>
          <w:rFonts w:hint="eastAsia" w:ascii="宋体" w:hAnsi="宋体" w:eastAsia="宋体" w:cs="宋体"/>
          <w:sz w:val="24"/>
          <w:szCs w:val="24"/>
        </w:rPr>
        <w:t xml:space="preserve">供货价</w:t>
      </w:r>
      <w:r>
        <w:rPr>
          <w:rFonts w:hint="eastAsia" w:ascii="宋体" w:hAnsi="宋体" w:eastAsia="宋体" w:cs="宋体"/>
          <w:sz w:val="24"/>
          <w:szCs w:val="24"/>
        </w:rPr>
        <w:t xml:space="preserve">不得高于此价。</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★十、配置清单</w:t>
      </w:r>
      <w:r/>
    </w:p>
    <w:tbl>
      <w:tblPr>
        <w:tblStyle w:val="863"/>
        <w:tblpPr w:horzAnchor="page" w:tblpX="2521" w:vertAnchor="text" w:tblpY="428" w:leftFromText="180" w:topFromText="0" w:rightFromText="180" w:bottomFromText="0"/>
        <w:tblW w:w="0" w:type="auto"/>
        <w:tblLook w:val="04A0" w:firstRow="1" w:lastRow="0" w:firstColumn="1" w:lastColumn="0" w:noHBand="0" w:noVBand="1"/>
      </w:tblPr>
      <w:tblGrid>
        <w:gridCol w:w="653"/>
        <w:gridCol w:w="4369"/>
        <w:gridCol w:w="2034"/>
      </w:tblGrid>
      <w:tr>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数量</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主机+摄像模块</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1套</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4K-3D荧光三合一电子镜，30°</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2根</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电子镜消毒盒  </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2个</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纤维导光束</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2根</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LED 冷光源</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气腹机（40L）</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气腹管</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1根</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32寸4K3D医用监视器</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3D偏振眼镜，防雾式</w:t>
            </w:r>
            <w:r>
              <w:rPr>
                <w:rFonts w:hint="eastAsia" w:ascii="宋体" w:hAnsi="宋体" w:eastAsia="宋体" w:cs="宋体"/>
                <w:sz w:val="24"/>
                <w:szCs w:val="24"/>
              </w:rPr>
              <w:tab/>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10付</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原装专用台车</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1台</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可弯持针钳</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1套</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弯头分离钳（17mm）</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1套</w:t>
            </w:r>
            <w:r/>
          </w:p>
        </w:tc>
      </w:tr>
      <w:tr>
        <w:trPr/>
        <w:tc>
          <w:tcPr>
            <w:tcBorders>
              <w:top w:val="single" w:color="auto" w:sz="4" w:space="0"/>
              <w:left w:val="single" w:color="auto" w:sz="4" w:space="0"/>
              <w:bottom w:val="single" w:color="auto" w:sz="4" w:space="0"/>
              <w:right w:val="single" w:color="auto" w:sz="4" w:space="0"/>
            </w:tcBorders>
            <w:tcW w:w="653"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4369" w:type="dxa"/>
            <w:vAlign w:val="center"/>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无创抓取钳</w:t>
            </w:r>
            <w:r/>
          </w:p>
        </w:tc>
        <w:tc>
          <w:tcPr>
            <w:tcBorders>
              <w:top w:val="single" w:color="auto" w:sz="4" w:space="0"/>
              <w:left w:val="single" w:color="auto" w:sz="4" w:space="0"/>
              <w:bottom w:val="single" w:color="auto" w:sz="4" w:space="0"/>
              <w:right w:val="single" w:color="auto" w:sz="4" w:space="0"/>
            </w:tcBorders>
            <w:tcW w:w="2034" w:type="dxa"/>
            <w:textDirection w:val="lrTb"/>
            <w:noWrap w:val="false"/>
          </w:tcPr>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1套</w:t>
            </w:r>
            <w:r/>
          </w:p>
        </w:tc>
      </w:tr>
    </w:tbl>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hint="eastAsia"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bookmarkStart w:id="47" w:name="OLE_LINK4"/>
            <w:r>
              <w:rPr>
                <w:rFonts w:ascii="宋体" w:hAnsi="宋体" w:eastAsia="宋体" w:cs="仿宋"/>
                <w:sz w:val="24"/>
                <w:szCs w:val="24"/>
              </w:rPr>
              <w:t xml:space="preserve">合同签订后</w:t>
            </w:r>
            <w:r>
              <w:rPr>
                <w:rFonts w:ascii="宋体" w:hAnsi="宋体" w:eastAsia="宋体" w:cs="仿宋"/>
                <w:sz w:val="24"/>
                <w:szCs w:val="24"/>
              </w:rPr>
              <w:t xml:space="preserve">60</w:t>
            </w:r>
            <w:r>
              <w:rPr>
                <w:rFonts w:ascii="宋体" w:hAnsi="宋体" w:eastAsia="宋体" w:cs="仿宋"/>
                <w:sz w:val="24"/>
                <w:szCs w:val="24"/>
              </w:rPr>
              <w:t xml:space="preserve">个</w:t>
            </w:r>
            <w:r>
              <w:rPr>
                <w:rFonts w:hint="eastAsia" w:ascii="宋体" w:hAnsi="宋体" w:eastAsia="宋体" w:cs="仿宋"/>
                <w:sz w:val="24"/>
                <w:szCs w:val="24"/>
              </w:rPr>
              <w:t xml:space="preserve">日历日</w:t>
            </w:r>
            <w:r>
              <w:rPr>
                <w:rFonts w:ascii="宋体" w:hAnsi="宋体" w:eastAsia="宋体" w:cs="仿宋"/>
                <w:sz w:val="24"/>
                <w:szCs w:val="24"/>
              </w:rPr>
              <w:t xml:space="preserve">内完成交货、安装、调试及验收</w:t>
            </w:r>
            <w:r>
              <w:rPr>
                <w:rFonts w:hint="eastAsia" w:ascii="宋体" w:hAnsi="宋体" w:eastAsia="宋体" w:cs="仿宋"/>
                <w:sz w:val="24"/>
                <w:szCs w:val="24"/>
              </w:rPr>
              <w:t xml:space="preserve">。</w:t>
            </w:r>
            <w:bookmarkEnd w:id="47"/>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提供</w:t>
            </w:r>
            <w:r>
              <w:rPr>
                <w:rFonts w:hint="eastAsia" w:ascii="宋体" w:hAnsi="宋体" w:eastAsia="宋体" w:cs="仿宋"/>
                <w:sz w:val="24"/>
                <w:szCs w:val="24"/>
              </w:rPr>
              <w:t xml:space="preserve">不少于五年</w:t>
            </w:r>
            <w:r>
              <w:rPr>
                <w:rFonts w:hint="eastAsia" w:ascii="宋体" w:hAnsi="宋体" w:eastAsia="宋体" w:cs="仿宋"/>
                <w:sz w:val="24"/>
                <w:szCs w:val="24"/>
              </w:rPr>
              <w:t xml:space="preserve">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1、合同签订完毕后，最终用户单位向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支付合同总价30％的预付款。设备安装调试验收合格后，中标供应商凭</w:t>
            </w:r>
            <w:r>
              <w:rPr>
                <w:rFonts w:ascii="宋体" w:hAnsi="宋体" w:eastAsia="宋体" w:cs="仿宋"/>
                <w:sz w:val="24"/>
                <w:szCs w:val="24"/>
                <w:lang w:val="zh-CN"/>
              </w:rPr>
              <w:t xml:space="preserve">最终用户确认的验收报告</w:t>
            </w:r>
            <w:r>
              <w:rPr>
                <w:rFonts w:hint="eastAsia" w:ascii="宋体" w:hAnsi="宋体" w:eastAsia="宋体" w:cs="仿宋"/>
                <w:sz w:val="24"/>
                <w:szCs w:val="24"/>
                <w:lang w:val="zh-CN"/>
              </w:rPr>
              <w:t xml:space="preserve">，向最终用户开具真实、合法的全额销售发票，最终用户在收到发票后30日</w:t>
            </w:r>
            <w:r>
              <w:rPr>
                <w:rFonts w:hint="eastAsia" w:ascii="宋体" w:hAnsi="宋体" w:eastAsia="宋体" w:cs="仿宋"/>
                <w:sz w:val="24"/>
                <w:szCs w:val="24"/>
                <w:lang w:val="zh-CN"/>
              </w:rPr>
              <w:t xml:space="preserve">内向中标供应商支付剩余货款</w:t>
            </w:r>
            <w:r>
              <w:rPr>
                <w:rFonts w:hint="eastAsia" w:ascii="宋体" w:hAnsi="宋体" w:eastAsia="宋体" w:cs="仿宋"/>
                <w:sz w:val="24"/>
                <w:szCs w:val="24"/>
                <w:lang w:val="zh-CN"/>
              </w:rPr>
              <w:t xml:space="preserve">。</w:t>
            </w:r>
            <w:r/>
          </w:p>
          <w:p>
            <w:pPr>
              <w:spacing w:line="360" w:lineRule="auto"/>
              <w:rPr>
                <w:rFonts w:hint="eastAsia"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rPr>
            </w:pPr>
            <w:r>
              <w:rPr>
                <w:rFonts w:hint="eastAsia" w:ascii="宋体" w:hAnsi="宋体" w:eastAsia="宋体" w:cs="仿宋"/>
                <w:bCs/>
                <w:position w:val="-10"/>
                <w:sz w:val="24"/>
                <w:szCs w:val="24"/>
              </w:rPr>
              <w:t xml:space="preserve">验收方式及标准</w:t>
            </w:r>
            <w:r/>
          </w:p>
        </w:tc>
        <w:tc>
          <w:tcPr>
            <w:tcW w:w="3694" w:type="pct"/>
            <w:vAlign w:val="center"/>
            <w:textDirection w:val="lrTb"/>
            <w:noWrap w:val="false"/>
          </w:tcPr>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1、验收方式：</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采购人收到货物后，采购人、供应商及厂家共同进行开箱初检，初步核对货物型号、规格、数量、产地、生产日期等内容与采购要求是否一致，如果发现不符或有缺损，可以要求投标人立即采取增补、更换等补救措施。开箱初检合格后投标人应及时安排安装、调试、试用。</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2.）投标人及厂家负责货物的安装、调试、试用过程中的现场安全管理，若安装、调试及试用过程中发生安全事故，投标人应承担全部责任。</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买卖双方应在安装、调试完成后进行试用，试用不应少于一个月，具体程序由投标人提供并经买卖双方协商一致后确认。在试使用期间，如果未能达到合同约定的要求或者质量标准，或者试用期内因设备本身原因出现故障达</w:t>
            </w:r>
            <w:r>
              <w:rPr>
                <w:rFonts w:hint="eastAsia" w:asciiTheme="minorEastAsia" w:hAnsiTheme="minorEastAsia" w:eastAsiaTheme="minorEastAsia"/>
                <w:sz w:val="24"/>
                <w:szCs w:val="18"/>
              </w:rPr>
              <w:t xml:space="preserve">两次，投标人则必须无条件换货或退货，由此引起的一切损失由投标人承担。若测试不达标按虚假应标处理并作废标，采购资格按排名顺延递补。</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验收标准：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2、货物验收标准：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2.）质量要求应达到前述规定的技术标准，且应使采购人在质保期及质保期过后的设计寿命周期内能实现正常使用的目的。</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3.）质量保证承诺：当投标人在技术、工艺、原材料的材</w:t>
            </w:r>
            <w:r>
              <w:rPr>
                <w:rFonts w:hint="eastAsia" w:asciiTheme="minorEastAsia" w:hAnsiTheme="minorEastAsia" w:eastAsiaTheme="minorEastAsia"/>
                <w:sz w:val="24"/>
                <w:szCs w:val="18"/>
              </w:rPr>
              <w:t xml:space="preserve">质、产地和投标人等发生重大变化时，投标人须提交关于调整原因、市场影响和质量验证等方面的书面说明材料，直至采购人书面确认此变化对产品质量确无影响为止，由此造成的后果与损失，由投标人承担。</w:t>
            </w:r>
            <w:r/>
          </w:p>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t xml:space="preserve">3、货物性能考核指标：</w:t>
            </w:r>
            <w:r/>
          </w:p>
          <w:p>
            <w:pPr>
              <w:spacing w:line="360" w:lineRule="auto"/>
              <w:rPr>
                <w:rFonts w:hint="eastAsia" w:ascii="宋体" w:hAnsi="宋体" w:eastAsia="宋体" w:cs="仿宋"/>
                <w:sz w:val="24"/>
                <w:szCs w:val="24"/>
              </w:rPr>
            </w:pPr>
            <w:r>
              <w:rPr>
                <w:rFonts w:hint="eastAsia" w:asciiTheme="minorEastAsia" w:hAnsiTheme="minorEastAsia" w:eastAsiaTheme="minorEastAsia"/>
                <w:sz w:val="24"/>
                <w:szCs w:val="18"/>
              </w:rPr>
              <w:t xml:space="preserve">不得低于上述货物验收标准中的指标。具体指标签订合同时根据采购文件和投标文件确定</w:t>
            </w:r>
            <w:r/>
          </w:p>
        </w:tc>
      </w:tr>
      <w:tr>
        <w:trPr>
          <w:jc w:val="center"/>
          <w:trHeight w:val="90"/>
        </w:trPr>
        <w:tc>
          <w:tcPr>
            <w:tcW w:w="465" w:type="pct"/>
            <w:vAlign w:val="center"/>
            <w:textDirection w:val="lrTb"/>
            <w:noWrap w:val="false"/>
          </w:tcPr>
          <w:p>
            <w:pPr>
              <w:jc w:val="center"/>
              <w:spacing w:line="400" w:lineRule="exact"/>
              <w:rPr>
                <w:rFonts w:hint="eastAsia"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hint="eastAsia"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供承诺书，格式自拟，须加盖投标人公章。</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设备随机耗材要求：投标供应商应列明能确保设备正常使用的，所需耗材及维修配件的清单及价格（格式可自拟）；未列其中的，视为免费维保范围之材料。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投标人提供的设备须与医院现有硬件或系统无缝集成，投标人提供的设备须终身免费开放软、硬件接口，即无条件配合采购人接入新的硬件设备、无条件配合采购人完成与其他设备或系统的对接，并保证所涉系统正常运行，上述配合工作均终身免费。（提供承诺，格式自拟）</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设备使用年限内（本次所投产品的年限≥</w:t>
            </w:r>
            <w:r>
              <w:rPr>
                <w:rFonts w:ascii="宋体" w:hAnsi="宋体" w:eastAsia="宋体" w:cs="仿宋"/>
                <w:sz w:val="24"/>
                <w:szCs w:val="24"/>
              </w:rPr>
              <w:t xml:space="preserve">8</w:t>
            </w:r>
            <w:r>
              <w:rPr>
                <w:rFonts w:hint="eastAsia" w:ascii="宋体" w:hAnsi="宋体" w:eastAsia="宋体" w:cs="仿宋"/>
                <w:sz w:val="24"/>
                <w:szCs w:val="24"/>
              </w:rPr>
              <w:t xml:space="preserve">年），生产厂家应承诺保证配件、耗材的供应；若因设备升级等原因导致配件、耗材价格提高，或已无法正常供应配件、耗材时，采购人有权要求生产厂家按折旧后的价格将设备回收。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hint="eastAsia"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(一)包装、发运及运输</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(二)知识产权</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(三)产权担保</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供应商保证所交付的设备的所有权完全属于供应商且无任何抵押、查封等产权瑕疵。</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(四)技术资料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w:t>
            </w:r>
            <w:r>
              <w:rPr>
                <w:rFonts w:hint="eastAsia" w:ascii="宋体" w:hAnsi="宋体" w:eastAsia="宋体" w:cs="仿宋"/>
                <w:sz w:val="24"/>
                <w:szCs w:val="24"/>
              </w:rPr>
              <w:t xml:space="preserve">关本项目或任何本项目条文、规格、计划、图纸、样品或资料提供给与履行本项目无关的任何其他人。即使向履行本项目有关的人员提供，也应注意保密并限于履行的必需范围。</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(五)转包或分包</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(六)违约责任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1.供应商逾期交付设备的，院方可从货款中扣除相应的误期赔偿费，延期交货和延期服务的赔偿费每周按合同价款的百分之2</w:t>
            </w:r>
            <w:r>
              <w:rPr>
                <w:rFonts w:hint="eastAsia" w:ascii="宋体" w:hAnsi="宋体" w:eastAsia="宋体" w:cs="仿宋"/>
                <w:sz w:val="24"/>
                <w:szCs w:val="24"/>
              </w:rPr>
              <w:t xml:space="preserve">(2%)</w:t>
            </w:r>
            <w:r>
              <w:rPr>
                <w:rFonts w:hint="eastAsia" w:ascii="宋体" w:hAnsi="宋体" w:eastAsia="宋体" w:cs="仿宋"/>
                <w:sz w:val="24"/>
                <w:szCs w:val="24"/>
              </w:rPr>
              <w:t xml:space="preserve">计收，直至交货或提供服务为止。但误期赔偿费的最高限额不超过合同价款的百分之二十(20%)。一周按7天计算，不足7天按一周计算。一旦达到误期赔偿的最高限额，甲方有权终止合同。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按供应商逾期交货处理。供应商拒绝更换设备的，院方可单方面解除项目，供应商应向院方支付货款总值5%的违约金，如造成院方损失超过违约金的，超出部分由供应商继续承担赔偿责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(七)不可抗力事件处理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3.不可抗力事件延续120天以上，双方应通过友好协商，确定是否继续履行合同。</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w:t>
            </w:r>
            <w:r>
              <w:rPr>
                <w:rFonts w:hint="eastAsia" w:ascii="宋体" w:hAnsi="宋体" w:eastAsia="宋体" w:cs="仿宋"/>
                <w:sz w:val="24"/>
                <w:szCs w:val="24"/>
              </w:rPr>
              <w:t xml:space="preserve">八</w:t>
            </w:r>
            <w:r>
              <w:rPr>
                <w:rFonts w:hint="eastAsia" w:ascii="宋体" w:hAnsi="宋体" w:eastAsia="宋体" w:cs="仿宋"/>
                <w:sz w:val="24"/>
                <w:szCs w:val="24"/>
              </w:rPr>
              <w:t xml:space="preserve">)</w:t>
            </w:r>
            <w:r>
              <w:rPr>
                <w:rFonts w:hint="eastAsia" w:ascii="宋体" w:hAnsi="宋体" w:eastAsia="宋体" w:cs="仿宋"/>
                <w:sz w:val="24"/>
                <w:szCs w:val="24"/>
              </w:rPr>
              <w:t xml:space="preserve">额外配置</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rPr>
                <w:rFonts w:hint="eastAsia" w:ascii="仿宋" w:hAnsi="仿宋" w:eastAsia="仿宋" w:cs="仿宋"/>
                <w:color w:val="000000" w:themeColor="text1"/>
                <w:sz w:val="28"/>
                <w:szCs w:val="28"/>
              </w:rPr>
              <w:t xml:space="preserve"> </w:t>
            </w:r>
            <w:r>
              <w:rPr>
                <w:rFonts w:hint="eastAsia" w:ascii="宋体" w:hAnsi="宋体" w:eastAsia="宋体" w:cs="仿宋"/>
                <w:sz w:val="24"/>
                <w:szCs w:val="24"/>
              </w:rPr>
              <w:t xml:space="preserve">2D摄像头按照要求选配最佳配置进行</w:t>
            </w:r>
            <w:r>
              <w:rPr>
                <w:rFonts w:hint="eastAsia" w:ascii="宋体" w:hAnsi="宋体" w:eastAsia="宋体" w:cs="仿宋"/>
                <w:sz w:val="24"/>
                <w:szCs w:val="24"/>
              </w:rPr>
              <w:t xml:space="preserve">单独</w:t>
            </w:r>
            <w:r>
              <w:rPr>
                <w:rFonts w:hint="eastAsia" w:ascii="宋体" w:hAnsi="宋体" w:eastAsia="宋体" w:cs="仿宋"/>
                <w:sz w:val="24"/>
                <w:szCs w:val="24"/>
              </w:rPr>
              <w:t xml:space="preserve">报价，质保期内</w:t>
            </w:r>
            <w:r>
              <w:rPr>
                <w:rFonts w:hint="eastAsia" w:ascii="宋体" w:hAnsi="宋体" w:eastAsia="宋体" w:cs="仿宋"/>
                <w:sz w:val="24"/>
                <w:szCs w:val="24"/>
              </w:rPr>
              <w:t xml:space="preserve">最终用户</w:t>
            </w:r>
            <w:r>
              <w:rPr>
                <w:rFonts w:hint="eastAsia" w:ascii="宋体" w:hAnsi="宋体" w:eastAsia="宋体" w:cs="仿宋"/>
                <w:sz w:val="24"/>
                <w:szCs w:val="24"/>
              </w:rPr>
              <w:t xml:space="preserve">若有需求可直接进行配套采购，</w:t>
            </w:r>
            <w:r>
              <w:rPr>
                <w:rFonts w:hint="eastAsia" w:ascii="宋体" w:hAnsi="宋体" w:eastAsia="宋体" w:cs="仿宋"/>
                <w:sz w:val="24"/>
                <w:szCs w:val="24"/>
              </w:rPr>
              <w:t xml:space="preserve">中标人</w:t>
            </w:r>
            <w:r>
              <w:rPr>
                <w:rFonts w:hint="eastAsia" w:ascii="宋体" w:hAnsi="宋体" w:eastAsia="宋体" w:cs="仿宋"/>
                <w:sz w:val="24"/>
                <w:szCs w:val="24"/>
              </w:rPr>
              <w:t xml:space="preserve">及生产厂家</w:t>
            </w:r>
            <w:r>
              <w:rPr>
                <w:rFonts w:hint="eastAsia" w:ascii="宋体" w:hAnsi="宋体" w:eastAsia="宋体" w:cs="仿宋"/>
                <w:sz w:val="24"/>
                <w:szCs w:val="24"/>
              </w:rPr>
              <w:t xml:space="preserve">供货价</w:t>
            </w:r>
            <w:r>
              <w:rPr>
                <w:rFonts w:hint="eastAsia" w:ascii="宋体" w:hAnsi="宋体" w:eastAsia="宋体" w:cs="仿宋"/>
                <w:sz w:val="24"/>
                <w:szCs w:val="24"/>
              </w:rPr>
              <w:t xml:space="preserve">不得高于此</w:t>
            </w:r>
            <w:r>
              <w:rPr>
                <w:rFonts w:hint="eastAsia" w:ascii="宋体" w:hAnsi="宋体" w:eastAsia="宋体" w:cs="仿宋"/>
                <w:sz w:val="24"/>
                <w:szCs w:val="24"/>
              </w:rPr>
              <w:t xml:space="preserve">报</w:t>
            </w:r>
            <w:r>
              <w:rPr>
                <w:rFonts w:hint="eastAsia" w:ascii="宋体" w:hAnsi="宋体" w:eastAsia="宋体" w:cs="仿宋"/>
                <w:sz w:val="24"/>
                <w:szCs w:val="24"/>
              </w:rPr>
              <w:t xml:space="preserve">价。</w:t>
            </w:r>
            <w:r/>
          </w:p>
          <w:p>
            <w:pPr>
              <w:spacing w:line="360" w:lineRule="auto"/>
              <w:rPr>
                <w:rFonts w:hint="eastAsia" w:ascii="宋体" w:hAnsi="宋体" w:eastAsia="宋体" w:cs="仿宋"/>
                <w:sz w:val="24"/>
                <w:szCs w:val="24"/>
                <w:lang w:val="zh-CN"/>
              </w:rPr>
            </w:pPr>
            <w:r>
              <w:rPr>
                <w:rFonts w:ascii="宋体" w:hAnsi="宋体" w:eastAsia="宋体" w:cs="仿宋"/>
                <w:sz w:val="24"/>
                <w:szCs w:val="24"/>
              </w:rPr>
              <w:t xml:space="preserve">2</w:t>
            </w:r>
            <w:r>
              <w:rPr>
                <w:rFonts w:hint="eastAsia" w:ascii="宋体" w:hAnsi="宋体" w:eastAsia="宋体" w:cs="仿宋"/>
                <w:sz w:val="24"/>
                <w:szCs w:val="24"/>
              </w:rPr>
              <w:t xml:space="preserve">. 2D光学镜按照要求选配最佳配置进行单独报价，质保期内最终用户若有需求可直接进行配套采购，中标人及生产厂家供货价不得高于此报价。</w:t>
            </w:r>
            <w:r/>
          </w:p>
        </w:tc>
      </w:tr>
    </w:tbl>
    <w:p>
      <w:pPr>
        <w:pStyle w:val="832"/>
        <w:spacing w:line="360" w:lineRule="auto"/>
        <w:rPr>
          <w:rFonts w:hint="eastAsia" w:asciiTheme="minorEastAsia" w:hAnsiTheme="minorEastAsia" w:eastAsiaTheme="minorEastAsia"/>
          <w:sz w:val="24"/>
          <w:szCs w:val="18"/>
        </w:rPr>
      </w:pPr>
      <w:r>
        <w:rPr>
          <w:rFonts w:hint="eastAsia" w:asciiTheme="minorEastAsia" w:hAnsiTheme="minorEastAsia" w:eastAsiaTheme="minorEastAsia"/>
          <w:sz w:val="24"/>
          <w:szCs w:val="18"/>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rPr>
        <w:t xml:space="preserve">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28"/>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44"/>
      <w:r/>
      <w:bookmarkEnd w:id="45"/>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w:t>
      </w:r>
      <w:r>
        <w:rPr>
          <w:rFonts w:hint="eastAsia" w:cs="仿宋" w:asciiTheme="minorEastAsia" w:hAnsiTheme="minorEastAsia" w:eastAsiaTheme="minorEastAsia"/>
          <w:color w:val="000000" w:themeColor="text1"/>
          <w:shd w:val="clear" w:color="auto" w:fill="ffffff"/>
        </w:rPr>
        <w:t xml:space="preserve">投标人</w:t>
      </w:r>
      <w:r>
        <w:rPr>
          <w:rFonts w:hint="eastAsia" w:cs="仿宋" w:asciiTheme="minorEastAsia" w:hAnsiTheme="minorEastAsia" w:eastAsiaTheme="minorEastAsia"/>
          <w:color w:val="000000" w:themeColor="text1"/>
          <w:shd w:val="clear" w:color="auto" w:fill="ffffff"/>
        </w:rPr>
        <w:t xml:space="preserve">需按照采购文件的要求提供相应的《中小企业声明函》。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w:t>
      </w:r>
      <w:r>
        <w:rPr>
          <w:rFonts w:hint="eastAsia" w:cs="仿宋" w:asciiTheme="minorEastAsia" w:hAnsiTheme="minorEastAsia" w:eastAsiaTheme="minorEastAsia"/>
          <w:color w:val="000000" w:themeColor="text1"/>
          <w:shd w:val="clear" w:color="auto" w:fill="ffffff"/>
        </w:rPr>
        <w:t xml:space="preserve">投标人</w:t>
      </w:r>
      <w:r>
        <w:rPr>
          <w:rFonts w:hint="eastAsia" w:cs="仿宋" w:asciiTheme="minorEastAsia" w:hAnsiTheme="minorEastAsia" w:eastAsiaTheme="minorEastAsia"/>
          <w:color w:val="000000" w:themeColor="text1"/>
          <w:shd w:val="clear" w:color="auto" w:fill="ffffff"/>
        </w:rPr>
        <w:t xml:space="preserve">如不提供上述证明文件，价格将不做相应扣除。</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为该采购项目或者采购包提供的符合本国产品标准的产品成本之和占该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需在“第六章 投标文件格式”的“附件2 投标分项报价表”中填写比例数值），依法对该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提供的全部产品给予价格评审优惠，即对该</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w:t>
      </w:r>
      <w:r>
        <w:rPr>
          <w:rFonts w:hint="eastAsia" w:ascii="宋体" w:hAnsi="宋体" w:eastAsia="宋体" w:cs="宋体"/>
          <w:color w:val="000000" w:themeColor="text1"/>
          <w:sz w:val="24"/>
          <w:szCs w:val="24"/>
        </w:rPr>
        <w:t xml:space="preserve">投标人</w:t>
      </w:r>
      <w:r>
        <w:rPr>
          <w:rFonts w:hint="eastAsia" w:ascii="宋体" w:hAnsi="宋体" w:eastAsia="宋体" w:cs="宋体"/>
          <w:color w:val="000000" w:themeColor="text1"/>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w:t>
      </w:r>
      <w:r>
        <w:rPr>
          <w:rFonts w:hint="eastAsia" w:eastAsia="宋体" w:cs="宋体"/>
          <w:color w:val="000000" w:themeColor="text1"/>
        </w:rPr>
        <w:t xml:space="preserve">投标人</w:t>
      </w:r>
      <w:r>
        <w:rPr>
          <w:rFonts w:hint="eastAsia" w:eastAsia="宋体" w:cs="宋体"/>
          <w:color w:val="000000" w:themeColor="text1"/>
        </w:rPr>
        <w:t xml:space="preserve">在《声明函》内容含义不明确、同类事项与投标（响应）文件表述不一致或者有明显文字错误等情况的，评标委员会应当以书面形式要求</w:t>
      </w:r>
      <w:r>
        <w:rPr>
          <w:rFonts w:hint="eastAsia" w:eastAsia="宋体" w:cs="宋体"/>
          <w:color w:val="000000" w:themeColor="text1"/>
        </w:rPr>
        <w:t xml:space="preserve">投标人</w:t>
      </w:r>
      <w:r>
        <w:rPr>
          <w:rFonts w:hint="eastAsia" w:eastAsia="宋体" w:cs="宋体"/>
          <w:color w:val="000000" w:themeColor="text1"/>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eastAsia="宋体" w:cs="宋体"/>
          <w:color w:val="000000" w:themeColor="text1"/>
        </w:rPr>
        <w:t xml:space="preserve">投标人</w:t>
      </w:r>
      <w:r>
        <w:rPr>
          <w:rFonts w:hint="eastAsia" w:eastAsia="宋体" w:cs="宋体"/>
          <w:color w:val="000000" w:themeColor="text1"/>
        </w:rPr>
        <w:t xml:space="preserve">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8" w:name="_Hlk147842034"/>
      <w:r>
        <w:rPr>
          <w:rFonts w:cs="仿宋" w:asciiTheme="minorEastAsia" w:hAnsiTheme="minorEastAsia" w:eastAsiaTheme="minorEastAsia"/>
          <w:b/>
          <w:color w:val="000000" w:themeColor="text1"/>
          <w:sz w:val="24"/>
          <w:szCs w:val="24"/>
        </w:rPr>
        <w:br w:type="page" w:clear="all"/>
      </w:r>
      <w:r/>
    </w:p>
    <w:p>
      <w:pPr>
        <w:pStyle w:val="862"/>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按</w:t>
            </w:r>
            <w:r>
              <w:rPr>
                <w:rFonts w:hint="eastAsia" w:ascii="宋体" w:hAnsi="宋体" w:eastAsia="宋体" w:cs="仿宋"/>
                <w:sz w:val="24"/>
                <w:szCs w:val="24"/>
              </w:rPr>
              <w:t xml:space="preserve">满足招标文件要求且报价最低的</w:t>
            </w:r>
            <w:r>
              <w:rPr>
                <w:rFonts w:hint="eastAsia" w:ascii="宋体" w:hAnsi="宋体" w:eastAsia="宋体" w:cs="仿宋"/>
                <w:sz w:val="24"/>
                <w:szCs w:val="24"/>
              </w:rPr>
              <w:t xml:space="preserve">投标</w:t>
            </w:r>
            <w:r>
              <w:rPr>
                <w:rFonts w:hint="eastAsia" w:ascii="宋体" w:hAnsi="宋体" w:eastAsia="宋体" w:cs="仿宋"/>
                <w:sz w:val="24"/>
                <w:szCs w:val="24"/>
              </w:rPr>
              <w:t xml:space="preserve">报价为评标基准价，其价格分为满分30分，其他供应商的价格分统一按照以下公式计算，保留小数点后2位：投标报价得分=（评标基准价/该供应商的投标报价）×30%×100。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699"/>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1.全部满足标书基本要求得</w:t>
            </w:r>
            <w:r>
              <w:rPr>
                <w:rFonts w:ascii="宋体" w:hAnsi="宋体" w:eastAsia="宋体" w:cs="仿宋"/>
                <w:sz w:val="24"/>
                <w:szCs w:val="24"/>
              </w:rPr>
              <w:t xml:space="preserve">42</w:t>
            </w:r>
            <w:r>
              <w:rPr>
                <w:rFonts w:hint="eastAsia" w:ascii="宋体" w:hAnsi="宋体" w:eastAsia="宋体" w:cs="仿宋"/>
                <w:sz w:val="24"/>
                <w:szCs w:val="24"/>
              </w:rPr>
              <w:t xml:space="preserve">分，正偏离不加分，★号指标</w:t>
            </w:r>
            <w:r>
              <w:rPr>
                <w:rFonts w:hint="eastAsia" w:ascii="宋体" w:hAnsi="宋体" w:eastAsia="宋体" w:cs="仿宋"/>
                <w:sz w:val="24"/>
                <w:szCs w:val="24"/>
              </w:rPr>
              <w:t xml:space="preserve">为核心技术指标，</w:t>
            </w:r>
            <w:r>
              <w:rPr>
                <w:rFonts w:hint="eastAsia" w:ascii="宋体" w:hAnsi="宋体" w:eastAsia="宋体" w:cs="仿宋"/>
                <w:sz w:val="24"/>
                <w:szCs w:val="24"/>
              </w:rPr>
              <w:t xml:space="preserve">有一项★号指标负偏离做废标处理；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 ▲号指标为关键技术指标，有一项▲号指标负偏离扣</w:t>
            </w:r>
            <w:r>
              <w:rPr>
                <w:rFonts w:ascii="宋体" w:hAnsi="宋体" w:eastAsia="宋体" w:cs="仿宋"/>
                <w:sz w:val="24"/>
                <w:szCs w:val="24"/>
              </w:rPr>
              <w:t xml:space="preserve">3</w:t>
            </w:r>
            <w:r>
              <w:rPr>
                <w:rFonts w:hint="eastAsia" w:ascii="宋体" w:hAnsi="宋体" w:eastAsia="宋体" w:cs="仿宋"/>
                <w:sz w:val="24"/>
                <w:szCs w:val="24"/>
              </w:rPr>
              <w:t xml:space="preserve">分；（共</w:t>
            </w:r>
            <w:r>
              <w:rPr>
                <w:rFonts w:ascii="宋体" w:hAnsi="宋体" w:eastAsia="宋体" w:cs="仿宋"/>
                <w:sz w:val="24"/>
                <w:szCs w:val="24"/>
              </w:rPr>
              <w:t xml:space="preserve">12</w:t>
            </w:r>
            <w:r>
              <w:rPr>
                <w:rFonts w:hint="eastAsia" w:ascii="宋体" w:hAnsi="宋体" w:eastAsia="宋体" w:cs="仿宋"/>
                <w:sz w:val="24"/>
                <w:szCs w:val="24"/>
              </w:rPr>
              <w:t xml:space="preserve">项</w:t>
            </w:r>
            <w:r>
              <w:rPr>
                <w:rFonts w:hint="eastAsia" w:ascii="宋体" w:hAnsi="宋体" w:eastAsia="宋体" w:cs="仿宋"/>
                <w:sz w:val="24"/>
                <w:szCs w:val="24"/>
              </w:rPr>
              <w:t xml:space="preserve">，超过半数及以上负偏离，视为无法实质性响应招标文件要求，做无效投标处理</w:t>
            </w:r>
            <w:r>
              <w:rPr>
                <w:rFonts w:hint="eastAsia" w:ascii="宋体" w:hAnsi="宋体" w:eastAsia="宋体" w:cs="仿宋"/>
                <w:sz w:val="24"/>
                <w:szCs w:val="24"/>
              </w:rPr>
              <w:t xml:space="preserve">）（★号、▲号指标均须提供相关证明材料（包括制造商盖章的技术白皮书、Data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3.未标注★、▲号指标为一般技术指标，每负偏离一项扣</w:t>
            </w:r>
            <w:r>
              <w:rPr>
                <w:rFonts w:hint="eastAsia" w:ascii="宋体" w:hAnsi="宋体" w:eastAsia="宋体" w:cs="仿宋"/>
                <w:sz w:val="24"/>
                <w:szCs w:val="24"/>
              </w:rPr>
              <w:t xml:space="preserve">0.</w:t>
            </w:r>
            <w:r>
              <w:rPr>
                <w:rFonts w:ascii="宋体" w:hAnsi="宋体" w:eastAsia="宋体" w:cs="仿宋"/>
                <w:sz w:val="24"/>
                <w:szCs w:val="24"/>
              </w:rPr>
              <w:t xml:space="preserve">22</w:t>
            </w:r>
            <w:r>
              <w:rPr>
                <w:rFonts w:hint="eastAsia" w:ascii="宋体" w:hAnsi="宋体" w:eastAsia="宋体" w:cs="仿宋"/>
                <w:sz w:val="24"/>
                <w:szCs w:val="24"/>
              </w:rPr>
              <w:t xml:space="preserve">分，扣完为止。</w:t>
            </w:r>
            <w:r>
              <w:rPr>
                <w:rFonts w:hint="eastAsia" w:ascii="宋体" w:hAnsi="宋体" w:eastAsia="宋体" w:cs="仿宋"/>
                <w:sz w:val="24"/>
                <w:szCs w:val="24"/>
              </w:rPr>
              <w:t xml:space="preserve">一般技术指标超过1</w:t>
            </w:r>
            <w:r>
              <w:rPr>
                <w:rFonts w:ascii="宋体" w:hAnsi="宋体" w:eastAsia="宋体" w:cs="仿宋"/>
                <w:sz w:val="24"/>
                <w:szCs w:val="24"/>
              </w:rPr>
              <w:t xml:space="preserve">/3</w:t>
            </w:r>
            <w:r>
              <w:rPr>
                <w:rFonts w:hint="eastAsia" w:ascii="宋体" w:hAnsi="宋体" w:eastAsia="宋体" w:cs="仿宋"/>
                <w:sz w:val="24"/>
                <w:szCs w:val="24"/>
              </w:rPr>
              <w:t xml:space="preserve">以上负偏离的，视为无法实质性响应招标文件要求，做无效投标处理</w:t>
            </w:r>
            <w:r>
              <w:rPr>
                <w:rFonts w:hint="eastAsia" w:ascii="宋体" w:hAnsi="宋体" w:eastAsia="宋体" w:cs="仿宋"/>
                <w:sz w:val="24"/>
                <w:szCs w:val="24"/>
              </w:rPr>
              <w:t xml:space="preserve">（共</w:t>
            </w:r>
            <w:r>
              <w:rPr>
                <w:rFonts w:ascii="宋体" w:hAnsi="宋体" w:eastAsia="宋体" w:cs="仿宋"/>
                <w:sz w:val="24"/>
                <w:szCs w:val="24"/>
              </w:rPr>
              <w:t xml:space="preserve">28</w:t>
            </w:r>
            <w:r>
              <w:rPr>
                <w:rFonts w:hint="eastAsia" w:ascii="宋体" w:hAnsi="宋体" w:eastAsia="宋体" w:cs="仿宋"/>
                <w:sz w:val="24"/>
                <w:szCs w:val="24"/>
              </w:rPr>
              <w:t xml:space="preserve">项）</w:t>
            </w:r>
            <w:r/>
          </w:p>
          <w:p>
            <w:pPr>
              <w:spacing w:line="360" w:lineRule="auto"/>
              <w:rPr>
                <w:highlight w:val="yellow"/>
              </w:rPr>
            </w:pPr>
            <w:r>
              <w:rPr>
                <w:rFonts w:hint="eastAsia" w:ascii="宋体" w:hAnsi="宋体" w:eastAsia="宋体" w:cs="仿宋"/>
                <w:sz w:val="24"/>
                <w:szCs w:val="24"/>
              </w:rPr>
              <w:t xml:space="preserve">4.产品交付验收时，招标人将对技术规格</w:t>
            </w:r>
            <w:r>
              <w:rPr>
                <w:rFonts w:hint="eastAsia" w:ascii="宋体" w:hAnsi="宋体" w:eastAsia="宋体" w:cs="仿宋"/>
                <w:sz w:val="24"/>
                <w:szCs w:val="24"/>
              </w:rPr>
              <w:t xml:space="preserve">要求中的★号、▲号指标进行逐一核实验收，如发现虚假应标，或无法实现关键技术指标功能，有权向采购主</w:t>
            </w:r>
            <w:r>
              <w:rPr>
                <w:rFonts w:hint="eastAsia" w:ascii="宋体" w:hAnsi="宋体" w:eastAsia="宋体" w:cs="仿宋"/>
                <w:sz w:val="24"/>
                <w:szCs w:val="24"/>
              </w:rPr>
              <w:t xml:space="preserve">管部门进行举报，由</w:t>
            </w:r>
            <w:r>
              <w:rPr>
                <w:rFonts w:hint="eastAsia" w:ascii="宋体" w:hAnsi="宋体" w:eastAsia="宋体" w:cs="仿宋"/>
                <w:sz w:val="24"/>
                <w:szCs w:val="24"/>
              </w:rPr>
              <w:t xml:space="preserve">中标人</w:t>
            </w:r>
            <w:r>
              <w:rPr>
                <w:rFonts w:hint="eastAsia" w:ascii="宋体" w:hAnsi="宋体" w:eastAsia="宋体" w:cs="仿宋"/>
                <w:sz w:val="24"/>
                <w:szCs w:val="24"/>
              </w:rPr>
              <w:t xml:space="preserve">承担一切法律责任。</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42</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投标人</w:t>
            </w:r>
            <w:r>
              <w:rPr>
                <w:rFonts w:hint="eastAsia" w:ascii="宋体" w:hAnsi="宋体" w:eastAsia="宋体" w:cs="仿宋"/>
                <w:sz w:val="24"/>
                <w:szCs w:val="24"/>
              </w:rPr>
              <w:t xml:space="preserve">提供对用户的操作培训、业务功能培训等相关培训计划方案，除正常操作培训外，针对甲方的特点，提出其他技术培训保障方案：</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1.技术培训保障方案内容详实、科学、合理，考虑周全，培训计划针对性强、内容详实，培训人员配备齐全、技术水平高、分工明确、岗位设置科学合理，培训率承诺高，得</w:t>
            </w:r>
            <w:r>
              <w:rPr>
                <w:rFonts w:ascii="宋体" w:hAnsi="宋体" w:eastAsia="宋体" w:cs="仿宋"/>
                <w:sz w:val="24"/>
                <w:szCs w:val="24"/>
              </w:rPr>
              <w:t xml:space="preserve">5</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2.技术培训保障方案内容详实、考虑较全，培训计划具体，培训人员齐全，培训率承诺较高，得</w:t>
            </w:r>
            <w:r>
              <w:rPr>
                <w:rFonts w:ascii="宋体" w:hAnsi="宋体" w:eastAsia="宋体" w:cs="仿宋"/>
                <w:sz w:val="24"/>
                <w:szCs w:val="24"/>
              </w:rPr>
              <w:t xml:space="preserve">3</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根据</w:t>
            </w:r>
            <w:r>
              <w:rPr>
                <w:rFonts w:hint="eastAsia" w:ascii="宋体" w:hAnsi="宋体" w:eastAsia="宋体" w:cs="仿宋"/>
                <w:sz w:val="24"/>
                <w:szCs w:val="24"/>
              </w:rPr>
              <w:t xml:space="preserve">投标人</w:t>
            </w:r>
            <w:r>
              <w:rPr>
                <w:rFonts w:hint="eastAsia" w:ascii="宋体" w:hAnsi="宋体" w:eastAsia="宋体" w:cs="仿宋"/>
                <w:sz w:val="24"/>
                <w:szCs w:val="24"/>
              </w:rPr>
              <w:t xml:space="preserve">提供的项目实施方案内容的完整性及进度计划安排的合理性进行打分，包括但不限于</w:t>
            </w:r>
            <w:r>
              <w:rPr>
                <w:rFonts w:hint="eastAsia" w:ascii="宋体" w:hAnsi="宋体" w:eastAsia="宋体" w:cs="仿宋"/>
                <w:sz w:val="24"/>
                <w:szCs w:val="24"/>
              </w:rPr>
              <w:t xml:space="preserve">投标人</w:t>
            </w:r>
            <w:r>
              <w:rPr>
                <w:rFonts w:hint="eastAsia" w:ascii="宋体" w:hAnsi="宋体" w:eastAsia="宋体" w:cs="仿宋"/>
                <w:sz w:val="24"/>
                <w:szCs w:val="24"/>
              </w:rPr>
              <w:t xml:space="preserve">如何在成交后有效地组织技术和人员力量，按时保质地完成供货、安装验收等。</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w:t>
            </w:r>
            <w:r>
              <w:rPr>
                <w:rFonts w:hint="eastAsia" w:ascii="宋体" w:hAnsi="宋体" w:eastAsia="宋体" w:cs="仿宋"/>
                <w:sz w:val="24"/>
                <w:szCs w:val="24"/>
              </w:rPr>
              <w:t xml:space="preserve">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w:t>
            </w: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3.技术培训保障方案表述简单，培训计划简单、培训人员较少，培训率承诺一般者，得</w:t>
            </w:r>
            <w:r>
              <w:rPr>
                <w:rFonts w:hint="eastAsia"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w:t>
            </w:r>
            <w:r>
              <w:rPr>
                <w:rFonts w:ascii="宋体" w:hAnsi="宋体" w:eastAsia="宋体" w:cs="仿宋"/>
                <w:sz w:val="24"/>
                <w:szCs w:val="24"/>
              </w:rPr>
              <w:t xml:space="preserve">7</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w:t>
            </w:r>
            <w:r>
              <w:rPr>
                <w:rFonts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983"/>
        </w:trPr>
        <w:tc>
          <w:tcPr>
            <w:tcW w:w="395"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w:t>
            </w:r>
            <w:r>
              <w:rPr>
                <w:rFonts w:hint="eastAsia" w:ascii="宋体" w:hAnsi="宋体" w:eastAsia="宋体" w:cs="仿宋"/>
                <w:sz w:val="24"/>
                <w:szCs w:val="24"/>
              </w:rPr>
              <w:t xml:space="preserve">投标人</w:t>
            </w:r>
            <w:r>
              <w:rPr>
                <w:rFonts w:hint="eastAsia" w:ascii="宋体" w:hAnsi="宋体" w:eastAsia="宋体" w:cs="仿宋"/>
                <w:sz w:val="24"/>
                <w:szCs w:val="24"/>
              </w:rPr>
              <w:t xml:space="preserve">公章】，每份有效业绩得0.5分，最高得4分。</w:t>
            </w:r>
            <w:r/>
          </w:p>
          <w:p>
            <w:pPr>
              <w:spacing w:line="360" w:lineRule="auto"/>
              <w:rPr>
                <w:rFonts w:hint="eastAsia"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hint="eastAsia" w:ascii="宋体" w:hAnsi="宋体" w:eastAsia="宋体" w:cs="仿宋"/>
                <w:sz w:val="24"/>
                <w:szCs w:val="24"/>
              </w:rPr>
            </w:pP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tc>
      </w:tr>
    </w:tbl>
    <w:p>
      <w:pPr>
        <w:pStyle w:val="862"/>
        <w:ind w:firstLine="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8"/>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w:t>
      </w:r>
      <w:r>
        <w:rPr>
          <w:rFonts w:hint="eastAsia" w:ascii="宋体" w:hAnsi="宋体" w:eastAsia="宋体"/>
          <w:position w:val="-10"/>
          <w:sz w:val="24"/>
          <w:szCs w:val="24"/>
        </w:rPr>
        <w:t xml:space="preserve">每日万分之五，累计不超过合同总价10%</w:t>
      </w:r>
      <w:r>
        <w:rPr>
          <w:rFonts w:hint="eastAsia" w:ascii="宋体" w:hAnsi="宋体" w:eastAsia="宋体"/>
          <w:position w:val="-10"/>
          <w:sz w:val="24"/>
          <w:szCs w:val="24"/>
        </w:rPr>
        <w:t xml:space="preserve">，</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62"/>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62"/>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9" w:name="_Hlt26955039"/>
      <w:r/>
      <w:bookmarkStart w:id="50" w:name="_Hlt26671244"/>
      <w:r/>
      <w:bookmarkStart w:id="51" w:name="_Toc26554094"/>
      <w:r/>
      <w:bookmarkStart w:id="52" w:name="_Toc120614282"/>
      <w:r/>
      <w:bookmarkStart w:id="53" w:name="_Toc49090576"/>
      <w:r/>
      <w:bookmarkEnd w:id="49"/>
      <w:r/>
      <w:bookmarkEnd w:id="50"/>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2"/>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4"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4"/>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5" w:name="_Toc120614284"/>
      <w:r/>
      <w:bookmarkEnd w:id="51"/>
      <w:r/>
      <w:bookmarkEnd w:id="52"/>
      <w:r/>
      <w:bookmarkEnd w:id="53"/>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32"/>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6" w:name="_Hlt26671380"/>
      <w:r/>
      <w:bookmarkStart w:id="57" w:name="_格式3__银行出具的资信证明"/>
      <w:r/>
      <w:bookmarkStart w:id="58" w:name="_Hlt26955070"/>
      <w:r/>
      <w:bookmarkEnd w:id="56"/>
      <w:r/>
      <w:bookmarkEnd w:id="57"/>
      <w:r/>
      <w:bookmarkEnd w:id="58"/>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32"/>
        <w:spacing w:line="360" w:lineRule="auto"/>
      </w:pPr>
      <w:r/>
      <w:r/>
    </w:p>
    <w:p>
      <w:pPr>
        <w:pStyle w:val="832"/>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3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32"/>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4"/>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560"/>
        <w:spacing w:line="360" w:lineRule="auto"/>
        <w:rPr>
          <w:rFonts w:hint="eastAsia" w:ascii="宋体" w:hAnsi="宋体"/>
          <w:sz w:val="28"/>
          <w:szCs w:val="28"/>
        </w:rPr>
      </w:pPr>
      <w:r>
        <w:rPr>
          <w:rFonts w:hint="eastAsia" w:ascii="宋体" w:hAnsi="宋体"/>
          <w:sz w:val="28"/>
          <w:szCs w:val="28"/>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3"/>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53"/>
        <w:jc w:val="left"/>
        <w:spacing w:line="360" w:lineRule="auto"/>
        <w:rPr>
          <w:rFonts w:hint="eastAsia" w:ascii="宋体" w:hAnsi="宋体"/>
          <w:b/>
          <w:sz w:val="32"/>
          <w:szCs w:val="32"/>
        </w:rPr>
      </w:pPr>
      <w:r>
        <w:rPr>
          <w:rFonts w:hint="eastAsia" w:ascii="宋体" w:hAnsi="宋体"/>
          <w:b/>
          <w:sz w:val="32"/>
          <w:szCs w:val="32"/>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3"/>
        <w:ind w:firstLine="480"/>
        <w:jc w:val="left"/>
        <w:spacing w:line="360" w:lineRule="auto"/>
        <w:rPr>
          <w:rFonts w:hint="eastAsia" w:ascii="宋体" w:hAnsi="宋体"/>
          <w:sz w:val="24"/>
          <w:szCs w:val="24"/>
        </w:rPr>
      </w:pPr>
      <w:r>
        <w:rPr>
          <w:rFonts w:ascii="宋体" w:hAnsi="宋体"/>
          <w:sz w:val="24"/>
          <w:szCs w:val="24"/>
        </w:rPr>
        <w:t xml:space="preserve">……</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3"/>
        <w:ind w:firstLine="480"/>
        <w:jc w:val="center"/>
        <w:spacing w:line="360" w:lineRule="auto"/>
        <w:rPr>
          <w:rFonts w:hint="eastAsia" w:ascii="宋体" w:hAnsi="宋体"/>
          <w:sz w:val="24"/>
          <w:szCs w:val="24"/>
        </w:rPr>
      </w:pPr>
      <w:r>
        <w:rPr>
          <w:rFonts w:hint="eastAsia" w:ascii="宋体" w:hAnsi="宋体"/>
          <w:sz w:val="24"/>
          <w:szCs w:val="24"/>
        </w:rPr>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5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53"/>
        <w:ind w:firstLine="480"/>
        <w:spacing w:line="360" w:lineRule="auto"/>
        <w:rPr>
          <w:rFonts w:hint="eastAsia" w:ascii="宋体" w:hAnsi="宋体"/>
          <w:sz w:val="24"/>
          <w:szCs w:val="24"/>
        </w:rPr>
      </w:pPr>
      <w:r>
        <w:rPr>
          <w:rFonts w:hint="eastAsia" w:ascii="宋体" w:hAnsi="宋体"/>
          <w:sz w:val="24"/>
          <w:szCs w:val="24"/>
        </w:rPr>
      </w:r>
      <w:r/>
    </w:p>
    <w:p>
      <w:pPr>
        <w:pStyle w:val="105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3"/>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before="151" w:after="151" w:line="360" w:lineRule="auto"/>
        <w:rPr>
          <w:rFonts w:hint="eastAsia" w:ascii="宋体" w:hAnsi="宋体"/>
          <w:b/>
          <w:bCs/>
          <w:sz w:val="32"/>
          <w:szCs w:val="32"/>
        </w:rPr>
      </w:pPr>
      <w:r>
        <w:rPr>
          <w:rFonts w:hint="eastAsia" w:ascii="宋体" w:hAnsi="宋体"/>
          <w:b/>
          <w:bCs/>
          <w:sz w:val="32"/>
          <w:szCs w:val="32"/>
        </w:rPr>
      </w:r>
      <w:r/>
    </w:p>
    <w:p>
      <w:pPr>
        <w:pStyle w:val="1053"/>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53"/>
        <w:spacing w:line="360" w:lineRule="auto"/>
        <w:rPr>
          <w:rFonts w:hint="eastAsia" w:ascii="宋体" w:hAnsi="宋体"/>
          <w:b/>
          <w:sz w:val="36"/>
          <w:szCs w:val="36"/>
        </w:rPr>
      </w:pPr>
      <w:r>
        <w:rPr>
          <w:rFonts w:hint="eastAsia" w:ascii="宋体" w:hAnsi="宋体"/>
          <w:b/>
          <w:sz w:val="36"/>
          <w:szCs w:val="36"/>
        </w:rPr>
      </w:r>
      <w:r/>
    </w:p>
    <w:p>
      <w:pPr>
        <w:pStyle w:val="1055"/>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56"/>
        <w:spacing w:line="360" w:lineRule="auto"/>
        <w:rPr>
          <w:rFonts w:hint="eastAsia" w:ascii="宋体" w:hAnsi="宋体"/>
          <w:b/>
          <w:spacing w:val="6"/>
          <w:sz w:val="30"/>
          <w:szCs w:val="30"/>
        </w:rPr>
      </w:pPr>
      <w:r>
        <w:rPr>
          <w:rFonts w:hint="eastAsia" w:ascii="宋体" w:hAnsi="宋体"/>
          <w:b/>
          <w:spacing w:val="6"/>
          <w:sz w:val="30"/>
          <w:szCs w:val="30"/>
        </w:rPr>
      </w:r>
      <w:r/>
    </w:p>
    <w:p>
      <w:pPr>
        <w:pStyle w:val="1055"/>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57"/>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57"/>
        <w:ind w:firstLine="3629"/>
        <w:jc w:val="left"/>
        <w:spacing w:line="360" w:lineRule="auto"/>
        <w:rPr>
          <w:rFonts w:hint="eastAsia" w:ascii="宋体" w:hAnsi="宋体"/>
          <w:sz w:val="24"/>
        </w:rPr>
      </w:pPr>
      <w:r>
        <w:rPr>
          <w:rFonts w:hint="eastAsia" w:ascii="宋体" w:hAnsi="宋体"/>
          <w:sz w:val="24"/>
        </w:rPr>
      </w:r>
      <w:r/>
    </w:p>
    <w:p>
      <w:pPr>
        <w:pStyle w:val="1057"/>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3"/>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56"/>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58"/>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55"/>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pStyle w:val="1055"/>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5"/>
          <w:rFonts w:hint="eastAsia" w:ascii="方正魏碑_GBK" w:hAnsi="方正魏碑_GBK" w:eastAsia="方正魏碑_GBK" w:cs="方正魏碑_GBK"/>
          <w:i w:val="0"/>
          <w:color w:val="ff0000"/>
          <w:u w:val="single"/>
          <w:shd w:val="clear" w:color="auto" w:fill="ffffff"/>
        </w:rPr>
        <w:t xml:space="preserve">（产品名称1）</w:t>
      </w:r>
      <w:r>
        <w:rPr>
          <w:rStyle w:val="86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Style w:val="86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Style w:val="86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Style w:val="86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5"/>
          <w:rFonts w:hint="eastAsia" w:ascii="方正魏碑_GBK" w:hAnsi="方正魏碑_GBK" w:eastAsia="方正魏碑_GBK" w:cs="方正魏碑_GBK"/>
          <w:i w:val="0"/>
          <w:color w:val="ff0000"/>
          <w:u w:val="single"/>
          <w:shd w:val="clear" w:color="auto" w:fill="ffffff"/>
        </w:rPr>
        <w:t xml:space="preserve">（规定</w:t>
      </w:r>
      <w:r>
        <w:rPr>
          <w:rStyle w:val="865"/>
          <w:rFonts w:ascii="方正魏碑_GBK" w:hAnsi="方正魏碑_GBK" w:eastAsia="方正魏碑_GBK" w:cs="方正魏碑_GBK"/>
          <w:i w:val="0"/>
          <w:color w:val="ff0000"/>
          <w:u w:val="single"/>
          <w:shd w:val="clear" w:color="auto" w:fill="ffffff"/>
        </w:rPr>
        <w:t xml:space="preserve">比例</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w:t>
      </w:r>
      <w:r>
        <w:rPr>
          <w:rStyle w:val="865"/>
          <w:rFonts w:ascii="方正魏碑_GBK" w:hAnsi="方正魏碑_GBK" w:eastAsia="方正魏碑_GBK" w:cs="方正魏碑_GBK"/>
          <w:i w:val="0"/>
          <w:color w:val="ff0000"/>
          <w:u w:val="single"/>
          <w:shd w:val="clear" w:color="auto" w:fill="ffffff"/>
        </w:rPr>
        <w:t xml:space="preserve">组件</w:t>
      </w:r>
      <w:r>
        <w:rPr>
          <w:rStyle w:val="86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55"/>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2"/>
        <w:rPr>
          <w:rFonts w:eastAsia="黑体"/>
          <w:b/>
          <w:sz w:val="36"/>
          <w:szCs w:val="21"/>
        </w:rPr>
      </w:pPr>
      <w:r>
        <w:rPr>
          <w:rFonts w:eastAsia="黑体"/>
          <w:b/>
          <w:sz w:val="36"/>
          <w:szCs w:val="21"/>
        </w:rPr>
      </w:r>
      <w:r/>
    </w:p>
    <w:p>
      <w:r/>
      <w:r/>
    </w:p>
    <w:p>
      <w:pPr>
        <w:pStyle w:val="832"/>
        <w:spacing w:line="360" w:lineRule="auto"/>
      </w:pPr>
      <w:r/>
      <w:r/>
    </w:p>
    <w:p>
      <w:pPr>
        <w:spacing w:line="360" w:lineRule="auto"/>
      </w:pPr>
      <w:r/>
      <w:r/>
    </w:p>
    <w:p>
      <w:pPr>
        <w:pStyle w:val="832"/>
        <w:spacing w:line="360" w:lineRule="auto"/>
      </w:pPr>
      <w:r/>
      <w:r/>
    </w:p>
    <w:p>
      <w:pPr>
        <w:pStyle w:val="832"/>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spacing w:line="360" w:lineRule="auto"/>
      </w:pPr>
      <w:r/>
      <w:r/>
    </w:p>
    <w:p>
      <w:pPr>
        <w:pStyle w:val="832"/>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w:t>
      </w:r>
      <w:r>
        <w:rPr>
          <w:rFonts w:eastAsia="仿宋_GB2312" w:cs="仿宋_GB2312"/>
          <w:b/>
          <w:sz w:val="24"/>
          <w:szCs w:val="24"/>
        </w:rPr>
        <w:t xml:space="preserve">投标人</w:t>
      </w:r>
      <w:r>
        <w:rPr>
          <w:rFonts w:eastAsia="仿宋_GB2312" w:cs="仿宋_GB2312"/>
          <w:b/>
          <w:sz w:val="24"/>
          <w:szCs w:val="24"/>
        </w:rPr>
        <w:t xml:space="preserve">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9" w:name="_Toc11176"/>
      <w:r>
        <w:rPr>
          <w:rFonts w:hint="eastAsia" w:eastAsia="黑体" w:cs="黑体"/>
          <w:b/>
          <w:sz w:val="32"/>
          <w:szCs w:val="24"/>
        </w:rPr>
        <w:t xml:space="preserve">十、</w:t>
      </w:r>
      <w:bookmarkEnd w:id="59"/>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60" w:name="_Toc28140"/>
      <w:r>
        <w:rPr>
          <w:rFonts w:hint="eastAsia" w:eastAsia="黑体" w:cs="黑体"/>
          <w:b/>
          <w:sz w:val="32"/>
          <w:szCs w:val="24"/>
        </w:rPr>
        <w:t xml:space="preserve">十一</w:t>
      </w:r>
      <w:r>
        <w:rPr>
          <w:rFonts w:eastAsia="黑体" w:cs="黑体"/>
          <w:b/>
          <w:sz w:val="32"/>
          <w:szCs w:val="24"/>
        </w:rPr>
        <w:t xml:space="preserve">、投标所需其他材料</w:t>
      </w:r>
      <w:bookmarkEnd w:id="60"/>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5"/>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61" w:name="_Hlt26955066"/>
      <w:r/>
      <w:bookmarkStart w:id="62" w:name="_Hlt26671374"/>
      <w:r/>
      <w:bookmarkStart w:id="63" w:name="_Hlt26609389"/>
      <w:r/>
      <w:bookmarkStart w:id="64" w:name="_Toc462564146"/>
      <w:r/>
      <w:bookmarkEnd w:id="61"/>
      <w:r/>
      <w:bookmarkEnd w:id="62"/>
      <w:r/>
      <w:bookmarkEnd w:id="63"/>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5" w:name="_格式2__法定代表人授权书"/>
      <w:r/>
      <w:bookmarkEnd w:id="64"/>
      <w:r/>
      <w:bookmarkEnd w:id="65"/>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25"/>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5"/>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829"/>
    <w:link w:val="820"/>
    <w:uiPriority w:val="9"/>
    <w:rPr>
      <w:rFonts w:ascii="Arial" w:hAnsi="Arial" w:eastAsia="Arial" w:cs="Arial"/>
      <w:sz w:val="40"/>
      <w:szCs w:val="40"/>
    </w:rPr>
  </w:style>
  <w:style w:type="character" w:styleId="784">
    <w:name w:val="Heading 2 Char"/>
    <w:basedOn w:val="829"/>
    <w:link w:val="821"/>
    <w:uiPriority w:val="9"/>
    <w:rPr>
      <w:rFonts w:ascii="Arial" w:hAnsi="Arial" w:eastAsia="Arial" w:cs="Arial"/>
      <w:sz w:val="34"/>
    </w:rPr>
  </w:style>
  <w:style w:type="character" w:styleId="785">
    <w:name w:val="Heading 3 Char"/>
    <w:basedOn w:val="829"/>
    <w:link w:val="822"/>
    <w:uiPriority w:val="9"/>
    <w:rPr>
      <w:rFonts w:ascii="Arial" w:hAnsi="Arial" w:eastAsia="Arial" w:cs="Arial"/>
      <w:sz w:val="30"/>
      <w:szCs w:val="30"/>
    </w:rPr>
  </w:style>
  <w:style w:type="character" w:styleId="786">
    <w:name w:val="Heading 4 Char"/>
    <w:basedOn w:val="829"/>
    <w:link w:val="823"/>
    <w:uiPriority w:val="9"/>
    <w:rPr>
      <w:rFonts w:ascii="Arial" w:hAnsi="Arial" w:eastAsia="Arial" w:cs="Arial"/>
      <w:b/>
      <w:bCs/>
      <w:sz w:val="26"/>
      <w:szCs w:val="26"/>
    </w:rPr>
  </w:style>
  <w:style w:type="character" w:styleId="787">
    <w:name w:val="Heading 5 Char"/>
    <w:basedOn w:val="829"/>
    <w:link w:val="824"/>
    <w:uiPriority w:val="9"/>
    <w:rPr>
      <w:rFonts w:ascii="Arial" w:hAnsi="Arial" w:eastAsia="Arial" w:cs="Arial"/>
      <w:b/>
      <w:bCs/>
      <w:sz w:val="24"/>
      <w:szCs w:val="24"/>
    </w:rPr>
  </w:style>
  <w:style w:type="character" w:styleId="788">
    <w:name w:val="Heading 6 Char"/>
    <w:basedOn w:val="829"/>
    <w:link w:val="825"/>
    <w:uiPriority w:val="9"/>
    <w:rPr>
      <w:rFonts w:ascii="Arial" w:hAnsi="Arial" w:eastAsia="Arial" w:cs="Arial"/>
      <w:b/>
      <w:bCs/>
      <w:sz w:val="22"/>
      <w:szCs w:val="22"/>
    </w:rPr>
  </w:style>
  <w:style w:type="character" w:styleId="789">
    <w:name w:val="Heading 7 Char"/>
    <w:basedOn w:val="829"/>
    <w:link w:val="826"/>
    <w:uiPriority w:val="9"/>
    <w:rPr>
      <w:rFonts w:ascii="Arial" w:hAnsi="Arial" w:eastAsia="Arial" w:cs="Arial"/>
      <w:b/>
      <w:bCs/>
      <w:i/>
      <w:iCs/>
      <w:sz w:val="22"/>
      <w:szCs w:val="22"/>
    </w:rPr>
  </w:style>
  <w:style w:type="character" w:styleId="790">
    <w:name w:val="Heading 8 Char"/>
    <w:basedOn w:val="829"/>
    <w:link w:val="827"/>
    <w:uiPriority w:val="9"/>
    <w:rPr>
      <w:rFonts w:ascii="Arial" w:hAnsi="Arial" w:eastAsia="Arial" w:cs="Arial"/>
      <w:i/>
      <w:iCs/>
      <w:sz w:val="22"/>
      <w:szCs w:val="22"/>
    </w:rPr>
  </w:style>
  <w:style w:type="character" w:styleId="791">
    <w:name w:val="Heading 9 Char"/>
    <w:basedOn w:val="829"/>
    <w:link w:val="828"/>
    <w:uiPriority w:val="9"/>
    <w:rPr>
      <w:rFonts w:ascii="Arial" w:hAnsi="Arial" w:eastAsia="Arial" w:cs="Arial"/>
      <w:i/>
      <w:iCs/>
      <w:sz w:val="21"/>
      <w:szCs w:val="21"/>
    </w:rPr>
  </w:style>
  <w:style w:type="character" w:styleId="792">
    <w:name w:val="Title Char"/>
    <w:basedOn w:val="829"/>
    <w:link w:val="860"/>
    <w:uiPriority w:val="10"/>
    <w:rPr>
      <w:sz w:val="48"/>
      <w:szCs w:val="48"/>
    </w:rPr>
  </w:style>
  <w:style w:type="character" w:styleId="793">
    <w:name w:val="Subtitle Char"/>
    <w:basedOn w:val="829"/>
    <w:link w:val="852"/>
    <w:uiPriority w:val="11"/>
    <w:rPr>
      <w:sz w:val="24"/>
      <w:szCs w:val="24"/>
    </w:rPr>
  </w:style>
  <w:style w:type="character" w:styleId="794">
    <w:name w:val="Quote Char"/>
    <w:link w:val="883"/>
    <w:uiPriority w:val="29"/>
    <w:rPr>
      <w:i/>
    </w:rPr>
  </w:style>
  <w:style w:type="character" w:styleId="795">
    <w:name w:val="Intense Quote Char"/>
    <w:link w:val="885"/>
    <w:uiPriority w:val="30"/>
    <w:rPr>
      <w:i/>
    </w:rPr>
  </w:style>
  <w:style w:type="character" w:styleId="796">
    <w:name w:val="Caption Char"/>
    <w:basedOn w:val="835"/>
    <w:link w:val="845"/>
    <w:uiPriority w:val="99"/>
  </w:style>
  <w:style w:type="table" w:styleId="797">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Footnote Text Char"/>
    <w:link w:val="853"/>
    <w:uiPriority w:val="99"/>
    <w:rPr>
      <w:sz w:val="18"/>
    </w:rPr>
  </w:style>
  <w:style w:type="character" w:styleId="817">
    <w:name w:val="Endnote Text Char"/>
    <w:link w:val="843"/>
    <w:uiPriority w:val="99"/>
    <w:rPr>
      <w:sz w:val="20"/>
    </w:rPr>
  </w:style>
  <w:style w:type="paragraph" w:styleId="818">
    <w:name w:val="TOC Heading"/>
    <w:uiPriority w:val="39"/>
    <w:unhideWhenUsed/>
  </w:style>
  <w:style w:type="paragraph" w:styleId="819" w:default="1">
    <w:name w:val="Normal"/>
    <w:next w:val="832"/>
    <w:qFormat/>
    <w:pPr>
      <w:jc w:val="both"/>
      <w:widowControl w:val="off"/>
    </w:pPr>
    <w:rPr>
      <w:rFonts w:eastAsia="楷体_GB2312"/>
      <w:sz w:val="26"/>
    </w:rPr>
  </w:style>
  <w:style w:type="paragraph" w:styleId="820">
    <w:name w:val="Heading 1"/>
    <w:basedOn w:val="819"/>
    <w:next w:val="819"/>
    <w:link w:val="870"/>
    <w:qFormat/>
    <w:pPr>
      <w:jc w:val="center"/>
      <w:keepLines/>
      <w:keepNext/>
      <w:spacing w:line="360" w:lineRule="auto"/>
      <w:outlineLvl w:val="0"/>
    </w:pPr>
    <w:rPr>
      <w:rFonts w:eastAsia="宋体"/>
      <w:b/>
      <w:sz w:val="32"/>
    </w:rPr>
  </w:style>
  <w:style w:type="paragraph" w:styleId="821">
    <w:name w:val="Heading 2"/>
    <w:basedOn w:val="819"/>
    <w:next w:val="819"/>
    <w:link w:val="871"/>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2"/>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3"/>
    <w:uiPriority w:val="9"/>
    <w:unhideWhenUsed/>
    <w:qFormat/>
    <w:pPr>
      <w:keepLines/>
      <w:keepNext/>
      <w:spacing w:before="320" w:after="200"/>
      <w:outlineLvl w:val="3"/>
    </w:pPr>
    <w:rPr>
      <w:rFonts w:ascii="Arial" w:hAnsi="Arial" w:eastAsia="Arial" w:cs="Arial"/>
      <w:b/>
      <w:bCs/>
      <w:szCs w:val="26"/>
    </w:rPr>
  </w:style>
  <w:style w:type="paragraph" w:styleId="824">
    <w:name w:val="Heading 5"/>
    <w:basedOn w:val="819"/>
    <w:next w:val="819"/>
    <w:link w:val="874"/>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5"/>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77"/>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78"/>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Body Text"/>
    <w:basedOn w:val="819"/>
    <w:next w:val="819"/>
    <w:link w:val="1061"/>
    <w:uiPriority w:val="99"/>
    <w:qFormat/>
    <w:rPr>
      <w:rFonts w:ascii="楷体_GB2312" w:hAnsi="Arial"/>
      <w:sz w:val="28"/>
    </w:rPr>
  </w:style>
  <w:style w:type="paragraph" w:styleId="833">
    <w:name w:val="toc 7"/>
    <w:basedOn w:val="819"/>
    <w:next w:val="819"/>
    <w:uiPriority w:val="39"/>
    <w:unhideWhenUsed/>
    <w:qFormat/>
    <w:pPr>
      <w:ind w:left="1701"/>
      <w:spacing w:after="57"/>
    </w:pPr>
  </w:style>
  <w:style w:type="paragraph" w:styleId="834">
    <w:name w:val="Normal Indent"/>
    <w:basedOn w:val="819"/>
    <w:next w:val="819"/>
    <w:uiPriority w:val="99"/>
    <w:qFormat/>
    <w:pPr>
      <w:ind w:firstLine="200"/>
    </w:pPr>
  </w:style>
  <w:style w:type="paragraph" w:styleId="835">
    <w:name w:val="Caption"/>
    <w:basedOn w:val="819"/>
    <w:next w:val="819"/>
    <w:uiPriority w:val="35"/>
    <w:semiHidden/>
    <w:unhideWhenUsed/>
    <w:qFormat/>
    <w:pPr>
      <w:spacing w:line="276" w:lineRule="auto"/>
    </w:pPr>
    <w:rPr>
      <w:b/>
      <w:bCs/>
      <w:color w:val="4f81bd"/>
      <w:sz w:val="18"/>
      <w:szCs w:val="18"/>
    </w:rPr>
  </w:style>
  <w:style w:type="paragraph" w:styleId="836">
    <w:name w:val="annotation text"/>
    <w:basedOn w:val="819"/>
    <w:link w:val="1052"/>
    <w:uiPriority w:val="99"/>
    <w:semiHidden/>
    <w:unhideWhenUsed/>
    <w:qFormat/>
    <w:pPr>
      <w:jc w:val="left"/>
    </w:pPr>
  </w:style>
  <w:style w:type="paragraph" w:styleId="837">
    <w:name w:val="Body Text Indent"/>
    <w:basedOn w:val="819"/>
    <w:qFormat/>
    <w:pPr>
      <w:ind w:firstLine="645"/>
    </w:pPr>
    <w:rPr>
      <w:rFonts w:ascii="楷体_GB2312" w:hAnsi="Calibri"/>
      <w:sz w:val="32"/>
      <w:szCs w:val="22"/>
    </w:rPr>
  </w:style>
  <w:style w:type="paragraph" w:styleId="838">
    <w:name w:val="Block Text"/>
    <w:basedOn w:val="819"/>
    <w:qFormat/>
    <w:pPr>
      <w:ind w:left="525" w:right="-1" w:firstLine="525"/>
      <w:spacing w:line="312" w:lineRule="atLeast"/>
    </w:pPr>
    <w:rPr>
      <w:sz w:val="28"/>
      <w:szCs w:val="28"/>
    </w:rPr>
  </w:style>
  <w:style w:type="paragraph" w:styleId="839">
    <w:name w:val="toc 5"/>
    <w:basedOn w:val="819"/>
    <w:next w:val="819"/>
    <w:uiPriority w:val="39"/>
    <w:unhideWhenUsed/>
    <w:qFormat/>
    <w:pPr>
      <w:ind w:left="1134"/>
      <w:spacing w:after="57"/>
    </w:pPr>
  </w:style>
  <w:style w:type="paragraph" w:styleId="840">
    <w:name w:val="toc 3"/>
    <w:basedOn w:val="819"/>
    <w:next w:val="819"/>
    <w:uiPriority w:val="39"/>
    <w:unhideWhenUsed/>
    <w:qFormat/>
    <w:pPr>
      <w:ind w:left="567"/>
      <w:spacing w:after="57"/>
    </w:pPr>
  </w:style>
  <w:style w:type="paragraph" w:styleId="841">
    <w:name w:val="Plain Text"/>
    <w:basedOn w:val="819"/>
    <w:next w:val="834"/>
    <w:qFormat/>
    <w:rPr>
      <w:rFonts w:ascii="宋体"/>
    </w:rPr>
  </w:style>
  <w:style w:type="paragraph" w:styleId="842">
    <w:name w:val="toc 8"/>
    <w:basedOn w:val="819"/>
    <w:next w:val="819"/>
    <w:uiPriority w:val="39"/>
    <w:unhideWhenUsed/>
    <w:qFormat/>
    <w:pPr>
      <w:ind w:left="1984"/>
      <w:spacing w:after="57"/>
    </w:pPr>
  </w:style>
  <w:style w:type="paragraph" w:styleId="843">
    <w:name w:val="endnote text"/>
    <w:basedOn w:val="819"/>
    <w:link w:val="1016"/>
    <w:uiPriority w:val="99"/>
    <w:semiHidden/>
    <w:unhideWhenUsed/>
    <w:qFormat/>
    <w:rPr>
      <w:sz w:val="20"/>
    </w:rPr>
  </w:style>
  <w:style w:type="paragraph" w:styleId="844">
    <w:name w:val="Balloon Text"/>
    <w:basedOn w:val="819"/>
    <w:link w:val="1048"/>
    <w:uiPriority w:val="99"/>
    <w:semiHidden/>
    <w:unhideWhenUsed/>
    <w:qFormat/>
    <w:rPr>
      <w:sz w:val="18"/>
      <w:szCs w:val="18"/>
    </w:rPr>
  </w:style>
  <w:style w:type="paragraph" w:styleId="845">
    <w:name w:val="Footer"/>
    <w:basedOn w:val="819"/>
    <w:link w:val="889"/>
    <w:uiPriority w:val="99"/>
    <w:unhideWhenUsed/>
    <w:qFormat/>
    <w:pPr>
      <w:tabs>
        <w:tab w:val="center" w:pos="7143" w:leader="none"/>
        <w:tab w:val="right" w:pos="14287" w:leader="none"/>
      </w:tabs>
    </w:pPr>
  </w:style>
  <w:style w:type="paragraph" w:styleId="846">
    <w:name w:val="envelope return"/>
    <w:basedOn w:val="847"/>
    <w:uiPriority w:val="99"/>
    <w:unhideWhenUsed/>
    <w:qFormat/>
    <w:rPr>
      <w:rFonts w:ascii="Arial" w:hAnsi="Arial"/>
    </w:rPr>
  </w:style>
  <w:style w:type="paragraph" w:styleId="847" w:customStyle="1">
    <w:name w:val="Normal_19"/>
    <w:next w:val="848"/>
    <w:qFormat/>
    <w:pPr>
      <w:jc w:val="both"/>
      <w:widowControl w:val="off"/>
    </w:pPr>
    <w:rPr>
      <w:sz w:val="21"/>
      <w:szCs w:val="24"/>
    </w:rPr>
  </w:style>
  <w:style w:type="paragraph" w:styleId="848" w:customStyle="1">
    <w:name w:val="正文文本缩进1"/>
    <w:basedOn w:val="819"/>
    <w:next w:val="846"/>
    <w:unhideWhenUsed/>
    <w:qFormat/>
    <w:pPr>
      <w:ind w:firstLine="570"/>
    </w:pPr>
    <w:rPr>
      <w:rFonts w:ascii="宋体" w:eastAsia="宋体"/>
      <w:sz w:val="28"/>
    </w:rPr>
  </w:style>
  <w:style w:type="paragraph" w:styleId="849">
    <w:name w:val="Header"/>
    <w:basedOn w:val="819"/>
    <w:link w:val="1018"/>
    <w:qFormat/>
    <w:pPr>
      <w:jc w:val="center"/>
      <w:tabs>
        <w:tab w:val="center" w:pos="4153" w:leader="none"/>
        <w:tab w:val="right" w:pos="8306" w:leader="none"/>
      </w:tabs>
    </w:pPr>
    <w:rPr>
      <w:sz w:val="18"/>
      <w:szCs w:val="18"/>
    </w:rPr>
  </w:style>
  <w:style w:type="paragraph" w:styleId="850">
    <w:name w:val="toc 1"/>
    <w:basedOn w:val="819"/>
    <w:next w:val="819"/>
    <w:uiPriority w:val="39"/>
    <w:unhideWhenUsed/>
    <w:qFormat/>
    <w:pPr>
      <w:spacing w:after="57"/>
    </w:pPr>
  </w:style>
  <w:style w:type="paragraph" w:styleId="851">
    <w:name w:val="toc 4"/>
    <w:basedOn w:val="819"/>
    <w:next w:val="819"/>
    <w:uiPriority w:val="39"/>
    <w:unhideWhenUsed/>
    <w:qFormat/>
    <w:pPr>
      <w:ind w:left="850"/>
      <w:spacing w:after="57"/>
    </w:pPr>
  </w:style>
  <w:style w:type="paragraph" w:styleId="852">
    <w:name w:val="Subtitle"/>
    <w:basedOn w:val="819"/>
    <w:next w:val="819"/>
    <w:link w:val="882"/>
    <w:uiPriority w:val="11"/>
    <w:qFormat/>
    <w:pPr>
      <w:spacing w:before="200" w:after="200"/>
    </w:pPr>
    <w:rPr>
      <w:sz w:val="24"/>
      <w:szCs w:val="24"/>
    </w:rPr>
  </w:style>
  <w:style w:type="paragraph" w:styleId="853">
    <w:name w:val="footnote text"/>
    <w:basedOn w:val="819"/>
    <w:link w:val="1015"/>
    <w:uiPriority w:val="99"/>
    <w:semiHidden/>
    <w:unhideWhenUsed/>
    <w:qFormat/>
    <w:pPr>
      <w:spacing w:after="40"/>
    </w:pPr>
    <w:rPr>
      <w:sz w:val="18"/>
    </w:rPr>
  </w:style>
  <w:style w:type="paragraph" w:styleId="854">
    <w:name w:val="toc 6"/>
    <w:basedOn w:val="819"/>
    <w:next w:val="819"/>
    <w:uiPriority w:val="39"/>
    <w:unhideWhenUsed/>
    <w:qFormat/>
    <w:pPr>
      <w:ind w:left="1417"/>
      <w:spacing w:after="57"/>
    </w:pPr>
  </w:style>
  <w:style w:type="paragraph" w:styleId="855">
    <w:name w:val="table of figures"/>
    <w:basedOn w:val="819"/>
    <w:next w:val="819"/>
    <w:uiPriority w:val="99"/>
    <w:unhideWhenUsed/>
    <w:qFormat/>
  </w:style>
  <w:style w:type="paragraph" w:styleId="856">
    <w:name w:val="toc 2"/>
    <w:basedOn w:val="819"/>
    <w:next w:val="819"/>
    <w:uiPriority w:val="39"/>
    <w:unhideWhenUsed/>
    <w:qFormat/>
    <w:pPr>
      <w:ind w:left="283"/>
      <w:spacing w:after="57"/>
    </w:pPr>
  </w:style>
  <w:style w:type="paragraph" w:styleId="857">
    <w:name w:val="toc 9"/>
    <w:basedOn w:val="819"/>
    <w:next w:val="819"/>
    <w:uiPriority w:val="39"/>
    <w:unhideWhenUsed/>
    <w:qFormat/>
    <w:pPr>
      <w:ind w:left="2268"/>
      <w:spacing w:after="57"/>
    </w:pPr>
  </w:style>
  <w:style w:type="paragraph" w:styleId="858">
    <w:name w:val="HTML Preformatted"/>
    <w:basedOn w:val="819"/>
    <w:link w:val="1060"/>
    <w:uiPriority w:val="99"/>
    <w:semiHidden/>
    <w:unhideWhenUsed/>
    <w:qFormat/>
    <w:rPr>
      <w:rFonts w:ascii="Courier New" w:hAnsi="Courier New" w:cs="Courier New"/>
      <w:sz w:val="20"/>
    </w:rPr>
  </w:style>
  <w:style w:type="paragraph" w:styleId="859">
    <w:name w:val="Normal (Web)"/>
    <w:basedOn w:val="819"/>
    <w:uiPriority w:val="99"/>
    <w:qFormat/>
    <w:pPr>
      <w:jc w:val="left"/>
      <w:spacing w:before="100" w:beforeAutospacing="1" w:after="100" w:afterAutospacing="1"/>
      <w:widowControl/>
    </w:pPr>
    <w:rPr>
      <w:rFonts w:ascii="宋体" w:hAnsi="宋体"/>
      <w:color w:val="000000"/>
      <w:sz w:val="24"/>
      <w:szCs w:val="24"/>
    </w:rPr>
  </w:style>
  <w:style w:type="paragraph" w:styleId="860">
    <w:name w:val="Title"/>
    <w:basedOn w:val="819"/>
    <w:next w:val="819"/>
    <w:link w:val="881"/>
    <w:uiPriority w:val="10"/>
    <w:qFormat/>
    <w:pPr>
      <w:contextualSpacing/>
      <w:spacing w:before="300" w:after="200"/>
    </w:pPr>
    <w:rPr>
      <w:sz w:val="48"/>
      <w:szCs w:val="48"/>
    </w:rPr>
  </w:style>
  <w:style w:type="paragraph" w:styleId="861">
    <w:name w:val="Body Text First Indent"/>
    <w:basedOn w:val="832"/>
    <w:next w:val="862"/>
    <w:qFormat/>
    <w:pPr>
      <w:ind w:firstLine="420"/>
    </w:pPr>
  </w:style>
  <w:style w:type="paragraph" w:styleId="862">
    <w:name w:val="Body Text First Indent 2"/>
    <w:basedOn w:val="837"/>
    <w:uiPriority w:val="99"/>
    <w:unhideWhenUsed/>
    <w:qFormat/>
    <w:pPr>
      <w:ind w:firstLine="200"/>
    </w:pPr>
  </w:style>
  <w:style w:type="table" w:styleId="863">
    <w:name w:val="Table Grid"/>
    <w:basedOn w:val="8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endnote reference"/>
    <w:uiPriority w:val="99"/>
    <w:semiHidden/>
    <w:unhideWhenUsed/>
    <w:qFormat/>
    <w:rPr>
      <w:vertAlign w:val="superscript"/>
    </w:rPr>
  </w:style>
  <w:style w:type="character" w:styleId="865">
    <w:name w:val="Emphasis"/>
    <w:qFormat/>
    <w:rPr>
      <w:rFonts w:ascii="Times New Roman" w:hAnsi="Times New Roman" w:eastAsia="宋体" w:cs="Times New Roman"/>
      <w:i/>
    </w:rPr>
  </w:style>
  <w:style w:type="character" w:styleId="866">
    <w:name w:val="Hyperlink"/>
    <w:uiPriority w:val="99"/>
    <w:unhideWhenUsed/>
    <w:qFormat/>
    <w:rPr>
      <w:color w:val="0563c1"/>
      <w:u w:val="single"/>
    </w:rPr>
  </w:style>
  <w:style w:type="character" w:styleId="867">
    <w:name w:val="annotation reference"/>
    <w:basedOn w:val="829"/>
    <w:uiPriority w:val="99"/>
    <w:semiHidden/>
    <w:unhideWhenUsed/>
    <w:qFormat/>
    <w:rPr>
      <w:sz w:val="21"/>
      <w:szCs w:val="21"/>
    </w:rPr>
  </w:style>
  <w:style w:type="character" w:styleId="868">
    <w:name w:val="footnote reference"/>
    <w:uiPriority w:val="99"/>
    <w:unhideWhenUsed/>
    <w:qFormat/>
    <w:rPr>
      <w:vertAlign w:val="superscript"/>
    </w:rPr>
  </w:style>
  <w:style w:type="paragraph" w:styleId="869" w:customStyle="1">
    <w:name w:val="标题 31"/>
    <w:basedOn w:val="819"/>
    <w:next w:val="819"/>
    <w:qFormat/>
    <w:pPr>
      <w:keepLines/>
      <w:keepNext/>
      <w:spacing w:before="260" w:after="260" w:line="416" w:lineRule="auto"/>
      <w:outlineLvl w:val="2"/>
    </w:pPr>
    <w:rPr>
      <w:b/>
      <w:bCs/>
      <w:sz w:val="32"/>
      <w:szCs w:val="32"/>
    </w:rPr>
  </w:style>
  <w:style w:type="character" w:styleId="870" w:customStyle="1">
    <w:name w:val="标题 1 字符"/>
    <w:link w:val="820"/>
    <w:qFormat/>
    <w:rPr>
      <w:rFonts w:ascii="Arial" w:hAnsi="Arial" w:eastAsia="Arial" w:cs="Arial"/>
      <w:sz w:val="40"/>
      <w:szCs w:val="40"/>
    </w:rPr>
  </w:style>
  <w:style w:type="character" w:styleId="871" w:customStyle="1">
    <w:name w:val="标题 2 字符"/>
    <w:link w:val="821"/>
    <w:uiPriority w:val="9"/>
    <w:qFormat/>
    <w:rPr>
      <w:rFonts w:ascii="Arial" w:hAnsi="Arial" w:eastAsia="Arial" w:cs="Arial"/>
      <w:sz w:val="34"/>
    </w:rPr>
  </w:style>
  <w:style w:type="character" w:styleId="872" w:customStyle="1">
    <w:name w:val="标题 3 字符"/>
    <w:link w:val="822"/>
    <w:uiPriority w:val="9"/>
    <w:qFormat/>
    <w:rPr>
      <w:rFonts w:ascii="Arial" w:hAnsi="Arial" w:eastAsia="Arial" w:cs="Arial"/>
      <w:sz w:val="30"/>
      <w:szCs w:val="30"/>
    </w:rPr>
  </w:style>
  <w:style w:type="character" w:styleId="873" w:customStyle="1">
    <w:name w:val="标题 4 字符"/>
    <w:link w:val="823"/>
    <w:uiPriority w:val="9"/>
    <w:qFormat/>
    <w:rPr>
      <w:rFonts w:ascii="Arial" w:hAnsi="Arial" w:eastAsia="Arial" w:cs="Arial"/>
      <w:b/>
      <w:bCs/>
      <w:sz w:val="26"/>
      <w:szCs w:val="26"/>
    </w:rPr>
  </w:style>
  <w:style w:type="character" w:styleId="874" w:customStyle="1">
    <w:name w:val="标题 5 字符"/>
    <w:link w:val="824"/>
    <w:uiPriority w:val="9"/>
    <w:qFormat/>
    <w:rPr>
      <w:rFonts w:ascii="Arial" w:hAnsi="Arial" w:eastAsia="Arial" w:cs="Arial"/>
      <w:b/>
      <w:bCs/>
      <w:sz w:val="24"/>
      <w:szCs w:val="24"/>
    </w:rPr>
  </w:style>
  <w:style w:type="character" w:styleId="875" w:customStyle="1">
    <w:name w:val="标题 6 字符"/>
    <w:link w:val="825"/>
    <w:uiPriority w:val="9"/>
    <w:qFormat/>
    <w:rPr>
      <w:rFonts w:ascii="Arial" w:hAnsi="Arial" w:eastAsia="Arial" w:cs="Arial"/>
      <w:b/>
      <w:bCs/>
      <w:sz w:val="22"/>
      <w:szCs w:val="22"/>
    </w:rPr>
  </w:style>
  <w:style w:type="character" w:styleId="876" w:customStyle="1">
    <w:name w:val="标题 7 字符"/>
    <w:link w:val="826"/>
    <w:uiPriority w:val="9"/>
    <w:qFormat/>
    <w:rPr>
      <w:rFonts w:ascii="Arial" w:hAnsi="Arial" w:eastAsia="Arial" w:cs="Arial"/>
      <w:b/>
      <w:bCs/>
      <w:i/>
      <w:iCs/>
      <w:sz w:val="22"/>
      <w:szCs w:val="22"/>
    </w:rPr>
  </w:style>
  <w:style w:type="character" w:styleId="877" w:customStyle="1">
    <w:name w:val="标题 8 字符"/>
    <w:link w:val="827"/>
    <w:uiPriority w:val="9"/>
    <w:qFormat/>
    <w:rPr>
      <w:rFonts w:ascii="Arial" w:hAnsi="Arial" w:eastAsia="Arial" w:cs="Arial"/>
      <w:i/>
      <w:iCs/>
      <w:sz w:val="22"/>
      <w:szCs w:val="22"/>
    </w:rPr>
  </w:style>
  <w:style w:type="character" w:styleId="878" w:customStyle="1">
    <w:name w:val="标题 9 字符"/>
    <w:link w:val="828"/>
    <w:uiPriority w:val="9"/>
    <w:qFormat/>
    <w:rPr>
      <w:rFonts w:ascii="Arial" w:hAnsi="Arial" w:eastAsia="Arial" w:cs="Arial"/>
      <w:i/>
      <w:iCs/>
      <w:sz w:val="21"/>
      <w:szCs w:val="21"/>
    </w:rPr>
  </w:style>
  <w:style w:type="paragraph" w:styleId="879">
    <w:name w:val="List Paragraph"/>
    <w:basedOn w:val="819"/>
    <w:qFormat/>
    <w:pPr>
      <w:ind w:firstLine="420"/>
    </w:pPr>
  </w:style>
  <w:style w:type="paragraph" w:styleId="880">
    <w:name w:val="No Spacing"/>
    <w:uiPriority w:val="1"/>
    <w:qFormat/>
  </w:style>
  <w:style w:type="character" w:styleId="881" w:customStyle="1">
    <w:name w:val="标题 字符"/>
    <w:link w:val="860"/>
    <w:uiPriority w:val="10"/>
    <w:qFormat/>
    <w:rPr>
      <w:sz w:val="48"/>
      <w:szCs w:val="48"/>
    </w:rPr>
  </w:style>
  <w:style w:type="character" w:styleId="882" w:customStyle="1">
    <w:name w:val="副标题 字符"/>
    <w:link w:val="852"/>
    <w:uiPriority w:val="11"/>
    <w:qFormat/>
    <w:rPr>
      <w:sz w:val="24"/>
      <w:szCs w:val="24"/>
    </w:rPr>
  </w:style>
  <w:style w:type="paragraph" w:styleId="883">
    <w:name w:val="Quote"/>
    <w:basedOn w:val="819"/>
    <w:next w:val="819"/>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19"/>
    <w:next w:val="819"/>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uiPriority w:val="99"/>
    <w:qFormat/>
  </w:style>
  <w:style w:type="character" w:styleId="888" w:customStyle="1">
    <w:name w:val="Footer Char"/>
    <w:uiPriority w:val="99"/>
    <w:qFormat/>
  </w:style>
  <w:style w:type="character" w:styleId="889" w:customStyle="1">
    <w:name w:val="页脚 字符"/>
    <w:link w:val="845"/>
    <w:uiPriority w:val="99"/>
    <w:qFormat/>
  </w:style>
  <w:style w:type="table" w:styleId="8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3" w:customStyle="1">
    <w:name w:val="无格式表格 31"/>
    <w:uiPriority w:val="99"/>
    <w:qFormat/>
    <w:tblPr>
      <w:tblCellMar>
        <w:left w:w="0" w:type="dxa"/>
        <w:top w:w="0" w:type="dxa"/>
        <w:right w:w="0" w:type="dxa"/>
        <w:bottom w:w="0" w:type="dxa"/>
      </w:tblCellMar>
    </w:tblPr>
  </w:style>
  <w:style w:type="table" w:styleId="894" w:customStyle="1">
    <w:name w:val="无格式表格 41"/>
    <w:uiPriority w:val="99"/>
    <w:qFormat/>
    <w:tblPr>
      <w:tblCellMar>
        <w:left w:w="0" w:type="dxa"/>
        <w:top w:w="0" w:type="dxa"/>
        <w:right w:w="0" w:type="dxa"/>
        <w:bottom w:w="0" w:type="dxa"/>
      </w:tblCellMar>
    </w:tblPr>
  </w:style>
  <w:style w:type="table" w:styleId="895" w:customStyle="1">
    <w:name w:val="无格式表格 51"/>
    <w:uiPriority w:val="99"/>
    <w:qFormat/>
    <w:tblPr>
      <w:tblCellMar>
        <w:left w:w="0" w:type="dxa"/>
        <w:top w:w="0" w:type="dxa"/>
        <w:right w:w="0" w:type="dxa"/>
        <w:bottom w:w="0" w:type="dxa"/>
      </w:tblCellMar>
    </w:tblPr>
  </w:style>
  <w:style w:type="table" w:styleId="89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清单表 1 浅色1"/>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脚注文本 字符"/>
    <w:link w:val="853"/>
    <w:uiPriority w:val="99"/>
    <w:qFormat/>
    <w:rPr>
      <w:sz w:val="18"/>
    </w:rPr>
  </w:style>
  <w:style w:type="character" w:styleId="1016" w:customStyle="1">
    <w:name w:val="尾注文本 字符"/>
    <w:link w:val="843"/>
    <w:uiPriority w:val="99"/>
    <w:qFormat/>
    <w:rPr>
      <w:sz w:val="20"/>
    </w:rPr>
  </w:style>
  <w:style w:type="paragraph" w:styleId="1017" w:customStyle="1">
    <w:name w:val="TOC 标题1"/>
    <w:uiPriority w:val="39"/>
    <w:unhideWhenUsed/>
    <w:qFormat/>
  </w:style>
  <w:style w:type="character" w:styleId="1018" w:customStyle="1">
    <w:name w:val="页眉 字符"/>
    <w:link w:val="849"/>
    <w:qFormat/>
    <w:rPr>
      <w:rFonts w:ascii="Times New Roman" w:hAnsi="Times New Roman" w:eastAsia="楷体_GB2312"/>
      <w:sz w:val="18"/>
      <w:szCs w:val="18"/>
    </w:rPr>
  </w:style>
  <w:style w:type="paragraph" w:styleId="1019" w:customStyle="1">
    <w:name w:val="索引 41"/>
    <w:basedOn w:val="819"/>
    <w:next w:val="819"/>
    <w:qFormat/>
    <w:pPr>
      <w:ind w:left="600"/>
    </w:pPr>
    <w:rPr>
      <w:szCs w:val="21"/>
    </w:rPr>
  </w:style>
  <w:style w:type="paragraph" w:styleId="1020" w:customStyle="1">
    <w:name w:val="正文首行缩进 21"/>
    <w:basedOn w:val="848"/>
    <w:uiPriority w:val="99"/>
    <w:unhideWhenUsed/>
    <w:qFormat/>
    <w:pPr>
      <w:ind w:firstLine="420"/>
    </w:pPr>
  </w:style>
  <w:style w:type="paragraph" w:styleId="1021" w:customStyle="1">
    <w:name w:val="目录 11"/>
    <w:basedOn w:val="819"/>
    <w:next w:val="819"/>
    <w:unhideWhenUsed/>
    <w:qFormat/>
    <w:pPr>
      <w:jc w:val="left"/>
    </w:pPr>
    <w:rPr>
      <w:sz w:val="24"/>
    </w:rPr>
  </w:style>
  <w:style w:type="paragraph" w:styleId="1022" w:customStyle="1">
    <w:name w:val="标题 21"/>
    <w:basedOn w:val="819"/>
    <w:next w:val="819"/>
    <w:qFormat/>
    <w:pPr>
      <w:keepLines/>
      <w:keepNext/>
      <w:spacing w:before="260" w:after="260" w:line="416" w:lineRule="auto"/>
      <w:outlineLvl w:val="1"/>
    </w:pPr>
    <w:rPr>
      <w:rFonts w:ascii="Cambria" w:hAnsi="Cambria" w:eastAsia="宋体"/>
      <w:b/>
      <w:bCs/>
      <w:sz w:val="32"/>
      <w:szCs w:val="32"/>
    </w:rPr>
  </w:style>
  <w:style w:type="paragraph" w:styleId="1023" w:customStyle="1">
    <w:name w:val="Default"/>
    <w:qFormat/>
    <w:pPr>
      <w:widowControl w:val="off"/>
    </w:pPr>
    <w:rPr>
      <w:rFonts w:ascii="仿宋" w:eastAsia="仿宋" w:cs="仿宋"/>
      <w:color w:val="000000"/>
      <w:sz w:val="24"/>
      <w:szCs w:val="24"/>
    </w:rPr>
  </w:style>
  <w:style w:type="paragraph" w:styleId="1024" w:customStyle="1">
    <w:name w:val="纯文本1111"/>
    <w:basedOn w:val="819"/>
    <w:next w:val="1025"/>
    <w:unhideWhenUsed/>
    <w:qFormat/>
    <w:rPr>
      <w:rFonts w:ascii="宋体" w:hAnsi="Courier New"/>
    </w:rPr>
  </w:style>
  <w:style w:type="paragraph" w:styleId="1025" w:customStyle="1">
    <w:name w:val="正文缩进1"/>
    <w:basedOn w:val="819"/>
    <w:unhideWhenUsed/>
    <w:qFormat/>
    <w:pPr>
      <w:ind w:firstLine="420"/>
      <w:jc w:val="left"/>
    </w:pPr>
    <w:rPr>
      <w:sz w:val="24"/>
    </w:rPr>
  </w:style>
  <w:style w:type="paragraph" w:styleId="1026" w:customStyle="1">
    <w:name w:val="首行缩进"/>
    <w:basedOn w:val="819"/>
    <w:qFormat/>
    <w:pPr>
      <w:ind w:firstLine="480"/>
      <w:spacing w:line="360" w:lineRule="auto"/>
    </w:pPr>
    <w:rPr>
      <w:rFonts w:hAnsi="宋体" w:eastAsia="宋体" w:cs="宋体"/>
      <w:sz w:val="24"/>
      <w:szCs w:val="24"/>
    </w:rPr>
  </w:style>
  <w:style w:type="paragraph" w:styleId="1027" w:customStyle="1">
    <w:name w:val="Char"/>
    <w:basedOn w:val="819"/>
    <w:qFormat/>
  </w:style>
  <w:style w:type="paragraph" w:styleId="1028" w:customStyle="1">
    <w:name w:val="标题 11"/>
    <w:basedOn w:val="819"/>
    <w:next w:val="819"/>
    <w:qFormat/>
    <w:pPr>
      <w:keepLines/>
      <w:keepNext/>
      <w:spacing w:before="340" w:after="330" w:line="578" w:lineRule="auto"/>
      <w:outlineLvl w:val="0"/>
    </w:pPr>
    <w:rPr>
      <w:b/>
      <w:sz w:val="44"/>
    </w:rPr>
  </w:style>
  <w:style w:type="paragraph" w:styleId="1029" w:customStyle="1">
    <w:name w:val="纯文本1"/>
    <w:basedOn w:val="819"/>
    <w:qFormat/>
    <w:rPr>
      <w:rFonts w:ascii="宋体" w:hAnsi="Courier New"/>
    </w:rPr>
  </w:style>
  <w:style w:type="paragraph" w:styleId="1030" w:customStyle="1">
    <w:name w:val="正文2"/>
    <w:basedOn w:val="819"/>
    <w:qFormat/>
    <w:pPr>
      <w:ind w:firstLine="510"/>
      <w:spacing w:before="156" w:line="360" w:lineRule="auto"/>
    </w:pPr>
    <w:rPr>
      <w:sz w:val="24"/>
    </w:rPr>
  </w:style>
  <w:style w:type="character" w:styleId="1031" w:customStyle="1">
    <w:name w:val="要点1"/>
    <w:qFormat/>
    <w:rPr>
      <w:b/>
      <w:bCs/>
    </w:rPr>
  </w:style>
  <w:style w:type="paragraph" w:styleId="1032" w:customStyle="1">
    <w:name w:val="普通(网站)1"/>
    <w:basedOn w:val="819"/>
    <w:unhideWhenUsed/>
    <w:qFormat/>
    <w:pPr>
      <w:jc w:val="left"/>
      <w:spacing w:before="100" w:beforeAutospacing="1" w:after="100" w:afterAutospacing="1"/>
      <w:widowControl/>
    </w:pPr>
    <w:rPr>
      <w:rFonts w:ascii="宋体" w:hAnsi="宋体" w:cs="宋体"/>
      <w:sz w:val="24"/>
    </w:rPr>
  </w:style>
  <w:style w:type="paragraph" w:styleId="1033" w:customStyle="1">
    <w:name w:val="正文文本缩进 21"/>
    <w:basedOn w:val="819"/>
    <w:unhideWhenUsed/>
    <w:qFormat/>
    <w:pPr>
      <w:ind w:left="420"/>
      <w:spacing w:after="120" w:line="480" w:lineRule="auto"/>
    </w:pPr>
  </w:style>
  <w:style w:type="paragraph" w:styleId="1034" w:customStyle="1">
    <w:name w:val="纯文本11"/>
    <w:basedOn w:val="819"/>
    <w:uiPriority w:val="99"/>
    <w:qFormat/>
    <w:rPr>
      <w:rFonts w:ascii="宋体" w:hAnsi="Courier New"/>
    </w:rPr>
  </w:style>
  <w:style w:type="paragraph" w:styleId="1035" w:customStyle="1">
    <w:name w:val="索引 11"/>
    <w:basedOn w:val="819"/>
    <w:next w:val="819"/>
    <w:unhideWhenUsed/>
    <w:qFormat/>
    <w:pPr>
      <w:jc w:val="center"/>
      <w:spacing w:line="220" w:lineRule="exact"/>
    </w:pPr>
    <w:rPr>
      <w:rFonts w:ascii="仿宋_GB2312" w:eastAsia="仿宋_GB2312"/>
      <w:szCs w:val="21"/>
    </w:rPr>
  </w:style>
  <w:style w:type="paragraph" w:styleId="1036" w:customStyle="1">
    <w:name w:val="正文文本1"/>
    <w:basedOn w:val="819"/>
    <w:unhideWhenUsed/>
    <w:qFormat/>
    <w:rPr>
      <w:rFonts w:ascii="楷体_GB2312"/>
      <w:b/>
      <w:bCs/>
      <w:sz w:val="28"/>
    </w:rPr>
  </w:style>
  <w:style w:type="paragraph" w:styleId="1037" w:customStyle="1">
    <w:name w:val="页眉1"/>
    <w:basedOn w:val="819"/>
    <w:unhideWhenUsed/>
    <w:qFormat/>
    <w:pPr>
      <w:jc w:val="center"/>
      <w:tabs>
        <w:tab w:val="center" w:pos="4153" w:leader="none"/>
        <w:tab w:val="right" w:pos="8306" w:leader="none"/>
      </w:tabs>
      <w:pBdr>
        <w:bottom w:val="single" w:color="000000" w:sz="6" w:space="1"/>
      </w:pBdr>
    </w:pPr>
    <w:rPr>
      <w:sz w:val="18"/>
    </w:rPr>
  </w:style>
  <w:style w:type="paragraph" w:styleId="1038" w:customStyle="1">
    <w:name w:val="页脚1"/>
    <w:basedOn w:val="819"/>
    <w:unhideWhenUsed/>
    <w:qFormat/>
    <w:pPr>
      <w:jc w:val="left"/>
      <w:tabs>
        <w:tab w:val="center" w:pos="4153" w:leader="none"/>
        <w:tab w:val="right" w:pos="8306" w:leader="none"/>
      </w:tabs>
    </w:pPr>
    <w:rPr>
      <w:sz w:val="18"/>
    </w:rPr>
  </w:style>
  <w:style w:type="character" w:styleId="1039" w:customStyle="1">
    <w:name w:val="font81"/>
    <w:qFormat/>
    <w:rPr>
      <w:rFonts w:ascii="Times New Roman" w:hAnsi="Times New Roman" w:cs="Times New Roman"/>
      <w:color w:val="000000"/>
      <w:sz w:val="22"/>
      <w:szCs w:val="22"/>
      <w:u w:val="none"/>
    </w:rPr>
  </w:style>
  <w:style w:type="character" w:styleId="1040" w:customStyle="1">
    <w:name w:val="font11"/>
    <w:qFormat/>
    <w:rPr>
      <w:rFonts w:hint="eastAsia" w:ascii="仿宋" w:hAnsi="仿宋" w:eastAsia="仿宋" w:cs="仿宋"/>
      <w:color w:val="000000"/>
      <w:sz w:val="22"/>
      <w:szCs w:val="22"/>
      <w:u w:val="none"/>
    </w:rPr>
  </w:style>
  <w:style w:type="character" w:styleId="1041" w:customStyle="1">
    <w:name w:val="font101"/>
    <w:qFormat/>
    <w:rPr>
      <w:rFonts w:ascii="Arial" w:hAnsi="Arial" w:cs="Arial"/>
      <w:color w:val="000000"/>
      <w:sz w:val="22"/>
      <w:szCs w:val="22"/>
      <w:u w:val="none"/>
    </w:rPr>
  </w:style>
  <w:style w:type="paragraph" w:styleId="1042" w:customStyle="1">
    <w:name w:val="List Paragraph_f0420307-4c65-4cf4-ac34-e8950b7bacb1"/>
    <w:basedOn w:val="819"/>
    <w:qFormat/>
    <w:pPr>
      <w:ind w:firstLine="420"/>
    </w:pPr>
    <w:rPr>
      <w:rFonts w:eastAsia="宋体"/>
      <w:sz w:val="21"/>
      <w:szCs w:val="21"/>
    </w:rPr>
  </w:style>
  <w:style w:type="character" w:styleId="1043" w:customStyle="1">
    <w:name w:val="font51"/>
    <w:basedOn w:val="829"/>
    <w:qFormat/>
    <w:rPr>
      <w:rFonts w:hint="default" w:ascii="Times New Roman" w:hAnsi="Times New Roman" w:cs="Times New Roman"/>
      <w:color w:val="000000"/>
      <w:sz w:val="21"/>
      <w:szCs w:val="21"/>
      <w:u w:val="none"/>
    </w:rPr>
  </w:style>
  <w:style w:type="character" w:styleId="1044" w:customStyle="1">
    <w:name w:val="font31"/>
    <w:basedOn w:val="829"/>
    <w:qFormat/>
    <w:rPr>
      <w:rFonts w:hint="eastAsia" w:ascii="宋体" w:hAnsi="宋体" w:eastAsia="宋体" w:cs="宋体"/>
      <w:color w:val="000000"/>
      <w:sz w:val="21"/>
      <w:szCs w:val="21"/>
      <w:u w:val="none"/>
    </w:rPr>
  </w:style>
  <w:style w:type="character" w:styleId="1045" w:customStyle="1">
    <w:name w:val="font21"/>
    <w:basedOn w:val="829"/>
    <w:qFormat/>
    <w:rPr>
      <w:rFonts w:hint="default" w:ascii="Times New Roman" w:hAnsi="Times New Roman" w:cs="Times New Roman"/>
      <w:color w:val="000000"/>
      <w:sz w:val="21"/>
      <w:szCs w:val="21"/>
      <w:u w:val="none"/>
    </w:rPr>
  </w:style>
  <w:style w:type="character" w:styleId="1046" w:customStyle="1">
    <w:name w:val="font61"/>
    <w:basedOn w:val="829"/>
    <w:qFormat/>
    <w:rPr>
      <w:rFonts w:hint="eastAsia" w:ascii="宋体" w:hAnsi="宋体" w:eastAsia="宋体" w:cs="宋体"/>
      <w:color w:val="000000"/>
      <w:sz w:val="21"/>
      <w:szCs w:val="21"/>
      <w:u w:val="none"/>
    </w:rPr>
  </w:style>
  <w:style w:type="character" w:styleId="1047" w:customStyle="1">
    <w:name w:val="font41"/>
    <w:basedOn w:val="829"/>
    <w:qFormat/>
    <w:rPr>
      <w:rFonts w:hint="default" w:ascii="Times New Roman" w:hAnsi="Times New Roman" w:cs="Times New Roman"/>
      <w:color w:val="000000"/>
      <w:sz w:val="20"/>
      <w:szCs w:val="20"/>
      <w:u w:val="none"/>
    </w:rPr>
  </w:style>
  <w:style w:type="character" w:styleId="1048" w:customStyle="1">
    <w:name w:val="批注框文本 字符"/>
    <w:basedOn w:val="829"/>
    <w:link w:val="844"/>
    <w:uiPriority w:val="99"/>
    <w:semiHidden/>
    <w:qFormat/>
    <w:rPr>
      <w:rFonts w:eastAsia="楷体_GB2312"/>
      <w:sz w:val="18"/>
      <w:szCs w:val="18"/>
    </w:rPr>
  </w:style>
  <w:style w:type="table" w:styleId="1049" w:customStyle="1">
    <w:name w:val="Table Normal"/>
    <w:semiHidden/>
    <w:unhideWhenUsed/>
    <w:qFormat/>
    <w:tblPr>
      <w:tblCellMar>
        <w:left w:w="0" w:type="dxa"/>
        <w:top w:w="0" w:type="dxa"/>
        <w:right w:w="0" w:type="dxa"/>
        <w:bottom w:w="0" w:type="dxa"/>
      </w:tblCellMar>
    </w:tblPr>
  </w:style>
  <w:style w:type="paragraph" w:styleId="1050" w:customStyle="1">
    <w:name w:val="样式 首行缩进:  2 字符"/>
    <w:basedOn w:val="819"/>
    <w:link w:val="1051"/>
    <w:qFormat/>
    <w:pPr>
      <w:ind w:firstLine="480"/>
      <w:spacing w:line="360" w:lineRule="auto"/>
    </w:pPr>
    <w:rPr>
      <w:rFonts w:eastAsia="宋体"/>
      <w:sz w:val="24"/>
    </w:rPr>
  </w:style>
  <w:style w:type="character" w:styleId="1051" w:customStyle="1">
    <w:name w:val="样式 首行缩进:  2 字符 Char Char"/>
    <w:link w:val="1050"/>
    <w:qFormat/>
    <w:rPr>
      <w:sz w:val="24"/>
    </w:rPr>
  </w:style>
  <w:style w:type="character" w:styleId="1052" w:customStyle="1">
    <w:name w:val="批注文字 字符"/>
    <w:basedOn w:val="829"/>
    <w:link w:val="836"/>
    <w:uiPriority w:val="99"/>
    <w:semiHidden/>
    <w:qFormat/>
    <w:rPr>
      <w:rFonts w:eastAsia="楷体_GB2312"/>
      <w:sz w:val="26"/>
    </w:rPr>
  </w:style>
  <w:style w:type="paragraph" w:styleId="1053" w:customStyle="1">
    <w:name w:val="Normal_17_1"/>
    <w:qFormat/>
    <w:pPr>
      <w:jc w:val="both"/>
      <w:widowControl w:val="off"/>
    </w:pPr>
    <w:rPr>
      <w:rFonts w:ascii="Calibri" w:hAnsi="Calibri"/>
      <w:sz w:val="21"/>
      <w:szCs w:val="22"/>
    </w:rPr>
  </w:style>
  <w:style w:type="paragraph" w:styleId="1054" w:customStyle="1">
    <w:name w:val="Normal_16_1"/>
    <w:qFormat/>
    <w:rPr>
      <w:rFonts w:ascii="宋体" w:hAnsi="宋体"/>
      <w:sz w:val="32"/>
      <w:szCs w:val="24"/>
    </w:rPr>
  </w:style>
  <w:style w:type="paragraph" w:styleId="1055" w:customStyle="1">
    <w:name w:val="正文_9_0_1"/>
    <w:qFormat/>
    <w:pPr>
      <w:jc w:val="both"/>
      <w:widowControl w:val="off"/>
    </w:pPr>
    <w:rPr>
      <w:rFonts w:ascii="Calibri" w:hAnsi="Calibri"/>
      <w:sz w:val="21"/>
      <w:szCs w:val="22"/>
    </w:rPr>
  </w:style>
  <w:style w:type="paragraph" w:styleId="1056" w:customStyle="1">
    <w:name w:val="正文_8_1_1"/>
    <w:qFormat/>
    <w:pPr>
      <w:jc w:val="both"/>
      <w:widowControl w:val="off"/>
    </w:pPr>
    <w:rPr>
      <w:rFonts w:ascii="Calibri" w:hAnsi="Calibri"/>
      <w:sz w:val="21"/>
      <w:szCs w:val="22"/>
    </w:rPr>
  </w:style>
  <w:style w:type="paragraph" w:styleId="1057" w:customStyle="1">
    <w:name w:val="正文_1_0_0_0_0_0"/>
    <w:qFormat/>
    <w:pPr>
      <w:jc w:val="both"/>
      <w:widowControl w:val="off"/>
    </w:pPr>
    <w:rPr>
      <w:sz w:val="21"/>
    </w:rPr>
  </w:style>
  <w:style w:type="paragraph" w:styleId="1058" w:customStyle="1">
    <w:name w:val="列出段落_2"/>
    <w:basedOn w:val="1056"/>
    <w:uiPriority w:val="34"/>
    <w:qFormat/>
    <w:pPr>
      <w:ind w:firstLine="420"/>
    </w:pPr>
  </w:style>
  <w:style w:type="paragraph" w:styleId="1059" w:customStyle="1">
    <w:name w:val="Other|1"/>
    <w:basedOn w:val="819"/>
    <w:qFormat/>
    <w:rPr>
      <w:rFonts w:ascii="宋体" w:hAnsi="宋体" w:eastAsia="宋体" w:cs="宋体"/>
      <w:sz w:val="21"/>
      <w:lang w:val="zh-TW" w:eastAsia="zh-TW" w:bidi="zh-TW"/>
    </w:rPr>
  </w:style>
  <w:style w:type="character" w:styleId="1060" w:customStyle="1">
    <w:name w:val="HTML 预设格式 字符"/>
    <w:basedOn w:val="829"/>
    <w:link w:val="858"/>
    <w:uiPriority w:val="99"/>
    <w:semiHidden/>
    <w:qFormat/>
    <w:rPr>
      <w:rFonts w:ascii="Courier New" w:hAnsi="Courier New" w:eastAsia="楷体_GB2312" w:cs="Courier New"/>
    </w:rPr>
  </w:style>
  <w:style w:type="character" w:styleId="1061" w:customStyle="1">
    <w:name w:val="正文文本 字符"/>
    <w:basedOn w:val="829"/>
    <w:link w:val="832"/>
    <w:uiPriority w:val="99"/>
    <w:rPr>
      <w:rFonts w:ascii="楷体_GB2312" w:hAnsi="Arial"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6EAD481D-C165-4D75-A298-A9179F27AA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29</cp:revision>
  <dcterms:created xsi:type="dcterms:W3CDTF">2026-09-01T03:20:00Z</dcterms:created>
  <dcterms:modified xsi:type="dcterms:W3CDTF">2026-09-29T08:48:54Z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